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BB7A1" w14:textId="77777777" w:rsidR="004C465F" w:rsidRPr="007913B9" w:rsidRDefault="004C465F" w:rsidP="00614700">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30F0636C" w14:textId="42C704E4" w:rsidR="00C4052B" w:rsidRPr="00A70F90" w:rsidRDefault="00C4052B" w:rsidP="00614700">
          <w:pPr>
            <w:pStyle w:val="TtuloTDC"/>
            <w:spacing w:before="0" w:line="360" w:lineRule="auto"/>
            <w:jc w:val="center"/>
            <w:rPr>
              <w:rFonts w:ascii="Palatino Linotype" w:hAnsi="Palatino Linotype"/>
              <w:color w:val="auto"/>
              <w:sz w:val="22"/>
              <w:szCs w:val="22"/>
            </w:rPr>
          </w:pPr>
          <w:r w:rsidRPr="00A70F90">
            <w:rPr>
              <w:rFonts w:ascii="Palatino Linotype" w:hAnsi="Palatino Linotype"/>
              <w:color w:val="auto"/>
              <w:sz w:val="22"/>
              <w:szCs w:val="22"/>
              <w:lang w:val="es-ES"/>
            </w:rPr>
            <w:t xml:space="preserve">RESOLUCIÓN DEL RECURSO DE REVISIÓN </w:t>
          </w:r>
          <w:r w:rsidR="005516E8" w:rsidRPr="00A70F90">
            <w:rPr>
              <w:rFonts w:ascii="Palatino Linotype" w:hAnsi="Palatino Linotype"/>
              <w:color w:val="auto"/>
              <w:sz w:val="22"/>
              <w:szCs w:val="22"/>
            </w:rPr>
            <w:t>01726</w:t>
          </w:r>
          <w:r w:rsidR="000D392E" w:rsidRPr="00A70F90">
            <w:rPr>
              <w:rFonts w:ascii="Palatino Linotype" w:hAnsi="Palatino Linotype"/>
              <w:color w:val="auto"/>
              <w:sz w:val="22"/>
              <w:szCs w:val="22"/>
            </w:rPr>
            <w:t>/INFOEM/IP/RR/202</w:t>
          </w:r>
          <w:r w:rsidR="005C3645" w:rsidRPr="00A70F90">
            <w:rPr>
              <w:rFonts w:ascii="Palatino Linotype" w:hAnsi="Palatino Linotype"/>
              <w:color w:val="auto"/>
              <w:sz w:val="22"/>
              <w:szCs w:val="22"/>
            </w:rPr>
            <w:t>6</w:t>
          </w:r>
        </w:p>
        <w:p w14:paraId="1122E819" w14:textId="77777777" w:rsidR="00C4052B" w:rsidRPr="00A70F90" w:rsidRDefault="00C4052B" w:rsidP="00614700">
          <w:pPr>
            <w:spacing w:after="0" w:line="360" w:lineRule="auto"/>
            <w:rPr>
              <w:color w:val="FF0000"/>
            </w:rPr>
          </w:pPr>
        </w:p>
        <w:p w14:paraId="1CCBC729" w14:textId="77777777" w:rsidR="00291100" w:rsidRDefault="00C4052B">
          <w:pPr>
            <w:pStyle w:val="TDC1"/>
            <w:tabs>
              <w:tab w:val="right" w:leader="dot" w:pos="8921"/>
            </w:tabs>
            <w:rPr>
              <w:rFonts w:asciiTheme="minorHAnsi" w:eastAsiaTheme="minorEastAsia" w:hAnsiTheme="minorHAnsi" w:cstheme="minorBidi"/>
              <w:noProof/>
              <w:color w:val="auto"/>
            </w:rPr>
          </w:pPr>
          <w:r w:rsidRPr="00A70F90">
            <w:rPr>
              <w:color w:val="FF0000"/>
            </w:rPr>
            <w:fldChar w:fldCharType="begin"/>
          </w:r>
          <w:r w:rsidRPr="00A70F90">
            <w:rPr>
              <w:color w:val="FF0000"/>
            </w:rPr>
            <w:instrText xml:space="preserve"> TOC \o "1-3" \h \z \u </w:instrText>
          </w:r>
          <w:r w:rsidRPr="00A70F90">
            <w:rPr>
              <w:color w:val="FF0000"/>
            </w:rPr>
            <w:fldChar w:fldCharType="separate"/>
          </w:r>
          <w:hyperlink w:anchor="_Toc224820164" w:history="1">
            <w:r w:rsidR="00291100" w:rsidRPr="00D87365">
              <w:rPr>
                <w:rStyle w:val="Hipervnculo"/>
                <w:noProof/>
              </w:rPr>
              <w:t>A N T E C E D E N T E S</w:t>
            </w:r>
            <w:r w:rsidR="00291100">
              <w:rPr>
                <w:noProof/>
                <w:webHidden/>
              </w:rPr>
              <w:tab/>
            </w:r>
            <w:r w:rsidR="00291100">
              <w:rPr>
                <w:noProof/>
                <w:webHidden/>
              </w:rPr>
              <w:fldChar w:fldCharType="begin"/>
            </w:r>
            <w:r w:rsidR="00291100">
              <w:rPr>
                <w:noProof/>
                <w:webHidden/>
              </w:rPr>
              <w:instrText xml:space="preserve"> PAGEREF _Toc224820164 \h </w:instrText>
            </w:r>
            <w:r w:rsidR="00291100">
              <w:rPr>
                <w:noProof/>
                <w:webHidden/>
              </w:rPr>
            </w:r>
            <w:r w:rsidR="00291100">
              <w:rPr>
                <w:noProof/>
                <w:webHidden/>
              </w:rPr>
              <w:fldChar w:fldCharType="separate"/>
            </w:r>
            <w:r w:rsidR="006C232B">
              <w:rPr>
                <w:noProof/>
                <w:webHidden/>
              </w:rPr>
              <w:t>2</w:t>
            </w:r>
            <w:r w:rsidR="00291100">
              <w:rPr>
                <w:noProof/>
                <w:webHidden/>
              </w:rPr>
              <w:fldChar w:fldCharType="end"/>
            </w:r>
          </w:hyperlink>
        </w:p>
        <w:p w14:paraId="50A4410B" w14:textId="77777777" w:rsidR="00291100" w:rsidRDefault="00000000">
          <w:pPr>
            <w:pStyle w:val="TDC2"/>
            <w:tabs>
              <w:tab w:val="right" w:leader="dot" w:pos="8921"/>
            </w:tabs>
            <w:rPr>
              <w:rFonts w:asciiTheme="minorHAnsi" w:eastAsiaTheme="minorEastAsia" w:hAnsiTheme="minorHAnsi" w:cstheme="minorBidi"/>
              <w:noProof/>
              <w:color w:val="auto"/>
            </w:rPr>
          </w:pPr>
          <w:hyperlink w:anchor="_Toc224820165" w:history="1">
            <w:r w:rsidR="00291100" w:rsidRPr="00D87365">
              <w:rPr>
                <w:rStyle w:val="Hipervnculo"/>
                <w:noProof/>
                <w:lang w:eastAsia="es-ES"/>
              </w:rPr>
              <w:t>I. Presentación de la solicitud de información</w:t>
            </w:r>
            <w:r w:rsidR="00291100">
              <w:rPr>
                <w:noProof/>
                <w:webHidden/>
              </w:rPr>
              <w:tab/>
            </w:r>
            <w:r w:rsidR="00291100">
              <w:rPr>
                <w:noProof/>
                <w:webHidden/>
              </w:rPr>
              <w:fldChar w:fldCharType="begin"/>
            </w:r>
            <w:r w:rsidR="00291100">
              <w:rPr>
                <w:noProof/>
                <w:webHidden/>
              </w:rPr>
              <w:instrText xml:space="preserve"> PAGEREF _Toc224820165 \h </w:instrText>
            </w:r>
            <w:r w:rsidR="00291100">
              <w:rPr>
                <w:noProof/>
                <w:webHidden/>
              </w:rPr>
            </w:r>
            <w:r w:rsidR="00291100">
              <w:rPr>
                <w:noProof/>
                <w:webHidden/>
              </w:rPr>
              <w:fldChar w:fldCharType="separate"/>
            </w:r>
            <w:r w:rsidR="006C232B">
              <w:rPr>
                <w:noProof/>
                <w:webHidden/>
              </w:rPr>
              <w:t>2</w:t>
            </w:r>
            <w:r w:rsidR="00291100">
              <w:rPr>
                <w:noProof/>
                <w:webHidden/>
              </w:rPr>
              <w:fldChar w:fldCharType="end"/>
            </w:r>
          </w:hyperlink>
        </w:p>
        <w:p w14:paraId="486011F8" w14:textId="77777777" w:rsidR="00291100" w:rsidRDefault="00000000">
          <w:pPr>
            <w:pStyle w:val="TDC2"/>
            <w:tabs>
              <w:tab w:val="right" w:leader="dot" w:pos="8921"/>
            </w:tabs>
            <w:rPr>
              <w:rFonts w:asciiTheme="minorHAnsi" w:eastAsiaTheme="minorEastAsia" w:hAnsiTheme="minorHAnsi" w:cstheme="minorBidi"/>
              <w:noProof/>
              <w:color w:val="auto"/>
            </w:rPr>
          </w:pPr>
          <w:hyperlink w:anchor="_Toc224820166" w:history="1">
            <w:r w:rsidR="00291100" w:rsidRPr="00D87365">
              <w:rPr>
                <w:rStyle w:val="Hipervnculo"/>
                <w:rFonts w:cs="Tahoma"/>
                <w:noProof/>
              </w:rPr>
              <w:t>III.</w:t>
            </w:r>
            <w:r w:rsidR="00291100" w:rsidRPr="00D87365">
              <w:rPr>
                <w:rStyle w:val="Hipervnculo"/>
                <w:noProof/>
              </w:rPr>
              <w:t xml:space="preserve"> Respuesta del Sujeto Obligado</w:t>
            </w:r>
            <w:r w:rsidR="00291100">
              <w:rPr>
                <w:noProof/>
                <w:webHidden/>
              </w:rPr>
              <w:tab/>
            </w:r>
            <w:r w:rsidR="00291100">
              <w:rPr>
                <w:noProof/>
                <w:webHidden/>
              </w:rPr>
              <w:fldChar w:fldCharType="begin"/>
            </w:r>
            <w:r w:rsidR="00291100">
              <w:rPr>
                <w:noProof/>
                <w:webHidden/>
              </w:rPr>
              <w:instrText xml:space="preserve"> PAGEREF _Toc224820166 \h </w:instrText>
            </w:r>
            <w:r w:rsidR="00291100">
              <w:rPr>
                <w:noProof/>
                <w:webHidden/>
              </w:rPr>
            </w:r>
            <w:r w:rsidR="00291100">
              <w:rPr>
                <w:noProof/>
                <w:webHidden/>
              </w:rPr>
              <w:fldChar w:fldCharType="separate"/>
            </w:r>
            <w:r w:rsidR="006C232B">
              <w:rPr>
                <w:noProof/>
                <w:webHidden/>
              </w:rPr>
              <w:t>3</w:t>
            </w:r>
            <w:r w:rsidR="00291100">
              <w:rPr>
                <w:noProof/>
                <w:webHidden/>
              </w:rPr>
              <w:fldChar w:fldCharType="end"/>
            </w:r>
          </w:hyperlink>
        </w:p>
        <w:p w14:paraId="289E422B" w14:textId="77777777" w:rsidR="00291100" w:rsidRDefault="00000000">
          <w:pPr>
            <w:pStyle w:val="TDC2"/>
            <w:tabs>
              <w:tab w:val="right" w:leader="dot" w:pos="8921"/>
            </w:tabs>
            <w:rPr>
              <w:rFonts w:asciiTheme="minorHAnsi" w:eastAsiaTheme="minorEastAsia" w:hAnsiTheme="minorHAnsi" w:cstheme="minorBidi"/>
              <w:noProof/>
              <w:color w:val="auto"/>
            </w:rPr>
          </w:pPr>
          <w:hyperlink w:anchor="_Toc224820167" w:history="1">
            <w:r w:rsidR="00291100" w:rsidRPr="00D87365">
              <w:rPr>
                <w:rStyle w:val="Hipervnculo"/>
                <w:noProof/>
              </w:rPr>
              <w:t>IV. Interposición del Recurso de Revisión</w:t>
            </w:r>
            <w:r w:rsidR="00291100">
              <w:rPr>
                <w:noProof/>
                <w:webHidden/>
              </w:rPr>
              <w:tab/>
            </w:r>
            <w:r w:rsidR="00291100">
              <w:rPr>
                <w:noProof/>
                <w:webHidden/>
              </w:rPr>
              <w:fldChar w:fldCharType="begin"/>
            </w:r>
            <w:r w:rsidR="00291100">
              <w:rPr>
                <w:noProof/>
                <w:webHidden/>
              </w:rPr>
              <w:instrText xml:space="preserve"> PAGEREF _Toc224820167 \h </w:instrText>
            </w:r>
            <w:r w:rsidR="00291100">
              <w:rPr>
                <w:noProof/>
                <w:webHidden/>
              </w:rPr>
            </w:r>
            <w:r w:rsidR="00291100">
              <w:rPr>
                <w:noProof/>
                <w:webHidden/>
              </w:rPr>
              <w:fldChar w:fldCharType="separate"/>
            </w:r>
            <w:r w:rsidR="006C232B">
              <w:rPr>
                <w:noProof/>
                <w:webHidden/>
              </w:rPr>
              <w:t>4</w:t>
            </w:r>
            <w:r w:rsidR="00291100">
              <w:rPr>
                <w:noProof/>
                <w:webHidden/>
              </w:rPr>
              <w:fldChar w:fldCharType="end"/>
            </w:r>
          </w:hyperlink>
        </w:p>
        <w:p w14:paraId="5A5D34C0" w14:textId="77777777" w:rsidR="00291100" w:rsidRDefault="00000000">
          <w:pPr>
            <w:pStyle w:val="TDC2"/>
            <w:tabs>
              <w:tab w:val="right" w:leader="dot" w:pos="8921"/>
            </w:tabs>
            <w:rPr>
              <w:rFonts w:asciiTheme="minorHAnsi" w:eastAsiaTheme="minorEastAsia" w:hAnsiTheme="minorHAnsi" w:cstheme="minorBidi"/>
              <w:noProof/>
              <w:color w:val="auto"/>
            </w:rPr>
          </w:pPr>
          <w:hyperlink w:anchor="_Toc224820168" w:history="1">
            <w:r w:rsidR="00291100" w:rsidRPr="00D87365">
              <w:rPr>
                <w:rStyle w:val="Hipervnculo"/>
                <w:noProof/>
              </w:rPr>
              <w:t>V. Trámite del Recurso de Revisión ante este Instituto</w:t>
            </w:r>
            <w:r w:rsidR="00291100">
              <w:rPr>
                <w:noProof/>
                <w:webHidden/>
              </w:rPr>
              <w:tab/>
            </w:r>
            <w:r w:rsidR="00291100">
              <w:rPr>
                <w:noProof/>
                <w:webHidden/>
              </w:rPr>
              <w:fldChar w:fldCharType="begin"/>
            </w:r>
            <w:r w:rsidR="00291100">
              <w:rPr>
                <w:noProof/>
                <w:webHidden/>
              </w:rPr>
              <w:instrText xml:space="preserve"> PAGEREF _Toc224820168 \h </w:instrText>
            </w:r>
            <w:r w:rsidR="00291100">
              <w:rPr>
                <w:noProof/>
                <w:webHidden/>
              </w:rPr>
            </w:r>
            <w:r w:rsidR="00291100">
              <w:rPr>
                <w:noProof/>
                <w:webHidden/>
              </w:rPr>
              <w:fldChar w:fldCharType="separate"/>
            </w:r>
            <w:r w:rsidR="006C232B">
              <w:rPr>
                <w:noProof/>
                <w:webHidden/>
              </w:rPr>
              <w:t>5</w:t>
            </w:r>
            <w:r w:rsidR="00291100">
              <w:rPr>
                <w:noProof/>
                <w:webHidden/>
              </w:rPr>
              <w:fldChar w:fldCharType="end"/>
            </w:r>
          </w:hyperlink>
        </w:p>
        <w:p w14:paraId="44BD8E61" w14:textId="77777777" w:rsidR="00291100" w:rsidRDefault="00000000">
          <w:pPr>
            <w:pStyle w:val="TDC1"/>
            <w:tabs>
              <w:tab w:val="right" w:leader="dot" w:pos="8921"/>
            </w:tabs>
            <w:rPr>
              <w:rFonts w:asciiTheme="minorHAnsi" w:eastAsiaTheme="minorEastAsia" w:hAnsiTheme="minorHAnsi" w:cstheme="minorBidi"/>
              <w:noProof/>
              <w:color w:val="auto"/>
            </w:rPr>
          </w:pPr>
          <w:hyperlink w:anchor="_Toc224820169" w:history="1">
            <w:r w:rsidR="00291100" w:rsidRPr="00D87365">
              <w:rPr>
                <w:rStyle w:val="Hipervnculo"/>
                <w:noProof/>
              </w:rPr>
              <w:t>C O N S I D E R A N D O S</w:t>
            </w:r>
            <w:r w:rsidR="00291100">
              <w:rPr>
                <w:noProof/>
                <w:webHidden/>
              </w:rPr>
              <w:tab/>
            </w:r>
            <w:r w:rsidR="00291100">
              <w:rPr>
                <w:noProof/>
                <w:webHidden/>
              </w:rPr>
              <w:fldChar w:fldCharType="begin"/>
            </w:r>
            <w:r w:rsidR="00291100">
              <w:rPr>
                <w:noProof/>
                <w:webHidden/>
              </w:rPr>
              <w:instrText xml:space="preserve"> PAGEREF _Toc224820169 \h </w:instrText>
            </w:r>
            <w:r w:rsidR="00291100">
              <w:rPr>
                <w:noProof/>
                <w:webHidden/>
              </w:rPr>
            </w:r>
            <w:r w:rsidR="00291100">
              <w:rPr>
                <w:noProof/>
                <w:webHidden/>
              </w:rPr>
              <w:fldChar w:fldCharType="separate"/>
            </w:r>
            <w:r w:rsidR="006C232B">
              <w:rPr>
                <w:noProof/>
                <w:webHidden/>
              </w:rPr>
              <w:t>6</w:t>
            </w:r>
            <w:r w:rsidR="00291100">
              <w:rPr>
                <w:noProof/>
                <w:webHidden/>
              </w:rPr>
              <w:fldChar w:fldCharType="end"/>
            </w:r>
          </w:hyperlink>
        </w:p>
        <w:p w14:paraId="370BF6E8" w14:textId="77777777" w:rsidR="00291100" w:rsidRDefault="00000000">
          <w:pPr>
            <w:pStyle w:val="TDC2"/>
            <w:tabs>
              <w:tab w:val="right" w:leader="dot" w:pos="8921"/>
            </w:tabs>
            <w:rPr>
              <w:rFonts w:asciiTheme="minorHAnsi" w:eastAsiaTheme="minorEastAsia" w:hAnsiTheme="minorHAnsi" w:cstheme="minorBidi"/>
              <w:noProof/>
              <w:color w:val="auto"/>
            </w:rPr>
          </w:pPr>
          <w:hyperlink w:anchor="_Toc224820170" w:history="1">
            <w:r w:rsidR="00291100" w:rsidRPr="00D87365">
              <w:rPr>
                <w:rStyle w:val="Hipervnculo"/>
                <w:noProof/>
              </w:rPr>
              <w:t>PRIMERO. Competencia</w:t>
            </w:r>
            <w:r w:rsidR="00291100">
              <w:rPr>
                <w:noProof/>
                <w:webHidden/>
              </w:rPr>
              <w:tab/>
            </w:r>
            <w:r w:rsidR="00291100">
              <w:rPr>
                <w:noProof/>
                <w:webHidden/>
              </w:rPr>
              <w:fldChar w:fldCharType="begin"/>
            </w:r>
            <w:r w:rsidR="00291100">
              <w:rPr>
                <w:noProof/>
                <w:webHidden/>
              </w:rPr>
              <w:instrText xml:space="preserve"> PAGEREF _Toc224820170 \h </w:instrText>
            </w:r>
            <w:r w:rsidR="00291100">
              <w:rPr>
                <w:noProof/>
                <w:webHidden/>
              </w:rPr>
            </w:r>
            <w:r w:rsidR="00291100">
              <w:rPr>
                <w:noProof/>
                <w:webHidden/>
              </w:rPr>
              <w:fldChar w:fldCharType="separate"/>
            </w:r>
            <w:r w:rsidR="006C232B">
              <w:rPr>
                <w:noProof/>
                <w:webHidden/>
              </w:rPr>
              <w:t>6</w:t>
            </w:r>
            <w:r w:rsidR="00291100">
              <w:rPr>
                <w:noProof/>
                <w:webHidden/>
              </w:rPr>
              <w:fldChar w:fldCharType="end"/>
            </w:r>
          </w:hyperlink>
        </w:p>
        <w:p w14:paraId="610BE9B0" w14:textId="77777777" w:rsidR="00291100" w:rsidRPr="00291100" w:rsidRDefault="00000000">
          <w:pPr>
            <w:pStyle w:val="TDC2"/>
            <w:tabs>
              <w:tab w:val="right" w:leader="dot" w:pos="8921"/>
            </w:tabs>
            <w:rPr>
              <w:rFonts w:asciiTheme="minorHAnsi" w:eastAsiaTheme="minorEastAsia" w:hAnsiTheme="minorHAnsi" w:cstheme="minorBidi"/>
              <w:noProof/>
              <w:color w:val="auto"/>
            </w:rPr>
          </w:pPr>
          <w:hyperlink w:anchor="_Toc224820171" w:history="1">
            <w:r w:rsidR="00291100" w:rsidRPr="00291100">
              <w:rPr>
                <w:rStyle w:val="Hipervnculo"/>
                <w:rFonts w:eastAsia="Calibri" w:cs="Times New Roman"/>
                <w:bCs/>
                <w:noProof/>
              </w:rPr>
              <w:t>SEGUNDO. Causales de improcedencia</w:t>
            </w:r>
            <w:r w:rsidR="00291100" w:rsidRPr="00291100">
              <w:rPr>
                <w:noProof/>
                <w:webHidden/>
              </w:rPr>
              <w:tab/>
            </w:r>
            <w:r w:rsidR="00291100" w:rsidRPr="00291100">
              <w:rPr>
                <w:noProof/>
                <w:webHidden/>
              </w:rPr>
              <w:fldChar w:fldCharType="begin"/>
            </w:r>
            <w:r w:rsidR="00291100" w:rsidRPr="00291100">
              <w:rPr>
                <w:noProof/>
                <w:webHidden/>
              </w:rPr>
              <w:instrText xml:space="preserve"> PAGEREF _Toc224820171 \h </w:instrText>
            </w:r>
            <w:r w:rsidR="00291100" w:rsidRPr="00291100">
              <w:rPr>
                <w:noProof/>
                <w:webHidden/>
              </w:rPr>
            </w:r>
            <w:r w:rsidR="00291100" w:rsidRPr="00291100">
              <w:rPr>
                <w:noProof/>
                <w:webHidden/>
              </w:rPr>
              <w:fldChar w:fldCharType="separate"/>
            </w:r>
            <w:r w:rsidR="006C232B">
              <w:rPr>
                <w:noProof/>
                <w:webHidden/>
              </w:rPr>
              <w:t>6</w:t>
            </w:r>
            <w:r w:rsidR="00291100" w:rsidRPr="00291100">
              <w:rPr>
                <w:noProof/>
                <w:webHidden/>
              </w:rPr>
              <w:fldChar w:fldCharType="end"/>
            </w:r>
          </w:hyperlink>
        </w:p>
        <w:p w14:paraId="2110E2C0" w14:textId="77777777" w:rsidR="00291100" w:rsidRPr="00291100" w:rsidRDefault="00000000">
          <w:pPr>
            <w:pStyle w:val="TDC2"/>
            <w:tabs>
              <w:tab w:val="right" w:leader="dot" w:pos="8921"/>
            </w:tabs>
            <w:rPr>
              <w:rFonts w:asciiTheme="minorHAnsi" w:eastAsiaTheme="minorEastAsia" w:hAnsiTheme="minorHAnsi" w:cstheme="minorBidi"/>
              <w:noProof/>
              <w:color w:val="auto"/>
            </w:rPr>
          </w:pPr>
          <w:hyperlink w:anchor="_Toc224820172" w:history="1">
            <w:r w:rsidR="00291100" w:rsidRPr="00291100">
              <w:rPr>
                <w:rStyle w:val="Hipervnculo"/>
                <w:rFonts w:eastAsia="Times New Roman" w:cs="Times New Roman"/>
                <w:noProof/>
                <w:lang w:val="es-ES" w:eastAsia="es-ES"/>
              </w:rPr>
              <w:t>Causales de sobreseimiento</w:t>
            </w:r>
            <w:r w:rsidR="00291100" w:rsidRPr="00291100">
              <w:rPr>
                <w:noProof/>
                <w:webHidden/>
              </w:rPr>
              <w:tab/>
            </w:r>
            <w:r w:rsidR="00291100" w:rsidRPr="00291100">
              <w:rPr>
                <w:noProof/>
                <w:webHidden/>
              </w:rPr>
              <w:fldChar w:fldCharType="begin"/>
            </w:r>
            <w:r w:rsidR="00291100" w:rsidRPr="00291100">
              <w:rPr>
                <w:noProof/>
                <w:webHidden/>
              </w:rPr>
              <w:instrText xml:space="preserve"> PAGEREF _Toc224820172 \h </w:instrText>
            </w:r>
            <w:r w:rsidR="00291100" w:rsidRPr="00291100">
              <w:rPr>
                <w:noProof/>
                <w:webHidden/>
              </w:rPr>
            </w:r>
            <w:r w:rsidR="00291100" w:rsidRPr="00291100">
              <w:rPr>
                <w:noProof/>
                <w:webHidden/>
              </w:rPr>
              <w:fldChar w:fldCharType="separate"/>
            </w:r>
            <w:r w:rsidR="006C232B">
              <w:rPr>
                <w:noProof/>
                <w:webHidden/>
              </w:rPr>
              <w:t>7</w:t>
            </w:r>
            <w:r w:rsidR="00291100" w:rsidRPr="00291100">
              <w:rPr>
                <w:noProof/>
                <w:webHidden/>
              </w:rPr>
              <w:fldChar w:fldCharType="end"/>
            </w:r>
          </w:hyperlink>
        </w:p>
        <w:p w14:paraId="1FD7A31D" w14:textId="77777777" w:rsidR="00291100" w:rsidRPr="00291100" w:rsidRDefault="00000000">
          <w:pPr>
            <w:pStyle w:val="TDC2"/>
            <w:tabs>
              <w:tab w:val="right" w:leader="dot" w:pos="8921"/>
            </w:tabs>
            <w:rPr>
              <w:rFonts w:asciiTheme="minorHAnsi" w:eastAsiaTheme="minorEastAsia" w:hAnsiTheme="minorHAnsi" w:cstheme="minorBidi"/>
              <w:noProof/>
              <w:color w:val="auto"/>
            </w:rPr>
          </w:pPr>
          <w:hyperlink w:anchor="_Toc224820173" w:history="1">
            <w:r w:rsidR="00291100" w:rsidRPr="00291100">
              <w:rPr>
                <w:rStyle w:val="Hipervnculo"/>
                <w:rFonts w:eastAsia="Times New Roman" w:cs="Times New Roman"/>
                <w:noProof/>
                <w:lang w:val="es-ES" w:eastAsia="es-ES"/>
              </w:rPr>
              <w:t>TERCERO. Determinación de la Controversia</w:t>
            </w:r>
            <w:r w:rsidR="00291100" w:rsidRPr="00291100">
              <w:rPr>
                <w:noProof/>
                <w:webHidden/>
              </w:rPr>
              <w:tab/>
            </w:r>
            <w:r w:rsidR="00291100" w:rsidRPr="00291100">
              <w:rPr>
                <w:noProof/>
                <w:webHidden/>
              </w:rPr>
              <w:fldChar w:fldCharType="begin"/>
            </w:r>
            <w:r w:rsidR="00291100" w:rsidRPr="00291100">
              <w:rPr>
                <w:noProof/>
                <w:webHidden/>
              </w:rPr>
              <w:instrText xml:space="preserve"> PAGEREF _Toc224820173 \h </w:instrText>
            </w:r>
            <w:r w:rsidR="00291100" w:rsidRPr="00291100">
              <w:rPr>
                <w:noProof/>
                <w:webHidden/>
              </w:rPr>
            </w:r>
            <w:r w:rsidR="00291100" w:rsidRPr="00291100">
              <w:rPr>
                <w:noProof/>
                <w:webHidden/>
              </w:rPr>
              <w:fldChar w:fldCharType="separate"/>
            </w:r>
            <w:r w:rsidR="006C232B">
              <w:rPr>
                <w:noProof/>
                <w:webHidden/>
              </w:rPr>
              <w:t>8</w:t>
            </w:r>
            <w:r w:rsidR="00291100" w:rsidRPr="00291100">
              <w:rPr>
                <w:noProof/>
                <w:webHidden/>
              </w:rPr>
              <w:fldChar w:fldCharType="end"/>
            </w:r>
          </w:hyperlink>
        </w:p>
        <w:p w14:paraId="2E994E54" w14:textId="77777777" w:rsidR="00291100" w:rsidRPr="00291100" w:rsidRDefault="00000000">
          <w:pPr>
            <w:pStyle w:val="TDC2"/>
            <w:tabs>
              <w:tab w:val="right" w:leader="dot" w:pos="8921"/>
            </w:tabs>
            <w:rPr>
              <w:rFonts w:asciiTheme="minorHAnsi" w:eastAsiaTheme="minorEastAsia" w:hAnsiTheme="minorHAnsi" w:cstheme="minorBidi"/>
              <w:noProof/>
              <w:color w:val="auto"/>
            </w:rPr>
          </w:pPr>
          <w:hyperlink w:anchor="_Toc224820174" w:history="1">
            <w:r w:rsidR="00291100" w:rsidRPr="00291100">
              <w:rPr>
                <w:rStyle w:val="Hipervnculo"/>
                <w:rFonts w:eastAsia="Times New Roman" w:cs="Times New Roman"/>
                <w:bCs/>
                <w:noProof/>
                <w:lang w:val="es-ES" w:eastAsia="es-ES"/>
              </w:rPr>
              <w:t xml:space="preserve">CUARTO. </w:t>
            </w:r>
            <w:r w:rsidR="00291100" w:rsidRPr="00291100">
              <w:rPr>
                <w:rStyle w:val="Hipervnculo"/>
                <w:rFonts w:eastAsia="Times New Roman" w:cs="Times New Roman"/>
                <w:bCs/>
                <w:noProof/>
                <w:lang w:eastAsia="es-ES"/>
              </w:rPr>
              <w:t>Marco normativo aplicable en materia de transparencia y acceso a la información pública</w:t>
            </w:r>
            <w:r w:rsidR="00291100" w:rsidRPr="00291100">
              <w:rPr>
                <w:noProof/>
                <w:webHidden/>
              </w:rPr>
              <w:tab/>
            </w:r>
            <w:r w:rsidR="00291100" w:rsidRPr="00291100">
              <w:rPr>
                <w:noProof/>
                <w:webHidden/>
              </w:rPr>
              <w:fldChar w:fldCharType="begin"/>
            </w:r>
            <w:r w:rsidR="00291100" w:rsidRPr="00291100">
              <w:rPr>
                <w:noProof/>
                <w:webHidden/>
              </w:rPr>
              <w:instrText xml:space="preserve"> PAGEREF _Toc224820174 \h </w:instrText>
            </w:r>
            <w:r w:rsidR="00291100" w:rsidRPr="00291100">
              <w:rPr>
                <w:noProof/>
                <w:webHidden/>
              </w:rPr>
            </w:r>
            <w:r w:rsidR="00291100" w:rsidRPr="00291100">
              <w:rPr>
                <w:noProof/>
                <w:webHidden/>
              </w:rPr>
              <w:fldChar w:fldCharType="separate"/>
            </w:r>
            <w:r w:rsidR="006C232B">
              <w:rPr>
                <w:noProof/>
                <w:webHidden/>
              </w:rPr>
              <w:t>10</w:t>
            </w:r>
            <w:r w:rsidR="00291100" w:rsidRPr="00291100">
              <w:rPr>
                <w:noProof/>
                <w:webHidden/>
              </w:rPr>
              <w:fldChar w:fldCharType="end"/>
            </w:r>
          </w:hyperlink>
        </w:p>
        <w:p w14:paraId="4A5EA83C" w14:textId="77777777" w:rsidR="00291100" w:rsidRPr="00291100" w:rsidRDefault="00000000">
          <w:pPr>
            <w:pStyle w:val="TDC2"/>
            <w:tabs>
              <w:tab w:val="right" w:leader="dot" w:pos="8921"/>
            </w:tabs>
            <w:rPr>
              <w:rFonts w:asciiTheme="minorHAnsi" w:eastAsiaTheme="minorEastAsia" w:hAnsiTheme="minorHAnsi" w:cstheme="minorBidi"/>
              <w:noProof/>
              <w:color w:val="auto"/>
            </w:rPr>
          </w:pPr>
          <w:hyperlink w:anchor="_Toc224820175" w:history="1">
            <w:r w:rsidR="00291100" w:rsidRPr="00291100">
              <w:rPr>
                <w:rStyle w:val="Hipervnculo"/>
                <w:rFonts w:eastAsia="Times New Roman" w:cs="Times New Roman"/>
                <w:bCs/>
                <w:noProof/>
                <w:lang w:val="es-ES" w:eastAsia="es-ES"/>
              </w:rPr>
              <w:t>QUINTO. Estudio de Fondo</w:t>
            </w:r>
            <w:r w:rsidR="00291100" w:rsidRPr="00291100">
              <w:rPr>
                <w:noProof/>
                <w:webHidden/>
              </w:rPr>
              <w:tab/>
            </w:r>
            <w:r w:rsidR="00291100" w:rsidRPr="00291100">
              <w:rPr>
                <w:noProof/>
                <w:webHidden/>
              </w:rPr>
              <w:fldChar w:fldCharType="begin"/>
            </w:r>
            <w:r w:rsidR="00291100" w:rsidRPr="00291100">
              <w:rPr>
                <w:noProof/>
                <w:webHidden/>
              </w:rPr>
              <w:instrText xml:space="preserve"> PAGEREF _Toc224820175 \h </w:instrText>
            </w:r>
            <w:r w:rsidR="00291100" w:rsidRPr="00291100">
              <w:rPr>
                <w:noProof/>
                <w:webHidden/>
              </w:rPr>
            </w:r>
            <w:r w:rsidR="00291100" w:rsidRPr="00291100">
              <w:rPr>
                <w:noProof/>
                <w:webHidden/>
              </w:rPr>
              <w:fldChar w:fldCharType="separate"/>
            </w:r>
            <w:r w:rsidR="006C232B">
              <w:rPr>
                <w:noProof/>
                <w:webHidden/>
              </w:rPr>
              <w:t>11</w:t>
            </w:r>
            <w:r w:rsidR="00291100" w:rsidRPr="00291100">
              <w:rPr>
                <w:noProof/>
                <w:webHidden/>
              </w:rPr>
              <w:fldChar w:fldCharType="end"/>
            </w:r>
          </w:hyperlink>
        </w:p>
        <w:p w14:paraId="2C68D6B9" w14:textId="77777777" w:rsidR="00291100" w:rsidRPr="00291100" w:rsidRDefault="00000000">
          <w:pPr>
            <w:pStyle w:val="TDC2"/>
            <w:tabs>
              <w:tab w:val="right" w:leader="dot" w:pos="8921"/>
            </w:tabs>
            <w:rPr>
              <w:rFonts w:asciiTheme="minorHAnsi" w:eastAsiaTheme="minorEastAsia" w:hAnsiTheme="minorHAnsi" w:cstheme="minorBidi"/>
              <w:noProof/>
              <w:color w:val="auto"/>
            </w:rPr>
          </w:pPr>
          <w:hyperlink w:anchor="_Toc224820176" w:history="1">
            <w:r w:rsidR="00291100" w:rsidRPr="00291100">
              <w:rPr>
                <w:rStyle w:val="Hipervnculo"/>
                <w:rFonts w:eastAsia="Times New Roman" w:cs="Times New Roman"/>
                <w:noProof/>
                <w:lang w:val="es-ES" w:eastAsia="es-ES"/>
              </w:rPr>
              <w:t>SEXTO. Decisión</w:t>
            </w:r>
            <w:r w:rsidR="00291100" w:rsidRPr="00291100">
              <w:rPr>
                <w:noProof/>
                <w:webHidden/>
              </w:rPr>
              <w:tab/>
            </w:r>
            <w:r w:rsidR="00291100" w:rsidRPr="00291100">
              <w:rPr>
                <w:noProof/>
                <w:webHidden/>
              </w:rPr>
              <w:fldChar w:fldCharType="begin"/>
            </w:r>
            <w:r w:rsidR="00291100" w:rsidRPr="00291100">
              <w:rPr>
                <w:noProof/>
                <w:webHidden/>
              </w:rPr>
              <w:instrText xml:space="preserve"> PAGEREF _Toc224820176 \h </w:instrText>
            </w:r>
            <w:r w:rsidR="00291100" w:rsidRPr="00291100">
              <w:rPr>
                <w:noProof/>
                <w:webHidden/>
              </w:rPr>
            </w:r>
            <w:r w:rsidR="00291100" w:rsidRPr="00291100">
              <w:rPr>
                <w:noProof/>
                <w:webHidden/>
              </w:rPr>
              <w:fldChar w:fldCharType="separate"/>
            </w:r>
            <w:r w:rsidR="006C232B">
              <w:rPr>
                <w:noProof/>
                <w:webHidden/>
              </w:rPr>
              <w:t>18</w:t>
            </w:r>
            <w:r w:rsidR="00291100" w:rsidRPr="00291100">
              <w:rPr>
                <w:noProof/>
                <w:webHidden/>
              </w:rPr>
              <w:fldChar w:fldCharType="end"/>
            </w:r>
          </w:hyperlink>
        </w:p>
        <w:p w14:paraId="4D023147" w14:textId="77777777" w:rsidR="00291100" w:rsidRPr="00291100" w:rsidRDefault="00000000">
          <w:pPr>
            <w:pStyle w:val="TDC1"/>
            <w:tabs>
              <w:tab w:val="right" w:leader="dot" w:pos="8921"/>
            </w:tabs>
            <w:rPr>
              <w:rFonts w:asciiTheme="minorHAnsi" w:eastAsiaTheme="minorEastAsia" w:hAnsiTheme="minorHAnsi" w:cstheme="minorBidi"/>
              <w:noProof/>
              <w:color w:val="auto"/>
            </w:rPr>
          </w:pPr>
          <w:hyperlink w:anchor="_Toc224820177" w:history="1">
            <w:r w:rsidR="00291100" w:rsidRPr="00291100">
              <w:rPr>
                <w:rStyle w:val="Hipervnculo"/>
                <w:rFonts w:eastAsia="Calibri" w:cs="Times New Roman"/>
                <w:noProof/>
                <w:lang w:eastAsia="en-US"/>
              </w:rPr>
              <w:t>R E S U E L V E</w:t>
            </w:r>
            <w:r w:rsidR="00291100" w:rsidRPr="00291100">
              <w:rPr>
                <w:noProof/>
                <w:webHidden/>
              </w:rPr>
              <w:tab/>
            </w:r>
            <w:r w:rsidR="00291100" w:rsidRPr="00291100">
              <w:rPr>
                <w:noProof/>
                <w:webHidden/>
              </w:rPr>
              <w:fldChar w:fldCharType="begin"/>
            </w:r>
            <w:r w:rsidR="00291100" w:rsidRPr="00291100">
              <w:rPr>
                <w:noProof/>
                <w:webHidden/>
              </w:rPr>
              <w:instrText xml:space="preserve"> PAGEREF _Toc224820177 \h </w:instrText>
            </w:r>
            <w:r w:rsidR="00291100" w:rsidRPr="00291100">
              <w:rPr>
                <w:noProof/>
                <w:webHidden/>
              </w:rPr>
            </w:r>
            <w:r w:rsidR="00291100" w:rsidRPr="00291100">
              <w:rPr>
                <w:noProof/>
                <w:webHidden/>
              </w:rPr>
              <w:fldChar w:fldCharType="separate"/>
            </w:r>
            <w:r w:rsidR="006C232B">
              <w:rPr>
                <w:noProof/>
                <w:webHidden/>
              </w:rPr>
              <w:t>19</w:t>
            </w:r>
            <w:r w:rsidR="00291100" w:rsidRPr="00291100">
              <w:rPr>
                <w:noProof/>
                <w:webHidden/>
              </w:rPr>
              <w:fldChar w:fldCharType="end"/>
            </w:r>
          </w:hyperlink>
        </w:p>
        <w:p w14:paraId="276D5DDA" w14:textId="43567248" w:rsidR="00C4052B" w:rsidRPr="00A70F90" w:rsidRDefault="00C4052B" w:rsidP="00614700">
          <w:pPr>
            <w:spacing w:after="0" w:line="360" w:lineRule="auto"/>
            <w:rPr>
              <w:color w:val="FF0000"/>
            </w:rPr>
          </w:pPr>
          <w:r w:rsidRPr="00A70F90">
            <w:rPr>
              <w:b/>
              <w:bCs/>
              <w:color w:val="FF0000"/>
              <w:lang w:val="es-ES"/>
            </w:rPr>
            <w:fldChar w:fldCharType="end"/>
          </w:r>
        </w:p>
      </w:sdtContent>
    </w:sdt>
    <w:p w14:paraId="29B64A97" w14:textId="77777777" w:rsidR="00C4052B" w:rsidRPr="00A70F90" w:rsidRDefault="00C4052B" w:rsidP="00614700">
      <w:pPr>
        <w:tabs>
          <w:tab w:val="left" w:pos="8931"/>
        </w:tabs>
        <w:spacing w:after="0" w:line="360" w:lineRule="auto"/>
        <w:rPr>
          <w:color w:val="FF0000"/>
        </w:rPr>
      </w:pPr>
    </w:p>
    <w:p w14:paraId="515846E4" w14:textId="77777777" w:rsidR="00C4052B" w:rsidRPr="00A70F90" w:rsidRDefault="00C4052B" w:rsidP="00614700">
      <w:pPr>
        <w:tabs>
          <w:tab w:val="left" w:pos="8931"/>
        </w:tabs>
        <w:spacing w:after="0" w:line="360" w:lineRule="auto"/>
        <w:rPr>
          <w:color w:val="FF0000"/>
        </w:rPr>
      </w:pPr>
    </w:p>
    <w:p w14:paraId="42A46FF8" w14:textId="77777777" w:rsidR="00C4052B" w:rsidRPr="00A70F90" w:rsidRDefault="00C4052B" w:rsidP="00614700">
      <w:pPr>
        <w:tabs>
          <w:tab w:val="left" w:pos="8931"/>
        </w:tabs>
        <w:spacing w:after="0" w:line="360" w:lineRule="auto"/>
        <w:rPr>
          <w:color w:val="FF0000"/>
        </w:rPr>
      </w:pPr>
    </w:p>
    <w:p w14:paraId="39686073" w14:textId="77777777" w:rsidR="00C4052B" w:rsidRPr="00A70F90" w:rsidRDefault="00C4052B" w:rsidP="00614700">
      <w:pPr>
        <w:tabs>
          <w:tab w:val="left" w:pos="8931"/>
        </w:tabs>
        <w:spacing w:after="0" w:line="360" w:lineRule="auto"/>
        <w:rPr>
          <w:color w:val="FF0000"/>
        </w:rPr>
      </w:pPr>
    </w:p>
    <w:p w14:paraId="7448F012" w14:textId="77777777" w:rsidR="00C4052B" w:rsidRPr="00A70F90" w:rsidRDefault="00C4052B" w:rsidP="00614700">
      <w:pPr>
        <w:tabs>
          <w:tab w:val="left" w:pos="8931"/>
        </w:tabs>
        <w:spacing w:after="0" w:line="360" w:lineRule="auto"/>
        <w:rPr>
          <w:color w:val="FF0000"/>
        </w:rPr>
      </w:pPr>
    </w:p>
    <w:p w14:paraId="2D2EC9A4" w14:textId="77777777" w:rsidR="00C4052B" w:rsidRPr="00A70F90" w:rsidRDefault="00C4052B" w:rsidP="00614700">
      <w:pPr>
        <w:tabs>
          <w:tab w:val="left" w:pos="8931"/>
        </w:tabs>
        <w:spacing w:after="0" w:line="360" w:lineRule="auto"/>
        <w:rPr>
          <w:color w:val="FF0000"/>
        </w:rPr>
      </w:pPr>
    </w:p>
    <w:p w14:paraId="76FA7004" w14:textId="77777777" w:rsidR="00C4052B" w:rsidRPr="00A70F90" w:rsidRDefault="00C4052B" w:rsidP="00614700">
      <w:pPr>
        <w:tabs>
          <w:tab w:val="left" w:pos="8931"/>
        </w:tabs>
        <w:spacing w:after="0" w:line="360" w:lineRule="auto"/>
        <w:rPr>
          <w:color w:val="FF0000"/>
        </w:rPr>
      </w:pPr>
    </w:p>
    <w:p w14:paraId="14CAC8C2" w14:textId="77777777" w:rsidR="00872CA7" w:rsidRPr="00A70F90" w:rsidRDefault="00872CA7" w:rsidP="00614700">
      <w:pPr>
        <w:tabs>
          <w:tab w:val="left" w:pos="8931"/>
        </w:tabs>
        <w:spacing w:after="0" w:line="360" w:lineRule="auto"/>
        <w:rPr>
          <w:color w:val="FF0000"/>
        </w:rPr>
      </w:pPr>
    </w:p>
    <w:p w14:paraId="52EA8B39" w14:textId="77777777" w:rsidR="00872CA7" w:rsidRPr="00A70F90" w:rsidRDefault="00872CA7" w:rsidP="00614700">
      <w:pPr>
        <w:tabs>
          <w:tab w:val="left" w:pos="8931"/>
        </w:tabs>
        <w:spacing w:after="0" w:line="360" w:lineRule="auto"/>
        <w:rPr>
          <w:color w:val="FF0000"/>
        </w:rPr>
      </w:pPr>
    </w:p>
    <w:p w14:paraId="1A26B87E" w14:textId="0496045F" w:rsidR="005C690F" w:rsidRPr="00A70F90" w:rsidRDefault="007D6307" w:rsidP="00614700">
      <w:pPr>
        <w:tabs>
          <w:tab w:val="left" w:pos="8931"/>
        </w:tabs>
        <w:spacing w:after="0" w:line="360" w:lineRule="auto"/>
        <w:rPr>
          <w:color w:val="auto"/>
        </w:rPr>
      </w:pPr>
      <w:r w:rsidRPr="00A70F90">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5E30CE" w:rsidRPr="00A70F90">
        <w:rPr>
          <w:color w:val="auto"/>
        </w:rPr>
        <w:t xml:space="preserve">fecha </w:t>
      </w:r>
      <w:r w:rsidR="00252535" w:rsidRPr="00A70F90">
        <w:rPr>
          <w:color w:val="auto"/>
        </w:rPr>
        <w:t>diecinueve</w:t>
      </w:r>
      <w:r w:rsidR="005C3645" w:rsidRPr="00A70F90">
        <w:rPr>
          <w:color w:val="auto"/>
        </w:rPr>
        <w:t xml:space="preserve"> de marzo de dos mil veintiséis.</w:t>
      </w:r>
    </w:p>
    <w:p w14:paraId="5A8085AD" w14:textId="77777777" w:rsidR="005C690F" w:rsidRPr="00A70F90" w:rsidRDefault="005C690F" w:rsidP="00614700">
      <w:pPr>
        <w:spacing w:after="0" w:line="360" w:lineRule="auto"/>
        <w:rPr>
          <w:b/>
          <w:color w:val="auto"/>
        </w:rPr>
      </w:pPr>
    </w:p>
    <w:p w14:paraId="0F9517C4" w14:textId="41999423" w:rsidR="005C690F" w:rsidRPr="00A70F90" w:rsidRDefault="007D6307" w:rsidP="00614700">
      <w:pPr>
        <w:spacing w:after="0" w:line="360" w:lineRule="auto"/>
        <w:rPr>
          <w:color w:val="auto"/>
        </w:rPr>
      </w:pPr>
      <w:r w:rsidRPr="00A70F90">
        <w:rPr>
          <w:b/>
          <w:color w:val="auto"/>
        </w:rPr>
        <w:t xml:space="preserve">VISTO </w:t>
      </w:r>
      <w:r w:rsidRPr="00A70F90">
        <w:rPr>
          <w:color w:val="auto"/>
        </w:rPr>
        <w:t xml:space="preserve">el expediente electrónico conformado con motivo del Recurso de Revisión </w:t>
      </w:r>
      <w:r w:rsidR="00252535" w:rsidRPr="00FF57E2">
        <w:rPr>
          <w:b/>
          <w:color w:val="auto"/>
        </w:rPr>
        <w:t>01726</w:t>
      </w:r>
      <w:r w:rsidR="000D392E" w:rsidRPr="00FF57E2">
        <w:rPr>
          <w:b/>
          <w:color w:val="auto"/>
        </w:rPr>
        <w:t>/INFOEM/IP/RR/202</w:t>
      </w:r>
      <w:r w:rsidR="005C3645" w:rsidRPr="00FF57E2">
        <w:rPr>
          <w:b/>
          <w:color w:val="auto"/>
        </w:rPr>
        <w:t>6</w:t>
      </w:r>
      <w:r w:rsidRPr="00A70F90">
        <w:rPr>
          <w:color w:val="auto"/>
        </w:rPr>
        <w:t xml:space="preserve">, interpuesto </w:t>
      </w:r>
      <w:r w:rsidR="008415EA" w:rsidRPr="00A70F90">
        <w:rPr>
          <w:color w:val="auto"/>
        </w:rPr>
        <w:t>por</w:t>
      </w:r>
      <w:r w:rsidR="005C3645" w:rsidRPr="00A70F90">
        <w:rPr>
          <w:color w:val="auto"/>
        </w:rPr>
        <w:t xml:space="preserve"> </w:t>
      </w:r>
      <w:r w:rsidR="002D17BA" w:rsidRPr="002D17BA">
        <w:rPr>
          <w:highlight w:val="black"/>
        </w:rPr>
        <w:t>XXXXXXXXXXX</w:t>
      </w:r>
      <w:r w:rsidR="002D17BA" w:rsidRPr="00A70F90">
        <w:rPr>
          <w:color w:val="auto"/>
        </w:rPr>
        <w:t xml:space="preserve"> </w:t>
      </w:r>
      <w:r w:rsidR="005C3645" w:rsidRPr="00A70F90">
        <w:rPr>
          <w:color w:val="auto"/>
        </w:rPr>
        <w:t xml:space="preserve">en lo sucesivo la </w:t>
      </w:r>
      <w:r w:rsidR="00D906B2" w:rsidRPr="00A70F90">
        <w:rPr>
          <w:color w:val="auto"/>
        </w:rPr>
        <w:t>persona</w:t>
      </w:r>
      <w:r w:rsidRPr="00A70F90">
        <w:rPr>
          <w:color w:val="auto"/>
        </w:rPr>
        <w:t xml:space="preserve"> Recurrente o Particular, en contra de la respuesta del Sujeto Obligado</w:t>
      </w:r>
      <w:r w:rsidR="00705FBB" w:rsidRPr="00A70F90">
        <w:rPr>
          <w:color w:val="auto"/>
        </w:rPr>
        <w:t xml:space="preserve">, </w:t>
      </w:r>
      <w:r w:rsidR="00207ECD" w:rsidRPr="00FF57E2">
        <w:rPr>
          <w:b/>
          <w:color w:val="auto"/>
        </w:rPr>
        <w:t>Ayuntamiento de Calimaya,</w:t>
      </w:r>
      <w:r w:rsidR="00207ECD" w:rsidRPr="00A70F90">
        <w:rPr>
          <w:color w:val="auto"/>
        </w:rPr>
        <w:t xml:space="preserve"> </w:t>
      </w:r>
      <w:r w:rsidRPr="00A70F90">
        <w:rPr>
          <w:color w:val="auto"/>
        </w:rPr>
        <w:t>a la solicitud de acceso a la información pública</w:t>
      </w:r>
      <w:r w:rsidR="00800641" w:rsidRPr="00A70F90">
        <w:rPr>
          <w:color w:val="auto"/>
        </w:rPr>
        <w:t xml:space="preserve"> </w:t>
      </w:r>
      <w:r w:rsidR="00252535" w:rsidRPr="00A70F90">
        <w:rPr>
          <w:color w:val="auto"/>
        </w:rPr>
        <w:t>00598/CALIMAYA/IP/2025</w:t>
      </w:r>
      <w:r w:rsidRPr="00A70F90">
        <w:rPr>
          <w:color w:val="auto"/>
        </w:rPr>
        <w:t>, se emite la presente Resolución, con base en los Antecedentes y Considerandos que se exponen a continuación:</w:t>
      </w:r>
    </w:p>
    <w:p w14:paraId="65BD6C7A" w14:textId="77777777" w:rsidR="005C690F" w:rsidRPr="00A70F90" w:rsidRDefault="005C690F" w:rsidP="00614700">
      <w:pPr>
        <w:spacing w:after="0" w:line="360" w:lineRule="auto"/>
        <w:rPr>
          <w:b/>
          <w:color w:val="auto"/>
        </w:rPr>
      </w:pPr>
    </w:p>
    <w:p w14:paraId="2EF77FF4" w14:textId="77777777" w:rsidR="005C690F" w:rsidRPr="00A70F90" w:rsidRDefault="00CD6238" w:rsidP="00614700">
      <w:pPr>
        <w:pStyle w:val="Ttulo1"/>
        <w:spacing w:before="0" w:after="0" w:line="360" w:lineRule="auto"/>
        <w:jc w:val="center"/>
        <w:rPr>
          <w:color w:val="auto"/>
          <w:sz w:val="22"/>
          <w:szCs w:val="22"/>
        </w:rPr>
      </w:pPr>
      <w:bookmarkStart w:id="0" w:name="_Toc224820164"/>
      <w:r w:rsidRPr="00A70F90">
        <w:rPr>
          <w:color w:val="auto"/>
          <w:sz w:val="22"/>
          <w:szCs w:val="22"/>
        </w:rPr>
        <w:t>A N T E C E D E N T E S</w:t>
      </w:r>
      <w:bookmarkEnd w:id="0"/>
    </w:p>
    <w:p w14:paraId="67F4823D" w14:textId="77777777" w:rsidR="005C690F" w:rsidRPr="00A70F90" w:rsidRDefault="005C690F" w:rsidP="00614700">
      <w:pPr>
        <w:spacing w:after="0" w:line="360" w:lineRule="auto"/>
        <w:jc w:val="center"/>
        <w:rPr>
          <w:b/>
          <w:color w:val="FF0000"/>
        </w:rPr>
      </w:pPr>
    </w:p>
    <w:p w14:paraId="2A354CC2" w14:textId="77777777" w:rsidR="00E22EA8" w:rsidRPr="00A70F90" w:rsidRDefault="009215C2" w:rsidP="00614700">
      <w:pPr>
        <w:pStyle w:val="Ttulo2"/>
        <w:spacing w:before="0" w:after="0" w:line="360" w:lineRule="auto"/>
        <w:rPr>
          <w:color w:val="auto"/>
          <w:sz w:val="22"/>
          <w:szCs w:val="22"/>
          <w:lang w:eastAsia="es-ES"/>
        </w:rPr>
      </w:pPr>
      <w:bookmarkStart w:id="1" w:name="_Toc224820165"/>
      <w:r w:rsidRPr="00A70F90">
        <w:rPr>
          <w:color w:val="auto"/>
          <w:sz w:val="22"/>
          <w:szCs w:val="22"/>
          <w:lang w:eastAsia="es-ES"/>
        </w:rPr>
        <w:t xml:space="preserve">I. </w:t>
      </w:r>
      <w:r w:rsidR="00E22EA8" w:rsidRPr="00A70F90">
        <w:rPr>
          <w:color w:val="auto"/>
          <w:sz w:val="22"/>
          <w:szCs w:val="22"/>
          <w:lang w:eastAsia="es-ES"/>
        </w:rPr>
        <w:t>Presentación de la solicitud de información</w:t>
      </w:r>
      <w:bookmarkEnd w:id="1"/>
    </w:p>
    <w:p w14:paraId="59CE65D9" w14:textId="77777777" w:rsidR="009215C2" w:rsidRPr="00A70F90" w:rsidRDefault="009215C2" w:rsidP="00614700">
      <w:pPr>
        <w:tabs>
          <w:tab w:val="left" w:pos="567"/>
        </w:tabs>
        <w:spacing w:after="0" w:line="360" w:lineRule="auto"/>
        <w:rPr>
          <w:rFonts w:eastAsia="Times New Roman" w:cs="Tahoma"/>
          <w:color w:val="FF0000"/>
          <w:lang w:eastAsia="es-ES"/>
        </w:rPr>
      </w:pPr>
    </w:p>
    <w:p w14:paraId="5E261896" w14:textId="1A6FA253" w:rsidR="00FD7497" w:rsidRPr="00A70F90" w:rsidRDefault="005E30CE" w:rsidP="005C3645">
      <w:pPr>
        <w:spacing w:after="0" w:line="360" w:lineRule="auto"/>
        <w:rPr>
          <w:rFonts w:eastAsia="Times New Roman" w:cs="Tahoma"/>
          <w:color w:val="auto"/>
          <w:lang w:eastAsia="es-ES"/>
        </w:rPr>
      </w:pPr>
      <w:r w:rsidRPr="00A70F90">
        <w:rPr>
          <w:rFonts w:eastAsia="Times New Roman" w:cs="Tahoma"/>
          <w:color w:val="auto"/>
          <w:lang w:eastAsia="es-ES"/>
        </w:rPr>
        <w:t xml:space="preserve">El </w:t>
      </w:r>
      <w:r w:rsidR="00252535" w:rsidRPr="00A70F90">
        <w:rPr>
          <w:rFonts w:eastAsia="Times New Roman" w:cs="Tahoma"/>
          <w:color w:val="auto"/>
          <w:lang w:eastAsia="es-ES"/>
        </w:rPr>
        <w:t xml:space="preserve">diecisiete de diciembre de dos mil veinticinco, </w:t>
      </w:r>
      <w:r w:rsidR="00FD7497" w:rsidRPr="00A70F90">
        <w:rPr>
          <w:rFonts w:eastAsia="Times New Roman" w:cs="Tahoma"/>
          <w:color w:val="auto"/>
          <w:lang w:eastAsia="es-ES"/>
        </w:rPr>
        <w:t>el Particular presentó una solicitud de acceso a la información pública, a través del Sistema de Acceso a la Información Mexiquense (SAIMEX), ante el</w:t>
      </w:r>
      <w:r w:rsidR="00252535" w:rsidRPr="00A70F90">
        <w:rPr>
          <w:rFonts w:eastAsia="Times New Roman" w:cs="Tahoma"/>
          <w:color w:val="auto"/>
          <w:lang w:eastAsia="es-ES"/>
        </w:rPr>
        <w:t xml:space="preserve"> Ayuntamiento de Calimaya</w:t>
      </w:r>
      <w:r w:rsidR="00FD7497" w:rsidRPr="00A70F90">
        <w:rPr>
          <w:rFonts w:eastAsia="Calibri" w:cs="Times New Roman"/>
          <w:color w:val="auto"/>
        </w:rPr>
        <w:t>,</w:t>
      </w:r>
      <w:r w:rsidR="00FD7497" w:rsidRPr="00A70F90">
        <w:rPr>
          <w:rFonts w:eastAsia="Calibri" w:cs="Tahoma"/>
          <w:color w:val="auto"/>
        </w:rPr>
        <w:t xml:space="preserve"> en los siguientes términos: </w:t>
      </w:r>
    </w:p>
    <w:p w14:paraId="768A1BC3" w14:textId="77777777" w:rsidR="00FD7497" w:rsidRPr="00A70F90" w:rsidRDefault="00FD7497" w:rsidP="00614700">
      <w:pPr>
        <w:spacing w:after="0" w:line="360" w:lineRule="auto"/>
        <w:rPr>
          <w:rFonts w:eastAsia="Calibri" w:cs="Tahoma"/>
          <w:color w:val="FF0000"/>
        </w:rPr>
      </w:pPr>
    </w:p>
    <w:p w14:paraId="2B580FE9" w14:textId="77777777" w:rsidR="00FD7497" w:rsidRPr="00A70F90" w:rsidRDefault="00FD7497" w:rsidP="00614700">
      <w:pPr>
        <w:tabs>
          <w:tab w:val="left" w:pos="4667"/>
        </w:tabs>
        <w:spacing w:after="0" w:line="360" w:lineRule="auto"/>
        <w:ind w:left="567" w:right="567"/>
        <w:rPr>
          <w:rFonts w:eastAsia="Times New Roman" w:cs="Tahoma"/>
          <w:b/>
          <w:i/>
          <w:iCs/>
          <w:color w:val="auto"/>
          <w:sz w:val="20"/>
          <w:szCs w:val="20"/>
          <w:lang w:eastAsia="es-ES"/>
        </w:rPr>
      </w:pPr>
      <w:r w:rsidRPr="00A70F90">
        <w:rPr>
          <w:rFonts w:eastAsia="Times New Roman" w:cs="Tahoma"/>
          <w:b/>
          <w:i/>
          <w:iCs/>
          <w:color w:val="auto"/>
          <w:sz w:val="20"/>
          <w:szCs w:val="20"/>
          <w:lang w:eastAsia="es-ES"/>
        </w:rPr>
        <w:t>“DESCRIPCIÓN CLARA Y PRECISA DE LA INFORMACIÓN SOLICITADA</w:t>
      </w:r>
    </w:p>
    <w:p w14:paraId="6C673216" w14:textId="2E92E3D9" w:rsidR="00FD7497" w:rsidRPr="00A70F90" w:rsidRDefault="00252535" w:rsidP="00614700">
      <w:pPr>
        <w:tabs>
          <w:tab w:val="left" w:pos="4667"/>
        </w:tabs>
        <w:spacing w:after="0" w:line="360" w:lineRule="auto"/>
        <w:ind w:left="567" w:right="567"/>
        <w:rPr>
          <w:i/>
          <w:iCs/>
          <w:color w:val="auto"/>
          <w:sz w:val="20"/>
          <w:szCs w:val="20"/>
        </w:rPr>
      </w:pPr>
      <w:r w:rsidRPr="00A70F90">
        <w:rPr>
          <w:i/>
          <w:iCs/>
          <w:color w:val="auto"/>
          <w:sz w:val="20"/>
          <w:szCs w:val="20"/>
        </w:rPr>
        <w:t>La información pública del gasto de las 1,155 luminarias que se les dio mantenimiento en Calimaya y en que zonas fueron cambiadas.</w:t>
      </w:r>
      <w:r w:rsidR="00FD7497" w:rsidRPr="00A70F90">
        <w:rPr>
          <w:i/>
          <w:iCs/>
          <w:color w:val="auto"/>
          <w:sz w:val="20"/>
          <w:szCs w:val="20"/>
        </w:rPr>
        <w:t>”(Sic.)</w:t>
      </w:r>
    </w:p>
    <w:p w14:paraId="748BE141" w14:textId="77777777" w:rsidR="00614700" w:rsidRPr="00A70F90" w:rsidRDefault="00614700" w:rsidP="00614700">
      <w:pPr>
        <w:tabs>
          <w:tab w:val="left" w:pos="4667"/>
        </w:tabs>
        <w:spacing w:after="0" w:line="360" w:lineRule="auto"/>
        <w:ind w:left="567" w:right="567"/>
        <w:rPr>
          <w:rFonts w:eastAsia="Times New Roman" w:cs="Tahoma"/>
          <w:b/>
          <w:bCs/>
          <w:i/>
          <w:iCs/>
          <w:color w:val="auto"/>
          <w:sz w:val="20"/>
          <w:lang w:eastAsia="es-ES"/>
        </w:rPr>
      </w:pPr>
    </w:p>
    <w:p w14:paraId="354D622A" w14:textId="77777777" w:rsidR="00454A64" w:rsidRPr="00A70F90" w:rsidRDefault="00FD7497" w:rsidP="00614700">
      <w:pPr>
        <w:tabs>
          <w:tab w:val="left" w:pos="4667"/>
        </w:tabs>
        <w:spacing w:after="0" w:line="360" w:lineRule="auto"/>
        <w:ind w:left="567" w:right="567"/>
        <w:rPr>
          <w:rFonts w:eastAsia="Times New Roman" w:cs="Tahoma"/>
          <w:b/>
          <w:bCs/>
          <w:i/>
          <w:iCs/>
          <w:color w:val="auto"/>
          <w:sz w:val="20"/>
          <w:lang w:eastAsia="es-ES"/>
        </w:rPr>
      </w:pPr>
      <w:r w:rsidRPr="00A70F90">
        <w:rPr>
          <w:rFonts w:eastAsia="Times New Roman" w:cs="Tahoma"/>
          <w:b/>
          <w:bCs/>
          <w:i/>
          <w:iCs/>
          <w:color w:val="auto"/>
          <w:sz w:val="20"/>
          <w:lang w:eastAsia="es-ES"/>
        </w:rPr>
        <w:t>“MODALIDAD DE ENTREGA</w:t>
      </w:r>
    </w:p>
    <w:p w14:paraId="74BBC04B" w14:textId="77777777" w:rsidR="00FD7497" w:rsidRPr="00A70F90" w:rsidRDefault="00FD7497" w:rsidP="00614700">
      <w:pPr>
        <w:tabs>
          <w:tab w:val="left" w:pos="4667"/>
        </w:tabs>
        <w:spacing w:after="0" w:line="360" w:lineRule="auto"/>
        <w:ind w:left="567" w:right="567"/>
        <w:rPr>
          <w:rFonts w:eastAsia="Times New Roman" w:cs="Tahoma"/>
          <w:b/>
          <w:bCs/>
          <w:i/>
          <w:iCs/>
          <w:color w:val="auto"/>
          <w:sz w:val="20"/>
          <w:lang w:eastAsia="es-ES"/>
        </w:rPr>
      </w:pPr>
      <w:r w:rsidRPr="00A70F90">
        <w:rPr>
          <w:rFonts w:eastAsia="Times New Roman" w:cs="Arial"/>
          <w:bCs/>
          <w:i/>
          <w:iCs/>
          <w:color w:val="auto"/>
          <w:sz w:val="20"/>
          <w:lang w:eastAsia="es-ES"/>
        </w:rPr>
        <w:t>A través del SAIMEX”</w:t>
      </w:r>
    </w:p>
    <w:p w14:paraId="61513158" w14:textId="77777777" w:rsidR="00252535" w:rsidRPr="00A70F90" w:rsidRDefault="00252535" w:rsidP="00252535">
      <w:pPr>
        <w:spacing w:after="0" w:line="360" w:lineRule="auto"/>
        <w:rPr>
          <w:rFonts w:eastAsia="Times New Roman" w:cs="Tahoma"/>
          <w:b/>
          <w:color w:val="auto"/>
          <w:lang w:eastAsia="es-ES"/>
        </w:rPr>
      </w:pPr>
    </w:p>
    <w:p w14:paraId="2B47FED2" w14:textId="77777777" w:rsidR="00252535" w:rsidRPr="00A70F90" w:rsidRDefault="00252535" w:rsidP="00252535">
      <w:pPr>
        <w:spacing w:after="0" w:line="360" w:lineRule="auto"/>
        <w:rPr>
          <w:rFonts w:eastAsia="Times New Roman" w:cs="Tahoma"/>
          <w:b/>
          <w:color w:val="auto"/>
          <w:lang w:eastAsia="es-ES"/>
        </w:rPr>
      </w:pPr>
      <w:r w:rsidRPr="00A70F90">
        <w:rPr>
          <w:rFonts w:eastAsia="Times New Roman" w:cs="Tahoma"/>
          <w:b/>
          <w:color w:val="auto"/>
          <w:lang w:eastAsia="es-ES"/>
        </w:rPr>
        <w:t>II. Prórroga para atender la solicitud de información</w:t>
      </w:r>
    </w:p>
    <w:p w14:paraId="04078600" w14:textId="77777777" w:rsidR="00252535" w:rsidRPr="00A70F90" w:rsidRDefault="00252535" w:rsidP="00252535">
      <w:pPr>
        <w:spacing w:after="0" w:line="360" w:lineRule="auto"/>
        <w:rPr>
          <w:rFonts w:eastAsia="Times New Roman" w:cs="Tahoma"/>
          <w:color w:val="auto"/>
          <w:lang w:eastAsia="es-ES"/>
        </w:rPr>
      </w:pPr>
    </w:p>
    <w:p w14:paraId="61CCF1AF" w14:textId="3890AE08" w:rsidR="000E499B" w:rsidRPr="00A70F90" w:rsidRDefault="00252535" w:rsidP="00252535">
      <w:pPr>
        <w:spacing w:after="0" w:line="360" w:lineRule="auto"/>
        <w:rPr>
          <w:rFonts w:eastAsia="Times New Roman" w:cs="Tahoma"/>
          <w:color w:val="auto"/>
          <w:lang w:eastAsia="es-ES"/>
        </w:rPr>
      </w:pPr>
      <w:r w:rsidRPr="00A70F90">
        <w:rPr>
          <w:rFonts w:eastAsia="Times New Roman" w:cs="Tahoma"/>
          <w:color w:val="auto"/>
          <w:lang w:eastAsia="es-ES"/>
        </w:rPr>
        <w:t>Con fecha veintiocho de enero de dos mil veintiséis, el Sujeto Obligado, a través el Sistema de Acceso a la Información Mexiquense (SAIMEX), notificó una prórroga, mediante la cual aprueba la ampliación de término para atender la solicitud de información, así mismo, adjunto el Acta de la Décima Sexta Sesión Extraordinaria del Comité de Transparencia del Ayuntamiento de Calimaya mediante la cual se aprobó la ampliación de plazo para dar respuesta al Recurso de Revisión que nos ocupa.</w:t>
      </w:r>
    </w:p>
    <w:p w14:paraId="02DEDF34" w14:textId="77777777" w:rsidR="00252535" w:rsidRPr="00A70F90" w:rsidRDefault="00252535" w:rsidP="00252535">
      <w:pPr>
        <w:spacing w:after="0" w:line="360" w:lineRule="auto"/>
        <w:rPr>
          <w:rFonts w:eastAsia="Times New Roman" w:cs="Tahoma"/>
          <w:color w:val="FF0000"/>
          <w:lang w:eastAsia="es-ES"/>
        </w:rPr>
      </w:pPr>
    </w:p>
    <w:p w14:paraId="2E59535B" w14:textId="77777777" w:rsidR="00252535" w:rsidRPr="00A70F90" w:rsidRDefault="00252535" w:rsidP="00252535">
      <w:pPr>
        <w:spacing w:after="0" w:line="360" w:lineRule="auto"/>
        <w:rPr>
          <w:rFonts w:eastAsia="Times New Roman" w:cs="Tahoma"/>
          <w:color w:val="FF0000"/>
          <w:lang w:eastAsia="es-ES"/>
        </w:rPr>
      </w:pPr>
    </w:p>
    <w:p w14:paraId="0E60AAE8" w14:textId="10395E6A" w:rsidR="00E22EA8" w:rsidRPr="00A70F90" w:rsidRDefault="000B3C56" w:rsidP="00614700">
      <w:pPr>
        <w:pStyle w:val="Ttulo2"/>
        <w:spacing w:before="0" w:after="0" w:line="360" w:lineRule="auto"/>
        <w:rPr>
          <w:color w:val="auto"/>
          <w:sz w:val="22"/>
          <w:szCs w:val="22"/>
        </w:rPr>
      </w:pPr>
      <w:bookmarkStart w:id="2" w:name="_Toc224820166"/>
      <w:r w:rsidRPr="00A70F90">
        <w:rPr>
          <w:rFonts w:cs="Tahoma"/>
          <w:color w:val="auto"/>
          <w:sz w:val="22"/>
          <w:szCs w:val="22"/>
        </w:rPr>
        <w:t>I</w:t>
      </w:r>
      <w:r w:rsidR="00252535" w:rsidRPr="00A70F90">
        <w:rPr>
          <w:rFonts w:cs="Tahoma"/>
          <w:color w:val="auto"/>
          <w:sz w:val="22"/>
          <w:szCs w:val="22"/>
        </w:rPr>
        <w:t>I</w:t>
      </w:r>
      <w:r w:rsidR="002207FA" w:rsidRPr="00A70F90">
        <w:rPr>
          <w:rFonts w:cs="Tahoma"/>
          <w:color w:val="auto"/>
          <w:sz w:val="22"/>
          <w:szCs w:val="22"/>
        </w:rPr>
        <w:t>I</w:t>
      </w:r>
      <w:r w:rsidR="00E22EA8" w:rsidRPr="00A70F90">
        <w:rPr>
          <w:rFonts w:cs="Tahoma"/>
          <w:color w:val="auto"/>
          <w:sz w:val="22"/>
          <w:szCs w:val="22"/>
        </w:rPr>
        <w:t>.</w:t>
      </w:r>
      <w:r w:rsidR="00E22EA8" w:rsidRPr="00A70F90">
        <w:rPr>
          <w:color w:val="auto"/>
          <w:sz w:val="22"/>
          <w:szCs w:val="22"/>
        </w:rPr>
        <w:t xml:space="preserve"> Respuesta del Sujeto Obligado</w:t>
      </w:r>
      <w:bookmarkEnd w:id="2"/>
    </w:p>
    <w:p w14:paraId="2D894213" w14:textId="77777777" w:rsidR="00C06004" w:rsidRPr="00A70F90" w:rsidRDefault="00C06004" w:rsidP="00614700">
      <w:pPr>
        <w:autoSpaceDE w:val="0"/>
        <w:autoSpaceDN w:val="0"/>
        <w:adjustRightInd w:val="0"/>
        <w:spacing w:after="0" w:line="360" w:lineRule="auto"/>
        <w:rPr>
          <w:b/>
          <w:bCs/>
          <w:color w:val="FF0000"/>
        </w:rPr>
      </w:pPr>
    </w:p>
    <w:p w14:paraId="57E5D758" w14:textId="1D6669D6" w:rsidR="006F3749" w:rsidRPr="00A70F90" w:rsidRDefault="00EB386A" w:rsidP="00614700">
      <w:pPr>
        <w:spacing w:after="0" w:line="360" w:lineRule="auto"/>
        <w:rPr>
          <w:color w:val="auto"/>
        </w:rPr>
      </w:pPr>
      <w:r w:rsidRPr="00A70F90">
        <w:rPr>
          <w:color w:val="auto"/>
        </w:rPr>
        <w:t>El</w:t>
      </w:r>
      <w:r w:rsidR="006F3749" w:rsidRPr="00A70F90">
        <w:rPr>
          <w:color w:val="auto"/>
        </w:rPr>
        <w:t xml:space="preserve"> seis</w:t>
      </w:r>
      <w:r w:rsidR="005C3645" w:rsidRPr="00A70F90">
        <w:rPr>
          <w:color w:val="auto"/>
        </w:rPr>
        <w:t xml:space="preserve"> de febrero de dos mil veintiséis</w:t>
      </w:r>
      <w:r w:rsidR="00E22EA8" w:rsidRPr="00A70F90">
        <w:rPr>
          <w:color w:val="auto"/>
        </w:rPr>
        <w:t xml:space="preserve">, el Sujeto Obligado notificó, a través del Sistema de Acceso a la Información Mexiquense (SAIMEX), la respuesta a la solicitud de acceso a la información </w:t>
      </w:r>
      <w:r w:rsidR="008711BD" w:rsidRPr="00A70F90">
        <w:rPr>
          <w:color w:val="auto"/>
        </w:rPr>
        <w:t xml:space="preserve">pública, a través </w:t>
      </w:r>
      <w:r w:rsidR="006F3749" w:rsidRPr="00A70F90">
        <w:rPr>
          <w:color w:val="auto"/>
        </w:rPr>
        <w:t>de la digitalización de los siguientes documentos:</w:t>
      </w:r>
    </w:p>
    <w:p w14:paraId="7CF6F1C8" w14:textId="77777777" w:rsidR="006F3749" w:rsidRPr="00A70F90" w:rsidRDefault="006F3749" w:rsidP="00614700">
      <w:pPr>
        <w:spacing w:after="0" w:line="360" w:lineRule="auto"/>
        <w:rPr>
          <w:color w:val="auto"/>
        </w:rPr>
      </w:pPr>
    </w:p>
    <w:p w14:paraId="237B2C43" w14:textId="17D90232" w:rsidR="00221433" w:rsidRPr="00A70F90" w:rsidRDefault="00221433" w:rsidP="00614700">
      <w:pPr>
        <w:spacing w:after="0" w:line="360" w:lineRule="auto"/>
        <w:rPr>
          <w:color w:val="auto"/>
        </w:rPr>
      </w:pPr>
      <w:r w:rsidRPr="00A70F90">
        <w:rPr>
          <w:color w:val="auto"/>
        </w:rPr>
        <w:t>I) Oficio PMC/DA/021/2026 del dieciséis de enero de dos mil veintiséis, suscrito por el Director de Administración, dirigido a la Titular de la Unidad de Transparencia, por medio del cual se menciona lo siguiente:</w:t>
      </w:r>
    </w:p>
    <w:p w14:paraId="7B35F59A" w14:textId="77777777" w:rsidR="00221433" w:rsidRPr="00A70F90" w:rsidRDefault="00221433" w:rsidP="00614700">
      <w:pPr>
        <w:spacing w:after="0" w:line="360" w:lineRule="auto"/>
        <w:rPr>
          <w:color w:val="auto"/>
        </w:rPr>
      </w:pPr>
    </w:p>
    <w:p w14:paraId="601C130C" w14:textId="2091B83B" w:rsidR="00221433" w:rsidRPr="00A70F90" w:rsidRDefault="00137D26" w:rsidP="00137D26">
      <w:pPr>
        <w:tabs>
          <w:tab w:val="left" w:pos="4667"/>
        </w:tabs>
        <w:spacing w:after="0" w:line="360" w:lineRule="auto"/>
        <w:ind w:left="567" w:right="567"/>
        <w:rPr>
          <w:i/>
          <w:iCs/>
          <w:color w:val="auto"/>
          <w:sz w:val="20"/>
          <w:szCs w:val="20"/>
        </w:rPr>
      </w:pPr>
      <w:r w:rsidRPr="00A70F90">
        <w:rPr>
          <w:i/>
          <w:iCs/>
          <w:color w:val="auto"/>
          <w:sz w:val="20"/>
          <w:szCs w:val="20"/>
        </w:rPr>
        <w:t>“…Le informo que, haciendo una búsqueda exhaustiva en los archivos de la Dirección de Administración, al momento de la solicitud NO se cuenta con información pública del gasto de las 1,155 luminarias que se les dio mantenimiento en Calimaya y en que zonas fueron cambiadas…” (Sic)</w:t>
      </w:r>
    </w:p>
    <w:p w14:paraId="6F7EF98E" w14:textId="77777777" w:rsidR="00137D26" w:rsidRPr="00A70F90" w:rsidRDefault="00137D26" w:rsidP="00614700">
      <w:pPr>
        <w:spacing w:after="0" w:line="360" w:lineRule="auto"/>
        <w:rPr>
          <w:color w:val="auto"/>
        </w:rPr>
      </w:pPr>
    </w:p>
    <w:p w14:paraId="6C4D74B3" w14:textId="0EEC2882" w:rsidR="006F3749" w:rsidRPr="00A70F90" w:rsidRDefault="00B14D64" w:rsidP="00614700">
      <w:pPr>
        <w:spacing w:after="0" w:line="360" w:lineRule="auto"/>
      </w:pPr>
      <w:r w:rsidRPr="00A70F90">
        <w:rPr>
          <w:color w:val="auto"/>
        </w:rPr>
        <w:t xml:space="preserve">II) Oficio </w:t>
      </w:r>
      <w:r w:rsidRPr="00A70F90">
        <w:t>PMC/SP/035/2026 del veinte de enero de dos mil veintiséis suscrito por el Director de Servicios Públicos, dirigido a la Titular de la Unidad de Transparencia, por medio del cual se menciona lo siguiente:</w:t>
      </w:r>
    </w:p>
    <w:p w14:paraId="25216EC1" w14:textId="03605A3B" w:rsidR="00B14D64" w:rsidRPr="00A70F90" w:rsidRDefault="00B14D64" w:rsidP="00B14D64">
      <w:pPr>
        <w:tabs>
          <w:tab w:val="left" w:pos="4667"/>
        </w:tabs>
        <w:spacing w:after="0" w:line="360" w:lineRule="auto"/>
        <w:ind w:left="567" w:right="567"/>
        <w:rPr>
          <w:i/>
          <w:iCs/>
          <w:color w:val="auto"/>
          <w:sz w:val="20"/>
          <w:szCs w:val="20"/>
        </w:rPr>
      </w:pPr>
      <w:r w:rsidRPr="00A70F90">
        <w:rPr>
          <w:i/>
          <w:iCs/>
          <w:color w:val="auto"/>
          <w:sz w:val="20"/>
          <w:szCs w:val="20"/>
        </w:rPr>
        <w:lastRenderedPageBreak/>
        <w:t xml:space="preserve">“…Con respecto a la </w:t>
      </w:r>
      <w:proofErr w:type="gramStart"/>
      <w:r w:rsidRPr="00A70F90">
        <w:rPr>
          <w:i/>
          <w:iCs/>
          <w:color w:val="auto"/>
          <w:sz w:val="20"/>
          <w:szCs w:val="20"/>
        </w:rPr>
        <w:t>solicitud  en</w:t>
      </w:r>
      <w:proofErr w:type="gramEnd"/>
      <w:r w:rsidRPr="00A70F90">
        <w:rPr>
          <w:i/>
          <w:iCs/>
          <w:color w:val="auto"/>
          <w:sz w:val="20"/>
          <w:szCs w:val="20"/>
        </w:rPr>
        <w:t xml:space="preserve"> comento informo respetuosamente que no hubo gasto para el mantenimiento de las 1,155 luminarias, toda vez que en ese momento la Dirección de Servicios Públicos contaba con el material necesario: así mismo se anexa el reporte de dicho mantenimiento…” (Sic)</w:t>
      </w:r>
    </w:p>
    <w:p w14:paraId="14DAB369" w14:textId="77777777" w:rsidR="00B14D64" w:rsidRPr="00A70F90" w:rsidRDefault="00B14D64" w:rsidP="00614700">
      <w:pPr>
        <w:spacing w:after="0" w:line="360" w:lineRule="auto"/>
        <w:rPr>
          <w:color w:val="auto"/>
        </w:rPr>
      </w:pPr>
    </w:p>
    <w:p w14:paraId="4DF336B2" w14:textId="48215B97" w:rsidR="00D01474" w:rsidRPr="00A70F90" w:rsidRDefault="00D01474" w:rsidP="00614700">
      <w:pPr>
        <w:spacing w:after="0" w:line="360" w:lineRule="auto"/>
        <w:rPr>
          <w:color w:val="auto"/>
        </w:rPr>
      </w:pPr>
      <w:r w:rsidRPr="00A70F90">
        <w:rPr>
          <w:color w:val="auto"/>
        </w:rPr>
        <w:t>III) Reporte Interno de Mantenimiento de Luminarias de Alumbrado Público.</w:t>
      </w:r>
    </w:p>
    <w:p w14:paraId="42C39622" w14:textId="77777777" w:rsidR="00D01474" w:rsidRPr="00A70F90" w:rsidRDefault="00D01474" w:rsidP="00614700">
      <w:pPr>
        <w:spacing w:after="0" w:line="360" w:lineRule="auto"/>
        <w:rPr>
          <w:color w:val="auto"/>
        </w:rPr>
      </w:pPr>
    </w:p>
    <w:p w14:paraId="64636DDE" w14:textId="493309D8" w:rsidR="00D01474" w:rsidRPr="00A70F90" w:rsidRDefault="00D01474" w:rsidP="00614700">
      <w:pPr>
        <w:spacing w:after="0" w:line="360" w:lineRule="auto"/>
      </w:pPr>
      <w:r w:rsidRPr="00A70F90">
        <w:rPr>
          <w:color w:val="auto"/>
        </w:rPr>
        <w:t xml:space="preserve">IV) Oficio </w:t>
      </w:r>
      <w:r w:rsidRPr="00A70F90">
        <w:t>PMC/TM/032/2026 del veintiséis de enero de dos mil veintiséis, suscrito por el Tesorero Municipal, dirigido a la Titular de la Unidad de Transparencia, por medio del cual se menciona lo siguiente:</w:t>
      </w:r>
    </w:p>
    <w:p w14:paraId="57046715" w14:textId="77777777" w:rsidR="00D01474" w:rsidRPr="00A70F90" w:rsidRDefault="00D01474" w:rsidP="00614700">
      <w:pPr>
        <w:spacing w:after="0" w:line="360" w:lineRule="auto"/>
      </w:pPr>
    </w:p>
    <w:p w14:paraId="460D8AB8" w14:textId="39AC1878" w:rsidR="00D01474" w:rsidRPr="00A70F90" w:rsidRDefault="00D01474" w:rsidP="00D01474">
      <w:pPr>
        <w:tabs>
          <w:tab w:val="left" w:pos="4667"/>
        </w:tabs>
        <w:spacing w:after="0" w:line="360" w:lineRule="auto"/>
        <w:ind w:left="567" w:right="567"/>
        <w:rPr>
          <w:i/>
          <w:iCs/>
          <w:color w:val="auto"/>
          <w:sz w:val="20"/>
          <w:szCs w:val="20"/>
        </w:rPr>
      </w:pPr>
      <w:r w:rsidRPr="00A70F90">
        <w:rPr>
          <w:i/>
          <w:iCs/>
          <w:color w:val="auto"/>
          <w:sz w:val="20"/>
          <w:szCs w:val="20"/>
        </w:rPr>
        <w:t>“…a la fecha de respuesta de esta solicitud de información, después de una revisión exhaustiva en los documentos físicos y contables no se encontró información alguna referente a esta solicitud de información…” (Sic)</w:t>
      </w:r>
    </w:p>
    <w:p w14:paraId="187D0A0F" w14:textId="77777777" w:rsidR="005E30CE" w:rsidRPr="00A70F90" w:rsidRDefault="005E30CE" w:rsidP="00956DE7">
      <w:pPr>
        <w:spacing w:after="0" w:line="360" w:lineRule="auto"/>
        <w:rPr>
          <w:i/>
          <w:color w:val="auto"/>
          <w:sz w:val="20"/>
        </w:rPr>
      </w:pPr>
      <w:bookmarkStart w:id="3" w:name="_Hlk223528738"/>
    </w:p>
    <w:p w14:paraId="0FF7B2E6" w14:textId="66E0E76F" w:rsidR="00E22EA8" w:rsidRPr="00A70F90" w:rsidRDefault="00956DE7" w:rsidP="00614700">
      <w:pPr>
        <w:pStyle w:val="Ttulo2"/>
        <w:spacing w:before="0" w:after="0" w:line="360" w:lineRule="auto"/>
        <w:rPr>
          <w:color w:val="auto"/>
          <w:sz w:val="22"/>
          <w:szCs w:val="22"/>
        </w:rPr>
      </w:pPr>
      <w:bookmarkStart w:id="4" w:name="_Toc224820167"/>
      <w:r w:rsidRPr="00A70F90">
        <w:rPr>
          <w:color w:val="auto"/>
          <w:sz w:val="22"/>
          <w:szCs w:val="22"/>
        </w:rPr>
        <w:t>IV</w:t>
      </w:r>
      <w:r w:rsidR="00E22EA8" w:rsidRPr="00A70F90">
        <w:rPr>
          <w:color w:val="auto"/>
          <w:sz w:val="22"/>
          <w:szCs w:val="22"/>
        </w:rPr>
        <w:t>. Interposición del Recurso de Revisión</w:t>
      </w:r>
      <w:bookmarkEnd w:id="4"/>
    </w:p>
    <w:p w14:paraId="2C96E60A" w14:textId="77777777" w:rsidR="00E22EA8" w:rsidRPr="00A70F90" w:rsidRDefault="00E22EA8" w:rsidP="00614700">
      <w:pPr>
        <w:spacing w:after="0" w:line="360" w:lineRule="auto"/>
        <w:rPr>
          <w:b/>
          <w:color w:val="FF0000"/>
        </w:rPr>
      </w:pPr>
    </w:p>
    <w:p w14:paraId="3403E839" w14:textId="51E6ACFE" w:rsidR="009C5A71" w:rsidRPr="00A70F90" w:rsidRDefault="00083169" w:rsidP="00614700">
      <w:pPr>
        <w:spacing w:after="0" w:line="360" w:lineRule="auto"/>
        <w:rPr>
          <w:bCs/>
          <w:color w:val="auto"/>
        </w:rPr>
      </w:pPr>
      <w:r w:rsidRPr="00A70F90">
        <w:rPr>
          <w:bCs/>
          <w:color w:val="auto"/>
        </w:rPr>
        <w:t>El</w:t>
      </w:r>
      <w:r w:rsidR="00033712" w:rsidRPr="00A70F90">
        <w:rPr>
          <w:bCs/>
          <w:color w:val="auto"/>
        </w:rPr>
        <w:t xml:space="preserve"> </w:t>
      </w:r>
      <w:r w:rsidR="00956DE7" w:rsidRPr="00A70F90">
        <w:rPr>
          <w:bCs/>
          <w:color w:val="auto"/>
        </w:rPr>
        <w:t xml:space="preserve">once de febrero e dos mil veintiséis, </w:t>
      </w:r>
      <w:r w:rsidR="00E22EA8" w:rsidRPr="00A70F90">
        <w:rPr>
          <w:bCs/>
          <w:color w:val="auto"/>
        </w:rPr>
        <w:t xml:space="preserve">se recibió en este Instituto, a través del </w:t>
      </w:r>
      <w:r w:rsidR="00E22EA8" w:rsidRPr="00A70F90">
        <w:rPr>
          <w:bCs/>
          <w:color w:val="auto"/>
          <w:lang w:val="es-ES"/>
        </w:rPr>
        <w:t>Sistema de Acceso a la Información Mexiquense (SAIMEX)</w:t>
      </w:r>
      <w:r w:rsidR="00E22EA8" w:rsidRPr="00A70F90">
        <w:rPr>
          <w:bCs/>
          <w:color w:val="auto"/>
        </w:rPr>
        <w:t xml:space="preserve">, </w:t>
      </w:r>
      <w:r w:rsidR="009019A8" w:rsidRPr="00A70F90">
        <w:rPr>
          <w:bCs/>
          <w:color w:val="auto"/>
        </w:rPr>
        <w:t xml:space="preserve">el </w:t>
      </w:r>
      <w:r w:rsidR="00E22EA8" w:rsidRPr="00A70F90">
        <w:rPr>
          <w:bCs/>
          <w:color w:val="auto"/>
        </w:rPr>
        <w:t>Recurso de Revisión interpuesto por la p</w:t>
      </w:r>
      <w:r w:rsidRPr="00A70F90">
        <w:rPr>
          <w:bCs/>
          <w:color w:val="auto"/>
        </w:rPr>
        <w:t>ersona</w:t>
      </w:r>
      <w:r w:rsidR="00E22EA8" w:rsidRPr="00A70F90">
        <w:rPr>
          <w:bCs/>
          <w:color w:val="auto"/>
        </w:rPr>
        <w:t xml:space="preserve"> Recurrente, en contra de la respuesta por el Sujeto Obligado, a la solicitud de información</w:t>
      </w:r>
      <w:r w:rsidR="00F43789" w:rsidRPr="00A70F90">
        <w:rPr>
          <w:rFonts w:eastAsia="Calibri" w:cs="Times New Roman"/>
          <w:color w:val="auto"/>
        </w:rPr>
        <w:t xml:space="preserve">, </w:t>
      </w:r>
      <w:r w:rsidR="00E22EA8" w:rsidRPr="00A70F90">
        <w:rPr>
          <w:bCs/>
          <w:color w:val="auto"/>
        </w:rPr>
        <w:t>en los siguientes términos:</w:t>
      </w:r>
    </w:p>
    <w:p w14:paraId="14F09D57" w14:textId="77777777" w:rsidR="008E5E71" w:rsidRPr="00A70F90" w:rsidRDefault="008E5E71" w:rsidP="00614700">
      <w:pPr>
        <w:spacing w:after="0" w:line="360" w:lineRule="auto"/>
        <w:ind w:left="567" w:right="567"/>
        <w:rPr>
          <w:b/>
          <w:bCs/>
          <w:i/>
          <w:color w:val="FF0000"/>
          <w:sz w:val="20"/>
          <w:szCs w:val="20"/>
        </w:rPr>
      </w:pPr>
    </w:p>
    <w:p w14:paraId="6DD0C2C8" w14:textId="77777777" w:rsidR="00E22EA8" w:rsidRPr="00A70F90" w:rsidRDefault="00E12804" w:rsidP="00614700">
      <w:pPr>
        <w:spacing w:after="0" w:line="360" w:lineRule="auto"/>
        <w:ind w:left="567" w:right="567"/>
        <w:rPr>
          <w:bCs/>
          <w:i/>
          <w:color w:val="auto"/>
          <w:sz w:val="20"/>
          <w:szCs w:val="20"/>
        </w:rPr>
      </w:pPr>
      <w:r w:rsidRPr="00A70F90">
        <w:rPr>
          <w:b/>
          <w:bCs/>
          <w:i/>
          <w:color w:val="auto"/>
          <w:sz w:val="20"/>
          <w:szCs w:val="20"/>
        </w:rPr>
        <w:t>‘’</w:t>
      </w:r>
      <w:r w:rsidR="00E22EA8" w:rsidRPr="00A70F90">
        <w:rPr>
          <w:b/>
          <w:bCs/>
          <w:i/>
          <w:color w:val="auto"/>
          <w:sz w:val="20"/>
          <w:szCs w:val="20"/>
        </w:rPr>
        <w:t>ACTO IMPUGNADO</w:t>
      </w:r>
    </w:p>
    <w:p w14:paraId="7CCD6AFD" w14:textId="05C0F193" w:rsidR="00E22EA8" w:rsidRPr="00A70F90" w:rsidRDefault="00956DE7" w:rsidP="00614700">
      <w:pPr>
        <w:spacing w:after="0" w:line="360" w:lineRule="auto"/>
        <w:ind w:left="567" w:right="567"/>
        <w:rPr>
          <w:i/>
          <w:iCs/>
          <w:color w:val="auto"/>
          <w:sz w:val="20"/>
          <w:szCs w:val="20"/>
        </w:rPr>
      </w:pPr>
      <w:r w:rsidRPr="00A70F90">
        <w:rPr>
          <w:i/>
          <w:iCs/>
          <w:color w:val="auto"/>
          <w:sz w:val="20"/>
          <w:szCs w:val="20"/>
        </w:rPr>
        <w:t>La información pública solicitada 00598/CALIMAYA/IP/2025</w:t>
      </w:r>
      <w:r w:rsidR="00E22EA8" w:rsidRPr="00A70F90">
        <w:rPr>
          <w:i/>
          <w:iCs/>
          <w:color w:val="auto"/>
          <w:sz w:val="20"/>
          <w:szCs w:val="20"/>
        </w:rPr>
        <w:t>”</w:t>
      </w:r>
      <w:r w:rsidR="002D6CA6" w:rsidRPr="00A70F90">
        <w:rPr>
          <w:i/>
          <w:iCs/>
          <w:color w:val="auto"/>
          <w:sz w:val="20"/>
          <w:szCs w:val="20"/>
        </w:rPr>
        <w:t xml:space="preserve"> (Sic.)</w:t>
      </w:r>
    </w:p>
    <w:p w14:paraId="6F8E6152" w14:textId="77777777" w:rsidR="00E22EA8" w:rsidRPr="00A70F90" w:rsidRDefault="00E22EA8" w:rsidP="00614700">
      <w:pPr>
        <w:spacing w:after="0" w:line="360" w:lineRule="auto"/>
        <w:ind w:left="567" w:right="567"/>
        <w:rPr>
          <w:i/>
          <w:color w:val="FF0000"/>
          <w:sz w:val="20"/>
          <w:szCs w:val="20"/>
        </w:rPr>
      </w:pPr>
    </w:p>
    <w:p w14:paraId="443878E8" w14:textId="77777777" w:rsidR="00E22EA8" w:rsidRPr="00A70F90" w:rsidRDefault="00E12804" w:rsidP="00614700">
      <w:pPr>
        <w:spacing w:after="0" w:line="360" w:lineRule="auto"/>
        <w:ind w:left="567" w:right="567"/>
        <w:rPr>
          <w:b/>
          <w:i/>
          <w:color w:val="auto"/>
          <w:sz w:val="20"/>
          <w:szCs w:val="20"/>
        </w:rPr>
      </w:pPr>
      <w:r w:rsidRPr="00A70F90">
        <w:rPr>
          <w:b/>
          <w:i/>
          <w:color w:val="auto"/>
          <w:sz w:val="20"/>
          <w:szCs w:val="20"/>
        </w:rPr>
        <w:t>‘’</w:t>
      </w:r>
      <w:r w:rsidR="00E22EA8" w:rsidRPr="00A70F90">
        <w:rPr>
          <w:b/>
          <w:i/>
          <w:color w:val="auto"/>
          <w:sz w:val="20"/>
          <w:szCs w:val="20"/>
        </w:rPr>
        <w:t>RAZONES O MOTIVOS DE LA INCONFORMIDAD</w:t>
      </w:r>
    </w:p>
    <w:p w14:paraId="45832855" w14:textId="68FD701B" w:rsidR="00E12804" w:rsidRPr="00A70F90" w:rsidRDefault="00956DE7" w:rsidP="00614700">
      <w:pPr>
        <w:spacing w:after="0" w:line="360" w:lineRule="auto"/>
        <w:ind w:left="567" w:right="567"/>
        <w:rPr>
          <w:i/>
          <w:iCs/>
          <w:color w:val="auto"/>
          <w:sz w:val="20"/>
          <w:szCs w:val="20"/>
        </w:rPr>
      </w:pPr>
      <w:r w:rsidRPr="00A70F90">
        <w:rPr>
          <w:i/>
          <w:iCs/>
          <w:color w:val="auto"/>
          <w:sz w:val="20"/>
          <w:szCs w:val="20"/>
        </w:rPr>
        <w:t>De la solicitud 00598/CALIMAYA/IP/2025 no se entregó el gasto del mantenimiento de las luminarias</w:t>
      </w:r>
      <w:r w:rsidR="00334BDC" w:rsidRPr="00A70F90">
        <w:rPr>
          <w:i/>
          <w:iCs/>
          <w:color w:val="auto"/>
          <w:sz w:val="20"/>
          <w:szCs w:val="20"/>
        </w:rPr>
        <w:t>...”</w:t>
      </w:r>
      <w:r w:rsidR="002D6CA6" w:rsidRPr="00A70F90">
        <w:rPr>
          <w:i/>
          <w:iCs/>
          <w:color w:val="auto"/>
          <w:sz w:val="20"/>
          <w:szCs w:val="20"/>
        </w:rPr>
        <w:t xml:space="preserve"> (Sic.)</w:t>
      </w:r>
    </w:p>
    <w:p w14:paraId="22FF2B1E" w14:textId="5DC2B26B" w:rsidR="00E22EA8" w:rsidRPr="00A70F90" w:rsidRDefault="00E22EA8" w:rsidP="00614700">
      <w:pPr>
        <w:pStyle w:val="Ttulo2"/>
        <w:spacing w:before="0" w:after="0" w:line="360" w:lineRule="auto"/>
        <w:rPr>
          <w:color w:val="auto"/>
          <w:sz w:val="22"/>
          <w:szCs w:val="22"/>
        </w:rPr>
      </w:pPr>
      <w:bookmarkStart w:id="5" w:name="_Toc224820168"/>
      <w:r w:rsidRPr="00A70F90">
        <w:rPr>
          <w:color w:val="auto"/>
          <w:sz w:val="22"/>
          <w:szCs w:val="22"/>
        </w:rPr>
        <w:lastRenderedPageBreak/>
        <w:t>V. Trámite del Recurso de Revisión ante este Instituto</w:t>
      </w:r>
      <w:bookmarkEnd w:id="5"/>
    </w:p>
    <w:p w14:paraId="3225D3EC" w14:textId="77777777" w:rsidR="009B2DAB" w:rsidRPr="00A70F90" w:rsidRDefault="009B2DAB" w:rsidP="00614700">
      <w:pPr>
        <w:spacing w:after="0" w:line="360" w:lineRule="auto"/>
        <w:rPr>
          <w:b/>
          <w:bCs/>
          <w:color w:val="auto"/>
        </w:rPr>
      </w:pPr>
    </w:p>
    <w:p w14:paraId="703FDD26" w14:textId="1585BEC5" w:rsidR="00E22EA8" w:rsidRPr="00A70F90" w:rsidRDefault="00E22EA8" w:rsidP="00614700">
      <w:pPr>
        <w:spacing w:after="0" w:line="360" w:lineRule="auto"/>
        <w:rPr>
          <w:bCs/>
          <w:color w:val="auto"/>
        </w:rPr>
      </w:pPr>
      <w:r w:rsidRPr="00A70F90">
        <w:rPr>
          <w:b/>
          <w:bCs/>
          <w:color w:val="auto"/>
        </w:rPr>
        <w:t>a) Turno del Medio de Impugnación.</w:t>
      </w:r>
      <w:r w:rsidR="000A706F" w:rsidRPr="00A70F90">
        <w:rPr>
          <w:bCs/>
          <w:color w:val="auto"/>
        </w:rPr>
        <w:t xml:space="preserve"> </w:t>
      </w:r>
      <w:r w:rsidR="003C5F59" w:rsidRPr="00A70F90">
        <w:rPr>
          <w:bCs/>
          <w:color w:val="auto"/>
        </w:rPr>
        <w:t>El</w:t>
      </w:r>
      <w:r w:rsidR="00956DE7" w:rsidRPr="00A70F90">
        <w:rPr>
          <w:bCs/>
          <w:color w:val="auto"/>
        </w:rPr>
        <w:t xml:space="preserve"> once</w:t>
      </w:r>
      <w:r w:rsidR="00461A65" w:rsidRPr="00A70F90">
        <w:rPr>
          <w:bCs/>
          <w:color w:val="auto"/>
        </w:rPr>
        <w:t xml:space="preserve"> de febrero de dos mil veintiséis</w:t>
      </w:r>
      <w:r w:rsidRPr="00A70F90">
        <w:rPr>
          <w:bCs/>
          <w:color w:val="auto"/>
        </w:rPr>
        <w:t xml:space="preserve">, el </w:t>
      </w:r>
      <w:r w:rsidRPr="00A70F90">
        <w:rPr>
          <w:color w:val="auto"/>
          <w:lang w:val="es-ES"/>
        </w:rPr>
        <w:t>Sistema de Acceso a la Información Mexiquense (SAIMEX),</w:t>
      </w:r>
      <w:r w:rsidRPr="00A70F90">
        <w:rPr>
          <w:bCs/>
          <w:color w:val="auto"/>
        </w:rPr>
        <w:t xml:space="preserve"> asignó el número de expediente </w:t>
      </w:r>
      <w:r w:rsidR="00956DE7" w:rsidRPr="00A70F90">
        <w:rPr>
          <w:b/>
          <w:bCs/>
          <w:color w:val="auto"/>
        </w:rPr>
        <w:t>01726</w:t>
      </w:r>
      <w:r w:rsidR="000D392E" w:rsidRPr="00A70F90">
        <w:rPr>
          <w:b/>
          <w:bCs/>
          <w:color w:val="auto"/>
        </w:rPr>
        <w:t>/INFOEM/IP/RR/202</w:t>
      </w:r>
      <w:r w:rsidR="00461A65" w:rsidRPr="00A70F90">
        <w:rPr>
          <w:b/>
          <w:bCs/>
          <w:color w:val="auto"/>
        </w:rPr>
        <w:t>6</w:t>
      </w:r>
      <w:r w:rsidRPr="00A70F90">
        <w:rPr>
          <w:bCs/>
          <w:color w:val="auto"/>
        </w:rPr>
        <w:t xml:space="preserve">, al medio de impugnación que nos ocupa, con base en el sistema aprobado por el Pleno de este </w:t>
      </w:r>
      <w:r w:rsidR="00B65BCA" w:rsidRPr="00A70F90">
        <w:rPr>
          <w:bCs/>
          <w:color w:val="auto"/>
        </w:rPr>
        <w:t>Organismo</w:t>
      </w:r>
      <w:r w:rsidRPr="00A70F90">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D13E188" w14:textId="77777777" w:rsidR="005914EE" w:rsidRPr="00A70F90" w:rsidRDefault="005914EE" w:rsidP="00614700">
      <w:pPr>
        <w:spacing w:after="0" w:line="360" w:lineRule="auto"/>
        <w:rPr>
          <w:b/>
          <w:bCs/>
          <w:color w:val="FF0000"/>
        </w:rPr>
      </w:pPr>
    </w:p>
    <w:p w14:paraId="5EBFF971" w14:textId="1C4C5752" w:rsidR="00E22EA8" w:rsidRPr="00A70F90" w:rsidRDefault="00E22EA8" w:rsidP="00614700">
      <w:pPr>
        <w:spacing w:after="0" w:line="360" w:lineRule="auto"/>
        <w:rPr>
          <w:color w:val="auto"/>
        </w:rPr>
      </w:pPr>
      <w:r w:rsidRPr="00A70F90">
        <w:rPr>
          <w:b/>
          <w:bCs/>
          <w:color w:val="auto"/>
        </w:rPr>
        <w:t>b) Admisión del Recurso de Revisión</w:t>
      </w:r>
      <w:r w:rsidRPr="00A70F90">
        <w:rPr>
          <w:b/>
          <w:bCs/>
          <w:color w:val="auto"/>
          <w:lang w:val="es-ES_tradnl"/>
        </w:rPr>
        <w:t xml:space="preserve">. </w:t>
      </w:r>
      <w:r w:rsidR="003C5F59" w:rsidRPr="00A70F90">
        <w:rPr>
          <w:color w:val="auto"/>
        </w:rPr>
        <w:t>El</w:t>
      </w:r>
      <w:r w:rsidR="00956DE7" w:rsidRPr="00A70F90">
        <w:rPr>
          <w:color w:val="auto"/>
        </w:rPr>
        <w:t xml:space="preserve"> dieciséis</w:t>
      </w:r>
      <w:r w:rsidR="00461A65" w:rsidRPr="00A70F90">
        <w:rPr>
          <w:color w:val="auto"/>
        </w:rPr>
        <w:t xml:space="preserve"> de febrero de dos mil veintiséis</w:t>
      </w:r>
      <w:r w:rsidRPr="00A70F90">
        <w:rPr>
          <w:bCs/>
          <w:color w:val="auto"/>
          <w:lang w:val="es-ES_tradnl"/>
        </w:rPr>
        <w:t xml:space="preserve">, se acordó la admisión del Recurso de Revisión interpuesto por </w:t>
      </w:r>
      <w:r w:rsidR="00261B92" w:rsidRPr="00A70F90">
        <w:rPr>
          <w:bCs/>
          <w:color w:val="auto"/>
          <w:lang w:val="es-ES_tradnl"/>
        </w:rPr>
        <w:t>la persona</w:t>
      </w:r>
      <w:r w:rsidRPr="00A70F90">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70F90">
        <w:rPr>
          <w:bCs/>
          <w:color w:val="auto"/>
          <w:lang w:val="es-ES_tradnl"/>
        </w:rPr>
        <w:t>el</w:t>
      </w:r>
      <w:r w:rsidR="007C4D4E" w:rsidRPr="00A70F90">
        <w:rPr>
          <w:bCs/>
          <w:color w:val="auto"/>
          <w:lang w:val="es-ES_tradnl"/>
        </w:rPr>
        <w:t xml:space="preserve"> mismo día</w:t>
      </w:r>
      <w:r w:rsidRPr="00A70F90">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5D1587E" w14:textId="77777777" w:rsidR="00E22EA8" w:rsidRPr="00A70F90" w:rsidRDefault="00E22EA8" w:rsidP="00614700">
      <w:pPr>
        <w:spacing w:after="0" w:line="360" w:lineRule="auto"/>
        <w:rPr>
          <w:rFonts w:cs="Tahoma"/>
          <w:color w:val="auto"/>
          <w:lang w:val="es-ES_tradnl"/>
        </w:rPr>
      </w:pPr>
    </w:p>
    <w:p w14:paraId="7D8272C4" w14:textId="19A65302" w:rsidR="00461A65" w:rsidRPr="00A70F90" w:rsidRDefault="00EE4815" w:rsidP="00614700">
      <w:pPr>
        <w:spacing w:after="0" w:line="360" w:lineRule="auto"/>
        <w:rPr>
          <w:rFonts w:eastAsia="Batang" w:cs="Tahoma"/>
          <w:bCs/>
          <w:color w:val="auto"/>
          <w:lang w:val="es-ES_tradnl" w:eastAsia="es-ES"/>
        </w:rPr>
      </w:pPr>
      <w:r w:rsidRPr="00A70F90">
        <w:rPr>
          <w:b/>
          <w:color w:val="auto"/>
        </w:rPr>
        <w:t xml:space="preserve">c) Informe Justificado. </w:t>
      </w:r>
      <w:r w:rsidR="00956DE7" w:rsidRPr="00A70F90">
        <w:rPr>
          <w:rFonts w:eastAsia="Batang" w:cs="Tahoma"/>
          <w:bCs/>
          <w:color w:val="auto"/>
          <w:lang w:val="es-ES_tradnl" w:eastAsia="es-ES"/>
        </w:rPr>
        <w:t>Las partes fueron omisas en emitir manifestaciones y/o alegatos.</w:t>
      </w:r>
    </w:p>
    <w:p w14:paraId="3DBD7651" w14:textId="77777777" w:rsidR="00461A65" w:rsidRPr="00A70F90" w:rsidRDefault="00461A65" w:rsidP="00614700">
      <w:pPr>
        <w:spacing w:after="0" w:line="360" w:lineRule="auto"/>
        <w:rPr>
          <w:rFonts w:eastAsia="Batang" w:cs="Tahoma"/>
          <w:bCs/>
          <w:color w:val="auto"/>
          <w:lang w:val="es-ES_tradnl" w:eastAsia="es-ES"/>
        </w:rPr>
      </w:pPr>
    </w:p>
    <w:bookmarkEnd w:id="3"/>
    <w:p w14:paraId="1292926B" w14:textId="2F0CE863" w:rsidR="003C5FE0" w:rsidRPr="00A70F90" w:rsidRDefault="00956DE7" w:rsidP="00614700">
      <w:pPr>
        <w:spacing w:after="0" w:line="360" w:lineRule="auto"/>
        <w:rPr>
          <w:rFonts w:eastAsia="Times New Roman" w:cs="Tahoma"/>
          <w:b/>
          <w:color w:val="auto"/>
          <w:szCs w:val="24"/>
          <w:lang w:eastAsia="es-ES"/>
        </w:rPr>
      </w:pPr>
      <w:r w:rsidRPr="00A70F90">
        <w:rPr>
          <w:b/>
          <w:color w:val="auto"/>
        </w:rPr>
        <w:t>d</w:t>
      </w:r>
      <w:r w:rsidR="00EE4815" w:rsidRPr="00A70F90">
        <w:rPr>
          <w:b/>
          <w:color w:val="auto"/>
        </w:rPr>
        <w:t xml:space="preserve">) </w:t>
      </w:r>
      <w:bookmarkStart w:id="6" w:name="_Hlk182976945"/>
      <w:r w:rsidR="00002B20" w:rsidRPr="00A70F90">
        <w:rPr>
          <w:rFonts w:eastAsia="Times New Roman" w:cs="Tahoma"/>
          <w:b/>
          <w:color w:val="auto"/>
          <w:szCs w:val="24"/>
          <w:lang w:eastAsia="es-ES"/>
        </w:rPr>
        <w:t>Cierre de instrucción.</w:t>
      </w:r>
      <w:r w:rsidR="00C06C06" w:rsidRPr="00A70F90">
        <w:rPr>
          <w:rFonts w:eastAsia="Times New Roman" w:cs="Tahoma"/>
          <w:color w:val="auto"/>
          <w:szCs w:val="24"/>
          <w:lang w:eastAsia="es-ES"/>
        </w:rPr>
        <w:t xml:space="preserve"> El</w:t>
      </w:r>
      <w:r w:rsidRPr="00A70F90">
        <w:rPr>
          <w:rFonts w:eastAsia="Times New Roman" w:cs="Tahoma"/>
          <w:color w:val="auto"/>
          <w:szCs w:val="24"/>
          <w:lang w:eastAsia="es-ES"/>
        </w:rPr>
        <w:t xml:space="preserve"> nueve</w:t>
      </w:r>
      <w:r w:rsidR="00F95EC7" w:rsidRPr="00A70F90">
        <w:rPr>
          <w:rFonts w:eastAsia="Times New Roman" w:cs="Tahoma"/>
          <w:color w:val="auto"/>
          <w:szCs w:val="24"/>
          <w:lang w:eastAsia="es-ES"/>
        </w:rPr>
        <w:t xml:space="preserve"> de marzo de dos mil veintiséis</w:t>
      </w:r>
      <w:r w:rsidR="00002B20" w:rsidRPr="00A70F90">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70F90">
        <w:rPr>
          <w:color w:val="auto"/>
          <w:lang w:val="es-ES"/>
        </w:rPr>
        <w:t>acto que fue notificado a las partes, mediante el Sistema de Acceso a la Información Mexiquense (SAIMEX), el mismo día.</w:t>
      </w:r>
    </w:p>
    <w:bookmarkEnd w:id="6"/>
    <w:p w14:paraId="1C07BCC2" w14:textId="77777777" w:rsidR="000410E6" w:rsidRPr="00A70F90" w:rsidRDefault="000410E6" w:rsidP="00614700">
      <w:pPr>
        <w:spacing w:after="0" w:line="360" w:lineRule="auto"/>
        <w:rPr>
          <w:b/>
          <w:bCs/>
          <w:color w:val="FF0000"/>
          <w:lang w:val="es-ES"/>
        </w:rPr>
      </w:pPr>
    </w:p>
    <w:p w14:paraId="6FE1268E" w14:textId="77777777" w:rsidR="000410E6" w:rsidRPr="00A70F90" w:rsidRDefault="000410E6" w:rsidP="00614700">
      <w:pPr>
        <w:spacing w:after="0" w:line="360" w:lineRule="auto"/>
        <w:rPr>
          <w:color w:val="auto"/>
        </w:rPr>
      </w:pPr>
      <w:r w:rsidRPr="00A70F90">
        <w:rPr>
          <w:color w:val="auto"/>
        </w:rPr>
        <w:lastRenderedPageBreak/>
        <w:t>En razón de que fue debidamente sustanciado e integrado el expediente electrónico y no existe diligencia pendiente de desahogo, se emite la resolución que conforme a Derecho proceda, de acuerdo a los siguientes:</w:t>
      </w:r>
    </w:p>
    <w:p w14:paraId="2B910BC0" w14:textId="77777777" w:rsidR="00674DAF" w:rsidRPr="00A70F90" w:rsidRDefault="00674DAF" w:rsidP="00614700">
      <w:pPr>
        <w:spacing w:after="0" w:line="360" w:lineRule="auto"/>
        <w:rPr>
          <w:color w:val="auto"/>
        </w:rPr>
      </w:pPr>
    </w:p>
    <w:p w14:paraId="767C8975" w14:textId="77777777" w:rsidR="005C690F" w:rsidRPr="00A70F90" w:rsidRDefault="00CD6238" w:rsidP="00614700">
      <w:pPr>
        <w:pStyle w:val="Ttulo1"/>
        <w:spacing w:before="0" w:after="0" w:line="360" w:lineRule="auto"/>
        <w:jc w:val="center"/>
        <w:rPr>
          <w:color w:val="auto"/>
          <w:sz w:val="22"/>
          <w:szCs w:val="22"/>
        </w:rPr>
      </w:pPr>
      <w:bookmarkStart w:id="7" w:name="_Toc224820169"/>
      <w:r w:rsidRPr="00A70F90">
        <w:rPr>
          <w:color w:val="auto"/>
          <w:sz w:val="22"/>
          <w:szCs w:val="22"/>
        </w:rPr>
        <w:t>C O N S I D E R A N D O S</w:t>
      </w:r>
      <w:bookmarkEnd w:id="7"/>
    </w:p>
    <w:p w14:paraId="22B23D00" w14:textId="77777777" w:rsidR="005C690F" w:rsidRPr="00A70F90" w:rsidRDefault="005C690F" w:rsidP="00614700">
      <w:pPr>
        <w:spacing w:after="0" w:line="360" w:lineRule="auto"/>
        <w:jc w:val="center"/>
        <w:rPr>
          <w:b/>
          <w:color w:val="auto"/>
        </w:rPr>
      </w:pPr>
    </w:p>
    <w:p w14:paraId="2ADAE744" w14:textId="77777777" w:rsidR="005C690F" w:rsidRPr="00A70F90" w:rsidRDefault="007D6307" w:rsidP="00614700">
      <w:pPr>
        <w:pStyle w:val="Ttulo2"/>
        <w:spacing w:before="0" w:after="0" w:line="360" w:lineRule="auto"/>
        <w:rPr>
          <w:color w:val="auto"/>
          <w:sz w:val="22"/>
          <w:szCs w:val="22"/>
        </w:rPr>
      </w:pPr>
      <w:bookmarkStart w:id="8" w:name="_Toc224820170"/>
      <w:r w:rsidRPr="00A70F90">
        <w:rPr>
          <w:color w:val="auto"/>
          <w:sz w:val="22"/>
          <w:szCs w:val="22"/>
        </w:rPr>
        <w:t xml:space="preserve">PRIMERO. </w:t>
      </w:r>
      <w:r w:rsidR="00CD6238" w:rsidRPr="00A70F90">
        <w:rPr>
          <w:color w:val="auto"/>
          <w:sz w:val="22"/>
          <w:szCs w:val="22"/>
        </w:rPr>
        <w:t>Competencia</w:t>
      </w:r>
      <w:bookmarkEnd w:id="8"/>
    </w:p>
    <w:p w14:paraId="2AE6F35F" w14:textId="77777777" w:rsidR="00614700" w:rsidRPr="00A70F90" w:rsidRDefault="00614700" w:rsidP="00614700">
      <w:pPr>
        <w:rPr>
          <w:color w:val="auto"/>
        </w:rPr>
      </w:pPr>
    </w:p>
    <w:p w14:paraId="79134AEA" w14:textId="77777777" w:rsidR="00ED51F8" w:rsidRPr="00A70F90" w:rsidRDefault="00ED51F8" w:rsidP="00614700">
      <w:pPr>
        <w:spacing w:after="0" w:line="360" w:lineRule="auto"/>
        <w:contextualSpacing/>
        <w:rPr>
          <w:rFonts w:eastAsia="Times New Roman" w:cs="Tahoma"/>
          <w:bCs/>
          <w:color w:val="auto"/>
          <w:lang w:eastAsia="es-ES"/>
        </w:rPr>
      </w:pPr>
      <w:bookmarkStart w:id="9" w:name="_heading=h.30j0zll" w:colFirst="0" w:colLast="0"/>
      <w:bookmarkEnd w:id="9"/>
      <w:r w:rsidRPr="00A70F90">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2708970" w14:textId="77777777" w:rsidR="00E36F8E" w:rsidRPr="00A70F90" w:rsidRDefault="00E36F8E" w:rsidP="00614700">
      <w:pPr>
        <w:spacing w:after="0" w:line="360" w:lineRule="auto"/>
        <w:rPr>
          <w:b/>
          <w:color w:val="auto"/>
        </w:rPr>
      </w:pPr>
    </w:p>
    <w:p w14:paraId="52554C8D" w14:textId="77777777" w:rsidR="00E36F8E" w:rsidRPr="00A70F90" w:rsidRDefault="00E36F8E" w:rsidP="00614700">
      <w:pPr>
        <w:keepNext/>
        <w:keepLines/>
        <w:spacing w:after="0" w:line="360" w:lineRule="auto"/>
        <w:jc w:val="left"/>
        <w:outlineLvl w:val="1"/>
        <w:rPr>
          <w:rFonts w:eastAsia="Calibri" w:cs="Times New Roman"/>
          <w:b/>
          <w:bCs/>
          <w:color w:val="auto"/>
        </w:rPr>
      </w:pPr>
      <w:bookmarkStart w:id="10" w:name="_Toc194590230"/>
      <w:bookmarkStart w:id="11" w:name="_Toc210305128"/>
      <w:bookmarkStart w:id="12" w:name="_Toc224820171"/>
      <w:r w:rsidRPr="00A70F90">
        <w:rPr>
          <w:rFonts w:eastAsia="Calibri" w:cs="Times New Roman"/>
          <w:b/>
          <w:bCs/>
          <w:color w:val="auto"/>
        </w:rPr>
        <w:t>SEGUNDO. Causales de improcedencia</w:t>
      </w:r>
      <w:bookmarkEnd w:id="10"/>
      <w:bookmarkEnd w:id="11"/>
      <w:bookmarkEnd w:id="12"/>
      <w:r w:rsidRPr="00A70F90">
        <w:rPr>
          <w:rFonts w:eastAsia="Calibri" w:cs="Times New Roman"/>
          <w:b/>
          <w:bCs/>
          <w:color w:val="auto"/>
        </w:rPr>
        <w:t xml:space="preserve"> </w:t>
      </w:r>
    </w:p>
    <w:p w14:paraId="2F614F0B" w14:textId="77777777" w:rsidR="0066617C" w:rsidRPr="00A70F90" w:rsidRDefault="0066617C" w:rsidP="00614700">
      <w:pPr>
        <w:keepNext/>
        <w:keepLines/>
        <w:spacing w:after="0" w:line="360" w:lineRule="auto"/>
        <w:jc w:val="left"/>
        <w:outlineLvl w:val="1"/>
        <w:rPr>
          <w:rFonts w:eastAsia="Calibri" w:cs="Times New Roman"/>
          <w:b/>
          <w:bCs/>
          <w:color w:val="auto"/>
        </w:rPr>
      </w:pPr>
    </w:p>
    <w:p w14:paraId="2D66A646" w14:textId="77777777" w:rsidR="00E36F8E" w:rsidRPr="00A70F90" w:rsidRDefault="00E36F8E" w:rsidP="00614700">
      <w:pPr>
        <w:autoSpaceDE w:val="0"/>
        <w:autoSpaceDN w:val="0"/>
        <w:adjustRightInd w:val="0"/>
        <w:spacing w:after="0" w:line="360" w:lineRule="auto"/>
        <w:rPr>
          <w:rFonts w:eastAsia="Calibri" w:cs="Tahoma"/>
          <w:color w:val="auto"/>
        </w:rPr>
      </w:pPr>
      <w:r w:rsidRPr="00A70F90">
        <w:rPr>
          <w:rFonts w:eastAsia="Calibri" w:cs="Tahoma"/>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w:t>
      </w:r>
      <w:r w:rsidRPr="00A70F90">
        <w:rPr>
          <w:rFonts w:eastAsia="Calibri" w:cs="Tahoma"/>
          <w:color w:val="auto"/>
        </w:rPr>
        <w:lastRenderedPageBreak/>
        <w:t>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605983B" w14:textId="77777777" w:rsidR="00E36F8E" w:rsidRPr="00A70F90" w:rsidRDefault="00E36F8E" w:rsidP="00614700">
      <w:pPr>
        <w:autoSpaceDE w:val="0"/>
        <w:autoSpaceDN w:val="0"/>
        <w:adjustRightInd w:val="0"/>
        <w:spacing w:after="0" w:line="360" w:lineRule="auto"/>
        <w:rPr>
          <w:rFonts w:eastAsia="Calibri" w:cs="Tahoma"/>
          <w:color w:val="auto"/>
        </w:rPr>
      </w:pPr>
    </w:p>
    <w:p w14:paraId="2FADF03E" w14:textId="77777777" w:rsidR="00E36F8E" w:rsidRPr="00A70F90" w:rsidRDefault="00E36F8E" w:rsidP="00614700">
      <w:pPr>
        <w:autoSpaceDE w:val="0"/>
        <w:autoSpaceDN w:val="0"/>
        <w:adjustRightInd w:val="0"/>
        <w:spacing w:after="0" w:line="360" w:lineRule="auto"/>
        <w:rPr>
          <w:rFonts w:eastAsia="Calibri" w:cs="Tahoma"/>
          <w:color w:val="auto"/>
        </w:rPr>
      </w:pPr>
      <w:r w:rsidRPr="00A70F90">
        <w:rPr>
          <w:rFonts w:eastAsia="Calibri" w:cs="Tahoma"/>
          <w:color w:val="auto"/>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3317303" w14:textId="77777777" w:rsidR="00E83CC2" w:rsidRPr="00A70F90" w:rsidRDefault="00E83CC2" w:rsidP="00614700">
      <w:pPr>
        <w:keepNext/>
        <w:keepLines/>
        <w:spacing w:after="0" w:line="360" w:lineRule="auto"/>
        <w:jc w:val="left"/>
        <w:outlineLvl w:val="1"/>
        <w:rPr>
          <w:rFonts w:eastAsia="Calibri" w:cs="Tahoma"/>
          <w:b/>
          <w:color w:val="auto"/>
          <w:lang w:eastAsia="es-ES_tradnl"/>
        </w:rPr>
      </w:pPr>
      <w:bookmarkStart w:id="13" w:name="_Toc194590231"/>
      <w:bookmarkStart w:id="14" w:name="_Toc210305129"/>
    </w:p>
    <w:p w14:paraId="2367DAAB" w14:textId="150746BD" w:rsidR="00E36F8E" w:rsidRPr="00A70F90" w:rsidRDefault="00E36F8E" w:rsidP="00614700">
      <w:pPr>
        <w:keepNext/>
        <w:keepLines/>
        <w:spacing w:after="0" w:line="360" w:lineRule="auto"/>
        <w:jc w:val="left"/>
        <w:outlineLvl w:val="1"/>
        <w:rPr>
          <w:rFonts w:eastAsia="Times New Roman" w:cs="Times New Roman"/>
          <w:b/>
          <w:color w:val="auto"/>
          <w:szCs w:val="26"/>
          <w:lang w:val="es-ES" w:eastAsia="es-ES"/>
        </w:rPr>
      </w:pPr>
      <w:bookmarkStart w:id="15" w:name="_Toc224820172"/>
      <w:r w:rsidRPr="00A70F90">
        <w:rPr>
          <w:rFonts w:eastAsia="Times New Roman" w:cs="Times New Roman"/>
          <w:b/>
          <w:color w:val="auto"/>
          <w:szCs w:val="26"/>
          <w:lang w:val="es-ES" w:eastAsia="es-ES"/>
        </w:rPr>
        <w:t>Causales de sobreseimiento</w:t>
      </w:r>
      <w:bookmarkEnd w:id="13"/>
      <w:bookmarkEnd w:id="14"/>
      <w:bookmarkEnd w:id="15"/>
    </w:p>
    <w:p w14:paraId="623C9CD3" w14:textId="77777777" w:rsidR="00E36F8E" w:rsidRPr="00A70F90" w:rsidRDefault="00E36F8E" w:rsidP="00614700">
      <w:pPr>
        <w:spacing w:after="0" w:line="360" w:lineRule="auto"/>
        <w:rPr>
          <w:rFonts w:eastAsia="Times New Roman" w:cs="Tahoma"/>
          <w:color w:val="auto"/>
          <w:szCs w:val="24"/>
          <w:lang w:val="es-ES" w:eastAsia="es-ES"/>
        </w:rPr>
      </w:pPr>
    </w:p>
    <w:p w14:paraId="4A59282A" w14:textId="77777777" w:rsidR="00614700" w:rsidRPr="00A70F90" w:rsidRDefault="00614700" w:rsidP="00614700">
      <w:pPr>
        <w:spacing w:line="360" w:lineRule="auto"/>
        <w:contextualSpacing/>
        <w:rPr>
          <w:rFonts w:cs="Tahoma"/>
          <w:color w:val="auto"/>
        </w:rPr>
      </w:pPr>
      <w:r w:rsidRPr="00A70F90">
        <w:rPr>
          <w:rFonts w:cs="Tahoma"/>
          <w:color w:val="auto"/>
        </w:rPr>
        <w:t>Por ser de previo y especial pronunciamiento, este Instituto analiza si se actualiza alguna causal de sobreseimiento.</w:t>
      </w:r>
    </w:p>
    <w:p w14:paraId="3D7DA73C" w14:textId="77777777" w:rsidR="00E83CC2" w:rsidRPr="00A70F90" w:rsidRDefault="00E83CC2" w:rsidP="00614700">
      <w:pPr>
        <w:spacing w:line="360" w:lineRule="auto"/>
        <w:contextualSpacing/>
        <w:rPr>
          <w:rFonts w:cs="Tahoma"/>
          <w:color w:val="auto"/>
        </w:rPr>
      </w:pPr>
    </w:p>
    <w:p w14:paraId="51A45EE8" w14:textId="17F86B97" w:rsidR="00E83CC2" w:rsidRPr="00A70F90" w:rsidRDefault="00E83CC2" w:rsidP="00614700">
      <w:pPr>
        <w:spacing w:line="360" w:lineRule="auto"/>
        <w:contextualSpacing/>
        <w:rPr>
          <w:color w:val="auto"/>
        </w:rPr>
      </w:pPr>
      <w:r w:rsidRPr="00A70F90">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58D052C" w14:textId="366D3F4D" w:rsidR="00E83CC2" w:rsidRPr="00A70F90" w:rsidRDefault="00E83CC2" w:rsidP="00E83CC2">
      <w:pPr>
        <w:keepNext/>
        <w:keepLines/>
        <w:spacing w:after="0" w:line="360" w:lineRule="auto"/>
        <w:jc w:val="left"/>
        <w:outlineLvl w:val="1"/>
        <w:rPr>
          <w:rFonts w:eastAsia="Times New Roman" w:cs="Times New Roman"/>
          <w:b/>
          <w:color w:val="auto"/>
          <w:szCs w:val="26"/>
          <w:lang w:val="es-ES" w:eastAsia="es-ES"/>
        </w:rPr>
      </w:pPr>
      <w:bookmarkStart w:id="16" w:name="_Toc224820173"/>
      <w:r w:rsidRPr="00A70F90">
        <w:rPr>
          <w:rFonts w:eastAsia="Times New Roman" w:cs="Times New Roman"/>
          <w:b/>
          <w:color w:val="auto"/>
          <w:szCs w:val="26"/>
          <w:lang w:val="es-ES" w:eastAsia="es-ES"/>
        </w:rPr>
        <w:lastRenderedPageBreak/>
        <w:t>TERCERO. Determinación de la Controversia</w:t>
      </w:r>
      <w:bookmarkEnd w:id="16"/>
    </w:p>
    <w:p w14:paraId="5966A11B" w14:textId="77777777" w:rsidR="00614700" w:rsidRPr="00A70F90" w:rsidRDefault="00614700" w:rsidP="00614700">
      <w:pPr>
        <w:spacing w:line="360" w:lineRule="auto"/>
        <w:contextualSpacing/>
        <w:rPr>
          <w:rFonts w:cs="Tahoma"/>
          <w:color w:val="auto"/>
        </w:rPr>
      </w:pPr>
    </w:p>
    <w:p w14:paraId="7DD600BC" w14:textId="39010627" w:rsidR="00956DE7" w:rsidRPr="00A70F90" w:rsidRDefault="00E83CC2" w:rsidP="00E83CC2">
      <w:pPr>
        <w:spacing w:line="360" w:lineRule="auto"/>
        <w:contextualSpacing/>
        <w:rPr>
          <w:rFonts w:eastAsia="Calibri" w:cs="Tahoma"/>
          <w:color w:val="FF0000"/>
        </w:rPr>
      </w:pPr>
      <w:r w:rsidRPr="00A70F90">
        <w:rPr>
          <w:color w:val="auto"/>
        </w:rPr>
        <w:t>Con el objetivo de ilustrar la controversia planteada, resulta conveniente precisar, que una vez realizado el estudio de las constancias que integran el expediente en el que se actúa, se desprende que el Particular requirió,</w:t>
      </w:r>
      <w:r w:rsidR="0076084D" w:rsidRPr="00A70F90">
        <w:rPr>
          <w:color w:val="auto"/>
        </w:rPr>
        <w:t xml:space="preserve"> saber el gasto de las 1,155 luminarias a las que se les dio mantenimiento en Calimaya y en qué zonas fueron cambiadas.</w:t>
      </w:r>
    </w:p>
    <w:p w14:paraId="02E427D4" w14:textId="77777777" w:rsidR="00E83CC2" w:rsidRPr="00A70F90" w:rsidRDefault="00E83CC2" w:rsidP="00E83CC2">
      <w:pPr>
        <w:spacing w:line="360" w:lineRule="auto"/>
        <w:contextualSpacing/>
        <w:rPr>
          <w:color w:val="FF0000"/>
        </w:rPr>
      </w:pPr>
    </w:p>
    <w:p w14:paraId="15E20DD8" w14:textId="2FFCC8F5" w:rsidR="00594CD6" w:rsidRPr="00A70F90" w:rsidRDefault="00E83CC2" w:rsidP="00E83CC2">
      <w:pPr>
        <w:spacing w:line="360" w:lineRule="auto"/>
        <w:contextualSpacing/>
        <w:rPr>
          <w:color w:val="auto"/>
        </w:rPr>
      </w:pPr>
      <w:r w:rsidRPr="00A70F90">
        <w:rPr>
          <w:color w:val="auto"/>
        </w:rPr>
        <w:t>E</w:t>
      </w:r>
      <w:r w:rsidR="00491D0B" w:rsidRPr="00A70F90">
        <w:rPr>
          <w:color w:val="auto"/>
        </w:rPr>
        <w:t xml:space="preserve">n respuesta la </w:t>
      </w:r>
      <w:r w:rsidR="00594CD6" w:rsidRPr="00A70F90">
        <w:rPr>
          <w:color w:val="auto"/>
        </w:rPr>
        <w:t>Dirección de Administración y la Tesorería Municipal señalaron que después de realizar una búsqueda exhaustiva en sus archivos no se localizó información referente a lo solicitado, por su parte la Dirección de Servicios Públicos  manifestó que no hubo gasto para el mantenimiento de las 1,155 luminarias, toda vez que en ese momento la Dirección de Servicios Públicos contaba con el material necesario, así mismo anexo el Reporte Interno de Mantenimiento de Lumina</w:t>
      </w:r>
      <w:r w:rsidR="000D6B22" w:rsidRPr="00A70F90">
        <w:rPr>
          <w:color w:val="auto"/>
        </w:rPr>
        <w:t xml:space="preserve">rias de Alumbrado Público, de enero a diciembre de dos mil veinticinco. </w:t>
      </w:r>
    </w:p>
    <w:p w14:paraId="3DC7F9B1" w14:textId="77777777" w:rsidR="00491D0B" w:rsidRPr="00A70F90" w:rsidRDefault="00491D0B" w:rsidP="00614700">
      <w:pPr>
        <w:spacing w:after="0" w:line="360" w:lineRule="auto"/>
        <w:rPr>
          <w:rFonts w:eastAsia="Calibri" w:cs="Tahoma"/>
          <w:color w:val="FF0000"/>
        </w:rPr>
      </w:pPr>
    </w:p>
    <w:p w14:paraId="145304A6" w14:textId="790295D3" w:rsidR="00E36F8E" w:rsidRPr="00A70F90" w:rsidRDefault="00E36F8E" w:rsidP="00E74D40">
      <w:pPr>
        <w:spacing w:after="0" w:line="360" w:lineRule="auto"/>
        <w:rPr>
          <w:color w:val="auto"/>
        </w:rPr>
      </w:pPr>
      <w:r w:rsidRPr="00A70F90">
        <w:rPr>
          <w:color w:val="auto"/>
        </w:rPr>
        <w:t xml:space="preserve">Derivado de lo anterior, el Particular se inconformó </w:t>
      </w:r>
      <w:r w:rsidR="00491D0B" w:rsidRPr="00A70F90">
        <w:rPr>
          <w:color w:val="auto"/>
        </w:rPr>
        <w:t>de la</w:t>
      </w:r>
      <w:r w:rsidR="000D6B22" w:rsidRPr="00A70F90">
        <w:rPr>
          <w:color w:val="auto"/>
        </w:rPr>
        <w:t xml:space="preserve"> entrega de la información incompleta</w:t>
      </w:r>
      <w:r w:rsidR="00E74D40" w:rsidRPr="00A70F90">
        <w:rPr>
          <w:color w:val="auto"/>
        </w:rPr>
        <w:t>,</w:t>
      </w:r>
      <w:r w:rsidR="000D6B22" w:rsidRPr="00A70F90">
        <w:rPr>
          <w:color w:val="auto"/>
        </w:rPr>
        <w:t xml:space="preserve"> al señalar que</w:t>
      </w:r>
      <w:r w:rsidR="000D6B22" w:rsidRPr="00A70F90">
        <w:rPr>
          <w:i/>
          <w:color w:val="auto"/>
        </w:rPr>
        <w:t>… no se entregó el gasto del mantenimiento de las luminarias…</w:t>
      </w:r>
      <w:r w:rsidR="00E74D40" w:rsidRPr="00A70F90">
        <w:rPr>
          <w:color w:val="auto"/>
        </w:rPr>
        <w:t xml:space="preserve">lo cual se actualizan el </w:t>
      </w:r>
      <w:r w:rsidR="00A34C00" w:rsidRPr="00A70F90">
        <w:rPr>
          <w:color w:val="auto"/>
        </w:rPr>
        <w:t>supuesto previsto</w:t>
      </w:r>
      <w:r w:rsidR="0087519A" w:rsidRPr="00A70F90">
        <w:rPr>
          <w:color w:val="auto"/>
        </w:rPr>
        <w:t xml:space="preserve"> en el artículo 179, fracción </w:t>
      </w:r>
      <w:r w:rsidR="00E74D40" w:rsidRPr="00A70F90">
        <w:rPr>
          <w:color w:val="auto"/>
        </w:rPr>
        <w:t>V, de la Ley de Transparencia y Acceso a la Información Pública del Estado de México y Municipios</w:t>
      </w:r>
      <w:r w:rsidR="0087519A" w:rsidRPr="00A70F90">
        <w:rPr>
          <w:color w:val="auto"/>
        </w:rPr>
        <w:t>.</w:t>
      </w:r>
      <w:r w:rsidR="000E5CBD" w:rsidRPr="00A70F90">
        <w:rPr>
          <w:color w:val="auto"/>
        </w:rPr>
        <w:t xml:space="preserve"> </w:t>
      </w:r>
    </w:p>
    <w:p w14:paraId="4A063766" w14:textId="77777777" w:rsidR="00A34C00" w:rsidRPr="00A70F90" w:rsidRDefault="00A34C00" w:rsidP="00E74D40">
      <w:pPr>
        <w:spacing w:after="0" w:line="360" w:lineRule="auto"/>
        <w:rPr>
          <w:color w:val="FF0000"/>
        </w:rPr>
      </w:pPr>
    </w:p>
    <w:p w14:paraId="5DDB42B9" w14:textId="4CCF62D9" w:rsidR="0087519A" w:rsidRPr="00A70F90" w:rsidRDefault="0087519A" w:rsidP="0087519A">
      <w:pPr>
        <w:spacing w:after="0" w:line="360" w:lineRule="auto"/>
        <w:rPr>
          <w:color w:val="auto"/>
        </w:rPr>
      </w:pPr>
      <w:r w:rsidRPr="00A70F90">
        <w:rPr>
          <w:color w:val="auto"/>
        </w:rPr>
        <w:t xml:space="preserve">Conforme a lo analizado, se puede advertir que el ahora Recurrente no se inconformó respecto de la zona donde fueron cambiadas las luminarias;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w:t>
      </w:r>
      <w:r w:rsidRPr="00A70F90">
        <w:rPr>
          <w:color w:val="auto"/>
        </w:rPr>
        <w:lastRenderedPageBreak/>
        <w:t>el recurso contra los actos que se hayan consentido tácitamente, entendiéndose por estos cuando el agravio no se haya promovido en el plazo señalado para el efecto.</w:t>
      </w:r>
    </w:p>
    <w:p w14:paraId="3F9BA446" w14:textId="77777777" w:rsidR="0087519A" w:rsidRPr="00A70F90" w:rsidRDefault="0087519A" w:rsidP="0087519A">
      <w:pPr>
        <w:spacing w:after="0" w:line="360" w:lineRule="auto"/>
        <w:rPr>
          <w:color w:val="auto"/>
        </w:rPr>
      </w:pPr>
      <w:r w:rsidRPr="00A70F90">
        <w:rPr>
          <w:color w:val="auto"/>
        </w:rPr>
        <w:t> </w:t>
      </w:r>
    </w:p>
    <w:p w14:paraId="50F9EEF1" w14:textId="77777777" w:rsidR="0087519A" w:rsidRPr="00A70F90" w:rsidRDefault="0087519A" w:rsidP="0087519A">
      <w:pPr>
        <w:spacing w:after="0" w:line="360" w:lineRule="auto"/>
        <w:rPr>
          <w:color w:val="auto"/>
        </w:rPr>
      </w:pPr>
      <w:r w:rsidRPr="00A70F90">
        <w:rPr>
          <w:color w:val="auto"/>
        </w:rPr>
        <w:t>De la misma manera resulta aplicable el criterio sostenido por el Poder Judicial de la Federación de rubro </w:t>
      </w:r>
      <w:r w:rsidRPr="00A70F90">
        <w:rPr>
          <w:b/>
          <w:color w:val="auto"/>
        </w:rPr>
        <w:t>ACTOS CONSENTIDOS TÁCITAMENTE</w:t>
      </w:r>
      <w:r w:rsidRPr="00A70F90">
        <w:rPr>
          <w:color w:val="auto"/>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F506167" w14:textId="77777777" w:rsidR="0087519A" w:rsidRPr="00A70F90" w:rsidRDefault="0087519A" w:rsidP="0087519A">
      <w:pPr>
        <w:spacing w:after="0" w:line="360" w:lineRule="auto"/>
        <w:rPr>
          <w:color w:val="auto"/>
        </w:rPr>
      </w:pPr>
      <w:r w:rsidRPr="00A70F90">
        <w:rPr>
          <w:color w:val="auto"/>
        </w:rPr>
        <w:t> </w:t>
      </w:r>
    </w:p>
    <w:p w14:paraId="69B57BB1" w14:textId="77777777" w:rsidR="0087519A" w:rsidRPr="00A70F90" w:rsidRDefault="0087519A" w:rsidP="0087519A">
      <w:pPr>
        <w:spacing w:after="0" w:line="360" w:lineRule="auto"/>
        <w:rPr>
          <w:color w:val="auto"/>
        </w:rPr>
      </w:pPr>
      <w:r w:rsidRPr="00A70F90">
        <w:rPr>
          <w:color w:val="auto"/>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725715E1" w14:textId="77777777" w:rsidR="0087519A" w:rsidRPr="00A70F90" w:rsidRDefault="0087519A" w:rsidP="0087519A">
      <w:pPr>
        <w:spacing w:after="0" w:line="360" w:lineRule="auto"/>
        <w:rPr>
          <w:color w:val="auto"/>
        </w:rPr>
      </w:pPr>
      <w:r w:rsidRPr="00A70F90">
        <w:rPr>
          <w:color w:val="auto"/>
        </w:rPr>
        <w:t> </w:t>
      </w:r>
    </w:p>
    <w:p w14:paraId="11EF5E1D" w14:textId="77777777" w:rsidR="0087519A" w:rsidRPr="00A70F90" w:rsidRDefault="0087519A" w:rsidP="0087519A">
      <w:pPr>
        <w:spacing w:after="0" w:line="360" w:lineRule="auto"/>
        <w:rPr>
          <w:color w:val="auto"/>
        </w:rPr>
      </w:pPr>
      <w:r w:rsidRPr="00A70F90">
        <w:rPr>
          <w:color w:val="auto"/>
        </w:rPr>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14:paraId="26FA3E4D" w14:textId="77777777" w:rsidR="0087519A" w:rsidRPr="00A70F90" w:rsidRDefault="0087519A" w:rsidP="0087519A">
      <w:pPr>
        <w:spacing w:after="0" w:line="360" w:lineRule="auto"/>
        <w:rPr>
          <w:color w:val="FF0000"/>
        </w:rPr>
      </w:pPr>
      <w:r w:rsidRPr="00A70F90">
        <w:rPr>
          <w:color w:val="FF0000"/>
        </w:rPr>
        <w:t> </w:t>
      </w:r>
    </w:p>
    <w:p w14:paraId="6934D98D" w14:textId="77777777" w:rsidR="0087519A" w:rsidRPr="00A70F90" w:rsidRDefault="0087519A" w:rsidP="0087519A">
      <w:pPr>
        <w:tabs>
          <w:tab w:val="left" w:pos="4667"/>
        </w:tabs>
        <w:spacing w:after="0" w:line="360" w:lineRule="auto"/>
        <w:ind w:left="567" w:right="567"/>
        <w:rPr>
          <w:rFonts w:eastAsia="Times New Roman" w:cs="Arial"/>
          <w:bCs/>
          <w:i/>
          <w:iCs/>
          <w:color w:val="auto"/>
          <w:sz w:val="20"/>
          <w:lang w:eastAsia="es-ES"/>
        </w:rPr>
      </w:pPr>
      <w:r w:rsidRPr="00A70F90">
        <w:rPr>
          <w:rFonts w:eastAsia="Times New Roman" w:cs="Arial"/>
          <w:b/>
          <w:bCs/>
          <w:i/>
          <w:iCs/>
          <w:color w:val="auto"/>
          <w:sz w:val="20"/>
          <w:lang w:eastAsia="es-ES"/>
        </w:rPr>
        <w:t>“Actos consentidos tácitamente.</w:t>
      </w:r>
      <w:r w:rsidRPr="00A70F90">
        <w:rPr>
          <w:rFonts w:eastAsia="Times New Roman" w:cs="Arial"/>
          <w:bCs/>
          <w:i/>
          <w:iCs/>
          <w:color w:val="auto"/>
          <w:sz w:val="20"/>
          <w:lang w:eastAsia="es-ES"/>
        </w:rPr>
        <w:t xml:space="preserv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B8ADE4D" w14:textId="77777777" w:rsidR="0087519A" w:rsidRPr="00A70F90" w:rsidRDefault="0087519A" w:rsidP="0087519A">
      <w:pPr>
        <w:spacing w:after="0" w:line="360" w:lineRule="auto"/>
        <w:rPr>
          <w:color w:val="FF0000"/>
        </w:rPr>
      </w:pPr>
      <w:r w:rsidRPr="00A70F90">
        <w:rPr>
          <w:color w:val="FF0000"/>
        </w:rPr>
        <w:t> </w:t>
      </w:r>
    </w:p>
    <w:p w14:paraId="097EEEEB" w14:textId="4AB02600" w:rsidR="0087519A" w:rsidRPr="00A70F90" w:rsidRDefault="0087519A" w:rsidP="0087519A">
      <w:pPr>
        <w:spacing w:after="0" w:line="360" w:lineRule="auto"/>
        <w:rPr>
          <w:b/>
          <w:color w:val="auto"/>
        </w:rPr>
      </w:pPr>
      <w:r w:rsidRPr="00A70F90">
        <w:rPr>
          <w:color w:val="auto"/>
        </w:rPr>
        <w:lastRenderedPageBreak/>
        <w:t>Conforme al Criterio establecido, es improcedente entrar al análisis de las partes de la respuesta del Sujeto Obligado que no fueron impugnadas por el Recurrente; por lo que, en el presente caso, se tiene por consentida la información entregada por el Sujeto Obligado, para atender lo referente gasto de las 1,155 luminarias a las que se les dio mantenimiento en Calimaya.</w:t>
      </w:r>
    </w:p>
    <w:p w14:paraId="6255F290" w14:textId="77777777" w:rsidR="00E83CC2" w:rsidRPr="00A70F90" w:rsidRDefault="00E83CC2" w:rsidP="000E5CBD">
      <w:pPr>
        <w:spacing w:after="0" w:line="360" w:lineRule="auto"/>
        <w:rPr>
          <w:color w:val="FF0000"/>
        </w:rPr>
      </w:pPr>
    </w:p>
    <w:p w14:paraId="4AD1190C" w14:textId="74920F54" w:rsidR="00E83CC2" w:rsidRPr="00A70F90" w:rsidRDefault="00E83CC2" w:rsidP="000E5CBD">
      <w:pPr>
        <w:spacing w:after="0" w:line="360" w:lineRule="auto"/>
        <w:rPr>
          <w:color w:val="auto"/>
        </w:rPr>
      </w:pPr>
      <w:r w:rsidRPr="00A70F90">
        <w:rPr>
          <w:color w:val="auto"/>
        </w:rP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5EDABA26" w14:textId="77777777" w:rsidR="00E83CC2" w:rsidRPr="00A70F90" w:rsidRDefault="00E83CC2" w:rsidP="000E5CBD">
      <w:pPr>
        <w:spacing w:after="0" w:line="360" w:lineRule="auto"/>
        <w:rPr>
          <w:color w:val="auto"/>
        </w:rPr>
      </w:pPr>
    </w:p>
    <w:p w14:paraId="0383AC60" w14:textId="77777777" w:rsidR="00281CCC" w:rsidRPr="00A70F90" w:rsidRDefault="00281CCC" w:rsidP="00281CCC">
      <w:pPr>
        <w:keepNext/>
        <w:keepLines/>
        <w:spacing w:after="0" w:line="360" w:lineRule="auto"/>
        <w:contextualSpacing/>
        <w:outlineLvl w:val="1"/>
        <w:rPr>
          <w:rFonts w:eastAsia="Times New Roman" w:cs="Times New Roman"/>
          <w:b/>
          <w:bCs/>
          <w:color w:val="auto"/>
          <w:lang w:eastAsia="es-ES"/>
        </w:rPr>
      </w:pPr>
      <w:bookmarkStart w:id="17" w:name="_Toc221806556"/>
      <w:bookmarkStart w:id="18" w:name="_Toc224820174"/>
      <w:r w:rsidRPr="00A70F90">
        <w:rPr>
          <w:rFonts w:eastAsia="Times New Roman" w:cs="Times New Roman"/>
          <w:b/>
          <w:bCs/>
          <w:color w:val="auto"/>
          <w:lang w:val="es-ES" w:eastAsia="es-ES"/>
        </w:rPr>
        <w:t xml:space="preserve">CUARTO. </w:t>
      </w:r>
      <w:r w:rsidRPr="00A70F90">
        <w:rPr>
          <w:rFonts w:eastAsia="Times New Roman" w:cs="Times New Roman"/>
          <w:b/>
          <w:bCs/>
          <w:color w:val="auto"/>
          <w:lang w:eastAsia="es-ES"/>
        </w:rPr>
        <w:t>Marco normativo aplicable en materia de transparencia y acceso a la información pública</w:t>
      </w:r>
      <w:bookmarkEnd w:id="17"/>
      <w:bookmarkEnd w:id="18"/>
    </w:p>
    <w:p w14:paraId="6D789C8A" w14:textId="77777777" w:rsidR="00281CCC" w:rsidRPr="00A70F90" w:rsidRDefault="00281CCC" w:rsidP="00281CCC">
      <w:pPr>
        <w:widowControl w:val="0"/>
        <w:spacing w:after="0" w:line="360" w:lineRule="auto"/>
        <w:contextualSpacing/>
        <w:rPr>
          <w:rFonts w:eastAsia="Times New Roman" w:cs="Tahoma"/>
          <w:color w:val="auto"/>
        </w:rPr>
      </w:pPr>
    </w:p>
    <w:p w14:paraId="471A46C7" w14:textId="77777777" w:rsidR="00281CCC" w:rsidRPr="00A70F90" w:rsidRDefault="00281CCC" w:rsidP="00281CCC">
      <w:pPr>
        <w:widowControl w:val="0"/>
        <w:spacing w:after="0" w:line="360" w:lineRule="auto"/>
        <w:contextualSpacing/>
        <w:rPr>
          <w:rFonts w:eastAsia="Times New Roman" w:cs="Tahoma"/>
          <w:color w:val="auto"/>
        </w:rPr>
      </w:pPr>
      <w:r w:rsidRPr="00A70F90">
        <w:rPr>
          <w:rFonts w:eastAsia="Times New Roman" w:cs="Tahoma"/>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61A28D1" w14:textId="77777777" w:rsidR="00281CCC" w:rsidRPr="00A70F90" w:rsidRDefault="00281CCC" w:rsidP="00281CCC">
      <w:pPr>
        <w:widowControl w:val="0"/>
        <w:spacing w:after="0" w:line="360" w:lineRule="auto"/>
        <w:contextualSpacing/>
        <w:rPr>
          <w:rFonts w:eastAsia="Times New Roman" w:cs="Tahoma"/>
          <w:color w:val="auto"/>
        </w:rPr>
      </w:pPr>
    </w:p>
    <w:p w14:paraId="449CC2AD" w14:textId="77777777" w:rsidR="00281CCC" w:rsidRPr="00A70F90" w:rsidRDefault="00281CCC" w:rsidP="00281CCC">
      <w:pPr>
        <w:spacing w:after="0" w:line="360" w:lineRule="auto"/>
        <w:contextualSpacing/>
        <w:rPr>
          <w:rFonts w:eastAsia="Times New Roman" w:cs="Tahoma"/>
          <w:color w:val="auto"/>
        </w:rPr>
      </w:pPr>
      <w:r w:rsidRPr="00A70F90">
        <w:rPr>
          <w:rFonts w:eastAsia="Times New Roman" w:cs="Tahoma"/>
          <w:color w:val="auto"/>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CE53E23" w14:textId="77777777" w:rsidR="00281CCC" w:rsidRPr="00A70F90" w:rsidRDefault="00281CCC" w:rsidP="00281CCC">
      <w:pPr>
        <w:widowControl w:val="0"/>
        <w:spacing w:after="0" w:line="360" w:lineRule="auto"/>
        <w:contextualSpacing/>
        <w:rPr>
          <w:rFonts w:eastAsia="Times New Roman" w:cs="Tahoma"/>
          <w:color w:val="auto"/>
        </w:rPr>
      </w:pPr>
    </w:p>
    <w:p w14:paraId="118DB602" w14:textId="77777777" w:rsidR="00281CCC" w:rsidRPr="00A70F90" w:rsidRDefault="00281CCC" w:rsidP="00281CCC">
      <w:pPr>
        <w:widowControl w:val="0"/>
        <w:spacing w:after="0" w:line="360" w:lineRule="auto"/>
        <w:contextualSpacing/>
        <w:rPr>
          <w:rFonts w:eastAsia="Times New Roman" w:cs="Tahoma"/>
          <w:color w:val="auto"/>
        </w:rPr>
      </w:pPr>
      <w:r w:rsidRPr="00A70F90">
        <w:rPr>
          <w:rFonts w:eastAsia="Times New Roman" w:cs="Tahoma"/>
          <w:color w:val="auto"/>
        </w:rPr>
        <w:lastRenderedPageBreak/>
        <w:t>Por su parte, la Ley de Transparencia y Acceso a la Información Pública del Estado de México y Municipios (Reglamentaria del artículo 5° de la Constitución Local), establece lo siguiente:</w:t>
      </w:r>
    </w:p>
    <w:p w14:paraId="048C36C8" w14:textId="77777777" w:rsidR="00281CCC" w:rsidRPr="00A70F90" w:rsidRDefault="00281CCC" w:rsidP="00281CCC">
      <w:pPr>
        <w:widowControl w:val="0"/>
        <w:spacing w:after="0" w:line="360" w:lineRule="auto"/>
        <w:contextualSpacing/>
        <w:rPr>
          <w:rFonts w:eastAsia="Times New Roman" w:cs="Tahoma"/>
          <w:color w:val="auto"/>
        </w:rPr>
      </w:pPr>
    </w:p>
    <w:p w14:paraId="121E5826" w14:textId="77777777" w:rsidR="00281CCC" w:rsidRPr="00A70F90" w:rsidRDefault="00281CCC" w:rsidP="00281CCC">
      <w:pPr>
        <w:widowControl w:val="0"/>
        <w:spacing w:after="0" w:line="360" w:lineRule="auto"/>
        <w:contextualSpacing/>
        <w:rPr>
          <w:rFonts w:eastAsia="Times New Roman" w:cs="Tahoma"/>
          <w:color w:val="auto"/>
        </w:rPr>
      </w:pPr>
      <w:r w:rsidRPr="00A70F90">
        <w:rPr>
          <w:rFonts w:eastAsia="Times New Roman" w:cs="Tahoma"/>
          <w:color w:val="auto"/>
        </w:rPr>
        <w:t>El artículo 12, que, quienes generen, recopilen, administren, manejen, procesen, archiven o conserven información pública serán responsables de la misma.</w:t>
      </w:r>
    </w:p>
    <w:p w14:paraId="312853D7" w14:textId="77777777" w:rsidR="00281CCC" w:rsidRPr="00A70F90" w:rsidRDefault="00281CCC" w:rsidP="00281CCC">
      <w:pPr>
        <w:widowControl w:val="0"/>
        <w:spacing w:after="0" w:line="360" w:lineRule="auto"/>
        <w:contextualSpacing/>
        <w:rPr>
          <w:rFonts w:eastAsia="Times New Roman" w:cs="Tahoma"/>
          <w:color w:val="auto"/>
        </w:rPr>
      </w:pPr>
    </w:p>
    <w:p w14:paraId="7325351F" w14:textId="77777777" w:rsidR="00281CCC" w:rsidRPr="00A70F90" w:rsidRDefault="00281CCC" w:rsidP="00281CCC">
      <w:pPr>
        <w:widowControl w:val="0"/>
        <w:spacing w:after="0" w:line="360" w:lineRule="auto"/>
        <w:contextualSpacing/>
        <w:rPr>
          <w:rFonts w:eastAsia="Times New Roman" w:cs="Tahoma"/>
          <w:color w:val="auto"/>
        </w:rPr>
      </w:pPr>
      <w:r w:rsidRPr="00A70F90">
        <w:rPr>
          <w:rFonts w:eastAsia="Times New Roman" w:cs="Tahoma"/>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7573D42E" w14:textId="77777777" w:rsidR="00281CCC" w:rsidRPr="00A70F90" w:rsidRDefault="00281CCC" w:rsidP="00281CCC">
      <w:pPr>
        <w:widowControl w:val="0"/>
        <w:spacing w:after="0" w:line="360" w:lineRule="auto"/>
        <w:contextualSpacing/>
        <w:rPr>
          <w:rFonts w:eastAsia="Times New Roman" w:cs="Tahoma"/>
          <w:color w:val="auto"/>
        </w:rPr>
      </w:pPr>
    </w:p>
    <w:p w14:paraId="779FD488" w14:textId="77777777" w:rsidR="00281CCC" w:rsidRPr="00A70F90" w:rsidRDefault="00281CCC" w:rsidP="00281CCC">
      <w:pPr>
        <w:widowControl w:val="0"/>
        <w:spacing w:after="0" w:line="360" w:lineRule="auto"/>
        <w:contextualSpacing/>
        <w:rPr>
          <w:rFonts w:eastAsia="Times New Roman" w:cs="Tahoma"/>
          <w:color w:val="auto"/>
        </w:rPr>
      </w:pPr>
      <w:r w:rsidRPr="00A70F90">
        <w:rPr>
          <w:rFonts w:eastAsia="Times New Roman" w:cs="Tahoma"/>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ED0FABF" w14:textId="77777777" w:rsidR="00E83CC2" w:rsidRPr="00A70F90" w:rsidRDefault="00E83CC2" w:rsidP="000E5CBD">
      <w:pPr>
        <w:spacing w:after="0" w:line="360" w:lineRule="auto"/>
        <w:rPr>
          <w:color w:val="auto"/>
        </w:rPr>
      </w:pPr>
    </w:p>
    <w:p w14:paraId="44C90178" w14:textId="77777777" w:rsidR="00281CCC" w:rsidRPr="00A70F90" w:rsidRDefault="00281CCC" w:rsidP="00281CCC">
      <w:pPr>
        <w:keepNext/>
        <w:keepLines/>
        <w:spacing w:after="0" w:line="360" w:lineRule="auto"/>
        <w:contextualSpacing/>
        <w:jc w:val="left"/>
        <w:outlineLvl w:val="1"/>
        <w:rPr>
          <w:rFonts w:eastAsia="Times New Roman" w:cs="Times New Roman"/>
          <w:b/>
          <w:bCs/>
          <w:color w:val="auto"/>
          <w:lang w:val="es-ES" w:eastAsia="es-ES"/>
        </w:rPr>
      </w:pPr>
      <w:bookmarkStart w:id="19" w:name="_Toc221806557"/>
      <w:bookmarkStart w:id="20" w:name="_Toc224820175"/>
      <w:r w:rsidRPr="00A70F90">
        <w:rPr>
          <w:rFonts w:eastAsia="Times New Roman" w:cs="Times New Roman"/>
          <w:b/>
          <w:bCs/>
          <w:color w:val="auto"/>
          <w:lang w:val="es-ES" w:eastAsia="es-ES"/>
        </w:rPr>
        <w:t>QUINTO. Estudio de Fondo</w:t>
      </w:r>
      <w:bookmarkEnd w:id="19"/>
      <w:bookmarkEnd w:id="20"/>
    </w:p>
    <w:p w14:paraId="17ED17E2" w14:textId="77777777" w:rsidR="00281CCC" w:rsidRPr="00A70F90" w:rsidRDefault="00281CCC" w:rsidP="000E5CBD">
      <w:pPr>
        <w:spacing w:after="0" w:line="360" w:lineRule="auto"/>
        <w:rPr>
          <w:color w:val="auto"/>
        </w:rPr>
      </w:pPr>
    </w:p>
    <w:p w14:paraId="2B0EB67A" w14:textId="77777777" w:rsidR="00CF61D3" w:rsidRPr="00A70F90" w:rsidRDefault="00CF61D3" w:rsidP="00CF61D3">
      <w:pPr>
        <w:spacing w:after="0" w:line="360" w:lineRule="auto"/>
        <w:rPr>
          <w:rFonts w:eastAsia="Times New Roman" w:cs="Tahoma"/>
          <w:bCs/>
          <w:iCs/>
          <w:color w:val="auto"/>
          <w:lang w:eastAsia="es-ES"/>
        </w:rPr>
      </w:pPr>
      <w:r w:rsidRPr="00A70F90">
        <w:rPr>
          <w:color w:val="auto"/>
        </w:rPr>
        <w:t xml:space="preserve">Expuestas las posturas de las partes, se procede al análisis de los agravios hechos valer por la persona Recurrente, </w:t>
      </w:r>
      <w:r w:rsidRPr="00A70F90">
        <w:rPr>
          <w:rFonts w:eastAsia="Times New Roman" w:cs="Tahoma"/>
          <w:bCs/>
          <w:iCs/>
          <w:color w:val="auto"/>
          <w:lang w:eastAsia="es-ES"/>
        </w:rPr>
        <w:t>por lo que, en principio es necesario contextualizar la solicitud de información.</w:t>
      </w:r>
    </w:p>
    <w:p w14:paraId="55A19491" w14:textId="77777777" w:rsidR="00E25F4D" w:rsidRPr="00A70F90" w:rsidRDefault="00E25F4D" w:rsidP="000E5CBD">
      <w:pPr>
        <w:spacing w:after="0" w:line="360" w:lineRule="auto"/>
        <w:rPr>
          <w:color w:val="FF0000"/>
        </w:rPr>
      </w:pPr>
    </w:p>
    <w:p w14:paraId="6E7B35AB" w14:textId="77777777" w:rsidR="00CF61D3" w:rsidRPr="00A70F90" w:rsidRDefault="00CF61D3" w:rsidP="000E5CBD">
      <w:pPr>
        <w:spacing w:after="0" w:line="360" w:lineRule="auto"/>
        <w:rPr>
          <w:color w:val="FF0000"/>
        </w:rPr>
      </w:pPr>
    </w:p>
    <w:p w14:paraId="07C6C8AD" w14:textId="77777777" w:rsidR="00CF61D3" w:rsidRPr="00A70F90" w:rsidRDefault="00CF61D3" w:rsidP="000E5CBD">
      <w:pPr>
        <w:spacing w:after="0" w:line="360" w:lineRule="auto"/>
        <w:rPr>
          <w:color w:val="FF0000"/>
        </w:rPr>
      </w:pPr>
    </w:p>
    <w:p w14:paraId="700D4985" w14:textId="29977345" w:rsidR="00CF61D3" w:rsidRPr="00A70F90" w:rsidRDefault="00CE20C5" w:rsidP="000E5CBD">
      <w:pPr>
        <w:spacing w:after="0" w:line="360" w:lineRule="auto"/>
        <w:rPr>
          <w:b/>
        </w:rPr>
      </w:pPr>
      <w:r w:rsidRPr="00A70F90">
        <w:rPr>
          <w:color w:val="auto"/>
        </w:rPr>
        <w:t xml:space="preserve">Sobre el tema, el artículo 82 del Bando Municipal del Ayuntamiento de Calimaya establece que </w:t>
      </w:r>
      <w:r w:rsidR="00CE27F7" w:rsidRPr="00A70F90">
        <w:rPr>
          <w:color w:val="auto"/>
        </w:rPr>
        <w:t xml:space="preserve">la Dirección de Servicios Públicos es la </w:t>
      </w:r>
      <w:r w:rsidR="00CE27F7" w:rsidRPr="00A70F90">
        <w:t xml:space="preserve">dependencia de la Administración Pública </w:t>
      </w:r>
      <w:r w:rsidR="00CE27F7" w:rsidRPr="00A70F90">
        <w:lastRenderedPageBreak/>
        <w:t xml:space="preserve">Municipal encargada de la prestación, explotación, administración y conservación de los servicios públicos municipales, dentro de los cuales se encuentra el </w:t>
      </w:r>
      <w:r w:rsidR="00CE27F7" w:rsidRPr="00A70F90">
        <w:rPr>
          <w:b/>
        </w:rPr>
        <w:t>alumbrado público.</w:t>
      </w:r>
    </w:p>
    <w:p w14:paraId="08247DC8" w14:textId="77777777" w:rsidR="00522516" w:rsidRPr="00A70F90" w:rsidRDefault="00522516" w:rsidP="000E5CBD">
      <w:pPr>
        <w:spacing w:after="0" w:line="360" w:lineRule="auto"/>
        <w:rPr>
          <w:b/>
        </w:rPr>
      </w:pPr>
    </w:p>
    <w:p w14:paraId="56F7265A" w14:textId="77777777" w:rsidR="00522516" w:rsidRPr="00A70F90" w:rsidRDefault="00522516" w:rsidP="000E5CBD">
      <w:pPr>
        <w:spacing w:after="0" w:line="360" w:lineRule="auto"/>
      </w:pPr>
      <w:r w:rsidRPr="00A70F90">
        <w:t xml:space="preserve">En esa misma consecución de ideas, el Manual de Organización de la Dirección de Servicios Públicos administración dos mil veinticinco, dos mil veintisiete establece que dicha Dirección tiene como objetivo garantizar la prestación, explotación, administración y conservación de los servicios públicos municipales, considerándose, enunciativa y no limitativamente, los siguientes: </w:t>
      </w:r>
    </w:p>
    <w:p w14:paraId="479A7E95" w14:textId="0367E091" w:rsidR="00522516" w:rsidRPr="00A70F90" w:rsidRDefault="00522516" w:rsidP="00522516">
      <w:pPr>
        <w:tabs>
          <w:tab w:val="left" w:pos="1591"/>
        </w:tabs>
        <w:spacing w:after="0" w:line="360" w:lineRule="auto"/>
        <w:rPr>
          <w:b/>
        </w:rPr>
      </w:pPr>
      <w:r w:rsidRPr="00A70F90">
        <w:rPr>
          <w:b/>
        </w:rPr>
        <w:tab/>
      </w:r>
    </w:p>
    <w:p w14:paraId="5F5F26C7" w14:textId="77777777" w:rsidR="00522516" w:rsidRPr="00A70F90" w:rsidRDefault="00522516" w:rsidP="00522516">
      <w:pPr>
        <w:pStyle w:val="Prrafodelista"/>
        <w:numPr>
          <w:ilvl w:val="0"/>
          <w:numId w:val="37"/>
        </w:numPr>
        <w:spacing w:line="360" w:lineRule="auto"/>
        <w:rPr>
          <w:b/>
        </w:rPr>
      </w:pPr>
      <w:r w:rsidRPr="00A70F90">
        <w:rPr>
          <w:b/>
        </w:rPr>
        <w:t>Alumbrado público;</w:t>
      </w:r>
    </w:p>
    <w:p w14:paraId="52F912BE" w14:textId="77777777" w:rsidR="00522516" w:rsidRPr="00A70F90" w:rsidRDefault="00522516" w:rsidP="00522516">
      <w:pPr>
        <w:pStyle w:val="Prrafodelista"/>
        <w:numPr>
          <w:ilvl w:val="0"/>
          <w:numId w:val="37"/>
        </w:numPr>
        <w:spacing w:line="360" w:lineRule="auto"/>
      </w:pPr>
      <w:r w:rsidRPr="00A70F90">
        <w:t xml:space="preserve">Limpia, recolección, traslado, tratamiento y disposición final de residuos; </w:t>
      </w:r>
    </w:p>
    <w:p w14:paraId="11A80689" w14:textId="77777777" w:rsidR="00522516" w:rsidRPr="00A70F90" w:rsidRDefault="00522516" w:rsidP="00522516">
      <w:pPr>
        <w:pStyle w:val="Prrafodelista"/>
        <w:numPr>
          <w:ilvl w:val="0"/>
          <w:numId w:val="37"/>
        </w:numPr>
        <w:spacing w:line="360" w:lineRule="auto"/>
      </w:pPr>
      <w:r w:rsidRPr="00A70F90">
        <w:t xml:space="preserve">Mantenimiento de panteones; </w:t>
      </w:r>
    </w:p>
    <w:p w14:paraId="23E02BA8" w14:textId="77777777" w:rsidR="00522516" w:rsidRPr="00A70F90" w:rsidRDefault="00522516" w:rsidP="00522516">
      <w:pPr>
        <w:pStyle w:val="Prrafodelista"/>
        <w:numPr>
          <w:ilvl w:val="0"/>
          <w:numId w:val="37"/>
        </w:numPr>
        <w:spacing w:line="360" w:lineRule="auto"/>
      </w:pPr>
      <w:r w:rsidRPr="00A70F90">
        <w:t xml:space="preserve">Calles, parques, jardines, áreas verdes y recreativas, así como su equipamiento, y </w:t>
      </w:r>
    </w:p>
    <w:p w14:paraId="671DAA1E" w14:textId="69F79456" w:rsidR="00522516" w:rsidRPr="00A70F90" w:rsidRDefault="00522516" w:rsidP="00522516">
      <w:pPr>
        <w:pStyle w:val="Prrafodelista"/>
        <w:numPr>
          <w:ilvl w:val="0"/>
          <w:numId w:val="37"/>
        </w:numPr>
        <w:spacing w:line="360" w:lineRule="auto"/>
      </w:pPr>
      <w:r w:rsidRPr="00A70F90">
        <w:t>Todos aquellos que determine el ayuntamiento y que no correspondan a la competencia exclusiva federal o estatal.</w:t>
      </w:r>
    </w:p>
    <w:p w14:paraId="322DED6B" w14:textId="77777777" w:rsidR="00CE27F7" w:rsidRPr="00A70F90" w:rsidRDefault="00CE27F7" w:rsidP="000E5CBD">
      <w:pPr>
        <w:spacing w:after="0" w:line="360" w:lineRule="auto"/>
        <w:rPr>
          <w:b/>
          <w:color w:val="auto"/>
        </w:rPr>
      </w:pPr>
    </w:p>
    <w:p w14:paraId="431ECA55" w14:textId="0A048945" w:rsidR="00522516" w:rsidRPr="00A70F90" w:rsidRDefault="00522516" w:rsidP="000E5CBD">
      <w:pPr>
        <w:spacing w:after="0" w:line="360" w:lineRule="auto"/>
        <w:rPr>
          <w:u w:val="single"/>
        </w:rPr>
      </w:pPr>
      <w:r w:rsidRPr="00A70F90">
        <w:rPr>
          <w:color w:val="auto"/>
        </w:rPr>
        <w:t xml:space="preserve"> La cual dentro de sus funciones se encarga entre otras cosas de </w:t>
      </w:r>
      <w:r w:rsidRPr="00A70F90">
        <w:rPr>
          <w:b/>
          <w:color w:val="auto"/>
        </w:rPr>
        <w:t>c</w:t>
      </w:r>
      <w:r w:rsidRPr="00A70F90">
        <w:rPr>
          <w:b/>
        </w:rPr>
        <w:t>onducir la implementación y ampliación de nuevo alumbrado público en el municipio</w:t>
      </w:r>
      <w:r w:rsidRPr="00A70F90">
        <w:t>.</w:t>
      </w:r>
      <w:r w:rsidR="00DB052D" w:rsidRPr="00A70F90">
        <w:t xml:space="preserve">, así como </w:t>
      </w:r>
      <w:r w:rsidR="00DB052D" w:rsidRPr="00A70F90">
        <w:rPr>
          <w:u w:val="single"/>
        </w:rPr>
        <w:t>vigilar de manera permanente las redes e instalación de alumbrado público, así como su mantenimiento.</w:t>
      </w:r>
    </w:p>
    <w:p w14:paraId="6B12D48F" w14:textId="77777777" w:rsidR="00DB052D" w:rsidRPr="00A70F90" w:rsidRDefault="00DB052D" w:rsidP="000E5CBD">
      <w:pPr>
        <w:spacing w:after="0" w:line="360" w:lineRule="auto"/>
        <w:rPr>
          <w:u w:val="single"/>
        </w:rPr>
      </w:pPr>
    </w:p>
    <w:p w14:paraId="4C717081" w14:textId="1564169D" w:rsidR="00DB052D" w:rsidRPr="00A70F90" w:rsidRDefault="00DB052D" w:rsidP="000E5CBD">
      <w:pPr>
        <w:spacing w:after="0" w:line="360" w:lineRule="auto"/>
        <w:rPr>
          <w:color w:val="auto"/>
        </w:rPr>
      </w:pPr>
      <w:r w:rsidRPr="00A70F90">
        <w:t>En ese sentido, el Manual en comento señala que la Dirección de Servicios Públicos cuenta con una Subdirección de Servicios Públicos, la cual dentro de sus funciones se encarga de velar por la correcta prestación de servicios como alumbrado público y dar seguimiento eficaz a los reportes o quejas ciudadanas por fallas en alumbrado.</w:t>
      </w:r>
    </w:p>
    <w:p w14:paraId="6D2FAC43" w14:textId="61BC3D5D" w:rsidR="00C826FB" w:rsidRPr="00A70F90" w:rsidRDefault="00C826FB" w:rsidP="00C826FB">
      <w:pPr>
        <w:tabs>
          <w:tab w:val="left" w:pos="4962"/>
        </w:tabs>
        <w:spacing w:line="360" w:lineRule="auto"/>
        <w:rPr>
          <w:rFonts w:eastAsia="Calibri" w:cs="Tahoma"/>
          <w:b/>
          <w:color w:val="auto"/>
          <w:lang w:eastAsia="es-ES"/>
        </w:rPr>
      </w:pPr>
      <w:r w:rsidRPr="00A70F90">
        <w:rPr>
          <w:color w:val="auto"/>
        </w:rPr>
        <w:t xml:space="preserve">Por otra parte, </w:t>
      </w:r>
      <w:r w:rsidRPr="00A70F90">
        <w:rPr>
          <w:rFonts w:eastAsia="Calibri" w:cs="Tahoma"/>
          <w:bCs/>
          <w:color w:val="auto"/>
          <w:lang w:eastAsia="es-ES"/>
        </w:rPr>
        <w:t xml:space="preserve">los artículos 1°, fracción III, y 4°de la Ley de la de Contratación Pública del Estado de México y Municipios, especifica que los Ayuntamientos, serán los encargados de </w:t>
      </w:r>
      <w:r w:rsidRPr="00A70F90">
        <w:rPr>
          <w:rFonts w:eastAsia="Calibri" w:cs="Tahoma"/>
          <w:bCs/>
          <w:color w:val="auto"/>
          <w:lang w:eastAsia="es-ES"/>
        </w:rPr>
        <w:lastRenderedPageBreak/>
        <w:t xml:space="preserve">realizar los actos relativos a la planeación, programación, presupuestación, ejecución y control de la adquisición (bienes muebles e inmuebles), arrendamiento (bienes muebles e inmuebles), y </w:t>
      </w:r>
      <w:r w:rsidRPr="00A70F90">
        <w:rPr>
          <w:rFonts w:eastAsia="Calibri" w:cs="Tahoma"/>
          <w:b/>
          <w:color w:val="auto"/>
          <w:lang w:eastAsia="es-ES"/>
        </w:rPr>
        <w:t>la contratación de servicios de cualquier naturaleza.</w:t>
      </w:r>
    </w:p>
    <w:p w14:paraId="58F0765B" w14:textId="77777777" w:rsidR="00C826FB" w:rsidRPr="00A70F90" w:rsidRDefault="00C826FB" w:rsidP="00C826FB">
      <w:pPr>
        <w:tabs>
          <w:tab w:val="left" w:pos="4962"/>
        </w:tabs>
        <w:spacing w:after="0" w:line="360" w:lineRule="auto"/>
        <w:rPr>
          <w:rFonts w:eastAsia="Calibri" w:cs="Tahoma"/>
          <w:bCs/>
          <w:color w:val="auto"/>
          <w:lang w:eastAsia="es-ES"/>
        </w:rPr>
      </w:pPr>
    </w:p>
    <w:p w14:paraId="1BF9702E" w14:textId="77777777" w:rsidR="00C826FB" w:rsidRPr="00A70F90" w:rsidRDefault="00C826FB" w:rsidP="00C826FB">
      <w:pPr>
        <w:tabs>
          <w:tab w:val="left" w:pos="4962"/>
        </w:tabs>
        <w:spacing w:after="0" w:line="360" w:lineRule="auto"/>
        <w:rPr>
          <w:rFonts w:eastAsia="Calibri" w:cs="Tahoma"/>
          <w:bCs/>
          <w:color w:val="auto"/>
          <w:lang w:eastAsia="es-ES"/>
        </w:rPr>
      </w:pPr>
      <w:r w:rsidRPr="00A70F90">
        <w:rPr>
          <w:rFonts w:eastAsia="Calibri" w:cs="Tahoma"/>
          <w:bCs/>
          <w:color w:val="auto"/>
          <w:lang w:eastAsia="es-ES"/>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Sujeto Obligado y la persona a la cual haya ganado el procedimiento respectivo, dentro de los diez días hábiles siguientes a la notificación del fallo.</w:t>
      </w:r>
    </w:p>
    <w:p w14:paraId="4B51567F" w14:textId="77777777" w:rsidR="00C826FB" w:rsidRPr="00A70F90" w:rsidRDefault="00C826FB" w:rsidP="00C826FB">
      <w:pPr>
        <w:tabs>
          <w:tab w:val="left" w:pos="4962"/>
        </w:tabs>
        <w:spacing w:after="0" w:line="360" w:lineRule="auto"/>
        <w:rPr>
          <w:rFonts w:eastAsia="Calibri" w:cs="Tahoma"/>
          <w:bCs/>
          <w:color w:val="auto"/>
          <w:lang w:eastAsia="es-ES"/>
        </w:rPr>
      </w:pPr>
    </w:p>
    <w:p w14:paraId="0A703269" w14:textId="77777777" w:rsidR="00C826FB" w:rsidRPr="00A70F90" w:rsidRDefault="00C826FB" w:rsidP="00C826FB">
      <w:pPr>
        <w:tabs>
          <w:tab w:val="left" w:pos="4962"/>
        </w:tabs>
        <w:spacing w:after="0" w:line="360" w:lineRule="auto"/>
        <w:rPr>
          <w:rFonts w:eastAsia="Calibri" w:cs="Tahoma"/>
          <w:b/>
          <w:color w:val="auto"/>
          <w:lang w:eastAsia="es-ES"/>
        </w:rPr>
      </w:pPr>
      <w:r w:rsidRPr="00A70F90">
        <w:rPr>
          <w:rFonts w:eastAsia="Calibri" w:cs="Tahoma"/>
          <w:bCs/>
          <w:color w:val="auto"/>
          <w:lang w:eastAsia="es-ES"/>
        </w:rPr>
        <w:t xml:space="preserve">Ahora bien, conforme al artículo 120 del Reglamento de la Ley de Contratación Pública del Estado de México y Municipios, dichos actos jurídicos se conforman por diversos datos, entre los cuales, se encuentran los datos de identificación de las partes y del contrato, así como el </w:t>
      </w:r>
      <w:r w:rsidRPr="00A70F90">
        <w:rPr>
          <w:rFonts w:eastAsia="Calibri" w:cs="Tahoma"/>
          <w:b/>
          <w:color w:val="auto"/>
          <w:lang w:eastAsia="es-ES"/>
        </w:rPr>
        <w:t>importe total.</w:t>
      </w:r>
    </w:p>
    <w:p w14:paraId="0D4AABAE" w14:textId="77777777" w:rsidR="00C826FB" w:rsidRPr="00A70F90" w:rsidRDefault="00C826FB" w:rsidP="00C826FB">
      <w:pPr>
        <w:tabs>
          <w:tab w:val="left" w:pos="4962"/>
        </w:tabs>
        <w:spacing w:after="0" w:line="360" w:lineRule="auto"/>
        <w:rPr>
          <w:rFonts w:eastAsia="Calibri" w:cs="Tahoma"/>
          <w:b/>
          <w:color w:val="auto"/>
          <w:lang w:eastAsia="es-ES"/>
        </w:rPr>
      </w:pPr>
    </w:p>
    <w:p w14:paraId="04A8FB45" w14:textId="77777777" w:rsidR="00C826FB" w:rsidRPr="00A70F90" w:rsidRDefault="00C826FB" w:rsidP="00C826FB">
      <w:pPr>
        <w:tabs>
          <w:tab w:val="left" w:pos="4962"/>
        </w:tabs>
        <w:spacing w:after="0" w:line="360" w:lineRule="auto"/>
        <w:rPr>
          <w:rFonts w:eastAsia="Calibri" w:cs="Tahoma"/>
          <w:bCs/>
          <w:color w:val="auto"/>
          <w:lang w:eastAsia="es-ES"/>
        </w:rPr>
      </w:pPr>
      <w:r w:rsidRPr="00A70F90">
        <w:rPr>
          <w:rFonts w:eastAsia="Calibri" w:cs="Tahoma"/>
          <w:bCs/>
          <w:color w:val="auto"/>
          <w:lang w:eastAsia="es-ES"/>
        </w:rPr>
        <w:t>Además,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w:t>
      </w:r>
      <w:r w:rsidRPr="00A70F90">
        <w:rPr>
          <w:rFonts w:eastAsia="Calibri" w:cs="Tahoma"/>
          <w:b/>
          <w:color w:val="auto"/>
          <w:u w:val="single"/>
          <w:lang w:eastAsia="es-ES"/>
        </w:rPr>
        <w:t xml:space="preserve"> adjudicación directa, invitación restringida y licitación de cualquier naturaleza</w:t>
      </w:r>
      <w:r w:rsidRPr="00A70F90">
        <w:rPr>
          <w:rFonts w:eastAsia="Calibri" w:cs="Tahoma"/>
          <w:bCs/>
          <w:color w:val="auto"/>
          <w:lang w:eastAsia="es-ES"/>
        </w:rPr>
        <w:t xml:space="preserve">, que incluye la versión pública del </w:t>
      </w:r>
      <w:r w:rsidRPr="00A70F90">
        <w:rPr>
          <w:rFonts w:eastAsia="Calibri" w:cs="Tahoma"/>
          <w:bCs/>
          <w:color w:val="auto"/>
          <w:u w:val="single"/>
          <w:lang w:eastAsia="es-ES"/>
        </w:rPr>
        <w:t>expediente respectivo</w:t>
      </w:r>
      <w:r w:rsidRPr="00A70F90">
        <w:rPr>
          <w:rFonts w:eastAsia="Calibri" w:cs="Tahoma"/>
          <w:bCs/>
          <w:color w:val="auto"/>
          <w:lang w:eastAsia="es-ES"/>
        </w:rPr>
        <w:t xml:space="preserve"> y de los contratos celebrados.</w:t>
      </w:r>
    </w:p>
    <w:p w14:paraId="0D8AF493" w14:textId="77777777" w:rsidR="00C826FB" w:rsidRPr="00A70F90" w:rsidRDefault="00C826FB" w:rsidP="00C826FB">
      <w:pPr>
        <w:tabs>
          <w:tab w:val="left" w:pos="4962"/>
        </w:tabs>
        <w:spacing w:after="0" w:line="360" w:lineRule="auto"/>
        <w:rPr>
          <w:rFonts w:eastAsia="Calibri" w:cs="Tahoma"/>
          <w:bCs/>
          <w:color w:val="auto"/>
          <w:lang w:eastAsia="es-ES"/>
        </w:rPr>
      </w:pPr>
    </w:p>
    <w:p w14:paraId="26D57270" w14:textId="61BA049A" w:rsidR="00C826FB" w:rsidRPr="00A70F90" w:rsidRDefault="00DA2644" w:rsidP="00C826FB">
      <w:pPr>
        <w:tabs>
          <w:tab w:val="left" w:pos="4962"/>
        </w:tabs>
        <w:spacing w:after="0" w:line="360" w:lineRule="auto"/>
        <w:rPr>
          <w:rFonts w:eastAsia="Calibri" w:cs="Tahoma"/>
          <w:bCs/>
          <w:color w:val="auto"/>
          <w:lang w:eastAsia="es-ES"/>
        </w:rPr>
      </w:pPr>
      <w:r w:rsidRPr="00A70F90">
        <w:rPr>
          <w:rFonts w:eastAsia="Calibri" w:cs="Tahoma"/>
          <w:bCs/>
          <w:color w:val="auto"/>
          <w:lang w:eastAsia="es-ES"/>
        </w:rPr>
        <w:t xml:space="preserve">En ese sentido, </w:t>
      </w:r>
      <w:r w:rsidR="00834DBF" w:rsidRPr="00A70F90">
        <w:rPr>
          <w:rFonts w:eastAsia="Calibri" w:cs="Tahoma"/>
          <w:bCs/>
          <w:color w:val="auto"/>
          <w:lang w:eastAsia="es-ES"/>
        </w:rPr>
        <w:t xml:space="preserve">el Manual de Organización de la Dirección de Administración de Calimaya administración dos mil veinticinco, dos mil veintisiete, establece que dicha Dirección se encargara de </w:t>
      </w:r>
      <w:r w:rsidR="00834DBF" w:rsidRPr="00A70F90">
        <w:rPr>
          <w:rFonts w:eastAsia="Calibri" w:cs="Tahoma"/>
          <w:b/>
          <w:bCs/>
          <w:color w:val="auto"/>
          <w:lang w:eastAsia="es-ES"/>
        </w:rPr>
        <w:t xml:space="preserve">llevar a cabo </w:t>
      </w:r>
      <w:r w:rsidR="00834DBF" w:rsidRPr="00A70F90">
        <w:rPr>
          <w:b/>
        </w:rPr>
        <w:t xml:space="preserve">as adquisiciones, y la contratación de servicios que requieran </w:t>
      </w:r>
      <w:r w:rsidR="00834DBF" w:rsidRPr="00A70F90">
        <w:rPr>
          <w:b/>
        </w:rPr>
        <w:lastRenderedPageBreak/>
        <w:t>las distintas dependencias,</w:t>
      </w:r>
      <w:r w:rsidR="00834DBF" w:rsidRPr="00A70F90">
        <w:t xml:space="preserve"> ajustándose, en su caso, a las necesidades y presupuesto de la administración municipal.</w:t>
      </w:r>
    </w:p>
    <w:p w14:paraId="474B364A" w14:textId="7CC58E49" w:rsidR="00C826FB" w:rsidRPr="00A70F90" w:rsidRDefault="00C826FB" w:rsidP="000E5CBD">
      <w:pPr>
        <w:spacing w:after="0" w:line="360" w:lineRule="auto"/>
        <w:rPr>
          <w:color w:val="FF0000"/>
        </w:rPr>
      </w:pPr>
    </w:p>
    <w:p w14:paraId="0CB4ECA6" w14:textId="6FB4CF69" w:rsidR="000211AB" w:rsidRPr="00A70F90" w:rsidRDefault="000211AB" w:rsidP="000E5CBD">
      <w:pPr>
        <w:spacing w:after="0" w:line="360" w:lineRule="auto"/>
      </w:pPr>
      <w:r w:rsidRPr="00A70F90">
        <w:rPr>
          <w:color w:val="auto"/>
        </w:rPr>
        <w:t xml:space="preserve">En relación con lo anterior, </w:t>
      </w:r>
      <w:r w:rsidRPr="00A70F90">
        <w:t xml:space="preserve">el artículo 4°, fracción XVIII, de la Ley General de Contabilidad Gubernamental, establece que la información financiera consiste en información presupuestaria y contable que se expresa en unidades monetarias </w:t>
      </w:r>
      <w:r w:rsidRPr="00A70F90">
        <w:rPr>
          <w:b/>
        </w:rPr>
        <w:t>las transacciones que realiza un ente público y los eventos económicos identificables y cuantificable</w:t>
      </w:r>
      <w:r w:rsidRPr="00A70F90">
        <w:t xml:space="preserve"> la cual puede representarse por reportes, informes, estados y notas que expresan su situación financiera, los resultados de su operación y los cambios en su patrimonio.</w:t>
      </w:r>
    </w:p>
    <w:p w14:paraId="0685F293" w14:textId="77777777" w:rsidR="000211AB" w:rsidRPr="00A70F90" w:rsidRDefault="000211AB" w:rsidP="000E5CBD">
      <w:pPr>
        <w:spacing w:after="0" w:line="360" w:lineRule="auto"/>
      </w:pPr>
    </w:p>
    <w:p w14:paraId="5BB79597" w14:textId="34E4568D" w:rsidR="000211AB" w:rsidRPr="00A70F90" w:rsidRDefault="000211AB" w:rsidP="000E5CBD">
      <w:pPr>
        <w:spacing w:after="0" w:line="360" w:lineRule="auto"/>
      </w:pPr>
      <w:r w:rsidRPr="00A70F90">
        <w:t>n esa misma tesitura, los artículos 16, 18, 19, fracción V, y 34 de la Ley General en comento, establecen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36D92F2C" w14:textId="77777777" w:rsidR="000211AB" w:rsidRPr="00A70F90" w:rsidRDefault="000211AB" w:rsidP="000E5CBD">
      <w:pPr>
        <w:spacing w:after="0" w:line="360" w:lineRule="auto"/>
      </w:pPr>
    </w:p>
    <w:p w14:paraId="44F37D8E" w14:textId="6B76AA2C" w:rsidR="000211AB" w:rsidRPr="00A70F90" w:rsidRDefault="000211AB" w:rsidP="000E5CBD">
      <w:pPr>
        <w:spacing w:after="0" w:line="360" w:lineRule="auto"/>
      </w:pPr>
      <w:r w:rsidRPr="00A70F90">
        <w:t>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426B42BC" w14:textId="77777777" w:rsidR="000211AB" w:rsidRPr="00A70F90" w:rsidRDefault="000211AB" w:rsidP="000E5CBD">
      <w:pPr>
        <w:spacing w:after="0" w:line="360" w:lineRule="auto"/>
      </w:pPr>
    </w:p>
    <w:p w14:paraId="27EBFDBD" w14:textId="3EE15FBD" w:rsidR="000211AB" w:rsidRPr="00A70F90" w:rsidRDefault="000211AB" w:rsidP="000E5CBD">
      <w:pPr>
        <w:spacing w:after="0" w:line="360" w:lineRule="auto"/>
      </w:pPr>
      <w:r w:rsidRPr="00A70F90">
        <w:lastRenderedPageBreak/>
        <w:t>En ese orden de ideas, los Lineamientos para la Integración y Entrega del Informe Trimestral Municipal, dos mil veinticuatro,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6722A8E7" w14:textId="77777777" w:rsidR="000211AB" w:rsidRPr="00A70F90" w:rsidRDefault="000211AB" w:rsidP="000E5CBD">
      <w:pPr>
        <w:spacing w:after="0" w:line="360" w:lineRule="auto"/>
      </w:pPr>
    </w:p>
    <w:p w14:paraId="37B69E8E" w14:textId="24C55FEF" w:rsidR="000211AB" w:rsidRPr="00A70F90" w:rsidRDefault="000211AB" w:rsidP="000E5CBD">
      <w:pPr>
        <w:spacing w:after="0" w:line="360" w:lineRule="auto"/>
      </w:pPr>
      <w:r w:rsidRPr="00A70F90">
        <w:t xml:space="preserve">Al respecto, el Manual de Organización de la Tesorería Municipal del Ayuntamiento de Calimaya administración dos mil veinticinco, dos mil veintisiete, establece que la </w:t>
      </w:r>
      <w:proofErr w:type="spellStart"/>
      <w:r w:rsidRPr="00A70F90">
        <w:t>Subtesorería</w:t>
      </w:r>
      <w:proofErr w:type="spellEnd"/>
      <w:r w:rsidRPr="00A70F90">
        <w:t xml:space="preserve"> Municipal es el área de la Tesorería encargada entre otras cosas </w:t>
      </w:r>
      <w:r w:rsidR="004D3A28" w:rsidRPr="00A70F90">
        <w:t>de elaborar</w:t>
      </w:r>
      <w:r w:rsidRPr="00A70F90">
        <w:t xml:space="preserve"> mecanismos para regular el </w:t>
      </w:r>
      <w:r w:rsidRPr="00A70F90">
        <w:rPr>
          <w:u w:val="single"/>
        </w:rPr>
        <w:t xml:space="preserve">pago a proveedores y contratistas de bienes y servicios, </w:t>
      </w:r>
      <w:r w:rsidRPr="00A70F90">
        <w:t>así como de programar los pagos que se deben efectuar con cargo al presupuesto de egresos del Municipio y verificar que se lleven a cabo.</w:t>
      </w:r>
    </w:p>
    <w:p w14:paraId="6E67B475" w14:textId="77777777" w:rsidR="000211AB" w:rsidRPr="00A70F90" w:rsidRDefault="000211AB" w:rsidP="000E5CBD">
      <w:pPr>
        <w:spacing w:after="0" w:line="360" w:lineRule="auto"/>
      </w:pPr>
    </w:p>
    <w:p w14:paraId="1B82E118" w14:textId="2ECCECE2" w:rsidR="000211AB" w:rsidRPr="00A70F90" w:rsidRDefault="000211AB" w:rsidP="000E5CBD">
      <w:pPr>
        <w:spacing w:after="0" w:line="360" w:lineRule="auto"/>
        <w:rPr>
          <w:color w:val="auto"/>
        </w:rPr>
      </w:pPr>
      <w:r w:rsidRPr="00A70F90">
        <w:t>Además, establece que la Tesorería Municipal es la encargada de llevar los registros contables, financieros y administrativos de los ingresos, egresos, e inventarios.</w:t>
      </w:r>
    </w:p>
    <w:p w14:paraId="2B6E9970" w14:textId="77777777" w:rsidR="00C826FB" w:rsidRPr="00A70F90" w:rsidRDefault="00C826FB" w:rsidP="000E5CBD">
      <w:pPr>
        <w:spacing w:after="0" w:line="360" w:lineRule="auto"/>
        <w:rPr>
          <w:color w:val="FF0000"/>
        </w:rPr>
      </w:pPr>
    </w:p>
    <w:p w14:paraId="16EF4EFE" w14:textId="57B2C760" w:rsidR="00640BD0" w:rsidRPr="00A70F90" w:rsidRDefault="009F7B9D" w:rsidP="00640BD0">
      <w:pPr>
        <w:spacing w:line="360" w:lineRule="auto"/>
        <w:contextualSpacing/>
        <w:rPr>
          <w:color w:val="auto"/>
        </w:rPr>
      </w:pPr>
      <w:r w:rsidRPr="00A70F90">
        <w:rPr>
          <w:rFonts w:eastAsia="Times New Roman" w:cs="Tahoma"/>
          <w:bCs/>
          <w:iCs/>
          <w:color w:val="auto"/>
          <w:lang w:eastAsia="es-ES"/>
        </w:rPr>
        <w:t xml:space="preserve">Así, se logra vislumbrar que la pretensión de la persona Recurrente, es obtener, </w:t>
      </w:r>
      <w:r w:rsidR="00640BD0" w:rsidRPr="00A70F90">
        <w:rPr>
          <w:color w:val="auto"/>
        </w:rPr>
        <w:t>el documento donde conste el gasto efectuado por el mantenimiento de las 1,155 luminarias en el Ayuntamiento de Calimaya durante el ejercicio fiscal dos mil veinticinco.</w:t>
      </w:r>
    </w:p>
    <w:p w14:paraId="44F0AB34" w14:textId="77777777" w:rsidR="009F7B9D" w:rsidRPr="00A70F90" w:rsidRDefault="009F7B9D" w:rsidP="009F7B9D">
      <w:pPr>
        <w:spacing w:line="360" w:lineRule="auto"/>
        <w:rPr>
          <w:b/>
          <w:color w:val="FF0000"/>
        </w:rPr>
      </w:pPr>
    </w:p>
    <w:p w14:paraId="5FE4B99D" w14:textId="59BF2E99" w:rsidR="009F7B9D" w:rsidRPr="00A70F90" w:rsidRDefault="009F7B9D" w:rsidP="009F7B9D">
      <w:pPr>
        <w:spacing w:after="0" w:line="360" w:lineRule="auto"/>
        <w:rPr>
          <w:rFonts w:eastAsia="Times New Roman" w:cs="Tahoma"/>
          <w:bCs/>
          <w:iCs/>
          <w:color w:val="auto"/>
          <w:lang w:eastAsia="es-ES"/>
        </w:rPr>
      </w:pPr>
      <w:r w:rsidRPr="00A70F90">
        <w:rPr>
          <w:rFonts w:eastAsia="Times New Roman" w:cs="Tahoma"/>
          <w:bCs/>
          <w:iCs/>
          <w:color w:val="auto"/>
          <w:lang w:eastAsia="es-ES"/>
        </w:rPr>
        <w:t>Establecida dicha circunstancia, de las constancias que obran en el expediente electrónico, se advierte que el Sujeto Obligado turno la solicitud de información a la Tesorería Municipal</w:t>
      </w:r>
      <w:r w:rsidR="00640BD0" w:rsidRPr="00A70F90">
        <w:rPr>
          <w:rFonts w:eastAsia="Times New Roman" w:cs="Tahoma"/>
          <w:bCs/>
          <w:iCs/>
          <w:color w:val="auto"/>
          <w:lang w:eastAsia="es-ES"/>
        </w:rPr>
        <w:t>, Dirección de Administración y Dirección de Servicios Públicos</w:t>
      </w:r>
      <w:r w:rsidRPr="00A70F90">
        <w:rPr>
          <w:rFonts w:eastAsia="Times New Roman" w:cs="Tahoma"/>
          <w:bCs/>
          <w:iCs/>
          <w:color w:val="auto"/>
          <w:lang w:eastAsia="es-ES"/>
        </w:rPr>
        <w:t xml:space="preserve">; por lo que, es oportuno hacer referencia al </w:t>
      </w:r>
      <w:r w:rsidRPr="00A70F90">
        <w:rPr>
          <w:rFonts w:eastAsia="Times New Roman" w:cs="Tahoma"/>
          <w:b/>
          <w:bCs/>
          <w:iCs/>
          <w:color w:val="auto"/>
          <w:lang w:eastAsia="es-ES"/>
        </w:rPr>
        <w:t xml:space="preserve">procedimiento de búsqueda que deben de seguir los Sujetos Obligados para </w:t>
      </w:r>
      <w:r w:rsidRPr="00A70F90">
        <w:rPr>
          <w:rFonts w:eastAsia="Times New Roman" w:cs="Tahoma"/>
          <w:b/>
          <w:bCs/>
          <w:iCs/>
          <w:color w:val="auto"/>
          <w:lang w:eastAsia="es-ES"/>
        </w:rPr>
        <w:lastRenderedPageBreak/>
        <w:t>localizar la información,</w:t>
      </w:r>
      <w:r w:rsidRPr="00A70F90">
        <w:rPr>
          <w:rFonts w:eastAsia="Times New Roman" w:cs="Tahoma"/>
          <w:bCs/>
          <w:iCs/>
          <w:color w:val="auto"/>
          <w:lang w:eastAsia="es-ES"/>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4B1A010" w14:textId="77777777" w:rsidR="009F7B9D" w:rsidRPr="00A70F90" w:rsidRDefault="009F7B9D" w:rsidP="009F7B9D">
      <w:pPr>
        <w:spacing w:after="0" w:line="360" w:lineRule="auto"/>
        <w:rPr>
          <w:rFonts w:eastAsia="Times New Roman" w:cs="Tahoma"/>
          <w:bCs/>
          <w:iCs/>
          <w:color w:val="FF0000"/>
          <w:lang w:eastAsia="es-ES"/>
        </w:rPr>
      </w:pPr>
    </w:p>
    <w:p w14:paraId="0D567276" w14:textId="51163FE5" w:rsidR="009F7B9D" w:rsidRPr="00A70F90" w:rsidRDefault="009F7B9D" w:rsidP="009F7B9D">
      <w:pPr>
        <w:spacing w:after="0" w:line="360" w:lineRule="auto"/>
        <w:rPr>
          <w:rFonts w:eastAsia="Times New Roman" w:cs="Tahoma"/>
          <w:bCs/>
          <w:iCs/>
          <w:color w:val="FF0000"/>
          <w:lang w:eastAsia="es-ES"/>
        </w:rPr>
      </w:pPr>
      <w:r w:rsidRPr="00A70F90">
        <w:rPr>
          <w:rFonts w:eastAsia="Times New Roman" w:cs="Tahoma"/>
          <w:bCs/>
          <w:iCs/>
          <w:color w:val="auto"/>
          <w:lang w:eastAsia="es-ES"/>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el requerimiento informativo </w:t>
      </w:r>
      <w:r w:rsidR="00A72017" w:rsidRPr="00A70F90">
        <w:rPr>
          <w:rFonts w:eastAsia="Times New Roman" w:cs="Tahoma"/>
          <w:bCs/>
          <w:iCs/>
          <w:color w:val="auto"/>
          <w:lang w:eastAsia="es-ES"/>
        </w:rPr>
        <w:t>a las áreas competentes para conocer de lo solicitado.</w:t>
      </w:r>
    </w:p>
    <w:p w14:paraId="4871DAE1" w14:textId="77777777" w:rsidR="009F7B9D" w:rsidRPr="00A70F90" w:rsidRDefault="009F7B9D" w:rsidP="009F7B9D">
      <w:pPr>
        <w:spacing w:after="0" w:line="360" w:lineRule="auto"/>
        <w:rPr>
          <w:rFonts w:eastAsia="Times New Roman" w:cs="Tahoma"/>
          <w:bCs/>
          <w:iCs/>
          <w:color w:val="FF0000"/>
          <w:lang w:eastAsia="es-ES"/>
        </w:rPr>
      </w:pPr>
    </w:p>
    <w:p w14:paraId="1E1486F5" w14:textId="4427AAEB" w:rsidR="009637BF" w:rsidRPr="00A70F90" w:rsidRDefault="009F7B9D" w:rsidP="009637BF">
      <w:pPr>
        <w:spacing w:line="360" w:lineRule="auto"/>
        <w:contextualSpacing/>
        <w:rPr>
          <w:color w:val="auto"/>
        </w:rPr>
      </w:pPr>
      <w:r w:rsidRPr="00A70F90">
        <w:rPr>
          <w:rFonts w:eastAsia="Times New Roman" w:cs="Tahoma"/>
          <w:bCs/>
          <w:iCs/>
          <w:color w:val="auto"/>
          <w:lang w:eastAsia="es-ES"/>
        </w:rPr>
        <w:t>Ahora bien, se procede al análisis de la respuesta del Sujeto Obligado</w:t>
      </w:r>
      <w:r w:rsidR="00A72017" w:rsidRPr="00A70F90">
        <w:rPr>
          <w:rFonts w:eastAsia="Times New Roman" w:cs="Tahoma"/>
          <w:bCs/>
          <w:iCs/>
          <w:color w:val="auto"/>
          <w:lang w:eastAsia="es-ES"/>
        </w:rPr>
        <w:t xml:space="preserve"> </w:t>
      </w:r>
      <w:r w:rsidR="00A72017" w:rsidRPr="00A70F90">
        <w:rPr>
          <w:color w:val="auto"/>
        </w:rPr>
        <w:t xml:space="preserve">la Dirección de Administración y la Tesorería Municipal señalaron que después de realizar una búsqueda exhaustiva en sus archivos no se localizó información referente a lo solicitado, por su parte la Dirección de Servicios Públicos  manifestó que no hubo gasto para el mantenimiento de las 1,155 luminarias, toda vez que en ese momento </w:t>
      </w:r>
      <w:r w:rsidR="004D3A28" w:rsidRPr="00A70F90">
        <w:rPr>
          <w:color w:val="auto"/>
        </w:rPr>
        <w:t>el área</w:t>
      </w:r>
      <w:r w:rsidR="00A72017" w:rsidRPr="00A70F90">
        <w:rPr>
          <w:color w:val="auto"/>
        </w:rPr>
        <w:t xml:space="preserve"> contaba con</w:t>
      </w:r>
      <w:r w:rsidR="004D3A28" w:rsidRPr="00A70F90">
        <w:rPr>
          <w:color w:val="auto"/>
        </w:rPr>
        <w:t xml:space="preserve"> todo</w:t>
      </w:r>
      <w:r w:rsidR="00A72017" w:rsidRPr="00A70F90">
        <w:rPr>
          <w:color w:val="auto"/>
        </w:rPr>
        <w:t xml:space="preserve"> el material necesario para realizar el mantenimiento y cambio de luminarias</w:t>
      </w:r>
      <w:r w:rsidR="009637BF" w:rsidRPr="00A70F90">
        <w:rPr>
          <w:color w:val="auto"/>
        </w:rPr>
        <w:t xml:space="preserve">, así mismo así mismo anexo el Reporte Interno de Mantenimiento de Luminarias de Alumbrado Público, de enero a diciembre de dos mil veinticinco. </w:t>
      </w:r>
    </w:p>
    <w:p w14:paraId="0694A090" w14:textId="77777777" w:rsidR="00A72017" w:rsidRPr="00A70F90" w:rsidRDefault="00A72017" w:rsidP="00A72017">
      <w:pPr>
        <w:spacing w:after="0" w:line="360" w:lineRule="auto"/>
        <w:rPr>
          <w:rFonts w:eastAsia="Times New Roman" w:cs="Tahoma"/>
          <w:bCs/>
          <w:iCs/>
          <w:color w:val="FF0000"/>
          <w:lang w:eastAsia="es-ES"/>
        </w:rPr>
      </w:pPr>
    </w:p>
    <w:p w14:paraId="758DDEC5" w14:textId="3C6555FE" w:rsidR="00A72017" w:rsidRPr="00A70F90" w:rsidRDefault="004D3A28" w:rsidP="004D3A28">
      <w:pPr>
        <w:spacing w:after="0" w:line="360" w:lineRule="auto"/>
      </w:pPr>
      <w:r w:rsidRPr="00A70F90">
        <w:t>S</w:t>
      </w:r>
      <w:r w:rsidR="009637BF" w:rsidRPr="00A70F90">
        <w:t>obre el tema, el Criterio</w:t>
      </w:r>
      <w:r w:rsidRPr="00A70F90">
        <w:t xml:space="preserve"> Orientador</w:t>
      </w:r>
      <w:r w:rsidR="009637BF" w:rsidRPr="00A70F90">
        <w:t xml:space="preserve"> SO/014/2017, emitido por el Instituto Nacional de Transparencia, Acceso a la Información Pública y Protección de Datos Personales en el Estado de México y Municipios</w:t>
      </w:r>
      <w:r w:rsidRPr="00A70F90">
        <w:t>, establece</w:t>
      </w:r>
      <w:r w:rsidR="009637BF" w:rsidRPr="00A70F90">
        <w:t xml:space="preserve"> que la inexistencia de la información, es una cuestión de hecho que se le atribuye a la misma, cuando ésta no se encuentra en los archivos del sujeto obligado. En ese orden de ideas, según Trujillo, Humberto (2019), en el “Diccionario de </w:t>
      </w:r>
      <w:r w:rsidR="009637BF" w:rsidRPr="00A70F90">
        <w:lastRenderedPageBreak/>
        <w:t>Transparencia y Acceso a la Información Pública” (p. 171), la inexistencia de la información, es cuando la información requerida no se encuentra en los archivos públicos, reservados o clasificados, de los sujetos obligados.</w:t>
      </w:r>
    </w:p>
    <w:p w14:paraId="555C3A1A" w14:textId="77777777" w:rsidR="009637BF" w:rsidRPr="00A70F90" w:rsidRDefault="009637BF" w:rsidP="00A72017">
      <w:pPr>
        <w:spacing w:after="0" w:line="360" w:lineRule="auto"/>
      </w:pPr>
    </w:p>
    <w:p w14:paraId="4E2DE717" w14:textId="15131E45" w:rsidR="009637BF" w:rsidRPr="00A70F90" w:rsidRDefault="009637BF" w:rsidP="00A72017">
      <w:pPr>
        <w:spacing w:after="0" w:line="360" w:lineRule="auto"/>
        <w:rPr>
          <w:rFonts w:eastAsia="Times New Roman" w:cs="Tahoma"/>
          <w:bCs/>
          <w:iCs/>
          <w:color w:val="FF0000"/>
          <w:lang w:eastAsia="es-ES"/>
        </w:rPr>
      </w:pPr>
      <w:r w:rsidRPr="00A70F90">
        <w:t xml:space="preserve">Así, es posible concluir que la </w:t>
      </w:r>
      <w:r w:rsidRPr="00A70F90">
        <w:rPr>
          <w:b/>
        </w:rPr>
        <w:t>inexistencia</w:t>
      </w:r>
      <w:r w:rsidRPr="00A70F90">
        <w:t xml:space="preserve">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w:t>
      </w:r>
    </w:p>
    <w:p w14:paraId="197CF44B" w14:textId="77777777" w:rsidR="009637BF" w:rsidRPr="00A70F90" w:rsidRDefault="009637BF" w:rsidP="00A72017">
      <w:pPr>
        <w:spacing w:after="0" w:line="360" w:lineRule="auto"/>
        <w:rPr>
          <w:color w:val="FF0000"/>
        </w:rPr>
      </w:pPr>
    </w:p>
    <w:p w14:paraId="207649C4" w14:textId="6A1887DE" w:rsidR="004D3A28" w:rsidRPr="00A70F90" w:rsidRDefault="009637BF" w:rsidP="00A72017">
      <w:pPr>
        <w:spacing w:after="0" w:line="360" w:lineRule="auto"/>
        <w:rPr>
          <w:color w:val="auto"/>
        </w:rPr>
      </w:pPr>
      <w:r w:rsidRPr="00A70F90">
        <w:t>En ese contexto, el Sujeto Obligado precisó que no</w:t>
      </w:r>
      <w:r w:rsidR="00FA74CC" w:rsidRPr="00A70F90">
        <w:t xml:space="preserve"> se contaba con información respecto relacionado con mantenimiento de las luminarias, ya que la Dirección de Servicios Públicos </w:t>
      </w:r>
      <w:r w:rsidR="00FA74CC" w:rsidRPr="00A70F90">
        <w:rPr>
          <w:color w:val="auto"/>
        </w:rPr>
        <w:t xml:space="preserve">contaba con el material necesario para realizar el mantenimiento y cambio de luminarias </w:t>
      </w:r>
      <w:r w:rsidR="0067583D" w:rsidRPr="00A70F90">
        <w:rPr>
          <w:color w:val="auto"/>
        </w:rPr>
        <w:t xml:space="preserve">que se requería; lo cual toma relevancia pues de la revisión del Reporte Interno de Mantenimiento de Luminarias de Alumbrado Público, </w:t>
      </w:r>
      <w:r w:rsidR="008B427C" w:rsidRPr="00A70F90">
        <w:rPr>
          <w:color w:val="auto"/>
        </w:rPr>
        <w:t xml:space="preserve">se logra advertir que durante el ejercicio </w:t>
      </w:r>
      <w:r w:rsidR="004D3A28" w:rsidRPr="00A70F90">
        <w:rPr>
          <w:color w:val="auto"/>
        </w:rPr>
        <w:t>fiscal se llevaron</w:t>
      </w:r>
      <w:r w:rsidR="008B427C" w:rsidRPr="00A70F90">
        <w:rPr>
          <w:color w:val="auto"/>
        </w:rPr>
        <w:t xml:space="preserve"> a cabo reparaciones</w:t>
      </w:r>
      <w:r w:rsidR="004D3A28" w:rsidRPr="00A70F90">
        <w:rPr>
          <w:color w:val="auto"/>
        </w:rPr>
        <w:t>, con el propio materia e insumos con los que contaba el área, es decir, fue una actividad realizada por los servidores públicos de la unidad administrativa, con el materia que obraba en la misma</w:t>
      </w:r>
      <w:r w:rsidR="007051D1" w:rsidRPr="00A70F90">
        <w:rPr>
          <w:color w:val="auto"/>
        </w:rPr>
        <w:t>; además, que la mayoría de  los mantenimientos fue de rectificación de línea, que implica una reparación o adecuación de circuitos eléctricos que alimentan a la luminaria, lo cual principalmente ocupa la mano de obra.</w:t>
      </w:r>
    </w:p>
    <w:p w14:paraId="78DF3CF5" w14:textId="77777777" w:rsidR="007051D1" w:rsidRPr="00A70F90" w:rsidRDefault="007051D1" w:rsidP="00A72017">
      <w:pPr>
        <w:spacing w:after="0" w:line="360" w:lineRule="auto"/>
        <w:rPr>
          <w:color w:val="auto"/>
        </w:rPr>
      </w:pPr>
    </w:p>
    <w:p w14:paraId="574800EE" w14:textId="7A330E88" w:rsidR="007051D1" w:rsidRPr="00A70F90" w:rsidRDefault="007051D1" w:rsidP="00A72017">
      <w:pPr>
        <w:spacing w:after="0" w:line="360" w:lineRule="auto"/>
        <w:rPr>
          <w:color w:val="auto"/>
        </w:rPr>
      </w:pPr>
      <w:r w:rsidRPr="00A70F90">
        <w:rPr>
          <w:color w:val="auto"/>
        </w:rPr>
        <w:t>Además, se realizó una búsqueda en la página oficial del Sujeto Obligado, sus redes sociales y el Portal de Información Pública de Oficio Mexiquense, y no se localizó algún indicio de adquisición de materiales o reparación para luminarias, lo cual refuerza que todo fue hecho con los recursos materiales y humanos con los que contaba el área.</w:t>
      </w:r>
    </w:p>
    <w:p w14:paraId="00A05739" w14:textId="77777777" w:rsidR="004D3A28" w:rsidRPr="00A70F90" w:rsidRDefault="004D3A28" w:rsidP="00A72017">
      <w:pPr>
        <w:spacing w:after="0" w:line="360" w:lineRule="auto"/>
        <w:rPr>
          <w:color w:val="auto"/>
        </w:rPr>
      </w:pPr>
    </w:p>
    <w:p w14:paraId="7F39B04B" w14:textId="09D9C1F2" w:rsidR="008B427C" w:rsidRPr="00A70F90" w:rsidRDefault="008B427C" w:rsidP="00A72017">
      <w:pPr>
        <w:spacing w:after="0" w:line="360" w:lineRule="auto"/>
      </w:pPr>
      <w:r w:rsidRPr="00A70F90">
        <w:lastRenderedPageBreak/>
        <w:t>Así, se logra colegir que la información solicitada por el ahora Recurrente es inexistente, pues el Sujeto Obligado, realizó una búsqueda exhaustiva y razonable en los archivos de la</w:t>
      </w:r>
      <w:r w:rsidR="00CE1904" w:rsidRPr="00A70F90">
        <w:t>s</w:t>
      </w:r>
      <w:r w:rsidRPr="00A70F90">
        <w:t xml:space="preserve"> unidad</w:t>
      </w:r>
      <w:r w:rsidR="00CE1904" w:rsidRPr="00A70F90">
        <w:t>es</w:t>
      </w:r>
      <w:r w:rsidRPr="00A70F90">
        <w:t xml:space="preserve"> administrativa</w:t>
      </w:r>
      <w:r w:rsidR="00CE1904" w:rsidRPr="00A70F90">
        <w:t>s</w:t>
      </w:r>
      <w:r w:rsidRPr="00A70F90">
        <w:t xml:space="preserve"> competente</w:t>
      </w:r>
      <w:r w:rsidR="00CE1904" w:rsidRPr="00A70F90">
        <w:t>s</w:t>
      </w:r>
      <w:r w:rsidRPr="00A70F90">
        <w:t xml:space="preserve"> y esta</w:t>
      </w:r>
      <w:r w:rsidR="00CE1904" w:rsidRPr="00A70F90">
        <w:t>s señalaron</w:t>
      </w:r>
      <w:r w:rsidRPr="00A70F90">
        <w:t xml:space="preserve"> los motivos por los cuales no contaba con la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r w:rsidR="00CE1904" w:rsidRPr="00A70F90">
        <w:t>.</w:t>
      </w:r>
    </w:p>
    <w:p w14:paraId="01F2246E" w14:textId="77777777" w:rsidR="00CE1904" w:rsidRPr="00A70F90" w:rsidRDefault="00CE1904" w:rsidP="00A72017">
      <w:pPr>
        <w:spacing w:after="0" w:line="360" w:lineRule="auto"/>
      </w:pPr>
    </w:p>
    <w:p w14:paraId="416C3653" w14:textId="52300391" w:rsidR="00CE1904" w:rsidRPr="00A70F90" w:rsidRDefault="00CE1904" w:rsidP="00A72017">
      <w:pPr>
        <w:spacing w:after="0" w:line="360" w:lineRule="auto"/>
      </w:pPr>
      <w:r w:rsidRPr="00A70F90">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1705B376" w14:textId="77777777" w:rsidR="00CE1904" w:rsidRPr="00A70F90" w:rsidRDefault="00CE1904" w:rsidP="00A72017">
      <w:pPr>
        <w:spacing w:after="0" w:line="360" w:lineRule="auto"/>
      </w:pPr>
    </w:p>
    <w:p w14:paraId="50C26AEA" w14:textId="7B1DEE92" w:rsidR="00CE1904" w:rsidRPr="00A70F90" w:rsidRDefault="00CE1904" w:rsidP="00A72017">
      <w:pPr>
        <w:spacing w:after="0" w:line="360" w:lineRule="auto"/>
      </w:pPr>
      <w:r w:rsidRPr="00A70F90">
        <w:t xml:space="preserve">Al respecto, dicho criterio aplica al caso en concreto, ya que, no se localizó algún indicio </w:t>
      </w:r>
      <w:r w:rsidR="007051D1" w:rsidRPr="00A70F90">
        <w:t>de que</w:t>
      </w:r>
      <w:r w:rsidRPr="00A70F90">
        <w:t xml:space="preserve"> el Sujeto Obligado contará con algún gasto relacionado por el concepto señalado; ahora bien, De tales circunstancias, se concluye que al no existir fuente obligacional del Sujeto Obligado para contar con la información requerida el agravio resulta </w:t>
      </w:r>
      <w:r w:rsidRPr="00A70F90">
        <w:rPr>
          <w:b/>
        </w:rPr>
        <w:t>INFUNDADO</w:t>
      </w:r>
      <w:r w:rsidRPr="00A70F90">
        <w:t>, pues desde respuesta el Sujeto Obligado señaló las razones por las cuales no contaba con lo peticionado.</w:t>
      </w:r>
    </w:p>
    <w:p w14:paraId="6ABD76BF" w14:textId="77777777" w:rsidR="003507DB" w:rsidRPr="00A70F90" w:rsidRDefault="003507DB" w:rsidP="003507DB">
      <w:pPr>
        <w:tabs>
          <w:tab w:val="left" w:pos="4962"/>
        </w:tabs>
        <w:spacing w:line="360" w:lineRule="auto"/>
        <w:contextualSpacing/>
        <w:rPr>
          <w:rFonts w:eastAsia="Calibri" w:cs="Tahoma"/>
          <w:iCs/>
          <w:color w:val="FF0000"/>
          <w:lang w:eastAsia="es-ES_tradnl"/>
        </w:rPr>
      </w:pPr>
    </w:p>
    <w:p w14:paraId="4E4E73C3" w14:textId="36803695" w:rsidR="00E36F8E" w:rsidRPr="00A70F90" w:rsidRDefault="007C4A4C" w:rsidP="00614700">
      <w:pPr>
        <w:keepNext/>
        <w:keepLines/>
        <w:spacing w:after="0" w:line="360" w:lineRule="auto"/>
        <w:jc w:val="left"/>
        <w:outlineLvl w:val="1"/>
        <w:rPr>
          <w:rFonts w:eastAsia="Times New Roman" w:cs="Times New Roman"/>
          <w:b/>
          <w:color w:val="auto"/>
          <w:szCs w:val="26"/>
          <w:lang w:val="es-ES" w:eastAsia="es-ES"/>
        </w:rPr>
      </w:pPr>
      <w:bookmarkStart w:id="21" w:name="_Toc194590232"/>
      <w:bookmarkStart w:id="22" w:name="_Toc210305130"/>
      <w:bookmarkStart w:id="23" w:name="_Toc224820176"/>
      <w:r w:rsidRPr="00A70F90">
        <w:rPr>
          <w:rFonts w:eastAsia="Times New Roman" w:cs="Times New Roman"/>
          <w:b/>
          <w:color w:val="auto"/>
          <w:szCs w:val="26"/>
          <w:lang w:val="es-ES" w:eastAsia="es-ES"/>
        </w:rPr>
        <w:t>SEXTO</w:t>
      </w:r>
      <w:r w:rsidR="00E36F8E" w:rsidRPr="00A70F90">
        <w:rPr>
          <w:rFonts w:eastAsia="Times New Roman" w:cs="Times New Roman"/>
          <w:b/>
          <w:color w:val="auto"/>
          <w:szCs w:val="26"/>
          <w:lang w:val="es-ES" w:eastAsia="es-ES"/>
        </w:rPr>
        <w:t>. Decisión</w:t>
      </w:r>
      <w:bookmarkEnd w:id="21"/>
      <w:bookmarkEnd w:id="22"/>
      <w:bookmarkEnd w:id="23"/>
      <w:r w:rsidR="00E36F8E" w:rsidRPr="00A70F90">
        <w:rPr>
          <w:rFonts w:eastAsia="Times New Roman" w:cs="Times New Roman"/>
          <w:b/>
          <w:color w:val="auto"/>
          <w:szCs w:val="26"/>
          <w:lang w:val="es-ES" w:eastAsia="es-ES"/>
        </w:rPr>
        <w:t xml:space="preserve"> </w:t>
      </w:r>
    </w:p>
    <w:p w14:paraId="32BBE957" w14:textId="77777777" w:rsidR="00E36F8E" w:rsidRPr="00A70F90" w:rsidRDefault="00E36F8E" w:rsidP="00614700">
      <w:pPr>
        <w:spacing w:after="0" w:line="360" w:lineRule="auto"/>
        <w:rPr>
          <w:rFonts w:eastAsia="Times New Roman" w:cs="Tahoma"/>
          <w:b/>
          <w:color w:val="auto"/>
          <w:lang w:val="es-ES" w:eastAsia="es-ES"/>
        </w:rPr>
      </w:pPr>
    </w:p>
    <w:p w14:paraId="31565FA4" w14:textId="310F87D7" w:rsidR="00E36F8E" w:rsidRPr="00A70F90" w:rsidRDefault="009601F0" w:rsidP="00614700">
      <w:pPr>
        <w:spacing w:after="0" w:line="360" w:lineRule="auto"/>
        <w:rPr>
          <w:color w:val="auto"/>
        </w:rPr>
      </w:pPr>
      <w:r w:rsidRPr="00A70F90">
        <w:rPr>
          <w:color w:val="auto"/>
        </w:rPr>
        <w:lastRenderedPageBreak/>
        <w:t xml:space="preserve">Con fundamento en el artículo 186, fracción II, de la Ley de Transparencia y Acceso a la Información Pública del Estado de México y Municipios, este Instituto considera procedente </w:t>
      </w:r>
      <w:r w:rsidRPr="00A70F90">
        <w:rPr>
          <w:b/>
          <w:color w:val="auto"/>
        </w:rPr>
        <w:t>CONFIRMAR</w:t>
      </w:r>
      <w:r w:rsidRPr="00A70F90">
        <w:rPr>
          <w:color w:val="auto"/>
        </w:rPr>
        <w:t xml:space="preserve"> la respuesta otorgada por el Sujeto Obligado.</w:t>
      </w:r>
    </w:p>
    <w:p w14:paraId="70D3DBAF" w14:textId="77777777" w:rsidR="009601F0" w:rsidRPr="00A70F90" w:rsidRDefault="009601F0" w:rsidP="00614700">
      <w:pPr>
        <w:spacing w:after="0" w:line="360" w:lineRule="auto"/>
        <w:rPr>
          <w:color w:val="auto"/>
        </w:rPr>
      </w:pPr>
    </w:p>
    <w:p w14:paraId="599FE686" w14:textId="2CDB44E2" w:rsidR="00E36F8E" w:rsidRPr="00A70F90" w:rsidRDefault="00E36F8E" w:rsidP="00614700">
      <w:pPr>
        <w:spacing w:after="0" w:line="360" w:lineRule="auto"/>
        <w:rPr>
          <w:rFonts w:eastAsia="Times New Roman" w:cs="Tahoma"/>
          <w:b/>
          <w:bCs/>
          <w:color w:val="auto"/>
          <w:lang w:eastAsia="es-ES"/>
        </w:rPr>
      </w:pPr>
      <w:r w:rsidRPr="00A70F90">
        <w:rPr>
          <w:rFonts w:eastAsia="Times New Roman" w:cs="Tahoma"/>
          <w:b/>
          <w:bCs/>
          <w:color w:val="auto"/>
          <w:lang w:eastAsia="es-ES"/>
        </w:rPr>
        <w:t>Términos de l</w:t>
      </w:r>
      <w:r w:rsidR="009601F0" w:rsidRPr="00A70F90">
        <w:rPr>
          <w:rFonts w:eastAsia="Times New Roman" w:cs="Tahoma"/>
          <w:b/>
          <w:bCs/>
          <w:color w:val="auto"/>
          <w:lang w:eastAsia="es-ES"/>
        </w:rPr>
        <w:t>a Resolución para el Recurrente</w:t>
      </w:r>
    </w:p>
    <w:p w14:paraId="72EE541C" w14:textId="77777777" w:rsidR="009601F0" w:rsidRPr="00A70F90" w:rsidRDefault="009601F0" w:rsidP="00614700">
      <w:pPr>
        <w:spacing w:after="0" w:line="360" w:lineRule="auto"/>
        <w:rPr>
          <w:rFonts w:eastAsia="Times New Roman" w:cs="Tahoma"/>
          <w:b/>
          <w:bCs/>
          <w:color w:val="FF0000"/>
          <w:lang w:eastAsia="es-ES"/>
        </w:rPr>
      </w:pPr>
    </w:p>
    <w:p w14:paraId="0A9FBEAA" w14:textId="394FB8C5" w:rsidR="009601F0" w:rsidRPr="00A70F90" w:rsidRDefault="009601F0" w:rsidP="009601F0">
      <w:pPr>
        <w:spacing w:after="0" w:line="360" w:lineRule="auto"/>
        <w:rPr>
          <w:rFonts w:eastAsia="Times New Roman" w:cs="Tahoma"/>
          <w:bCs/>
          <w:color w:val="FF0000"/>
          <w:u w:val="single"/>
          <w:lang w:eastAsia="es-ES"/>
        </w:rPr>
      </w:pPr>
      <w:r w:rsidRPr="00A70F90">
        <w:t>Se le hace del conocimiento al Particular, que, en el presente caso, no se le concede la razón pues el Sujeto Obligado, no cuenta con fuente obligacional para contar con la información solicitada, además de que desde respuesta señalo los motivos por los cuales no contaba con la información requerida. Finalmente, se le informa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07F6FD46" w14:textId="77777777" w:rsidR="007C4A4C" w:rsidRPr="00A70F90" w:rsidRDefault="007C4A4C" w:rsidP="00614700">
      <w:pPr>
        <w:spacing w:after="0" w:line="360" w:lineRule="auto"/>
        <w:rPr>
          <w:rFonts w:eastAsia="Times New Roman" w:cs="Tahoma"/>
          <w:bCs/>
          <w:color w:val="FF0000"/>
          <w:u w:val="single"/>
          <w:lang w:eastAsia="es-ES"/>
        </w:rPr>
      </w:pPr>
    </w:p>
    <w:p w14:paraId="14AC754E" w14:textId="4D6A7428" w:rsidR="00E36F8E" w:rsidRPr="00A70F90" w:rsidRDefault="00E36F8E" w:rsidP="00614700">
      <w:pPr>
        <w:spacing w:after="0" w:line="360" w:lineRule="auto"/>
        <w:rPr>
          <w:rFonts w:eastAsia="Calibri" w:cs="Tahoma"/>
          <w:bCs/>
          <w:color w:val="auto"/>
          <w:szCs w:val="20"/>
          <w:lang w:eastAsia="en-US"/>
        </w:rPr>
      </w:pPr>
      <w:r w:rsidRPr="00A70F90">
        <w:rPr>
          <w:rFonts w:eastAsia="Calibri" w:cs="Tahoma"/>
          <w:bCs/>
          <w:color w:val="auto"/>
          <w:szCs w:val="20"/>
          <w:lang w:eastAsia="en-US"/>
        </w:rPr>
        <w:t>Por lo expuesto y fundado, este Pleno:</w:t>
      </w:r>
    </w:p>
    <w:p w14:paraId="696FF19C" w14:textId="77777777" w:rsidR="00E36F8E" w:rsidRPr="00A70F90" w:rsidRDefault="00E36F8E" w:rsidP="00614700">
      <w:pPr>
        <w:keepNext/>
        <w:keepLines/>
        <w:spacing w:after="0" w:line="360" w:lineRule="auto"/>
        <w:jc w:val="center"/>
        <w:outlineLvl w:val="0"/>
        <w:rPr>
          <w:rFonts w:eastAsia="Calibri" w:cs="Times New Roman"/>
          <w:b/>
          <w:color w:val="auto"/>
          <w:szCs w:val="32"/>
          <w:lang w:eastAsia="en-US"/>
        </w:rPr>
      </w:pPr>
      <w:bookmarkStart w:id="24" w:name="_Toc194590233"/>
      <w:bookmarkStart w:id="25" w:name="_Toc210305131"/>
      <w:bookmarkStart w:id="26" w:name="_Toc224820177"/>
      <w:r w:rsidRPr="00A70F90">
        <w:rPr>
          <w:rFonts w:eastAsia="Calibri" w:cs="Times New Roman"/>
          <w:b/>
          <w:color w:val="auto"/>
          <w:szCs w:val="32"/>
          <w:lang w:eastAsia="en-US"/>
        </w:rPr>
        <w:t>R E S U E L V E</w:t>
      </w:r>
      <w:bookmarkEnd w:id="24"/>
      <w:bookmarkEnd w:id="25"/>
      <w:bookmarkEnd w:id="26"/>
    </w:p>
    <w:p w14:paraId="0694D261" w14:textId="77777777" w:rsidR="00E36F8E" w:rsidRPr="00A70F90" w:rsidRDefault="00E36F8E" w:rsidP="00614700">
      <w:pPr>
        <w:spacing w:after="0" w:line="360" w:lineRule="auto"/>
        <w:jc w:val="center"/>
        <w:rPr>
          <w:rFonts w:eastAsia="Times New Roman" w:cs="Tahoma"/>
          <w:b/>
          <w:bCs/>
          <w:color w:val="auto"/>
          <w:lang w:eastAsia="es-ES"/>
        </w:rPr>
      </w:pPr>
    </w:p>
    <w:p w14:paraId="42703E00" w14:textId="45CCA13D" w:rsidR="009601F0" w:rsidRPr="00A70F90" w:rsidRDefault="00E36F8E" w:rsidP="00614700">
      <w:pPr>
        <w:spacing w:after="0" w:line="360" w:lineRule="auto"/>
        <w:ind w:right="113"/>
        <w:rPr>
          <w:color w:val="auto"/>
        </w:rPr>
      </w:pPr>
      <w:r w:rsidRPr="00A70F90">
        <w:rPr>
          <w:rFonts w:eastAsia="Times New Roman" w:cs="Arial"/>
          <w:b/>
          <w:color w:val="auto"/>
          <w:lang w:eastAsia="es-ES"/>
        </w:rPr>
        <w:t xml:space="preserve">PRIMERO. </w:t>
      </w:r>
      <w:r w:rsidR="009601F0" w:rsidRPr="00A70F90">
        <w:rPr>
          <w:color w:val="auto"/>
        </w:rPr>
        <w:t xml:space="preserve">Se </w:t>
      </w:r>
      <w:r w:rsidR="009601F0" w:rsidRPr="00A70F90">
        <w:rPr>
          <w:b/>
          <w:color w:val="auto"/>
        </w:rPr>
        <w:t>CONFIRMA</w:t>
      </w:r>
      <w:r w:rsidR="009601F0" w:rsidRPr="00A70F90">
        <w:rPr>
          <w:color w:val="auto"/>
        </w:rPr>
        <w:t xml:space="preserve"> la respuesta entregada por el Sujeto Obligado a la solicitud de acceso a la información con número de folio 00598/CALIMAYA/IP/2025, por resultar INFUNDADAS las razones o motivos de inconformidad hechas valer por el Recurrente, en términos de los Considerandos QUINTO y SEXTO de esta Resolución.</w:t>
      </w:r>
    </w:p>
    <w:p w14:paraId="786F52D4" w14:textId="77777777" w:rsidR="00334BDC" w:rsidRPr="00A70F90" w:rsidRDefault="00334BDC" w:rsidP="00614700">
      <w:pPr>
        <w:spacing w:after="0" w:line="360" w:lineRule="auto"/>
        <w:ind w:right="113"/>
        <w:rPr>
          <w:color w:val="auto"/>
        </w:rPr>
      </w:pPr>
    </w:p>
    <w:p w14:paraId="79525BDC" w14:textId="597E86EB" w:rsidR="009601F0" w:rsidRPr="00A70F90" w:rsidRDefault="009601F0" w:rsidP="00614700">
      <w:pPr>
        <w:spacing w:after="0" w:line="360" w:lineRule="auto"/>
        <w:ind w:right="113"/>
      </w:pPr>
      <w:r w:rsidRPr="00A70F90">
        <w:rPr>
          <w:b/>
        </w:rPr>
        <w:t>SEGUNDO. NOTIFÍQUESE POR SAIMEX</w:t>
      </w:r>
      <w:r w:rsidRPr="00A70F90">
        <w:t xml:space="preserve"> la presente resolución al Titular de la Unidad de Transparencia del Sujeto Obligado. </w:t>
      </w:r>
    </w:p>
    <w:p w14:paraId="3DAA339F" w14:textId="77777777" w:rsidR="009601F0" w:rsidRPr="00A70F90" w:rsidRDefault="009601F0" w:rsidP="00614700">
      <w:pPr>
        <w:spacing w:after="0" w:line="360" w:lineRule="auto"/>
        <w:ind w:right="113"/>
      </w:pPr>
    </w:p>
    <w:p w14:paraId="7A9B2279" w14:textId="75376698" w:rsidR="009601F0" w:rsidRPr="00A70F90" w:rsidRDefault="009601F0" w:rsidP="00614700">
      <w:pPr>
        <w:spacing w:after="0" w:line="360" w:lineRule="auto"/>
        <w:ind w:right="113"/>
        <w:rPr>
          <w:rFonts w:eastAsia="Times New Roman" w:cs="Arial"/>
          <w:b/>
          <w:color w:val="FF0000"/>
          <w:lang w:eastAsia="es-ES"/>
        </w:rPr>
      </w:pPr>
      <w:r w:rsidRPr="00A70F90">
        <w:rPr>
          <w:b/>
        </w:rPr>
        <w:lastRenderedPageBreak/>
        <w:t>TERCERO. NOTIFÍQUESE POR SAIMEX</w:t>
      </w:r>
      <w:r w:rsidR="00FF57E2">
        <w:t xml:space="preserve"> </w:t>
      </w:r>
      <w:r w:rsidRPr="00A70F90">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336650" w14:textId="77777777" w:rsidR="00B8304C" w:rsidRPr="00A70F90" w:rsidRDefault="00B8304C" w:rsidP="00614700">
      <w:pPr>
        <w:spacing w:after="0" w:line="360" w:lineRule="auto"/>
        <w:contextualSpacing/>
        <w:rPr>
          <w:color w:val="FF0000"/>
        </w:rPr>
      </w:pPr>
    </w:p>
    <w:p w14:paraId="0E16EA01" w14:textId="41E17664" w:rsidR="00D1318A" w:rsidRPr="009601F0" w:rsidRDefault="00D1318A" w:rsidP="00614700">
      <w:pPr>
        <w:spacing w:after="0" w:line="360" w:lineRule="auto"/>
        <w:contextualSpacing/>
        <w:rPr>
          <w:rFonts w:cs="Tahoma"/>
          <w:b/>
          <w:bCs/>
          <w:color w:val="auto"/>
        </w:rPr>
      </w:pPr>
      <w:r w:rsidRPr="00A70F90">
        <w:rPr>
          <w:rFonts w:eastAsia="Calibri" w:cs="Tahoma"/>
          <w:bCs/>
          <w:color w:val="auto"/>
        </w:rPr>
        <w:t>ASÍ LO RESUELVE, POR </w:t>
      </w:r>
      <w:r w:rsidRPr="00A70F90">
        <w:rPr>
          <w:rFonts w:eastAsia="Calibri" w:cs="Tahoma"/>
          <w:b/>
          <w:bCs/>
          <w:color w:val="auto"/>
        </w:rPr>
        <w:t>UNANIMIDAD</w:t>
      </w:r>
      <w:r w:rsidRPr="00A70F90">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A70F90">
        <w:rPr>
          <w:rFonts w:eastAsia="Calibri" w:cs="Tahoma"/>
          <w:bCs/>
          <w:color w:val="auto"/>
        </w:rPr>
        <w:t xml:space="preserve">, EN LA </w:t>
      </w:r>
      <w:r w:rsidR="00F10080" w:rsidRPr="00A70F90">
        <w:rPr>
          <w:rFonts w:eastAsia="Calibri" w:cs="Tahoma"/>
          <w:bCs/>
          <w:color w:val="auto"/>
        </w:rPr>
        <w:t>DÉCIMA</w:t>
      </w:r>
      <w:r w:rsidR="00B8304C" w:rsidRPr="00A70F90">
        <w:rPr>
          <w:rFonts w:eastAsia="Calibri" w:cs="Tahoma"/>
          <w:bCs/>
          <w:color w:val="auto"/>
        </w:rPr>
        <w:t xml:space="preserve"> </w:t>
      </w:r>
      <w:r w:rsidRPr="00A70F90">
        <w:rPr>
          <w:rFonts w:eastAsia="Calibri" w:cs="Tahoma"/>
          <w:bCs/>
          <w:color w:val="auto"/>
        </w:rPr>
        <w:t>SESIÓN ORDINA</w:t>
      </w:r>
      <w:r w:rsidR="00715343" w:rsidRPr="00A70F90">
        <w:rPr>
          <w:rFonts w:eastAsia="Calibri" w:cs="Tahoma"/>
          <w:bCs/>
          <w:color w:val="auto"/>
        </w:rPr>
        <w:t>RIA, C</w:t>
      </w:r>
      <w:r w:rsidR="0052714E" w:rsidRPr="00A70F90">
        <w:rPr>
          <w:rFonts w:eastAsia="Calibri" w:cs="Tahoma"/>
          <w:bCs/>
          <w:color w:val="auto"/>
        </w:rPr>
        <w:t xml:space="preserve">ELEBRADA EL </w:t>
      </w:r>
      <w:r w:rsidR="009601F0" w:rsidRPr="00A70F90">
        <w:rPr>
          <w:rFonts w:eastAsia="Calibri" w:cs="Tahoma"/>
          <w:bCs/>
          <w:color w:val="auto"/>
        </w:rPr>
        <w:t>DIECINUEVE</w:t>
      </w:r>
      <w:r w:rsidR="00B8304C" w:rsidRPr="00A70F90">
        <w:rPr>
          <w:rFonts w:eastAsia="Calibri" w:cs="Tahoma"/>
          <w:bCs/>
          <w:color w:val="auto"/>
        </w:rPr>
        <w:t xml:space="preserve"> DE MARZO </w:t>
      </w:r>
      <w:r w:rsidRPr="00A70F90">
        <w:rPr>
          <w:rFonts w:eastAsia="Calibri" w:cs="Tahoma"/>
          <w:bCs/>
          <w:color w:val="auto"/>
        </w:rPr>
        <w:t xml:space="preserve">DE DOS MIL </w:t>
      </w:r>
      <w:r w:rsidR="00B6260E" w:rsidRPr="00A70F90">
        <w:rPr>
          <w:rFonts w:eastAsia="Calibri" w:cs="Tahoma"/>
          <w:bCs/>
          <w:color w:val="auto"/>
        </w:rPr>
        <w:t>VEINTISÉIS</w:t>
      </w:r>
      <w:r w:rsidRPr="00A70F90">
        <w:rPr>
          <w:rFonts w:eastAsia="Calibri" w:cs="Tahoma"/>
          <w:bCs/>
          <w:color w:val="auto"/>
        </w:rPr>
        <w:t>, ANTE EL SECRETARIO TÉCNICO DEL PLENO, ALEXIS TAPIA RAMÍREZ.</w:t>
      </w:r>
    </w:p>
    <w:p w14:paraId="201BEE93" w14:textId="77777777" w:rsidR="00D1318A" w:rsidRPr="009601F0" w:rsidRDefault="00D1318A" w:rsidP="00614700">
      <w:pPr>
        <w:spacing w:after="0" w:line="360" w:lineRule="auto"/>
        <w:ind w:right="-28"/>
        <w:rPr>
          <w:color w:val="auto"/>
        </w:rPr>
      </w:pPr>
    </w:p>
    <w:p w14:paraId="6A9C3872" w14:textId="77777777" w:rsidR="00B02499" w:rsidRPr="007913B9" w:rsidRDefault="00B02499" w:rsidP="00614700">
      <w:pPr>
        <w:spacing w:after="0" w:line="360" w:lineRule="auto"/>
        <w:rPr>
          <w:rFonts w:eastAsia="Calibri" w:cs="Times New Roman"/>
          <w:b/>
          <w:bCs/>
          <w:color w:val="FF0000"/>
        </w:rPr>
      </w:pPr>
    </w:p>
    <w:p w14:paraId="062E4C5A" w14:textId="77777777" w:rsidR="00B02499" w:rsidRPr="007913B9" w:rsidRDefault="00B02499" w:rsidP="00614700">
      <w:pPr>
        <w:spacing w:after="0" w:line="360" w:lineRule="auto"/>
        <w:rPr>
          <w:rFonts w:eastAsia="Calibri" w:cs="Times New Roman"/>
          <w:b/>
          <w:bCs/>
          <w:color w:val="FF0000"/>
        </w:rPr>
      </w:pPr>
    </w:p>
    <w:p w14:paraId="3933D17E" w14:textId="77777777" w:rsidR="004A10B0" w:rsidRPr="007913B9" w:rsidRDefault="004A10B0" w:rsidP="00614700">
      <w:pPr>
        <w:spacing w:after="0" w:line="360" w:lineRule="auto"/>
        <w:contextualSpacing/>
        <w:rPr>
          <w:rFonts w:eastAsia="Calibri" w:cs="Times New Roman"/>
          <w:color w:val="FF0000"/>
        </w:rPr>
      </w:pPr>
    </w:p>
    <w:p w14:paraId="4397B5A8" w14:textId="77777777" w:rsidR="00C556AB" w:rsidRPr="007913B9" w:rsidRDefault="00C556AB" w:rsidP="00614700">
      <w:pPr>
        <w:spacing w:after="0" w:line="360" w:lineRule="auto"/>
        <w:rPr>
          <w:color w:val="FF0000"/>
        </w:rPr>
      </w:pPr>
    </w:p>
    <w:p w14:paraId="2E20D6DB" w14:textId="77777777" w:rsidR="00023BBD" w:rsidRPr="007913B9" w:rsidRDefault="00023BBD" w:rsidP="00614700">
      <w:pPr>
        <w:spacing w:after="0" w:line="360" w:lineRule="auto"/>
        <w:rPr>
          <w:color w:val="FF0000"/>
        </w:rPr>
      </w:pPr>
    </w:p>
    <w:p w14:paraId="3CDF6DD2" w14:textId="77777777" w:rsidR="001D4F21" w:rsidRPr="007913B9" w:rsidRDefault="001D4F21" w:rsidP="00614700">
      <w:pPr>
        <w:spacing w:after="0" w:line="360" w:lineRule="auto"/>
        <w:rPr>
          <w:color w:val="FF0000"/>
        </w:rPr>
      </w:pPr>
    </w:p>
    <w:p w14:paraId="6284D818" w14:textId="77777777" w:rsidR="001D4F21" w:rsidRPr="007913B9" w:rsidRDefault="001D4F21" w:rsidP="00614700">
      <w:pPr>
        <w:spacing w:after="0" w:line="360" w:lineRule="auto"/>
        <w:rPr>
          <w:color w:val="FF0000"/>
        </w:rPr>
      </w:pPr>
    </w:p>
    <w:p w14:paraId="1D630383" w14:textId="6967BA38" w:rsidR="00E864E9" w:rsidRDefault="00FF57E2" w:rsidP="00FF57E2">
      <w:pPr>
        <w:tabs>
          <w:tab w:val="left" w:pos="5805"/>
        </w:tabs>
        <w:spacing w:after="0" w:line="360" w:lineRule="auto"/>
        <w:rPr>
          <w:color w:val="FF0000"/>
        </w:rPr>
      </w:pPr>
      <w:r>
        <w:rPr>
          <w:color w:val="FF0000"/>
        </w:rPr>
        <w:tab/>
      </w:r>
    </w:p>
    <w:p w14:paraId="4B5FF0DA" w14:textId="77777777" w:rsidR="00FF57E2" w:rsidRDefault="00FF57E2" w:rsidP="00FF57E2">
      <w:pPr>
        <w:tabs>
          <w:tab w:val="left" w:pos="5805"/>
        </w:tabs>
        <w:spacing w:after="0" w:line="360" w:lineRule="auto"/>
        <w:rPr>
          <w:color w:val="FF0000"/>
        </w:rPr>
      </w:pPr>
    </w:p>
    <w:p w14:paraId="3AA7B45C" w14:textId="77777777" w:rsidR="00FF57E2" w:rsidRDefault="00FF57E2" w:rsidP="00FF57E2">
      <w:pPr>
        <w:tabs>
          <w:tab w:val="left" w:pos="5805"/>
        </w:tabs>
        <w:spacing w:after="0" w:line="360" w:lineRule="auto"/>
        <w:rPr>
          <w:color w:val="FF0000"/>
        </w:rPr>
      </w:pPr>
    </w:p>
    <w:p w14:paraId="4EBF0D1B" w14:textId="77777777" w:rsidR="00FF57E2" w:rsidRDefault="00FF57E2" w:rsidP="00FF57E2">
      <w:pPr>
        <w:tabs>
          <w:tab w:val="left" w:pos="5805"/>
        </w:tabs>
        <w:spacing w:after="0" w:line="360" w:lineRule="auto"/>
        <w:rPr>
          <w:color w:val="FF0000"/>
        </w:rPr>
      </w:pPr>
    </w:p>
    <w:p w14:paraId="12669CED" w14:textId="77777777" w:rsidR="00FF57E2" w:rsidRDefault="00FF57E2" w:rsidP="00FF57E2">
      <w:pPr>
        <w:tabs>
          <w:tab w:val="left" w:pos="5805"/>
        </w:tabs>
        <w:spacing w:after="0" w:line="360" w:lineRule="auto"/>
        <w:rPr>
          <w:color w:val="FF0000"/>
        </w:rPr>
      </w:pPr>
    </w:p>
    <w:p w14:paraId="059EFAF4" w14:textId="77777777" w:rsidR="00FF57E2" w:rsidRDefault="00FF57E2" w:rsidP="00FF57E2">
      <w:pPr>
        <w:tabs>
          <w:tab w:val="left" w:pos="5805"/>
        </w:tabs>
        <w:spacing w:after="0" w:line="360" w:lineRule="auto"/>
        <w:rPr>
          <w:color w:val="FF0000"/>
        </w:rPr>
      </w:pPr>
    </w:p>
    <w:p w14:paraId="3F0E27BA" w14:textId="77777777" w:rsidR="00FF57E2" w:rsidRDefault="00FF57E2" w:rsidP="00FF57E2">
      <w:pPr>
        <w:tabs>
          <w:tab w:val="left" w:pos="5805"/>
        </w:tabs>
        <w:spacing w:after="0" w:line="360" w:lineRule="auto"/>
        <w:rPr>
          <w:color w:val="FF0000"/>
        </w:rPr>
      </w:pPr>
    </w:p>
    <w:p w14:paraId="1D16D02E" w14:textId="77777777" w:rsidR="00FF57E2" w:rsidRPr="007913B9" w:rsidRDefault="00FF57E2" w:rsidP="00FF57E2">
      <w:pPr>
        <w:tabs>
          <w:tab w:val="left" w:pos="5805"/>
        </w:tabs>
        <w:spacing w:after="0" w:line="360" w:lineRule="auto"/>
        <w:rPr>
          <w:color w:val="FF0000"/>
        </w:rPr>
      </w:pPr>
    </w:p>
    <w:p w14:paraId="7A8A768D" w14:textId="77777777" w:rsidR="00E864E9" w:rsidRPr="007913B9" w:rsidRDefault="00E864E9" w:rsidP="00614700">
      <w:pPr>
        <w:tabs>
          <w:tab w:val="right" w:pos="8931"/>
        </w:tabs>
        <w:spacing w:after="0" w:line="360" w:lineRule="auto"/>
        <w:rPr>
          <w:color w:val="FF0000"/>
        </w:rPr>
      </w:pPr>
    </w:p>
    <w:p w14:paraId="2CF307BE" w14:textId="77777777" w:rsidR="007B58B9" w:rsidRPr="007913B9" w:rsidRDefault="007B58B9" w:rsidP="00614700">
      <w:pPr>
        <w:spacing w:after="0" w:line="360" w:lineRule="auto"/>
        <w:rPr>
          <w:color w:val="FF0000"/>
        </w:rPr>
      </w:pPr>
    </w:p>
    <w:p w14:paraId="027CDC11" w14:textId="77777777" w:rsidR="00A37EDE" w:rsidRPr="007913B9" w:rsidRDefault="00A37EDE" w:rsidP="00614700">
      <w:pPr>
        <w:spacing w:after="0" w:line="360" w:lineRule="auto"/>
        <w:rPr>
          <w:color w:val="FF0000"/>
        </w:rPr>
      </w:pPr>
    </w:p>
    <w:sectPr w:rsidR="00A37EDE" w:rsidRPr="007913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17951" w14:textId="77777777" w:rsidR="002305D0" w:rsidRDefault="002305D0">
      <w:pPr>
        <w:spacing w:after="0" w:line="240" w:lineRule="auto"/>
      </w:pPr>
      <w:r>
        <w:separator/>
      </w:r>
    </w:p>
  </w:endnote>
  <w:endnote w:type="continuationSeparator" w:id="0">
    <w:p w14:paraId="40E45C48" w14:textId="77777777" w:rsidR="002305D0" w:rsidRDefault="0023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1191E" w14:textId="77777777" w:rsidR="008B427C" w:rsidRDefault="008B427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C232B">
      <w:rPr>
        <w:b/>
        <w:noProof/>
        <w:color w:val="000000"/>
        <w:sz w:val="24"/>
        <w:szCs w:val="24"/>
      </w:rPr>
      <w:t>21</w:t>
    </w:r>
    <w:r>
      <w:rPr>
        <w:b/>
        <w:color w:val="000000"/>
        <w:sz w:val="24"/>
        <w:szCs w:val="24"/>
      </w:rPr>
      <w:fldChar w:fldCharType="end"/>
    </w:r>
  </w:p>
  <w:p w14:paraId="4D3D493F" w14:textId="77777777" w:rsidR="008B427C" w:rsidRDefault="008B427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3CE85" w14:textId="77777777" w:rsidR="008B427C" w:rsidRDefault="008B427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C232B">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C232B">
      <w:rPr>
        <w:b/>
        <w:noProof/>
        <w:color w:val="000000"/>
        <w:sz w:val="24"/>
        <w:szCs w:val="24"/>
      </w:rPr>
      <w:t>21</w:t>
    </w:r>
    <w:r>
      <w:rPr>
        <w:b/>
        <w:color w:val="000000"/>
        <w:sz w:val="24"/>
        <w:szCs w:val="24"/>
      </w:rPr>
      <w:fldChar w:fldCharType="end"/>
    </w:r>
  </w:p>
  <w:p w14:paraId="5EB6758B" w14:textId="77777777" w:rsidR="008B427C" w:rsidRDefault="008B427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1E10D" w14:textId="77777777" w:rsidR="008B427C" w:rsidRDefault="008B427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C232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C232B">
      <w:rPr>
        <w:b/>
        <w:noProof/>
        <w:color w:val="000000"/>
        <w:sz w:val="24"/>
        <w:szCs w:val="24"/>
      </w:rPr>
      <w:t>21</w:t>
    </w:r>
    <w:r>
      <w:rPr>
        <w:b/>
        <w:color w:val="000000"/>
        <w:sz w:val="24"/>
        <w:szCs w:val="24"/>
      </w:rPr>
      <w:fldChar w:fldCharType="end"/>
    </w:r>
  </w:p>
  <w:p w14:paraId="19F36E5E" w14:textId="77777777" w:rsidR="008B427C" w:rsidRDefault="008B427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C6C31" w14:textId="77777777" w:rsidR="002305D0" w:rsidRDefault="002305D0">
      <w:pPr>
        <w:spacing w:after="0" w:line="240" w:lineRule="auto"/>
      </w:pPr>
      <w:r>
        <w:separator/>
      </w:r>
    </w:p>
  </w:footnote>
  <w:footnote w:type="continuationSeparator" w:id="0">
    <w:p w14:paraId="7B05AB41" w14:textId="77777777" w:rsidR="002305D0" w:rsidRDefault="00230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3901E" w14:textId="77777777" w:rsidR="008B427C" w:rsidRDefault="008B427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B427C" w14:paraId="354E32DD" w14:textId="77777777">
      <w:trPr>
        <w:trHeight w:val="132"/>
      </w:trPr>
      <w:tc>
        <w:tcPr>
          <w:tcW w:w="2691" w:type="dxa"/>
        </w:tcPr>
        <w:p w14:paraId="4A8CA597" w14:textId="77777777" w:rsidR="008B427C" w:rsidRDefault="008B427C">
          <w:pPr>
            <w:tabs>
              <w:tab w:val="right" w:pos="8838"/>
            </w:tabs>
            <w:ind w:right="-105"/>
            <w:rPr>
              <w:b/>
            </w:rPr>
          </w:pPr>
          <w:r>
            <w:rPr>
              <w:b/>
            </w:rPr>
            <w:t>Recurso de Revisión:</w:t>
          </w:r>
        </w:p>
      </w:tc>
      <w:tc>
        <w:tcPr>
          <w:tcW w:w="3405" w:type="dxa"/>
        </w:tcPr>
        <w:p w14:paraId="10B971C4" w14:textId="77777777" w:rsidR="008B427C" w:rsidRDefault="008B427C">
          <w:pPr>
            <w:tabs>
              <w:tab w:val="right" w:pos="8838"/>
            </w:tabs>
            <w:ind w:left="-28" w:right="-32"/>
          </w:pPr>
          <w:r>
            <w:t>03846/INFOEM/IP/RR/2020</w:t>
          </w:r>
        </w:p>
      </w:tc>
    </w:tr>
    <w:tr w:rsidR="008B427C" w14:paraId="7A2DFDE7" w14:textId="77777777">
      <w:trPr>
        <w:trHeight w:val="261"/>
      </w:trPr>
      <w:tc>
        <w:tcPr>
          <w:tcW w:w="2691" w:type="dxa"/>
        </w:tcPr>
        <w:p w14:paraId="140206C7" w14:textId="77777777" w:rsidR="008B427C" w:rsidRDefault="008B427C">
          <w:pPr>
            <w:tabs>
              <w:tab w:val="right" w:pos="8838"/>
            </w:tabs>
            <w:ind w:right="-105"/>
            <w:rPr>
              <w:b/>
            </w:rPr>
          </w:pPr>
          <w:r>
            <w:rPr>
              <w:b/>
            </w:rPr>
            <w:t>Sujeto Obligado:</w:t>
          </w:r>
        </w:p>
      </w:tc>
      <w:tc>
        <w:tcPr>
          <w:tcW w:w="3405" w:type="dxa"/>
        </w:tcPr>
        <w:p w14:paraId="2CCAC681" w14:textId="77777777" w:rsidR="008B427C" w:rsidRDefault="008B427C">
          <w:pPr>
            <w:tabs>
              <w:tab w:val="right" w:pos="8838"/>
            </w:tabs>
            <w:ind w:right="-32"/>
          </w:pPr>
          <w:r>
            <w:t>Ayuntamiento de Temascalcingo</w:t>
          </w:r>
        </w:p>
      </w:tc>
    </w:tr>
    <w:tr w:rsidR="008B427C" w14:paraId="0C5A87A7" w14:textId="77777777">
      <w:trPr>
        <w:trHeight w:val="261"/>
      </w:trPr>
      <w:tc>
        <w:tcPr>
          <w:tcW w:w="2691" w:type="dxa"/>
        </w:tcPr>
        <w:p w14:paraId="51728C37" w14:textId="77777777" w:rsidR="008B427C" w:rsidRDefault="008B427C">
          <w:pPr>
            <w:tabs>
              <w:tab w:val="right" w:pos="8838"/>
            </w:tabs>
            <w:ind w:right="-105"/>
            <w:rPr>
              <w:b/>
            </w:rPr>
          </w:pPr>
          <w:r>
            <w:rPr>
              <w:b/>
            </w:rPr>
            <w:t>Comisionado Ponente:</w:t>
          </w:r>
        </w:p>
      </w:tc>
      <w:tc>
        <w:tcPr>
          <w:tcW w:w="3405" w:type="dxa"/>
        </w:tcPr>
        <w:p w14:paraId="3279F937" w14:textId="77777777" w:rsidR="008B427C" w:rsidRDefault="008B427C">
          <w:pPr>
            <w:tabs>
              <w:tab w:val="right" w:pos="8838"/>
            </w:tabs>
            <w:ind w:right="-32"/>
            <w:rPr>
              <w:b/>
            </w:rPr>
          </w:pPr>
          <w:r>
            <w:t>Luis Gustavo Parra Noriega</w:t>
          </w:r>
        </w:p>
      </w:tc>
    </w:tr>
  </w:tbl>
  <w:p w14:paraId="0812CEE3" w14:textId="77777777" w:rsidR="008B427C"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FE1B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A6DB6" w14:textId="77777777" w:rsidR="008B427C" w:rsidRDefault="00000000">
    <w:pPr>
      <w:widowControl w:val="0"/>
      <w:pBdr>
        <w:top w:val="nil"/>
        <w:left w:val="nil"/>
        <w:bottom w:val="nil"/>
        <w:right w:val="nil"/>
        <w:between w:val="nil"/>
      </w:pBdr>
      <w:spacing w:after="0" w:line="276" w:lineRule="auto"/>
      <w:jc w:val="left"/>
    </w:pPr>
    <w:r>
      <w:rPr>
        <w:color w:val="000000"/>
      </w:rPr>
      <w:pict w14:anchorId="606F2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268"/>
      <w:gridCol w:w="3828"/>
    </w:tblGrid>
    <w:tr w:rsidR="008B427C" w14:paraId="6BC69471" w14:textId="77777777" w:rsidTr="00DE376C">
      <w:trPr>
        <w:trHeight w:val="138"/>
      </w:trPr>
      <w:tc>
        <w:tcPr>
          <w:tcW w:w="2268" w:type="dxa"/>
          <w:vAlign w:val="center"/>
        </w:tcPr>
        <w:p w14:paraId="0ECFB7B0" w14:textId="77777777" w:rsidR="008B427C" w:rsidRDefault="008B427C" w:rsidP="008C266D">
          <w:pPr>
            <w:tabs>
              <w:tab w:val="right" w:pos="8838"/>
            </w:tabs>
            <w:ind w:left="-108" w:right="-105"/>
            <w:jc w:val="left"/>
            <w:rPr>
              <w:b/>
            </w:rPr>
          </w:pPr>
        </w:p>
        <w:p w14:paraId="51C682E0" w14:textId="77777777" w:rsidR="008B427C" w:rsidRDefault="008B427C" w:rsidP="008C266D">
          <w:pPr>
            <w:tabs>
              <w:tab w:val="right" w:pos="8838"/>
            </w:tabs>
            <w:ind w:left="-108" w:right="-105"/>
            <w:jc w:val="left"/>
            <w:rPr>
              <w:b/>
            </w:rPr>
          </w:pPr>
          <w:r>
            <w:rPr>
              <w:b/>
            </w:rPr>
            <w:t>Recurso de Revisión:</w:t>
          </w:r>
        </w:p>
      </w:tc>
      <w:tc>
        <w:tcPr>
          <w:tcW w:w="3828" w:type="dxa"/>
        </w:tcPr>
        <w:p w14:paraId="47979E18" w14:textId="77777777" w:rsidR="008B427C" w:rsidRPr="00EF0C39" w:rsidRDefault="008B427C" w:rsidP="008C266D">
          <w:pPr>
            <w:tabs>
              <w:tab w:val="right" w:pos="8838"/>
            </w:tabs>
            <w:ind w:right="57"/>
          </w:pPr>
        </w:p>
        <w:p w14:paraId="1E98ECF1" w14:textId="59A8DE19" w:rsidR="008B427C" w:rsidRPr="00EF0C39" w:rsidRDefault="008B427C" w:rsidP="008C266D">
          <w:pPr>
            <w:tabs>
              <w:tab w:val="right" w:pos="8838"/>
            </w:tabs>
            <w:ind w:right="57"/>
          </w:pPr>
          <w:r>
            <w:t>01726</w:t>
          </w:r>
          <w:r w:rsidRPr="005C3645">
            <w:t>/INFOEM/IP/RR/2026</w:t>
          </w:r>
        </w:p>
      </w:tc>
    </w:tr>
    <w:tr w:rsidR="008B427C" w14:paraId="668658AE" w14:textId="77777777" w:rsidTr="00DE376C">
      <w:trPr>
        <w:trHeight w:val="273"/>
      </w:trPr>
      <w:tc>
        <w:tcPr>
          <w:tcW w:w="2268" w:type="dxa"/>
        </w:tcPr>
        <w:p w14:paraId="3C39AA6A" w14:textId="77777777" w:rsidR="008B427C" w:rsidRDefault="008B427C" w:rsidP="008C266D">
          <w:pPr>
            <w:tabs>
              <w:tab w:val="right" w:pos="8838"/>
            </w:tabs>
            <w:ind w:left="-108" w:right="-105"/>
            <w:rPr>
              <w:b/>
            </w:rPr>
          </w:pPr>
          <w:r>
            <w:rPr>
              <w:b/>
            </w:rPr>
            <w:t>Sujeto Obligado:</w:t>
          </w:r>
        </w:p>
      </w:tc>
      <w:tc>
        <w:tcPr>
          <w:tcW w:w="3828" w:type="dxa"/>
        </w:tcPr>
        <w:p w14:paraId="0B4B65A0" w14:textId="233689FB" w:rsidR="008B427C" w:rsidRPr="00EF0C39" w:rsidRDefault="008B427C" w:rsidP="00227EC0">
          <w:pPr>
            <w:tabs>
              <w:tab w:val="right" w:pos="8838"/>
            </w:tabs>
            <w:ind w:right="31"/>
          </w:pPr>
          <w:r w:rsidRPr="005516E8">
            <w:t>Ayuntamiento de Calimaya</w:t>
          </w:r>
        </w:p>
      </w:tc>
    </w:tr>
    <w:tr w:rsidR="008B427C" w14:paraId="68B50A46" w14:textId="77777777" w:rsidTr="00DE376C">
      <w:trPr>
        <w:trHeight w:val="273"/>
      </w:trPr>
      <w:tc>
        <w:tcPr>
          <w:tcW w:w="2268" w:type="dxa"/>
        </w:tcPr>
        <w:p w14:paraId="4B04F5D5" w14:textId="77777777" w:rsidR="008B427C" w:rsidRDefault="008B427C" w:rsidP="008C266D">
          <w:pPr>
            <w:tabs>
              <w:tab w:val="right" w:pos="8838"/>
            </w:tabs>
            <w:ind w:left="-108" w:right="-105"/>
            <w:rPr>
              <w:b/>
            </w:rPr>
          </w:pPr>
          <w:r>
            <w:rPr>
              <w:b/>
            </w:rPr>
            <w:t>Comisionado Ponente:</w:t>
          </w:r>
        </w:p>
      </w:tc>
      <w:tc>
        <w:tcPr>
          <w:tcW w:w="3828" w:type="dxa"/>
        </w:tcPr>
        <w:p w14:paraId="1857D86E" w14:textId="77777777" w:rsidR="008B427C" w:rsidRPr="00EF0C39" w:rsidRDefault="008B427C" w:rsidP="008C266D">
          <w:pPr>
            <w:tabs>
              <w:tab w:val="right" w:pos="8838"/>
            </w:tabs>
            <w:ind w:right="-170"/>
          </w:pPr>
          <w:r w:rsidRPr="00EF0C39">
            <w:t>Luis Gustavo Parra Noriega</w:t>
          </w:r>
        </w:p>
        <w:p w14:paraId="7D16A496" w14:textId="77777777" w:rsidR="008B427C" w:rsidRPr="00EF0C39" w:rsidRDefault="008B427C" w:rsidP="008C266D">
          <w:pPr>
            <w:tabs>
              <w:tab w:val="right" w:pos="8838"/>
            </w:tabs>
            <w:ind w:right="-170"/>
            <w:rPr>
              <w:b/>
            </w:rPr>
          </w:pPr>
        </w:p>
      </w:tc>
    </w:tr>
  </w:tbl>
  <w:p w14:paraId="0457FBF8" w14:textId="77777777" w:rsidR="008B427C" w:rsidRDefault="008B427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E118A" w14:textId="77777777" w:rsidR="008B427C" w:rsidRDefault="008B427C">
    <w:pPr>
      <w:widowControl w:val="0"/>
      <w:pBdr>
        <w:top w:val="nil"/>
        <w:left w:val="nil"/>
        <w:bottom w:val="nil"/>
        <w:right w:val="nil"/>
        <w:between w:val="nil"/>
      </w:pBdr>
      <w:spacing w:after="0" w:line="276" w:lineRule="auto"/>
      <w:jc w:val="left"/>
      <w:rPr>
        <w:color w:val="000000"/>
      </w:rPr>
    </w:pP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B427C" w14:paraId="074018C0" w14:textId="77777777" w:rsidTr="005E30CE">
      <w:trPr>
        <w:trHeight w:val="132"/>
      </w:trPr>
      <w:tc>
        <w:tcPr>
          <w:tcW w:w="2551" w:type="dxa"/>
        </w:tcPr>
        <w:p w14:paraId="1AB3C47C" w14:textId="77777777" w:rsidR="008B427C" w:rsidRDefault="008B427C">
          <w:pPr>
            <w:tabs>
              <w:tab w:val="right" w:pos="8838"/>
            </w:tabs>
            <w:ind w:right="-105"/>
            <w:rPr>
              <w:b/>
            </w:rPr>
          </w:pPr>
          <w:r>
            <w:rPr>
              <w:b/>
            </w:rPr>
            <w:t>Recurso de Revisión:</w:t>
          </w:r>
        </w:p>
      </w:tc>
      <w:tc>
        <w:tcPr>
          <w:tcW w:w="4253" w:type="dxa"/>
        </w:tcPr>
        <w:p w14:paraId="7D858B5B" w14:textId="2B3A51A0" w:rsidR="008B427C" w:rsidRPr="00026C6B" w:rsidRDefault="008B427C" w:rsidP="005C3645">
          <w:pPr>
            <w:tabs>
              <w:tab w:val="right" w:pos="8838"/>
            </w:tabs>
            <w:ind w:right="-250"/>
          </w:pPr>
          <w:r w:rsidRPr="005516E8">
            <w:t>01726/INFOEM/IP/RR/2026</w:t>
          </w:r>
        </w:p>
      </w:tc>
    </w:tr>
    <w:tr w:rsidR="008B427C" w14:paraId="538F7528" w14:textId="77777777" w:rsidTr="005E30CE">
      <w:trPr>
        <w:trHeight w:val="132"/>
      </w:trPr>
      <w:tc>
        <w:tcPr>
          <w:tcW w:w="2551" w:type="dxa"/>
        </w:tcPr>
        <w:p w14:paraId="41022670" w14:textId="77777777" w:rsidR="008B427C" w:rsidRDefault="008B427C">
          <w:pPr>
            <w:tabs>
              <w:tab w:val="left" w:pos="1875"/>
            </w:tabs>
            <w:ind w:right="-105"/>
            <w:rPr>
              <w:b/>
            </w:rPr>
          </w:pPr>
          <w:r>
            <w:rPr>
              <w:b/>
            </w:rPr>
            <w:t>Recurrente:</w:t>
          </w:r>
          <w:r>
            <w:rPr>
              <w:b/>
            </w:rPr>
            <w:tab/>
          </w:r>
        </w:p>
      </w:tc>
      <w:tc>
        <w:tcPr>
          <w:tcW w:w="4253" w:type="dxa"/>
        </w:tcPr>
        <w:p w14:paraId="0A89625E" w14:textId="356BD377" w:rsidR="008B427C" w:rsidRPr="00EF0C39" w:rsidRDefault="002D17BA" w:rsidP="005516E8">
          <w:pPr>
            <w:tabs>
              <w:tab w:val="right" w:pos="8838"/>
            </w:tabs>
            <w:ind w:right="-250"/>
          </w:pPr>
          <w:r w:rsidRPr="002D17BA">
            <w:rPr>
              <w:highlight w:val="black"/>
            </w:rPr>
            <w:t>XXXXXXXXXXX</w:t>
          </w:r>
        </w:p>
      </w:tc>
    </w:tr>
    <w:tr w:rsidR="008B427C" w14:paraId="1E707D2D" w14:textId="77777777" w:rsidTr="005E30CE">
      <w:trPr>
        <w:trHeight w:val="261"/>
      </w:trPr>
      <w:tc>
        <w:tcPr>
          <w:tcW w:w="2551" w:type="dxa"/>
        </w:tcPr>
        <w:p w14:paraId="418E6489" w14:textId="77777777" w:rsidR="008B427C" w:rsidRDefault="008B427C">
          <w:pPr>
            <w:tabs>
              <w:tab w:val="right" w:pos="8838"/>
            </w:tabs>
            <w:ind w:right="-105"/>
            <w:rPr>
              <w:b/>
            </w:rPr>
          </w:pPr>
          <w:r>
            <w:rPr>
              <w:b/>
            </w:rPr>
            <w:t>Sujeto Obligado:</w:t>
          </w:r>
        </w:p>
      </w:tc>
      <w:tc>
        <w:tcPr>
          <w:tcW w:w="4253" w:type="dxa"/>
        </w:tcPr>
        <w:p w14:paraId="0EB3AFEB" w14:textId="479E16E6" w:rsidR="008B427C" w:rsidRPr="00026C6B" w:rsidRDefault="008B427C" w:rsidP="005C3645">
          <w:r w:rsidRPr="00252535">
            <w:t>Ayuntamiento de Calimaya</w:t>
          </w:r>
        </w:p>
      </w:tc>
    </w:tr>
    <w:tr w:rsidR="008B427C" w14:paraId="18DD6704" w14:textId="77777777" w:rsidTr="005E30CE">
      <w:trPr>
        <w:trHeight w:val="261"/>
      </w:trPr>
      <w:tc>
        <w:tcPr>
          <w:tcW w:w="2551" w:type="dxa"/>
        </w:tcPr>
        <w:p w14:paraId="5C7EE0AB" w14:textId="77777777" w:rsidR="008B427C" w:rsidRDefault="008B427C">
          <w:pPr>
            <w:tabs>
              <w:tab w:val="right" w:pos="8838"/>
            </w:tabs>
            <w:ind w:right="-105"/>
            <w:rPr>
              <w:b/>
            </w:rPr>
          </w:pPr>
          <w:r>
            <w:rPr>
              <w:b/>
            </w:rPr>
            <w:t>Comisionado Ponente:</w:t>
          </w:r>
        </w:p>
      </w:tc>
      <w:tc>
        <w:tcPr>
          <w:tcW w:w="4253" w:type="dxa"/>
        </w:tcPr>
        <w:p w14:paraId="0A7DD83E" w14:textId="77777777" w:rsidR="008B427C" w:rsidRPr="00EF0C39" w:rsidRDefault="008B427C" w:rsidP="00C46A25">
          <w:pPr>
            <w:tabs>
              <w:tab w:val="right" w:pos="8838"/>
            </w:tabs>
            <w:ind w:right="-32"/>
            <w:rPr>
              <w:b/>
            </w:rPr>
          </w:pPr>
          <w:r w:rsidRPr="00EF0C39">
            <w:t>Luis Gustavo Parra Noriega</w:t>
          </w:r>
        </w:p>
      </w:tc>
    </w:tr>
  </w:tbl>
  <w:p w14:paraId="00C5C98B" w14:textId="77777777" w:rsidR="008B427C"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3B73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FA7762"/>
    <w:multiLevelType w:val="hybridMultilevel"/>
    <w:tmpl w:val="BCEEB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D81440"/>
    <w:multiLevelType w:val="hybridMultilevel"/>
    <w:tmpl w:val="17A6A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1B3319"/>
    <w:multiLevelType w:val="hybridMultilevel"/>
    <w:tmpl w:val="17F68F08"/>
    <w:lvl w:ilvl="0" w:tplc="42BEC07C">
      <w:start w:val="1"/>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744094"/>
    <w:multiLevelType w:val="hybridMultilevel"/>
    <w:tmpl w:val="76F89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A7459C0"/>
    <w:multiLevelType w:val="hybridMultilevel"/>
    <w:tmpl w:val="EEE8D1A2"/>
    <w:lvl w:ilvl="0" w:tplc="42BEC07C">
      <w:start w:val="1"/>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15:restartNumberingAfterBreak="0">
    <w:nsid w:val="2BD01498"/>
    <w:multiLevelType w:val="hybridMultilevel"/>
    <w:tmpl w:val="70944E86"/>
    <w:lvl w:ilvl="0" w:tplc="08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7219390">
    <w:abstractNumId w:val="35"/>
  </w:num>
  <w:num w:numId="2" w16cid:durableId="1308625333">
    <w:abstractNumId w:val="32"/>
  </w:num>
  <w:num w:numId="3" w16cid:durableId="1633829594">
    <w:abstractNumId w:val="9"/>
  </w:num>
  <w:num w:numId="4" w16cid:durableId="1935893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2154912">
    <w:abstractNumId w:val="22"/>
  </w:num>
  <w:num w:numId="6" w16cid:durableId="1350257637">
    <w:abstractNumId w:val="6"/>
  </w:num>
  <w:num w:numId="7" w16cid:durableId="2100517545">
    <w:abstractNumId w:val="17"/>
  </w:num>
  <w:num w:numId="8" w16cid:durableId="1329288047">
    <w:abstractNumId w:val="30"/>
  </w:num>
  <w:num w:numId="9" w16cid:durableId="1961765387">
    <w:abstractNumId w:val="13"/>
  </w:num>
  <w:num w:numId="10" w16cid:durableId="635719248">
    <w:abstractNumId w:val="26"/>
  </w:num>
  <w:num w:numId="11" w16cid:durableId="203568097">
    <w:abstractNumId w:val="21"/>
  </w:num>
  <w:num w:numId="12" w16cid:durableId="1279873895">
    <w:abstractNumId w:val="36"/>
  </w:num>
  <w:num w:numId="13" w16cid:durableId="402412177">
    <w:abstractNumId w:val="29"/>
  </w:num>
  <w:num w:numId="14" w16cid:durableId="1764572435">
    <w:abstractNumId w:val="12"/>
  </w:num>
  <w:num w:numId="15" w16cid:durableId="775369508">
    <w:abstractNumId w:val="27"/>
  </w:num>
  <w:num w:numId="16" w16cid:durableId="288979786">
    <w:abstractNumId w:val="34"/>
  </w:num>
  <w:num w:numId="17" w16cid:durableId="1623337626">
    <w:abstractNumId w:val="5"/>
  </w:num>
  <w:num w:numId="18" w16cid:durableId="1119298215">
    <w:abstractNumId w:val="1"/>
  </w:num>
  <w:num w:numId="19" w16cid:durableId="626157585">
    <w:abstractNumId w:val="15"/>
  </w:num>
  <w:num w:numId="20" w16cid:durableId="1758288082">
    <w:abstractNumId w:val="28"/>
  </w:num>
  <w:num w:numId="21" w16cid:durableId="1749498744">
    <w:abstractNumId w:val="33"/>
  </w:num>
  <w:num w:numId="22" w16cid:durableId="371393124">
    <w:abstractNumId w:val="31"/>
  </w:num>
  <w:num w:numId="23" w16cid:durableId="1400598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572569">
    <w:abstractNumId w:val="25"/>
  </w:num>
  <w:num w:numId="25" w16cid:durableId="1006320428">
    <w:abstractNumId w:val="24"/>
  </w:num>
  <w:num w:numId="26" w16cid:durableId="914554929">
    <w:abstractNumId w:val="18"/>
  </w:num>
  <w:num w:numId="27" w16cid:durableId="3828670">
    <w:abstractNumId w:val="20"/>
  </w:num>
  <w:num w:numId="28" w16cid:durableId="253561397">
    <w:abstractNumId w:val="0"/>
  </w:num>
  <w:num w:numId="29" w16cid:durableId="833910104">
    <w:abstractNumId w:val="23"/>
  </w:num>
  <w:num w:numId="30" w16cid:durableId="1241909169">
    <w:abstractNumId w:val="19"/>
  </w:num>
  <w:num w:numId="31" w16cid:durableId="66585235">
    <w:abstractNumId w:val="3"/>
  </w:num>
  <w:num w:numId="32" w16cid:durableId="2144351757">
    <w:abstractNumId w:val="10"/>
  </w:num>
  <w:num w:numId="33" w16cid:durableId="683827588">
    <w:abstractNumId w:val="4"/>
  </w:num>
  <w:num w:numId="34" w16cid:durableId="1395736842">
    <w:abstractNumId w:val="11"/>
  </w:num>
  <w:num w:numId="35" w16cid:durableId="1303080866">
    <w:abstractNumId w:val="2"/>
  </w:num>
  <w:num w:numId="36" w16cid:durableId="865482388">
    <w:abstractNumId w:val="14"/>
  </w:num>
  <w:num w:numId="37" w16cid:durableId="18045377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1AB"/>
    <w:rsid w:val="00021BE0"/>
    <w:rsid w:val="00022B54"/>
    <w:rsid w:val="00023649"/>
    <w:rsid w:val="00023BBD"/>
    <w:rsid w:val="000255D3"/>
    <w:rsid w:val="0002588C"/>
    <w:rsid w:val="00026B5A"/>
    <w:rsid w:val="00026C6B"/>
    <w:rsid w:val="0003084A"/>
    <w:rsid w:val="000316C2"/>
    <w:rsid w:val="0003288F"/>
    <w:rsid w:val="00033026"/>
    <w:rsid w:val="00033186"/>
    <w:rsid w:val="0003318A"/>
    <w:rsid w:val="00033683"/>
    <w:rsid w:val="00033712"/>
    <w:rsid w:val="00033AF2"/>
    <w:rsid w:val="00033F2C"/>
    <w:rsid w:val="000363AA"/>
    <w:rsid w:val="0003740E"/>
    <w:rsid w:val="0003782D"/>
    <w:rsid w:val="000410E6"/>
    <w:rsid w:val="0004134C"/>
    <w:rsid w:val="000426D2"/>
    <w:rsid w:val="00047E2C"/>
    <w:rsid w:val="00050E2E"/>
    <w:rsid w:val="00056FCD"/>
    <w:rsid w:val="0005769F"/>
    <w:rsid w:val="00057905"/>
    <w:rsid w:val="000602BA"/>
    <w:rsid w:val="00061123"/>
    <w:rsid w:val="000655F2"/>
    <w:rsid w:val="00067173"/>
    <w:rsid w:val="000709AA"/>
    <w:rsid w:val="000735F0"/>
    <w:rsid w:val="00073949"/>
    <w:rsid w:val="00075996"/>
    <w:rsid w:val="00075A71"/>
    <w:rsid w:val="00075CAF"/>
    <w:rsid w:val="000771E0"/>
    <w:rsid w:val="00080524"/>
    <w:rsid w:val="00080F9E"/>
    <w:rsid w:val="000811E7"/>
    <w:rsid w:val="00081D01"/>
    <w:rsid w:val="0008295C"/>
    <w:rsid w:val="00082B5B"/>
    <w:rsid w:val="00083169"/>
    <w:rsid w:val="00084273"/>
    <w:rsid w:val="00085D44"/>
    <w:rsid w:val="000866B0"/>
    <w:rsid w:val="00087074"/>
    <w:rsid w:val="00087B7F"/>
    <w:rsid w:val="00087EDB"/>
    <w:rsid w:val="0009167E"/>
    <w:rsid w:val="00092501"/>
    <w:rsid w:val="000946F3"/>
    <w:rsid w:val="00095FB6"/>
    <w:rsid w:val="00096C21"/>
    <w:rsid w:val="00096CFE"/>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6905"/>
    <w:rsid w:val="000D6B22"/>
    <w:rsid w:val="000D7457"/>
    <w:rsid w:val="000D7CC0"/>
    <w:rsid w:val="000E056B"/>
    <w:rsid w:val="000E1C4F"/>
    <w:rsid w:val="000E3169"/>
    <w:rsid w:val="000E499B"/>
    <w:rsid w:val="000E5CBD"/>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125"/>
    <w:rsid w:val="00123FD7"/>
    <w:rsid w:val="00124AF7"/>
    <w:rsid w:val="00125905"/>
    <w:rsid w:val="00125F26"/>
    <w:rsid w:val="001260CE"/>
    <w:rsid w:val="0012618B"/>
    <w:rsid w:val="00126A15"/>
    <w:rsid w:val="00126AD3"/>
    <w:rsid w:val="001325F3"/>
    <w:rsid w:val="00132F29"/>
    <w:rsid w:val="00134465"/>
    <w:rsid w:val="0013481F"/>
    <w:rsid w:val="00137D26"/>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3F50"/>
    <w:rsid w:val="001B4144"/>
    <w:rsid w:val="001B4D03"/>
    <w:rsid w:val="001B7EFB"/>
    <w:rsid w:val="001C4DF4"/>
    <w:rsid w:val="001C638A"/>
    <w:rsid w:val="001C6B7A"/>
    <w:rsid w:val="001D1635"/>
    <w:rsid w:val="001D24CD"/>
    <w:rsid w:val="001D3FB9"/>
    <w:rsid w:val="001D4F21"/>
    <w:rsid w:val="001D5DBE"/>
    <w:rsid w:val="001D67D9"/>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BDD"/>
    <w:rsid w:val="00204DE3"/>
    <w:rsid w:val="00206047"/>
    <w:rsid w:val="0020727C"/>
    <w:rsid w:val="002075C1"/>
    <w:rsid w:val="00207ECD"/>
    <w:rsid w:val="00211CD8"/>
    <w:rsid w:val="00211E9F"/>
    <w:rsid w:val="00212727"/>
    <w:rsid w:val="00215D49"/>
    <w:rsid w:val="002207FA"/>
    <w:rsid w:val="00221433"/>
    <w:rsid w:val="002217AE"/>
    <w:rsid w:val="00223487"/>
    <w:rsid w:val="002238B8"/>
    <w:rsid w:val="00227456"/>
    <w:rsid w:val="00227EC0"/>
    <w:rsid w:val="002305D0"/>
    <w:rsid w:val="002307F0"/>
    <w:rsid w:val="00230985"/>
    <w:rsid w:val="00230B8F"/>
    <w:rsid w:val="00234BAD"/>
    <w:rsid w:val="002374A0"/>
    <w:rsid w:val="002374EE"/>
    <w:rsid w:val="00243764"/>
    <w:rsid w:val="00243FB3"/>
    <w:rsid w:val="00245AE6"/>
    <w:rsid w:val="002475DE"/>
    <w:rsid w:val="002501CE"/>
    <w:rsid w:val="00251665"/>
    <w:rsid w:val="0025253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58F6"/>
    <w:rsid w:val="002779C0"/>
    <w:rsid w:val="00280625"/>
    <w:rsid w:val="00280CF8"/>
    <w:rsid w:val="00281CCC"/>
    <w:rsid w:val="00282176"/>
    <w:rsid w:val="002822A3"/>
    <w:rsid w:val="0028277C"/>
    <w:rsid w:val="00282C2E"/>
    <w:rsid w:val="002845CF"/>
    <w:rsid w:val="00287374"/>
    <w:rsid w:val="00287797"/>
    <w:rsid w:val="00291100"/>
    <w:rsid w:val="0029130B"/>
    <w:rsid w:val="00291318"/>
    <w:rsid w:val="0029310D"/>
    <w:rsid w:val="00293A22"/>
    <w:rsid w:val="00294113"/>
    <w:rsid w:val="0029455B"/>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31"/>
    <w:rsid w:val="002C4D41"/>
    <w:rsid w:val="002C516D"/>
    <w:rsid w:val="002C7C43"/>
    <w:rsid w:val="002D17BA"/>
    <w:rsid w:val="002D2107"/>
    <w:rsid w:val="002D2619"/>
    <w:rsid w:val="002D2A77"/>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1C5C"/>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4BDC"/>
    <w:rsid w:val="0033681E"/>
    <w:rsid w:val="00336E20"/>
    <w:rsid w:val="00341669"/>
    <w:rsid w:val="00342465"/>
    <w:rsid w:val="00345E3B"/>
    <w:rsid w:val="003503CD"/>
    <w:rsid w:val="003507DB"/>
    <w:rsid w:val="00353296"/>
    <w:rsid w:val="0035368D"/>
    <w:rsid w:val="00354255"/>
    <w:rsid w:val="00354FD0"/>
    <w:rsid w:val="00355D05"/>
    <w:rsid w:val="00356AD4"/>
    <w:rsid w:val="00356E1B"/>
    <w:rsid w:val="00357A84"/>
    <w:rsid w:val="003602C9"/>
    <w:rsid w:val="0036042F"/>
    <w:rsid w:val="003657F4"/>
    <w:rsid w:val="003663BF"/>
    <w:rsid w:val="003664FA"/>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1B12"/>
    <w:rsid w:val="00392FD1"/>
    <w:rsid w:val="003949BA"/>
    <w:rsid w:val="0039615C"/>
    <w:rsid w:val="00396517"/>
    <w:rsid w:val="00397991"/>
    <w:rsid w:val="003A0423"/>
    <w:rsid w:val="003A0CB1"/>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5A3"/>
    <w:rsid w:val="003F18D5"/>
    <w:rsid w:val="003F1D74"/>
    <w:rsid w:val="003F2833"/>
    <w:rsid w:val="003F2BF4"/>
    <w:rsid w:val="003F2C8E"/>
    <w:rsid w:val="003F4C6D"/>
    <w:rsid w:val="003F5F91"/>
    <w:rsid w:val="003F6C55"/>
    <w:rsid w:val="004034A4"/>
    <w:rsid w:val="0040398B"/>
    <w:rsid w:val="00404B15"/>
    <w:rsid w:val="004068E7"/>
    <w:rsid w:val="00407661"/>
    <w:rsid w:val="004076BD"/>
    <w:rsid w:val="0041096D"/>
    <w:rsid w:val="004111B6"/>
    <w:rsid w:val="00412689"/>
    <w:rsid w:val="00413093"/>
    <w:rsid w:val="004160C8"/>
    <w:rsid w:val="00417AAE"/>
    <w:rsid w:val="00417C0D"/>
    <w:rsid w:val="00417F3A"/>
    <w:rsid w:val="00420209"/>
    <w:rsid w:val="004214D5"/>
    <w:rsid w:val="00422311"/>
    <w:rsid w:val="00426C20"/>
    <w:rsid w:val="0043065C"/>
    <w:rsid w:val="004306AC"/>
    <w:rsid w:val="00430DD8"/>
    <w:rsid w:val="004326F9"/>
    <w:rsid w:val="00434B43"/>
    <w:rsid w:val="004352C6"/>
    <w:rsid w:val="0043632D"/>
    <w:rsid w:val="00436F80"/>
    <w:rsid w:val="0044017B"/>
    <w:rsid w:val="004415DA"/>
    <w:rsid w:val="00442432"/>
    <w:rsid w:val="0044320C"/>
    <w:rsid w:val="0044451C"/>
    <w:rsid w:val="00445A40"/>
    <w:rsid w:val="00446CA3"/>
    <w:rsid w:val="00447576"/>
    <w:rsid w:val="004475C6"/>
    <w:rsid w:val="004479B9"/>
    <w:rsid w:val="0045046D"/>
    <w:rsid w:val="00454A64"/>
    <w:rsid w:val="00455EA5"/>
    <w:rsid w:val="00456B23"/>
    <w:rsid w:val="00461A65"/>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1D0B"/>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2367"/>
    <w:rsid w:val="004C465F"/>
    <w:rsid w:val="004C56AA"/>
    <w:rsid w:val="004C5E33"/>
    <w:rsid w:val="004C5FBB"/>
    <w:rsid w:val="004C60FE"/>
    <w:rsid w:val="004C6321"/>
    <w:rsid w:val="004C689B"/>
    <w:rsid w:val="004D181A"/>
    <w:rsid w:val="004D1D8F"/>
    <w:rsid w:val="004D243B"/>
    <w:rsid w:val="004D3A28"/>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516"/>
    <w:rsid w:val="00522A47"/>
    <w:rsid w:val="00523008"/>
    <w:rsid w:val="00524283"/>
    <w:rsid w:val="005245DA"/>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16E8"/>
    <w:rsid w:val="005520E3"/>
    <w:rsid w:val="00552C67"/>
    <w:rsid w:val="005569DD"/>
    <w:rsid w:val="00556A90"/>
    <w:rsid w:val="00560756"/>
    <w:rsid w:val="00560DB1"/>
    <w:rsid w:val="00562D89"/>
    <w:rsid w:val="00563726"/>
    <w:rsid w:val="0056443F"/>
    <w:rsid w:val="00565861"/>
    <w:rsid w:val="005673D1"/>
    <w:rsid w:val="00572946"/>
    <w:rsid w:val="005732F8"/>
    <w:rsid w:val="00580345"/>
    <w:rsid w:val="005816DE"/>
    <w:rsid w:val="00582FC0"/>
    <w:rsid w:val="005848FA"/>
    <w:rsid w:val="0058575A"/>
    <w:rsid w:val="00585C29"/>
    <w:rsid w:val="005867A9"/>
    <w:rsid w:val="0058767A"/>
    <w:rsid w:val="005909D3"/>
    <w:rsid w:val="00590FB7"/>
    <w:rsid w:val="005914EE"/>
    <w:rsid w:val="00594CD6"/>
    <w:rsid w:val="00595FCC"/>
    <w:rsid w:val="005A0A77"/>
    <w:rsid w:val="005A3083"/>
    <w:rsid w:val="005A348B"/>
    <w:rsid w:val="005A381E"/>
    <w:rsid w:val="005A39F4"/>
    <w:rsid w:val="005A79D9"/>
    <w:rsid w:val="005A7C36"/>
    <w:rsid w:val="005B0203"/>
    <w:rsid w:val="005B142C"/>
    <w:rsid w:val="005B21C9"/>
    <w:rsid w:val="005B6BFA"/>
    <w:rsid w:val="005B753A"/>
    <w:rsid w:val="005C03D2"/>
    <w:rsid w:val="005C20B7"/>
    <w:rsid w:val="005C3645"/>
    <w:rsid w:val="005C3BAC"/>
    <w:rsid w:val="005C43CB"/>
    <w:rsid w:val="005C4598"/>
    <w:rsid w:val="005C4CCD"/>
    <w:rsid w:val="005C6174"/>
    <w:rsid w:val="005C690F"/>
    <w:rsid w:val="005C6E2D"/>
    <w:rsid w:val="005C742E"/>
    <w:rsid w:val="005C7560"/>
    <w:rsid w:val="005C757F"/>
    <w:rsid w:val="005D1E83"/>
    <w:rsid w:val="005D2071"/>
    <w:rsid w:val="005D22D8"/>
    <w:rsid w:val="005D31EC"/>
    <w:rsid w:val="005D38F1"/>
    <w:rsid w:val="005D3D28"/>
    <w:rsid w:val="005D4959"/>
    <w:rsid w:val="005D53B0"/>
    <w:rsid w:val="005D60E7"/>
    <w:rsid w:val="005D7325"/>
    <w:rsid w:val="005D73EF"/>
    <w:rsid w:val="005E0BD4"/>
    <w:rsid w:val="005E16CC"/>
    <w:rsid w:val="005E2B32"/>
    <w:rsid w:val="005E30CE"/>
    <w:rsid w:val="005E613F"/>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14700"/>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836"/>
    <w:rsid w:val="00631EA9"/>
    <w:rsid w:val="00632B47"/>
    <w:rsid w:val="00632F61"/>
    <w:rsid w:val="00635A27"/>
    <w:rsid w:val="00637B1E"/>
    <w:rsid w:val="00640115"/>
    <w:rsid w:val="006404F6"/>
    <w:rsid w:val="0064067B"/>
    <w:rsid w:val="00640BD0"/>
    <w:rsid w:val="006418B3"/>
    <w:rsid w:val="00641E83"/>
    <w:rsid w:val="006430B1"/>
    <w:rsid w:val="00644832"/>
    <w:rsid w:val="00644B2E"/>
    <w:rsid w:val="00654DE3"/>
    <w:rsid w:val="00655068"/>
    <w:rsid w:val="00655B7F"/>
    <w:rsid w:val="006573B9"/>
    <w:rsid w:val="00660AAD"/>
    <w:rsid w:val="00661603"/>
    <w:rsid w:val="0066178F"/>
    <w:rsid w:val="00661B94"/>
    <w:rsid w:val="00662C70"/>
    <w:rsid w:val="00662D89"/>
    <w:rsid w:val="0066617C"/>
    <w:rsid w:val="0066640F"/>
    <w:rsid w:val="006664D4"/>
    <w:rsid w:val="00667F81"/>
    <w:rsid w:val="00670EAA"/>
    <w:rsid w:val="006715A0"/>
    <w:rsid w:val="00671B21"/>
    <w:rsid w:val="00671B38"/>
    <w:rsid w:val="00671BB1"/>
    <w:rsid w:val="00672E15"/>
    <w:rsid w:val="006731C7"/>
    <w:rsid w:val="00673306"/>
    <w:rsid w:val="0067487A"/>
    <w:rsid w:val="00674DAF"/>
    <w:rsid w:val="00674E18"/>
    <w:rsid w:val="0067583D"/>
    <w:rsid w:val="006771FF"/>
    <w:rsid w:val="00677F38"/>
    <w:rsid w:val="006800BB"/>
    <w:rsid w:val="00680F20"/>
    <w:rsid w:val="00684E69"/>
    <w:rsid w:val="00687BCB"/>
    <w:rsid w:val="00690202"/>
    <w:rsid w:val="0069037C"/>
    <w:rsid w:val="00690449"/>
    <w:rsid w:val="00692763"/>
    <w:rsid w:val="00692CEE"/>
    <w:rsid w:val="00694971"/>
    <w:rsid w:val="0069657C"/>
    <w:rsid w:val="006A0CDD"/>
    <w:rsid w:val="006A3101"/>
    <w:rsid w:val="006A40F4"/>
    <w:rsid w:val="006A4E58"/>
    <w:rsid w:val="006A707A"/>
    <w:rsid w:val="006B0607"/>
    <w:rsid w:val="006B083B"/>
    <w:rsid w:val="006B218E"/>
    <w:rsid w:val="006B3839"/>
    <w:rsid w:val="006B40EF"/>
    <w:rsid w:val="006B4C0B"/>
    <w:rsid w:val="006B634B"/>
    <w:rsid w:val="006C02A8"/>
    <w:rsid w:val="006C0BD7"/>
    <w:rsid w:val="006C17DE"/>
    <w:rsid w:val="006C1E67"/>
    <w:rsid w:val="006C232B"/>
    <w:rsid w:val="006C25E4"/>
    <w:rsid w:val="006C3470"/>
    <w:rsid w:val="006C43E9"/>
    <w:rsid w:val="006C6EBC"/>
    <w:rsid w:val="006C7CD1"/>
    <w:rsid w:val="006C7E76"/>
    <w:rsid w:val="006D16BD"/>
    <w:rsid w:val="006D1CE7"/>
    <w:rsid w:val="006D2366"/>
    <w:rsid w:val="006D2960"/>
    <w:rsid w:val="006D2DF0"/>
    <w:rsid w:val="006D45A1"/>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3749"/>
    <w:rsid w:val="006F4CC9"/>
    <w:rsid w:val="006F60D5"/>
    <w:rsid w:val="006F79F1"/>
    <w:rsid w:val="006F7CBF"/>
    <w:rsid w:val="007001B2"/>
    <w:rsid w:val="00700D00"/>
    <w:rsid w:val="00702D5F"/>
    <w:rsid w:val="007041F9"/>
    <w:rsid w:val="00704B14"/>
    <w:rsid w:val="007051D1"/>
    <w:rsid w:val="00705FBB"/>
    <w:rsid w:val="0070680E"/>
    <w:rsid w:val="0071036C"/>
    <w:rsid w:val="00712ED6"/>
    <w:rsid w:val="00715343"/>
    <w:rsid w:val="00716DFD"/>
    <w:rsid w:val="007179C4"/>
    <w:rsid w:val="00717D87"/>
    <w:rsid w:val="00720109"/>
    <w:rsid w:val="007248C4"/>
    <w:rsid w:val="007253CA"/>
    <w:rsid w:val="007270BD"/>
    <w:rsid w:val="007279D2"/>
    <w:rsid w:val="0073003B"/>
    <w:rsid w:val="00730D6D"/>
    <w:rsid w:val="00731FB9"/>
    <w:rsid w:val="007331D2"/>
    <w:rsid w:val="0073611B"/>
    <w:rsid w:val="00736B03"/>
    <w:rsid w:val="00741DC7"/>
    <w:rsid w:val="007428C7"/>
    <w:rsid w:val="00743915"/>
    <w:rsid w:val="0074523A"/>
    <w:rsid w:val="00747CDF"/>
    <w:rsid w:val="00751A94"/>
    <w:rsid w:val="00754B31"/>
    <w:rsid w:val="0076084D"/>
    <w:rsid w:val="0076190F"/>
    <w:rsid w:val="00762A7C"/>
    <w:rsid w:val="00762EE9"/>
    <w:rsid w:val="00763C77"/>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13B9"/>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A4C"/>
    <w:rsid w:val="007C4D4E"/>
    <w:rsid w:val="007C572B"/>
    <w:rsid w:val="007C636E"/>
    <w:rsid w:val="007C76F2"/>
    <w:rsid w:val="007C7BAF"/>
    <w:rsid w:val="007C7F1F"/>
    <w:rsid w:val="007D04B8"/>
    <w:rsid w:val="007D086D"/>
    <w:rsid w:val="007D354B"/>
    <w:rsid w:val="007D6307"/>
    <w:rsid w:val="007E0603"/>
    <w:rsid w:val="007E0991"/>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99"/>
    <w:rsid w:val="00812FF1"/>
    <w:rsid w:val="0081417C"/>
    <w:rsid w:val="00816031"/>
    <w:rsid w:val="0081681D"/>
    <w:rsid w:val="0081756A"/>
    <w:rsid w:val="00817AF8"/>
    <w:rsid w:val="008201FA"/>
    <w:rsid w:val="008234EA"/>
    <w:rsid w:val="008246F7"/>
    <w:rsid w:val="00826071"/>
    <w:rsid w:val="00826E84"/>
    <w:rsid w:val="00830986"/>
    <w:rsid w:val="00832312"/>
    <w:rsid w:val="00834DBF"/>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650"/>
    <w:rsid w:val="008638A5"/>
    <w:rsid w:val="00864C7E"/>
    <w:rsid w:val="008659B7"/>
    <w:rsid w:val="008659CE"/>
    <w:rsid w:val="00865C80"/>
    <w:rsid w:val="008703A4"/>
    <w:rsid w:val="0087116C"/>
    <w:rsid w:val="008711BD"/>
    <w:rsid w:val="0087213E"/>
    <w:rsid w:val="00872CA7"/>
    <w:rsid w:val="00874D8A"/>
    <w:rsid w:val="0087519A"/>
    <w:rsid w:val="008758D4"/>
    <w:rsid w:val="00877B42"/>
    <w:rsid w:val="00877D7C"/>
    <w:rsid w:val="00881288"/>
    <w:rsid w:val="00882459"/>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427C"/>
    <w:rsid w:val="008B4F0B"/>
    <w:rsid w:val="008B5084"/>
    <w:rsid w:val="008B5C71"/>
    <w:rsid w:val="008B7D4E"/>
    <w:rsid w:val="008C1F18"/>
    <w:rsid w:val="008C266D"/>
    <w:rsid w:val="008C37E8"/>
    <w:rsid w:val="008C40B1"/>
    <w:rsid w:val="008C584E"/>
    <w:rsid w:val="008D28E1"/>
    <w:rsid w:val="008D2C2C"/>
    <w:rsid w:val="008D3B3F"/>
    <w:rsid w:val="008D43A8"/>
    <w:rsid w:val="008D46FC"/>
    <w:rsid w:val="008D58F4"/>
    <w:rsid w:val="008D7C22"/>
    <w:rsid w:val="008E008C"/>
    <w:rsid w:val="008E0D53"/>
    <w:rsid w:val="008E0DC4"/>
    <w:rsid w:val="008E5E71"/>
    <w:rsid w:val="008E736C"/>
    <w:rsid w:val="008E7959"/>
    <w:rsid w:val="008F0749"/>
    <w:rsid w:val="008F4E82"/>
    <w:rsid w:val="008F54F3"/>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C99"/>
    <w:rsid w:val="00920F55"/>
    <w:rsid w:val="009215C2"/>
    <w:rsid w:val="00922F61"/>
    <w:rsid w:val="00922F8C"/>
    <w:rsid w:val="00926758"/>
    <w:rsid w:val="00927131"/>
    <w:rsid w:val="00930E70"/>
    <w:rsid w:val="009319F4"/>
    <w:rsid w:val="00933E27"/>
    <w:rsid w:val="00934D26"/>
    <w:rsid w:val="0093635E"/>
    <w:rsid w:val="0093730F"/>
    <w:rsid w:val="00937325"/>
    <w:rsid w:val="00937C87"/>
    <w:rsid w:val="00940831"/>
    <w:rsid w:val="00940E97"/>
    <w:rsid w:val="0094270E"/>
    <w:rsid w:val="00943435"/>
    <w:rsid w:val="009434F4"/>
    <w:rsid w:val="00945CB8"/>
    <w:rsid w:val="009502F9"/>
    <w:rsid w:val="00950D76"/>
    <w:rsid w:val="00950ED4"/>
    <w:rsid w:val="00951B0D"/>
    <w:rsid w:val="0095477E"/>
    <w:rsid w:val="0095571A"/>
    <w:rsid w:val="00956DE7"/>
    <w:rsid w:val="00956E0E"/>
    <w:rsid w:val="009601F0"/>
    <w:rsid w:val="00960DEA"/>
    <w:rsid w:val="00960E46"/>
    <w:rsid w:val="00962C51"/>
    <w:rsid w:val="009637BF"/>
    <w:rsid w:val="00963E6F"/>
    <w:rsid w:val="009643D0"/>
    <w:rsid w:val="009644D7"/>
    <w:rsid w:val="00964E6C"/>
    <w:rsid w:val="00965741"/>
    <w:rsid w:val="0096639A"/>
    <w:rsid w:val="00966606"/>
    <w:rsid w:val="00966BF0"/>
    <w:rsid w:val="00972243"/>
    <w:rsid w:val="00972317"/>
    <w:rsid w:val="009739BA"/>
    <w:rsid w:val="009750E8"/>
    <w:rsid w:val="0097583D"/>
    <w:rsid w:val="00977989"/>
    <w:rsid w:val="00980877"/>
    <w:rsid w:val="00980C12"/>
    <w:rsid w:val="00983208"/>
    <w:rsid w:val="00983A37"/>
    <w:rsid w:val="00983D8B"/>
    <w:rsid w:val="00983F77"/>
    <w:rsid w:val="00985BCB"/>
    <w:rsid w:val="00986D91"/>
    <w:rsid w:val="00992901"/>
    <w:rsid w:val="009948FA"/>
    <w:rsid w:val="00995D2B"/>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6DA3"/>
    <w:rsid w:val="009D7D07"/>
    <w:rsid w:val="009E03A4"/>
    <w:rsid w:val="009E0F24"/>
    <w:rsid w:val="009E263E"/>
    <w:rsid w:val="009E29E8"/>
    <w:rsid w:val="009E2E2A"/>
    <w:rsid w:val="009E4128"/>
    <w:rsid w:val="009E4A04"/>
    <w:rsid w:val="009F0FEB"/>
    <w:rsid w:val="009F2202"/>
    <w:rsid w:val="009F3790"/>
    <w:rsid w:val="009F39DF"/>
    <w:rsid w:val="009F6813"/>
    <w:rsid w:val="009F7B9D"/>
    <w:rsid w:val="00A026AB"/>
    <w:rsid w:val="00A02DDB"/>
    <w:rsid w:val="00A03F8F"/>
    <w:rsid w:val="00A042BC"/>
    <w:rsid w:val="00A045F2"/>
    <w:rsid w:val="00A06CE1"/>
    <w:rsid w:val="00A071E9"/>
    <w:rsid w:val="00A1369B"/>
    <w:rsid w:val="00A1415D"/>
    <w:rsid w:val="00A15402"/>
    <w:rsid w:val="00A157ED"/>
    <w:rsid w:val="00A16D8E"/>
    <w:rsid w:val="00A17648"/>
    <w:rsid w:val="00A20875"/>
    <w:rsid w:val="00A244C7"/>
    <w:rsid w:val="00A26E75"/>
    <w:rsid w:val="00A27FF0"/>
    <w:rsid w:val="00A33F9B"/>
    <w:rsid w:val="00A34702"/>
    <w:rsid w:val="00A34C00"/>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F2"/>
    <w:rsid w:val="00A70F90"/>
    <w:rsid w:val="00A71C66"/>
    <w:rsid w:val="00A72017"/>
    <w:rsid w:val="00A73E9A"/>
    <w:rsid w:val="00A7487F"/>
    <w:rsid w:val="00A753B3"/>
    <w:rsid w:val="00A75C5D"/>
    <w:rsid w:val="00A76E35"/>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B581D"/>
    <w:rsid w:val="00AB6D65"/>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4D64"/>
    <w:rsid w:val="00B153FA"/>
    <w:rsid w:val="00B15D1C"/>
    <w:rsid w:val="00B1750B"/>
    <w:rsid w:val="00B179C3"/>
    <w:rsid w:val="00B17B55"/>
    <w:rsid w:val="00B20814"/>
    <w:rsid w:val="00B22A17"/>
    <w:rsid w:val="00B22B9F"/>
    <w:rsid w:val="00B22F78"/>
    <w:rsid w:val="00B24823"/>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C12"/>
    <w:rsid w:val="00B43C62"/>
    <w:rsid w:val="00B43D92"/>
    <w:rsid w:val="00B51050"/>
    <w:rsid w:val="00B52CAD"/>
    <w:rsid w:val="00B53EAF"/>
    <w:rsid w:val="00B554D6"/>
    <w:rsid w:val="00B6260E"/>
    <w:rsid w:val="00B6454E"/>
    <w:rsid w:val="00B65BCA"/>
    <w:rsid w:val="00B6639B"/>
    <w:rsid w:val="00B66F84"/>
    <w:rsid w:val="00B675A3"/>
    <w:rsid w:val="00B67947"/>
    <w:rsid w:val="00B7570D"/>
    <w:rsid w:val="00B75C77"/>
    <w:rsid w:val="00B80E36"/>
    <w:rsid w:val="00B8304C"/>
    <w:rsid w:val="00B83D05"/>
    <w:rsid w:val="00B84F6E"/>
    <w:rsid w:val="00B8512C"/>
    <w:rsid w:val="00B859EC"/>
    <w:rsid w:val="00B901B7"/>
    <w:rsid w:val="00B90713"/>
    <w:rsid w:val="00B92069"/>
    <w:rsid w:val="00B92FFF"/>
    <w:rsid w:val="00B9500B"/>
    <w:rsid w:val="00B96AA5"/>
    <w:rsid w:val="00B970C0"/>
    <w:rsid w:val="00BA06F7"/>
    <w:rsid w:val="00BA1D80"/>
    <w:rsid w:val="00BA2AB9"/>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D6D78"/>
    <w:rsid w:val="00BE001D"/>
    <w:rsid w:val="00BE1E89"/>
    <w:rsid w:val="00BE288A"/>
    <w:rsid w:val="00BE314D"/>
    <w:rsid w:val="00BE3F0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201"/>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26FB"/>
    <w:rsid w:val="00C8345C"/>
    <w:rsid w:val="00C849B4"/>
    <w:rsid w:val="00C85CD7"/>
    <w:rsid w:val="00C86952"/>
    <w:rsid w:val="00C8729E"/>
    <w:rsid w:val="00C9044D"/>
    <w:rsid w:val="00C91A6F"/>
    <w:rsid w:val="00C91E33"/>
    <w:rsid w:val="00C92600"/>
    <w:rsid w:val="00C930C8"/>
    <w:rsid w:val="00C95611"/>
    <w:rsid w:val="00C9603E"/>
    <w:rsid w:val="00C96F59"/>
    <w:rsid w:val="00C97FC1"/>
    <w:rsid w:val="00CA45CB"/>
    <w:rsid w:val="00CA4C3A"/>
    <w:rsid w:val="00CA4E57"/>
    <w:rsid w:val="00CA7AA6"/>
    <w:rsid w:val="00CA7ADA"/>
    <w:rsid w:val="00CA7C07"/>
    <w:rsid w:val="00CA7EAE"/>
    <w:rsid w:val="00CA7F1D"/>
    <w:rsid w:val="00CB19C6"/>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1904"/>
    <w:rsid w:val="00CE20C5"/>
    <w:rsid w:val="00CE2494"/>
    <w:rsid w:val="00CE27F7"/>
    <w:rsid w:val="00CE2973"/>
    <w:rsid w:val="00CE3BC3"/>
    <w:rsid w:val="00CE4073"/>
    <w:rsid w:val="00CE63C3"/>
    <w:rsid w:val="00CE719D"/>
    <w:rsid w:val="00CE724E"/>
    <w:rsid w:val="00CE7322"/>
    <w:rsid w:val="00CE7470"/>
    <w:rsid w:val="00CE7DD9"/>
    <w:rsid w:val="00CE7F68"/>
    <w:rsid w:val="00CF1FC5"/>
    <w:rsid w:val="00CF23A0"/>
    <w:rsid w:val="00CF463E"/>
    <w:rsid w:val="00CF4EFF"/>
    <w:rsid w:val="00CF55B7"/>
    <w:rsid w:val="00CF61D3"/>
    <w:rsid w:val="00CF6B54"/>
    <w:rsid w:val="00CF723E"/>
    <w:rsid w:val="00CF74E9"/>
    <w:rsid w:val="00CF7AA5"/>
    <w:rsid w:val="00D01474"/>
    <w:rsid w:val="00D02831"/>
    <w:rsid w:val="00D03CED"/>
    <w:rsid w:val="00D04C47"/>
    <w:rsid w:val="00D0654C"/>
    <w:rsid w:val="00D069F8"/>
    <w:rsid w:val="00D07E4B"/>
    <w:rsid w:val="00D10DD2"/>
    <w:rsid w:val="00D1305D"/>
    <w:rsid w:val="00D1318A"/>
    <w:rsid w:val="00D13CEA"/>
    <w:rsid w:val="00D13F20"/>
    <w:rsid w:val="00D144B1"/>
    <w:rsid w:val="00D15014"/>
    <w:rsid w:val="00D15AA1"/>
    <w:rsid w:val="00D164BC"/>
    <w:rsid w:val="00D203E4"/>
    <w:rsid w:val="00D23481"/>
    <w:rsid w:val="00D25C63"/>
    <w:rsid w:val="00D279F0"/>
    <w:rsid w:val="00D3496C"/>
    <w:rsid w:val="00D3693E"/>
    <w:rsid w:val="00D36A13"/>
    <w:rsid w:val="00D36A9F"/>
    <w:rsid w:val="00D42E23"/>
    <w:rsid w:val="00D43A3A"/>
    <w:rsid w:val="00D43E37"/>
    <w:rsid w:val="00D43E4C"/>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0CB6"/>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644"/>
    <w:rsid w:val="00DA2C1D"/>
    <w:rsid w:val="00DA2E83"/>
    <w:rsid w:val="00DA3868"/>
    <w:rsid w:val="00DA3A68"/>
    <w:rsid w:val="00DA4E7C"/>
    <w:rsid w:val="00DB052D"/>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6C"/>
    <w:rsid w:val="00DE379D"/>
    <w:rsid w:val="00DE41C5"/>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3271"/>
    <w:rsid w:val="00E24F0F"/>
    <w:rsid w:val="00E2568A"/>
    <w:rsid w:val="00E25D40"/>
    <w:rsid w:val="00E25F4D"/>
    <w:rsid w:val="00E275EC"/>
    <w:rsid w:val="00E319EF"/>
    <w:rsid w:val="00E31CB8"/>
    <w:rsid w:val="00E332FF"/>
    <w:rsid w:val="00E354BF"/>
    <w:rsid w:val="00E3591B"/>
    <w:rsid w:val="00E35B2A"/>
    <w:rsid w:val="00E361ED"/>
    <w:rsid w:val="00E36492"/>
    <w:rsid w:val="00E368CF"/>
    <w:rsid w:val="00E36F8E"/>
    <w:rsid w:val="00E40395"/>
    <w:rsid w:val="00E40CA6"/>
    <w:rsid w:val="00E41747"/>
    <w:rsid w:val="00E44D06"/>
    <w:rsid w:val="00E46240"/>
    <w:rsid w:val="00E46667"/>
    <w:rsid w:val="00E47AB2"/>
    <w:rsid w:val="00E50794"/>
    <w:rsid w:val="00E52B0F"/>
    <w:rsid w:val="00E54144"/>
    <w:rsid w:val="00E547F7"/>
    <w:rsid w:val="00E563A4"/>
    <w:rsid w:val="00E57404"/>
    <w:rsid w:val="00E57797"/>
    <w:rsid w:val="00E57A6E"/>
    <w:rsid w:val="00E64BEF"/>
    <w:rsid w:val="00E64E18"/>
    <w:rsid w:val="00E66BEB"/>
    <w:rsid w:val="00E70378"/>
    <w:rsid w:val="00E71771"/>
    <w:rsid w:val="00E71F80"/>
    <w:rsid w:val="00E73985"/>
    <w:rsid w:val="00E7452D"/>
    <w:rsid w:val="00E74CB0"/>
    <w:rsid w:val="00E74D40"/>
    <w:rsid w:val="00E81B7C"/>
    <w:rsid w:val="00E83CC2"/>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E7B27"/>
    <w:rsid w:val="00EF0C39"/>
    <w:rsid w:val="00EF36E1"/>
    <w:rsid w:val="00EF6C8B"/>
    <w:rsid w:val="00F028A5"/>
    <w:rsid w:val="00F02ACE"/>
    <w:rsid w:val="00F03463"/>
    <w:rsid w:val="00F03E2D"/>
    <w:rsid w:val="00F046C9"/>
    <w:rsid w:val="00F04A8F"/>
    <w:rsid w:val="00F05082"/>
    <w:rsid w:val="00F056AD"/>
    <w:rsid w:val="00F06AF6"/>
    <w:rsid w:val="00F10080"/>
    <w:rsid w:val="00F104DF"/>
    <w:rsid w:val="00F10AC0"/>
    <w:rsid w:val="00F1561E"/>
    <w:rsid w:val="00F16F36"/>
    <w:rsid w:val="00F20567"/>
    <w:rsid w:val="00F21BA6"/>
    <w:rsid w:val="00F23B28"/>
    <w:rsid w:val="00F25709"/>
    <w:rsid w:val="00F26C65"/>
    <w:rsid w:val="00F316B5"/>
    <w:rsid w:val="00F35212"/>
    <w:rsid w:val="00F3721C"/>
    <w:rsid w:val="00F378E3"/>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5C0"/>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A88"/>
    <w:rsid w:val="00F73D29"/>
    <w:rsid w:val="00F7642B"/>
    <w:rsid w:val="00F76769"/>
    <w:rsid w:val="00F80706"/>
    <w:rsid w:val="00F80790"/>
    <w:rsid w:val="00F81775"/>
    <w:rsid w:val="00F8257C"/>
    <w:rsid w:val="00F84FFC"/>
    <w:rsid w:val="00F8788F"/>
    <w:rsid w:val="00F87926"/>
    <w:rsid w:val="00F908B7"/>
    <w:rsid w:val="00F91851"/>
    <w:rsid w:val="00F933B4"/>
    <w:rsid w:val="00F935DC"/>
    <w:rsid w:val="00F936DE"/>
    <w:rsid w:val="00F93F64"/>
    <w:rsid w:val="00F955F5"/>
    <w:rsid w:val="00F95EC7"/>
    <w:rsid w:val="00F967B6"/>
    <w:rsid w:val="00F97ADD"/>
    <w:rsid w:val="00FA03D1"/>
    <w:rsid w:val="00FA0E73"/>
    <w:rsid w:val="00FA157D"/>
    <w:rsid w:val="00FA2ED3"/>
    <w:rsid w:val="00FA36A3"/>
    <w:rsid w:val="00FA3A0C"/>
    <w:rsid w:val="00FA3EA6"/>
    <w:rsid w:val="00FA4BC3"/>
    <w:rsid w:val="00FA6B8E"/>
    <w:rsid w:val="00FA7206"/>
    <w:rsid w:val="00FA74CC"/>
    <w:rsid w:val="00FB0D59"/>
    <w:rsid w:val="00FB1BAA"/>
    <w:rsid w:val="00FB1BCD"/>
    <w:rsid w:val="00FB1D33"/>
    <w:rsid w:val="00FB4EFC"/>
    <w:rsid w:val="00FB7C3A"/>
    <w:rsid w:val="00FC01D5"/>
    <w:rsid w:val="00FC2034"/>
    <w:rsid w:val="00FC387F"/>
    <w:rsid w:val="00FC48F9"/>
    <w:rsid w:val="00FC6F1F"/>
    <w:rsid w:val="00FC7236"/>
    <w:rsid w:val="00FC74A2"/>
    <w:rsid w:val="00FD0BFA"/>
    <w:rsid w:val="00FD34DC"/>
    <w:rsid w:val="00FD3D7D"/>
    <w:rsid w:val="00FD5141"/>
    <w:rsid w:val="00FD5CCF"/>
    <w:rsid w:val="00FD667D"/>
    <w:rsid w:val="00FD7497"/>
    <w:rsid w:val="00FE58DC"/>
    <w:rsid w:val="00FE609B"/>
    <w:rsid w:val="00FE62B8"/>
    <w:rsid w:val="00FE7308"/>
    <w:rsid w:val="00FE7D39"/>
    <w:rsid w:val="00FF55F7"/>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BEF5F"/>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 w:type="character" w:customStyle="1" w:styleId="Mencinsinresolver8">
    <w:name w:val="Mención sin resolver8"/>
    <w:basedOn w:val="Fuentedeprrafopredeter"/>
    <w:uiPriority w:val="99"/>
    <w:semiHidden/>
    <w:unhideWhenUsed/>
    <w:rsid w:val="00245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1280611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9884D813-EB48-4A17-9350-62B628D11E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4953</Words>
  <Characters>27244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Celi Gs</cp:lastModifiedBy>
  <cp:revision>2</cp:revision>
  <cp:lastPrinted>2026-03-23T15:43:00Z</cp:lastPrinted>
  <dcterms:created xsi:type="dcterms:W3CDTF">2026-04-10T02:33:00Z</dcterms:created>
  <dcterms:modified xsi:type="dcterms:W3CDTF">2026-04-10T02:33:00Z</dcterms:modified>
</cp:coreProperties>
</file>