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F08" w:rsidRPr="00B67230" w:rsidRDefault="00381314">
      <w:pPr>
        <w:spacing w:before="240" w:after="240" w:line="360" w:lineRule="auto"/>
        <w:jc w:val="both"/>
        <w:rPr>
          <w:rFonts w:ascii="Palatino Linotype" w:eastAsia="Palatino Linotype" w:hAnsi="Palatino Linotype" w:cs="Palatino Linotype"/>
          <w:sz w:val="22"/>
          <w:szCs w:val="22"/>
        </w:rPr>
      </w:pPr>
      <w:bookmarkStart w:id="0" w:name="_GoBack"/>
      <w:bookmarkEnd w:id="0"/>
      <w:r w:rsidRPr="00B6723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diecinueve de marzo de dos mil veintiséis. </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VISTO</w:t>
      </w:r>
      <w:r w:rsidRPr="00B67230">
        <w:rPr>
          <w:rFonts w:ascii="Palatino Linotype" w:eastAsia="Palatino Linotype" w:hAnsi="Palatino Linotype" w:cs="Palatino Linotype"/>
          <w:sz w:val="22"/>
          <w:szCs w:val="22"/>
        </w:rPr>
        <w:t xml:space="preserve"> el expediente formado con motivo del recurso de revisión </w:t>
      </w:r>
      <w:r w:rsidRPr="00B67230">
        <w:rPr>
          <w:rFonts w:ascii="Palatino Linotype" w:eastAsia="Palatino Linotype" w:hAnsi="Palatino Linotype" w:cs="Palatino Linotype"/>
          <w:b/>
          <w:bCs/>
          <w:sz w:val="22"/>
          <w:szCs w:val="22"/>
        </w:rPr>
        <w:t>08999/INFOEM/IP/RR/2025</w:t>
      </w:r>
      <w:r w:rsidRPr="00B67230">
        <w:rPr>
          <w:rFonts w:ascii="Palatino Linotype" w:eastAsia="Palatino Linotype" w:hAnsi="Palatino Linotype" w:cs="Palatino Linotype"/>
          <w:sz w:val="22"/>
          <w:szCs w:val="22"/>
        </w:rPr>
        <w:t xml:space="preserve">, interpuesto por </w:t>
      </w:r>
      <w:r w:rsidRPr="00B67230">
        <w:rPr>
          <w:rFonts w:ascii="Palatino Linotype" w:eastAsia="Palatino Linotype" w:hAnsi="Palatino Linotype" w:cs="Palatino Linotype"/>
          <w:b/>
          <w:bCs/>
          <w:sz w:val="22"/>
          <w:szCs w:val="22"/>
        </w:rPr>
        <w:t xml:space="preserve">una persona que no proporcionó nombre o seudónimo, </w:t>
      </w:r>
      <w:r w:rsidRPr="00B67230">
        <w:rPr>
          <w:rFonts w:ascii="Palatino Linotype" w:eastAsia="Palatino Linotype" w:hAnsi="Palatino Linotype" w:cs="Palatino Linotype"/>
          <w:sz w:val="22"/>
          <w:szCs w:val="22"/>
        </w:rPr>
        <w:t>en lo sucesivo</w:t>
      </w:r>
      <w:r w:rsidRPr="00B67230">
        <w:rPr>
          <w:rFonts w:ascii="Palatino Linotype" w:eastAsia="Palatino Linotype" w:hAnsi="Palatino Linotype" w:cs="Palatino Linotype"/>
          <w:b/>
          <w:bCs/>
          <w:sz w:val="22"/>
          <w:szCs w:val="22"/>
        </w:rPr>
        <w:t xml:space="preserve"> </w:t>
      </w:r>
      <w:r w:rsidRPr="00B67230">
        <w:rPr>
          <w:rFonts w:ascii="Palatino Linotype" w:eastAsia="Palatino Linotype" w:hAnsi="Palatino Linotype" w:cs="Palatino Linotype"/>
          <w:sz w:val="22"/>
          <w:szCs w:val="22"/>
        </w:rPr>
        <w:t xml:space="preserve">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xml:space="preserve"> en contra de la respuesta a la solicitud de información con número de folio </w:t>
      </w:r>
      <w:r w:rsidRPr="00B67230">
        <w:rPr>
          <w:rFonts w:ascii="Palatino Linotype" w:eastAsia="Palatino Linotype" w:hAnsi="Palatino Linotype" w:cs="Palatino Linotype"/>
          <w:b/>
          <w:bCs/>
          <w:sz w:val="22"/>
          <w:szCs w:val="22"/>
        </w:rPr>
        <w:t xml:space="preserve">03377/INFOEM/IP/2025, </w:t>
      </w:r>
      <w:r w:rsidRPr="00B67230">
        <w:rPr>
          <w:rFonts w:ascii="Palatino Linotype" w:eastAsia="Palatino Linotype" w:hAnsi="Palatino Linotype" w:cs="Palatino Linotype"/>
          <w:sz w:val="22"/>
          <w:szCs w:val="22"/>
        </w:rPr>
        <w:t>por parte del</w:t>
      </w:r>
      <w:r w:rsidRPr="00B67230">
        <w:rPr>
          <w:rFonts w:ascii="Palatino Linotype" w:eastAsia="Palatino Linotype" w:hAnsi="Palatino Linotype" w:cs="Palatino Linotype"/>
          <w:b/>
          <w:bCs/>
          <w:sz w:val="22"/>
          <w:szCs w:val="22"/>
        </w:rPr>
        <w:t xml:space="preserve"> Ayuntamiento de Toluca, </w:t>
      </w:r>
      <w:r w:rsidRPr="00B67230">
        <w:rPr>
          <w:rFonts w:ascii="Palatino Linotype" w:eastAsia="Palatino Linotype" w:hAnsi="Palatino Linotype" w:cs="Palatino Linotype"/>
          <w:sz w:val="22"/>
          <w:szCs w:val="22"/>
        </w:rPr>
        <w:t xml:space="preserve">en lo sucesivo 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 xml:space="preserve">se procede a dictar la presente resolución con base en los siguientes: </w:t>
      </w:r>
    </w:p>
    <w:p w:rsidR="00FF6F08" w:rsidRPr="00B67230" w:rsidRDefault="00381314">
      <w:pPr>
        <w:spacing w:before="240" w:after="240" w:line="360" w:lineRule="auto"/>
        <w:jc w:val="center"/>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I. A N T E C E D E N T E S</w:t>
      </w:r>
    </w:p>
    <w:p w:rsidR="00FF6F08" w:rsidRPr="00B67230" w:rsidRDefault="00381314">
      <w:pPr>
        <w:spacing w:before="240" w:after="24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1. Solicitud de acceso a la información.</w:t>
      </w:r>
      <w:r w:rsidRPr="00B67230">
        <w:rPr>
          <w:rFonts w:ascii="Palatino Linotype" w:eastAsia="Palatino Linotype" w:hAnsi="Palatino Linotype" w:cs="Palatino Linotype"/>
          <w:sz w:val="22"/>
          <w:szCs w:val="22"/>
        </w:rPr>
        <w:t xml:space="preserve"> El </w:t>
      </w:r>
      <w:r w:rsidRPr="00B67230">
        <w:rPr>
          <w:rFonts w:ascii="Palatino Linotype" w:eastAsia="Palatino Linotype" w:hAnsi="Palatino Linotype" w:cs="Palatino Linotype"/>
          <w:b/>
          <w:bCs/>
          <w:sz w:val="22"/>
          <w:szCs w:val="22"/>
        </w:rPr>
        <w:t>once de junio de dos mil veinticinco,</w:t>
      </w:r>
      <w:r w:rsidRPr="00B67230">
        <w:rPr>
          <w:rFonts w:ascii="Palatino Linotype" w:eastAsia="Palatino Linotype" w:hAnsi="Palatino Linotype" w:cs="Palatino Linotype"/>
          <w:sz w:val="22"/>
          <w:szCs w:val="22"/>
        </w:rPr>
        <w:t xml:space="preserve"> la persona solicitante presentó la solicitud de acceso a la información pública ante 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través del Sistema de Acceso a la Información Mexiquense, en lo subsecuente el </w:t>
      </w:r>
      <w:r w:rsidRPr="00B67230">
        <w:rPr>
          <w:rFonts w:ascii="Palatino Linotype" w:eastAsia="Palatino Linotype" w:hAnsi="Palatino Linotype" w:cs="Palatino Linotype"/>
          <w:b/>
          <w:bCs/>
          <w:sz w:val="22"/>
          <w:szCs w:val="22"/>
        </w:rPr>
        <w:t>SAIMEX;</w:t>
      </w:r>
      <w:r w:rsidRPr="00B67230">
        <w:rPr>
          <w:rFonts w:ascii="Palatino Linotype" w:eastAsia="Palatino Linotype" w:hAnsi="Palatino Linotype" w:cs="Palatino Linotype"/>
          <w:sz w:val="22"/>
          <w:szCs w:val="22"/>
        </w:rPr>
        <w:t xml:space="preserve"> mediante la cual requirió lo siguiente:</w:t>
      </w:r>
    </w:p>
    <w:p w:rsidR="00FF6F08" w:rsidRPr="00B67230" w:rsidRDefault="00381314">
      <w:pPr>
        <w:spacing w:before="120" w:after="120"/>
        <w:ind w:left="851" w:right="902"/>
        <w:jc w:val="both"/>
        <w:rPr>
          <w:rFonts w:ascii="Palatino Linotype" w:eastAsia="Palatino Linotype" w:hAnsi="Palatino Linotype" w:cs="Palatino Linotype"/>
          <w:b/>
          <w:bCs/>
          <w:i/>
          <w:iCs/>
          <w:sz w:val="22"/>
          <w:szCs w:val="22"/>
        </w:rPr>
      </w:pPr>
      <w:bookmarkStart w:id="1" w:name="_heading=h.62arw6sn5m6p" w:colFirst="0" w:colLast="0"/>
      <w:bookmarkEnd w:id="1"/>
      <w:r w:rsidRPr="00B67230">
        <w:rPr>
          <w:rFonts w:ascii="Palatino Linotype" w:eastAsia="Palatino Linotype" w:hAnsi="Palatino Linotype" w:cs="Palatino Linotype"/>
          <w:i/>
          <w:iCs/>
          <w:sz w:val="22"/>
          <w:szCs w:val="22"/>
        </w:rPr>
        <w:t xml:space="preserve">“De conformidad con el artículo 5 de la constitución se solicitan todas las acta del </w:t>
      </w:r>
      <w:proofErr w:type="spellStart"/>
      <w:r w:rsidRPr="00B67230">
        <w:rPr>
          <w:rFonts w:ascii="Palatino Linotype" w:eastAsia="Palatino Linotype" w:hAnsi="Palatino Linotype" w:cs="Palatino Linotype"/>
          <w:i/>
          <w:iCs/>
          <w:sz w:val="22"/>
          <w:szCs w:val="22"/>
        </w:rPr>
        <w:t>comite</w:t>
      </w:r>
      <w:proofErr w:type="spellEnd"/>
      <w:r w:rsidRPr="00B67230">
        <w:rPr>
          <w:rFonts w:ascii="Palatino Linotype" w:eastAsia="Palatino Linotype" w:hAnsi="Palatino Linotype" w:cs="Palatino Linotype"/>
          <w:i/>
          <w:iCs/>
          <w:sz w:val="22"/>
          <w:szCs w:val="22"/>
        </w:rPr>
        <w:t xml:space="preserve"> de </w:t>
      </w:r>
      <w:proofErr w:type="spellStart"/>
      <w:r w:rsidRPr="00B67230">
        <w:rPr>
          <w:rFonts w:ascii="Palatino Linotype" w:eastAsia="Palatino Linotype" w:hAnsi="Palatino Linotype" w:cs="Palatino Linotype"/>
          <w:i/>
          <w:iCs/>
          <w:sz w:val="22"/>
          <w:szCs w:val="22"/>
        </w:rPr>
        <w:t>transparnecia</w:t>
      </w:r>
      <w:proofErr w:type="spellEnd"/>
      <w:r w:rsidRPr="00B67230">
        <w:rPr>
          <w:rFonts w:ascii="Palatino Linotype" w:eastAsia="Palatino Linotype" w:hAnsi="Palatino Linotype" w:cs="Palatino Linotype"/>
          <w:i/>
          <w:iCs/>
          <w:sz w:val="22"/>
          <w:szCs w:val="22"/>
        </w:rPr>
        <w:t xml:space="preserve"> </w:t>
      </w:r>
      <w:r w:rsidRPr="00B67230">
        <w:rPr>
          <w:rFonts w:ascii="Palatino Linotype" w:eastAsia="Palatino Linotype" w:hAnsi="Palatino Linotype" w:cs="Palatino Linotype"/>
          <w:b/>
          <w:bCs/>
          <w:i/>
          <w:iCs/>
          <w:sz w:val="22"/>
          <w:szCs w:val="22"/>
          <w:u w:val="single"/>
        </w:rPr>
        <w:t>que sean de inexistencia de la información</w:t>
      </w:r>
      <w:r w:rsidRPr="00B67230">
        <w:rPr>
          <w:rFonts w:ascii="Palatino Linotype" w:eastAsia="Palatino Linotype" w:hAnsi="Palatino Linotype" w:cs="Palatino Linotype"/>
          <w:i/>
          <w:iCs/>
          <w:sz w:val="22"/>
          <w:szCs w:val="22"/>
        </w:rPr>
        <w:t xml:space="preserve"> y los oficios donde lo solicitan los servidores </w:t>
      </w:r>
      <w:proofErr w:type="spellStart"/>
      <w:r w:rsidRPr="00B67230">
        <w:rPr>
          <w:rFonts w:ascii="Palatino Linotype" w:eastAsia="Palatino Linotype" w:hAnsi="Palatino Linotype" w:cs="Palatino Linotype"/>
          <w:i/>
          <w:iCs/>
          <w:sz w:val="22"/>
          <w:szCs w:val="22"/>
        </w:rPr>
        <w:t>publicos</w:t>
      </w:r>
      <w:proofErr w:type="spellEnd"/>
      <w:r w:rsidRPr="00B67230">
        <w:rPr>
          <w:rFonts w:ascii="Palatino Linotype" w:eastAsia="Palatino Linotype" w:hAnsi="Palatino Linotype" w:cs="Palatino Linotype"/>
          <w:i/>
          <w:iCs/>
          <w:sz w:val="22"/>
          <w:szCs w:val="22"/>
        </w:rPr>
        <w:t xml:space="preserve"> habilitados. del 1 de enero de 2025 a la fecha.</w:t>
      </w:r>
      <w:r w:rsidRPr="00B67230">
        <w:rPr>
          <w:rFonts w:ascii="Palatino Linotype" w:eastAsia="Palatino Linotype" w:hAnsi="Palatino Linotype" w:cs="Palatino Linotype"/>
          <w:b/>
          <w:bCs/>
          <w:i/>
          <w:iCs/>
          <w:sz w:val="22"/>
          <w:szCs w:val="22"/>
        </w:rPr>
        <w:t>”</w:t>
      </w:r>
      <w:r w:rsidRPr="00B67230">
        <w:rPr>
          <w:rFonts w:ascii="Palatino Linotype" w:eastAsia="Palatino Linotype" w:hAnsi="Palatino Linotype" w:cs="Palatino Linotype"/>
          <w:i/>
          <w:iCs/>
          <w:sz w:val="22"/>
          <w:szCs w:val="22"/>
        </w:rPr>
        <w:t xml:space="preserve"> (sic) </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B67230">
        <w:rPr>
          <w:rFonts w:ascii="Palatino Linotype" w:eastAsia="Palatino Linotype" w:hAnsi="Palatino Linotype" w:cs="Palatino Linotype"/>
          <w:b/>
          <w:bCs/>
          <w:sz w:val="22"/>
          <w:szCs w:val="22"/>
        </w:rPr>
        <w:t>Modalidad de Entrega:</w:t>
      </w:r>
      <w:r w:rsidRPr="00B67230">
        <w:rPr>
          <w:rFonts w:ascii="Palatino Linotype" w:eastAsia="Palatino Linotype" w:hAnsi="Palatino Linotype" w:cs="Palatino Linotype"/>
          <w:sz w:val="22"/>
          <w:szCs w:val="22"/>
        </w:rPr>
        <w:t xml:space="preserve"> a través </w:t>
      </w:r>
      <w:r w:rsidRPr="00B67230">
        <w:rPr>
          <w:rFonts w:ascii="Palatino Linotype" w:eastAsia="Palatino Linotype" w:hAnsi="Palatino Linotype" w:cs="Palatino Linotype"/>
          <w:b/>
          <w:bCs/>
          <w:sz w:val="22"/>
          <w:szCs w:val="22"/>
        </w:rPr>
        <w:t>de SAIMEX</w:t>
      </w:r>
    </w:p>
    <w:p w:rsidR="00FF6F08" w:rsidRPr="00B67230" w:rsidRDefault="00381314">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2. Respuesta. </w:t>
      </w:r>
      <w:r w:rsidRPr="00B67230">
        <w:rPr>
          <w:rFonts w:ascii="Palatino Linotype" w:eastAsia="Palatino Linotype" w:hAnsi="Palatino Linotype" w:cs="Palatino Linotype"/>
          <w:sz w:val="22"/>
          <w:szCs w:val="22"/>
        </w:rPr>
        <w:t xml:space="preserve">El </w:t>
      </w:r>
      <w:r w:rsidRPr="00B67230">
        <w:rPr>
          <w:rFonts w:ascii="Palatino Linotype" w:eastAsia="Palatino Linotype" w:hAnsi="Palatino Linotype" w:cs="Palatino Linotype"/>
          <w:b/>
          <w:bCs/>
          <w:sz w:val="22"/>
          <w:szCs w:val="22"/>
        </w:rPr>
        <w:t>dos de julio de dos mil veinticinco</w:t>
      </w:r>
      <w:r w:rsidRPr="00B67230">
        <w:rPr>
          <w:rFonts w:ascii="Palatino Linotype" w:eastAsia="Palatino Linotype" w:hAnsi="Palatino Linotype" w:cs="Palatino Linotype"/>
          <w:sz w:val="22"/>
          <w:szCs w:val="22"/>
        </w:rPr>
        <w:t xml:space="preserve">, 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rsidR="00FF6F08" w:rsidRPr="00B67230" w:rsidRDefault="00381314">
      <w:pPr>
        <w:spacing w:before="240" w:after="24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F6F08" w:rsidRPr="00B67230" w:rsidRDefault="00381314">
      <w:pPr>
        <w:spacing w:before="240" w:after="24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En atención a la solicitud con folio 03377/TOLUCA/IP/2025, me permito adjuntar al presente la respuesta correspondiente. Sin más por el momento, reciba un saludo.....” (sic)</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adjuntó lo siguiente:</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_ R. 03377_25.pdf. </w:t>
      </w:r>
      <w:r w:rsidRPr="00B67230">
        <w:rPr>
          <w:rFonts w:ascii="Palatino Linotype" w:eastAsia="Palatino Linotype" w:hAnsi="Palatino Linotype" w:cs="Palatino Linotype"/>
          <w:sz w:val="22"/>
          <w:szCs w:val="22"/>
        </w:rPr>
        <w:t xml:space="preserve">Oficio mediante el cual el titular de la unidad de transparencia refiere remitir la información solicitada.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 ENERO 2025.pdf. </w:t>
      </w:r>
      <w:r w:rsidRPr="00B67230">
        <w:rPr>
          <w:rFonts w:ascii="Palatino Linotype" w:eastAsia="Palatino Linotype" w:hAnsi="Palatino Linotype" w:cs="Palatino Linotype"/>
          <w:sz w:val="22"/>
          <w:szCs w:val="22"/>
        </w:rPr>
        <w:t xml:space="preserve">Oficios recibidos en el mes de enero en los cuales en su totalidad se trata de solicitudes formuladas por los servidores públicos habilitados para autorizar prórroga para dar respuesta a diversas solicitudes de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FEBRERO 2025.pdf. </w:t>
      </w:r>
      <w:r w:rsidRPr="00B67230">
        <w:rPr>
          <w:rFonts w:ascii="Palatino Linotype" w:eastAsia="Palatino Linotype" w:hAnsi="Palatino Linotype" w:cs="Palatino Linotype"/>
          <w:sz w:val="22"/>
          <w:szCs w:val="22"/>
        </w:rPr>
        <w:t>Oficios recibidos en el mes de enero en los cuales en su totalidad se trata de solicitudes formuladas por los servidores públicos habilitados para autorizar prórroga para dar respuesta a diversas solicitudes de información.</w:t>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MARZO 2025.pdf. </w:t>
      </w:r>
      <w:r w:rsidRPr="00B67230">
        <w:rPr>
          <w:rFonts w:ascii="Palatino Linotype" w:eastAsia="Palatino Linotype" w:hAnsi="Palatino Linotype" w:cs="Palatino Linotype"/>
          <w:sz w:val="22"/>
          <w:szCs w:val="22"/>
        </w:rPr>
        <w:t xml:space="preserve">Oficios recibidos en el mes de enero en los cuales en su totalidad se trata de solicitudes formuladas por los servidores públicos habilitados para autorizar prórroga para dar respuesta a diversas solicitudes de información. (Salvo el oficio contenido en la página 84 en el que si bien el rubro refiere solicitud de prórroga, el contenido se refiere a la solicitud de clasificación de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ABRIL 2025_1.pdf. </w:t>
      </w:r>
      <w:r w:rsidRPr="00B67230">
        <w:rPr>
          <w:rFonts w:ascii="Palatino Linotype" w:eastAsia="Palatino Linotype" w:hAnsi="Palatino Linotype" w:cs="Palatino Linotype"/>
          <w:sz w:val="22"/>
          <w:szCs w:val="22"/>
        </w:rPr>
        <w:t xml:space="preserve">Remite diversos oficios en los que los servidores públicos habilitados solicitan convocar al comité para poner a consideración proyectos de clasificación de la información como reservada y confidencial, así como prórrogas de atención a solicitudes </w:t>
      </w:r>
      <w:r w:rsidRPr="00B67230">
        <w:rPr>
          <w:rFonts w:ascii="Palatino Linotype" w:eastAsia="Palatino Linotype" w:hAnsi="Palatino Linotype" w:cs="Palatino Linotype"/>
          <w:sz w:val="22"/>
          <w:szCs w:val="22"/>
        </w:rPr>
        <w:lastRenderedPageBreak/>
        <w:t xml:space="preserve">de información y cambio de modalidad en la entrega de la información. De los cuales se advierte que únicamente el localizado en la página 217 se refiere a una solicitud forma de declaratoria de inexistencia por parte de la Cuarta Regidora, tal como se advierte a continuación: </w:t>
      </w:r>
    </w:p>
    <w:p w:rsidR="00FF6F08" w:rsidRPr="00B67230" w:rsidRDefault="00381314">
      <w:pPr>
        <w:spacing w:before="240" w:after="240" w:line="360" w:lineRule="auto"/>
        <w:ind w:right="49"/>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072790" cy="5389624"/>
            <wp:effectExtent l="0" t="0" r="0" b="0"/>
            <wp:docPr id="2011180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72790" cy="5389624"/>
                    </a:xfrm>
                    <a:prstGeom prst="rect">
                      <a:avLst/>
                    </a:prstGeom>
                    <a:ln/>
                  </pic:spPr>
                </pic:pic>
              </a:graphicData>
            </a:graphic>
          </wp:inline>
        </w:drawing>
      </w:r>
    </w:p>
    <w:p w:rsidR="00FF6F08" w:rsidRPr="00B67230" w:rsidRDefault="00FF6F08">
      <w:pPr>
        <w:spacing w:before="240" w:after="240" w:line="360" w:lineRule="auto"/>
        <w:ind w:right="49"/>
        <w:jc w:val="both"/>
        <w:rPr>
          <w:rFonts w:ascii="Palatino Linotype" w:eastAsia="Palatino Linotype" w:hAnsi="Palatino Linotype" w:cs="Palatino Linotype"/>
          <w:sz w:val="22"/>
          <w:szCs w:val="22"/>
        </w:rPr>
      </w:pP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ABRIL 2025_2.pdf. </w:t>
      </w:r>
      <w:r w:rsidRPr="00B67230">
        <w:rPr>
          <w:rFonts w:ascii="Palatino Linotype" w:eastAsia="Palatino Linotype" w:hAnsi="Palatino Linotype" w:cs="Palatino Linotype"/>
          <w:sz w:val="22"/>
          <w:szCs w:val="22"/>
        </w:rPr>
        <w:t xml:space="preserve">Remite diversos oficios en los que los servidores públicos habilitados solicitan convocar al comité para poner a consideración proyectos de clasificación de la información como reservada y confidencial, así como prórrogas de atención a solicitudes de información y cambio de modalidad en la entrega de la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ABRIL 2025_3.pdf. </w:t>
      </w:r>
      <w:r w:rsidRPr="00B67230">
        <w:rPr>
          <w:rFonts w:ascii="Palatino Linotype" w:eastAsia="Palatino Linotype" w:hAnsi="Palatino Linotype" w:cs="Palatino Linotype"/>
          <w:sz w:val="22"/>
          <w:szCs w:val="22"/>
        </w:rPr>
        <w:t>Remite diversos oficios en los que los servidores públicos habilitados solicitan convocar al comité para poner a consideración proyectos de clasificación de la información como reservada y confidencial, así como prórrogas de atención a solicitudes de información y cambio de modalidad en la entrega de la información.</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ABRIL 2025_4.pdf. </w:t>
      </w:r>
      <w:r w:rsidRPr="00B67230">
        <w:rPr>
          <w:rFonts w:ascii="Palatino Linotype" w:eastAsia="Palatino Linotype" w:hAnsi="Palatino Linotype" w:cs="Palatino Linotype"/>
          <w:sz w:val="22"/>
          <w:szCs w:val="22"/>
        </w:rPr>
        <w:t xml:space="preserve">(Si bien refiere que son oficios del mes abril, de la lectura a su contenido se advierte que corresponden al mes mayo de 2025). - Remite diversos oficios en los que los servidores públicos habilitados solicitan convocar al comité para poner a consideración proyectos de clasificación de la información como reservada y confidencial, así como prorrogas de atención a solicitudes de información. O bien respuestas a solicitudes de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Asimismo, contienen lo que al parecer es una propuesta de oficio mediante el cual se convoca a sesión de comité de transparencia para aprobar la declaratoria de inexistencia, que al parecer no fue emitido al contener inconsistencias, tal como se advierte a continuación: </w:t>
      </w:r>
    </w:p>
    <w:p w:rsidR="00FF6F08" w:rsidRPr="00B67230" w:rsidRDefault="00FF6F08">
      <w:pPr>
        <w:spacing w:before="240" w:after="240" w:line="360" w:lineRule="auto"/>
        <w:ind w:right="49"/>
        <w:jc w:val="both"/>
        <w:rPr>
          <w:rFonts w:ascii="Palatino Linotype" w:eastAsia="Palatino Linotype" w:hAnsi="Palatino Linotype" w:cs="Palatino Linotype"/>
          <w:sz w:val="22"/>
          <w:szCs w:val="22"/>
        </w:rPr>
      </w:pPr>
    </w:p>
    <w:p w:rsidR="00FF6F08" w:rsidRPr="00B67230" w:rsidRDefault="00FF6F08">
      <w:pPr>
        <w:spacing w:before="240" w:after="240" w:line="360" w:lineRule="auto"/>
        <w:ind w:right="49"/>
        <w:jc w:val="both"/>
        <w:rPr>
          <w:rFonts w:ascii="Palatino Linotype" w:eastAsia="Palatino Linotype" w:hAnsi="Palatino Linotype" w:cs="Palatino Linotype"/>
          <w:sz w:val="22"/>
          <w:szCs w:val="22"/>
        </w:rPr>
      </w:pP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612130" cy="7223125"/>
            <wp:effectExtent l="0" t="0" r="0" b="0"/>
            <wp:docPr id="2011180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7223125"/>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612130" cy="7501255"/>
            <wp:effectExtent l="0" t="0" r="0" b="0"/>
            <wp:docPr id="20111805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612130" cy="7501255"/>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ABRIL 2025_5.pdf. </w:t>
      </w:r>
      <w:r w:rsidRPr="00B67230">
        <w:rPr>
          <w:rFonts w:ascii="Palatino Linotype" w:eastAsia="Palatino Linotype" w:hAnsi="Palatino Linotype" w:cs="Palatino Linotype"/>
          <w:sz w:val="22"/>
          <w:szCs w:val="22"/>
        </w:rPr>
        <w:t>(Si bien refiere que son oficios del mes abril, de la lectura a su contenido se advierte que corresponden al mes mayo de 2025). Remite diversos oficios en los que los servidores públicos habilitados solicitan convocar al comité para poner a consideración proyectos de clasificación de la información como reservada y confidencial, así como prórrogas de atención a solicitudes de información</w:t>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ABRIL 2025_6.pdf. </w:t>
      </w:r>
      <w:r w:rsidRPr="00B67230">
        <w:rPr>
          <w:rFonts w:ascii="Palatino Linotype" w:eastAsia="Palatino Linotype" w:hAnsi="Palatino Linotype" w:cs="Palatino Linotype"/>
          <w:sz w:val="22"/>
          <w:szCs w:val="22"/>
        </w:rPr>
        <w:t>(Si bien refiere que son oficios del mes abril, de la lectura a su contenido se advierte que corresponden al mes mayo de 2025). Remite diversos oficios en los que los servidores públicos habilitados solicitan convocar al comité para poner a consideración proyectos de clasificación de la información como reservada y confidencial, así como prórrogas de atención a solicitudes de información</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MAYO 2025_1.pdf. </w:t>
      </w:r>
      <w:r w:rsidRPr="00B67230">
        <w:rPr>
          <w:rFonts w:ascii="Palatino Linotype" w:eastAsia="Palatino Linotype" w:hAnsi="Palatino Linotype" w:cs="Palatino Linotype"/>
          <w:sz w:val="22"/>
          <w:szCs w:val="22"/>
        </w:rPr>
        <w:t xml:space="preserve">(Si bien refiere que son oficios del mes de mayo, del contenido se advierte que son del mes de abril de 2025). Remite diversos oficios en los que los servidores públicos habilitados solicitan convocar al comité para poner a consideración proyectos de clasificación de la información como reservada y confidencial, así como prórrogas de atención a solicitudes de información. O bien respuestas a solicitudes de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Asimismo, contienen el oficio mediante el cual se convoca a sesión de comité de transparencia para aprobar la declaratoria de inexistencia, tal como se advierte a continuación: </w:t>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noProof/>
          <w:sz w:val="22"/>
          <w:szCs w:val="22"/>
        </w:rPr>
        <w:drawing>
          <wp:inline distT="0" distB="0" distL="0" distR="0">
            <wp:extent cx="5612130" cy="7473315"/>
            <wp:effectExtent l="0" t="0" r="0" b="0"/>
            <wp:docPr id="20111805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2130" cy="7473315"/>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noProof/>
          <w:sz w:val="22"/>
          <w:szCs w:val="22"/>
        </w:rPr>
        <w:drawing>
          <wp:inline distT="0" distB="0" distL="0" distR="0">
            <wp:extent cx="5612130" cy="7293610"/>
            <wp:effectExtent l="0" t="0" r="0" b="0"/>
            <wp:docPr id="20111805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612130" cy="7293610"/>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noProof/>
          <w:sz w:val="22"/>
          <w:szCs w:val="22"/>
        </w:rPr>
        <w:drawing>
          <wp:inline distT="0" distB="0" distL="0" distR="0">
            <wp:extent cx="5612130" cy="7298055"/>
            <wp:effectExtent l="0" t="0" r="0" b="0"/>
            <wp:docPr id="20111805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7298055"/>
                    </a:xfrm>
                    <a:prstGeom prst="rect">
                      <a:avLst/>
                    </a:prstGeom>
                    <a:ln/>
                  </pic:spPr>
                </pic:pic>
              </a:graphicData>
            </a:graphic>
          </wp:inline>
        </w:drawing>
      </w:r>
    </w:p>
    <w:p w:rsidR="00FF6F08" w:rsidRPr="00B67230" w:rsidRDefault="00FF6F08">
      <w:pPr>
        <w:spacing w:before="240" w:after="240" w:line="360" w:lineRule="auto"/>
        <w:ind w:right="49"/>
        <w:jc w:val="both"/>
        <w:rPr>
          <w:rFonts w:ascii="Palatino Linotype" w:eastAsia="Palatino Linotype" w:hAnsi="Palatino Linotype" w:cs="Palatino Linotype"/>
          <w:b/>
          <w:bCs/>
          <w:sz w:val="22"/>
          <w:szCs w:val="22"/>
        </w:rPr>
      </w:pP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bookmarkStart w:id="3" w:name="_heading=h.ilc3dn9tnzf0" w:colFirst="0" w:colLast="0"/>
      <w:bookmarkEnd w:id="3"/>
      <w:r w:rsidRPr="00B67230">
        <w:rPr>
          <w:rFonts w:ascii="Palatino Linotype" w:eastAsia="Palatino Linotype" w:hAnsi="Palatino Linotype" w:cs="Palatino Linotype"/>
          <w:b/>
          <w:bCs/>
          <w:sz w:val="22"/>
          <w:szCs w:val="22"/>
        </w:rPr>
        <w:t xml:space="preserve">MAYO 2025_2.pdf. </w:t>
      </w:r>
      <w:r w:rsidRPr="00B67230">
        <w:rPr>
          <w:rFonts w:ascii="Palatino Linotype" w:eastAsia="Palatino Linotype" w:hAnsi="Palatino Linotype" w:cs="Palatino Linotype"/>
          <w:sz w:val="22"/>
          <w:szCs w:val="22"/>
        </w:rPr>
        <w:t>(Si bien refiere que son oficios del mes de mayo, del contenido se advierte que son del mes de abril de 2025).</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MAYO 2025_3.pdf. </w:t>
      </w:r>
      <w:r w:rsidRPr="00B67230">
        <w:rPr>
          <w:rFonts w:ascii="Palatino Linotype" w:eastAsia="Palatino Linotype" w:hAnsi="Palatino Linotype" w:cs="Palatino Linotype"/>
          <w:sz w:val="22"/>
          <w:szCs w:val="22"/>
        </w:rPr>
        <w:t xml:space="preserve">Si bien refiere que son oficios del mes de mayo, del contenido se advierte que son del mes de abril de 2025).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MAYO 2025_4.pdf. </w:t>
      </w:r>
      <w:r w:rsidRPr="00B67230">
        <w:rPr>
          <w:rFonts w:ascii="Palatino Linotype" w:eastAsia="Palatino Linotype" w:hAnsi="Palatino Linotype" w:cs="Palatino Linotype"/>
          <w:sz w:val="22"/>
          <w:szCs w:val="22"/>
        </w:rPr>
        <w:t xml:space="preserve">(Si bien refiere que son oficios del mes de mayo, del contenido se advierte que son del mes de abril de 2025). Remite diversos oficios en los que los servidores públicos habilitados solicitan convocar al comité para poner a consideración proyectos de clasificación de la información como reservada y confidencial, así como prórrogas de atención a solicitudes de información. O bien respuestas a solicitudes de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Asimismo, contienen el oficio mediante el cual se solicita someter a consideración del Comité de Información la declaratoria de inexistencia, tal como se advierte a continuación: </w:t>
      </w:r>
    </w:p>
    <w:p w:rsidR="00FF6F08" w:rsidRPr="00B67230" w:rsidRDefault="00FF6F08">
      <w:pPr>
        <w:spacing w:before="240" w:after="240" w:line="360" w:lineRule="auto"/>
        <w:ind w:right="49"/>
        <w:jc w:val="both"/>
        <w:rPr>
          <w:rFonts w:ascii="Palatino Linotype" w:eastAsia="Palatino Linotype" w:hAnsi="Palatino Linotype" w:cs="Palatino Linotype"/>
          <w:sz w:val="22"/>
          <w:szCs w:val="22"/>
        </w:rPr>
      </w:pP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612130" cy="7263765"/>
            <wp:effectExtent l="0" t="0" r="0" b="0"/>
            <wp:docPr id="2011180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2130" cy="7263765"/>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612130" cy="7289800"/>
            <wp:effectExtent l="0" t="0" r="0" b="0"/>
            <wp:docPr id="20111805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7289800"/>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noProof/>
          <w:sz w:val="22"/>
          <w:szCs w:val="22"/>
        </w:rPr>
        <w:drawing>
          <wp:inline distT="0" distB="0" distL="0" distR="0">
            <wp:extent cx="5612130" cy="7327900"/>
            <wp:effectExtent l="0" t="0" r="0" b="0"/>
            <wp:docPr id="20111805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2130" cy="7327900"/>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MAYO 2025_5.pdf. </w:t>
      </w:r>
      <w:r w:rsidRPr="00B67230">
        <w:rPr>
          <w:rFonts w:ascii="Palatino Linotype" w:eastAsia="Palatino Linotype" w:hAnsi="Palatino Linotype" w:cs="Palatino Linotype"/>
          <w:sz w:val="22"/>
          <w:szCs w:val="22"/>
        </w:rPr>
        <w:t xml:space="preserve">Si bien refiere que son oficios del mes de mayo, del contenido se advierte que son del mes de abril de 2025). </w:t>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MAYO 2025_6.pdf. </w:t>
      </w:r>
      <w:r w:rsidRPr="00B67230">
        <w:rPr>
          <w:rFonts w:ascii="Palatino Linotype" w:eastAsia="Palatino Linotype" w:hAnsi="Palatino Linotype" w:cs="Palatino Linotype"/>
          <w:sz w:val="22"/>
          <w:szCs w:val="22"/>
        </w:rPr>
        <w:t xml:space="preserve">Si bien refiere que son oficios del mes de mayo, del contenido se advierte que son del mes de abril de 2025). </w:t>
      </w:r>
    </w:p>
    <w:p w:rsidR="00FF6F08" w:rsidRPr="00B67230" w:rsidRDefault="00381314">
      <w:pPr>
        <w:spacing w:before="240" w:after="240" w:line="360" w:lineRule="auto"/>
        <w:ind w:right="49"/>
        <w:jc w:val="center"/>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noProof/>
          <w:sz w:val="22"/>
          <w:szCs w:val="22"/>
        </w:rPr>
        <w:drawing>
          <wp:inline distT="0" distB="0" distL="0" distR="0">
            <wp:extent cx="4113640" cy="5379663"/>
            <wp:effectExtent l="0" t="0" r="0" b="0"/>
            <wp:docPr id="20111805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4113640" cy="5379663"/>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noProof/>
          <w:sz w:val="22"/>
          <w:szCs w:val="22"/>
        </w:rPr>
        <w:drawing>
          <wp:inline distT="0" distB="0" distL="0" distR="0">
            <wp:extent cx="5223118" cy="6862508"/>
            <wp:effectExtent l="0" t="0" r="0" b="0"/>
            <wp:docPr id="20111805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223118" cy="6862508"/>
                    </a:xfrm>
                    <a:prstGeom prst="rect">
                      <a:avLst/>
                    </a:prstGeom>
                    <a:ln/>
                  </pic:spPr>
                </pic:pic>
              </a:graphicData>
            </a:graphic>
          </wp:inline>
        </w:drawing>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-Remite Actas del comité de transparencia de los meses de ENERO, FEBRERO, MARZO, ABRIL y MAYO, sin que identifique aquellas en las que se aprobó la inexistencia de información, y de las cuales se advierte que hicieron falta algunas en las cuales se desconoce si se abordaron aprobaciones de inexistencia de información, de manera enunciativa, más no limitativa se advierte que hicieron falta las siguientes actas: </w:t>
      </w:r>
    </w:p>
    <w:tbl>
      <w:tblPr>
        <w:tblStyle w:val="a9"/>
        <w:tblW w:w="6195" w:type="dxa"/>
        <w:tblInd w:w="-5" w:type="dxa"/>
        <w:tblLayout w:type="fixed"/>
        <w:tblLook w:val="0400" w:firstRow="0" w:lastRow="0" w:firstColumn="0" w:lastColumn="0" w:noHBand="0" w:noVBand="1"/>
      </w:tblPr>
      <w:tblGrid>
        <w:gridCol w:w="2920"/>
        <w:gridCol w:w="1555"/>
        <w:gridCol w:w="1720"/>
      </w:tblGrid>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FEBRERO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73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74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103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136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MARZO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196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226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228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234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245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267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334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335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357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358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ABRIL </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362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363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372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381</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441</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449</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476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490</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499</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MAYO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547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564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565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673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nil"/>
              <w:bottom w:val="nil"/>
              <w:right w:val="nil"/>
            </w:tcBorders>
            <w:vAlign w:val="center"/>
          </w:tcPr>
          <w:p w:rsidR="00FF6F08" w:rsidRPr="00B67230" w:rsidRDefault="00FF6F08">
            <w:pPr>
              <w:jc w:val="center"/>
              <w:rPr>
                <w:rFonts w:ascii="Palatino Linotype" w:eastAsia="Palatino Linotype" w:hAnsi="Palatino Linotype" w:cs="Palatino Linotype"/>
                <w:sz w:val="22"/>
                <w:szCs w:val="22"/>
              </w:rPr>
            </w:pPr>
          </w:p>
        </w:tc>
        <w:tc>
          <w:tcPr>
            <w:tcW w:w="1555" w:type="dxa"/>
            <w:tcBorders>
              <w:top w:val="nil"/>
              <w:left w:val="nil"/>
              <w:bottom w:val="nil"/>
              <w:right w:val="nil"/>
            </w:tcBorders>
            <w:vAlign w:val="center"/>
          </w:tcPr>
          <w:p w:rsidR="00FF6F08" w:rsidRPr="00B67230" w:rsidRDefault="00FF6F08">
            <w:pPr>
              <w:jc w:val="center"/>
              <w:rPr>
                <w:rFonts w:ascii="Palatino Linotype" w:eastAsia="Palatino Linotype" w:hAnsi="Palatino Linotype" w:cs="Palatino Linotype"/>
                <w:sz w:val="22"/>
                <w:szCs w:val="22"/>
              </w:rPr>
            </w:pPr>
          </w:p>
        </w:tc>
        <w:tc>
          <w:tcPr>
            <w:tcW w:w="1720" w:type="dxa"/>
            <w:tcBorders>
              <w:top w:val="nil"/>
              <w:left w:val="nil"/>
              <w:bottom w:val="nil"/>
              <w:right w:val="nil"/>
            </w:tcBorders>
            <w:vAlign w:val="center"/>
          </w:tcPr>
          <w:p w:rsidR="00FF6F08" w:rsidRPr="00B67230" w:rsidRDefault="00FF6F08">
            <w:pPr>
              <w:jc w:val="center"/>
              <w:rPr>
                <w:rFonts w:ascii="Palatino Linotype" w:eastAsia="Palatino Linotype" w:hAnsi="Palatino Linotype" w:cs="Palatino Linotype"/>
                <w:sz w:val="22"/>
                <w:szCs w:val="22"/>
              </w:rPr>
            </w:pPr>
          </w:p>
        </w:tc>
      </w:tr>
      <w:tr w:rsidR="005908F8" w:rsidRPr="00B67230">
        <w:trPr>
          <w:trHeight w:val="330"/>
        </w:trPr>
        <w:tc>
          <w:tcPr>
            <w:tcW w:w="2920" w:type="dxa"/>
            <w:tcBorders>
              <w:top w:val="nil"/>
              <w:left w:val="nil"/>
              <w:bottom w:val="nil"/>
              <w:right w:val="nil"/>
            </w:tcBorders>
            <w:vAlign w:val="center"/>
          </w:tcPr>
          <w:p w:rsidR="00FF6F08" w:rsidRPr="00B67230" w:rsidRDefault="00FF6F08">
            <w:pPr>
              <w:jc w:val="center"/>
              <w:rPr>
                <w:rFonts w:ascii="Palatino Linotype" w:eastAsia="Palatino Linotype" w:hAnsi="Palatino Linotype" w:cs="Palatino Linotype"/>
                <w:sz w:val="22"/>
                <w:szCs w:val="22"/>
              </w:rPr>
            </w:pPr>
          </w:p>
        </w:tc>
        <w:tc>
          <w:tcPr>
            <w:tcW w:w="1555" w:type="dxa"/>
            <w:tcBorders>
              <w:top w:val="nil"/>
              <w:left w:val="nil"/>
              <w:bottom w:val="nil"/>
              <w:right w:val="nil"/>
            </w:tcBorders>
            <w:vAlign w:val="center"/>
          </w:tcPr>
          <w:p w:rsidR="00FF6F08" w:rsidRPr="00B67230" w:rsidRDefault="00FF6F08">
            <w:pPr>
              <w:rPr>
                <w:rFonts w:ascii="Palatino Linotype" w:eastAsia="Palatino Linotype" w:hAnsi="Palatino Linotype" w:cs="Palatino Linotype"/>
                <w:sz w:val="22"/>
                <w:szCs w:val="22"/>
              </w:rPr>
            </w:pPr>
          </w:p>
        </w:tc>
        <w:tc>
          <w:tcPr>
            <w:tcW w:w="1720" w:type="dxa"/>
            <w:tcBorders>
              <w:top w:val="nil"/>
              <w:left w:val="nil"/>
              <w:bottom w:val="nil"/>
              <w:right w:val="nil"/>
            </w:tcBorders>
            <w:vAlign w:val="center"/>
          </w:tcPr>
          <w:p w:rsidR="00FF6F08" w:rsidRPr="00B67230" w:rsidRDefault="00FF6F08">
            <w:pPr>
              <w:rPr>
                <w:rFonts w:ascii="Palatino Linotype" w:eastAsia="Palatino Linotype" w:hAnsi="Palatino Linotype" w:cs="Palatino Linotype"/>
                <w:sz w:val="22"/>
                <w:szCs w:val="22"/>
              </w:rPr>
            </w:pPr>
          </w:p>
        </w:tc>
      </w:tr>
    </w:tbl>
    <w:p w:rsidR="00FF6F08" w:rsidRPr="00B67230" w:rsidRDefault="00381314">
      <w:pPr>
        <w:spacing w:before="240" w:after="240" w:line="360" w:lineRule="auto"/>
        <w:ind w:right="51"/>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3. Interposición del recurso de revisión. </w:t>
      </w:r>
      <w:r w:rsidRPr="00B67230">
        <w:rPr>
          <w:rFonts w:ascii="Palatino Linotype" w:eastAsia="Palatino Linotype" w:hAnsi="Palatino Linotype" w:cs="Palatino Linotype"/>
          <w:sz w:val="22"/>
          <w:szCs w:val="22"/>
        </w:rPr>
        <w:t xml:space="preserve">Inconforme con los términos de la respuesta emitida por parte del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el </w:t>
      </w:r>
      <w:r w:rsidRPr="00B67230">
        <w:rPr>
          <w:rFonts w:ascii="Palatino Linotype" w:eastAsia="Palatino Linotype" w:hAnsi="Palatino Linotype" w:cs="Palatino Linotype"/>
          <w:b/>
          <w:bCs/>
          <w:sz w:val="22"/>
          <w:szCs w:val="22"/>
        </w:rPr>
        <w:t>veintidós de julio de dos mil veinticinco,</w:t>
      </w:r>
      <w:r w:rsidRPr="00B67230">
        <w:rPr>
          <w:rFonts w:ascii="Palatino Linotype" w:eastAsia="Palatino Linotype" w:hAnsi="Palatino Linotype" w:cs="Palatino Linotype"/>
          <w:sz w:val="22"/>
          <w:szCs w:val="22"/>
        </w:rPr>
        <w:t xml:space="preserve"> 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xml:space="preserve"> interpuso el recurso de revisión a través de </w:t>
      </w:r>
      <w:r w:rsidRPr="00B67230">
        <w:rPr>
          <w:rFonts w:ascii="Palatino Linotype" w:eastAsia="Palatino Linotype" w:hAnsi="Palatino Linotype" w:cs="Palatino Linotype"/>
          <w:b/>
          <w:bCs/>
          <w:sz w:val="22"/>
          <w:szCs w:val="22"/>
        </w:rPr>
        <w:t xml:space="preserve">SAIMEX, sin embargo, al ser presentado en día inhábil se tuvo por registrado el día cuatro de agosto de dos mil veinticinco, </w:t>
      </w:r>
      <w:r w:rsidRPr="00B67230">
        <w:rPr>
          <w:rFonts w:ascii="Palatino Linotype" w:eastAsia="Palatino Linotype" w:hAnsi="Palatino Linotype" w:cs="Palatino Linotype"/>
          <w:sz w:val="22"/>
          <w:szCs w:val="22"/>
        </w:rPr>
        <w:t>en donde se manifestó de la siguiente manera:</w:t>
      </w:r>
    </w:p>
    <w:p w:rsidR="00FF6F08" w:rsidRPr="00B67230" w:rsidRDefault="00381314">
      <w:pPr>
        <w:tabs>
          <w:tab w:val="left" w:pos="2400"/>
        </w:tabs>
        <w:spacing w:before="240" w:after="24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Acto impugnado: </w:t>
      </w:r>
      <w:r w:rsidRPr="00B67230">
        <w:rPr>
          <w:rFonts w:ascii="Palatino Linotype" w:eastAsia="Palatino Linotype" w:hAnsi="Palatino Linotype" w:cs="Palatino Linotype"/>
          <w:b/>
          <w:bCs/>
          <w:sz w:val="22"/>
          <w:szCs w:val="22"/>
        </w:rPr>
        <w:tab/>
      </w:r>
    </w:p>
    <w:p w:rsidR="00FF6F08" w:rsidRPr="00B67230" w:rsidRDefault="00381314">
      <w:pPr>
        <w:tabs>
          <w:tab w:val="left" w:pos="2745"/>
        </w:tabs>
        <w:spacing w:before="240" w:after="240"/>
        <w:ind w:left="851" w:right="900"/>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“La negativa de la información son opacos y se exige se entregue lo solicitado” (sic)</w:t>
      </w:r>
    </w:p>
    <w:p w:rsidR="00FF6F08" w:rsidRPr="00B67230" w:rsidRDefault="00381314">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B67230">
        <w:rPr>
          <w:rFonts w:ascii="Palatino Linotype" w:eastAsia="Palatino Linotype" w:hAnsi="Palatino Linotype" w:cs="Palatino Linotype"/>
          <w:b/>
          <w:bCs/>
          <w:sz w:val="22"/>
          <w:szCs w:val="22"/>
        </w:rPr>
        <w:t>Y, Razones o motivos de inconformidad</w:t>
      </w:r>
      <w:r w:rsidRPr="00B67230">
        <w:rPr>
          <w:rFonts w:ascii="Palatino Linotype" w:eastAsia="Palatino Linotype" w:hAnsi="Palatino Linotype" w:cs="Palatino Linotype"/>
          <w:sz w:val="22"/>
          <w:szCs w:val="22"/>
        </w:rPr>
        <w:t>:</w:t>
      </w:r>
    </w:p>
    <w:p w:rsidR="00FF6F08" w:rsidRPr="00B67230" w:rsidRDefault="00381314">
      <w:pPr>
        <w:tabs>
          <w:tab w:val="left" w:pos="2745"/>
        </w:tabs>
        <w:spacing w:before="240" w:after="240"/>
        <w:ind w:left="851" w:right="900"/>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“La negativa de la información son opacos y se exige se entregue lo solicitado” (sic)</w:t>
      </w:r>
    </w:p>
    <w:p w:rsidR="00FF6F08" w:rsidRPr="00B67230" w:rsidRDefault="00381314">
      <w:pPr>
        <w:spacing w:before="240" w:after="240" w:line="360" w:lineRule="auto"/>
        <w:ind w:right="51"/>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4. Turno. </w:t>
      </w:r>
      <w:r w:rsidRPr="00B6723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67230">
        <w:rPr>
          <w:rFonts w:ascii="Palatino Linotype" w:eastAsia="Palatino Linotype" w:hAnsi="Palatino Linotype" w:cs="Palatino Linotype"/>
          <w:b/>
          <w:bCs/>
          <w:sz w:val="22"/>
          <w:szCs w:val="22"/>
        </w:rPr>
        <w:t xml:space="preserve">Guadalupe Ramírez Peña, </w:t>
      </w:r>
      <w:r w:rsidRPr="00B67230">
        <w:rPr>
          <w:rFonts w:ascii="Palatino Linotype" w:eastAsia="Palatino Linotype" w:hAnsi="Palatino Linotype" w:cs="Palatino Linotype"/>
          <w:sz w:val="22"/>
          <w:szCs w:val="22"/>
        </w:rPr>
        <w:t xml:space="preserve">a efecto de que analizara sobre su admisión o su </w:t>
      </w:r>
      <w:proofErr w:type="spellStart"/>
      <w:r w:rsidRPr="00B67230">
        <w:rPr>
          <w:rFonts w:ascii="Palatino Linotype" w:eastAsia="Palatino Linotype" w:hAnsi="Palatino Linotype" w:cs="Palatino Linotype"/>
          <w:sz w:val="22"/>
          <w:szCs w:val="22"/>
        </w:rPr>
        <w:t>desechamiento</w:t>
      </w:r>
      <w:proofErr w:type="spellEnd"/>
      <w:r w:rsidRPr="00B67230">
        <w:rPr>
          <w:rFonts w:ascii="Palatino Linotype" w:eastAsia="Palatino Linotype" w:hAnsi="Palatino Linotype" w:cs="Palatino Linotype"/>
          <w:sz w:val="22"/>
          <w:szCs w:val="22"/>
        </w:rPr>
        <w:t>.</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5. Admisión del Recurso de revisión.</w:t>
      </w:r>
      <w:r w:rsidRPr="00B67230">
        <w:rPr>
          <w:rFonts w:ascii="Palatino Linotype" w:eastAsia="Palatino Linotype" w:hAnsi="Palatino Linotype" w:cs="Palatino Linotype"/>
          <w:sz w:val="22"/>
          <w:szCs w:val="22"/>
        </w:rPr>
        <w:t xml:space="preserve"> El</w:t>
      </w:r>
      <w:r w:rsidRPr="00B67230">
        <w:rPr>
          <w:rFonts w:ascii="Palatino Linotype" w:eastAsia="Palatino Linotype" w:hAnsi="Palatino Linotype" w:cs="Palatino Linotype"/>
          <w:b/>
          <w:bCs/>
          <w:sz w:val="22"/>
          <w:szCs w:val="22"/>
        </w:rPr>
        <w:t xml:space="preserve"> ocho de agosto de dos mil veinticinco, </w:t>
      </w:r>
      <w:r w:rsidRPr="00B6723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presentara su informe justificado.</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B67230">
        <w:rPr>
          <w:rFonts w:ascii="Palatino Linotype" w:eastAsia="Palatino Linotype" w:hAnsi="Palatino Linotype" w:cs="Palatino Linotype"/>
          <w:b/>
          <w:bCs/>
          <w:sz w:val="22"/>
          <w:szCs w:val="22"/>
        </w:rPr>
        <w:t>6. Manifestaciones</w:t>
      </w:r>
      <w:r w:rsidRPr="00B67230">
        <w:rPr>
          <w:rFonts w:ascii="Palatino Linotype" w:eastAsia="Palatino Linotype" w:hAnsi="Palatino Linotype" w:cs="Palatino Linotype"/>
          <w:sz w:val="22"/>
          <w:szCs w:val="22"/>
        </w:rPr>
        <w:t xml:space="preserve">. El </w:t>
      </w:r>
      <w:r w:rsidRPr="00B67230">
        <w:rPr>
          <w:rFonts w:ascii="Palatino Linotype" w:eastAsia="Palatino Linotype" w:hAnsi="Palatino Linotype" w:cs="Palatino Linotype"/>
          <w:b/>
          <w:bCs/>
          <w:sz w:val="22"/>
          <w:szCs w:val="22"/>
        </w:rPr>
        <w:t>diecinueve de agosto de dos mil veinticinco</w:t>
      </w:r>
      <w:r w:rsidRPr="00B67230">
        <w:rPr>
          <w:rFonts w:ascii="Palatino Linotype" w:eastAsia="Palatino Linotype" w:hAnsi="Palatino Linotype" w:cs="Palatino Linotype"/>
          <w:sz w:val="22"/>
          <w:szCs w:val="22"/>
        </w:rPr>
        <w:t xml:space="preserve">, 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remitió, a través de SAIMEX, lo siguiente:</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-Escrito libre mediante el cual se ratifica la respuesta de la solicitud de información presentada y refiere anexar nuevamente la información solicitada.</w:t>
      </w:r>
    </w:p>
    <w:p w:rsidR="00FF6F08" w:rsidRPr="00B67230" w:rsidRDefault="00381314">
      <w:pPr>
        <w:widowControl w:val="0"/>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Dicha información se hizo del conocimiento de la persona solicitante a efecto de que manifestara lo que a su derecho estimara conveniente, siendo omisa en ejercer dicha prerrogativa.</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8. Ampliación del término para resolver</w:t>
      </w:r>
      <w:r w:rsidRPr="00B67230">
        <w:rPr>
          <w:rFonts w:ascii="Palatino Linotype" w:eastAsia="Palatino Linotype" w:hAnsi="Palatino Linotype" w:cs="Palatino Linotype"/>
          <w:sz w:val="22"/>
          <w:szCs w:val="22"/>
        </w:rPr>
        <w:t xml:space="preserve">. </w:t>
      </w:r>
      <w:r w:rsidRPr="00B67230">
        <w:rPr>
          <w:rFonts w:ascii="Palatino Linotype" w:eastAsia="Palatino Linotype" w:hAnsi="Palatino Linotype" w:cs="Palatino Linotype"/>
          <w:b/>
          <w:bCs/>
          <w:sz w:val="22"/>
          <w:szCs w:val="22"/>
        </w:rPr>
        <w:t xml:space="preserve">El doce de marzo de dos mil veintiséis, </w:t>
      </w:r>
      <w:r w:rsidRPr="00B67230">
        <w:rPr>
          <w:rFonts w:ascii="Palatino Linotype" w:eastAsia="Palatino Linotype" w:hAnsi="Palatino Linotype" w:cs="Palatino Linotype"/>
          <w:sz w:val="22"/>
          <w:szCs w:val="22"/>
        </w:rPr>
        <w:t>se amplió el término para resolver el recurso de revisión en términos del artículo 181 párrafo tercero de la Ley de Transparencia y Acceso a la Información Pública del Estado de México y Municipios.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FF6F08" w:rsidRPr="00B67230" w:rsidRDefault="00381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rsidR="00FF6F08" w:rsidRPr="00B67230" w:rsidRDefault="00381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Actividad Procesal del interesado. Acciones u omisiones del interesado.</w:t>
      </w:r>
    </w:p>
    <w:p w:rsidR="00FF6F08" w:rsidRPr="00B67230" w:rsidRDefault="00381314">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rsidR="00FF6F08" w:rsidRPr="00B67230" w:rsidRDefault="00381314">
      <w:pPr>
        <w:tabs>
          <w:tab w:val="left" w:pos="567"/>
        </w:tabs>
        <w:spacing w:before="240" w:after="240" w:line="360" w:lineRule="auto"/>
        <w:ind w:left="284"/>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F6F08" w:rsidRPr="00B67230" w:rsidRDefault="00381314">
      <w:pPr>
        <w:spacing w:before="240" w:after="24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67230">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B67230">
        <w:rPr>
          <w:rFonts w:ascii="Palatino Linotype" w:eastAsia="Palatino Linotype" w:hAnsi="Palatino Linotype" w:cs="Palatino Linotype"/>
          <w:sz w:val="22"/>
          <w:szCs w:val="22"/>
        </w:rPr>
        <w:t>, visible en la Gaceta del Seminario Judicial de la Federación con el registro digital 205635.</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FF6F08" w:rsidRPr="00B67230" w:rsidRDefault="00381314">
      <w:pPr>
        <w:spacing w:before="120" w:after="120"/>
        <w:ind w:left="851" w:right="902"/>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 </w:t>
      </w: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sz w:val="22"/>
          <w:szCs w:val="22"/>
        </w:rPr>
        <w:t xml:space="preserve"> consultable en el Seminario Judicial de la Federación y su gaceta, con el registro digital 2002351.</w:t>
      </w:r>
    </w:p>
    <w:p w:rsidR="00FF6F08" w:rsidRPr="00B67230" w:rsidRDefault="00381314">
      <w:pPr>
        <w:spacing w:before="120" w:after="120"/>
        <w:ind w:left="851" w:right="902"/>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sz w:val="22"/>
          <w:szCs w:val="22"/>
        </w:rPr>
        <w:t>, visible en el Seminario Judicial de la Federación y su gaceta, con el registro digital 2002350.</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8. Cierre de Instrucción. El diecinueve de marzo dos mil veintiséis,</w:t>
      </w:r>
      <w:r w:rsidRPr="00B67230">
        <w:rPr>
          <w:rFonts w:ascii="Palatino Linotype" w:eastAsia="Palatino Linotype" w:hAnsi="Palatino Linotype" w:cs="Palatino Linotype"/>
          <w:sz w:val="22"/>
          <w:szCs w:val="22"/>
        </w:rPr>
        <w:t xml:space="preserve">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FF6F08" w:rsidRPr="00B67230" w:rsidRDefault="00381314">
      <w:pPr>
        <w:widowControl w:val="0"/>
        <w:spacing w:before="240" w:after="240" w:line="360" w:lineRule="auto"/>
        <w:jc w:val="center"/>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II. C O N S I D E R A N D O 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Primero. Competencia.</w:t>
      </w:r>
      <w:r w:rsidRPr="00B6723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B67230">
        <w:rPr>
          <w:rFonts w:ascii="Palatino Linotype" w:eastAsia="Palatino Linotype" w:hAnsi="Palatino Linotype" w:cs="Palatino Linotype"/>
          <w:b/>
          <w:bCs/>
          <w:sz w:val="22"/>
          <w:szCs w:val="22"/>
        </w:rPr>
        <w:t xml:space="preserve">Segundo. Oportunidad y </w:t>
      </w:r>
      <w:proofErr w:type="spellStart"/>
      <w:r w:rsidRPr="00B67230">
        <w:rPr>
          <w:rFonts w:ascii="Palatino Linotype" w:eastAsia="Palatino Linotype" w:hAnsi="Palatino Linotype" w:cs="Palatino Linotype"/>
          <w:b/>
          <w:bCs/>
          <w:sz w:val="22"/>
          <w:szCs w:val="22"/>
        </w:rPr>
        <w:t>Procedibilidad</w:t>
      </w:r>
      <w:proofErr w:type="spellEnd"/>
      <w:r w:rsidRPr="00B67230">
        <w:rPr>
          <w:rFonts w:ascii="Palatino Linotype" w:eastAsia="Palatino Linotype" w:hAnsi="Palatino Linotype" w:cs="Palatino Linotype"/>
          <w:b/>
          <w:bCs/>
          <w:sz w:val="22"/>
          <w:szCs w:val="22"/>
        </w:rPr>
        <w:t xml:space="preserve"> del Recurso de Revisión</w:t>
      </w:r>
      <w:r w:rsidRPr="00B67230">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B67230">
        <w:rPr>
          <w:rFonts w:ascii="Palatino Linotype" w:eastAsia="Palatino Linotype" w:hAnsi="Palatino Linotype" w:cs="Palatino Linotype"/>
          <w:sz w:val="22"/>
          <w:szCs w:val="22"/>
        </w:rPr>
        <w:t>procedibilidad</w:t>
      </w:r>
      <w:proofErr w:type="spellEnd"/>
      <w:r w:rsidRPr="00B67230">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 xml:space="preserve">remitió la respuesta a la solicitud de información el día </w:t>
      </w:r>
      <w:r w:rsidRPr="00B67230">
        <w:rPr>
          <w:rFonts w:ascii="Palatino Linotype" w:eastAsia="Palatino Linotype" w:hAnsi="Palatino Linotype" w:cs="Palatino Linotype"/>
          <w:b/>
          <w:bCs/>
          <w:sz w:val="22"/>
          <w:szCs w:val="22"/>
        </w:rPr>
        <w:t xml:space="preserve">dos de julio de dos mil veinticinco, </w:t>
      </w:r>
      <w:r w:rsidRPr="00B67230">
        <w:rPr>
          <w:rFonts w:ascii="Palatino Linotype" w:eastAsia="Palatino Linotype" w:hAnsi="Palatino Linotype" w:cs="Palatino Linotype"/>
          <w:sz w:val="22"/>
          <w:szCs w:val="22"/>
        </w:rPr>
        <w:t xml:space="preserve">mientras que el recurso de revisión interpuesto por 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xml:space="preserve">, se tuvo por presentado el día </w:t>
      </w:r>
      <w:r w:rsidRPr="00B67230">
        <w:rPr>
          <w:rFonts w:ascii="Palatino Linotype" w:eastAsia="Palatino Linotype" w:hAnsi="Palatino Linotype" w:cs="Palatino Linotype"/>
          <w:b/>
          <w:bCs/>
          <w:sz w:val="22"/>
          <w:szCs w:val="22"/>
        </w:rPr>
        <w:t>cuatro de agosto de dos mil veinticinco</w:t>
      </w:r>
      <w:r w:rsidRPr="00B67230">
        <w:rPr>
          <w:rFonts w:ascii="Palatino Linotype" w:eastAsia="Palatino Linotype" w:hAnsi="Palatino Linotype" w:cs="Palatino Linotype"/>
          <w:sz w:val="22"/>
          <w:szCs w:val="22"/>
        </w:rPr>
        <w:t>, esto es al décimo tercer día hábil posterior a aquel en que tuvo conocimiento de la respuesta impugnada. En este sentido, se concluye que el presente recurso de revisión se encuentra dentro de los márgenes temporales previstos en las disposiciones legales referidas.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B67230">
        <w:rPr>
          <w:rFonts w:ascii="Palatino Linotype" w:eastAsia="Palatino Linotype" w:hAnsi="Palatino Linotype" w:cs="Palatino Linotype"/>
          <w:sz w:val="22"/>
          <w:szCs w:val="22"/>
        </w:rPr>
        <w:t xml:space="preserve">Al mismo tiempo, por cuanto hace a la </w:t>
      </w:r>
      <w:proofErr w:type="spellStart"/>
      <w:r w:rsidRPr="00B67230">
        <w:rPr>
          <w:rFonts w:ascii="Palatino Linotype" w:eastAsia="Palatino Linotype" w:hAnsi="Palatino Linotype" w:cs="Palatino Linotype"/>
          <w:sz w:val="22"/>
          <w:szCs w:val="22"/>
        </w:rPr>
        <w:t>procedibilidad</w:t>
      </w:r>
      <w:proofErr w:type="spellEnd"/>
      <w:r w:rsidRPr="00B67230">
        <w:rPr>
          <w:rFonts w:ascii="Palatino Linotype" w:eastAsia="Palatino Linotype" w:hAnsi="Palatino Linotype" w:cs="Palatino Linotype"/>
          <w:sz w:val="22"/>
          <w:szCs w:val="22"/>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 efecto de sustentar lo anterior, es de suma importancia mencionar que si bien la persona solicitante</w:t>
      </w:r>
      <w:r w:rsidRPr="00B67230">
        <w:rPr>
          <w:rFonts w:ascii="Palatino Linotype" w:eastAsia="Palatino Linotype" w:hAnsi="Palatino Linotype" w:cs="Palatino Linotype"/>
          <w:b/>
          <w:bCs/>
          <w:sz w:val="22"/>
          <w:szCs w:val="22"/>
        </w:rPr>
        <w:t xml:space="preserve"> no proporcionó nombre o seudónimo, </w:t>
      </w:r>
      <w:r w:rsidRPr="00B67230">
        <w:rPr>
          <w:rFonts w:ascii="Palatino Linotype" w:eastAsia="Palatino Linotype" w:hAnsi="Palatino Linotype" w:cs="Palatino Linotype"/>
          <w:sz w:val="22"/>
          <w:szCs w:val="22"/>
        </w:rPr>
        <w:t>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F6F08" w:rsidRPr="00B67230" w:rsidRDefault="00381314">
      <w:pPr>
        <w:spacing w:before="120" w:after="120"/>
        <w:ind w:left="851" w:right="902"/>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b/>
          <w:bCs/>
          <w:i/>
          <w:iCs/>
          <w:sz w:val="22"/>
          <w:szCs w:val="22"/>
        </w:rPr>
        <w:t>Las solicitudes anónimas</w:t>
      </w:r>
      <w:r w:rsidRPr="00B67230">
        <w:rPr>
          <w:rFonts w:ascii="Palatino Linotype" w:eastAsia="Palatino Linotype" w:hAnsi="Palatino Linotype" w:cs="Palatino Linotype"/>
          <w:i/>
          <w:iCs/>
          <w:sz w:val="22"/>
          <w:szCs w:val="22"/>
        </w:rPr>
        <w:t xml:space="preserve">, con nombre incompleto o seudónimo </w:t>
      </w:r>
      <w:r w:rsidRPr="00B67230">
        <w:rPr>
          <w:rFonts w:ascii="Palatino Linotype" w:eastAsia="Palatino Linotype" w:hAnsi="Palatino Linotype" w:cs="Palatino Linotype"/>
          <w:b/>
          <w:bCs/>
          <w:i/>
          <w:iCs/>
          <w:sz w:val="22"/>
          <w:szCs w:val="22"/>
        </w:rPr>
        <w:t>serán procedentes para su trámite por parte del sujeto obligado ante quien se presente</w:t>
      </w:r>
      <w:r w:rsidRPr="00B67230">
        <w:rPr>
          <w:rFonts w:ascii="Palatino Linotype" w:eastAsia="Palatino Linotype" w:hAnsi="Palatino Linotype" w:cs="Palatino Linotype"/>
          <w:i/>
          <w:iCs/>
          <w:sz w:val="22"/>
          <w:szCs w:val="22"/>
        </w:rPr>
        <w:t>. No podrá requerirse información adicional con motivo del nombre proporcionado por el solicitante."</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w:t>
      </w:r>
      <w:r w:rsidRPr="00B67230">
        <w:rPr>
          <w:rFonts w:ascii="Palatino Linotype" w:eastAsia="Palatino Linotype" w:hAnsi="Palatino Linotype" w:cs="Palatino Linotype"/>
          <w:b/>
          <w:bCs/>
          <w:i/>
          <w:iCs/>
          <w:sz w:val="22"/>
          <w:szCs w:val="22"/>
        </w:rPr>
        <w:t>Artículo 179.</w:t>
      </w:r>
      <w:r w:rsidRPr="00B67230">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FF6F08" w:rsidRPr="00B67230" w:rsidRDefault="00381314">
      <w:pPr>
        <w:spacing w:before="120" w:after="120"/>
        <w:ind w:left="851" w:right="900"/>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w:t>
      </w:r>
    </w:p>
    <w:p w:rsidR="00FF6F08" w:rsidRPr="00B67230" w:rsidRDefault="00381314">
      <w:pPr>
        <w:spacing w:before="120" w:after="120"/>
        <w:ind w:left="851" w:right="900"/>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I. La negativa a la información solicitada;</w:t>
      </w:r>
      <w:r w:rsidRPr="00B67230">
        <w:rPr>
          <w:rFonts w:ascii="Palatino Linotype" w:eastAsia="Palatino Linotype" w:hAnsi="Palatino Linotype" w:cs="Palatino Linotype"/>
          <w:i/>
          <w:iCs/>
          <w:sz w:val="22"/>
          <w:szCs w:val="22"/>
        </w:rPr>
        <w:t>”</w:t>
      </w:r>
    </w:p>
    <w:p w:rsidR="00FF6F08" w:rsidRPr="00B67230" w:rsidRDefault="00381314">
      <w:pPr>
        <w:spacing w:before="240" w:after="24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Tercero. Materia de la revisión. </w:t>
      </w:r>
      <w:r w:rsidRPr="00B6723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67230">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B67230">
        <w:rPr>
          <w:rFonts w:ascii="Palatino Linotype" w:eastAsia="Palatino Linotype" w:hAnsi="Palatino Linotype" w:cs="Palatino Linotype"/>
          <w:sz w:val="22"/>
          <w:szCs w:val="22"/>
        </w:rPr>
        <w:t xml:space="preserve">de la parte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o en su defecto, en caso de ser procedente, ordenar la entrega de información.</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Cuarto. Estudio del asunto. </w:t>
      </w:r>
      <w:r w:rsidRPr="00B67230">
        <w:rPr>
          <w:rFonts w:ascii="Palatino Linotype" w:eastAsia="Palatino Linotype" w:hAnsi="Palatino Linotype" w:cs="Palatino Linotype"/>
          <w:sz w:val="22"/>
          <w:szCs w:val="22"/>
        </w:rPr>
        <w:t xml:space="preserve">Previo al análisis de las actuaciones que integran el expediente en el Sistema de Acceso a la Información Mexiquense, en importante primeramente enfatizar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“Artículo 3. Para los efectos de la presente Ley se entenderá por:</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w:t>
      </w:r>
    </w:p>
    <w:p w:rsidR="00FF6F08" w:rsidRPr="00B67230" w:rsidRDefault="00381314">
      <w:pPr>
        <w:spacing w:line="276" w:lineRule="auto"/>
        <w:ind w:left="851"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67230">
        <w:rPr>
          <w:rFonts w:ascii="Palatino Linotype" w:eastAsia="Palatino Linotype" w:hAnsi="Palatino Linotype" w:cs="Palatino Linotype"/>
          <w:sz w:val="22"/>
          <w:szCs w:val="22"/>
        </w:rPr>
        <w:t>…”</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rsidR="00FF6F08" w:rsidRPr="00B67230" w:rsidRDefault="00381314">
      <w:pPr>
        <w:spacing w:line="276" w:lineRule="auto"/>
        <w:ind w:left="851"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 (Sic</w:t>
      </w:r>
      <w:r w:rsidRPr="00B67230">
        <w:rPr>
          <w:rFonts w:ascii="Palatino Linotype" w:eastAsia="Palatino Linotype" w:hAnsi="Palatino Linotype" w:cs="Palatino Linotype"/>
          <w:sz w:val="22"/>
          <w:szCs w:val="22"/>
        </w:rPr>
        <w:t>)</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Lo anterior encuentra sustento en el artículo 4 de la Ley de Transparencia y Acceso a la Información Pública del Estado de México y Municipios, que dispone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FF6F08" w:rsidRPr="00B67230" w:rsidRDefault="00FF6F08">
      <w:pPr>
        <w:spacing w:before="240" w:after="240" w:line="360" w:lineRule="auto"/>
        <w:jc w:val="both"/>
        <w:rPr>
          <w:rFonts w:ascii="Palatino Linotype" w:eastAsia="Palatino Linotype" w:hAnsi="Palatino Linotype" w:cs="Palatino Linotype"/>
          <w:sz w:val="22"/>
          <w:szCs w:val="22"/>
        </w:rPr>
      </w:pP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F6F08" w:rsidRPr="00B67230" w:rsidRDefault="00381314">
      <w:pPr>
        <w:spacing w:line="276" w:lineRule="auto"/>
        <w:ind w:left="851"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Los sujetos obligados deben poner en práctica, políticas y programas de acceso a la información que se apeguen a criterios de publicidad, veracidad, oportunidad, precisión y suficiencia en beneficio de los solicitantes.”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“Artículo 12.- Quienes generen, recopilen, administren, manejen, procesen, archiven o conserven información pública serán responsables de la misma en los términos de las disposiciones jurídicas aplicables. </w:t>
      </w:r>
    </w:p>
    <w:p w:rsidR="00FF6F08" w:rsidRPr="00B67230" w:rsidRDefault="00FF6F08">
      <w:pP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spacing w:line="276" w:lineRule="auto"/>
        <w:ind w:left="851"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67230">
        <w:rPr>
          <w:rFonts w:ascii="Palatino Linotype" w:eastAsia="Palatino Linotype" w:hAnsi="Palatino Linotype" w:cs="Palatino Linotype"/>
          <w:sz w:val="22"/>
          <w:szCs w:val="22"/>
        </w:rPr>
        <w:t xml:space="preserve">.” </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Sirve de apoyo a lo anterior, el criterio orientador con clave de control SO/003/2017, emitido por el entonces Instituto Nacional de Transparencia, Acceso a la Información y Protección de Datos Personales, que, por rubro y texto, dispone lo siguiente: </w:t>
      </w:r>
    </w:p>
    <w:p w:rsidR="00FF6F08" w:rsidRPr="00B67230" w:rsidRDefault="00381314">
      <w:pP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sz w:val="22"/>
          <w:szCs w:val="22"/>
        </w:rPr>
        <w:t>“</w:t>
      </w:r>
      <w:r w:rsidRPr="00B67230">
        <w:rPr>
          <w:rFonts w:ascii="Palatino Linotype" w:eastAsia="Palatino Linotype" w:hAnsi="Palatino Linotype" w:cs="Palatino Linotype"/>
          <w:i/>
          <w:iCs/>
          <w:sz w:val="22"/>
          <w:szCs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En este orden de ideas, del análisis de la solicitud de información, motivo del recurso de revisión que ahora se resuelve, se advierte que la persona solicitante requirió al Sujeto Obligado le proporcione información que consiste en lo siguiente:</w:t>
      </w:r>
    </w:p>
    <w:p w:rsidR="00FF6F08" w:rsidRPr="00B67230" w:rsidRDefault="00381314">
      <w:pPr>
        <w:spacing w:before="240" w:after="240" w:line="360" w:lineRule="auto"/>
        <w:ind w:left="284"/>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 Todas las actas o acuerdos del comité de transparencia a través de las cuales se declaró la inexistencia de la información</w:t>
      </w:r>
    </w:p>
    <w:p w:rsidR="00FF6F08" w:rsidRPr="00B67230" w:rsidRDefault="00381314">
      <w:pPr>
        <w:spacing w:before="240" w:after="240" w:line="360" w:lineRule="auto"/>
        <w:ind w:left="284"/>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2. Los oficios emitidos por los servidores públicos habilitado mediante los cuales se solicita declarar dichas inexistencias. </w:t>
      </w:r>
    </w:p>
    <w:p w:rsidR="00FF6F08" w:rsidRPr="00B67230" w:rsidRDefault="00381314">
      <w:pPr>
        <w:spacing w:before="240" w:after="240" w:line="360" w:lineRule="auto"/>
        <w:ind w:left="284"/>
        <w:jc w:val="both"/>
        <w:rPr>
          <w:rFonts w:ascii="Palatino Linotype" w:eastAsia="Palatino Linotype" w:hAnsi="Palatino Linotype" w:cs="Palatino Linotype"/>
          <w:b/>
          <w:bCs/>
          <w:sz w:val="22"/>
          <w:szCs w:val="22"/>
          <w:u w:val="single"/>
        </w:rPr>
      </w:pPr>
      <w:r w:rsidRPr="00B67230">
        <w:rPr>
          <w:rFonts w:ascii="Palatino Linotype" w:eastAsia="Palatino Linotype" w:hAnsi="Palatino Linotype" w:cs="Palatino Linotype"/>
          <w:sz w:val="22"/>
          <w:szCs w:val="22"/>
        </w:rPr>
        <w:t xml:space="preserve">Lo anterior del primero de enero de dos mil veinticinco a la fecha de la presentación de la solicitud de información, esto es, al once de junio de dos mil veinticinco. </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FF6F08" w:rsidRPr="00B67230" w:rsidRDefault="00381314">
      <w:pPr>
        <w:spacing w:before="240" w:after="240" w:line="360" w:lineRule="auto"/>
        <w:ind w:right="51"/>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la Unidad de Transparencia dio atención al requerimiento de información al ser de su competencia de conformidad con el artículo 53 de la Ley de Transparencia y Acceso a la Información Pública del Estado de México y Municipios,  que en su parte conducente dispone lo siguiente: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“Artículo 45. Cada sujeto obligado establecerá un Comité de Transparencia, colegiado e integrado por  lo menos por tres miembros, debiendo de ser siempre un número impar.</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Artículo 46. Los sujetos obligados integrarán sus Comités de Transparencia de la siguiente forma: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u w:val="single"/>
        </w:rPr>
        <w:t>I. El titular de la unidad de transparencia</w:t>
      </w:r>
      <w:r w:rsidRPr="00B67230">
        <w:rPr>
          <w:rFonts w:ascii="Palatino Linotype" w:eastAsia="Palatino Linotype" w:hAnsi="Palatino Linotype" w:cs="Palatino Linotype"/>
          <w:i/>
          <w:iCs/>
          <w:sz w:val="22"/>
          <w:szCs w:val="22"/>
        </w:rPr>
        <w:t xml:space="preserve">;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II. El responsable del área coordinadora de archivos o equivalente; y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III. El titular del órgano de control interno o equivalente. </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También estará integrado por el servidor público encargado de la protección de los datos personales  cuando sesione para cuestiones relacionadas con esta materia. </w:t>
      </w:r>
    </w:p>
    <w:p w:rsidR="00FF6F08" w:rsidRPr="00B67230" w:rsidRDefault="00FF6F08">
      <w:pPr>
        <w:spacing w:before="120" w:after="120"/>
        <w:ind w:left="851" w:right="902"/>
        <w:jc w:val="both"/>
        <w:rPr>
          <w:rFonts w:ascii="Palatino Linotype" w:eastAsia="Palatino Linotype" w:hAnsi="Palatino Linotype" w:cs="Palatino Linotype"/>
          <w:i/>
          <w:iCs/>
          <w:sz w:val="22"/>
          <w:szCs w:val="22"/>
        </w:rPr>
      </w:pP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Todos los Comités de Transparencia deberán registrarse ante el Instituto.</w:t>
      </w:r>
    </w:p>
    <w:p w:rsidR="00FF6F08" w:rsidRPr="00B67230" w:rsidRDefault="00FF6F08">
      <w:pPr>
        <w:spacing w:before="120" w:after="120"/>
        <w:ind w:left="851" w:right="902"/>
        <w:jc w:val="both"/>
        <w:rPr>
          <w:rFonts w:ascii="Palatino Linotype" w:eastAsia="Palatino Linotype" w:hAnsi="Palatino Linotype" w:cs="Palatino Linotype"/>
          <w:i/>
          <w:iCs/>
          <w:sz w:val="22"/>
          <w:szCs w:val="22"/>
        </w:rPr>
      </w:pP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Artículo 49. Los Comités de Transparencia tendrán las siguientes atribuciones:</w:t>
      </w:r>
    </w:p>
    <w:p w:rsidR="00FF6F08" w:rsidRPr="00B67230" w:rsidRDefault="00381314">
      <w:pPr>
        <w:spacing w:before="120" w:after="120"/>
        <w:ind w:left="851" w:right="902"/>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XIII. Dictaminar las declaratorias de inexistencia de la información que les remitan las unidades administrativas y resolver en consecuencia;</w:t>
      </w:r>
    </w:p>
    <w:p w:rsidR="00FF6F08" w:rsidRPr="00B67230" w:rsidRDefault="00381314">
      <w:pPr>
        <w:tabs>
          <w:tab w:val="left" w:pos="3544"/>
        </w:tabs>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Como logra vislumbrarse, en el caso particular la Unidad de Transparencia es la instancia competente para dar atención a la solicitud, por consiguiente se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rsidR="00FF6F08" w:rsidRPr="00B67230" w:rsidRDefault="00381314">
      <w:pP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respuesta, la persona servidora pública habilitada, derivado de la búsqueda exhaustiva y razonable, manifestó remitir la información solicitada, proporcionando diversos archivos que contienen Actas del Comité de Transparencia y Oficios emitidos por los servidores públicos habilitados, relacionados con prórrogas, clasificaciones de información, cambios de modalidad, entre otros temas, tal como se precisó en los antecedentes. </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Bajo tales circunstancias la parte </w:t>
      </w:r>
      <w:r w:rsidRPr="00B67230">
        <w:rPr>
          <w:rFonts w:ascii="Palatino Linotype" w:eastAsia="Palatino Linotype" w:hAnsi="Palatino Linotype" w:cs="Palatino Linotype"/>
          <w:b/>
          <w:bCs/>
          <w:sz w:val="22"/>
          <w:szCs w:val="22"/>
        </w:rPr>
        <w:t xml:space="preserve">Recurrente </w:t>
      </w:r>
      <w:r w:rsidRPr="00B67230">
        <w:rPr>
          <w:rFonts w:ascii="Palatino Linotype" w:eastAsia="Palatino Linotype" w:hAnsi="Palatino Linotype" w:cs="Palatino Linotype"/>
          <w:sz w:val="22"/>
          <w:szCs w:val="22"/>
        </w:rPr>
        <w:t xml:space="preserve">interpuso el recurso de revisión que nos ocupa, donde señaló como motivo de inconformidad la negativa en la entrega de la información.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la etapa de manifestaciones el </w:t>
      </w:r>
      <w:r w:rsidRPr="00B67230">
        <w:rPr>
          <w:rFonts w:ascii="Palatino Linotype" w:eastAsia="Palatino Linotype" w:hAnsi="Palatino Linotype" w:cs="Palatino Linotype"/>
          <w:b/>
          <w:bCs/>
          <w:sz w:val="22"/>
          <w:szCs w:val="22"/>
        </w:rPr>
        <w:t xml:space="preserve">Sujeto Obligado, ratificó en términos generales su respuesta, </w:t>
      </w:r>
      <w:r w:rsidRPr="00B67230">
        <w:rPr>
          <w:rFonts w:ascii="Palatino Linotype" w:eastAsia="Palatino Linotype" w:hAnsi="Palatino Linotype" w:cs="Palatino Linotype"/>
          <w:sz w:val="22"/>
          <w:szCs w:val="22"/>
        </w:rPr>
        <w:t>remitiendo de nueva cuenta</w:t>
      </w:r>
      <w:r w:rsidRPr="00B67230">
        <w:rPr>
          <w:rFonts w:ascii="Palatino Linotype" w:eastAsia="Palatino Linotype" w:hAnsi="Palatino Linotype" w:cs="Palatino Linotype"/>
          <w:b/>
          <w:bCs/>
          <w:sz w:val="22"/>
          <w:szCs w:val="22"/>
        </w:rPr>
        <w:t xml:space="preserve"> </w:t>
      </w:r>
      <w:r w:rsidRPr="00B67230">
        <w:rPr>
          <w:rFonts w:ascii="Palatino Linotype" w:eastAsia="Palatino Linotype" w:hAnsi="Palatino Linotype" w:cs="Palatino Linotype"/>
          <w:sz w:val="22"/>
          <w:szCs w:val="22"/>
        </w:rPr>
        <w:t xml:space="preserve">la documentación presentada en la respuesta. </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Información que se hizo del conocimiento de la parte </w:t>
      </w:r>
      <w:r w:rsidRPr="00B67230">
        <w:rPr>
          <w:rFonts w:ascii="Palatino Linotype" w:eastAsia="Palatino Linotype" w:hAnsi="Palatino Linotype" w:cs="Palatino Linotype"/>
          <w:b/>
          <w:bCs/>
          <w:sz w:val="22"/>
          <w:szCs w:val="22"/>
        </w:rPr>
        <w:t xml:space="preserve">Recurrente, </w:t>
      </w:r>
      <w:r w:rsidRPr="00B67230">
        <w:rPr>
          <w:rFonts w:ascii="Palatino Linotype" w:eastAsia="Palatino Linotype" w:hAnsi="Palatino Linotype" w:cs="Palatino Linotype"/>
          <w:sz w:val="22"/>
          <w:szCs w:val="22"/>
        </w:rPr>
        <w:t xml:space="preserve">sin embargo, esta fue omisa en manifestar lo que a su derecho estimara conveniente, por lo que se tiene por </w:t>
      </w:r>
      <w:proofErr w:type="spellStart"/>
      <w:r w:rsidRPr="00B67230">
        <w:rPr>
          <w:rFonts w:ascii="Palatino Linotype" w:eastAsia="Palatino Linotype" w:hAnsi="Palatino Linotype" w:cs="Palatino Linotype"/>
          <w:sz w:val="22"/>
          <w:szCs w:val="22"/>
        </w:rPr>
        <w:t>precluido</w:t>
      </w:r>
      <w:proofErr w:type="spellEnd"/>
      <w:r w:rsidRPr="00B67230">
        <w:rPr>
          <w:rFonts w:ascii="Palatino Linotype" w:eastAsia="Palatino Linotype" w:hAnsi="Palatino Linotype" w:cs="Palatino Linotype"/>
          <w:sz w:val="22"/>
          <w:szCs w:val="22"/>
        </w:rPr>
        <w:t xml:space="preserve"> su derecho para tal efecto y se procede a emitir la resolución que conforme a derecho corresponda.</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 las constancias que integran el expediente se advierte que el Sujeto Obligado, en atención a la solicitud de acceso a la información, remitió diversos archivos que contienen actas del Comité de Transparencia y múltiples oficios emitidos por distintas áreas administrativas.</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No obstante, del análisis realizado por este Órgano Garante se desprende que la información fue entregada </w:t>
      </w:r>
      <w:r w:rsidRPr="00B67230">
        <w:rPr>
          <w:rFonts w:ascii="Palatino Linotype" w:eastAsia="Palatino Linotype" w:hAnsi="Palatino Linotype" w:cs="Palatino Linotype"/>
          <w:b/>
          <w:bCs/>
          <w:sz w:val="22"/>
          <w:szCs w:val="22"/>
        </w:rPr>
        <w:t>de manera general</w:t>
      </w:r>
      <w:r w:rsidRPr="00B67230">
        <w:rPr>
          <w:rFonts w:ascii="Palatino Linotype" w:eastAsia="Palatino Linotype" w:hAnsi="Palatino Linotype" w:cs="Palatino Linotype"/>
          <w:sz w:val="22"/>
          <w:szCs w:val="22"/>
        </w:rPr>
        <w:t xml:space="preserve">, toda vez que el Sujeto Obligado remitió actas del Comité de Transparencia y diversos oficios generados por las unidades administrativas, por diversos temas, esto es cambios de modalidad, prórrogas, clasificación de información, entre otros, siendo que el particular únicamente solicitó las información relacionada con declaratorias de inexistencia, aunado a que remitió la información </w:t>
      </w:r>
      <w:r w:rsidRPr="00B67230">
        <w:rPr>
          <w:rFonts w:ascii="Palatino Linotype" w:eastAsia="Palatino Linotype" w:hAnsi="Palatino Linotype" w:cs="Palatino Linotype"/>
          <w:b/>
          <w:bCs/>
          <w:sz w:val="22"/>
          <w:szCs w:val="22"/>
        </w:rPr>
        <w:t>sin realizar una identificación de aquellos documentos que correspondan específicamente a con lo solicitado por el particular</w:t>
      </w:r>
      <w:r w:rsidRPr="00B67230">
        <w:rPr>
          <w:rFonts w:ascii="Palatino Linotype" w:eastAsia="Palatino Linotype" w:hAnsi="Palatino Linotype" w:cs="Palatino Linotype"/>
          <w:sz w:val="22"/>
          <w:szCs w:val="22"/>
        </w:rPr>
        <w:t>.</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sz w:val="22"/>
          <w:szCs w:val="22"/>
        </w:rPr>
        <w:t xml:space="preserve">Asimismo, se advierte que parte de la información fue proporcionada </w:t>
      </w:r>
      <w:r w:rsidRPr="00B67230">
        <w:rPr>
          <w:rFonts w:ascii="Palatino Linotype" w:eastAsia="Palatino Linotype" w:hAnsi="Palatino Linotype" w:cs="Palatino Linotype"/>
          <w:b/>
          <w:bCs/>
          <w:sz w:val="22"/>
          <w:szCs w:val="22"/>
        </w:rPr>
        <w:t xml:space="preserve">de manera duplicada o hasta triplicada, en distintos archivos electrónicos, </w:t>
      </w:r>
      <w:r w:rsidRPr="00B67230">
        <w:rPr>
          <w:rFonts w:ascii="Palatino Linotype" w:eastAsia="Palatino Linotype" w:hAnsi="Palatino Linotype" w:cs="Palatino Linotype"/>
          <w:b/>
          <w:bCs/>
          <w:sz w:val="22"/>
          <w:szCs w:val="22"/>
          <w:u w:val="single"/>
        </w:rPr>
        <w:t>a manera de ejemplo</w:t>
      </w:r>
      <w:r w:rsidRPr="00B67230">
        <w:rPr>
          <w:rFonts w:ascii="Palatino Linotype" w:eastAsia="Palatino Linotype" w:hAnsi="Palatino Linotype" w:cs="Palatino Linotype"/>
          <w:b/>
          <w:bCs/>
          <w:sz w:val="22"/>
          <w:szCs w:val="22"/>
        </w:rPr>
        <w:t xml:space="preserve"> los siguientes: </w:t>
      </w:r>
    </w:p>
    <w:p w:rsidR="00FF6F08" w:rsidRPr="00B67230" w:rsidRDefault="00381314">
      <w:pPr>
        <w:numPr>
          <w:ilvl w:val="0"/>
          <w:numId w:val="3"/>
        </w:numPr>
        <w:pBdr>
          <w:top w:val="nil"/>
          <w:left w:val="nil"/>
          <w:bottom w:val="nil"/>
          <w:right w:val="nil"/>
          <w:between w:val="nil"/>
        </w:pBdr>
        <w:spacing w:before="28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El oficio 154 emitido por la cuarta regiduría, de fecha 24 de marzo de 2025, se localizó en tres de los archivos remitos por el Sujeto Obligado denominados: Abril_2025_1.pdf; Mayo 2025_1.pdf; Mayo 2025_4.pdf.  </w:t>
      </w:r>
    </w:p>
    <w:p w:rsidR="00FF6F08" w:rsidRPr="00B67230" w:rsidRDefault="0038131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El oficio 595 emitido por el Titular de La Unidad de Transparencia,  de fecha 24 de mayo de 2025, aparentemente se trata de un borrador o bien un oficio que fue cancelado o modificado, localizado en el archivo denominado: Abril_2025_4.pdf. </w:t>
      </w:r>
    </w:p>
    <w:p w:rsidR="00FF6F08" w:rsidRPr="00B67230" w:rsidRDefault="0038131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El oficio 156 emitido por la cuarta regiduría, de fecha 24 de marzo de 2025, se localizó en tres de los archivos remitos por el Sujeto Obligado denominados: Mayo 2025_1.pdf; Mayo 2025_4.pdf; y Mayo 2025_6.pdf. </w:t>
      </w:r>
    </w:p>
    <w:p w:rsidR="00FF6F08" w:rsidRPr="00B67230" w:rsidRDefault="00381314">
      <w:pPr>
        <w:numPr>
          <w:ilvl w:val="0"/>
          <w:numId w:val="3"/>
        </w:numPr>
        <w:pBdr>
          <w:top w:val="nil"/>
          <w:left w:val="nil"/>
          <w:bottom w:val="nil"/>
          <w:right w:val="nil"/>
          <w:between w:val="nil"/>
        </w:pBdr>
        <w:spacing w:after="280" w:line="360" w:lineRule="auto"/>
        <w:jc w:val="both"/>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 xml:space="preserve">El oficio 155 emitido por la cuarta regiduría, de fecha 24 de marzo de 2025, se localizó en tres de los archivos remitos por el Sujeto Obligado denominados: Mayo 2025_1.pdf; Mayo 2025_4.pdf; y Mayo 2025_6.pdf. </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Aunado a lo anterior, se observa la </w:t>
      </w:r>
      <w:r w:rsidRPr="00B67230">
        <w:rPr>
          <w:rFonts w:ascii="Palatino Linotype" w:eastAsia="Palatino Linotype" w:hAnsi="Palatino Linotype" w:cs="Palatino Linotype"/>
          <w:b/>
          <w:bCs/>
          <w:sz w:val="22"/>
          <w:szCs w:val="22"/>
        </w:rPr>
        <w:t>ausencia de determinadas actas del Comité de Transparencia</w:t>
      </w:r>
      <w:r w:rsidRPr="00B67230">
        <w:rPr>
          <w:rFonts w:ascii="Palatino Linotype" w:eastAsia="Palatino Linotype" w:hAnsi="Palatino Linotype" w:cs="Palatino Linotype"/>
          <w:sz w:val="22"/>
          <w:szCs w:val="22"/>
        </w:rPr>
        <w:t xml:space="preserve">, lo que impide tener certeza respecto de que se haya hecho entrega de la totalidad documentos relacionados con declaratorias de inexistencia, de manera enunciativa más no limitativa, las siguientes: </w:t>
      </w:r>
    </w:p>
    <w:tbl>
      <w:tblPr>
        <w:tblStyle w:val="aa"/>
        <w:tblW w:w="6195" w:type="dxa"/>
        <w:tblInd w:w="-5" w:type="dxa"/>
        <w:tblLayout w:type="fixed"/>
        <w:tblLook w:val="0400" w:firstRow="0" w:lastRow="0" w:firstColumn="0" w:lastColumn="0" w:noHBand="0" w:noVBand="1"/>
      </w:tblPr>
      <w:tblGrid>
        <w:gridCol w:w="2920"/>
        <w:gridCol w:w="1555"/>
        <w:gridCol w:w="1720"/>
      </w:tblGrid>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FEBRERO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73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74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103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136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MARZO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196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226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228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234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245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267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288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334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335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357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358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ABRIL </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362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363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372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381</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387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422</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427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441</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449</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476</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487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488</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490</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499</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MAYO</w:t>
            </w:r>
          </w:p>
        </w:tc>
        <w:tc>
          <w:tcPr>
            <w:tcW w:w="1555" w:type="dxa"/>
            <w:tcBorders>
              <w:top w:val="nil"/>
              <w:left w:val="nil"/>
              <w:bottom w:val="single" w:sz="4" w:space="0" w:color="000000"/>
              <w:right w:val="single" w:sz="4" w:space="0" w:color="000000"/>
            </w:tcBorders>
            <w:shd w:val="clear" w:color="auto" w:fill="FFFFFF"/>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SESIONES EXTRAORDINARIAS </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SE ENCUENTRA</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NO SE ENCUENTRA</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547</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564</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565</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r w:rsidR="005908F8" w:rsidRPr="00B67230">
        <w:trPr>
          <w:trHeight w:val="330"/>
        </w:trPr>
        <w:tc>
          <w:tcPr>
            <w:tcW w:w="2920" w:type="dxa"/>
            <w:tcBorders>
              <w:top w:val="nil"/>
              <w:left w:val="single" w:sz="4" w:space="0" w:color="000000"/>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673</w:t>
            </w:r>
          </w:p>
        </w:tc>
        <w:tc>
          <w:tcPr>
            <w:tcW w:w="1555"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w:t>
            </w:r>
          </w:p>
        </w:tc>
        <w:tc>
          <w:tcPr>
            <w:tcW w:w="1720" w:type="dxa"/>
            <w:tcBorders>
              <w:top w:val="nil"/>
              <w:left w:val="nil"/>
              <w:bottom w:val="single" w:sz="4" w:space="0" w:color="000000"/>
              <w:right w:val="single" w:sz="4" w:space="0" w:color="000000"/>
            </w:tcBorders>
            <w:vAlign w:val="center"/>
          </w:tcPr>
          <w:p w:rsidR="00FF6F08" w:rsidRPr="00B67230" w:rsidRDefault="00381314">
            <w:pPr>
              <w:jc w:val="center"/>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X</w:t>
            </w:r>
          </w:p>
        </w:tc>
      </w:tr>
    </w:tbl>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este sentido, resulta pertinente precisar que el derecho de acceso a la información pública no se satisface únicamente mediante la entrega material de documentos. Por el contrario, los Sujetos Obligados se encuentran constreñidos a </w:t>
      </w:r>
      <w:r w:rsidRPr="00B67230">
        <w:rPr>
          <w:rFonts w:ascii="Palatino Linotype" w:eastAsia="Palatino Linotype" w:hAnsi="Palatino Linotype" w:cs="Palatino Linotype"/>
          <w:b/>
          <w:bCs/>
          <w:sz w:val="22"/>
          <w:szCs w:val="22"/>
        </w:rPr>
        <w:t>garantizar que la información se proporcione de manera clara, completa, ordenada y congruente con lo solicitado</w:t>
      </w:r>
      <w:r w:rsidRPr="00B67230">
        <w:rPr>
          <w:rFonts w:ascii="Palatino Linotype" w:eastAsia="Palatino Linotype" w:hAnsi="Palatino Linotype" w:cs="Palatino Linotype"/>
          <w:sz w:val="22"/>
          <w:szCs w:val="22"/>
        </w:rPr>
        <w:t>, de tal forma que el particular pueda identificar de manera plena los documentos que atienden su requerimiento.</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La entrega excesiva de información, la duplicidad de archivos y la ausencia información o de una adecuada de una identificación precisa de los documentos que atienden la solicitud </w:t>
      </w:r>
      <w:r w:rsidRPr="00B67230">
        <w:rPr>
          <w:rFonts w:ascii="Palatino Linotype" w:eastAsia="Palatino Linotype" w:hAnsi="Palatino Linotype" w:cs="Palatino Linotype"/>
          <w:b/>
          <w:bCs/>
          <w:sz w:val="22"/>
          <w:szCs w:val="22"/>
        </w:rPr>
        <w:t>genera incertidumbre respecto de la atención otorgada</w:t>
      </w:r>
      <w:r w:rsidRPr="00B67230">
        <w:rPr>
          <w:rFonts w:ascii="Palatino Linotype" w:eastAsia="Palatino Linotype" w:hAnsi="Palatino Linotype" w:cs="Palatino Linotype"/>
          <w:sz w:val="22"/>
          <w:szCs w:val="22"/>
        </w:rPr>
        <w:t>, lo que se traduce en una afectación al ejercicio efectivo del derecho de acceso a la información.</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Bajo tales consideraciones resulta pertinente mencionar al Sujeto Obligado que  la atención al ejercicio del Derecho de Acceso a la Información, debe ajustarse a lo dispuesto en el artículo 11 de la Ley en la Materia, que señala lo siguiente: </w:t>
      </w:r>
    </w:p>
    <w:p w:rsidR="00FF6F08" w:rsidRPr="00B67230" w:rsidRDefault="00381314">
      <w:pPr>
        <w:spacing w:before="240" w:after="240"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el presente caso, la respuesta emitida por el Sujeto Obligado </w:t>
      </w:r>
      <w:r w:rsidRPr="00B67230">
        <w:rPr>
          <w:rFonts w:ascii="Palatino Linotype" w:eastAsia="Palatino Linotype" w:hAnsi="Palatino Linotype" w:cs="Palatino Linotype"/>
          <w:b/>
          <w:bCs/>
          <w:sz w:val="22"/>
          <w:szCs w:val="22"/>
        </w:rPr>
        <w:t>incumple diversos parámetros señalados en el artículo mencionado</w:t>
      </w:r>
      <w:r w:rsidRPr="00B67230">
        <w:rPr>
          <w:rFonts w:ascii="Palatino Linotype" w:eastAsia="Palatino Linotype" w:hAnsi="Palatino Linotype" w:cs="Palatino Linotype"/>
          <w:sz w:val="22"/>
          <w:szCs w:val="22"/>
        </w:rPr>
        <w:t>, por las siguientes razones:</w:t>
      </w:r>
    </w:p>
    <w:p w:rsidR="00FF6F08" w:rsidRPr="00B67230" w:rsidRDefault="00381314">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Accesibilidad:</w:t>
      </w:r>
      <w:r w:rsidRPr="00B67230">
        <w:rPr>
          <w:rFonts w:ascii="Palatino Linotype" w:eastAsia="Palatino Linotype" w:hAnsi="Palatino Linotype" w:cs="Palatino Linotype"/>
          <w:sz w:val="22"/>
          <w:szCs w:val="22"/>
        </w:rPr>
        <w:t xml:space="preserve"> La información relativa a los oficios, fue entregada de manera desordenada y con duplicidades en distintos archivos, lo que dificulta que el particular pueda </w:t>
      </w:r>
      <w:r w:rsidRPr="00B67230">
        <w:rPr>
          <w:rFonts w:ascii="Palatino Linotype" w:eastAsia="Palatino Linotype" w:hAnsi="Palatino Linotype" w:cs="Palatino Linotype"/>
          <w:b/>
          <w:bCs/>
          <w:sz w:val="22"/>
          <w:szCs w:val="22"/>
        </w:rPr>
        <w:t>acceder de manera clara y directa</w:t>
      </w:r>
      <w:r w:rsidRPr="00B67230">
        <w:rPr>
          <w:rFonts w:ascii="Palatino Linotype" w:eastAsia="Palatino Linotype" w:hAnsi="Palatino Linotype" w:cs="Palatino Linotype"/>
          <w:sz w:val="22"/>
          <w:szCs w:val="22"/>
        </w:rPr>
        <w:t xml:space="preserve"> a los documentos que realmente atienden su solicitud.</w:t>
      </w:r>
    </w:p>
    <w:p w:rsidR="00FF6F08" w:rsidRPr="00B67230" w:rsidRDefault="003813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Congruencia:</w:t>
      </w:r>
      <w:r w:rsidRPr="00B67230">
        <w:rPr>
          <w:rFonts w:ascii="Palatino Linotype" w:eastAsia="Palatino Linotype" w:hAnsi="Palatino Linotype" w:cs="Palatino Linotype"/>
          <w:sz w:val="22"/>
          <w:szCs w:val="22"/>
        </w:rPr>
        <w:t xml:space="preserve"> El Sujeto Obligado remitió </w:t>
      </w:r>
      <w:r w:rsidRPr="00B67230">
        <w:rPr>
          <w:rFonts w:ascii="Palatino Linotype" w:eastAsia="Palatino Linotype" w:hAnsi="Palatino Linotype" w:cs="Palatino Linotype"/>
          <w:b/>
          <w:bCs/>
          <w:sz w:val="22"/>
          <w:szCs w:val="22"/>
        </w:rPr>
        <w:t>todas las actas y oficios generados</w:t>
      </w:r>
      <w:r w:rsidRPr="00B67230">
        <w:rPr>
          <w:rFonts w:ascii="Palatino Linotype" w:eastAsia="Palatino Linotype" w:hAnsi="Palatino Linotype" w:cs="Palatino Linotype"/>
          <w:sz w:val="22"/>
          <w:szCs w:val="22"/>
        </w:rPr>
        <w:t xml:space="preserve">, sin identificar cuáles corresponden específicamente a las declaratorias de inexistencia de información solicitadas. Esto implica que la entrega </w:t>
      </w:r>
      <w:r w:rsidRPr="00B67230">
        <w:rPr>
          <w:rFonts w:ascii="Palatino Linotype" w:eastAsia="Palatino Linotype" w:hAnsi="Palatino Linotype" w:cs="Palatino Linotype"/>
          <w:b/>
          <w:bCs/>
          <w:sz w:val="22"/>
          <w:szCs w:val="22"/>
        </w:rPr>
        <w:t>no es congruente con lo solicitado</w:t>
      </w:r>
      <w:r w:rsidRPr="00B67230">
        <w:rPr>
          <w:rFonts w:ascii="Palatino Linotype" w:eastAsia="Palatino Linotype" w:hAnsi="Palatino Linotype" w:cs="Palatino Linotype"/>
          <w:sz w:val="22"/>
          <w:szCs w:val="22"/>
        </w:rPr>
        <w:t>, incumpliendo lo previsto en la ley.</w:t>
      </w:r>
    </w:p>
    <w:p w:rsidR="00FF6F08" w:rsidRPr="00B67230" w:rsidRDefault="003813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Completitud:</w:t>
      </w:r>
      <w:r w:rsidRPr="00B67230">
        <w:rPr>
          <w:rFonts w:ascii="Palatino Linotype" w:eastAsia="Palatino Linotype" w:hAnsi="Palatino Linotype" w:cs="Palatino Linotype"/>
          <w:sz w:val="22"/>
          <w:szCs w:val="22"/>
        </w:rPr>
        <w:t xml:space="preserve"> Se detecta la </w:t>
      </w:r>
      <w:r w:rsidRPr="00B67230">
        <w:rPr>
          <w:rFonts w:ascii="Palatino Linotype" w:eastAsia="Palatino Linotype" w:hAnsi="Palatino Linotype" w:cs="Palatino Linotype"/>
          <w:b/>
          <w:bCs/>
          <w:sz w:val="22"/>
          <w:szCs w:val="22"/>
        </w:rPr>
        <w:t>ausencia de algunas actas del Comité de Transparencia</w:t>
      </w:r>
      <w:r w:rsidRPr="00B67230">
        <w:rPr>
          <w:rFonts w:ascii="Palatino Linotype" w:eastAsia="Palatino Linotype" w:hAnsi="Palatino Linotype" w:cs="Palatino Linotype"/>
          <w:sz w:val="22"/>
          <w:szCs w:val="22"/>
        </w:rPr>
        <w:t xml:space="preserve">, por lo que la información entregada </w:t>
      </w:r>
      <w:r w:rsidRPr="00B67230">
        <w:rPr>
          <w:rFonts w:ascii="Palatino Linotype" w:eastAsia="Palatino Linotype" w:hAnsi="Palatino Linotype" w:cs="Palatino Linotype"/>
          <w:b/>
          <w:bCs/>
          <w:sz w:val="22"/>
          <w:szCs w:val="22"/>
        </w:rPr>
        <w:t>no puede considerarse completa ni integral</w:t>
      </w:r>
      <w:r w:rsidRPr="00B67230">
        <w:rPr>
          <w:rFonts w:ascii="Palatino Linotype" w:eastAsia="Palatino Linotype" w:hAnsi="Palatino Linotype" w:cs="Palatino Linotype"/>
          <w:sz w:val="22"/>
          <w:szCs w:val="22"/>
        </w:rPr>
        <w:t xml:space="preserve">, aunado a la duplicidad de oficios en los diversos archivos,  lo que limita la certeza del particular sobre si se realizó una búsqueda exhaustiva, o bien si el escaneo de la información se realizó de manera correcta. </w:t>
      </w:r>
    </w:p>
    <w:p w:rsidR="00FF6F08" w:rsidRPr="00B67230" w:rsidRDefault="003813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Confiabilidad:</w:t>
      </w:r>
      <w:r w:rsidRPr="00B67230">
        <w:rPr>
          <w:rFonts w:ascii="Palatino Linotype" w:eastAsia="Palatino Linotype" w:hAnsi="Palatino Linotype" w:cs="Palatino Linotype"/>
          <w:sz w:val="22"/>
          <w:szCs w:val="22"/>
        </w:rPr>
        <w:t xml:space="preserve"> La entrega de documentos duplicados o hasta triplicados y la falta de algunas actas, aunado a la falta de identificación precisa </w:t>
      </w:r>
      <w:r w:rsidRPr="00B67230">
        <w:rPr>
          <w:rFonts w:ascii="Palatino Linotype" w:eastAsia="Palatino Linotype" w:hAnsi="Palatino Linotype" w:cs="Palatino Linotype"/>
          <w:b/>
          <w:bCs/>
          <w:sz w:val="22"/>
          <w:szCs w:val="22"/>
        </w:rPr>
        <w:t>dificulta la verificación de la información</w:t>
      </w:r>
      <w:r w:rsidRPr="00B67230">
        <w:rPr>
          <w:rFonts w:ascii="Palatino Linotype" w:eastAsia="Palatino Linotype" w:hAnsi="Palatino Linotype" w:cs="Palatino Linotype"/>
          <w:sz w:val="22"/>
          <w:szCs w:val="22"/>
        </w:rPr>
        <w:t xml:space="preserve">, impidiendo al solicitante confirmar que se trata de la totalidad de la información. </w:t>
      </w:r>
    </w:p>
    <w:p w:rsidR="00FF6F08" w:rsidRPr="00B67230" w:rsidRDefault="00381314">
      <w:pPr>
        <w:numPr>
          <w:ilvl w:val="0"/>
          <w:numId w:val="2"/>
        </w:numPr>
        <w:pBdr>
          <w:top w:val="nil"/>
          <w:left w:val="nil"/>
          <w:bottom w:val="nil"/>
          <w:right w:val="nil"/>
          <w:between w:val="nil"/>
        </w:pBdr>
        <w:spacing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Oportunidad y expedición:</w:t>
      </w:r>
      <w:r w:rsidRPr="00B67230">
        <w:rPr>
          <w:rFonts w:ascii="Palatino Linotype" w:eastAsia="Palatino Linotype" w:hAnsi="Palatino Linotype" w:cs="Palatino Linotype"/>
          <w:sz w:val="22"/>
          <w:szCs w:val="22"/>
        </w:rPr>
        <w:t xml:space="preserve"> Al enviar información que no corresponde con la solicitud  y sin una guía de identificación esto es que le indique en que actas se aborda el tema del interés del particular, el Sujeto Obligado </w:t>
      </w:r>
      <w:r w:rsidRPr="00B67230">
        <w:rPr>
          <w:rFonts w:ascii="Palatino Linotype" w:eastAsia="Palatino Linotype" w:hAnsi="Palatino Linotype" w:cs="Palatino Linotype"/>
          <w:b/>
          <w:bCs/>
          <w:sz w:val="22"/>
          <w:szCs w:val="22"/>
        </w:rPr>
        <w:t>no permite un acceso expedito ni oportuno</w:t>
      </w:r>
      <w:r w:rsidRPr="00B67230">
        <w:rPr>
          <w:rFonts w:ascii="Palatino Linotype" w:eastAsia="Palatino Linotype" w:hAnsi="Palatino Linotype" w:cs="Palatino Linotype"/>
          <w:sz w:val="22"/>
          <w:szCs w:val="22"/>
        </w:rPr>
        <w:t xml:space="preserve"> a los documentos, afectando el ejercicio eficiente del derecho de acceso a la información.</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Por lo anterior, este Órgano Garante considera que la respuesta emitida por el Sujeto Obligado </w:t>
      </w:r>
      <w:r w:rsidRPr="00B67230">
        <w:rPr>
          <w:rFonts w:ascii="Palatino Linotype" w:eastAsia="Palatino Linotype" w:hAnsi="Palatino Linotype" w:cs="Palatino Linotype"/>
          <w:b/>
          <w:bCs/>
          <w:sz w:val="22"/>
          <w:szCs w:val="22"/>
        </w:rPr>
        <w:t>no resulta suficiente para tener por colmado el derecho de acceso a la información del particular</w:t>
      </w:r>
      <w:r w:rsidRPr="00B67230">
        <w:rPr>
          <w:rFonts w:ascii="Palatino Linotype" w:eastAsia="Palatino Linotype" w:hAnsi="Palatino Linotype" w:cs="Palatino Linotype"/>
          <w:sz w:val="22"/>
          <w:szCs w:val="22"/>
        </w:rPr>
        <w:t xml:space="preserve">. </w:t>
      </w:r>
    </w:p>
    <w:p w:rsidR="00FF6F08" w:rsidRPr="00B67230" w:rsidRDefault="00381314">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En este sentido el Sujeto Obligado deberá realizar la búsqueda exhaustiva de la información a fin de identificar </w:t>
      </w:r>
      <w:r w:rsidRPr="00B67230">
        <w:rPr>
          <w:rFonts w:ascii="Palatino Linotype" w:eastAsia="Palatino Linotype" w:hAnsi="Palatino Linotype" w:cs="Palatino Linotype"/>
          <w:b/>
          <w:bCs/>
          <w:sz w:val="22"/>
          <w:szCs w:val="22"/>
        </w:rPr>
        <w:t>de manera clara y precisa</w:t>
      </w:r>
      <w:r w:rsidRPr="00B67230">
        <w:rPr>
          <w:rFonts w:ascii="Palatino Linotype" w:eastAsia="Palatino Linotype" w:hAnsi="Palatino Linotype" w:cs="Palatino Linotype"/>
          <w:sz w:val="22"/>
          <w:szCs w:val="22"/>
        </w:rPr>
        <w:t xml:space="preserve"> las actas o acuerdos del Comité de Transparencia relacionados con declaratorias de inexistencia de información. Remitir </w:t>
      </w:r>
      <w:r w:rsidRPr="00B67230">
        <w:rPr>
          <w:rFonts w:ascii="Palatino Linotype" w:eastAsia="Palatino Linotype" w:hAnsi="Palatino Linotype" w:cs="Palatino Linotype"/>
          <w:b/>
          <w:bCs/>
          <w:sz w:val="22"/>
          <w:szCs w:val="22"/>
        </w:rPr>
        <w:t xml:space="preserve">los oficios mediante los cuales los servidores públicos habilitados solicitaron declaración de inexistencia, vinculados a cada una de las actas proporcionadas, y entregar la </w:t>
      </w:r>
      <w:r w:rsidRPr="00B67230">
        <w:rPr>
          <w:rFonts w:ascii="Palatino Linotype" w:eastAsia="Palatino Linotype" w:hAnsi="Palatino Linotype" w:cs="Palatino Linotype"/>
          <w:sz w:val="22"/>
          <w:szCs w:val="22"/>
        </w:rPr>
        <w:t xml:space="preserve">información </w:t>
      </w:r>
      <w:r w:rsidRPr="00B67230">
        <w:rPr>
          <w:rFonts w:ascii="Palatino Linotype" w:eastAsia="Palatino Linotype" w:hAnsi="Palatino Linotype" w:cs="Palatino Linotype"/>
          <w:b/>
          <w:bCs/>
          <w:sz w:val="22"/>
          <w:szCs w:val="22"/>
        </w:rPr>
        <w:t xml:space="preserve">de forma </w:t>
      </w:r>
      <w:r w:rsidRPr="00B67230">
        <w:rPr>
          <w:rFonts w:ascii="Palatino Linotype" w:eastAsia="Palatino Linotype" w:hAnsi="Palatino Linotype" w:cs="Palatino Linotype"/>
          <w:b/>
          <w:bCs/>
          <w:sz w:val="22"/>
          <w:szCs w:val="22"/>
          <w:u w:val="single"/>
        </w:rPr>
        <w:t>ordenada, completa y sin duplicidades</w:t>
      </w:r>
      <w:r w:rsidRPr="00B67230">
        <w:rPr>
          <w:rFonts w:ascii="Palatino Linotype" w:eastAsia="Palatino Linotype" w:hAnsi="Palatino Linotype" w:cs="Palatino Linotype"/>
          <w:sz w:val="22"/>
          <w:szCs w:val="22"/>
        </w:rPr>
        <w:t>, a efecto de garantizar el pleno ejercicio del derecho de acceso a la información del particular, de ser procedente en versión publica, términos del considerando quinto.</w:t>
      </w:r>
    </w:p>
    <w:p w:rsidR="00FF6F08" w:rsidRPr="00B67230" w:rsidRDefault="00381314">
      <w:pP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Quinto. Versión Pública. </w:t>
      </w:r>
      <w:r w:rsidRPr="00B67230">
        <w:rPr>
          <w:rFonts w:ascii="Palatino Linotype" w:eastAsia="Palatino Linotype" w:hAnsi="Palatino Linotype" w:cs="Palatino Linotype"/>
          <w:sz w:val="22"/>
          <w:szCs w:val="22"/>
        </w:rPr>
        <w:t>Como fue debidamente apuntado, el</w:t>
      </w:r>
      <w:r w:rsidRPr="00B67230">
        <w:rPr>
          <w:rFonts w:ascii="Palatino Linotype" w:eastAsia="Palatino Linotype" w:hAnsi="Palatino Linotype" w:cs="Palatino Linotype"/>
          <w:b/>
          <w:bCs/>
          <w:sz w:val="22"/>
          <w:szCs w:val="22"/>
        </w:rPr>
        <w:t> Sujeto Obligado</w:t>
      </w:r>
      <w:r w:rsidRPr="00B67230">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FF6F08" w:rsidRPr="00B67230" w:rsidRDefault="00FF6F08">
      <w:pPr>
        <w:spacing w:line="360" w:lineRule="auto"/>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FF6F08" w:rsidRPr="00B67230" w:rsidRDefault="00FF6F0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FF6F08" w:rsidRPr="00B67230" w:rsidRDefault="00FF6F0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“Artículo 3.</w:t>
      </w:r>
      <w:r w:rsidRPr="00B67230">
        <w:rPr>
          <w:rFonts w:ascii="Palatino Linotype" w:eastAsia="Palatino Linotype" w:hAnsi="Palatino Linotype" w:cs="Palatino Linotype"/>
          <w:i/>
          <w:iCs/>
          <w:sz w:val="22"/>
          <w:szCs w:val="22"/>
        </w:rPr>
        <w:t xml:space="preserve"> Para los efectos de la presente Ley se entenderá por:</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IX. Datos personales</w:t>
      </w:r>
      <w:r w:rsidRPr="00B67230">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XX. Información clasificada</w:t>
      </w:r>
      <w:r w:rsidRPr="00B67230">
        <w:rPr>
          <w:rFonts w:ascii="Palatino Linotype" w:eastAsia="Palatino Linotype" w:hAnsi="Palatino Linotype" w:cs="Palatino Linotype"/>
          <w:i/>
          <w:iCs/>
          <w:sz w:val="22"/>
          <w:szCs w:val="22"/>
        </w:rPr>
        <w:t>: Aquella considerada por la presente Ley como reservada o confidencial;</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XXI. Información confidencial</w:t>
      </w:r>
      <w:r w:rsidRPr="00B67230">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XXXII. Protección de Datos Personales</w:t>
      </w:r>
      <w:r w:rsidRPr="00B67230">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XLV. Versión pública</w:t>
      </w:r>
      <w:r w:rsidRPr="00B67230">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 Artículo 6</w:t>
      </w:r>
      <w:r w:rsidRPr="00B67230">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 (…)</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Artículo 91.</w:t>
      </w:r>
      <w:r w:rsidRPr="00B67230">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Artículo 137.</w:t>
      </w:r>
      <w:r w:rsidRPr="00B67230">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 Artículo 143.</w:t>
      </w:r>
      <w:r w:rsidRPr="00B67230">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i/>
          <w:iCs/>
          <w:sz w:val="22"/>
          <w:szCs w:val="22"/>
        </w:rPr>
        <w:t>I.</w:t>
      </w:r>
      <w:r w:rsidRPr="00B67230">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rsidR="00FF6F08" w:rsidRPr="00B67230" w:rsidRDefault="00381314">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B67230">
        <w:rPr>
          <w:rFonts w:ascii="Palatino Linotype" w:eastAsia="Palatino Linotype" w:hAnsi="Palatino Linotype" w:cs="Palatino Linotype"/>
          <w:b/>
          <w:bCs/>
          <w:sz w:val="22"/>
          <w:szCs w:val="22"/>
        </w:rPr>
        <w:t xml:space="preserve"> Recurrente,</w:t>
      </w:r>
      <w:r w:rsidRPr="00B67230">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B67230">
        <w:rPr>
          <w:rFonts w:ascii="Palatino Linotype" w:eastAsia="Palatino Linotype" w:hAnsi="Palatino Linotype" w:cs="Palatino Linotype"/>
          <w:b/>
          <w:bCs/>
          <w:sz w:val="22"/>
          <w:szCs w:val="22"/>
          <w:u w:val="single"/>
        </w:rPr>
        <w:t>razones, motivos o circunstancias especiales</w:t>
      </w:r>
      <w:r w:rsidRPr="00B67230">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FF6F08" w:rsidRPr="00B67230" w:rsidRDefault="00FF6F0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F6F08" w:rsidRPr="00B67230" w:rsidRDefault="00FF6F08">
      <w:pPr>
        <w:pBdr>
          <w:top w:val="nil"/>
          <w:left w:val="nil"/>
          <w:bottom w:val="nil"/>
          <w:right w:val="nil"/>
          <w:between w:val="nil"/>
        </w:pBdr>
        <w:spacing w:line="276" w:lineRule="auto"/>
        <w:ind w:left="864"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“Artículo 49. Los Comités de Transparencia tendrán las siguientes atribuciones:</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VIII. Aprobar, modificar o revocar la clasificación de la información;</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Artículo 53. Las Unidades de Transparencia tendrán las siguientes funciones:</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X. Presentar ante el Comité, el proyecto de clasificación de información…</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Artículo 59. Los servidores públicos habilitados tendrán las funciones siguientes:</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V. Integrar y presentar al responsable de la Unidad de Transparencia la propuesta de clasificación de información, la cual tendrá los fundamentos y argumentos en que se basa dicha propuesta;</w:t>
      </w: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i/>
          <w:iCs/>
          <w:sz w:val="22"/>
          <w:szCs w:val="22"/>
        </w:rPr>
        <w:t>(…)”</w:t>
      </w:r>
    </w:p>
    <w:p w:rsidR="00FF6F08" w:rsidRPr="00B67230" w:rsidRDefault="00FF6F08">
      <w:pPr>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276" w:lineRule="auto"/>
        <w:ind w:left="864"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Artículo 149. El acuerdo que clasifique la información como confidencial deberá contener un razonamiento lógico en el que demuestre que la información se encuentra en alguna o algunas de las hipótesis previstas en la presente Ley.</w:t>
      </w:r>
    </w:p>
    <w:p w:rsidR="00FF6F08" w:rsidRPr="00B67230" w:rsidRDefault="00FF6F08">
      <w:pPr>
        <w:pBdr>
          <w:top w:val="nil"/>
          <w:left w:val="nil"/>
          <w:bottom w:val="nil"/>
          <w:right w:val="nil"/>
          <w:between w:val="nil"/>
        </w:pBdr>
        <w:ind w:left="864" w:right="864"/>
        <w:jc w:val="both"/>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Es decir, el</w:t>
      </w:r>
      <w:r w:rsidRPr="00B67230">
        <w:rPr>
          <w:rFonts w:ascii="Palatino Linotype" w:eastAsia="Palatino Linotype" w:hAnsi="Palatino Linotype" w:cs="Palatino Linotype"/>
          <w:b/>
          <w:bCs/>
          <w:sz w:val="22"/>
          <w:szCs w:val="22"/>
        </w:rPr>
        <w:t xml:space="preserve"> Sujeto Obligado</w:t>
      </w:r>
      <w:r w:rsidRPr="00B6723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F6F08" w:rsidRPr="00B67230" w:rsidRDefault="00FF6F08">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B67230">
        <w:rPr>
          <w:rFonts w:ascii="Palatino Linotype" w:eastAsia="Palatino Linotype" w:hAnsi="Palatino Linotype" w:cs="Palatino Linotype"/>
          <w:b/>
          <w:bCs/>
          <w:sz w:val="22"/>
          <w:szCs w:val="22"/>
        </w:rPr>
        <w:t xml:space="preserve">Sujeto Obligado, </w:t>
      </w:r>
      <w:r w:rsidRPr="00B67230">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FF6F08" w:rsidRPr="00B67230" w:rsidRDefault="00FF6F08">
      <w:pPr>
        <w:pBdr>
          <w:top w:val="nil"/>
          <w:left w:val="nil"/>
          <w:bottom w:val="nil"/>
          <w:right w:val="nil"/>
          <w:between w:val="nil"/>
        </w:pBdr>
        <w:spacing w:line="360" w:lineRule="auto"/>
        <w:ind w:left="851" w:right="851"/>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“Artículo 132.</w:t>
      </w:r>
      <w:r w:rsidRPr="00B67230">
        <w:rPr>
          <w:rFonts w:ascii="Palatino Linotype" w:eastAsia="Palatino Linotype" w:hAnsi="Palatino Linotype" w:cs="Palatino Linotype"/>
          <w:i/>
          <w:iCs/>
          <w:sz w:val="22"/>
          <w:szCs w:val="22"/>
        </w:rPr>
        <w:t xml:space="preserve"> </w:t>
      </w:r>
      <w:r w:rsidRPr="00B67230">
        <w:rPr>
          <w:rFonts w:ascii="Palatino Linotype" w:eastAsia="Palatino Linotype" w:hAnsi="Palatino Linotype" w:cs="Palatino Linotype"/>
          <w:b/>
          <w:bCs/>
          <w:i/>
          <w:iCs/>
          <w:sz w:val="22"/>
          <w:szCs w:val="22"/>
        </w:rPr>
        <w:t>La clasificación de la información se llevará a cabo en el momento en que:</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II.</w:t>
      </w:r>
      <w:r w:rsidRPr="00B67230">
        <w:rPr>
          <w:rFonts w:ascii="Palatino Linotype" w:eastAsia="Palatino Linotype" w:hAnsi="Palatino Linotype" w:cs="Palatino Linotype"/>
          <w:i/>
          <w:iCs/>
          <w:sz w:val="22"/>
          <w:szCs w:val="22"/>
        </w:rPr>
        <w:t xml:space="preserve"> Se determine mediante resolución de autoridad competente; o</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III</w:t>
      </w:r>
      <w:r w:rsidRPr="00B67230">
        <w:rPr>
          <w:rFonts w:ascii="Palatino Linotype" w:eastAsia="Palatino Linotype" w:hAnsi="Palatino Linotype" w:cs="Palatino Linotype"/>
          <w:i/>
          <w:iCs/>
          <w:sz w:val="22"/>
          <w:szCs w:val="22"/>
        </w:rPr>
        <w:t xml:space="preserve">. </w:t>
      </w:r>
      <w:r w:rsidRPr="00B67230">
        <w:rPr>
          <w:rFonts w:ascii="Palatino Linotype" w:eastAsia="Palatino Linotype" w:hAnsi="Palatino Linotype" w:cs="Palatino Linotype"/>
          <w:b/>
          <w:bCs/>
          <w:i/>
          <w:iCs/>
          <w:sz w:val="22"/>
          <w:szCs w:val="22"/>
        </w:rPr>
        <w:t>Se generen versiones públicas para dar cumplimiento a las obligaciones de transparencia previstas en esta Ley</w:t>
      </w:r>
      <w:r w:rsidRPr="00B67230">
        <w:rPr>
          <w:rFonts w:ascii="Palatino Linotype" w:eastAsia="Palatino Linotype" w:hAnsi="Palatino Linotype" w:cs="Palatino Linotype"/>
          <w:i/>
          <w:iCs/>
          <w:sz w:val="22"/>
          <w:szCs w:val="22"/>
        </w:rPr>
        <w:t>.</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Segundo.-</w:t>
      </w:r>
      <w:r w:rsidRPr="00B67230">
        <w:rPr>
          <w:rFonts w:ascii="Palatino Linotype" w:eastAsia="Palatino Linotype" w:hAnsi="Palatino Linotype" w:cs="Palatino Linotype"/>
          <w:i/>
          <w:iCs/>
          <w:sz w:val="22"/>
          <w:szCs w:val="22"/>
        </w:rPr>
        <w:t xml:space="preserve"> Para efectos de los presentes Lineamientos Generales, se entenderá por:</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w:t>
      </w: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XVIII.</w:t>
      </w:r>
      <w:r w:rsidRPr="00B67230">
        <w:rPr>
          <w:rFonts w:ascii="Palatino Linotype" w:eastAsia="Palatino Linotype" w:hAnsi="Palatino Linotype" w:cs="Palatino Linotype"/>
          <w:i/>
          <w:iCs/>
          <w:sz w:val="22"/>
          <w:szCs w:val="22"/>
        </w:rPr>
        <w:t xml:space="preserve"> </w:t>
      </w:r>
      <w:r w:rsidRPr="00B67230">
        <w:rPr>
          <w:rFonts w:ascii="Palatino Linotype" w:eastAsia="Palatino Linotype" w:hAnsi="Palatino Linotype" w:cs="Palatino Linotype"/>
          <w:b/>
          <w:bCs/>
          <w:i/>
          <w:iCs/>
          <w:sz w:val="22"/>
          <w:szCs w:val="22"/>
        </w:rPr>
        <w:t>Versión pública:</w:t>
      </w:r>
      <w:r w:rsidRPr="00B67230">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B67230">
        <w:rPr>
          <w:rFonts w:ascii="Palatino Linotype" w:eastAsia="Palatino Linotype" w:hAnsi="Palatino Linotype" w:cs="Palatino Linotype"/>
          <w:b/>
          <w:bCs/>
          <w:i/>
          <w:iCs/>
          <w:sz w:val="22"/>
          <w:szCs w:val="22"/>
        </w:rPr>
        <w:t>fundando y motivando la</w:t>
      </w:r>
      <w:r w:rsidRPr="00B67230">
        <w:rPr>
          <w:rFonts w:ascii="Palatino Linotype" w:eastAsia="Palatino Linotype" w:hAnsi="Palatino Linotype" w:cs="Palatino Linotype"/>
          <w:i/>
          <w:iCs/>
          <w:sz w:val="22"/>
          <w:szCs w:val="22"/>
        </w:rPr>
        <w:t xml:space="preserve"> reserva o </w:t>
      </w:r>
      <w:r w:rsidRPr="00B67230">
        <w:rPr>
          <w:rFonts w:ascii="Palatino Linotype" w:eastAsia="Palatino Linotype" w:hAnsi="Palatino Linotype" w:cs="Palatino Linotype"/>
          <w:b/>
          <w:bCs/>
          <w:i/>
          <w:iCs/>
          <w:sz w:val="22"/>
          <w:szCs w:val="22"/>
        </w:rPr>
        <w:t>confidencialidad</w:t>
      </w:r>
      <w:r w:rsidRPr="00B67230">
        <w:rPr>
          <w:rFonts w:ascii="Palatino Linotype" w:eastAsia="Palatino Linotype" w:hAnsi="Palatino Linotype" w:cs="Palatino Linotype"/>
          <w:i/>
          <w:iCs/>
          <w:sz w:val="22"/>
          <w:szCs w:val="22"/>
        </w:rPr>
        <w:t>, a través de la resolución que para tal efecto emita el Comité de Transparencia.</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w:t>
      </w:r>
      <w:r w:rsidRPr="00B67230">
        <w:rPr>
          <w:rFonts w:ascii="Palatino Linotype" w:eastAsia="Palatino Linotype" w:hAnsi="Palatino Linotype" w:cs="Palatino Linotype"/>
          <w:i/>
          <w:iCs/>
          <w:sz w:val="22"/>
          <w:szCs w:val="22"/>
        </w:rPr>
        <w:t>)</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Cuarto.</w:t>
      </w:r>
      <w:r w:rsidRPr="00B67230">
        <w:rPr>
          <w:rFonts w:ascii="Palatino Linotype" w:eastAsia="Palatino Linotype" w:hAnsi="Palatino Linotype" w:cs="Palatino Linotype"/>
          <w:i/>
          <w:iCs/>
          <w:sz w:val="22"/>
          <w:szCs w:val="22"/>
        </w:rPr>
        <w:t xml:space="preserve"> </w:t>
      </w:r>
      <w:r w:rsidRPr="00B67230">
        <w:rPr>
          <w:rFonts w:ascii="Palatino Linotype" w:eastAsia="Palatino Linotype" w:hAnsi="Palatino Linotype" w:cs="Palatino Linotype"/>
          <w:b/>
          <w:bCs/>
          <w:i/>
          <w:iCs/>
          <w:sz w:val="22"/>
          <w:szCs w:val="22"/>
        </w:rPr>
        <w:t>Para clasificar la información como</w:t>
      </w:r>
      <w:r w:rsidRPr="00B67230">
        <w:rPr>
          <w:rFonts w:ascii="Palatino Linotype" w:eastAsia="Palatino Linotype" w:hAnsi="Palatino Linotype" w:cs="Palatino Linotype"/>
          <w:i/>
          <w:iCs/>
          <w:sz w:val="22"/>
          <w:szCs w:val="22"/>
        </w:rPr>
        <w:t xml:space="preserve"> reservada o </w:t>
      </w:r>
      <w:r w:rsidRPr="00B67230">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B67230">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Quinto.</w:t>
      </w:r>
      <w:r w:rsidRPr="00B67230">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Sexto.</w:t>
      </w:r>
      <w:r w:rsidRPr="00B67230">
        <w:rPr>
          <w:rFonts w:ascii="Palatino Linotype" w:eastAsia="Palatino Linotype" w:hAnsi="Palatino Linotype" w:cs="Palatino Linotype"/>
          <w:i/>
          <w:iCs/>
          <w:sz w:val="22"/>
          <w:szCs w:val="22"/>
        </w:rPr>
        <w:t xml:space="preserve"> Se deroga. </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Séptimo.</w:t>
      </w:r>
      <w:r w:rsidRPr="00B67230">
        <w:rPr>
          <w:rFonts w:ascii="Palatino Linotype" w:eastAsia="Palatino Linotype" w:hAnsi="Palatino Linotype" w:cs="Palatino Linotype"/>
          <w:i/>
          <w:iCs/>
          <w:sz w:val="22"/>
          <w:szCs w:val="22"/>
        </w:rPr>
        <w:t xml:space="preserve"> La clasificación de la información se llevará a cabo en el momento en que:</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I.</w:t>
      </w:r>
      <w:r w:rsidRPr="00B67230">
        <w:rPr>
          <w:rFonts w:ascii="Palatino Linotype" w:eastAsia="Palatino Linotype" w:hAnsi="Palatino Linotype" w:cs="Palatino Linotype"/>
          <w:i/>
          <w:iCs/>
          <w:sz w:val="22"/>
          <w:szCs w:val="22"/>
        </w:rPr>
        <w:t xml:space="preserve"> Se reciba una solicitud de acceso a la información;</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II: Se determine mediante resolución del Comité de Transparencia, el órgano garante competente, o en cumplimiento a una sentencia del Poder Judicial; o</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 xml:space="preserve">III. </w:t>
      </w:r>
      <w:r w:rsidRPr="00B67230">
        <w:rPr>
          <w:rFonts w:ascii="Palatino Linotype" w:eastAsia="Palatino Linotype" w:hAnsi="Palatino Linotype" w:cs="Palatino Linotype"/>
          <w:i/>
          <w:iCs/>
          <w:sz w:val="22"/>
          <w:szCs w:val="22"/>
        </w:rPr>
        <w:t xml:space="preserve">Se generen versiones públicas para dar cumplimiento a las obligaciones </w:t>
      </w:r>
      <w:proofErr w:type="spellStart"/>
      <w:r w:rsidRPr="00B67230">
        <w:rPr>
          <w:rFonts w:ascii="Palatino Linotype" w:eastAsia="Palatino Linotype" w:hAnsi="Palatino Linotype" w:cs="Palatino Linotype"/>
          <w:i/>
          <w:iCs/>
          <w:sz w:val="22"/>
          <w:szCs w:val="22"/>
        </w:rPr>
        <w:t>detransparencia</w:t>
      </w:r>
      <w:proofErr w:type="spellEnd"/>
      <w:r w:rsidRPr="00B67230">
        <w:rPr>
          <w:rFonts w:ascii="Palatino Linotype" w:eastAsia="Palatino Linotype" w:hAnsi="Palatino Linotype" w:cs="Palatino Linotype"/>
          <w:i/>
          <w:iCs/>
          <w:sz w:val="22"/>
          <w:szCs w:val="22"/>
        </w:rPr>
        <w:t xml:space="preserve"> previstas en la Ley General, la Ley Federal y las correspondientes de </w:t>
      </w:r>
      <w:proofErr w:type="spellStart"/>
      <w:r w:rsidRPr="00B67230">
        <w:rPr>
          <w:rFonts w:ascii="Palatino Linotype" w:eastAsia="Palatino Linotype" w:hAnsi="Palatino Linotype" w:cs="Palatino Linotype"/>
          <w:i/>
          <w:iCs/>
          <w:sz w:val="22"/>
          <w:szCs w:val="22"/>
        </w:rPr>
        <w:t>laentidades</w:t>
      </w:r>
      <w:proofErr w:type="spellEnd"/>
      <w:r w:rsidRPr="00B67230">
        <w:rPr>
          <w:rFonts w:ascii="Palatino Linotype" w:eastAsia="Palatino Linotype" w:hAnsi="Palatino Linotype" w:cs="Palatino Linotype"/>
          <w:i/>
          <w:iCs/>
          <w:sz w:val="22"/>
          <w:szCs w:val="22"/>
        </w:rPr>
        <w:t xml:space="preserve"> federativas.</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Los titulares de las áreas deberán revisar la información requerida al momento de </w:t>
      </w:r>
      <w:proofErr w:type="spellStart"/>
      <w:r w:rsidRPr="00B67230">
        <w:rPr>
          <w:rFonts w:ascii="Palatino Linotype" w:eastAsia="Palatino Linotype" w:hAnsi="Palatino Linotype" w:cs="Palatino Linotype"/>
          <w:i/>
          <w:iCs/>
          <w:sz w:val="22"/>
          <w:szCs w:val="22"/>
        </w:rPr>
        <w:t>larecepción</w:t>
      </w:r>
      <w:proofErr w:type="spellEnd"/>
      <w:r w:rsidRPr="00B67230">
        <w:rPr>
          <w:rFonts w:ascii="Palatino Linotype" w:eastAsia="Palatino Linotype" w:hAnsi="Palatino Linotype" w:cs="Palatino Linotype"/>
          <w:i/>
          <w:iCs/>
          <w:sz w:val="22"/>
          <w:szCs w:val="22"/>
        </w:rPr>
        <w:t xml:space="preserve"> de una solicitud de acceso, para verificar, conforme a su naturaleza, si </w:t>
      </w:r>
      <w:proofErr w:type="spellStart"/>
      <w:r w:rsidRPr="00B67230">
        <w:rPr>
          <w:rFonts w:ascii="Palatino Linotype" w:eastAsia="Palatino Linotype" w:hAnsi="Palatino Linotype" w:cs="Palatino Linotype"/>
          <w:i/>
          <w:iCs/>
          <w:sz w:val="22"/>
          <w:szCs w:val="22"/>
        </w:rPr>
        <w:t>encuadraen</w:t>
      </w:r>
      <w:proofErr w:type="spellEnd"/>
      <w:r w:rsidRPr="00B67230">
        <w:rPr>
          <w:rFonts w:ascii="Palatino Linotype" w:eastAsia="Palatino Linotype" w:hAnsi="Palatino Linotype" w:cs="Palatino Linotype"/>
          <w:i/>
          <w:iCs/>
          <w:sz w:val="22"/>
          <w:szCs w:val="22"/>
        </w:rPr>
        <w:t xml:space="preserve"> una causal de reserva o de confidencialidad.</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Octavo.</w:t>
      </w:r>
      <w:r w:rsidRPr="00B67230">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Noveno.</w:t>
      </w:r>
      <w:r w:rsidRPr="00B67230">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Décimo.</w:t>
      </w:r>
      <w:r w:rsidRPr="00B67230">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rsidR="00FF6F08" w:rsidRPr="00B67230" w:rsidRDefault="00FF6F0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FF6F08" w:rsidRPr="00B67230" w:rsidRDefault="00381314">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b/>
          <w:bCs/>
          <w:i/>
          <w:iCs/>
          <w:sz w:val="22"/>
          <w:szCs w:val="22"/>
        </w:rPr>
        <w:t>Décimo primero.</w:t>
      </w:r>
      <w:r w:rsidRPr="00B67230">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F6F08" w:rsidRPr="00B67230" w:rsidRDefault="00381314">
      <w:pPr>
        <w:spacing w:before="240" w:after="240"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sz w:val="22"/>
          <w:szCs w:val="22"/>
        </w:rPr>
        <w:t>Así, con fundamento en lo prescrito en los artículos 5 párrafos cuadragésimo cuarto y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FF6F08" w:rsidRPr="00B67230" w:rsidRDefault="00381314">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B67230">
        <w:rPr>
          <w:rFonts w:ascii="Palatino Linotype" w:eastAsia="Palatino Linotype" w:hAnsi="Palatino Linotype" w:cs="Palatino Linotype"/>
          <w:b/>
          <w:bCs/>
          <w:sz w:val="22"/>
          <w:szCs w:val="22"/>
        </w:rPr>
        <w:t>III. R E S U E L V E</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Primero. </w:t>
      </w:r>
      <w:r w:rsidRPr="00B67230">
        <w:rPr>
          <w:rFonts w:ascii="Palatino Linotype" w:eastAsia="Palatino Linotype" w:hAnsi="Palatino Linotype" w:cs="Palatino Linotype"/>
          <w:sz w:val="22"/>
          <w:szCs w:val="22"/>
        </w:rPr>
        <w:t xml:space="preserve">Resultan </w:t>
      </w:r>
      <w:r w:rsidRPr="00B67230">
        <w:rPr>
          <w:rFonts w:ascii="Palatino Linotype" w:eastAsia="Palatino Linotype" w:hAnsi="Palatino Linotype" w:cs="Palatino Linotype"/>
          <w:b/>
          <w:bCs/>
          <w:sz w:val="22"/>
          <w:szCs w:val="22"/>
        </w:rPr>
        <w:t>fundados</w:t>
      </w:r>
      <w:r w:rsidRPr="00B67230">
        <w:rPr>
          <w:rFonts w:ascii="Palatino Linotype" w:eastAsia="Palatino Linotype" w:hAnsi="Palatino Linotype" w:cs="Palatino Linotype"/>
          <w:sz w:val="22"/>
          <w:szCs w:val="22"/>
        </w:rPr>
        <w:t xml:space="preserve"> los motivos de inconformidad hechos valer por el </w:t>
      </w:r>
      <w:r w:rsidRPr="00B67230">
        <w:rPr>
          <w:rFonts w:ascii="Palatino Linotype" w:eastAsia="Palatino Linotype" w:hAnsi="Palatino Linotype" w:cs="Palatino Linotype"/>
          <w:b/>
          <w:bCs/>
          <w:sz w:val="22"/>
          <w:szCs w:val="22"/>
        </w:rPr>
        <w:t>Recurrente</w:t>
      </w:r>
      <w:r w:rsidRPr="00B67230">
        <w:rPr>
          <w:rFonts w:ascii="Palatino Linotype" w:eastAsia="Palatino Linotype" w:hAnsi="Palatino Linotype" w:cs="Palatino Linotype"/>
          <w:sz w:val="22"/>
          <w:szCs w:val="22"/>
        </w:rPr>
        <w:t xml:space="preserve"> en el recurso de revisión </w:t>
      </w:r>
      <w:r w:rsidRPr="00B67230">
        <w:rPr>
          <w:rFonts w:ascii="Palatino Linotype" w:eastAsia="Palatino Linotype" w:hAnsi="Palatino Linotype" w:cs="Palatino Linotype"/>
          <w:b/>
          <w:bCs/>
          <w:sz w:val="22"/>
          <w:szCs w:val="22"/>
        </w:rPr>
        <w:t>08999/INFOEM/IP/RR/2025</w:t>
      </w:r>
      <w:r w:rsidRPr="00B67230">
        <w:rPr>
          <w:rFonts w:ascii="Palatino Linotype" w:eastAsia="Palatino Linotype" w:hAnsi="Palatino Linotype" w:cs="Palatino Linotype"/>
          <w:sz w:val="22"/>
          <w:szCs w:val="22"/>
        </w:rPr>
        <w:t xml:space="preserve">; por lo que, en términos del </w:t>
      </w:r>
      <w:r w:rsidRPr="00B67230">
        <w:rPr>
          <w:rFonts w:ascii="Palatino Linotype" w:eastAsia="Palatino Linotype" w:hAnsi="Palatino Linotype" w:cs="Palatino Linotype"/>
          <w:b/>
          <w:bCs/>
          <w:sz w:val="22"/>
          <w:szCs w:val="22"/>
        </w:rPr>
        <w:t>Considerando</w:t>
      </w:r>
      <w:r w:rsidRPr="00B67230">
        <w:rPr>
          <w:rFonts w:ascii="Palatino Linotype" w:eastAsia="Palatino Linotype" w:hAnsi="Palatino Linotype" w:cs="Palatino Linotype"/>
          <w:sz w:val="22"/>
          <w:szCs w:val="22"/>
        </w:rPr>
        <w:t xml:space="preserve"> </w:t>
      </w:r>
      <w:r w:rsidRPr="00B67230">
        <w:rPr>
          <w:rFonts w:ascii="Palatino Linotype" w:eastAsia="Palatino Linotype" w:hAnsi="Palatino Linotype" w:cs="Palatino Linotype"/>
          <w:b/>
          <w:bCs/>
          <w:sz w:val="22"/>
          <w:szCs w:val="22"/>
        </w:rPr>
        <w:t xml:space="preserve">Cuarto </w:t>
      </w:r>
      <w:r w:rsidRPr="00B67230">
        <w:rPr>
          <w:rFonts w:ascii="Palatino Linotype" w:eastAsia="Palatino Linotype" w:hAnsi="Palatino Linotype" w:cs="Palatino Linotype"/>
          <w:sz w:val="22"/>
          <w:szCs w:val="22"/>
        </w:rPr>
        <w:t xml:space="preserve">de esta resolución, se </w:t>
      </w:r>
      <w:r w:rsidRPr="00B67230">
        <w:rPr>
          <w:rFonts w:ascii="Palatino Linotype" w:eastAsia="Palatino Linotype" w:hAnsi="Palatino Linotype" w:cs="Palatino Linotype"/>
          <w:b/>
          <w:bCs/>
          <w:sz w:val="22"/>
          <w:szCs w:val="22"/>
        </w:rPr>
        <w:t xml:space="preserve">MODIFICA </w:t>
      </w:r>
      <w:r w:rsidRPr="00B67230">
        <w:rPr>
          <w:rFonts w:ascii="Palatino Linotype" w:eastAsia="Palatino Linotype" w:hAnsi="Palatino Linotype" w:cs="Palatino Linotype"/>
          <w:sz w:val="22"/>
          <w:szCs w:val="22"/>
        </w:rPr>
        <w:t xml:space="preserve">la respuesta emitida por el </w:t>
      </w:r>
      <w:r w:rsidRPr="00B67230">
        <w:rPr>
          <w:rFonts w:ascii="Palatino Linotype" w:eastAsia="Palatino Linotype" w:hAnsi="Palatino Linotype" w:cs="Palatino Linotype"/>
          <w:b/>
          <w:bCs/>
          <w:sz w:val="22"/>
          <w:szCs w:val="22"/>
        </w:rPr>
        <w:t xml:space="preserve">Sujeto Obligado. </w:t>
      </w:r>
    </w:p>
    <w:p w:rsidR="00FF6F08" w:rsidRPr="00B67230" w:rsidRDefault="00381314">
      <w:pPr>
        <w:spacing w:before="240" w:after="240" w:line="360" w:lineRule="auto"/>
        <w:ind w:right="49"/>
        <w:jc w:val="both"/>
        <w:rPr>
          <w:rFonts w:ascii="Palatino Linotype" w:eastAsia="Palatino Linotype" w:hAnsi="Palatino Linotype" w:cs="Palatino Linotype"/>
          <w:b/>
          <w:bCs/>
          <w:sz w:val="22"/>
          <w:szCs w:val="22"/>
        </w:rPr>
      </w:pPr>
      <w:bookmarkStart w:id="8" w:name="_heading=h.1fob9te" w:colFirst="0" w:colLast="0"/>
      <w:bookmarkEnd w:id="8"/>
      <w:r w:rsidRPr="00B67230">
        <w:rPr>
          <w:rFonts w:ascii="Palatino Linotype" w:eastAsia="Palatino Linotype" w:hAnsi="Palatino Linotype" w:cs="Palatino Linotype"/>
          <w:b/>
          <w:bCs/>
          <w:sz w:val="22"/>
          <w:szCs w:val="22"/>
        </w:rPr>
        <w:t xml:space="preserve">Segundo. </w:t>
      </w:r>
      <w:r w:rsidRPr="00B67230">
        <w:rPr>
          <w:rFonts w:ascii="Palatino Linotype" w:eastAsia="Palatino Linotype" w:hAnsi="Palatino Linotype" w:cs="Palatino Linotype"/>
          <w:sz w:val="22"/>
          <w:szCs w:val="22"/>
        </w:rPr>
        <w:t xml:space="preserve">Se </w:t>
      </w:r>
      <w:r w:rsidRPr="00B67230">
        <w:rPr>
          <w:rFonts w:ascii="Palatino Linotype" w:eastAsia="Palatino Linotype" w:hAnsi="Palatino Linotype" w:cs="Palatino Linotype"/>
          <w:b/>
          <w:bCs/>
          <w:sz w:val="22"/>
          <w:szCs w:val="22"/>
        </w:rPr>
        <w:t xml:space="preserve">Ordena </w:t>
      </w:r>
      <w:r w:rsidRPr="00B67230">
        <w:rPr>
          <w:rFonts w:ascii="Palatino Linotype" w:eastAsia="Palatino Linotype" w:hAnsi="Palatino Linotype" w:cs="Palatino Linotype"/>
          <w:sz w:val="22"/>
          <w:szCs w:val="22"/>
        </w:rPr>
        <w:t xml:space="preserve">al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haga entrega a</w:t>
      </w:r>
      <w:r w:rsidRPr="00B67230">
        <w:rPr>
          <w:rFonts w:ascii="Palatino Linotype" w:eastAsia="Palatino Linotype" w:hAnsi="Palatino Linotype" w:cs="Palatino Linotype"/>
          <w:b/>
          <w:bCs/>
          <w:sz w:val="22"/>
          <w:szCs w:val="22"/>
        </w:rPr>
        <w:t>l Recurrente</w:t>
      </w:r>
      <w:r w:rsidRPr="00B67230">
        <w:rPr>
          <w:rFonts w:ascii="Palatino Linotype" w:eastAsia="Palatino Linotype" w:hAnsi="Palatino Linotype" w:cs="Palatino Linotype"/>
          <w:sz w:val="22"/>
          <w:szCs w:val="22"/>
        </w:rPr>
        <w:t xml:space="preserve"> vía </w:t>
      </w:r>
      <w:r w:rsidRPr="00B67230">
        <w:rPr>
          <w:rFonts w:ascii="Palatino Linotype" w:eastAsia="Palatino Linotype" w:hAnsi="Palatino Linotype" w:cs="Palatino Linotype"/>
          <w:b/>
          <w:bCs/>
          <w:sz w:val="22"/>
          <w:szCs w:val="22"/>
        </w:rPr>
        <w:t>SAIMEX</w:t>
      </w:r>
      <w:r w:rsidRPr="00B67230">
        <w:rPr>
          <w:rFonts w:ascii="Palatino Linotype" w:eastAsia="Palatino Linotype" w:hAnsi="Palatino Linotype" w:cs="Palatino Linotype"/>
          <w:sz w:val="22"/>
          <w:szCs w:val="22"/>
        </w:rPr>
        <w:t xml:space="preserve">, previa búsqueda exhaustiva y razonable, </w:t>
      </w:r>
      <w:r w:rsidRPr="00B67230">
        <w:rPr>
          <w:rFonts w:ascii="Palatino Linotype" w:eastAsia="Palatino Linotype" w:hAnsi="Palatino Linotype" w:cs="Palatino Linotype"/>
          <w:b/>
          <w:bCs/>
          <w:sz w:val="22"/>
          <w:szCs w:val="22"/>
        </w:rPr>
        <w:t>de</w:t>
      </w:r>
      <w:r w:rsidRPr="00B67230">
        <w:rPr>
          <w:rFonts w:ascii="Palatino Linotype" w:eastAsia="Palatino Linotype" w:hAnsi="Palatino Linotype" w:cs="Palatino Linotype"/>
          <w:sz w:val="22"/>
          <w:szCs w:val="22"/>
        </w:rPr>
        <w:t xml:space="preserve"> lo siguiente, de ser procedente en versión pública, del primero de enero al once de junio de dos mil veinticinco:</w:t>
      </w:r>
      <w:r w:rsidRPr="00B67230">
        <w:rPr>
          <w:rFonts w:ascii="Palatino Linotype" w:eastAsia="Palatino Linotype" w:hAnsi="Palatino Linotype" w:cs="Palatino Linotype"/>
          <w:b/>
          <w:bCs/>
          <w:sz w:val="22"/>
          <w:szCs w:val="22"/>
        </w:rPr>
        <w:t xml:space="preserve"> </w:t>
      </w:r>
    </w:p>
    <w:p w:rsidR="00FF6F08" w:rsidRPr="00B67230" w:rsidRDefault="00381314">
      <w:pPr>
        <w:spacing w:before="240" w:after="240" w:line="360" w:lineRule="auto"/>
        <w:ind w:left="851" w:right="616"/>
        <w:jc w:val="both"/>
        <w:rPr>
          <w:rFonts w:ascii="Palatino Linotype" w:eastAsia="Palatino Linotype" w:hAnsi="Palatino Linotype" w:cs="Palatino Linotype"/>
          <w:b/>
          <w:bCs/>
          <w:sz w:val="22"/>
          <w:szCs w:val="22"/>
        </w:rPr>
      </w:pPr>
      <w:bookmarkStart w:id="9" w:name="_heading=h.2et92p0" w:colFirst="0" w:colLast="0"/>
      <w:bookmarkEnd w:id="9"/>
      <w:r w:rsidRPr="00B67230">
        <w:rPr>
          <w:rFonts w:ascii="Palatino Linotype" w:eastAsia="Palatino Linotype" w:hAnsi="Palatino Linotype" w:cs="Palatino Linotype"/>
          <w:sz w:val="22"/>
          <w:szCs w:val="22"/>
        </w:rPr>
        <w:t xml:space="preserve">1. </w:t>
      </w:r>
      <w:r w:rsidRPr="00B67230">
        <w:rPr>
          <w:rFonts w:ascii="Palatino Linotype" w:eastAsia="Palatino Linotype" w:hAnsi="Palatino Linotype" w:cs="Palatino Linotype"/>
          <w:b/>
          <w:bCs/>
          <w:sz w:val="22"/>
          <w:szCs w:val="22"/>
        </w:rPr>
        <w:t xml:space="preserve">Todas las actas o acuerdos del comité de transparencia a través de las cuales se declaró la inexistencia de la información. </w:t>
      </w:r>
    </w:p>
    <w:p w:rsidR="00FF6F08" w:rsidRPr="00B67230" w:rsidRDefault="00381314">
      <w:pPr>
        <w:spacing w:before="240" w:after="240" w:line="360" w:lineRule="auto"/>
        <w:ind w:left="851" w:right="616"/>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2. Los oficios emitidos por los servidores públicos habilitados mediante los cuales se solicita la declaratoria de inexistencia, vinculados con las actas referidas en el punto</w:t>
      </w:r>
      <w:r w:rsidRPr="00B67230">
        <w:rPr>
          <w:rFonts w:ascii="Palatino Linotype" w:eastAsia="Palatino Linotype" w:hAnsi="Palatino Linotype" w:cs="Palatino Linotype"/>
          <w:sz w:val="22"/>
          <w:szCs w:val="22"/>
        </w:rPr>
        <w:t xml:space="preserve"> 1. </w:t>
      </w:r>
    </w:p>
    <w:p w:rsidR="00FF6F08" w:rsidRPr="00B67230" w:rsidRDefault="00381314">
      <w:pPr>
        <w:spacing w:before="240" w:after="240" w:line="276" w:lineRule="auto"/>
        <w:ind w:left="851" w:right="616"/>
        <w:jc w:val="both"/>
        <w:rPr>
          <w:rFonts w:ascii="Palatino Linotype" w:eastAsia="Palatino Linotype" w:hAnsi="Palatino Linotype" w:cs="Palatino Linotype"/>
          <w:i/>
          <w:iCs/>
          <w:sz w:val="22"/>
          <w:szCs w:val="22"/>
        </w:rPr>
      </w:pPr>
      <w:r w:rsidRPr="00B67230">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67230">
        <w:rPr>
          <w:rFonts w:ascii="Palatino Linotype" w:eastAsia="Palatino Linotype" w:hAnsi="Palatino Linotype" w:cs="Palatino Linotype"/>
          <w:b/>
          <w:bCs/>
          <w:i/>
          <w:iCs/>
          <w:sz w:val="22"/>
          <w:szCs w:val="22"/>
        </w:rPr>
        <w:t>Recurrente</w:t>
      </w:r>
      <w:r w:rsidRPr="00B67230">
        <w:rPr>
          <w:rFonts w:ascii="Palatino Linotype" w:eastAsia="Palatino Linotype" w:hAnsi="Palatino Linotype" w:cs="Palatino Linotype"/>
          <w:i/>
          <w:iCs/>
          <w:sz w:val="22"/>
          <w:szCs w:val="22"/>
        </w:rPr>
        <w:t>.</w:t>
      </w:r>
    </w:p>
    <w:p w:rsidR="00FF6F08" w:rsidRPr="00B67230" w:rsidRDefault="00381314">
      <w:pPr>
        <w:spacing w:before="240" w:after="240"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Tercero.</w:t>
      </w:r>
      <w:r w:rsidRPr="00B67230">
        <w:rPr>
          <w:rFonts w:ascii="Palatino Linotype" w:eastAsia="Palatino Linotype" w:hAnsi="Palatino Linotype" w:cs="Palatino Linotype"/>
          <w:sz w:val="22"/>
          <w:szCs w:val="22"/>
        </w:rPr>
        <w:t xml:space="preserve"> </w:t>
      </w:r>
      <w:r w:rsidRPr="00B67230">
        <w:rPr>
          <w:rFonts w:ascii="Palatino Linotype" w:eastAsia="Palatino Linotype" w:hAnsi="Palatino Linotype" w:cs="Palatino Linotype"/>
          <w:b/>
          <w:bCs/>
          <w:sz w:val="22"/>
          <w:szCs w:val="22"/>
        </w:rPr>
        <w:t xml:space="preserve">Notifíquese vía SAIMEX </w:t>
      </w:r>
      <w:r w:rsidRPr="00B67230">
        <w:rPr>
          <w:rFonts w:ascii="Palatino Linotype" w:eastAsia="Palatino Linotype" w:hAnsi="Palatino Linotype" w:cs="Palatino Linotype"/>
          <w:sz w:val="22"/>
          <w:szCs w:val="22"/>
        </w:rPr>
        <w:t>la presente resolución al T</w:t>
      </w:r>
      <w:r w:rsidRPr="00B67230">
        <w:rPr>
          <w:rFonts w:ascii="Palatino Linotype" w:eastAsia="Palatino Linotype" w:hAnsi="Palatino Linotype" w:cs="Palatino Linotype"/>
          <w:b/>
          <w:bCs/>
          <w:sz w:val="22"/>
          <w:szCs w:val="22"/>
        </w:rPr>
        <w:t xml:space="preserve">itular de la Unidad de Transparencia </w:t>
      </w:r>
      <w:r w:rsidRPr="00B67230">
        <w:rPr>
          <w:rFonts w:ascii="Palatino Linotype" w:eastAsia="Palatino Linotype" w:hAnsi="Palatino Linotype" w:cs="Palatino Linotype"/>
          <w:sz w:val="22"/>
          <w:szCs w:val="22"/>
        </w:rPr>
        <w:t xml:space="preserve">del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F6F08" w:rsidRPr="00B67230" w:rsidRDefault="0038131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 xml:space="preserve">Cuarto. Notifíquese vía SAIMEX </w:t>
      </w:r>
      <w:r w:rsidRPr="00B67230">
        <w:rPr>
          <w:rFonts w:ascii="Palatino Linotype" w:eastAsia="Palatino Linotype" w:hAnsi="Palatino Linotype" w:cs="Palatino Linotype"/>
          <w:sz w:val="22"/>
          <w:szCs w:val="22"/>
        </w:rPr>
        <w:t xml:space="preserve">a la parte </w:t>
      </w:r>
      <w:r w:rsidRPr="00B67230">
        <w:rPr>
          <w:rFonts w:ascii="Palatino Linotype" w:eastAsia="Palatino Linotype" w:hAnsi="Palatino Linotype" w:cs="Palatino Linotype"/>
          <w:b/>
          <w:bCs/>
          <w:sz w:val="22"/>
          <w:szCs w:val="22"/>
        </w:rPr>
        <w:t xml:space="preserve">Recurrente </w:t>
      </w:r>
      <w:r w:rsidRPr="00B67230">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FF6F08" w:rsidRPr="00B67230" w:rsidRDefault="00FF6F08">
      <w:pPr>
        <w:spacing w:line="360" w:lineRule="auto"/>
        <w:rPr>
          <w:rFonts w:ascii="Palatino Linotype" w:eastAsia="Palatino Linotype" w:hAnsi="Palatino Linotype" w:cs="Palatino Linotype"/>
          <w:sz w:val="22"/>
          <w:szCs w:val="22"/>
        </w:rPr>
      </w:pPr>
    </w:p>
    <w:p w:rsidR="00FF6F08" w:rsidRPr="00B67230" w:rsidRDefault="0038131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Quinto.</w:t>
      </w:r>
      <w:r w:rsidRPr="00B67230">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B67230">
        <w:rPr>
          <w:rFonts w:ascii="Palatino Linotype" w:eastAsia="Palatino Linotype" w:hAnsi="Palatino Linotype" w:cs="Palatino Linotype"/>
          <w:b/>
          <w:bCs/>
          <w:sz w:val="22"/>
          <w:szCs w:val="22"/>
        </w:rPr>
        <w:t>SUJETO OBLIGADO</w:t>
      </w:r>
      <w:r w:rsidRPr="00B6723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FF6F08" w:rsidRPr="00B67230" w:rsidRDefault="00381314">
      <w:pPr>
        <w:spacing w:before="240" w:after="240" w:line="360" w:lineRule="auto"/>
        <w:jc w:val="both"/>
        <w:rPr>
          <w:rFonts w:ascii="Palatino Linotype" w:eastAsia="Palatino Linotype" w:hAnsi="Palatino Linotype" w:cs="Palatino Linotype"/>
          <w:sz w:val="22"/>
          <w:szCs w:val="22"/>
        </w:rPr>
        <w:sectPr w:rsidR="00FF6F08" w:rsidRPr="00B67230">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pPr>
      <w:r w:rsidRPr="00B67230">
        <w:rPr>
          <w:rFonts w:ascii="Palatino Linotype" w:eastAsia="Palatino Linotype" w:hAnsi="Palatino Linotype" w:cs="Palatino Linotype"/>
          <w:sz w:val="22"/>
          <w:szCs w:val="22"/>
        </w:rPr>
        <w:t xml:space="preserve"> 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bookmarkStart w:id="10" w:name="_heading=h.3rdcrjn" w:colFirst="0" w:colLast="0"/>
      <w:bookmarkEnd w:id="10"/>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bookmarkStart w:id="11" w:name="_heading=h.1t3h5sf" w:colFirst="0" w:colLast="0"/>
      <w:bookmarkEnd w:id="11"/>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spacing w:line="360" w:lineRule="auto"/>
        <w:jc w:val="both"/>
        <w:rPr>
          <w:rFonts w:ascii="Palatino Linotype" w:eastAsia="Palatino Linotype" w:hAnsi="Palatino Linotype" w:cs="Palatino Linotype"/>
          <w:sz w:val="22"/>
          <w:szCs w:val="22"/>
        </w:rPr>
      </w:pPr>
    </w:p>
    <w:p w:rsidR="00FF6F08" w:rsidRPr="00B67230"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B67230"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B67230"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B67230"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5908F8" w:rsidRDefault="00381314">
      <w:pPr>
        <w:pBdr>
          <w:top w:val="nil"/>
          <w:left w:val="nil"/>
          <w:bottom w:val="nil"/>
          <w:right w:val="nil"/>
          <w:between w:val="nil"/>
        </w:pBdr>
        <w:rPr>
          <w:rFonts w:ascii="Palatino Linotype" w:eastAsia="Palatino Linotype" w:hAnsi="Palatino Linotype" w:cs="Palatino Linotype"/>
          <w:sz w:val="22"/>
          <w:szCs w:val="22"/>
        </w:rPr>
      </w:pPr>
      <w:r w:rsidRPr="00B67230">
        <w:rPr>
          <w:rFonts w:ascii="Palatino Linotype" w:eastAsia="Palatino Linotype" w:hAnsi="Palatino Linotype" w:cs="Palatino Linotype"/>
          <w:b/>
          <w:bCs/>
          <w:sz w:val="22"/>
          <w:szCs w:val="22"/>
        </w:rPr>
        <w:t>:</w:t>
      </w:r>
    </w:p>
    <w:p w:rsidR="00FF6F08" w:rsidRPr="005908F8"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5908F8" w:rsidRDefault="00FF6F08">
      <w:pPr>
        <w:pBdr>
          <w:top w:val="nil"/>
          <w:left w:val="nil"/>
          <w:bottom w:val="nil"/>
          <w:right w:val="nil"/>
          <w:between w:val="nil"/>
        </w:pBdr>
        <w:rPr>
          <w:rFonts w:ascii="Palatino Linotype" w:eastAsia="Palatino Linotype" w:hAnsi="Palatino Linotype" w:cs="Palatino Linotype"/>
          <w:sz w:val="22"/>
          <w:szCs w:val="22"/>
        </w:rPr>
      </w:pPr>
    </w:p>
    <w:p w:rsidR="00FF6F08" w:rsidRPr="005908F8" w:rsidRDefault="00FF6F08">
      <w:pPr>
        <w:spacing w:line="360" w:lineRule="auto"/>
        <w:jc w:val="both"/>
        <w:rPr>
          <w:rFonts w:ascii="Palatino Linotype" w:eastAsia="Palatino Linotype" w:hAnsi="Palatino Linotype" w:cs="Palatino Linotype"/>
          <w:sz w:val="22"/>
          <w:szCs w:val="22"/>
        </w:rPr>
      </w:pPr>
    </w:p>
    <w:sectPr w:rsidR="00FF6F08" w:rsidRPr="005908F8">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CE2" w:rsidRDefault="00CF5CE2">
      <w:r>
        <w:separator/>
      </w:r>
    </w:p>
  </w:endnote>
  <w:endnote w:type="continuationSeparator" w:id="0">
    <w:p w:rsidR="00CF5CE2" w:rsidRDefault="00CF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3B2B3B59-C2A4-4FC4-B326-8966818590B5}"/>
    <w:embedBold r:id="rId2" w:fontKey="{3D48D813-06A2-44AE-996D-9F4F83581187}"/>
    <w:embedItalic r:id="rId3" w:fontKey="{979A80D8-C51F-47A1-877B-5710C1ED64DE}"/>
    <w:embedBoldItalic r:id="rId4" w:fontKey="{09332F44-3F82-4483-9B57-CA1C5554986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B3779ED-3999-4DDD-8AE3-4BA6EDA0934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873AEF0-1B60-49D8-8C36-0939E81B6EE0}"/>
    <w:embedBold r:id="rId7" w:fontKey="{CF48D215-BF2D-40B0-A74E-61B681ED5C95}"/>
  </w:font>
  <w:font w:name="Cambria">
    <w:panose1 w:val="02040503050406030204"/>
    <w:charset w:val="00"/>
    <w:family w:val="roman"/>
    <w:pitch w:val="variable"/>
    <w:sig w:usb0="E00006FF" w:usb1="420024FF" w:usb2="02000000" w:usb3="00000000" w:csb0="0000019F" w:csb1="00000000"/>
    <w:embedRegular r:id="rId8" w:fontKey="{D7A2944E-5EA5-4194-A2F9-CF702B8CA003}"/>
    <w:embedBold r:id="rId9" w:fontKey="{FFCA5248-E893-4584-85D9-D6192DE8FD33}"/>
    <w:embedItalic r:id="rId10" w:fontKey="{FA9B16BF-9681-4761-9720-F7EC17BA83E3}"/>
    <w:embedBoldItalic r:id="rId11" w:fontKey="{70530D36-139D-4609-8EF8-22BEDCAC911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935350A4-57BA-493F-AD6C-5CC1582243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49</w:t>
    </w:r>
    <w:r>
      <w:rPr>
        <w:rFonts w:ascii="Palatino Linotype" w:eastAsia="Palatino Linotype" w:hAnsi="Palatino Linotype" w:cs="Palatino Linotype"/>
        <w:b/>
        <w:bCs/>
        <w:color w:val="000000"/>
        <w:sz w:val="20"/>
        <w:szCs w:val="20"/>
      </w:rPr>
      <w:fldChar w:fldCharType="end"/>
    </w:r>
  </w:p>
  <w:p w:rsidR="00FF6F08" w:rsidRDefault="00FF6F0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49</w:t>
    </w:r>
    <w:r>
      <w:rPr>
        <w:rFonts w:ascii="Palatino Linotype" w:eastAsia="Palatino Linotype" w:hAnsi="Palatino Linotype" w:cs="Palatino Linotype"/>
        <w:b/>
        <w:bCs/>
        <w:color w:val="000000"/>
        <w:sz w:val="20"/>
        <w:szCs w:val="20"/>
      </w:rPr>
      <w:fldChar w:fldCharType="end"/>
    </w:r>
  </w:p>
  <w:p w:rsidR="00FF6F08" w:rsidRDefault="00FF6F0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B67230">
      <w:rPr>
        <w:rFonts w:ascii="Palatino Linotype" w:eastAsia="Palatino Linotype" w:hAnsi="Palatino Linotype" w:cs="Palatino Linotype"/>
        <w:b/>
        <w:bCs/>
        <w:noProof/>
        <w:color w:val="000000"/>
        <w:sz w:val="20"/>
        <w:szCs w:val="20"/>
      </w:rPr>
      <w:t>49</w:t>
    </w:r>
    <w:r>
      <w:rPr>
        <w:rFonts w:ascii="Palatino Linotype" w:eastAsia="Palatino Linotype" w:hAnsi="Palatino Linotype" w:cs="Palatino Linotype"/>
        <w:b/>
        <w:bCs/>
        <w:color w:val="000000"/>
        <w:sz w:val="20"/>
        <w:szCs w:val="20"/>
      </w:rPr>
      <w:fldChar w:fldCharType="end"/>
    </w:r>
  </w:p>
  <w:p w:rsidR="00FF6F08" w:rsidRDefault="00FF6F0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724AC6">
      <w:rPr>
        <w:rFonts w:ascii="Palatino Linotype" w:eastAsia="Palatino Linotype" w:hAnsi="Palatino Linotype" w:cs="Palatino Linotype"/>
        <w:b/>
        <w:bCs/>
        <w:noProof/>
        <w:color w:val="000000"/>
        <w:sz w:val="20"/>
        <w:szCs w:val="20"/>
      </w:rPr>
      <w:t>49</w:t>
    </w:r>
    <w:r>
      <w:rPr>
        <w:rFonts w:ascii="Palatino Linotype" w:eastAsia="Palatino Linotype" w:hAnsi="Palatino Linotype" w:cs="Palatino Linotype"/>
        <w:b/>
        <w:bCs/>
        <w:color w:val="000000"/>
        <w:sz w:val="20"/>
        <w:szCs w:val="20"/>
      </w:rPr>
      <w:fldChar w:fldCharType="end"/>
    </w:r>
  </w:p>
  <w:p w:rsidR="00FF6F08" w:rsidRDefault="00FF6F0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CE2" w:rsidRDefault="00CF5CE2">
      <w:r>
        <w:separator/>
      </w:r>
    </w:p>
  </w:footnote>
  <w:footnote w:type="continuationSeparator" w:id="0">
    <w:p w:rsidR="00CF5CE2" w:rsidRDefault="00CF5C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-1080129</wp:posOffset>
          </wp:positionH>
          <wp:positionV relativeFrom="paragraph">
            <wp:posOffset>-396396</wp:posOffset>
          </wp:positionV>
          <wp:extent cx="7809865" cy="10165715"/>
          <wp:effectExtent l="0" t="0" r="0" b="0"/>
          <wp:wrapNone/>
          <wp:docPr id="20111805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FF6F08">
      <w:tc>
        <w:tcPr>
          <w:tcW w:w="2489" w:type="dxa"/>
        </w:tcPr>
        <w:p w:rsidR="00FF6F08" w:rsidRDefault="00381314">
          <w:pPr>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464" w:type="dxa"/>
          <w:vAlign w:val="center"/>
        </w:tcPr>
        <w:p w:rsidR="00FF6F08" w:rsidRDefault="00381314">
          <w:pPr>
            <w:ind w:left="-53" w:right="175"/>
            <w:jc w:val="both"/>
            <w:rPr>
              <w:rFonts w:ascii="Palatino Linotype" w:eastAsia="Palatino Linotype" w:hAnsi="Palatino Linotype" w:cs="Palatino Linotype"/>
              <w:b/>
              <w:bCs/>
            </w:rPr>
          </w:pPr>
          <w:r>
            <w:rPr>
              <w:rFonts w:ascii="Palatino Linotype" w:eastAsia="Palatino Linotype" w:hAnsi="Palatino Linotype" w:cs="Palatino Linotype"/>
              <w:b/>
              <w:bCs/>
            </w:rPr>
            <w:t>08999/INFOEM/IP/RR/2025</w:t>
          </w:r>
        </w:p>
      </w:tc>
    </w:tr>
    <w:tr w:rsidR="00FF6F08">
      <w:trPr>
        <w:trHeight w:val="228"/>
      </w:trPr>
      <w:tc>
        <w:tcPr>
          <w:tcW w:w="2489" w:type="dxa"/>
          <w:vAlign w:val="center"/>
        </w:tcPr>
        <w:p w:rsidR="00FF6F08" w:rsidRDefault="00381314">
          <w:pPr>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464" w:type="dxa"/>
          <w:vAlign w:val="center"/>
        </w:tcPr>
        <w:p w:rsidR="00FF6F08" w:rsidRDefault="00381314">
          <w:pPr>
            <w:ind w:left="-45"/>
            <w:jc w:val="both"/>
            <w:rPr>
              <w:rFonts w:ascii="Palatino Linotype" w:eastAsia="Palatino Linotype" w:hAnsi="Palatino Linotype" w:cs="Palatino Linotype"/>
              <w:b/>
              <w:bCs/>
            </w:rPr>
          </w:pPr>
          <w:r>
            <w:rPr>
              <w:rFonts w:ascii="Palatino Linotype" w:eastAsia="Palatino Linotype" w:hAnsi="Palatino Linotype" w:cs="Palatino Linotype"/>
              <w:b/>
              <w:bCs/>
            </w:rPr>
            <w:t>Ayuntamiento de Toluca</w:t>
          </w:r>
        </w:p>
      </w:tc>
    </w:tr>
    <w:tr w:rsidR="00FF6F08">
      <w:tc>
        <w:tcPr>
          <w:tcW w:w="2489" w:type="dxa"/>
          <w:vAlign w:val="center"/>
        </w:tcPr>
        <w:p w:rsidR="00FF6F08" w:rsidRDefault="00381314">
          <w:pPr>
            <w:ind w:right="-108"/>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464" w:type="dxa"/>
          <w:vAlign w:val="center"/>
        </w:tcPr>
        <w:p w:rsidR="00FF6F08" w:rsidRDefault="00381314">
          <w:pPr>
            <w:ind w:left="-53" w:right="175"/>
            <w:jc w:val="both"/>
            <w:rPr>
              <w:rFonts w:ascii="Palatino Linotype" w:eastAsia="Palatino Linotype" w:hAnsi="Palatino Linotype" w:cs="Palatino Linotype"/>
              <w:b/>
              <w:bCs/>
            </w:rPr>
          </w:pPr>
          <w:r>
            <w:rPr>
              <w:rFonts w:ascii="Palatino Linotype" w:eastAsia="Palatino Linotype" w:hAnsi="Palatino Linotype" w:cs="Palatino Linotype"/>
              <w:b/>
              <w:bCs/>
            </w:rPr>
            <w:t>Guadalupe Ramírez Peña</w:t>
          </w:r>
        </w:p>
      </w:tc>
    </w:tr>
  </w:tbl>
  <w:p w:rsidR="00FF6F08" w:rsidRDefault="003813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FF6F0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953" w:type="dxa"/>
      <w:tblInd w:w="3261" w:type="dxa"/>
      <w:tblLayout w:type="fixed"/>
      <w:tblLook w:val="0400" w:firstRow="0" w:lastRow="0" w:firstColumn="0" w:lastColumn="0" w:noHBand="0" w:noVBand="1"/>
    </w:tblPr>
    <w:tblGrid>
      <w:gridCol w:w="2551"/>
      <w:gridCol w:w="3402"/>
    </w:tblGrid>
    <w:tr w:rsidR="00FF6F08">
      <w:tc>
        <w:tcPr>
          <w:tcW w:w="2551" w:type="dxa"/>
          <w:vAlign w:val="center"/>
        </w:tcPr>
        <w:p w:rsidR="00FF6F08" w:rsidRDefault="00381314">
          <w:pPr>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3402" w:type="dxa"/>
          <w:vAlign w:val="center"/>
        </w:tcPr>
        <w:p w:rsidR="00FF6F08" w:rsidRDefault="00381314">
          <w:pPr>
            <w:tabs>
              <w:tab w:val="left" w:pos="3153"/>
            </w:tabs>
            <w:ind w:left="-45"/>
            <w:jc w:val="both"/>
            <w:rPr>
              <w:rFonts w:ascii="Palatino Linotype" w:eastAsia="Palatino Linotype" w:hAnsi="Palatino Linotype" w:cs="Palatino Linotype"/>
              <w:b/>
              <w:bCs/>
            </w:rPr>
          </w:pPr>
          <w:r>
            <w:rPr>
              <w:rFonts w:ascii="Palatino Linotype" w:eastAsia="Palatino Linotype" w:hAnsi="Palatino Linotype" w:cs="Palatino Linotype"/>
              <w:b/>
              <w:bCs/>
            </w:rPr>
            <w:t>08999/INFOEM/IP/RR/2025</w:t>
          </w:r>
        </w:p>
      </w:tc>
    </w:tr>
    <w:tr w:rsidR="00FF6F08">
      <w:trPr>
        <w:trHeight w:val="130"/>
      </w:trPr>
      <w:tc>
        <w:tcPr>
          <w:tcW w:w="2551" w:type="dxa"/>
          <w:vAlign w:val="center"/>
        </w:tcPr>
        <w:p w:rsidR="00FF6F08" w:rsidRDefault="00FF6F08">
          <w:pPr>
            <w:rPr>
              <w:rFonts w:ascii="Palatino Linotype" w:eastAsia="Palatino Linotype" w:hAnsi="Palatino Linotype" w:cs="Palatino Linotype"/>
              <w:b/>
              <w:bCs/>
            </w:rPr>
          </w:pPr>
        </w:p>
      </w:tc>
      <w:tc>
        <w:tcPr>
          <w:tcW w:w="3402" w:type="dxa"/>
          <w:vAlign w:val="center"/>
        </w:tcPr>
        <w:p w:rsidR="00FF6F08" w:rsidRDefault="00FF6F08">
          <w:pPr>
            <w:ind w:left="-45"/>
            <w:jc w:val="both"/>
            <w:rPr>
              <w:rFonts w:ascii="Palatino Linotype" w:eastAsia="Palatino Linotype" w:hAnsi="Palatino Linotype" w:cs="Palatino Linotype"/>
              <w:b/>
              <w:bCs/>
            </w:rPr>
          </w:pPr>
        </w:p>
      </w:tc>
    </w:tr>
    <w:tr w:rsidR="00FF6F08">
      <w:trPr>
        <w:trHeight w:val="228"/>
      </w:trPr>
      <w:tc>
        <w:tcPr>
          <w:tcW w:w="2551" w:type="dxa"/>
          <w:vAlign w:val="center"/>
        </w:tcPr>
        <w:p w:rsidR="00FF6F08" w:rsidRDefault="00381314">
          <w:pPr>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402" w:type="dxa"/>
          <w:vAlign w:val="center"/>
        </w:tcPr>
        <w:p w:rsidR="00FF6F08" w:rsidRDefault="00381314">
          <w:pPr>
            <w:ind w:left="-45"/>
            <w:jc w:val="both"/>
            <w:rPr>
              <w:rFonts w:ascii="Palatino Linotype" w:eastAsia="Palatino Linotype" w:hAnsi="Palatino Linotype" w:cs="Palatino Linotype"/>
              <w:b/>
              <w:bCs/>
            </w:rPr>
          </w:pPr>
          <w:r>
            <w:rPr>
              <w:rFonts w:ascii="Palatino Linotype" w:eastAsia="Palatino Linotype" w:hAnsi="Palatino Linotype" w:cs="Palatino Linotype"/>
              <w:b/>
              <w:bCs/>
            </w:rPr>
            <w:t>Ayuntamiento de Toluca</w:t>
          </w:r>
        </w:p>
      </w:tc>
    </w:tr>
    <w:tr w:rsidR="00FF6F08">
      <w:tc>
        <w:tcPr>
          <w:tcW w:w="2551" w:type="dxa"/>
          <w:vAlign w:val="center"/>
        </w:tcPr>
        <w:p w:rsidR="00FF6F08" w:rsidRDefault="00381314">
          <w:pPr>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402" w:type="dxa"/>
          <w:vAlign w:val="center"/>
        </w:tcPr>
        <w:p w:rsidR="00FF6F08" w:rsidRDefault="00381314">
          <w:pPr>
            <w:ind w:left="-45" w:right="-533"/>
            <w:jc w:val="both"/>
            <w:rPr>
              <w:rFonts w:ascii="Palatino Linotype" w:eastAsia="Palatino Linotype" w:hAnsi="Palatino Linotype" w:cs="Palatino Linotype"/>
              <w:b/>
              <w:bCs/>
            </w:rPr>
          </w:pPr>
          <w:r>
            <w:rPr>
              <w:rFonts w:ascii="Palatino Linotype" w:eastAsia="Palatino Linotype" w:hAnsi="Palatino Linotype" w:cs="Palatino Linotype"/>
              <w:b/>
              <w:bCs/>
            </w:rPr>
            <w:t>Guadalupe Ramírez Peña</w:t>
          </w:r>
        </w:p>
      </w:tc>
    </w:tr>
  </w:tbl>
  <w:p w:rsidR="00FF6F08" w:rsidRDefault="00381314">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-1175379</wp:posOffset>
          </wp:positionH>
          <wp:positionV relativeFrom="paragraph">
            <wp:posOffset>-1325239</wp:posOffset>
          </wp:positionV>
          <wp:extent cx="7809865" cy="10165715"/>
          <wp:effectExtent l="0" t="0" r="0" b="0"/>
          <wp:wrapNone/>
          <wp:docPr id="20111805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381314">
    <w:pPr>
      <w:rPr>
        <w:rFonts w:ascii="Cambria" w:eastAsia="Cambria" w:hAnsi="Cambria" w:cs="Cambria"/>
        <w:color w:val="000000"/>
      </w:rPr>
    </w:pPr>
    <w:r>
      <w:rPr>
        <w:noProof/>
      </w:rPr>
      <w:drawing>
        <wp:anchor distT="0" distB="0" distL="0" distR="0" simplePos="0" relativeHeight="251660288" behindDoc="1" locked="0" layoutInCell="1" hidden="0" allowOverlap="1">
          <wp:simplePos x="0" y="0"/>
          <wp:positionH relativeFrom="column">
            <wp:posOffset>-1080104</wp:posOffset>
          </wp:positionH>
          <wp:positionV relativeFrom="paragraph">
            <wp:posOffset>-488280</wp:posOffset>
          </wp:positionV>
          <wp:extent cx="7809865" cy="10165715"/>
          <wp:effectExtent l="0" t="0" r="0" b="0"/>
          <wp:wrapNone/>
          <wp:docPr id="20111805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FF6F08">
      <w:tc>
        <w:tcPr>
          <w:tcW w:w="0" w:type="auto"/>
        </w:tcPr>
        <w:p w:rsidR="00FF6F08" w:rsidRDefault="00381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vAlign w:val="center"/>
        </w:tcPr>
        <w:p w:rsidR="00FF6F08" w:rsidRDefault="00381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08999/INFOEM/IP/RR/2025</w:t>
          </w:r>
        </w:p>
      </w:tc>
    </w:tr>
    <w:tr w:rsidR="00FF6F08">
      <w:trPr>
        <w:trHeight w:val="228"/>
      </w:trPr>
      <w:tc>
        <w:tcPr>
          <w:tcW w:w="0" w:type="auto"/>
          <w:vAlign w:val="center"/>
        </w:tcPr>
        <w:p w:rsidR="00FF6F08" w:rsidRDefault="00381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vAlign w:val="center"/>
        </w:tcPr>
        <w:p w:rsidR="00FF6F08" w:rsidRDefault="00381314">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Toluca </w:t>
          </w:r>
        </w:p>
      </w:tc>
    </w:tr>
    <w:tr w:rsidR="00FF6F08">
      <w:tc>
        <w:tcPr>
          <w:tcW w:w="0" w:type="auto"/>
          <w:vAlign w:val="center"/>
        </w:tcPr>
        <w:p w:rsidR="00FF6F08" w:rsidRDefault="00381314">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0" w:type="auto"/>
          <w:vAlign w:val="center"/>
        </w:tcPr>
        <w:p w:rsidR="00FF6F08" w:rsidRDefault="00381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FF6F08" w:rsidRDefault="00FF6F08">
    <w:pPr>
      <w:rPr>
        <w:rFonts w:ascii="Cambria" w:eastAsia="Cambria" w:hAnsi="Cambria" w:cs="Cambria"/>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F08" w:rsidRDefault="00FF6F0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953" w:type="dxa"/>
      <w:tblInd w:w="3261" w:type="dxa"/>
      <w:tblLayout w:type="fixed"/>
      <w:tblLook w:val="0400" w:firstRow="0" w:lastRow="0" w:firstColumn="0" w:lastColumn="0" w:noHBand="0" w:noVBand="1"/>
    </w:tblPr>
    <w:tblGrid>
      <w:gridCol w:w="2489"/>
      <w:gridCol w:w="3464"/>
    </w:tblGrid>
    <w:tr w:rsidR="00FF6F08">
      <w:tc>
        <w:tcPr>
          <w:tcW w:w="2489" w:type="dxa"/>
        </w:tcPr>
        <w:p w:rsidR="00FF6F08" w:rsidRDefault="00381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FF6F08" w:rsidRDefault="00381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08999/INFOEM/IP/RR/2025</w:t>
          </w:r>
        </w:p>
      </w:tc>
    </w:tr>
    <w:tr w:rsidR="00FF6F08">
      <w:tc>
        <w:tcPr>
          <w:tcW w:w="2489" w:type="dxa"/>
        </w:tcPr>
        <w:p w:rsidR="00FF6F08" w:rsidRDefault="00381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rsidR="00FF6F08" w:rsidRDefault="00381314">
          <w:pPr>
            <w:ind w:right="175"/>
            <w:jc w:val="both"/>
            <w:rPr>
              <w:rFonts w:ascii="Palatino Linotype" w:eastAsia="Palatino Linotype" w:hAnsi="Palatino Linotype" w:cs="Palatino Linotype"/>
              <w:b/>
              <w:bCs/>
              <w:sz w:val="22"/>
              <w:szCs w:val="22"/>
            </w:rPr>
          </w:pPr>
          <w:r>
            <w:rPr>
              <w:noProof/>
            </w:rPr>
            <w:drawing>
              <wp:anchor distT="0" distB="0" distL="0" distR="0" simplePos="0" relativeHeight="251661312" behindDoc="1" locked="0" layoutInCell="1" hidden="0" allowOverlap="1">
                <wp:simplePos x="0" y="0"/>
                <wp:positionH relativeFrom="column">
                  <wp:posOffset>-4800598</wp:posOffset>
                </wp:positionH>
                <wp:positionV relativeFrom="paragraph">
                  <wp:posOffset>-683258</wp:posOffset>
                </wp:positionV>
                <wp:extent cx="7809865" cy="10165715"/>
                <wp:effectExtent l="0" t="0" r="0" b="0"/>
                <wp:wrapNone/>
                <wp:docPr id="20111805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FF6F08">
      <w:trPr>
        <w:trHeight w:val="228"/>
      </w:trPr>
      <w:tc>
        <w:tcPr>
          <w:tcW w:w="2489" w:type="dxa"/>
          <w:vAlign w:val="center"/>
        </w:tcPr>
        <w:p w:rsidR="00FF6F08" w:rsidRDefault="00381314">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FF6F08" w:rsidRDefault="00381314">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FF6F08">
      <w:tc>
        <w:tcPr>
          <w:tcW w:w="2489" w:type="dxa"/>
          <w:vAlign w:val="center"/>
        </w:tcPr>
        <w:p w:rsidR="00FF6F08" w:rsidRDefault="00381314">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FF6F08" w:rsidRDefault="00381314">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FF6F08" w:rsidRDefault="00FF6F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22B6"/>
    <w:multiLevelType w:val="multilevel"/>
    <w:tmpl w:val="B6F0C2D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6420E6"/>
    <w:multiLevelType w:val="multilevel"/>
    <w:tmpl w:val="B1E402C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753A7555"/>
    <w:multiLevelType w:val="multilevel"/>
    <w:tmpl w:val="0294667C"/>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F08"/>
    <w:rsid w:val="00381314"/>
    <w:rsid w:val="005908F8"/>
    <w:rsid w:val="006331EF"/>
    <w:rsid w:val="00724AC6"/>
    <w:rsid w:val="00B67230"/>
    <w:rsid w:val="00CF5CE2"/>
    <w:rsid w:val="00FF6F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279C0-ADCB-4785-9D19-DED30D4F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paragraph" w:styleId="Sinespaciado">
    <w:name w:val="No Spacing"/>
    <w:aliases w:val="Francesa"/>
    <w:link w:val="SinespaciadoCar"/>
    <w:uiPriority w:val="1"/>
    <w:qFormat/>
    <w:rsid w:val="00CB152B"/>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CB152B"/>
    <w:rPr>
      <w:rFonts w:asciiTheme="minorHAnsi" w:eastAsiaTheme="minorHAnsi" w:hAnsiTheme="minorHAnsi" w:cstheme="minorBidi"/>
      <w:sz w:val="22"/>
      <w:szCs w:val="22"/>
      <w:lang w:eastAsia="en-US"/>
    </w:rPr>
  </w:style>
  <w:style w:type="paragraph" w:customStyle="1" w:styleId="Citas">
    <w:name w:val="Citas"/>
    <w:basedOn w:val="Normal"/>
    <w:qFormat/>
    <w:rsid w:val="006A4CB6"/>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D0207F"/>
    <w:rPr>
      <w:color w:val="605E5C"/>
      <w:shd w:val="clear" w:color="auto" w:fill="E1DFDD"/>
    </w:r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89786D"/>
    <w:rPr>
      <w:b/>
      <w:b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70" w:type="dxa"/>
        <w:bottom w:w="0" w:type="dxa"/>
        <w:right w:w="70" w:type="dxa"/>
      </w:tblCellMar>
    </w:tblPr>
  </w:style>
  <w:style w:type="table" w:customStyle="1" w:styleId="aa">
    <w:basedOn w:val="TableNormal0"/>
    <w:tblPr>
      <w:tblStyleRowBandSize w:val="1"/>
      <w:tblStyleColBandSize w:val="1"/>
      <w:tblCellMar>
        <w:top w:w="0" w:type="dxa"/>
        <w:left w:w="70" w:type="dxa"/>
        <w:bottom w:w="0" w:type="dxa"/>
        <w:right w:w="70"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eHY63IbI9W7DE5rwoiaD7GxyiQ==">CgMxLjAyDmguNjJhcnc2c241bTZwMgloLjNkeTZ2a20yDmguaWxjM2RuOXRuemYwMgloLjMwajB6bGwyCWguMnM4ZXlvMTIIaC50eWpjd3QyCWguM3pueXNoNzIJaC4xZm9iOXRlMgloLjJldDkycDAyCWguM3JkY3JqbjIJaC4xdDNoNXNmOAByITFMeVhQR2pldlZZWlVpWFRmY3NHQ182b3VlbzdjNzN2Zg==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9231</Words>
  <Characters>50771</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2026-03-20T18:16:00Z</cp:lastPrinted>
  <dcterms:created xsi:type="dcterms:W3CDTF">2026-04-08T19:35:00Z</dcterms:created>
  <dcterms:modified xsi:type="dcterms:W3CDTF">2026-04-08T19:35:00Z</dcterms:modified>
</cp:coreProperties>
</file>