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A80" w:rsidRPr="00734317" w:rsidRDefault="0016512A">
      <w:pPr>
        <w:tabs>
          <w:tab w:val="left" w:pos="3465"/>
        </w:tabs>
        <w:spacing w:line="360" w:lineRule="auto"/>
        <w:jc w:val="both"/>
        <w:rPr>
          <w:rFonts w:ascii="Palatino Linotype" w:eastAsia="Palatino Linotype" w:hAnsi="Palatino Linotype" w:cs="Palatino Linotype"/>
        </w:rPr>
      </w:pPr>
      <w:bookmarkStart w:id="0" w:name="_GoBack"/>
      <w:bookmarkEnd w:id="0"/>
      <w:r w:rsidRPr="0073431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734317">
        <w:rPr>
          <w:rFonts w:ascii="Palatino Linotype" w:eastAsia="Palatino Linotype" w:hAnsi="Palatino Linotype" w:cs="Palatino Linotype"/>
          <w:b/>
        </w:rPr>
        <w:t xml:space="preserve">de fecha veintiuno </w:t>
      </w:r>
      <w:r w:rsidR="00734317" w:rsidRPr="00734317">
        <w:rPr>
          <w:rFonts w:ascii="Palatino Linotype" w:eastAsia="Palatino Linotype" w:hAnsi="Palatino Linotype" w:cs="Palatino Linotype"/>
          <w:b/>
        </w:rPr>
        <w:t xml:space="preserve">(21) </w:t>
      </w:r>
      <w:r w:rsidRPr="00734317">
        <w:rPr>
          <w:rFonts w:ascii="Palatino Linotype" w:eastAsia="Palatino Linotype" w:hAnsi="Palatino Linotype" w:cs="Palatino Linotype"/>
          <w:b/>
        </w:rPr>
        <w:t>de enero de dos mil veintiséis</w:t>
      </w:r>
      <w:r w:rsidRPr="00734317">
        <w:rPr>
          <w:rFonts w:ascii="Palatino Linotype" w:eastAsia="Palatino Linotype" w:hAnsi="Palatino Linotype" w:cs="Palatino Linotype"/>
        </w:rPr>
        <w:t>.</w:t>
      </w:r>
    </w:p>
    <w:p w:rsidR="00D84A80" w:rsidRPr="00734317" w:rsidRDefault="00D84A80">
      <w:pPr>
        <w:tabs>
          <w:tab w:val="left" w:pos="3465"/>
        </w:tabs>
        <w:spacing w:line="360" w:lineRule="auto"/>
        <w:jc w:val="both"/>
        <w:rPr>
          <w:rFonts w:ascii="Palatino Linotype" w:eastAsia="Palatino Linotype" w:hAnsi="Palatino Linotype" w:cs="Palatino Linotype"/>
        </w:rPr>
      </w:pPr>
    </w:p>
    <w:p w:rsidR="00D84A80" w:rsidRPr="00734317" w:rsidRDefault="0016512A">
      <w:pPr>
        <w:spacing w:line="360" w:lineRule="auto"/>
        <w:jc w:val="both"/>
        <w:rPr>
          <w:rFonts w:ascii="Palatino Linotype" w:eastAsia="Palatino Linotype" w:hAnsi="Palatino Linotype" w:cs="Palatino Linotype"/>
        </w:rPr>
      </w:pPr>
      <w:r w:rsidRPr="00734317">
        <w:rPr>
          <w:rFonts w:ascii="Palatino Linotype" w:eastAsia="Palatino Linotype" w:hAnsi="Palatino Linotype" w:cs="Palatino Linotype"/>
          <w:b/>
          <w:bCs/>
        </w:rPr>
        <w:t>VISTO</w:t>
      </w:r>
      <w:r w:rsidRPr="00734317">
        <w:rPr>
          <w:rFonts w:ascii="Palatino Linotype" w:eastAsia="Palatino Linotype" w:hAnsi="Palatino Linotype" w:cs="Palatino Linotype"/>
        </w:rPr>
        <w:t xml:space="preserve"> el expediente electrónico formado con motivo del Recurso de Revisión </w:t>
      </w:r>
      <w:r w:rsidRPr="00734317">
        <w:rPr>
          <w:rFonts w:ascii="Palatino Linotype" w:eastAsia="Palatino Linotype" w:hAnsi="Palatino Linotype" w:cs="Palatino Linotype"/>
          <w:b/>
          <w:bCs/>
        </w:rPr>
        <w:t xml:space="preserve">05563/INFOEM/IP/RR/2025, </w:t>
      </w:r>
      <w:r w:rsidRPr="00734317">
        <w:rPr>
          <w:rFonts w:ascii="Palatino Linotype" w:eastAsia="Palatino Linotype" w:hAnsi="Palatino Linotype" w:cs="Palatino Linotype"/>
        </w:rPr>
        <w:t>promovido por</w:t>
      </w:r>
      <w:r w:rsidRPr="00734317">
        <w:rPr>
          <w:rFonts w:ascii="Palatino Linotype" w:eastAsia="Palatino Linotype" w:hAnsi="Palatino Linotype" w:cs="Palatino Linotype"/>
          <w:b/>
          <w:bCs/>
        </w:rPr>
        <w:t xml:space="preserve"> </w:t>
      </w:r>
      <w:r w:rsidRPr="00734317">
        <w:rPr>
          <w:rFonts w:ascii="Palatino Linotype" w:eastAsia="Palatino Linotype" w:hAnsi="Palatino Linotype" w:cs="Palatino Linotype"/>
        </w:rPr>
        <w:t xml:space="preserve">una persona que no proporcionó datos de identificación, a quien en lo sucesivo se le identificará como </w:t>
      </w:r>
      <w:r w:rsidRPr="00734317">
        <w:rPr>
          <w:rFonts w:ascii="Palatino Linotype" w:eastAsia="Palatino Linotype" w:hAnsi="Palatino Linotype" w:cs="Palatino Linotype"/>
          <w:b/>
          <w:bCs/>
        </w:rPr>
        <w:t>EL RECURRENTE</w:t>
      </w:r>
      <w:r w:rsidRPr="00734317">
        <w:rPr>
          <w:rFonts w:ascii="Palatino Linotype" w:eastAsia="Palatino Linotype" w:hAnsi="Palatino Linotype" w:cs="Palatino Linotype"/>
        </w:rPr>
        <w:t xml:space="preserve">, en contra de la respuesta del </w:t>
      </w:r>
      <w:r w:rsidRPr="00734317">
        <w:rPr>
          <w:rFonts w:ascii="Palatino Linotype" w:eastAsia="Palatino Linotype" w:hAnsi="Palatino Linotype" w:cs="Palatino Linotype"/>
          <w:b/>
          <w:bCs/>
        </w:rPr>
        <w:t xml:space="preserve">Ayuntamiento de Toluca, </w:t>
      </w:r>
      <w:r w:rsidRPr="00734317">
        <w:rPr>
          <w:rFonts w:ascii="Palatino Linotype" w:eastAsia="Palatino Linotype" w:hAnsi="Palatino Linotype" w:cs="Palatino Linotype"/>
        </w:rPr>
        <w:t>en adelante el</w:t>
      </w:r>
      <w:r w:rsidRPr="00734317">
        <w:rPr>
          <w:rFonts w:ascii="Palatino Linotype" w:eastAsia="Palatino Linotype" w:hAnsi="Palatino Linotype" w:cs="Palatino Linotype"/>
          <w:b/>
          <w:bCs/>
        </w:rPr>
        <w:t xml:space="preserve"> SUJETO OBLIGADO</w:t>
      </w:r>
      <w:r w:rsidRPr="00734317">
        <w:rPr>
          <w:rFonts w:ascii="Palatino Linotype" w:eastAsia="Palatino Linotype" w:hAnsi="Palatino Linotype" w:cs="Palatino Linotype"/>
        </w:rPr>
        <w:t>, se procede a dictar la presente Resolución, con base en los siguientes:</w:t>
      </w:r>
    </w:p>
    <w:p w:rsidR="00D84A80" w:rsidRPr="00734317" w:rsidRDefault="00D84A80">
      <w:pPr>
        <w:spacing w:line="360" w:lineRule="auto"/>
        <w:jc w:val="both"/>
        <w:rPr>
          <w:rFonts w:ascii="Palatino Linotype" w:eastAsia="Palatino Linotype" w:hAnsi="Palatino Linotype" w:cs="Palatino Linotype"/>
          <w:b/>
          <w:bCs/>
        </w:rPr>
      </w:pPr>
    </w:p>
    <w:p w:rsidR="00D84A80" w:rsidRPr="00734317" w:rsidRDefault="0016512A">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gjdgxs" w:colFirst="0" w:colLast="0"/>
      <w:bookmarkEnd w:id="1"/>
      <w:r w:rsidRPr="00734317">
        <w:rPr>
          <w:rFonts w:ascii="Palatino Linotype" w:eastAsia="Palatino Linotype" w:hAnsi="Palatino Linotype" w:cs="Palatino Linotype"/>
          <w:b/>
          <w:bCs/>
          <w:color w:val="000000"/>
          <w:sz w:val="24"/>
          <w:szCs w:val="24"/>
        </w:rPr>
        <w:t>A N T E C E D E N T E S</w:t>
      </w:r>
    </w:p>
    <w:p w:rsidR="00D84A80" w:rsidRPr="00734317" w:rsidRDefault="00D84A80">
      <w:pPr>
        <w:spacing w:line="360" w:lineRule="auto"/>
        <w:rPr>
          <w:rFonts w:ascii="Palatino Linotype" w:eastAsia="Palatino Linotype" w:hAnsi="Palatino Linotype" w:cs="Palatino Linotype"/>
        </w:rPr>
      </w:pP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El día</w:t>
      </w:r>
      <w:r w:rsidRPr="00734317">
        <w:rPr>
          <w:rFonts w:ascii="Palatino Linotype" w:eastAsia="Palatino Linotype" w:hAnsi="Palatino Linotype" w:cs="Palatino Linotype"/>
          <w:b/>
          <w:bCs/>
          <w:color w:val="000000"/>
        </w:rPr>
        <w:t xml:space="preserve"> veinticinco de marzo dos mil veinticinco, </w:t>
      </w:r>
      <w:r w:rsidRPr="00734317">
        <w:rPr>
          <w:rFonts w:ascii="Palatino Linotype" w:eastAsia="Palatino Linotype" w:hAnsi="Palatino Linotype" w:cs="Palatino Linotype"/>
          <w:color w:val="000000"/>
        </w:rPr>
        <w:t xml:space="preserve">se presentó ante el </w:t>
      </w:r>
      <w:r w:rsidRPr="00734317">
        <w:rPr>
          <w:rFonts w:ascii="Palatino Linotype" w:eastAsia="Palatino Linotype" w:hAnsi="Palatino Linotype" w:cs="Palatino Linotype"/>
          <w:b/>
          <w:bCs/>
          <w:color w:val="000000"/>
        </w:rPr>
        <w:t>SUJETO OBLIGADO</w:t>
      </w:r>
      <w:r w:rsidRPr="00734317">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sidRPr="00734317">
        <w:rPr>
          <w:rFonts w:ascii="Palatino Linotype" w:eastAsia="Palatino Linotype" w:hAnsi="Palatino Linotype" w:cs="Palatino Linotype"/>
          <w:b/>
          <w:bCs/>
          <w:color w:val="000000"/>
        </w:rPr>
        <w:t xml:space="preserve">  01806/TOLUCA/IP/2025; </w:t>
      </w:r>
      <w:r w:rsidRPr="00734317">
        <w:rPr>
          <w:rFonts w:ascii="Palatino Linotype" w:eastAsia="Palatino Linotype" w:hAnsi="Palatino Linotype" w:cs="Palatino Linotype"/>
        </w:rPr>
        <w:t xml:space="preserve">en la que </w:t>
      </w:r>
      <w:r w:rsidRPr="00734317">
        <w:rPr>
          <w:rFonts w:ascii="Palatino Linotype" w:eastAsia="Palatino Linotype" w:hAnsi="Palatino Linotype" w:cs="Palatino Linotype"/>
          <w:color w:val="000000"/>
        </w:rPr>
        <w:t>se solicitó la siguiente información:</w:t>
      </w:r>
    </w:p>
    <w:p w:rsidR="00D84A80" w:rsidRPr="00734317" w:rsidRDefault="00D84A80">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D84A80" w:rsidRPr="00734317" w:rsidRDefault="0016512A">
      <w:pPr>
        <w:pBdr>
          <w:top w:val="nil"/>
          <w:left w:val="nil"/>
          <w:bottom w:val="nil"/>
          <w:right w:val="nil"/>
          <w:between w:val="nil"/>
        </w:pBdr>
        <w:spacing w:line="360" w:lineRule="auto"/>
        <w:ind w:left="426" w:right="476"/>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i/>
          <w:iCs/>
          <w:color w:val="000000"/>
        </w:rPr>
        <w:t>“En diversas ocasiones se ha hablado que el gran número de despidos en el H. ayuntamiento de Toluca responde razón por la cual se solicita, la justificación de su implementación el numero de renuncia las bajas de todo el personal del 1 de enero a la fehca con el motivo del despido, renunica y si demendaron la demanda con el numero de expediente cuantos fueron despedidos por el Despacho externo de Alma Merino conosido como FONTOVA O CORAL NEGRO Y LO S CONTRATOS CON ESOS DESPACHOS VIGENTES Y LOS DE LOS AÑOS 2022 A LA FECHA CON LAS FACTURAS PAGADAS”</w:t>
      </w:r>
    </w:p>
    <w:p w:rsidR="00D84A80" w:rsidRPr="00734317" w:rsidRDefault="0016512A">
      <w:pPr>
        <w:numPr>
          <w:ilvl w:val="0"/>
          <w:numId w:val="5"/>
        </w:numPr>
        <w:pBdr>
          <w:top w:val="nil"/>
          <w:left w:val="nil"/>
          <w:bottom w:val="nil"/>
          <w:right w:val="nil"/>
          <w:between w:val="nil"/>
        </w:pBdr>
        <w:spacing w:line="360" w:lineRule="auto"/>
        <w:ind w:left="851" w:right="34"/>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color w:val="000000"/>
        </w:rPr>
        <w:lastRenderedPageBreak/>
        <w:t xml:space="preserve">Se eligió como modalidad de entrega: </w:t>
      </w:r>
      <w:r w:rsidRPr="00734317">
        <w:rPr>
          <w:rFonts w:ascii="Palatino Linotype" w:eastAsia="Palatino Linotype" w:hAnsi="Palatino Linotype" w:cs="Palatino Linotype"/>
          <w:b/>
          <w:bCs/>
          <w:color w:val="000000"/>
        </w:rPr>
        <w:t>SAIMEX</w:t>
      </w:r>
    </w:p>
    <w:p w:rsidR="00D84A80" w:rsidRPr="00734317" w:rsidRDefault="00D84A80">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rsidR="00D84A80" w:rsidRPr="00734317" w:rsidRDefault="0016512A">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El </w:t>
      </w:r>
      <w:r w:rsidRPr="00734317">
        <w:rPr>
          <w:rFonts w:ascii="Palatino Linotype" w:eastAsia="Palatino Linotype" w:hAnsi="Palatino Linotype" w:cs="Palatino Linotype"/>
          <w:b/>
          <w:bCs/>
          <w:color w:val="000000"/>
        </w:rPr>
        <w:t>veintidós de abril de dos mil veinticinco</w:t>
      </w:r>
      <w:r w:rsidRPr="00734317">
        <w:rPr>
          <w:rFonts w:ascii="Palatino Linotype" w:eastAsia="Palatino Linotype" w:hAnsi="Palatino Linotype" w:cs="Palatino Linotype"/>
          <w:color w:val="000000"/>
        </w:rPr>
        <w:t xml:space="preserve">, el </w:t>
      </w:r>
      <w:r w:rsidRPr="00734317">
        <w:rPr>
          <w:rFonts w:ascii="Palatino Linotype" w:eastAsia="Palatino Linotype" w:hAnsi="Palatino Linotype" w:cs="Palatino Linotype"/>
          <w:b/>
          <w:bCs/>
          <w:color w:val="000000"/>
        </w:rPr>
        <w:t>SUJETO OBLIGADO</w:t>
      </w:r>
      <w:r w:rsidRPr="00734317">
        <w:rPr>
          <w:rFonts w:ascii="Palatino Linotype" w:eastAsia="Palatino Linotype" w:hAnsi="Palatino Linotype" w:cs="Palatino Linotype"/>
          <w:color w:val="000000"/>
        </w:rPr>
        <w:t xml:space="preserve"> dio respuesta a través de los siguientes archivos electrónicos:</w:t>
      </w:r>
    </w:p>
    <w:p w:rsidR="00D84A80" w:rsidRPr="00734317" w:rsidRDefault="0016512A">
      <w:pPr>
        <w:numPr>
          <w:ilvl w:val="0"/>
          <w:numId w:val="2"/>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b/>
          <w:bCs/>
          <w:color w:val="000000"/>
        </w:rPr>
        <w:t>1806.pdf</w:t>
      </w:r>
      <w:r w:rsidRPr="00734317">
        <w:rPr>
          <w:rFonts w:ascii="Palatino Linotype" w:eastAsia="Palatino Linotype" w:hAnsi="Palatino Linotype" w:cs="Palatino Linotype"/>
          <w:color w:val="000000"/>
        </w:rPr>
        <w:t>, que corresponde a un oficio signado por el Tesorero Municipal a través del cual informa que no se cuenta con registro financiero, documental, contable o presupuestal que ampare lo solicitado de "Alma Merino", "Fontanova" o "Coral Negro", relacionado con los proveedores.</w:t>
      </w:r>
    </w:p>
    <w:p w:rsidR="00D84A80" w:rsidRPr="00734317" w:rsidRDefault="0016512A">
      <w:pPr>
        <w:numPr>
          <w:ilvl w:val="0"/>
          <w:numId w:val="2"/>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b/>
          <w:bCs/>
          <w:color w:val="000000"/>
        </w:rPr>
        <w:t>Sol-1806.pdf</w:t>
      </w:r>
      <w:r w:rsidRPr="00734317">
        <w:rPr>
          <w:rFonts w:ascii="Palatino Linotype" w:eastAsia="Palatino Linotype" w:hAnsi="Palatino Linotype" w:cs="Palatino Linotype"/>
          <w:color w:val="000000"/>
        </w:rPr>
        <w:t xml:space="preserve">, que corresponde a un oficio signado por la Coordinadora Juridica, mediante el cual refiere que se anexa a dicho oficio, el escrito emitido por la Directora General MFONTANOVA ASOC S.C. </w:t>
      </w:r>
    </w:p>
    <w:p w:rsidR="00D84A80" w:rsidRPr="00734317" w:rsidRDefault="0016512A">
      <w:pPr>
        <w:pBdr>
          <w:top w:val="nil"/>
          <w:left w:val="nil"/>
          <w:bottom w:val="nil"/>
          <w:right w:val="nil"/>
          <w:between w:val="nil"/>
        </w:pBdr>
        <w:tabs>
          <w:tab w:val="left" w:pos="0"/>
        </w:tabs>
        <w:spacing w:line="360" w:lineRule="auto"/>
        <w:ind w:left="720"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Del escrito anexo, se desprende que la Directora de la persona moral de referencia, informa:</w:t>
      </w:r>
    </w:p>
    <w:p w:rsidR="00D84A80" w:rsidRPr="00734317" w:rsidRDefault="0016512A">
      <w:pPr>
        <w:numPr>
          <w:ilvl w:val="0"/>
          <w:numId w:val="2"/>
        </w:numPr>
        <w:pBdr>
          <w:top w:val="nil"/>
          <w:left w:val="nil"/>
          <w:bottom w:val="nil"/>
          <w:right w:val="nil"/>
          <w:between w:val="nil"/>
        </w:pBdr>
        <w:tabs>
          <w:tab w:val="left" w:pos="0"/>
        </w:tabs>
        <w:spacing w:line="360" w:lineRule="auto"/>
        <w:ind w:left="1080"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Que del 1 de enero de 2025 al 27 de marzo de 2025, 64 servidores públicos han terminado la relación laboral por mutuo consentimiento;</w:t>
      </w:r>
    </w:p>
    <w:p w:rsidR="00D84A80" w:rsidRPr="00734317" w:rsidRDefault="0016512A">
      <w:pPr>
        <w:numPr>
          <w:ilvl w:val="0"/>
          <w:numId w:val="2"/>
        </w:numPr>
        <w:pBdr>
          <w:top w:val="nil"/>
          <w:left w:val="nil"/>
          <w:bottom w:val="nil"/>
          <w:right w:val="nil"/>
          <w:between w:val="nil"/>
        </w:pBdr>
        <w:tabs>
          <w:tab w:val="left" w:pos="0"/>
        </w:tabs>
        <w:spacing w:line="360" w:lineRule="auto"/>
        <w:ind w:left="1080"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Que 237 servidores públicos se encuentran en procedimiento de medios alternativos de solución de conflictos.</w:t>
      </w:r>
    </w:p>
    <w:p w:rsidR="00D84A80" w:rsidRPr="00734317" w:rsidRDefault="0016512A">
      <w:pPr>
        <w:numPr>
          <w:ilvl w:val="0"/>
          <w:numId w:val="2"/>
        </w:numPr>
        <w:pBdr>
          <w:top w:val="nil"/>
          <w:left w:val="nil"/>
          <w:bottom w:val="nil"/>
          <w:right w:val="nil"/>
          <w:between w:val="nil"/>
        </w:pBdr>
        <w:tabs>
          <w:tab w:val="left" w:pos="0"/>
        </w:tabs>
        <w:spacing w:line="360" w:lineRule="auto"/>
        <w:ind w:left="1080"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Que a la fecha no ha sido notificada por parte del Tribunal Estatal de Conciliación y Arbitraje demanda alguna derivada de la terminación y/o </w:t>
      </w:r>
      <w:r w:rsidRPr="00734317">
        <w:rPr>
          <w:rFonts w:ascii="Palatino Linotype" w:eastAsia="Palatino Linotype" w:hAnsi="Palatino Linotype" w:cs="Palatino Linotype"/>
        </w:rPr>
        <w:t>rescisión</w:t>
      </w:r>
      <w:r w:rsidRPr="00734317">
        <w:rPr>
          <w:rFonts w:ascii="Palatino Linotype" w:eastAsia="Palatino Linotype" w:hAnsi="Palatino Linotype" w:cs="Palatino Linotype"/>
          <w:color w:val="000000"/>
        </w:rPr>
        <w:t xml:space="preserve"> de la relación laboral.</w:t>
      </w:r>
    </w:p>
    <w:p w:rsidR="00D84A80" w:rsidRPr="00734317" w:rsidRDefault="0016512A">
      <w:pPr>
        <w:numPr>
          <w:ilvl w:val="0"/>
          <w:numId w:val="2"/>
        </w:numPr>
        <w:pBdr>
          <w:top w:val="nil"/>
          <w:left w:val="nil"/>
          <w:bottom w:val="nil"/>
          <w:right w:val="nil"/>
          <w:between w:val="nil"/>
        </w:pBdr>
        <w:tabs>
          <w:tab w:val="left" w:pos="0"/>
        </w:tabs>
        <w:spacing w:line="360" w:lineRule="auto"/>
        <w:ind w:left="1080"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Que los contratos y facturas solicitadas, se encuentran en resguardo del H. Ayuntamiento de Toluca.</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2"/>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b/>
          <w:bCs/>
          <w:color w:val="000000"/>
        </w:rPr>
        <w:lastRenderedPageBreak/>
        <w:t>R. 01806. 2025.pdf</w:t>
      </w:r>
      <w:r w:rsidRPr="00734317">
        <w:rPr>
          <w:rFonts w:ascii="Palatino Linotype" w:eastAsia="Palatino Linotype" w:hAnsi="Palatino Linotype" w:cs="Palatino Linotype"/>
          <w:color w:val="000000"/>
        </w:rPr>
        <w:t>, oficio suscrito por el Titular de la Unidad de Transparencia, mediante el cual informa al particular la respuesta emitida.</w:t>
      </w:r>
    </w:p>
    <w:p w:rsidR="00D84A80" w:rsidRPr="00734317" w:rsidRDefault="00D84A8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D84A80" w:rsidRPr="00734317" w:rsidRDefault="0016512A">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Inconforme con la respuesta el </w:t>
      </w:r>
      <w:r w:rsidRPr="00734317">
        <w:rPr>
          <w:rFonts w:ascii="Palatino Linotype" w:eastAsia="Palatino Linotype" w:hAnsi="Palatino Linotype" w:cs="Palatino Linotype"/>
          <w:b/>
          <w:bCs/>
          <w:color w:val="000000"/>
        </w:rPr>
        <w:t>quince de mayo del año en curso</w:t>
      </w:r>
      <w:r w:rsidRPr="00734317">
        <w:rPr>
          <w:rFonts w:ascii="Palatino Linotype" w:eastAsia="Palatino Linotype" w:hAnsi="Palatino Linotype" w:cs="Palatino Linotype"/>
          <w:color w:val="000000"/>
        </w:rPr>
        <w:t>, interpuso el recurso de revisión en contra de la respuesta, manifestando las siguientes razones o motivos de inconformidad:</w:t>
      </w:r>
    </w:p>
    <w:p w:rsidR="00D84A80" w:rsidRPr="00734317" w:rsidRDefault="00D84A8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D84A80" w:rsidRPr="00734317" w:rsidRDefault="00734317">
      <w:pPr>
        <w:numPr>
          <w:ilvl w:val="0"/>
          <w:numId w:val="5"/>
        </w:numPr>
        <w:pBdr>
          <w:top w:val="nil"/>
          <w:left w:val="nil"/>
          <w:bottom w:val="nil"/>
          <w:right w:val="nil"/>
          <w:between w:val="nil"/>
        </w:pBdr>
        <w:spacing w:line="360" w:lineRule="auto"/>
        <w:ind w:left="720" w:right="426"/>
        <w:jc w:val="both"/>
        <w:rPr>
          <w:rFonts w:ascii="Palatino Linotype" w:eastAsia="Palatino Linotype" w:hAnsi="Palatino Linotype" w:cs="Palatino Linotype"/>
          <w:i/>
          <w:iCs/>
          <w:color w:val="000000"/>
        </w:rPr>
      </w:pPr>
      <w:bookmarkStart w:id="2" w:name="_heading=h.30j0zll" w:colFirst="0" w:colLast="0"/>
      <w:bookmarkEnd w:id="2"/>
      <w:r w:rsidRPr="00734317">
        <w:rPr>
          <w:rFonts w:ascii="Palatino Linotype" w:eastAsia="Palatino Linotype" w:hAnsi="Palatino Linotype" w:cs="Palatino Linotype"/>
          <w:b/>
          <w:bCs/>
          <w:color w:val="000000"/>
        </w:rPr>
        <w:t>ACTO IMPUGNADO:</w:t>
      </w:r>
      <w:r w:rsidR="0016512A" w:rsidRPr="00734317">
        <w:rPr>
          <w:rFonts w:ascii="Palatino Linotype" w:eastAsia="Palatino Linotype" w:hAnsi="Palatino Linotype" w:cs="Palatino Linotype"/>
          <w:b/>
          <w:bCs/>
          <w:color w:val="000000"/>
        </w:rPr>
        <w:t xml:space="preserve"> </w:t>
      </w:r>
      <w:r w:rsidR="0016512A" w:rsidRPr="00734317">
        <w:rPr>
          <w:rFonts w:ascii="Palatino Linotype" w:eastAsia="Palatino Linotype" w:hAnsi="Palatino Linotype" w:cs="Palatino Linotype"/>
          <w:i/>
          <w:iCs/>
          <w:color w:val="000000"/>
        </w:rPr>
        <w:t>“EL SUJETO OBLIGADO OCULTA LA INFORMACIÓN NO ENTREGA LO SOLCIITADO CUANDO SU EXISTE SI EN CABILDO TAMBIEN LO HA MENDIONADO LAS REGIDORAS”</w:t>
      </w:r>
    </w:p>
    <w:p w:rsidR="00D84A80" w:rsidRPr="00734317" w:rsidRDefault="00D84A80">
      <w:pPr>
        <w:pBdr>
          <w:top w:val="nil"/>
          <w:left w:val="nil"/>
          <w:bottom w:val="nil"/>
          <w:right w:val="nil"/>
          <w:between w:val="nil"/>
        </w:pBdr>
        <w:spacing w:line="360" w:lineRule="auto"/>
        <w:ind w:right="426"/>
        <w:jc w:val="both"/>
        <w:rPr>
          <w:rFonts w:ascii="Palatino Linotype" w:eastAsia="Palatino Linotype" w:hAnsi="Palatino Linotype" w:cs="Palatino Linotype"/>
          <w:i/>
          <w:iCs/>
          <w:color w:val="000000"/>
        </w:rPr>
      </w:pPr>
    </w:p>
    <w:p w:rsidR="00D84A80" w:rsidRPr="00734317" w:rsidRDefault="00734317">
      <w:pPr>
        <w:numPr>
          <w:ilvl w:val="0"/>
          <w:numId w:val="5"/>
        </w:numPr>
        <w:pBdr>
          <w:top w:val="nil"/>
          <w:left w:val="nil"/>
          <w:bottom w:val="nil"/>
          <w:right w:val="nil"/>
          <w:between w:val="nil"/>
        </w:pBdr>
        <w:spacing w:line="360" w:lineRule="auto"/>
        <w:ind w:left="720" w:right="426"/>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b/>
          <w:bCs/>
          <w:color w:val="000000"/>
        </w:rPr>
        <w:t>RAZONES O MOTIVOS DE INCONFORMIDAD</w:t>
      </w:r>
      <w:r w:rsidR="0016512A" w:rsidRPr="00734317">
        <w:rPr>
          <w:rFonts w:ascii="Palatino Linotype" w:eastAsia="Palatino Linotype" w:hAnsi="Palatino Linotype" w:cs="Palatino Linotype"/>
          <w:b/>
          <w:bCs/>
          <w:color w:val="000000"/>
        </w:rPr>
        <w:t>:</w:t>
      </w:r>
      <w:r w:rsidR="0016512A" w:rsidRPr="00734317">
        <w:rPr>
          <w:rFonts w:ascii="Palatino Linotype" w:eastAsia="Palatino Linotype" w:hAnsi="Palatino Linotype" w:cs="Palatino Linotype"/>
          <w:i/>
          <w:iCs/>
          <w:color w:val="000000"/>
        </w:rPr>
        <w:t xml:space="preserve"> “SE SOLICITA SE ENTREGUE LA INFORMACIÓN QUE ES PUBLICA Y NO EXISTE JUSTIFICACIÓN PARA QUE LA OCULTE LOS SERVDIORES TENEMOS DERECHO DE ESTAR ENTREDOS DE MANERA TRANSPARENTE” </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i/>
          <w:iCs/>
          <w:color w:val="000000"/>
        </w:rPr>
      </w:pPr>
    </w:p>
    <w:p w:rsidR="00D84A80" w:rsidRPr="00734317" w:rsidRDefault="0073431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16512A" w:rsidRPr="00734317">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16512A" w:rsidRPr="00734317">
        <w:rPr>
          <w:rFonts w:ascii="Palatino Linotype" w:eastAsia="Palatino Linotype" w:hAnsi="Palatino Linotype" w:cs="Palatino Linotype"/>
          <w:b/>
          <w:bCs/>
          <w:color w:val="000000"/>
        </w:rPr>
        <w:t>diecinueve de mayo de dos mil veinticinco</w:t>
      </w:r>
      <w:r w:rsidR="0016512A" w:rsidRPr="00734317">
        <w:rPr>
          <w:rFonts w:ascii="Palatino Linotype" w:eastAsia="Palatino Linotype" w:hAnsi="Palatino Linotype" w:cs="Palatino Linotype"/>
          <w:color w:val="000000"/>
        </w:rPr>
        <w:t xml:space="preserve">, puso a disposición de las partes el expediente electrónico vía </w:t>
      </w:r>
      <w:r w:rsidR="0016512A" w:rsidRPr="00734317">
        <w:rPr>
          <w:rFonts w:ascii="Palatino Linotype" w:eastAsia="Palatino Linotype" w:hAnsi="Palatino Linotype" w:cs="Palatino Linotype"/>
          <w:b/>
          <w:bCs/>
          <w:color w:val="000000"/>
        </w:rPr>
        <w:t xml:space="preserve">SAIMEX </w:t>
      </w:r>
      <w:r w:rsidR="0016512A" w:rsidRPr="00734317">
        <w:rPr>
          <w:rFonts w:ascii="Palatino Linotype" w:eastAsia="Palatino Linotype" w:hAnsi="Palatino Linotype" w:cs="Palatino Linotype"/>
          <w:color w:val="000000"/>
        </w:rPr>
        <w:t xml:space="preserve">a efecto de que en un plazo máximo de siete días </w:t>
      </w:r>
      <w:r w:rsidR="0016512A" w:rsidRPr="00734317">
        <w:rPr>
          <w:rFonts w:ascii="Palatino Linotype" w:eastAsia="Palatino Linotype" w:hAnsi="Palatino Linotype" w:cs="Palatino Linotype"/>
        </w:rPr>
        <w:t>manifestara</w:t>
      </w:r>
      <w:r w:rsidR="0016512A" w:rsidRPr="00734317">
        <w:rPr>
          <w:rFonts w:ascii="Palatino Linotype" w:eastAsia="Palatino Linotype" w:hAnsi="Palatino Linotype" w:cs="Palatino Linotype"/>
          <w:color w:val="000000"/>
        </w:rPr>
        <w:t xml:space="preserve"> lo que a su derecho conviniera, </w:t>
      </w:r>
      <w:r w:rsidR="0016512A" w:rsidRPr="00734317">
        <w:rPr>
          <w:rFonts w:ascii="Palatino Linotype" w:eastAsia="Palatino Linotype" w:hAnsi="Palatino Linotype" w:cs="Palatino Linotype"/>
        </w:rPr>
        <w:t>ofreciera</w:t>
      </w:r>
      <w:r w:rsidR="0016512A" w:rsidRPr="00734317">
        <w:rPr>
          <w:rFonts w:ascii="Palatino Linotype" w:eastAsia="Palatino Linotype" w:hAnsi="Palatino Linotype" w:cs="Palatino Linotype"/>
          <w:color w:val="000000"/>
        </w:rPr>
        <w:t xml:space="preserve"> pruebas y alegatos según corresponda a los casos concretos, y el </w:t>
      </w:r>
      <w:r w:rsidR="0016512A" w:rsidRPr="00734317">
        <w:rPr>
          <w:rFonts w:ascii="Palatino Linotype" w:eastAsia="Palatino Linotype" w:hAnsi="Palatino Linotype" w:cs="Palatino Linotype"/>
          <w:b/>
          <w:bCs/>
          <w:color w:val="000000"/>
        </w:rPr>
        <w:t>SUJETO OBLIGADO</w:t>
      </w:r>
      <w:r w:rsidR="0016512A" w:rsidRPr="00734317">
        <w:rPr>
          <w:rFonts w:ascii="Palatino Linotype" w:eastAsia="Palatino Linotype" w:hAnsi="Palatino Linotype" w:cs="Palatino Linotype"/>
          <w:color w:val="000000"/>
        </w:rPr>
        <w:t xml:space="preserve"> presentará el Informe Justificado procedente.</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lastRenderedPageBreak/>
        <w:t xml:space="preserve">De lo anterior, el </w:t>
      </w:r>
      <w:r w:rsidRPr="00734317">
        <w:rPr>
          <w:rFonts w:ascii="Palatino Linotype" w:eastAsia="Palatino Linotype" w:hAnsi="Palatino Linotype" w:cs="Palatino Linotype"/>
          <w:b/>
          <w:bCs/>
          <w:color w:val="000000"/>
        </w:rPr>
        <w:t xml:space="preserve">RECURRENTE </w:t>
      </w:r>
      <w:r w:rsidRPr="00734317">
        <w:rPr>
          <w:rFonts w:ascii="Palatino Linotype" w:eastAsia="Palatino Linotype" w:hAnsi="Palatino Linotype" w:cs="Palatino Linotype"/>
          <w:color w:val="000000"/>
        </w:rPr>
        <w:t xml:space="preserve">fue omiso en realizar manifestaciones que a su derecho conviniera y asistiera. Por su parte el </w:t>
      </w:r>
      <w:r w:rsidRPr="00734317">
        <w:rPr>
          <w:rFonts w:ascii="Palatino Linotype" w:eastAsia="Palatino Linotype" w:hAnsi="Palatino Linotype" w:cs="Palatino Linotype"/>
          <w:b/>
          <w:bCs/>
          <w:color w:val="000000"/>
        </w:rPr>
        <w:t>SUJETO OBLIGADO</w:t>
      </w:r>
      <w:r w:rsidRPr="00734317">
        <w:rPr>
          <w:rFonts w:ascii="Palatino Linotype" w:eastAsia="Palatino Linotype" w:hAnsi="Palatino Linotype" w:cs="Palatino Linotype"/>
          <w:color w:val="000000"/>
        </w:rPr>
        <w:t xml:space="preserve"> en fecha </w:t>
      </w:r>
      <w:r w:rsidRPr="00734317">
        <w:rPr>
          <w:rFonts w:ascii="Palatino Linotype" w:eastAsia="Palatino Linotype" w:hAnsi="Palatino Linotype" w:cs="Palatino Linotype"/>
          <w:b/>
          <w:bCs/>
          <w:color w:val="000000"/>
        </w:rPr>
        <w:t xml:space="preserve">veintiocho de </w:t>
      </w:r>
      <w:r w:rsidRPr="00734317">
        <w:rPr>
          <w:rFonts w:ascii="Palatino Linotype" w:eastAsia="Palatino Linotype" w:hAnsi="Palatino Linotype" w:cs="Palatino Linotype"/>
          <w:color w:val="000000"/>
        </w:rPr>
        <w:t>agosto</w:t>
      </w:r>
      <w:r w:rsidRPr="00734317">
        <w:rPr>
          <w:rFonts w:ascii="Palatino Linotype" w:eastAsia="Palatino Linotype" w:hAnsi="Palatino Linotype" w:cs="Palatino Linotype"/>
          <w:b/>
          <w:bCs/>
          <w:color w:val="000000"/>
        </w:rPr>
        <w:t xml:space="preserve"> del año en curso</w:t>
      </w:r>
      <w:r w:rsidRPr="00734317">
        <w:rPr>
          <w:rFonts w:ascii="Palatino Linotype" w:eastAsia="Palatino Linotype" w:hAnsi="Palatino Linotype" w:cs="Palatino Linotype"/>
          <w:color w:val="000000"/>
        </w:rPr>
        <w:t xml:space="preserve">, rindió informe justificado a través de dos archivos denominados </w:t>
      </w:r>
      <w:r w:rsidRPr="00734317">
        <w:rPr>
          <w:rFonts w:ascii="Palatino Linotype" w:eastAsia="Palatino Linotype" w:hAnsi="Palatino Linotype" w:cs="Palatino Linotype"/>
          <w:i/>
          <w:iCs/>
          <w:color w:val="000000"/>
        </w:rPr>
        <w:t xml:space="preserve">Ratificación 05563.pdf </w:t>
      </w:r>
      <w:r w:rsidRPr="00734317">
        <w:rPr>
          <w:rFonts w:ascii="Palatino Linotype" w:eastAsia="Palatino Linotype" w:hAnsi="Palatino Linotype" w:cs="Palatino Linotype"/>
          <w:color w:val="000000"/>
        </w:rPr>
        <w:t>y</w:t>
      </w:r>
      <w:r w:rsidRPr="00734317">
        <w:rPr>
          <w:rFonts w:ascii="Palatino Linotype" w:eastAsia="Palatino Linotype" w:hAnsi="Palatino Linotype" w:cs="Palatino Linotype"/>
          <w:i/>
          <w:iCs/>
          <w:color w:val="000000"/>
        </w:rPr>
        <w:t xml:space="preserve"> ANEXOS 05563-2025.pdf</w:t>
      </w:r>
      <w:r w:rsidRPr="00734317">
        <w:rPr>
          <w:rFonts w:ascii="Palatino Linotype" w:eastAsia="Palatino Linotype" w:hAnsi="Palatino Linotype" w:cs="Palatino Linotype"/>
          <w:color w:val="000000"/>
        </w:rPr>
        <w:t>, cuyo contenido corresponde el primero de ellos a un oficio signado por el Titular de la Unidad de Transparencia a través del cual informa de la respuesta emitida y, el segundo de ellos que contiene un compendio de oficios suscritos por los servidores públicos habilitados de la Dirección General de Administración, Consejería Jurídica y Tesorería Municipal, todos y cada uno de ellos en el sentido de ratificar la respuesta inicial.</w:t>
      </w:r>
    </w:p>
    <w:p w:rsidR="00D84A80" w:rsidRPr="00734317" w:rsidRDefault="00D84A80">
      <w:pPr>
        <w:spacing w:line="360" w:lineRule="auto"/>
        <w:jc w:val="center"/>
        <w:rPr>
          <w:rFonts w:ascii="Palatino Linotype" w:eastAsia="Palatino Linotype" w:hAnsi="Palatino Linotype" w:cs="Palatino Linotype"/>
          <w:color w:val="000000"/>
        </w:rPr>
      </w:pP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3" w:name="_heading=h.1fob9te" w:colFirst="0" w:colLast="0"/>
      <w:bookmarkEnd w:id="3"/>
      <w:r w:rsidRPr="00734317">
        <w:rPr>
          <w:rFonts w:ascii="Palatino Linotype" w:eastAsia="Palatino Linotype" w:hAnsi="Palatino Linotype" w:cs="Palatino Linotype"/>
          <w:color w:val="000000"/>
        </w:rPr>
        <w:t xml:space="preserve">Seguidamente, mediante Acuerdo de fecha </w:t>
      </w:r>
      <w:r w:rsidRPr="00734317">
        <w:rPr>
          <w:rFonts w:ascii="Palatino Linotype" w:eastAsia="Palatino Linotype" w:hAnsi="Palatino Linotype" w:cs="Palatino Linotype"/>
          <w:b/>
          <w:bCs/>
          <w:color w:val="000000"/>
        </w:rPr>
        <w:t xml:space="preserve">trece de enero de dos mil veintiséis, </w:t>
      </w:r>
      <w:r w:rsidRPr="00734317">
        <w:rPr>
          <w:rFonts w:ascii="Palatino Linotype" w:eastAsia="Palatino Linotype" w:hAnsi="Palatino Linotype" w:cs="Palatino Linotype"/>
          <w:color w:val="000000"/>
        </w:rPr>
        <w:t>se amplió el termino para resolver, consecutivamente se decretó el cierre de instrucción mediante Acuerdo de día diecinueve del mismo mes y año , por lo que no habiendo más que hacer constar, y</w:t>
      </w:r>
    </w:p>
    <w:p w:rsidR="00734317" w:rsidRPr="00734317" w:rsidRDefault="00734317" w:rsidP="00734317">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D84A80" w:rsidRPr="00734317" w:rsidRDefault="0016512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734317">
        <w:rPr>
          <w:rFonts w:ascii="Palatino Linotype" w:eastAsia="Palatino Linotype" w:hAnsi="Palatino Linotype" w:cs="Palatino Linotype"/>
          <w:b/>
          <w:bCs/>
          <w:color w:val="000000"/>
        </w:rPr>
        <w:t>C O N S I D E R A N D O</w:t>
      </w:r>
    </w:p>
    <w:p w:rsidR="00D84A80" w:rsidRPr="00734317" w:rsidRDefault="00D84A8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D84A80" w:rsidRPr="00734317" w:rsidRDefault="0016512A">
      <w:pPr>
        <w:pStyle w:val="Ttulo2"/>
        <w:spacing w:before="0" w:line="360" w:lineRule="auto"/>
        <w:rPr>
          <w:rFonts w:ascii="Palatino Linotype" w:eastAsia="Palatino Linotype" w:hAnsi="Palatino Linotype" w:cs="Palatino Linotype"/>
          <w:b/>
          <w:bCs/>
          <w:color w:val="000000"/>
          <w:sz w:val="24"/>
          <w:szCs w:val="24"/>
        </w:rPr>
      </w:pPr>
      <w:bookmarkStart w:id="4" w:name="_heading=h.3znysh7" w:colFirst="0" w:colLast="0"/>
      <w:bookmarkEnd w:id="4"/>
      <w:r w:rsidRPr="00734317">
        <w:rPr>
          <w:rFonts w:ascii="Palatino Linotype" w:eastAsia="Palatino Linotype" w:hAnsi="Palatino Linotype" w:cs="Palatino Linotype"/>
          <w:b/>
          <w:bCs/>
          <w:color w:val="000000"/>
          <w:sz w:val="24"/>
          <w:szCs w:val="24"/>
        </w:rPr>
        <w:t>PRIMERO. De la competencia</w:t>
      </w: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w:t>
      </w:r>
      <w:r w:rsidRPr="00734317">
        <w:rPr>
          <w:rFonts w:ascii="Palatino Linotype" w:eastAsia="Palatino Linotype" w:hAnsi="Palatino Linotype" w:cs="Palatino Linotype"/>
        </w:rPr>
        <w:t>r</w:t>
      </w:r>
      <w:r w:rsidRPr="00734317">
        <w:rPr>
          <w:rFonts w:ascii="Palatino Linotype" w:eastAsia="Palatino Linotype" w:hAnsi="Palatino Linotype" w:cs="Palatino Linotype"/>
          <w:color w:val="000000"/>
        </w:rPr>
        <w:t xml:space="preserve">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w:t>
      </w:r>
      <w:r w:rsidRPr="00734317">
        <w:rPr>
          <w:rFonts w:ascii="Palatino Linotype" w:eastAsia="Palatino Linotype" w:hAnsi="Palatino Linotype" w:cs="Palatino Linotype"/>
          <w:color w:val="000000"/>
        </w:rPr>
        <w:lastRenderedPageBreak/>
        <w:t>Pública del Estado de México y Municipios; y 9, fracciones I y XXIII y 11 del Reglamento Interior del Instituto de Transparencia, Acceso a la Información Pública y Protección de Datos Personales del Estado de México y Municipios.</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D84A80" w:rsidRPr="00734317" w:rsidRDefault="0016512A">
      <w:pPr>
        <w:pStyle w:val="Ttulo2"/>
        <w:spacing w:before="0" w:line="360" w:lineRule="auto"/>
        <w:rPr>
          <w:rFonts w:ascii="Palatino Linotype" w:eastAsia="Palatino Linotype" w:hAnsi="Palatino Linotype" w:cs="Palatino Linotype"/>
          <w:b/>
          <w:bCs/>
          <w:color w:val="000000"/>
          <w:sz w:val="24"/>
          <w:szCs w:val="24"/>
        </w:rPr>
      </w:pPr>
      <w:bookmarkStart w:id="5" w:name="_heading=h.2et92p0" w:colFirst="0" w:colLast="0"/>
      <w:bookmarkEnd w:id="5"/>
      <w:r w:rsidRPr="00734317">
        <w:rPr>
          <w:rFonts w:ascii="Palatino Linotype" w:eastAsia="Palatino Linotype" w:hAnsi="Palatino Linotype" w:cs="Palatino Linotype"/>
          <w:b/>
          <w:bCs/>
          <w:color w:val="000000"/>
          <w:sz w:val="24"/>
          <w:szCs w:val="24"/>
        </w:rPr>
        <w:t>SEGUNDO. De la oportunidad y procedencia.</w:t>
      </w: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Este Órgano Garante considera que el medio de impugnación reúne los requisitos de procedencia </w:t>
      </w:r>
      <w:r w:rsidRPr="00734317">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734317" w:rsidRPr="00734317" w:rsidRDefault="00734317" w:rsidP="00734317">
      <w:pPr>
        <w:pBdr>
          <w:top w:val="nil"/>
          <w:left w:val="nil"/>
          <w:bottom w:val="nil"/>
          <w:right w:val="nil"/>
          <w:between w:val="nil"/>
        </w:pBdr>
        <w:spacing w:line="360" w:lineRule="auto"/>
        <w:jc w:val="both"/>
        <w:rPr>
          <w:rFonts w:ascii="Palatino Linotype" w:eastAsia="Palatino Linotype" w:hAnsi="Palatino Linotype" w:cs="Palatino Linotype"/>
        </w:rPr>
      </w:pP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Por otro lado, es de suma importancia señalar que la parte recurrente no proporciona un nombre o datos de </w:t>
      </w:r>
      <w:r w:rsidRPr="00734317">
        <w:rPr>
          <w:rFonts w:ascii="Palatino Linotype" w:eastAsia="Palatino Linotype" w:hAnsi="Palatino Linotype" w:cs="Palatino Linotype"/>
          <w:color w:val="000000"/>
        </w:rPr>
        <w:t>identificación</w:t>
      </w:r>
      <w:r w:rsidRPr="00734317">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84A80" w:rsidRPr="00734317" w:rsidRDefault="0016512A">
      <w:pPr>
        <w:spacing w:line="360" w:lineRule="auto"/>
        <w:ind w:left="567" w:right="426"/>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Las solicitudes anónimas</w:t>
      </w:r>
      <w:r w:rsidRPr="00734317">
        <w:rPr>
          <w:rFonts w:ascii="Palatino Linotype" w:eastAsia="Palatino Linotype" w:hAnsi="Palatino Linotype" w:cs="Palatino Linotype"/>
          <w:i/>
          <w:iCs/>
        </w:rPr>
        <w:t xml:space="preserve">, con nombre incompleto o seudónimo </w:t>
      </w:r>
      <w:r w:rsidRPr="00734317">
        <w:rPr>
          <w:rFonts w:ascii="Palatino Linotype" w:eastAsia="Palatino Linotype" w:hAnsi="Palatino Linotype" w:cs="Palatino Linotype"/>
          <w:b/>
          <w:bCs/>
          <w:i/>
          <w:iCs/>
        </w:rPr>
        <w:t>serán procedentes para su trámite por parte del sujeto obligado ante quien se presente</w:t>
      </w:r>
      <w:r w:rsidRPr="00734317">
        <w:rPr>
          <w:rFonts w:ascii="Palatino Linotype" w:eastAsia="Palatino Linotype" w:hAnsi="Palatino Linotype" w:cs="Palatino Linotype"/>
          <w:i/>
          <w:iCs/>
        </w:rPr>
        <w:t>. No podrá requerirse información adicional con motivo del nombre proporcionado por el solicitante."</w:t>
      </w:r>
    </w:p>
    <w:p w:rsidR="00D84A80" w:rsidRPr="00734317" w:rsidRDefault="00D84A8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Consecuencia de lo anterior, este Órgano Garante advierte que el escrito contiene las </w:t>
      </w:r>
      <w:r w:rsidRPr="00734317">
        <w:rPr>
          <w:rFonts w:ascii="Palatino Linotype" w:eastAsia="Palatino Linotype" w:hAnsi="Palatino Linotype" w:cs="Palatino Linotype"/>
        </w:rPr>
        <w:t>formalidades</w:t>
      </w:r>
      <w:r w:rsidRPr="00734317">
        <w:rPr>
          <w:rFonts w:ascii="Palatino Linotype" w:eastAsia="Palatino Linotype" w:hAnsi="Palatino Linotype" w:cs="Palatino Linotype"/>
          <w:color w:val="000000"/>
        </w:rPr>
        <w:t xml:space="preserve"> previstas por el artículo 180 último párrafo de la Ley de </w:t>
      </w:r>
      <w:r w:rsidRPr="00734317">
        <w:rPr>
          <w:rFonts w:ascii="Palatino Linotype" w:eastAsia="Palatino Linotype" w:hAnsi="Palatino Linotype" w:cs="Palatino Linotype"/>
        </w:rPr>
        <w:t>Transparencia</w:t>
      </w:r>
      <w:r w:rsidRPr="00734317">
        <w:rPr>
          <w:rFonts w:ascii="Palatino Linotype" w:eastAsia="Palatino Linotype" w:hAnsi="Palatino Linotype" w:cs="Palatino Linotype"/>
          <w:color w:val="000000"/>
        </w:rPr>
        <w:t xml:space="preserve"> y Acceso a la </w:t>
      </w:r>
      <w:r w:rsidRPr="00734317">
        <w:rPr>
          <w:rFonts w:ascii="Palatino Linotype" w:eastAsia="Palatino Linotype" w:hAnsi="Palatino Linotype" w:cs="Palatino Linotype"/>
        </w:rPr>
        <w:t>Información</w:t>
      </w:r>
      <w:r w:rsidRPr="00734317">
        <w:rPr>
          <w:rFonts w:ascii="Palatino Linotype" w:eastAsia="Palatino Linotype" w:hAnsi="Palatino Linotype" w:cs="Palatino Linotype"/>
          <w:color w:val="000000"/>
        </w:rPr>
        <w:t xml:space="preserve"> Pública del Estado de México y Municipios, por lo que es </w:t>
      </w:r>
      <w:r w:rsidRPr="00734317">
        <w:rPr>
          <w:rFonts w:ascii="Palatino Linotype" w:eastAsia="Palatino Linotype" w:hAnsi="Palatino Linotype" w:cs="Palatino Linotype"/>
          <w:color w:val="000000"/>
        </w:rPr>
        <w:lastRenderedPageBreak/>
        <w:t>procedente que este Instituto de Transparencia, Acceso a la Información Pública y Protección de Datos Personales del Estado de México y Municipios, conozca y resuelva el presente recurso.</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84A80"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rsidR="00734317" w:rsidRPr="00734317" w:rsidRDefault="00734317" w:rsidP="00734317">
      <w:pPr>
        <w:pBdr>
          <w:top w:val="nil"/>
          <w:left w:val="nil"/>
          <w:bottom w:val="nil"/>
          <w:right w:val="nil"/>
          <w:between w:val="nil"/>
        </w:pBdr>
        <w:spacing w:line="360" w:lineRule="auto"/>
        <w:jc w:val="both"/>
        <w:rPr>
          <w:rFonts w:ascii="Palatino Linotype" w:eastAsia="Palatino Linotype" w:hAnsi="Palatino Linotype" w:cs="Palatino Linotype"/>
        </w:rPr>
      </w:pPr>
    </w:p>
    <w:p w:rsidR="00D84A80" w:rsidRPr="00734317" w:rsidRDefault="0016512A">
      <w:pPr>
        <w:pStyle w:val="Ttulo1"/>
        <w:spacing w:before="0" w:line="360" w:lineRule="auto"/>
        <w:rPr>
          <w:rFonts w:ascii="Palatino Linotype" w:eastAsia="Palatino Linotype" w:hAnsi="Palatino Linotype" w:cs="Palatino Linotype"/>
          <w:b/>
          <w:bCs/>
          <w:color w:val="000000"/>
          <w:sz w:val="24"/>
          <w:szCs w:val="24"/>
        </w:rPr>
      </w:pPr>
      <w:bookmarkStart w:id="6" w:name="_heading=h.tyjcwt" w:colFirst="0" w:colLast="0"/>
      <w:bookmarkEnd w:id="6"/>
      <w:r w:rsidRPr="00734317">
        <w:rPr>
          <w:rFonts w:ascii="Palatino Linotype" w:eastAsia="Palatino Linotype" w:hAnsi="Palatino Linotype" w:cs="Palatino Linotype"/>
          <w:b/>
          <w:bCs/>
          <w:color w:val="000000"/>
          <w:sz w:val="24"/>
          <w:szCs w:val="24"/>
        </w:rPr>
        <w:t xml:space="preserve">TERCERO. Del planteamiento de la </w:t>
      </w:r>
      <w:r w:rsidRPr="00734317">
        <w:rPr>
          <w:rFonts w:ascii="Palatino Linotype" w:eastAsia="Palatino Linotype" w:hAnsi="Palatino Linotype" w:cs="Palatino Linotype"/>
          <w:b/>
          <w:bCs/>
          <w:i/>
          <w:iCs/>
          <w:color w:val="000000"/>
          <w:sz w:val="24"/>
          <w:szCs w:val="24"/>
        </w:rPr>
        <w:t>Litis</w:t>
      </w:r>
      <w:r w:rsidRPr="00734317">
        <w:rPr>
          <w:rFonts w:ascii="Palatino Linotype" w:eastAsia="Palatino Linotype" w:hAnsi="Palatino Linotype" w:cs="Palatino Linotype"/>
          <w:b/>
          <w:bCs/>
          <w:color w:val="000000"/>
          <w:sz w:val="24"/>
          <w:szCs w:val="24"/>
        </w:rPr>
        <w:t>.</w:t>
      </w: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Se solicitó tener acceso, a la información que a continuación se desagrega:</w:t>
      </w:r>
    </w:p>
    <w:p w:rsidR="00D84A80" w:rsidRPr="00734317" w:rsidRDefault="0016512A">
      <w:pPr>
        <w:numPr>
          <w:ilvl w:val="0"/>
          <w:numId w:val="6"/>
        </w:numPr>
        <w:pBdr>
          <w:top w:val="nil"/>
          <w:left w:val="nil"/>
          <w:bottom w:val="nil"/>
          <w:right w:val="nil"/>
          <w:between w:val="nil"/>
        </w:pBdr>
        <w:spacing w:line="360" w:lineRule="auto"/>
        <w:ind w:right="709"/>
        <w:rPr>
          <w:rFonts w:ascii="Palatino Linotype" w:eastAsia="Palatino Linotype" w:hAnsi="Palatino Linotype" w:cs="Palatino Linotype"/>
          <w:b/>
          <w:bCs/>
          <w:color w:val="000000"/>
        </w:rPr>
      </w:pPr>
      <w:r w:rsidRPr="00734317">
        <w:rPr>
          <w:rFonts w:ascii="Palatino Linotype" w:eastAsia="Palatino Linotype" w:hAnsi="Palatino Linotype" w:cs="Palatino Linotype"/>
          <w:color w:val="000000"/>
        </w:rPr>
        <w:t>La justificación de la implementación, de despidos;</w:t>
      </w:r>
    </w:p>
    <w:p w:rsidR="00D84A80" w:rsidRPr="00734317" w:rsidRDefault="0016512A">
      <w:pPr>
        <w:numPr>
          <w:ilvl w:val="0"/>
          <w:numId w:val="6"/>
        </w:numPr>
        <w:pBdr>
          <w:top w:val="nil"/>
          <w:left w:val="nil"/>
          <w:bottom w:val="nil"/>
          <w:right w:val="nil"/>
          <w:between w:val="nil"/>
        </w:pBdr>
        <w:spacing w:line="360" w:lineRule="auto"/>
        <w:ind w:right="709"/>
        <w:rPr>
          <w:rFonts w:ascii="Palatino Linotype" w:eastAsia="Palatino Linotype" w:hAnsi="Palatino Linotype" w:cs="Palatino Linotype"/>
          <w:b/>
          <w:bCs/>
          <w:color w:val="000000"/>
        </w:rPr>
      </w:pPr>
      <w:r w:rsidRPr="00734317">
        <w:rPr>
          <w:rFonts w:ascii="Palatino Linotype" w:eastAsia="Palatino Linotype" w:hAnsi="Palatino Linotype" w:cs="Palatino Linotype"/>
          <w:color w:val="000000"/>
        </w:rPr>
        <w:t>El número de renuncias y las bajas de todo el personal del 1 de enero al 25 de marzo de 2025;</w:t>
      </w:r>
    </w:p>
    <w:p w:rsidR="00D84A80" w:rsidRPr="00734317" w:rsidRDefault="0016512A">
      <w:pPr>
        <w:numPr>
          <w:ilvl w:val="0"/>
          <w:numId w:val="6"/>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color w:val="000000"/>
        </w:rPr>
        <w:t>Las renuncias;</w:t>
      </w:r>
    </w:p>
    <w:p w:rsidR="00D84A80" w:rsidRPr="00734317" w:rsidRDefault="0016512A">
      <w:pPr>
        <w:numPr>
          <w:ilvl w:val="0"/>
          <w:numId w:val="6"/>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color w:val="000000"/>
        </w:rPr>
        <w:t>Conocer si servidores públicos demandaron, la demanda con el número de expediente;</w:t>
      </w:r>
    </w:p>
    <w:p w:rsidR="00D84A80" w:rsidRPr="00734317" w:rsidRDefault="0016512A">
      <w:pPr>
        <w:numPr>
          <w:ilvl w:val="0"/>
          <w:numId w:val="6"/>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color w:val="000000"/>
        </w:rPr>
        <w:t>Numero de servidores públicos despedidos por el despacho externo de Alma Merino conocido como Fontova o Coral Negro</w:t>
      </w:r>
    </w:p>
    <w:p w:rsidR="00D84A80" w:rsidRPr="00734317" w:rsidRDefault="0016512A">
      <w:pPr>
        <w:numPr>
          <w:ilvl w:val="0"/>
          <w:numId w:val="6"/>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color w:val="000000"/>
        </w:rPr>
        <w:t>Los contratos de los despachos externos, vigentes y los de los años 2022 a la fecha con las facturas pagadas</w:t>
      </w:r>
      <w:r w:rsidRPr="00734317">
        <w:rPr>
          <w:rFonts w:ascii="Palatino Linotype" w:eastAsia="Palatino Linotype" w:hAnsi="Palatino Linotype" w:cs="Palatino Linotype"/>
          <w:b/>
          <w:bCs/>
          <w:color w:val="000000"/>
        </w:rPr>
        <w:t>.</w:t>
      </w:r>
    </w:p>
    <w:p w:rsidR="00D84A80" w:rsidRPr="00734317" w:rsidRDefault="00D84A80">
      <w:pPr>
        <w:pBdr>
          <w:top w:val="nil"/>
          <w:left w:val="nil"/>
          <w:bottom w:val="nil"/>
          <w:right w:val="nil"/>
          <w:between w:val="nil"/>
        </w:pBdr>
        <w:spacing w:line="360" w:lineRule="auto"/>
        <w:ind w:left="349" w:right="476"/>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rPr>
        <w:lastRenderedPageBreak/>
        <w:t xml:space="preserve">En respuesta, el </w:t>
      </w:r>
      <w:r w:rsidRPr="00734317">
        <w:rPr>
          <w:rFonts w:ascii="Palatino Linotype" w:eastAsia="Palatino Linotype" w:hAnsi="Palatino Linotype" w:cs="Palatino Linotype"/>
          <w:b/>
          <w:bCs/>
        </w:rPr>
        <w:t xml:space="preserve">SUJETO OBLIGADO </w:t>
      </w:r>
      <w:r w:rsidRPr="00734317">
        <w:rPr>
          <w:rFonts w:ascii="Palatino Linotype" w:eastAsia="Palatino Linotype" w:hAnsi="Palatino Linotype" w:cs="Palatino Linotype"/>
        </w:rPr>
        <w:t>remitió la información ya descrita en el párrafo 2. Inconforme con la misma, se interpuso recurso de revisión en contra de la entrega de la información incompleta.</w:t>
      </w:r>
    </w:p>
    <w:p w:rsidR="00D84A80" w:rsidRPr="00734317" w:rsidRDefault="00D84A80">
      <w:pPr>
        <w:tabs>
          <w:tab w:val="left" w:pos="933"/>
        </w:tabs>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dichas condiciones se presume que el particular se duele de la negativa de la entrega de la información, por lo tanto la </w:t>
      </w:r>
      <w:r w:rsidRPr="00734317">
        <w:rPr>
          <w:rFonts w:ascii="Palatino Linotype" w:eastAsia="Palatino Linotype" w:hAnsi="Palatino Linotype" w:cs="Palatino Linotype"/>
          <w:i/>
          <w:iCs/>
        </w:rPr>
        <w:t>Litis</w:t>
      </w:r>
      <w:r w:rsidRPr="00734317">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734317">
        <w:rPr>
          <w:rFonts w:ascii="Palatino Linotype" w:eastAsia="Palatino Linotype" w:hAnsi="Palatino Linotype" w:cs="Palatino Linotype"/>
          <w:b/>
          <w:bCs/>
        </w:rPr>
        <w:t xml:space="preserve">fracción V </w:t>
      </w:r>
      <w:r w:rsidRPr="00734317">
        <w:rPr>
          <w:rFonts w:ascii="Palatino Linotype" w:eastAsia="Palatino Linotype" w:hAnsi="Palatino Linotype" w:cs="Palatino Linotype"/>
        </w:rPr>
        <w:t xml:space="preserve">de la </w:t>
      </w:r>
      <w:r w:rsidRPr="00734317">
        <w:rPr>
          <w:rFonts w:ascii="Palatino Linotype" w:eastAsia="Palatino Linotype" w:hAnsi="Palatino Linotype" w:cs="Palatino Linotype"/>
          <w:b/>
          <w:bCs/>
        </w:rPr>
        <w:t>Ley de Transparencia y Acceso a la Información Pública del Estado de México y Municipios</w:t>
      </w:r>
      <w:r w:rsidRPr="00734317">
        <w:rPr>
          <w:rFonts w:ascii="Palatino Linotype" w:eastAsia="Palatino Linotype" w:hAnsi="Palatino Linotype" w:cs="Palatino Linotype"/>
          <w:color w:val="000000"/>
        </w:rPr>
        <w:t>;</w:t>
      </w:r>
      <w:r w:rsidRPr="00734317">
        <w:rPr>
          <w:rFonts w:ascii="Palatino Linotype" w:eastAsia="Palatino Linotype" w:hAnsi="Palatino Linotype" w:cs="Palatino Linotype"/>
        </w:rPr>
        <w:t xml:space="preserve"> fracción que determina la hipótesis jurídica relativa a la entrega de la información incompleta; contexto del cual se dolió </w:t>
      </w:r>
      <w:r w:rsidRPr="00734317">
        <w:rPr>
          <w:rFonts w:ascii="Palatino Linotype" w:eastAsia="Palatino Linotype" w:hAnsi="Palatino Linotype" w:cs="Palatino Linotype"/>
          <w:b/>
          <w:bCs/>
        </w:rPr>
        <w:t xml:space="preserve">EL RECURRENTE </w:t>
      </w:r>
      <w:r w:rsidRPr="00734317">
        <w:rPr>
          <w:rFonts w:ascii="Palatino Linotype" w:eastAsia="Palatino Linotype" w:hAnsi="Palatino Linotype" w:cs="Palatino Linotype"/>
        </w:rPr>
        <w:t>al momento de interponer su inconformidad.</w:t>
      </w:r>
    </w:p>
    <w:p w:rsidR="00D84A80" w:rsidRPr="00734317" w:rsidRDefault="00D84A80">
      <w:pPr>
        <w:spacing w:line="360" w:lineRule="auto"/>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color w:val="000000"/>
        </w:rPr>
        <w:t xml:space="preserve">De modo tal que el presente Recurso de Revisión se </w:t>
      </w:r>
      <w:r w:rsidRPr="00734317">
        <w:rPr>
          <w:rFonts w:ascii="Palatino Linotype" w:eastAsia="Palatino Linotype" w:hAnsi="Palatino Linotype" w:cs="Palatino Linotype"/>
        </w:rPr>
        <w:t>abocará</w:t>
      </w:r>
      <w:r w:rsidRPr="00734317">
        <w:rPr>
          <w:rFonts w:ascii="Palatino Linotype" w:eastAsia="Palatino Linotype" w:hAnsi="Palatino Linotype" w:cs="Palatino Linotype"/>
          <w:color w:val="000000"/>
        </w:rPr>
        <w:t xml:space="preserve"> en determinar si el </w:t>
      </w:r>
      <w:r w:rsidRPr="00734317">
        <w:rPr>
          <w:rFonts w:ascii="Palatino Linotype" w:eastAsia="Palatino Linotype" w:hAnsi="Palatino Linotype" w:cs="Palatino Linotype"/>
          <w:b/>
          <w:bCs/>
          <w:color w:val="000000"/>
        </w:rPr>
        <w:t>SUJETO</w:t>
      </w:r>
      <w:r w:rsidRPr="00734317">
        <w:rPr>
          <w:rFonts w:ascii="Palatino Linotype" w:eastAsia="Palatino Linotype" w:hAnsi="Palatino Linotype" w:cs="Palatino Linotype"/>
          <w:color w:val="000000"/>
        </w:rPr>
        <w:t xml:space="preserve"> </w:t>
      </w:r>
      <w:r w:rsidRPr="00734317">
        <w:rPr>
          <w:rFonts w:ascii="Palatino Linotype" w:eastAsia="Palatino Linotype" w:hAnsi="Palatino Linotype" w:cs="Palatino Linotype"/>
          <w:b/>
          <w:bCs/>
          <w:color w:val="000000"/>
        </w:rPr>
        <w:t>OBLIGADO</w:t>
      </w:r>
      <w:r w:rsidRPr="00734317">
        <w:rPr>
          <w:rFonts w:ascii="Palatino Linotype" w:eastAsia="Palatino Linotype" w:hAnsi="Palatino Linotype" w:cs="Palatino Linotype"/>
          <w:color w:val="000000"/>
        </w:rPr>
        <w:t xml:space="preserve"> con su respuesta ciertamente actualiza la causal de procedencia</w:t>
      </w:r>
      <w:r w:rsidRPr="00734317">
        <w:rPr>
          <w:rFonts w:ascii="Palatino Linotype" w:eastAsia="Palatino Linotype" w:hAnsi="Palatino Linotype" w:cs="Palatino Linotype"/>
          <w:b/>
          <w:bCs/>
          <w:color w:val="000000"/>
        </w:rPr>
        <w:t xml:space="preserve"> </w:t>
      </w:r>
      <w:r w:rsidRPr="00734317">
        <w:rPr>
          <w:rFonts w:ascii="Palatino Linotype" w:eastAsia="Palatino Linotype" w:hAnsi="Palatino Linotype" w:cs="Palatino Linotype"/>
          <w:color w:val="000000"/>
        </w:rPr>
        <w:t xml:space="preserve">antes señalada. </w:t>
      </w:r>
    </w:p>
    <w:p w:rsidR="00D84A80" w:rsidRPr="00734317" w:rsidRDefault="00D84A80">
      <w:pPr>
        <w:spacing w:line="360" w:lineRule="auto"/>
        <w:rPr>
          <w:rFonts w:ascii="Palatino Linotype" w:eastAsia="Palatino Linotype" w:hAnsi="Palatino Linotype" w:cs="Palatino Linotype"/>
        </w:rPr>
      </w:pPr>
    </w:p>
    <w:p w:rsidR="00D84A80" w:rsidRPr="00734317" w:rsidRDefault="0016512A">
      <w:pPr>
        <w:pStyle w:val="Ttulo2"/>
        <w:spacing w:before="0" w:line="360" w:lineRule="auto"/>
        <w:rPr>
          <w:rFonts w:ascii="Palatino Linotype" w:eastAsia="Palatino Linotype" w:hAnsi="Palatino Linotype" w:cs="Palatino Linotype"/>
          <w:b/>
          <w:bCs/>
          <w:color w:val="000000"/>
          <w:sz w:val="24"/>
          <w:szCs w:val="24"/>
        </w:rPr>
      </w:pPr>
      <w:bookmarkStart w:id="7" w:name="_heading=h.3dy6vkm" w:colFirst="0" w:colLast="0"/>
      <w:bookmarkEnd w:id="7"/>
      <w:r w:rsidRPr="00734317">
        <w:rPr>
          <w:rFonts w:ascii="Palatino Linotype" w:eastAsia="Palatino Linotype" w:hAnsi="Palatino Linotype" w:cs="Palatino Linotype"/>
          <w:b/>
          <w:bCs/>
          <w:color w:val="000000"/>
          <w:sz w:val="24"/>
          <w:szCs w:val="24"/>
        </w:rPr>
        <w:t>CUARTO. Del estudio y resolución del asunto.</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sidRPr="00734317">
        <w:rPr>
          <w:rFonts w:ascii="Palatino Linotype" w:eastAsia="Palatino Linotype" w:hAnsi="Palatino Linotype" w:cs="Palatino Linotype"/>
          <w:color w:val="000000"/>
        </w:rPr>
        <w:t>determina</w:t>
      </w:r>
      <w:r w:rsidRPr="00734317">
        <w:rPr>
          <w:rFonts w:ascii="Palatino Linotype" w:eastAsia="Palatino Linotype" w:hAnsi="Palatino Linotype" w:cs="Palatino Linotype"/>
        </w:rPr>
        <w:t xml:space="preserve">,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w:t>
      </w:r>
      <w:r w:rsidRPr="00734317">
        <w:rPr>
          <w:rFonts w:ascii="Palatino Linotype" w:eastAsia="Palatino Linotype" w:hAnsi="Palatino Linotype" w:cs="Palatino Linotype"/>
        </w:rPr>
        <w:lastRenderedPageBreak/>
        <w:t>competencias o funciones desde su origen la eventual publicidad y reutilización de la información que generen.</w:t>
      </w:r>
    </w:p>
    <w:p w:rsidR="00D84A80" w:rsidRPr="00734317" w:rsidRDefault="00D84A80">
      <w:pPr>
        <w:spacing w:line="360" w:lineRule="auto"/>
        <w:ind w:right="-929"/>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rPr>
        <w:t>Una vez sentado lo anterior, resulta oportuno traer a contexto los motivos de inconformidad; toda vez que son tendientes a impugnar la existencia de aquella información que en respuesta se está negando.</w:t>
      </w:r>
    </w:p>
    <w:p w:rsidR="00D84A80" w:rsidRPr="00734317" w:rsidRDefault="00D84A80">
      <w:pPr>
        <w:spacing w:line="360" w:lineRule="auto"/>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lastRenderedPageBreak/>
        <w:t xml:space="preserve">Al respecto, </w:t>
      </w:r>
      <w:r w:rsidRPr="00734317">
        <w:rPr>
          <w:rFonts w:ascii="Palatino Linotype" w:eastAsia="Palatino Linotype" w:hAnsi="Palatino Linotype" w:cs="Palatino Linotype"/>
        </w:rPr>
        <w:t>recordar</w:t>
      </w:r>
      <w:r w:rsidRPr="00734317">
        <w:rPr>
          <w:rFonts w:ascii="Palatino Linotype" w:eastAsia="Palatino Linotype" w:hAnsi="Palatino Linotype" w:cs="Palatino Linotype"/>
          <w:color w:val="000000"/>
        </w:rPr>
        <w:t xml:space="preserve"> que en calidad de respuesta se informaron de diversos </w:t>
      </w:r>
      <w:r w:rsidRPr="00734317">
        <w:rPr>
          <w:rFonts w:ascii="Palatino Linotype" w:eastAsia="Palatino Linotype" w:hAnsi="Palatino Linotype" w:cs="Palatino Linotype"/>
        </w:rPr>
        <w:t>rubros</w:t>
      </w:r>
      <w:r w:rsidRPr="00734317">
        <w:rPr>
          <w:rFonts w:ascii="Palatino Linotype" w:eastAsia="Palatino Linotype" w:hAnsi="Palatino Linotype" w:cs="Palatino Linotype"/>
          <w:color w:val="000000"/>
        </w:rPr>
        <w:t xml:space="preserve"> que </w:t>
      </w:r>
      <w:r w:rsidRPr="00734317">
        <w:rPr>
          <w:rFonts w:ascii="Palatino Linotype" w:eastAsia="Palatino Linotype" w:hAnsi="Palatino Linotype" w:cs="Palatino Linotype"/>
        </w:rPr>
        <w:t>integraban</w:t>
      </w:r>
      <w:r w:rsidRPr="00734317">
        <w:rPr>
          <w:rFonts w:ascii="Palatino Linotype" w:eastAsia="Palatino Linotype" w:hAnsi="Palatino Linotype" w:cs="Palatino Linotype"/>
          <w:color w:val="000000"/>
        </w:rPr>
        <w:t xml:space="preserve"> la solicitud de información, como lo es que del 1 de enero de 2025 al 27 de marzo de 2025, 64 servidores públicos terminaron la relación laboral por mutuo consentimiento; que un total de 237 servidores públicos se encuentran en procedimiento de medios alternativos de solución de conflictos y que a la fecha de la emisión de la respuesta, no había sido notificada por parte del Tribunal Estatal de Conciliación y Arbitraje demanda alguna derivada de la terminación y/o recisión de la relación laboral; sin embargo también se informó que relativo a los contratos y facturas solicitados, luego de una búsqueda no se localizó información que ampare lo solicitado a “Alma Merino”, “Fontanova”, “Coral Negro”, contexto que provocó que las razones o motivos de inconformidad versen sobre la información inexistente, que a decir del particular si existe, tan es así que “</w:t>
      </w:r>
      <w:r w:rsidRPr="00734317">
        <w:rPr>
          <w:rFonts w:ascii="Palatino Linotype" w:eastAsia="Palatino Linotype" w:hAnsi="Palatino Linotype" w:cs="Palatino Linotype"/>
          <w:i/>
          <w:iCs/>
          <w:color w:val="000000"/>
        </w:rPr>
        <w:t>…EN CABILDO TAMBIEN LO HA MENDIONADO LAS REGIDORAS…</w:t>
      </w:r>
      <w:r w:rsidRPr="00734317">
        <w:rPr>
          <w:rFonts w:ascii="Palatino Linotype" w:eastAsia="Palatino Linotype" w:hAnsi="Palatino Linotype" w:cs="Palatino Linotype"/>
          <w:color w:val="000000"/>
        </w:rPr>
        <w:t>”</w:t>
      </w:r>
    </w:p>
    <w:p w:rsidR="00D84A80" w:rsidRPr="00734317" w:rsidRDefault="00D84A80">
      <w:pPr>
        <w:spacing w:line="360" w:lineRule="auto"/>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color w:val="000000"/>
        </w:rPr>
        <w:t xml:space="preserve">Luego entonces se arriba a la conclusión, que no fueron impugnados el resto de rubros que integraron la solicitud de información, </w:t>
      </w:r>
      <w:r w:rsidRPr="00734317">
        <w:rPr>
          <w:rFonts w:ascii="Palatino Linotype" w:eastAsia="Palatino Linotype" w:hAnsi="Palatino Linotype" w:cs="Palatino Linotype"/>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Sirve de sustento, la tesis jurisprudencial número VI.3o.C. J/60, publicada en el </w:t>
      </w:r>
      <w:r w:rsidRPr="00734317">
        <w:rPr>
          <w:rFonts w:ascii="Palatino Linotype" w:eastAsia="Palatino Linotype" w:hAnsi="Palatino Linotype" w:cs="Palatino Linotype"/>
          <w:color w:val="000000"/>
        </w:rPr>
        <w:t>Semanario</w:t>
      </w:r>
      <w:r w:rsidRPr="00734317">
        <w:rPr>
          <w:rFonts w:ascii="Palatino Linotype" w:eastAsia="Palatino Linotype" w:hAnsi="Palatino Linotype" w:cs="Palatino Linotype"/>
        </w:rPr>
        <w:t xml:space="preserve"> Judicial de la Federación y su Gaceta bajo el número de registro 176,608 que a la letra dice:</w:t>
      </w:r>
    </w:p>
    <w:p w:rsidR="00D84A80" w:rsidRPr="00734317" w:rsidRDefault="00D84A80">
      <w:pPr>
        <w:pBdr>
          <w:top w:val="nil"/>
          <w:left w:val="nil"/>
          <w:bottom w:val="nil"/>
          <w:right w:val="nil"/>
          <w:between w:val="nil"/>
        </w:pBdr>
        <w:ind w:left="720"/>
        <w:rPr>
          <w:rFonts w:ascii="Palatino Linotype" w:eastAsia="Palatino Linotype" w:hAnsi="Palatino Linotype" w:cs="Palatino Linotype"/>
          <w:color w:val="000000"/>
        </w:rPr>
      </w:pP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tabs>
          <w:tab w:val="left" w:pos="851"/>
        </w:tabs>
        <w:spacing w:line="360" w:lineRule="auto"/>
        <w:ind w:left="851"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lastRenderedPageBreak/>
        <w:t xml:space="preserve">“ACTOS CONSENTIDOS. SON LOS QUE NO SE IMPUGNAN MEDIANTE EL RECURSO IDÓNEO. </w:t>
      </w:r>
      <w:r w:rsidRPr="00734317">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84A80" w:rsidRPr="00734317" w:rsidRDefault="00D84A80">
      <w:pPr>
        <w:tabs>
          <w:tab w:val="left" w:pos="851"/>
        </w:tabs>
        <w:spacing w:line="360" w:lineRule="auto"/>
        <w:ind w:left="851" w:right="616"/>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De la interpretación del criterio antes citado, se advierte que cuando el particular impugnó la respuesta del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734317">
        <w:rPr>
          <w:rFonts w:ascii="Palatino Linotype" w:eastAsia="Palatino Linotype" w:hAnsi="Palatino Linotype" w:cs="Palatino Linotype"/>
          <w:b/>
          <w:bCs/>
        </w:rPr>
        <w:t>EL RECURRENTE</w:t>
      </w:r>
      <w:r w:rsidRPr="00734317">
        <w:rPr>
          <w:rFonts w:ascii="Palatino Linotype" w:eastAsia="Palatino Linotype" w:hAnsi="Palatino Linotype" w:cs="Palatino Linotype"/>
        </w:rPr>
        <w:t xml:space="preserve"> está conforme con la respuesta proporcionada por </w:t>
      </w:r>
      <w:r w:rsidRPr="00734317">
        <w:rPr>
          <w:rFonts w:ascii="Palatino Linotype" w:eastAsia="Palatino Linotype" w:hAnsi="Palatino Linotype" w:cs="Palatino Linotype"/>
          <w:b/>
          <w:bCs/>
        </w:rPr>
        <w:t>EL SUJETO OBLIGADO,</w:t>
      </w:r>
      <w:r w:rsidRPr="00734317">
        <w:rPr>
          <w:rFonts w:ascii="Palatino Linotype" w:eastAsia="Palatino Linotype" w:hAnsi="Palatino Linotype" w:cs="Palatino Linotype"/>
        </w:rPr>
        <w:t xml:space="preserve"> al no contravenir la misma. </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D84A80" w:rsidRPr="00734317" w:rsidRDefault="0016512A">
      <w:pPr>
        <w:tabs>
          <w:tab w:val="left" w:pos="7937"/>
          <w:tab w:val="left" w:pos="8222"/>
        </w:tabs>
        <w:spacing w:line="360" w:lineRule="auto"/>
        <w:ind w:left="851" w:right="90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 xml:space="preserve">“REVISIÓN EN AMPARO. LOS RESOLUTIVOS NO COMBATIDOS DEBEN DECLARARSE FIRMES. </w:t>
      </w:r>
      <w:r w:rsidRPr="00734317">
        <w:rPr>
          <w:rFonts w:ascii="Palatino Linotype" w:eastAsia="Palatino Linotype" w:hAnsi="Palatino Linotype" w:cs="Palatino Linotype"/>
          <w:i/>
          <w:iC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w:t>
      </w:r>
      <w:r w:rsidRPr="00734317">
        <w:rPr>
          <w:rFonts w:ascii="Palatino Linotype" w:eastAsia="Palatino Linotype" w:hAnsi="Palatino Linotype" w:cs="Palatino Linotype"/>
          <w:i/>
          <w:iCs/>
        </w:rPr>
        <w:lastRenderedPageBreak/>
        <w:t>reflejarse en la parte considerativa y en los resolutivos debe confirmarse la sentencia recurrida en la parte correspondiente.”</w:t>
      </w:r>
    </w:p>
    <w:p w:rsidR="00D84A80" w:rsidRPr="00734317" w:rsidRDefault="00D84A80">
      <w:pPr>
        <w:tabs>
          <w:tab w:val="left" w:pos="7937"/>
          <w:tab w:val="left" w:pos="8222"/>
        </w:tabs>
        <w:spacing w:line="360" w:lineRule="auto"/>
        <w:ind w:left="851" w:right="901"/>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 los rubros no impugnados por las razones hasta aquí expuestas. </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Determinado lo anterior, respecto del despacho externo de </w:t>
      </w:r>
      <w:r w:rsidRPr="00734317">
        <w:rPr>
          <w:rFonts w:ascii="Palatino Linotype" w:eastAsia="Palatino Linotype" w:hAnsi="Palatino Linotype" w:cs="Palatino Linotype"/>
          <w:i/>
          <w:iCs/>
          <w:color w:val="000000"/>
        </w:rPr>
        <w:t>Alma Merino</w:t>
      </w:r>
      <w:r w:rsidRPr="00734317">
        <w:rPr>
          <w:rFonts w:ascii="Palatino Linotype" w:eastAsia="Palatino Linotype" w:hAnsi="Palatino Linotype" w:cs="Palatino Linotype"/>
          <w:color w:val="000000"/>
        </w:rPr>
        <w:t xml:space="preserve"> </w:t>
      </w:r>
      <w:r w:rsidRPr="00734317">
        <w:rPr>
          <w:rFonts w:ascii="Palatino Linotype" w:eastAsia="Palatino Linotype" w:hAnsi="Palatino Linotype" w:cs="Palatino Linotype"/>
        </w:rPr>
        <w:t>conocido</w:t>
      </w:r>
      <w:r w:rsidRPr="00734317">
        <w:rPr>
          <w:rFonts w:ascii="Palatino Linotype" w:eastAsia="Palatino Linotype" w:hAnsi="Palatino Linotype" w:cs="Palatino Linotype"/>
          <w:color w:val="000000"/>
        </w:rPr>
        <w:t xml:space="preserve"> como </w:t>
      </w:r>
      <w:r w:rsidRPr="00734317">
        <w:rPr>
          <w:rFonts w:ascii="Palatino Linotype" w:eastAsia="Palatino Linotype" w:hAnsi="Palatino Linotype" w:cs="Palatino Linotype"/>
          <w:i/>
          <w:iCs/>
          <w:color w:val="000000"/>
        </w:rPr>
        <w:t>Fontova</w:t>
      </w:r>
      <w:r w:rsidRPr="00734317">
        <w:rPr>
          <w:rFonts w:ascii="Palatino Linotype" w:eastAsia="Palatino Linotype" w:hAnsi="Palatino Linotype" w:cs="Palatino Linotype"/>
          <w:color w:val="000000"/>
        </w:rPr>
        <w:t xml:space="preserve"> o </w:t>
      </w:r>
      <w:r w:rsidRPr="00734317">
        <w:rPr>
          <w:rFonts w:ascii="Palatino Linotype" w:eastAsia="Palatino Linotype" w:hAnsi="Palatino Linotype" w:cs="Palatino Linotype"/>
          <w:i/>
          <w:iCs/>
          <w:color w:val="000000"/>
        </w:rPr>
        <w:t>Coral Negro</w:t>
      </w:r>
      <w:r w:rsidRPr="00734317">
        <w:rPr>
          <w:rFonts w:ascii="Palatino Linotype" w:eastAsia="Palatino Linotype" w:hAnsi="Palatino Linotype" w:cs="Palatino Linotype"/>
          <w:color w:val="000000"/>
        </w:rPr>
        <w:t xml:space="preserve"> y los contratos con esos despachos vigentes y de los años 2022 a la fecha con las facturas pagadas, el motivo de inconformidad resulta procedente, toda vez que como afirma el solicitante, existen precedentes de su existencia.</w:t>
      </w:r>
    </w:p>
    <w:p w:rsidR="00D84A80" w:rsidRPr="00734317" w:rsidRDefault="00D84A8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Tan es así que de las constancias del expediente electrónico en que se actúa, en el archivo en el archivo denominado </w:t>
      </w:r>
      <w:r w:rsidRPr="00734317">
        <w:rPr>
          <w:rFonts w:ascii="Palatino Linotype" w:eastAsia="Palatino Linotype" w:hAnsi="Palatino Linotype" w:cs="Palatino Linotype"/>
          <w:b/>
          <w:bCs/>
          <w:i/>
          <w:iCs/>
          <w:color w:val="000000"/>
        </w:rPr>
        <w:t>Sol-1806.pdf,</w:t>
      </w:r>
      <w:r w:rsidRPr="00734317">
        <w:rPr>
          <w:rFonts w:ascii="Palatino Linotype" w:eastAsia="Palatino Linotype" w:hAnsi="Palatino Linotype" w:cs="Palatino Linotype"/>
          <w:b/>
          <w:bCs/>
          <w:color w:val="000000"/>
        </w:rPr>
        <w:t xml:space="preserve"> </w:t>
      </w:r>
      <w:r w:rsidRPr="00734317">
        <w:rPr>
          <w:rFonts w:ascii="Palatino Linotype" w:eastAsia="Palatino Linotype" w:hAnsi="Palatino Linotype" w:cs="Palatino Linotype"/>
          <w:color w:val="000000"/>
        </w:rPr>
        <w:t xml:space="preserve">la Directora General del despacho en cuestión emitió un pronunciamiento, cuyo nombre de la Directora corresponde con el señalado en la solicitud de información; asimismo </w:t>
      </w:r>
      <w:r w:rsidRPr="00734317">
        <w:rPr>
          <w:rFonts w:ascii="Palatino Linotype" w:eastAsia="Palatino Linotype" w:hAnsi="Palatino Linotype" w:cs="Palatino Linotype"/>
          <w:b/>
          <w:bCs/>
          <w:color w:val="000000"/>
        </w:rPr>
        <w:t xml:space="preserve">refiere que los contratos y las facturas del despacho obran en posesión del H. Ayuntamiento de Toluca, haciendo una aceptación expresa de la existencia </w:t>
      </w:r>
      <w:r w:rsidRPr="00734317">
        <w:rPr>
          <w:rFonts w:ascii="Palatino Linotype" w:eastAsia="Palatino Linotype" w:hAnsi="Palatino Linotype" w:cs="Palatino Linotype"/>
          <w:color w:val="000000"/>
        </w:rPr>
        <w:t>en su calidad de prestadora de servicios profesionales, de quien se requiere la información.</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A más de lo anterior, existen diversos precedentes resueltos por este Órgano Garante relacionados con el despacho de referencia como lo es el Recurso de Revisión 05268/INFOEM/IP/RR/2024, en el que se solicitó lo siguiente:</w:t>
      </w:r>
    </w:p>
    <w:p w:rsidR="00D84A80" w:rsidRPr="00734317" w:rsidRDefault="00D84A80">
      <w:pPr>
        <w:spacing w:line="360" w:lineRule="auto"/>
        <w:ind w:left="502"/>
        <w:jc w:val="both"/>
        <w:rPr>
          <w:rFonts w:ascii="Palatino Linotype" w:eastAsia="Palatino Linotype" w:hAnsi="Palatino Linotype" w:cs="Palatino Linotype"/>
          <w:color w:val="000000"/>
        </w:rPr>
      </w:pPr>
    </w:p>
    <w:p w:rsidR="00D84A80" w:rsidRPr="00734317" w:rsidRDefault="0016512A">
      <w:pPr>
        <w:spacing w:line="360" w:lineRule="auto"/>
        <w:ind w:left="502" w:right="567"/>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i/>
          <w:iCs/>
          <w:color w:val="000000"/>
        </w:rPr>
        <w:lastRenderedPageBreak/>
        <w:t>“solicito el documento oficial en donde otorgan a Alma Mirna Merino Fontova la facultad para ejercer como apoderada legal, asesora o equivalente, a partir de que fecha y por ordenes, instrucciones de quien, asi como los terminos legales que se dieron para la toma de decisiones del despacho y/o como persona, el recurso publico a favor de ella o de el despacho fontova que se le ha otorgado con el documento oficial que lo compruebe.”</w:t>
      </w:r>
      <w:r w:rsidRPr="00734317">
        <w:rPr>
          <w:rFonts w:ascii="Palatino Linotype" w:eastAsia="Palatino Linotype" w:hAnsi="Palatino Linotype" w:cs="Palatino Linotype"/>
          <w:color w:val="000000"/>
        </w:rPr>
        <w:t xml:space="preserve"> (Sic) </w:t>
      </w:r>
    </w:p>
    <w:p w:rsidR="00D84A80" w:rsidRPr="00734317" w:rsidRDefault="00D84A80">
      <w:pPr>
        <w:spacing w:line="360" w:lineRule="auto"/>
        <w:ind w:left="502"/>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Y en donde se modificó la respuesta y se ordenó la siguiente información:</w:t>
      </w:r>
    </w:p>
    <w:p w:rsidR="00D84A80" w:rsidRPr="00734317" w:rsidRDefault="0016512A">
      <w:pPr>
        <w:spacing w:line="360" w:lineRule="auto"/>
        <w:ind w:left="502"/>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w:t>
      </w:r>
      <w:r w:rsidRPr="00734317">
        <w:rPr>
          <w:rFonts w:ascii="Palatino Linotype" w:eastAsia="Palatino Linotype" w:hAnsi="Palatino Linotype" w:cs="Palatino Linotype"/>
          <w:i/>
          <w:iCs/>
          <w:color w:val="000000"/>
        </w:rPr>
        <w:t>Soporte documental, que dé cuenta del pago o pagos realizados a la persona física o al Despacho Externo referido en la solicitud de información, con motivo de la representación del Ayuntamiento."</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Recurso de Revisión 05264/INFOEM/IP/RR/2024 y acumulados, donde se solicitó:</w:t>
      </w:r>
    </w:p>
    <w:p w:rsidR="00D84A80" w:rsidRPr="00734317" w:rsidRDefault="0016512A">
      <w:pPr>
        <w:spacing w:line="360" w:lineRule="auto"/>
        <w:ind w:left="502"/>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Número de solicitud</w:t>
      </w:r>
      <w:r w:rsidRPr="00734317">
        <w:rPr>
          <w:rFonts w:ascii="Palatino Linotype" w:eastAsia="Palatino Linotype" w:hAnsi="Palatino Linotype" w:cs="Palatino Linotype"/>
          <w:color w:val="000000"/>
        </w:rPr>
        <w:tab/>
        <w:t>Información requerida.</w:t>
      </w:r>
    </w:p>
    <w:p w:rsidR="00D84A80" w:rsidRPr="00734317" w:rsidRDefault="0016512A">
      <w:pPr>
        <w:spacing w:line="360" w:lineRule="auto"/>
        <w:ind w:left="502"/>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01794/TOLUCA/IP/2024</w:t>
      </w:r>
      <w:r w:rsidRPr="00734317">
        <w:rPr>
          <w:rFonts w:ascii="Palatino Linotype" w:eastAsia="Palatino Linotype" w:hAnsi="Palatino Linotype" w:cs="Palatino Linotype"/>
          <w:color w:val="000000"/>
        </w:rPr>
        <w:tab/>
        <w:t>“solicito el documental /actas que me de cuenta de las sesiones de la comisión de prevención y atención a conflictos laborales en donde haya participado alma mirna merino fontova de 2022” (sic)</w:t>
      </w:r>
    </w:p>
    <w:p w:rsidR="00D84A80" w:rsidRPr="00734317" w:rsidRDefault="0016512A">
      <w:pPr>
        <w:spacing w:line="360" w:lineRule="auto"/>
        <w:ind w:left="502"/>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01793/TOLUCA/IP/2024</w:t>
      </w:r>
      <w:r w:rsidRPr="00734317">
        <w:rPr>
          <w:rFonts w:ascii="Palatino Linotype" w:eastAsia="Palatino Linotype" w:hAnsi="Palatino Linotype" w:cs="Palatino Linotype"/>
          <w:color w:val="000000"/>
        </w:rPr>
        <w:tab/>
        <w:t>“solicito el documental /actas que me de cuenta de las sesiones de la comisión de prevención y atención a conflictos laborales en donde haya participado alma mirna merino fontova de lo que va de 2023” (Sic)</w:t>
      </w:r>
    </w:p>
    <w:p w:rsidR="00D84A80" w:rsidRPr="00734317" w:rsidRDefault="0016512A">
      <w:pPr>
        <w:spacing w:line="360" w:lineRule="auto"/>
        <w:ind w:left="502"/>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01792/TOLUCA/IP/2024</w:t>
      </w:r>
      <w:r w:rsidRPr="00734317">
        <w:rPr>
          <w:rFonts w:ascii="Palatino Linotype" w:eastAsia="Palatino Linotype" w:hAnsi="Palatino Linotype" w:cs="Palatino Linotype"/>
          <w:color w:val="000000"/>
        </w:rPr>
        <w:tab/>
        <w:t>“solicito el documental /actas que me de cuenta de las sesiones de la comisión de prevención y atención a conflictos laborales en donde haya participado alma mirna merino fontova de lo que va de 2023” (Sic)</w:t>
      </w:r>
    </w:p>
    <w:p w:rsidR="00D84A80" w:rsidRPr="00734317" w:rsidRDefault="0016512A">
      <w:pPr>
        <w:spacing w:line="360" w:lineRule="auto"/>
        <w:ind w:left="502"/>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lastRenderedPageBreak/>
        <w:t>01791/TOLUCA/IP/2024</w:t>
      </w:r>
      <w:r w:rsidRPr="00734317">
        <w:rPr>
          <w:rFonts w:ascii="Palatino Linotype" w:eastAsia="Palatino Linotype" w:hAnsi="Palatino Linotype" w:cs="Palatino Linotype"/>
          <w:color w:val="000000"/>
        </w:rPr>
        <w:tab/>
        <w:t>“solicito el documental /actas que me de cuenta de las sesiones de la comisión de prevención y atención a conflictos laborales en donde haya participado alma mirna merino fontova de lo que va de 2024” (Sic)</w:t>
      </w:r>
    </w:p>
    <w:p w:rsidR="00D84A80" w:rsidRPr="00734317" w:rsidRDefault="00D84A80">
      <w:pPr>
        <w:spacing w:line="360" w:lineRule="auto"/>
        <w:ind w:left="502"/>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Donde se ordenaron las actas de la Cuarta y Quinta Sesión Ordinaria de la Comisión de Prevención y Atención de Conflictos Laborales del año 2024 remitidas en respuesta a la solicitud en una versión pública correcta. Lo anterior en virtud que el Ayuntamiento de Toluca entregó el acta de la primera sesión ordinaria de la Comisión de Prevención y Atención de Conflictos Laborales de fecha veinticuatro de agosto de dos mil veintidós, de la Segunda y Tercera Sesión Ordinaria de la Comisión de Prevención y Atención de Conflictos Laborales de fecha catorce de marzo de dos mil veintitrés y veintiocho de junio de dos mil veintitrés respectivamente, de la Segunda y Tercera Sesión Ordinaria de la Comisión de Prevención y Atención de Conflictos Laborales de dos mil veintitrés, de la cuarta y quinta de la Comisión de Prevención y Atención de Conflictos Laborales de dos mil veinticuatro.</w:t>
      </w:r>
    </w:p>
    <w:p w:rsidR="00D84A80" w:rsidRPr="00734317" w:rsidRDefault="00D84A80">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Recurso de Revisión 05268/INFOEM/IP/RR/2024, en donde se solicitó: </w:t>
      </w:r>
      <w:r w:rsidRPr="00734317">
        <w:rPr>
          <w:rFonts w:ascii="Palatino Linotype" w:eastAsia="Palatino Linotype" w:hAnsi="Palatino Linotype" w:cs="Palatino Linotype"/>
          <w:i/>
          <w:iCs/>
          <w:color w:val="000000"/>
        </w:rPr>
        <w:t xml:space="preserve">“solicito el documento oficial en donde otorgan a Alma Mirna Merino Fontova la facultad para ejercer como apoderada legal, asesora o equivalente, a partir de que fecha y por ordenes, instrucciones de quien, asi como los terminos legales que se dieron para la toma de decisiones del despacho y/o como persona, el recurso publico a favor de ella o de el despacho fontova que se le ha otorgado con el documento oficial que lo compruebe.”, </w:t>
      </w:r>
      <w:r w:rsidRPr="00734317">
        <w:rPr>
          <w:rFonts w:ascii="Palatino Linotype" w:eastAsia="Palatino Linotype" w:hAnsi="Palatino Linotype" w:cs="Palatino Linotype"/>
          <w:color w:val="000000"/>
        </w:rPr>
        <w:t>y en donde se ordenó:</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pBdr>
          <w:top w:val="nil"/>
          <w:left w:val="nil"/>
          <w:bottom w:val="nil"/>
          <w:right w:val="nil"/>
          <w:between w:val="nil"/>
        </w:pBdr>
        <w:spacing w:line="360" w:lineRule="auto"/>
        <w:ind w:left="720" w:right="680"/>
        <w:jc w:val="both"/>
        <w:rPr>
          <w:rFonts w:ascii="Palatino Linotype" w:eastAsia="Palatino Linotype" w:hAnsi="Palatino Linotype" w:cs="Palatino Linotype"/>
          <w:b/>
          <w:bCs/>
          <w:i/>
          <w:iCs/>
          <w:color w:val="000000"/>
        </w:rPr>
      </w:pPr>
      <w:r w:rsidRPr="00734317">
        <w:rPr>
          <w:rFonts w:ascii="Palatino Linotype" w:eastAsia="Palatino Linotype" w:hAnsi="Palatino Linotype" w:cs="Palatino Linotype"/>
          <w:b/>
          <w:bCs/>
          <w:i/>
          <w:iCs/>
          <w:color w:val="000000"/>
        </w:rPr>
        <w:lastRenderedPageBreak/>
        <w:t>“Soporte documental, que dé cuenta del pago o pagos realizados a la persona física o al Despacho Externo referido en la solicitud de información, con motivo de la representación del Ayuntamiento.”</w:t>
      </w:r>
    </w:p>
    <w:p w:rsidR="00D84A80" w:rsidRPr="00734317" w:rsidRDefault="00D84A80">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Finalmente señalar que también existe diverso soporte documental generado por el propio Ayuntamiento de Toluca, como lo son actas de la Comisión de Prevención y Atención de Conflictos Laborales, de la que se inserta como ejemplo el extracto de la siguiente correspondiente a la Primera Sesión Ordinaria del Ejercicio Fiscal 2022 (incluido en la temporalidad de la solicitud de información de </w:t>
      </w:r>
      <w:r w:rsidR="00734317" w:rsidRPr="00734317">
        <w:rPr>
          <w:rFonts w:ascii="Palatino Linotype" w:eastAsia="Palatino Linotype" w:hAnsi="Palatino Linotype" w:cs="Palatino Linotype"/>
          <w:color w:val="000000"/>
        </w:rPr>
        <w:t>mérito</w:t>
      </w:r>
      <w:r w:rsidRPr="00734317">
        <w:rPr>
          <w:rFonts w:ascii="Palatino Linotype" w:eastAsia="Palatino Linotype" w:hAnsi="Palatino Linotype" w:cs="Palatino Linotype"/>
          <w:color w:val="000000"/>
        </w:rPr>
        <w:t>):</w:t>
      </w:r>
    </w:p>
    <w:p w:rsidR="00D84A80" w:rsidRPr="00734317" w:rsidRDefault="0016512A">
      <w:pPr>
        <w:spacing w:line="360" w:lineRule="auto"/>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noProof/>
          <w:color w:val="000000"/>
          <w:lang w:val="es-MX"/>
        </w:rPr>
        <w:drawing>
          <wp:inline distT="0" distB="0" distL="0" distR="0">
            <wp:extent cx="5663565" cy="3937635"/>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63565" cy="3937635"/>
                    </a:xfrm>
                    <a:prstGeom prst="rect">
                      <a:avLst/>
                    </a:prstGeom>
                    <a:ln/>
                  </pic:spPr>
                </pic:pic>
              </a:graphicData>
            </a:graphic>
          </wp:inline>
        </w:drawing>
      </w:r>
    </w:p>
    <w:p w:rsidR="00D84A80" w:rsidRPr="00734317" w:rsidRDefault="00D84A80">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lastRenderedPageBreak/>
        <w:t xml:space="preserve">Por otro lado, respecto del despacho que el </w:t>
      </w:r>
      <w:r w:rsidRPr="00734317">
        <w:rPr>
          <w:rFonts w:ascii="Palatino Linotype" w:eastAsia="Palatino Linotype" w:hAnsi="Palatino Linotype" w:cs="Palatino Linotype"/>
          <w:b/>
          <w:bCs/>
          <w:color w:val="000000"/>
        </w:rPr>
        <w:t>RECURRENTE</w:t>
      </w:r>
      <w:r w:rsidRPr="00734317">
        <w:rPr>
          <w:rFonts w:ascii="Palatino Linotype" w:eastAsia="Palatino Linotype" w:hAnsi="Palatino Linotype" w:cs="Palatino Linotype"/>
          <w:color w:val="000000"/>
        </w:rPr>
        <w:t xml:space="preserve"> refiere como </w:t>
      </w:r>
      <w:r w:rsidRPr="00734317">
        <w:rPr>
          <w:rFonts w:ascii="Palatino Linotype" w:eastAsia="Palatino Linotype" w:hAnsi="Palatino Linotype" w:cs="Palatino Linotype"/>
          <w:i/>
          <w:iCs/>
          <w:color w:val="000000"/>
        </w:rPr>
        <w:t xml:space="preserve">CORAL NEGRO, </w:t>
      </w:r>
      <w:r w:rsidRPr="00734317">
        <w:rPr>
          <w:rFonts w:ascii="Palatino Linotype" w:eastAsia="Palatino Linotype" w:hAnsi="Palatino Linotype" w:cs="Palatino Linotype"/>
          <w:color w:val="000000"/>
        </w:rPr>
        <w:t>se localizaron múltiples notas periodísticas, como la siguiente:</w:t>
      </w:r>
    </w:p>
    <w:p w:rsidR="00D84A80" w:rsidRPr="00734317" w:rsidRDefault="0016512A">
      <w:pPr>
        <w:spacing w:line="360" w:lineRule="auto"/>
        <w:jc w:val="center"/>
        <w:rPr>
          <w:rFonts w:ascii="Palatino Linotype" w:eastAsia="Palatino Linotype" w:hAnsi="Palatino Linotype" w:cs="Palatino Linotype"/>
          <w:color w:val="000000"/>
        </w:rPr>
      </w:pPr>
      <w:r w:rsidRPr="00734317">
        <w:rPr>
          <w:rFonts w:ascii="Palatino Linotype" w:eastAsia="Palatino Linotype" w:hAnsi="Palatino Linotype" w:cs="Palatino Linotype"/>
          <w:noProof/>
          <w:color w:val="000000"/>
          <w:lang w:val="es-MX"/>
        </w:rPr>
        <w:drawing>
          <wp:inline distT="0" distB="0" distL="0" distR="0">
            <wp:extent cx="3877839" cy="4103901"/>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877839" cy="4103901"/>
                    </a:xfrm>
                    <a:prstGeom prst="rect">
                      <a:avLst/>
                    </a:prstGeom>
                    <a:ln/>
                  </pic:spPr>
                </pic:pic>
              </a:graphicData>
            </a:graphic>
          </wp:inline>
        </w:drawing>
      </w:r>
    </w:p>
    <w:p w:rsidR="00D84A80" w:rsidRPr="00734317" w:rsidRDefault="00D84A80">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Relativo a las notas periodísticas, si bien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734317">
        <w:rPr>
          <w:rFonts w:ascii="Palatino Linotype" w:eastAsia="Palatino Linotype" w:hAnsi="Palatino Linotype" w:cs="Palatino Linotype"/>
          <w:b/>
          <w:bCs/>
          <w:i/>
          <w:iCs/>
        </w:rPr>
        <w:t>“NOTAS PERIODISTICAS, EL CONOCIMIENTO QUE DE ELLAS SE OBTIENE NO CONSTITUYE ‘UN HECHO PUBLICO Y NOTORIO’”</w:t>
      </w:r>
      <w:r w:rsidRPr="00734317">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w:t>
      </w:r>
      <w:r w:rsidRPr="00734317">
        <w:rPr>
          <w:rFonts w:ascii="Palatino Linotype" w:eastAsia="Palatino Linotype" w:hAnsi="Palatino Linotype" w:cs="Palatino Linotype"/>
        </w:rPr>
        <w:lastRenderedPageBreak/>
        <w:t>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rsidR="00D84A80" w:rsidRPr="00734317" w:rsidRDefault="00D84A80">
      <w:pPr>
        <w:pBdr>
          <w:top w:val="nil"/>
          <w:left w:val="nil"/>
          <w:bottom w:val="nil"/>
          <w:right w:val="nil"/>
          <w:between w:val="nil"/>
        </w:pBdr>
        <w:spacing w:line="360" w:lineRule="auto"/>
        <w:ind w:right="-28"/>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Expuesto lo anterior, se cuenta con plena certeza de una contratación. Lo anterior cobra relevancia porque aun y con dicha evidencia, ha sido reiterado el pronunciamiento relativo a no localizar erogación alguna a los despachos que se refieren en las solicitudes de información; situación que se colige </w:t>
      </w:r>
      <w:r w:rsidRPr="00734317">
        <w:rPr>
          <w:rFonts w:ascii="Palatino Linotype" w:eastAsia="Palatino Linotype" w:hAnsi="Palatino Linotype" w:cs="Palatino Linotype"/>
          <w:color w:val="000000"/>
          <w:u w:val="single"/>
        </w:rPr>
        <w:t>pudiera</w:t>
      </w:r>
      <w:r w:rsidRPr="00734317">
        <w:rPr>
          <w:rFonts w:ascii="Palatino Linotype" w:eastAsia="Palatino Linotype" w:hAnsi="Palatino Linotype" w:cs="Palatino Linotype"/>
          <w:color w:val="000000"/>
        </w:rPr>
        <w:t xml:space="preserve"> corresponde a que los particulares en sus solicitudes de información, suelen no referir el nombre correcto del despacho externo, prestador del servicio.</w:t>
      </w:r>
    </w:p>
    <w:p w:rsidR="00D84A80" w:rsidRPr="00734317" w:rsidRDefault="00D84A80">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Contexto que no debiera ocurrir, al ser de explorado derecho: que no existe  obligatoriedad de los particulares de conocer los términos correctos o exactos técnicos, jurídicos o administrativos del soporte documental al que desean acceder, bastando con otorgar una expresión documental de la información que requieren.</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ese sentido el Criterio 028-10 emitido por el Pleno del entonces llamado Instituto Federal de Acceso a la Información y Protección de Datos, ahora </w:t>
      </w:r>
      <w:r w:rsidRPr="00734317">
        <w:rPr>
          <w:rFonts w:ascii="Palatino Linotype" w:eastAsia="Palatino Linotype" w:hAnsi="Palatino Linotype" w:cs="Palatino Linotype"/>
          <w:color w:val="000000"/>
        </w:rPr>
        <w:t>Instituto</w:t>
      </w:r>
      <w:r w:rsidRPr="00734317">
        <w:rPr>
          <w:rFonts w:ascii="Palatino Linotype" w:eastAsia="Palatino Linotype" w:hAnsi="Palatino Linotype" w:cs="Palatino Linotype"/>
        </w:rPr>
        <w:t xml:space="preserve"> Nacional de Transparencia, Acceso a la Información y Protección de Datos Personales: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w:t>
      </w:r>
      <w:r w:rsidRPr="00734317">
        <w:rPr>
          <w:rFonts w:ascii="Palatino Linotype" w:eastAsia="Palatino Linotype" w:hAnsi="Palatino Linotype" w:cs="Palatino Linotype"/>
        </w:rPr>
        <w:lastRenderedPageBreak/>
        <w:t>particular lleve a cabo una solicitud de información sin identificar de forma precisa la documentación, el sujeto obligado deberá entregar del mismo al solicitante mismo que a continuación se cita:</w:t>
      </w:r>
    </w:p>
    <w:p w:rsidR="00D84A80" w:rsidRDefault="0016512A">
      <w:pPr>
        <w:pBdr>
          <w:top w:val="nil"/>
          <w:left w:val="nil"/>
          <w:bottom w:val="nil"/>
          <w:right w:val="nil"/>
          <w:between w:val="nil"/>
        </w:pBdr>
        <w:shd w:val="clear" w:color="auto" w:fill="FFFFFF"/>
        <w:spacing w:line="360" w:lineRule="auto"/>
        <w:ind w:left="567" w:right="616"/>
        <w:jc w:val="both"/>
        <w:rPr>
          <w:rFonts w:ascii="Palatino Linotype" w:eastAsia="Palatino Linotype" w:hAnsi="Palatino Linotype" w:cs="Palatino Linotype"/>
          <w:i/>
          <w:iCs/>
          <w:color w:val="222222"/>
        </w:rPr>
      </w:pPr>
      <w:r w:rsidRPr="00734317">
        <w:rPr>
          <w:rFonts w:ascii="Palatino Linotype" w:eastAsia="Palatino Linotype" w:hAnsi="Palatino Linotype" w:cs="Palatino Linotype"/>
          <w:b/>
          <w:bCs/>
          <w:i/>
          <w:iCs/>
          <w:color w:val="222222"/>
        </w:rPr>
        <w:t>“Cuando en una solicitud de información no se identifique un documento en específico, si ésta tiene una expresión documental, el sujeto obligado deberá entregar al particular el documento en específico.</w:t>
      </w:r>
      <w:r w:rsidRPr="00734317">
        <w:rPr>
          <w:rFonts w:ascii="Palatino Linotype" w:eastAsia="Palatino Linotype" w:hAnsi="Palatino Linotype" w:cs="Palatino Linotype"/>
          <w:i/>
          <w:iCs/>
          <w:color w:val="2222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734317" w:rsidRPr="00734317" w:rsidRDefault="00734317">
      <w:pPr>
        <w:pBdr>
          <w:top w:val="nil"/>
          <w:left w:val="nil"/>
          <w:bottom w:val="nil"/>
          <w:right w:val="nil"/>
          <w:between w:val="nil"/>
        </w:pBdr>
        <w:shd w:val="clear" w:color="auto" w:fill="FFFFFF"/>
        <w:spacing w:line="360" w:lineRule="auto"/>
        <w:ind w:left="567" w:right="616"/>
        <w:jc w:val="both"/>
        <w:rPr>
          <w:rFonts w:ascii="Palatino Linotype" w:eastAsia="Palatino Linotype" w:hAnsi="Palatino Linotype" w:cs="Palatino Linotype"/>
          <w:color w:val="222222"/>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Robustece lo anterior el Criterio orientador 16/17 emitido de igual forma por el entonces Instituto Nacional de Transparencia, Acceso a la Información y Protección de Datos Personales que a la literalidad prevé:</w:t>
      </w: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lastRenderedPageBreak/>
        <w:t>“Expresión documental</w:t>
      </w:r>
      <w:r w:rsidRPr="00734317">
        <w:rPr>
          <w:rFonts w:ascii="Palatino Linotype" w:eastAsia="Palatino Linotype" w:hAnsi="Palatino Linotype" w:cs="Palatino Linotype"/>
          <w:i/>
          <w:iCs/>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D84A80" w:rsidRPr="00734317" w:rsidRDefault="00D84A80">
      <w:pPr>
        <w:spacing w:line="360" w:lineRule="auto"/>
        <w:ind w:left="567" w:right="616"/>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Por lo que en relatadas circunstancias lo procedente es la aplicación de la suplencia de la queja en favor del solicitante; que corresponde a la </w:t>
      </w:r>
      <w:r w:rsidRPr="00734317">
        <w:rPr>
          <w:rFonts w:ascii="Palatino Linotype" w:eastAsia="Palatino Linotype" w:hAnsi="Palatino Linotype" w:cs="Palatino Linotype"/>
          <w:b/>
          <w:bCs/>
        </w:rPr>
        <w:t xml:space="preserve">figura que prevé la ley de la </w:t>
      </w:r>
      <w:r w:rsidRPr="00734317">
        <w:rPr>
          <w:rFonts w:ascii="Palatino Linotype" w:eastAsia="Palatino Linotype" w:hAnsi="Palatino Linotype" w:cs="Palatino Linotype"/>
        </w:rPr>
        <w:t>materia</w:t>
      </w:r>
      <w:r w:rsidRPr="00734317">
        <w:rPr>
          <w:rFonts w:ascii="Palatino Linotype" w:eastAsia="Palatino Linotype" w:hAnsi="Palatino Linotype" w:cs="Palatino Linotype"/>
          <w:b/>
          <w:bCs/>
        </w:rPr>
        <w:t xml:space="preserve"> para subsanar errores técnicos</w:t>
      </w:r>
      <w:r w:rsidRPr="00734317">
        <w:rPr>
          <w:rFonts w:ascii="Palatino Linotype" w:eastAsia="Palatino Linotype" w:hAnsi="Palatino Linotype" w:cs="Palatino Linotype"/>
        </w:rPr>
        <w:t xml:space="preserve"> o la eventual falta de conocimientos del ciudadano, </w:t>
      </w:r>
      <w:r w:rsidRPr="00734317">
        <w:rPr>
          <w:rFonts w:ascii="Palatino Linotype" w:eastAsia="Palatino Linotype" w:hAnsi="Palatino Linotype" w:cs="Palatino Linotype"/>
          <w:b/>
          <w:bCs/>
        </w:rPr>
        <w:t>garantizando así que el acceso a la información sea efectivo y no meramente formal</w:t>
      </w:r>
      <w:r w:rsidRPr="00734317">
        <w:rPr>
          <w:rFonts w:ascii="Palatino Linotype" w:eastAsia="Palatino Linotype" w:hAnsi="Palatino Linotype" w:cs="Palatino Linotype"/>
        </w:rPr>
        <w:t>.</w:t>
      </w:r>
    </w:p>
    <w:p w:rsidR="00D84A80" w:rsidRPr="00734317" w:rsidRDefault="00D84A80">
      <w:pPr>
        <w:spacing w:line="360" w:lineRule="auto"/>
        <w:ind w:right="49"/>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222222"/>
        </w:rPr>
      </w:pPr>
      <w:r w:rsidRPr="00734317">
        <w:rPr>
          <w:rFonts w:ascii="Palatino Linotype" w:eastAsia="Palatino Linotype" w:hAnsi="Palatino Linotype" w:cs="Palatino Linotype"/>
          <w:color w:val="222222"/>
        </w:rPr>
        <w:t>En ese contexto, la Ley de Transparencia y Acceso a la información Pública del Estado de México y Municipios contempla la suplencia de la deficiencia para garantizar el derecho de acceso de acceso a la información pública a favor del recurrente, sin que se cambien los hechos expuestos por éste; lo cual, encuentra sustento en la jurisprudencia emitida por la Suprema Corte de Justicia de la Nación que a continuación se inserta:</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 xml:space="preserve">“SUPLENCIA DE LA QUEJA DEFICIENTE. DEBE HACERSE A PARTIR DE LOS CONCEPTOS DE VIOLACIÓN O, EN SU CASO, DE LOS AGRAVIOS EXPRESADOS, POR LO TANTO NO ES ILIMITADA. </w:t>
      </w:r>
      <w:r w:rsidRPr="00734317">
        <w:rPr>
          <w:rFonts w:ascii="Palatino Linotype" w:eastAsia="Palatino Linotype" w:hAnsi="Palatino Linotype" w:cs="Palatino Linotype"/>
          <w:i/>
          <w:iCs/>
        </w:rPr>
        <w:t xml:space="preserve">El artículo 76 bis de la Ley de Amparo señala que la suplencia de la queja deficiente se entiende referida a los conceptos de violación y, en su caso, a los agravios, es decir, a la materia misma del juicio de garantías, por lo que debe considerarse que dicho precepto limita el ámbito de aplicación de tal figura a las cuestiones relacionadas con el fondo del asunto, de ahí que dicha suplencia no sea aplicable a </w:t>
      </w:r>
      <w:r w:rsidRPr="00734317">
        <w:rPr>
          <w:rFonts w:ascii="Palatino Linotype" w:eastAsia="Palatino Linotype" w:hAnsi="Palatino Linotype" w:cs="Palatino Linotype"/>
          <w:i/>
          <w:iCs/>
        </w:rPr>
        <w:lastRenderedPageBreak/>
        <w:t>la procedencia del juicio de amparo. En ese tenor, a excepción de la materia penal, el órgano de control constitucional no puede libremente realizar el examen del precepto legal reclamado o de la resolución recurrida, sino que debe hacerlo a partir de lo expresado en los conceptos de violación o, en su caso, en los agravios, de manera que sin la existencia de un mínimo razonamiento expresado en la demanda, esto es, sin la elemental causa de pedir, el juzgador no se encuentra en aptitud de resolver si el acto reclamado es o no violatorio de garantías, porque la suplencia de la queja deficiente es una institución procesal que si bien fue establecida con la finalidad de hacer prevalecer las garantías que otorga la Constitución Federal, no deja de estar sujeta a los requisitos previstos al efecto, tanto en la Ley Fundamental como en la Ley de Amparo.”</w:t>
      </w:r>
    </w:p>
    <w:p w:rsidR="00D84A80" w:rsidRPr="00734317" w:rsidRDefault="00D84A80">
      <w:pPr>
        <w:spacing w:line="360" w:lineRule="auto"/>
        <w:ind w:left="851" w:right="902"/>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222222"/>
        </w:rPr>
      </w:pPr>
      <w:r w:rsidRPr="00734317">
        <w:rPr>
          <w:rFonts w:ascii="Palatino Linotype" w:eastAsia="Palatino Linotype" w:hAnsi="Palatino Linotype" w:cs="Palatino Linotype"/>
          <w:color w:val="222222"/>
        </w:rPr>
        <w:t>De modo tal que debe interpretarse la solicitud de información atendiendo el principio de interpretación más favorable a la persona</w:t>
      </w:r>
      <w:r w:rsidRPr="00734317">
        <w:rPr>
          <w:rFonts w:ascii="Palatino Linotype" w:eastAsia="Palatino Linotype" w:hAnsi="Palatino Linotype" w:cs="Palatino Linotype"/>
          <w:color w:val="222222"/>
          <w:vertAlign w:val="superscript"/>
        </w:rPr>
        <w:footnoteReference w:id="1"/>
      </w:r>
      <w:r w:rsidRPr="00734317">
        <w:rPr>
          <w:rFonts w:ascii="Palatino Linotype" w:eastAsia="Palatino Linotype" w:hAnsi="Palatino Linotype" w:cs="Palatino Linotype"/>
          <w:color w:val="222222"/>
        </w:rPr>
        <w:t>, con fundamento en los artículos 13 y 181 cuarto párrafo de la Ley de la Materia, que rezan así:</w:t>
      </w:r>
    </w:p>
    <w:p w:rsidR="00D84A80" w:rsidRPr="00734317" w:rsidRDefault="00D84A80">
      <w:pPr>
        <w:spacing w:line="360" w:lineRule="auto"/>
        <w:jc w:val="both"/>
        <w:rPr>
          <w:rFonts w:ascii="Palatino Linotype" w:eastAsia="Palatino Linotype" w:hAnsi="Palatino Linotype" w:cs="Palatino Linotype"/>
          <w:color w:val="222222"/>
        </w:rPr>
      </w:pPr>
    </w:p>
    <w:p w:rsidR="00D84A80" w:rsidRPr="00734317" w:rsidRDefault="0016512A">
      <w:pPr>
        <w:spacing w:line="360" w:lineRule="auto"/>
        <w:ind w:left="851" w:right="1043"/>
        <w:jc w:val="both"/>
        <w:rPr>
          <w:rFonts w:ascii="Palatino Linotype" w:eastAsia="Palatino Linotype" w:hAnsi="Palatino Linotype" w:cs="Palatino Linotype"/>
          <w:i/>
          <w:iCs/>
          <w:color w:val="222222"/>
        </w:rPr>
      </w:pPr>
      <w:r w:rsidRPr="00734317">
        <w:rPr>
          <w:rFonts w:ascii="Palatino Linotype" w:eastAsia="Palatino Linotype" w:hAnsi="Palatino Linotype" w:cs="Palatino Linotype"/>
          <w:b/>
          <w:bCs/>
          <w:i/>
          <w:iCs/>
          <w:color w:val="222222"/>
        </w:rPr>
        <w:lastRenderedPageBreak/>
        <w:t>“Artículo 13.</w:t>
      </w:r>
      <w:r w:rsidRPr="00734317">
        <w:rPr>
          <w:rFonts w:ascii="Palatino Linotype" w:eastAsia="Palatino Linotype" w:hAnsi="Palatino Linotype" w:cs="Palatino Linotype"/>
          <w:i/>
          <w:iCs/>
          <w:color w:val="222222"/>
        </w:rPr>
        <w:t xml:space="preserve"> El Instituto, en el ámbito de sus atribuciones, deberá suplir cualquier deficiencia para garantizar el ejercicio del derecho de acceso a la información.</w:t>
      </w:r>
    </w:p>
    <w:p w:rsidR="00D84A80" w:rsidRPr="00734317" w:rsidRDefault="00D84A80">
      <w:pPr>
        <w:spacing w:line="360" w:lineRule="auto"/>
        <w:ind w:left="851" w:right="1043"/>
        <w:jc w:val="both"/>
        <w:rPr>
          <w:rFonts w:ascii="Palatino Linotype" w:eastAsia="Palatino Linotype" w:hAnsi="Palatino Linotype" w:cs="Palatino Linotype"/>
          <w:i/>
          <w:iCs/>
          <w:color w:val="222222"/>
        </w:rPr>
      </w:pPr>
    </w:p>
    <w:p w:rsidR="00D84A80" w:rsidRPr="00734317" w:rsidRDefault="0016512A">
      <w:pPr>
        <w:spacing w:line="360" w:lineRule="auto"/>
        <w:ind w:left="851" w:right="1041"/>
        <w:jc w:val="both"/>
        <w:rPr>
          <w:rFonts w:ascii="Palatino Linotype" w:eastAsia="Palatino Linotype" w:hAnsi="Palatino Linotype" w:cs="Palatino Linotype"/>
          <w:i/>
          <w:iCs/>
          <w:color w:val="222222"/>
        </w:rPr>
      </w:pPr>
      <w:r w:rsidRPr="00734317">
        <w:rPr>
          <w:rFonts w:ascii="Palatino Linotype" w:eastAsia="Palatino Linotype" w:hAnsi="Palatino Linotype" w:cs="Palatino Linotype"/>
          <w:b/>
          <w:bCs/>
          <w:i/>
          <w:iCs/>
          <w:color w:val="222222"/>
        </w:rPr>
        <w:t>Artículo 181.</w:t>
      </w:r>
      <w:r w:rsidRPr="00734317">
        <w:rPr>
          <w:rFonts w:ascii="Palatino Linotype" w:eastAsia="Palatino Linotype" w:hAnsi="Palatino Linotype" w:cs="Palatino Linotype"/>
          <w:i/>
          <w:iCs/>
          <w:color w:val="222222"/>
        </w:rPr>
        <w:t xml:space="preserve"> …</w:t>
      </w:r>
      <w:r w:rsidRPr="00734317">
        <w:rPr>
          <w:rFonts w:ascii="Palatino Linotype" w:eastAsia="Palatino Linotype" w:hAnsi="Palatino Linotype" w:cs="Palatino Linotype"/>
          <w:i/>
          <w:iCs/>
        </w:rPr>
        <w:t xml:space="preserve"> </w:t>
      </w:r>
      <w:r w:rsidRPr="00734317">
        <w:rPr>
          <w:rFonts w:ascii="Palatino Linotype" w:eastAsia="Palatino Linotype" w:hAnsi="Palatino Linotype" w:cs="Palatino Linotype"/>
          <w:i/>
          <w:iCs/>
          <w:color w:val="2222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D84A80" w:rsidRPr="00734317" w:rsidRDefault="00D84A80">
      <w:pPr>
        <w:spacing w:line="360" w:lineRule="auto"/>
        <w:ind w:left="851" w:right="1041"/>
        <w:jc w:val="both"/>
        <w:rPr>
          <w:rFonts w:ascii="Palatino Linotype" w:eastAsia="Palatino Linotype" w:hAnsi="Palatino Linotype" w:cs="Palatino Linotype"/>
          <w:i/>
          <w:iCs/>
          <w:color w:val="222222"/>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222222"/>
        </w:rPr>
      </w:pPr>
      <w:r w:rsidRPr="00734317">
        <w:rPr>
          <w:rFonts w:ascii="Palatino Linotype" w:eastAsia="Palatino Linotype" w:hAnsi="Palatino Linotype" w:cs="Palatino Linotype"/>
          <w:color w:val="222222"/>
        </w:rPr>
        <w:t xml:space="preserve">En ese contexto, si bien este </w:t>
      </w:r>
      <w:r w:rsidRPr="00734317">
        <w:rPr>
          <w:rFonts w:ascii="Palatino Linotype" w:eastAsia="Palatino Linotype" w:hAnsi="Palatino Linotype" w:cs="Palatino Linotype"/>
        </w:rPr>
        <w:t xml:space="preserve">Instituto de Transparencia como Órgano Garante de la difusión, </w:t>
      </w:r>
      <w:r w:rsidRPr="00734317">
        <w:rPr>
          <w:rFonts w:ascii="Palatino Linotype" w:eastAsia="Palatino Linotype" w:hAnsi="Palatino Linotype" w:cs="Palatino Linotype"/>
          <w:color w:val="222222"/>
        </w:rPr>
        <w:t>protección</w:t>
      </w:r>
      <w:r w:rsidRPr="00734317">
        <w:rPr>
          <w:rFonts w:ascii="Palatino Linotype" w:eastAsia="Palatino Linotype" w:hAnsi="Palatino Linotype" w:cs="Palatino Linotype"/>
        </w:rPr>
        <w:t xml:space="preserve"> y respeto al derecho de acceso a la información pública y a la protección de </w:t>
      </w:r>
      <w:r w:rsidRPr="00734317">
        <w:rPr>
          <w:rFonts w:ascii="Palatino Linotype" w:eastAsia="Palatino Linotype" w:hAnsi="Palatino Linotype" w:cs="Palatino Linotype"/>
          <w:color w:val="222222"/>
        </w:rPr>
        <w:t>datos</w:t>
      </w:r>
      <w:r w:rsidRPr="00734317">
        <w:rPr>
          <w:rFonts w:ascii="Palatino Linotype" w:eastAsia="Palatino Linotype" w:hAnsi="Palatino Linotype" w:cs="Palatino Linotype"/>
        </w:rPr>
        <w:t xml:space="preserve"> personales, conforme a su naturaleza jurídica y a las atribuciones previstas en los artículos 29 y 36 de la Ley de Transparencia y Acceso a la Información Pública del Estado de México y Municipios, es competente para resolver los recursos de revisión, cuando se niegue la información solicitada, se les entregue la información incompleta, no corresponda a la solicitada y/o el particular considere que la respuesta es desfavorable a su solicitud.</w:t>
      </w:r>
    </w:p>
    <w:p w:rsidR="00D84A80" w:rsidRPr="00734317" w:rsidRDefault="00D84A80">
      <w:pPr>
        <w:spacing w:line="360" w:lineRule="auto"/>
        <w:ind w:right="49"/>
        <w:jc w:val="both"/>
        <w:rPr>
          <w:rFonts w:ascii="Palatino Linotype" w:eastAsia="Palatino Linotype" w:hAnsi="Palatino Linotype" w:cs="Palatino Linotype"/>
          <w:color w:val="222222"/>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color w:val="222222"/>
        </w:rPr>
        <w:t xml:space="preserve">Luego entonces supliendo la deficiencia de la queja en favor del particular, resulta procedente </w:t>
      </w:r>
      <w:r w:rsidRPr="00734317">
        <w:rPr>
          <w:rFonts w:ascii="Palatino Linotype" w:eastAsia="Palatino Linotype" w:hAnsi="Palatino Linotype" w:cs="Palatino Linotype"/>
        </w:rPr>
        <w:t>que</w:t>
      </w:r>
      <w:r w:rsidRPr="00734317">
        <w:rPr>
          <w:rFonts w:ascii="Palatino Linotype" w:eastAsia="Palatino Linotype" w:hAnsi="Palatino Linotype" w:cs="Palatino Linotype"/>
          <w:color w:val="222222"/>
        </w:rPr>
        <w:t xml:space="preserve"> </w:t>
      </w:r>
      <w:r w:rsidRPr="00734317">
        <w:rPr>
          <w:rFonts w:ascii="Palatino Linotype" w:eastAsia="Palatino Linotype" w:hAnsi="Palatino Linotype" w:cs="Palatino Linotype"/>
        </w:rPr>
        <w:t>la</w:t>
      </w:r>
      <w:r w:rsidRPr="00734317">
        <w:rPr>
          <w:rFonts w:ascii="Palatino Linotype" w:eastAsia="Palatino Linotype" w:hAnsi="Palatino Linotype" w:cs="Palatino Linotype"/>
          <w:color w:val="222222"/>
        </w:rPr>
        <w:t xml:space="preserve"> solicitud de información verse respecto del Despacho Externo </w:t>
      </w:r>
      <w:r w:rsidRPr="00734317">
        <w:rPr>
          <w:rFonts w:ascii="Palatino Linotype" w:eastAsia="Palatino Linotype" w:hAnsi="Palatino Linotype" w:cs="Palatino Linotype"/>
        </w:rPr>
        <w:t>MFONTOVA ASOC S.C. y Corporativo y Administrativo Coral Negro”, S.A. de C.V., lo que no cambia los hechos expuestos de manera inicial.</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Luego entonces, resulta dable ordenar se emprenda una nueva búsqueda exhaustiva y razonable de lo solicitado en el rubro en análisis, </w:t>
      </w:r>
      <w:r w:rsidRPr="00734317">
        <w:rPr>
          <w:rFonts w:ascii="Palatino Linotype" w:eastAsia="Palatino Linotype" w:hAnsi="Palatino Linotype" w:cs="Palatino Linotype"/>
          <w:i/>
          <w:iCs/>
        </w:rPr>
        <w:t>máxime</w:t>
      </w:r>
      <w:r w:rsidRPr="00734317">
        <w:rPr>
          <w:rFonts w:ascii="Palatino Linotype" w:eastAsia="Palatino Linotype" w:hAnsi="Palatino Linotype" w:cs="Palatino Linotype"/>
        </w:rPr>
        <w:t xml:space="preserve"> que el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xml:space="preserve"> </w:t>
      </w:r>
      <w:r w:rsidRPr="00734317">
        <w:rPr>
          <w:rFonts w:ascii="Palatino Linotype" w:eastAsia="Palatino Linotype" w:hAnsi="Palatino Linotype" w:cs="Palatino Linotype"/>
        </w:rPr>
        <w:lastRenderedPageBreak/>
        <w:t>tiene la obligación de documentar el soporte documental generado con motivo de una contratación.</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ese sentido es necesario traer a colación que el artículo 1 de la Ley de Contratación Pública del Estado de México y Municipios, tiene por objeto regular los actos relativos a la planeación, programación, presupuestación, ejecución y control de la adquisición, enajenación y arrendamiento de bienes, así como </w:t>
      </w:r>
      <w:r w:rsidRPr="00734317">
        <w:rPr>
          <w:rFonts w:ascii="Palatino Linotype" w:eastAsia="Palatino Linotype" w:hAnsi="Palatino Linotype" w:cs="Palatino Linotype"/>
          <w:b/>
          <w:bCs/>
          <w:u w:val="single"/>
        </w:rPr>
        <w:t>la contratación de servicios de cualquier naturaleza</w:t>
      </w:r>
      <w:r w:rsidRPr="00734317">
        <w:rPr>
          <w:rFonts w:ascii="Palatino Linotype" w:eastAsia="Palatino Linotype" w:hAnsi="Palatino Linotype" w:cs="Palatino Linotype"/>
        </w:rPr>
        <w:t xml:space="preserve">, que realicen diversas entidades públicas, entre ellas, </w:t>
      </w:r>
      <w:r w:rsidRPr="00734317">
        <w:rPr>
          <w:rFonts w:ascii="Palatino Linotype" w:eastAsia="Palatino Linotype" w:hAnsi="Palatino Linotype" w:cs="Palatino Linotype"/>
          <w:b/>
          <w:bCs/>
          <w:u w:val="single"/>
        </w:rPr>
        <w:t>las secretarías y las unidades administrativas del Poder _Ejecutivo del Estado</w:t>
      </w:r>
      <w:r w:rsidRPr="00734317">
        <w:rPr>
          <w:rFonts w:ascii="Palatino Linotype" w:eastAsia="Palatino Linotype" w:hAnsi="Palatino Linotype" w:cs="Palatino Linotype"/>
        </w:rPr>
        <w:t xml:space="preserve">, tal como se advierte a continuación: </w:t>
      </w:r>
    </w:p>
    <w:p w:rsidR="00D84A80" w:rsidRPr="00734317" w:rsidRDefault="0016512A">
      <w:pPr>
        <w:spacing w:line="360" w:lineRule="auto"/>
        <w:ind w:left="567" w:right="333"/>
        <w:jc w:val="both"/>
        <w:rPr>
          <w:rFonts w:ascii="Palatino Linotype" w:eastAsia="Palatino Linotype" w:hAnsi="Palatino Linotype" w:cs="Palatino Linotype"/>
          <w:i/>
          <w:iCs/>
        </w:rPr>
      </w:pPr>
      <w:r w:rsidRPr="00734317">
        <w:rPr>
          <w:rFonts w:ascii="Palatino Linotype" w:eastAsia="Palatino Linotype" w:hAnsi="Palatino Linotype" w:cs="Palatino Linotype"/>
          <w:b/>
          <w:bCs/>
        </w:rPr>
        <w:t>Artículo 1.-</w:t>
      </w:r>
      <w:r w:rsidRPr="00734317">
        <w:rPr>
          <w:rFonts w:ascii="Palatino Linotype" w:eastAsia="Palatino Linotype" w:hAnsi="Palatino Linotype" w:cs="Palatino Linotype"/>
          <w:i/>
          <w:iCs/>
        </w:rPr>
        <w:t xml:space="preserve"> Esta Ley tiene por objeto regular los actos relativos a la planeación, programación, presupuestación, ejecución y control de la adquisición, enajenación y arrendamiento de bienes, </w:t>
      </w:r>
      <w:r w:rsidRPr="00734317">
        <w:rPr>
          <w:rFonts w:ascii="Palatino Linotype" w:eastAsia="Palatino Linotype" w:hAnsi="Palatino Linotype" w:cs="Palatino Linotype"/>
          <w:b/>
          <w:bCs/>
          <w:i/>
          <w:iCs/>
          <w:u w:val="single"/>
        </w:rPr>
        <w:t>y la contratación de servicios de cualquier naturaleza</w:t>
      </w:r>
      <w:r w:rsidRPr="00734317">
        <w:rPr>
          <w:rFonts w:ascii="Palatino Linotype" w:eastAsia="Palatino Linotype" w:hAnsi="Palatino Linotype" w:cs="Palatino Linotype"/>
          <w:i/>
          <w:iCs/>
        </w:rPr>
        <w:t xml:space="preserve">, que realicen: </w:t>
      </w:r>
    </w:p>
    <w:p w:rsidR="00D84A80" w:rsidRPr="00734317" w:rsidRDefault="0016512A">
      <w:pPr>
        <w:spacing w:line="360" w:lineRule="auto"/>
        <w:ind w:left="567" w:right="333"/>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I. Las secretarías y las unidades administrativas del Poder Ejecutivo del Estado. </w:t>
      </w:r>
    </w:p>
    <w:p w:rsidR="00D84A80" w:rsidRPr="00734317" w:rsidRDefault="0016512A">
      <w:pPr>
        <w:spacing w:line="360" w:lineRule="auto"/>
        <w:ind w:left="567" w:right="333"/>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II. La Procuraduría General de Justicia. </w:t>
      </w:r>
    </w:p>
    <w:p w:rsidR="00D84A80" w:rsidRPr="00734317" w:rsidRDefault="0016512A">
      <w:pPr>
        <w:spacing w:line="360" w:lineRule="auto"/>
        <w:ind w:left="567" w:right="333"/>
        <w:jc w:val="both"/>
        <w:rPr>
          <w:rFonts w:ascii="Palatino Linotype" w:eastAsia="Palatino Linotype" w:hAnsi="Palatino Linotype" w:cs="Palatino Linotype"/>
          <w:b/>
          <w:bCs/>
          <w:i/>
          <w:iCs/>
          <w:u w:val="single"/>
        </w:rPr>
      </w:pPr>
      <w:r w:rsidRPr="00734317">
        <w:rPr>
          <w:rFonts w:ascii="Palatino Linotype" w:eastAsia="Palatino Linotype" w:hAnsi="Palatino Linotype" w:cs="Palatino Linotype"/>
          <w:b/>
          <w:bCs/>
          <w:i/>
          <w:iCs/>
          <w:u w:val="single"/>
        </w:rPr>
        <w:t xml:space="preserve">III. Los ayuntamientos de los municipios del Estado. </w:t>
      </w:r>
    </w:p>
    <w:p w:rsidR="00D84A80" w:rsidRPr="00734317" w:rsidRDefault="0016512A">
      <w:pPr>
        <w:spacing w:line="360" w:lineRule="auto"/>
        <w:ind w:left="567" w:right="333"/>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IV. Los organismos auxiliares y fideicomisos públicos, de carácter estatal o municipal. </w:t>
      </w:r>
    </w:p>
    <w:p w:rsidR="00D84A80" w:rsidRPr="00734317" w:rsidRDefault="0016512A">
      <w:pPr>
        <w:spacing w:line="360" w:lineRule="auto"/>
        <w:ind w:left="567" w:right="333"/>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V. Los tribunales administrativos.</w:t>
      </w:r>
    </w:p>
    <w:p w:rsidR="00D84A80" w:rsidRPr="00734317" w:rsidRDefault="00D84A80">
      <w:pPr>
        <w:spacing w:line="360" w:lineRule="auto"/>
        <w:ind w:left="567" w:right="333"/>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En ese mismo orden de ideas, los artículos 4, fracción VIII, 5, 13 y 14 de la Ley de Contratación Pública Estatal, precisan lo siguiente:</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spacing w:line="360" w:lineRule="auto"/>
        <w:ind w:lef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lastRenderedPageBreak/>
        <w:t>Artículo 4.-</w:t>
      </w:r>
      <w:r w:rsidRPr="00734317">
        <w:rPr>
          <w:rFonts w:ascii="Palatino Linotype" w:eastAsia="Palatino Linotype" w:hAnsi="Palatino Linotype" w:cs="Palatino Linotype"/>
          <w:i/>
          <w:iCs/>
        </w:rPr>
        <w:t xml:space="preserve"> Para los efectos de esta Ley, en las adquisiciones, enajenaciones, arrendamientos y servicios, quedan comprendidos:</w:t>
      </w:r>
    </w:p>
    <w:p w:rsidR="00D84A80" w:rsidRPr="00734317" w:rsidRDefault="0016512A">
      <w:pPr>
        <w:spacing w:line="360" w:lineRule="auto"/>
        <w:ind w:lef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w:t>
      </w:r>
    </w:p>
    <w:p w:rsidR="00D84A80" w:rsidRPr="00734317" w:rsidRDefault="0016512A">
      <w:pPr>
        <w:spacing w:line="360" w:lineRule="auto"/>
        <w:ind w:lef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VIII. La prestación de servicios profesionales, la contratación de consultorías, asesorías y estudios e investigaciones, excepto la contratación de servicios personales de personas físicas bajo el régimen de honorarios. </w:t>
      </w:r>
    </w:p>
    <w:p w:rsidR="00D84A80" w:rsidRPr="00734317" w:rsidRDefault="00D84A80">
      <w:pPr>
        <w:spacing w:line="360" w:lineRule="auto"/>
        <w:ind w:left="567"/>
        <w:jc w:val="both"/>
        <w:rPr>
          <w:rFonts w:ascii="Palatino Linotype" w:eastAsia="Palatino Linotype" w:hAnsi="Palatino Linotype" w:cs="Palatino Linotype"/>
          <w:i/>
          <w:iCs/>
        </w:rPr>
      </w:pPr>
    </w:p>
    <w:p w:rsidR="00D84A80" w:rsidRPr="00734317" w:rsidRDefault="0016512A">
      <w:pPr>
        <w:spacing w:line="360" w:lineRule="auto"/>
        <w:ind w:lef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En general, otros actos que impliquen la contratación de servicios de cualquier naturaleza.</w:t>
      </w: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5.-</w:t>
      </w:r>
      <w:r w:rsidRPr="00734317">
        <w:rPr>
          <w:rFonts w:ascii="Palatino Linotype" w:eastAsia="Palatino Linotype" w:hAnsi="Palatino Linotype" w:cs="Palatino Linotype"/>
          <w:i/>
          <w:iCs/>
        </w:rPr>
        <w:t xml:space="preserve"> La Secretaría llevará a cabo los procedimientos de adquisición de bienes o servicios que requieran las dependencias, conforme a sus respectivos programas de adquisiciones. </w:t>
      </w: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Las entidades, tribunales administrativos y ayuntamientos, en el ámbito de su respectiva competencia, tendrán a su cargo el trámite de los procedimientos de adquisición de bienes, contratación de servicios, arrendamientos y enajenaciones de bienes muebles e inmuebles. </w:t>
      </w: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rsidR="00D84A80" w:rsidRPr="00734317" w:rsidRDefault="00D84A80">
      <w:pPr>
        <w:spacing w:line="360" w:lineRule="auto"/>
        <w:ind w:left="567" w:right="616"/>
        <w:jc w:val="both"/>
        <w:rPr>
          <w:rFonts w:ascii="Palatino Linotype" w:eastAsia="Palatino Linotype" w:hAnsi="Palatino Linotype" w:cs="Palatino Linotype"/>
          <w:i/>
          <w:iCs/>
        </w:rPr>
      </w:pP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13.-</w:t>
      </w:r>
      <w:r w:rsidRPr="00734317">
        <w:rPr>
          <w:rFonts w:ascii="Palatino Linotype" w:eastAsia="Palatino Linotype" w:hAnsi="Palatino Linotype" w:cs="Palatino Linotype"/>
          <w:i/>
          <w:iCs/>
        </w:rPr>
        <w:t xml:space="preserve"> Las dependencias y entidades deberán presentar a la Secretaría sus requerimientos de adquisiciones y servicios, a más tardar el 31 de enero del ejercicio fiscal respectivo, con base en el anteproyecto de presupuesto correspondiente.</w:t>
      </w: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No obstante lo anterior, previo al inicio del procedimiento adquisitivo, las dependencias y entidades deberán contar con la suficiencia presupuestal respectiva. </w:t>
      </w: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lastRenderedPageBreak/>
        <w:t>Tratándose de contrataciones cuya vigencia inicie en el mes de enero del ejercicio fiscal inmediato siguiente, las dependencias y entidades deberán realizar la solicitud respectiva, previo al cuarto trimestre del ejercicio fiscal en curso.</w:t>
      </w:r>
    </w:p>
    <w:p w:rsidR="00D84A80" w:rsidRPr="00734317" w:rsidRDefault="0016512A">
      <w:pPr>
        <w:spacing w:line="360" w:lineRule="auto"/>
        <w:ind w:left="567" w:right="616"/>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14.-</w:t>
      </w:r>
      <w:r w:rsidRPr="00734317">
        <w:rPr>
          <w:rFonts w:ascii="Palatino Linotype" w:eastAsia="Palatino Linotype" w:hAnsi="Palatino Linotype" w:cs="Palatino Linotype"/>
          <w:i/>
          <w:iCs/>
        </w:rPr>
        <w:t xml:space="preserve"> Únicamente se pueden tramitar, convocar, adjudicar o llevar a cabo adquisiciones, arrendamientos y servicios, cuando las dependencias, entidades, tribunales administrativos y ayuntamientos cuenten con saldo disponible dentro de su presupuesto aprobado.</w:t>
      </w:r>
    </w:p>
    <w:p w:rsidR="00D84A80" w:rsidRPr="00734317" w:rsidRDefault="00D84A80">
      <w:pPr>
        <w:spacing w:line="360" w:lineRule="auto"/>
        <w:ind w:left="567" w:right="616"/>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De lo anterior, se colige que los municipios podrán realizar la contratación de servicios de cualquier naturaleza, entre ellas aquellas relativas a la prestación de servicios profesionales, la contratación de consultorías, asesorías y estudios e investigaciones, esto en relación con los bienes o servicios que </w:t>
      </w:r>
      <w:r w:rsidRPr="00734317">
        <w:rPr>
          <w:rFonts w:ascii="Palatino Linotype" w:eastAsia="Palatino Linotype" w:hAnsi="Palatino Linotype" w:cs="Palatino Linotype"/>
          <w:b/>
          <w:bCs/>
          <w:u w:val="single"/>
        </w:rPr>
        <w:t xml:space="preserve">hayan solicitado y requieran las dependencias </w:t>
      </w:r>
      <w:r w:rsidRPr="00734317">
        <w:rPr>
          <w:rFonts w:ascii="Palatino Linotype" w:eastAsia="Palatino Linotype" w:hAnsi="Palatino Linotype" w:cs="Palatino Linotype"/>
        </w:rPr>
        <w:t>conforme a sus programas de adquisición.</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Respecto de las facturas o contratos, resulta importante señalar que este término se encuentra definido en el Glosario de Términos Hacendarios que emite el Instituto Hacendario del Estado de México, el cual expresa lo siguiente:</w:t>
      </w:r>
    </w:p>
    <w:p w:rsidR="00D84A80" w:rsidRPr="00734317" w:rsidRDefault="0016512A">
      <w:pPr>
        <w:spacing w:line="360" w:lineRule="auto"/>
        <w:ind w:left="851" w:right="851"/>
        <w:jc w:val="both"/>
        <w:rPr>
          <w:rFonts w:ascii="Palatino Linotype" w:eastAsia="Palatino Linotype" w:hAnsi="Palatino Linotype" w:cs="Palatino Linotype"/>
          <w:b/>
          <w:bCs/>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FACTURA</w:t>
      </w:r>
    </w:p>
    <w:p w:rsidR="00D84A80" w:rsidRPr="00734317" w:rsidRDefault="0016512A">
      <w:pPr>
        <w:spacing w:line="360" w:lineRule="auto"/>
        <w:ind w:left="851" w:right="85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Es el documento fiscal que emite la persona física o moral para </w:t>
      </w:r>
      <w:r w:rsidRPr="00734317">
        <w:rPr>
          <w:rFonts w:ascii="Palatino Linotype" w:eastAsia="Palatino Linotype" w:hAnsi="Palatino Linotype" w:cs="Palatino Linotype"/>
          <w:b/>
          <w:bCs/>
          <w:i/>
          <w:iCs/>
          <w:u w:val="single"/>
        </w:rPr>
        <w:t>comprobar la venta o adquisición de un bien y/o servicio</w:t>
      </w:r>
      <w:r w:rsidRPr="00734317">
        <w:rPr>
          <w:rFonts w:ascii="Palatino Linotype" w:eastAsia="Palatino Linotype" w:hAnsi="Palatino Linotype" w:cs="Palatino Linotype"/>
          <w:i/>
          <w:iCs/>
        </w:rPr>
        <w:t xml:space="preserve">.” </w:t>
      </w:r>
      <w:r w:rsidRPr="00734317">
        <w:rPr>
          <w:rFonts w:ascii="Palatino Linotype" w:eastAsia="Palatino Linotype" w:hAnsi="Palatino Linotype" w:cs="Palatino Linotype"/>
        </w:rPr>
        <w:t>(Énfasis añadido)</w:t>
      </w:r>
    </w:p>
    <w:p w:rsidR="00D84A80" w:rsidRPr="00734317" w:rsidRDefault="00D84A80">
      <w:pPr>
        <w:spacing w:line="360" w:lineRule="auto"/>
        <w:ind w:left="851" w:right="851"/>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Es de señalarse que las facturas o comprobantes que amparan las erogaciones que se realizan con erario público tienen naturaleza pública pues, constituyen los medios idóneos de evidencia del gasto realizado con recursos públicos, de ahí que convenga precisar que la </w:t>
      </w:r>
      <w:r w:rsidRPr="00734317">
        <w:rPr>
          <w:rFonts w:ascii="Palatino Linotype" w:eastAsia="Palatino Linotype" w:hAnsi="Palatino Linotype" w:cs="Palatino Linotype"/>
        </w:rPr>
        <w:lastRenderedPageBreak/>
        <w:t>Constitución Política del Estado Libre y Soberano de México en su artículo 129 señala que l</w:t>
      </w:r>
      <w:r w:rsidRPr="00734317">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rsidR="00D84A80" w:rsidRPr="00734317" w:rsidRDefault="00D84A8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D84A80" w:rsidRPr="00734317" w:rsidRDefault="0016512A">
      <w:pPr>
        <w:spacing w:line="360" w:lineRule="auto"/>
        <w:ind w:left="567" w:right="567"/>
        <w:jc w:val="both"/>
        <w:rPr>
          <w:rFonts w:ascii="Palatino Linotype" w:eastAsia="Palatino Linotype" w:hAnsi="Palatino Linotype" w:cs="Palatino Linotype"/>
          <w:b/>
          <w:bCs/>
          <w:i/>
          <w:iCs/>
        </w:rPr>
      </w:pPr>
      <w:r w:rsidRPr="00734317">
        <w:rPr>
          <w:rFonts w:ascii="Palatino Linotype" w:eastAsia="Palatino Linotype" w:hAnsi="Palatino Linotype" w:cs="Palatino Linotype"/>
          <w:i/>
          <w:iCs/>
          <w:color w:val="000000"/>
        </w:rPr>
        <w:t>“</w:t>
      </w:r>
      <w:r w:rsidRPr="00734317">
        <w:rPr>
          <w:rFonts w:ascii="Palatino Linotype" w:eastAsia="Palatino Linotype" w:hAnsi="Palatino Linotype" w:cs="Palatino Linotype"/>
          <w:b/>
          <w:bCs/>
          <w:i/>
          <w:iCs/>
        </w:rPr>
        <w:t>Artículo 342.-</w:t>
      </w:r>
      <w:r w:rsidRPr="00734317">
        <w:rPr>
          <w:rFonts w:ascii="Palatino Linotype" w:eastAsia="Palatino Linotype" w:hAnsi="Palatino Linotype" w:cs="Palatino Linotype"/>
          <w:i/>
          <w:iCs/>
        </w:rPr>
        <w:t xml:space="preserve"> </w:t>
      </w:r>
      <w:r w:rsidRPr="00734317">
        <w:rPr>
          <w:rFonts w:ascii="Palatino Linotype" w:eastAsia="Palatino Linotype" w:hAnsi="Palatino Linotype" w:cs="Palatino Linotype"/>
          <w:b/>
          <w:bCs/>
          <w:i/>
          <w:iCs/>
        </w:rPr>
        <w:t xml:space="preserve">El registro contable del efecto patrimonial y presupuestal de las operaciones financieras, se realizará conforme al sistema y a las disposiciones que se aprueben en materia </w:t>
      </w:r>
      <w:r w:rsidRPr="00734317">
        <w:rPr>
          <w:rFonts w:ascii="Palatino Linotype" w:eastAsia="Palatino Linotype" w:hAnsi="Palatino Linotype" w:cs="Palatino Linotype"/>
          <w:i/>
          <w:iCs/>
        </w:rPr>
        <w:t xml:space="preserve">de </w:t>
      </w:r>
      <w:r w:rsidRPr="00734317">
        <w:rPr>
          <w:rFonts w:ascii="Palatino Linotype" w:eastAsia="Palatino Linotype" w:hAnsi="Palatino Linotype" w:cs="Palatino Linotype"/>
          <w:i/>
          <w:iCs/>
          <w:color w:val="000000"/>
        </w:rPr>
        <w:t>planeación</w:t>
      </w: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 xml:space="preserve"> programación, presupuestación</w:t>
      </w:r>
      <w:r w:rsidRPr="00734317">
        <w:rPr>
          <w:rFonts w:ascii="Palatino Linotype" w:eastAsia="Palatino Linotype" w:hAnsi="Palatino Linotype" w:cs="Palatino Linotype"/>
          <w:i/>
          <w:iCs/>
        </w:rPr>
        <w:t xml:space="preserve">, evaluación y </w:t>
      </w:r>
      <w:r w:rsidRPr="00734317">
        <w:rPr>
          <w:rFonts w:ascii="Palatino Linotype" w:eastAsia="Palatino Linotype" w:hAnsi="Palatino Linotype" w:cs="Palatino Linotype"/>
          <w:b/>
          <w:bCs/>
          <w:i/>
          <w:iCs/>
          <w:color w:val="000000"/>
        </w:rPr>
        <w:t>contabilidad</w:t>
      </w:r>
      <w:r w:rsidRPr="00734317">
        <w:rPr>
          <w:rFonts w:ascii="Palatino Linotype" w:eastAsia="Palatino Linotype" w:hAnsi="Palatino Linotype" w:cs="Palatino Linotype"/>
          <w:b/>
          <w:bCs/>
          <w:i/>
          <w:iCs/>
        </w:rPr>
        <w:t xml:space="preserve"> gubernamental.</w:t>
      </w:r>
      <w:r w:rsidRPr="00734317">
        <w:rPr>
          <w:rFonts w:ascii="Palatino Linotype" w:eastAsia="Palatino Linotype" w:hAnsi="Palatino Linotype" w:cs="Palatino Linotype"/>
          <w:i/>
          <w:iCs/>
        </w:rPr>
        <w:t xml:space="preserve"> </w:t>
      </w:r>
    </w:p>
    <w:p w:rsidR="00D84A80" w:rsidRPr="00734317" w:rsidRDefault="0016512A">
      <w:pPr>
        <w:spacing w:line="360" w:lineRule="auto"/>
        <w:ind w:left="567" w:right="567"/>
        <w:jc w:val="both"/>
        <w:rPr>
          <w:rFonts w:ascii="Palatino Linotype" w:eastAsia="Palatino Linotype" w:hAnsi="Palatino Linotype" w:cs="Palatino Linotype"/>
          <w:b/>
          <w:bCs/>
          <w:i/>
          <w:iCs/>
        </w:rPr>
      </w:pPr>
      <w:r w:rsidRPr="00734317">
        <w:rPr>
          <w:rFonts w:ascii="Palatino Linotype" w:eastAsia="Palatino Linotype" w:hAnsi="Palatino Linotype" w:cs="Palatino Linotype"/>
          <w:b/>
          <w:bCs/>
          <w:i/>
          <w:iCs/>
          <w:color w:val="000000"/>
        </w:rPr>
        <w:t>…</w:t>
      </w: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343.-</w:t>
      </w:r>
      <w:r w:rsidRPr="00734317">
        <w:rPr>
          <w:rFonts w:ascii="Palatino Linotype" w:eastAsia="Palatino Linotype" w:hAnsi="Palatino Linotype" w:cs="Palatino Linotype"/>
          <w:i/>
          <w:iC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El sistema de contabilidad sobre base acumulativa total se sustentará en los postulados básicos y el marco conceptual de la contabilidad gubernamental. </w:t>
      </w:r>
    </w:p>
    <w:p w:rsidR="00D84A80" w:rsidRPr="00734317" w:rsidRDefault="00D84A80">
      <w:pPr>
        <w:spacing w:line="360" w:lineRule="auto"/>
        <w:ind w:left="567" w:right="567"/>
        <w:jc w:val="both"/>
        <w:rPr>
          <w:rFonts w:ascii="Palatino Linotype" w:eastAsia="Palatino Linotype" w:hAnsi="Palatino Linotype" w:cs="Palatino Linotype"/>
          <w:i/>
          <w:iCs/>
        </w:rPr>
      </w:pP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 xml:space="preserve">Artículo 344.- Las Dependencias, Entidades Públicas y unidades administrativas registrarán contablemente el efecto patrimonial y presupuestal de las </w:t>
      </w:r>
      <w:r w:rsidRPr="00734317">
        <w:rPr>
          <w:rFonts w:ascii="Palatino Linotype" w:eastAsia="Palatino Linotype" w:hAnsi="Palatino Linotype" w:cs="Palatino Linotype"/>
          <w:b/>
          <w:bCs/>
          <w:i/>
          <w:iCs/>
        </w:rPr>
        <w:lastRenderedPageBreak/>
        <w:t xml:space="preserve">operaciones financieras que realicen, en el momento en que ocurran, con base en el sistema y políticas de registro establecidas, </w:t>
      </w:r>
      <w:r w:rsidRPr="00734317">
        <w:rPr>
          <w:rFonts w:ascii="Palatino Linotype" w:eastAsia="Palatino Linotype" w:hAnsi="Palatino Linotype" w:cs="Palatino Linotype"/>
          <w:i/>
          <w:iCs/>
        </w:rPr>
        <w:t xml:space="preserve">en el caso de los Municipios se hará por la Tesorería. </w:t>
      </w: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Derogado. </w:t>
      </w:r>
    </w:p>
    <w:p w:rsidR="00D84A80" w:rsidRPr="00734317" w:rsidRDefault="00D84A80">
      <w:pPr>
        <w:spacing w:line="360" w:lineRule="auto"/>
        <w:ind w:left="567" w:right="567"/>
        <w:jc w:val="both"/>
        <w:rPr>
          <w:rFonts w:ascii="Palatino Linotype" w:eastAsia="Palatino Linotype" w:hAnsi="Palatino Linotype" w:cs="Palatino Linotype"/>
          <w:i/>
          <w:iCs/>
        </w:rPr>
      </w:pP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34317">
        <w:rPr>
          <w:rFonts w:ascii="Palatino Linotype" w:eastAsia="Palatino Linotype" w:hAnsi="Palatino Linotype" w:cs="Palatino Linotype"/>
          <w:i/>
          <w:iCs/>
        </w:rPr>
        <w:t xml:space="preserve"> a partir del ejercicio presupuestal siguiente al que corresponda, en el caso de los municipios se hará por la Tesorería. </w:t>
      </w: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345.-</w:t>
      </w:r>
      <w:r w:rsidRPr="00734317">
        <w:rPr>
          <w:rFonts w:ascii="Palatino Linotype" w:eastAsia="Palatino Linotype" w:hAnsi="Palatino Linotype" w:cs="Palatino Linotype"/>
          <w:i/>
          <w:iCs/>
        </w:rPr>
        <w:t xml:space="preserve"> </w:t>
      </w:r>
      <w:r w:rsidRPr="00734317">
        <w:rPr>
          <w:rFonts w:ascii="Palatino Linotype" w:eastAsia="Palatino Linotype" w:hAnsi="Palatino Linotype" w:cs="Palatino Linotype"/>
          <w:b/>
          <w:bCs/>
          <w:i/>
          <w:iCs/>
        </w:rPr>
        <w:t>Las Dependencias, Entidades Públicas y unidades administrativas deberán conservar la documentación contable del año en curso y la de ejercicios anteriores cuyas cuentas públicas hayan sido revisadas y fiscalizadas por la Legislatura</w:t>
      </w:r>
      <w:r w:rsidRPr="00734317">
        <w:rPr>
          <w:rFonts w:ascii="Palatino Linotype" w:eastAsia="Palatino Linotype" w:hAnsi="Palatino Linotype" w:cs="Palatino Linotype"/>
          <w:i/>
          <w:iCs/>
        </w:rPr>
        <w:t xml:space="preserve">, la remitirán en un plazo que no excederá de seis meses al Archivo Contable Gubernamental. </w:t>
      </w:r>
      <w:r w:rsidRPr="00734317">
        <w:rPr>
          <w:rFonts w:ascii="Palatino Linotype" w:eastAsia="Palatino Linotype" w:hAnsi="Palatino Linotype" w:cs="Palatino Linotype"/>
          <w:b/>
          <w:bCs/>
          <w:i/>
          <w:iCs/>
        </w:rPr>
        <w:t>Tratándose de los comprobantes fiscales digitales, estos deberán estar agregados en forma electrónica en cada póliza de registro contable</w:t>
      </w:r>
      <w:r w:rsidRPr="00734317">
        <w:rPr>
          <w:rFonts w:ascii="Palatino Linotype" w:eastAsia="Palatino Linotype" w:hAnsi="Palatino Linotype" w:cs="Palatino Linotype"/>
          <w:i/>
          <w:iCs/>
        </w:rPr>
        <w:t xml:space="preserve">. </w:t>
      </w:r>
    </w:p>
    <w:p w:rsidR="00D84A80" w:rsidRPr="00734317" w:rsidRDefault="0016512A">
      <w:pPr>
        <w:spacing w:line="360" w:lineRule="auto"/>
        <w:ind w:left="567" w:right="567"/>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i/>
          <w:iCs/>
        </w:rPr>
        <w:t>El plazo señalado en el párrafo anterior, empezará a contar a partir de la publicación en el Periódico Oficial, del decreto correspondiente.</w:t>
      </w:r>
      <w:r w:rsidRPr="00734317">
        <w:rPr>
          <w:rFonts w:ascii="Palatino Linotype" w:eastAsia="Palatino Linotype" w:hAnsi="Palatino Linotype" w:cs="Palatino Linotype"/>
          <w:i/>
          <w:iCs/>
          <w:color w:val="000000"/>
        </w:rPr>
        <w:t xml:space="preserve"> “</w:t>
      </w:r>
    </w:p>
    <w:p w:rsidR="00D84A80" w:rsidRPr="00734317" w:rsidRDefault="0016512A">
      <w:pPr>
        <w:spacing w:line="360" w:lineRule="auto"/>
        <w:ind w:left="567" w:right="567"/>
        <w:jc w:val="right"/>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(Énfasis añadido)</w:t>
      </w:r>
    </w:p>
    <w:p w:rsidR="00D84A80" w:rsidRPr="00734317" w:rsidRDefault="00D84A80">
      <w:pPr>
        <w:spacing w:line="360" w:lineRule="auto"/>
        <w:ind w:left="567" w:right="567"/>
        <w:jc w:val="right"/>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rPr>
        <w:lastRenderedPageBreak/>
        <w:t>De una interpretación sistemática de los artículos transcritos, se desprende primeramente que el</w:t>
      </w:r>
      <w:r w:rsidRPr="00734317">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734317" w:rsidRDefault="00734317" w:rsidP="00734317">
      <w:pPr>
        <w:pStyle w:val="Prrafodelista"/>
        <w:rPr>
          <w:rFonts w:ascii="Palatino Linotype" w:eastAsia="Palatino Linotype" w:hAnsi="Palatino Linotype" w:cs="Palatino Linotype"/>
          <w:color w:val="000000"/>
        </w:rPr>
      </w:pPr>
    </w:p>
    <w:p w:rsidR="00734317" w:rsidRPr="00734317" w:rsidRDefault="00734317" w:rsidP="00734317">
      <w:pPr>
        <w:spacing w:line="360" w:lineRule="auto"/>
        <w:jc w:val="both"/>
        <w:rPr>
          <w:rFonts w:ascii="Palatino Linotype" w:eastAsia="Palatino Linotype" w:hAnsi="Palatino Linotype" w:cs="Palatino Linotype"/>
          <w:color w:val="000000"/>
        </w:rPr>
      </w:pPr>
    </w:p>
    <w:p w:rsidR="00D84A80" w:rsidRPr="00734317" w:rsidRDefault="0016512A">
      <w:pPr>
        <w:spacing w:line="360" w:lineRule="auto"/>
        <w:ind w:left="567" w:right="567"/>
        <w:jc w:val="both"/>
        <w:rPr>
          <w:rFonts w:ascii="Palatino Linotype" w:eastAsia="Palatino Linotype" w:hAnsi="Palatino Linotype" w:cs="Palatino Linotype"/>
          <w:b/>
          <w:bCs/>
          <w:i/>
          <w:iCs/>
        </w:rPr>
      </w:pPr>
      <w:r w:rsidRPr="00734317">
        <w:rPr>
          <w:rFonts w:ascii="Palatino Linotype" w:eastAsia="Palatino Linotype" w:hAnsi="Palatino Linotype" w:cs="Palatino Linotype"/>
          <w:b/>
          <w:bCs/>
          <w:i/>
          <w:iCs/>
        </w:rPr>
        <w:t xml:space="preserve">“REGISTRO CONTABLE </w:t>
      </w: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Asiento que se realiza en los libros de contabilidad de las actividades relacionadas con el ingreso y egresos de un ente económico.” (Sic)</w:t>
      </w:r>
    </w:p>
    <w:p w:rsidR="00D84A80" w:rsidRDefault="00D84A80">
      <w:pPr>
        <w:spacing w:line="360" w:lineRule="auto"/>
        <w:ind w:left="567" w:right="567"/>
        <w:jc w:val="both"/>
        <w:rPr>
          <w:rFonts w:ascii="Palatino Linotype" w:eastAsia="Palatino Linotype" w:hAnsi="Palatino Linotype" w:cs="Palatino Linotype"/>
          <w:i/>
          <w:iCs/>
        </w:rPr>
      </w:pPr>
    </w:p>
    <w:p w:rsidR="00734317" w:rsidRDefault="00734317">
      <w:pPr>
        <w:spacing w:line="360" w:lineRule="auto"/>
        <w:ind w:left="567" w:right="567"/>
        <w:jc w:val="both"/>
        <w:rPr>
          <w:rFonts w:ascii="Palatino Linotype" w:eastAsia="Palatino Linotype" w:hAnsi="Palatino Linotype" w:cs="Palatino Linotype"/>
          <w:i/>
          <w:iCs/>
        </w:rPr>
      </w:pPr>
    </w:p>
    <w:p w:rsidR="00734317" w:rsidRPr="00734317" w:rsidRDefault="00734317">
      <w:pPr>
        <w:spacing w:line="360" w:lineRule="auto"/>
        <w:ind w:left="567" w:right="567"/>
        <w:jc w:val="both"/>
        <w:rPr>
          <w:rFonts w:ascii="Palatino Linotype" w:eastAsia="Palatino Linotype" w:hAnsi="Palatino Linotype" w:cs="Palatino Linotype"/>
          <w:i/>
          <w:iCs/>
        </w:rPr>
      </w:pPr>
    </w:p>
    <w:p w:rsidR="00D84A80" w:rsidRPr="00734317" w:rsidRDefault="0016512A">
      <w:pPr>
        <w:spacing w:line="360" w:lineRule="auto"/>
        <w:ind w:left="567" w:right="567"/>
        <w:jc w:val="both"/>
        <w:rPr>
          <w:rFonts w:ascii="Palatino Linotype" w:eastAsia="Palatino Linotype" w:hAnsi="Palatino Linotype" w:cs="Palatino Linotype"/>
          <w:b/>
          <w:bCs/>
          <w:i/>
          <w:iCs/>
        </w:rPr>
      </w:pPr>
      <w:r w:rsidRPr="00734317">
        <w:rPr>
          <w:rFonts w:ascii="Palatino Linotype" w:eastAsia="Palatino Linotype" w:hAnsi="Palatino Linotype" w:cs="Palatino Linotype"/>
          <w:b/>
          <w:bCs/>
          <w:i/>
          <w:iCs/>
        </w:rPr>
        <w:lastRenderedPageBreak/>
        <w:t>“REGISTRO PRESUPUESTARIO</w:t>
      </w:r>
    </w:p>
    <w:p w:rsidR="00D84A80" w:rsidRPr="00734317"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Asiento contable de las erogaciones realizadas por las dependencias y entidades con relación a la asignación, modificación y ejercicio de los recursos presupuestarios que se les hayan autorizado.” (Sic)</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Por otra parte, se establece que el sistema de contabilidad sobre base acumulativa total se </w:t>
      </w:r>
      <w:r w:rsidRPr="00734317">
        <w:rPr>
          <w:rFonts w:ascii="Palatino Linotype" w:eastAsia="Palatino Linotype" w:hAnsi="Palatino Linotype" w:cs="Palatino Linotype"/>
        </w:rPr>
        <w:t>sustentará</w:t>
      </w:r>
      <w:r w:rsidRPr="00734317">
        <w:rPr>
          <w:rFonts w:ascii="Palatino Linotype" w:eastAsia="Palatino Linotype" w:hAnsi="Palatino Linotype" w:cs="Palatino Linotype"/>
          <w:color w:val="000000"/>
        </w:rPr>
        <w:t xml:space="preserve"> en los principios de contabilidad gubernamental, igualmente señalan que los </w:t>
      </w:r>
      <w:r w:rsidRPr="00734317">
        <w:rPr>
          <w:rFonts w:ascii="Palatino Linotype" w:eastAsia="Palatino Linotype" w:hAnsi="Palatino Linotype" w:cs="Palatino Linotype"/>
          <w:b/>
          <w:bCs/>
          <w:color w:val="000000"/>
        </w:rPr>
        <w:t>sujetos obligados</w:t>
      </w:r>
      <w:r w:rsidRPr="00734317">
        <w:rPr>
          <w:rFonts w:ascii="Palatino Linotype" w:eastAsia="Palatino Linotype" w:hAnsi="Palatino Linotype" w:cs="Palatino Linotype"/>
          <w:color w:val="000000"/>
        </w:rPr>
        <w:t xml:space="preserve"> deben contar con una unidad administrativa que registra contablemente el efecto patrimonial y presupuestal de las operaciones financieras que realizan, en el momento en que ocurran, con base en el sistema y políticas de registro establecidas.</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Correlativo a lo anterior, es preciso referir una definición de </w:t>
      </w:r>
      <w:r w:rsidRPr="00734317">
        <w:rPr>
          <w:rFonts w:ascii="Palatino Linotype" w:eastAsia="Palatino Linotype" w:hAnsi="Palatino Linotype" w:cs="Palatino Linotype"/>
          <w:i/>
          <w:iCs/>
        </w:rPr>
        <w:t>póliza contable</w:t>
      </w:r>
      <w:r w:rsidRPr="00734317">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rsidR="00D84A80" w:rsidRPr="00734317" w:rsidRDefault="0016512A">
      <w:pPr>
        <w:spacing w:line="360" w:lineRule="auto"/>
        <w:ind w:left="567" w:right="567"/>
        <w:jc w:val="both"/>
        <w:rPr>
          <w:rFonts w:ascii="Palatino Linotype" w:eastAsia="Palatino Linotype" w:hAnsi="Palatino Linotype" w:cs="Palatino Linotype"/>
          <w:b/>
          <w:bCs/>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PÓLIZA CONTABLE</w:t>
      </w:r>
    </w:p>
    <w:p w:rsidR="00D84A80" w:rsidRDefault="0016512A">
      <w:pPr>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Documento en el cual se asientan en forma individual todas y cada una de las operaciones desarrolladas por una institución, así como la información necesaria para la identificación de dichas operaciones.” (sic)</w:t>
      </w:r>
    </w:p>
    <w:p w:rsidR="00734317" w:rsidRPr="00734317" w:rsidRDefault="00734317">
      <w:pPr>
        <w:spacing w:line="360" w:lineRule="auto"/>
        <w:ind w:left="567" w:right="567"/>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Así, se advierte que la </w:t>
      </w:r>
      <w:r w:rsidRPr="00734317">
        <w:rPr>
          <w:rFonts w:ascii="Palatino Linotype" w:eastAsia="Palatino Linotype" w:hAnsi="Palatino Linotype" w:cs="Palatino Linotype"/>
          <w:i/>
          <w:iCs/>
        </w:rPr>
        <w:t>póliza contable</w:t>
      </w:r>
      <w:r w:rsidRPr="00734317">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w:t>
      </w:r>
      <w:r w:rsidRPr="00734317">
        <w:rPr>
          <w:rFonts w:ascii="Palatino Linotype" w:eastAsia="Palatino Linotype" w:hAnsi="Palatino Linotype" w:cs="Palatino Linotype"/>
        </w:rPr>
        <w:lastRenderedPageBreak/>
        <w:t>anotaciones y cantidades en ellas registradas, lo que permite la identificación plena de dichas operaciones.</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este sentido, existen diversos tipos de pólizas contables de acuerdo con las operaciones realizadas, dentro de las cuales, encontramos las llamadas </w:t>
      </w:r>
      <w:r w:rsidRPr="00734317">
        <w:rPr>
          <w:rFonts w:ascii="Palatino Linotype" w:eastAsia="Palatino Linotype" w:hAnsi="Palatino Linotype" w:cs="Palatino Linotype"/>
          <w:i/>
          <w:iCs/>
        </w:rPr>
        <w:t>pólizas de egresos</w:t>
      </w:r>
      <w:r w:rsidRPr="00734317">
        <w:rPr>
          <w:rFonts w:ascii="Palatino Linotype" w:eastAsia="Palatino Linotype" w:hAnsi="Palatino Linotype" w:cs="Palatino Linotype"/>
        </w:rPr>
        <w:t xml:space="preserve">, en las cuales se anotan diariamente las operaciones que representan egresos, es decir, salidas de dinero para </w:t>
      </w:r>
      <w:r w:rsidRPr="00734317">
        <w:rPr>
          <w:rFonts w:ascii="Palatino Linotype" w:eastAsia="Palatino Linotype" w:hAnsi="Palatino Linotype" w:cs="Palatino Linotype"/>
          <w:b/>
          <w:bCs/>
        </w:rPr>
        <w:t>el sujeto obligado</w:t>
      </w:r>
      <w:r w:rsidRPr="00734317">
        <w:rPr>
          <w:rFonts w:ascii="Palatino Linotype" w:eastAsia="Palatino Linotype" w:hAnsi="Palatino Linotype" w:cs="Palatino Linotype"/>
        </w:rPr>
        <w:t xml:space="preserve">, la cual, además debe encontrarse acompañada de las documentales que sirven de soporte de dicho movimiento. </w:t>
      </w:r>
    </w:p>
    <w:p w:rsidR="00D84A80" w:rsidRPr="00734317" w:rsidRDefault="00D84A80">
      <w:pPr>
        <w:spacing w:line="360" w:lineRule="auto"/>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color w:val="000000"/>
        </w:rPr>
        <w:t xml:space="preserve">En este </w:t>
      </w:r>
      <w:r w:rsidRPr="00734317">
        <w:rPr>
          <w:rFonts w:ascii="Palatino Linotype" w:eastAsia="Palatino Linotype" w:hAnsi="Palatino Linotype" w:cs="Palatino Linotype"/>
        </w:rPr>
        <w:t>sentido</w:t>
      </w:r>
      <w:r w:rsidRPr="00734317">
        <w:rPr>
          <w:rFonts w:ascii="Palatino Linotype" w:eastAsia="Palatino Linotype" w:hAnsi="Palatino Linotype" w:cs="Palatino Linotype"/>
          <w:color w:val="000000"/>
        </w:rPr>
        <w:t xml:space="preserve">, los Lineamientos, Fechas de Capacitación y Calendarización para la Entrega de Informes Trimestrales de las Entidades Fiscalizables del Estado de México del Ejercicio Fiscal 2022 (uno de los Ejercicios Fiscales que incumbe al presente asunto), </w:t>
      </w:r>
      <w:r w:rsidRPr="00734317">
        <w:rPr>
          <w:rFonts w:ascii="Palatino Linotype" w:eastAsia="Palatino Linotype" w:hAnsi="Palatino Linotype" w:cs="Palatino Linotype"/>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Pr="00734317">
        <w:rPr>
          <w:rFonts w:ascii="Palatino Linotype" w:eastAsia="Palatino Linotype" w:hAnsi="Palatino Linotype" w:cs="Palatino Linotype"/>
          <w:i/>
          <w:iCs/>
        </w:rPr>
        <w:t xml:space="preserve">pólizas de ingresos, póliza de diario, póliza de egresos, póliza cheque y pólizas de cheques, </w:t>
      </w:r>
      <w:r w:rsidRPr="00734317">
        <w:rPr>
          <w:rFonts w:ascii="Palatino Linotype" w:eastAsia="Palatino Linotype" w:hAnsi="Palatino Linotype" w:cs="Palatino Linotype"/>
        </w:rPr>
        <w:t xml:space="preserve">las cuales se encuentran contenidas dentro del Módulo 1, “Imágenes Digitalizadas”, de tal manera que, dichos formatos constituyen un soporte documental de que la información solicitada por el hoy </w:t>
      </w:r>
      <w:r w:rsidRPr="00734317">
        <w:rPr>
          <w:rFonts w:ascii="Palatino Linotype" w:eastAsia="Palatino Linotype" w:hAnsi="Palatino Linotype" w:cs="Palatino Linotype"/>
          <w:b/>
          <w:bCs/>
        </w:rPr>
        <w:t>recurrente</w:t>
      </w:r>
      <w:r w:rsidRPr="00734317">
        <w:rPr>
          <w:rFonts w:ascii="Palatino Linotype" w:eastAsia="Palatino Linotype" w:hAnsi="Palatino Linotype" w:cs="Palatino Linotype"/>
        </w:rPr>
        <w:t xml:space="preserve"> obra en los archivos del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xml:space="preserve">, insertando a manera de referencia, el formato correspondiente de 2022: </w:t>
      </w:r>
    </w:p>
    <w:p w:rsidR="00D84A80" w:rsidRPr="00734317" w:rsidRDefault="0016512A">
      <w:pPr>
        <w:spacing w:line="360" w:lineRule="auto"/>
        <w:jc w:val="center"/>
        <w:rPr>
          <w:rFonts w:ascii="Palatino Linotype" w:eastAsia="Palatino Linotype" w:hAnsi="Palatino Linotype" w:cs="Palatino Linotype"/>
          <w:color w:val="000000"/>
        </w:rPr>
      </w:pPr>
      <w:r w:rsidRPr="00734317">
        <w:rPr>
          <w:rFonts w:ascii="Palatino Linotype" w:eastAsia="Palatino Linotype" w:hAnsi="Palatino Linotype" w:cs="Palatino Linotype"/>
          <w:noProof/>
          <w:color w:val="000000"/>
          <w:lang w:val="es-MX"/>
        </w:rPr>
        <w:lastRenderedPageBreak/>
        <w:drawing>
          <wp:inline distT="0" distB="0" distL="0" distR="0">
            <wp:extent cx="5762389" cy="3809198"/>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62389" cy="3809198"/>
                    </a:xfrm>
                    <a:prstGeom prst="rect">
                      <a:avLst/>
                    </a:prstGeom>
                    <a:ln/>
                  </pic:spPr>
                </pic:pic>
              </a:graphicData>
            </a:graphic>
          </wp:inline>
        </w:drawing>
      </w:r>
      <w:r w:rsidRPr="00734317">
        <w:rPr>
          <w:rFonts w:ascii="Palatino Linotype" w:hAnsi="Palatino Linotype"/>
          <w:noProof/>
          <w:lang w:val="es-MX"/>
        </w:rPr>
        <mc:AlternateContent>
          <mc:Choice Requires="wpg">
            <w:drawing>
              <wp:anchor distT="0" distB="0" distL="114300" distR="114300" simplePos="0" relativeHeight="251659264" behindDoc="0" locked="0" layoutInCell="1" hidden="0" allowOverlap="1">
                <wp:simplePos x="0" y="0"/>
                <wp:positionH relativeFrom="column">
                  <wp:posOffset>732790</wp:posOffset>
                </wp:positionH>
                <wp:positionV relativeFrom="paragraph">
                  <wp:posOffset>2559685</wp:posOffset>
                </wp:positionV>
                <wp:extent cx="1812925" cy="784225"/>
                <wp:effectExtent l="0" t="0" r="0" b="0"/>
                <wp:wrapNone/>
                <wp:docPr id="37" name="Rectángulo 37"/>
                <wp:cNvGraphicFramePr/>
                <a:graphic xmlns:a="http://schemas.openxmlformats.org/drawingml/2006/main">
                  <a:graphicData uri="http://schemas.microsoft.com/office/word/2010/wordprocessingShape">
                    <wps:wsp>
                      <wps:cNvSpPr/>
                      <wps:spPr>
                        <a:xfrm>
                          <a:off x="4445888" y="3394238"/>
                          <a:ext cx="1800225" cy="771525"/>
                        </a:xfrm>
                        <a:prstGeom prst="rect">
                          <a:avLst/>
                        </a:prstGeom>
                        <a:noFill/>
                        <a:ln w="12700" cap="flat" cmpd="sng">
                          <a:solidFill>
                            <a:srgbClr val="FF0000"/>
                          </a:solidFill>
                          <a:prstDash val="solid"/>
                          <a:miter lim="800000"/>
                          <a:headEnd type="none" w="sm" len="sm"/>
                          <a:tailEnd type="none" w="sm" len="sm"/>
                        </a:ln>
                      </wps:spPr>
                      <wps:txbx>
                        <w:txbxContent>
                          <w:p w:rsidR="00D84A80" w:rsidRDefault="00D84A8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732790</wp:posOffset>
                </wp:positionH>
                <wp:positionV relativeFrom="paragraph">
                  <wp:posOffset>2559685</wp:posOffset>
                </wp:positionV>
                <wp:extent cx="1812925" cy="784225"/>
                <wp:effectExtent b="0" l="0" r="0" t="0"/>
                <wp:wrapNone/>
                <wp:docPr id="37"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812925" cy="784225"/>
                        </a:xfrm>
                        <a:prstGeom prst="rect"/>
                        <a:ln/>
                      </pic:spPr>
                    </pic:pic>
                  </a:graphicData>
                </a:graphic>
              </wp:anchor>
            </w:drawing>
          </mc:Fallback>
        </mc:AlternateContent>
      </w:r>
    </w:p>
    <w:p w:rsidR="00D84A80" w:rsidRPr="00734317" w:rsidRDefault="00D84A80">
      <w:pPr>
        <w:spacing w:line="360" w:lineRule="auto"/>
        <w:jc w:val="center"/>
        <w:rPr>
          <w:rFonts w:ascii="Palatino Linotype" w:eastAsia="Palatino Linotype" w:hAnsi="Palatino Linotype" w:cs="Palatino Linotype"/>
          <w:color w:val="000000"/>
        </w:rPr>
      </w:pPr>
    </w:p>
    <w:p w:rsidR="00D84A80"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Sin ser óbice de lo mencionado, es de señalar que la información que es entregada al </w:t>
      </w:r>
      <w:r w:rsidRPr="00734317">
        <w:rPr>
          <w:rFonts w:ascii="Palatino Linotype" w:eastAsia="Palatino Linotype" w:hAnsi="Palatino Linotype" w:cs="Palatino Linotype"/>
        </w:rPr>
        <w:t>Órgano Superior de Fiscalización del Estado de México,</w:t>
      </w:r>
      <w:r w:rsidRPr="00734317">
        <w:rPr>
          <w:rFonts w:ascii="Palatino Linotype" w:eastAsia="Palatino Linotype" w:hAnsi="Palatino Linotype" w:cs="Palatino Linotype"/>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que guardan relación con lo requerido por el ahora </w:t>
      </w:r>
      <w:r w:rsidRPr="00734317">
        <w:rPr>
          <w:rFonts w:ascii="Palatino Linotype" w:eastAsia="Palatino Linotype" w:hAnsi="Palatino Linotype" w:cs="Palatino Linotype"/>
          <w:b/>
          <w:bCs/>
          <w:color w:val="000000"/>
        </w:rPr>
        <w:t>RECURRENTE</w:t>
      </w:r>
      <w:r w:rsidRPr="00734317">
        <w:rPr>
          <w:rFonts w:ascii="Palatino Linotype" w:eastAsia="Palatino Linotype" w:hAnsi="Palatino Linotype" w:cs="Palatino Linotype"/>
          <w:color w:val="000000"/>
        </w:rPr>
        <w:t xml:space="preserve">. </w:t>
      </w:r>
    </w:p>
    <w:p w:rsidR="00734317" w:rsidRPr="00734317" w:rsidRDefault="00734317" w:rsidP="00734317">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Cabe destacar, que el ordenamiento legal en cita refiere que todo registro contable y presupuestal </w:t>
      </w:r>
      <w:r w:rsidRPr="00734317">
        <w:rPr>
          <w:rFonts w:ascii="Palatino Linotype" w:eastAsia="Palatino Linotype" w:hAnsi="Palatino Linotype" w:cs="Palatino Linotype"/>
          <w:b/>
          <w:bCs/>
          <w:color w:val="000000"/>
        </w:rPr>
        <w:t>deberá estar soportado con los documentos comprobatorios originales</w:t>
      </w:r>
      <w:r w:rsidRPr="00734317">
        <w:rPr>
          <w:rFonts w:ascii="Palatino Linotype" w:eastAsia="Palatino Linotype" w:hAnsi="Palatino Linotype" w:cs="Palatino Linotype"/>
          <w:color w:val="000000"/>
        </w:rPr>
        <w:t xml:space="preserve">, como lo son las facturas solicitadas, los que deberán permanecer en custodia y conservación de la Unidad administrativa correspondiente y a disposición del Órgano Superior de </w:t>
      </w:r>
      <w:r w:rsidRPr="00734317">
        <w:rPr>
          <w:rFonts w:ascii="Palatino Linotype" w:eastAsia="Palatino Linotype" w:hAnsi="Palatino Linotype" w:cs="Palatino Linotype"/>
          <w:color w:val="000000"/>
        </w:rPr>
        <w:lastRenderedPageBreak/>
        <w:t>Fiscalización del Estado de México; por un término de cinco años contados a partir del ejercicio presupuestal siguiente al que corresponda.</w:t>
      </w:r>
    </w:p>
    <w:p w:rsidR="00D84A80" w:rsidRPr="00734317" w:rsidRDefault="00D84A80">
      <w:pPr>
        <w:spacing w:line="360" w:lineRule="auto"/>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rPr>
        <w:t xml:space="preserve">Por otro lado, los Lineamientos de Control Financiero y Administrativo para las Entidades </w:t>
      </w:r>
      <w:r w:rsidRPr="00734317">
        <w:rPr>
          <w:rFonts w:ascii="Palatino Linotype" w:eastAsia="Palatino Linotype" w:hAnsi="Palatino Linotype" w:cs="Palatino Linotype"/>
          <w:color w:val="000000"/>
        </w:rPr>
        <w:t>Fiscalizables</w:t>
      </w:r>
      <w:r w:rsidRPr="00734317">
        <w:rPr>
          <w:rFonts w:ascii="Palatino Linotype" w:eastAsia="Palatino Linotype" w:hAnsi="Palatino Linotype" w:cs="Palatino Linotype"/>
        </w:rPr>
        <w:t xml:space="preserve"> Municipales del Estado de México, en sus numerales 4 y 11 fracción IV, establecen en su literalidad:</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CUARTO</w:t>
      </w:r>
      <w:r w:rsidRPr="00734317">
        <w:rPr>
          <w:rFonts w:ascii="Palatino Linotype" w:eastAsia="Palatino Linotype" w:hAnsi="Palatino Linotype" w:cs="Palatino Linotype"/>
          <w:i/>
          <w:iCs/>
        </w:rPr>
        <w:t>: Son sujetos de los presentes Lineamientos:</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I. En los Municipios:</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a) Presidente;</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b) Síndico (s);</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c) Regidores;</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d) Secretario del ayuntamiento;</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e) </w:t>
      </w:r>
      <w:r w:rsidRPr="00734317">
        <w:rPr>
          <w:rFonts w:ascii="Palatino Linotype" w:eastAsia="Palatino Linotype" w:hAnsi="Palatino Linotype" w:cs="Palatino Linotype"/>
          <w:b/>
          <w:bCs/>
          <w:i/>
          <w:iCs/>
          <w:u w:val="single"/>
        </w:rPr>
        <w:t>Tesorero o equivalente</w:t>
      </w:r>
      <w:r w:rsidRPr="00734317">
        <w:rPr>
          <w:rFonts w:ascii="Palatino Linotype" w:eastAsia="Palatino Linotype" w:hAnsi="Palatino Linotype" w:cs="Palatino Linotype"/>
          <w:i/>
          <w:iCs/>
        </w:rPr>
        <w:t>;</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f) Director de administración o su equivalente;</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g) Director de obras públicas; y</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h) Titular del órgano de control interno.</w:t>
      </w:r>
    </w:p>
    <w:p w:rsidR="00D84A80" w:rsidRPr="00734317" w:rsidRDefault="00D84A80">
      <w:pPr>
        <w:widowControl w:val="0"/>
        <w:spacing w:line="360" w:lineRule="auto"/>
        <w:ind w:left="567" w:right="567"/>
        <w:jc w:val="both"/>
        <w:rPr>
          <w:rFonts w:ascii="Palatino Linotype" w:eastAsia="Palatino Linotype" w:hAnsi="Palatino Linotype" w:cs="Palatino Linotype"/>
          <w:i/>
          <w:iCs/>
        </w:rPr>
      </w:pP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DÉCIMO PRIMERO</w:t>
      </w:r>
      <w:r w:rsidRPr="00734317">
        <w:rPr>
          <w:rFonts w:ascii="Palatino Linotype" w:eastAsia="Palatino Linotype" w:hAnsi="Palatino Linotype" w:cs="Palatino Linotype"/>
          <w:i/>
          <w:iCs/>
        </w:rPr>
        <w:t>: Los servidores públicos municipales, tendrán en el ámbito de su competencia, respecto de los presentes Lineamientos, las obligaciones siguientes:</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w:t>
      </w:r>
      <w:r w:rsidRPr="00734317">
        <w:rPr>
          <w:rFonts w:ascii="Palatino Linotype" w:eastAsia="Palatino Linotype" w:hAnsi="Palatino Linotype" w:cs="Palatino Linotype"/>
          <w:i/>
          <w:iCs/>
        </w:rPr>
        <w:t>…)</w:t>
      </w:r>
    </w:p>
    <w:p w:rsidR="00D84A80" w:rsidRPr="00734317" w:rsidRDefault="0016512A">
      <w:pPr>
        <w:widowControl w:val="0"/>
        <w:spacing w:line="360" w:lineRule="auto"/>
        <w:ind w:left="567" w:right="567"/>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IV. El tesorero deberá verificar que todas las pólizas de registro contable y presupuestal, se encuentren firmadas por quién las elaboró, revisó y autorizó, las cuales deberán estar </w:t>
      </w:r>
      <w:r w:rsidRPr="00734317">
        <w:rPr>
          <w:rFonts w:ascii="Palatino Linotype" w:eastAsia="Palatino Linotype" w:hAnsi="Palatino Linotype" w:cs="Palatino Linotype"/>
          <w:b/>
          <w:bCs/>
          <w:i/>
          <w:iCs/>
        </w:rPr>
        <w:t xml:space="preserve">soportadas con la documentación original, justificativa, comprobatoria, suficiente, competente, pertinente y relevante, las que deberán permanecer en </w:t>
      </w:r>
      <w:r w:rsidRPr="00734317">
        <w:rPr>
          <w:rFonts w:ascii="Palatino Linotype" w:eastAsia="Palatino Linotype" w:hAnsi="Palatino Linotype" w:cs="Palatino Linotype"/>
          <w:b/>
          <w:bCs/>
          <w:i/>
          <w:iCs/>
        </w:rPr>
        <w:lastRenderedPageBreak/>
        <w:t xml:space="preserve">custodia y conservación de la tesorería, </w:t>
      </w:r>
      <w:r w:rsidRPr="00734317">
        <w:rPr>
          <w:rFonts w:ascii="Palatino Linotype" w:eastAsia="Palatino Linotype" w:hAnsi="Palatino Linotype" w:cs="Palatino Linotype"/>
          <w:i/>
          <w:iCs/>
        </w:rPr>
        <w:t xml:space="preserve">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rsidR="00D84A80" w:rsidRPr="00734317" w:rsidRDefault="00D84A80">
      <w:pPr>
        <w:widowControl w:val="0"/>
        <w:spacing w:line="360" w:lineRule="auto"/>
        <w:ind w:right="49"/>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Atento a lo anterior, resulta claro que existe fuente obligacional que constriñe al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xml:space="preserve"> a generar administrar y poseer la información interés del Particular, en consecuencia, la información solicitada; debe obrar en los archivos del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Ante ello se destaca que, de manera enunciativa, mas no limitativa, los documentos que pudieran colmar la pretensión del particular corresponden a las facturas o comprobantes que amparen las erogaciones realizadas con detrimento al erario público por la instalación de las ruedas del tren referido en la solicitud.</w:t>
      </w:r>
    </w:p>
    <w:p w:rsidR="00D84A80" w:rsidRPr="00734317" w:rsidRDefault="00D84A8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Con la determinación anterior quedará por colmado el derecho de acceso a la información del ahora Recurrente; toda vez que el Derecho que tutela este Órgano Garante </w:t>
      </w:r>
      <w:r w:rsidRPr="00734317">
        <w:rPr>
          <w:rFonts w:ascii="Palatino Linotype" w:eastAsia="Palatino Linotype" w:hAnsi="Palatino Linotype" w:cs="Palatino Linotype"/>
        </w:rPr>
        <w:t>corresponde</w:t>
      </w:r>
      <w:r w:rsidRPr="00734317">
        <w:rPr>
          <w:rFonts w:ascii="Palatino Linotype" w:eastAsia="Palatino Linotype" w:hAnsi="Palatino Linotype" w:cs="Palatino Linotype"/>
          <w:color w:val="000000"/>
        </w:rPr>
        <w:t xml:space="preserve"> a la  </w:t>
      </w:r>
      <w:r w:rsidRPr="00734317">
        <w:rPr>
          <w:rFonts w:ascii="Palatino Linotype" w:eastAsia="Palatino Linotype" w:hAnsi="Palatino Linotype" w:cs="Palatino Linotype"/>
          <w:i/>
          <w:iCs/>
          <w:color w:val="000000"/>
        </w:rPr>
        <w:t>igualdad de oportunidades para recibir, buscar e impartir información</w:t>
      </w:r>
      <w:r w:rsidRPr="00734317">
        <w:rPr>
          <w:rFonts w:ascii="Palatino Linotype" w:eastAsia="Palatino Linotype" w:hAnsi="Palatino Linotype" w:cs="Palatino Linotype"/>
          <w:i/>
          <w:iCs/>
          <w:color w:val="000000"/>
          <w:vertAlign w:val="superscript"/>
        </w:rPr>
        <w:footnoteReference w:id="2"/>
      </w:r>
      <w:r w:rsidRPr="00734317">
        <w:rPr>
          <w:rFonts w:ascii="Palatino Linotype" w:eastAsia="Palatino Linotype" w:hAnsi="Palatino Linotype" w:cs="Palatino Linotype"/>
          <w:i/>
          <w:iCs/>
          <w:color w:val="000000"/>
        </w:rPr>
        <w:t xml:space="preserve"> en posesión de cualquier autoridad, entidad, órgano y organismo de los </w:t>
      </w:r>
      <w:r w:rsidRPr="00734317">
        <w:rPr>
          <w:rFonts w:ascii="Palatino Linotype" w:eastAsia="Palatino Linotype" w:hAnsi="Palatino Linotype" w:cs="Palatino Linotype"/>
          <w:color w:val="000000"/>
        </w:rPr>
        <w:t>poderes</w:t>
      </w:r>
      <w:r w:rsidRPr="00734317">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34317">
        <w:rPr>
          <w:rFonts w:ascii="Palatino Linotype" w:eastAsia="Palatino Linotype" w:hAnsi="Palatino Linotype" w:cs="Palatino Linotype"/>
          <w:color w:val="000000"/>
          <w:vertAlign w:val="superscript"/>
        </w:rPr>
        <w:footnoteReference w:id="3"/>
      </w:r>
      <w:r w:rsidRPr="00734317">
        <w:rPr>
          <w:rFonts w:ascii="Palatino Linotype" w:eastAsia="Palatino Linotype" w:hAnsi="Palatino Linotype" w:cs="Palatino Linotype"/>
          <w:i/>
          <w:iCs/>
          <w:color w:val="000000"/>
        </w:rPr>
        <w:t xml:space="preserve"> </w:t>
      </w:r>
      <w:r w:rsidRPr="00734317">
        <w:rPr>
          <w:rFonts w:ascii="Palatino Linotype" w:eastAsia="Palatino Linotype" w:hAnsi="Palatino Linotype" w:cs="Palatino Linotype"/>
          <w:color w:val="000000"/>
        </w:rPr>
        <w:t xml:space="preserve">que se constituye como una herramienta fundamental para </w:t>
      </w:r>
      <w:r w:rsidRPr="00734317">
        <w:rPr>
          <w:rFonts w:ascii="Palatino Linotype" w:eastAsia="Palatino Linotype" w:hAnsi="Palatino Linotype" w:cs="Palatino Linotype"/>
          <w:i/>
          <w:iCs/>
          <w:color w:val="000000"/>
        </w:rPr>
        <w:t xml:space="preserve">ejercer control democrático de las gestiones estatales, de forma tal que puedan cuestionar, indagar y </w:t>
      </w:r>
      <w:r w:rsidRPr="00734317">
        <w:rPr>
          <w:rFonts w:ascii="Palatino Linotype" w:eastAsia="Palatino Linotype" w:hAnsi="Palatino Linotype" w:cs="Palatino Linotype"/>
          <w:i/>
          <w:iCs/>
          <w:color w:val="000000"/>
        </w:rPr>
        <w:lastRenderedPageBreak/>
        <w:t>considerar si se está dando un adecuado cumplimiento de las funciones públicas,</w:t>
      </w:r>
      <w:r w:rsidRPr="00734317">
        <w:rPr>
          <w:rFonts w:ascii="Palatino Linotype" w:eastAsia="Palatino Linotype" w:hAnsi="Palatino Linotype" w:cs="Palatino Linotype"/>
          <w:i/>
          <w:iCs/>
          <w:color w:val="000000"/>
          <w:vertAlign w:val="superscript"/>
        </w:rPr>
        <w:footnoteReference w:id="4"/>
      </w:r>
      <w:r w:rsidRPr="00734317">
        <w:rPr>
          <w:rFonts w:ascii="Palatino Linotype" w:eastAsia="Palatino Linotype" w:hAnsi="Palatino Linotype" w:cs="Palatino Linotype"/>
          <w:color w:val="000000"/>
        </w:rPr>
        <w:t>fomentando</w:t>
      </w:r>
      <w:r w:rsidRPr="00734317">
        <w:rPr>
          <w:rFonts w:ascii="Palatino Linotype" w:eastAsia="Palatino Linotype" w:hAnsi="Palatino Linotype" w:cs="Palatino Linotype"/>
          <w:i/>
          <w:iCs/>
          <w:color w:val="000000"/>
        </w:rPr>
        <w:t xml:space="preserve"> la transparencia de las actividades estatales y</w:t>
      </w:r>
      <w:r w:rsidRPr="00734317">
        <w:rPr>
          <w:rFonts w:ascii="Palatino Linotype" w:eastAsia="Palatino Linotype" w:hAnsi="Palatino Linotype" w:cs="Palatino Linotype"/>
          <w:color w:val="000000"/>
        </w:rPr>
        <w:t xml:space="preserve"> promoviendo</w:t>
      </w:r>
      <w:r w:rsidRPr="00734317">
        <w:rPr>
          <w:rFonts w:ascii="Palatino Linotype" w:eastAsia="Palatino Linotype" w:hAnsi="Palatino Linotype" w:cs="Palatino Linotype"/>
          <w:i/>
          <w:iCs/>
          <w:color w:val="000000"/>
        </w:rPr>
        <w:t xml:space="preserve"> la responsabilidad de los funcionarios sobre su gestión pública</w:t>
      </w:r>
      <w:r w:rsidRPr="00734317">
        <w:rPr>
          <w:rFonts w:ascii="Palatino Linotype" w:eastAsia="Palatino Linotype" w:hAnsi="Palatino Linotype" w:cs="Palatino Linotype"/>
          <w:i/>
          <w:iCs/>
          <w:color w:val="000000"/>
          <w:vertAlign w:val="superscript"/>
        </w:rPr>
        <w:footnoteReference w:id="5"/>
      </w:r>
      <w:r w:rsidRPr="00734317">
        <w:rPr>
          <w:rFonts w:ascii="Palatino Linotype" w:eastAsia="Palatino Linotype" w:hAnsi="Palatino Linotype" w:cs="Palatino Linotype"/>
          <w:i/>
          <w:iCs/>
          <w:color w:val="000000"/>
        </w:rPr>
        <w:t xml:space="preserve"> </w:t>
      </w:r>
      <w:r w:rsidRPr="00734317">
        <w:rPr>
          <w:rFonts w:ascii="Palatino Linotype" w:eastAsia="Palatino Linotype" w:hAnsi="Palatino Linotype" w:cs="Palatino Linotype"/>
          <w:color w:val="000000"/>
        </w:rPr>
        <w:t>que permite</w:t>
      </w:r>
      <w:r w:rsidRPr="00734317">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734317">
        <w:rPr>
          <w:rFonts w:ascii="Palatino Linotype" w:eastAsia="Palatino Linotype" w:hAnsi="Palatino Linotype" w:cs="Palatino Linotype"/>
          <w:i/>
          <w:iCs/>
          <w:color w:val="000000"/>
          <w:vertAlign w:val="superscript"/>
        </w:rPr>
        <w:footnoteReference w:id="6"/>
      </w:r>
      <w:r w:rsidRPr="00734317">
        <w:rPr>
          <w:rFonts w:ascii="Palatino Linotype" w:eastAsia="Palatino Linotype" w:hAnsi="Palatino Linotype" w:cs="Palatino Linotype"/>
          <w:color w:val="000000"/>
        </w:rPr>
        <w:t xml:space="preserve"> ”</w:t>
      </w:r>
    </w:p>
    <w:p w:rsidR="00D84A80" w:rsidRPr="00734317" w:rsidRDefault="00D84A80">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84A80" w:rsidRPr="00734317" w:rsidRDefault="0016512A">
      <w:pPr>
        <w:spacing w:line="360" w:lineRule="auto"/>
        <w:ind w:left="426" w:right="474"/>
        <w:jc w:val="both"/>
        <w:rPr>
          <w:rFonts w:ascii="Palatino Linotype" w:eastAsia="Palatino Linotype" w:hAnsi="Palatino Linotype" w:cs="Palatino Linotype"/>
          <w:b/>
          <w:bCs/>
          <w:i/>
          <w:iCs/>
          <w:color w:val="000000"/>
        </w:rPr>
      </w:pPr>
      <w:r w:rsidRPr="00734317">
        <w:rPr>
          <w:rFonts w:ascii="Palatino Linotype" w:eastAsia="Palatino Linotype" w:hAnsi="Palatino Linotype" w:cs="Palatino Linotype"/>
          <w:b/>
          <w:bCs/>
          <w:i/>
          <w:iCs/>
          <w:color w:val="000000"/>
        </w:rPr>
        <w:t>“CRITERIO 0002-11</w:t>
      </w:r>
    </w:p>
    <w:p w:rsidR="00D84A80" w:rsidRPr="00734317" w:rsidRDefault="0016512A">
      <w:pPr>
        <w:spacing w:line="360" w:lineRule="auto"/>
        <w:ind w:left="426" w:right="474"/>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734317">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84A80" w:rsidRPr="00734317" w:rsidRDefault="0016512A">
      <w:pPr>
        <w:spacing w:line="360" w:lineRule="auto"/>
        <w:ind w:left="426" w:right="474"/>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i/>
          <w:iCs/>
          <w:color w:val="000000"/>
        </w:rPr>
        <w:lastRenderedPageBreak/>
        <w:t>En consecuencia el acceso a la información se refiere a que se cumplan cualquiera de los siguientes tres supuestos:</w:t>
      </w:r>
    </w:p>
    <w:p w:rsidR="00D84A80" w:rsidRPr="00734317" w:rsidRDefault="0016512A">
      <w:pPr>
        <w:spacing w:line="360" w:lineRule="auto"/>
        <w:ind w:left="426" w:right="474"/>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rsidR="00D84A80" w:rsidRPr="00734317" w:rsidRDefault="0016512A">
      <w:pPr>
        <w:spacing w:line="360" w:lineRule="auto"/>
        <w:ind w:left="426" w:right="474"/>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D84A80" w:rsidRPr="00734317" w:rsidRDefault="0016512A">
      <w:pPr>
        <w:spacing w:line="360" w:lineRule="auto"/>
        <w:ind w:left="426" w:right="474"/>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rsidR="00D84A80" w:rsidRPr="00734317" w:rsidRDefault="00D84A80">
      <w:pPr>
        <w:spacing w:line="360" w:lineRule="auto"/>
        <w:ind w:left="567" w:right="567"/>
        <w:jc w:val="both"/>
        <w:rPr>
          <w:rFonts w:ascii="Palatino Linotype" w:eastAsia="Palatino Linotype" w:hAnsi="Palatino Linotype" w:cs="Palatino Linotype"/>
          <w:i/>
          <w:iCs/>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D84A80" w:rsidRPr="00734317" w:rsidRDefault="0016512A">
      <w:pPr>
        <w:spacing w:line="360" w:lineRule="auto"/>
        <w:ind w:left="426" w:right="474"/>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b/>
          <w:bCs/>
          <w:i/>
          <w:iCs/>
          <w:color w:val="000000"/>
        </w:rPr>
        <w:t xml:space="preserve">XI. Documento: </w:t>
      </w:r>
      <w:r w:rsidRPr="00734317">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sidRPr="00734317">
        <w:rPr>
          <w:rFonts w:ascii="Palatino Linotype" w:eastAsia="Palatino Linotype" w:hAnsi="Palatino Linotype" w:cs="Palatino Linotype"/>
          <w:b/>
          <w:bCs/>
          <w:i/>
          <w:iCs/>
          <w:color w:val="000000"/>
        </w:rPr>
        <w:t>cualquier otro registro</w:t>
      </w:r>
      <w:r w:rsidRPr="00734317">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84A80" w:rsidRPr="00734317" w:rsidRDefault="00D84A80">
      <w:pPr>
        <w:spacing w:line="360" w:lineRule="auto"/>
        <w:ind w:left="567" w:right="567"/>
        <w:jc w:val="both"/>
        <w:rPr>
          <w:rFonts w:ascii="Palatino Linotype" w:eastAsia="Palatino Linotype" w:hAnsi="Palatino Linotype" w:cs="Palatino Linotype"/>
          <w:i/>
          <w:iCs/>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Es así que, todos los actos de autoridad que realicen los Sujetos Obligados </w:t>
      </w:r>
      <w:r w:rsidRPr="00734317">
        <w:rPr>
          <w:rFonts w:ascii="Palatino Linotype" w:eastAsia="Palatino Linotype" w:hAnsi="Palatino Linotype" w:cs="Palatino Linotype"/>
          <w:b/>
          <w:bCs/>
          <w:color w:val="000000"/>
        </w:rPr>
        <w:t xml:space="preserve">deben estar </w:t>
      </w:r>
      <w:r w:rsidRPr="00734317">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lastRenderedPageBreak/>
        <w:t>Además, debemos tomar en cuenta los artículos 4 y 12 (antes transcrito), de la Ley de Transparencia y Acceso a la Información Pública del Estado de México y Municipios, los cuales establecen lo siguiente:</w:t>
      </w:r>
    </w:p>
    <w:p w:rsidR="00D84A80" w:rsidRPr="00734317" w:rsidRDefault="0016512A">
      <w:pPr>
        <w:spacing w:line="360" w:lineRule="auto"/>
        <w:ind w:left="426" w:right="567"/>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b/>
          <w:bCs/>
          <w:i/>
          <w:iCs/>
          <w:color w:val="000000"/>
        </w:rPr>
        <w:t xml:space="preserve">“Artículo 4. </w:t>
      </w:r>
      <w:r w:rsidRPr="00734317">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D84A80" w:rsidRPr="00734317" w:rsidRDefault="0016512A">
      <w:pPr>
        <w:spacing w:line="360" w:lineRule="auto"/>
        <w:ind w:left="426" w:right="567"/>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b/>
          <w:bCs/>
          <w:i/>
          <w:iCs/>
          <w:color w:val="000000"/>
        </w:rPr>
        <w:t>Toda la información</w:t>
      </w:r>
      <w:r w:rsidRPr="00734317">
        <w:rPr>
          <w:rFonts w:ascii="Palatino Linotype" w:eastAsia="Palatino Linotype" w:hAnsi="Palatino Linotype" w:cs="Palatino Linotype"/>
          <w:i/>
          <w:iCs/>
          <w:color w:val="000000"/>
        </w:rPr>
        <w:t xml:space="preserve"> generada, obtenida, adquirida, transformada, administrada o </w:t>
      </w:r>
      <w:r w:rsidRPr="00734317">
        <w:rPr>
          <w:rFonts w:ascii="Palatino Linotype" w:eastAsia="Palatino Linotype" w:hAnsi="Palatino Linotype" w:cs="Palatino Linotype"/>
          <w:b/>
          <w:bCs/>
          <w:i/>
          <w:iCs/>
          <w:color w:val="000000"/>
        </w:rPr>
        <w:t>en posesión de los sujetos obligados es pública</w:t>
      </w:r>
      <w:r w:rsidRPr="00734317">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84A80" w:rsidRPr="00734317" w:rsidRDefault="0016512A">
      <w:pPr>
        <w:spacing w:line="360" w:lineRule="auto"/>
        <w:ind w:left="426" w:right="567"/>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rsidR="00D84A80" w:rsidRPr="00734317" w:rsidRDefault="00D84A80">
      <w:pPr>
        <w:spacing w:line="360" w:lineRule="auto"/>
        <w:ind w:left="567" w:right="567"/>
        <w:jc w:val="both"/>
        <w:rPr>
          <w:rFonts w:ascii="Palatino Linotype" w:eastAsia="Palatino Linotype" w:hAnsi="Palatino Linotype" w:cs="Palatino Linotype"/>
          <w:i/>
          <w:iCs/>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34317">
        <w:rPr>
          <w:rFonts w:ascii="Palatino Linotype" w:eastAsia="Palatino Linotype" w:hAnsi="Palatino Linotype" w:cs="Palatino Linotype"/>
          <w:color w:val="000000"/>
          <w:vertAlign w:val="superscript"/>
        </w:rPr>
        <w:footnoteReference w:id="7"/>
      </w:r>
      <w:r w:rsidRPr="00734317">
        <w:rPr>
          <w:rFonts w:ascii="Palatino Linotype" w:eastAsia="Palatino Linotype" w:hAnsi="Palatino Linotype" w:cs="Palatino Linotype"/>
          <w:color w:val="000000"/>
        </w:rPr>
        <w:t xml:space="preserve"> y máxima publicidad, </w:t>
      </w:r>
      <w:r w:rsidRPr="00734317">
        <w:rPr>
          <w:rFonts w:ascii="Palatino Linotype" w:eastAsia="Palatino Linotype" w:hAnsi="Palatino Linotype" w:cs="Palatino Linotype"/>
          <w:color w:val="000000"/>
        </w:rPr>
        <w:lastRenderedPageBreak/>
        <w:t>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84A80" w:rsidRPr="00734317" w:rsidRDefault="00D84A80">
      <w:pPr>
        <w:spacing w:line="360" w:lineRule="auto"/>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84A80" w:rsidRPr="00734317" w:rsidRDefault="0016512A">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r w:rsidRPr="00734317">
        <w:rPr>
          <w:rFonts w:ascii="Palatino Linotype" w:eastAsia="Palatino Linotype" w:hAnsi="Palatino Linotype" w:cs="Palatino Linotype"/>
          <w:b/>
          <w:bCs/>
          <w:i/>
          <w:iCs/>
          <w:color w:val="000000"/>
        </w:rPr>
        <w:t>ACCESO A LA INFORMACIÓN. IMPLICACIÓN DEL PRINCIPIO DE MÁXIMA PUBLICIDAD EN EL DERECHO FUNDAMENTAL RELATIVO.</w:t>
      </w:r>
      <w:r w:rsidRPr="00734317">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w:t>
      </w:r>
      <w:r w:rsidRPr="00734317">
        <w:rPr>
          <w:rFonts w:ascii="Palatino Linotype" w:eastAsia="Palatino Linotype" w:hAnsi="Palatino Linotype" w:cs="Palatino Linotype"/>
          <w:i/>
          <w:iCs/>
          <w:color w:val="000000"/>
        </w:rPr>
        <w:lastRenderedPageBreak/>
        <w:t>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84A80" w:rsidRPr="00734317" w:rsidRDefault="00D84A80">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i/>
          <w:iCs/>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b/>
          <w:bCs/>
        </w:rPr>
      </w:pPr>
      <w:r w:rsidRPr="00734317">
        <w:rPr>
          <w:rFonts w:ascii="Palatino Linotype" w:eastAsia="Palatino Linotype" w:hAnsi="Palatino Linotype" w:cs="Palatino Linotype"/>
          <w:color w:val="000000"/>
        </w:rPr>
        <w:t>Finalmente, no pasa desapercibido que respecto de los contratos vigentes con los prestadores de servicios</w:t>
      </w:r>
      <w:r w:rsidRPr="00734317">
        <w:rPr>
          <w:rFonts w:ascii="Palatino Linotype" w:eastAsia="Palatino Linotype" w:hAnsi="Palatino Linotype" w:cs="Palatino Linotype"/>
          <w:color w:val="222222"/>
        </w:rPr>
        <w:t xml:space="preserve"> </w:t>
      </w:r>
      <w:r w:rsidRPr="00734317">
        <w:rPr>
          <w:rFonts w:ascii="Palatino Linotype" w:eastAsia="Palatino Linotype" w:hAnsi="Palatino Linotype" w:cs="Palatino Linotype"/>
        </w:rPr>
        <w:t xml:space="preserve">MFONTOVA ASOC S.C. y, Corporativo y Administrativo Coral Negro, S.A. de C.V. al 25 de marzo de 2025; si bien se tiene certeza de la celebración de contratos entre el Ayuntamiento de Toluca y esas dos personas morales prestadores de servicios, también lo es que no se cuenta con certeza si al 25 de marzo de 2025, existe un contrato vigente. Por lo que si derivado de la nueva búsqueda exhaustiva y razonable no se localizara un contrato vigente a esa fecha, bastara que así lo haga del conocimiento el </w:t>
      </w:r>
      <w:r w:rsidRPr="00734317">
        <w:rPr>
          <w:rFonts w:ascii="Palatino Linotype" w:eastAsia="Palatino Linotype" w:hAnsi="Palatino Linotype" w:cs="Palatino Linotype"/>
          <w:b/>
          <w:bCs/>
        </w:rPr>
        <w:t xml:space="preserve">SUJETO OBLIGADO </w:t>
      </w:r>
      <w:r w:rsidRPr="00734317">
        <w:rPr>
          <w:rFonts w:ascii="Palatino Linotype" w:eastAsia="Palatino Linotype" w:hAnsi="Palatino Linotype" w:cs="Palatino Linotype"/>
        </w:rPr>
        <w:t>al</w:t>
      </w:r>
      <w:r w:rsidRPr="00734317">
        <w:rPr>
          <w:rFonts w:ascii="Palatino Linotype" w:eastAsia="Palatino Linotype" w:hAnsi="Palatino Linotype" w:cs="Palatino Linotype"/>
          <w:b/>
          <w:bCs/>
        </w:rPr>
        <w:t xml:space="preserve"> RECURRENTE </w:t>
      </w:r>
      <w:r w:rsidRPr="00734317">
        <w:rPr>
          <w:rFonts w:ascii="Palatino Linotype" w:eastAsia="Palatino Linotype" w:hAnsi="Palatino Linotype" w:cs="Palatino Linotype"/>
        </w:rPr>
        <w:t>al momento de dar cumplimiento al presente proveído en términos del artículo 19 segundo párrafo de la Ley de la Materia.</w:t>
      </w:r>
    </w:p>
    <w:p w:rsidR="00D84A80" w:rsidRPr="00734317" w:rsidRDefault="00D84A80">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color w:val="000000"/>
        </w:rPr>
      </w:pPr>
    </w:p>
    <w:p w:rsidR="00D84A80" w:rsidRPr="00734317" w:rsidRDefault="0016512A">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b/>
          <w:bCs/>
          <w:color w:val="000000"/>
        </w:rPr>
        <w:t>QUINTO. De la versión pública.</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Finalmente, debe señalarse que dada la propia y especial naturaleza de lo solicitado, </w:t>
      </w:r>
      <w:r w:rsidRPr="00734317">
        <w:rPr>
          <w:rFonts w:ascii="Palatino Linotype" w:eastAsia="Palatino Linotype" w:hAnsi="Palatino Linotype" w:cs="Palatino Linotype"/>
          <w:color w:val="000000"/>
        </w:rPr>
        <w:t>eminentemente</w:t>
      </w:r>
      <w:r w:rsidRPr="00734317">
        <w:rPr>
          <w:rFonts w:ascii="Palatino Linotype" w:eastAsia="Palatino Linotype" w:hAnsi="Palatino Linotype" w:cs="Palatino Linotype"/>
        </w:rPr>
        <w:t xml:space="preserve"> contiene múltiples datos personales que deberán ser protegidos como ya quedó asentado en el Considerando anterior del presente proveído. </w:t>
      </w:r>
      <w:r w:rsidRPr="00734317">
        <w:rPr>
          <w:rFonts w:ascii="Palatino Linotype" w:eastAsia="Palatino Linotype" w:hAnsi="Palatino Linotype" w:cs="Palatino Linotype"/>
          <w:color w:val="000000"/>
        </w:rPr>
        <w:t>Para</w:t>
      </w:r>
      <w:r w:rsidRPr="00734317">
        <w:rPr>
          <w:rFonts w:ascii="Palatino Linotype" w:eastAsia="Palatino Linotype" w:hAnsi="Palatino Linotype" w:cs="Palatino Linotype"/>
        </w:rPr>
        <w:t xml:space="preserve"> dar cumplimiento a la presente resolución, contengan datos que deban ser clasificados, el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xml:space="preserve"> deberá hacer la elaboración de la versión pública de tales documentos a fin de </w:t>
      </w:r>
      <w:r w:rsidRPr="00734317">
        <w:rPr>
          <w:rFonts w:ascii="Palatino Linotype" w:eastAsia="Palatino Linotype" w:hAnsi="Palatino Linotype" w:cs="Palatino Linotype"/>
        </w:rPr>
        <w:lastRenderedPageBreak/>
        <w:t>satisfacer el derecho de acceso a la información pública del recurrente sin menoscabo al derecho a la protección de los datos personales de terceros.</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D84A80" w:rsidRPr="00734317" w:rsidRDefault="0016512A">
      <w:pPr>
        <w:spacing w:line="360" w:lineRule="auto"/>
        <w:ind w:left="851" w:right="1041"/>
        <w:jc w:val="both"/>
        <w:rPr>
          <w:rFonts w:ascii="Palatino Linotype" w:eastAsia="Palatino Linotype" w:hAnsi="Palatino Linotype" w:cs="Palatino Linotype"/>
          <w:b/>
          <w:bCs/>
          <w:i/>
          <w:iCs/>
        </w:rPr>
      </w:pPr>
      <w:r w:rsidRPr="00734317">
        <w:rPr>
          <w:rFonts w:ascii="Palatino Linotype" w:eastAsia="Palatino Linotype" w:hAnsi="Palatino Linotype" w:cs="Palatino Linotype"/>
          <w:b/>
          <w:bCs/>
          <w:i/>
          <w:iCs/>
        </w:rPr>
        <w:t xml:space="preserve"> “Artículo 3. Para los efectos de la presente Ley se entenderá por:</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IX. Datos personales:</w:t>
      </w:r>
      <w:r w:rsidRPr="00734317">
        <w:rPr>
          <w:rFonts w:ascii="Palatino Linotype" w:eastAsia="Palatino Linotype" w:hAnsi="Palatino Linotype" w:cs="Palatino Linotype"/>
          <w:i/>
          <w:iCs/>
        </w:rPr>
        <w:t xml:space="preserve"> </w:t>
      </w:r>
      <w:r w:rsidRPr="00734317">
        <w:rPr>
          <w:rFonts w:ascii="Palatino Linotype" w:eastAsia="Palatino Linotype" w:hAnsi="Palatino Linotype" w:cs="Palatino Linotype"/>
          <w:b/>
          <w:bCs/>
          <w:i/>
          <w:iCs/>
        </w:rPr>
        <w:t>La información concerniente a una persona, identificada o identificable</w:t>
      </w:r>
      <w:r w:rsidRPr="00734317">
        <w:rPr>
          <w:rFonts w:ascii="Palatino Linotype" w:eastAsia="Palatino Linotype" w:hAnsi="Palatino Linotype" w:cs="Palatino Linotype"/>
          <w:i/>
          <w:iCs/>
        </w:rPr>
        <w:t xml:space="preserve"> según lo dispuesto por la Ley de Protección de Datos Personales del Estado de México;</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XX. Información clasificada:</w:t>
      </w:r>
      <w:r w:rsidRPr="00734317">
        <w:rPr>
          <w:rFonts w:ascii="Palatino Linotype" w:eastAsia="Palatino Linotype" w:hAnsi="Palatino Linotype" w:cs="Palatino Linotype"/>
          <w:i/>
          <w:iCs/>
        </w:rPr>
        <w:t xml:space="preserve"> Aquella considerada por la presente Ley como reservada o confidencial;</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XXXII. Protección de Datos Personales:</w:t>
      </w:r>
      <w:r w:rsidRPr="00734317">
        <w:rPr>
          <w:rFonts w:ascii="Palatino Linotype" w:eastAsia="Palatino Linotype" w:hAnsi="Palatino Linotype" w:cs="Palatino Linotype"/>
          <w:i/>
          <w:iCs/>
        </w:rPr>
        <w:t xml:space="preserve"> Derecho humano que tutela la privacidad de datos personales en poder de los sujetos obligados y sujetos particulares;</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XLV. Versión pública</w:t>
      </w:r>
      <w:r w:rsidRPr="00734317">
        <w:rPr>
          <w:rFonts w:ascii="Palatino Linotype" w:eastAsia="Palatino Linotype" w:hAnsi="Palatino Linotype" w:cs="Palatino Linotype"/>
          <w:i/>
          <w:iCs/>
        </w:rPr>
        <w:t>: Documento en el que se elimine, suprime o borra la información clasificada como reservada o confidencial para permitir su acceso.”</w:t>
      </w:r>
    </w:p>
    <w:p w:rsidR="00D84A80" w:rsidRPr="00734317" w:rsidRDefault="00D84A80">
      <w:pPr>
        <w:spacing w:line="360" w:lineRule="auto"/>
        <w:ind w:left="851" w:right="1041"/>
        <w:jc w:val="both"/>
        <w:rPr>
          <w:rFonts w:ascii="Palatino Linotype" w:eastAsia="Palatino Linotype" w:hAnsi="Palatino Linotype" w:cs="Palatino Linotype"/>
          <w:i/>
          <w:iCs/>
        </w:rPr>
      </w:pP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6.</w:t>
      </w:r>
      <w:r w:rsidRPr="00734317">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w:t>
      </w:r>
      <w:r w:rsidRPr="00734317">
        <w:rPr>
          <w:rFonts w:ascii="Palatino Linotype" w:eastAsia="Palatino Linotype" w:hAnsi="Palatino Linotype" w:cs="Palatino Linotype"/>
          <w:i/>
          <w:iCs/>
        </w:rPr>
        <w:lastRenderedPageBreak/>
        <w:t>medidas de seguridad en el tratamiento y demás disposiciones en materia de datos personales, se deberá estar a lo dispuesto en las leyes de la materia.”</w:t>
      </w:r>
    </w:p>
    <w:p w:rsidR="00D84A80" w:rsidRPr="00734317" w:rsidRDefault="00D84A80">
      <w:pPr>
        <w:spacing w:line="360" w:lineRule="auto"/>
        <w:ind w:left="851" w:right="1041"/>
        <w:jc w:val="both"/>
        <w:rPr>
          <w:rFonts w:ascii="Palatino Linotype" w:eastAsia="Palatino Linotype" w:hAnsi="Palatino Linotype" w:cs="Palatino Linotype"/>
          <w:i/>
          <w:iCs/>
        </w:rPr>
      </w:pP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w:t>
      </w:r>
      <w:r w:rsidRPr="00734317">
        <w:rPr>
          <w:rFonts w:ascii="Palatino Linotype" w:eastAsia="Palatino Linotype" w:hAnsi="Palatino Linotype" w:cs="Palatino Linotype"/>
          <w:b/>
          <w:bCs/>
          <w:i/>
          <w:iCs/>
        </w:rPr>
        <w:t>Artículo 49.</w:t>
      </w:r>
      <w:r w:rsidRPr="00734317">
        <w:rPr>
          <w:rFonts w:ascii="Palatino Linotype" w:eastAsia="Palatino Linotype" w:hAnsi="Palatino Linotype" w:cs="Palatino Linotype"/>
          <w:i/>
          <w:iCs/>
        </w:rPr>
        <w:t> Los Comités de Transparencia tendrán las siguientes atribuciones:</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VIII</w:t>
      </w:r>
      <w:r w:rsidRPr="00734317">
        <w:rPr>
          <w:rFonts w:ascii="Palatino Linotype" w:eastAsia="Palatino Linotype" w:hAnsi="Palatino Linotype" w:cs="Palatino Linotype"/>
          <w:i/>
          <w:iCs/>
        </w:rPr>
        <w:t>. Aprobar, modificar o revocar la clasificación de la información;</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 xml:space="preserve">Artículo 91. </w:t>
      </w:r>
      <w:r w:rsidRPr="00734317">
        <w:rPr>
          <w:rFonts w:ascii="Palatino Linotype" w:eastAsia="Palatino Linotype" w:hAnsi="Palatino Linotype" w:cs="Palatino Linotype"/>
          <w:i/>
          <w:iCs/>
        </w:rPr>
        <w:t>El acceso a la información pública será restringido excepcionalmente, cuando ésta sea clasificada como reservada o confidencial.</w:t>
      </w:r>
    </w:p>
    <w:p w:rsidR="00D84A80" w:rsidRPr="00734317" w:rsidRDefault="00D84A80">
      <w:pPr>
        <w:spacing w:line="360" w:lineRule="auto"/>
        <w:ind w:left="851" w:right="1041"/>
        <w:jc w:val="both"/>
        <w:rPr>
          <w:rFonts w:ascii="Palatino Linotype" w:eastAsia="Palatino Linotype" w:hAnsi="Palatino Linotype" w:cs="Palatino Linotype"/>
          <w:i/>
          <w:iCs/>
        </w:rPr>
      </w:pPr>
    </w:p>
    <w:p w:rsidR="00D84A80" w:rsidRPr="00734317" w:rsidRDefault="0016512A">
      <w:pPr>
        <w:spacing w:line="360" w:lineRule="auto"/>
        <w:ind w:left="851" w:right="1041"/>
        <w:jc w:val="both"/>
        <w:rPr>
          <w:rFonts w:ascii="Palatino Linotype" w:eastAsia="Palatino Linotype" w:hAnsi="Palatino Linotype" w:cs="Palatino Linotype"/>
          <w:b/>
          <w:bCs/>
          <w:i/>
          <w:iCs/>
        </w:rPr>
      </w:pPr>
      <w:r w:rsidRPr="00734317">
        <w:rPr>
          <w:rFonts w:ascii="Palatino Linotype" w:eastAsia="Palatino Linotype" w:hAnsi="Palatino Linotype" w:cs="Palatino Linotype"/>
          <w:b/>
          <w:bCs/>
          <w:i/>
          <w:iCs/>
        </w:rPr>
        <w:t>“Artículo 137.</w:t>
      </w:r>
      <w:r w:rsidRPr="00734317">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84A80" w:rsidRPr="00734317" w:rsidRDefault="00D84A80">
      <w:pPr>
        <w:spacing w:line="360" w:lineRule="auto"/>
        <w:ind w:left="851" w:right="1041"/>
        <w:jc w:val="both"/>
        <w:rPr>
          <w:rFonts w:ascii="Palatino Linotype" w:eastAsia="Palatino Linotype" w:hAnsi="Palatino Linotype" w:cs="Palatino Linotype"/>
          <w:b/>
          <w:bCs/>
          <w:i/>
          <w:iCs/>
        </w:rPr>
      </w:pP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143</w:t>
      </w:r>
      <w:r w:rsidRPr="00734317">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I.</w:t>
      </w:r>
      <w:r w:rsidRPr="00734317">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D84A80" w:rsidRPr="00734317" w:rsidRDefault="0016512A">
      <w:pPr>
        <w:spacing w:line="360" w:lineRule="auto"/>
        <w:ind w:left="851"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lastRenderedPageBreak/>
        <w:t xml:space="preserve">III. La que presenten los particulares a los sujetos obligados, de conformidad con lo dispuesto por las leyes o los tratados internacionales.” </w:t>
      </w:r>
    </w:p>
    <w:p w:rsidR="00D84A80" w:rsidRPr="00734317" w:rsidRDefault="00D84A80">
      <w:pPr>
        <w:spacing w:line="360" w:lineRule="auto"/>
        <w:ind w:left="993" w:right="1041"/>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En el caso concreto, por lo que respecta a los RFC de personas físicas o morales proveedores, de acuerdo al criterio SO/004/2021, emitido por el Instituto Nacional de Transparencia, Acceso a la Información y Protección de Datos Personales, que establece lo siguiente:</w:t>
      </w:r>
    </w:p>
    <w:p w:rsidR="00D84A80" w:rsidRPr="00734317" w:rsidRDefault="0016512A">
      <w:pPr>
        <w:spacing w:line="360" w:lineRule="auto"/>
        <w:ind w:left="850" w:right="90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“Registro Federal de Contribuyentes (RFC) de personas físicas proveedores o contratistas</w:t>
      </w:r>
      <w:r w:rsidRPr="00734317">
        <w:rPr>
          <w:rFonts w:ascii="Palatino Linotype" w:eastAsia="Palatino Linotype" w:hAnsi="Palatino Linotype" w:cs="Palatino Linotype"/>
          <w:b/>
          <w:bCs/>
          <w:i/>
          <w:iCs/>
          <w:u w:val="single"/>
        </w:rPr>
        <w:t>.</w:t>
      </w:r>
      <w:r w:rsidRPr="00734317">
        <w:rPr>
          <w:rFonts w:ascii="Palatino Linotype" w:eastAsia="Palatino Linotype" w:hAnsi="Palatino Linotype" w:cs="Palatino Linotype"/>
          <w:i/>
          <w:iCs/>
          <w:u w:val="single"/>
        </w:rPr>
        <w:t xml:space="preserve"> </w:t>
      </w:r>
      <w:r w:rsidRPr="00734317">
        <w:rPr>
          <w:rFonts w:ascii="Palatino Linotype" w:eastAsia="Palatino Linotype" w:hAnsi="Palatino Linotype" w:cs="Palatino Linotype"/>
          <w:b/>
          <w:bCs/>
          <w:i/>
          <w:iCs/>
          <w:u w:val="single"/>
        </w:rPr>
        <w:t>El RFC de contratistas o proveedores de sujetos obligados debe ser público</w:t>
      </w:r>
      <w:r w:rsidRPr="00734317">
        <w:rPr>
          <w:rFonts w:ascii="Palatino Linotype" w:eastAsia="Palatino Linotype" w:hAnsi="Palatino Linotype" w:cs="Palatino Linotype"/>
          <w:b/>
          <w:bCs/>
          <w:i/>
          <w:iCs/>
        </w:rPr>
        <w:t>,</w:t>
      </w:r>
      <w:r w:rsidRPr="00734317">
        <w:rPr>
          <w:rFonts w:ascii="Palatino Linotype" w:eastAsia="Palatino Linotype" w:hAnsi="Palatino Linotype" w:cs="Palatino Linotype"/>
          <w:i/>
          <w:iCs/>
        </w:rPr>
        <w:t xml:space="preserve"> ya que, al tratarse de personas relacionadas con contrataciones públicas, su difusión favorece la transparencia con la que deben administrarse los </w:t>
      </w:r>
      <w:r w:rsidRPr="00734317">
        <w:rPr>
          <w:rFonts w:ascii="Palatino Linotype" w:eastAsia="Palatino Linotype" w:hAnsi="Palatino Linotype" w:cs="Palatino Linotype"/>
          <w:i/>
          <w:iCs/>
        </w:rPr>
        <w:lastRenderedPageBreak/>
        <w:t>recursos públicos, en términos del artículo 134 de la Constitución Política de los Estados Unidos Mexicanos.”</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RPr="00734317">
        <w:rPr>
          <w:rFonts w:ascii="Palatino Linotype" w:eastAsia="Palatino Linotype" w:hAnsi="Palatino Linotype" w:cs="Palatino Linotype"/>
          <w:b/>
          <w:bCs/>
        </w:rPr>
        <w:t xml:space="preserve"> </w:t>
      </w:r>
      <w:r w:rsidRPr="00734317">
        <w:rPr>
          <w:rFonts w:ascii="Palatino Linotype" w:eastAsia="Palatino Linotype" w:hAnsi="Palatino Linotype" w:cs="Palatino Linotype"/>
        </w:rPr>
        <w:t>toda vez que su publicidad abona a la transparencia y a la rendición de cuentas.</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En este sentido, es importante precisar que de acuerdo al C</w:t>
      </w:r>
      <w:r w:rsidRPr="00734317">
        <w:rPr>
          <w:rFonts w:ascii="Palatino Linotype" w:eastAsia="Palatino Linotype" w:hAnsi="Palatino Linotype" w:cs="Palatino Linotype"/>
          <w:b/>
          <w:bCs/>
        </w:rPr>
        <w:t>riterio 11/17</w:t>
      </w:r>
      <w:r w:rsidRPr="00734317">
        <w:rPr>
          <w:rFonts w:ascii="Palatino Linotype" w:eastAsia="Palatino Linotype" w:hAnsi="Palatino Linotype" w:cs="Palatino Linotype"/>
        </w:rPr>
        <w:t xml:space="preserve"> emitido por el entonces INAI, las cuentas bancarias y/o clave interbancaria de los Sujetos Obligados es información de carácter público. </w:t>
      </w:r>
    </w:p>
    <w:p w:rsidR="00D84A80" w:rsidRPr="00734317" w:rsidRDefault="0016512A">
      <w:pPr>
        <w:tabs>
          <w:tab w:val="left" w:pos="8222"/>
        </w:tabs>
        <w:spacing w:line="360" w:lineRule="auto"/>
        <w:ind w:left="851" w:right="902"/>
        <w:jc w:val="center"/>
        <w:rPr>
          <w:rFonts w:ascii="Palatino Linotype" w:eastAsia="Palatino Linotype" w:hAnsi="Palatino Linotype" w:cs="Palatino Linotype"/>
          <w:b/>
          <w:bCs/>
        </w:rPr>
      </w:pPr>
      <w:r w:rsidRPr="00734317">
        <w:rPr>
          <w:rFonts w:ascii="Palatino Linotype" w:eastAsia="Palatino Linotype" w:hAnsi="Palatino Linotype" w:cs="Palatino Linotype"/>
        </w:rPr>
        <w:t>“</w:t>
      </w:r>
      <w:r w:rsidRPr="00734317">
        <w:rPr>
          <w:rFonts w:ascii="Palatino Linotype" w:eastAsia="Palatino Linotype" w:hAnsi="Palatino Linotype" w:cs="Palatino Linotype"/>
          <w:b/>
          <w:bCs/>
        </w:rPr>
        <w:t>Criterio 11/17</w:t>
      </w:r>
    </w:p>
    <w:p w:rsidR="00D84A80" w:rsidRDefault="0016512A">
      <w:pPr>
        <w:tabs>
          <w:tab w:val="left" w:pos="8222"/>
        </w:tabs>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Cuentas bancarias y/o CLABE interbancaria de sujetos obligados que reciben y/o transfieren recursos públicos, son información pública.</w:t>
      </w:r>
      <w:r w:rsidRPr="00734317">
        <w:rPr>
          <w:rFonts w:ascii="Palatino Linotype" w:eastAsia="Palatino Linotype" w:hAnsi="Palatino Linotype" w:cs="Palatino Linotype"/>
          <w:i/>
          <w:iC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734317" w:rsidRPr="00734317" w:rsidRDefault="00734317">
      <w:pPr>
        <w:tabs>
          <w:tab w:val="left" w:pos="8222"/>
        </w:tabs>
        <w:spacing w:line="360" w:lineRule="auto"/>
        <w:ind w:left="851" w:right="902"/>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Caso contrario a los particulares, como lo refiere el </w:t>
      </w:r>
      <w:r w:rsidRPr="00734317">
        <w:rPr>
          <w:rFonts w:ascii="Palatino Linotype" w:eastAsia="Palatino Linotype" w:hAnsi="Palatino Linotype" w:cs="Palatino Linotype"/>
          <w:b/>
          <w:bCs/>
        </w:rPr>
        <w:t>Criterio 10/17</w:t>
      </w:r>
      <w:r w:rsidRPr="00734317">
        <w:rPr>
          <w:rFonts w:ascii="Palatino Linotype" w:eastAsia="Palatino Linotype" w:hAnsi="Palatino Linotype" w:cs="Palatino Linotype"/>
        </w:rPr>
        <w:t xml:space="preserve"> emitido por el entonces INAI, que es del tenor literal siguiente:</w:t>
      </w:r>
    </w:p>
    <w:p w:rsidR="00D84A80" w:rsidRPr="00734317" w:rsidRDefault="00D84A80">
      <w:pPr>
        <w:spacing w:line="360" w:lineRule="auto"/>
        <w:ind w:left="851" w:right="902"/>
        <w:jc w:val="both"/>
        <w:rPr>
          <w:rFonts w:ascii="Palatino Linotype" w:eastAsia="Palatino Linotype" w:hAnsi="Palatino Linotype" w:cs="Palatino Linotype"/>
          <w:b/>
          <w:bCs/>
          <w:i/>
          <w:iCs/>
        </w:rPr>
      </w:pP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lastRenderedPageBreak/>
        <w:t>Cuentas bancarias y/o CLABE interbancaria de personas físicas y morales privadas. El número de cuenta bancaria y/o CLABE interbancaria de particulares es información confidencial</w:t>
      </w:r>
      <w:r w:rsidRPr="00734317">
        <w:rPr>
          <w:rFonts w:ascii="Palatino Linotype" w:eastAsia="Palatino Linotype" w:hAnsi="Palatino Linotype" w:cs="Palatino Linotype"/>
          <w:i/>
          <w:iCs/>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D84A80" w:rsidRPr="00734317" w:rsidRDefault="00D84A80">
      <w:pPr>
        <w:spacing w:line="360" w:lineRule="auto"/>
        <w:ind w:left="851" w:right="902"/>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ese sentido, referente al QR, </w:t>
      </w:r>
      <w:r w:rsidRPr="00734317">
        <w:rPr>
          <w:rFonts w:ascii="Palatino Linotype" w:eastAsia="Palatino Linotype" w:hAnsi="Palatino Linotype" w:cs="Palatino Linotype"/>
          <w:b/>
          <w:bCs/>
        </w:rPr>
        <w:t xml:space="preserve">folio fiscal, número de serie del certificado del emisor, sello digital Comprobante Fiscal Digital por Internet (CFDI), sello digital del SAT, Cadena Original del SAT, número de serie del certificado del SAT, </w:t>
      </w:r>
      <w:r w:rsidRPr="00734317">
        <w:rPr>
          <w:rFonts w:ascii="Palatino Linotype" w:eastAsia="Palatino Linotype" w:hAnsi="Palatino Linotype" w:cs="Palatino Linotype"/>
        </w:rPr>
        <w:t>es preciso señ</w:t>
      </w:r>
      <w:r w:rsidR="001C6546" w:rsidRPr="00734317">
        <w:rPr>
          <w:rFonts w:ascii="Palatino Linotype" w:eastAsia="Palatino Linotype" w:hAnsi="Palatino Linotype" w:cs="Palatino Linotype"/>
        </w:rPr>
        <w:t>a</w:t>
      </w:r>
      <w:r w:rsidRPr="00734317">
        <w:rPr>
          <w:rFonts w:ascii="Palatino Linotype" w:eastAsia="Palatino Linotype" w:hAnsi="Palatino Linotype" w:cs="Palatino Linotype"/>
        </w:rPr>
        <w:t>lar que si de la secuencia de números y letras, se advierte el Registro Federal de Contribuyentes o una Clave Única de Registro de Población, que pueda hacer identificable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dichas cadenas derivan información personal de los contribuyentes, esta se encuentra encriptada como se verá a continuación.</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spacing w:line="360" w:lineRule="auto"/>
        <w:jc w:val="both"/>
        <w:rPr>
          <w:rFonts w:ascii="Palatino Linotype" w:eastAsia="Palatino Linotype" w:hAnsi="Palatino Linotype" w:cs="Palatino Linotype"/>
        </w:rPr>
      </w:pPr>
      <w:r w:rsidRPr="00734317">
        <w:rPr>
          <w:rFonts w:ascii="Palatino Linotype" w:eastAsia="Palatino Linotype" w:hAnsi="Palatino Linotype" w:cs="Palatino Linotype"/>
        </w:rPr>
        <w:lastRenderedPageBreak/>
        <w:t xml:space="preserve">• Código Bidimensional o QR. </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Incluso con la captura de dicho código, a través de la aplicación móvil del Servicio de Administración Tributaria, permite el acceso al Registro Federal de Contribuyentes, como del Sujeto Obligado, como del proveedor, persona física o moral. </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4"/>
        </w:numPr>
        <w:spacing w:line="360" w:lineRule="auto"/>
        <w:ind w:right="-91"/>
        <w:jc w:val="both"/>
        <w:rPr>
          <w:rFonts w:ascii="Palatino Linotype" w:eastAsia="Palatino Linotype" w:hAnsi="Palatino Linotype" w:cs="Palatino Linotype"/>
          <w:b/>
          <w:bCs/>
        </w:rPr>
      </w:pPr>
      <w:r w:rsidRPr="00734317">
        <w:rPr>
          <w:rFonts w:ascii="Palatino Linotype" w:eastAsia="Palatino Linotype" w:hAnsi="Palatino Linotype" w:cs="Palatino Linotype"/>
          <w:b/>
          <w:bCs/>
        </w:rPr>
        <w:t>Folio Fiscal</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w:t>
      </w:r>
      <w:r w:rsidRPr="00734317">
        <w:rPr>
          <w:rFonts w:ascii="Palatino Linotype" w:eastAsia="Palatino Linotype" w:hAnsi="Palatino Linotype" w:cs="Palatino Linotype"/>
        </w:rPr>
        <w:lastRenderedPageBreak/>
        <w:t>digitales, compuesto por 5 grupos de números y letras separados por guiones, tal como se muestra a continuación:</w:t>
      </w:r>
    </w:p>
    <w:p w:rsidR="00D84A80" w:rsidRPr="00734317" w:rsidRDefault="0016512A">
      <w:pPr>
        <w:spacing w:line="360" w:lineRule="auto"/>
        <w:jc w:val="center"/>
        <w:rPr>
          <w:rFonts w:ascii="Palatino Linotype" w:eastAsia="Palatino Linotype" w:hAnsi="Palatino Linotype" w:cs="Palatino Linotype"/>
        </w:rPr>
      </w:pPr>
      <w:r w:rsidRPr="00734317">
        <w:rPr>
          <w:rFonts w:ascii="Palatino Linotype" w:eastAsia="Palatino Linotype" w:hAnsi="Palatino Linotype" w:cs="Palatino Linotype"/>
          <w:noProof/>
          <w:lang w:val="es-MX"/>
        </w:rPr>
        <w:drawing>
          <wp:inline distT="0" distB="0" distL="0" distR="0">
            <wp:extent cx="4667250" cy="1333500"/>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b="32787"/>
                    <a:stretch>
                      <a:fillRect/>
                    </a:stretch>
                  </pic:blipFill>
                  <pic:spPr>
                    <a:xfrm>
                      <a:off x="0" y="0"/>
                      <a:ext cx="4667250" cy="1333500"/>
                    </a:xfrm>
                    <a:prstGeom prst="rect">
                      <a:avLst/>
                    </a:prstGeom>
                    <a:ln/>
                  </pic:spPr>
                </pic:pic>
              </a:graphicData>
            </a:graphic>
          </wp:inline>
        </w:drawing>
      </w:r>
    </w:p>
    <w:p w:rsidR="00D84A80" w:rsidRPr="00734317" w:rsidRDefault="00D84A80">
      <w:pPr>
        <w:spacing w:line="360" w:lineRule="auto"/>
        <w:jc w:val="center"/>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734317">
        <w:rPr>
          <w:rFonts w:ascii="Palatino Linotype" w:eastAsia="Palatino Linotype" w:hAnsi="Palatino Linotype" w:cs="Palatino Linotype"/>
          <w:b/>
          <w:bCs/>
        </w:rPr>
        <w:t>no se actualiza la clasificación</w:t>
      </w:r>
      <w:r w:rsidRPr="00734317">
        <w:rPr>
          <w:rFonts w:ascii="Palatino Linotype" w:eastAsia="Palatino Linotype" w:hAnsi="Palatino Linotype" w:cs="Palatino Linotype"/>
        </w:rPr>
        <w:t>, en términos del artículo 143, fracción I de la Ley de la materia.</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4"/>
        </w:numPr>
        <w:spacing w:line="360" w:lineRule="auto"/>
        <w:ind w:right="-91"/>
        <w:jc w:val="both"/>
        <w:rPr>
          <w:rFonts w:ascii="Palatino Linotype" w:eastAsia="Palatino Linotype" w:hAnsi="Palatino Linotype" w:cs="Palatino Linotype"/>
          <w:b/>
          <w:bCs/>
        </w:rPr>
      </w:pPr>
      <w:r w:rsidRPr="00734317">
        <w:rPr>
          <w:rFonts w:ascii="Palatino Linotype" w:eastAsia="Palatino Linotype" w:hAnsi="Palatino Linotype" w:cs="Palatino Linotype"/>
          <w:b/>
          <w:bCs/>
        </w:rPr>
        <w:t>Cadenas originales y sellos.</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b/>
          <w:bCs/>
        </w:rPr>
        <w:t>Las cadenas originales y sellos</w:t>
      </w:r>
      <w:r w:rsidRPr="00734317">
        <w:rPr>
          <w:rFonts w:ascii="Palatino Linotype" w:eastAsia="Palatino Linotype" w:hAnsi="Palatino Linotype" w:cs="Palatino Linotype"/>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D84A80" w:rsidRDefault="00D84A80">
      <w:pPr>
        <w:spacing w:line="360" w:lineRule="auto"/>
        <w:jc w:val="both"/>
        <w:rPr>
          <w:rFonts w:ascii="Palatino Linotype" w:eastAsia="Palatino Linotype" w:hAnsi="Palatino Linotype" w:cs="Palatino Linotype"/>
        </w:rPr>
      </w:pPr>
    </w:p>
    <w:p w:rsidR="00734317" w:rsidRPr="00734317" w:rsidRDefault="00734317">
      <w:pPr>
        <w:spacing w:line="360" w:lineRule="auto"/>
        <w:jc w:val="both"/>
        <w:rPr>
          <w:rFonts w:ascii="Palatino Linotype" w:eastAsia="Palatino Linotype" w:hAnsi="Palatino Linotype" w:cs="Palatino Linotype"/>
        </w:rPr>
      </w:pP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lastRenderedPageBreak/>
        <w:t>“Elementos utilizados en la generación de Sellos Digitales:</w:t>
      </w: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i/>
          <w:iCs/>
        </w:rPr>
        <w:tab/>
        <w:t>Cadena Original, el elemento a sellar, en este caso de un comprobante fiscal digital a través de Internet.</w:t>
      </w: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i/>
          <w:iCs/>
        </w:rPr>
        <w:tab/>
        <w:t>Certificado de Sello Digital y su correspondiente clave privada.</w:t>
      </w: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i/>
          <w:iCs/>
        </w:rPr>
        <w:tab/>
        <w:t>Algoritmos de criptografía de clave pública para firma electrónica avanzada.</w:t>
      </w: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i/>
          <w:iCs/>
        </w:rPr>
        <w:tab/>
        <w:t>Especificaciones de conversión de la firma electrónica avanzada a Base 64.</w:t>
      </w: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Para la generación de sellos digitales se utiliza criptografía de clave pública aplicada a una cadena original.</w:t>
      </w: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Criptografía de la Clave Pública</w:t>
      </w:r>
    </w:p>
    <w:p w:rsidR="00D84A80" w:rsidRPr="00734317" w:rsidRDefault="0016512A">
      <w:pPr>
        <w:spacing w:line="360" w:lineRule="auto"/>
        <w:ind w:left="851" w:right="99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D84A80" w:rsidRPr="00734317" w:rsidRDefault="00D84A80">
      <w:pPr>
        <w:spacing w:line="360" w:lineRule="auto"/>
        <w:ind w:left="851" w:right="992"/>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Es decir, por sí solos las cadenas originales y los sellos originales no contienen datos personales confidenciales, por lo que se considera que </w:t>
      </w:r>
      <w:r w:rsidRPr="00734317">
        <w:rPr>
          <w:rFonts w:ascii="Palatino Linotype" w:eastAsia="Palatino Linotype" w:hAnsi="Palatino Linotype" w:cs="Palatino Linotype"/>
          <w:b/>
          <w:bCs/>
        </w:rPr>
        <w:t>no actualizan en supuesto de confidencialidad</w:t>
      </w:r>
      <w:r w:rsidRPr="00734317">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4"/>
        </w:numPr>
        <w:spacing w:line="360" w:lineRule="auto"/>
        <w:jc w:val="both"/>
        <w:rPr>
          <w:rFonts w:ascii="Palatino Linotype" w:eastAsia="Palatino Linotype" w:hAnsi="Palatino Linotype" w:cs="Palatino Linotype"/>
          <w:b/>
          <w:bCs/>
        </w:rPr>
      </w:pPr>
      <w:r w:rsidRPr="00734317">
        <w:rPr>
          <w:rFonts w:ascii="Palatino Linotype" w:eastAsia="Palatino Linotype" w:hAnsi="Palatino Linotype" w:cs="Palatino Linotype"/>
          <w:b/>
          <w:bCs/>
        </w:rPr>
        <w:lastRenderedPageBreak/>
        <w:t>Número de serie del emisor y/o CSD y número de certificado del SAT</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Por otra parte, por lo que hace </w:t>
      </w:r>
      <w:r w:rsidRPr="00734317">
        <w:rPr>
          <w:rFonts w:ascii="Palatino Linotype" w:eastAsia="Palatino Linotype" w:hAnsi="Palatino Linotype" w:cs="Palatino Linotype"/>
          <w:b/>
          <w:bCs/>
        </w:rPr>
        <w:t xml:space="preserve">al número de serie de los certificados de Sello Digitales del emisor y del </w:t>
      </w:r>
      <w:r w:rsidRPr="00734317">
        <w:rPr>
          <w:rFonts w:ascii="Palatino Linotype" w:eastAsia="Palatino Linotype" w:hAnsi="Palatino Linotype" w:cs="Palatino Linotype"/>
        </w:rPr>
        <w:t>Servicio</w:t>
      </w:r>
      <w:r w:rsidRPr="00734317">
        <w:rPr>
          <w:rFonts w:ascii="Palatino Linotype" w:eastAsia="Palatino Linotype" w:hAnsi="Palatino Linotype" w:cs="Palatino Linotype"/>
          <w:b/>
          <w:bCs/>
        </w:rPr>
        <w:t xml:space="preserve"> de Administración Tributaria,</w:t>
      </w:r>
      <w:r w:rsidRPr="00734317">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13">
        <w:r w:rsidRPr="00734317">
          <w:rPr>
            <w:rFonts w:ascii="Palatino Linotype" w:eastAsia="Palatino Linotype" w:hAnsi="Palatino Linotype" w:cs="Palatino Linotype"/>
          </w:rPr>
          <w:t>https://portalanterior.ine.mx/archivos2/tutoriales/sistemas/ApoyoInstitucional/SIF/docs/candidatos/folioFiscalFactura.pdf</w:t>
        </w:r>
      </w:hyperlink>
      <w:r w:rsidRPr="00734317">
        <w:rPr>
          <w:rFonts w:ascii="Palatino Linotype" w:eastAsia="Palatino Linotype" w:hAnsi="Palatino Linotype" w:cs="Palatino Linotype"/>
        </w:rPr>
        <w:t>, en la cual se advierte que únicamente se encuentra conformado por números, se muestra a continuación:</w:t>
      </w:r>
    </w:p>
    <w:p w:rsidR="00D84A80" w:rsidRPr="00734317" w:rsidRDefault="00734317">
      <w:pPr>
        <w:spacing w:line="360" w:lineRule="auto"/>
        <w:jc w:val="center"/>
        <w:rPr>
          <w:rFonts w:ascii="Palatino Linotype" w:eastAsia="Palatino Linotype" w:hAnsi="Palatino Linotype" w:cs="Palatino Linotype"/>
        </w:rPr>
      </w:pPr>
      <w:r w:rsidRPr="00734317">
        <w:rPr>
          <w:rFonts w:ascii="Palatino Linotype" w:hAnsi="Palatino Linotype"/>
          <w:noProof/>
          <w:lang w:val="es-MX"/>
        </w:rPr>
        <mc:AlternateContent>
          <mc:Choice Requires="wps">
            <w:drawing>
              <wp:anchor distT="0" distB="0" distL="114300" distR="114300" simplePos="0" relativeHeight="251660288" behindDoc="0" locked="0" layoutInCell="1" hidden="0" allowOverlap="1">
                <wp:simplePos x="0" y="0"/>
                <wp:positionH relativeFrom="column">
                  <wp:posOffset>568409</wp:posOffset>
                </wp:positionH>
                <wp:positionV relativeFrom="paragraph">
                  <wp:posOffset>788454</wp:posOffset>
                </wp:positionV>
                <wp:extent cx="3486150" cy="247650"/>
                <wp:effectExtent l="0" t="0" r="0" b="0"/>
                <wp:wrapNone/>
                <wp:docPr id="39" name="Rectángulo 39"/>
                <wp:cNvGraphicFramePr/>
                <a:graphic xmlns:a="http://schemas.openxmlformats.org/drawingml/2006/main">
                  <a:graphicData uri="http://schemas.microsoft.com/office/word/2010/wordprocessingShape">
                    <wps:wsp>
                      <wps:cNvSpPr/>
                      <wps:spPr>
                        <a:xfrm>
                          <a:off x="0" y="0"/>
                          <a:ext cx="3486150" cy="247650"/>
                        </a:xfrm>
                        <a:prstGeom prst="rect">
                          <a:avLst/>
                        </a:prstGeom>
                        <a:noFill/>
                        <a:ln w="28575" cap="flat" cmpd="sng">
                          <a:solidFill>
                            <a:srgbClr val="000000"/>
                          </a:solidFill>
                          <a:prstDash val="solid"/>
                          <a:round/>
                          <a:headEnd type="none" w="sm" len="sm"/>
                          <a:tailEnd type="none" w="sm" len="sm"/>
                        </a:ln>
                      </wps:spPr>
                      <wps:txbx>
                        <w:txbxContent>
                          <w:p w:rsidR="00D84A80" w:rsidRDefault="00D84A80">
                            <w:pPr>
                              <w:textDirection w:val="btLr"/>
                            </w:pPr>
                          </w:p>
                        </w:txbxContent>
                      </wps:txbx>
                      <wps:bodyPr spcFirstLastPara="1" wrap="square" lIns="91425" tIns="91425" rIns="91425" bIns="91425" anchor="ctr" anchorCtr="0">
                        <a:noAutofit/>
                      </wps:bodyPr>
                    </wps:wsp>
                  </a:graphicData>
                </a:graphic>
              </wp:anchor>
            </w:drawing>
          </mc:Choice>
          <mc:Fallback>
            <w:pict>
              <v:rect id="Rectángulo 39" o:spid="_x0000_s1027" style="position:absolute;left:0;text-align:left;margin-left:44.75pt;margin-top:62.1pt;width:274.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" filled="f" strokeweight="2.25pt">
                <v:stroke startarrowwidth="narrow" startarrowlength="short" endarrowwidth="narrow" endarrowlength="short" joinstyle="round"/>
                <v:textbox inset="2.53958mm,2.53958mm,2.53958mm,2.53958mm">
                  <w:txbxContent>
                    <w:p w:rsidR="00D84A80" w:rsidRDefault="00D84A80">
                      <w:pPr>
                        <w:textDirection w:val="btLr"/>
                      </w:pPr>
                    </w:p>
                  </w:txbxContent>
                </v:textbox>
              </v:rect>
            </w:pict>
          </mc:Fallback>
        </mc:AlternateContent>
      </w:r>
      <w:r w:rsidR="0016512A" w:rsidRPr="00734317">
        <w:rPr>
          <w:rFonts w:ascii="Palatino Linotype" w:eastAsia="Palatino Linotype" w:hAnsi="Palatino Linotype" w:cs="Palatino Linotype"/>
          <w:noProof/>
          <w:lang w:val="es-MX"/>
        </w:rPr>
        <w:drawing>
          <wp:inline distT="0" distB="0" distL="0" distR="0">
            <wp:extent cx="5191125" cy="100965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191125" cy="1009650"/>
                    </a:xfrm>
                    <a:prstGeom prst="rect">
                      <a:avLst/>
                    </a:prstGeom>
                    <a:ln/>
                  </pic:spPr>
                </pic:pic>
              </a:graphicData>
            </a:graphic>
          </wp:inline>
        </w:drawing>
      </w:r>
    </w:p>
    <w:p w:rsidR="00D84A80" w:rsidRPr="00734317" w:rsidRDefault="00D84A80">
      <w:pPr>
        <w:spacing w:line="360" w:lineRule="auto"/>
        <w:jc w:val="center"/>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b/>
          <w:bCs/>
        </w:rPr>
      </w:pPr>
      <w:r w:rsidRPr="00734317">
        <w:rPr>
          <w:rFonts w:ascii="Palatino Linotype" w:eastAsia="Palatino Linotype" w:hAnsi="Palatino Linotype" w:cs="Palatino Linotype"/>
        </w:rPr>
        <w:t xml:space="preserve">Como se logra observar, los números de serie del certificado de sello digital no contiene datos personales y con dichos dígitos tampoco se puede obtener información de carácter confidencial, por lo que, </w:t>
      </w:r>
      <w:r w:rsidRPr="00734317">
        <w:rPr>
          <w:rFonts w:ascii="Palatino Linotype" w:eastAsia="Palatino Linotype" w:hAnsi="Palatino Linotype" w:cs="Palatino Linotype"/>
          <w:b/>
          <w:bCs/>
        </w:rPr>
        <w:t>tampoco actualizan la causal de clasificación</w:t>
      </w:r>
      <w:r w:rsidRPr="00734317">
        <w:rPr>
          <w:rFonts w:ascii="Palatino Linotype" w:eastAsia="Palatino Linotype" w:hAnsi="Palatino Linotype" w:cs="Palatino Linotype"/>
        </w:rPr>
        <w:t xml:space="preserve">, establecida en el artículo 143, fracción I, de la Ley de Transparencia y Acceso a la Información Pública del Estado de México y Municipios. </w:t>
      </w:r>
      <w:r w:rsidRPr="00734317">
        <w:rPr>
          <w:rFonts w:ascii="Palatino Linotype" w:eastAsia="Palatino Linotype" w:hAnsi="Palatino Linotype" w:cs="Palatino Linotype"/>
          <w:b/>
          <w:bCs/>
        </w:rPr>
        <w:t>Máxime que permite corroborar la legitimidad a los CDFI, pues amparan la utilización de los certificados de sellos digitales válidos.</w:t>
      </w:r>
    </w:p>
    <w:p w:rsidR="00D84A80" w:rsidRPr="00734317" w:rsidRDefault="00D84A80">
      <w:pPr>
        <w:spacing w:line="360" w:lineRule="auto"/>
        <w:jc w:val="both"/>
        <w:rPr>
          <w:rFonts w:ascii="Palatino Linotype" w:eastAsia="Palatino Linotype" w:hAnsi="Palatino Linotype" w:cs="Palatino Linotype"/>
          <w:b/>
          <w:b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lastRenderedPageBreak/>
        <w:t xml:space="preserve">Finalmente, debe señalarse que de ser el caso en que los documentos que vayan a ser entregados para dar cumplimiento a la presente resolución, contengan datos que deban ser clasificados, </w:t>
      </w:r>
      <w:r w:rsidRPr="00734317">
        <w:rPr>
          <w:rFonts w:ascii="Palatino Linotype" w:eastAsia="Palatino Linotype" w:hAnsi="Palatino Linotype" w:cs="Palatino Linotype"/>
          <w:b/>
          <w:bCs/>
        </w:rPr>
        <w:t>EL</w:t>
      </w:r>
      <w:r w:rsidRPr="00734317">
        <w:rPr>
          <w:rFonts w:ascii="Palatino Linotype" w:eastAsia="Palatino Linotype" w:hAnsi="Palatino Linotype" w:cs="Palatino Linotype"/>
        </w:rPr>
        <w:t xml:space="preserve">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734317">
        <w:rPr>
          <w:rFonts w:ascii="Palatino Linotype" w:eastAsia="Palatino Linotype" w:hAnsi="Palatino Linotype" w:cs="Palatino Linotype"/>
          <w:b/>
          <w:bCs/>
        </w:rPr>
        <w:t>RECURRENTE</w:t>
      </w:r>
      <w:r w:rsidRPr="00734317">
        <w:rPr>
          <w:rFonts w:ascii="Palatino Linotype" w:eastAsia="Palatino Linotype" w:hAnsi="Palatino Linotype" w:cs="Palatino Linotype"/>
        </w:rPr>
        <w:t xml:space="preserve"> sin menoscabo al derecho a la protección de los datos personales de terceros.</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84A80" w:rsidRPr="00734317" w:rsidRDefault="0016512A">
      <w:pPr>
        <w:spacing w:line="360" w:lineRule="auto"/>
        <w:ind w:left="992" w:right="1043"/>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49.</w:t>
      </w:r>
      <w:r w:rsidRPr="00734317">
        <w:rPr>
          <w:rFonts w:ascii="Palatino Linotype" w:eastAsia="Palatino Linotype" w:hAnsi="Palatino Linotype" w:cs="Palatino Linotype"/>
          <w:i/>
          <w:iCs/>
        </w:rPr>
        <w:t xml:space="preserve"> </w:t>
      </w:r>
      <w:r w:rsidRPr="00734317">
        <w:rPr>
          <w:rFonts w:ascii="Palatino Linotype" w:eastAsia="Palatino Linotype" w:hAnsi="Palatino Linotype" w:cs="Palatino Linotype"/>
          <w:b/>
          <w:bCs/>
          <w:i/>
          <w:iCs/>
        </w:rPr>
        <w:t>Los Comités de Transparencia</w:t>
      </w:r>
      <w:r w:rsidRPr="00734317">
        <w:rPr>
          <w:rFonts w:ascii="Palatino Linotype" w:eastAsia="Palatino Linotype" w:hAnsi="Palatino Linotype" w:cs="Palatino Linotype"/>
          <w:i/>
          <w:iCs/>
        </w:rPr>
        <w:t xml:space="preserve"> tendrán las siguientes atribuciones:</w:t>
      </w:r>
    </w:p>
    <w:p w:rsidR="00D84A80" w:rsidRPr="00734317" w:rsidRDefault="0016512A">
      <w:pPr>
        <w:spacing w:line="360" w:lineRule="auto"/>
        <w:ind w:left="992" w:right="1043"/>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VIII. Aprobar, modificar o revocar la clasificación de la información</w:t>
      </w:r>
      <w:r w:rsidRPr="00734317">
        <w:rPr>
          <w:rFonts w:ascii="Palatino Linotype" w:eastAsia="Palatino Linotype" w:hAnsi="Palatino Linotype" w:cs="Palatino Linotype"/>
          <w:i/>
          <w:iCs/>
        </w:rPr>
        <w:t>…”</w:t>
      </w:r>
    </w:p>
    <w:p w:rsidR="00D84A80" w:rsidRPr="00734317" w:rsidRDefault="0016512A">
      <w:pPr>
        <w:spacing w:line="360" w:lineRule="auto"/>
        <w:ind w:left="992" w:right="1043"/>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Artículo 53.</w:t>
      </w:r>
      <w:r w:rsidRPr="00734317">
        <w:rPr>
          <w:rFonts w:ascii="Palatino Linotype" w:eastAsia="Palatino Linotype" w:hAnsi="Palatino Linotype" w:cs="Palatino Linotype"/>
          <w:i/>
          <w:iCs/>
        </w:rPr>
        <w:t xml:space="preserve"> Las </w:t>
      </w:r>
      <w:r w:rsidRPr="00734317">
        <w:rPr>
          <w:rFonts w:ascii="Palatino Linotype" w:eastAsia="Palatino Linotype" w:hAnsi="Palatino Linotype" w:cs="Palatino Linotype"/>
          <w:b/>
          <w:bCs/>
          <w:i/>
          <w:iCs/>
        </w:rPr>
        <w:t>Unidades de Transparencia</w:t>
      </w:r>
      <w:r w:rsidRPr="00734317">
        <w:rPr>
          <w:rFonts w:ascii="Palatino Linotype" w:eastAsia="Palatino Linotype" w:hAnsi="Palatino Linotype" w:cs="Palatino Linotype"/>
          <w:i/>
          <w:iCs/>
        </w:rPr>
        <w:t xml:space="preserve"> tendrán las siguientes </w:t>
      </w:r>
      <w:r w:rsidRPr="00734317">
        <w:rPr>
          <w:rFonts w:ascii="Palatino Linotype" w:eastAsia="Palatino Linotype" w:hAnsi="Palatino Linotype" w:cs="Palatino Linotype"/>
          <w:b/>
          <w:bCs/>
          <w:i/>
          <w:iCs/>
        </w:rPr>
        <w:t>funciones</w:t>
      </w:r>
      <w:r w:rsidRPr="00734317">
        <w:rPr>
          <w:rFonts w:ascii="Palatino Linotype" w:eastAsia="Palatino Linotype" w:hAnsi="Palatino Linotype" w:cs="Palatino Linotype"/>
          <w:i/>
          <w:iCs/>
        </w:rPr>
        <w:t>:</w:t>
      </w:r>
    </w:p>
    <w:p w:rsidR="00D84A80" w:rsidRPr="00734317" w:rsidRDefault="0016512A">
      <w:pPr>
        <w:spacing w:line="360" w:lineRule="auto"/>
        <w:ind w:left="992" w:right="1043"/>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lastRenderedPageBreak/>
        <w:t>X. Presentar ante el Comité, el proyecto de clasificación de información</w:t>
      </w:r>
      <w:r w:rsidRPr="00734317">
        <w:rPr>
          <w:rFonts w:ascii="Palatino Linotype" w:eastAsia="Palatino Linotype" w:hAnsi="Palatino Linotype" w:cs="Palatino Linotype"/>
          <w:i/>
          <w:iCs/>
        </w:rPr>
        <w:t xml:space="preserve">…” </w:t>
      </w:r>
    </w:p>
    <w:p w:rsidR="00D84A80" w:rsidRPr="00734317" w:rsidRDefault="0016512A">
      <w:pPr>
        <w:spacing w:line="360" w:lineRule="auto"/>
        <w:ind w:left="992" w:right="1043"/>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“Artículo 59.</w:t>
      </w:r>
      <w:r w:rsidRPr="00734317">
        <w:rPr>
          <w:rFonts w:ascii="Palatino Linotype" w:eastAsia="Palatino Linotype" w:hAnsi="Palatino Linotype" w:cs="Palatino Linotype"/>
          <w:i/>
          <w:iCs/>
        </w:rPr>
        <w:t xml:space="preserve"> Los </w:t>
      </w:r>
      <w:r w:rsidRPr="00734317">
        <w:rPr>
          <w:rFonts w:ascii="Palatino Linotype" w:eastAsia="Palatino Linotype" w:hAnsi="Palatino Linotype" w:cs="Palatino Linotype"/>
          <w:b/>
          <w:bCs/>
          <w:i/>
          <w:iCs/>
        </w:rPr>
        <w:t>servidores públicos habilitados</w:t>
      </w:r>
      <w:r w:rsidRPr="00734317">
        <w:rPr>
          <w:rFonts w:ascii="Palatino Linotype" w:eastAsia="Palatino Linotype" w:hAnsi="Palatino Linotype" w:cs="Palatino Linotype"/>
          <w:i/>
          <w:iCs/>
        </w:rPr>
        <w:t xml:space="preserve"> tendrán las </w:t>
      </w:r>
      <w:r w:rsidRPr="00734317">
        <w:rPr>
          <w:rFonts w:ascii="Palatino Linotype" w:eastAsia="Palatino Linotype" w:hAnsi="Palatino Linotype" w:cs="Palatino Linotype"/>
          <w:b/>
          <w:bCs/>
          <w:i/>
          <w:iCs/>
        </w:rPr>
        <w:t>funciones</w:t>
      </w:r>
      <w:r w:rsidRPr="00734317">
        <w:rPr>
          <w:rFonts w:ascii="Palatino Linotype" w:eastAsia="Palatino Linotype" w:hAnsi="Palatino Linotype" w:cs="Palatino Linotype"/>
          <w:i/>
          <w:iCs/>
        </w:rPr>
        <w:t xml:space="preserve"> siguientes:</w:t>
      </w:r>
    </w:p>
    <w:p w:rsidR="00D84A80" w:rsidRPr="00734317" w:rsidRDefault="0016512A">
      <w:pPr>
        <w:spacing w:line="360" w:lineRule="auto"/>
        <w:ind w:left="992" w:right="1043"/>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V. Integrar y presentar al responsable de la Unidad de Transparencia la propuesta de clasificación de información</w:t>
      </w:r>
      <w:r w:rsidRPr="00734317">
        <w:rPr>
          <w:rFonts w:ascii="Palatino Linotype" w:eastAsia="Palatino Linotype" w:hAnsi="Palatino Linotype" w:cs="Palatino Linotype"/>
          <w:i/>
          <w:iCs/>
        </w:rPr>
        <w:t>, la cual tendrá los fundamentos y argumentos en que se basa dicha propuesta…”</w:t>
      </w:r>
    </w:p>
    <w:p w:rsidR="00D84A80" w:rsidRPr="00734317" w:rsidRDefault="00D84A80">
      <w:pPr>
        <w:spacing w:line="360" w:lineRule="auto"/>
        <w:ind w:left="992" w:right="1043"/>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D84A80" w:rsidRPr="00734317" w:rsidRDefault="0016512A">
      <w:pPr>
        <w:spacing w:line="360" w:lineRule="auto"/>
        <w:ind w:left="993"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Artículo 149.</w:t>
      </w:r>
      <w:r w:rsidRPr="00734317">
        <w:rPr>
          <w:rFonts w:ascii="Palatino Linotype" w:eastAsia="Palatino Linotype" w:hAnsi="Palatino Linotype" w:cs="Palatino Linotype"/>
          <w:i/>
          <w:iCs/>
        </w:rPr>
        <w:t xml:space="preserve"> El </w:t>
      </w:r>
      <w:r w:rsidRPr="00734317">
        <w:rPr>
          <w:rFonts w:ascii="Palatino Linotype" w:eastAsia="Palatino Linotype" w:hAnsi="Palatino Linotype" w:cs="Palatino Linotype"/>
          <w:b/>
          <w:bCs/>
          <w:i/>
          <w:iCs/>
        </w:rPr>
        <w:t>acuerdo que clasifique la información como confidencial</w:t>
      </w:r>
      <w:r w:rsidRPr="00734317">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D84A80" w:rsidRPr="00734317" w:rsidRDefault="00D84A8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Sirven de sustento a lo anterior, las tesis jurisprudenciales </w:t>
      </w:r>
      <w:r w:rsidRPr="00734317">
        <w:rPr>
          <w:rFonts w:ascii="Palatino Linotype" w:eastAsia="Palatino Linotype" w:hAnsi="Palatino Linotype" w:cs="Palatino Linotype"/>
          <w:i/>
          <w:iCs/>
        </w:rPr>
        <w:t xml:space="preserve">P. LX/2000 </w:t>
      </w:r>
      <w:r w:rsidRPr="00734317">
        <w:rPr>
          <w:rFonts w:ascii="Palatino Linotype" w:eastAsia="Palatino Linotype" w:hAnsi="Palatino Linotype" w:cs="Palatino Linotype"/>
        </w:rPr>
        <w:t xml:space="preserve">y </w:t>
      </w:r>
      <w:r w:rsidRPr="00734317">
        <w:rPr>
          <w:rFonts w:ascii="Palatino Linotype" w:eastAsia="Palatino Linotype" w:hAnsi="Palatino Linotype" w:cs="Palatino Linotype"/>
          <w:i/>
          <w:iCs/>
        </w:rPr>
        <w:t>2a. XLIII/</w:t>
      </w:r>
      <w:r w:rsidRPr="00734317">
        <w:rPr>
          <w:rFonts w:ascii="Palatino Linotype" w:eastAsia="Palatino Linotype" w:hAnsi="Palatino Linotype" w:cs="Palatino Linotype"/>
        </w:rPr>
        <w:t>2008</w:t>
      </w:r>
      <w:r w:rsidRPr="00734317">
        <w:rPr>
          <w:rFonts w:ascii="Palatino Linotype" w:eastAsia="Palatino Linotype" w:hAnsi="Palatino Linotype" w:cs="Palatino Linotype"/>
          <w:b/>
          <w:bCs/>
        </w:rPr>
        <w:t xml:space="preserve"> </w:t>
      </w:r>
      <w:r w:rsidRPr="00734317">
        <w:rPr>
          <w:rFonts w:ascii="Palatino Linotype" w:eastAsia="Palatino Linotype" w:hAnsi="Palatino Linotype" w:cs="Palatino Linotype"/>
        </w:rPr>
        <w:t>emitidas por el Peno y la Segunda Sala de la Suprema Corte de Justicia de la Nación, respectivamente, que son del tenor literal siguiente:</w:t>
      </w:r>
    </w:p>
    <w:p w:rsidR="00D84A80" w:rsidRPr="00734317" w:rsidRDefault="0016512A">
      <w:pPr>
        <w:spacing w:line="360" w:lineRule="auto"/>
        <w:ind w:left="851" w:right="85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734317">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w:t>
      </w:r>
      <w:r w:rsidRPr="00734317">
        <w:rPr>
          <w:rFonts w:ascii="Palatino Linotype" w:eastAsia="Palatino Linotype" w:hAnsi="Palatino Linotype" w:cs="Palatino Linotype"/>
          <w:i/>
          <w:iCs/>
        </w:rPr>
        <w:lastRenderedPageBreak/>
        <w:t xml:space="preserve">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34317">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734317">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734317">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734317">
        <w:rPr>
          <w:rFonts w:ascii="Palatino Linotype" w:eastAsia="Palatino Linotype" w:hAnsi="Palatino Linotype" w:cs="Palatino Linotype"/>
          <w:i/>
          <w:iCs/>
        </w:rPr>
        <w:t>.”</w:t>
      </w:r>
    </w:p>
    <w:p w:rsidR="00D84A80" w:rsidRPr="00734317" w:rsidRDefault="00D84A80">
      <w:pPr>
        <w:spacing w:line="360" w:lineRule="auto"/>
        <w:ind w:left="851" w:right="851"/>
        <w:jc w:val="both"/>
        <w:rPr>
          <w:rFonts w:ascii="Palatino Linotype" w:eastAsia="Palatino Linotype" w:hAnsi="Palatino Linotype" w:cs="Palatino Linotype"/>
          <w:i/>
          <w:iCs/>
        </w:rPr>
      </w:pPr>
    </w:p>
    <w:p w:rsidR="00D84A80" w:rsidRPr="00734317" w:rsidRDefault="0016512A">
      <w:pPr>
        <w:spacing w:line="360" w:lineRule="auto"/>
        <w:ind w:left="851" w:right="851"/>
        <w:jc w:val="both"/>
        <w:rPr>
          <w:rFonts w:ascii="Palatino Linotype" w:eastAsia="Palatino Linotype" w:hAnsi="Palatino Linotype" w:cs="Palatino Linotype"/>
          <w:i/>
          <w:iCs/>
        </w:rPr>
      </w:pPr>
      <w:r w:rsidRPr="00734317">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734317">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w:t>
      </w:r>
      <w:r w:rsidRPr="00734317">
        <w:rPr>
          <w:rFonts w:ascii="Palatino Linotype" w:eastAsia="Palatino Linotype" w:hAnsi="Palatino Linotype" w:cs="Palatino Linotype"/>
          <w:i/>
          <w:iCs/>
        </w:rPr>
        <w:lastRenderedPageBreak/>
        <w:t xml:space="preserve">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34317">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34317">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D84A80" w:rsidRPr="00734317" w:rsidRDefault="00D84A80">
      <w:pPr>
        <w:spacing w:line="360" w:lineRule="auto"/>
        <w:ind w:left="851" w:right="851"/>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Por otro lado señalar que </w:t>
      </w:r>
      <w:r w:rsidRPr="00734317">
        <w:rPr>
          <w:rFonts w:ascii="Palatino Linotype" w:eastAsia="Palatino Linotype" w:hAnsi="Palatino Linotype" w:cs="Palatino Linotype"/>
          <w:b/>
          <w:bCs/>
        </w:rPr>
        <w:t xml:space="preserve">la firma </w:t>
      </w:r>
      <w:r w:rsidRPr="00734317">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Al respecto, este Instituto, considera que solo se deberán entregar las firmas del servidor público, si abona a la transparencia, dado que con esta se acredita que fue emitida </w:t>
      </w:r>
      <w:r w:rsidRPr="00734317">
        <w:rPr>
          <w:rFonts w:ascii="Palatino Linotype" w:eastAsia="Palatino Linotype" w:hAnsi="Palatino Linotype" w:cs="Palatino Linotype"/>
        </w:rPr>
        <w:lastRenderedPageBreak/>
        <w:t>por autoridad competente en uso de las facultades que le otorga la legislación; por lo que, guarda cierto interés público dar a conocer la firma, dado que le da validez al documento.</w:t>
      </w:r>
    </w:p>
    <w:p w:rsidR="00D84A80" w:rsidRPr="00734317" w:rsidRDefault="00D84A80">
      <w:pPr>
        <w:spacing w:line="360" w:lineRule="auto"/>
        <w:ind w:right="-93"/>
        <w:jc w:val="both"/>
        <w:rPr>
          <w:rFonts w:ascii="Palatino Linotype" w:eastAsia="Palatino Linotype" w:hAnsi="Palatino Linotype" w:cs="Palatino Linotype"/>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rsidR="00D84A80" w:rsidRPr="00734317" w:rsidRDefault="0016512A">
      <w:pPr>
        <w:spacing w:line="360" w:lineRule="auto"/>
        <w:ind w:left="1134" w:right="1041"/>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w:t>
      </w:r>
      <w:r w:rsidRPr="00734317">
        <w:rPr>
          <w:rFonts w:ascii="Palatino Linotype" w:eastAsia="Palatino Linotype" w:hAnsi="Palatino Linotype" w:cs="Palatino Linotype"/>
          <w:b/>
          <w:bCs/>
          <w:i/>
          <w:iCs/>
        </w:rPr>
        <w:t>FIRMA Y RÚBRICA DE SERVIDORES PÚBLICOS.</w:t>
      </w:r>
      <w:r w:rsidRPr="00734317">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D84A80" w:rsidRPr="00734317" w:rsidRDefault="00D84A80">
      <w:pPr>
        <w:spacing w:line="360" w:lineRule="auto"/>
        <w:ind w:left="1134" w:right="1041"/>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Finalmente, la entrega de documentos en su versión pública debe acompañarse necesariamente del Acuerdo del Comité de Transparencia que la sustente, en el que se expongan los fundamentos y razonamientos que llevaron al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734317">
        <w:rPr>
          <w:rFonts w:ascii="Palatino Linotype" w:eastAsia="Palatino Linotype" w:hAnsi="Palatino Linotype" w:cs="Palatino Linotype"/>
          <w:b/>
          <w:bCs/>
        </w:rPr>
        <w:t>RECURRENTE.</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D84A80" w:rsidRPr="00734317" w:rsidRDefault="0016512A" w:rsidP="00734317">
      <w:pPr>
        <w:spacing w:line="360" w:lineRule="auto"/>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 </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84A80" w:rsidRPr="00734317" w:rsidRDefault="00D84A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“Quincuagésimo sexto</w:t>
      </w:r>
      <w:r w:rsidRPr="00734317">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lastRenderedPageBreak/>
        <w:t xml:space="preserve">I. La relativa a las Obligaciones de Transparencia que contempla el Título V de la Ley General y las demás disposiciones legales aplicables; </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D84A80" w:rsidRPr="00734317" w:rsidRDefault="0016512A">
      <w:pPr>
        <w:spacing w:line="360" w:lineRule="auto"/>
        <w:ind w:left="851" w:right="902"/>
        <w:jc w:val="both"/>
        <w:rPr>
          <w:rFonts w:ascii="Palatino Linotype" w:eastAsia="Palatino Linotype" w:hAnsi="Palatino Linotype" w:cs="Palatino Linotype"/>
          <w:i/>
          <w:iCs/>
        </w:rPr>
      </w:pPr>
      <w:r w:rsidRPr="00734317">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rsidR="00D84A80" w:rsidRPr="00734317" w:rsidRDefault="00D84A80">
      <w:pPr>
        <w:spacing w:line="360" w:lineRule="auto"/>
        <w:ind w:left="851" w:right="902"/>
        <w:jc w:val="both"/>
        <w:rPr>
          <w:rFonts w:ascii="Palatino Linotype" w:eastAsia="Palatino Linotype" w:hAnsi="Palatino Linotype" w:cs="Palatino Linotype"/>
          <w:i/>
          <w:iCs/>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rPr>
        <w:t xml:space="preserve">Por lo tanto, </w:t>
      </w:r>
      <w:r w:rsidRPr="00734317">
        <w:rPr>
          <w:rFonts w:ascii="Palatino Linotype" w:eastAsia="Palatino Linotype" w:hAnsi="Palatino Linotype" w:cs="Palatino Linotype"/>
          <w:b/>
          <w:bCs/>
        </w:rPr>
        <w:t xml:space="preserve">la entrega de documentos en su versión pública debe acompañarse </w:t>
      </w:r>
      <w:r w:rsidRPr="00734317">
        <w:rPr>
          <w:rFonts w:ascii="Palatino Linotype" w:eastAsia="Palatino Linotype" w:hAnsi="Palatino Linotype" w:cs="Palatino Linotype"/>
        </w:rPr>
        <w:t>necesariamente</w:t>
      </w:r>
      <w:r w:rsidRPr="00734317">
        <w:rPr>
          <w:rFonts w:ascii="Palatino Linotype" w:eastAsia="Palatino Linotype" w:hAnsi="Palatino Linotype" w:cs="Palatino Linotype"/>
          <w:b/>
          <w:bCs/>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734317">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lastRenderedPageBreak/>
        <w:t xml:space="preserve">Los </w:t>
      </w:r>
      <w:r w:rsidRPr="00734317">
        <w:rPr>
          <w:rFonts w:ascii="Palatino Linotype" w:eastAsia="Palatino Linotype" w:hAnsi="Palatino Linotype" w:cs="Palatino Linotype"/>
        </w:rPr>
        <w:t>sujetos</w:t>
      </w:r>
      <w:r w:rsidRPr="00734317">
        <w:rPr>
          <w:rFonts w:ascii="Palatino Linotype" w:eastAsia="Palatino Linotype" w:hAnsi="Palatino Linotype" w:cs="Palatino Linotype"/>
          <w:color w:val="000000"/>
        </w:rPr>
        <w:t xml:space="preserve"> obligados</w:t>
      </w:r>
      <w:r w:rsidRPr="00734317">
        <w:rPr>
          <w:rFonts w:ascii="Palatino Linotype" w:eastAsia="Palatino Linotype" w:hAnsi="Palatino Linotype" w:cs="Palatino Linotype"/>
          <w:b/>
          <w:bCs/>
          <w:color w:val="000000"/>
        </w:rPr>
        <w:t xml:space="preserve"> </w:t>
      </w:r>
      <w:r w:rsidRPr="00734317">
        <w:rPr>
          <w:rFonts w:ascii="Palatino Linotype" w:eastAsia="Palatino Linotype" w:hAnsi="Palatino Linotype" w:cs="Palatino Linotype"/>
          <w:color w:val="000000"/>
        </w:rPr>
        <w:t xml:space="preserve">serán responsables de los datos personales en su </w:t>
      </w:r>
      <w:r w:rsidRPr="00734317">
        <w:rPr>
          <w:rFonts w:ascii="Palatino Linotype" w:eastAsia="Palatino Linotype" w:hAnsi="Palatino Linotype" w:cs="Palatino Linotype"/>
        </w:rPr>
        <w:t>posesión</w:t>
      </w:r>
      <w:r w:rsidRPr="00734317">
        <w:rPr>
          <w:rFonts w:ascii="Palatino Linotype" w:eastAsia="Palatino Linotype" w:hAnsi="Palatino Linotype" w:cs="Palatino Linotype"/>
          <w:color w:val="000000"/>
        </w:rPr>
        <w:t xml:space="preserve"> y que, en </w:t>
      </w:r>
      <w:r w:rsidRPr="00734317">
        <w:rPr>
          <w:rFonts w:ascii="Palatino Linotype" w:eastAsia="Palatino Linotype" w:hAnsi="Palatino Linotype" w:cs="Palatino Linotype"/>
        </w:rPr>
        <w:t>caso</w:t>
      </w:r>
      <w:r w:rsidRPr="00734317">
        <w:rPr>
          <w:rFonts w:ascii="Palatino Linotype" w:eastAsia="Palatino Linotype" w:hAnsi="Palatino Linotype" w:cs="Palatino Linotype"/>
          <w:color w:val="000000"/>
        </w:rPr>
        <w:t xml:space="preserve"> de localizarse datos concernientes a terceros, éstos no podrán difundir, </w:t>
      </w:r>
      <w:r w:rsidRPr="00734317">
        <w:rPr>
          <w:rFonts w:ascii="Palatino Linotype" w:eastAsia="Palatino Linotype" w:hAnsi="Palatino Linotype" w:cs="Palatino Linotype"/>
        </w:rPr>
        <w:t>distribuir</w:t>
      </w:r>
      <w:r w:rsidRPr="00734317">
        <w:rPr>
          <w:rFonts w:ascii="Palatino Linotype" w:eastAsia="Palatino Linotype" w:hAnsi="Palatino Linotype" w:cs="Palatino Linotype"/>
          <w:color w:val="000000"/>
        </w:rPr>
        <w:t xml:space="preserve"> o comercializar los datos personales.  Cabe destacar que, para la realización de la clasificación de la información, se deben seguir una serie de pasos y procedimientos, por lo que es menester reiterar los mismos:</w:t>
      </w:r>
    </w:p>
    <w:p w:rsidR="00D84A80" w:rsidRPr="00734317" w:rsidRDefault="00D84A80">
      <w:pPr>
        <w:tabs>
          <w:tab w:val="left" w:pos="284"/>
        </w:tabs>
        <w:spacing w:line="360" w:lineRule="auto"/>
        <w:ind w:right="49"/>
        <w:jc w:val="both"/>
        <w:rPr>
          <w:rFonts w:ascii="Palatino Linotype" w:eastAsia="Palatino Linotype" w:hAnsi="Palatino Linotype" w:cs="Palatino Linotype"/>
          <w:color w:val="000000"/>
        </w:rPr>
      </w:pPr>
    </w:p>
    <w:tbl>
      <w:tblPr>
        <w:tblStyle w:val="a2"/>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1"/>
        <w:gridCol w:w="6943"/>
      </w:tblGrid>
      <w:tr w:rsidR="00D84A80" w:rsidRPr="00734317" w:rsidTr="00734317">
        <w:tc>
          <w:tcPr>
            <w:tcW w:w="2691"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rPr>
                <w:rFonts w:ascii="Palatino Linotype" w:eastAsia="Palatino Linotype" w:hAnsi="Palatino Linotype" w:cs="Palatino Linotype"/>
              </w:rPr>
            </w:pPr>
            <w:r w:rsidRPr="00734317">
              <w:rPr>
                <w:rFonts w:ascii="Palatino Linotype" w:eastAsia="Palatino Linotype" w:hAnsi="Palatino Linotype" w:cs="Palatino Linotype"/>
              </w:rPr>
              <w:t>a) Requisitos previos.</w:t>
            </w:r>
          </w:p>
        </w:tc>
        <w:tc>
          <w:tcPr>
            <w:tcW w:w="6943"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D84A80" w:rsidRPr="00734317" w:rsidRDefault="0016512A">
            <w:pPr>
              <w:tabs>
                <w:tab w:val="left" w:pos="284"/>
              </w:tabs>
              <w:spacing w:line="360" w:lineRule="auto"/>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734317">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734317">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D84A80" w:rsidRPr="00734317" w:rsidRDefault="00D84A80">
            <w:pPr>
              <w:tabs>
                <w:tab w:val="left" w:pos="284"/>
              </w:tabs>
              <w:spacing w:line="360" w:lineRule="auto"/>
              <w:jc w:val="both"/>
              <w:rPr>
                <w:rFonts w:ascii="Palatino Linotype" w:eastAsia="Palatino Linotype" w:hAnsi="Palatino Linotype" w:cs="Palatino Linotype"/>
              </w:rPr>
            </w:pPr>
          </w:p>
        </w:tc>
      </w:tr>
      <w:tr w:rsidR="00D84A80" w:rsidRPr="00734317" w:rsidTr="00734317">
        <w:tc>
          <w:tcPr>
            <w:tcW w:w="2691"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rPr>
                <w:rFonts w:ascii="Palatino Linotype" w:eastAsia="Palatino Linotype" w:hAnsi="Palatino Linotype" w:cs="Palatino Linotype"/>
              </w:rPr>
            </w:pPr>
            <w:r w:rsidRPr="00734317">
              <w:rPr>
                <w:rFonts w:ascii="Palatino Linotype" w:eastAsia="Palatino Linotype" w:hAnsi="Palatino Linotype" w:cs="Palatino Linotype"/>
              </w:rPr>
              <w:lastRenderedPageBreak/>
              <w:t>b) Supuestos de clasificación.</w:t>
            </w:r>
          </w:p>
        </w:tc>
        <w:tc>
          <w:tcPr>
            <w:tcW w:w="6943"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84A80" w:rsidRPr="00734317" w:rsidRDefault="0016512A">
            <w:pPr>
              <w:tabs>
                <w:tab w:val="left" w:pos="284"/>
              </w:tabs>
              <w:spacing w:line="360" w:lineRule="auto"/>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El </w:t>
            </w:r>
            <w:r w:rsidRPr="00734317">
              <w:rPr>
                <w:rFonts w:ascii="Palatino Linotype" w:eastAsia="Palatino Linotype" w:hAnsi="Palatino Linotype" w:cs="Palatino Linotype"/>
                <w:b/>
                <w:bCs/>
                <w:color w:val="000000"/>
              </w:rPr>
              <w:t>Sujeto Obligado</w:t>
            </w:r>
            <w:r w:rsidRPr="00734317">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D84A80" w:rsidRPr="00734317" w:rsidRDefault="00D84A80">
            <w:pPr>
              <w:tabs>
                <w:tab w:val="left" w:pos="284"/>
              </w:tabs>
              <w:spacing w:line="360" w:lineRule="auto"/>
              <w:jc w:val="both"/>
              <w:rPr>
                <w:rFonts w:ascii="Palatino Linotype" w:eastAsia="Palatino Linotype" w:hAnsi="Palatino Linotype" w:cs="Palatino Linotype"/>
              </w:rPr>
            </w:pPr>
          </w:p>
        </w:tc>
      </w:tr>
      <w:tr w:rsidR="00D84A80" w:rsidRPr="00734317" w:rsidTr="00734317">
        <w:tc>
          <w:tcPr>
            <w:tcW w:w="2691"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rPr>
                <w:rFonts w:ascii="Palatino Linotype" w:eastAsia="Palatino Linotype" w:hAnsi="Palatino Linotype" w:cs="Palatino Linotype"/>
              </w:rPr>
            </w:pPr>
            <w:r w:rsidRPr="00734317">
              <w:rPr>
                <w:rFonts w:ascii="Palatino Linotype" w:eastAsia="Palatino Linotype" w:hAnsi="Palatino Linotype" w:cs="Palatino Linotype"/>
              </w:rPr>
              <w:t>c) Formalidades para emitir el acuerdo de clasificación.</w:t>
            </w:r>
          </w:p>
        </w:tc>
        <w:tc>
          <w:tcPr>
            <w:tcW w:w="6943"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lastRenderedPageBreak/>
              <w:t xml:space="preserve">Es necesario que </w:t>
            </w:r>
            <w:r w:rsidRPr="00734317">
              <w:rPr>
                <w:rFonts w:ascii="Palatino Linotype" w:eastAsia="Palatino Linotype" w:hAnsi="Palatino Linotype" w:cs="Palatino Linotype"/>
                <w:b/>
                <w:bCs/>
                <w:color w:val="000000"/>
                <w:u w:val="single"/>
              </w:rPr>
              <w:t>el acto reúna con los requisitos elementales</w:t>
            </w:r>
            <w:r w:rsidRPr="00734317">
              <w:rPr>
                <w:rFonts w:ascii="Palatino Linotype" w:eastAsia="Palatino Linotype" w:hAnsi="Palatino Linotype" w:cs="Palatino Linotype"/>
                <w:color w:val="000000"/>
              </w:rPr>
              <w:t>, entre ellos, que la autoridad que va a emitir el acto de autoridad sea la legalmente facultada para ello.</w:t>
            </w:r>
          </w:p>
          <w:p w:rsidR="00D84A80" w:rsidRPr="00734317" w:rsidRDefault="0016512A">
            <w:pPr>
              <w:tabs>
                <w:tab w:val="left" w:pos="284"/>
              </w:tabs>
              <w:spacing w:line="360" w:lineRule="auto"/>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84A80" w:rsidRPr="00734317" w:rsidRDefault="00D84A80">
            <w:pPr>
              <w:tabs>
                <w:tab w:val="left" w:pos="284"/>
              </w:tabs>
              <w:spacing w:line="360" w:lineRule="auto"/>
              <w:jc w:val="both"/>
              <w:rPr>
                <w:rFonts w:ascii="Palatino Linotype" w:eastAsia="Palatino Linotype" w:hAnsi="Palatino Linotype" w:cs="Palatino Linotype"/>
              </w:rPr>
            </w:pPr>
          </w:p>
        </w:tc>
      </w:tr>
      <w:tr w:rsidR="00D84A80" w:rsidRPr="00734317" w:rsidTr="00734317">
        <w:tc>
          <w:tcPr>
            <w:tcW w:w="2691" w:type="dxa"/>
            <w:tcBorders>
              <w:top w:val="single" w:sz="4" w:space="0" w:color="BFBFBF"/>
              <w:left w:val="single" w:sz="4" w:space="0" w:color="BFBFBF"/>
              <w:bottom w:val="single" w:sz="4" w:space="0" w:color="BFBFBF"/>
              <w:right w:val="single" w:sz="4" w:space="0" w:color="BFBFBF"/>
            </w:tcBorders>
          </w:tcPr>
          <w:p w:rsidR="00D84A80" w:rsidRPr="00734317" w:rsidRDefault="00D84A80">
            <w:pPr>
              <w:tabs>
                <w:tab w:val="left" w:pos="284"/>
              </w:tabs>
              <w:spacing w:line="360" w:lineRule="auto"/>
              <w:rPr>
                <w:rFonts w:ascii="Palatino Linotype" w:eastAsia="Palatino Linotype" w:hAnsi="Palatino Linotype" w:cs="Palatino Linotype"/>
              </w:rPr>
            </w:pPr>
          </w:p>
          <w:p w:rsidR="00D84A80" w:rsidRPr="00734317" w:rsidRDefault="0016512A">
            <w:pPr>
              <w:tabs>
                <w:tab w:val="left" w:pos="284"/>
              </w:tabs>
              <w:spacing w:line="360" w:lineRule="auto"/>
              <w:jc w:val="both"/>
              <w:rPr>
                <w:rFonts w:ascii="Palatino Linotype" w:eastAsia="Palatino Linotype" w:hAnsi="Palatino Linotype" w:cs="Palatino Linotype"/>
              </w:rPr>
            </w:pPr>
            <w:r w:rsidRPr="00734317">
              <w:rPr>
                <w:rFonts w:ascii="Palatino Linotype" w:eastAsia="Palatino Linotype" w:hAnsi="Palatino Linotype" w:cs="Palatino Linotype"/>
                <w:color w:val="000000"/>
              </w:rPr>
              <w:t xml:space="preserve">d) Requisitos de fondo del acuerdo de clasificación. </w:t>
            </w:r>
          </w:p>
        </w:tc>
        <w:tc>
          <w:tcPr>
            <w:tcW w:w="6943"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34317">
              <w:rPr>
                <w:rFonts w:ascii="Palatino Linotype" w:eastAsia="Palatino Linotype" w:hAnsi="Palatino Linotype" w:cs="Palatino Linotype"/>
                <w:b/>
                <w:bCs/>
                <w:color w:val="000000"/>
              </w:rPr>
              <w:t>Sujetos Obligados</w:t>
            </w:r>
            <w:r w:rsidRPr="00734317">
              <w:rPr>
                <w:rFonts w:ascii="Palatino Linotype" w:eastAsia="Palatino Linotype" w:hAnsi="Palatino Linotype" w:cs="Palatino Linotype"/>
                <w:color w:val="000000"/>
              </w:rPr>
              <w:t xml:space="preserve">, por lo que deberán fundar y motivar debidamente la clasificación. </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De lo anterior, se desprende que para una correcta </w:t>
            </w:r>
            <w:r w:rsidRPr="00734317">
              <w:rPr>
                <w:rFonts w:ascii="Palatino Linotype" w:eastAsia="Palatino Linotype" w:hAnsi="Palatino Linotype" w:cs="Palatino Linotype"/>
                <w:b/>
                <w:bCs/>
                <w:color w:val="000000"/>
              </w:rPr>
              <w:t>clasificación total o parcial</w:t>
            </w:r>
            <w:r w:rsidRPr="00734317">
              <w:rPr>
                <w:rFonts w:ascii="Palatino Linotype" w:eastAsia="Palatino Linotype" w:hAnsi="Palatino Linotype" w:cs="Palatino Linotype"/>
                <w:color w:val="000000"/>
              </w:rPr>
              <w:t xml:space="preserve">, esto es determinar los datos que se suprimen en las versiones públicas, es necesario fundar y motivar, de </w:t>
            </w:r>
            <w:r w:rsidRPr="00734317">
              <w:rPr>
                <w:rFonts w:ascii="Palatino Linotype" w:eastAsia="Palatino Linotype" w:hAnsi="Palatino Linotype" w:cs="Palatino Linotype"/>
                <w:color w:val="000000"/>
              </w:rPr>
              <w:lastRenderedPageBreak/>
              <w:t>manera correcta, la clasificación; considerando que todo acto que la autoridad pronuncie en el ejercicio de sus atribuciones, debe expresar los fundamentos legales que le dieron origen y las razones por las que se deben aplicar al caso concreto.</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Ahora bien, </w:t>
            </w:r>
            <w:r w:rsidRPr="00734317">
              <w:rPr>
                <w:rFonts w:ascii="Palatino Linotype" w:eastAsia="Palatino Linotype" w:hAnsi="Palatino Linotype" w:cs="Palatino Linotype"/>
                <w:b/>
                <w:bCs/>
                <w:color w:val="000000"/>
                <w:u w:val="single"/>
              </w:rPr>
              <w:t>para cada caso además de fundar y motivar</w:t>
            </w:r>
            <w:r w:rsidRPr="00734317">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D84A80" w:rsidRPr="00734317" w:rsidRDefault="00D84A80">
            <w:pPr>
              <w:tabs>
                <w:tab w:val="left" w:pos="284"/>
              </w:tabs>
              <w:spacing w:line="360" w:lineRule="auto"/>
              <w:ind w:right="49"/>
              <w:jc w:val="both"/>
              <w:rPr>
                <w:rFonts w:ascii="Palatino Linotype" w:eastAsia="Palatino Linotype" w:hAnsi="Palatino Linotype" w:cs="Palatino Linotype"/>
                <w:color w:val="000000"/>
              </w:rPr>
            </w:pPr>
          </w:p>
        </w:tc>
      </w:tr>
      <w:tr w:rsidR="00D84A80" w:rsidRPr="00734317" w:rsidTr="00734317">
        <w:tc>
          <w:tcPr>
            <w:tcW w:w="2691"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ind w:right="49"/>
              <w:jc w:val="both"/>
              <w:rPr>
                <w:rFonts w:ascii="Palatino Linotype" w:eastAsia="Palatino Linotype" w:hAnsi="Palatino Linotype" w:cs="Palatino Linotype"/>
              </w:rPr>
            </w:pPr>
            <w:r w:rsidRPr="00734317">
              <w:rPr>
                <w:rFonts w:ascii="Palatino Linotype" w:eastAsia="Palatino Linotype" w:hAnsi="Palatino Linotype" w:cs="Palatino Linotype"/>
              </w:rPr>
              <w:lastRenderedPageBreak/>
              <w:t xml:space="preserve">e) Condiciones especiales de la clasificación de la información como confidencial. </w:t>
            </w:r>
          </w:p>
        </w:tc>
        <w:tc>
          <w:tcPr>
            <w:tcW w:w="6943" w:type="dxa"/>
            <w:tcBorders>
              <w:top w:val="single" w:sz="4" w:space="0" w:color="BFBFBF"/>
              <w:left w:val="single" w:sz="4" w:space="0" w:color="BFBFBF"/>
              <w:bottom w:val="single" w:sz="4" w:space="0" w:color="BFBFBF"/>
              <w:right w:val="single" w:sz="4" w:space="0" w:color="BFBFBF"/>
            </w:tcBorders>
          </w:tcPr>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D84A80" w:rsidRPr="00734317" w:rsidRDefault="0016512A">
            <w:pPr>
              <w:tabs>
                <w:tab w:val="left" w:pos="284"/>
              </w:tabs>
              <w:spacing w:line="360" w:lineRule="auto"/>
              <w:ind w:right="49"/>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84A80" w:rsidRPr="00734317" w:rsidRDefault="0016512A">
            <w:pPr>
              <w:tabs>
                <w:tab w:val="left" w:pos="284"/>
              </w:tabs>
              <w:spacing w:line="360" w:lineRule="auto"/>
              <w:rPr>
                <w:rFonts w:ascii="Palatino Linotype" w:eastAsia="Palatino Linotype" w:hAnsi="Palatino Linotype" w:cs="Palatino Linotype"/>
                <w:color w:val="000000"/>
              </w:rPr>
            </w:pPr>
            <w:r w:rsidRPr="00734317">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D84A80" w:rsidRPr="00734317" w:rsidRDefault="00D84A80">
            <w:pPr>
              <w:tabs>
                <w:tab w:val="left" w:pos="284"/>
              </w:tabs>
              <w:spacing w:line="360" w:lineRule="auto"/>
              <w:rPr>
                <w:rFonts w:ascii="Palatino Linotype" w:eastAsia="Palatino Linotype" w:hAnsi="Palatino Linotype" w:cs="Palatino Linotype"/>
              </w:rPr>
            </w:pPr>
          </w:p>
        </w:tc>
      </w:tr>
    </w:tbl>
    <w:p w:rsidR="00D84A80" w:rsidRDefault="00D84A80">
      <w:pPr>
        <w:tabs>
          <w:tab w:val="left" w:pos="284"/>
        </w:tabs>
        <w:spacing w:line="360" w:lineRule="auto"/>
        <w:rPr>
          <w:rFonts w:ascii="Palatino Linotype" w:eastAsia="Palatino Linotype" w:hAnsi="Palatino Linotype" w:cs="Palatino Linotype"/>
          <w:color w:val="000000"/>
        </w:rPr>
      </w:pPr>
    </w:p>
    <w:p w:rsidR="00734317" w:rsidRPr="00734317" w:rsidRDefault="00734317">
      <w:pPr>
        <w:tabs>
          <w:tab w:val="left" w:pos="284"/>
        </w:tabs>
        <w:spacing w:line="360" w:lineRule="auto"/>
        <w:rPr>
          <w:rFonts w:ascii="Palatino Linotype" w:eastAsia="Palatino Linotype" w:hAnsi="Palatino Linotype" w:cs="Palatino Linotype"/>
          <w:color w:val="000000"/>
        </w:rPr>
      </w:pPr>
    </w:p>
    <w:p w:rsidR="00D84A80" w:rsidRPr="00734317" w:rsidRDefault="0016512A">
      <w:pPr>
        <w:numPr>
          <w:ilvl w:val="0"/>
          <w:numId w:val="3"/>
        </w:numPr>
        <w:spacing w:line="360" w:lineRule="auto"/>
        <w:ind w:left="0" w:firstLine="0"/>
        <w:jc w:val="both"/>
        <w:rPr>
          <w:rFonts w:ascii="Palatino Linotype" w:eastAsia="Palatino Linotype" w:hAnsi="Palatino Linotype" w:cs="Palatino Linotype"/>
          <w:color w:val="000000"/>
        </w:rPr>
      </w:pPr>
      <w:r w:rsidRPr="00734317">
        <w:rPr>
          <w:rFonts w:ascii="Palatino Linotype" w:eastAsia="Palatino Linotype" w:hAnsi="Palatino Linotype" w:cs="Palatino Linotype"/>
        </w:rPr>
        <w:t xml:space="preserve">Si el </w:t>
      </w:r>
      <w:r w:rsidRPr="00734317">
        <w:rPr>
          <w:rFonts w:ascii="Palatino Linotype" w:eastAsia="Palatino Linotype" w:hAnsi="Palatino Linotype" w:cs="Palatino Linotype"/>
          <w:color w:val="000000"/>
        </w:rPr>
        <w:t>servidor</w:t>
      </w:r>
      <w:r w:rsidRPr="00734317">
        <w:rPr>
          <w:rFonts w:ascii="Palatino Linotype" w:eastAsia="Palatino Linotype" w:hAnsi="Palatino Linotype" w:cs="Palatino Linotype"/>
        </w:rPr>
        <w:t xml:space="preserve"> público incumple con estas formalidades y entrega la información </w:t>
      </w:r>
      <w:r w:rsidRPr="00734317">
        <w:rPr>
          <w:rFonts w:ascii="Palatino Linotype" w:eastAsia="Palatino Linotype" w:hAnsi="Palatino Linotype" w:cs="Palatino Linotype"/>
          <w:color w:val="000000"/>
        </w:rPr>
        <w:t>sin</w:t>
      </w:r>
      <w:r w:rsidRPr="00734317">
        <w:rPr>
          <w:rFonts w:ascii="Palatino Linotype" w:eastAsia="Palatino Linotype" w:hAnsi="Palatino Linotype" w:cs="Palatino Linotype"/>
        </w:rPr>
        <w:t xml:space="preserve"> proteger los datos personales incumple con lo que estipula las </w:t>
      </w:r>
      <w:r w:rsidRPr="00734317">
        <w:rPr>
          <w:rFonts w:ascii="Palatino Linotype" w:eastAsia="Palatino Linotype" w:hAnsi="Palatino Linotype" w:cs="Palatino Linotype"/>
          <w:color w:val="000000"/>
        </w:rPr>
        <w:t>disposiciones</w:t>
      </w:r>
      <w:r w:rsidRPr="00734317">
        <w:rPr>
          <w:rFonts w:ascii="Palatino Linotype" w:eastAsia="Palatino Linotype" w:hAnsi="Palatino Linotype" w:cs="Palatino Linotype"/>
        </w:rPr>
        <w:t xml:space="preserve"> legales </w:t>
      </w:r>
      <w:r w:rsidRPr="00734317">
        <w:rPr>
          <w:rFonts w:ascii="Palatino Linotype" w:eastAsia="Palatino Linotype" w:hAnsi="Palatino Linotype" w:cs="Palatino Linotype"/>
          <w:color w:val="000000"/>
        </w:rPr>
        <w:t>establecidas</w:t>
      </w:r>
      <w:r w:rsidRPr="00734317">
        <w:rPr>
          <w:rFonts w:ascii="Palatino Linotype" w:eastAsia="Palatino Linotype" w:hAnsi="Palatino Linotype" w:cs="Palatino Linotype"/>
        </w:rPr>
        <w:t>, asimismo que si entrega un documento testado sin el debido acuerdo de clasificación.</w:t>
      </w:r>
    </w:p>
    <w:p w:rsidR="00D84A80" w:rsidRPr="00734317" w:rsidRDefault="00D84A80">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i/>
          <w:iCs/>
          <w:color w:val="000000"/>
        </w:rPr>
      </w:pPr>
    </w:p>
    <w:p w:rsidR="00D84A80" w:rsidRPr="00734317" w:rsidRDefault="0016512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34317">
        <w:rPr>
          <w:rFonts w:ascii="Palatino Linotype" w:eastAsia="Palatino Linotype" w:hAnsi="Palatino Linotype" w:cs="Palatino Linotype"/>
          <w:color w:val="222222"/>
        </w:rPr>
        <w:lastRenderedPageBreak/>
        <w:t xml:space="preserve">Por lo </w:t>
      </w:r>
      <w:r w:rsidRPr="00734317">
        <w:rPr>
          <w:rFonts w:ascii="Palatino Linotype" w:eastAsia="Palatino Linotype" w:hAnsi="Palatino Linotype" w:cs="Palatino Linotype"/>
        </w:rPr>
        <w:t>anteriormente</w:t>
      </w:r>
      <w:r w:rsidRPr="00734317">
        <w:rPr>
          <w:rFonts w:ascii="Palatino Linotype" w:eastAsia="Palatino Linotype" w:hAnsi="Palatino Linotype" w:cs="Palatino Linotype"/>
          <w:color w:val="222222"/>
        </w:rPr>
        <w:t xml:space="preserve"> expuesto y fundado, este </w:t>
      </w:r>
      <w:r w:rsidRPr="00734317">
        <w:rPr>
          <w:rFonts w:ascii="Palatino Linotype" w:eastAsia="Palatino Linotype" w:hAnsi="Palatino Linotype" w:cs="Palatino Linotype"/>
          <w:b/>
          <w:bCs/>
          <w:color w:val="222222"/>
        </w:rPr>
        <w:t>ÓRGANO GARANTE</w:t>
      </w:r>
      <w:r w:rsidRPr="00734317">
        <w:rPr>
          <w:rFonts w:ascii="Palatino Linotype" w:eastAsia="Palatino Linotype" w:hAnsi="Palatino Linotype" w:cs="Palatino Linotype"/>
          <w:color w:val="222222"/>
        </w:rPr>
        <w:t xml:space="preserve"> emite los </w:t>
      </w:r>
      <w:r w:rsidRPr="00734317">
        <w:rPr>
          <w:rFonts w:ascii="Palatino Linotype" w:eastAsia="Palatino Linotype" w:hAnsi="Palatino Linotype" w:cs="Palatino Linotype"/>
        </w:rPr>
        <w:t>siguientes</w:t>
      </w:r>
      <w:r w:rsidRPr="00734317">
        <w:rPr>
          <w:rFonts w:ascii="Palatino Linotype" w:eastAsia="Palatino Linotype" w:hAnsi="Palatino Linotype" w:cs="Palatino Linotype"/>
          <w:color w:val="222222"/>
        </w:rPr>
        <w:t>:</w:t>
      </w:r>
    </w:p>
    <w:p w:rsidR="00734317" w:rsidRDefault="00734317" w:rsidP="00734317">
      <w:pPr>
        <w:pStyle w:val="Prrafodelista"/>
        <w:rPr>
          <w:rFonts w:ascii="Palatino Linotype" w:eastAsia="Palatino Linotype" w:hAnsi="Palatino Linotype" w:cs="Palatino Linotype"/>
        </w:rPr>
      </w:pPr>
    </w:p>
    <w:p w:rsidR="00734317" w:rsidRPr="00734317" w:rsidRDefault="00734317" w:rsidP="00734317">
      <w:pPr>
        <w:pBdr>
          <w:top w:val="nil"/>
          <w:left w:val="nil"/>
          <w:bottom w:val="nil"/>
          <w:right w:val="nil"/>
          <w:between w:val="nil"/>
        </w:pBdr>
        <w:spacing w:line="360" w:lineRule="auto"/>
        <w:jc w:val="both"/>
        <w:rPr>
          <w:rFonts w:ascii="Palatino Linotype" w:eastAsia="Palatino Linotype" w:hAnsi="Palatino Linotype" w:cs="Palatino Linotype"/>
        </w:rPr>
      </w:pPr>
    </w:p>
    <w:p w:rsidR="00D84A80" w:rsidRPr="00734317" w:rsidRDefault="0016512A">
      <w:pPr>
        <w:keepNext/>
        <w:keepLines/>
        <w:spacing w:line="360" w:lineRule="auto"/>
        <w:jc w:val="center"/>
        <w:rPr>
          <w:rFonts w:ascii="Palatino Linotype" w:eastAsia="Palatino Linotype" w:hAnsi="Palatino Linotype" w:cs="Palatino Linotype"/>
          <w:b/>
          <w:bCs/>
          <w:color w:val="000000"/>
        </w:rPr>
      </w:pPr>
      <w:r w:rsidRPr="00734317">
        <w:rPr>
          <w:rFonts w:ascii="Palatino Linotype" w:eastAsia="Palatino Linotype" w:hAnsi="Palatino Linotype" w:cs="Palatino Linotype"/>
          <w:b/>
          <w:bCs/>
          <w:color w:val="000000"/>
        </w:rPr>
        <w:t>R E S O L U T I V O S</w:t>
      </w:r>
    </w:p>
    <w:p w:rsidR="00D84A80" w:rsidRPr="00734317" w:rsidRDefault="0016512A">
      <w:pPr>
        <w:spacing w:line="360" w:lineRule="auto"/>
        <w:ind w:right="-929"/>
        <w:jc w:val="both"/>
        <w:rPr>
          <w:rFonts w:ascii="Palatino Linotype" w:eastAsia="Palatino Linotype" w:hAnsi="Palatino Linotype" w:cs="Palatino Linotype"/>
          <w:b/>
          <w:bCs/>
        </w:rPr>
      </w:pPr>
      <w:r w:rsidRPr="00734317">
        <w:rPr>
          <w:rFonts w:ascii="Palatino Linotype" w:eastAsia="Palatino Linotype" w:hAnsi="Palatino Linotype" w:cs="Palatino Linotype"/>
          <w:b/>
          <w:bCs/>
        </w:rPr>
        <w:tab/>
      </w:r>
    </w:p>
    <w:p w:rsidR="00D84A80" w:rsidRPr="00734317" w:rsidRDefault="0016512A">
      <w:pPr>
        <w:spacing w:line="360" w:lineRule="auto"/>
        <w:jc w:val="both"/>
        <w:rPr>
          <w:rFonts w:ascii="Palatino Linotype" w:eastAsia="Palatino Linotype" w:hAnsi="Palatino Linotype" w:cs="Palatino Linotype"/>
        </w:rPr>
      </w:pPr>
      <w:r w:rsidRPr="00734317">
        <w:rPr>
          <w:rFonts w:ascii="Palatino Linotype" w:eastAsia="Palatino Linotype" w:hAnsi="Palatino Linotype" w:cs="Palatino Linotype"/>
          <w:b/>
          <w:bCs/>
        </w:rPr>
        <w:t>PRIMERO</w:t>
      </w:r>
      <w:r w:rsidRPr="00734317">
        <w:rPr>
          <w:rFonts w:ascii="Palatino Linotype" w:eastAsia="Palatino Linotype" w:hAnsi="Palatino Linotype" w:cs="Palatino Linotype"/>
        </w:rPr>
        <w:t xml:space="preserve">. Resultan fundadas las razones o motivos de inconformidad hechos valer en el Recurso de Revisión </w:t>
      </w:r>
      <w:r w:rsidRPr="00734317">
        <w:rPr>
          <w:rFonts w:ascii="Palatino Linotype" w:eastAsia="Palatino Linotype" w:hAnsi="Palatino Linotype" w:cs="Palatino Linotype"/>
          <w:b/>
          <w:bCs/>
        </w:rPr>
        <w:t xml:space="preserve">05563/INFOEM/IP/RR/2025, </w:t>
      </w:r>
      <w:r w:rsidRPr="00734317">
        <w:rPr>
          <w:rFonts w:ascii="Palatino Linotype" w:eastAsia="Palatino Linotype" w:hAnsi="Palatino Linotype" w:cs="Palatino Linotype"/>
        </w:rPr>
        <w:t xml:space="preserve">en términos de los </w:t>
      </w:r>
      <w:r w:rsidRPr="00734317">
        <w:rPr>
          <w:rFonts w:ascii="Palatino Linotype" w:eastAsia="Palatino Linotype" w:hAnsi="Palatino Linotype" w:cs="Palatino Linotype"/>
          <w:b/>
          <w:bCs/>
        </w:rPr>
        <w:t>Considerandos</w:t>
      </w:r>
      <w:r w:rsidRPr="00734317">
        <w:rPr>
          <w:rFonts w:ascii="Palatino Linotype" w:eastAsia="Palatino Linotype" w:hAnsi="Palatino Linotype" w:cs="Palatino Linotype"/>
        </w:rPr>
        <w:t xml:space="preserve"> </w:t>
      </w:r>
      <w:r w:rsidRPr="00734317">
        <w:rPr>
          <w:rFonts w:ascii="Palatino Linotype" w:eastAsia="Palatino Linotype" w:hAnsi="Palatino Linotype" w:cs="Palatino Linotype"/>
          <w:b/>
          <w:bCs/>
        </w:rPr>
        <w:t xml:space="preserve">Cuarto y Quinto </w:t>
      </w:r>
      <w:r w:rsidRPr="00734317">
        <w:rPr>
          <w:rFonts w:ascii="Palatino Linotype" w:eastAsia="Palatino Linotype" w:hAnsi="Palatino Linotype" w:cs="Palatino Linotype"/>
        </w:rPr>
        <w:t>de la presente Resolución.</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spacing w:line="360" w:lineRule="auto"/>
        <w:jc w:val="both"/>
        <w:rPr>
          <w:rFonts w:ascii="Palatino Linotype" w:eastAsia="Palatino Linotype" w:hAnsi="Palatino Linotype" w:cs="Palatino Linotype"/>
        </w:rPr>
      </w:pPr>
      <w:r w:rsidRPr="00734317">
        <w:rPr>
          <w:rFonts w:ascii="Palatino Linotype" w:eastAsia="Palatino Linotype" w:hAnsi="Palatino Linotype" w:cs="Palatino Linotype"/>
          <w:b/>
          <w:bCs/>
        </w:rPr>
        <w:t xml:space="preserve">SEGUNDO. </w:t>
      </w:r>
      <w:r w:rsidRPr="00734317">
        <w:rPr>
          <w:rFonts w:ascii="Palatino Linotype" w:eastAsia="Palatino Linotype" w:hAnsi="Palatino Linotype" w:cs="Palatino Linotype"/>
          <w:color w:val="000000"/>
        </w:rPr>
        <w:t xml:space="preserve">Se </w:t>
      </w:r>
      <w:r w:rsidRPr="00734317">
        <w:rPr>
          <w:rFonts w:ascii="Palatino Linotype" w:eastAsia="Palatino Linotype" w:hAnsi="Palatino Linotype" w:cs="Palatino Linotype"/>
          <w:b/>
          <w:bCs/>
          <w:color w:val="000000"/>
        </w:rPr>
        <w:t xml:space="preserve">MODIFICA </w:t>
      </w:r>
      <w:r w:rsidRPr="00734317">
        <w:rPr>
          <w:rFonts w:ascii="Palatino Linotype" w:eastAsia="Palatino Linotype" w:hAnsi="Palatino Linotype" w:cs="Palatino Linotype"/>
          <w:color w:val="000000"/>
        </w:rPr>
        <w:t xml:space="preserve">la respuesta emitida por el </w:t>
      </w:r>
      <w:r w:rsidRPr="00734317">
        <w:rPr>
          <w:rFonts w:ascii="Palatino Linotype" w:eastAsia="Palatino Linotype" w:hAnsi="Palatino Linotype" w:cs="Palatino Linotype"/>
          <w:b/>
          <w:bCs/>
          <w:color w:val="000000"/>
        </w:rPr>
        <w:t>Ayuntamiento de Toluca</w:t>
      </w:r>
      <w:r w:rsidRPr="00734317">
        <w:rPr>
          <w:rFonts w:ascii="Palatino Linotype" w:eastAsia="Palatino Linotype" w:hAnsi="Palatino Linotype" w:cs="Palatino Linotype"/>
          <w:b/>
          <w:bCs/>
        </w:rPr>
        <w:t>;</w:t>
      </w:r>
      <w:r w:rsidRPr="00734317">
        <w:rPr>
          <w:rFonts w:ascii="Palatino Linotype" w:eastAsia="Palatino Linotype" w:hAnsi="Palatino Linotype" w:cs="Palatino Linotype"/>
        </w:rPr>
        <w:t xml:space="preserve"> por lo que</w:t>
      </w:r>
      <w:r w:rsidRPr="00734317">
        <w:rPr>
          <w:rFonts w:ascii="Palatino Linotype" w:eastAsia="Palatino Linotype" w:hAnsi="Palatino Linotype" w:cs="Palatino Linotype"/>
          <w:color w:val="000000"/>
        </w:rPr>
        <w:t xml:space="preserve"> se </w:t>
      </w:r>
      <w:r w:rsidRPr="00734317">
        <w:rPr>
          <w:rFonts w:ascii="Palatino Linotype" w:eastAsia="Palatino Linotype" w:hAnsi="Palatino Linotype" w:cs="Palatino Linotype"/>
          <w:b/>
          <w:bCs/>
          <w:color w:val="000000"/>
        </w:rPr>
        <w:t>ORDENA</w:t>
      </w:r>
      <w:r w:rsidRPr="00734317">
        <w:rPr>
          <w:rFonts w:ascii="Palatino Linotype" w:eastAsia="Palatino Linotype" w:hAnsi="Palatino Linotype" w:cs="Palatino Linotype"/>
          <w:color w:val="000000"/>
        </w:rPr>
        <w:t xml:space="preserve"> entregar vía Sistema de Acceso a la Información Mexiquense (</w:t>
      </w:r>
      <w:r w:rsidRPr="00734317">
        <w:rPr>
          <w:rFonts w:ascii="Palatino Linotype" w:eastAsia="Palatino Linotype" w:hAnsi="Palatino Linotype" w:cs="Palatino Linotype"/>
          <w:b/>
          <w:bCs/>
          <w:color w:val="000000"/>
        </w:rPr>
        <w:t>SAIMEX</w:t>
      </w:r>
      <w:r w:rsidRPr="00734317">
        <w:rPr>
          <w:rFonts w:ascii="Palatino Linotype" w:eastAsia="Palatino Linotype" w:hAnsi="Palatino Linotype" w:cs="Palatino Linotype"/>
          <w:color w:val="000000"/>
        </w:rPr>
        <w:t>) previa búsqueda exhaustiva y razonable, la siguiente información en versión pública</w:t>
      </w:r>
      <w:r w:rsidRPr="00734317">
        <w:rPr>
          <w:rFonts w:ascii="Palatino Linotype" w:eastAsia="Palatino Linotype" w:hAnsi="Palatino Linotype" w:cs="Palatino Linotype"/>
        </w:rPr>
        <w:t>:</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b/>
          <w:bCs/>
          <w:color w:val="000000"/>
        </w:rPr>
        <w:t>Contratos vigentes con los prestadores de servicios</w:t>
      </w:r>
      <w:r w:rsidRPr="00734317">
        <w:rPr>
          <w:rFonts w:ascii="Palatino Linotype" w:eastAsia="Palatino Linotype" w:hAnsi="Palatino Linotype" w:cs="Palatino Linotype"/>
          <w:b/>
          <w:bCs/>
          <w:color w:val="222222"/>
        </w:rPr>
        <w:t xml:space="preserve"> </w:t>
      </w:r>
      <w:r w:rsidRPr="00734317">
        <w:rPr>
          <w:rFonts w:ascii="Palatino Linotype" w:eastAsia="Palatino Linotype" w:hAnsi="Palatino Linotype" w:cs="Palatino Linotype"/>
          <w:b/>
          <w:bCs/>
          <w:color w:val="000000"/>
        </w:rPr>
        <w:t>MFONTOVA ASOC S.C. y, Corporativo y Administrativo Coral Negro, S.A. de C.V. al 25 de marzo de 2025;</w:t>
      </w:r>
    </w:p>
    <w:p w:rsidR="00D84A80" w:rsidRPr="00734317" w:rsidRDefault="0016512A">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b/>
          <w:bCs/>
          <w:color w:val="000000"/>
        </w:rPr>
        <w:t>Los contratos celebrados entre el Ayuntamiento de Toluca y los prestadores de servicios MFONTOVA ASOC S.C. y Corporativo y Administrativo Coral Negro, S.A. de C.V. del 1 de enero de 2022 al 25 de marzo de 2025; y</w:t>
      </w:r>
    </w:p>
    <w:p w:rsidR="00D84A80" w:rsidRPr="00734317" w:rsidRDefault="0016512A">
      <w:pPr>
        <w:numPr>
          <w:ilvl w:val="0"/>
          <w:numId w:val="1"/>
        </w:numPr>
        <w:pBdr>
          <w:top w:val="nil"/>
          <w:left w:val="nil"/>
          <w:bottom w:val="nil"/>
          <w:right w:val="nil"/>
          <w:between w:val="nil"/>
        </w:pBdr>
        <w:spacing w:line="360" w:lineRule="auto"/>
        <w:ind w:right="709"/>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b/>
          <w:bCs/>
          <w:color w:val="000000"/>
        </w:rPr>
        <w:t>Facturas pagadas a los prestadores de servicios MFONTOVA ASOC S.C. y, Corporativo y Administrativo Coral Negro, S.A. de C.V. del 1 de enero de 2022 al 25 de marzo de 2025.</w:t>
      </w:r>
    </w:p>
    <w:p w:rsidR="00D84A80" w:rsidRPr="00734317" w:rsidRDefault="00D84A80">
      <w:pPr>
        <w:spacing w:line="360" w:lineRule="auto"/>
        <w:ind w:right="709"/>
        <w:jc w:val="both"/>
        <w:rPr>
          <w:rFonts w:ascii="Palatino Linotype" w:eastAsia="Palatino Linotype" w:hAnsi="Palatino Linotype" w:cs="Palatino Linotype"/>
          <w:b/>
          <w:bCs/>
        </w:rPr>
      </w:pPr>
    </w:p>
    <w:p w:rsidR="00D84A80" w:rsidRPr="00734317" w:rsidRDefault="0016512A">
      <w:pPr>
        <w:spacing w:line="360" w:lineRule="auto"/>
        <w:jc w:val="both"/>
        <w:rPr>
          <w:rFonts w:ascii="Palatino Linotype" w:eastAsia="Palatino Linotype" w:hAnsi="Palatino Linotype" w:cs="Palatino Linotype"/>
        </w:rPr>
      </w:pPr>
      <w:r w:rsidRPr="00734317">
        <w:rPr>
          <w:rFonts w:ascii="Palatino Linotype" w:eastAsia="Palatino Linotype" w:hAnsi="Palatino Linotype" w:cs="Palatino Linotype"/>
          <w:color w:val="000000"/>
        </w:rPr>
        <w:lastRenderedPageBreak/>
        <w:t xml:space="preserve">Para el caso de no contar con lo ordenado en el </w:t>
      </w:r>
      <w:r w:rsidRPr="00734317">
        <w:rPr>
          <w:rFonts w:ascii="Palatino Linotype" w:eastAsia="Palatino Linotype" w:hAnsi="Palatino Linotype" w:cs="Palatino Linotype"/>
          <w:b/>
          <w:bCs/>
          <w:color w:val="000000"/>
        </w:rPr>
        <w:t>inciso a),</w:t>
      </w:r>
      <w:r w:rsidRPr="00734317">
        <w:rPr>
          <w:rFonts w:ascii="Palatino Linotype" w:eastAsia="Palatino Linotype" w:hAnsi="Palatino Linotype" w:cs="Palatino Linotype"/>
          <w:color w:val="000000"/>
        </w:rPr>
        <w:t xml:space="preserve"> bastará que el </w:t>
      </w:r>
      <w:r w:rsidRPr="00734317">
        <w:rPr>
          <w:rFonts w:ascii="Palatino Linotype" w:eastAsia="Palatino Linotype" w:hAnsi="Palatino Linotype" w:cs="Palatino Linotype"/>
          <w:b/>
          <w:bCs/>
          <w:color w:val="000000"/>
        </w:rPr>
        <w:t>SUJETO OBLIGADO</w:t>
      </w:r>
      <w:r w:rsidRPr="00734317">
        <w:rPr>
          <w:rFonts w:ascii="Palatino Linotype" w:eastAsia="Palatino Linotype" w:hAnsi="Palatino Linotype" w:cs="Palatino Linotype"/>
          <w:color w:val="000000"/>
        </w:rPr>
        <w:t xml:space="preserve"> lo haga del conocimiento de la parte </w:t>
      </w:r>
      <w:r w:rsidRPr="00734317">
        <w:rPr>
          <w:rFonts w:ascii="Palatino Linotype" w:eastAsia="Palatino Linotype" w:hAnsi="Palatino Linotype" w:cs="Palatino Linotype"/>
          <w:b/>
          <w:bCs/>
          <w:color w:val="000000"/>
        </w:rPr>
        <w:t>RECURRENTE</w:t>
      </w:r>
      <w:r w:rsidRPr="00734317">
        <w:rPr>
          <w:rFonts w:ascii="Palatino Linotype" w:eastAsia="Palatino Linotype" w:hAnsi="Palatino Linotype" w:cs="Palatino Linotype"/>
          <w:color w:val="000000"/>
        </w:rPr>
        <w:t xml:space="preserve"> al momento de dar cumplimiento a la presente Resolución en términos del artículo 19 párrafo segundo de la</w:t>
      </w:r>
      <w:r w:rsidRPr="00734317">
        <w:rPr>
          <w:rFonts w:ascii="Palatino Linotype" w:eastAsia="Palatino Linotype" w:hAnsi="Palatino Linotype" w:cs="Palatino Linotype"/>
        </w:rPr>
        <w:t xml:space="preserve"> Ley de Transparencia y Acceso a la Información Pública del Estado de México y Municipios.</w:t>
      </w: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16512A">
      <w:pPr>
        <w:spacing w:line="360" w:lineRule="auto"/>
        <w:jc w:val="both"/>
        <w:rPr>
          <w:rFonts w:ascii="Palatino Linotype" w:eastAsia="Palatino Linotype" w:hAnsi="Palatino Linotype" w:cs="Palatino Linotype"/>
          <w:b/>
          <w:bCs/>
          <w:color w:val="000000"/>
        </w:rPr>
      </w:pPr>
      <w:r w:rsidRPr="00734317">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D84A80" w:rsidRPr="00734317" w:rsidRDefault="00D84A80">
      <w:pPr>
        <w:pBdr>
          <w:top w:val="nil"/>
          <w:left w:val="nil"/>
          <w:bottom w:val="nil"/>
          <w:right w:val="nil"/>
          <w:between w:val="nil"/>
        </w:pBdr>
        <w:spacing w:line="360" w:lineRule="auto"/>
        <w:ind w:right="616"/>
        <w:jc w:val="both"/>
        <w:rPr>
          <w:rFonts w:ascii="Palatino Linotype" w:eastAsia="Palatino Linotype" w:hAnsi="Palatino Linotype" w:cs="Palatino Linotype"/>
          <w:b/>
          <w:bCs/>
          <w:color w:val="000000"/>
        </w:rPr>
      </w:pPr>
    </w:p>
    <w:p w:rsidR="00D84A80" w:rsidRPr="00734317" w:rsidRDefault="0016512A">
      <w:pPr>
        <w:spacing w:line="360" w:lineRule="auto"/>
        <w:ind w:right="51"/>
        <w:jc w:val="both"/>
        <w:rPr>
          <w:rFonts w:ascii="Palatino Linotype" w:eastAsia="Palatino Linotype" w:hAnsi="Palatino Linotype" w:cs="Palatino Linotype"/>
        </w:rPr>
      </w:pPr>
      <w:r w:rsidRPr="00734317">
        <w:rPr>
          <w:rFonts w:ascii="Palatino Linotype" w:eastAsia="Palatino Linotype" w:hAnsi="Palatino Linotype" w:cs="Palatino Linotype"/>
          <w:b/>
          <w:bCs/>
        </w:rPr>
        <w:t xml:space="preserve">TERCERO. Notifíquese </w:t>
      </w:r>
      <w:r w:rsidRPr="00734317">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34317">
        <w:rPr>
          <w:rFonts w:ascii="Palatino Linotype" w:eastAsia="Palatino Linotype" w:hAnsi="Palatino Linotype" w:cs="Palatino Linotype"/>
          <w:b/>
          <w:bCs/>
        </w:rPr>
        <w:t>dé cumplimiento a lo ordenado dentro del plazo de diez días hábiles,</w:t>
      </w:r>
      <w:r w:rsidRPr="00734317">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84A80" w:rsidRPr="00734317" w:rsidRDefault="00D84A80">
      <w:pPr>
        <w:spacing w:line="360" w:lineRule="auto"/>
        <w:ind w:right="51"/>
        <w:jc w:val="both"/>
        <w:rPr>
          <w:rFonts w:ascii="Palatino Linotype" w:eastAsia="Palatino Linotype" w:hAnsi="Palatino Linotype" w:cs="Palatino Linotype"/>
        </w:rPr>
      </w:pPr>
    </w:p>
    <w:p w:rsidR="00D84A80" w:rsidRPr="00734317" w:rsidRDefault="0016512A">
      <w:pPr>
        <w:spacing w:line="360" w:lineRule="auto"/>
        <w:ind w:right="51"/>
        <w:jc w:val="both"/>
        <w:rPr>
          <w:rFonts w:ascii="Palatino Linotype" w:eastAsia="Palatino Linotype" w:hAnsi="Palatino Linotype" w:cs="Palatino Linotype"/>
        </w:rPr>
      </w:pPr>
      <w:r w:rsidRPr="00734317">
        <w:rPr>
          <w:rFonts w:ascii="Palatino Linotype" w:eastAsia="Palatino Linotype" w:hAnsi="Palatino Linotype" w:cs="Palatino Linotype"/>
          <w:b/>
          <w:bCs/>
        </w:rPr>
        <w:lastRenderedPageBreak/>
        <w:t xml:space="preserve">CUARTO. </w:t>
      </w:r>
      <w:r w:rsidRPr="0073431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34317">
        <w:rPr>
          <w:rFonts w:ascii="Palatino Linotype" w:eastAsia="Palatino Linotype" w:hAnsi="Palatino Linotype" w:cs="Palatino Linotype"/>
          <w:b/>
          <w:bCs/>
        </w:rPr>
        <w:t>SUJETO OBLIGADO</w:t>
      </w:r>
      <w:r w:rsidRPr="00734317">
        <w:rPr>
          <w:rFonts w:ascii="Palatino Linotype" w:eastAsia="Palatino Linotype" w:hAnsi="Palatino Linotype" w:cs="Palatino Linotype"/>
        </w:rPr>
        <w:t xml:space="preserve"> de manera fundada y motivada, podrá solicitar una ampliación de plazo para el cumplimiento de la presente Resolución.</w:t>
      </w:r>
    </w:p>
    <w:p w:rsidR="00D84A80" w:rsidRPr="00734317" w:rsidRDefault="00D84A80">
      <w:pPr>
        <w:spacing w:line="360" w:lineRule="auto"/>
        <w:ind w:right="51"/>
        <w:jc w:val="both"/>
        <w:rPr>
          <w:rFonts w:ascii="Palatino Linotype" w:eastAsia="Palatino Linotype" w:hAnsi="Palatino Linotype" w:cs="Palatino Linotype"/>
        </w:rPr>
      </w:pPr>
    </w:p>
    <w:p w:rsidR="00D84A80" w:rsidRPr="00734317" w:rsidRDefault="0016512A">
      <w:pPr>
        <w:tabs>
          <w:tab w:val="left" w:pos="8080"/>
        </w:tabs>
        <w:spacing w:line="360" w:lineRule="auto"/>
        <w:ind w:right="51"/>
        <w:jc w:val="both"/>
        <w:rPr>
          <w:rFonts w:ascii="Palatino Linotype" w:eastAsia="Palatino Linotype" w:hAnsi="Palatino Linotype" w:cs="Palatino Linotype"/>
        </w:rPr>
      </w:pPr>
      <w:bookmarkStart w:id="8" w:name="_heading=h.lnxbz9" w:colFirst="0" w:colLast="0"/>
      <w:bookmarkEnd w:id="8"/>
      <w:r w:rsidRPr="00734317">
        <w:rPr>
          <w:rFonts w:ascii="Palatino Linotype" w:eastAsia="Palatino Linotype" w:hAnsi="Palatino Linotype" w:cs="Palatino Linotype"/>
          <w:b/>
          <w:bCs/>
        </w:rPr>
        <w:t xml:space="preserve">QUINTO. </w:t>
      </w:r>
      <w:r w:rsidRPr="00734317">
        <w:rPr>
          <w:rFonts w:ascii="Palatino Linotype" w:eastAsia="Palatino Linotype" w:hAnsi="Palatino Linotype" w:cs="Palatino Linotype"/>
        </w:rPr>
        <w:t xml:space="preserve">Notifíquese al </w:t>
      </w:r>
      <w:r w:rsidRPr="00734317">
        <w:rPr>
          <w:rFonts w:ascii="Palatino Linotype" w:eastAsia="Palatino Linotype" w:hAnsi="Palatino Linotype" w:cs="Palatino Linotype"/>
          <w:b/>
          <w:bCs/>
        </w:rPr>
        <w:t>RECURRENTE</w:t>
      </w:r>
      <w:r w:rsidRPr="00734317">
        <w:rPr>
          <w:rFonts w:ascii="Palatino Linotype" w:eastAsia="Palatino Linotype" w:hAnsi="Palatino Linotype" w:cs="Palatino Linotype"/>
        </w:rPr>
        <w:t xml:space="preserve"> la presente Resolución, vía </w:t>
      </w:r>
      <w:r w:rsidRPr="00734317">
        <w:rPr>
          <w:rFonts w:ascii="Palatino Linotype" w:eastAsia="Palatino Linotype" w:hAnsi="Palatino Linotype" w:cs="Palatino Linotype"/>
          <w:b/>
          <w:bCs/>
        </w:rPr>
        <w:t>SAIMEX</w:t>
      </w:r>
      <w:r w:rsidRPr="00734317">
        <w:rPr>
          <w:rFonts w:ascii="Palatino Linotype" w:eastAsia="Palatino Linotype" w:hAnsi="Palatino Linotype" w:cs="Palatino Linotype"/>
        </w:rPr>
        <w:t>.</w:t>
      </w:r>
    </w:p>
    <w:p w:rsidR="00D84A80" w:rsidRPr="00734317" w:rsidRDefault="00D84A80">
      <w:pPr>
        <w:tabs>
          <w:tab w:val="left" w:pos="8080"/>
        </w:tabs>
        <w:spacing w:line="360" w:lineRule="auto"/>
        <w:ind w:right="51"/>
        <w:jc w:val="both"/>
        <w:rPr>
          <w:rFonts w:ascii="Palatino Linotype" w:eastAsia="Palatino Linotype" w:hAnsi="Palatino Linotype" w:cs="Palatino Linotype"/>
        </w:rPr>
      </w:pPr>
      <w:bookmarkStart w:id="9" w:name="_heading=h.usp8x4layv8" w:colFirst="0" w:colLast="0"/>
      <w:bookmarkEnd w:id="9"/>
    </w:p>
    <w:p w:rsidR="00D84A80" w:rsidRPr="00734317" w:rsidRDefault="0016512A">
      <w:pPr>
        <w:shd w:val="clear" w:color="auto" w:fill="FFFFFF"/>
        <w:spacing w:line="360" w:lineRule="auto"/>
        <w:ind w:right="51"/>
        <w:jc w:val="both"/>
        <w:rPr>
          <w:rFonts w:ascii="Palatino Linotype" w:eastAsia="Palatino Linotype" w:hAnsi="Palatino Linotype" w:cs="Palatino Linotype"/>
        </w:rPr>
      </w:pPr>
      <w:r w:rsidRPr="00734317">
        <w:rPr>
          <w:rFonts w:ascii="Palatino Linotype" w:eastAsia="Palatino Linotype" w:hAnsi="Palatino Linotype" w:cs="Palatino Linotype"/>
          <w:b/>
          <w:bCs/>
        </w:rPr>
        <w:t xml:space="preserve">SEXTO. </w:t>
      </w:r>
      <w:r w:rsidRPr="00734317">
        <w:rPr>
          <w:rFonts w:ascii="Palatino Linotype" w:eastAsia="Palatino Linotype" w:hAnsi="Palatino Linotype" w:cs="Palatino Linotype"/>
        </w:rPr>
        <w:t>Se hace del conocimiento del</w:t>
      </w:r>
      <w:r w:rsidRPr="00734317">
        <w:rPr>
          <w:rFonts w:ascii="Palatino Linotype" w:eastAsia="Palatino Linotype" w:hAnsi="Palatino Linotype" w:cs="Palatino Linotype"/>
          <w:b/>
          <w:bCs/>
        </w:rPr>
        <w:t xml:space="preserve"> RECURRENTE </w:t>
      </w:r>
      <w:r w:rsidRPr="00734317">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D84A80" w:rsidRPr="00734317" w:rsidRDefault="00D84A80">
      <w:pPr>
        <w:spacing w:line="360" w:lineRule="auto"/>
        <w:jc w:val="both"/>
        <w:rPr>
          <w:rFonts w:ascii="Palatino Linotype" w:eastAsia="Palatino Linotype" w:hAnsi="Palatino Linotype" w:cs="Palatino Linotype"/>
          <w:color w:val="000000"/>
        </w:rPr>
      </w:pPr>
    </w:p>
    <w:p w:rsidR="000A083C" w:rsidRPr="00734317" w:rsidRDefault="000A083C" w:rsidP="000A083C">
      <w:pPr>
        <w:spacing w:before="240" w:after="240" w:line="360" w:lineRule="auto"/>
        <w:ind w:firstLine="1"/>
        <w:jc w:val="both"/>
        <w:rPr>
          <w:rFonts w:ascii="Palatino Linotype" w:hAnsi="Palatino Linotype"/>
        </w:rPr>
      </w:pPr>
      <w:bookmarkStart w:id="10" w:name="_Hlk99014733"/>
      <w:r w:rsidRPr="00734317">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734317">
        <w:rPr>
          <w:rFonts w:ascii="Palatino Linotype" w:hAnsi="Palatino Linotype" w:cs="Palatino Linotype"/>
          <w:color w:val="000000" w:themeColor="text1"/>
        </w:rPr>
        <w:t>ALEXIS TAPIA RAMÍREZ.</w:t>
      </w:r>
    </w:p>
    <w:bookmarkEnd w:id="10"/>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D84A80">
      <w:pPr>
        <w:spacing w:line="360" w:lineRule="auto"/>
        <w:jc w:val="both"/>
        <w:rPr>
          <w:rFonts w:ascii="Palatino Linotype" w:eastAsia="Palatino Linotype" w:hAnsi="Palatino Linotype" w:cs="Palatino Linotype"/>
        </w:rPr>
      </w:pPr>
    </w:p>
    <w:p w:rsidR="00D84A80" w:rsidRPr="00734317" w:rsidRDefault="00D84A80">
      <w:pPr>
        <w:spacing w:line="360" w:lineRule="auto"/>
        <w:rPr>
          <w:rFonts w:ascii="Palatino Linotype" w:eastAsia="Palatino Linotype" w:hAnsi="Palatino Linotype" w:cs="Palatino Linotype"/>
        </w:rPr>
      </w:pPr>
    </w:p>
    <w:p w:rsidR="00D84A80" w:rsidRPr="00734317" w:rsidRDefault="00D84A80">
      <w:pPr>
        <w:spacing w:line="360" w:lineRule="auto"/>
        <w:rPr>
          <w:rFonts w:ascii="Palatino Linotype" w:eastAsia="Palatino Linotype" w:hAnsi="Palatino Linotype" w:cs="Palatino Linotype"/>
        </w:rPr>
      </w:pPr>
    </w:p>
    <w:p w:rsidR="00D84A80" w:rsidRPr="00734317" w:rsidRDefault="00D84A80">
      <w:pPr>
        <w:spacing w:line="360" w:lineRule="auto"/>
        <w:rPr>
          <w:rFonts w:ascii="Palatino Linotype" w:eastAsia="Palatino Linotype" w:hAnsi="Palatino Linotype" w:cs="Palatino Linotype"/>
        </w:rPr>
      </w:pPr>
    </w:p>
    <w:p w:rsidR="00D84A80" w:rsidRPr="00734317" w:rsidRDefault="00D84A80">
      <w:pPr>
        <w:spacing w:line="360" w:lineRule="auto"/>
        <w:rPr>
          <w:rFonts w:ascii="Palatino Linotype" w:eastAsia="Palatino Linotype" w:hAnsi="Palatino Linotype" w:cs="Palatino Linotype"/>
        </w:rPr>
      </w:pPr>
    </w:p>
    <w:p w:rsidR="00D84A80" w:rsidRPr="00734317" w:rsidRDefault="00D84A80">
      <w:pPr>
        <w:spacing w:line="360" w:lineRule="auto"/>
        <w:rPr>
          <w:rFonts w:ascii="Palatino Linotype" w:eastAsia="Palatino Linotype" w:hAnsi="Palatino Linotype" w:cs="Palatino Linotype"/>
        </w:rPr>
      </w:pPr>
    </w:p>
    <w:p w:rsidR="00D84A80" w:rsidRPr="00734317" w:rsidRDefault="00D84A80">
      <w:pPr>
        <w:spacing w:line="360" w:lineRule="auto"/>
        <w:rPr>
          <w:rFonts w:ascii="Palatino Linotype" w:eastAsia="Palatino Linotype" w:hAnsi="Palatino Linotype" w:cs="Palatino Linotype"/>
        </w:rPr>
      </w:pPr>
    </w:p>
    <w:p w:rsidR="00D84A80" w:rsidRPr="00734317" w:rsidRDefault="00D84A80">
      <w:pPr>
        <w:spacing w:line="360" w:lineRule="auto"/>
        <w:rPr>
          <w:rFonts w:ascii="Palatino Linotype" w:eastAsia="Palatino Linotype" w:hAnsi="Palatino Linotype" w:cs="Palatino Linotype"/>
        </w:rPr>
      </w:pPr>
    </w:p>
    <w:p w:rsidR="00D84A80" w:rsidRPr="00734317" w:rsidRDefault="0016512A">
      <w:pPr>
        <w:tabs>
          <w:tab w:val="left" w:pos="3374"/>
        </w:tabs>
        <w:spacing w:line="360" w:lineRule="auto"/>
        <w:rPr>
          <w:rFonts w:ascii="Palatino Linotype" w:eastAsia="Palatino Linotype" w:hAnsi="Palatino Linotype" w:cs="Palatino Linotype"/>
        </w:rPr>
      </w:pPr>
      <w:r w:rsidRPr="00734317">
        <w:rPr>
          <w:rFonts w:ascii="Palatino Linotype" w:eastAsia="Palatino Linotype" w:hAnsi="Palatino Linotype" w:cs="Palatino Linotype"/>
        </w:rPr>
        <w:tab/>
      </w: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p w:rsidR="00D84A80" w:rsidRPr="00734317" w:rsidRDefault="00D84A80">
      <w:pPr>
        <w:tabs>
          <w:tab w:val="left" w:pos="3374"/>
        </w:tabs>
        <w:spacing w:line="360" w:lineRule="auto"/>
        <w:rPr>
          <w:rFonts w:ascii="Palatino Linotype" w:eastAsia="Palatino Linotype" w:hAnsi="Palatino Linotype" w:cs="Palatino Linotype"/>
        </w:rPr>
      </w:pPr>
    </w:p>
    <w:sectPr w:rsidR="00D84A80" w:rsidRPr="00734317" w:rsidSect="00734317">
      <w:headerReference w:type="even" r:id="rId15"/>
      <w:headerReference w:type="default" r:id="rId16"/>
      <w:footerReference w:type="default" r:id="rId17"/>
      <w:headerReference w:type="first" r:id="rId18"/>
      <w:footerReference w:type="first" r:id="rId19"/>
      <w:pgSz w:w="12240" w:h="15840"/>
      <w:pgMar w:top="1985"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7B0" w:rsidRDefault="00F957B0">
      <w:r>
        <w:separator/>
      </w:r>
    </w:p>
  </w:endnote>
  <w:endnote w:type="continuationSeparator" w:id="0">
    <w:p w:rsidR="00F957B0" w:rsidRDefault="00F95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AD2057D-5580-4D95-8135-21EACA1ACAB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152172C-363D-45AB-88C2-72EE70B59B1C}"/>
    <w:embedBold r:id="rId3" w:fontKey="{5524ECF8-B13B-4380-B577-9A067FA75709}"/>
    <w:embedItalic r:id="rId4" w:fontKey="{F5946690-0B23-4C16-A02E-C62CBE0BFCB5}"/>
    <w:embedBoldItalic r:id="rId5" w:fontKey="{5A6A733E-B32C-48CE-B8F9-9718575F22E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98C6D4D-C9A5-4165-B07A-D9575310056C}"/>
    <w:embedBold r:id="rId7" w:fontKey="{2AA60C1C-40F5-4AA5-814C-357350E32B0B}"/>
  </w:font>
  <w:font w:name="Calibri Light">
    <w:panose1 w:val="020F0302020204030204"/>
    <w:charset w:val="00"/>
    <w:family w:val="swiss"/>
    <w:pitch w:val="variable"/>
    <w:sig w:usb0="E4002EFF" w:usb1="C200247B" w:usb2="00000009" w:usb3="00000000" w:csb0="000001FF" w:csb1="00000000"/>
    <w:embedRegular r:id="rId8" w:fontKey="{1EA32137-C923-4AD4-BE73-4234B60A05F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DE375975-E453-4772-B8B3-3887D5BA59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80" w:rsidRPr="00734317" w:rsidRDefault="0016512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734317">
      <w:rPr>
        <w:rFonts w:ascii="Palatino Linotype" w:eastAsia="Palatino Linotype" w:hAnsi="Palatino Linotype" w:cs="Palatino Linotype"/>
        <w:color w:val="000000"/>
        <w:sz w:val="22"/>
        <w:szCs w:val="20"/>
      </w:rPr>
      <w:t xml:space="preserve">Página </w:t>
    </w:r>
    <w:r w:rsidRPr="00734317">
      <w:rPr>
        <w:rFonts w:ascii="Palatino Linotype" w:eastAsia="Palatino Linotype" w:hAnsi="Palatino Linotype" w:cs="Palatino Linotype"/>
        <w:color w:val="000000"/>
        <w:sz w:val="22"/>
        <w:szCs w:val="20"/>
      </w:rPr>
      <w:fldChar w:fldCharType="begin"/>
    </w:r>
    <w:r w:rsidRPr="00734317">
      <w:rPr>
        <w:rFonts w:ascii="Palatino Linotype" w:eastAsia="Palatino Linotype" w:hAnsi="Palatino Linotype" w:cs="Palatino Linotype"/>
        <w:color w:val="000000"/>
        <w:sz w:val="22"/>
        <w:szCs w:val="20"/>
      </w:rPr>
      <w:instrText>PAGE</w:instrText>
    </w:r>
    <w:r w:rsidRPr="00734317">
      <w:rPr>
        <w:rFonts w:ascii="Palatino Linotype" w:eastAsia="Palatino Linotype" w:hAnsi="Palatino Linotype" w:cs="Palatino Linotype"/>
        <w:color w:val="000000"/>
        <w:sz w:val="22"/>
        <w:szCs w:val="20"/>
      </w:rPr>
      <w:fldChar w:fldCharType="separate"/>
    </w:r>
    <w:r w:rsidR="00620AA7">
      <w:rPr>
        <w:rFonts w:ascii="Palatino Linotype" w:eastAsia="Palatino Linotype" w:hAnsi="Palatino Linotype" w:cs="Palatino Linotype"/>
        <w:noProof/>
        <w:color w:val="000000"/>
        <w:sz w:val="22"/>
        <w:szCs w:val="20"/>
      </w:rPr>
      <w:t>21</w:t>
    </w:r>
    <w:r w:rsidRPr="00734317">
      <w:rPr>
        <w:rFonts w:ascii="Palatino Linotype" w:eastAsia="Palatino Linotype" w:hAnsi="Palatino Linotype" w:cs="Palatino Linotype"/>
        <w:color w:val="000000"/>
        <w:sz w:val="22"/>
        <w:szCs w:val="20"/>
      </w:rPr>
      <w:fldChar w:fldCharType="end"/>
    </w:r>
    <w:r w:rsidRPr="00734317">
      <w:rPr>
        <w:rFonts w:ascii="Palatino Linotype" w:eastAsia="Palatino Linotype" w:hAnsi="Palatino Linotype" w:cs="Palatino Linotype"/>
        <w:color w:val="000000"/>
        <w:sz w:val="22"/>
        <w:szCs w:val="20"/>
      </w:rPr>
      <w:t xml:space="preserve"> de </w:t>
    </w:r>
    <w:r w:rsidRPr="00734317">
      <w:rPr>
        <w:rFonts w:ascii="Palatino Linotype" w:eastAsia="Palatino Linotype" w:hAnsi="Palatino Linotype" w:cs="Palatino Linotype"/>
        <w:color w:val="000000"/>
        <w:sz w:val="22"/>
        <w:szCs w:val="20"/>
      </w:rPr>
      <w:fldChar w:fldCharType="begin"/>
    </w:r>
    <w:r w:rsidRPr="00734317">
      <w:rPr>
        <w:rFonts w:ascii="Palatino Linotype" w:eastAsia="Palatino Linotype" w:hAnsi="Palatino Linotype" w:cs="Palatino Linotype"/>
        <w:color w:val="000000"/>
        <w:sz w:val="22"/>
        <w:szCs w:val="20"/>
      </w:rPr>
      <w:instrText>NUMPAGES</w:instrText>
    </w:r>
    <w:r w:rsidRPr="00734317">
      <w:rPr>
        <w:rFonts w:ascii="Palatino Linotype" w:eastAsia="Palatino Linotype" w:hAnsi="Palatino Linotype" w:cs="Palatino Linotype"/>
        <w:color w:val="000000"/>
        <w:sz w:val="22"/>
        <w:szCs w:val="20"/>
      </w:rPr>
      <w:fldChar w:fldCharType="separate"/>
    </w:r>
    <w:r w:rsidR="00620AA7">
      <w:rPr>
        <w:rFonts w:ascii="Palatino Linotype" w:eastAsia="Palatino Linotype" w:hAnsi="Palatino Linotype" w:cs="Palatino Linotype"/>
        <w:noProof/>
        <w:color w:val="000000"/>
        <w:sz w:val="22"/>
        <w:szCs w:val="20"/>
      </w:rPr>
      <w:t>62</w:t>
    </w:r>
    <w:r w:rsidRPr="00734317">
      <w:rPr>
        <w:rFonts w:ascii="Palatino Linotype" w:eastAsia="Palatino Linotype" w:hAnsi="Palatino Linotype" w:cs="Palatino Linotype"/>
        <w:color w:val="000000"/>
        <w:sz w:val="22"/>
        <w:szCs w:val="20"/>
      </w:rPr>
      <w:fldChar w:fldCharType="end"/>
    </w:r>
  </w:p>
  <w:p w:rsidR="00D84A80" w:rsidRDefault="00D84A8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80" w:rsidRPr="00734317" w:rsidRDefault="0016512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734317">
      <w:rPr>
        <w:rFonts w:ascii="Palatino Linotype" w:eastAsia="Palatino Linotype" w:hAnsi="Palatino Linotype" w:cs="Palatino Linotype"/>
        <w:color w:val="000000"/>
        <w:sz w:val="22"/>
        <w:szCs w:val="20"/>
      </w:rPr>
      <w:t xml:space="preserve">Página </w:t>
    </w:r>
    <w:r w:rsidRPr="00734317">
      <w:rPr>
        <w:rFonts w:ascii="Palatino Linotype" w:eastAsia="Palatino Linotype" w:hAnsi="Palatino Linotype" w:cs="Palatino Linotype"/>
        <w:color w:val="000000"/>
        <w:sz w:val="22"/>
        <w:szCs w:val="20"/>
      </w:rPr>
      <w:fldChar w:fldCharType="begin"/>
    </w:r>
    <w:r w:rsidRPr="00734317">
      <w:rPr>
        <w:rFonts w:ascii="Palatino Linotype" w:eastAsia="Palatino Linotype" w:hAnsi="Palatino Linotype" w:cs="Palatino Linotype"/>
        <w:color w:val="000000"/>
        <w:sz w:val="22"/>
        <w:szCs w:val="20"/>
      </w:rPr>
      <w:instrText>PAGE</w:instrText>
    </w:r>
    <w:r w:rsidRPr="00734317">
      <w:rPr>
        <w:rFonts w:ascii="Palatino Linotype" w:eastAsia="Palatino Linotype" w:hAnsi="Palatino Linotype" w:cs="Palatino Linotype"/>
        <w:color w:val="000000"/>
        <w:sz w:val="22"/>
        <w:szCs w:val="20"/>
      </w:rPr>
      <w:fldChar w:fldCharType="separate"/>
    </w:r>
    <w:r w:rsidR="00620AA7">
      <w:rPr>
        <w:rFonts w:ascii="Palatino Linotype" w:eastAsia="Palatino Linotype" w:hAnsi="Palatino Linotype" w:cs="Palatino Linotype"/>
        <w:noProof/>
        <w:color w:val="000000"/>
        <w:sz w:val="22"/>
        <w:szCs w:val="20"/>
      </w:rPr>
      <w:t>1</w:t>
    </w:r>
    <w:r w:rsidRPr="00734317">
      <w:rPr>
        <w:rFonts w:ascii="Palatino Linotype" w:eastAsia="Palatino Linotype" w:hAnsi="Palatino Linotype" w:cs="Palatino Linotype"/>
        <w:color w:val="000000"/>
        <w:sz w:val="22"/>
        <w:szCs w:val="20"/>
      </w:rPr>
      <w:fldChar w:fldCharType="end"/>
    </w:r>
    <w:r w:rsidRPr="00734317">
      <w:rPr>
        <w:rFonts w:ascii="Palatino Linotype" w:eastAsia="Palatino Linotype" w:hAnsi="Palatino Linotype" w:cs="Palatino Linotype"/>
        <w:color w:val="000000"/>
        <w:sz w:val="22"/>
        <w:szCs w:val="20"/>
      </w:rPr>
      <w:t xml:space="preserve"> de </w:t>
    </w:r>
    <w:r w:rsidRPr="00734317">
      <w:rPr>
        <w:rFonts w:ascii="Palatino Linotype" w:eastAsia="Palatino Linotype" w:hAnsi="Palatino Linotype" w:cs="Palatino Linotype"/>
        <w:color w:val="000000"/>
        <w:sz w:val="22"/>
        <w:szCs w:val="20"/>
      </w:rPr>
      <w:fldChar w:fldCharType="begin"/>
    </w:r>
    <w:r w:rsidRPr="00734317">
      <w:rPr>
        <w:rFonts w:ascii="Palatino Linotype" w:eastAsia="Palatino Linotype" w:hAnsi="Palatino Linotype" w:cs="Palatino Linotype"/>
        <w:color w:val="000000"/>
        <w:sz w:val="22"/>
        <w:szCs w:val="20"/>
      </w:rPr>
      <w:instrText>NUMPAGES</w:instrText>
    </w:r>
    <w:r w:rsidRPr="00734317">
      <w:rPr>
        <w:rFonts w:ascii="Palatino Linotype" w:eastAsia="Palatino Linotype" w:hAnsi="Palatino Linotype" w:cs="Palatino Linotype"/>
        <w:color w:val="000000"/>
        <w:sz w:val="22"/>
        <w:szCs w:val="20"/>
      </w:rPr>
      <w:fldChar w:fldCharType="separate"/>
    </w:r>
    <w:r w:rsidR="00620AA7">
      <w:rPr>
        <w:rFonts w:ascii="Palatino Linotype" w:eastAsia="Palatino Linotype" w:hAnsi="Palatino Linotype" w:cs="Palatino Linotype"/>
        <w:noProof/>
        <w:color w:val="000000"/>
        <w:sz w:val="22"/>
        <w:szCs w:val="20"/>
      </w:rPr>
      <w:t>62</w:t>
    </w:r>
    <w:r w:rsidRPr="00734317">
      <w:rPr>
        <w:rFonts w:ascii="Palatino Linotype" w:eastAsia="Palatino Linotype" w:hAnsi="Palatino Linotype" w:cs="Palatino Linotype"/>
        <w:color w:val="000000"/>
        <w:sz w:val="22"/>
        <w:szCs w:val="20"/>
      </w:rPr>
      <w:fldChar w:fldCharType="end"/>
    </w:r>
  </w:p>
  <w:p w:rsidR="00D84A80" w:rsidRDefault="00D84A8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7B0" w:rsidRDefault="00F957B0">
      <w:r>
        <w:separator/>
      </w:r>
    </w:p>
  </w:footnote>
  <w:footnote w:type="continuationSeparator" w:id="0">
    <w:p w:rsidR="00F957B0" w:rsidRDefault="00F957B0">
      <w:r>
        <w:continuationSeparator/>
      </w:r>
    </w:p>
  </w:footnote>
  <w:footnote w:id="1">
    <w:p w:rsidR="00D84A80" w:rsidRDefault="0016512A">
      <w:pPr>
        <w:jc w:val="both"/>
        <w:rPr>
          <w:rFonts w:ascii="Palatino Linotype" w:eastAsia="Palatino Linotype" w:hAnsi="Palatino Linotype" w:cs="Palatino Linotype"/>
          <w:i/>
          <w:iCs/>
          <w:sz w:val="16"/>
          <w:szCs w:val="16"/>
        </w:rPr>
      </w:pPr>
      <w:r>
        <w:rPr>
          <w:vertAlign w:val="superscript"/>
        </w:rPr>
        <w:footnoteRef/>
      </w:r>
      <w:r>
        <w:t xml:space="preserve"> “</w:t>
      </w:r>
      <w:r>
        <w:rPr>
          <w:rFonts w:ascii="Palatino Linotype" w:eastAsia="Palatino Linotype" w:hAnsi="Palatino Linotype" w:cs="Palatino Linotype"/>
          <w:b/>
          <w:bCs/>
          <w:i/>
          <w:iCs/>
          <w:sz w:val="16"/>
          <w:szCs w:val="16"/>
        </w:rPr>
        <w:t>PRINCIPIO DE INTERPRETACIÓN MÁS FAVORABLE A LA PERSONA. ES APLICABLE RESPECTO DE LAS NORMAS RELATIVAS A LOS DERECHOS HUMANOS DE LOS QUE SEAN TITULARES LAS PERSONAS MORALES.</w:t>
      </w:r>
      <w:r>
        <w:rPr>
          <w:rFonts w:ascii="Palatino Linotype" w:eastAsia="Palatino Linotype" w:hAnsi="Palatino Linotype" w:cs="Palatino Linotype"/>
          <w:i/>
          <w:iCs/>
          <w:sz w:val="16"/>
          <w:szCs w:val="16"/>
        </w:rPr>
        <w:t xml:space="preserve"> El artículo 1o. de la Constitución Política de los Estados Unidos Mexicanos, al disponer que en los Estados Unidos Mexicanos todas las personas gozarán de los derechos humanos reconocidos en dicha Constitución y en los tratados internacionales de los que el Estado Mexicano sea parte, así como de las garantías para su protección, no prevé distinción alguna, por lo que debe interpretarse en el sentido de que comprende tanto a las personas físicas, como a las morales, las que gozarán de aquellos derechos en la medida en que resulten conformes con su naturaleza y fines. En consecuencia, el principio de interpretación más favorable a la persona, que como imperativo establece el párrafo segundo del citado precepto, es aplicable respecto de las normas relativas a los derechos humanos de los que gocen las personas morales, por lo que deberán interpretarse favoreciendo en todo tiempo la protección más amplia, a condición de que no se trate de aquellos derechos cuyo contenido material sólo pueda ser disfrutado por las personas físicas, lo que habrá de determinarse en cada caso concreto.”</w:t>
      </w:r>
    </w:p>
    <w:p w:rsidR="00D84A80" w:rsidRDefault="00D84A80"/>
    <w:p w:rsidR="00D84A80" w:rsidRDefault="00D84A80">
      <w:pPr>
        <w:pBdr>
          <w:top w:val="nil"/>
          <w:left w:val="nil"/>
          <w:bottom w:val="nil"/>
          <w:right w:val="nil"/>
          <w:between w:val="nil"/>
        </w:pBdr>
        <w:rPr>
          <w:color w:val="000000"/>
          <w:sz w:val="20"/>
          <w:szCs w:val="20"/>
        </w:rPr>
      </w:pPr>
    </w:p>
  </w:footnote>
  <w:footnote w:id="2">
    <w:p w:rsidR="00D84A80" w:rsidRDefault="0016512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rsidR="00D84A80" w:rsidRDefault="0016512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rsidR="00D84A80" w:rsidRDefault="0016512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rsidR="00D84A80" w:rsidRDefault="0016512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6">
    <w:p w:rsidR="00D84A80" w:rsidRDefault="0016512A">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7">
    <w:p w:rsidR="00D84A80" w:rsidRDefault="0016512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D84A80" w:rsidRDefault="0016512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D84A80" w:rsidRDefault="0016512A">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80" w:rsidRDefault="00F957B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519" w:type="dxa"/>
      <w:tblInd w:w="3544" w:type="dxa"/>
      <w:tblLayout w:type="fixed"/>
      <w:tblLook w:val="0400" w:firstRow="0" w:lastRow="0" w:firstColumn="0" w:lastColumn="0" w:noHBand="0" w:noVBand="1"/>
    </w:tblPr>
    <w:tblGrid>
      <w:gridCol w:w="2976"/>
      <w:gridCol w:w="3543"/>
    </w:tblGrid>
    <w:tr w:rsidR="00D84A80" w:rsidTr="00734317">
      <w:trPr>
        <w:trHeight w:val="227"/>
      </w:trPr>
      <w:tc>
        <w:tcPr>
          <w:tcW w:w="2976" w:type="dxa"/>
          <w:vAlign w:val="center"/>
        </w:tcPr>
        <w:p w:rsidR="00D84A80" w:rsidRPr="00734317" w:rsidRDefault="0016512A">
          <w:pPr>
            <w:ind w:right="34"/>
            <w:jc w:val="right"/>
            <w:rPr>
              <w:rFonts w:ascii="Palatino Linotype" w:eastAsia="Palatino Linotype" w:hAnsi="Palatino Linotype" w:cs="Palatino Linotype"/>
              <w:b/>
              <w:bCs/>
              <w:szCs w:val="22"/>
            </w:rPr>
          </w:pPr>
          <w:r w:rsidRPr="00734317">
            <w:rPr>
              <w:rFonts w:ascii="Palatino Linotype" w:eastAsia="Palatino Linotype" w:hAnsi="Palatino Linotype" w:cs="Palatino Linotype"/>
              <w:b/>
              <w:bCs/>
              <w:szCs w:val="22"/>
            </w:rPr>
            <w:t>Recurso de Revisión:</w:t>
          </w:r>
        </w:p>
      </w:tc>
      <w:tc>
        <w:tcPr>
          <w:tcW w:w="3543" w:type="dxa"/>
          <w:vAlign w:val="center"/>
        </w:tcPr>
        <w:p w:rsidR="00D84A80" w:rsidRPr="00734317" w:rsidRDefault="0016512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734317">
            <w:rPr>
              <w:rFonts w:ascii="Palatino Linotype" w:eastAsia="Palatino Linotype" w:hAnsi="Palatino Linotype" w:cs="Palatino Linotype"/>
              <w:color w:val="000000"/>
              <w:szCs w:val="22"/>
            </w:rPr>
            <w:t>05563/INFOEM/IP/RR/2025</w:t>
          </w:r>
        </w:p>
      </w:tc>
    </w:tr>
    <w:tr w:rsidR="00D84A80" w:rsidTr="00734317">
      <w:trPr>
        <w:trHeight w:val="242"/>
      </w:trPr>
      <w:tc>
        <w:tcPr>
          <w:tcW w:w="2976" w:type="dxa"/>
          <w:vAlign w:val="center"/>
        </w:tcPr>
        <w:p w:rsidR="00D84A80" w:rsidRPr="00734317" w:rsidRDefault="0016512A">
          <w:pPr>
            <w:ind w:right="34"/>
            <w:jc w:val="right"/>
            <w:rPr>
              <w:rFonts w:ascii="Palatino Linotype" w:eastAsia="Palatino Linotype" w:hAnsi="Palatino Linotype" w:cs="Palatino Linotype"/>
              <w:b/>
              <w:bCs/>
              <w:szCs w:val="22"/>
            </w:rPr>
          </w:pPr>
          <w:r w:rsidRPr="00734317">
            <w:rPr>
              <w:rFonts w:ascii="Palatino Linotype" w:eastAsia="Palatino Linotype" w:hAnsi="Palatino Linotype" w:cs="Palatino Linotype"/>
              <w:b/>
              <w:bCs/>
              <w:szCs w:val="22"/>
            </w:rPr>
            <w:t>Sujeto Obligado:</w:t>
          </w:r>
        </w:p>
      </w:tc>
      <w:tc>
        <w:tcPr>
          <w:tcW w:w="3543" w:type="dxa"/>
          <w:vAlign w:val="center"/>
        </w:tcPr>
        <w:p w:rsidR="00D84A80" w:rsidRPr="00734317" w:rsidRDefault="0016512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734317">
            <w:rPr>
              <w:rFonts w:ascii="Palatino Linotype" w:eastAsia="Palatino Linotype" w:hAnsi="Palatino Linotype" w:cs="Palatino Linotype"/>
              <w:color w:val="000000"/>
              <w:szCs w:val="22"/>
            </w:rPr>
            <w:t>Ayuntamiento de Toluca</w:t>
          </w:r>
        </w:p>
      </w:tc>
    </w:tr>
    <w:tr w:rsidR="00D84A80" w:rsidTr="00734317">
      <w:trPr>
        <w:trHeight w:val="342"/>
      </w:trPr>
      <w:tc>
        <w:tcPr>
          <w:tcW w:w="2976" w:type="dxa"/>
          <w:vAlign w:val="center"/>
        </w:tcPr>
        <w:p w:rsidR="00D84A80" w:rsidRPr="00734317" w:rsidRDefault="0016512A">
          <w:pPr>
            <w:ind w:right="34"/>
            <w:jc w:val="right"/>
            <w:rPr>
              <w:rFonts w:ascii="Palatino Linotype" w:eastAsia="Palatino Linotype" w:hAnsi="Palatino Linotype" w:cs="Palatino Linotype"/>
              <w:b/>
              <w:bCs/>
              <w:szCs w:val="22"/>
            </w:rPr>
          </w:pPr>
          <w:r w:rsidRPr="00734317">
            <w:rPr>
              <w:rFonts w:ascii="Palatino Linotype" w:eastAsia="Palatino Linotype" w:hAnsi="Palatino Linotype" w:cs="Palatino Linotype"/>
              <w:b/>
              <w:bCs/>
              <w:szCs w:val="22"/>
            </w:rPr>
            <w:t>Comisionada Ponente:</w:t>
          </w:r>
        </w:p>
      </w:tc>
      <w:tc>
        <w:tcPr>
          <w:tcW w:w="3543" w:type="dxa"/>
          <w:vAlign w:val="center"/>
        </w:tcPr>
        <w:p w:rsidR="00D84A80" w:rsidRPr="00734317" w:rsidRDefault="0016512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734317">
            <w:rPr>
              <w:rFonts w:ascii="Palatino Linotype" w:eastAsia="Palatino Linotype" w:hAnsi="Palatino Linotype" w:cs="Palatino Linotype"/>
              <w:color w:val="000000"/>
              <w:szCs w:val="22"/>
            </w:rPr>
            <w:t>María del Rosario Mejía Ayala</w:t>
          </w:r>
        </w:p>
      </w:tc>
    </w:tr>
  </w:tbl>
  <w:p w:rsidR="00D84A80" w:rsidRDefault="00734317">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4.6pt;margin-top:-116.75pt;width:609.4pt;height:793.75pt;z-index:-251659776;mso-position-horizontal-relative:margin;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6660" w:type="dxa"/>
      <w:tblInd w:w="3544" w:type="dxa"/>
      <w:tblLayout w:type="fixed"/>
      <w:tblLook w:val="0400" w:firstRow="0" w:lastRow="0" w:firstColumn="0" w:lastColumn="0" w:noHBand="0" w:noVBand="1"/>
    </w:tblPr>
    <w:tblGrid>
      <w:gridCol w:w="2977"/>
      <w:gridCol w:w="3683"/>
    </w:tblGrid>
    <w:tr w:rsidR="00D84A80" w:rsidTr="00734317">
      <w:trPr>
        <w:trHeight w:val="227"/>
      </w:trPr>
      <w:tc>
        <w:tcPr>
          <w:tcW w:w="2977" w:type="dxa"/>
          <w:vAlign w:val="center"/>
        </w:tcPr>
        <w:p w:rsidR="00D84A80" w:rsidRPr="00734317" w:rsidRDefault="0016512A">
          <w:pPr>
            <w:jc w:val="right"/>
            <w:rPr>
              <w:rFonts w:ascii="Palatino Linotype" w:eastAsia="Palatino Linotype" w:hAnsi="Palatino Linotype" w:cs="Palatino Linotype"/>
              <w:b/>
              <w:bCs/>
              <w:szCs w:val="22"/>
            </w:rPr>
          </w:pPr>
          <w:r w:rsidRPr="00734317">
            <w:rPr>
              <w:rFonts w:ascii="Palatino Linotype" w:eastAsia="Palatino Linotype" w:hAnsi="Palatino Linotype" w:cs="Palatino Linotype"/>
              <w:b/>
              <w:bCs/>
              <w:szCs w:val="22"/>
            </w:rPr>
            <w:t>Recurso de Revisión:</w:t>
          </w:r>
        </w:p>
      </w:tc>
      <w:tc>
        <w:tcPr>
          <w:tcW w:w="3683" w:type="dxa"/>
          <w:vAlign w:val="center"/>
        </w:tcPr>
        <w:p w:rsidR="00D84A80" w:rsidRPr="00734317" w:rsidRDefault="0016512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734317">
            <w:rPr>
              <w:rFonts w:ascii="Palatino Linotype" w:eastAsia="Palatino Linotype" w:hAnsi="Palatino Linotype" w:cs="Palatino Linotype"/>
              <w:color w:val="000000"/>
              <w:szCs w:val="22"/>
            </w:rPr>
            <w:t>05563/INFOEM/IP/RR/2025</w:t>
          </w:r>
        </w:p>
      </w:tc>
    </w:tr>
    <w:tr w:rsidR="00D84A80" w:rsidTr="00734317">
      <w:trPr>
        <w:trHeight w:val="242"/>
      </w:trPr>
      <w:tc>
        <w:tcPr>
          <w:tcW w:w="2977" w:type="dxa"/>
          <w:vAlign w:val="center"/>
        </w:tcPr>
        <w:p w:rsidR="00D84A80" w:rsidRPr="00734317" w:rsidRDefault="0016512A">
          <w:pPr>
            <w:jc w:val="right"/>
            <w:rPr>
              <w:rFonts w:ascii="Palatino Linotype" w:eastAsia="Palatino Linotype" w:hAnsi="Palatino Linotype" w:cs="Palatino Linotype"/>
              <w:b/>
              <w:bCs/>
              <w:szCs w:val="22"/>
            </w:rPr>
          </w:pPr>
          <w:r w:rsidRPr="00734317">
            <w:rPr>
              <w:rFonts w:ascii="Palatino Linotype" w:eastAsia="Palatino Linotype" w:hAnsi="Palatino Linotype" w:cs="Palatino Linotype"/>
              <w:b/>
              <w:bCs/>
              <w:szCs w:val="22"/>
            </w:rPr>
            <w:t>Recurrente:</w:t>
          </w:r>
        </w:p>
      </w:tc>
      <w:tc>
        <w:tcPr>
          <w:tcW w:w="3683" w:type="dxa"/>
        </w:tcPr>
        <w:p w:rsidR="00D84A80" w:rsidRPr="00734317" w:rsidRDefault="00D84A80">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p>
      </w:tc>
    </w:tr>
    <w:tr w:rsidR="00D84A80" w:rsidTr="00734317">
      <w:trPr>
        <w:trHeight w:val="342"/>
      </w:trPr>
      <w:tc>
        <w:tcPr>
          <w:tcW w:w="2977" w:type="dxa"/>
          <w:vAlign w:val="center"/>
        </w:tcPr>
        <w:p w:rsidR="00D84A80" w:rsidRPr="00734317" w:rsidRDefault="0016512A">
          <w:pPr>
            <w:jc w:val="right"/>
            <w:rPr>
              <w:rFonts w:ascii="Palatino Linotype" w:eastAsia="Palatino Linotype" w:hAnsi="Palatino Linotype" w:cs="Palatino Linotype"/>
              <w:b/>
              <w:bCs/>
              <w:szCs w:val="22"/>
            </w:rPr>
          </w:pPr>
          <w:r w:rsidRPr="00734317">
            <w:rPr>
              <w:rFonts w:ascii="Palatino Linotype" w:eastAsia="Palatino Linotype" w:hAnsi="Palatino Linotype" w:cs="Palatino Linotype"/>
              <w:b/>
              <w:bCs/>
              <w:szCs w:val="22"/>
            </w:rPr>
            <w:t>Sujeto Obligado:</w:t>
          </w:r>
        </w:p>
      </w:tc>
      <w:tc>
        <w:tcPr>
          <w:tcW w:w="3683" w:type="dxa"/>
          <w:vAlign w:val="center"/>
        </w:tcPr>
        <w:p w:rsidR="00D84A80" w:rsidRPr="00734317" w:rsidRDefault="0016512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734317">
            <w:rPr>
              <w:rFonts w:ascii="Palatino Linotype" w:eastAsia="Palatino Linotype" w:hAnsi="Palatino Linotype" w:cs="Palatino Linotype"/>
              <w:color w:val="000000"/>
              <w:szCs w:val="22"/>
            </w:rPr>
            <w:t>Ayuntamiento de Toluca</w:t>
          </w:r>
        </w:p>
      </w:tc>
    </w:tr>
    <w:tr w:rsidR="00D84A80" w:rsidTr="00734317">
      <w:trPr>
        <w:trHeight w:val="342"/>
      </w:trPr>
      <w:tc>
        <w:tcPr>
          <w:tcW w:w="2977" w:type="dxa"/>
          <w:vAlign w:val="center"/>
        </w:tcPr>
        <w:p w:rsidR="00D84A80" w:rsidRPr="00734317" w:rsidRDefault="0016512A">
          <w:pPr>
            <w:jc w:val="right"/>
            <w:rPr>
              <w:rFonts w:ascii="Palatino Linotype" w:eastAsia="Palatino Linotype" w:hAnsi="Palatino Linotype" w:cs="Palatino Linotype"/>
              <w:b/>
              <w:bCs/>
              <w:szCs w:val="22"/>
            </w:rPr>
          </w:pPr>
          <w:r w:rsidRPr="00734317">
            <w:rPr>
              <w:rFonts w:ascii="Palatino Linotype" w:eastAsia="Palatino Linotype" w:hAnsi="Palatino Linotype" w:cs="Palatino Linotype"/>
              <w:b/>
              <w:bCs/>
              <w:szCs w:val="22"/>
            </w:rPr>
            <w:t>Comisionada Ponente:</w:t>
          </w:r>
        </w:p>
      </w:tc>
      <w:tc>
        <w:tcPr>
          <w:tcW w:w="3683" w:type="dxa"/>
          <w:vAlign w:val="center"/>
        </w:tcPr>
        <w:p w:rsidR="00D84A80" w:rsidRPr="00734317" w:rsidRDefault="0016512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734317">
            <w:rPr>
              <w:rFonts w:ascii="Palatino Linotype" w:eastAsia="Palatino Linotype" w:hAnsi="Palatino Linotype" w:cs="Palatino Linotype"/>
              <w:color w:val="000000"/>
              <w:szCs w:val="22"/>
            </w:rPr>
            <w:t>María del Rosario Mejía Ayala</w:t>
          </w:r>
        </w:p>
      </w:tc>
    </w:tr>
  </w:tbl>
  <w:p w:rsidR="00D84A80" w:rsidRDefault="00734317">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2.95pt;margin-top:-123.7pt;width:609.4pt;height:793.75pt;z-index:-251658752;mso-position-horizontal-relative:margin;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212D5"/>
    <w:multiLevelType w:val="multilevel"/>
    <w:tmpl w:val="4E9E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A95EF6"/>
    <w:multiLevelType w:val="multilevel"/>
    <w:tmpl w:val="A5F0742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25F554A2"/>
    <w:multiLevelType w:val="multilevel"/>
    <w:tmpl w:val="090A4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D7291F"/>
    <w:multiLevelType w:val="multilevel"/>
    <w:tmpl w:val="63981942"/>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1D0F27"/>
    <w:multiLevelType w:val="multilevel"/>
    <w:tmpl w:val="16AAF358"/>
    <w:lvl w:ilvl="0">
      <w:start w:val="1"/>
      <w:numFmt w:val="lowerLetter"/>
      <w:lvlText w:val="%1)"/>
      <w:lvlJc w:val="left"/>
      <w:pPr>
        <w:ind w:left="778"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C080E88"/>
    <w:multiLevelType w:val="multilevel"/>
    <w:tmpl w:val="6A00E9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A80"/>
    <w:rsid w:val="000A083C"/>
    <w:rsid w:val="0016512A"/>
    <w:rsid w:val="001C6546"/>
    <w:rsid w:val="00620AA7"/>
    <w:rsid w:val="00734317"/>
    <w:rsid w:val="00D84A80"/>
    <w:rsid w:val="00F864FD"/>
    <w:rsid w:val="00F957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2F82732-EB40-4E41-8B59-0B12EBED2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rPr>
  </w:style>
  <w:style w:type="paragraph" w:customStyle="1" w:styleId="m5907675151158779931gmail-msolistparagraph">
    <w:name w:val="m_5907675151158779931gmail-msolistparagraph"/>
    <w:basedOn w:val="Normal"/>
    <w:rsid w:val="00BF46D9"/>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anterior.ine.mx/archivos2/tutoriales/sistemas/ApoyoInstitucional/SIF/docs/candidatos/folioFiscalFactura.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SWx0KdBEEIw+3gvxKWnoNKfsrA==">CgMxLjAyCGguZ2pkZ3hzMgloLjMwajB6bGwyCWguMWZvYjl0ZTIJaC4zem55c2g3MgloLjJldDkycDAyCGgudHlqY3d0MgloLjNkeTZ2a20yCGgubG54Yno5Mg1oLnVzcDh4NGxheXY4OAByITFWalBHREFiY09SYW5tbFU4R2NZaFh0REQ2LWRGMnEyZQ==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13747</Words>
  <Characters>75609</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4</cp:revision>
  <dcterms:created xsi:type="dcterms:W3CDTF">2026-01-13T23:48:00Z</dcterms:created>
  <dcterms:modified xsi:type="dcterms:W3CDTF">2026-02-03T19:09:00Z</dcterms:modified>
</cp:coreProperties>
</file>