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2A93B" w14:textId="581A555D" w:rsidR="00694AA0" w:rsidRPr="008B3919" w:rsidRDefault="005B22BA">
      <w:pPr>
        <w:spacing w:before="240" w:after="240" w:line="360" w:lineRule="auto"/>
        <w:jc w:val="both"/>
        <w:rPr>
          <w:rFonts w:ascii="Palatino Linotype" w:eastAsia="Palatino Linotype" w:hAnsi="Palatino Linotype" w:cs="Palatino Linotype"/>
          <w:sz w:val="22"/>
          <w:szCs w:val="22"/>
        </w:rPr>
      </w:pPr>
      <w:bookmarkStart w:id="0" w:name="_GoBack"/>
      <w:bookmarkEnd w:id="0"/>
      <w:r w:rsidRPr="008B391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4C2FE1" w:rsidRPr="008B3919">
        <w:rPr>
          <w:rFonts w:ascii="Palatino Linotype" w:eastAsia="Palatino Linotype" w:hAnsi="Palatino Linotype" w:cs="Palatino Linotype"/>
          <w:sz w:val="22"/>
          <w:szCs w:val="22"/>
        </w:rPr>
        <w:t>catorce de enero de dos mil veintiséis</w:t>
      </w:r>
      <w:r w:rsidRPr="008B3919">
        <w:rPr>
          <w:rFonts w:ascii="Palatino Linotype" w:eastAsia="Palatino Linotype" w:hAnsi="Palatino Linotype" w:cs="Palatino Linotype"/>
          <w:sz w:val="22"/>
          <w:szCs w:val="22"/>
        </w:rPr>
        <w:t xml:space="preserve">. </w:t>
      </w:r>
    </w:p>
    <w:p w14:paraId="32D33C57" w14:textId="5BFD9B88" w:rsidR="00694AA0" w:rsidRPr="008B3919" w:rsidRDefault="005B22BA">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8B3919">
        <w:rPr>
          <w:rFonts w:ascii="Palatino Linotype" w:eastAsia="Palatino Linotype" w:hAnsi="Palatino Linotype" w:cs="Palatino Linotype"/>
          <w:b/>
          <w:sz w:val="22"/>
          <w:szCs w:val="22"/>
        </w:rPr>
        <w:t>VISTO</w:t>
      </w:r>
      <w:r w:rsidRPr="008B3919">
        <w:rPr>
          <w:rFonts w:ascii="Palatino Linotype" w:eastAsia="Palatino Linotype" w:hAnsi="Palatino Linotype" w:cs="Palatino Linotype"/>
          <w:sz w:val="22"/>
          <w:szCs w:val="22"/>
        </w:rPr>
        <w:t xml:space="preserve"> el expediente formado con motivo del recurso de revisión </w:t>
      </w:r>
      <w:r w:rsidR="00EB6F38" w:rsidRPr="008B3919">
        <w:rPr>
          <w:rFonts w:ascii="Palatino Linotype" w:eastAsia="Palatino Linotype" w:hAnsi="Palatino Linotype" w:cs="Palatino Linotype"/>
          <w:b/>
          <w:sz w:val="22"/>
          <w:szCs w:val="22"/>
        </w:rPr>
        <w:t>11354</w:t>
      </w:r>
      <w:r w:rsidRPr="008B3919">
        <w:rPr>
          <w:rFonts w:ascii="Palatino Linotype" w:eastAsia="Palatino Linotype" w:hAnsi="Palatino Linotype" w:cs="Palatino Linotype"/>
          <w:b/>
          <w:sz w:val="22"/>
          <w:szCs w:val="22"/>
        </w:rPr>
        <w:t>/INFOEM/IP/RR/2025</w:t>
      </w:r>
      <w:r w:rsidRPr="008B3919">
        <w:rPr>
          <w:rFonts w:ascii="Palatino Linotype" w:eastAsia="Palatino Linotype" w:hAnsi="Palatino Linotype" w:cs="Palatino Linotype"/>
          <w:sz w:val="22"/>
          <w:szCs w:val="22"/>
        </w:rPr>
        <w:t>, interpuesto por</w:t>
      </w:r>
      <w:r w:rsidRPr="008B3919">
        <w:rPr>
          <w:rFonts w:ascii="Palatino Linotype" w:eastAsia="Palatino Linotype" w:hAnsi="Palatino Linotype" w:cs="Palatino Linotype"/>
          <w:b/>
          <w:sz w:val="22"/>
          <w:szCs w:val="22"/>
        </w:rPr>
        <w:t xml:space="preserve"> </w:t>
      </w:r>
      <w:r w:rsidR="001A3D4C" w:rsidRPr="008B3919">
        <w:rPr>
          <w:rFonts w:ascii="Palatino Linotype" w:eastAsia="Palatino Linotype" w:hAnsi="Palatino Linotype" w:cs="Palatino Linotype"/>
          <w:b/>
          <w:sz w:val="22"/>
          <w:szCs w:val="22"/>
        </w:rPr>
        <w:t>una persona que no proporcionó nombre o seudónimo,</w:t>
      </w:r>
      <w:r w:rsidRPr="008B3919">
        <w:rPr>
          <w:rFonts w:ascii="Palatino Linotype" w:eastAsia="Palatino Linotype" w:hAnsi="Palatino Linotype" w:cs="Palatino Linotype"/>
          <w:sz w:val="22"/>
          <w:szCs w:val="22"/>
        </w:rPr>
        <w:t xml:space="preserve"> en lo sucesivo</w:t>
      </w:r>
      <w:r w:rsidRPr="008B3919">
        <w:rPr>
          <w:rFonts w:ascii="Palatino Linotype" w:eastAsia="Palatino Linotype" w:hAnsi="Palatino Linotype" w:cs="Palatino Linotype"/>
          <w:b/>
          <w:sz w:val="22"/>
          <w:szCs w:val="22"/>
        </w:rPr>
        <w:t xml:space="preserve"> </w:t>
      </w:r>
      <w:r w:rsidRPr="008B3919">
        <w:rPr>
          <w:rFonts w:ascii="Palatino Linotype" w:eastAsia="Palatino Linotype" w:hAnsi="Palatino Linotype" w:cs="Palatino Linotype"/>
          <w:sz w:val="22"/>
          <w:szCs w:val="22"/>
        </w:rPr>
        <w:t xml:space="preserve">la parte </w:t>
      </w:r>
      <w:r w:rsidRPr="008B3919">
        <w:rPr>
          <w:rFonts w:ascii="Palatino Linotype" w:eastAsia="Palatino Linotype" w:hAnsi="Palatino Linotype" w:cs="Palatino Linotype"/>
          <w:b/>
          <w:sz w:val="22"/>
          <w:szCs w:val="22"/>
        </w:rPr>
        <w:t>Recurrente,</w:t>
      </w:r>
      <w:r w:rsidRPr="008B3919">
        <w:rPr>
          <w:rFonts w:ascii="Palatino Linotype" w:eastAsia="Palatino Linotype" w:hAnsi="Palatino Linotype" w:cs="Palatino Linotype"/>
          <w:sz w:val="22"/>
          <w:szCs w:val="22"/>
        </w:rPr>
        <w:t xml:space="preserve"> en contra de la respuesta a la solicitud de información con número de folio</w:t>
      </w:r>
      <w:r w:rsidRPr="008B3919">
        <w:rPr>
          <w:rFonts w:ascii="Palatino Linotype" w:eastAsia="Palatino Linotype" w:hAnsi="Palatino Linotype" w:cs="Palatino Linotype"/>
          <w:b/>
          <w:sz w:val="22"/>
          <w:szCs w:val="22"/>
        </w:rPr>
        <w:t xml:space="preserve"> </w:t>
      </w:r>
      <w:r w:rsidR="00EB6F38" w:rsidRPr="008B3919">
        <w:rPr>
          <w:rFonts w:ascii="Palatino Linotype" w:eastAsia="Palatino Linotype" w:hAnsi="Palatino Linotype" w:cs="Palatino Linotype"/>
          <w:b/>
          <w:sz w:val="22"/>
          <w:szCs w:val="22"/>
        </w:rPr>
        <w:t>04570/TOLUCA/IP/2025</w:t>
      </w:r>
      <w:r w:rsidRPr="008B3919">
        <w:rPr>
          <w:rFonts w:ascii="Palatino Linotype" w:eastAsia="Palatino Linotype" w:hAnsi="Palatino Linotype" w:cs="Palatino Linotype"/>
          <w:b/>
          <w:sz w:val="22"/>
          <w:szCs w:val="22"/>
        </w:rPr>
        <w:t xml:space="preserve">, </w:t>
      </w:r>
      <w:r w:rsidRPr="008B3919">
        <w:rPr>
          <w:rFonts w:ascii="Palatino Linotype" w:eastAsia="Palatino Linotype" w:hAnsi="Palatino Linotype" w:cs="Palatino Linotype"/>
          <w:sz w:val="22"/>
          <w:szCs w:val="22"/>
        </w:rPr>
        <w:t xml:space="preserve">por parte del </w:t>
      </w:r>
      <w:r w:rsidR="009502ED" w:rsidRPr="008B3919">
        <w:rPr>
          <w:rFonts w:ascii="Palatino Linotype" w:eastAsia="Palatino Linotype" w:hAnsi="Palatino Linotype" w:cs="Palatino Linotype"/>
          <w:b/>
          <w:sz w:val="22"/>
          <w:szCs w:val="22"/>
        </w:rPr>
        <w:t>Ayuntamiento de Toluca</w:t>
      </w:r>
      <w:r w:rsidRPr="008B3919">
        <w:rPr>
          <w:rFonts w:ascii="Palatino Linotype" w:eastAsia="Palatino Linotype" w:hAnsi="Palatino Linotype" w:cs="Palatino Linotype"/>
          <w:b/>
          <w:sz w:val="22"/>
          <w:szCs w:val="22"/>
        </w:rPr>
        <w:t xml:space="preserve">, </w:t>
      </w:r>
      <w:r w:rsidRPr="008B3919">
        <w:rPr>
          <w:rFonts w:ascii="Palatino Linotype" w:eastAsia="Palatino Linotype" w:hAnsi="Palatino Linotype" w:cs="Palatino Linotype"/>
          <w:sz w:val="22"/>
          <w:szCs w:val="22"/>
        </w:rPr>
        <w:t xml:space="preserve">en lo sucesivo el </w:t>
      </w:r>
      <w:r w:rsidRPr="008B3919">
        <w:rPr>
          <w:rFonts w:ascii="Palatino Linotype" w:eastAsia="Palatino Linotype" w:hAnsi="Palatino Linotype" w:cs="Palatino Linotype"/>
          <w:b/>
          <w:sz w:val="22"/>
          <w:szCs w:val="22"/>
        </w:rPr>
        <w:t xml:space="preserve">Sujeto Obligado, </w:t>
      </w:r>
      <w:r w:rsidRPr="008B3919">
        <w:rPr>
          <w:rFonts w:ascii="Palatino Linotype" w:eastAsia="Palatino Linotype" w:hAnsi="Palatino Linotype" w:cs="Palatino Linotype"/>
          <w:sz w:val="22"/>
          <w:szCs w:val="22"/>
        </w:rPr>
        <w:t xml:space="preserve">se procede a dictar la presente resolución con base en los siguientes: </w:t>
      </w:r>
    </w:p>
    <w:p w14:paraId="6CBEA268" w14:textId="77777777" w:rsidR="00694AA0" w:rsidRPr="008B3919" w:rsidRDefault="005B22BA">
      <w:pPr>
        <w:spacing w:before="240" w:after="240" w:line="360" w:lineRule="auto"/>
        <w:jc w:val="center"/>
        <w:rPr>
          <w:rFonts w:ascii="Palatino Linotype" w:eastAsia="Palatino Linotype" w:hAnsi="Palatino Linotype" w:cs="Palatino Linotype"/>
          <w:b/>
          <w:sz w:val="22"/>
          <w:szCs w:val="22"/>
        </w:rPr>
      </w:pPr>
      <w:r w:rsidRPr="008B3919">
        <w:rPr>
          <w:rFonts w:ascii="Palatino Linotype" w:eastAsia="Palatino Linotype" w:hAnsi="Palatino Linotype" w:cs="Palatino Linotype"/>
          <w:b/>
          <w:sz w:val="22"/>
          <w:szCs w:val="22"/>
        </w:rPr>
        <w:t>I. A N T E C E D E N T E S</w:t>
      </w:r>
    </w:p>
    <w:p w14:paraId="68695096" w14:textId="648D0F47" w:rsidR="00694AA0" w:rsidRPr="008B3919" w:rsidRDefault="005B22BA">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8B3919">
        <w:rPr>
          <w:rFonts w:ascii="Palatino Linotype" w:eastAsia="Palatino Linotype" w:hAnsi="Palatino Linotype" w:cs="Palatino Linotype"/>
          <w:b/>
          <w:sz w:val="22"/>
          <w:szCs w:val="22"/>
        </w:rPr>
        <w:t>1. Solicitud de acceso a la información.</w:t>
      </w:r>
      <w:r w:rsidRPr="008B3919">
        <w:rPr>
          <w:rFonts w:ascii="Palatino Linotype" w:eastAsia="Palatino Linotype" w:hAnsi="Palatino Linotype" w:cs="Palatino Linotype"/>
          <w:sz w:val="22"/>
          <w:szCs w:val="22"/>
        </w:rPr>
        <w:t xml:space="preserve"> El </w:t>
      </w:r>
      <w:r w:rsidR="004F0942" w:rsidRPr="008B3919">
        <w:rPr>
          <w:rFonts w:ascii="Palatino Linotype" w:eastAsia="Palatino Linotype" w:hAnsi="Palatino Linotype" w:cs="Palatino Linotype"/>
          <w:b/>
          <w:bCs/>
          <w:sz w:val="22"/>
          <w:szCs w:val="22"/>
        </w:rPr>
        <w:t>diez</w:t>
      </w:r>
      <w:r w:rsidR="00EB6F38" w:rsidRPr="008B3919">
        <w:rPr>
          <w:rFonts w:ascii="Palatino Linotype" w:eastAsia="Palatino Linotype" w:hAnsi="Palatino Linotype" w:cs="Palatino Linotype"/>
          <w:b/>
          <w:bCs/>
          <w:sz w:val="22"/>
          <w:szCs w:val="22"/>
        </w:rPr>
        <w:t xml:space="preserve"> </w:t>
      </w:r>
      <w:r w:rsidR="00554822" w:rsidRPr="008B3919">
        <w:rPr>
          <w:rFonts w:ascii="Palatino Linotype" w:eastAsia="Palatino Linotype" w:hAnsi="Palatino Linotype" w:cs="Palatino Linotype"/>
          <w:b/>
          <w:sz w:val="22"/>
          <w:szCs w:val="22"/>
        </w:rPr>
        <w:t xml:space="preserve">de septiembre </w:t>
      </w:r>
      <w:r w:rsidR="009502ED" w:rsidRPr="008B3919">
        <w:rPr>
          <w:rFonts w:ascii="Palatino Linotype" w:eastAsia="Palatino Linotype" w:hAnsi="Palatino Linotype" w:cs="Palatino Linotype"/>
          <w:b/>
          <w:sz w:val="22"/>
          <w:szCs w:val="22"/>
        </w:rPr>
        <w:t>de</w:t>
      </w:r>
      <w:r w:rsidRPr="008B3919">
        <w:rPr>
          <w:rFonts w:ascii="Palatino Linotype" w:eastAsia="Palatino Linotype" w:hAnsi="Palatino Linotype" w:cs="Palatino Linotype"/>
          <w:b/>
          <w:sz w:val="22"/>
          <w:szCs w:val="22"/>
        </w:rPr>
        <w:t xml:space="preserve"> dos mil veinticinco,</w:t>
      </w:r>
      <w:r w:rsidRPr="008B3919">
        <w:rPr>
          <w:rFonts w:ascii="Palatino Linotype" w:eastAsia="Palatino Linotype" w:hAnsi="Palatino Linotype" w:cs="Palatino Linotype"/>
          <w:sz w:val="22"/>
          <w:szCs w:val="22"/>
        </w:rPr>
        <w:t xml:space="preserve"> la parte </w:t>
      </w:r>
      <w:r w:rsidRPr="008B3919">
        <w:rPr>
          <w:rFonts w:ascii="Palatino Linotype" w:eastAsia="Palatino Linotype" w:hAnsi="Palatino Linotype" w:cs="Palatino Linotype"/>
          <w:b/>
          <w:sz w:val="22"/>
          <w:szCs w:val="22"/>
        </w:rPr>
        <w:t xml:space="preserve">Recurrente </w:t>
      </w:r>
      <w:r w:rsidRPr="008B3919">
        <w:rPr>
          <w:rFonts w:ascii="Palatino Linotype" w:eastAsia="Palatino Linotype" w:hAnsi="Palatino Linotype" w:cs="Palatino Linotype"/>
          <w:sz w:val="22"/>
          <w:szCs w:val="22"/>
        </w:rPr>
        <w:t xml:space="preserve">presentó la solicitud de acceso a la información pública ante el </w:t>
      </w:r>
      <w:r w:rsidRPr="008B3919">
        <w:rPr>
          <w:rFonts w:ascii="Palatino Linotype" w:eastAsia="Palatino Linotype" w:hAnsi="Palatino Linotype" w:cs="Palatino Linotype"/>
          <w:b/>
          <w:sz w:val="22"/>
          <w:szCs w:val="22"/>
        </w:rPr>
        <w:t>Sujeto Obligado</w:t>
      </w:r>
      <w:r w:rsidRPr="008B3919">
        <w:rPr>
          <w:rFonts w:ascii="Palatino Linotype" w:eastAsia="Palatino Linotype" w:hAnsi="Palatino Linotype" w:cs="Palatino Linotype"/>
          <w:sz w:val="22"/>
          <w:szCs w:val="22"/>
        </w:rPr>
        <w:t xml:space="preserve">, a través del Sistema de Acceso a la Información Mexiquense, en lo subsecuente el </w:t>
      </w:r>
      <w:r w:rsidRPr="008B3919">
        <w:rPr>
          <w:rFonts w:ascii="Palatino Linotype" w:eastAsia="Palatino Linotype" w:hAnsi="Palatino Linotype" w:cs="Palatino Linotype"/>
          <w:b/>
          <w:sz w:val="22"/>
          <w:szCs w:val="22"/>
        </w:rPr>
        <w:t>SAIMEX,</w:t>
      </w:r>
      <w:r w:rsidRPr="008B3919">
        <w:rPr>
          <w:rFonts w:ascii="Palatino Linotype" w:eastAsia="Palatino Linotype" w:hAnsi="Palatino Linotype" w:cs="Palatino Linotype"/>
          <w:sz w:val="22"/>
          <w:szCs w:val="22"/>
        </w:rPr>
        <w:t xml:space="preserve"> mediante la cual requirió lo siguiente:</w:t>
      </w:r>
    </w:p>
    <w:p w14:paraId="2B457E68" w14:textId="6EF8C96C" w:rsidR="00694AA0" w:rsidRPr="008B3919" w:rsidRDefault="005B22BA">
      <w:pPr>
        <w:spacing w:before="120" w:after="120"/>
        <w:ind w:left="851" w:right="902"/>
        <w:jc w:val="both"/>
        <w:rPr>
          <w:rFonts w:ascii="Palatino Linotype" w:eastAsia="Palatino Linotype" w:hAnsi="Palatino Linotype" w:cs="Palatino Linotype"/>
          <w:b/>
          <w:i/>
          <w:sz w:val="22"/>
          <w:szCs w:val="22"/>
        </w:rPr>
      </w:pPr>
      <w:r w:rsidRPr="008B3919">
        <w:rPr>
          <w:rFonts w:ascii="Palatino Linotype" w:eastAsia="Palatino Linotype" w:hAnsi="Palatino Linotype" w:cs="Palatino Linotype"/>
          <w:i/>
          <w:sz w:val="22"/>
          <w:szCs w:val="22"/>
        </w:rPr>
        <w:t xml:space="preserve"> “</w:t>
      </w:r>
      <w:r w:rsidR="0018603F" w:rsidRPr="008B3919">
        <w:rPr>
          <w:rFonts w:ascii="Palatino Linotype" w:eastAsia="Palatino Linotype" w:hAnsi="Palatino Linotype" w:cs="Palatino Linotype"/>
          <w:i/>
          <w:sz w:val="22"/>
          <w:szCs w:val="22"/>
        </w:rPr>
        <w:t xml:space="preserve">Solicito los registros de asistencia de todo el tiempo que han prestado sus servicios para el ayuntamiento de Toluca los C.C. Andrea Alejandra Sánchez </w:t>
      </w:r>
      <w:proofErr w:type="spellStart"/>
      <w:r w:rsidR="0018603F" w:rsidRPr="008B3919">
        <w:rPr>
          <w:rFonts w:ascii="Palatino Linotype" w:eastAsia="Palatino Linotype" w:hAnsi="Palatino Linotype" w:cs="Palatino Linotype"/>
          <w:i/>
          <w:sz w:val="22"/>
          <w:szCs w:val="22"/>
        </w:rPr>
        <w:t>Váldez</w:t>
      </w:r>
      <w:proofErr w:type="spellEnd"/>
      <w:r w:rsidR="0018603F" w:rsidRPr="008B3919">
        <w:rPr>
          <w:rFonts w:ascii="Palatino Linotype" w:eastAsia="Palatino Linotype" w:hAnsi="Palatino Linotype" w:cs="Palatino Linotype"/>
          <w:i/>
          <w:sz w:val="22"/>
          <w:szCs w:val="22"/>
        </w:rPr>
        <w:t xml:space="preserve"> y Roberto Daniel </w:t>
      </w:r>
      <w:proofErr w:type="spellStart"/>
      <w:r w:rsidR="0018603F" w:rsidRPr="008B3919">
        <w:rPr>
          <w:rFonts w:ascii="Palatino Linotype" w:eastAsia="Palatino Linotype" w:hAnsi="Palatino Linotype" w:cs="Palatino Linotype"/>
          <w:i/>
          <w:sz w:val="22"/>
          <w:szCs w:val="22"/>
        </w:rPr>
        <w:t>Sanchez</w:t>
      </w:r>
      <w:proofErr w:type="spellEnd"/>
      <w:r w:rsidR="0018603F" w:rsidRPr="008B3919">
        <w:rPr>
          <w:rFonts w:ascii="Palatino Linotype" w:eastAsia="Palatino Linotype" w:hAnsi="Palatino Linotype" w:cs="Palatino Linotype"/>
          <w:i/>
          <w:sz w:val="22"/>
          <w:szCs w:val="22"/>
        </w:rPr>
        <w:t xml:space="preserve"> Arias, ambos trabajan en la unidad de transparencia</w:t>
      </w:r>
      <w:r w:rsidRPr="008B3919">
        <w:rPr>
          <w:rFonts w:ascii="Palatino Linotype" w:eastAsia="Palatino Linotype" w:hAnsi="Palatino Linotype" w:cs="Palatino Linotype"/>
          <w:b/>
          <w:i/>
          <w:sz w:val="22"/>
          <w:szCs w:val="22"/>
        </w:rPr>
        <w:t>”</w:t>
      </w:r>
      <w:r w:rsidRPr="008B3919">
        <w:rPr>
          <w:rFonts w:ascii="Palatino Linotype" w:eastAsia="Palatino Linotype" w:hAnsi="Palatino Linotype" w:cs="Palatino Linotype"/>
          <w:i/>
          <w:sz w:val="22"/>
          <w:szCs w:val="22"/>
        </w:rPr>
        <w:t xml:space="preserve"> (sic) </w:t>
      </w:r>
    </w:p>
    <w:p w14:paraId="240F358C" w14:textId="77777777" w:rsidR="00694AA0" w:rsidRPr="008B3919" w:rsidRDefault="005B22BA">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8B3919">
        <w:rPr>
          <w:rFonts w:ascii="Palatino Linotype" w:eastAsia="Palatino Linotype" w:hAnsi="Palatino Linotype" w:cs="Palatino Linotype"/>
          <w:b/>
          <w:sz w:val="22"/>
          <w:szCs w:val="22"/>
        </w:rPr>
        <w:t>Modalidad de Entrega:</w:t>
      </w:r>
      <w:r w:rsidRPr="008B3919">
        <w:rPr>
          <w:rFonts w:ascii="Palatino Linotype" w:eastAsia="Palatino Linotype" w:hAnsi="Palatino Linotype" w:cs="Palatino Linotype"/>
          <w:sz w:val="22"/>
          <w:szCs w:val="22"/>
        </w:rPr>
        <w:t xml:space="preserve"> a través del</w:t>
      </w:r>
      <w:r w:rsidRPr="008B3919">
        <w:rPr>
          <w:rFonts w:ascii="Palatino Linotype" w:eastAsia="Palatino Linotype" w:hAnsi="Palatino Linotype" w:cs="Palatino Linotype"/>
          <w:b/>
          <w:sz w:val="22"/>
          <w:szCs w:val="22"/>
        </w:rPr>
        <w:t xml:space="preserve"> SAIMEX.</w:t>
      </w:r>
    </w:p>
    <w:p w14:paraId="7686068F" w14:textId="0558300F" w:rsidR="00694AA0" w:rsidRPr="008B3919" w:rsidRDefault="005B22BA">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b/>
          <w:sz w:val="22"/>
          <w:szCs w:val="22"/>
        </w:rPr>
        <w:t xml:space="preserve">2. Respuesta. </w:t>
      </w:r>
      <w:r w:rsidRPr="008B3919">
        <w:rPr>
          <w:rFonts w:ascii="Palatino Linotype" w:eastAsia="Palatino Linotype" w:hAnsi="Palatino Linotype" w:cs="Palatino Linotype"/>
          <w:sz w:val="22"/>
          <w:szCs w:val="22"/>
        </w:rPr>
        <w:t xml:space="preserve">El </w:t>
      </w:r>
      <w:r w:rsidR="0018603F" w:rsidRPr="008B3919">
        <w:rPr>
          <w:rFonts w:ascii="Palatino Linotype" w:eastAsia="Palatino Linotype" w:hAnsi="Palatino Linotype" w:cs="Palatino Linotype"/>
          <w:b/>
          <w:sz w:val="22"/>
          <w:szCs w:val="22"/>
        </w:rPr>
        <w:t>uno de octubre</w:t>
      </w:r>
      <w:r w:rsidR="001A3D4C" w:rsidRPr="008B3919">
        <w:rPr>
          <w:rFonts w:ascii="Palatino Linotype" w:eastAsia="Palatino Linotype" w:hAnsi="Palatino Linotype" w:cs="Palatino Linotype"/>
          <w:b/>
          <w:sz w:val="22"/>
          <w:szCs w:val="22"/>
        </w:rPr>
        <w:t xml:space="preserve"> </w:t>
      </w:r>
      <w:r w:rsidRPr="008B3919">
        <w:rPr>
          <w:rFonts w:ascii="Palatino Linotype" w:eastAsia="Palatino Linotype" w:hAnsi="Palatino Linotype" w:cs="Palatino Linotype"/>
          <w:b/>
          <w:sz w:val="22"/>
          <w:szCs w:val="22"/>
        </w:rPr>
        <w:t>de dos mil veinticinco,</w:t>
      </w:r>
      <w:r w:rsidRPr="008B3919">
        <w:rPr>
          <w:rFonts w:ascii="Palatino Linotype" w:eastAsia="Palatino Linotype" w:hAnsi="Palatino Linotype" w:cs="Palatino Linotype"/>
          <w:sz w:val="22"/>
          <w:szCs w:val="22"/>
        </w:rPr>
        <w:t xml:space="preserve"> el </w:t>
      </w:r>
      <w:r w:rsidRPr="008B3919">
        <w:rPr>
          <w:rFonts w:ascii="Palatino Linotype" w:eastAsia="Palatino Linotype" w:hAnsi="Palatino Linotype" w:cs="Palatino Linotype"/>
          <w:b/>
          <w:sz w:val="22"/>
          <w:szCs w:val="22"/>
        </w:rPr>
        <w:t xml:space="preserve">Sujeto Obligado </w:t>
      </w:r>
      <w:r w:rsidRPr="008B3919">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0EB69FD4" w14:textId="1EFD0723" w:rsidR="00694AA0" w:rsidRPr="008B3919" w:rsidRDefault="005B22BA">
      <w:pPr>
        <w:spacing w:before="240" w:after="24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lastRenderedPageBreak/>
        <w:t>“…</w:t>
      </w:r>
      <w:r w:rsidR="0018603F" w:rsidRPr="008B3919">
        <w:rPr>
          <w:rFonts w:ascii="Palatino Linotype" w:eastAsia="Palatino Linotype" w:hAnsi="Palatino Linotype" w:cs="Palatino Linotype"/>
          <w:i/>
          <w:sz w:val="22"/>
          <w:szCs w:val="22"/>
        </w:rPr>
        <w:t>En atención a la solicitud con folio 04570/TOLUCA/IP/2025, me permito adjuntar al presente la respuesta correspondiente, Sin más por el momento, reciba un saludo.</w:t>
      </w:r>
      <w:r w:rsidRPr="008B3919">
        <w:rPr>
          <w:rFonts w:ascii="Palatino Linotype" w:eastAsia="Palatino Linotype" w:hAnsi="Palatino Linotype" w:cs="Palatino Linotype"/>
          <w:i/>
          <w:sz w:val="22"/>
          <w:szCs w:val="22"/>
        </w:rPr>
        <w:t>..” (sic)</w:t>
      </w:r>
    </w:p>
    <w:p w14:paraId="0F1E2F82" w14:textId="77777777" w:rsidR="00694AA0" w:rsidRPr="008B3919" w:rsidRDefault="005B22BA">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El </w:t>
      </w:r>
      <w:r w:rsidRPr="008B3919">
        <w:rPr>
          <w:rFonts w:ascii="Palatino Linotype" w:eastAsia="Palatino Linotype" w:hAnsi="Palatino Linotype" w:cs="Palatino Linotype"/>
          <w:b/>
          <w:sz w:val="22"/>
          <w:szCs w:val="22"/>
        </w:rPr>
        <w:t xml:space="preserve">Sujeto Obligado </w:t>
      </w:r>
      <w:r w:rsidRPr="008B3919">
        <w:rPr>
          <w:rFonts w:ascii="Palatino Linotype" w:eastAsia="Palatino Linotype" w:hAnsi="Palatino Linotype" w:cs="Palatino Linotype"/>
          <w:sz w:val="22"/>
          <w:szCs w:val="22"/>
        </w:rPr>
        <w:t>adjuntó lo siguiente:</w:t>
      </w:r>
    </w:p>
    <w:p w14:paraId="3BF14653" w14:textId="37E11F15" w:rsidR="0018603F" w:rsidRPr="008B3919" w:rsidRDefault="005B22BA" w:rsidP="0018603F">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 Oficio número </w:t>
      </w:r>
      <w:r w:rsidR="0018603F" w:rsidRPr="008B3919">
        <w:rPr>
          <w:rFonts w:ascii="Palatino Linotype" w:eastAsia="Palatino Linotype" w:hAnsi="Palatino Linotype" w:cs="Palatino Linotype"/>
          <w:sz w:val="22"/>
          <w:szCs w:val="22"/>
        </w:rPr>
        <w:t>206010000/5868/2025</w:t>
      </w:r>
      <w:r w:rsidR="00554822" w:rsidRPr="008B3919">
        <w:rPr>
          <w:rFonts w:ascii="Palatino Linotype" w:eastAsia="Palatino Linotype" w:hAnsi="Palatino Linotype" w:cs="Palatino Linotype"/>
          <w:sz w:val="22"/>
          <w:szCs w:val="22"/>
        </w:rPr>
        <w:t>,</w:t>
      </w:r>
      <w:r w:rsidR="00EA2309" w:rsidRPr="008B3919">
        <w:rPr>
          <w:rFonts w:ascii="Palatino Linotype" w:eastAsia="Palatino Linotype" w:hAnsi="Palatino Linotype" w:cs="Palatino Linotype"/>
          <w:sz w:val="22"/>
          <w:szCs w:val="22"/>
        </w:rPr>
        <w:t xml:space="preserve"> mediante el cual </w:t>
      </w:r>
      <w:r w:rsidR="0018603F" w:rsidRPr="008B3919">
        <w:rPr>
          <w:rFonts w:ascii="Palatino Linotype" w:eastAsia="Palatino Linotype" w:hAnsi="Palatino Linotype" w:cs="Palatino Linotype"/>
          <w:sz w:val="22"/>
          <w:szCs w:val="22"/>
        </w:rPr>
        <w:t xml:space="preserve">la Directora General de Administración </w:t>
      </w:r>
      <w:r w:rsidR="00BB3325" w:rsidRPr="008B3919">
        <w:rPr>
          <w:rFonts w:ascii="Palatino Linotype" w:eastAsia="Palatino Linotype" w:hAnsi="Palatino Linotype" w:cs="Palatino Linotype"/>
          <w:sz w:val="22"/>
          <w:szCs w:val="22"/>
        </w:rPr>
        <w:t xml:space="preserve">manifestó </w:t>
      </w:r>
      <w:r w:rsidR="0018603F" w:rsidRPr="008B3919">
        <w:rPr>
          <w:rFonts w:ascii="Palatino Linotype" w:eastAsia="Palatino Linotype" w:hAnsi="Palatino Linotype" w:cs="Palatino Linotype"/>
          <w:sz w:val="22"/>
          <w:szCs w:val="22"/>
        </w:rPr>
        <w:t xml:space="preserve">remitir la respuesta proporcionada por </w:t>
      </w:r>
      <w:r w:rsidR="004F0942" w:rsidRPr="008B3919">
        <w:rPr>
          <w:rFonts w:ascii="Palatino Linotype" w:eastAsia="Palatino Linotype" w:hAnsi="Palatino Linotype" w:cs="Palatino Linotype"/>
          <w:sz w:val="22"/>
          <w:szCs w:val="22"/>
        </w:rPr>
        <w:t>la persona</w:t>
      </w:r>
      <w:r w:rsidR="0018603F" w:rsidRPr="008B3919">
        <w:rPr>
          <w:rFonts w:ascii="Palatino Linotype" w:eastAsia="Palatino Linotype" w:hAnsi="Palatino Linotype" w:cs="Palatino Linotype"/>
          <w:sz w:val="22"/>
          <w:szCs w:val="22"/>
        </w:rPr>
        <w:t xml:space="preserve"> servidora pública de la Dirección de Recursos Humanos</w:t>
      </w:r>
      <w:r w:rsidR="000D0779" w:rsidRPr="008B3919">
        <w:rPr>
          <w:rFonts w:ascii="Palatino Linotype" w:eastAsia="Palatino Linotype" w:hAnsi="Palatino Linotype" w:cs="Palatino Linotype"/>
          <w:sz w:val="22"/>
          <w:szCs w:val="22"/>
        </w:rPr>
        <w:t>.</w:t>
      </w:r>
    </w:p>
    <w:p w14:paraId="2047D216" w14:textId="37A64389" w:rsidR="0018603F" w:rsidRPr="008B3919" w:rsidRDefault="000D0779">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 </w:t>
      </w:r>
      <w:r w:rsidRPr="008B3919">
        <w:rPr>
          <w:rFonts w:ascii="Palatino Linotype" w:hAnsi="Palatino Linotype"/>
          <w:sz w:val="22"/>
          <w:szCs w:val="22"/>
        </w:rPr>
        <w:t>Nota informativa: No. 1036/2025</w:t>
      </w:r>
      <w:r w:rsidR="002B2F3E" w:rsidRPr="008B3919">
        <w:rPr>
          <w:rFonts w:ascii="Palatino Linotype" w:hAnsi="Palatino Linotype"/>
          <w:sz w:val="22"/>
          <w:szCs w:val="22"/>
        </w:rPr>
        <w:t xml:space="preserve">, mediante la cual la Directora de Recursos Humanos </w:t>
      </w:r>
      <w:r w:rsidR="000A73DA" w:rsidRPr="008B3919">
        <w:rPr>
          <w:rFonts w:ascii="Palatino Linotype" w:hAnsi="Palatino Linotype"/>
          <w:sz w:val="22"/>
          <w:szCs w:val="22"/>
        </w:rPr>
        <w:t xml:space="preserve">refirió remitir </w:t>
      </w:r>
      <w:r w:rsidR="00220FE4" w:rsidRPr="008B3919">
        <w:rPr>
          <w:rFonts w:ascii="Palatino Linotype" w:hAnsi="Palatino Linotype"/>
          <w:sz w:val="22"/>
          <w:szCs w:val="22"/>
        </w:rPr>
        <w:t>la información solicitada después de una búsqueda en los archivos que guarda el Departamento de Administración de Personal.</w:t>
      </w:r>
    </w:p>
    <w:p w14:paraId="4757F932" w14:textId="2CFD8E95" w:rsidR="00220FE4" w:rsidRPr="008B3919" w:rsidRDefault="00220FE4">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Registro</w:t>
      </w:r>
      <w:r w:rsidR="00193278" w:rsidRPr="008B3919">
        <w:rPr>
          <w:rFonts w:ascii="Palatino Linotype" w:eastAsia="Palatino Linotype" w:hAnsi="Palatino Linotype" w:cs="Palatino Linotype"/>
          <w:sz w:val="22"/>
          <w:szCs w:val="22"/>
        </w:rPr>
        <w:t>s</w:t>
      </w:r>
      <w:r w:rsidRPr="008B3919">
        <w:rPr>
          <w:rFonts w:ascii="Palatino Linotype" w:eastAsia="Palatino Linotype" w:hAnsi="Palatino Linotype" w:cs="Palatino Linotype"/>
          <w:sz w:val="22"/>
          <w:szCs w:val="22"/>
        </w:rPr>
        <w:t xml:space="preserve"> de asistencia de los servidores públicos referidos en la solicitud de la primera quincena de junio a la segunda quincena de agosto de dos mil veinticinco.</w:t>
      </w:r>
    </w:p>
    <w:p w14:paraId="2166B49F" w14:textId="56F38722" w:rsidR="00694AA0" w:rsidRPr="008B3919" w:rsidRDefault="005B22BA">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b/>
          <w:sz w:val="22"/>
          <w:szCs w:val="22"/>
        </w:rPr>
        <w:t xml:space="preserve">3. Interposición del recurso de revisión. </w:t>
      </w:r>
      <w:r w:rsidRPr="008B3919">
        <w:rPr>
          <w:rFonts w:ascii="Palatino Linotype" w:eastAsia="Palatino Linotype" w:hAnsi="Palatino Linotype" w:cs="Palatino Linotype"/>
          <w:sz w:val="22"/>
          <w:szCs w:val="22"/>
        </w:rPr>
        <w:t xml:space="preserve">Inconforme con los términos de la respuesta emitida por parte del </w:t>
      </w:r>
      <w:r w:rsidRPr="008B3919">
        <w:rPr>
          <w:rFonts w:ascii="Palatino Linotype" w:eastAsia="Palatino Linotype" w:hAnsi="Palatino Linotype" w:cs="Palatino Linotype"/>
          <w:b/>
          <w:sz w:val="22"/>
          <w:szCs w:val="22"/>
        </w:rPr>
        <w:t>Sujeto Obligado</w:t>
      </w:r>
      <w:r w:rsidRPr="008B3919">
        <w:rPr>
          <w:rFonts w:ascii="Palatino Linotype" w:eastAsia="Palatino Linotype" w:hAnsi="Palatino Linotype" w:cs="Palatino Linotype"/>
          <w:sz w:val="22"/>
          <w:szCs w:val="22"/>
        </w:rPr>
        <w:t xml:space="preserve">, el </w:t>
      </w:r>
      <w:r w:rsidR="00D74224" w:rsidRPr="008B3919">
        <w:rPr>
          <w:rFonts w:ascii="Palatino Linotype" w:eastAsia="Palatino Linotype" w:hAnsi="Palatino Linotype" w:cs="Palatino Linotype"/>
          <w:b/>
          <w:sz w:val="22"/>
          <w:szCs w:val="22"/>
        </w:rPr>
        <w:t>dos de octubre</w:t>
      </w:r>
      <w:r w:rsidR="0034618D" w:rsidRPr="008B3919">
        <w:rPr>
          <w:rFonts w:ascii="Palatino Linotype" w:eastAsia="Palatino Linotype" w:hAnsi="Palatino Linotype" w:cs="Palatino Linotype"/>
          <w:b/>
          <w:sz w:val="22"/>
          <w:szCs w:val="22"/>
        </w:rPr>
        <w:t xml:space="preserve"> </w:t>
      </w:r>
      <w:r w:rsidRPr="008B3919">
        <w:rPr>
          <w:rFonts w:ascii="Palatino Linotype" w:eastAsia="Palatino Linotype" w:hAnsi="Palatino Linotype" w:cs="Palatino Linotype"/>
          <w:b/>
          <w:sz w:val="22"/>
          <w:szCs w:val="22"/>
        </w:rPr>
        <w:t>de dos mil veinticinco,</w:t>
      </w:r>
      <w:r w:rsidRPr="008B3919">
        <w:rPr>
          <w:rFonts w:ascii="Palatino Linotype" w:eastAsia="Palatino Linotype" w:hAnsi="Palatino Linotype" w:cs="Palatino Linotype"/>
          <w:sz w:val="22"/>
          <w:szCs w:val="22"/>
        </w:rPr>
        <w:t xml:space="preserve"> la parte </w:t>
      </w:r>
      <w:r w:rsidRPr="008B3919">
        <w:rPr>
          <w:rFonts w:ascii="Palatino Linotype" w:eastAsia="Palatino Linotype" w:hAnsi="Palatino Linotype" w:cs="Palatino Linotype"/>
          <w:b/>
          <w:sz w:val="22"/>
          <w:szCs w:val="22"/>
        </w:rPr>
        <w:t>Recurrente</w:t>
      </w:r>
      <w:r w:rsidRPr="008B3919">
        <w:rPr>
          <w:rFonts w:ascii="Palatino Linotype" w:eastAsia="Palatino Linotype" w:hAnsi="Palatino Linotype" w:cs="Palatino Linotype"/>
          <w:sz w:val="22"/>
          <w:szCs w:val="22"/>
        </w:rPr>
        <w:t xml:space="preserve"> interpuso el recurso de revisión a través de </w:t>
      </w:r>
      <w:r w:rsidRPr="008B3919">
        <w:rPr>
          <w:rFonts w:ascii="Palatino Linotype" w:eastAsia="Palatino Linotype" w:hAnsi="Palatino Linotype" w:cs="Palatino Linotype"/>
          <w:b/>
          <w:sz w:val="22"/>
          <w:szCs w:val="22"/>
        </w:rPr>
        <w:t xml:space="preserve">SAIMEX, </w:t>
      </w:r>
      <w:r w:rsidRPr="008B3919">
        <w:rPr>
          <w:rFonts w:ascii="Palatino Linotype" w:eastAsia="Palatino Linotype" w:hAnsi="Palatino Linotype" w:cs="Palatino Linotype"/>
          <w:sz w:val="22"/>
          <w:szCs w:val="22"/>
        </w:rPr>
        <w:t>en donde se manifestó de la siguiente manera:</w:t>
      </w:r>
    </w:p>
    <w:p w14:paraId="7C2BF786" w14:textId="77777777" w:rsidR="00694AA0" w:rsidRPr="008B3919" w:rsidRDefault="005B22BA">
      <w:pPr>
        <w:spacing w:before="240" w:after="240" w:line="360" w:lineRule="auto"/>
        <w:ind w:right="49"/>
        <w:jc w:val="both"/>
        <w:rPr>
          <w:rFonts w:ascii="Palatino Linotype" w:eastAsia="Palatino Linotype" w:hAnsi="Palatino Linotype" w:cs="Palatino Linotype"/>
          <w:b/>
          <w:sz w:val="22"/>
          <w:szCs w:val="22"/>
        </w:rPr>
      </w:pPr>
      <w:r w:rsidRPr="008B3919">
        <w:rPr>
          <w:rFonts w:ascii="Palatino Linotype" w:eastAsia="Palatino Linotype" w:hAnsi="Palatino Linotype" w:cs="Palatino Linotype"/>
          <w:b/>
          <w:sz w:val="22"/>
          <w:szCs w:val="22"/>
        </w:rPr>
        <w:t xml:space="preserve">Acto impugnado: </w:t>
      </w:r>
    </w:p>
    <w:p w14:paraId="3DC3BF9F" w14:textId="099ECC87" w:rsidR="00694AA0" w:rsidRPr="008B3919" w:rsidRDefault="005B22BA" w:rsidP="009C1FBD">
      <w:pPr>
        <w:ind w:left="851" w:right="900"/>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w:t>
      </w:r>
      <w:r w:rsidR="00D74224" w:rsidRPr="008B3919">
        <w:rPr>
          <w:rFonts w:ascii="Palatino Linotype" w:eastAsia="Palatino Linotype" w:hAnsi="Palatino Linotype" w:cs="Palatino Linotype"/>
          <w:i/>
          <w:sz w:val="22"/>
          <w:szCs w:val="22"/>
        </w:rPr>
        <w:t>No entregan lo solicitado</w:t>
      </w:r>
      <w:r w:rsidRPr="008B3919">
        <w:rPr>
          <w:rFonts w:ascii="Palatino Linotype" w:eastAsia="Palatino Linotype" w:hAnsi="Palatino Linotype" w:cs="Palatino Linotype"/>
          <w:i/>
          <w:sz w:val="22"/>
          <w:szCs w:val="22"/>
        </w:rPr>
        <w:t>” (sic)</w:t>
      </w:r>
    </w:p>
    <w:p w14:paraId="199B1EFD" w14:textId="77777777" w:rsidR="00694AA0" w:rsidRPr="008B3919" w:rsidRDefault="005B22BA">
      <w:pPr>
        <w:spacing w:line="360" w:lineRule="auto"/>
        <w:jc w:val="both"/>
        <w:rPr>
          <w:rFonts w:ascii="Palatino Linotype" w:eastAsia="Palatino Linotype" w:hAnsi="Palatino Linotype" w:cs="Palatino Linotype"/>
          <w:sz w:val="22"/>
          <w:szCs w:val="22"/>
        </w:rPr>
      </w:pPr>
      <w:bookmarkStart w:id="4" w:name="_heading=h.30j0zll" w:colFirst="0" w:colLast="0"/>
      <w:bookmarkEnd w:id="4"/>
      <w:r w:rsidRPr="008B3919">
        <w:rPr>
          <w:rFonts w:ascii="Palatino Linotype" w:eastAsia="Palatino Linotype" w:hAnsi="Palatino Linotype" w:cs="Palatino Linotype"/>
          <w:b/>
          <w:sz w:val="22"/>
          <w:szCs w:val="22"/>
        </w:rPr>
        <w:t>Y, Razones o motivos de inconformidad</w:t>
      </w:r>
      <w:r w:rsidRPr="008B3919">
        <w:rPr>
          <w:rFonts w:ascii="Palatino Linotype" w:eastAsia="Palatino Linotype" w:hAnsi="Palatino Linotype" w:cs="Palatino Linotype"/>
          <w:sz w:val="22"/>
          <w:szCs w:val="22"/>
        </w:rPr>
        <w:t>:</w:t>
      </w:r>
    </w:p>
    <w:p w14:paraId="6F009CC9" w14:textId="3DAE9360" w:rsidR="00694AA0" w:rsidRPr="008B3919" w:rsidRDefault="005B22BA">
      <w:pPr>
        <w:tabs>
          <w:tab w:val="left" w:pos="2745"/>
        </w:tabs>
        <w:spacing w:before="240" w:after="240"/>
        <w:ind w:left="851" w:right="900"/>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w:t>
      </w:r>
      <w:r w:rsidR="00D74224" w:rsidRPr="008B3919">
        <w:rPr>
          <w:rFonts w:ascii="Palatino Linotype" w:eastAsia="Palatino Linotype" w:hAnsi="Palatino Linotype" w:cs="Palatino Linotype"/>
          <w:i/>
          <w:sz w:val="22"/>
          <w:szCs w:val="22"/>
        </w:rPr>
        <w:t xml:space="preserve">Violan mis derechos” </w:t>
      </w:r>
      <w:r w:rsidRPr="008B3919">
        <w:rPr>
          <w:rFonts w:ascii="Palatino Linotype" w:eastAsia="Palatino Linotype" w:hAnsi="Palatino Linotype" w:cs="Palatino Linotype"/>
          <w:i/>
          <w:sz w:val="22"/>
          <w:szCs w:val="22"/>
        </w:rPr>
        <w:t>(sic)</w:t>
      </w:r>
    </w:p>
    <w:p w14:paraId="058BB2CD" w14:textId="77777777" w:rsidR="00694AA0" w:rsidRPr="008B3919" w:rsidRDefault="005B22BA">
      <w:pPr>
        <w:spacing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b/>
          <w:sz w:val="22"/>
          <w:szCs w:val="22"/>
        </w:rPr>
        <w:t xml:space="preserve">4. Turno. </w:t>
      </w:r>
      <w:r w:rsidRPr="008B391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Pr="008B3919">
        <w:rPr>
          <w:rFonts w:ascii="Palatino Linotype" w:eastAsia="Palatino Linotype" w:hAnsi="Palatino Linotype" w:cs="Palatino Linotype"/>
          <w:sz w:val="22"/>
          <w:szCs w:val="22"/>
        </w:rPr>
        <w:lastRenderedPageBreak/>
        <w:t xml:space="preserve">a la Comisionada </w:t>
      </w:r>
      <w:r w:rsidRPr="008B3919">
        <w:rPr>
          <w:rFonts w:ascii="Palatino Linotype" w:eastAsia="Palatino Linotype" w:hAnsi="Palatino Linotype" w:cs="Palatino Linotype"/>
          <w:b/>
          <w:sz w:val="22"/>
          <w:szCs w:val="22"/>
        </w:rPr>
        <w:t xml:space="preserve">Guadalupe Ramírez Peña, </w:t>
      </w:r>
      <w:r w:rsidRPr="008B3919">
        <w:rPr>
          <w:rFonts w:ascii="Palatino Linotype" w:eastAsia="Palatino Linotype" w:hAnsi="Palatino Linotype" w:cs="Palatino Linotype"/>
          <w:sz w:val="22"/>
          <w:szCs w:val="22"/>
        </w:rPr>
        <w:t xml:space="preserve">a efecto de que analizara sobre su admisión o su </w:t>
      </w:r>
      <w:proofErr w:type="spellStart"/>
      <w:r w:rsidRPr="008B3919">
        <w:rPr>
          <w:rFonts w:ascii="Palatino Linotype" w:eastAsia="Palatino Linotype" w:hAnsi="Palatino Linotype" w:cs="Palatino Linotype"/>
          <w:sz w:val="22"/>
          <w:szCs w:val="22"/>
        </w:rPr>
        <w:t>desechamiento</w:t>
      </w:r>
      <w:proofErr w:type="spellEnd"/>
      <w:r w:rsidRPr="008B3919">
        <w:rPr>
          <w:rFonts w:ascii="Palatino Linotype" w:eastAsia="Palatino Linotype" w:hAnsi="Palatino Linotype" w:cs="Palatino Linotype"/>
          <w:sz w:val="22"/>
          <w:szCs w:val="22"/>
        </w:rPr>
        <w:t>.</w:t>
      </w:r>
    </w:p>
    <w:p w14:paraId="5B57059D" w14:textId="5C48450E" w:rsidR="00694AA0" w:rsidRPr="008B3919" w:rsidRDefault="005B22BA">
      <w:pPr>
        <w:spacing w:before="240" w:after="240" w:line="360" w:lineRule="auto"/>
        <w:jc w:val="both"/>
        <w:rPr>
          <w:rFonts w:ascii="Palatino Linotype" w:eastAsia="Palatino Linotype" w:hAnsi="Palatino Linotype" w:cs="Palatino Linotype"/>
          <w:b/>
          <w:sz w:val="22"/>
          <w:szCs w:val="22"/>
        </w:rPr>
      </w:pPr>
      <w:r w:rsidRPr="008B3919">
        <w:rPr>
          <w:rFonts w:ascii="Palatino Linotype" w:eastAsia="Palatino Linotype" w:hAnsi="Palatino Linotype" w:cs="Palatino Linotype"/>
          <w:b/>
          <w:sz w:val="22"/>
          <w:szCs w:val="22"/>
        </w:rPr>
        <w:t>5. Admisión del Recurso de revisión.</w:t>
      </w:r>
      <w:r w:rsidRPr="008B3919">
        <w:rPr>
          <w:rFonts w:ascii="Palatino Linotype" w:eastAsia="Palatino Linotype" w:hAnsi="Palatino Linotype" w:cs="Palatino Linotype"/>
          <w:sz w:val="22"/>
          <w:szCs w:val="22"/>
        </w:rPr>
        <w:t xml:space="preserve"> El</w:t>
      </w:r>
      <w:r w:rsidRPr="008B3919">
        <w:rPr>
          <w:rFonts w:ascii="Palatino Linotype" w:eastAsia="Palatino Linotype" w:hAnsi="Palatino Linotype" w:cs="Palatino Linotype"/>
          <w:b/>
          <w:sz w:val="22"/>
          <w:szCs w:val="22"/>
        </w:rPr>
        <w:t xml:space="preserve"> </w:t>
      </w:r>
      <w:r w:rsidR="006A0D3C" w:rsidRPr="008B3919">
        <w:rPr>
          <w:rFonts w:ascii="Palatino Linotype" w:eastAsia="Palatino Linotype" w:hAnsi="Palatino Linotype" w:cs="Palatino Linotype"/>
          <w:b/>
          <w:sz w:val="22"/>
          <w:szCs w:val="22"/>
        </w:rPr>
        <w:t>ocho de octubre</w:t>
      </w:r>
      <w:r w:rsidRPr="008B3919">
        <w:rPr>
          <w:rFonts w:ascii="Palatino Linotype" w:eastAsia="Palatino Linotype" w:hAnsi="Palatino Linotype" w:cs="Palatino Linotype"/>
          <w:b/>
          <w:sz w:val="22"/>
          <w:szCs w:val="22"/>
        </w:rPr>
        <w:t xml:space="preserve"> de dos mil veinticinco, </w:t>
      </w:r>
      <w:r w:rsidRPr="008B391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B3919">
        <w:rPr>
          <w:rFonts w:ascii="Palatino Linotype" w:eastAsia="Palatino Linotype" w:hAnsi="Palatino Linotype" w:cs="Palatino Linotype"/>
          <w:b/>
          <w:sz w:val="22"/>
          <w:szCs w:val="22"/>
        </w:rPr>
        <w:t xml:space="preserve">Sujeto Obligado </w:t>
      </w:r>
      <w:r w:rsidRPr="008B3919">
        <w:rPr>
          <w:rFonts w:ascii="Palatino Linotype" w:eastAsia="Palatino Linotype" w:hAnsi="Palatino Linotype" w:cs="Palatino Linotype"/>
          <w:sz w:val="22"/>
          <w:szCs w:val="22"/>
        </w:rPr>
        <w:t>presentara su informe justificado.</w:t>
      </w:r>
    </w:p>
    <w:p w14:paraId="4334C9CE" w14:textId="3B2FF61C" w:rsidR="009C1FBD" w:rsidRPr="008B3919" w:rsidRDefault="005B22BA">
      <w:pPr>
        <w:spacing w:before="240" w:after="240" w:line="360" w:lineRule="auto"/>
        <w:jc w:val="both"/>
        <w:rPr>
          <w:rFonts w:ascii="Palatino Linotype" w:eastAsia="Palatino Linotype" w:hAnsi="Palatino Linotype" w:cs="Palatino Linotype"/>
          <w:sz w:val="22"/>
          <w:szCs w:val="22"/>
        </w:rPr>
      </w:pPr>
      <w:bookmarkStart w:id="5" w:name="_heading=h.2s8eyo1" w:colFirst="0" w:colLast="0"/>
      <w:bookmarkEnd w:id="5"/>
      <w:r w:rsidRPr="008B3919">
        <w:rPr>
          <w:rFonts w:ascii="Palatino Linotype" w:eastAsia="Palatino Linotype" w:hAnsi="Palatino Linotype" w:cs="Palatino Linotype"/>
          <w:b/>
          <w:sz w:val="22"/>
          <w:szCs w:val="22"/>
        </w:rPr>
        <w:t>6. Manifestaciones</w:t>
      </w:r>
      <w:r w:rsidRPr="008B3919">
        <w:rPr>
          <w:rFonts w:ascii="Palatino Linotype" w:eastAsia="Palatino Linotype" w:hAnsi="Palatino Linotype" w:cs="Palatino Linotype"/>
          <w:sz w:val="22"/>
          <w:szCs w:val="22"/>
        </w:rPr>
        <w:t xml:space="preserve">. El </w:t>
      </w:r>
      <w:r w:rsidR="006A0D3C" w:rsidRPr="008B3919">
        <w:rPr>
          <w:rFonts w:ascii="Palatino Linotype" w:eastAsia="Palatino Linotype" w:hAnsi="Palatino Linotype" w:cs="Palatino Linotype"/>
          <w:b/>
          <w:bCs/>
          <w:sz w:val="22"/>
          <w:szCs w:val="22"/>
        </w:rPr>
        <w:t>diecisiete de octubre d</w:t>
      </w:r>
      <w:r w:rsidR="009C1FBD" w:rsidRPr="008B3919">
        <w:rPr>
          <w:rFonts w:ascii="Palatino Linotype" w:eastAsia="Palatino Linotype" w:hAnsi="Palatino Linotype" w:cs="Palatino Linotype"/>
          <w:b/>
          <w:bCs/>
          <w:sz w:val="22"/>
          <w:szCs w:val="22"/>
        </w:rPr>
        <w:t>e</w:t>
      </w:r>
      <w:r w:rsidR="009C1FBD" w:rsidRPr="008B3919">
        <w:rPr>
          <w:rFonts w:ascii="Palatino Linotype" w:eastAsia="Palatino Linotype" w:hAnsi="Palatino Linotype" w:cs="Palatino Linotype"/>
          <w:sz w:val="22"/>
          <w:szCs w:val="22"/>
        </w:rPr>
        <w:t xml:space="preserve"> </w:t>
      </w:r>
      <w:r w:rsidRPr="008B3919">
        <w:rPr>
          <w:rFonts w:ascii="Palatino Linotype" w:eastAsia="Palatino Linotype" w:hAnsi="Palatino Linotype" w:cs="Palatino Linotype"/>
          <w:b/>
          <w:sz w:val="22"/>
          <w:szCs w:val="22"/>
        </w:rPr>
        <w:t>dos mil veinticinco</w:t>
      </w:r>
      <w:r w:rsidRPr="008B3919">
        <w:rPr>
          <w:rFonts w:ascii="Palatino Linotype" w:eastAsia="Palatino Linotype" w:hAnsi="Palatino Linotype" w:cs="Palatino Linotype"/>
          <w:sz w:val="22"/>
          <w:szCs w:val="22"/>
        </w:rPr>
        <w:t xml:space="preserve">, el </w:t>
      </w:r>
      <w:r w:rsidRPr="008B3919">
        <w:rPr>
          <w:rFonts w:ascii="Palatino Linotype" w:eastAsia="Palatino Linotype" w:hAnsi="Palatino Linotype" w:cs="Palatino Linotype"/>
          <w:b/>
          <w:sz w:val="22"/>
          <w:szCs w:val="22"/>
        </w:rPr>
        <w:t>Sujeto Obligado</w:t>
      </w:r>
      <w:r w:rsidRPr="008B3919">
        <w:rPr>
          <w:rFonts w:ascii="Palatino Linotype" w:eastAsia="Palatino Linotype" w:hAnsi="Palatino Linotype" w:cs="Palatino Linotype"/>
          <w:sz w:val="22"/>
          <w:szCs w:val="22"/>
        </w:rPr>
        <w:t xml:space="preserve"> remitió, a través del SAIMEX</w:t>
      </w:r>
      <w:r w:rsidR="009C1FBD" w:rsidRPr="008B3919">
        <w:rPr>
          <w:rFonts w:ascii="Palatino Linotype" w:eastAsia="Palatino Linotype" w:hAnsi="Palatino Linotype" w:cs="Palatino Linotype"/>
          <w:sz w:val="22"/>
          <w:szCs w:val="22"/>
        </w:rPr>
        <w:t xml:space="preserve"> lo siguiente:</w:t>
      </w:r>
    </w:p>
    <w:p w14:paraId="039348B6" w14:textId="4E06D016" w:rsidR="009F5343" w:rsidRPr="008B3919" w:rsidRDefault="009F5343">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 Escrito mediante el cual el titular </w:t>
      </w:r>
      <w:r w:rsidR="006E15E3" w:rsidRPr="008B3919">
        <w:rPr>
          <w:rFonts w:ascii="Palatino Linotype" w:eastAsia="Palatino Linotype" w:hAnsi="Palatino Linotype" w:cs="Palatino Linotype"/>
          <w:sz w:val="22"/>
          <w:szCs w:val="22"/>
        </w:rPr>
        <w:t xml:space="preserve">de la Unidad de Transparencia </w:t>
      </w:r>
      <w:r w:rsidRPr="008B3919">
        <w:rPr>
          <w:rFonts w:ascii="Palatino Linotype" w:eastAsia="Palatino Linotype" w:hAnsi="Palatino Linotype" w:cs="Palatino Linotype"/>
          <w:sz w:val="22"/>
          <w:szCs w:val="22"/>
        </w:rPr>
        <w:t>ratificó la respuesta proporcionada en primera instancia.</w:t>
      </w:r>
    </w:p>
    <w:p w14:paraId="3624885C" w14:textId="2AC65AE5" w:rsidR="009F5343" w:rsidRPr="008B3919" w:rsidRDefault="009F5343">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 </w:t>
      </w:r>
      <w:r w:rsidR="0075679E" w:rsidRPr="008B3919">
        <w:rPr>
          <w:rFonts w:ascii="Palatino Linotype" w:eastAsia="Palatino Linotype" w:hAnsi="Palatino Linotype" w:cs="Palatino Linotype"/>
          <w:sz w:val="22"/>
          <w:szCs w:val="22"/>
        </w:rPr>
        <w:t xml:space="preserve">Oficio </w:t>
      </w:r>
      <w:r w:rsidR="004F0942" w:rsidRPr="008B3919">
        <w:rPr>
          <w:rFonts w:ascii="Palatino Linotype" w:eastAsia="Palatino Linotype" w:hAnsi="Palatino Linotype" w:cs="Palatino Linotype"/>
          <w:sz w:val="22"/>
          <w:szCs w:val="22"/>
        </w:rPr>
        <w:t>número 206010000</w:t>
      </w:r>
      <w:r w:rsidR="006A0D3C" w:rsidRPr="008B3919">
        <w:rPr>
          <w:rFonts w:ascii="Palatino Linotype" w:eastAsia="Palatino Linotype" w:hAnsi="Palatino Linotype" w:cs="Palatino Linotype"/>
          <w:sz w:val="22"/>
          <w:szCs w:val="22"/>
        </w:rPr>
        <w:t>/6206/2025</w:t>
      </w:r>
      <w:r w:rsidR="0075679E" w:rsidRPr="008B3919">
        <w:rPr>
          <w:rFonts w:ascii="Palatino Linotype" w:eastAsia="Palatino Linotype" w:hAnsi="Palatino Linotype" w:cs="Palatino Linotype"/>
          <w:sz w:val="22"/>
          <w:szCs w:val="22"/>
        </w:rPr>
        <w:t xml:space="preserve">, mediante el cual </w:t>
      </w:r>
      <w:r w:rsidR="006A0D3C" w:rsidRPr="008B3919">
        <w:rPr>
          <w:rFonts w:ascii="Palatino Linotype" w:eastAsia="Palatino Linotype" w:hAnsi="Palatino Linotype" w:cs="Palatino Linotype"/>
          <w:sz w:val="22"/>
          <w:szCs w:val="22"/>
        </w:rPr>
        <w:t xml:space="preserve">la Directora General de Administración </w:t>
      </w:r>
      <w:r w:rsidR="0075679E" w:rsidRPr="008B3919">
        <w:rPr>
          <w:rFonts w:ascii="Palatino Linotype" w:eastAsia="Palatino Linotype" w:hAnsi="Palatino Linotype" w:cs="Palatino Linotype"/>
          <w:sz w:val="22"/>
          <w:szCs w:val="22"/>
        </w:rPr>
        <w:t>ratificó la respuesta proporcionada en primera instancia.</w:t>
      </w:r>
    </w:p>
    <w:p w14:paraId="0FC00381" w14:textId="77777777" w:rsidR="00694AA0" w:rsidRPr="008B3919" w:rsidRDefault="005B22BA">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 siendo omisa en ejercer dicha prerrogativa.</w:t>
      </w:r>
    </w:p>
    <w:p w14:paraId="339C9D6D" w14:textId="54BDEBA1" w:rsidR="00694AA0" w:rsidRPr="008B3919" w:rsidRDefault="00AD444D">
      <w:pPr>
        <w:widowControl w:val="0"/>
        <w:spacing w:before="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b/>
          <w:sz w:val="22"/>
          <w:szCs w:val="22"/>
        </w:rPr>
        <w:t>7</w:t>
      </w:r>
      <w:r w:rsidR="00DB513A" w:rsidRPr="008B3919">
        <w:rPr>
          <w:rFonts w:ascii="Palatino Linotype" w:eastAsia="Palatino Linotype" w:hAnsi="Palatino Linotype" w:cs="Palatino Linotype"/>
          <w:b/>
          <w:sz w:val="22"/>
          <w:szCs w:val="22"/>
        </w:rPr>
        <w:t>.</w:t>
      </w:r>
      <w:r w:rsidR="005B22BA" w:rsidRPr="008B3919">
        <w:rPr>
          <w:rFonts w:ascii="Palatino Linotype" w:eastAsia="Palatino Linotype" w:hAnsi="Palatino Linotype" w:cs="Palatino Linotype"/>
          <w:b/>
          <w:sz w:val="22"/>
          <w:szCs w:val="22"/>
        </w:rPr>
        <w:t xml:space="preserve"> Ampliación del término para resolver</w:t>
      </w:r>
      <w:r w:rsidR="005B22BA" w:rsidRPr="008B3919">
        <w:rPr>
          <w:rFonts w:ascii="Palatino Linotype" w:eastAsia="Palatino Linotype" w:hAnsi="Palatino Linotype" w:cs="Palatino Linotype"/>
          <w:sz w:val="22"/>
          <w:szCs w:val="22"/>
        </w:rPr>
        <w:t xml:space="preserve">. </w:t>
      </w:r>
      <w:r w:rsidRPr="008B3919">
        <w:rPr>
          <w:rFonts w:ascii="Palatino Linotype" w:eastAsia="Palatino Linotype" w:hAnsi="Palatino Linotype" w:cs="Palatino Linotype"/>
          <w:sz w:val="22"/>
          <w:szCs w:val="22"/>
        </w:rPr>
        <w:t xml:space="preserve">El </w:t>
      </w:r>
      <w:r w:rsidR="006A0D3C" w:rsidRPr="008B3919">
        <w:rPr>
          <w:rFonts w:ascii="Palatino Linotype" w:eastAsia="Palatino Linotype" w:hAnsi="Palatino Linotype" w:cs="Palatino Linotype"/>
          <w:b/>
          <w:bCs/>
          <w:sz w:val="22"/>
          <w:szCs w:val="22"/>
        </w:rPr>
        <w:t>nueve</w:t>
      </w:r>
      <w:r w:rsidR="0070776B" w:rsidRPr="008B3919">
        <w:rPr>
          <w:rFonts w:ascii="Palatino Linotype" w:eastAsia="Palatino Linotype" w:hAnsi="Palatino Linotype" w:cs="Palatino Linotype"/>
          <w:b/>
          <w:bCs/>
          <w:sz w:val="22"/>
          <w:szCs w:val="22"/>
        </w:rPr>
        <w:t xml:space="preserve"> de diciembre </w:t>
      </w:r>
      <w:r w:rsidR="00C00558" w:rsidRPr="008B3919">
        <w:rPr>
          <w:rFonts w:ascii="Palatino Linotype" w:eastAsia="Palatino Linotype" w:hAnsi="Palatino Linotype" w:cs="Palatino Linotype"/>
          <w:b/>
          <w:bCs/>
          <w:sz w:val="22"/>
          <w:szCs w:val="22"/>
        </w:rPr>
        <w:t>de dos mil veinticinco</w:t>
      </w:r>
      <w:r w:rsidR="005B22BA" w:rsidRPr="008B3919">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20F42CBB" w14:textId="77777777" w:rsidR="00A8727F" w:rsidRPr="008B3919" w:rsidRDefault="00A8727F" w:rsidP="00A8727F">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264C97D" w14:textId="77777777" w:rsidR="00A8727F" w:rsidRPr="008B3919" w:rsidRDefault="00A8727F" w:rsidP="00A8727F">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F92AC27" w14:textId="77777777" w:rsidR="00A8727F" w:rsidRPr="008B3919" w:rsidRDefault="00A8727F" w:rsidP="00A8727F">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E35C04" w14:textId="77777777" w:rsidR="00A8727F" w:rsidRPr="008B3919" w:rsidRDefault="00A8727F" w:rsidP="00A8727F">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54DC512" w14:textId="77777777" w:rsidR="00A8727F" w:rsidRPr="008B3919" w:rsidRDefault="00A8727F" w:rsidP="00A8727F">
      <w:pPr>
        <w:spacing w:before="240" w:after="240" w:line="360" w:lineRule="auto"/>
        <w:jc w:val="both"/>
        <w:rPr>
          <w:rFonts w:ascii="Palatino Linotype" w:eastAsia="Palatino Linotype" w:hAnsi="Palatino Linotype" w:cs="Palatino Linotype"/>
          <w:strike/>
          <w:sz w:val="22"/>
          <w:szCs w:val="22"/>
        </w:rPr>
      </w:pPr>
      <w:r w:rsidRPr="008B3919">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38DFF2F" w14:textId="77777777" w:rsidR="00A8727F" w:rsidRPr="008B3919" w:rsidRDefault="00A8727F" w:rsidP="00A8727F">
      <w:pPr>
        <w:numPr>
          <w:ilvl w:val="0"/>
          <w:numId w:val="13"/>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49837807" w14:textId="77777777" w:rsidR="00A8727F" w:rsidRPr="008B3919" w:rsidRDefault="00A8727F" w:rsidP="00A8727F">
      <w:pPr>
        <w:numPr>
          <w:ilvl w:val="0"/>
          <w:numId w:val="13"/>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Actividad Procesal del interesado. Acciones u omisiones del interesado.</w:t>
      </w:r>
    </w:p>
    <w:p w14:paraId="53A08919" w14:textId="77777777" w:rsidR="00A8727F" w:rsidRPr="008B3919" w:rsidRDefault="00A8727F" w:rsidP="00A8727F">
      <w:pPr>
        <w:numPr>
          <w:ilvl w:val="0"/>
          <w:numId w:val="13"/>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50B854C7" w14:textId="77777777" w:rsidR="00A8727F" w:rsidRPr="008B3919" w:rsidRDefault="00A8727F" w:rsidP="00A8727F">
      <w:pPr>
        <w:tabs>
          <w:tab w:val="left" w:pos="567"/>
        </w:tabs>
        <w:spacing w:before="240" w:after="240" w:line="360" w:lineRule="auto"/>
        <w:ind w:left="284"/>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4A99482F" w14:textId="77777777" w:rsidR="00A8727F" w:rsidRPr="008B3919" w:rsidRDefault="00A8727F" w:rsidP="00A8727F">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731082" w14:textId="77777777" w:rsidR="00A8727F" w:rsidRPr="008B3919" w:rsidRDefault="00A8727F" w:rsidP="00A8727F">
      <w:pPr>
        <w:spacing w:before="240" w:after="240" w:line="360" w:lineRule="auto"/>
        <w:jc w:val="both"/>
        <w:rPr>
          <w:rFonts w:ascii="Palatino Linotype" w:eastAsia="Palatino Linotype" w:hAnsi="Palatino Linotype" w:cs="Palatino Linotype"/>
          <w:b/>
          <w:sz w:val="22"/>
          <w:szCs w:val="22"/>
        </w:rPr>
      </w:pPr>
      <w:r w:rsidRPr="008B3919">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8B3919">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8B3919">
        <w:rPr>
          <w:rFonts w:ascii="Palatino Linotype" w:eastAsia="Palatino Linotype" w:hAnsi="Palatino Linotype" w:cs="Palatino Linotype"/>
          <w:sz w:val="22"/>
          <w:szCs w:val="22"/>
        </w:rPr>
        <w:t>, visible en la Gaceta del Seminario Judicial de la Federación con el registro digital 205635.</w:t>
      </w:r>
    </w:p>
    <w:p w14:paraId="5A4D3879" w14:textId="77777777" w:rsidR="00A8727F" w:rsidRPr="008B3919" w:rsidRDefault="00A8727F" w:rsidP="00A8727F">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7C4D80" w14:textId="77777777" w:rsidR="00A8727F" w:rsidRPr="008B3919" w:rsidRDefault="00A8727F" w:rsidP="00A8727F">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EB615A5" w14:textId="77777777" w:rsidR="00A8727F" w:rsidRPr="008B3919" w:rsidRDefault="00A8727F" w:rsidP="00A8727F">
      <w:pPr>
        <w:spacing w:before="120" w:after="120"/>
        <w:ind w:left="851" w:right="902"/>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 </w:t>
      </w:r>
      <w:r w:rsidRPr="008B3919">
        <w:rPr>
          <w:rFonts w:ascii="Palatino Linotype" w:eastAsia="Palatino Linotype" w:hAnsi="Palatino Linotype" w:cs="Palatino Linotype"/>
          <w:i/>
          <w:sz w:val="22"/>
          <w:szCs w:val="22"/>
        </w:rPr>
        <w:t>“</w:t>
      </w:r>
      <w:r w:rsidRPr="008B3919">
        <w:rPr>
          <w:rFonts w:ascii="Palatino Linotype" w:eastAsia="Palatino Linotype" w:hAnsi="Palatino Linotype" w:cs="Palatino Linotype"/>
          <w:b/>
          <w:i/>
          <w:sz w:val="22"/>
          <w:szCs w:val="22"/>
        </w:rPr>
        <w:t>PLAZO RAZONABLE PARA RESOLVER. DIMENSIÓN Y EFECTOS DE ESTE CONCEPTO CUANDO SE ADUCE EXCESIVA CARGA DE TRABAJO</w:t>
      </w:r>
      <w:r w:rsidRPr="008B3919">
        <w:rPr>
          <w:rFonts w:ascii="Palatino Linotype" w:eastAsia="Palatino Linotype" w:hAnsi="Palatino Linotype" w:cs="Palatino Linotype"/>
          <w:i/>
          <w:sz w:val="22"/>
          <w:szCs w:val="22"/>
        </w:rPr>
        <w:t>.”</w:t>
      </w:r>
      <w:r w:rsidRPr="008B3919">
        <w:rPr>
          <w:rFonts w:ascii="Palatino Linotype" w:eastAsia="Palatino Linotype" w:hAnsi="Palatino Linotype" w:cs="Palatino Linotype"/>
          <w:sz w:val="22"/>
          <w:szCs w:val="22"/>
        </w:rPr>
        <w:t xml:space="preserve"> consultable en el Seminario Judicial de la Federación y su gaceta, con el registro digital 2002351.</w:t>
      </w:r>
    </w:p>
    <w:p w14:paraId="6A69353A" w14:textId="77777777" w:rsidR="00A8727F" w:rsidRPr="008B3919" w:rsidRDefault="00A8727F" w:rsidP="00A8727F">
      <w:pPr>
        <w:spacing w:before="120" w:after="120"/>
        <w:ind w:left="851" w:right="902"/>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i/>
          <w:sz w:val="22"/>
          <w:szCs w:val="22"/>
        </w:rPr>
        <w:t>“</w:t>
      </w:r>
      <w:r w:rsidRPr="008B391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B3919">
        <w:rPr>
          <w:rFonts w:ascii="Palatino Linotype" w:eastAsia="Palatino Linotype" w:hAnsi="Palatino Linotype" w:cs="Palatino Linotype"/>
          <w:i/>
          <w:sz w:val="22"/>
          <w:szCs w:val="22"/>
        </w:rPr>
        <w:t>.”</w:t>
      </w:r>
      <w:r w:rsidRPr="008B3919">
        <w:rPr>
          <w:rFonts w:ascii="Palatino Linotype" w:eastAsia="Palatino Linotype" w:hAnsi="Palatino Linotype" w:cs="Palatino Linotype"/>
          <w:sz w:val="22"/>
          <w:szCs w:val="22"/>
        </w:rPr>
        <w:t>, visible en el Seminario Judicial de la Federación y su gaceta, con el registro digital 2002350.</w:t>
      </w:r>
    </w:p>
    <w:p w14:paraId="612BED8D" w14:textId="77777777" w:rsidR="00A8727F" w:rsidRPr="008B3919" w:rsidRDefault="00A8727F" w:rsidP="00A8727F">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07D68D7C" w14:textId="17A86F06" w:rsidR="006A0D3C" w:rsidRPr="008B3919" w:rsidRDefault="006A0D3C" w:rsidP="006A0D3C">
      <w:pPr>
        <w:widowControl w:val="0"/>
        <w:spacing w:before="240" w:line="360" w:lineRule="auto"/>
        <w:jc w:val="both"/>
        <w:rPr>
          <w:rFonts w:ascii="Palatino Linotype" w:eastAsia="Palatino Linotype" w:hAnsi="Palatino Linotype" w:cs="Palatino Linotype"/>
          <w:b/>
          <w:sz w:val="22"/>
          <w:szCs w:val="22"/>
        </w:rPr>
      </w:pPr>
      <w:r w:rsidRPr="008B3919">
        <w:rPr>
          <w:rFonts w:ascii="Palatino Linotype" w:eastAsia="Palatino Linotype" w:hAnsi="Palatino Linotype" w:cs="Palatino Linotype"/>
          <w:b/>
          <w:sz w:val="22"/>
          <w:szCs w:val="22"/>
        </w:rPr>
        <w:t xml:space="preserve">8. Cierre de instrucción. </w:t>
      </w:r>
      <w:r w:rsidRPr="008B391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4C2FE1" w:rsidRPr="008B3919">
        <w:rPr>
          <w:rFonts w:ascii="Palatino Linotype" w:eastAsia="Palatino Linotype" w:hAnsi="Palatino Linotype" w:cs="Palatino Linotype"/>
          <w:b/>
          <w:sz w:val="22"/>
          <w:szCs w:val="22"/>
        </w:rPr>
        <w:t>diecisiete</w:t>
      </w:r>
      <w:r w:rsidR="00133291" w:rsidRPr="008B3919">
        <w:rPr>
          <w:rFonts w:ascii="Palatino Linotype" w:eastAsia="Palatino Linotype" w:hAnsi="Palatino Linotype" w:cs="Palatino Linotype"/>
          <w:b/>
          <w:sz w:val="22"/>
          <w:szCs w:val="22"/>
        </w:rPr>
        <w:t xml:space="preserve"> </w:t>
      </w:r>
      <w:r w:rsidRPr="008B3919">
        <w:rPr>
          <w:rFonts w:ascii="Palatino Linotype" w:eastAsia="Palatino Linotype" w:hAnsi="Palatino Linotype" w:cs="Palatino Linotype"/>
          <w:b/>
          <w:sz w:val="22"/>
          <w:szCs w:val="22"/>
        </w:rPr>
        <w:t>de diciembre de dos mil veinticinco</w:t>
      </w:r>
      <w:r w:rsidRPr="008B391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r w:rsidR="004C2FE1" w:rsidRPr="008B3919">
        <w:rPr>
          <w:rFonts w:ascii="Palatino Linotype" w:eastAsia="Palatino Linotype" w:hAnsi="Palatino Linotype" w:cs="Palatino Linotype"/>
          <w:sz w:val="22"/>
          <w:szCs w:val="22"/>
        </w:rPr>
        <w:t xml:space="preserve">, mediante acuerdo notificado el dieciocho de diciembre de dos mil veintiséis. </w:t>
      </w:r>
    </w:p>
    <w:p w14:paraId="3632DFE2" w14:textId="77777777" w:rsidR="00694AA0" w:rsidRPr="008B3919" w:rsidRDefault="005B22BA">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8C3A9B5" w14:textId="77777777" w:rsidR="00694AA0" w:rsidRPr="008B3919" w:rsidRDefault="005B22BA">
      <w:pPr>
        <w:widowControl w:val="0"/>
        <w:spacing w:before="240" w:after="240" w:line="360" w:lineRule="auto"/>
        <w:jc w:val="center"/>
        <w:rPr>
          <w:rFonts w:ascii="Palatino Linotype" w:eastAsia="Palatino Linotype" w:hAnsi="Palatino Linotype" w:cs="Palatino Linotype"/>
          <w:b/>
          <w:sz w:val="22"/>
          <w:szCs w:val="22"/>
        </w:rPr>
      </w:pPr>
      <w:r w:rsidRPr="008B3919">
        <w:rPr>
          <w:rFonts w:ascii="Palatino Linotype" w:eastAsia="Palatino Linotype" w:hAnsi="Palatino Linotype" w:cs="Palatino Linotype"/>
          <w:b/>
          <w:sz w:val="22"/>
          <w:szCs w:val="22"/>
        </w:rPr>
        <w:t>II. C O N S I D E R A N D O S</w:t>
      </w:r>
    </w:p>
    <w:p w14:paraId="65525EF7" w14:textId="60C8B49A" w:rsidR="00694AA0" w:rsidRPr="008B3919" w:rsidRDefault="005B22BA">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b/>
          <w:sz w:val="22"/>
          <w:szCs w:val="22"/>
        </w:rPr>
        <w:t>Primero. Competencia.</w:t>
      </w:r>
      <w:r w:rsidRPr="008B391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w:t>
      </w:r>
      <w:r w:rsidR="008E0B27" w:rsidRPr="008B3919">
        <w:rPr>
          <w:rFonts w:ascii="Palatino Linotype" w:eastAsia="Palatino Linotype" w:hAnsi="Palatino Linotype" w:cs="Palatino Linotype"/>
          <w:sz w:val="22"/>
          <w:szCs w:val="22"/>
        </w:rPr>
        <w:t>cuarto, cuadragésimo quinto y cuadragésimo sexto</w:t>
      </w:r>
      <w:r w:rsidRPr="008B3919">
        <w:rPr>
          <w:rFonts w:ascii="Palatino Linotype" w:eastAsia="Palatino Linotype" w:hAnsi="Palatino Linotype" w:cs="Palatino Linotype"/>
          <w:sz w:val="22"/>
          <w:szCs w:val="22"/>
        </w:rPr>
        <w:t xml:space="preserve">, fracciones IV y V de la Constitución Política del Estado Libre y Soberano de México; </w:t>
      </w:r>
      <w:r w:rsidR="00BE3EF4" w:rsidRPr="008B3919">
        <w:rPr>
          <w:rFonts w:ascii="Palatino Linotype" w:eastAsia="Palatino Linotype" w:hAnsi="Palatino Linotype" w:cs="Palatino Linotype"/>
          <w:sz w:val="22"/>
          <w:szCs w:val="22"/>
        </w:rPr>
        <w:t xml:space="preserve">transitorio Cuarto del Decreto número 198 de la “LXII” Legislatura del Estado de México; </w:t>
      </w:r>
      <w:r w:rsidRPr="008B3919">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4121E3F" w14:textId="77777777" w:rsidR="00694AA0" w:rsidRPr="008B3919" w:rsidRDefault="005B22BA">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8B3919">
        <w:rPr>
          <w:rFonts w:ascii="Palatino Linotype" w:eastAsia="Palatino Linotype" w:hAnsi="Palatino Linotype" w:cs="Palatino Linotype"/>
          <w:b/>
          <w:sz w:val="22"/>
          <w:szCs w:val="22"/>
        </w:rPr>
        <w:t>Segundo. Oportunidad y Procedibilidad del Recurso de Revisión</w:t>
      </w:r>
      <w:r w:rsidRPr="008B391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61F1BAB" w14:textId="31D20760" w:rsidR="00694AA0" w:rsidRPr="008B3919" w:rsidRDefault="005B22BA">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8B3919">
        <w:rPr>
          <w:rFonts w:ascii="Palatino Linotype" w:eastAsia="Palatino Linotype" w:hAnsi="Palatino Linotype" w:cs="Palatino Linotype"/>
          <w:b/>
          <w:sz w:val="22"/>
          <w:szCs w:val="22"/>
        </w:rPr>
        <w:t xml:space="preserve">Sujeto Obligado </w:t>
      </w:r>
      <w:r w:rsidRPr="008B3919">
        <w:rPr>
          <w:rFonts w:ascii="Palatino Linotype" w:eastAsia="Palatino Linotype" w:hAnsi="Palatino Linotype" w:cs="Palatino Linotype"/>
          <w:sz w:val="22"/>
          <w:szCs w:val="22"/>
        </w:rPr>
        <w:t xml:space="preserve">remitió la respuesta a la solicitud de información el día </w:t>
      </w:r>
      <w:r w:rsidR="00133291" w:rsidRPr="008B3919">
        <w:rPr>
          <w:rFonts w:ascii="Palatino Linotype" w:eastAsia="Palatino Linotype" w:hAnsi="Palatino Linotype" w:cs="Palatino Linotype"/>
          <w:b/>
          <w:sz w:val="22"/>
          <w:szCs w:val="22"/>
        </w:rPr>
        <w:t>uno de octubre de dos mil veinticinco</w:t>
      </w:r>
      <w:r w:rsidRPr="008B3919">
        <w:rPr>
          <w:rFonts w:ascii="Palatino Linotype" w:eastAsia="Palatino Linotype" w:hAnsi="Palatino Linotype" w:cs="Palatino Linotype"/>
          <w:b/>
          <w:sz w:val="22"/>
          <w:szCs w:val="22"/>
        </w:rPr>
        <w:t xml:space="preserve">, </w:t>
      </w:r>
      <w:r w:rsidRPr="008B3919">
        <w:rPr>
          <w:rFonts w:ascii="Palatino Linotype" w:eastAsia="Palatino Linotype" w:hAnsi="Palatino Linotype" w:cs="Palatino Linotype"/>
          <w:sz w:val="22"/>
          <w:szCs w:val="22"/>
        </w:rPr>
        <w:t xml:space="preserve">mientras que el recurso de revisión interpuesto por la parte </w:t>
      </w:r>
      <w:r w:rsidRPr="008B3919">
        <w:rPr>
          <w:rFonts w:ascii="Palatino Linotype" w:eastAsia="Palatino Linotype" w:hAnsi="Palatino Linotype" w:cs="Palatino Linotype"/>
          <w:b/>
          <w:sz w:val="22"/>
          <w:szCs w:val="22"/>
        </w:rPr>
        <w:t xml:space="preserve">Recurrente, </w:t>
      </w:r>
      <w:r w:rsidRPr="008B3919">
        <w:rPr>
          <w:rFonts w:ascii="Palatino Linotype" w:eastAsia="Palatino Linotype" w:hAnsi="Palatino Linotype" w:cs="Palatino Linotype"/>
          <w:sz w:val="22"/>
          <w:szCs w:val="22"/>
        </w:rPr>
        <w:t>se tuvo por presentado el día</w:t>
      </w:r>
      <w:r w:rsidRPr="008B3919">
        <w:rPr>
          <w:rFonts w:ascii="Palatino Linotype" w:eastAsia="Palatino Linotype" w:hAnsi="Palatino Linotype" w:cs="Palatino Linotype"/>
          <w:b/>
          <w:sz w:val="22"/>
          <w:szCs w:val="22"/>
        </w:rPr>
        <w:t xml:space="preserve"> </w:t>
      </w:r>
      <w:r w:rsidR="00133291" w:rsidRPr="008B3919">
        <w:rPr>
          <w:rFonts w:ascii="Palatino Linotype" w:eastAsia="Palatino Linotype" w:hAnsi="Palatino Linotype" w:cs="Palatino Linotype"/>
          <w:b/>
          <w:sz w:val="22"/>
          <w:szCs w:val="22"/>
        </w:rPr>
        <w:t>dos de octubre de dos mil veinticinco</w:t>
      </w:r>
      <w:r w:rsidRPr="008B3919">
        <w:rPr>
          <w:rFonts w:ascii="Palatino Linotype" w:eastAsia="Palatino Linotype" w:hAnsi="Palatino Linotype" w:cs="Palatino Linotype"/>
          <w:b/>
          <w:sz w:val="22"/>
          <w:szCs w:val="22"/>
        </w:rPr>
        <w:t xml:space="preserve">, </w:t>
      </w:r>
      <w:r w:rsidRPr="008B3919">
        <w:rPr>
          <w:rFonts w:ascii="Palatino Linotype" w:eastAsia="Palatino Linotype" w:hAnsi="Palatino Linotype" w:cs="Palatino Linotype"/>
          <w:sz w:val="22"/>
          <w:szCs w:val="22"/>
        </w:rPr>
        <w:t xml:space="preserve">esto es, </w:t>
      </w:r>
      <w:r w:rsidR="009711CB" w:rsidRPr="008B3919">
        <w:rPr>
          <w:rFonts w:ascii="Palatino Linotype" w:eastAsia="Palatino Linotype" w:hAnsi="Palatino Linotype" w:cs="Palatino Linotype"/>
          <w:sz w:val="22"/>
          <w:szCs w:val="22"/>
        </w:rPr>
        <w:t xml:space="preserve">al </w:t>
      </w:r>
      <w:r w:rsidR="00C00558" w:rsidRPr="008B3919">
        <w:rPr>
          <w:rFonts w:ascii="Palatino Linotype" w:eastAsia="Palatino Linotype" w:hAnsi="Palatino Linotype" w:cs="Palatino Linotype"/>
          <w:sz w:val="22"/>
          <w:szCs w:val="22"/>
        </w:rPr>
        <w:t>s</w:t>
      </w:r>
      <w:r w:rsidR="00397DDF" w:rsidRPr="008B3919">
        <w:rPr>
          <w:rFonts w:ascii="Palatino Linotype" w:eastAsia="Palatino Linotype" w:hAnsi="Palatino Linotype" w:cs="Palatino Linotype"/>
          <w:sz w:val="22"/>
          <w:szCs w:val="22"/>
        </w:rPr>
        <w:t>iguiente</w:t>
      </w:r>
      <w:r w:rsidR="00C00558" w:rsidRPr="008B3919">
        <w:rPr>
          <w:rFonts w:ascii="Palatino Linotype" w:eastAsia="Palatino Linotype" w:hAnsi="Palatino Linotype" w:cs="Palatino Linotype"/>
          <w:sz w:val="22"/>
          <w:szCs w:val="22"/>
        </w:rPr>
        <w:t xml:space="preserve"> </w:t>
      </w:r>
      <w:r w:rsidR="009711CB" w:rsidRPr="008B3919">
        <w:rPr>
          <w:rFonts w:ascii="Palatino Linotype" w:eastAsia="Palatino Linotype" w:hAnsi="Palatino Linotype" w:cs="Palatino Linotype"/>
          <w:sz w:val="22"/>
          <w:szCs w:val="22"/>
        </w:rPr>
        <w:t>día hábil</w:t>
      </w:r>
      <w:r w:rsidRPr="008B3919">
        <w:rPr>
          <w:rFonts w:ascii="Palatino Linotype" w:eastAsia="Palatino Linotype" w:hAnsi="Palatino Linotype" w:cs="Palatino Linotype"/>
          <w:sz w:val="22"/>
          <w:szCs w:val="22"/>
        </w:rPr>
        <w:t xml:space="preserve"> posterior a aquel en el que tuvo conocimiento de la respuesta impugnada. En este sentido, se concluye que el presente recurso de revisión se encuentra dentro de los márgenes temporales previstos en las disposiciones legales referidas.</w:t>
      </w:r>
    </w:p>
    <w:p w14:paraId="1F56F7F6" w14:textId="77777777" w:rsidR="00C00558" w:rsidRPr="008B3919" w:rsidRDefault="00C00558" w:rsidP="00C00558">
      <w:pPr>
        <w:tabs>
          <w:tab w:val="left" w:pos="7938"/>
        </w:tabs>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37211C8" w14:textId="77777777" w:rsidR="00FA3C9A" w:rsidRPr="008B3919" w:rsidRDefault="00FA3C9A" w:rsidP="00FA3C9A">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Además, por cuanto hace a la procedibilidad del recurso de revisión, es de suma importancia señalar que la parte</w:t>
      </w:r>
      <w:r w:rsidRPr="008B3919">
        <w:rPr>
          <w:rFonts w:ascii="Palatino Linotype" w:eastAsia="Palatino Linotype" w:hAnsi="Palatino Linotype" w:cs="Palatino Linotype"/>
          <w:b/>
          <w:sz w:val="22"/>
          <w:szCs w:val="22"/>
        </w:rPr>
        <w:t xml:space="preserve"> Recurrente</w:t>
      </w:r>
      <w:r w:rsidRPr="008B3919">
        <w:rPr>
          <w:rFonts w:ascii="Palatino Linotype" w:eastAsia="Palatino Linotype" w:hAnsi="Palatino Linotype" w:cs="Palatino Linotype"/>
          <w:sz w:val="22"/>
          <w:szCs w:val="22"/>
        </w:rPr>
        <w:t xml:space="preserve">, no señaló </w:t>
      </w:r>
      <w:r w:rsidRPr="008B3919">
        <w:rPr>
          <w:rFonts w:ascii="Palatino Linotype" w:eastAsia="Palatino Linotype" w:hAnsi="Palatino Linotype" w:cs="Palatino Linotype"/>
          <w:b/>
          <w:sz w:val="22"/>
          <w:szCs w:val="22"/>
        </w:rPr>
        <w:t>nombre o seudónimo,</w:t>
      </w:r>
      <w:r w:rsidRPr="008B3919">
        <w:rPr>
          <w:rFonts w:ascii="Palatino Linotype" w:eastAsia="Palatino Linotype" w:hAnsi="Palatino Linotype" w:cs="Palatino Linotype"/>
          <w:sz w:val="22"/>
          <w:szCs w:val="22"/>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A20D5C3" w14:textId="77777777" w:rsidR="00FA3C9A" w:rsidRPr="008B3919" w:rsidRDefault="00FA3C9A" w:rsidP="00FA3C9A">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w:t>
      </w:r>
      <w:r w:rsidRPr="008B3919">
        <w:rPr>
          <w:rFonts w:ascii="Palatino Linotype" w:eastAsia="Palatino Linotype" w:hAnsi="Palatino Linotype" w:cs="Palatino Linotype"/>
          <w:b/>
          <w:i/>
          <w:sz w:val="22"/>
          <w:szCs w:val="22"/>
        </w:rPr>
        <w:t>Las solicitudes anónimas</w:t>
      </w:r>
      <w:r w:rsidRPr="008B3919">
        <w:rPr>
          <w:rFonts w:ascii="Palatino Linotype" w:eastAsia="Palatino Linotype" w:hAnsi="Palatino Linotype" w:cs="Palatino Linotype"/>
          <w:i/>
          <w:sz w:val="22"/>
          <w:szCs w:val="22"/>
        </w:rPr>
        <w:t xml:space="preserve">, con nombre incompleto o </w:t>
      </w:r>
      <w:r w:rsidRPr="008B3919">
        <w:rPr>
          <w:rFonts w:ascii="Palatino Linotype" w:eastAsia="Palatino Linotype" w:hAnsi="Palatino Linotype" w:cs="Palatino Linotype"/>
          <w:b/>
          <w:i/>
          <w:sz w:val="22"/>
          <w:szCs w:val="22"/>
        </w:rPr>
        <w:t>seudónimo</w:t>
      </w:r>
      <w:r w:rsidRPr="008B3919">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78B564D7" w14:textId="77777777" w:rsidR="00FA3C9A" w:rsidRPr="008B3919" w:rsidRDefault="00FA3C9A" w:rsidP="00FA3C9A">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8B3919">
        <w:rPr>
          <w:rFonts w:ascii="Palatino Linotype" w:eastAsia="Palatino Linotype" w:hAnsi="Palatino Linotype" w:cs="Palatino Linotype"/>
          <w:b/>
          <w:sz w:val="22"/>
          <w:szCs w:val="22"/>
        </w:rPr>
        <w:t xml:space="preserve"> SAIMEX</w:t>
      </w:r>
    </w:p>
    <w:p w14:paraId="2DB43ED9" w14:textId="65580587" w:rsidR="006E155A" w:rsidRPr="008B3919" w:rsidRDefault="005B22BA" w:rsidP="006E155A">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8B3919">
        <w:rPr>
          <w:rFonts w:ascii="Palatino Linotype" w:eastAsia="Palatino Linotype" w:hAnsi="Palatino Linotype" w:cs="Palatino Linotype"/>
          <w:b/>
          <w:sz w:val="22"/>
          <w:szCs w:val="22"/>
        </w:rPr>
        <w:t>Recurrente</w:t>
      </w:r>
      <w:r w:rsidRPr="008B3919">
        <w:rPr>
          <w:rFonts w:ascii="Palatino Linotype" w:eastAsia="Palatino Linotype" w:hAnsi="Palatino Linotype" w:cs="Palatino Linotype"/>
          <w:sz w:val="22"/>
          <w:szCs w:val="22"/>
        </w:rPr>
        <w:t xml:space="preserve"> en sus motivos de inconformidad, de acuerdo al artículo 179, </w:t>
      </w:r>
      <w:r w:rsidR="00C00558" w:rsidRPr="008B3919">
        <w:rPr>
          <w:rFonts w:ascii="Palatino Linotype" w:eastAsia="Palatino Linotype" w:hAnsi="Palatino Linotype" w:cs="Palatino Linotype"/>
          <w:sz w:val="22"/>
          <w:szCs w:val="22"/>
        </w:rPr>
        <w:t>f</w:t>
      </w:r>
      <w:r w:rsidR="00133291" w:rsidRPr="008B3919">
        <w:rPr>
          <w:rFonts w:ascii="Palatino Linotype" w:eastAsia="Palatino Linotype" w:hAnsi="Palatino Linotype" w:cs="Palatino Linotype"/>
          <w:sz w:val="22"/>
          <w:szCs w:val="22"/>
        </w:rPr>
        <w:t xml:space="preserve">racción </w:t>
      </w:r>
      <w:r w:rsidR="00C00558" w:rsidRPr="008B3919">
        <w:rPr>
          <w:rFonts w:ascii="Palatino Linotype" w:eastAsia="Palatino Linotype" w:hAnsi="Palatino Linotype" w:cs="Palatino Linotype"/>
          <w:sz w:val="22"/>
          <w:szCs w:val="22"/>
        </w:rPr>
        <w:t xml:space="preserve">I </w:t>
      </w:r>
      <w:r w:rsidR="006E155A" w:rsidRPr="008B3919">
        <w:rPr>
          <w:rFonts w:ascii="Palatino Linotype" w:eastAsia="Palatino Linotype" w:hAnsi="Palatino Linotype" w:cs="Palatino Linotype"/>
          <w:sz w:val="22"/>
          <w:szCs w:val="22"/>
        </w:rPr>
        <w:t>del ordenamiento legal citado, que a la letra dice: </w:t>
      </w:r>
    </w:p>
    <w:p w14:paraId="76DBCF77" w14:textId="77777777" w:rsidR="006E155A" w:rsidRPr="008B3919" w:rsidRDefault="006E155A" w:rsidP="006E155A">
      <w:pPr>
        <w:tabs>
          <w:tab w:val="left" w:pos="7938"/>
        </w:tabs>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w:t>
      </w:r>
      <w:r w:rsidRPr="008B3919">
        <w:rPr>
          <w:rFonts w:ascii="Palatino Linotype" w:eastAsia="Palatino Linotype" w:hAnsi="Palatino Linotype" w:cs="Palatino Linotype"/>
          <w:b/>
          <w:i/>
          <w:sz w:val="22"/>
          <w:szCs w:val="22"/>
        </w:rPr>
        <w:t>Artículo 179.</w:t>
      </w:r>
      <w:r w:rsidRPr="008B391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7894972" w14:textId="5A68DE57" w:rsidR="006E155A" w:rsidRPr="008B3919" w:rsidRDefault="00133291" w:rsidP="006E155A">
      <w:pPr>
        <w:tabs>
          <w:tab w:val="left" w:pos="7938"/>
        </w:tabs>
        <w:spacing w:before="120" w:after="120"/>
        <w:ind w:left="851" w:right="900"/>
        <w:jc w:val="both"/>
        <w:rPr>
          <w:rFonts w:ascii="Palatino Linotype" w:eastAsia="Palatino Linotype" w:hAnsi="Palatino Linotype" w:cs="Palatino Linotype"/>
          <w:i/>
          <w:sz w:val="22"/>
          <w:szCs w:val="22"/>
        </w:rPr>
      </w:pPr>
      <w:r w:rsidRPr="008B3919">
        <w:rPr>
          <w:rFonts w:ascii="Palatino Linotype" w:hAnsi="Palatino Linotype"/>
          <w:b/>
          <w:i/>
          <w:sz w:val="22"/>
          <w:szCs w:val="22"/>
        </w:rPr>
        <w:t>I.</w:t>
      </w:r>
      <w:r w:rsidRPr="008B3919">
        <w:rPr>
          <w:rFonts w:ascii="Palatino Linotype" w:hAnsi="Palatino Linotype"/>
          <w:i/>
          <w:sz w:val="22"/>
          <w:szCs w:val="22"/>
        </w:rPr>
        <w:t xml:space="preserve"> La negativa a la información solicitada;</w:t>
      </w:r>
      <w:r w:rsidR="006E155A" w:rsidRPr="008B3919">
        <w:rPr>
          <w:rFonts w:ascii="Palatino Linotype" w:eastAsia="Palatino Linotype" w:hAnsi="Palatino Linotype" w:cs="Palatino Linotype"/>
          <w:i/>
          <w:sz w:val="22"/>
          <w:szCs w:val="22"/>
        </w:rPr>
        <w:t>”</w:t>
      </w:r>
    </w:p>
    <w:p w14:paraId="7B3D2575" w14:textId="77777777" w:rsidR="00694AA0" w:rsidRPr="008B3919" w:rsidRDefault="005B22BA">
      <w:pPr>
        <w:spacing w:before="240" w:after="240" w:line="360" w:lineRule="auto"/>
        <w:jc w:val="both"/>
        <w:rPr>
          <w:rFonts w:ascii="Palatino Linotype" w:eastAsia="Palatino Linotype" w:hAnsi="Palatino Linotype" w:cs="Palatino Linotype"/>
          <w:b/>
          <w:sz w:val="22"/>
          <w:szCs w:val="22"/>
        </w:rPr>
      </w:pPr>
      <w:r w:rsidRPr="008B3919">
        <w:rPr>
          <w:rFonts w:ascii="Palatino Linotype" w:eastAsia="Palatino Linotype" w:hAnsi="Palatino Linotype" w:cs="Palatino Linotype"/>
          <w:b/>
          <w:sz w:val="22"/>
          <w:szCs w:val="22"/>
        </w:rPr>
        <w:t xml:space="preserve">Tercero. Materia de la revisión. </w:t>
      </w:r>
      <w:r w:rsidRPr="008B3919">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8B3919">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8B3919">
        <w:rPr>
          <w:rFonts w:ascii="Palatino Linotype" w:eastAsia="Palatino Linotype" w:hAnsi="Palatino Linotype" w:cs="Palatino Linotype"/>
          <w:sz w:val="22"/>
          <w:szCs w:val="22"/>
        </w:rPr>
        <w:t xml:space="preserve">de la parte </w:t>
      </w:r>
      <w:r w:rsidRPr="008B3919">
        <w:rPr>
          <w:rFonts w:ascii="Palatino Linotype" w:eastAsia="Palatino Linotype" w:hAnsi="Palatino Linotype" w:cs="Palatino Linotype"/>
          <w:b/>
          <w:sz w:val="22"/>
          <w:szCs w:val="22"/>
        </w:rPr>
        <w:t>Recurrente</w:t>
      </w:r>
      <w:r w:rsidRPr="008B3919">
        <w:rPr>
          <w:rFonts w:ascii="Palatino Linotype" w:eastAsia="Palatino Linotype" w:hAnsi="Palatino Linotype" w:cs="Palatino Linotype"/>
          <w:sz w:val="22"/>
          <w:szCs w:val="22"/>
        </w:rPr>
        <w:t>, o en su defecto, en caso de ser procedente, ordenar la entrega de información.</w:t>
      </w:r>
    </w:p>
    <w:p w14:paraId="73D2F728" w14:textId="77777777" w:rsidR="00694AA0" w:rsidRPr="008B3919" w:rsidRDefault="005B22BA">
      <w:pPr>
        <w:spacing w:before="240" w:after="240" w:line="360" w:lineRule="auto"/>
        <w:jc w:val="both"/>
        <w:rPr>
          <w:rFonts w:ascii="Palatino Linotype" w:eastAsia="Palatino Linotype" w:hAnsi="Palatino Linotype" w:cs="Palatino Linotype"/>
          <w:sz w:val="22"/>
          <w:szCs w:val="22"/>
        </w:rPr>
      </w:pPr>
      <w:bookmarkStart w:id="7" w:name="_heading=h.2et92p0" w:colFirst="0" w:colLast="0"/>
      <w:bookmarkEnd w:id="7"/>
      <w:r w:rsidRPr="008B3919">
        <w:rPr>
          <w:rFonts w:ascii="Palatino Linotype" w:eastAsia="Palatino Linotype" w:hAnsi="Palatino Linotype" w:cs="Palatino Linotype"/>
          <w:b/>
          <w:sz w:val="22"/>
          <w:szCs w:val="22"/>
        </w:rPr>
        <w:t xml:space="preserve">Cuarto. Estudio del asunto. </w:t>
      </w:r>
      <w:r w:rsidRPr="008B3919">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F60AAE5" w14:textId="77777777" w:rsidR="00694AA0" w:rsidRPr="008B3919" w:rsidRDefault="005B22BA">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w:t>
      </w:r>
      <w:r w:rsidRPr="008B3919">
        <w:rPr>
          <w:rFonts w:ascii="Palatino Linotype" w:eastAsia="Palatino Linotype" w:hAnsi="Palatino Linotype" w:cs="Palatino Linotype"/>
          <w:b/>
          <w:i/>
          <w:sz w:val="22"/>
          <w:szCs w:val="22"/>
        </w:rPr>
        <w:t>Artículo 4</w:t>
      </w:r>
      <w:r w:rsidRPr="008B391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A890CA7" w14:textId="77777777" w:rsidR="00694AA0" w:rsidRPr="008B3919" w:rsidRDefault="005B22BA">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B391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6B72714" w14:textId="77777777" w:rsidR="00694AA0" w:rsidRPr="008B3919" w:rsidRDefault="005B22BA">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B3919">
        <w:rPr>
          <w:rFonts w:ascii="Palatino Linotype" w:eastAsia="Palatino Linotype" w:hAnsi="Palatino Linotype" w:cs="Palatino Linotype"/>
          <w:i/>
          <w:sz w:val="22"/>
          <w:szCs w:val="22"/>
        </w:rPr>
        <w:t>.”</w:t>
      </w:r>
    </w:p>
    <w:p w14:paraId="2B62FDE3" w14:textId="77777777" w:rsidR="00694AA0" w:rsidRPr="008B3919" w:rsidRDefault="005B22BA">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FB2BC38" w14:textId="77777777" w:rsidR="00694AA0" w:rsidRPr="008B3919" w:rsidRDefault="005B22BA">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“Artículo 12.-</w:t>
      </w:r>
      <w:r w:rsidRPr="008B391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6EB6026" w14:textId="77777777" w:rsidR="00694AA0" w:rsidRPr="008B3919" w:rsidRDefault="005B22BA">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B3919">
        <w:rPr>
          <w:rFonts w:ascii="Palatino Linotype" w:eastAsia="Palatino Linotype" w:hAnsi="Palatino Linotype" w:cs="Palatino Linotype"/>
          <w:i/>
          <w:sz w:val="22"/>
          <w:szCs w:val="22"/>
        </w:rPr>
        <w:t xml:space="preserve">. </w:t>
      </w:r>
      <w:r w:rsidRPr="008B391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1ED4674D" w14:textId="77777777" w:rsidR="00694AA0" w:rsidRPr="008B3919" w:rsidRDefault="005B22BA">
      <w:pPr>
        <w:spacing w:before="240" w:after="240" w:line="360" w:lineRule="auto"/>
        <w:ind w:right="-93"/>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58BB21D" w14:textId="77777777" w:rsidR="00694AA0" w:rsidRPr="008B3919" w:rsidRDefault="005B22BA">
      <w:pPr>
        <w:spacing w:before="240" w:after="240" w:line="360" w:lineRule="auto"/>
        <w:jc w:val="both"/>
        <w:rPr>
          <w:rFonts w:ascii="Palatino Linotype" w:eastAsia="Palatino Linotype" w:hAnsi="Palatino Linotype" w:cs="Palatino Linotype"/>
          <w:b/>
          <w:sz w:val="22"/>
          <w:szCs w:val="22"/>
        </w:rPr>
      </w:pPr>
      <w:r w:rsidRPr="008B3919">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8B3919">
        <w:rPr>
          <w:rFonts w:ascii="Palatino Linotype" w:eastAsia="Palatino Linotype" w:hAnsi="Palatino Linotype" w:cs="Palatino Linotype"/>
          <w:b/>
          <w:sz w:val="22"/>
          <w:szCs w:val="22"/>
        </w:rPr>
        <w:t xml:space="preserve"> </w:t>
      </w:r>
    </w:p>
    <w:p w14:paraId="6B3CE4C4" w14:textId="77777777" w:rsidR="00694AA0" w:rsidRPr="008B3919" w:rsidRDefault="005B22BA">
      <w:pPr>
        <w:spacing w:before="120" w:after="120"/>
        <w:ind w:left="1134"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 xml:space="preserve"> “</w:t>
      </w:r>
      <w:r w:rsidRPr="008B3919">
        <w:rPr>
          <w:rFonts w:ascii="Palatino Linotype" w:eastAsia="Palatino Linotype" w:hAnsi="Palatino Linotype" w:cs="Palatino Linotype"/>
          <w:b/>
          <w:i/>
          <w:sz w:val="22"/>
          <w:szCs w:val="22"/>
        </w:rPr>
        <w:t>No existe obligación de elaborar documentos ad hoc para atender las solicitudes de acceso a la información.</w:t>
      </w:r>
      <w:r w:rsidRPr="008B391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A211211" w14:textId="77777777" w:rsidR="00694AA0" w:rsidRPr="008B3919" w:rsidRDefault="005B22BA">
      <w:pPr>
        <w:spacing w:before="120" w:after="12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1BEC828" w14:textId="77777777" w:rsidR="00694AA0" w:rsidRPr="008B3919" w:rsidRDefault="005B22BA">
      <w:pPr>
        <w:spacing w:before="120" w:after="12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F115FEE" w14:textId="77777777" w:rsidR="00694AA0" w:rsidRPr="008B3919" w:rsidRDefault="005B22BA" w:rsidP="00C00558">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w:t>
      </w:r>
      <w:r w:rsidRPr="008B3919">
        <w:rPr>
          <w:rFonts w:ascii="Palatino Linotype" w:eastAsia="Palatino Linotype" w:hAnsi="Palatino Linotype" w:cs="Palatino Linotype"/>
          <w:b/>
          <w:i/>
          <w:sz w:val="22"/>
          <w:szCs w:val="22"/>
        </w:rPr>
        <w:t xml:space="preserve">Artículo 3. </w:t>
      </w:r>
      <w:r w:rsidRPr="008B3919">
        <w:rPr>
          <w:rFonts w:ascii="Palatino Linotype" w:eastAsia="Palatino Linotype" w:hAnsi="Palatino Linotype" w:cs="Palatino Linotype"/>
          <w:i/>
          <w:sz w:val="22"/>
          <w:szCs w:val="22"/>
        </w:rPr>
        <w:t>Para los efectos de la presente Ley se entenderá por:</w:t>
      </w:r>
    </w:p>
    <w:p w14:paraId="2899E630" w14:textId="77777777" w:rsidR="00694AA0" w:rsidRPr="008B3919" w:rsidRDefault="005B22BA" w:rsidP="00C00558">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w:t>
      </w:r>
    </w:p>
    <w:p w14:paraId="332076D0" w14:textId="77777777" w:rsidR="00694AA0" w:rsidRPr="008B3919" w:rsidRDefault="005B22BA" w:rsidP="00C00558">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XI. Documento:</w:t>
      </w:r>
      <w:r w:rsidRPr="008B3919">
        <w:rPr>
          <w:rFonts w:ascii="Palatino Linotype" w:eastAsia="Palatino Linotype" w:hAnsi="Palatino Linotype" w:cs="Palatino Linotype"/>
          <w:i/>
          <w:sz w:val="22"/>
          <w:szCs w:val="22"/>
        </w:rPr>
        <w:t xml:space="preserve"> Los expedientes, reportes, estudios, actas</w:t>
      </w:r>
      <w:r w:rsidRPr="008B3919">
        <w:rPr>
          <w:rFonts w:ascii="Palatino Linotype" w:eastAsia="Palatino Linotype" w:hAnsi="Palatino Linotype" w:cs="Palatino Linotype"/>
          <w:b/>
          <w:i/>
          <w:sz w:val="22"/>
          <w:szCs w:val="22"/>
        </w:rPr>
        <w:t>,</w:t>
      </w:r>
      <w:r w:rsidRPr="008B391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F7AC5F3" w14:textId="77777777" w:rsidR="00694AA0" w:rsidRPr="008B3919" w:rsidRDefault="005B22BA">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4090AEB" w14:textId="77777777" w:rsidR="00694AA0" w:rsidRPr="008B3919" w:rsidRDefault="005B22BA" w:rsidP="00C00558">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sz w:val="22"/>
          <w:szCs w:val="22"/>
        </w:rPr>
        <w:t>“</w:t>
      </w:r>
      <w:r w:rsidRPr="008B391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B391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F494CB" w14:textId="77777777" w:rsidR="00694AA0" w:rsidRPr="008B3919" w:rsidRDefault="005B22BA" w:rsidP="00C00558">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6FCE4CD" w14:textId="77777777" w:rsidR="00694AA0" w:rsidRPr="008B3919" w:rsidRDefault="005B22BA" w:rsidP="00C00558">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EE230AA" w14:textId="77777777" w:rsidR="00694AA0" w:rsidRPr="008B3919" w:rsidRDefault="005B22BA" w:rsidP="00C00558">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671B955" w14:textId="77777777" w:rsidR="00694AA0" w:rsidRPr="008B3919" w:rsidRDefault="005B22BA" w:rsidP="00C00558">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43DFC7F9" w14:textId="77777777" w:rsidR="00694AA0" w:rsidRPr="008B3919" w:rsidRDefault="005B22BA">
      <w:pPr>
        <w:spacing w:before="240" w:after="240" w:line="360" w:lineRule="auto"/>
        <w:ind w:right="51"/>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B0769FB" w14:textId="69DDF8DC" w:rsidR="00694AA0" w:rsidRPr="008B3919" w:rsidRDefault="005B22BA">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En el mismo tenor, los artículos 6, apartado A, fracción I, de la Constitución Política de los Estados Unidos Mexicanos y 5, </w:t>
      </w:r>
      <w:r w:rsidR="00504FA2" w:rsidRPr="008B3919">
        <w:rPr>
          <w:rFonts w:ascii="Palatino Linotype" w:eastAsia="Palatino Linotype" w:hAnsi="Palatino Linotype" w:cs="Palatino Linotype"/>
          <w:sz w:val="22"/>
          <w:szCs w:val="22"/>
        </w:rPr>
        <w:t xml:space="preserve">párrafo cuadragésimo sexto, </w:t>
      </w:r>
      <w:r w:rsidRPr="008B3919">
        <w:rPr>
          <w:rFonts w:ascii="Palatino Linotype" w:eastAsia="Palatino Linotype" w:hAnsi="Palatino Linotype" w:cs="Palatino Linotype"/>
          <w:sz w:val="22"/>
          <w:szCs w:val="22"/>
        </w:rPr>
        <w:t>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43A8015" w14:textId="77777777" w:rsidR="00504FA2" w:rsidRPr="008B3919" w:rsidRDefault="005B22BA" w:rsidP="00504FA2">
      <w:pPr>
        <w:spacing w:before="240" w:after="240" w:line="360" w:lineRule="auto"/>
        <w:ind w:right="51"/>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8B3919">
        <w:rPr>
          <w:rFonts w:ascii="Palatino Linotype" w:eastAsia="Palatino Linotype" w:hAnsi="Palatino Linotype" w:cs="Palatino Linotype"/>
          <w:b/>
          <w:sz w:val="22"/>
          <w:szCs w:val="22"/>
        </w:rPr>
        <w:t>Recurrente</w:t>
      </w:r>
      <w:r w:rsidRPr="008B3919">
        <w:rPr>
          <w:rFonts w:ascii="Palatino Linotype" w:eastAsia="Palatino Linotype" w:hAnsi="Palatino Linotype" w:cs="Palatino Linotype"/>
          <w:sz w:val="22"/>
          <w:szCs w:val="22"/>
        </w:rPr>
        <w:t xml:space="preserve"> requirió al </w:t>
      </w:r>
      <w:r w:rsidRPr="008B3919">
        <w:rPr>
          <w:rFonts w:ascii="Palatino Linotype" w:eastAsia="Palatino Linotype" w:hAnsi="Palatino Linotype" w:cs="Palatino Linotype"/>
          <w:b/>
          <w:sz w:val="22"/>
          <w:szCs w:val="22"/>
        </w:rPr>
        <w:t xml:space="preserve">Sujeto Obligado </w:t>
      </w:r>
      <w:r w:rsidRPr="008B3919">
        <w:rPr>
          <w:rFonts w:ascii="Palatino Linotype" w:eastAsia="Palatino Linotype" w:hAnsi="Palatino Linotype" w:cs="Palatino Linotype"/>
          <w:sz w:val="22"/>
          <w:szCs w:val="22"/>
        </w:rPr>
        <w:t>le proporcione, información consistente en lo siguiente:</w:t>
      </w:r>
    </w:p>
    <w:p w14:paraId="0D9A7077" w14:textId="2B3599B0" w:rsidR="00133291" w:rsidRPr="008B3919" w:rsidRDefault="00133291" w:rsidP="00133291">
      <w:pPr>
        <w:spacing w:before="240" w:after="240" w:line="360" w:lineRule="auto"/>
        <w:ind w:right="51"/>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De las personas servidoras públicas referidas en la solicitud de información, adscritas a la Unidad de Transparencia:</w:t>
      </w:r>
    </w:p>
    <w:p w14:paraId="5405F4C1" w14:textId="7090A864" w:rsidR="00C00558" w:rsidRPr="008B3919" w:rsidRDefault="00504FA2" w:rsidP="00C00558">
      <w:pPr>
        <w:spacing w:before="240" w:after="240" w:line="360" w:lineRule="auto"/>
        <w:ind w:left="284" w:right="51"/>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1.</w:t>
      </w:r>
      <w:r w:rsidR="007643E2" w:rsidRPr="008B3919">
        <w:rPr>
          <w:rFonts w:ascii="Palatino Linotype" w:hAnsi="Palatino Linotype"/>
          <w:sz w:val="22"/>
          <w:szCs w:val="22"/>
        </w:rPr>
        <w:t xml:space="preserve"> </w:t>
      </w:r>
      <w:r w:rsidR="00133291" w:rsidRPr="008B3919">
        <w:rPr>
          <w:rFonts w:ascii="Palatino Linotype" w:hAnsi="Palatino Linotype"/>
          <w:sz w:val="22"/>
          <w:szCs w:val="22"/>
        </w:rPr>
        <w:t xml:space="preserve">Los registros de asistencia </w:t>
      </w:r>
      <w:r w:rsidR="00133291" w:rsidRPr="008B3919">
        <w:rPr>
          <w:rFonts w:ascii="Palatino Linotype" w:hAnsi="Palatino Linotype"/>
          <w:b/>
          <w:bCs/>
          <w:sz w:val="22"/>
          <w:szCs w:val="22"/>
          <w:u w:val="single"/>
        </w:rPr>
        <w:t>de todo el tiempo que han prestado sus servicios</w:t>
      </w:r>
      <w:r w:rsidR="00133291" w:rsidRPr="008B3919">
        <w:rPr>
          <w:rFonts w:ascii="Palatino Linotype" w:hAnsi="Palatino Linotype"/>
          <w:sz w:val="22"/>
          <w:szCs w:val="22"/>
        </w:rPr>
        <w:t xml:space="preserve"> para el ayuntamiento</w:t>
      </w:r>
      <w:r w:rsidR="00ED661A" w:rsidRPr="008B3919">
        <w:rPr>
          <w:rFonts w:ascii="Palatino Linotype" w:eastAsia="Palatino Linotype" w:hAnsi="Palatino Linotype" w:cs="Palatino Linotype"/>
          <w:sz w:val="22"/>
          <w:szCs w:val="22"/>
        </w:rPr>
        <w:t>.</w:t>
      </w:r>
    </w:p>
    <w:p w14:paraId="3C921D0B" w14:textId="616AE7ED" w:rsidR="00DF478E" w:rsidRPr="008B3919" w:rsidRDefault="007643E2" w:rsidP="00DF478E">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E</w:t>
      </w:r>
      <w:r w:rsidR="000B0896" w:rsidRPr="008B3919">
        <w:rPr>
          <w:rFonts w:ascii="Palatino Linotype" w:eastAsia="Palatino Linotype" w:hAnsi="Palatino Linotype" w:cs="Palatino Linotype"/>
          <w:sz w:val="22"/>
          <w:szCs w:val="22"/>
        </w:rPr>
        <w:t>s de</w:t>
      </w:r>
      <w:r w:rsidR="00DF478E" w:rsidRPr="008B3919">
        <w:rPr>
          <w:rFonts w:ascii="Palatino Linotype" w:eastAsia="Palatino Linotype" w:hAnsi="Palatino Linotype" w:cs="Palatino Linotype"/>
          <w:sz w:val="22"/>
          <w:szCs w:val="22"/>
        </w:rPr>
        <w:t xml:space="preserv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4C7108D6" w14:textId="77777777" w:rsidR="00DF478E" w:rsidRPr="008B3919" w:rsidRDefault="00DF478E" w:rsidP="00DF478E">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276CCB6A" w14:textId="77777777" w:rsidR="00DF478E" w:rsidRPr="008B3919" w:rsidRDefault="00DF478E" w:rsidP="00DF478E">
      <w:pPr>
        <w:spacing w:before="240" w:after="240" w:line="360" w:lineRule="auto"/>
        <w:ind w:right="51"/>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13C47AE6" w14:textId="77777777" w:rsidR="00DF478E" w:rsidRPr="008B3919" w:rsidRDefault="00DF478E" w:rsidP="00DF478E">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73AB97C7" w14:textId="5509B595" w:rsidR="00DF478E" w:rsidRPr="008B3919" w:rsidRDefault="00DF478E" w:rsidP="00DF478E">
      <w:pPr>
        <w:spacing w:before="280" w:after="28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En el caso particular, es de recordar que la Unidad de Transparencia turnó la solicitud a la </w:t>
      </w:r>
      <w:r w:rsidR="000F2854" w:rsidRPr="008B3919">
        <w:rPr>
          <w:rFonts w:ascii="Palatino Linotype" w:eastAsia="Palatino Linotype" w:hAnsi="Palatino Linotype" w:cs="Palatino Linotype"/>
          <w:sz w:val="22"/>
          <w:szCs w:val="22"/>
        </w:rPr>
        <w:t xml:space="preserve">Dirección General de Administración </w:t>
      </w:r>
      <w:r w:rsidRPr="008B3919">
        <w:rPr>
          <w:rFonts w:ascii="Palatino Linotype" w:eastAsia="Palatino Linotype" w:hAnsi="Palatino Linotype" w:cs="Palatino Linotype"/>
          <w:sz w:val="22"/>
          <w:szCs w:val="22"/>
        </w:rPr>
        <w:t>como la dependencia competente para co</w:t>
      </w:r>
      <w:r w:rsidR="00176DB0" w:rsidRPr="008B3919">
        <w:rPr>
          <w:rFonts w:ascii="Palatino Linotype" w:eastAsia="Palatino Linotype" w:hAnsi="Palatino Linotype" w:cs="Palatino Linotype"/>
          <w:sz w:val="22"/>
          <w:szCs w:val="22"/>
        </w:rPr>
        <w:t>n</w:t>
      </w:r>
      <w:r w:rsidRPr="008B3919">
        <w:rPr>
          <w:rFonts w:ascii="Palatino Linotype" w:eastAsia="Palatino Linotype" w:hAnsi="Palatino Linotype" w:cs="Palatino Linotype"/>
          <w:sz w:val="22"/>
          <w:szCs w:val="22"/>
        </w:rPr>
        <w:t>tar con la información que es del interés de la persona solicitante.</w:t>
      </w:r>
    </w:p>
    <w:p w14:paraId="1E72124F" w14:textId="77777777" w:rsidR="000F2854" w:rsidRPr="008B3919" w:rsidRDefault="00176DB0" w:rsidP="000F2854">
      <w:pPr>
        <w:spacing w:before="280" w:after="28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Cabe mencionar que la </w:t>
      </w:r>
      <w:r w:rsidR="000F2854" w:rsidRPr="008B3919">
        <w:rPr>
          <w:rFonts w:ascii="Palatino Linotype" w:eastAsia="Palatino Linotype" w:hAnsi="Palatino Linotype" w:cs="Palatino Linotype"/>
          <w:sz w:val="22"/>
          <w:szCs w:val="22"/>
        </w:rPr>
        <w:t>Dirección General de Administración de conformidad con el artículo 3.32 del Código Reglamentario de Toluca vigente, se auxilia de diversas unidades administrativas, para el cumplimiento de sus atribuciones, entre las que se encuentra la Dirección de Recursos Humanos, cuyas responsabilidades se encuentran conferidas en el artículo 3.33 del Código Reglamentario, siendo de interés para el tema que nos ocupa las siguientes:</w:t>
      </w:r>
    </w:p>
    <w:p w14:paraId="0E3DB666" w14:textId="77777777" w:rsidR="000F2854" w:rsidRPr="008B3919" w:rsidRDefault="000F2854" w:rsidP="000F2854">
      <w:pPr>
        <w:spacing w:before="280" w:after="280" w:line="360" w:lineRule="auto"/>
        <w:ind w:left="284"/>
        <w:jc w:val="both"/>
        <w:rPr>
          <w:rFonts w:ascii="Palatino Linotype" w:hAnsi="Palatino Linotype"/>
          <w:sz w:val="22"/>
          <w:szCs w:val="22"/>
        </w:rPr>
      </w:pPr>
      <w:r w:rsidRPr="008B3919">
        <w:rPr>
          <w:rFonts w:ascii="Palatino Linotype" w:eastAsia="Palatino Linotype" w:hAnsi="Palatino Linotype" w:cs="Palatino Linotype"/>
          <w:sz w:val="22"/>
          <w:szCs w:val="22"/>
        </w:rPr>
        <w:t xml:space="preserve">- </w:t>
      </w:r>
      <w:r w:rsidRPr="008B3919">
        <w:rPr>
          <w:rFonts w:ascii="Palatino Linotype" w:hAnsi="Palatino Linotype"/>
          <w:sz w:val="22"/>
          <w:szCs w:val="22"/>
        </w:rPr>
        <w:t xml:space="preserve">Elaborar, operar y mejorar los procedimientos administrativos para la selección, reclutamiento, contratación, escalafón, inducción, evaluación del desempeño, capacitación, baja, comisión, licencias prejubilatorias, y desarrollo del personal al servicio del Municipio de acuerdo a lo dispuesto en la normatividad aplicable; </w:t>
      </w:r>
    </w:p>
    <w:p w14:paraId="28CE0E88" w14:textId="77777777" w:rsidR="000F2854" w:rsidRPr="008B3919" w:rsidRDefault="000F2854" w:rsidP="000F2854">
      <w:pPr>
        <w:spacing w:before="280" w:after="280" w:line="360" w:lineRule="auto"/>
        <w:ind w:left="284"/>
        <w:jc w:val="both"/>
        <w:rPr>
          <w:rFonts w:ascii="Palatino Linotype" w:hAnsi="Palatino Linotype"/>
          <w:sz w:val="22"/>
          <w:szCs w:val="22"/>
        </w:rPr>
      </w:pPr>
      <w:r w:rsidRPr="008B3919">
        <w:rPr>
          <w:rFonts w:ascii="Palatino Linotype" w:hAnsi="Palatino Linotype"/>
          <w:sz w:val="22"/>
          <w:szCs w:val="22"/>
        </w:rPr>
        <w:t xml:space="preserve">- Vigilar que se cumplan las disposiciones en materia de trabajo, seguridad e higiene, igualdad laboral, así como las demás normas aplicables a la institución respecto de los derechos y obligaciones del personal; </w:t>
      </w:r>
    </w:p>
    <w:p w14:paraId="217D0542" w14:textId="3ABCA865" w:rsidR="000F2854" w:rsidRPr="008B3919" w:rsidRDefault="000F2854" w:rsidP="000F2854">
      <w:pPr>
        <w:spacing w:before="280" w:after="280" w:line="360" w:lineRule="auto"/>
        <w:ind w:left="284"/>
        <w:jc w:val="both"/>
        <w:rPr>
          <w:rFonts w:ascii="Palatino Linotype" w:eastAsia="Palatino Linotype" w:hAnsi="Palatino Linotype" w:cs="Palatino Linotype"/>
          <w:sz w:val="22"/>
          <w:szCs w:val="22"/>
        </w:rPr>
      </w:pPr>
      <w:r w:rsidRPr="008B3919">
        <w:rPr>
          <w:rFonts w:ascii="Palatino Linotype" w:hAnsi="Palatino Linotype"/>
          <w:sz w:val="22"/>
          <w:szCs w:val="22"/>
        </w:rPr>
        <w:t>- Garantizar que no se soliciten documentos que se consideren discriminatorios, como condicionantes para la contratación del personal;</w:t>
      </w:r>
    </w:p>
    <w:p w14:paraId="193515FA" w14:textId="5C9BCEB0" w:rsidR="000F2854" w:rsidRPr="008B3919" w:rsidRDefault="000F2854" w:rsidP="000F2854">
      <w:pPr>
        <w:spacing w:before="280" w:after="280" w:line="360" w:lineRule="auto"/>
        <w:ind w:left="284"/>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Aplicar las disposiciones legales laborales que rigen al personal del Ayuntamiento;</w:t>
      </w:r>
    </w:p>
    <w:p w14:paraId="15938A96" w14:textId="6D373D46" w:rsidR="000F2854" w:rsidRPr="008B3919" w:rsidRDefault="000F2854" w:rsidP="000F2854">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Como logra vislumbrarse, es la Dirección de Recursos Humanos la instancia competente para dar atención a la solicitud, al ser esta la facultada para registrar, controlar y dar seguimiento a los movimientos de personal como las altas; int</w:t>
      </w:r>
      <w:r w:rsidR="009A3A3C" w:rsidRPr="008B3919">
        <w:rPr>
          <w:rFonts w:ascii="Palatino Linotype" w:eastAsia="Palatino Linotype" w:hAnsi="Palatino Linotype" w:cs="Palatino Linotype"/>
          <w:sz w:val="22"/>
          <w:szCs w:val="22"/>
        </w:rPr>
        <w:t>egrar el expediente de personal, entre otras.</w:t>
      </w:r>
    </w:p>
    <w:p w14:paraId="1C4CC876" w14:textId="5691C766" w:rsidR="00193278" w:rsidRPr="008B3919" w:rsidRDefault="000F2854" w:rsidP="00193278">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Ahora bien, en respuesta, el servidor público habilitado</w:t>
      </w:r>
      <w:r w:rsidR="00193278" w:rsidRPr="008B3919">
        <w:rPr>
          <w:rFonts w:ascii="Palatino Linotype" w:eastAsia="Palatino Linotype" w:hAnsi="Palatino Linotype" w:cs="Palatino Linotype"/>
          <w:sz w:val="22"/>
          <w:szCs w:val="22"/>
        </w:rPr>
        <w:t xml:space="preserve"> hizo entrega de los registros de asistencia de los servidores públicos referidos en la solicitud de la primera quincena de junio a la segunda quincena de agosto de dos mil veinticinco.</w:t>
      </w:r>
    </w:p>
    <w:p w14:paraId="624B7BE6" w14:textId="34243CE3" w:rsidR="00F13C63" w:rsidRPr="008B3919" w:rsidRDefault="0050510A" w:rsidP="0050510A">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Al no estar conforme con los términos de la respuesta proporcionada, la parte </w:t>
      </w:r>
      <w:r w:rsidRPr="008B3919">
        <w:rPr>
          <w:rFonts w:ascii="Palatino Linotype" w:eastAsia="Palatino Linotype" w:hAnsi="Palatino Linotype" w:cs="Palatino Linotype"/>
          <w:b/>
          <w:bCs/>
          <w:sz w:val="22"/>
          <w:szCs w:val="22"/>
        </w:rPr>
        <w:t xml:space="preserve">Recurrente </w:t>
      </w:r>
      <w:r w:rsidRPr="008B3919">
        <w:rPr>
          <w:rFonts w:ascii="Palatino Linotype" w:eastAsia="Palatino Linotype" w:hAnsi="Palatino Linotype" w:cs="Palatino Linotype"/>
          <w:sz w:val="22"/>
          <w:szCs w:val="22"/>
        </w:rPr>
        <w:t>presentó el recurso de revisión que nos ocupa, donde señaló como motivo de inconformidad, que se</w:t>
      </w:r>
      <w:r w:rsidR="00F13C63" w:rsidRPr="008B3919">
        <w:rPr>
          <w:rFonts w:ascii="Palatino Linotype" w:eastAsia="Palatino Linotype" w:hAnsi="Palatino Linotype" w:cs="Palatino Linotype"/>
          <w:sz w:val="22"/>
          <w:szCs w:val="22"/>
        </w:rPr>
        <w:t xml:space="preserve"> no se había entregado lo solicitado.</w:t>
      </w:r>
    </w:p>
    <w:p w14:paraId="46C00752" w14:textId="77777777" w:rsidR="0050510A" w:rsidRPr="008B3919" w:rsidRDefault="0050510A" w:rsidP="0050510A">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En la etapa de manifestaciones el </w:t>
      </w:r>
      <w:r w:rsidRPr="008B3919">
        <w:rPr>
          <w:rFonts w:ascii="Palatino Linotype" w:eastAsia="Palatino Linotype" w:hAnsi="Palatino Linotype" w:cs="Palatino Linotype"/>
          <w:b/>
          <w:bCs/>
          <w:sz w:val="22"/>
          <w:szCs w:val="22"/>
        </w:rPr>
        <w:t xml:space="preserve">Sujeto Obligado </w:t>
      </w:r>
      <w:r w:rsidRPr="008B3919">
        <w:rPr>
          <w:rFonts w:ascii="Palatino Linotype" w:eastAsia="Palatino Linotype" w:hAnsi="Palatino Linotype" w:cs="Palatino Linotype"/>
          <w:sz w:val="22"/>
          <w:szCs w:val="22"/>
        </w:rPr>
        <w:t xml:space="preserve">ratificó en lo sustancial la respuesta proporcionada en primera instancia, mientras que la parte </w:t>
      </w:r>
      <w:r w:rsidRPr="008B3919">
        <w:rPr>
          <w:rFonts w:ascii="Palatino Linotype" w:eastAsia="Palatino Linotype" w:hAnsi="Palatino Linotype" w:cs="Palatino Linotype"/>
          <w:b/>
          <w:bCs/>
          <w:sz w:val="22"/>
          <w:szCs w:val="22"/>
        </w:rPr>
        <w:t xml:space="preserve">Recurrente, </w:t>
      </w:r>
      <w:r w:rsidRPr="008B3919">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4FFB91F6" w14:textId="77777777" w:rsidR="00F13C63" w:rsidRPr="008B3919" w:rsidRDefault="00F13C63" w:rsidP="00F13C63">
      <w:pPr>
        <w:spacing w:before="280" w:after="28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Una vez establecidas las posturas de las partes, se procede al análisis del requerimiento de información combatido, así como la información proporcionada por el </w:t>
      </w:r>
      <w:r w:rsidRPr="008B3919">
        <w:rPr>
          <w:rFonts w:ascii="Palatino Linotype" w:eastAsia="Palatino Linotype" w:hAnsi="Palatino Linotype" w:cs="Palatino Linotype"/>
          <w:b/>
          <w:bCs/>
          <w:sz w:val="22"/>
          <w:szCs w:val="22"/>
        </w:rPr>
        <w:t xml:space="preserve">Sujeto Obligado, </w:t>
      </w:r>
      <w:r w:rsidRPr="008B3919">
        <w:rPr>
          <w:rFonts w:ascii="Palatino Linotype" w:eastAsia="Palatino Linotype" w:hAnsi="Palatino Linotype" w:cs="Palatino Linotype"/>
          <w:sz w:val="22"/>
          <w:szCs w:val="22"/>
        </w:rPr>
        <w:t xml:space="preserve">en contraposición con el motivo de inconformidad alegado por la parte </w:t>
      </w:r>
      <w:r w:rsidRPr="008B3919">
        <w:rPr>
          <w:rFonts w:ascii="Palatino Linotype" w:eastAsia="Palatino Linotype" w:hAnsi="Palatino Linotype" w:cs="Palatino Linotype"/>
          <w:b/>
          <w:bCs/>
          <w:sz w:val="22"/>
          <w:szCs w:val="22"/>
        </w:rPr>
        <w:t xml:space="preserve">Recurrente, </w:t>
      </w:r>
      <w:r w:rsidRPr="008B3919">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01DA0A9B" w14:textId="5EC2D547" w:rsidR="002825BA" w:rsidRPr="008B3919" w:rsidRDefault="00F13C63" w:rsidP="00F231B8">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En este tenor, es de señalar que</w:t>
      </w:r>
      <w:r w:rsidR="00F231B8" w:rsidRPr="008B3919">
        <w:rPr>
          <w:rFonts w:ascii="Palatino Linotype" w:eastAsia="Palatino Linotype" w:hAnsi="Palatino Linotype" w:cs="Palatino Linotype"/>
          <w:sz w:val="22"/>
          <w:szCs w:val="22"/>
        </w:rPr>
        <w:t xml:space="preserve"> de las constancias que integran el expediente electrónico  relacionado con el recurso de revisión materia de estudio, se colige que el </w:t>
      </w:r>
      <w:r w:rsidR="00F231B8" w:rsidRPr="008B3919">
        <w:rPr>
          <w:rFonts w:ascii="Palatino Linotype" w:eastAsia="Palatino Linotype" w:hAnsi="Palatino Linotype" w:cs="Palatino Linotype"/>
          <w:b/>
          <w:sz w:val="22"/>
          <w:szCs w:val="22"/>
        </w:rPr>
        <w:t>Sujeto Obligado</w:t>
      </w:r>
      <w:r w:rsidR="00F231B8" w:rsidRPr="008B3919">
        <w:rPr>
          <w:rFonts w:ascii="Palatino Linotype" w:eastAsia="Palatino Linotype" w:hAnsi="Palatino Linotype" w:cs="Palatino Linotype"/>
          <w:sz w:val="22"/>
          <w:szCs w:val="22"/>
        </w:rPr>
        <w:t xml:space="preserve"> </w:t>
      </w:r>
      <w:r w:rsidR="00F231B8" w:rsidRPr="008B3919">
        <w:rPr>
          <w:rFonts w:ascii="Palatino Linotype" w:eastAsia="Palatino Linotype" w:hAnsi="Palatino Linotype" w:cs="Palatino Linotype"/>
          <w:b/>
          <w:sz w:val="22"/>
          <w:szCs w:val="22"/>
          <w:u w:val="single"/>
        </w:rPr>
        <w:t>no niega conocer la información que es del interés de la persona solicitante,</w:t>
      </w:r>
      <w:r w:rsidR="00F231B8" w:rsidRPr="008B3919">
        <w:rPr>
          <w:rFonts w:ascii="Palatino Linotype" w:eastAsia="Palatino Linotype" w:hAnsi="Palatino Linotype" w:cs="Palatino Linotype"/>
          <w:sz w:val="22"/>
          <w:szCs w:val="22"/>
        </w:rPr>
        <w:t xml:space="preserve"> sino por el contrario, con la finalidad de satisfacer el Derecho Humano de acceso </w:t>
      </w:r>
      <w:r w:rsidR="00F231B8" w:rsidRPr="008B3919">
        <w:rPr>
          <w:rFonts w:ascii="Palatino Linotype" w:eastAsia="Palatino Linotype" w:hAnsi="Palatino Linotype" w:cs="Palatino Linotype"/>
          <w:b/>
          <w:sz w:val="22"/>
          <w:szCs w:val="22"/>
          <w:u w:val="single"/>
        </w:rPr>
        <w:t>hizo entrega de los registros de asistencia de los servidores públicos referidos en la solicitud de la primera quincena de junio a la segunda quincena de agosto de dos mil veinticinco,</w:t>
      </w:r>
      <w:r w:rsidR="002825BA" w:rsidRPr="008B3919">
        <w:rPr>
          <w:rFonts w:ascii="Palatino Linotype" w:eastAsia="Palatino Linotype" w:hAnsi="Palatino Linotype" w:cs="Palatino Linotype"/>
          <w:sz w:val="22"/>
          <w:szCs w:val="22"/>
        </w:rPr>
        <w:t xml:space="preserve"> como se muestra  a continuación de manera ejemplificativa:</w:t>
      </w:r>
    </w:p>
    <w:p w14:paraId="1F7B059A" w14:textId="1CBC041D" w:rsidR="002825BA" w:rsidRPr="008B3919" w:rsidRDefault="002825BA" w:rsidP="00F231B8">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noProof/>
          <w:sz w:val="22"/>
          <w:szCs w:val="22"/>
        </w:rPr>
        <w:drawing>
          <wp:inline distT="0" distB="0" distL="0" distR="0" wp14:anchorId="73F689D3" wp14:editId="1688A561">
            <wp:extent cx="5612130" cy="67005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6700520"/>
                    </a:xfrm>
                    <a:prstGeom prst="rect">
                      <a:avLst/>
                    </a:prstGeom>
                  </pic:spPr>
                </pic:pic>
              </a:graphicData>
            </a:graphic>
          </wp:inline>
        </w:drawing>
      </w:r>
    </w:p>
    <w:p w14:paraId="4C9E37F0" w14:textId="736E1A4A" w:rsidR="002825BA" w:rsidRPr="008B3919" w:rsidRDefault="002825BA" w:rsidP="00F231B8">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noProof/>
          <w:sz w:val="22"/>
          <w:szCs w:val="22"/>
        </w:rPr>
        <w:drawing>
          <wp:inline distT="0" distB="0" distL="0" distR="0" wp14:anchorId="0BCAD891" wp14:editId="5815850D">
            <wp:extent cx="5612130" cy="5464175"/>
            <wp:effectExtent l="0" t="0" r="762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5464175"/>
                    </a:xfrm>
                    <a:prstGeom prst="rect">
                      <a:avLst/>
                    </a:prstGeom>
                  </pic:spPr>
                </pic:pic>
              </a:graphicData>
            </a:graphic>
          </wp:inline>
        </w:drawing>
      </w:r>
      <w:r w:rsidRPr="008B3919">
        <w:rPr>
          <w:rFonts w:ascii="Palatino Linotype" w:eastAsia="Palatino Linotype" w:hAnsi="Palatino Linotype" w:cs="Palatino Linotype"/>
          <w:noProof/>
          <w:sz w:val="22"/>
          <w:szCs w:val="22"/>
        </w:rPr>
        <w:drawing>
          <wp:inline distT="0" distB="0" distL="0" distR="0" wp14:anchorId="1148C015" wp14:editId="3117A6FE">
            <wp:extent cx="5612130" cy="1884045"/>
            <wp:effectExtent l="0" t="0" r="762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884045"/>
                    </a:xfrm>
                    <a:prstGeom prst="rect">
                      <a:avLst/>
                    </a:prstGeom>
                  </pic:spPr>
                </pic:pic>
              </a:graphicData>
            </a:graphic>
          </wp:inline>
        </w:drawing>
      </w:r>
    </w:p>
    <w:p w14:paraId="10BDD0D8" w14:textId="3F109BB8" w:rsidR="002825BA" w:rsidRPr="008B3919" w:rsidRDefault="002825BA" w:rsidP="00F231B8">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N</w:t>
      </w:r>
      <w:r w:rsidR="00F231B8" w:rsidRPr="008B3919">
        <w:rPr>
          <w:rFonts w:ascii="Palatino Linotype" w:eastAsia="Palatino Linotype" w:hAnsi="Palatino Linotype" w:cs="Palatino Linotype"/>
          <w:sz w:val="22"/>
          <w:szCs w:val="22"/>
        </w:rPr>
        <w:t xml:space="preserve">o obstante es de señalar que si bien </w:t>
      </w:r>
      <w:r w:rsidRPr="008B3919">
        <w:rPr>
          <w:rFonts w:ascii="Palatino Linotype" w:eastAsia="Palatino Linotype" w:hAnsi="Palatino Linotype" w:cs="Palatino Linotype"/>
          <w:sz w:val="22"/>
          <w:szCs w:val="22"/>
        </w:rPr>
        <w:t xml:space="preserve">la información remitida </w:t>
      </w:r>
      <w:r w:rsidR="00F231B8" w:rsidRPr="008B3919">
        <w:rPr>
          <w:rFonts w:ascii="Palatino Linotype" w:eastAsia="Palatino Linotype" w:hAnsi="Palatino Linotype" w:cs="Palatino Linotype"/>
          <w:sz w:val="22"/>
          <w:szCs w:val="22"/>
        </w:rPr>
        <w:t xml:space="preserve">corresponde con </w:t>
      </w:r>
      <w:r w:rsidRPr="008B3919">
        <w:rPr>
          <w:rFonts w:ascii="Palatino Linotype" w:eastAsia="Palatino Linotype" w:hAnsi="Palatino Linotype" w:cs="Palatino Linotype"/>
          <w:sz w:val="22"/>
          <w:szCs w:val="22"/>
        </w:rPr>
        <w:t>lo</w:t>
      </w:r>
      <w:r w:rsidR="00F231B8" w:rsidRPr="008B3919">
        <w:rPr>
          <w:rFonts w:ascii="Palatino Linotype" w:eastAsia="Palatino Linotype" w:hAnsi="Palatino Linotype" w:cs="Palatino Linotype"/>
          <w:sz w:val="22"/>
          <w:szCs w:val="22"/>
        </w:rPr>
        <w:t xml:space="preserve"> requerid</w:t>
      </w:r>
      <w:r w:rsidRPr="008B3919">
        <w:rPr>
          <w:rFonts w:ascii="Palatino Linotype" w:eastAsia="Palatino Linotype" w:hAnsi="Palatino Linotype" w:cs="Palatino Linotype"/>
          <w:sz w:val="22"/>
          <w:szCs w:val="22"/>
        </w:rPr>
        <w:t>o</w:t>
      </w:r>
      <w:r w:rsidR="00F231B8" w:rsidRPr="008B3919">
        <w:rPr>
          <w:rFonts w:ascii="Palatino Linotype" w:eastAsia="Palatino Linotype" w:hAnsi="Palatino Linotype" w:cs="Palatino Linotype"/>
          <w:sz w:val="22"/>
          <w:szCs w:val="22"/>
        </w:rPr>
        <w:t xml:space="preserve">, </w:t>
      </w:r>
      <w:r w:rsidR="00D17A09" w:rsidRPr="008B3919">
        <w:rPr>
          <w:rFonts w:ascii="Palatino Linotype" w:eastAsia="Palatino Linotype" w:hAnsi="Palatino Linotype" w:cs="Palatino Linotype"/>
          <w:sz w:val="22"/>
          <w:szCs w:val="22"/>
        </w:rPr>
        <w:t>es insuficiente para colmar</w:t>
      </w:r>
      <w:r w:rsidR="00F231B8" w:rsidRPr="008B3919">
        <w:rPr>
          <w:rFonts w:ascii="Palatino Linotype" w:eastAsia="Palatino Linotype" w:hAnsi="Palatino Linotype" w:cs="Palatino Linotype"/>
          <w:sz w:val="22"/>
          <w:szCs w:val="22"/>
        </w:rPr>
        <w:t xml:space="preserve"> la </w:t>
      </w:r>
      <w:r w:rsidR="005C0C18" w:rsidRPr="008B3919">
        <w:rPr>
          <w:rFonts w:ascii="Palatino Linotype" w:eastAsia="Palatino Linotype" w:hAnsi="Palatino Linotype" w:cs="Palatino Linotype"/>
          <w:sz w:val="22"/>
          <w:szCs w:val="22"/>
        </w:rPr>
        <w:t>pretensión</w:t>
      </w:r>
      <w:r w:rsidR="00F231B8" w:rsidRPr="008B3919">
        <w:rPr>
          <w:rFonts w:ascii="Palatino Linotype" w:eastAsia="Palatino Linotype" w:hAnsi="Palatino Linotype" w:cs="Palatino Linotype"/>
          <w:sz w:val="22"/>
          <w:szCs w:val="22"/>
        </w:rPr>
        <w:t xml:space="preserve"> de la persona solicitante, en virtud de que esta pretende obtener los registros de asistencia de los servidores públicos</w:t>
      </w:r>
      <w:r w:rsidR="005C0C18" w:rsidRPr="008B3919">
        <w:rPr>
          <w:rFonts w:ascii="Palatino Linotype" w:eastAsia="Palatino Linotype" w:hAnsi="Palatino Linotype" w:cs="Palatino Linotype"/>
          <w:sz w:val="22"/>
          <w:szCs w:val="22"/>
        </w:rPr>
        <w:t xml:space="preserve"> referidos </w:t>
      </w:r>
      <w:r w:rsidR="005C0C18" w:rsidRPr="008B3919">
        <w:rPr>
          <w:rFonts w:ascii="Palatino Linotype" w:eastAsia="Palatino Linotype" w:hAnsi="Palatino Linotype" w:cs="Palatino Linotype"/>
          <w:b/>
          <w:bCs/>
          <w:sz w:val="22"/>
          <w:szCs w:val="22"/>
          <w:u w:val="single"/>
        </w:rPr>
        <w:t>desde la fecha de su ingreso al</w:t>
      </w:r>
      <w:r w:rsidR="00627673" w:rsidRPr="008B3919">
        <w:rPr>
          <w:rFonts w:ascii="Palatino Linotype" w:eastAsia="Palatino Linotype" w:hAnsi="Palatino Linotype" w:cs="Palatino Linotype"/>
          <w:b/>
          <w:bCs/>
          <w:sz w:val="22"/>
          <w:szCs w:val="22"/>
          <w:u w:val="single"/>
        </w:rPr>
        <w:t xml:space="preserve"> ayuntamiento</w:t>
      </w:r>
      <w:r w:rsidR="005C0C18" w:rsidRPr="008B3919">
        <w:rPr>
          <w:rFonts w:ascii="Palatino Linotype" w:eastAsia="Palatino Linotype" w:hAnsi="Palatino Linotype" w:cs="Palatino Linotype"/>
          <w:b/>
          <w:bCs/>
          <w:sz w:val="22"/>
          <w:szCs w:val="22"/>
          <w:u w:val="single"/>
        </w:rPr>
        <w:t xml:space="preserve"> hasta la fecha de presentación de la solicitud</w:t>
      </w:r>
      <w:r w:rsidR="005C0C18" w:rsidRPr="008B3919">
        <w:rPr>
          <w:rFonts w:ascii="Palatino Linotype" w:eastAsia="Palatino Linotype" w:hAnsi="Palatino Linotype" w:cs="Palatino Linotype"/>
          <w:sz w:val="22"/>
          <w:szCs w:val="22"/>
        </w:rPr>
        <w:t xml:space="preserve">, mientras que el </w:t>
      </w:r>
      <w:r w:rsidR="005C0C18" w:rsidRPr="008B3919">
        <w:rPr>
          <w:rFonts w:ascii="Palatino Linotype" w:eastAsia="Palatino Linotype" w:hAnsi="Palatino Linotype" w:cs="Palatino Linotype"/>
          <w:b/>
          <w:sz w:val="22"/>
          <w:szCs w:val="22"/>
        </w:rPr>
        <w:t xml:space="preserve">Sujeto Obligado </w:t>
      </w:r>
      <w:r w:rsidR="005C0C18" w:rsidRPr="008B3919">
        <w:rPr>
          <w:rFonts w:ascii="Palatino Linotype" w:eastAsia="Palatino Linotype" w:hAnsi="Palatino Linotype" w:cs="Palatino Linotype"/>
          <w:sz w:val="22"/>
          <w:szCs w:val="22"/>
        </w:rPr>
        <w:t xml:space="preserve">se limitó a hacer entrega de </w:t>
      </w:r>
      <w:r w:rsidR="00F50F75" w:rsidRPr="008B3919">
        <w:rPr>
          <w:rFonts w:ascii="Palatino Linotype" w:eastAsia="Palatino Linotype" w:hAnsi="Palatino Linotype" w:cs="Palatino Linotype"/>
          <w:sz w:val="22"/>
          <w:szCs w:val="22"/>
        </w:rPr>
        <w:t>los registros de asistencia de las seis quincenas anteriores a la fecha de la solicitud</w:t>
      </w:r>
      <w:r w:rsidR="00627673" w:rsidRPr="008B3919">
        <w:rPr>
          <w:rFonts w:ascii="Palatino Linotype" w:eastAsia="Palatino Linotype" w:hAnsi="Palatino Linotype" w:cs="Palatino Linotype"/>
          <w:sz w:val="22"/>
          <w:szCs w:val="22"/>
        </w:rPr>
        <w:t>, sin señalar de manera clara si los mismos correspondían a aquellos generados desde la fecha de ingreso de los servidores públicos en comento.</w:t>
      </w:r>
    </w:p>
    <w:p w14:paraId="3DD17E58" w14:textId="5B06FD58" w:rsidR="00C01C2E" w:rsidRPr="008B3919" w:rsidRDefault="00627673" w:rsidP="00F231B8">
      <w:pPr>
        <w:spacing w:before="240" w:after="240" w:line="360" w:lineRule="auto"/>
        <w:ind w:right="49"/>
        <w:jc w:val="both"/>
        <w:rPr>
          <w:rFonts w:ascii="Palatino Linotype" w:hAnsi="Palatino Linotype"/>
          <w:sz w:val="22"/>
          <w:szCs w:val="22"/>
        </w:rPr>
      </w:pPr>
      <w:r w:rsidRPr="008B3919">
        <w:rPr>
          <w:rFonts w:ascii="Palatino Linotype" w:eastAsia="Palatino Linotype" w:hAnsi="Palatino Linotype" w:cs="Palatino Linotype"/>
          <w:sz w:val="22"/>
          <w:szCs w:val="22"/>
        </w:rPr>
        <w:t xml:space="preserve">Atento a lo anterior, </w:t>
      </w:r>
      <w:r w:rsidR="00D17A09" w:rsidRPr="008B3919">
        <w:rPr>
          <w:rFonts w:ascii="Palatino Linotype" w:eastAsia="Palatino Linotype" w:hAnsi="Palatino Linotype" w:cs="Palatino Linotype"/>
          <w:sz w:val="22"/>
          <w:szCs w:val="22"/>
        </w:rPr>
        <w:t xml:space="preserve">es preciso mencionar que </w:t>
      </w:r>
      <w:r w:rsidR="002825BA" w:rsidRPr="008B3919">
        <w:rPr>
          <w:rFonts w:ascii="Palatino Linotype" w:eastAsia="Palatino Linotype" w:hAnsi="Palatino Linotype" w:cs="Palatino Linotype"/>
          <w:sz w:val="22"/>
          <w:szCs w:val="22"/>
        </w:rPr>
        <w:t>este Organismo Garante</w:t>
      </w:r>
      <w:r w:rsidRPr="008B3919">
        <w:rPr>
          <w:rFonts w:ascii="Palatino Linotype" w:eastAsia="Palatino Linotype" w:hAnsi="Palatino Linotype" w:cs="Palatino Linotype"/>
          <w:sz w:val="22"/>
          <w:szCs w:val="22"/>
        </w:rPr>
        <w:t xml:space="preserve"> procedió a la consulta de </w:t>
      </w:r>
      <w:r w:rsidR="002825BA" w:rsidRPr="008B3919">
        <w:rPr>
          <w:rFonts w:ascii="Palatino Linotype" w:eastAsia="Palatino Linotype" w:hAnsi="Palatino Linotype" w:cs="Palatino Linotype"/>
          <w:sz w:val="22"/>
          <w:szCs w:val="22"/>
        </w:rPr>
        <w:t xml:space="preserve">la información publicada por el </w:t>
      </w:r>
      <w:r w:rsidR="002825BA" w:rsidRPr="008B3919">
        <w:rPr>
          <w:rFonts w:ascii="Palatino Linotype" w:eastAsia="Palatino Linotype" w:hAnsi="Palatino Linotype" w:cs="Palatino Linotype"/>
          <w:b/>
          <w:sz w:val="22"/>
          <w:szCs w:val="22"/>
        </w:rPr>
        <w:t xml:space="preserve">Sujeto Obligado </w:t>
      </w:r>
      <w:r w:rsidR="00A20BCE" w:rsidRPr="008B3919">
        <w:rPr>
          <w:rFonts w:ascii="Palatino Linotype" w:eastAsia="Palatino Linotype" w:hAnsi="Palatino Linotype" w:cs="Palatino Linotype"/>
          <w:sz w:val="22"/>
          <w:szCs w:val="22"/>
        </w:rPr>
        <w:t xml:space="preserve">en el portal de Información Pública de Oficio Mexiquense, IPOMEX, en cumplimiento a la obligación de transparencia prevista en el artículo 92, fracción VIII de la </w:t>
      </w:r>
      <w:r w:rsidR="00C01C2E" w:rsidRPr="008B3919">
        <w:rPr>
          <w:rFonts w:ascii="Palatino Linotype" w:hAnsi="Palatino Linotype"/>
          <w:sz w:val="22"/>
          <w:szCs w:val="22"/>
        </w:rPr>
        <w:t>Ley de Transparencia y Acceso a la Información Pública del Estado de México y Municipios</w:t>
      </w:r>
      <w:r w:rsidRPr="008B3919">
        <w:rPr>
          <w:rFonts w:ascii="Palatino Linotype" w:hAnsi="Palatino Linotype"/>
          <w:sz w:val="22"/>
          <w:szCs w:val="22"/>
        </w:rPr>
        <w:t>, relativa a la remuneración bruta y neta de todos los servidores públicos, a saber:</w:t>
      </w:r>
    </w:p>
    <w:p w14:paraId="04F7E6AB" w14:textId="276CF3E2" w:rsidR="00C01C2E" w:rsidRPr="008B3919" w:rsidRDefault="00187914" w:rsidP="00627673">
      <w:pPr>
        <w:spacing w:before="120" w:after="120"/>
        <w:ind w:left="851" w:right="902"/>
        <w:jc w:val="both"/>
        <w:rPr>
          <w:rFonts w:ascii="Palatino Linotype" w:hAnsi="Palatino Linotype"/>
          <w:i/>
          <w:sz w:val="22"/>
          <w:szCs w:val="22"/>
        </w:rPr>
      </w:pPr>
      <w:r w:rsidRPr="008B3919">
        <w:rPr>
          <w:rFonts w:ascii="Palatino Linotype" w:hAnsi="Palatino Linotype"/>
          <w:i/>
          <w:sz w:val="22"/>
          <w:szCs w:val="22"/>
        </w:rPr>
        <w:t>“</w:t>
      </w:r>
      <w:r w:rsidRPr="008B3919">
        <w:rPr>
          <w:rFonts w:ascii="Palatino Linotype" w:hAnsi="Palatino Linotype"/>
          <w:b/>
          <w:i/>
          <w:sz w:val="22"/>
          <w:szCs w:val="22"/>
        </w:rPr>
        <w:t>Artículo 92.</w:t>
      </w:r>
      <w:r w:rsidRPr="008B3919">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9D4E924" w14:textId="63569FA5" w:rsidR="00187914" w:rsidRPr="008B3919" w:rsidRDefault="00187914" w:rsidP="00627673">
      <w:pPr>
        <w:spacing w:before="120" w:after="120"/>
        <w:ind w:left="851" w:right="902"/>
        <w:jc w:val="both"/>
        <w:rPr>
          <w:rFonts w:ascii="Palatino Linotype" w:hAnsi="Palatino Linotype"/>
          <w:i/>
          <w:sz w:val="22"/>
          <w:szCs w:val="22"/>
        </w:rPr>
      </w:pPr>
      <w:r w:rsidRPr="008B3919">
        <w:rPr>
          <w:rFonts w:ascii="Palatino Linotype" w:hAnsi="Palatino Linotype"/>
          <w:i/>
          <w:sz w:val="22"/>
          <w:szCs w:val="22"/>
        </w:rPr>
        <w:t>...</w:t>
      </w:r>
    </w:p>
    <w:p w14:paraId="3558E844" w14:textId="7D3374F4" w:rsidR="00C01C2E" w:rsidRPr="008B3919" w:rsidRDefault="00187914" w:rsidP="00627673">
      <w:pPr>
        <w:spacing w:before="120" w:after="120"/>
        <w:ind w:left="851" w:right="902"/>
        <w:jc w:val="both"/>
        <w:rPr>
          <w:rFonts w:ascii="Palatino Linotype" w:hAnsi="Palatino Linotype"/>
          <w:i/>
          <w:sz w:val="22"/>
          <w:szCs w:val="22"/>
        </w:rPr>
      </w:pPr>
      <w:r w:rsidRPr="008B3919">
        <w:rPr>
          <w:rFonts w:ascii="Palatino Linotype" w:hAnsi="Palatino Linotype"/>
          <w:b/>
          <w:i/>
          <w:sz w:val="22"/>
          <w:szCs w:val="22"/>
        </w:rPr>
        <w:t>VIII.</w:t>
      </w:r>
      <w:r w:rsidRPr="008B3919">
        <w:rPr>
          <w:rFonts w:ascii="Palatino Linotype" w:hAnsi="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F2B6A5C" w14:textId="7F7597CA" w:rsidR="00627673" w:rsidRPr="008B3919" w:rsidRDefault="00627673" w:rsidP="00F231B8">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En dicha consulta pudo advertirse que el servidor público ingresó el 07 de enero de 1997, mientras que la servidora pública ingresó el 16 de junio de 2023, como se ilustra a continuación para mejor referencia:</w:t>
      </w:r>
    </w:p>
    <w:p w14:paraId="5D4D114C" w14:textId="2D655C39" w:rsidR="00627673" w:rsidRPr="008B3919" w:rsidRDefault="00CB53A3" w:rsidP="00F231B8">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noProof/>
          <w:sz w:val="22"/>
          <w:szCs w:val="22"/>
        </w:rPr>
        <mc:AlternateContent>
          <mc:Choice Requires="wps">
            <w:drawing>
              <wp:anchor distT="0" distB="0" distL="114300" distR="114300" simplePos="0" relativeHeight="251659264" behindDoc="0" locked="0" layoutInCell="1" allowOverlap="1" wp14:anchorId="248FD0FF" wp14:editId="522FE793">
                <wp:simplePos x="0" y="0"/>
                <wp:positionH relativeFrom="column">
                  <wp:posOffset>5015865</wp:posOffset>
                </wp:positionH>
                <wp:positionV relativeFrom="paragraph">
                  <wp:posOffset>-48895</wp:posOffset>
                </wp:positionV>
                <wp:extent cx="592455" cy="390525"/>
                <wp:effectExtent l="57150" t="38100" r="74295" b="104775"/>
                <wp:wrapNone/>
                <wp:docPr id="304001117" name="Rectángulo 1"/>
                <wp:cNvGraphicFramePr/>
                <a:graphic xmlns:a="http://schemas.openxmlformats.org/drawingml/2006/main">
                  <a:graphicData uri="http://schemas.microsoft.com/office/word/2010/wordprocessingShape">
                    <wps:wsp>
                      <wps:cNvSpPr/>
                      <wps:spPr>
                        <a:xfrm>
                          <a:off x="0" y="0"/>
                          <a:ext cx="592455" cy="39052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2D54769B" id="Rectángulo 1" o:spid="_x0000_s1026" style="position:absolute;margin-left:394.95pt;margin-top:-3.85pt;width:46.65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" filled="f" strokecolor="#c00000" strokeweight="3pt">
                <v:shadow on="t" color="black" opacity="22937f" origin=",.5" offset="0,.63889mm"/>
              </v:rect>
            </w:pict>
          </mc:Fallback>
        </mc:AlternateContent>
      </w:r>
      <w:r w:rsidR="00627673" w:rsidRPr="008B3919">
        <w:rPr>
          <w:rFonts w:ascii="Palatino Linotype" w:eastAsia="Palatino Linotype" w:hAnsi="Palatino Linotype" w:cs="Palatino Linotype"/>
          <w:noProof/>
          <w:sz w:val="22"/>
          <w:szCs w:val="22"/>
        </w:rPr>
        <w:drawing>
          <wp:inline distT="0" distB="0" distL="0" distR="0" wp14:anchorId="6DF51ACC" wp14:editId="24852E82">
            <wp:extent cx="5612130" cy="276860"/>
            <wp:effectExtent l="0" t="0" r="762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76860"/>
                    </a:xfrm>
                    <a:prstGeom prst="rect">
                      <a:avLst/>
                    </a:prstGeom>
                  </pic:spPr>
                </pic:pic>
              </a:graphicData>
            </a:graphic>
          </wp:inline>
        </w:drawing>
      </w:r>
    </w:p>
    <w:p w14:paraId="244B398C" w14:textId="5624B0D3" w:rsidR="001322B9" w:rsidRPr="008B3919" w:rsidRDefault="00627673" w:rsidP="001322B9">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En tal sentido, es evidente que la información proporcionada es insuficiente para tener por satisfecha la solicitud, al no haberse hecho entrega de la totalidad de los registros de asistencia de los servidores públicos referidos generados desde su fecha de ingreso al ayuntamiento al nueve de se</w:t>
      </w:r>
      <w:r w:rsidR="00F809E5" w:rsidRPr="008B3919">
        <w:rPr>
          <w:rFonts w:ascii="Palatino Linotype" w:eastAsia="Palatino Linotype" w:hAnsi="Palatino Linotype" w:cs="Palatino Linotype"/>
          <w:sz w:val="22"/>
          <w:szCs w:val="22"/>
        </w:rPr>
        <w:t xml:space="preserve">ptiembre de dos mil veinticinco, siendo necesario para tal efecto que se haga entrega del soporte documental faltante, esto es, los registros de asistencia del siete de enero de mil novecientos noventa y siete al treinta y uno de mayo de dos mil veinticinco, y del uno al nueve de septiembre de dos mil veinticinco en el caso del servidor público referido en la solicitud; y del </w:t>
      </w:r>
      <w:r w:rsidR="001322B9" w:rsidRPr="008B3919">
        <w:rPr>
          <w:rFonts w:ascii="Palatino Linotype" w:eastAsia="Palatino Linotype" w:hAnsi="Palatino Linotype" w:cs="Palatino Linotype"/>
          <w:sz w:val="22"/>
          <w:szCs w:val="22"/>
        </w:rPr>
        <w:t xml:space="preserve">dieciséis </w:t>
      </w:r>
      <w:r w:rsidR="00F809E5" w:rsidRPr="008B3919">
        <w:rPr>
          <w:rFonts w:ascii="Palatino Linotype" w:eastAsia="Palatino Linotype" w:hAnsi="Palatino Linotype" w:cs="Palatino Linotype"/>
          <w:sz w:val="22"/>
          <w:szCs w:val="22"/>
        </w:rPr>
        <w:t>de junio de dos mil veintitrés al treinta y uno de mayo de dos mil veinticinco, y del uno al nueve de septiembre de dos mil veinticinco en el caso de la servidora público referida en la solicitud, en versión pública de ser procedente de conformidad con el considerando siguiente</w:t>
      </w:r>
      <w:r w:rsidR="001322B9" w:rsidRPr="008B3919">
        <w:rPr>
          <w:rFonts w:ascii="Palatino Linotype" w:eastAsia="Palatino Linotype" w:hAnsi="Palatino Linotype" w:cs="Palatino Linotype"/>
          <w:sz w:val="22"/>
          <w:szCs w:val="22"/>
        </w:rPr>
        <w:t>, o bien,  la autorización emitida por autoridad competente para omitir la elaboración del registro de asistencia en algún periodo determinado.</w:t>
      </w:r>
    </w:p>
    <w:p w14:paraId="7EEB56AD" w14:textId="67810102" w:rsidR="001322B9" w:rsidRPr="008B3919" w:rsidRDefault="001322B9" w:rsidP="001322B9">
      <w:pPr>
        <w:pStyle w:val="NormalWeb"/>
        <w:spacing w:before="240" w:beforeAutospacing="0" w:after="240" w:afterAutospacing="0" w:line="360" w:lineRule="auto"/>
        <w:jc w:val="both"/>
        <w:rPr>
          <w:rFonts w:ascii="Palatino Linotype" w:hAnsi="Palatino Linotype"/>
          <w:sz w:val="22"/>
          <w:szCs w:val="22"/>
        </w:rPr>
      </w:pPr>
      <w:r w:rsidRPr="008B3919">
        <w:rPr>
          <w:rFonts w:ascii="Palatino Linotype" w:hAnsi="Palatino Linotype"/>
          <w:sz w:val="22"/>
          <w:szCs w:val="22"/>
        </w:rPr>
        <w:t xml:space="preserve">No obstante, para el caso en el que derivado de la búsqueda que se ordena, se determina que </w:t>
      </w:r>
      <w:r w:rsidRPr="008B3919">
        <w:rPr>
          <w:rFonts w:ascii="Palatino Linotype" w:hAnsi="Palatino Linotype"/>
          <w:b/>
          <w:bCs/>
          <w:sz w:val="22"/>
          <w:szCs w:val="22"/>
        </w:rPr>
        <w:t>atendiendo a la temporalidad en la que se pudo haber generado la información concerniente al servidor público referido</w:t>
      </w:r>
      <w:r w:rsidR="00CB53A3" w:rsidRPr="008B3919">
        <w:rPr>
          <w:rFonts w:ascii="Palatino Linotype" w:hAnsi="Palatino Linotype"/>
          <w:b/>
          <w:bCs/>
          <w:sz w:val="22"/>
          <w:szCs w:val="22"/>
        </w:rPr>
        <w:t xml:space="preserve"> en la solicitud</w:t>
      </w:r>
      <w:r w:rsidRPr="008B3919">
        <w:rPr>
          <w:rFonts w:ascii="Palatino Linotype" w:hAnsi="Palatino Linotype"/>
          <w:sz w:val="22"/>
          <w:szCs w:val="22"/>
        </w:rPr>
        <w:t>, la misma ya no obra en los archivos, deberá ajustarse a lo siguiente:</w:t>
      </w:r>
    </w:p>
    <w:p w14:paraId="256937A4" w14:textId="77777777" w:rsidR="001322B9" w:rsidRPr="008B3919" w:rsidRDefault="001322B9" w:rsidP="001322B9">
      <w:pPr>
        <w:pStyle w:val="NormalWeb"/>
        <w:spacing w:before="240" w:beforeAutospacing="0" w:after="240" w:afterAutospacing="0" w:line="360" w:lineRule="auto"/>
        <w:jc w:val="both"/>
        <w:rPr>
          <w:rFonts w:ascii="Palatino Linotype" w:hAnsi="Palatino Linotype"/>
          <w:sz w:val="22"/>
          <w:szCs w:val="22"/>
        </w:rPr>
      </w:pPr>
      <w:r w:rsidRPr="008B3919">
        <w:rPr>
          <w:rFonts w:ascii="Palatino Linotype" w:hAnsi="Palatino Linotype"/>
          <w:sz w:val="22"/>
          <w:szCs w:val="22"/>
        </w:rPr>
        <w:t>Se deberá acreditar el destino de la misma, es decir; se deberá precisar si la información se envió a su archivo histórico o se procedió a su baja permanente, asimismo, deberá señalar las circunstancias de modo, tiempo y lugar que precedieron a la inexistencia de la información, con la finalidad de otorgar certeza jurídica a la persona solicitante.</w:t>
      </w:r>
    </w:p>
    <w:p w14:paraId="50884DBE" w14:textId="5C8989B4" w:rsidR="001322B9" w:rsidRPr="008B3919" w:rsidRDefault="001322B9" w:rsidP="001322B9">
      <w:pPr>
        <w:pStyle w:val="NormalWeb"/>
        <w:spacing w:before="240" w:beforeAutospacing="0" w:after="240" w:afterAutospacing="0" w:line="360" w:lineRule="auto"/>
        <w:jc w:val="both"/>
        <w:rPr>
          <w:rFonts w:ascii="Palatino Linotype" w:hAnsi="Palatino Linotype"/>
          <w:sz w:val="22"/>
          <w:szCs w:val="22"/>
        </w:rPr>
      </w:pPr>
      <w:r w:rsidRPr="008B3919">
        <w:rPr>
          <w:rFonts w:ascii="Palatino Linotype" w:hAnsi="Palatino Linotype"/>
          <w:sz w:val="22"/>
          <w:szCs w:val="22"/>
        </w:rPr>
        <w:t>Sirve de apoyo a lo anterior por analogía el Criterio orientador 14-09 que emitió el entonces Instituto Nacional de Transparencia, Acceso a la Información y Protección de Datos Personales que a la letra dice:</w:t>
      </w:r>
    </w:p>
    <w:p w14:paraId="181B5096" w14:textId="5F5C5410" w:rsidR="001322B9" w:rsidRPr="008B3919" w:rsidRDefault="001322B9" w:rsidP="001322B9">
      <w:pPr>
        <w:pStyle w:val="NormalWeb"/>
        <w:spacing w:before="240" w:beforeAutospacing="0" w:after="240" w:afterAutospacing="0" w:line="276" w:lineRule="auto"/>
        <w:ind w:left="851" w:right="900"/>
        <w:jc w:val="both"/>
        <w:rPr>
          <w:rFonts w:ascii="Palatino Linotype" w:hAnsi="Palatino Linotype"/>
          <w:sz w:val="22"/>
          <w:szCs w:val="22"/>
        </w:rPr>
      </w:pPr>
      <w:r w:rsidRPr="008B3919">
        <w:rPr>
          <w:rFonts w:ascii="Palatino Linotype" w:hAnsi="Palatino Linotype"/>
          <w:b/>
          <w:bCs/>
          <w:i/>
          <w:iCs/>
          <w:sz w:val="22"/>
          <w:szCs w:val="22"/>
        </w:rPr>
        <w:t>“Baja documental</w:t>
      </w:r>
      <w:r w:rsidRPr="008B3919">
        <w:rPr>
          <w:rFonts w:ascii="Palatino Linotype" w:hAnsi="Palatino Linotype"/>
          <w:i/>
          <w:iCs/>
          <w:sz w:val="22"/>
          <w:szCs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w:t>
      </w:r>
      <w:r w:rsidRPr="008B3919">
        <w:rPr>
          <w:rFonts w:ascii="Palatino Linotype" w:hAnsi="Palatino Linotype"/>
          <w:b/>
          <w:bCs/>
          <w:i/>
          <w:iCs/>
          <w:sz w:val="22"/>
          <w:szCs w:val="22"/>
          <w:u w:val="single"/>
        </w:rPr>
        <w:t>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w:t>
      </w:r>
      <w:r w:rsidRPr="008B3919">
        <w:rPr>
          <w:rFonts w:ascii="Palatino Linotype" w:hAnsi="Palatino Linotype"/>
          <w:i/>
          <w:iCs/>
          <w:sz w:val="22"/>
          <w:szCs w:val="22"/>
        </w:rPr>
        <w:t xml:space="preserve"> en todos aquellos casos en los que la normatividad en materia archivística prevea que la misma debe existir.”</w:t>
      </w:r>
    </w:p>
    <w:p w14:paraId="6AEF46CF" w14:textId="77777777" w:rsidR="001322B9" w:rsidRPr="008B3919" w:rsidRDefault="001322B9" w:rsidP="001322B9">
      <w:pPr>
        <w:pStyle w:val="NormalWeb"/>
        <w:spacing w:before="240" w:beforeAutospacing="0" w:after="240" w:afterAutospacing="0" w:line="360" w:lineRule="auto"/>
        <w:jc w:val="both"/>
        <w:rPr>
          <w:rFonts w:ascii="Palatino Linotype" w:hAnsi="Palatino Linotype"/>
          <w:sz w:val="22"/>
          <w:szCs w:val="22"/>
        </w:rPr>
      </w:pPr>
      <w:r w:rsidRPr="008B3919">
        <w:rPr>
          <w:rFonts w:ascii="Palatino Linotype" w:hAnsi="Palatino Linotype"/>
          <w:sz w:val="22"/>
          <w:szCs w:val="22"/>
        </w:rPr>
        <w:t>En tal caso la declaratoria formal de la inexistencia a la que se hace referencia deberá realizarse en términos de lo que señala el artículo 19, tercer párrafo, 49, fracciones II y XIII; 169 y 170 de la Ley de Transparencia y Acceso a la Información Pública del Estado de México y Municipios, que se leen como sigue:</w:t>
      </w:r>
    </w:p>
    <w:p w14:paraId="787C5581" w14:textId="77777777" w:rsidR="001322B9" w:rsidRPr="008B3919" w:rsidRDefault="001322B9" w:rsidP="001322B9">
      <w:pPr>
        <w:pStyle w:val="NormalWeb"/>
        <w:spacing w:before="120" w:beforeAutospacing="0" w:after="120" w:afterAutospacing="0"/>
        <w:ind w:left="851" w:right="902"/>
        <w:jc w:val="both"/>
        <w:rPr>
          <w:rFonts w:ascii="Palatino Linotype" w:hAnsi="Palatino Linotype"/>
          <w:sz w:val="22"/>
          <w:szCs w:val="22"/>
        </w:rPr>
      </w:pPr>
      <w:r w:rsidRPr="008B3919">
        <w:rPr>
          <w:rFonts w:ascii="Palatino Linotype" w:hAnsi="Palatino Linotype"/>
          <w:i/>
          <w:iCs/>
          <w:sz w:val="22"/>
          <w:szCs w:val="22"/>
        </w:rPr>
        <w:t>“</w:t>
      </w:r>
      <w:r w:rsidRPr="008B3919">
        <w:rPr>
          <w:rFonts w:ascii="Palatino Linotype" w:hAnsi="Palatino Linotype"/>
          <w:b/>
          <w:bCs/>
          <w:i/>
          <w:iCs/>
          <w:sz w:val="22"/>
          <w:szCs w:val="22"/>
        </w:rPr>
        <w:t>Artículo 19.</w:t>
      </w:r>
      <w:r w:rsidRPr="008B3919">
        <w:rPr>
          <w:rFonts w:ascii="Palatino Linotype" w:hAnsi="Palatino Linotype"/>
          <w:i/>
          <w:iCs/>
          <w:sz w:val="22"/>
          <w:szCs w:val="22"/>
        </w:rPr>
        <w:t xml:space="preserve"> (…)</w:t>
      </w:r>
    </w:p>
    <w:p w14:paraId="54E91BB1" w14:textId="77777777" w:rsidR="001322B9" w:rsidRPr="008B3919" w:rsidRDefault="001322B9" w:rsidP="001322B9">
      <w:pPr>
        <w:pStyle w:val="NormalWeb"/>
        <w:spacing w:before="120" w:beforeAutospacing="0" w:after="120" w:afterAutospacing="0"/>
        <w:ind w:left="851" w:right="902"/>
        <w:jc w:val="both"/>
        <w:rPr>
          <w:rFonts w:ascii="Palatino Linotype" w:hAnsi="Palatino Linotype"/>
          <w:sz w:val="22"/>
          <w:szCs w:val="22"/>
        </w:rPr>
      </w:pPr>
      <w:r w:rsidRPr="008B3919">
        <w:rPr>
          <w:rFonts w:ascii="Palatino Linotype" w:hAnsi="Palatino Linotype"/>
          <w:b/>
          <w:bCs/>
          <w:i/>
          <w:iCs/>
          <w:sz w:val="22"/>
          <w:szCs w:val="22"/>
        </w:rPr>
        <w:t>Si el sujeto obligado, en el ejercicio de sus atribuciones, debía generar, poseer o administrar la información, pero ésta no se encuentra, el Comité de transparencia deberá emitir un acuerdo de inexistencia</w:t>
      </w:r>
      <w:r w:rsidRPr="008B3919">
        <w:rPr>
          <w:rFonts w:ascii="Palatino Linotype" w:hAnsi="Palatino Linotype"/>
          <w:i/>
          <w:iCs/>
          <w:sz w:val="22"/>
          <w:szCs w:val="22"/>
        </w:rPr>
        <w:t>, debidamente fundado y motivado, en el que detalle las razones del por qué no obra en sus archivos.”</w:t>
      </w:r>
    </w:p>
    <w:p w14:paraId="0DD82973" w14:textId="77777777" w:rsidR="001322B9" w:rsidRPr="008B3919" w:rsidRDefault="001322B9" w:rsidP="001322B9">
      <w:pPr>
        <w:pStyle w:val="NormalWeb"/>
        <w:spacing w:before="120" w:beforeAutospacing="0" w:after="120" w:afterAutospacing="0"/>
        <w:ind w:left="851" w:right="902"/>
        <w:jc w:val="both"/>
        <w:rPr>
          <w:rFonts w:ascii="Palatino Linotype" w:hAnsi="Palatino Linotype"/>
          <w:sz w:val="22"/>
          <w:szCs w:val="22"/>
        </w:rPr>
      </w:pPr>
      <w:r w:rsidRPr="008B3919">
        <w:rPr>
          <w:rFonts w:ascii="Palatino Linotype" w:hAnsi="Palatino Linotype"/>
          <w:i/>
          <w:iCs/>
          <w:sz w:val="22"/>
          <w:szCs w:val="22"/>
        </w:rPr>
        <w:t>“</w:t>
      </w:r>
      <w:r w:rsidRPr="008B3919">
        <w:rPr>
          <w:rFonts w:ascii="Palatino Linotype" w:hAnsi="Palatino Linotype"/>
          <w:b/>
          <w:bCs/>
          <w:i/>
          <w:iCs/>
          <w:sz w:val="22"/>
          <w:szCs w:val="22"/>
        </w:rPr>
        <w:t>Artículo 49.</w:t>
      </w:r>
      <w:r w:rsidRPr="008B3919">
        <w:rPr>
          <w:rFonts w:ascii="Palatino Linotype" w:hAnsi="Palatino Linotype"/>
          <w:i/>
          <w:iCs/>
          <w:sz w:val="22"/>
          <w:szCs w:val="22"/>
        </w:rPr>
        <w:t xml:space="preserve"> </w:t>
      </w:r>
      <w:r w:rsidRPr="008B3919">
        <w:rPr>
          <w:rFonts w:ascii="Palatino Linotype" w:hAnsi="Palatino Linotype"/>
          <w:b/>
          <w:bCs/>
          <w:i/>
          <w:iCs/>
          <w:sz w:val="22"/>
          <w:szCs w:val="22"/>
        </w:rPr>
        <w:t>Los Comités de Transparencia</w:t>
      </w:r>
      <w:r w:rsidRPr="008B3919">
        <w:rPr>
          <w:rFonts w:ascii="Palatino Linotype" w:hAnsi="Palatino Linotype"/>
          <w:i/>
          <w:iCs/>
          <w:sz w:val="22"/>
          <w:szCs w:val="22"/>
        </w:rPr>
        <w:t xml:space="preserve"> tendrán las siguientes </w:t>
      </w:r>
      <w:r w:rsidRPr="008B3919">
        <w:rPr>
          <w:rFonts w:ascii="Palatino Linotype" w:hAnsi="Palatino Linotype"/>
          <w:b/>
          <w:bCs/>
          <w:i/>
          <w:iCs/>
          <w:sz w:val="22"/>
          <w:szCs w:val="22"/>
        </w:rPr>
        <w:t>atribuciones</w:t>
      </w:r>
      <w:r w:rsidRPr="008B3919">
        <w:rPr>
          <w:rFonts w:ascii="Palatino Linotype" w:hAnsi="Palatino Linotype"/>
          <w:i/>
          <w:iCs/>
          <w:sz w:val="22"/>
          <w:szCs w:val="22"/>
        </w:rPr>
        <w:t>:</w:t>
      </w:r>
    </w:p>
    <w:p w14:paraId="38BAD394" w14:textId="77777777" w:rsidR="001322B9" w:rsidRPr="008B3919" w:rsidRDefault="001322B9" w:rsidP="001322B9">
      <w:pPr>
        <w:pStyle w:val="NormalWeb"/>
        <w:spacing w:before="120" w:beforeAutospacing="0" w:after="120" w:afterAutospacing="0"/>
        <w:ind w:left="851" w:right="902"/>
        <w:jc w:val="both"/>
        <w:rPr>
          <w:rFonts w:ascii="Palatino Linotype" w:hAnsi="Palatino Linotype"/>
          <w:sz w:val="22"/>
          <w:szCs w:val="22"/>
        </w:rPr>
      </w:pPr>
      <w:r w:rsidRPr="008B3919">
        <w:rPr>
          <w:rFonts w:ascii="Palatino Linotype" w:hAnsi="Palatino Linotype"/>
          <w:b/>
          <w:bCs/>
          <w:i/>
          <w:iCs/>
          <w:sz w:val="22"/>
          <w:szCs w:val="22"/>
        </w:rPr>
        <w:t>II.</w:t>
      </w:r>
      <w:r w:rsidRPr="008B3919">
        <w:rPr>
          <w:rFonts w:ascii="Palatino Linotype" w:hAnsi="Palatino Linotype"/>
          <w:i/>
          <w:iCs/>
          <w:sz w:val="22"/>
          <w:szCs w:val="22"/>
        </w:rPr>
        <w:t xml:space="preserve"> </w:t>
      </w:r>
      <w:r w:rsidRPr="008B3919">
        <w:rPr>
          <w:rFonts w:ascii="Palatino Linotype" w:hAnsi="Palatino Linotype"/>
          <w:b/>
          <w:bCs/>
          <w:i/>
          <w:iCs/>
          <w:sz w:val="22"/>
          <w:szCs w:val="22"/>
        </w:rPr>
        <w:t>Confirmar, modificar o revocar las determinaciones que en materia de</w:t>
      </w:r>
      <w:r w:rsidRPr="008B3919">
        <w:rPr>
          <w:rFonts w:ascii="Palatino Linotype" w:hAnsi="Palatino Linotype"/>
          <w:i/>
          <w:iCs/>
          <w:sz w:val="22"/>
          <w:szCs w:val="22"/>
        </w:rPr>
        <w:t xml:space="preserve"> ampliación del plazo de respuesta, clasificación de la información y </w:t>
      </w:r>
      <w:r w:rsidRPr="008B3919">
        <w:rPr>
          <w:rFonts w:ascii="Palatino Linotype" w:hAnsi="Palatino Linotype"/>
          <w:b/>
          <w:bCs/>
          <w:i/>
          <w:iCs/>
          <w:sz w:val="22"/>
          <w:szCs w:val="22"/>
        </w:rPr>
        <w:t>declaración de inexistencia</w:t>
      </w:r>
      <w:r w:rsidRPr="008B3919">
        <w:rPr>
          <w:rFonts w:ascii="Palatino Linotype" w:hAnsi="Palatino Linotype"/>
          <w:i/>
          <w:iCs/>
          <w:sz w:val="22"/>
          <w:szCs w:val="22"/>
        </w:rPr>
        <w:t xml:space="preserve"> o de incompetencia realicen los titulares de las áreas de los sujetos obligados;</w:t>
      </w:r>
    </w:p>
    <w:p w14:paraId="7253B472" w14:textId="77777777" w:rsidR="001322B9" w:rsidRPr="008B3919" w:rsidRDefault="001322B9" w:rsidP="001322B9">
      <w:pPr>
        <w:pStyle w:val="NormalWeb"/>
        <w:spacing w:before="120" w:beforeAutospacing="0" w:after="120" w:afterAutospacing="0"/>
        <w:ind w:left="851" w:right="902"/>
        <w:jc w:val="both"/>
        <w:rPr>
          <w:rFonts w:ascii="Palatino Linotype" w:hAnsi="Palatino Linotype"/>
          <w:sz w:val="22"/>
          <w:szCs w:val="22"/>
        </w:rPr>
      </w:pPr>
      <w:r w:rsidRPr="008B3919">
        <w:rPr>
          <w:rFonts w:ascii="Palatino Linotype" w:hAnsi="Palatino Linotype"/>
          <w:b/>
          <w:bCs/>
          <w:i/>
          <w:iCs/>
          <w:sz w:val="22"/>
          <w:szCs w:val="22"/>
        </w:rPr>
        <w:t>XIII.</w:t>
      </w:r>
      <w:r w:rsidRPr="008B3919">
        <w:rPr>
          <w:rFonts w:ascii="Palatino Linotype" w:hAnsi="Palatino Linotype"/>
          <w:i/>
          <w:iCs/>
          <w:sz w:val="22"/>
          <w:szCs w:val="22"/>
        </w:rPr>
        <w:t xml:space="preserve"> </w:t>
      </w:r>
      <w:r w:rsidRPr="008B3919">
        <w:rPr>
          <w:rFonts w:ascii="Palatino Linotype" w:hAnsi="Palatino Linotype"/>
          <w:b/>
          <w:bCs/>
          <w:i/>
          <w:iCs/>
          <w:sz w:val="22"/>
          <w:szCs w:val="22"/>
        </w:rPr>
        <w:t>Dictaminar las declaratorias de inexistencia de la información</w:t>
      </w:r>
      <w:r w:rsidRPr="008B3919">
        <w:rPr>
          <w:rFonts w:ascii="Palatino Linotype" w:hAnsi="Palatino Linotype"/>
          <w:i/>
          <w:iCs/>
          <w:sz w:val="22"/>
          <w:szCs w:val="22"/>
        </w:rPr>
        <w:t xml:space="preserve"> que les remitan las unidades administrativas y resolver en consecuencia…”</w:t>
      </w:r>
    </w:p>
    <w:p w14:paraId="103E77E5" w14:textId="77777777" w:rsidR="001322B9" w:rsidRPr="008B3919" w:rsidRDefault="001322B9" w:rsidP="001322B9">
      <w:pPr>
        <w:pStyle w:val="NormalWeb"/>
        <w:spacing w:before="120" w:beforeAutospacing="0" w:after="120" w:afterAutospacing="0"/>
        <w:ind w:left="851" w:right="902"/>
        <w:jc w:val="both"/>
        <w:rPr>
          <w:rFonts w:ascii="Palatino Linotype" w:hAnsi="Palatino Linotype"/>
          <w:sz w:val="22"/>
          <w:szCs w:val="22"/>
        </w:rPr>
      </w:pPr>
      <w:r w:rsidRPr="008B3919">
        <w:rPr>
          <w:rFonts w:ascii="Palatino Linotype" w:hAnsi="Palatino Linotype"/>
          <w:i/>
          <w:iCs/>
          <w:sz w:val="22"/>
          <w:szCs w:val="22"/>
        </w:rPr>
        <w:t>“</w:t>
      </w:r>
      <w:r w:rsidRPr="008B3919">
        <w:rPr>
          <w:rFonts w:ascii="Palatino Linotype" w:hAnsi="Palatino Linotype"/>
          <w:b/>
          <w:bCs/>
          <w:i/>
          <w:iCs/>
          <w:sz w:val="22"/>
          <w:szCs w:val="22"/>
        </w:rPr>
        <w:t>Artículo 169</w:t>
      </w:r>
      <w:r w:rsidRPr="008B3919">
        <w:rPr>
          <w:rFonts w:ascii="Palatino Linotype" w:hAnsi="Palatino Linotype"/>
          <w:i/>
          <w:iCs/>
          <w:sz w:val="22"/>
          <w:szCs w:val="22"/>
        </w:rPr>
        <w:t xml:space="preserve">. </w:t>
      </w:r>
      <w:r w:rsidRPr="008B3919">
        <w:rPr>
          <w:rFonts w:ascii="Palatino Linotype" w:hAnsi="Palatino Linotype"/>
          <w:b/>
          <w:bCs/>
          <w:i/>
          <w:iCs/>
          <w:sz w:val="22"/>
          <w:szCs w:val="22"/>
        </w:rPr>
        <w:t>Cuando la información no se encuentre en los archivos del sujeto obligado, el Comité de Transparencia</w:t>
      </w:r>
      <w:r w:rsidRPr="008B3919">
        <w:rPr>
          <w:rFonts w:ascii="Palatino Linotype" w:hAnsi="Palatino Linotype"/>
          <w:i/>
          <w:iCs/>
          <w:sz w:val="22"/>
          <w:szCs w:val="22"/>
        </w:rPr>
        <w:t>: </w:t>
      </w:r>
    </w:p>
    <w:p w14:paraId="478A570B" w14:textId="77777777" w:rsidR="001322B9" w:rsidRPr="008B3919" w:rsidRDefault="001322B9" w:rsidP="001322B9">
      <w:pPr>
        <w:pStyle w:val="NormalWeb"/>
        <w:spacing w:before="120" w:beforeAutospacing="0" w:after="120" w:afterAutospacing="0"/>
        <w:ind w:left="851" w:right="902"/>
        <w:jc w:val="both"/>
        <w:rPr>
          <w:rFonts w:ascii="Palatino Linotype" w:hAnsi="Palatino Linotype"/>
          <w:sz w:val="22"/>
          <w:szCs w:val="22"/>
        </w:rPr>
      </w:pPr>
      <w:r w:rsidRPr="008B3919">
        <w:rPr>
          <w:rFonts w:ascii="Palatino Linotype" w:hAnsi="Palatino Linotype"/>
          <w:b/>
          <w:bCs/>
          <w:i/>
          <w:iCs/>
          <w:sz w:val="22"/>
          <w:szCs w:val="22"/>
        </w:rPr>
        <w:t>I.</w:t>
      </w:r>
      <w:r w:rsidRPr="008B3919">
        <w:rPr>
          <w:rFonts w:ascii="Palatino Linotype" w:hAnsi="Palatino Linotype"/>
          <w:i/>
          <w:iCs/>
          <w:sz w:val="22"/>
          <w:szCs w:val="22"/>
        </w:rPr>
        <w:t xml:space="preserve"> Analizará el caso y tomará las medidas necesarias para localizar la información; </w:t>
      </w:r>
    </w:p>
    <w:p w14:paraId="213A2C72" w14:textId="77777777" w:rsidR="001322B9" w:rsidRPr="008B3919" w:rsidRDefault="001322B9" w:rsidP="001322B9">
      <w:pPr>
        <w:pStyle w:val="NormalWeb"/>
        <w:spacing w:before="120" w:beforeAutospacing="0" w:after="120" w:afterAutospacing="0"/>
        <w:ind w:left="851" w:right="902"/>
        <w:jc w:val="both"/>
        <w:rPr>
          <w:rFonts w:ascii="Palatino Linotype" w:hAnsi="Palatino Linotype"/>
          <w:sz w:val="22"/>
          <w:szCs w:val="22"/>
        </w:rPr>
      </w:pPr>
      <w:r w:rsidRPr="008B3919">
        <w:rPr>
          <w:rFonts w:ascii="Palatino Linotype" w:hAnsi="Palatino Linotype"/>
          <w:b/>
          <w:bCs/>
          <w:i/>
          <w:iCs/>
          <w:sz w:val="22"/>
          <w:szCs w:val="22"/>
        </w:rPr>
        <w:t>II.</w:t>
      </w:r>
      <w:r w:rsidRPr="008B3919">
        <w:rPr>
          <w:rFonts w:ascii="Palatino Linotype" w:hAnsi="Palatino Linotype"/>
          <w:i/>
          <w:iCs/>
          <w:sz w:val="22"/>
          <w:szCs w:val="22"/>
        </w:rPr>
        <w:t xml:space="preserve"> </w:t>
      </w:r>
      <w:r w:rsidRPr="008B3919">
        <w:rPr>
          <w:rFonts w:ascii="Palatino Linotype" w:hAnsi="Palatino Linotype"/>
          <w:b/>
          <w:bCs/>
          <w:i/>
          <w:iCs/>
          <w:sz w:val="22"/>
          <w:szCs w:val="22"/>
        </w:rPr>
        <w:t>Expedirá una resolución que confirme la inexistencia del documento</w:t>
      </w:r>
      <w:r w:rsidRPr="008B3919">
        <w:rPr>
          <w:rFonts w:ascii="Palatino Linotype" w:hAnsi="Palatino Linotype"/>
          <w:i/>
          <w:iCs/>
          <w:sz w:val="22"/>
          <w:szCs w:val="22"/>
        </w:rPr>
        <w:t>; </w:t>
      </w:r>
    </w:p>
    <w:p w14:paraId="4FC7D706" w14:textId="77777777" w:rsidR="001322B9" w:rsidRPr="008B3919" w:rsidRDefault="001322B9" w:rsidP="001322B9">
      <w:pPr>
        <w:pStyle w:val="NormalWeb"/>
        <w:spacing w:before="120" w:beforeAutospacing="0" w:after="120" w:afterAutospacing="0"/>
        <w:ind w:left="851" w:right="902"/>
        <w:jc w:val="both"/>
        <w:rPr>
          <w:rFonts w:ascii="Palatino Linotype" w:hAnsi="Palatino Linotype"/>
          <w:sz w:val="22"/>
          <w:szCs w:val="22"/>
        </w:rPr>
      </w:pPr>
      <w:r w:rsidRPr="008B3919">
        <w:rPr>
          <w:rFonts w:ascii="Palatino Linotype" w:hAnsi="Palatino Linotype"/>
          <w:b/>
          <w:bCs/>
          <w:i/>
          <w:iCs/>
          <w:sz w:val="22"/>
          <w:szCs w:val="22"/>
        </w:rPr>
        <w:t>III</w:t>
      </w:r>
      <w:r w:rsidRPr="008B3919">
        <w:rPr>
          <w:rFonts w:ascii="Palatino Linotype" w:hAnsi="Palatino Linotype"/>
          <w:i/>
          <w:iCs/>
          <w:sz w:val="22"/>
          <w:szCs w:val="22"/>
        </w:rPr>
        <w:t>.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4090D134" w14:textId="77777777" w:rsidR="001322B9" w:rsidRPr="008B3919" w:rsidRDefault="001322B9" w:rsidP="001322B9">
      <w:pPr>
        <w:pStyle w:val="NormalWeb"/>
        <w:spacing w:before="120" w:beforeAutospacing="0" w:after="120" w:afterAutospacing="0"/>
        <w:ind w:left="851" w:right="902"/>
        <w:jc w:val="both"/>
        <w:rPr>
          <w:rFonts w:ascii="Palatino Linotype" w:hAnsi="Palatino Linotype"/>
          <w:sz w:val="22"/>
          <w:szCs w:val="22"/>
        </w:rPr>
      </w:pPr>
      <w:r w:rsidRPr="008B3919">
        <w:rPr>
          <w:rFonts w:ascii="Palatino Linotype" w:hAnsi="Palatino Linotype"/>
          <w:b/>
          <w:bCs/>
          <w:i/>
          <w:iCs/>
          <w:sz w:val="22"/>
          <w:szCs w:val="22"/>
        </w:rPr>
        <w:t xml:space="preserve">IV. </w:t>
      </w:r>
      <w:r w:rsidRPr="008B3919">
        <w:rPr>
          <w:rFonts w:ascii="Palatino Linotype" w:hAnsi="Palatino Linotype"/>
          <w:i/>
          <w:iCs/>
          <w:sz w:val="22"/>
          <w:szCs w:val="22"/>
        </w:rPr>
        <w:t>Notificará al órgano interno de control o equivalente del sujeto obligado quien, en su caso, deberá iniciar el procedimiento de responsabilidad administrativa que corresponda. </w:t>
      </w:r>
    </w:p>
    <w:p w14:paraId="0EB6916F" w14:textId="77777777" w:rsidR="001322B9" w:rsidRPr="008B3919" w:rsidRDefault="001322B9" w:rsidP="001322B9">
      <w:pPr>
        <w:pStyle w:val="NormalWeb"/>
        <w:spacing w:before="120" w:beforeAutospacing="0" w:after="120" w:afterAutospacing="0"/>
        <w:ind w:left="851" w:right="902"/>
        <w:jc w:val="both"/>
        <w:rPr>
          <w:rFonts w:ascii="Palatino Linotype" w:hAnsi="Palatino Linotype"/>
          <w:sz w:val="22"/>
          <w:szCs w:val="22"/>
        </w:rPr>
      </w:pPr>
      <w:r w:rsidRPr="008B3919">
        <w:rPr>
          <w:rFonts w:ascii="Palatino Linotype" w:hAnsi="Palatino Linotype"/>
          <w:i/>
          <w:iCs/>
          <w:sz w:val="22"/>
          <w:szCs w:val="22"/>
        </w:rPr>
        <w:t>La Unidad de Transparencia deberá notificarlo al solicitante por escrito, en un plazo que no exceda de quince días hábiles contados a partir del día siguiente a la presentación de la solicitud. </w:t>
      </w:r>
    </w:p>
    <w:p w14:paraId="0CF60520" w14:textId="77777777" w:rsidR="001322B9" w:rsidRPr="008B3919" w:rsidRDefault="001322B9" w:rsidP="001322B9">
      <w:pPr>
        <w:pStyle w:val="NormalWeb"/>
        <w:spacing w:before="120" w:beforeAutospacing="0" w:after="120" w:afterAutospacing="0"/>
        <w:ind w:left="851" w:right="902"/>
        <w:jc w:val="both"/>
        <w:rPr>
          <w:rFonts w:ascii="Palatino Linotype" w:hAnsi="Palatino Linotype"/>
          <w:sz w:val="22"/>
          <w:szCs w:val="22"/>
        </w:rPr>
      </w:pPr>
      <w:r w:rsidRPr="008B3919">
        <w:rPr>
          <w:rFonts w:ascii="Palatino Linotype" w:hAnsi="Palatino Linotype"/>
          <w:i/>
          <w:iCs/>
          <w:sz w:val="22"/>
          <w:szCs w:val="22"/>
        </w:rPr>
        <w:t>Este plazo podrá ampliarse hasta por otros siete días hábiles, siempre que existan razones para ello, debiendo notificarse por escrito al solicitante.”</w:t>
      </w:r>
    </w:p>
    <w:p w14:paraId="552F6022" w14:textId="77777777" w:rsidR="001322B9" w:rsidRPr="008B3919" w:rsidRDefault="001322B9" w:rsidP="001322B9">
      <w:pPr>
        <w:pStyle w:val="NormalWeb"/>
        <w:spacing w:before="120" w:beforeAutospacing="0" w:after="120" w:afterAutospacing="0"/>
        <w:ind w:left="851" w:right="902"/>
        <w:jc w:val="both"/>
        <w:rPr>
          <w:rFonts w:ascii="Palatino Linotype" w:hAnsi="Palatino Linotype"/>
          <w:sz w:val="22"/>
          <w:szCs w:val="22"/>
        </w:rPr>
      </w:pPr>
      <w:r w:rsidRPr="008B3919">
        <w:rPr>
          <w:rFonts w:ascii="Palatino Linotype" w:hAnsi="Palatino Linotype"/>
          <w:i/>
          <w:iCs/>
          <w:sz w:val="22"/>
          <w:szCs w:val="22"/>
        </w:rPr>
        <w:t>“</w:t>
      </w:r>
      <w:r w:rsidRPr="008B3919">
        <w:rPr>
          <w:rFonts w:ascii="Palatino Linotype" w:hAnsi="Palatino Linotype"/>
          <w:b/>
          <w:bCs/>
          <w:i/>
          <w:iCs/>
          <w:sz w:val="22"/>
          <w:szCs w:val="22"/>
        </w:rPr>
        <w:t>Artículo 170.</w:t>
      </w:r>
      <w:r w:rsidRPr="008B3919">
        <w:rPr>
          <w:rFonts w:ascii="Palatino Linotype" w:hAnsi="Palatino Linotype"/>
          <w:i/>
          <w:iCs/>
          <w:sz w:val="22"/>
          <w:szCs w:val="22"/>
        </w:rPr>
        <w:t xml:space="preserve"> </w:t>
      </w:r>
      <w:r w:rsidRPr="008B3919">
        <w:rPr>
          <w:rFonts w:ascii="Palatino Linotype" w:hAnsi="Palatino Linotype"/>
          <w:b/>
          <w:bCs/>
          <w:i/>
          <w:iCs/>
          <w:sz w:val="22"/>
          <w:szCs w:val="22"/>
        </w:rPr>
        <w:t>La resolución del Comité de Transparencia que confirme la inexistencia de la información solicitada contendrá los elementos mínimos</w:t>
      </w:r>
      <w:r w:rsidRPr="008B3919">
        <w:rPr>
          <w:rFonts w:ascii="Palatino Linotype" w:hAnsi="Palatino Linotype"/>
          <w:i/>
          <w:iCs/>
          <w:sz w:val="22"/>
          <w:szCs w:val="22"/>
        </w:rPr>
        <w:t xml:space="preserve"> </w:t>
      </w:r>
      <w:r w:rsidRPr="008B3919">
        <w:rPr>
          <w:rFonts w:ascii="Palatino Linotype" w:hAnsi="Palatino Linotype"/>
          <w:b/>
          <w:bCs/>
          <w:i/>
          <w:iCs/>
          <w:sz w:val="22"/>
          <w:szCs w:val="22"/>
        </w:rPr>
        <w:t>que permitan al solicitante tener la certeza de que se utilizó un criterio de búsqueda exhaustivo</w:t>
      </w:r>
      <w:r w:rsidRPr="008B3919">
        <w:rPr>
          <w:rFonts w:ascii="Palatino Linotype" w:hAnsi="Palatino Linotype"/>
          <w:i/>
          <w:iCs/>
          <w:sz w:val="22"/>
          <w:szCs w:val="22"/>
        </w:rPr>
        <w:t>, además de señalar las circunstancias de tiempo, modo y lugar que generaron la existencia en cuestión y señalará al servidor público responsable de contar con la misma.”</w:t>
      </w:r>
    </w:p>
    <w:p w14:paraId="1587EB72" w14:textId="77777777" w:rsidR="001322B9" w:rsidRPr="008B3919" w:rsidRDefault="001322B9" w:rsidP="001322B9">
      <w:pPr>
        <w:pStyle w:val="NormalWeb"/>
        <w:spacing w:before="240" w:beforeAutospacing="0" w:after="240" w:afterAutospacing="0" w:line="360" w:lineRule="auto"/>
        <w:jc w:val="both"/>
        <w:rPr>
          <w:rFonts w:ascii="Palatino Linotype" w:hAnsi="Palatino Linotype"/>
          <w:sz w:val="22"/>
          <w:szCs w:val="22"/>
        </w:rPr>
      </w:pPr>
      <w:r w:rsidRPr="008B3919">
        <w:rPr>
          <w:rFonts w:ascii="Palatino Linotype" w:hAnsi="Palatino Linotype"/>
          <w:sz w:val="22"/>
          <w:szCs w:val="22"/>
        </w:rPr>
        <w:t>Lo anterior, como se precisa, resulta necesario ya que el Acuerdo de Inexistencia emitido por el Comité de Transparencia, da certeza de las razones o motivos por las cuales no se localizó la información y del proceso realizado para localizar la misma, acreditando en un primer momento la búsqueda exhaustiva y razonable de la información en las áreas administrativas, lo cual constará mediante los oficios emitidos y las respuestas por parte de los servidores públicos de las áreas correspondientes, ello con la finalidad de que se informe si los documentos solicitados habían causado baja documental.</w:t>
      </w:r>
    </w:p>
    <w:p w14:paraId="1A6027E4" w14:textId="77777777" w:rsidR="001322B9" w:rsidRPr="008B3919" w:rsidRDefault="001322B9" w:rsidP="001322B9">
      <w:pPr>
        <w:pStyle w:val="NormalWeb"/>
        <w:spacing w:before="240" w:beforeAutospacing="0" w:after="240" w:afterAutospacing="0" w:line="360" w:lineRule="auto"/>
        <w:jc w:val="both"/>
        <w:rPr>
          <w:rFonts w:ascii="Palatino Linotype" w:hAnsi="Palatino Linotype"/>
          <w:sz w:val="22"/>
          <w:szCs w:val="22"/>
        </w:rPr>
      </w:pPr>
      <w:r w:rsidRPr="008B3919">
        <w:rPr>
          <w:rFonts w:ascii="Palatino Linotype" w:hAnsi="Palatino Linotype"/>
          <w:sz w:val="22"/>
          <w:szCs w:val="22"/>
        </w:rPr>
        <w:t>Asimismo, resulta aplicable el Criterio reiterado número 08/19 emitido por Acuerdo del Pleno del Instituto de Transparencia y Acceso a la Información Pública del Estado de México y Municipios, que precisa:</w:t>
      </w:r>
    </w:p>
    <w:p w14:paraId="75E7277F" w14:textId="77777777" w:rsidR="001322B9" w:rsidRPr="008B3919" w:rsidRDefault="001322B9" w:rsidP="001322B9">
      <w:pPr>
        <w:pStyle w:val="NormalWeb"/>
        <w:spacing w:before="120" w:beforeAutospacing="0" w:after="120" w:afterAutospacing="0"/>
        <w:ind w:left="851" w:right="902"/>
        <w:jc w:val="both"/>
        <w:rPr>
          <w:rFonts w:ascii="Palatino Linotype" w:hAnsi="Palatino Linotype"/>
          <w:sz w:val="22"/>
          <w:szCs w:val="22"/>
        </w:rPr>
      </w:pPr>
      <w:r w:rsidRPr="008B3919">
        <w:rPr>
          <w:rFonts w:ascii="Palatino Linotype" w:hAnsi="Palatino Linotype"/>
          <w:i/>
          <w:iCs/>
          <w:sz w:val="22"/>
          <w:szCs w:val="22"/>
        </w:rPr>
        <w:t>“</w:t>
      </w:r>
      <w:r w:rsidRPr="008B3919">
        <w:rPr>
          <w:rFonts w:ascii="Palatino Linotype" w:hAnsi="Palatino Linotype"/>
          <w:b/>
          <w:bCs/>
          <w:i/>
          <w:iCs/>
          <w:sz w:val="22"/>
          <w:szCs w:val="22"/>
        </w:rPr>
        <w:t>INEXISTENCIA DE LA INFORMACIÓN. SUPUESTOS PARA EMITIR LA RESOLUCIÓN DE LA</w:t>
      </w:r>
      <w:r w:rsidRPr="008B3919">
        <w:rPr>
          <w:rFonts w:ascii="Palatino Linotype" w:hAnsi="Palatino Linotype"/>
          <w:i/>
          <w:iCs/>
          <w:sz w:val="22"/>
          <w:szCs w:val="22"/>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FE332E4" w14:textId="77777777" w:rsidR="001322B9" w:rsidRPr="008B3919" w:rsidRDefault="001322B9" w:rsidP="001322B9">
      <w:pPr>
        <w:pStyle w:val="NormalWeb"/>
        <w:spacing w:before="240" w:beforeAutospacing="0" w:after="240" w:afterAutospacing="0" w:line="360" w:lineRule="auto"/>
        <w:jc w:val="both"/>
        <w:rPr>
          <w:rFonts w:ascii="Palatino Linotype" w:hAnsi="Palatino Linotype"/>
          <w:sz w:val="22"/>
          <w:szCs w:val="22"/>
        </w:rPr>
      </w:pPr>
      <w:r w:rsidRPr="008B3919">
        <w:rPr>
          <w:rFonts w:ascii="Palatino Linotype" w:hAnsi="Palatino Linotype"/>
          <w:sz w:val="22"/>
          <w:szCs w:val="22"/>
        </w:rPr>
        <w:t>Lo anterior, obedece a lo establecido por el artículo 12 de la Ley de Transparencia y Acceso a la Información Pública del Estado de México y Municipios, el cual destaca que quienes generen, recopilen, administren, manejen, procesen, archiven o conserven información pública serán responsables de esta; vinculando inminentemente al servidor público con los documentos que por el ejercicio de sus funciones obra en su poder, lo que impone un compromiso en su cuidado y resguardo.</w:t>
      </w:r>
    </w:p>
    <w:p w14:paraId="1DBD0ED6" w14:textId="74EB7FF4" w:rsidR="00331A87" w:rsidRPr="008B3919" w:rsidRDefault="00331A87" w:rsidP="001322B9">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De lo hasta aquí expuesto, se concluye que los motivos de inconformidad de la parte </w:t>
      </w:r>
      <w:r w:rsidRPr="008B3919">
        <w:rPr>
          <w:rFonts w:ascii="Palatino Linotype" w:eastAsia="Palatino Linotype" w:hAnsi="Palatino Linotype" w:cs="Palatino Linotype"/>
          <w:b/>
          <w:sz w:val="22"/>
          <w:szCs w:val="22"/>
        </w:rPr>
        <w:t xml:space="preserve">Recurrente </w:t>
      </w:r>
      <w:r w:rsidRPr="008B3919">
        <w:rPr>
          <w:rFonts w:ascii="Palatino Linotype" w:eastAsia="Palatino Linotype" w:hAnsi="Palatino Linotype" w:cs="Palatino Linotype"/>
          <w:sz w:val="22"/>
          <w:szCs w:val="22"/>
        </w:rPr>
        <w:t xml:space="preserve">devienen </w:t>
      </w:r>
      <w:r w:rsidR="00510048" w:rsidRPr="008B3919">
        <w:rPr>
          <w:rFonts w:ascii="Palatino Linotype" w:eastAsia="Palatino Linotype" w:hAnsi="Palatino Linotype" w:cs="Palatino Linotype"/>
          <w:sz w:val="22"/>
          <w:szCs w:val="22"/>
        </w:rPr>
        <w:t xml:space="preserve">parcialmente </w:t>
      </w:r>
      <w:r w:rsidRPr="008B3919">
        <w:rPr>
          <w:rFonts w:ascii="Palatino Linotype" w:eastAsia="Palatino Linotype" w:hAnsi="Palatino Linotype" w:cs="Palatino Linotype"/>
          <w:sz w:val="22"/>
          <w:szCs w:val="22"/>
        </w:rPr>
        <w:t xml:space="preserve">fundados, siendo procedente </w:t>
      </w:r>
      <w:r w:rsidR="00510048" w:rsidRPr="008B3919">
        <w:rPr>
          <w:rFonts w:ascii="Palatino Linotype" w:eastAsia="Palatino Linotype" w:hAnsi="Palatino Linotype" w:cs="Palatino Linotype"/>
          <w:i/>
          <w:sz w:val="22"/>
          <w:szCs w:val="22"/>
        </w:rPr>
        <w:t xml:space="preserve">Modificar </w:t>
      </w:r>
      <w:r w:rsidRPr="008B3919">
        <w:rPr>
          <w:rFonts w:ascii="Palatino Linotype" w:eastAsia="Palatino Linotype" w:hAnsi="Palatino Linotype" w:cs="Palatino Linotype"/>
          <w:i/>
          <w:sz w:val="22"/>
          <w:szCs w:val="22"/>
        </w:rPr>
        <w:t xml:space="preserve"> </w:t>
      </w:r>
      <w:r w:rsidRPr="008B3919">
        <w:rPr>
          <w:rFonts w:ascii="Palatino Linotype" w:eastAsia="Palatino Linotype" w:hAnsi="Palatino Linotype" w:cs="Palatino Linotype"/>
          <w:sz w:val="22"/>
          <w:szCs w:val="22"/>
        </w:rPr>
        <w:t xml:space="preserve">la respuesta proporcionada por el </w:t>
      </w:r>
      <w:r w:rsidRPr="008B3919">
        <w:rPr>
          <w:rFonts w:ascii="Palatino Linotype" w:eastAsia="Palatino Linotype" w:hAnsi="Palatino Linotype" w:cs="Palatino Linotype"/>
          <w:b/>
          <w:sz w:val="22"/>
          <w:szCs w:val="22"/>
        </w:rPr>
        <w:t xml:space="preserve">Sujeto Obligado </w:t>
      </w:r>
      <w:r w:rsidRPr="008B3919">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78EEEE19" w14:textId="77777777" w:rsidR="00331A87" w:rsidRPr="008B3919" w:rsidRDefault="00331A87" w:rsidP="00331A87">
      <w:pPr>
        <w:spacing w:before="240" w:after="240" w:line="360" w:lineRule="auto"/>
        <w:ind w:right="51"/>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b/>
          <w:sz w:val="22"/>
          <w:szCs w:val="22"/>
        </w:rPr>
        <w:t xml:space="preserve">Quinto. Versión Pública. </w:t>
      </w:r>
      <w:r w:rsidRPr="008B3919">
        <w:rPr>
          <w:rFonts w:ascii="Palatino Linotype" w:eastAsia="Palatino Linotype" w:hAnsi="Palatino Linotype" w:cs="Palatino Linotype"/>
          <w:sz w:val="22"/>
          <w:szCs w:val="22"/>
        </w:rPr>
        <w:t>Como fue debidamente apuntado, el </w:t>
      </w:r>
      <w:r w:rsidRPr="008B3919">
        <w:rPr>
          <w:rFonts w:ascii="Palatino Linotype" w:eastAsia="Palatino Linotype" w:hAnsi="Palatino Linotype" w:cs="Palatino Linotype"/>
          <w:b/>
          <w:sz w:val="22"/>
          <w:szCs w:val="22"/>
        </w:rPr>
        <w:t>Sujeto Obligado</w:t>
      </w:r>
      <w:r w:rsidRPr="008B3919">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0131246E" w14:textId="77777777" w:rsidR="00331A87" w:rsidRPr="008B3919" w:rsidRDefault="00331A87" w:rsidP="00331A87">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54F4070" w14:textId="77777777" w:rsidR="00331A87" w:rsidRPr="008B3919" w:rsidRDefault="00331A87" w:rsidP="00331A87">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C67F688" w14:textId="77777777" w:rsidR="00331A87" w:rsidRPr="008B3919" w:rsidRDefault="00331A87" w:rsidP="00331A87">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1B69AFA7"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sz w:val="22"/>
          <w:szCs w:val="22"/>
        </w:rPr>
        <w:t> </w:t>
      </w:r>
      <w:r w:rsidRPr="008B3919">
        <w:rPr>
          <w:rFonts w:ascii="Palatino Linotype" w:eastAsia="Palatino Linotype" w:hAnsi="Palatino Linotype" w:cs="Palatino Linotype"/>
          <w:i/>
          <w:sz w:val="22"/>
          <w:szCs w:val="22"/>
        </w:rPr>
        <w:t>“</w:t>
      </w:r>
      <w:r w:rsidRPr="008B3919">
        <w:rPr>
          <w:rFonts w:ascii="Palatino Linotype" w:eastAsia="Palatino Linotype" w:hAnsi="Palatino Linotype" w:cs="Palatino Linotype"/>
          <w:b/>
          <w:i/>
          <w:sz w:val="22"/>
          <w:szCs w:val="22"/>
        </w:rPr>
        <w:t>Artículo 3.</w:t>
      </w:r>
      <w:r w:rsidRPr="008B3919">
        <w:rPr>
          <w:rFonts w:ascii="Palatino Linotype" w:eastAsia="Palatino Linotype" w:hAnsi="Palatino Linotype" w:cs="Palatino Linotype"/>
          <w:i/>
          <w:sz w:val="22"/>
          <w:szCs w:val="22"/>
        </w:rPr>
        <w:t xml:space="preserve"> Para los efectos de la presente Ley se entenderá por:</w:t>
      </w:r>
    </w:p>
    <w:p w14:paraId="408450E4" w14:textId="77777777" w:rsidR="00331A87" w:rsidRPr="008B3919"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w:t>
      </w:r>
    </w:p>
    <w:p w14:paraId="2F200FA6" w14:textId="77777777" w:rsidR="00331A87" w:rsidRPr="008B3919"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IX. Datos personales</w:t>
      </w:r>
      <w:r w:rsidRPr="008B3919">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7C051E74" w14:textId="77777777" w:rsidR="00331A87" w:rsidRPr="008B3919"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w:t>
      </w:r>
    </w:p>
    <w:p w14:paraId="6B6E4F75" w14:textId="77777777" w:rsidR="00331A87" w:rsidRPr="008B3919"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XX. Información clasificada</w:t>
      </w:r>
      <w:r w:rsidRPr="008B3919">
        <w:rPr>
          <w:rFonts w:ascii="Palatino Linotype" w:eastAsia="Palatino Linotype" w:hAnsi="Palatino Linotype" w:cs="Palatino Linotype"/>
          <w:i/>
          <w:sz w:val="22"/>
          <w:szCs w:val="22"/>
        </w:rPr>
        <w:t>: Aquella considerada por la presente Ley como reservada o confidencial;</w:t>
      </w:r>
    </w:p>
    <w:p w14:paraId="01EB3D82" w14:textId="77777777" w:rsidR="00331A87" w:rsidRPr="008B3919"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XXI. Información confidencial</w:t>
      </w:r>
      <w:r w:rsidRPr="008B3919">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8A35D66" w14:textId="77777777" w:rsidR="00331A87" w:rsidRPr="008B3919"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w:t>
      </w:r>
    </w:p>
    <w:p w14:paraId="6E42DC3C" w14:textId="77777777" w:rsidR="00331A87" w:rsidRPr="008B3919"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XXXII. Protección de Datos Personales</w:t>
      </w:r>
      <w:r w:rsidRPr="008B3919">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607D3E6" w14:textId="77777777" w:rsidR="00331A87" w:rsidRPr="008B3919"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w:t>
      </w:r>
    </w:p>
    <w:p w14:paraId="4558D9D3" w14:textId="77777777" w:rsidR="00331A87" w:rsidRPr="008B3919"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XLV. Versión pública</w:t>
      </w:r>
      <w:r w:rsidRPr="008B3919">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CA94120"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 Artículo 6</w:t>
      </w:r>
      <w:r w:rsidRPr="008B3919">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43461CA"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w:t>
      </w:r>
    </w:p>
    <w:p w14:paraId="68982AEB"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Artículo 91.</w:t>
      </w:r>
      <w:r w:rsidRPr="008B391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8B3919">
        <w:rPr>
          <w:rFonts w:ascii="Palatino Linotype" w:eastAsia="Palatino Linotype" w:hAnsi="Palatino Linotype" w:cs="Palatino Linotype"/>
          <w:i/>
          <w:sz w:val="22"/>
          <w:szCs w:val="22"/>
        </w:rPr>
        <w:br/>
        <w:t>…</w:t>
      </w:r>
    </w:p>
    <w:p w14:paraId="30B35D7A"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Artículo 132.</w:t>
      </w:r>
      <w:r w:rsidRPr="008B3919">
        <w:rPr>
          <w:rFonts w:ascii="Palatino Linotype" w:eastAsia="Palatino Linotype" w:hAnsi="Palatino Linotype" w:cs="Palatino Linotype"/>
          <w:i/>
          <w:sz w:val="22"/>
          <w:szCs w:val="22"/>
        </w:rPr>
        <w:t xml:space="preserve"> La clasificación de la información se llevará a cabo en el momento en que:</w:t>
      </w:r>
    </w:p>
    <w:p w14:paraId="6C15DE92"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w:t>
      </w:r>
      <w:r w:rsidRPr="008B3919">
        <w:rPr>
          <w:rFonts w:ascii="Palatino Linotype" w:eastAsia="Palatino Linotype" w:hAnsi="Palatino Linotype" w:cs="Palatino Linotype"/>
          <w:i/>
          <w:sz w:val="22"/>
          <w:szCs w:val="22"/>
        </w:rPr>
        <w:t>. Se reciba una solicitud de acceso a la información;</w:t>
      </w:r>
    </w:p>
    <w:p w14:paraId="1E086B4C"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II.</w:t>
      </w:r>
      <w:r w:rsidRPr="008B3919">
        <w:rPr>
          <w:rFonts w:ascii="Palatino Linotype" w:eastAsia="Palatino Linotype" w:hAnsi="Palatino Linotype" w:cs="Palatino Linotype"/>
          <w:i/>
          <w:sz w:val="22"/>
          <w:szCs w:val="22"/>
        </w:rPr>
        <w:t xml:space="preserve"> Se determine mediante resolución de autoridad competente; o</w:t>
      </w:r>
    </w:p>
    <w:p w14:paraId="4408F795"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III.</w:t>
      </w:r>
      <w:r w:rsidRPr="008B3919">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70EF914"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w:t>
      </w:r>
    </w:p>
    <w:p w14:paraId="047647F7"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Artículo 137.</w:t>
      </w:r>
      <w:r w:rsidRPr="008B3919">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8B37E16"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 Artículo 143.</w:t>
      </w:r>
      <w:r w:rsidRPr="008B3919">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8F8E40A"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w:t>
      </w:r>
      <w:r w:rsidRPr="008B3919">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F512980" w14:textId="77777777" w:rsidR="00331A87" w:rsidRPr="008B3919" w:rsidRDefault="00331A87" w:rsidP="00331A87">
      <w:pPr>
        <w:spacing w:before="240" w:after="240" w:line="360" w:lineRule="auto"/>
        <w:ind w:right="50"/>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B3919">
        <w:rPr>
          <w:rFonts w:ascii="Palatino Linotype" w:eastAsia="Palatino Linotype" w:hAnsi="Palatino Linotype" w:cs="Palatino Linotype"/>
          <w:b/>
          <w:sz w:val="22"/>
          <w:szCs w:val="22"/>
        </w:rPr>
        <w:t>Sujeto Obligado</w:t>
      </w:r>
      <w:r w:rsidRPr="008B3919">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7B1F37C" w14:textId="77777777" w:rsidR="00331A87" w:rsidRPr="008B3919" w:rsidRDefault="00331A87" w:rsidP="00331A87">
      <w:pPr>
        <w:spacing w:before="240" w:after="240" w:line="360" w:lineRule="auto"/>
        <w:ind w:right="50"/>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5A421C4" w14:textId="02799499" w:rsidR="00510048" w:rsidRPr="008B3919" w:rsidRDefault="00331A87" w:rsidP="00510048">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w:t>
      </w:r>
      <w:r w:rsidR="00AE52C6" w:rsidRPr="008B3919">
        <w:rPr>
          <w:rFonts w:ascii="Palatino Linotype" w:eastAsia="Palatino Linotype" w:hAnsi="Palatino Linotype" w:cs="Palatino Linotype"/>
          <w:sz w:val="22"/>
          <w:szCs w:val="22"/>
        </w:rPr>
        <w:t xml:space="preserve">la Clave Única de Registro de Población (CURP), </w:t>
      </w:r>
      <w:r w:rsidR="001322B9" w:rsidRPr="008B3919">
        <w:rPr>
          <w:rFonts w:ascii="Palatino Linotype" w:eastAsia="Palatino Linotype" w:hAnsi="Palatino Linotype" w:cs="Palatino Linotype"/>
          <w:sz w:val="22"/>
          <w:szCs w:val="22"/>
        </w:rPr>
        <w:t>, número de empleado, entre otros.</w:t>
      </w:r>
    </w:p>
    <w:p w14:paraId="6EA485F8" w14:textId="77777777" w:rsidR="001322B9" w:rsidRPr="008B3919" w:rsidRDefault="001322B9" w:rsidP="001322B9">
      <w:pPr>
        <w:spacing w:before="240" w:after="240" w:line="360" w:lineRule="auto"/>
        <w:ind w:right="50"/>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2B2B032" w14:textId="75B65B47" w:rsidR="001322B9" w:rsidRPr="008B3919" w:rsidRDefault="001322B9" w:rsidP="001322B9">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C1E7602" w14:textId="77777777" w:rsidR="001322B9" w:rsidRPr="008B3919" w:rsidRDefault="001322B9" w:rsidP="001322B9">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Argumento se apoya del criterio orientador con Clave de control SO/018/2017, emitido por el entonces Instituto Nacional de Transparencia, Acceso a la Información y Protección de Datos Personales, INAI, el cual refiere:</w:t>
      </w:r>
    </w:p>
    <w:p w14:paraId="47A210B4" w14:textId="77777777" w:rsidR="001322B9" w:rsidRPr="008B3919" w:rsidRDefault="001322B9" w:rsidP="001322B9">
      <w:pPr>
        <w:ind w:left="851" w:right="851"/>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 xml:space="preserve">“Clave Única de Registro de Población (CURP). </w:t>
      </w:r>
      <w:r w:rsidRPr="008B3919">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DF03410" w14:textId="77777777" w:rsidR="001322B9" w:rsidRPr="008B3919" w:rsidRDefault="001322B9" w:rsidP="001322B9">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Con relación al </w:t>
      </w:r>
      <w:r w:rsidRPr="008B3919">
        <w:rPr>
          <w:rFonts w:ascii="Palatino Linotype" w:eastAsia="Palatino Linotype" w:hAnsi="Palatino Linotype" w:cs="Palatino Linotype"/>
          <w:b/>
          <w:sz w:val="22"/>
          <w:szCs w:val="22"/>
        </w:rPr>
        <w:t>número de empleado</w:t>
      </w:r>
      <w:r w:rsidRPr="008B3919">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030A3A95" w14:textId="77777777" w:rsidR="001322B9" w:rsidRPr="008B3919" w:rsidRDefault="001322B9" w:rsidP="001322B9">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w:t>
      </w:r>
    </w:p>
    <w:p w14:paraId="3A7627D7" w14:textId="5B10A44F" w:rsidR="001322B9" w:rsidRPr="008B3919" w:rsidRDefault="001322B9" w:rsidP="001322B9">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El entonces Instituto Nacional de Transparencia, Acceso a la Información, y Protección de Datos Personales, INAI se pronunció sobre la publicidad del número de empleado, a través del criterio orientador con clave de control SO/006/2019, que indica lo siguiente:</w:t>
      </w:r>
    </w:p>
    <w:p w14:paraId="61E34869" w14:textId="77777777" w:rsidR="001322B9" w:rsidRPr="008B3919" w:rsidRDefault="001322B9" w:rsidP="001322B9">
      <w:pPr>
        <w:tabs>
          <w:tab w:val="left" w:pos="7655"/>
        </w:tabs>
        <w:spacing w:before="240" w:after="240"/>
        <w:ind w:left="993" w:right="99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 xml:space="preserve">“Número de empleado. </w:t>
      </w:r>
      <w:r w:rsidRPr="008B3919">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675DC4CD" w14:textId="77777777" w:rsidR="001322B9" w:rsidRPr="008B3919" w:rsidRDefault="001322B9" w:rsidP="001322B9">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Del criterio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8B3919">
        <w:rPr>
          <w:rFonts w:ascii="Palatino Linotype" w:eastAsia="Palatino Linotype" w:hAnsi="Palatino Linotype" w:cs="Palatino Linotype"/>
          <w:b/>
          <w:sz w:val="22"/>
          <w:szCs w:val="22"/>
        </w:rPr>
        <w:t>Sujeto Obligado</w:t>
      </w:r>
      <w:r w:rsidRPr="008B3919">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2B4416E5" w14:textId="77777777" w:rsidR="00331A87" w:rsidRPr="008B3919" w:rsidRDefault="00331A87" w:rsidP="00331A87">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6E2F1552" w14:textId="77777777" w:rsidR="00331A87" w:rsidRPr="008B3919" w:rsidRDefault="00331A87" w:rsidP="00331A87">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Asimismo, se destaca que la versión pública que elabore el </w:t>
      </w:r>
      <w:r w:rsidRPr="008B3919">
        <w:rPr>
          <w:rFonts w:ascii="Palatino Linotype" w:eastAsia="Palatino Linotype" w:hAnsi="Palatino Linotype" w:cs="Palatino Linotype"/>
          <w:b/>
          <w:sz w:val="22"/>
          <w:szCs w:val="22"/>
        </w:rPr>
        <w:t>Sujeto Obligado</w:t>
      </w:r>
      <w:r w:rsidRPr="008B3919">
        <w:rPr>
          <w:rFonts w:ascii="Palatino Linotype" w:eastAsia="Palatino Linotype" w:hAnsi="Palatino Linotype" w:cs="Palatino Linotype"/>
          <w:sz w:val="22"/>
          <w:szCs w:val="22"/>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8B3919">
        <w:rPr>
          <w:rFonts w:ascii="Palatino Linotype" w:eastAsia="Palatino Linotype" w:hAnsi="Palatino Linotype" w:cs="Palatino Linotype"/>
          <w:b/>
          <w:sz w:val="22"/>
          <w:szCs w:val="22"/>
        </w:rPr>
        <w:t>Recurrente</w:t>
      </w:r>
      <w:r w:rsidRPr="008B3919">
        <w:rPr>
          <w:rFonts w:ascii="Palatino Linotype" w:eastAsia="Palatino Linotype" w:hAnsi="Palatino Linotype" w:cs="Palatino Linotype"/>
          <w:sz w:val="22"/>
          <w:szCs w:val="22"/>
        </w:rPr>
        <w:t>.</w:t>
      </w:r>
    </w:p>
    <w:p w14:paraId="1F51EB98" w14:textId="77777777" w:rsidR="00331A87" w:rsidRPr="008B3919" w:rsidRDefault="00331A87" w:rsidP="00331A87">
      <w:pPr>
        <w:spacing w:before="240" w:after="240" w:line="360" w:lineRule="auto"/>
        <w:ind w:right="50"/>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4C7E2FD"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“Artículo 49.</w:t>
      </w:r>
      <w:r w:rsidRPr="008B3919">
        <w:rPr>
          <w:rFonts w:ascii="Palatino Linotype" w:eastAsia="Palatino Linotype" w:hAnsi="Palatino Linotype" w:cs="Palatino Linotype"/>
          <w:i/>
          <w:sz w:val="22"/>
          <w:szCs w:val="22"/>
        </w:rPr>
        <w:t xml:space="preserve"> </w:t>
      </w:r>
      <w:r w:rsidRPr="008B3919">
        <w:rPr>
          <w:rFonts w:ascii="Palatino Linotype" w:eastAsia="Palatino Linotype" w:hAnsi="Palatino Linotype" w:cs="Palatino Linotype"/>
          <w:b/>
          <w:i/>
          <w:sz w:val="22"/>
          <w:szCs w:val="22"/>
        </w:rPr>
        <w:t>Los Comités de Transparencia</w:t>
      </w:r>
      <w:r w:rsidRPr="008B3919">
        <w:rPr>
          <w:rFonts w:ascii="Palatino Linotype" w:eastAsia="Palatino Linotype" w:hAnsi="Palatino Linotype" w:cs="Palatino Linotype"/>
          <w:i/>
          <w:sz w:val="22"/>
          <w:szCs w:val="22"/>
        </w:rPr>
        <w:t xml:space="preserve"> tendrán las siguientes atribuciones:</w:t>
      </w:r>
    </w:p>
    <w:p w14:paraId="235BC34D"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VIII. Aprobar, modificar o revocar la clasificación de la información</w:t>
      </w:r>
      <w:r w:rsidRPr="008B3919">
        <w:rPr>
          <w:rFonts w:ascii="Palatino Linotype" w:eastAsia="Palatino Linotype" w:hAnsi="Palatino Linotype" w:cs="Palatino Linotype"/>
          <w:i/>
          <w:sz w:val="22"/>
          <w:szCs w:val="22"/>
        </w:rPr>
        <w:t>…”</w:t>
      </w:r>
    </w:p>
    <w:p w14:paraId="12602E14"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w:t>
      </w:r>
      <w:r w:rsidRPr="008B3919">
        <w:rPr>
          <w:rFonts w:ascii="Palatino Linotype" w:eastAsia="Palatino Linotype" w:hAnsi="Palatino Linotype" w:cs="Palatino Linotype"/>
          <w:b/>
          <w:i/>
          <w:sz w:val="22"/>
          <w:szCs w:val="22"/>
        </w:rPr>
        <w:t>Artículo 53.</w:t>
      </w:r>
      <w:r w:rsidRPr="008B3919">
        <w:rPr>
          <w:rFonts w:ascii="Palatino Linotype" w:eastAsia="Palatino Linotype" w:hAnsi="Palatino Linotype" w:cs="Palatino Linotype"/>
          <w:i/>
          <w:sz w:val="22"/>
          <w:szCs w:val="22"/>
        </w:rPr>
        <w:t xml:space="preserve"> Las </w:t>
      </w:r>
      <w:r w:rsidRPr="008B3919">
        <w:rPr>
          <w:rFonts w:ascii="Palatino Linotype" w:eastAsia="Palatino Linotype" w:hAnsi="Palatino Linotype" w:cs="Palatino Linotype"/>
          <w:b/>
          <w:i/>
          <w:sz w:val="22"/>
          <w:szCs w:val="22"/>
        </w:rPr>
        <w:t>Unidades de Transparencia</w:t>
      </w:r>
      <w:r w:rsidRPr="008B3919">
        <w:rPr>
          <w:rFonts w:ascii="Palatino Linotype" w:eastAsia="Palatino Linotype" w:hAnsi="Palatino Linotype" w:cs="Palatino Linotype"/>
          <w:i/>
          <w:sz w:val="22"/>
          <w:szCs w:val="22"/>
        </w:rPr>
        <w:t xml:space="preserve"> tendrán las siguientes </w:t>
      </w:r>
      <w:r w:rsidRPr="008B3919">
        <w:rPr>
          <w:rFonts w:ascii="Palatino Linotype" w:eastAsia="Palatino Linotype" w:hAnsi="Palatino Linotype" w:cs="Palatino Linotype"/>
          <w:b/>
          <w:i/>
          <w:sz w:val="22"/>
          <w:szCs w:val="22"/>
        </w:rPr>
        <w:t>funciones</w:t>
      </w:r>
      <w:r w:rsidRPr="008B3919">
        <w:rPr>
          <w:rFonts w:ascii="Palatino Linotype" w:eastAsia="Palatino Linotype" w:hAnsi="Palatino Linotype" w:cs="Palatino Linotype"/>
          <w:i/>
          <w:sz w:val="22"/>
          <w:szCs w:val="22"/>
        </w:rPr>
        <w:t>:</w:t>
      </w:r>
    </w:p>
    <w:p w14:paraId="0ED46539"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X. Presentar ante el Comité, el proyecto de clasificación de información</w:t>
      </w:r>
      <w:r w:rsidRPr="008B3919">
        <w:rPr>
          <w:rFonts w:ascii="Palatino Linotype" w:eastAsia="Palatino Linotype" w:hAnsi="Palatino Linotype" w:cs="Palatino Linotype"/>
          <w:i/>
          <w:sz w:val="22"/>
          <w:szCs w:val="22"/>
        </w:rPr>
        <w:t xml:space="preserve">…” </w:t>
      </w:r>
    </w:p>
    <w:p w14:paraId="053BF8C7"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“Artículo 59.</w:t>
      </w:r>
      <w:r w:rsidRPr="008B3919">
        <w:rPr>
          <w:rFonts w:ascii="Palatino Linotype" w:eastAsia="Palatino Linotype" w:hAnsi="Palatino Linotype" w:cs="Palatino Linotype"/>
          <w:i/>
          <w:sz w:val="22"/>
          <w:szCs w:val="22"/>
        </w:rPr>
        <w:t xml:space="preserve"> Los </w:t>
      </w:r>
      <w:r w:rsidRPr="008B3919">
        <w:rPr>
          <w:rFonts w:ascii="Palatino Linotype" w:eastAsia="Palatino Linotype" w:hAnsi="Palatino Linotype" w:cs="Palatino Linotype"/>
          <w:b/>
          <w:i/>
          <w:sz w:val="22"/>
          <w:szCs w:val="22"/>
        </w:rPr>
        <w:t>servidores públicos habilitados</w:t>
      </w:r>
      <w:r w:rsidRPr="008B3919">
        <w:rPr>
          <w:rFonts w:ascii="Palatino Linotype" w:eastAsia="Palatino Linotype" w:hAnsi="Palatino Linotype" w:cs="Palatino Linotype"/>
          <w:i/>
          <w:sz w:val="22"/>
          <w:szCs w:val="22"/>
        </w:rPr>
        <w:t xml:space="preserve"> tendrán las </w:t>
      </w:r>
      <w:r w:rsidRPr="008B3919">
        <w:rPr>
          <w:rFonts w:ascii="Palatino Linotype" w:eastAsia="Palatino Linotype" w:hAnsi="Palatino Linotype" w:cs="Palatino Linotype"/>
          <w:b/>
          <w:i/>
          <w:sz w:val="22"/>
          <w:szCs w:val="22"/>
        </w:rPr>
        <w:t>funciones</w:t>
      </w:r>
      <w:r w:rsidRPr="008B3919">
        <w:rPr>
          <w:rFonts w:ascii="Palatino Linotype" w:eastAsia="Palatino Linotype" w:hAnsi="Palatino Linotype" w:cs="Palatino Linotype"/>
          <w:i/>
          <w:sz w:val="22"/>
          <w:szCs w:val="22"/>
        </w:rPr>
        <w:t xml:space="preserve"> siguientes:</w:t>
      </w:r>
    </w:p>
    <w:p w14:paraId="68C39F31"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B3919">
        <w:rPr>
          <w:rFonts w:ascii="Palatino Linotype" w:eastAsia="Palatino Linotype" w:hAnsi="Palatino Linotype" w:cs="Palatino Linotype"/>
          <w:i/>
          <w:sz w:val="22"/>
          <w:szCs w:val="22"/>
        </w:rPr>
        <w:t>, la cual tendrá los fundamentos y argumentos en que se basa dicha propuesta…”</w:t>
      </w:r>
    </w:p>
    <w:p w14:paraId="33BEFDC8" w14:textId="77777777" w:rsidR="00331A87" w:rsidRPr="008B3919" w:rsidRDefault="00331A87" w:rsidP="00331A87">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11AB979" w14:textId="77777777" w:rsidR="00331A87" w:rsidRPr="008B3919" w:rsidRDefault="00331A87" w:rsidP="00331A87">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94A2C4D"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w:t>
      </w:r>
      <w:r w:rsidRPr="008B3919">
        <w:rPr>
          <w:rFonts w:ascii="Palatino Linotype" w:eastAsia="Palatino Linotype" w:hAnsi="Palatino Linotype" w:cs="Palatino Linotype"/>
          <w:b/>
          <w:i/>
          <w:sz w:val="22"/>
          <w:szCs w:val="22"/>
        </w:rPr>
        <w:t>Artículo 149.</w:t>
      </w:r>
      <w:r w:rsidRPr="008B3919">
        <w:rPr>
          <w:rFonts w:ascii="Palatino Linotype" w:eastAsia="Palatino Linotype" w:hAnsi="Palatino Linotype" w:cs="Palatino Linotype"/>
          <w:i/>
          <w:sz w:val="22"/>
          <w:szCs w:val="22"/>
        </w:rPr>
        <w:t xml:space="preserve"> El </w:t>
      </w:r>
      <w:r w:rsidRPr="008B3919">
        <w:rPr>
          <w:rFonts w:ascii="Palatino Linotype" w:eastAsia="Palatino Linotype" w:hAnsi="Palatino Linotype" w:cs="Palatino Linotype"/>
          <w:b/>
          <w:i/>
          <w:sz w:val="22"/>
          <w:szCs w:val="22"/>
        </w:rPr>
        <w:t>acuerdo que clasifique la información como confidencial</w:t>
      </w:r>
      <w:r w:rsidRPr="008B3919">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6D925B8A" w14:textId="77777777" w:rsidR="00331A87" w:rsidRPr="008B3919" w:rsidRDefault="00331A87" w:rsidP="00331A87">
      <w:pPr>
        <w:spacing w:before="240" w:after="240" w:line="360" w:lineRule="auto"/>
        <w:ind w:right="51"/>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Es decir, el </w:t>
      </w:r>
      <w:r w:rsidRPr="008B3919">
        <w:rPr>
          <w:rFonts w:ascii="Palatino Linotype" w:eastAsia="Palatino Linotype" w:hAnsi="Palatino Linotype" w:cs="Palatino Linotype"/>
          <w:b/>
          <w:sz w:val="22"/>
          <w:szCs w:val="22"/>
        </w:rPr>
        <w:t>Sujeto Obligado</w:t>
      </w:r>
      <w:r w:rsidRPr="008B3919">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2CEA79C" w14:textId="77777777" w:rsidR="00331A87" w:rsidRPr="008B3919" w:rsidRDefault="00331A87" w:rsidP="00331A87">
      <w:pPr>
        <w:spacing w:before="240" w:after="240" w:line="360" w:lineRule="auto"/>
        <w:ind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Atento a lo anterior, cabe señalar que el Comité de Transparencia del </w:t>
      </w:r>
      <w:r w:rsidRPr="008B3919">
        <w:rPr>
          <w:rFonts w:ascii="Palatino Linotype" w:eastAsia="Palatino Linotype" w:hAnsi="Palatino Linotype" w:cs="Palatino Linotype"/>
          <w:b/>
          <w:sz w:val="22"/>
          <w:szCs w:val="22"/>
        </w:rPr>
        <w:t>Sujeto Obligado</w:t>
      </w:r>
      <w:r w:rsidRPr="008B3919">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6D00C37E"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 xml:space="preserve"> “</w:t>
      </w:r>
      <w:r w:rsidRPr="008B3919">
        <w:rPr>
          <w:rFonts w:ascii="Palatino Linotype" w:eastAsia="Palatino Linotype" w:hAnsi="Palatino Linotype" w:cs="Palatino Linotype"/>
          <w:b/>
          <w:i/>
          <w:sz w:val="22"/>
          <w:szCs w:val="22"/>
        </w:rPr>
        <w:t>Segundo.-</w:t>
      </w:r>
      <w:r w:rsidRPr="008B3919">
        <w:rPr>
          <w:rFonts w:ascii="Palatino Linotype" w:eastAsia="Palatino Linotype" w:hAnsi="Palatino Linotype" w:cs="Palatino Linotype"/>
          <w:i/>
          <w:sz w:val="22"/>
          <w:szCs w:val="22"/>
        </w:rPr>
        <w:t xml:space="preserve"> Para efectos de los presentes Lineamientos Generales, se entenderá por:</w:t>
      </w:r>
    </w:p>
    <w:p w14:paraId="51589EFA"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XVIII.</w:t>
      </w:r>
      <w:r w:rsidRPr="008B3919">
        <w:rPr>
          <w:rFonts w:ascii="Palatino Linotype" w:eastAsia="Palatino Linotype" w:hAnsi="Palatino Linotype" w:cs="Palatino Linotype"/>
          <w:i/>
          <w:sz w:val="22"/>
          <w:szCs w:val="22"/>
        </w:rPr>
        <w:t xml:space="preserve"> </w:t>
      </w:r>
      <w:r w:rsidRPr="008B3919">
        <w:rPr>
          <w:rFonts w:ascii="Palatino Linotype" w:eastAsia="Palatino Linotype" w:hAnsi="Palatino Linotype" w:cs="Palatino Linotype"/>
          <w:b/>
          <w:i/>
          <w:sz w:val="22"/>
          <w:szCs w:val="22"/>
        </w:rPr>
        <w:t>Versión pública:</w:t>
      </w:r>
      <w:r w:rsidRPr="008B391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8B3919">
        <w:rPr>
          <w:rFonts w:ascii="Palatino Linotype" w:eastAsia="Palatino Linotype" w:hAnsi="Palatino Linotype" w:cs="Palatino Linotype"/>
          <w:b/>
          <w:i/>
          <w:sz w:val="22"/>
          <w:szCs w:val="22"/>
        </w:rPr>
        <w:t>fundando y motivando la</w:t>
      </w:r>
      <w:r w:rsidRPr="008B3919">
        <w:rPr>
          <w:rFonts w:ascii="Palatino Linotype" w:eastAsia="Palatino Linotype" w:hAnsi="Palatino Linotype" w:cs="Palatino Linotype"/>
          <w:i/>
          <w:sz w:val="22"/>
          <w:szCs w:val="22"/>
        </w:rPr>
        <w:t xml:space="preserve"> </w:t>
      </w:r>
      <w:r w:rsidRPr="008B3919">
        <w:rPr>
          <w:rFonts w:ascii="Palatino Linotype" w:eastAsia="Palatino Linotype" w:hAnsi="Palatino Linotype" w:cs="Palatino Linotype"/>
          <w:b/>
          <w:i/>
          <w:sz w:val="22"/>
          <w:szCs w:val="22"/>
        </w:rPr>
        <w:t>reserva o confidencialidad</w:t>
      </w:r>
      <w:r w:rsidRPr="008B3919">
        <w:rPr>
          <w:rFonts w:ascii="Palatino Linotype" w:eastAsia="Palatino Linotype" w:hAnsi="Palatino Linotype" w:cs="Palatino Linotype"/>
          <w:i/>
          <w:sz w:val="22"/>
          <w:szCs w:val="22"/>
        </w:rPr>
        <w:t>, a través de la resolución que para tal efecto emita el Comité de Transparencia.</w:t>
      </w:r>
    </w:p>
    <w:p w14:paraId="4FD7AD5E"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b/>
          <w:i/>
          <w:sz w:val="22"/>
          <w:szCs w:val="22"/>
        </w:rPr>
      </w:pPr>
      <w:r w:rsidRPr="008B3919">
        <w:rPr>
          <w:rFonts w:ascii="Palatino Linotype" w:eastAsia="Palatino Linotype" w:hAnsi="Palatino Linotype" w:cs="Palatino Linotype"/>
          <w:b/>
          <w:i/>
          <w:sz w:val="22"/>
          <w:szCs w:val="22"/>
        </w:rPr>
        <w:t>...</w:t>
      </w:r>
    </w:p>
    <w:p w14:paraId="2022D31B"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Cuarto.</w:t>
      </w:r>
      <w:r w:rsidRPr="008B3919">
        <w:rPr>
          <w:rFonts w:ascii="Palatino Linotype" w:eastAsia="Palatino Linotype" w:hAnsi="Palatino Linotype" w:cs="Palatino Linotype"/>
          <w:i/>
          <w:sz w:val="22"/>
          <w:szCs w:val="22"/>
        </w:rPr>
        <w:t xml:space="preserve"> </w:t>
      </w:r>
      <w:r w:rsidRPr="008B3919">
        <w:rPr>
          <w:rFonts w:ascii="Palatino Linotype" w:eastAsia="Palatino Linotype" w:hAnsi="Palatino Linotype" w:cs="Palatino Linotype"/>
          <w:b/>
          <w:i/>
          <w:sz w:val="22"/>
          <w:szCs w:val="22"/>
        </w:rPr>
        <w:t>Para clasificar la información como</w:t>
      </w:r>
      <w:r w:rsidRPr="008B3919">
        <w:rPr>
          <w:rFonts w:ascii="Palatino Linotype" w:eastAsia="Palatino Linotype" w:hAnsi="Palatino Linotype" w:cs="Palatino Linotype"/>
          <w:i/>
          <w:sz w:val="22"/>
          <w:szCs w:val="22"/>
        </w:rPr>
        <w:t xml:space="preserve"> </w:t>
      </w:r>
      <w:r w:rsidRPr="008B3919">
        <w:rPr>
          <w:rFonts w:ascii="Palatino Linotype" w:eastAsia="Palatino Linotype" w:hAnsi="Palatino Linotype" w:cs="Palatino Linotype"/>
          <w:b/>
          <w:i/>
          <w:sz w:val="22"/>
          <w:szCs w:val="22"/>
        </w:rPr>
        <w:t>reservada o</w:t>
      </w:r>
      <w:r w:rsidRPr="008B3919">
        <w:rPr>
          <w:rFonts w:ascii="Palatino Linotype" w:eastAsia="Palatino Linotype" w:hAnsi="Palatino Linotype" w:cs="Palatino Linotype"/>
          <w:i/>
          <w:sz w:val="22"/>
          <w:szCs w:val="22"/>
        </w:rPr>
        <w:t xml:space="preserve"> </w:t>
      </w:r>
      <w:r w:rsidRPr="008B3919">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8B3919">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309721F"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C6BFBC2"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Quinto.</w:t>
      </w:r>
      <w:r w:rsidRPr="008B391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5A61BEA"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Sexto.</w:t>
      </w:r>
      <w:r w:rsidRPr="008B3919">
        <w:rPr>
          <w:rFonts w:ascii="Palatino Linotype" w:eastAsia="Palatino Linotype" w:hAnsi="Palatino Linotype" w:cs="Palatino Linotype"/>
          <w:i/>
          <w:sz w:val="22"/>
          <w:szCs w:val="22"/>
        </w:rPr>
        <w:t xml:space="preserve"> Se deroga.</w:t>
      </w:r>
    </w:p>
    <w:p w14:paraId="3089C310"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Séptimo.</w:t>
      </w:r>
      <w:r w:rsidRPr="008B3919">
        <w:rPr>
          <w:rFonts w:ascii="Palatino Linotype" w:eastAsia="Palatino Linotype" w:hAnsi="Palatino Linotype" w:cs="Palatino Linotype"/>
          <w:i/>
          <w:sz w:val="22"/>
          <w:szCs w:val="22"/>
        </w:rPr>
        <w:t xml:space="preserve"> La clasificación de la información se llevará a cabo en el momento en que:</w:t>
      </w:r>
    </w:p>
    <w:p w14:paraId="300D1B99"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w:t>
      </w:r>
      <w:r w:rsidRPr="008B3919">
        <w:rPr>
          <w:rFonts w:ascii="Palatino Linotype" w:eastAsia="Palatino Linotype" w:hAnsi="Palatino Linotype" w:cs="Palatino Linotype"/>
          <w:i/>
          <w:sz w:val="22"/>
          <w:szCs w:val="22"/>
        </w:rPr>
        <w:t xml:space="preserve"> Se reciba una solicitud de acceso a la información;</w:t>
      </w:r>
    </w:p>
    <w:p w14:paraId="01E88DCF"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II.</w:t>
      </w:r>
      <w:r w:rsidRPr="008B3919">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5194EDC7"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III.</w:t>
      </w:r>
      <w:r w:rsidRPr="008B391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972D23F"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8B3919">
        <w:rPr>
          <w:rFonts w:ascii="Palatino Linotype" w:eastAsia="Palatino Linotype" w:hAnsi="Palatino Linotype" w:cs="Palatino Linotype"/>
          <w:sz w:val="22"/>
          <w:szCs w:val="22"/>
        </w:rPr>
        <w:t xml:space="preserve">, </w:t>
      </w:r>
      <w:r w:rsidRPr="008B3919">
        <w:rPr>
          <w:rFonts w:ascii="Palatino Linotype" w:eastAsia="Palatino Linotype" w:hAnsi="Palatino Linotype" w:cs="Palatino Linotype"/>
          <w:i/>
          <w:sz w:val="22"/>
          <w:szCs w:val="22"/>
        </w:rPr>
        <w:t>conforme a su naturaleza, si encuadra en una causal de reserva o de confidencialidad.</w:t>
      </w:r>
    </w:p>
    <w:p w14:paraId="24F89B65"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Octavo.</w:t>
      </w:r>
      <w:r w:rsidRPr="008B391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06E49BB"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20F752E"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60F556E"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Noveno.</w:t>
      </w:r>
      <w:r w:rsidRPr="008B391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4D3023"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Décimo.</w:t>
      </w:r>
      <w:r w:rsidRPr="008B391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D3C53A7"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E621C91" w14:textId="77777777" w:rsidR="00331A87" w:rsidRPr="008B3919"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Décimo primero.</w:t>
      </w:r>
      <w:r w:rsidRPr="008B391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4EE938E" w14:textId="77777777" w:rsidR="00331A87" w:rsidRPr="008B3919" w:rsidRDefault="00331A87" w:rsidP="00331A87">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8B3919">
        <w:rPr>
          <w:rFonts w:ascii="Palatino Linotype" w:eastAsia="Palatino Linotype" w:hAnsi="Palatino Linotype" w:cs="Palatino Linotype"/>
          <w:b/>
          <w:sz w:val="22"/>
          <w:szCs w:val="22"/>
        </w:rPr>
        <w:t>Sujeto Obligado</w:t>
      </w:r>
      <w:r w:rsidRPr="008B3919">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2F9FA739"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 xml:space="preserve"> “Quincuagésimo. </w:t>
      </w:r>
      <w:r w:rsidRPr="008B3919">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ADEFA1F" w14:textId="77777777" w:rsidR="00331A87" w:rsidRPr="008B3919"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 xml:space="preserve">Quincuagésimo primero. </w:t>
      </w:r>
      <w:r w:rsidRPr="008B3919">
        <w:rPr>
          <w:rFonts w:ascii="Palatino Linotype" w:eastAsia="Palatino Linotype" w:hAnsi="Palatino Linotype" w:cs="Palatino Linotype"/>
          <w:i/>
          <w:sz w:val="22"/>
          <w:szCs w:val="22"/>
        </w:rPr>
        <w:t xml:space="preserve">Toda acta del Comité de Transparencia deberá contener: </w:t>
      </w:r>
    </w:p>
    <w:p w14:paraId="772E2484" w14:textId="77777777" w:rsidR="00331A87" w:rsidRPr="008B3919"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w:t>
      </w:r>
      <w:r w:rsidRPr="008B3919">
        <w:rPr>
          <w:rFonts w:ascii="Palatino Linotype" w:eastAsia="Palatino Linotype" w:hAnsi="Palatino Linotype" w:cs="Palatino Linotype"/>
          <w:i/>
          <w:sz w:val="22"/>
          <w:szCs w:val="22"/>
        </w:rPr>
        <w:t xml:space="preserve"> El número de sesión y fecha; </w:t>
      </w:r>
    </w:p>
    <w:p w14:paraId="403BD111" w14:textId="77777777" w:rsidR="00331A87" w:rsidRPr="008B3919"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II</w:t>
      </w:r>
      <w:r w:rsidRPr="008B3919">
        <w:rPr>
          <w:rFonts w:ascii="Palatino Linotype" w:eastAsia="Palatino Linotype" w:hAnsi="Palatino Linotype" w:cs="Palatino Linotype"/>
          <w:i/>
          <w:sz w:val="22"/>
          <w:szCs w:val="22"/>
        </w:rPr>
        <w:t xml:space="preserve">. El nombre del área que solicitó la clasificación de información; </w:t>
      </w:r>
    </w:p>
    <w:p w14:paraId="51D04F6B" w14:textId="77777777" w:rsidR="00331A87" w:rsidRPr="008B3919"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III</w:t>
      </w:r>
      <w:r w:rsidRPr="008B3919">
        <w:rPr>
          <w:rFonts w:ascii="Palatino Linotype" w:eastAsia="Palatino Linotype" w:hAnsi="Palatino Linotype" w:cs="Palatino Linotype"/>
          <w:i/>
          <w:sz w:val="22"/>
          <w:szCs w:val="22"/>
        </w:rPr>
        <w:t xml:space="preserve">. La fundamentación legal y motivación correspondiente; </w:t>
      </w:r>
    </w:p>
    <w:p w14:paraId="3F839855" w14:textId="77777777" w:rsidR="00331A87" w:rsidRPr="008B3919"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IV</w:t>
      </w:r>
      <w:r w:rsidRPr="008B3919">
        <w:rPr>
          <w:rFonts w:ascii="Palatino Linotype" w:eastAsia="Palatino Linotype" w:hAnsi="Palatino Linotype" w:cs="Palatino Linotype"/>
          <w:i/>
          <w:sz w:val="22"/>
          <w:szCs w:val="22"/>
        </w:rPr>
        <w:t xml:space="preserve">. La resolución o resoluciones aprobadas; y </w:t>
      </w:r>
    </w:p>
    <w:p w14:paraId="3677D443" w14:textId="77777777" w:rsidR="00331A87" w:rsidRPr="008B3919"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V</w:t>
      </w:r>
      <w:r w:rsidRPr="008B3919">
        <w:rPr>
          <w:rFonts w:ascii="Palatino Linotype" w:eastAsia="Palatino Linotype" w:hAnsi="Palatino Linotype" w:cs="Palatino Linotype"/>
          <w:i/>
          <w:sz w:val="22"/>
          <w:szCs w:val="22"/>
        </w:rPr>
        <w:t xml:space="preserve">. La rúbrica o firma digital de cada integrante del Comité de Transparencia. </w:t>
      </w:r>
    </w:p>
    <w:p w14:paraId="2E16F0F2" w14:textId="77777777" w:rsidR="00331A87" w:rsidRPr="008B3919"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1264F40" w14:textId="77777777" w:rsidR="00331A87" w:rsidRPr="008B3919"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w:t>
      </w:r>
      <w:r w:rsidRPr="008B3919">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5BB3432" w14:textId="77777777" w:rsidR="00331A87" w:rsidRPr="008B3919"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8B3919">
        <w:rPr>
          <w:rFonts w:ascii="Palatino Linotype" w:eastAsia="Palatino Linotype" w:hAnsi="Palatino Linotype" w:cs="Palatino Linotype"/>
          <w:b/>
          <w:i/>
          <w:sz w:val="22"/>
          <w:szCs w:val="22"/>
        </w:rPr>
        <w:t>II</w:t>
      </w:r>
      <w:r w:rsidRPr="008B3919">
        <w:rPr>
          <w:rFonts w:ascii="Palatino Linotype" w:eastAsia="Palatino Linotype" w:hAnsi="Palatino Linotype" w:cs="Palatino Linotype"/>
          <w:i/>
          <w:sz w:val="22"/>
          <w:szCs w:val="22"/>
        </w:rPr>
        <w:t>. Descripción de las partes o secciones reservadas, en caso de clasificación parcial</w:t>
      </w:r>
      <w:r w:rsidRPr="008B3919">
        <w:rPr>
          <w:rFonts w:ascii="Palatino Linotype" w:eastAsia="Palatino Linotype" w:hAnsi="Palatino Linotype" w:cs="Palatino Linotype"/>
          <w:b/>
          <w:i/>
          <w:sz w:val="22"/>
          <w:szCs w:val="22"/>
        </w:rPr>
        <w:t xml:space="preserve">; </w:t>
      </w:r>
    </w:p>
    <w:p w14:paraId="29CE5C39" w14:textId="77777777" w:rsidR="00331A87" w:rsidRPr="008B3919"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III.</w:t>
      </w:r>
      <w:r w:rsidRPr="008B3919">
        <w:rPr>
          <w:rFonts w:ascii="Palatino Linotype" w:eastAsia="Palatino Linotype" w:hAnsi="Palatino Linotype" w:cs="Palatino Linotype"/>
          <w:i/>
          <w:sz w:val="22"/>
          <w:szCs w:val="22"/>
        </w:rPr>
        <w:t xml:space="preserve"> El periodo por el que mantendrá su clasificación y fecha de expiración; y </w:t>
      </w:r>
    </w:p>
    <w:p w14:paraId="6CB4CC7F" w14:textId="77777777" w:rsidR="00331A87" w:rsidRPr="008B3919"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IV.</w:t>
      </w:r>
      <w:r w:rsidRPr="008B3919">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F162383" w14:textId="77777777" w:rsidR="00331A87" w:rsidRPr="008B3919"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F5D50B3" w14:textId="77777777" w:rsidR="00331A87" w:rsidRPr="008B3919"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9EDC375" w14:textId="77777777" w:rsidR="00331A87" w:rsidRPr="008B3919" w:rsidRDefault="00331A87" w:rsidP="00331A87">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17056F1" w14:textId="77777777" w:rsidR="00331A87" w:rsidRPr="008B3919" w:rsidRDefault="00331A87" w:rsidP="00331A87">
      <w:pPr>
        <w:spacing w:before="120" w:after="120"/>
        <w:ind w:left="851" w:right="900"/>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w:t>
      </w:r>
      <w:r w:rsidRPr="008B3919">
        <w:rPr>
          <w:rFonts w:ascii="Palatino Linotype" w:eastAsia="Palatino Linotype" w:hAnsi="Palatino Linotype" w:cs="Palatino Linotype"/>
          <w:b/>
          <w:i/>
          <w:sz w:val="22"/>
          <w:szCs w:val="22"/>
        </w:rPr>
        <w:t>Quincuagésimo segundo</w:t>
      </w:r>
      <w:r w:rsidRPr="008B3919">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DC423B5" w14:textId="77777777" w:rsidR="00331A87" w:rsidRPr="008B3919" w:rsidRDefault="00331A87" w:rsidP="00331A87">
      <w:pPr>
        <w:spacing w:before="120" w:after="120"/>
        <w:ind w:left="851" w:right="900"/>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89AAD86" w14:textId="77777777" w:rsidR="00331A87" w:rsidRPr="008B3919" w:rsidRDefault="00331A87" w:rsidP="00331A87">
      <w:pPr>
        <w:spacing w:before="120" w:after="120"/>
        <w:ind w:left="851" w:right="900"/>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w:t>
      </w:r>
      <w:r w:rsidRPr="008B3919">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50FFAE31" w14:textId="77777777" w:rsidR="00331A87" w:rsidRPr="008B3919" w:rsidRDefault="00331A87" w:rsidP="00331A87">
      <w:pPr>
        <w:spacing w:before="120" w:after="120"/>
        <w:ind w:left="851" w:right="900"/>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II.</w:t>
      </w:r>
      <w:r w:rsidRPr="008B3919">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7BCA76B2" w14:textId="77777777" w:rsidR="00331A87" w:rsidRPr="008B3919" w:rsidRDefault="00331A87" w:rsidP="00331A87">
      <w:pPr>
        <w:spacing w:before="120" w:after="120"/>
        <w:ind w:left="851" w:right="900"/>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III.</w:t>
      </w:r>
      <w:r w:rsidRPr="008B3919">
        <w:rPr>
          <w:rFonts w:ascii="Palatino Linotype" w:eastAsia="Palatino Linotype" w:hAnsi="Palatino Linotype" w:cs="Palatino Linotype"/>
          <w:i/>
          <w:sz w:val="22"/>
          <w:szCs w:val="22"/>
        </w:rPr>
        <w:t xml:space="preserve"> Señalar las personas o instancias autorizadas a acceder a la información clasificada.</w:t>
      </w:r>
    </w:p>
    <w:p w14:paraId="21389642" w14:textId="77777777" w:rsidR="00331A87" w:rsidRPr="008B3919" w:rsidRDefault="00331A87" w:rsidP="00331A87">
      <w:pPr>
        <w:spacing w:before="120" w:after="120"/>
        <w:ind w:left="851" w:right="900"/>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2E924BE" w14:textId="77777777" w:rsidR="00331A87" w:rsidRPr="008B3919" w:rsidRDefault="00331A87" w:rsidP="00331A87">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w:t>
      </w:r>
    </w:p>
    <w:p w14:paraId="15333A6F" w14:textId="77777777" w:rsidR="00331A87" w:rsidRPr="008B3919" w:rsidRDefault="00331A87" w:rsidP="00331A87">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8B3919">
        <w:rPr>
          <w:rFonts w:ascii="Palatino Linotype" w:eastAsia="Palatino Linotype" w:hAnsi="Palatino Linotype" w:cs="Palatino Linotype"/>
          <w:b/>
          <w:i/>
          <w:sz w:val="22"/>
          <w:szCs w:val="22"/>
        </w:rPr>
        <w:t xml:space="preserve">Quincuagésimo cuarto. </w:t>
      </w:r>
      <w:r w:rsidRPr="008B3919">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B3919">
        <w:rPr>
          <w:rFonts w:ascii="Palatino Linotype" w:eastAsia="Palatino Linotype" w:hAnsi="Palatino Linotype" w:cs="Palatino Linotype"/>
          <w:b/>
          <w:i/>
          <w:sz w:val="22"/>
          <w:szCs w:val="22"/>
        </w:rPr>
        <w:t xml:space="preserve"> </w:t>
      </w:r>
    </w:p>
    <w:p w14:paraId="69556AA5"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 xml:space="preserve">Quincuagésimo quinto. </w:t>
      </w:r>
      <w:r w:rsidRPr="008B3919">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8B3919">
        <w:rPr>
          <w:rFonts w:ascii="Palatino Linotype" w:eastAsia="Palatino Linotype" w:hAnsi="Palatino Linotype" w:cs="Palatino Linotype"/>
          <w:i/>
          <w:sz w:val="22"/>
          <w:szCs w:val="22"/>
        </w:rPr>
        <w:t>testado</w:t>
      </w:r>
      <w:proofErr w:type="spellEnd"/>
      <w:r w:rsidRPr="008B3919">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CE9303C" w14:textId="77777777" w:rsidR="00331A87" w:rsidRPr="008B3919" w:rsidRDefault="00331A87" w:rsidP="00331A87">
      <w:pPr>
        <w:spacing w:before="120" w:after="120"/>
        <w:ind w:left="851" w:right="902"/>
        <w:jc w:val="both"/>
        <w:rPr>
          <w:rFonts w:ascii="Palatino Linotype" w:eastAsia="Palatino Linotype" w:hAnsi="Palatino Linotype" w:cs="Palatino Linotype"/>
          <w:b/>
          <w:i/>
          <w:sz w:val="22"/>
          <w:szCs w:val="22"/>
        </w:rPr>
      </w:pPr>
      <w:r w:rsidRPr="008B3919">
        <w:rPr>
          <w:rFonts w:ascii="Palatino Linotype" w:eastAsia="Palatino Linotype" w:hAnsi="Palatino Linotype" w:cs="Palatino Linotype"/>
          <w:b/>
          <w:i/>
          <w:sz w:val="22"/>
          <w:szCs w:val="22"/>
        </w:rPr>
        <w:t>...</w:t>
      </w:r>
    </w:p>
    <w:p w14:paraId="68EC1DAD"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Quincuagésimo séptimo</w:t>
      </w:r>
      <w:r w:rsidRPr="008B391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53B524F"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w:t>
      </w:r>
      <w:r w:rsidRPr="008B3919">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FD18016"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II.</w:t>
      </w:r>
      <w:r w:rsidRPr="008B3919">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732B883B"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III</w:t>
      </w:r>
      <w:r w:rsidRPr="008B3919">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8164122"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8CD9F60" w14:textId="77777777" w:rsidR="00331A87" w:rsidRPr="008B3919" w:rsidRDefault="00331A87" w:rsidP="00331A87">
      <w:pPr>
        <w:spacing w:before="120" w:after="120"/>
        <w:ind w:left="851" w:right="902"/>
        <w:jc w:val="both"/>
        <w:rPr>
          <w:rFonts w:ascii="Palatino Linotype" w:eastAsia="Palatino Linotype" w:hAnsi="Palatino Linotype" w:cs="Palatino Linotype"/>
          <w:i/>
          <w:sz w:val="22"/>
          <w:szCs w:val="22"/>
        </w:rPr>
      </w:pPr>
      <w:r w:rsidRPr="008B3919">
        <w:rPr>
          <w:rFonts w:ascii="Palatino Linotype" w:eastAsia="Palatino Linotype" w:hAnsi="Palatino Linotype" w:cs="Palatino Linotype"/>
          <w:b/>
          <w:i/>
          <w:sz w:val="22"/>
          <w:szCs w:val="22"/>
        </w:rPr>
        <w:t>Quincuagésimo octavo</w:t>
      </w:r>
      <w:r w:rsidRPr="008B3919">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4368008A" w14:textId="77777777" w:rsidR="00331A87" w:rsidRPr="008B3919" w:rsidRDefault="00331A87" w:rsidP="00331A87">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Así, con fundamento en lo prescrito en los artículos 5 párrafos cuadragésimo cuarto, cuadragésimo quinto cuadragésimo sexto,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0B4B5E69" w14:textId="77777777" w:rsidR="00694AA0" w:rsidRPr="008B3919" w:rsidRDefault="005B22BA">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8B3919">
        <w:rPr>
          <w:rFonts w:ascii="Palatino Linotype" w:eastAsia="Palatino Linotype" w:hAnsi="Palatino Linotype" w:cs="Palatino Linotype"/>
          <w:b/>
          <w:sz w:val="22"/>
          <w:szCs w:val="22"/>
        </w:rPr>
        <w:t>III. R E S U E L V E</w:t>
      </w:r>
    </w:p>
    <w:p w14:paraId="6571A61A" w14:textId="5083BD2D" w:rsidR="00694AA0" w:rsidRPr="008B3919" w:rsidRDefault="005B22BA">
      <w:pPr>
        <w:spacing w:before="240" w:after="240" w:line="360" w:lineRule="auto"/>
        <w:jc w:val="both"/>
        <w:rPr>
          <w:rFonts w:ascii="Palatino Linotype" w:eastAsia="Palatino Linotype" w:hAnsi="Palatino Linotype" w:cs="Palatino Linotype"/>
          <w:sz w:val="22"/>
          <w:szCs w:val="22"/>
        </w:rPr>
      </w:pPr>
      <w:bookmarkStart w:id="8" w:name="_heading=h.26in1rg" w:colFirst="0" w:colLast="0"/>
      <w:bookmarkEnd w:id="8"/>
      <w:r w:rsidRPr="008B3919">
        <w:rPr>
          <w:rFonts w:ascii="Palatino Linotype" w:eastAsia="Palatino Linotype" w:hAnsi="Palatino Linotype" w:cs="Palatino Linotype"/>
          <w:b/>
          <w:sz w:val="22"/>
          <w:szCs w:val="22"/>
        </w:rPr>
        <w:t xml:space="preserve">Primero. </w:t>
      </w:r>
      <w:r w:rsidRPr="008B3919">
        <w:rPr>
          <w:rFonts w:ascii="Palatino Linotype" w:eastAsia="Palatino Linotype" w:hAnsi="Palatino Linotype" w:cs="Palatino Linotype"/>
          <w:sz w:val="22"/>
          <w:szCs w:val="22"/>
        </w:rPr>
        <w:t>Resultan</w:t>
      </w:r>
      <w:r w:rsidRPr="008B3919">
        <w:rPr>
          <w:rFonts w:ascii="Palatino Linotype" w:eastAsia="Palatino Linotype" w:hAnsi="Palatino Linotype" w:cs="Palatino Linotype"/>
          <w:b/>
          <w:sz w:val="22"/>
          <w:szCs w:val="22"/>
        </w:rPr>
        <w:t xml:space="preserve"> </w:t>
      </w:r>
      <w:r w:rsidR="001322B9" w:rsidRPr="008B3919">
        <w:rPr>
          <w:rFonts w:ascii="Palatino Linotype" w:eastAsia="Palatino Linotype" w:hAnsi="Palatino Linotype" w:cs="Palatino Linotype"/>
          <w:b/>
          <w:sz w:val="22"/>
          <w:szCs w:val="22"/>
        </w:rPr>
        <w:t xml:space="preserve">parcialmente </w:t>
      </w:r>
      <w:r w:rsidRPr="008B3919">
        <w:rPr>
          <w:rFonts w:ascii="Palatino Linotype" w:eastAsia="Palatino Linotype" w:hAnsi="Palatino Linotype" w:cs="Palatino Linotype"/>
          <w:b/>
          <w:sz w:val="22"/>
          <w:szCs w:val="22"/>
        </w:rPr>
        <w:t>fundadas</w:t>
      </w:r>
      <w:r w:rsidRPr="008B3919">
        <w:rPr>
          <w:rFonts w:ascii="Palatino Linotype" w:eastAsia="Palatino Linotype" w:hAnsi="Palatino Linotype" w:cs="Palatino Linotype"/>
          <w:sz w:val="22"/>
          <w:szCs w:val="22"/>
        </w:rPr>
        <w:t xml:space="preserve"> las razones o motivos de inconformidad hechos valer por la parte</w:t>
      </w:r>
      <w:r w:rsidRPr="008B3919">
        <w:rPr>
          <w:rFonts w:ascii="Palatino Linotype" w:eastAsia="Palatino Linotype" w:hAnsi="Palatino Linotype" w:cs="Palatino Linotype"/>
          <w:b/>
          <w:sz w:val="22"/>
          <w:szCs w:val="22"/>
        </w:rPr>
        <w:t xml:space="preserve"> Recurrente</w:t>
      </w:r>
      <w:r w:rsidRPr="008B3919">
        <w:rPr>
          <w:rFonts w:ascii="Palatino Linotype" w:eastAsia="Palatino Linotype" w:hAnsi="Palatino Linotype" w:cs="Palatino Linotype"/>
          <w:sz w:val="22"/>
          <w:szCs w:val="22"/>
        </w:rPr>
        <w:t xml:space="preserve"> en el recurso de revisión </w:t>
      </w:r>
      <w:r w:rsidR="00331A87" w:rsidRPr="008B3919">
        <w:rPr>
          <w:rFonts w:ascii="Palatino Linotype" w:eastAsia="Palatino Linotype" w:hAnsi="Palatino Linotype" w:cs="Palatino Linotype"/>
          <w:b/>
          <w:sz w:val="22"/>
          <w:szCs w:val="22"/>
        </w:rPr>
        <w:t>1</w:t>
      </w:r>
      <w:r w:rsidR="001322B9" w:rsidRPr="008B3919">
        <w:rPr>
          <w:rFonts w:ascii="Palatino Linotype" w:eastAsia="Palatino Linotype" w:hAnsi="Palatino Linotype" w:cs="Palatino Linotype"/>
          <w:b/>
          <w:sz w:val="22"/>
          <w:szCs w:val="22"/>
        </w:rPr>
        <w:t>1354</w:t>
      </w:r>
      <w:r w:rsidRPr="008B3919">
        <w:rPr>
          <w:rFonts w:ascii="Palatino Linotype" w:eastAsia="Palatino Linotype" w:hAnsi="Palatino Linotype" w:cs="Palatino Linotype"/>
          <w:b/>
          <w:sz w:val="22"/>
          <w:szCs w:val="22"/>
        </w:rPr>
        <w:t>/INFOEM/IP/RR/2025</w:t>
      </w:r>
      <w:r w:rsidRPr="008B3919">
        <w:rPr>
          <w:rFonts w:ascii="Palatino Linotype" w:eastAsia="Palatino Linotype" w:hAnsi="Palatino Linotype" w:cs="Palatino Linotype"/>
          <w:sz w:val="22"/>
          <w:szCs w:val="22"/>
        </w:rPr>
        <w:t xml:space="preserve">; por lo que, en términos del </w:t>
      </w:r>
      <w:r w:rsidRPr="008B3919">
        <w:rPr>
          <w:rFonts w:ascii="Palatino Linotype" w:eastAsia="Palatino Linotype" w:hAnsi="Palatino Linotype" w:cs="Palatino Linotype"/>
          <w:b/>
          <w:sz w:val="22"/>
          <w:szCs w:val="22"/>
        </w:rPr>
        <w:t>Considerando</w:t>
      </w:r>
      <w:r w:rsidRPr="008B3919">
        <w:rPr>
          <w:rFonts w:ascii="Palatino Linotype" w:eastAsia="Palatino Linotype" w:hAnsi="Palatino Linotype" w:cs="Palatino Linotype"/>
          <w:sz w:val="22"/>
          <w:szCs w:val="22"/>
        </w:rPr>
        <w:t xml:space="preserve"> </w:t>
      </w:r>
      <w:r w:rsidRPr="008B3919">
        <w:rPr>
          <w:rFonts w:ascii="Palatino Linotype" w:eastAsia="Palatino Linotype" w:hAnsi="Palatino Linotype" w:cs="Palatino Linotype"/>
          <w:b/>
          <w:sz w:val="22"/>
          <w:szCs w:val="22"/>
        </w:rPr>
        <w:t xml:space="preserve">Cuarto </w:t>
      </w:r>
      <w:r w:rsidRPr="008B3919">
        <w:rPr>
          <w:rFonts w:ascii="Palatino Linotype" w:eastAsia="Palatino Linotype" w:hAnsi="Palatino Linotype" w:cs="Palatino Linotype"/>
          <w:sz w:val="22"/>
          <w:szCs w:val="22"/>
        </w:rPr>
        <w:t xml:space="preserve">de esta resolución, se </w:t>
      </w:r>
      <w:r w:rsidR="001322B9" w:rsidRPr="008B3919">
        <w:rPr>
          <w:rFonts w:ascii="Palatino Linotype" w:eastAsia="Palatino Linotype" w:hAnsi="Palatino Linotype" w:cs="Palatino Linotype"/>
          <w:b/>
          <w:sz w:val="22"/>
          <w:szCs w:val="22"/>
        </w:rPr>
        <w:t>Modifica</w:t>
      </w:r>
      <w:r w:rsidRPr="008B3919">
        <w:rPr>
          <w:rFonts w:ascii="Palatino Linotype" w:eastAsia="Palatino Linotype" w:hAnsi="Palatino Linotype" w:cs="Palatino Linotype"/>
          <w:b/>
          <w:sz w:val="22"/>
          <w:szCs w:val="22"/>
        </w:rPr>
        <w:t xml:space="preserve"> </w:t>
      </w:r>
      <w:r w:rsidRPr="008B3919">
        <w:rPr>
          <w:rFonts w:ascii="Palatino Linotype" w:eastAsia="Palatino Linotype" w:hAnsi="Palatino Linotype" w:cs="Palatino Linotype"/>
          <w:sz w:val="22"/>
          <w:szCs w:val="22"/>
        </w:rPr>
        <w:t xml:space="preserve">la respuesta emitida por el </w:t>
      </w:r>
      <w:r w:rsidRPr="008B3919">
        <w:rPr>
          <w:rFonts w:ascii="Palatino Linotype" w:eastAsia="Palatino Linotype" w:hAnsi="Palatino Linotype" w:cs="Palatino Linotype"/>
          <w:b/>
          <w:sz w:val="22"/>
          <w:szCs w:val="22"/>
        </w:rPr>
        <w:t xml:space="preserve">Sujeto Obligado. </w:t>
      </w:r>
    </w:p>
    <w:p w14:paraId="05146961" w14:textId="7367F7CE" w:rsidR="009B4ADD" w:rsidRPr="008B3919" w:rsidRDefault="005B22BA" w:rsidP="00143423">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b/>
          <w:sz w:val="22"/>
          <w:szCs w:val="22"/>
        </w:rPr>
        <w:t xml:space="preserve">Segundo. </w:t>
      </w:r>
      <w:r w:rsidRPr="008B3919">
        <w:rPr>
          <w:rFonts w:ascii="Palatino Linotype" w:eastAsia="Palatino Linotype" w:hAnsi="Palatino Linotype" w:cs="Palatino Linotype"/>
          <w:sz w:val="22"/>
          <w:szCs w:val="22"/>
        </w:rPr>
        <w:t xml:space="preserve">Se </w:t>
      </w:r>
      <w:r w:rsidRPr="008B3919">
        <w:rPr>
          <w:rFonts w:ascii="Palatino Linotype" w:eastAsia="Palatino Linotype" w:hAnsi="Palatino Linotype" w:cs="Palatino Linotype"/>
          <w:b/>
          <w:sz w:val="22"/>
          <w:szCs w:val="22"/>
        </w:rPr>
        <w:t>Ordena</w:t>
      </w:r>
      <w:r w:rsidRPr="008B3919">
        <w:rPr>
          <w:rFonts w:ascii="Palatino Linotype" w:eastAsia="Palatino Linotype" w:hAnsi="Palatino Linotype" w:cs="Palatino Linotype"/>
          <w:sz w:val="22"/>
          <w:szCs w:val="22"/>
        </w:rPr>
        <w:t xml:space="preserve"> al </w:t>
      </w:r>
      <w:r w:rsidRPr="008B3919">
        <w:rPr>
          <w:rFonts w:ascii="Palatino Linotype" w:eastAsia="Palatino Linotype" w:hAnsi="Palatino Linotype" w:cs="Palatino Linotype"/>
          <w:b/>
          <w:sz w:val="22"/>
          <w:szCs w:val="22"/>
        </w:rPr>
        <w:t>Sujeto Obligado</w:t>
      </w:r>
      <w:r w:rsidRPr="008B3919">
        <w:rPr>
          <w:rFonts w:ascii="Palatino Linotype" w:eastAsia="Palatino Linotype" w:hAnsi="Palatino Linotype" w:cs="Palatino Linotype"/>
          <w:sz w:val="22"/>
          <w:szCs w:val="22"/>
        </w:rPr>
        <w:t xml:space="preserve">, en términos de los Considerandos </w:t>
      </w:r>
      <w:r w:rsidRPr="008B3919">
        <w:rPr>
          <w:rFonts w:ascii="Palatino Linotype" w:eastAsia="Palatino Linotype" w:hAnsi="Palatino Linotype" w:cs="Palatino Linotype"/>
          <w:b/>
          <w:sz w:val="22"/>
          <w:szCs w:val="22"/>
        </w:rPr>
        <w:t xml:space="preserve">Cuarto </w:t>
      </w:r>
      <w:r w:rsidRPr="008B3919">
        <w:rPr>
          <w:rFonts w:ascii="Palatino Linotype" w:eastAsia="Palatino Linotype" w:hAnsi="Palatino Linotype" w:cs="Palatino Linotype"/>
          <w:sz w:val="22"/>
          <w:szCs w:val="22"/>
        </w:rPr>
        <w:t xml:space="preserve">y </w:t>
      </w:r>
      <w:r w:rsidRPr="008B3919">
        <w:rPr>
          <w:rFonts w:ascii="Palatino Linotype" w:eastAsia="Palatino Linotype" w:hAnsi="Palatino Linotype" w:cs="Palatino Linotype"/>
          <w:b/>
          <w:sz w:val="22"/>
          <w:szCs w:val="22"/>
        </w:rPr>
        <w:t xml:space="preserve">Quinto </w:t>
      </w:r>
      <w:r w:rsidRPr="008B3919">
        <w:rPr>
          <w:rFonts w:ascii="Palatino Linotype" w:eastAsia="Palatino Linotype" w:hAnsi="Palatino Linotype" w:cs="Palatino Linotype"/>
          <w:sz w:val="22"/>
          <w:szCs w:val="22"/>
        </w:rPr>
        <w:t xml:space="preserve">de esta resolución, haga entrega, </w:t>
      </w:r>
      <w:r w:rsidR="009B4ADD" w:rsidRPr="008B3919">
        <w:rPr>
          <w:rFonts w:ascii="Palatino Linotype" w:eastAsia="Palatino Linotype" w:hAnsi="Palatino Linotype" w:cs="Palatino Linotype"/>
          <w:sz w:val="22"/>
          <w:szCs w:val="22"/>
        </w:rPr>
        <w:t xml:space="preserve">vía </w:t>
      </w:r>
      <w:r w:rsidR="009B4ADD" w:rsidRPr="008B3919">
        <w:rPr>
          <w:rFonts w:ascii="Palatino Linotype" w:eastAsia="Palatino Linotype" w:hAnsi="Palatino Linotype" w:cs="Palatino Linotype"/>
          <w:b/>
          <w:sz w:val="22"/>
          <w:szCs w:val="22"/>
        </w:rPr>
        <w:t>SAIMEX</w:t>
      </w:r>
      <w:r w:rsidR="009B4ADD" w:rsidRPr="008B3919">
        <w:rPr>
          <w:rFonts w:ascii="Palatino Linotype" w:eastAsia="Palatino Linotype" w:hAnsi="Palatino Linotype" w:cs="Palatino Linotype"/>
          <w:sz w:val="22"/>
          <w:szCs w:val="22"/>
        </w:rPr>
        <w:t>, en versión pública</w:t>
      </w:r>
      <w:r w:rsidR="001322B9" w:rsidRPr="008B3919">
        <w:rPr>
          <w:rFonts w:ascii="Palatino Linotype" w:eastAsia="Palatino Linotype" w:hAnsi="Palatino Linotype" w:cs="Palatino Linotype"/>
          <w:sz w:val="22"/>
          <w:szCs w:val="22"/>
        </w:rPr>
        <w:t xml:space="preserve"> de ser procedente</w:t>
      </w:r>
      <w:r w:rsidR="009B4ADD" w:rsidRPr="008B3919">
        <w:rPr>
          <w:rFonts w:ascii="Palatino Linotype" w:eastAsia="Palatino Linotype" w:hAnsi="Palatino Linotype" w:cs="Palatino Linotype"/>
          <w:sz w:val="22"/>
          <w:szCs w:val="22"/>
        </w:rPr>
        <w:t>, de lo siguiente:</w:t>
      </w:r>
    </w:p>
    <w:p w14:paraId="211071BF" w14:textId="7331F868" w:rsidR="001322B9" w:rsidRPr="008B3919" w:rsidRDefault="00331A87" w:rsidP="00E80376">
      <w:pPr>
        <w:spacing w:before="240" w:after="240" w:line="360" w:lineRule="auto"/>
        <w:ind w:left="284"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1.  </w:t>
      </w:r>
      <w:r w:rsidR="001322B9" w:rsidRPr="008B3919">
        <w:rPr>
          <w:rFonts w:ascii="Palatino Linotype" w:eastAsia="Palatino Linotype" w:hAnsi="Palatino Linotype" w:cs="Palatino Linotype"/>
          <w:sz w:val="22"/>
          <w:szCs w:val="22"/>
        </w:rPr>
        <w:t>Los registros de asistencia del siete de enero de mil novecientos noventa y siete al treinta y uno de mayo de dos mil veinticinco, y del uno al nueve de septiembre de dos mil veinticinco en el caso del servidor público referido en la solicitud; o bien, la autorización emitida por autoridad competente para omitir la elaboración del registro de asistencia en algún periodo determinado.</w:t>
      </w:r>
    </w:p>
    <w:p w14:paraId="4D4FE729" w14:textId="5F13B22E" w:rsidR="00E80376" w:rsidRPr="008B3919" w:rsidRDefault="00E80376" w:rsidP="00E80376">
      <w:pPr>
        <w:spacing w:before="240" w:after="240" w:line="360" w:lineRule="auto"/>
        <w:ind w:left="284" w:right="49"/>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2. Los registros de asistencia </w:t>
      </w:r>
      <w:r w:rsidR="001322B9" w:rsidRPr="008B3919">
        <w:rPr>
          <w:rFonts w:ascii="Palatino Linotype" w:eastAsia="Palatino Linotype" w:hAnsi="Palatino Linotype" w:cs="Palatino Linotype"/>
          <w:sz w:val="22"/>
          <w:szCs w:val="22"/>
        </w:rPr>
        <w:t>del dieciséis de junio de dos mil veintitrés</w:t>
      </w:r>
      <w:r w:rsidR="00223489" w:rsidRPr="008B3919">
        <w:rPr>
          <w:rFonts w:ascii="Palatino Linotype" w:eastAsia="Palatino Linotype" w:hAnsi="Palatino Linotype" w:cs="Palatino Linotype"/>
          <w:sz w:val="22"/>
          <w:szCs w:val="22"/>
        </w:rPr>
        <w:t>,</w:t>
      </w:r>
      <w:r w:rsidR="001322B9" w:rsidRPr="008B3919">
        <w:rPr>
          <w:rFonts w:ascii="Palatino Linotype" w:eastAsia="Palatino Linotype" w:hAnsi="Palatino Linotype" w:cs="Palatino Linotype"/>
          <w:sz w:val="22"/>
          <w:szCs w:val="22"/>
        </w:rPr>
        <w:t xml:space="preserve"> al treinta y uno de mayo de dos mil veinticinco, y del uno al nueve de septiembre de dos mil veinticinco en el caso de la servidora público referida en la solicitud</w:t>
      </w:r>
      <w:r w:rsidRPr="008B3919">
        <w:rPr>
          <w:rFonts w:ascii="Palatino Linotype" w:eastAsia="Palatino Linotype" w:hAnsi="Palatino Linotype" w:cs="Palatino Linotype"/>
          <w:sz w:val="22"/>
          <w:szCs w:val="22"/>
        </w:rPr>
        <w:t xml:space="preserve"> o bien, la autorización emitida por autoridad competente para omitir la elaboración del registro de asistencia en algún periodo determinado.</w:t>
      </w:r>
    </w:p>
    <w:p w14:paraId="1DAA96B6" w14:textId="2479F358" w:rsidR="00143423" w:rsidRPr="008B3919" w:rsidRDefault="00143423" w:rsidP="00143423">
      <w:pPr>
        <w:spacing w:before="120" w:after="120"/>
        <w:ind w:left="284"/>
        <w:jc w:val="both"/>
        <w:rPr>
          <w:rFonts w:ascii="Palatino Linotype" w:eastAsia="Palatino Linotype" w:hAnsi="Palatino Linotype" w:cs="Palatino Linotype"/>
          <w:i/>
          <w:sz w:val="20"/>
          <w:szCs w:val="20"/>
        </w:rPr>
      </w:pPr>
      <w:r w:rsidRPr="008B3919">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516A527B" w14:textId="22C19F8B" w:rsidR="004F0942" w:rsidRPr="008B3919" w:rsidRDefault="004F0942" w:rsidP="00143423">
      <w:pPr>
        <w:spacing w:before="120" w:after="120"/>
        <w:ind w:left="284"/>
        <w:jc w:val="both"/>
        <w:rPr>
          <w:rFonts w:ascii="Palatino Linotype" w:eastAsia="Palatino Linotype" w:hAnsi="Palatino Linotype" w:cs="Palatino Linotype"/>
          <w:i/>
          <w:sz w:val="20"/>
          <w:szCs w:val="20"/>
        </w:rPr>
      </w:pPr>
      <w:r w:rsidRPr="008B3919">
        <w:rPr>
          <w:rFonts w:ascii="Palatino Linotype" w:hAnsi="Palatino Linotype"/>
          <w:i/>
          <w:iCs/>
          <w:sz w:val="20"/>
          <w:szCs w:val="20"/>
        </w:rPr>
        <w:t xml:space="preserve">De no contar con la </w:t>
      </w:r>
      <w:r w:rsidR="00CB53A3" w:rsidRPr="008B3919">
        <w:rPr>
          <w:rFonts w:ascii="Palatino Linotype" w:hAnsi="Palatino Linotype"/>
          <w:i/>
          <w:iCs/>
          <w:sz w:val="20"/>
          <w:szCs w:val="20"/>
        </w:rPr>
        <w:t xml:space="preserve">totalidad de la </w:t>
      </w:r>
      <w:r w:rsidRPr="008B3919">
        <w:rPr>
          <w:rFonts w:ascii="Palatino Linotype" w:hAnsi="Palatino Linotype"/>
          <w:i/>
          <w:iCs/>
          <w:sz w:val="20"/>
          <w:szCs w:val="20"/>
        </w:rPr>
        <w:t xml:space="preserve">información que se ordena, el </w:t>
      </w:r>
      <w:r w:rsidRPr="008B3919">
        <w:rPr>
          <w:rFonts w:ascii="Palatino Linotype" w:hAnsi="Palatino Linotype"/>
          <w:b/>
          <w:bCs/>
          <w:i/>
          <w:iCs/>
          <w:sz w:val="20"/>
          <w:szCs w:val="20"/>
        </w:rPr>
        <w:t>Sujeto Obligado</w:t>
      </w:r>
      <w:r w:rsidRPr="008B3919">
        <w:rPr>
          <w:rFonts w:ascii="Palatino Linotype" w:hAnsi="Palatino Linotype"/>
          <w:i/>
          <w:iCs/>
          <w:sz w:val="20"/>
          <w:szCs w:val="20"/>
        </w:rPr>
        <w:t xml:space="preserve"> deberá proporcionar el Acuerdo del Comité de Transparencia donde confirme la inexistencia de la información conforme a lo establecido en el artículo 19, párrafo tercero, 169 y 170 de la Ley de Transparencia y Acceso a la Información Pública del Estado de México y Municipios.</w:t>
      </w:r>
    </w:p>
    <w:p w14:paraId="01661F9C" w14:textId="3EC6628B" w:rsidR="00694AA0" w:rsidRPr="008B3919" w:rsidRDefault="005B22BA" w:rsidP="00B221EC">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b/>
          <w:sz w:val="22"/>
          <w:szCs w:val="22"/>
        </w:rPr>
        <w:t xml:space="preserve">Tercero. Notifíquese, </w:t>
      </w:r>
      <w:r w:rsidRPr="008B3919">
        <w:rPr>
          <w:rFonts w:ascii="Palatino Linotype" w:eastAsia="Palatino Linotype" w:hAnsi="Palatino Linotype" w:cs="Palatino Linotype"/>
          <w:sz w:val="22"/>
          <w:szCs w:val="22"/>
        </w:rPr>
        <w:t xml:space="preserve">vía </w:t>
      </w:r>
      <w:r w:rsidRPr="008B3919">
        <w:rPr>
          <w:rFonts w:ascii="Palatino Linotype" w:eastAsia="Palatino Linotype" w:hAnsi="Palatino Linotype" w:cs="Palatino Linotype"/>
          <w:b/>
          <w:sz w:val="22"/>
          <w:szCs w:val="22"/>
        </w:rPr>
        <w:t>SAIMEX</w:t>
      </w:r>
      <w:r w:rsidRPr="008B3919">
        <w:rPr>
          <w:rFonts w:ascii="Palatino Linotype" w:eastAsia="Palatino Linotype" w:hAnsi="Palatino Linotype" w:cs="Palatino Linotype"/>
          <w:sz w:val="22"/>
          <w:szCs w:val="22"/>
        </w:rPr>
        <w:t xml:space="preserve">, al Titular de la Unidad de Transparencia del </w:t>
      </w:r>
      <w:r w:rsidRPr="008B3919">
        <w:rPr>
          <w:rFonts w:ascii="Palatino Linotype" w:eastAsia="Palatino Linotype" w:hAnsi="Palatino Linotype" w:cs="Palatino Linotype"/>
          <w:b/>
          <w:sz w:val="22"/>
          <w:szCs w:val="22"/>
        </w:rPr>
        <w:t>Sujeto Obligado,</w:t>
      </w:r>
      <w:r w:rsidRPr="008B3919">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D760D0" w14:textId="77777777" w:rsidR="00694AA0" w:rsidRPr="008B3919" w:rsidRDefault="005B22BA">
      <w:pPr>
        <w:spacing w:before="240" w:after="240" w:line="360" w:lineRule="auto"/>
        <w:jc w:val="both"/>
        <w:rPr>
          <w:rFonts w:ascii="Palatino Linotype" w:eastAsia="Palatino Linotype" w:hAnsi="Palatino Linotype" w:cs="Palatino Linotype"/>
          <w:sz w:val="22"/>
          <w:szCs w:val="22"/>
        </w:rPr>
      </w:pPr>
      <w:r w:rsidRPr="008B3919">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8B3919">
        <w:rPr>
          <w:rFonts w:ascii="Palatino Linotype" w:eastAsia="Palatino Linotype" w:hAnsi="Palatino Linotype" w:cs="Palatino Linotype"/>
          <w:b/>
          <w:sz w:val="22"/>
          <w:szCs w:val="22"/>
        </w:rPr>
        <w:t>Sujeto Obligado</w:t>
      </w:r>
      <w:r w:rsidRPr="008B3919">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72A9EDCB" w14:textId="77777777" w:rsidR="00694AA0" w:rsidRPr="008B3919" w:rsidRDefault="005B22BA">
      <w:pPr>
        <w:spacing w:before="240" w:after="240" w:line="360" w:lineRule="auto"/>
        <w:jc w:val="both"/>
        <w:rPr>
          <w:rFonts w:ascii="Palatino Linotype" w:eastAsia="Palatino Linotype" w:hAnsi="Palatino Linotype" w:cs="Palatino Linotype"/>
          <w:sz w:val="22"/>
          <w:szCs w:val="22"/>
        </w:rPr>
      </w:pPr>
      <w:bookmarkStart w:id="9" w:name="_heading=h.17dp8vu" w:colFirst="0" w:colLast="0"/>
      <w:bookmarkEnd w:id="9"/>
      <w:r w:rsidRPr="008B3919">
        <w:rPr>
          <w:rFonts w:ascii="Palatino Linotype" w:eastAsia="Palatino Linotype" w:hAnsi="Palatino Linotype" w:cs="Palatino Linotype"/>
          <w:b/>
          <w:sz w:val="22"/>
          <w:szCs w:val="22"/>
        </w:rPr>
        <w:t xml:space="preserve">Cuarto.  Notifíquese, </w:t>
      </w:r>
      <w:r w:rsidRPr="008B3919">
        <w:rPr>
          <w:rFonts w:ascii="Palatino Linotype" w:eastAsia="Palatino Linotype" w:hAnsi="Palatino Linotype" w:cs="Palatino Linotype"/>
          <w:sz w:val="22"/>
          <w:szCs w:val="22"/>
        </w:rPr>
        <w:t xml:space="preserve">vía </w:t>
      </w:r>
      <w:r w:rsidRPr="008B3919">
        <w:rPr>
          <w:rFonts w:ascii="Palatino Linotype" w:eastAsia="Palatino Linotype" w:hAnsi="Palatino Linotype" w:cs="Palatino Linotype"/>
          <w:b/>
          <w:sz w:val="22"/>
          <w:szCs w:val="22"/>
        </w:rPr>
        <w:t>SAIMEX</w:t>
      </w:r>
      <w:r w:rsidRPr="008B3919">
        <w:rPr>
          <w:rFonts w:ascii="Palatino Linotype" w:eastAsia="Palatino Linotype" w:hAnsi="Palatino Linotype" w:cs="Palatino Linotype"/>
          <w:sz w:val="22"/>
          <w:szCs w:val="22"/>
        </w:rPr>
        <w:t xml:space="preserve">, a la parte </w:t>
      </w:r>
      <w:r w:rsidRPr="008B3919">
        <w:rPr>
          <w:rFonts w:ascii="Palatino Linotype" w:eastAsia="Palatino Linotype" w:hAnsi="Palatino Linotype" w:cs="Palatino Linotype"/>
          <w:b/>
          <w:sz w:val="22"/>
          <w:szCs w:val="22"/>
        </w:rPr>
        <w:t>Recurrente</w:t>
      </w:r>
      <w:r w:rsidRPr="008B3919">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C146F11" w14:textId="15B16F2A" w:rsidR="00694AA0" w:rsidRPr="004C2FE1" w:rsidRDefault="005B22BA">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0" w:name="_heading=h.lnxbz9" w:colFirst="0" w:colLast="0"/>
      <w:bookmarkEnd w:id="10"/>
      <w:r w:rsidRPr="008B391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C2FE1" w:rsidRPr="008B3919">
        <w:rPr>
          <w:rFonts w:ascii="Palatino Linotype" w:eastAsia="Palatino Linotype" w:hAnsi="Palatino Linotype" w:cs="Palatino Linotype"/>
          <w:sz w:val="22"/>
          <w:szCs w:val="22"/>
        </w:rPr>
        <w:t>PRIMERA</w:t>
      </w:r>
      <w:r w:rsidR="00143423" w:rsidRPr="008B3919">
        <w:rPr>
          <w:rFonts w:ascii="Palatino Linotype" w:eastAsia="Palatino Linotype" w:hAnsi="Palatino Linotype" w:cs="Palatino Linotype"/>
          <w:sz w:val="22"/>
          <w:szCs w:val="22"/>
        </w:rPr>
        <w:t xml:space="preserve"> </w:t>
      </w:r>
      <w:r w:rsidRPr="008B3919">
        <w:rPr>
          <w:rFonts w:ascii="Palatino Linotype" w:eastAsia="Palatino Linotype" w:hAnsi="Palatino Linotype" w:cs="Palatino Linotype"/>
          <w:sz w:val="22"/>
          <w:szCs w:val="22"/>
        </w:rPr>
        <w:t xml:space="preserve">SESIÓN ORDINARIA CELEBRADA EL </w:t>
      </w:r>
      <w:r w:rsidR="004C2FE1" w:rsidRPr="008B3919">
        <w:rPr>
          <w:rFonts w:ascii="Palatino Linotype" w:eastAsia="Palatino Linotype" w:hAnsi="Palatino Linotype" w:cs="Palatino Linotype"/>
          <w:sz w:val="22"/>
          <w:szCs w:val="22"/>
        </w:rPr>
        <w:t>CATORCE DE ENERO</w:t>
      </w:r>
      <w:r w:rsidR="001A3D4C" w:rsidRPr="008B3919">
        <w:rPr>
          <w:rFonts w:ascii="Palatino Linotype" w:eastAsia="Palatino Linotype" w:hAnsi="Palatino Linotype" w:cs="Palatino Linotype"/>
          <w:sz w:val="22"/>
          <w:szCs w:val="22"/>
        </w:rPr>
        <w:t xml:space="preserve"> </w:t>
      </w:r>
      <w:r w:rsidRPr="008B3919">
        <w:rPr>
          <w:rFonts w:ascii="Palatino Linotype" w:eastAsia="Palatino Linotype" w:hAnsi="Palatino Linotype" w:cs="Palatino Linotype"/>
          <w:sz w:val="22"/>
          <w:szCs w:val="22"/>
        </w:rPr>
        <w:t>DE DOS MIL VEINTI</w:t>
      </w:r>
      <w:r w:rsidR="004C2FE1" w:rsidRPr="008B3919">
        <w:rPr>
          <w:rFonts w:ascii="Palatino Linotype" w:eastAsia="Palatino Linotype" w:hAnsi="Palatino Linotype" w:cs="Palatino Linotype"/>
          <w:sz w:val="22"/>
          <w:szCs w:val="22"/>
        </w:rPr>
        <w:t>SÉIS</w:t>
      </w:r>
      <w:r w:rsidRPr="008B3919">
        <w:rPr>
          <w:rFonts w:ascii="Palatino Linotype" w:eastAsia="Palatino Linotype" w:hAnsi="Palatino Linotype" w:cs="Palatino Linotype"/>
          <w:sz w:val="22"/>
          <w:szCs w:val="22"/>
        </w:rPr>
        <w:t>, ANTE EL SECRETARIO TÉCNICO DEL PLENO ALEXIS TAPIA RAMÍREZ.</w:t>
      </w:r>
    </w:p>
    <w:p w14:paraId="36F5D5CA"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10176E8B" w14:textId="77777777" w:rsidR="00694AA0" w:rsidRPr="004C2FE1" w:rsidRDefault="00694AA0">
      <w:pPr>
        <w:spacing w:line="360" w:lineRule="auto"/>
        <w:jc w:val="center"/>
        <w:rPr>
          <w:rFonts w:ascii="Palatino Linotype" w:eastAsia="Palatino Linotype" w:hAnsi="Palatino Linotype" w:cs="Palatino Linotype"/>
          <w:sz w:val="22"/>
          <w:szCs w:val="22"/>
        </w:rPr>
      </w:pPr>
    </w:p>
    <w:p w14:paraId="6DF87AE6"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708FB06E"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537054EF"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17774119"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5509219D"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5A5B7374"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016906CE"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3536C243"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10C74B60"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48A36858"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3FE6DE95"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16F5DDC9"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714A31D2"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46664245"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5C092A01"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669D5981"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3D7F8E58"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61848FB2" w14:textId="77777777" w:rsidR="00694AA0" w:rsidRPr="004C2FE1" w:rsidRDefault="00694AA0">
      <w:pPr>
        <w:spacing w:line="360" w:lineRule="auto"/>
        <w:jc w:val="both"/>
        <w:rPr>
          <w:rFonts w:ascii="Palatino Linotype" w:eastAsia="Palatino Linotype" w:hAnsi="Palatino Linotype" w:cs="Palatino Linotype"/>
          <w:sz w:val="22"/>
          <w:szCs w:val="22"/>
        </w:rPr>
      </w:pPr>
    </w:p>
    <w:p w14:paraId="5684A0AB" w14:textId="77777777" w:rsidR="006F3A18" w:rsidRPr="004C2FE1" w:rsidRDefault="006F3A18">
      <w:pPr>
        <w:spacing w:line="360" w:lineRule="auto"/>
        <w:jc w:val="both"/>
        <w:rPr>
          <w:rFonts w:ascii="Palatino Linotype" w:eastAsia="Palatino Linotype" w:hAnsi="Palatino Linotype" w:cs="Palatino Linotype"/>
          <w:sz w:val="22"/>
          <w:szCs w:val="22"/>
        </w:rPr>
      </w:pPr>
    </w:p>
    <w:sectPr w:rsidR="006F3A18" w:rsidRPr="004C2FE1">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C1A3F" w14:textId="77777777" w:rsidR="00820530" w:rsidRDefault="00820530">
      <w:r>
        <w:separator/>
      </w:r>
    </w:p>
  </w:endnote>
  <w:endnote w:type="continuationSeparator" w:id="0">
    <w:p w14:paraId="1DEE373D" w14:textId="77777777" w:rsidR="00820530" w:rsidRDefault="0082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FD7A" w14:textId="5A3E905A" w:rsidR="001322B9" w:rsidRDefault="001322B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62AE4">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62AE4">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01320A57" w14:textId="77777777" w:rsidR="001322B9" w:rsidRDefault="001322B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5D5DD" w14:textId="455C5F6F" w:rsidR="001322B9" w:rsidRDefault="001322B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62AE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62AE4">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71AA7E10" w14:textId="77777777" w:rsidR="001322B9" w:rsidRDefault="001322B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12743" w14:textId="77777777" w:rsidR="00820530" w:rsidRDefault="00820530">
      <w:r>
        <w:separator/>
      </w:r>
    </w:p>
  </w:footnote>
  <w:footnote w:type="continuationSeparator" w:id="0">
    <w:p w14:paraId="4997FAA8" w14:textId="77777777" w:rsidR="00820530" w:rsidRDefault="008205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A67F7" w14:textId="77777777" w:rsidR="001322B9" w:rsidRDefault="001322B9">
    <w:pPr>
      <w:rPr>
        <w:rFonts w:ascii="Cambria" w:eastAsia="Cambria" w:hAnsi="Cambria" w:cs="Cambria"/>
        <w:color w:val="000000"/>
      </w:rPr>
    </w:pPr>
    <w:r>
      <w:rPr>
        <w:noProof/>
      </w:rPr>
      <w:drawing>
        <wp:anchor distT="0" distB="0" distL="0" distR="0" simplePos="0" relativeHeight="251658240" behindDoc="1" locked="0" layoutInCell="1" hidden="0" allowOverlap="1" wp14:anchorId="737B4D0F" wp14:editId="5C481CA0">
          <wp:simplePos x="0" y="0"/>
          <wp:positionH relativeFrom="column">
            <wp:posOffset>-1080090</wp:posOffset>
          </wp:positionH>
          <wp:positionV relativeFrom="paragraph">
            <wp:posOffset>-488261</wp:posOffset>
          </wp:positionV>
          <wp:extent cx="7809865" cy="10165715"/>
          <wp:effectExtent l="0" t="0" r="0" b="0"/>
          <wp:wrapNone/>
          <wp:docPr id="19520825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2"/>
      <w:tblW w:w="5953" w:type="dxa"/>
      <w:tblInd w:w="3261" w:type="dxa"/>
      <w:tblLayout w:type="fixed"/>
      <w:tblLook w:val="0400" w:firstRow="0" w:lastRow="0" w:firstColumn="0" w:lastColumn="0" w:noHBand="0" w:noVBand="1"/>
    </w:tblPr>
    <w:tblGrid>
      <w:gridCol w:w="2489"/>
      <w:gridCol w:w="3464"/>
    </w:tblGrid>
    <w:tr w:rsidR="001322B9" w14:paraId="0791587B" w14:textId="77777777">
      <w:tc>
        <w:tcPr>
          <w:tcW w:w="2489" w:type="dxa"/>
        </w:tcPr>
        <w:p w14:paraId="5B034C04" w14:textId="77777777" w:rsidR="001322B9" w:rsidRDefault="001322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288814C3" w14:textId="24C502E2" w:rsidR="001322B9" w:rsidRDefault="001322B9" w:rsidP="007161D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11354/INFOEM/IP/RR/2025</w:t>
          </w:r>
        </w:p>
      </w:tc>
    </w:tr>
    <w:tr w:rsidR="001322B9" w14:paraId="704D61F0" w14:textId="77777777">
      <w:trPr>
        <w:trHeight w:val="228"/>
      </w:trPr>
      <w:tc>
        <w:tcPr>
          <w:tcW w:w="2489" w:type="dxa"/>
          <w:vAlign w:val="center"/>
        </w:tcPr>
        <w:p w14:paraId="6DFC1FC7" w14:textId="77777777" w:rsidR="001322B9" w:rsidRDefault="001322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C5BFEDD" w14:textId="4726A823" w:rsidR="001322B9" w:rsidRDefault="001322B9">
          <w:pPr>
            <w:ind w:left="-45" w:right="176"/>
            <w:jc w:val="both"/>
            <w:rPr>
              <w:rFonts w:ascii="Palatino Linotype" w:eastAsia="Palatino Linotype" w:hAnsi="Palatino Linotype" w:cs="Palatino Linotype"/>
              <w:b/>
              <w:sz w:val="22"/>
              <w:szCs w:val="22"/>
            </w:rPr>
          </w:pPr>
          <w:r w:rsidRPr="0026210D">
            <w:rPr>
              <w:rFonts w:ascii="Palatino Linotype" w:eastAsia="Palatino Linotype" w:hAnsi="Palatino Linotype" w:cs="Palatino Linotype"/>
              <w:b/>
              <w:sz w:val="22"/>
              <w:szCs w:val="22"/>
            </w:rPr>
            <w:t>Ayuntamiento de Toluca</w:t>
          </w:r>
        </w:p>
      </w:tc>
    </w:tr>
    <w:tr w:rsidR="001322B9" w14:paraId="2B5F7CE9" w14:textId="77777777">
      <w:tc>
        <w:tcPr>
          <w:tcW w:w="2489" w:type="dxa"/>
          <w:vAlign w:val="center"/>
        </w:tcPr>
        <w:p w14:paraId="63B3258D" w14:textId="77777777" w:rsidR="001322B9" w:rsidRDefault="001322B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AB48BAE" w14:textId="77777777" w:rsidR="001322B9" w:rsidRDefault="001322B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47C34D" w14:textId="77777777" w:rsidR="001322B9" w:rsidRDefault="001322B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D0846" w14:textId="77777777" w:rsidR="001322B9" w:rsidRDefault="001322B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57F20C8" wp14:editId="7DFE190E">
          <wp:simplePos x="0" y="0"/>
          <wp:positionH relativeFrom="page">
            <wp:align>left</wp:align>
          </wp:positionH>
          <wp:positionV relativeFrom="paragraph">
            <wp:posOffset>-369891</wp:posOffset>
          </wp:positionV>
          <wp:extent cx="7809865" cy="10165715"/>
          <wp:effectExtent l="0" t="0" r="635" b="6985"/>
          <wp:wrapNone/>
          <wp:docPr id="19520825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
      <w:tblW w:w="5953" w:type="dxa"/>
      <w:tblInd w:w="3261" w:type="dxa"/>
      <w:tblLayout w:type="fixed"/>
      <w:tblLook w:val="0400" w:firstRow="0" w:lastRow="0" w:firstColumn="0" w:lastColumn="0" w:noHBand="0" w:noVBand="1"/>
    </w:tblPr>
    <w:tblGrid>
      <w:gridCol w:w="2489"/>
      <w:gridCol w:w="3464"/>
    </w:tblGrid>
    <w:tr w:rsidR="001322B9" w14:paraId="71B7394D" w14:textId="77777777">
      <w:tc>
        <w:tcPr>
          <w:tcW w:w="2489" w:type="dxa"/>
        </w:tcPr>
        <w:p w14:paraId="6F6314B5" w14:textId="77777777" w:rsidR="001322B9" w:rsidRDefault="001322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71E5532" w14:textId="5056592A" w:rsidR="001322B9" w:rsidRDefault="001322B9" w:rsidP="007161D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11354/INFOEM/IP/RR/2025</w:t>
          </w:r>
        </w:p>
      </w:tc>
    </w:tr>
    <w:tr w:rsidR="001322B9" w14:paraId="4854212C" w14:textId="77777777">
      <w:tc>
        <w:tcPr>
          <w:tcW w:w="2489" w:type="dxa"/>
        </w:tcPr>
        <w:p w14:paraId="1D1E2C85" w14:textId="77777777" w:rsidR="001322B9" w:rsidRDefault="001322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99EB360" w14:textId="29CC81F0" w:rsidR="001322B9" w:rsidRPr="00E66354" w:rsidRDefault="001322B9">
          <w:pPr>
            <w:ind w:right="175"/>
            <w:jc w:val="both"/>
            <w:rPr>
              <w:rFonts w:ascii="Palatino Linotype" w:eastAsia="Palatino Linotype" w:hAnsi="Palatino Linotype" w:cs="Palatino Linotype"/>
              <w:b/>
              <w:sz w:val="22"/>
              <w:szCs w:val="22"/>
              <w:highlight w:val="yellow"/>
            </w:rPr>
          </w:pPr>
        </w:p>
      </w:tc>
    </w:tr>
    <w:tr w:rsidR="001322B9" w14:paraId="082218B4" w14:textId="77777777">
      <w:trPr>
        <w:trHeight w:val="228"/>
      </w:trPr>
      <w:tc>
        <w:tcPr>
          <w:tcW w:w="2489" w:type="dxa"/>
          <w:vAlign w:val="center"/>
        </w:tcPr>
        <w:p w14:paraId="5E8970C5" w14:textId="77777777" w:rsidR="001322B9" w:rsidRDefault="001322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9B822F6" w14:textId="320EDB2C" w:rsidR="001322B9" w:rsidRDefault="001322B9">
          <w:pPr>
            <w:ind w:left="-45" w:right="176"/>
            <w:jc w:val="both"/>
            <w:rPr>
              <w:rFonts w:ascii="Palatino Linotype" w:eastAsia="Palatino Linotype" w:hAnsi="Palatino Linotype" w:cs="Palatino Linotype"/>
              <w:b/>
              <w:sz w:val="22"/>
              <w:szCs w:val="22"/>
            </w:rPr>
          </w:pPr>
          <w:r w:rsidRPr="0026210D">
            <w:rPr>
              <w:rFonts w:ascii="Palatino Linotype" w:eastAsia="Palatino Linotype" w:hAnsi="Palatino Linotype" w:cs="Palatino Linotype"/>
              <w:b/>
              <w:sz w:val="22"/>
              <w:szCs w:val="22"/>
            </w:rPr>
            <w:t>Ayuntamiento de Toluca</w:t>
          </w:r>
        </w:p>
      </w:tc>
    </w:tr>
    <w:tr w:rsidR="001322B9" w14:paraId="10C74DEA" w14:textId="77777777">
      <w:tc>
        <w:tcPr>
          <w:tcW w:w="2489" w:type="dxa"/>
          <w:vAlign w:val="center"/>
        </w:tcPr>
        <w:p w14:paraId="1F1A62FF" w14:textId="77777777" w:rsidR="001322B9" w:rsidRDefault="001322B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2548D8D" w14:textId="77777777" w:rsidR="001322B9" w:rsidRDefault="001322B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04CEDE" w14:textId="77777777" w:rsidR="001322B9" w:rsidRDefault="001322B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5FA81C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BD6295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5565543"/>
    <w:multiLevelType w:val="multilevel"/>
    <w:tmpl w:val="41889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3079D8"/>
    <w:multiLevelType w:val="multilevel"/>
    <w:tmpl w:val="3196C92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5C81A7C"/>
    <w:multiLevelType w:val="multilevel"/>
    <w:tmpl w:val="99D40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1D25AD0"/>
    <w:multiLevelType w:val="hybridMultilevel"/>
    <w:tmpl w:val="9B3E43EC"/>
    <w:lvl w:ilvl="0" w:tplc="2F461F4A">
      <w:start w:val="1"/>
      <w:numFmt w:val="decimal"/>
      <w:lvlText w:val="%1."/>
      <w:lvlJc w:val="left"/>
      <w:pPr>
        <w:ind w:left="644" w:hanging="360"/>
      </w:pPr>
      <w:rPr>
        <w:rFonts w:hint="default"/>
        <w:b w:val="0"/>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ECA6C08"/>
    <w:multiLevelType w:val="multilevel"/>
    <w:tmpl w:val="77045766"/>
    <w:lvl w:ilvl="0">
      <w:start w:val="1"/>
      <w:numFmt w:val="decimal"/>
      <w:pStyle w:val="Listaconvietas3"/>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20930DE"/>
    <w:multiLevelType w:val="multilevel"/>
    <w:tmpl w:val="07B63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0CC0097"/>
    <w:multiLevelType w:val="hybridMultilevel"/>
    <w:tmpl w:val="11262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D4592D"/>
    <w:multiLevelType w:val="multilevel"/>
    <w:tmpl w:val="BB5AF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3"/>
  </w:num>
  <w:num w:numId="3">
    <w:abstractNumId w:val="12"/>
  </w:num>
  <w:num w:numId="4">
    <w:abstractNumId w:val="6"/>
  </w:num>
  <w:num w:numId="5">
    <w:abstractNumId w:val="8"/>
  </w:num>
  <w:num w:numId="6">
    <w:abstractNumId w:val="1"/>
  </w:num>
  <w:num w:numId="7">
    <w:abstractNumId w:val="0"/>
  </w:num>
  <w:num w:numId="8">
    <w:abstractNumId w:val="9"/>
  </w:num>
  <w:num w:numId="9">
    <w:abstractNumId w:val="5"/>
  </w:num>
  <w:num w:numId="10">
    <w:abstractNumId w:val="7"/>
  </w:num>
  <w:num w:numId="11">
    <w:abstractNumId w:val="10"/>
  </w:num>
  <w:num w:numId="12">
    <w:abstractNumId w:val="13"/>
  </w:num>
  <w:num w:numId="13">
    <w:abstractNumId w:val="4"/>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AA0"/>
    <w:rsid w:val="00004D58"/>
    <w:rsid w:val="000064B5"/>
    <w:rsid w:val="000309D9"/>
    <w:rsid w:val="0003226E"/>
    <w:rsid w:val="00052702"/>
    <w:rsid w:val="000653F9"/>
    <w:rsid w:val="000661FA"/>
    <w:rsid w:val="000778D1"/>
    <w:rsid w:val="00082344"/>
    <w:rsid w:val="00082BC4"/>
    <w:rsid w:val="000844C8"/>
    <w:rsid w:val="000A73DA"/>
    <w:rsid w:val="000B0896"/>
    <w:rsid w:val="000B0B75"/>
    <w:rsid w:val="000B1289"/>
    <w:rsid w:val="000B3BB5"/>
    <w:rsid w:val="000D0779"/>
    <w:rsid w:val="000D66CA"/>
    <w:rsid w:val="000D757F"/>
    <w:rsid w:val="000E290B"/>
    <w:rsid w:val="000F03BC"/>
    <w:rsid w:val="000F2854"/>
    <w:rsid w:val="0011644B"/>
    <w:rsid w:val="001309F0"/>
    <w:rsid w:val="001322B9"/>
    <w:rsid w:val="00133291"/>
    <w:rsid w:val="00134ECF"/>
    <w:rsid w:val="00142C8A"/>
    <w:rsid w:val="00143423"/>
    <w:rsid w:val="00143A14"/>
    <w:rsid w:val="00156057"/>
    <w:rsid w:val="00176DB0"/>
    <w:rsid w:val="0018603F"/>
    <w:rsid w:val="00187914"/>
    <w:rsid w:val="00193278"/>
    <w:rsid w:val="001A0778"/>
    <w:rsid w:val="001A3D4C"/>
    <w:rsid w:val="001B415E"/>
    <w:rsid w:val="001B5E9D"/>
    <w:rsid w:val="001E2666"/>
    <w:rsid w:val="001F3BA6"/>
    <w:rsid w:val="001F64E8"/>
    <w:rsid w:val="0020097E"/>
    <w:rsid w:val="00213EC3"/>
    <w:rsid w:val="00220FE4"/>
    <w:rsid w:val="00223489"/>
    <w:rsid w:val="00223511"/>
    <w:rsid w:val="00231963"/>
    <w:rsid w:val="002361D4"/>
    <w:rsid w:val="00253ED3"/>
    <w:rsid w:val="0026210D"/>
    <w:rsid w:val="002825BA"/>
    <w:rsid w:val="0028645D"/>
    <w:rsid w:val="002951FD"/>
    <w:rsid w:val="002B2F3E"/>
    <w:rsid w:val="002C5F3C"/>
    <w:rsid w:val="00331A87"/>
    <w:rsid w:val="0033200D"/>
    <w:rsid w:val="0034602C"/>
    <w:rsid w:val="0034618D"/>
    <w:rsid w:val="0036325A"/>
    <w:rsid w:val="00365022"/>
    <w:rsid w:val="00375184"/>
    <w:rsid w:val="00383985"/>
    <w:rsid w:val="0038463F"/>
    <w:rsid w:val="00386EDA"/>
    <w:rsid w:val="00397531"/>
    <w:rsid w:val="00397DDF"/>
    <w:rsid w:val="003A2BE9"/>
    <w:rsid w:val="003B589D"/>
    <w:rsid w:val="003B5E1E"/>
    <w:rsid w:val="003C6617"/>
    <w:rsid w:val="003D4C05"/>
    <w:rsid w:val="003D61F9"/>
    <w:rsid w:val="003D6643"/>
    <w:rsid w:val="0040045C"/>
    <w:rsid w:val="00420C30"/>
    <w:rsid w:val="00430882"/>
    <w:rsid w:val="00435111"/>
    <w:rsid w:val="00463FB8"/>
    <w:rsid w:val="00471407"/>
    <w:rsid w:val="00494CB2"/>
    <w:rsid w:val="004A30AD"/>
    <w:rsid w:val="004A6693"/>
    <w:rsid w:val="004B0BBC"/>
    <w:rsid w:val="004B35BD"/>
    <w:rsid w:val="004C2FE1"/>
    <w:rsid w:val="004D73B7"/>
    <w:rsid w:val="004D7DF2"/>
    <w:rsid w:val="004E1DF4"/>
    <w:rsid w:val="004F0942"/>
    <w:rsid w:val="004F1364"/>
    <w:rsid w:val="00504FA2"/>
    <w:rsid w:val="0050510A"/>
    <w:rsid w:val="00510048"/>
    <w:rsid w:val="0051150E"/>
    <w:rsid w:val="00530D60"/>
    <w:rsid w:val="00535FC8"/>
    <w:rsid w:val="00544E94"/>
    <w:rsid w:val="00546E25"/>
    <w:rsid w:val="00552496"/>
    <w:rsid w:val="00554822"/>
    <w:rsid w:val="00574CB0"/>
    <w:rsid w:val="005B22BA"/>
    <w:rsid w:val="005C0C18"/>
    <w:rsid w:val="00627673"/>
    <w:rsid w:val="00655EF3"/>
    <w:rsid w:val="00694AA0"/>
    <w:rsid w:val="006A0D3C"/>
    <w:rsid w:val="006A2500"/>
    <w:rsid w:val="006C1064"/>
    <w:rsid w:val="006E155A"/>
    <w:rsid w:val="006E15E3"/>
    <w:rsid w:val="006F3A18"/>
    <w:rsid w:val="006F76B7"/>
    <w:rsid w:val="00702E1B"/>
    <w:rsid w:val="0070776B"/>
    <w:rsid w:val="007161DC"/>
    <w:rsid w:val="007165D6"/>
    <w:rsid w:val="007304EC"/>
    <w:rsid w:val="00731EF3"/>
    <w:rsid w:val="007333D5"/>
    <w:rsid w:val="007347D2"/>
    <w:rsid w:val="00746A44"/>
    <w:rsid w:val="0075679E"/>
    <w:rsid w:val="0076259D"/>
    <w:rsid w:val="0076423F"/>
    <w:rsid w:val="007643E2"/>
    <w:rsid w:val="00771F7F"/>
    <w:rsid w:val="00786E97"/>
    <w:rsid w:val="007D0435"/>
    <w:rsid w:val="0080393C"/>
    <w:rsid w:val="00820530"/>
    <w:rsid w:val="0082626C"/>
    <w:rsid w:val="00831C7F"/>
    <w:rsid w:val="00837E5E"/>
    <w:rsid w:val="00854416"/>
    <w:rsid w:val="00857C0C"/>
    <w:rsid w:val="00862AE4"/>
    <w:rsid w:val="00883836"/>
    <w:rsid w:val="0088463F"/>
    <w:rsid w:val="00897BD0"/>
    <w:rsid w:val="008A4625"/>
    <w:rsid w:val="008A4B43"/>
    <w:rsid w:val="008B3919"/>
    <w:rsid w:val="008B474D"/>
    <w:rsid w:val="008B7DA1"/>
    <w:rsid w:val="008C1CE6"/>
    <w:rsid w:val="008E0B27"/>
    <w:rsid w:val="008E1CAA"/>
    <w:rsid w:val="008F5E0C"/>
    <w:rsid w:val="008F7C04"/>
    <w:rsid w:val="0090529A"/>
    <w:rsid w:val="00907832"/>
    <w:rsid w:val="009454C1"/>
    <w:rsid w:val="00947504"/>
    <w:rsid w:val="009502ED"/>
    <w:rsid w:val="009711CB"/>
    <w:rsid w:val="00980D84"/>
    <w:rsid w:val="009952D9"/>
    <w:rsid w:val="009A3A3C"/>
    <w:rsid w:val="009B4ADD"/>
    <w:rsid w:val="009C1FBD"/>
    <w:rsid w:val="009D0D80"/>
    <w:rsid w:val="009F4157"/>
    <w:rsid w:val="009F5343"/>
    <w:rsid w:val="009F7CB0"/>
    <w:rsid w:val="00A12096"/>
    <w:rsid w:val="00A16791"/>
    <w:rsid w:val="00A17271"/>
    <w:rsid w:val="00A20BCE"/>
    <w:rsid w:val="00A2767F"/>
    <w:rsid w:val="00A30507"/>
    <w:rsid w:val="00A57A19"/>
    <w:rsid w:val="00A8727F"/>
    <w:rsid w:val="00AC581C"/>
    <w:rsid w:val="00AD444D"/>
    <w:rsid w:val="00AD7617"/>
    <w:rsid w:val="00AE52C6"/>
    <w:rsid w:val="00B04225"/>
    <w:rsid w:val="00B04701"/>
    <w:rsid w:val="00B101D9"/>
    <w:rsid w:val="00B14870"/>
    <w:rsid w:val="00B14A23"/>
    <w:rsid w:val="00B221EC"/>
    <w:rsid w:val="00B3392A"/>
    <w:rsid w:val="00B919FC"/>
    <w:rsid w:val="00BB3325"/>
    <w:rsid w:val="00BD020A"/>
    <w:rsid w:val="00BD504B"/>
    <w:rsid w:val="00BE3EF4"/>
    <w:rsid w:val="00C00558"/>
    <w:rsid w:val="00C01C2E"/>
    <w:rsid w:val="00C1117A"/>
    <w:rsid w:val="00C24F74"/>
    <w:rsid w:val="00C314BD"/>
    <w:rsid w:val="00C85C03"/>
    <w:rsid w:val="00C90819"/>
    <w:rsid w:val="00C97F6E"/>
    <w:rsid w:val="00CB469A"/>
    <w:rsid w:val="00CB53A3"/>
    <w:rsid w:val="00CC3687"/>
    <w:rsid w:val="00CD2E1D"/>
    <w:rsid w:val="00CE2562"/>
    <w:rsid w:val="00D17A09"/>
    <w:rsid w:val="00D46BA0"/>
    <w:rsid w:val="00D60D79"/>
    <w:rsid w:val="00D71F7C"/>
    <w:rsid w:val="00D74224"/>
    <w:rsid w:val="00D77EC0"/>
    <w:rsid w:val="00D86C32"/>
    <w:rsid w:val="00DB513A"/>
    <w:rsid w:val="00DC1F5B"/>
    <w:rsid w:val="00DD1E25"/>
    <w:rsid w:val="00DD4CBD"/>
    <w:rsid w:val="00DE5ADE"/>
    <w:rsid w:val="00DF17EB"/>
    <w:rsid w:val="00DF478E"/>
    <w:rsid w:val="00E1082D"/>
    <w:rsid w:val="00E16633"/>
    <w:rsid w:val="00E24D85"/>
    <w:rsid w:val="00E40785"/>
    <w:rsid w:val="00E417D0"/>
    <w:rsid w:val="00E43918"/>
    <w:rsid w:val="00E44511"/>
    <w:rsid w:val="00E545C2"/>
    <w:rsid w:val="00E56B57"/>
    <w:rsid w:val="00E66354"/>
    <w:rsid w:val="00E80376"/>
    <w:rsid w:val="00E84CB1"/>
    <w:rsid w:val="00E91C46"/>
    <w:rsid w:val="00EA2309"/>
    <w:rsid w:val="00EA5CD6"/>
    <w:rsid w:val="00EB032A"/>
    <w:rsid w:val="00EB6F38"/>
    <w:rsid w:val="00EC3811"/>
    <w:rsid w:val="00EC6393"/>
    <w:rsid w:val="00ED30A5"/>
    <w:rsid w:val="00ED39E8"/>
    <w:rsid w:val="00ED661A"/>
    <w:rsid w:val="00EE042E"/>
    <w:rsid w:val="00F13C63"/>
    <w:rsid w:val="00F20BEB"/>
    <w:rsid w:val="00F221D2"/>
    <w:rsid w:val="00F231B8"/>
    <w:rsid w:val="00F30EE8"/>
    <w:rsid w:val="00F33D9D"/>
    <w:rsid w:val="00F50F75"/>
    <w:rsid w:val="00F62348"/>
    <w:rsid w:val="00F809E5"/>
    <w:rsid w:val="00F827DF"/>
    <w:rsid w:val="00F90070"/>
    <w:rsid w:val="00F96B54"/>
    <w:rsid w:val="00FA0237"/>
    <w:rsid w:val="00FA3C9A"/>
    <w:rsid w:val="00FB0090"/>
    <w:rsid w:val="00FC30CF"/>
    <w:rsid w:val="00FC36ED"/>
    <w:rsid w:val="00FC54A4"/>
    <w:rsid w:val="00FE251A"/>
    <w:rsid w:val="00FE3915"/>
    <w:rsid w:val="00FF60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6C3C"/>
  <w15:docId w15:val="{4E3D6FF7-1FD1-4EA6-BDE9-C4C1B259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Normal3"/>
    <w:tblPr>
      <w:tblCellMar>
        <w:top w:w="0" w:type="dxa"/>
        <w:left w:w="0" w:type="dxa"/>
        <w:bottom w:w="0" w:type="dxa"/>
        <w:right w:w="0" w:type="dxa"/>
      </w:tblCellMar>
    </w:tblPr>
  </w:style>
  <w:style w:type="table" w:customStyle="1" w:styleId="TableNormal2">
    <w:name w:val="TableNormal2"/>
    <w:tblPr>
      <w:tblCellMar>
        <w:top w:w="0" w:type="dxa"/>
        <w:left w:w="0" w:type="dxa"/>
        <w:bottom w:w="0" w:type="dxa"/>
        <w:right w:w="0" w:type="dxa"/>
      </w:tblCellMar>
    </w:tblPr>
  </w:style>
  <w:style w:type="table" w:customStyle="1" w:styleId="TableNormal1">
    <w:name w:val="TableNormal1"/>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5">
    <w:name w:val="Table Normal15"/>
    <w:tblPr>
      <w:tblCellMar>
        <w:top w:w="0" w:type="dxa"/>
        <w:left w:w="0" w:type="dxa"/>
        <w:bottom w:w="0" w:type="dxa"/>
        <w:right w:w="0" w:type="dxa"/>
      </w:tblCellMar>
    </w:tblPr>
  </w:style>
  <w:style w:type="table" w:customStyle="1" w:styleId="TableNormal14">
    <w:name w:val="Table Normal14"/>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6">
    <w:name w:val="Table Normal1"/>
    <w:tblPr>
      <w:tblCellMar>
        <w:top w:w="0" w:type="dxa"/>
        <w:left w:w="0" w:type="dxa"/>
        <w:bottom w:w="0" w:type="dxa"/>
        <w:right w:w="0" w:type="dxa"/>
      </w:tblCellMar>
    </w:tblPr>
  </w:style>
  <w:style w:type="table" w:customStyle="1" w:styleId="47">
    <w:name w:val="47"/>
    <w:basedOn w:val="TableNormal16"/>
    <w:tblPr>
      <w:tblStyleRowBandSize w:val="1"/>
      <w:tblStyleColBandSize w:val="1"/>
      <w:tblCellMar>
        <w:left w:w="115" w:type="dxa"/>
        <w:right w:w="115" w:type="dxa"/>
      </w:tblCellMar>
    </w:tblPr>
  </w:style>
  <w:style w:type="table" w:customStyle="1" w:styleId="46">
    <w:name w:val="46"/>
    <w:basedOn w:val="TableNormal16"/>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45">
    <w:name w:val="45"/>
    <w:basedOn w:val="TableNormal16"/>
    <w:tblPr>
      <w:tblStyleRowBandSize w:val="1"/>
      <w:tblStyleColBandSize w:val="1"/>
      <w:tblCellMar>
        <w:left w:w="115" w:type="dxa"/>
        <w:right w:w="115" w:type="dxa"/>
      </w:tblCellMar>
    </w:tblPr>
  </w:style>
  <w:style w:type="table" w:customStyle="1" w:styleId="44">
    <w:name w:val="44"/>
    <w:basedOn w:val="TableNormal16"/>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43"/>
    <w:basedOn w:val="TableNormal20"/>
    <w:tblPr>
      <w:tblStyleRowBandSize w:val="1"/>
      <w:tblStyleColBandSize w:val="1"/>
      <w:tblCellMar>
        <w:left w:w="115" w:type="dxa"/>
        <w:right w:w="115" w:type="dxa"/>
      </w:tblCellMar>
    </w:tblPr>
  </w:style>
  <w:style w:type="table" w:customStyle="1" w:styleId="42">
    <w:name w:val="42"/>
    <w:basedOn w:val="TableNormal2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41">
    <w:name w:val="41"/>
    <w:basedOn w:val="TableNormal30"/>
    <w:tblPr>
      <w:tblStyleRowBandSize w:val="1"/>
      <w:tblStyleColBandSize w:val="1"/>
      <w:tblCellMar>
        <w:left w:w="108" w:type="dxa"/>
        <w:right w:w="108" w:type="dxa"/>
      </w:tblCellMar>
    </w:tblPr>
  </w:style>
  <w:style w:type="table" w:customStyle="1" w:styleId="40">
    <w:name w:val="40"/>
    <w:basedOn w:val="TableNormal30"/>
    <w:tblPr>
      <w:tblStyleRowBandSize w:val="1"/>
      <w:tblStyleColBandSize w:val="1"/>
      <w:tblCellMar>
        <w:left w:w="108" w:type="dxa"/>
        <w:right w:w="108" w:type="dxa"/>
      </w:tblCellMar>
    </w:tblPr>
  </w:style>
  <w:style w:type="table" w:customStyle="1" w:styleId="39">
    <w:name w:val="39"/>
    <w:basedOn w:val="TableNormal30"/>
    <w:tblPr>
      <w:tblStyleRowBandSize w:val="1"/>
      <w:tblStyleColBandSize w:val="1"/>
      <w:tblCellMar>
        <w:left w:w="108" w:type="dxa"/>
        <w:right w:w="108" w:type="dxa"/>
      </w:tblCellMar>
    </w:tblPr>
  </w:style>
  <w:style w:type="table" w:customStyle="1" w:styleId="38">
    <w:name w:val="38"/>
    <w:basedOn w:val="TableNormal30"/>
    <w:tblPr>
      <w:tblStyleRowBandSize w:val="1"/>
      <w:tblStyleColBandSize w:val="1"/>
      <w:tblCellMar>
        <w:left w:w="108" w:type="dxa"/>
        <w:right w:w="108" w:type="dxa"/>
      </w:tblCellMar>
    </w:tblPr>
  </w:style>
  <w:style w:type="table" w:customStyle="1" w:styleId="37">
    <w:name w:val="37"/>
    <w:basedOn w:val="TableNormal30"/>
    <w:tblPr>
      <w:tblStyleRowBandSize w:val="1"/>
      <w:tblStyleColBandSize w:val="1"/>
      <w:tblCellMar>
        <w:left w:w="108" w:type="dxa"/>
        <w:right w:w="108" w:type="dxa"/>
      </w:tblCellMar>
    </w:tblPr>
  </w:style>
  <w:style w:type="table" w:customStyle="1" w:styleId="36">
    <w:name w:val="36"/>
    <w:basedOn w:val="TableNormal30"/>
    <w:tblPr>
      <w:tblStyleRowBandSize w:val="1"/>
      <w:tblStyleColBandSize w:val="1"/>
      <w:tblCellMar>
        <w:left w:w="115" w:type="dxa"/>
        <w:right w:w="115" w:type="dxa"/>
      </w:tblCellMar>
    </w:tblPr>
  </w:style>
  <w:style w:type="table" w:customStyle="1" w:styleId="35">
    <w:name w:val="35"/>
    <w:basedOn w:val="TableNormal30"/>
    <w:tblPr>
      <w:tblStyleRowBandSize w:val="1"/>
      <w:tblStyleColBandSize w:val="1"/>
      <w:tblCellMar>
        <w:left w:w="115" w:type="dxa"/>
        <w:right w:w="115" w:type="dxa"/>
      </w:tblCellMar>
    </w:tblPr>
  </w:style>
  <w:style w:type="table" w:customStyle="1" w:styleId="34">
    <w:name w:val="34"/>
    <w:basedOn w:val="TableNormal4"/>
    <w:tblPr>
      <w:tblStyleRowBandSize w:val="1"/>
      <w:tblStyleColBandSize w:val="1"/>
      <w:tblCellMar>
        <w:left w:w="108" w:type="dxa"/>
        <w:right w:w="108" w:type="dxa"/>
      </w:tblCellMar>
    </w:tblPr>
  </w:style>
  <w:style w:type="table" w:customStyle="1" w:styleId="33">
    <w:name w:val="33"/>
    <w:basedOn w:val="TableNormal4"/>
    <w:tblPr>
      <w:tblStyleRowBandSize w:val="1"/>
      <w:tblStyleColBandSize w:val="1"/>
      <w:tblCellMar>
        <w:left w:w="115" w:type="dxa"/>
        <w:right w:w="115" w:type="dxa"/>
      </w:tblCellMar>
    </w:tblPr>
  </w:style>
  <w:style w:type="table" w:customStyle="1" w:styleId="32">
    <w:name w:val="32"/>
    <w:basedOn w:val="TableNormal4"/>
    <w:tblPr>
      <w:tblStyleRowBandSize w:val="1"/>
      <w:tblStyleColBandSize w:val="1"/>
      <w:tblCellMar>
        <w:left w:w="115" w:type="dxa"/>
        <w:right w:w="115" w:type="dxa"/>
      </w:tblCellMar>
    </w:tblPr>
  </w:style>
  <w:style w:type="table" w:customStyle="1" w:styleId="31">
    <w:name w:val="31"/>
    <w:basedOn w:val="TableNormal5"/>
    <w:tblPr>
      <w:tblStyleRowBandSize w:val="1"/>
      <w:tblStyleColBandSize w:val="1"/>
      <w:tblCellMar>
        <w:left w:w="115" w:type="dxa"/>
        <w:right w:w="115" w:type="dxa"/>
      </w:tblCellMar>
    </w:tblPr>
  </w:style>
  <w:style w:type="table" w:customStyle="1" w:styleId="30">
    <w:name w:val="30"/>
    <w:basedOn w:val="TableNormal5"/>
    <w:tblPr>
      <w:tblStyleRowBandSize w:val="1"/>
      <w:tblStyleColBandSize w:val="1"/>
      <w:tblCellMar>
        <w:left w:w="115" w:type="dxa"/>
        <w:right w:w="115" w:type="dxa"/>
      </w:tblCellMar>
    </w:tblPr>
  </w:style>
  <w:style w:type="table" w:customStyle="1" w:styleId="29">
    <w:name w:val="29"/>
    <w:basedOn w:val="TableNormal5"/>
    <w:tblPr>
      <w:tblStyleRowBandSize w:val="1"/>
      <w:tblStyleColBandSize w:val="1"/>
      <w:tblCellMar>
        <w:left w:w="115" w:type="dxa"/>
        <w:right w:w="115" w:type="dxa"/>
      </w:tblCellMar>
    </w:tblPr>
  </w:style>
  <w:style w:type="table" w:customStyle="1" w:styleId="28">
    <w:name w:val="28"/>
    <w:basedOn w:val="TableNormal6"/>
    <w:tblPr>
      <w:tblStyleRowBandSize w:val="1"/>
      <w:tblStyleColBandSize w:val="1"/>
      <w:tblCellMar>
        <w:left w:w="115" w:type="dxa"/>
        <w:right w:w="115" w:type="dxa"/>
      </w:tblCellMar>
    </w:tblPr>
  </w:style>
  <w:style w:type="table" w:customStyle="1" w:styleId="27">
    <w:name w:val="27"/>
    <w:basedOn w:val="TableNormal6"/>
    <w:tblPr>
      <w:tblStyleRowBandSize w:val="1"/>
      <w:tblStyleColBandSize w:val="1"/>
      <w:tblCellMar>
        <w:left w:w="115" w:type="dxa"/>
        <w:right w:w="115" w:type="dxa"/>
      </w:tblCellMar>
    </w:tblPr>
  </w:style>
  <w:style w:type="table" w:customStyle="1" w:styleId="26">
    <w:name w:val="26"/>
    <w:basedOn w:val="TableNormal7"/>
    <w:tblPr>
      <w:tblStyleRowBandSize w:val="1"/>
      <w:tblStyleColBandSize w:val="1"/>
      <w:tblCellMar>
        <w:left w:w="115" w:type="dxa"/>
        <w:right w:w="115" w:type="dxa"/>
      </w:tblCellMar>
    </w:tblPr>
  </w:style>
  <w:style w:type="table" w:customStyle="1" w:styleId="25">
    <w:name w:val="25"/>
    <w:basedOn w:val="TableNormal7"/>
    <w:tblPr>
      <w:tblStyleRowBandSize w:val="1"/>
      <w:tblStyleColBandSize w:val="1"/>
      <w:tblCellMar>
        <w:left w:w="115" w:type="dxa"/>
        <w:right w:w="115" w:type="dxa"/>
      </w:tblCellMar>
    </w:tblPr>
  </w:style>
  <w:style w:type="table" w:customStyle="1" w:styleId="24">
    <w:name w:val="24"/>
    <w:basedOn w:val="TableNormal8"/>
    <w:tblPr>
      <w:tblStyleRowBandSize w:val="1"/>
      <w:tblStyleColBandSize w:val="1"/>
      <w:tblCellMar>
        <w:left w:w="115" w:type="dxa"/>
        <w:right w:w="115" w:type="dxa"/>
      </w:tblCellMar>
    </w:tblPr>
  </w:style>
  <w:style w:type="table" w:customStyle="1" w:styleId="23">
    <w:name w:val="23"/>
    <w:basedOn w:val="TableNormal8"/>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20">
    <w:name w:val="20"/>
    <w:basedOn w:val="TableNormal10"/>
    <w:tblPr>
      <w:tblStyleRowBandSize w:val="1"/>
      <w:tblStyleColBandSize w:val="1"/>
      <w:tblCellMar>
        <w:left w:w="115" w:type="dxa"/>
        <w:right w:w="115" w:type="dxa"/>
      </w:tblCellMar>
    </w:tblPr>
  </w:style>
  <w:style w:type="table" w:customStyle="1" w:styleId="19">
    <w:name w:val="19"/>
    <w:basedOn w:val="TableNormal10"/>
    <w:tblPr>
      <w:tblStyleRowBandSize w:val="1"/>
      <w:tblStyleColBandSize w:val="1"/>
      <w:tblCellMar>
        <w:left w:w="115" w:type="dxa"/>
        <w:right w:w="115" w:type="dxa"/>
      </w:tblCellMar>
    </w:tblPr>
  </w:style>
  <w:style w:type="table" w:customStyle="1" w:styleId="18">
    <w:name w:val="18"/>
    <w:basedOn w:val="TableNormal11"/>
    <w:tblPr>
      <w:tblStyleRowBandSize w:val="1"/>
      <w:tblStyleColBandSize w:val="1"/>
      <w:tblCellMar>
        <w:left w:w="115" w:type="dxa"/>
        <w:right w:w="115" w:type="dxa"/>
      </w:tblCellMar>
    </w:tblPr>
  </w:style>
  <w:style w:type="table" w:customStyle="1" w:styleId="17">
    <w:name w:val="17"/>
    <w:basedOn w:val="TableNormal11"/>
    <w:tblPr>
      <w:tblStyleRowBandSize w:val="1"/>
      <w:tblStyleColBandSize w:val="1"/>
      <w:tblCellMar>
        <w:left w:w="115" w:type="dxa"/>
        <w:right w:w="115" w:type="dxa"/>
      </w:tblCellMar>
    </w:tblPr>
  </w:style>
  <w:style w:type="table" w:customStyle="1" w:styleId="16">
    <w:name w:val="16"/>
    <w:basedOn w:val="TableNormal12"/>
    <w:tblPr>
      <w:tblStyleRowBandSize w:val="1"/>
      <w:tblStyleColBandSize w:val="1"/>
      <w:tblCellMar>
        <w:left w:w="115" w:type="dxa"/>
        <w:right w:w="115" w:type="dxa"/>
      </w:tblCellMar>
    </w:tblPr>
  </w:style>
  <w:style w:type="table" w:customStyle="1" w:styleId="15">
    <w:name w:val="15"/>
    <w:basedOn w:val="TableNormal12"/>
    <w:tblPr>
      <w:tblStyleRowBandSize w:val="1"/>
      <w:tblStyleColBandSize w:val="1"/>
      <w:tblCellMar>
        <w:left w:w="115" w:type="dxa"/>
        <w:right w:w="115" w:type="dxa"/>
      </w:tblCellMar>
    </w:tblPr>
  </w:style>
  <w:style w:type="table" w:customStyle="1" w:styleId="14">
    <w:name w:val="14"/>
    <w:basedOn w:val="TableNormal13"/>
    <w:tblPr>
      <w:tblStyleRowBandSize w:val="1"/>
      <w:tblStyleColBandSize w:val="1"/>
      <w:tblCellMar>
        <w:left w:w="115" w:type="dxa"/>
        <w:right w:w="115" w:type="dxa"/>
      </w:tblCellMar>
    </w:tblPr>
  </w:style>
  <w:style w:type="table" w:customStyle="1" w:styleId="13">
    <w:name w:val="13"/>
    <w:basedOn w:val="TableNormal13"/>
    <w:tblPr>
      <w:tblStyleRowBandSize w:val="1"/>
      <w:tblStyleColBandSize w:val="1"/>
      <w:tblCellMar>
        <w:left w:w="115" w:type="dxa"/>
        <w:right w:w="115" w:type="dxa"/>
      </w:tblCellMar>
    </w:tblPr>
  </w:style>
  <w:style w:type="table" w:customStyle="1" w:styleId="12">
    <w:name w:val="12"/>
    <w:basedOn w:val="TableNormal14"/>
    <w:tblPr>
      <w:tblStyleRowBandSize w:val="1"/>
      <w:tblStyleColBandSize w:val="1"/>
      <w:tblCellMar>
        <w:left w:w="115" w:type="dxa"/>
        <w:right w:w="115" w:type="dxa"/>
      </w:tblCellMar>
    </w:tblPr>
  </w:style>
  <w:style w:type="table" w:customStyle="1" w:styleId="11">
    <w:name w:val="11"/>
    <w:basedOn w:val="TableNormal14"/>
    <w:tblPr>
      <w:tblStyleRowBandSize w:val="1"/>
      <w:tblStyleColBandSize w:val="1"/>
      <w:tblCellMar>
        <w:left w:w="115" w:type="dxa"/>
        <w:right w:w="115" w:type="dxa"/>
      </w:tblCellMar>
    </w:tblPr>
  </w:style>
  <w:style w:type="table" w:customStyle="1" w:styleId="10">
    <w:name w:val="10"/>
    <w:basedOn w:val="TableNormal15"/>
    <w:tblPr>
      <w:tblStyleRowBandSize w:val="1"/>
      <w:tblStyleColBandSize w:val="1"/>
      <w:tblCellMar>
        <w:left w:w="115" w:type="dxa"/>
        <w:right w:w="115" w:type="dxa"/>
      </w:tblCellMar>
    </w:tblPr>
  </w:style>
  <w:style w:type="table" w:customStyle="1" w:styleId="9">
    <w:name w:val="9"/>
    <w:basedOn w:val="TableNormal15"/>
    <w:tblPr>
      <w:tblStyleRowBandSize w:val="1"/>
      <w:tblStyleColBandSize w:val="1"/>
      <w:tblCellMar>
        <w:left w:w="115" w:type="dxa"/>
        <w:right w:w="115" w:type="dxa"/>
      </w:tblCellMar>
    </w:tblPr>
  </w:style>
  <w:style w:type="table" w:customStyle="1" w:styleId="8">
    <w:name w:val="8"/>
    <w:basedOn w:val="TableNormal0"/>
    <w:tblPr>
      <w:tblStyleRowBandSize w:val="1"/>
      <w:tblStyleColBandSize w:val="1"/>
      <w:tblCellMar>
        <w:left w:w="115" w:type="dxa"/>
        <w:right w:w="115" w:type="dxa"/>
      </w:tblCellMar>
    </w:tblPr>
  </w:style>
  <w:style w:type="table" w:customStyle="1" w:styleId="7">
    <w:name w:val="7"/>
    <w:basedOn w:val="TableNormal0"/>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paragraph" w:styleId="Lista">
    <w:name w:val="List"/>
    <w:basedOn w:val="Normal"/>
    <w:uiPriority w:val="99"/>
    <w:unhideWhenUsed/>
    <w:rsid w:val="0076259D"/>
    <w:pPr>
      <w:ind w:left="283" w:hanging="283"/>
      <w:contextualSpacing/>
    </w:pPr>
  </w:style>
  <w:style w:type="paragraph" w:styleId="Lista2">
    <w:name w:val="List 2"/>
    <w:basedOn w:val="Normal"/>
    <w:uiPriority w:val="99"/>
    <w:unhideWhenUsed/>
    <w:rsid w:val="0076259D"/>
    <w:pPr>
      <w:ind w:left="566" w:hanging="283"/>
      <w:contextualSpacing/>
    </w:pPr>
  </w:style>
  <w:style w:type="paragraph" w:styleId="Lista3">
    <w:name w:val="List 3"/>
    <w:basedOn w:val="Normal"/>
    <w:uiPriority w:val="99"/>
    <w:unhideWhenUsed/>
    <w:rsid w:val="0076259D"/>
    <w:pPr>
      <w:ind w:left="849" w:hanging="283"/>
      <w:contextualSpacing/>
    </w:pPr>
  </w:style>
  <w:style w:type="paragraph" w:styleId="Lista4">
    <w:name w:val="List 4"/>
    <w:basedOn w:val="Normal"/>
    <w:uiPriority w:val="99"/>
    <w:unhideWhenUsed/>
    <w:rsid w:val="0076259D"/>
    <w:pPr>
      <w:ind w:left="1132" w:hanging="283"/>
      <w:contextualSpacing/>
    </w:pPr>
  </w:style>
  <w:style w:type="paragraph" w:styleId="Lista5">
    <w:name w:val="List 5"/>
    <w:basedOn w:val="Normal"/>
    <w:uiPriority w:val="99"/>
    <w:unhideWhenUsed/>
    <w:rsid w:val="0076259D"/>
    <w:pPr>
      <w:ind w:left="1415" w:hanging="283"/>
      <w:contextualSpacing/>
    </w:pPr>
  </w:style>
  <w:style w:type="paragraph" w:styleId="Saludo">
    <w:name w:val="Salutation"/>
    <w:basedOn w:val="Normal"/>
    <w:next w:val="Normal"/>
    <w:link w:val="SaludoCar"/>
    <w:uiPriority w:val="99"/>
    <w:unhideWhenUsed/>
    <w:rsid w:val="0076259D"/>
  </w:style>
  <w:style w:type="character" w:customStyle="1" w:styleId="SaludoCar">
    <w:name w:val="Saludo Car"/>
    <w:basedOn w:val="Fuentedeprrafopredeter"/>
    <w:link w:val="Saludo"/>
    <w:uiPriority w:val="99"/>
    <w:rsid w:val="0076259D"/>
  </w:style>
  <w:style w:type="paragraph" w:styleId="Listaconvietas">
    <w:name w:val="List Bullet"/>
    <w:basedOn w:val="Normal"/>
    <w:uiPriority w:val="99"/>
    <w:unhideWhenUsed/>
    <w:rsid w:val="0076259D"/>
    <w:pPr>
      <w:numPr>
        <w:numId w:val="6"/>
      </w:numPr>
      <w:contextualSpacing/>
    </w:pPr>
  </w:style>
  <w:style w:type="paragraph" w:styleId="Listaconvietas2">
    <w:name w:val="List Bullet 2"/>
    <w:basedOn w:val="Normal"/>
    <w:uiPriority w:val="99"/>
    <w:unhideWhenUsed/>
    <w:rsid w:val="0076259D"/>
    <w:pPr>
      <w:numPr>
        <w:numId w:val="7"/>
      </w:numPr>
      <w:contextualSpacing/>
    </w:pPr>
  </w:style>
  <w:style w:type="paragraph" w:styleId="Continuarlista">
    <w:name w:val="List Continue"/>
    <w:basedOn w:val="Normal"/>
    <w:uiPriority w:val="99"/>
    <w:unhideWhenUsed/>
    <w:rsid w:val="0076259D"/>
    <w:pPr>
      <w:spacing w:after="120"/>
      <w:ind w:left="283"/>
      <w:contextualSpacing/>
    </w:pPr>
  </w:style>
  <w:style w:type="paragraph" w:styleId="Textoindependiente">
    <w:name w:val="Body Text"/>
    <w:basedOn w:val="Normal"/>
    <w:link w:val="TextoindependienteCar"/>
    <w:uiPriority w:val="99"/>
    <w:unhideWhenUsed/>
    <w:rsid w:val="0076259D"/>
    <w:pPr>
      <w:spacing w:after="120"/>
    </w:pPr>
  </w:style>
  <w:style w:type="character" w:customStyle="1" w:styleId="TextoindependienteCar">
    <w:name w:val="Texto independiente Car"/>
    <w:basedOn w:val="Fuentedeprrafopredeter"/>
    <w:link w:val="Textoindependiente"/>
    <w:uiPriority w:val="99"/>
    <w:rsid w:val="0076259D"/>
  </w:style>
  <w:style w:type="paragraph" w:styleId="Sangradetextonormal">
    <w:name w:val="Body Text Indent"/>
    <w:basedOn w:val="Normal"/>
    <w:link w:val="SangradetextonormalCar"/>
    <w:uiPriority w:val="99"/>
    <w:unhideWhenUsed/>
    <w:rsid w:val="0076259D"/>
    <w:pPr>
      <w:spacing w:after="120"/>
      <w:ind w:left="283"/>
    </w:pPr>
  </w:style>
  <w:style w:type="character" w:customStyle="1" w:styleId="SangradetextonormalCar">
    <w:name w:val="Sangría de texto normal Car"/>
    <w:basedOn w:val="Fuentedeprrafopredeter"/>
    <w:link w:val="Sangradetextonormal"/>
    <w:uiPriority w:val="99"/>
    <w:rsid w:val="0076259D"/>
  </w:style>
  <w:style w:type="paragraph" w:styleId="Textoindependienteprimerasangra2">
    <w:name w:val="Body Text First Indent 2"/>
    <w:basedOn w:val="Sangradetextonormal"/>
    <w:link w:val="Textoindependienteprimerasangra2Car"/>
    <w:uiPriority w:val="99"/>
    <w:unhideWhenUsed/>
    <w:rsid w:val="0076259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6259D"/>
  </w:style>
  <w:style w:type="character" w:customStyle="1" w:styleId="Mencinsinresolver3">
    <w:name w:val="Mención sin resolver3"/>
    <w:basedOn w:val="Fuentedeprrafopredeter"/>
    <w:uiPriority w:val="99"/>
    <w:semiHidden/>
    <w:unhideWhenUsed/>
    <w:rsid w:val="00C90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094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UmA8CbdtqGPvZMvoJJm3uf21g==">CgMxLjAyCWguM3JkY3JqbjIOaC5kYWozajJ4bzZxNjYyCGguZ2pkZ3hzMgloLjNkeTZ2a20yCWguMzBqMHpsbDIJaC4yczhleW8xMghoLnR5amN3dDIJaC4yZXQ5MnAwMgloLjI2aW4xcmcyCWguMTdkcDh2dTIIaC5sbnhiejk4AHIhMUpERlNuZGw5LUV0aHkyYUNyYlJzTExMdi1WQTkzblFP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10787</Words>
  <Characters>59333</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Villagómez Martínez</cp:lastModifiedBy>
  <cp:revision>2</cp:revision>
  <cp:lastPrinted>2026-01-15T18:40:00Z</cp:lastPrinted>
  <dcterms:created xsi:type="dcterms:W3CDTF">2026-03-18T18:46:00Z</dcterms:created>
  <dcterms:modified xsi:type="dcterms:W3CDTF">2026-03-18T18:46:00Z</dcterms:modified>
</cp:coreProperties>
</file>