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FF68A" w14:textId="77777777" w:rsidR="00A25DE6" w:rsidRPr="002B4FB6" w:rsidRDefault="0029535C" w:rsidP="00A25DE6">
      <w:pPr>
        <w:spacing w:line="360" w:lineRule="auto"/>
        <w:ind w:left="-142"/>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A25DE6" w:rsidRPr="002B4FB6">
        <w:rPr>
          <w:rFonts w:ascii="Palatino Linotype" w:eastAsia="Palatino Linotype" w:hAnsi="Palatino Linotype" w:cs="Palatino Linotype"/>
          <w:sz w:val="22"/>
          <w:szCs w:val="22"/>
        </w:rPr>
        <w:t xml:space="preserve">catorce de enero de dos mil veintiséis. </w:t>
      </w:r>
      <w:bookmarkStart w:id="0" w:name="_heading=h.daj3j2xo6q66" w:colFirst="0" w:colLast="0"/>
      <w:bookmarkEnd w:id="0"/>
    </w:p>
    <w:p w14:paraId="32BDB393" w14:textId="77777777" w:rsidR="00A25DE6" w:rsidRPr="002B4FB6" w:rsidRDefault="00A25DE6" w:rsidP="00A25DE6">
      <w:pPr>
        <w:spacing w:line="360" w:lineRule="auto"/>
        <w:ind w:left="-142"/>
        <w:jc w:val="both"/>
        <w:rPr>
          <w:rFonts w:ascii="Palatino Linotype" w:eastAsia="Palatino Linotype" w:hAnsi="Palatino Linotype" w:cs="Palatino Linotype"/>
          <w:sz w:val="22"/>
          <w:szCs w:val="22"/>
        </w:rPr>
      </w:pPr>
    </w:p>
    <w:p w14:paraId="5E09E9ED" w14:textId="7AA1F840" w:rsidR="000710B6" w:rsidRPr="002B4FB6" w:rsidRDefault="0029535C" w:rsidP="00A25DE6">
      <w:pPr>
        <w:spacing w:line="360" w:lineRule="auto"/>
        <w:ind w:left="-142"/>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VISTO</w:t>
      </w:r>
      <w:r w:rsidRPr="002B4FB6">
        <w:rPr>
          <w:rFonts w:ascii="Palatino Linotype" w:eastAsia="Palatino Linotype" w:hAnsi="Palatino Linotype" w:cs="Palatino Linotype"/>
          <w:sz w:val="22"/>
          <w:szCs w:val="22"/>
        </w:rPr>
        <w:t xml:space="preserve"> el expediente formado con motivo del recurso de revisión </w:t>
      </w:r>
      <w:r w:rsidRPr="002B4FB6">
        <w:rPr>
          <w:rFonts w:ascii="Palatino Linotype" w:eastAsia="Palatino Linotype" w:hAnsi="Palatino Linotype" w:cs="Palatino Linotype"/>
          <w:b/>
          <w:sz w:val="22"/>
          <w:szCs w:val="22"/>
        </w:rPr>
        <w:t>0</w:t>
      </w:r>
      <w:r w:rsidR="00466710" w:rsidRPr="002B4FB6">
        <w:rPr>
          <w:rFonts w:ascii="Palatino Linotype" w:eastAsia="Palatino Linotype" w:hAnsi="Palatino Linotype" w:cs="Palatino Linotype"/>
          <w:b/>
          <w:sz w:val="22"/>
          <w:szCs w:val="22"/>
        </w:rPr>
        <w:t>7989</w:t>
      </w:r>
      <w:r w:rsidRPr="002B4FB6">
        <w:rPr>
          <w:rFonts w:ascii="Palatino Linotype" w:eastAsia="Palatino Linotype" w:hAnsi="Palatino Linotype" w:cs="Palatino Linotype"/>
          <w:b/>
          <w:sz w:val="22"/>
          <w:szCs w:val="22"/>
        </w:rPr>
        <w:t>/INFOEM/IP/RR/2025</w:t>
      </w:r>
      <w:r w:rsidRPr="002B4FB6">
        <w:rPr>
          <w:rFonts w:ascii="Palatino Linotype" w:eastAsia="Palatino Linotype" w:hAnsi="Palatino Linotype" w:cs="Palatino Linotype"/>
          <w:sz w:val="22"/>
          <w:szCs w:val="22"/>
        </w:rPr>
        <w:t xml:space="preserve">, interpuesto por </w:t>
      </w:r>
      <w:r w:rsidRPr="002B4FB6">
        <w:rPr>
          <w:rFonts w:ascii="Palatino Linotype" w:eastAsia="Palatino Linotype" w:hAnsi="Palatino Linotype" w:cs="Palatino Linotype"/>
          <w:b/>
          <w:sz w:val="22"/>
          <w:szCs w:val="22"/>
        </w:rPr>
        <w:t>una persona que no proporcionó nombre o seudónimo,</w:t>
      </w:r>
      <w:r w:rsidRPr="002B4FB6">
        <w:rPr>
          <w:rFonts w:ascii="Palatino Linotype" w:eastAsia="Palatino Linotype" w:hAnsi="Palatino Linotype" w:cs="Palatino Linotype"/>
          <w:sz w:val="22"/>
          <w:szCs w:val="22"/>
        </w:rPr>
        <w:t xml:space="preserve"> en lo sucesivo</w:t>
      </w:r>
      <w:r w:rsidRPr="002B4FB6">
        <w:rPr>
          <w:rFonts w:ascii="Palatino Linotype" w:eastAsia="Palatino Linotype" w:hAnsi="Palatino Linotype" w:cs="Palatino Linotype"/>
          <w:b/>
          <w:sz w:val="22"/>
          <w:szCs w:val="22"/>
        </w:rPr>
        <w:t xml:space="preserve"> </w:t>
      </w:r>
      <w:r w:rsidRPr="002B4FB6">
        <w:rPr>
          <w:rFonts w:ascii="Palatino Linotype" w:eastAsia="Palatino Linotype" w:hAnsi="Palatino Linotype" w:cs="Palatino Linotype"/>
          <w:sz w:val="22"/>
          <w:szCs w:val="22"/>
        </w:rPr>
        <w:t xml:space="preserve">la parte </w:t>
      </w:r>
      <w:r w:rsidRPr="002B4FB6">
        <w:rPr>
          <w:rFonts w:ascii="Palatino Linotype" w:eastAsia="Palatino Linotype" w:hAnsi="Palatino Linotype" w:cs="Palatino Linotype"/>
          <w:b/>
          <w:sz w:val="22"/>
          <w:szCs w:val="22"/>
        </w:rPr>
        <w:t>Recurrente,</w:t>
      </w:r>
      <w:r w:rsidRPr="002B4FB6">
        <w:rPr>
          <w:rFonts w:ascii="Palatino Linotype" w:eastAsia="Palatino Linotype" w:hAnsi="Palatino Linotype" w:cs="Palatino Linotype"/>
          <w:sz w:val="22"/>
          <w:szCs w:val="22"/>
        </w:rPr>
        <w:t xml:space="preserve"> en contra de la respuesta a la solicitud de información con número de folio</w:t>
      </w:r>
      <w:r w:rsidRPr="002B4FB6">
        <w:rPr>
          <w:rFonts w:ascii="Palatino Linotype" w:eastAsia="Palatino Linotype" w:hAnsi="Palatino Linotype" w:cs="Palatino Linotype"/>
          <w:b/>
          <w:sz w:val="22"/>
          <w:szCs w:val="22"/>
        </w:rPr>
        <w:t xml:space="preserve"> </w:t>
      </w:r>
      <w:r w:rsidR="00466710" w:rsidRPr="002B4FB6">
        <w:rPr>
          <w:rFonts w:ascii="Palatino Linotype" w:eastAsia="Palatino Linotype" w:hAnsi="Palatino Linotype" w:cs="Palatino Linotype"/>
          <w:b/>
          <w:sz w:val="22"/>
          <w:szCs w:val="22"/>
        </w:rPr>
        <w:t>00439/ZINACANT/IP/2025</w:t>
      </w:r>
      <w:r w:rsidRPr="002B4FB6">
        <w:rPr>
          <w:rFonts w:ascii="Palatino Linotype" w:eastAsia="Palatino Linotype" w:hAnsi="Palatino Linotype" w:cs="Palatino Linotype"/>
          <w:b/>
          <w:sz w:val="22"/>
          <w:szCs w:val="22"/>
        </w:rPr>
        <w:t xml:space="preserve">, </w:t>
      </w:r>
      <w:r w:rsidRPr="002B4FB6">
        <w:rPr>
          <w:rFonts w:ascii="Palatino Linotype" w:eastAsia="Palatino Linotype" w:hAnsi="Palatino Linotype" w:cs="Palatino Linotype"/>
          <w:sz w:val="22"/>
          <w:szCs w:val="22"/>
        </w:rPr>
        <w:t xml:space="preserve">por parte del </w:t>
      </w:r>
      <w:r w:rsidRPr="002B4FB6">
        <w:rPr>
          <w:rFonts w:ascii="Palatino Linotype" w:eastAsia="Palatino Linotype" w:hAnsi="Palatino Linotype" w:cs="Palatino Linotype"/>
          <w:b/>
          <w:sz w:val="22"/>
          <w:szCs w:val="22"/>
        </w:rPr>
        <w:t xml:space="preserve">Ayuntamiento de Zinacantepec, </w:t>
      </w:r>
      <w:r w:rsidRPr="002B4FB6">
        <w:rPr>
          <w:rFonts w:ascii="Palatino Linotype" w:eastAsia="Palatino Linotype" w:hAnsi="Palatino Linotype" w:cs="Palatino Linotype"/>
          <w:sz w:val="22"/>
          <w:szCs w:val="22"/>
        </w:rPr>
        <w:t xml:space="preserve">en lo sucesivo 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 xml:space="preserve">se procede a dictar la presente resolución con base en los siguientes: </w:t>
      </w:r>
    </w:p>
    <w:p w14:paraId="3D60008A" w14:textId="77777777" w:rsidR="000710B6" w:rsidRPr="002B4FB6" w:rsidRDefault="0029535C">
      <w:pPr>
        <w:spacing w:before="240" w:after="240" w:line="360" w:lineRule="auto"/>
        <w:jc w:val="center"/>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I. A N T E C E D E N T E S</w:t>
      </w:r>
    </w:p>
    <w:p w14:paraId="27018700"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bookmarkStart w:id="1" w:name="_heading=h.gjdgxs" w:colFirst="0" w:colLast="0"/>
      <w:bookmarkEnd w:id="1"/>
      <w:r w:rsidRPr="002B4FB6">
        <w:rPr>
          <w:rFonts w:ascii="Palatino Linotype" w:eastAsia="Palatino Linotype" w:hAnsi="Palatino Linotype" w:cs="Palatino Linotype"/>
          <w:b/>
          <w:sz w:val="22"/>
          <w:szCs w:val="22"/>
        </w:rPr>
        <w:t>1. Solicitud de acceso a la información.</w:t>
      </w:r>
      <w:r w:rsidRPr="002B4FB6">
        <w:rPr>
          <w:rFonts w:ascii="Palatino Linotype" w:eastAsia="Palatino Linotype" w:hAnsi="Palatino Linotype" w:cs="Palatino Linotype"/>
          <w:sz w:val="22"/>
          <w:szCs w:val="22"/>
        </w:rPr>
        <w:t xml:space="preserve"> El </w:t>
      </w:r>
      <w:r w:rsidR="00466710" w:rsidRPr="002B4FB6">
        <w:rPr>
          <w:rFonts w:ascii="Palatino Linotype" w:eastAsia="Palatino Linotype" w:hAnsi="Palatino Linotype" w:cs="Palatino Linotype"/>
          <w:b/>
          <w:sz w:val="22"/>
          <w:szCs w:val="22"/>
        </w:rPr>
        <w:t>nueve de junio</w:t>
      </w:r>
      <w:r w:rsidRPr="002B4FB6">
        <w:rPr>
          <w:rFonts w:ascii="Palatino Linotype" w:eastAsia="Palatino Linotype" w:hAnsi="Palatino Linotype" w:cs="Palatino Linotype"/>
          <w:b/>
          <w:sz w:val="22"/>
          <w:szCs w:val="22"/>
        </w:rPr>
        <w:t xml:space="preserve"> de dos mil veinticinco,</w:t>
      </w:r>
      <w:r w:rsidRPr="002B4FB6">
        <w:rPr>
          <w:rFonts w:ascii="Palatino Linotype" w:eastAsia="Palatino Linotype" w:hAnsi="Palatino Linotype" w:cs="Palatino Linotype"/>
          <w:sz w:val="22"/>
          <w:szCs w:val="22"/>
        </w:rPr>
        <w:t xml:space="preserve"> la parte </w:t>
      </w:r>
      <w:r w:rsidRPr="002B4FB6">
        <w:rPr>
          <w:rFonts w:ascii="Palatino Linotype" w:eastAsia="Palatino Linotype" w:hAnsi="Palatino Linotype" w:cs="Palatino Linotype"/>
          <w:b/>
          <w:sz w:val="22"/>
          <w:szCs w:val="22"/>
        </w:rPr>
        <w:t xml:space="preserve">Recurrente </w:t>
      </w:r>
      <w:r w:rsidRPr="002B4FB6">
        <w:rPr>
          <w:rFonts w:ascii="Palatino Linotype" w:eastAsia="Palatino Linotype" w:hAnsi="Palatino Linotype" w:cs="Palatino Linotype"/>
          <w:sz w:val="22"/>
          <w:szCs w:val="22"/>
        </w:rPr>
        <w:t xml:space="preserve">presentó la solicitud de acceso a la información pública ante 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a través del Sistema de Acceso a la Información Mexiquense, en lo subsecuente el </w:t>
      </w:r>
      <w:r w:rsidRPr="002B4FB6">
        <w:rPr>
          <w:rFonts w:ascii="Palatino Linotype" w:eastAsia="Palatino Linotype" w:hAnsi="Palatino Linotype" w:cs="Palatino Linotype"/>
          <w:b/>
          <w:sz w:val="22"/>
          <w:szCs w:val="22"/>
        </w:rPr>
        <w:t>SAIMEX,</w:t>
      </w:r>
      <w:r w:rsidRPr="002B4FB6">
        <w:rPr>
          <w:rFonts w:ascii="Palatino Linotype" w:eastAsia="Palatino Linotype" w:hAnsi="Palatino Linotype" w:cs="Palatino Linotype"/>
          <w:sz w:val="22"/>
          <w:szCs w:val="22"/>
        </w:rPr>
        <w:t xml:space="preserve"> mediante la cual requirió lo siguiente:</w:t>
      </w:r>
    </w:p>
    <w:p w14:paraId="00A4CED0" w14:textId="77777777" w:rsidR="000710B6" w:rsidRPr="002B4FB6" w:rsidRDefault="0029535C">
      <w:pPr>
        <w:spacing w:before="120" w:after="120"/>
        <w:ind w:left="851" w:right="902"/>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w:t>
      </w:r>
      <w:r w:rsidR="00466710" w:rsidRPr="002B4FB6">
        <w:rPr>
          <w:rFonts w:ascii="Palatino Linotype" w:eastAsia="Palatino Linotype" w:hAnsi="Palatino Linotype" w:cs="Palatino Linotype"/>
          <w:i/>
          <w:sz w:val="22"/>
          <w:szCs w:val="22"/>
        </w:rPr>
        <w:t>Solicito el padron catastral actualizado a la fecha de mi solicitud</w:t>
      </w:r>
      <w:r w:rsidRPr="002B4FB6">
        <w:rPr>
          <w:rFonts w:ascii="Palatino Linotype" w:eastAsia="Palatino Linotype" w:hAnsi="Palatino Linotype" w:cs="Palatino Linotype"/>
          <w:b/>
          <w:i/>
          <w:sz w:val="22"/>
          <w:szCs w:val="22"/>
        </w:rPr>
        <w:t>.”</w:t>
      </w:r>
      <w:r w:rsidRPr="002B4FB6">
        <w:rPr>
          <w:rFonts w:ascii="Palatino Linotype" w:eastAsia="Palatino Linotype" w:hAnsi="Palatino Linotype" w:cs="Palatino Linotype"/>
          <w:i/>
          <w:sz w:val="22"/>
          <w:szCs w:val="22"/>
        </w:rPr>
        <w:t xml:space="preserve"> (sic) </w:t>
      </w:r>
    </w:p>
    <w:p w14:paraId="4D9EC3CC"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2B4FB6">
        <w:rPr>
          <w:rFonts w:ascii="Palatino Linotype" w:eastAsia="Palatino Linotype" w:hAnsi="Palatino Linotype" w:cs="Palatino Linotype"/>
          <w:b/>
          <w:sz w:val="22"/>
          <w:szCs w:val="22"/>
        </w:rPr>
        <w:t>Modalidad de Entrega:</w:t>
      </w:r>
      <w:r w:rsidRPr="002B4FB6">
        <w:rPr>
          <w:rFonts w:ascii="Palatino Linotype" w:eastAsia="Palatino Linotype" w:hAnsi="Palatino Linotype" w:cs="Palatino Linotype"/>
          <w:sz w:val="22"/>
          <w:szCs w:val="22"/>
        </w:rPr>
        <w:t xml:space="preserve"> a través del</w:t>
      </w:r>
      <w:r w:rsidRPr="002B4FB6">
        <w:rPr>
          <w:rFonts w:ascii="Palatino Linotype" w:eastAsia="Palatino Linotype" w:hAnsi="Palatino Linotype" w:cs="Palatino Linotype"/>
          <w:b/>
          <w:sz w:val="22"/>
          <w:szCs w:val="22"/>
        </w:rPr>
        <w:t xml:space="preserve"> SAIMEX.</w:t>
      </w:r>
    </w:p>
    <w:p w14:paraId="5ECA58D4"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 xml:space="preserve">2. Respuesta. </w:t>
      </w:r>
      <w:r w:rsidRPr="002B4FB6">
        <w:rPr>
          <w:rFonts w:ascii="Palatino Linotype" w:eastAsia="Palatino Linotype" w:hAnsi="Palatino Linotype" w:cs="Palatino Linotype"/>
          <w:sz w:val="22"/>
          <w:szCs w:val="22"/>
        </w:rPr>
        <w:t xml:space="preserve">El </w:t>
      </w:r>
      <w:r w:rsidR="00466710" w:rsidRPr="002B4FB6">
        <w:rPr>
          <w:rFonts w:ascii="Palatino Linotype" w:eastAsia="Palatino Linotype" w:hAnsi="Palatino Linotype" w:cs="Palatino Linotype"/>
          <w:b/>
          <w:sz w:val="22"/>
          <w:szCs w:val="22"/>
        </w:rPr>
        <w:t>treinta de junio</w:t>
      </w:r>
      <w:r w:rsidRPr="002B4FB6">
        <w:rPr>
          <w:rFonts w:ascii="Palatino Linotype" w:eastAsia="Palatino Linotype" w:hAnsi="Palatino Linotype" w:cs="Palatino Linotype"/>
          <w:b/>
          <w:sz w:val="22"/>
          <w:szCs w:val="22"/>
        </w:rPr>
        <w:t xml:space="preserve"> de dos mil veinticinco,</w:t>
      </w:r>
      <w:r w:rsidRPr="002B4FB6">
        <w:rPr>
          <w:rFonts w:ascii="Palatino Linotype" w:eastAsia="Palatino Linotype" w:hAnsi="Palatino Linotype" w:cs="Palatino Linotype"/>
          <w:sz w:val="22"/>
          <w:szCs w:val="22"/>
        </w:rPr>
        <w:t xml:space="preserve"> 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13BE9BA7" w14:textId="77777777" w:rsidR="000710B6" w:rsidRPr="002B4FB6" w:rsidRDefault="0029535C">
      <w:pPr>
        <w:spacing w:before="240" w:after="24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“…En apego a lo establecido su solicitud fue analizada y turnada a las áreas poseedoras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w:t>
      </w:r>
      <w:r w:rsidRPr="002B4FB6">
        <w:rPr>
          <w:rFonts w:ascii="Palatino Linotype" w:eastAsia="Palatino Linotype" w:hAnsi="Palatino Linotype" w:cs="Palatino Linotype"/>
          <w:i/>
          <w:sz w:val="22"/>
          <w:szCs w:val="22"/>
        </w:rPr>
        <w:lastRenderedPageBreak/>
        <w:t>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w:t>
      </w:r>
      <w:r w:rsidR="00466710" w:rsidRPr="002B4FB6">
        <w:rPr>
          <w:rFonts w:ascii="Palatino Linotype" w:eastAsia="Palatino Linotype" w:hAnsi="Palatino Linotype" w:cs="Palatino Linotype"/>
          <w:i/>
          <w:sz w:val="22"/>
          <w:szCs w:val="22"/>
        </w:rPr>
        <w:t>rdenes</w:t>
      </w:r>
      <w:r w:rsidRPr="002B4FB6">
        <w:rPr>
          <w:rFonts w:ascii="Palatino Linotype" w:eastAsia="Palatino Linotype" w:hAnsi="Palatino Linotype" w:cs="Palatino Linotype"/>
          <w:i/>
          <w:sz w:val="22"/>
          <w:szCs w:val="22"/>
        </w:rPr>
        <w:t>.” (sic)</w:t>
      </w:r>
    </w:p>
    <w:p w14:paraId="126618F5" w14:textId="77777777" w:rsidR="000710B6" w:rsidRPr="002B4FB6" w:rsidRDefault="0029535C">
      <w:pPr>
        <w:spacing w:before="240" w:after="24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adjuntó lo siguiente:</w:t>
      </w:r>
    </w:p>
    <w:p w14:paraId="1DAFC5CC" w14:textId="4276B062" w:rsidR="005E5927" w:rsidRPr="002B4FB6" w:rsidRDefault="0029535C">
      <w:pPr>
        <w:spacing w:before="240" w:after="24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 </w:t>
      </w:r>
      <w:r w:rsidR="005E5927" w:rsidRPr="002B4FB6">
        <w:rPr>
          <w:rFonts w:ascii="Palatino Linotype" w:eastAsia="Palatino Linotype" w:hAnsi="Palatino Linotype" w:cs="Palatino Linotype"/>
          <w:sz w:val="22"/>
          <w:szCs w:val="22"/>
        </w:rPr>
        <w:t>Oficio número ZIN/CC/0189/2025, mediante el cual el Coordinador de Catastro solicitó cometer a consideración del Comité de Transparencia la clasificación del padrón catastral en su totalidad como información confidencial, al contener datos que corresponden al patrimonio de los contribuyentes.</w:t>
      </w:r>
    </w:p>
    <w:p w14:paraId="5E5980DB" w14:textId="3EB32615" w:rsidR="005E5927" w:rsidRPr="002B4FB6" w:rsidRDefault="005E5927">
      <w:pPr>
        <w:spacing w:before="240" w:after="24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 Gaceta del Gobierno del Estado Libre y Soberano de México  de fecha 20 de diciembre de dos mil veinticuatro, en la que se publicó el Decreto Número 54, por el que se aprueban las tablas de valores unitarios de suelo y construcciones para el ejercicio fiscal 2025. </w:t>
      </w:r>
    </w:p>
    <w:p w14:paraId="71D826D3" w14:textId="28FA81F9" w:rsidR="000710B6" w:rsidRPr="002B4FB6" w:rsidRDefault="005E5927">
      <w:pPr>
        <w:spacing w:before="240" w:after="24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 </w:t>
      </w:r>
      <w:r w:rsidR="0029535C" w:rsidRPr="002B4FB6">
        <w:rPr>
          <w:rFonts w:ascii="Palatino Linotype" w:eastAsia="Palatino Linotype" w:hAnsi="Palatino Linotype" w:cs="Palatino Linotype"/>
          <w:sz w:val="22"/>
          <w:szCs w:val="22"/>
        </w:rPr>
        <w:t xml:space="preserve">Escrito mediante el cual la titular de la Unidad de Transparencia notificó a la persona solicitante la respuesta proporcionada por el área poseedora de la información. </w:t>
      </w:r>
    </w:p>
    <w:p w14:paraId="66B56C1B" w14:textId="77777777" w:rsidR="000710B6" w:rsidRPr="002B4FB6" w:rsidRDefault="0029535C">
      <w:pPr>
        <w:spacing w:before="240" w:after="24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 xml:space="preserve">3. Interposición del recurso de revisión. </w:t>
      </w:r>
      <w:r w:rsidRPr="002B4FB6">
        <w:rPr>
          <w:rFonts w:ascii="Palatino Linotype" w:eastAsia="Palatino Linotype" w:hAnsi="Palatino Linotype" w:cs="Palatino Linotype"/>
          <w:sz w:val="22"/>
          <w:szCs w:val="22"/>
        </w:rPr>
        <w:t xml:space="preserve">Inconforme con los términos de la respuesta emitida por parte del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el </w:t>
      </w:r>
      <w:r w:rsidR="00466710" w:rsidRPr="002B4FB6">
        <w:rPr>
          <w:rFonts w:ascii="Palatino Linotype" w:eastAsia="Palatino Linotype" w:hAnsi="Palatino Linotype" w:cs="Palatino Linotype"/>
          <w:b/>
          <w:sz w:val="22"/>
          <w:szCs w:val="22"/>
        </w:rPr>
        <w:t>uno de julio</w:t>
      </w:r>
      <w:r w:rsidRPr="002B4FB6">
        <w:rPr>
          <w:rFonts w:ascii="Palatino Linotype" w:eastAsia="Palatino Linotype" w:hAnsi="Palatino Linotype" w:cs="Palatino Linotype"/>
          <w:b/>
          <w:sz w:val="22"/>
          <w:szCs w:val="22"/>
        </w:rPr>
        <w:t xml:space="preserve"> de dos mil veinticinco,</w:t>
      </w:r>
      <w:r w:rsidRPr="002B4FB6">
        <w:rPr>
          <w:rFonts w:ascii="Palatino Linotype" w:eastAsia="Palatino Linotype" w:hAnsi="Palatino Linotype" w:cs="Palatino Linotype"/>
          <w:sz w:val="22"/>
          <w:szCs w:val="22"/>
        </w:rPr>
        <w:t xml:space="preserve"> la parte </w:t>
      </w:r>
      <w:r w:rsidRPr="002B4FB6">
        <w:rPr>
          <w:rFonts w:ascii="Palatino Linotype" w:eastAsia="Palatino Linotype" w:hAnsi="Palatino Linotype" w:cs="Palatino Linotype"/>
          <w:b/>
          <w:sz w:val="22"/>
          <w:szCs w:val="22"/>
        </w:rPr>
        <w:t>Recurrente</w:t>
      </w:r>
      <w:r w:rsidRPr="002B4FB6">
        <w:rPr>
          <w:rFonts w:ascii="Palatino Linotype" w:eastAsia="Palatino Linotype" w:hAnsi="Palatino Linotype" w:cs="Palatino Linotype"/>
          <w:sz w:val="22"/>
          <w:szCs w:val="22"/>
        </w:rPr>
        <w:t xml:space="preserve"> interpuso el recurso de revisión a través de </w:t>
      </w:r>
      <w:r w:rsidRPr="002B4FB6">
        <w:rPr>
          <w:rFonts w:ascii="Palatino Linotype" w:eastAsia="Palatino Linotype" w:hAnsi="Palatino Linotype" w:cs="Palatino Linotype"/>
          <w:b/>
          <w:sz w:val="22"/>
          <w:szCs w:val="22"/>
        </w:rPr>
        <w:t xml:space="preserve">SAIMEX, </w:t>
      </w:r>
      <w:r w:rsidRPr="002B4FB6">
        <w:rPr>
          <w:rFonts w:ascii="Palatino Linotype" w:eastAsia="Palatino Linotype" w:hAnsi="Palatino Linotype" w:cs="Palatino Linotype"/>
          <w:sz w:val="22"/>
          <w:szCs w:val="22"/>
        </w:rPr>
        <w:t>en donde se manifestó de la siguiente manera:</w:t>
      </w:r>
    </w:p>
    <w:p w14:paraId="59012BC3" w14:textId="77777777" w:rsidR="000710B6" w:rsidRPr="002B4FB6" w:rsidRDefault="0029535C">
      <w:pPr>
        <w:spacing w:before="240" w:after="240" w:line="360" w:lineRule="auto"/>
        <w:ind w:right="49"/>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 xml:space="preserve">Acto impugnado: </w:t>
      </w:r>
    </w:p>
    <w:p w14:paraId="1CF8BD85" w14:textId="77777777" w:rsidR="000710B6" w:rsidRPr="002B4FB6" w:rsidRDefault="0029535C" w:rsidP="00466710">
      <w:pPr>
        <w:tabs>
          <w:tab w:val="left" w:pos="2745"/>
        </w:tabs>
        <w:spacing w:before="240" w:after="240"/>
        <w:ind w:left="851"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00466710" w:rsidRPr="002B4FB6">
        <w:rPr>
          <w:rFonts w:ascii="Palatino Linotype" w:eastAsia="Palatino Linotype" w:hAnsi="Palatino Linotype" w:cs="Palatino Linotype"/>
          <w:i/>
          <w:sz w:val="22"/>
          <w:szCs w:val="22"/>
        </w:rPr>
        <w:t>no entrega informacion</w:t>
      </w:r>
      <w:r w:rsidRPr="002B4FB6">
        <w:rPr>
          <w:rFonts w:ascii="Palatino Linotype" w:eastAsia="Palatino Linotype" w:hAnsi="Palatino Linotype" w:cs="Palatino Linotype"/>
          <w:i/>
          <w:sz w:val="22"/>
          <w:szCs w:val="22"/>
        </w:rPr>
        <w:t>” (sic)</w:t>
      </w:r>
      <w:bookmarkStart w:id="3" w:name="_heading=h.30j0zll" w:colFirst="0" w:colLast="0"/>
      <w:bookmarkEnd w:id="3"/>
    </w:p>
    <w:p w14:paraId="0D8B5D74" w14:textId="77777777" w:rsidR="000710B6" w:rsidRPr="002B4FB6" w:rsidRDefault="0029535C">
      <w:pPr>
        <w:spacing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lastRenderedPageBreak/>
        <w:t>Y, Razones o motivos de inconformidad</w:t>
      </w:r>
      <w:r w:rsidRPr="002B4FB6">
        <w:rPr>
          <w:rFonts w:ascii="Palatino Linotype" w:eastAsia="Palatino Linotype" w:hAnsi="Palatino Linotype" w:cs="Palatino Linotype"/>
          <w:sz w:val="22"/>
          <w:szCs w:val="22"/>
        </w:rPr>
        <w:t>:</w:t>
      </w:r>
    </w:p>
    <w:p w14:paraId="368CDF37" w14:textId="77777777" w:rsidR="000710B6" w:rsidRPr="002B4FB6" w:rsidRDefault="0029535C">
      <w:pPr>
        <w:tabs>
          <w:tab w:val="left" w:pos="2745"/>
        </w:tabs>
        <w:spacing w:before="240" w:after="240"/>
        <w:ind w:left="851"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00466710" w:rsidRPr="002B4FB6">
        <w:rPr>
          <w:rFonts w:ascii="Palatino Linotype" w:eastAsia="Palatino Linotype" w:hAnsi="Palatino Linotype" w:cs="Palatino Linotype"/>
          <w:i/>
          <w:sz w:val="22"/>
          <w:szCs w:val="22"/>
        </w:rPr>
        <w:t>no entrega informacion</w:t>
      </w:r>
      <w:r w:rsidRPr="002B4FB6">
        <w:rPr>
          <w:rFonts w:ascii="Palatino Linotype" w:eastAsia="Palatino Linotype" w:hAnsi="Palatino Linotype" w:cs="Palatino Linotype"/>
          <w:i/>
          <w:sz w:val="22"/>
          <w:szCs w:val="22"/>
        </w:rPr>
        <w:t>” (sic)</w:t>
      </w:r>
    </w:p>
    <w:p w14:paraId="555C2409" w14:textId="77777777" w:rsidR="000710B6" w:rsidRPr="002B4FB6" w:rsidRDefault="0029535C">
      <w:pPr>
        <w:spacing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 xml:space="preserve">4. Turno. </w:t>
      </w:r>
      <w:r w:rsidRPr="002B4FB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B4FB6">
        <w:rPr>
          <w:rFonts w:ascii="Palatino Linotype" w:eastAsia="Palatino Linotype" w:hAnsi="Palatino Linotype" w:cs="Palatino Linotype"/>
          <w:b/>
          <w:sz w:val="22"/>
          <w:szCs w:val="22"/>
        </w:rPr>
        <w:t xml:space="preserve">Guadalupe Ramírez Peña, </w:t>
      </w:r>
      <w:r w:rsidRPr="002B4FB6">
        <w:rPr>
          <w:rFonts w:ascii="Palatino Linotype" w:eastAsia="Palatino Linotype" w:hAnsi="Palatino Linotype" w:cs="Palatino Linotype"/>
          <w:sz w:val="22"/>
          <w:szCs w:val="22"/>
        </w:rPr>
        <w:t>a efecto de que analizara sobre su admisión o su desechamiento.</w:t>
      </w:r>
    </w:p>
    <w:p w14:paraId="4ADF4C0E" w14:textId="77777777" w:rsidR="000710B6" w:rsidRPr="002B4FB6" w:rsidRDefault="0029535C">
      <w:pPr>
        <w:spacing w:before="240" w:after="240" w:line="360" w:lineRule="auto"/>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5. Admisión del Recurso de revisión.</w:t>
      </w:r>
      <w:r w:rsidRPr="002B4FB6">
        <w:rPr>
          <w:rFonts w:ascii="Palatino Linotype" w:eastAsia="Palatino Linotype" w:hAnsi="Palatino Linotype" w:cs="Palatino Linotype"/>
          <w:sz w:val="22"/>
          <w:szCs w:val="22"/>
        </w:rPr>
        <w:t xml:space="preserve"> El</w:t>
      </w:r>
      <w:r w:rsidRPr="002B4FB6">
        <w:rPr>
          <w:rFonts w:ascii="Palatino Linotype" w:eastAsia="Palatino Linotype" w:hAnsi="Palatino Linotype" w:cs="Palatino Linotype"/>
          <w:b/>
          <w:sz w:val="22"/>
          <w:szCs w:val="22"/>
        </w:rPr>
        <w:t xml:space="preserve"> </w:t>
      </w:r>
      <w:r w:rsidR="00466710" w:rsidRPr="002B4FB6">
        <w:rPr>
          <w:rFonts w:ascii="Palatino Linotype" w:eastAsia="Palatino Linotype" w:hAnsi="Palatino Linotype" w:cs="Palatino Linotype"/>
          <w:b/>
          <w:sz w:val="22"/>
          <w:szCs w:val="22"/>
        </w:rPr>
        <w:t>cuatro de julio</w:t>
      </w:r>
      <w:r w:rsidRPr="002B4FB6">
        <w:rPr>
          <w:rFonts w:ascii="Palatino Linotype" w:eastAsia="Palatino Linotype" w:hAnsi="Palatino Linotype" w:cs="Palatino Linotype"/>
          <w:b/>
          <w:sz w:val="22"/>
          <w:szCs w:val="22"/>
        </w:rPr>
        <w:t xml:space="preserve"> de dos mil veinticinco, </w:t>
      </w:r>
      <w:r w:rsidRPr="002B4FB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presentara su informe justificado.</w:t>
      </w:r>
    </w:p>
    <w:p w14:paraId="7375864E"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2B4FB6">
        <w:rPr>
          <w:rFonts w:ascii="Palatino Linotype" w:eastAsia="Palatino Linotype" w:hAnsi="Palatino Linotype" w:cs="Palatino Linotype"/>
          <w:b/>
          <w:sz w:val="22"/>
          <w:szCs w:val="22"/>
        </w:rPr>
        <w:t>6. Manifestaciones</w:t>
      </w:r>
      <w:r w:rsidRPr="002B4FB6">
        <w:rPr>
          <w:rFonts w:ascii="Palatino Linotype" w:eastAsia="Palatino Linotype" w:hAnsi="Palatino Linotype" w:cs="Palatino Linotype"/>
          <w:sz w:val="22"/>
          <w:szCs w:val="22"/>
        </w:rPr>
        <w:t xml:space="preserve">. El </w:t>
      </w:r>
      <w:r w:rsidR="00466710" w:rsidRPr="002B4FB6">
        <w:rPr>
          <w:rFonts w:ascii="Palatino Linotype" w:eastAsia="Palatino Linotype" w:hAnsi="Palatino Linotype" w:cs="Palatino Linotype"/>
          <w:b/>
          <w:sz w:val="22"/>
          <w:szCs w:val="22"/>
        </w:rPr>
        <w:t>nueve de julio</w:t>
      </w:r>
      <w:r w:rsidRPr="002B4FB6">
        <w:rPr>
          <w:rFonts w:ascii="Palatino Linotype" w:eastAsia="Palatino Linotype" w:hAnsi="Palatino Linotype" w:cs="Palatino Linotype"/>
          <w:b/>
          <w:sz w:val="22"/>
          <w:szCs w:val="22"/>
        </w:rPr>
        <w:t xml:space="preserve"> de dos mil veinticinco, </w:t>
      </w:r>
      <w:r w:rsidRPr="002B4FB6">
        <w:rPr>
          <w:rFonts w:ascii="Palatino Linotype" w:eastAsia="Palatino Linotype" w:hAnsi="Palatino Linotype" w:cs="Palatino Linotype"/>
          <w:sz w:val="22"/>
          <w:szCs w:val="22"/>
        </w:rPr>
        <w:t xml:space="preserve">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remitió lo siguiente:</w:t>
      </w:r>
    </w:p>
    <w:p w14:paraId="5AD19416" w14:textId="17CE931B" w:rsidR="00BC2D77" w:rsidRPr="002B4FB6" w:rsidRDefault="0029535C" w:rsidP="00BC2D77">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w:t>
      </w:r>
      <w:r w:rsidR="00BC2D77" w:rsidRPr="002B4FB6">
        <w:rPr>
          <w:rFonts w:ascii="Palatino Linotype" w:eastAsia="Palatino Linotype" w:hAnsi="Palatino Linotype" w:cs="Palatino Linotype"/>
          <w:sz w:val="22"/>
          <w:szCs w:val="22"/>
        </w:rPr>
        <w:t xml:space="preserve"> Acta de la Décima Sesión Extraordinaria del Comité de Transparencia, en la cual se sometió a consideración de los integrantes la propuesta de clasificación como información confidencial en su totalidad, de los documentos que dan respuesta a la solicitud de información </w:t>
      </w:r>
      <w:r w:rsidR="00BC2D77" w:rsidRPr="002B4FB6">
        <w:rPr>
          <w:rFonts w:ascii="Palatino Linotype" w:eastAsia="Palatino Linotype" w:hAnsi="Palatino Linotype" w:cs="Palatino Linotype"/>
          <w:b/>
          <w:sz w:val="22"/>
          <w:szCs w:val="22"/>
        </w:rPr>
        <w:t>00439/ZINACANT/IP/2025</w:t>
      </w:r>
      <w:r w:rsidR="00BC2D77" w:rsidRPr="002B4FB6">
        <w:rPr>
          <w:rFonts w:ascii="Palatino Linotype" w:eastAsia="Palatino Linotype" w:hAnsi="Palatino Linotype" w:cs="Palatino Linotype"/>
          <w:sz w:val="22"/>
          <w:szCs w:val="22"/>
        </w:rPr>
        <w:t>, presentado por la Coordinación de Catastro.</w:t>
      </w:r>
    </w:p>
    <w:p w14:paraId="7EAE5AA3" w14:textId="4BC0BA1D" w:rsidR="000710B6" w:rsidRPr="002B4FB6" w:rsidRDefault="00BC2D77">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 </w:t>
      </w:r>
      <w:r w:rsidR="0029535C" w:rsidRPr="002B4FB6">
        <w:rPr>
          <w:rFonts w:ascii="Palatino Linotype" w:eastAsia="Palatino Linotype" w:hAnsi="Palatino Linotype" w:cs="Palatino Linotype"/>
          <w:sz w:val="22"/>
          <w:szCs w:val="22"/>
        </w:rPr>
        <w:t>Escrito mediante el cual la titular de la Unidad de Transparencia reiteró que la información solicitada recae en los supuestos de Clasificación de la Información por la naturaleza de la misma, remitiendo el Acta de la Décima Sesión Extraordinaria del Comité de Transparencia, en donde mediante acuerdo CT/010/EXT/AC02/2025 se aprobó la clasificación en su totalidad de los documentos que dan respuesta a la solicitud referida.</w:t>
      </w:r>
    </w:p>
    <w:p w14:paraId="5D3406DB" w14:textId="68F52F0F"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Oficio número ZIN/CC/01</w:t>
      </w:r>
      <w:r w:rsidR="00BC2D77" w:rsidRPr="002B4FB6">
        <w:rPr>
          <w:rFonts w:ascii="Palatino Linotype" w:eastAsia="Palatino Linotype" w:hAnsi="Palatino Linotype" w:cs="Palatino Linotype"/>
          <w:sz w:val="22"/>
          <w:szCs w:val="22"/>
        </w:rPr>
        <w:t>89</w:t>
      </w:r>
      <w:r w:rsidRPr="002B4FB6">
        <w:rPr>
          <w:rFonts w:ascii="Palatino Linotype" w:eastAsia="Palatino Linotype" w:hAnsi="Palatino Linotype" w:cs="Palatino Linotype"/>
          <w:sz w:val="22"/>
          <w:szCs w:val="22"/>
        </w:rPr>
        <w:t>/2025, mediante el cual el Coordinador de Catastro, a fin de complementar la respuesta primigenia, refirió adjuntar la información pública que integra el padrón catastral municipal, compuesta por el catálogo operativo el cual únicamente hace referencia de información general sobre un área específica y que conforme a la página del Instituto de Información e Investigación Geográfica, Estadística y Catastral del Estado de México son de carácter público y cualquier persona puede acceder a ellos, en las Tablas de Valores Unitarios de Suelo y Construcciones, información localizada en de las páginas 618 a la 629 del documento adjunto denominado Anexo 1, la cual fue publicada en el Periódico Oficial "Gaceta del Gobierno" de fecha 20 de diciembre 2024.</w:t>
      </w:r>
    </w:p>
    <w:p w14:paraId="2FF7E384" w14:textId="18664743"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Páginas 1, 618 a 629 del Periódico Oficial "Gaceta del Gobierno" del Estado de México, publicado el veinte de diciembre de 2024.</w:t>
      </w:r>
    </w:p>
    <w:p w14:paraId="53E01545"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2EB30CD4" w14:textId="506DD9F0" w:rsidR="00F36A7F" w:rsidRPr="002B4FB6" w:rsidRDefault="0029535C" w:rsidP="00F36A7F">
      <w:pPr>
        <w:spacing w:before="240" w:after="240" w:line="360" w:lineRule="auto"/>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 xml:space="preserve">7. </w:t>
      </w:r>
      <w:r w:rsidR="00F36A7F" w:rsidRPr="002B4FB6">
        <w:rPr>
          <w:rFonts w:ascii="Palatino Linotype" w:eastAsia="Palatino Linotype" w:hAnsi="Palatino Linotype" w:cs="Palatino Linotype"/>
          <w:b/>
          <w:sz w:val="22"/>
          <w:szCs w:val="22"/>
        </w:rPr>
        <w:t>Ampliación del término para resolver</w:t>
      </w:r>
      <w:r w:rsidR="00F36A7F" w:rsidRPr="002B4FB6">
        <w:rPr>
          <w:rFonts w:ascii="Palatino Linotype" w:eastAsia="Palatino Linotype" w:hAnsi="Palatino Linotype" w:cs="Palatino Linotype"/>
          <w:sz w:val="22"/>
          <w:szCs w:val="22"/>
        </w:rPr>
        <w:t xml:space="preserve">. El </w:t>
      </w:r>
      <w:r w:rsidR="00F36A7F" w:rsidRPr="002B4FB6">
        <w:rPr>
          <w:rFonts w:ascii="Palatino Linotype" w:eastAsia="Palatino Linotype" w:hAnsi="Palatino Linotype" w:cs="Palatino Linotype"/>
          <w:b/>
          <w:sz w:val="22"/>
          <w:szCs w:val="22"/>
        </w:rPr>
        <w:t>tres de diciembre de dos mil veinticinco</w:t>
      </w:r>
      <w:r w:rsidR="00F36A7F" w:rsidRPr="002B4FB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5FFDAF0" w14:textId="77777777" w:rsidR="00F36A7F" w:rsidRPr="002B4FB6" w:rsidRDefault="00F36A7F" w:rsidP="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37EEC52" w14:textId="77777777" w:rsidR="00F36A7F" w:rsidRPr="002B4FB6" w:rsidRDefault="00F36A7F" w:rsidP="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73CFC67" w14:textId="77777777" w:rsidR="00F36A7F" w:rsidRPr="002B4FB6" w:rsidRDefault="00F36A7F" w:rsidP="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ABC380" w14:textId="77777777" w:rsidR="00F36A7F" w:rsidRPr="002B4FB6" w:rsidRDefault="00F36A7F" w:rsidP="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D77D54C" w14:textId="77777777" w:rsidR="00F36A7F" w:rsidRPr="002B4FB6" w:rsidRDefault="00F36A7F" w:rsidP="00F36A7F">
      <w:pPr>
        <w:spacing w:before="240" w:after="240" w:line="360" w:lineRule="auto"/>
        <w:jc w:val="both"/>
        <w:rPr>
          <w:rFonts w:ascii="Palatino Linotype" w:eastAsia="Palatino Linotype" w:hAnsi="Palatino Linotype" w:cs="Palatino Linotype"/>
          <w:strike/>
          <w:sz w:val="22"/>
          <w:szCs w:val="22"/>
        </w:rPr>
      </w:pPr>
      <w:r w:rsidRPr="002B4FB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93EAF9C" w14:textId="77777777" w:rsidR="00F36A7F" w:rsidRPr="002B4FB6" w:rsidRDefault="00F36A7F" w:rsidP="00F36A7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4E3B5D5" w14:textId="77777777" w:rsidR="00F36A7F" w:rsidRPr="002B4FB6" w:rsidRDefault="00F36A7F" w:rsidP="00F36A7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Actividad Procesal del interesado. Acciones u omisiones del interesado.</w:t>
      </w:r>
    </w:p>
    <w:p w14:paraId="0EC39522" w14:textId="77777777" w:rsidR="00F36A7F" w:rsidRPr="002B4FB6" w:rsidRDefault="00F36A7F" w:rsidP="00F36A7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003CEA49" w14:textId="77777777" w:rsidR="00F36A7F" w:rsidRPr="002B4FB6" w:rsidRDefault="00F36A7F" w:rsidP="00F36A7F">
      <w:pPr>
        <w:tabs>
          <w:tab w:val="left" w:pos="567"/>
        </w:tabs>
        <w:spacing w:before="240" w:after="240" w:line="360" w:lineRule="auto"/>
        <w:ind w:left="284"/>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3BF49716" w14:textId="77777777" w:rsidR="00F36A7F" w:rsidRPr="002B4FB6" w:rsidRDefault="00F36A7F" w:rsidP="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54F30C" w14:textId="77777777" w:rsidR="00F36A7F" w:rsidRPr="002B4FB6" w:rsidRDefault="00F36A7F" w:rsidP="00F36A7F">
      <w:pPr>
        <w:spacing w:before="240" w:after="240" w:line="360" w:lineRule="auto"/>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B4FB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B4FB6">
        <w:rPr>
          <w:rFonts w:ascii="Palatino Linotype" w:eastAsia="Palatino Linotype" w:hAnsi="Palatino Linotype" w:cs="Palatino Linotype"/>
          <w:sz w:val="22"/>
          <w:szCs w:val="22"/>
        </w:rPr>
        <w:t>, visible en la Gaceta del Seminario Judicial de la Federación con el registro digital 205635.</w:t>
      </w:r>
    </w:p>
    <w:p w14:paraId="22FCE33C" w14:textId="77777777" w:rsidR="00F36A7F" w:rsidRPr="002B4FB6" w:rsidRDefault="00F36A7F" w:rsidP="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A64066" w14:textId="77777777" w:rsidR="00F36A7F" w:rsidRPr="002B4FB6" w:rsidRDefault="00F36A7F" w:rsidP="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7016D76" w14:textId="77777777" w:rsidR="00F36A7F" w:rsidRPr="002B4FB6" w:rsidRDefault="00F36A7F" w:rsidP="00F36A7F">
      <w:pPr>
        <w:spacing w:before="120" w:after="120"/>
        <w:ind w:left="851" w:right="902"/>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 </w:t>
      </w: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PLAZO RAZONABLE PARA RESOLVER. DIMENSIÓN Y EFECTOS DE ESTE CONCEPTO CUANDO SE ADUCE EXCESIVA CARGA DE TRABAJO</w:t>
      </w: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sz w:val="22"/>
          <w:szCs w:val="22"/>
        </w:rPr>
        <w:t xml:space="preserve"> consultable en el Seminario Judicial de la Federación y su gaceta, con el registro digital 2002351.</w:t>
      </w:r>
    </w:p>
    <w:p w14:paraId="4CD10AA1" w14:textId="77777777" w:rsidR="00F36A7F" w:rsidRPr="002B4FB6" w:rsidRDefault="00F36A7F" w:rsidP="00F36A7F">
      <w:pPr>
        <w:spacing w:before="120" w:after="120"/>
        <w:ind w:left="851" w:right="902"/>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sz w:val="22"/>
          <w:szCs w:val="22"/>
        </w:rPr>
        <w:t>, visible en el Seminario Judicial de la Federación y su gaceta, con el registro digital 2002350.</w:t>
      </w:r>
    </w:p>
    <w:p w14:paraId="0A919643" w14:textId="77777777" w:rsidR="00F36A7F" w:rsidRPr="002B4FB6" w:rsidRDefault="00F36A7F" w:rsidP="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69CDB7F" w14:textId="5469E3C5" w:rsidR="000710B6" w:rsidRPr="002B4FB6" w:rsidRDefault="00F36A7F">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 xml:space="preserve">8. </w:t>
      </w:r>
      <w:r w:rsidR="0029535C" w:rsidRPr="002B4FB6">
        <w:rPr>
          <w:rFonts w:ascii="Palatino Linotype" w:eastAsia="Palatino Linotype" w:hAnsi="Palatino Linotype" w:cs="Palatino Linotype"/>
          <w:b/>
          <w:sz w:val="22"/>
          <w:szCs w:val="22"/>
        </w:rPr>
        <w:t xml:space="preserve">Cierre de instrucción. </w:t>
      </w:r>
      <w:r w:rsidR="0029535C" w:rsidRPr="002B4FB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A25DE6" w:rsidRPr="002B4FB6">
        <w:rPr>
          <w:rFonts w:ascii="Palatino Linotype" w:eastAsia="Palatino Linotype" w:hAnsi="Palatino Linotype" w:cs="Palatino Linotype"/>
          <w:b/>
          <w:sz w:val="22"/>
          <w:szCs w:val="22"/>
        </w:rPr>
        <w:t>trece de enero de dos mil ventiséis</w:t>
      </w:r>
      <w:r w:rsidR="0029535C" w:rsidRPr="002B4FB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7FD897A" w14:textId="3F543FA1"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8</w:t>
      </w:r>
      <w:r w:rsidRPr="002B4FB6">
        <w:rPr>
          <w:rFonts w:ascii="Palatino Linotype" w:eastAsia="Palatino Linotype" w:hAnsi="Palatino Linotype" w:cs="Palatino Linotype"/>
          <w:sz w:val="22"/>
          <w:szCs w:val="22"/>
        </w:rPr>
        <w:t>.</w:t>
      </w:r>
      <w:r w:rsidR="00F36A7F" w:rsidRPr="002B4FB6">
        <w:rPr>
          <w:rFonts w:ascii="Palatino Linotype" w:eastAsia="Palatino Linotype" w:hAnsi="Palatino Linotype" w:cs="Palatino Linotype"/>
          <w:sz w:val="22"/>
          <w:szCs w:val="22"/>
        </w:rPr>
        <w:t xml:space="preserve"> </w:t>
      </w:r>
      <w:r w:rsidRPr="002B4FB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48FEEF4" w14:textId="77777777" w:rsidR="000710B6" w:rsidRPr="002B4FB6" w:rsidRDefault="0029535C">
      <w:pPr>
        <w:widowControl w:val="0"/>
        <w:spacing w:before="240" w:after="240" w:line="360" w:lineRule="auto"/>
        <w:jc w:val="center"/>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II. C O N S I D E R A N D O S</w:t>
      </w:r>
    </w:p>
    <w:p w14:paraId="10CED41F" w14:textId="1EDBF45E"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Primero. Competencia.</w:t>
      </w:r>
      <w:r w:rsidRPr="002B4FB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w:t>
      </w:r>
      <w:r w:rsidR="00F36A7F" w:rsidRPr="002B4FB6">
        <w:rPr>
          <w:rFonts w:ascii="Palatino Linotype" w:eastAsia="Palatino Linotype" w:hAnsi="Palatino Linotype" w:cs="Palatino Linotype"/>
          <w:sz w:val="22"/>
          <w:szCs w:val="22"/>
        </w:rPr>
        <w:t xml:space="preserve"> párrafos</w:t>
      </w:r>
      <w:r w:rsidRPr="002B4FB6">
        <w:rPr>
          <w:rFonts w:ascii="Palatino Linotype" w:eastAsia="Palatino Linotype" w:hAnsi="Palatino Linotype" w:cs="Palatino Linotype"/>
          <w:sz w:val="22"/>
          <w:szCs w:val="22"/>
        </w:rPr>
        <w:t xml:space="preserve"> </w:t>
      </w:r>
      <w:r w:rsidR="00F36A7F" w:rsidRPr="002B4FB6">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del Decreto número 198 de la “LXII” Legislatura del Estado de México</w:t>
      </w:r>
      <w:r w:rsidRPr="002B4FB6">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9AC55B1"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2B4FB6">
        <w:rPr>
          <w:rFonts w:ascii="Palatino Linotype" w:eastAsia="Palatino Linotype" w:hAnsi="Palatino Linotype" w:cs="Palatino Linotype"/>
          <w:b/>
          <w:sz w:val="22"/>
          <w:szCs w:val="22"/>
        </w:rPr>
        <w:t>Segundo. Oportunidad y Procedibilidad del Recurso de Revisión</w:t>
      </w:r>
      <w:r w:rsidRPr="002B4FB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3605C7E" w14:textId="0DB9048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 xml:space="preserve">remitió la respuesta a la solicitud de información el día </w:t>
      </w:r>
      <w:r w:rsidR="00F36A7F" w:rsidRPr="002B4FB6">
        <w:rPr>
          <w:rFonts w:ascii="Palatino Linotype" w:eastAsia="Palatino Linotype" w:hAnsi="Palatino Linotype" w:cs="Palatino Linotype"/>
          <w:b/>
          <w:sz w:val="22"/>
          <w:szCs w:val="22"/>
        </w:rPr>
        <w:t>treinta de junio</w:t>
      </w:r>
      <w:r w:rsidRPr="002B4FB6">
        <w:rPr>
          <w:rFonts w:ascii="Palatino Linotype" w:eastAsia="Palatino Linotype" w:hAnsi="Palatino Linotype" w:cs="Palatino Linotype"/>
          <w:b/>
          <w:sz w:val="22"/>
          <w:szCs w:val="22"/>
        </w:rPr>
        <w:t xml:space="preserve"> de dos mil veinticinco, </w:t>
      </w:r>
      <w:r w:rsidRPr="002B4FB6">
        <w:rPr>
          <w:rFonts w:ascii="Palatino Linotype" w:eastAsia="Palatino Linotype" w:hAnsi="Palatino Linotype" w:cs="Palatino Linotype"/>
          <w:sz w:val="22"/>
          <w:szCs w:val="22"/>
        </w:rPr>
        <w:t xml:space="preserve">mientras que el recurso de revisión interpuesto por la parte </w:t>
      </w:r>
      <w:r w:rsidRPr="002B4FB6">
        <w:rPr>
          <w:rFonts w:ascii="Palatino Linotype" w:eastAsia="Palatino Linotype" w:hAnsi="Palatino Linotype" w:cs="Palatino Linotype"/>
          <w:b/>
          <w:sz w:val="22"/>
          <w:szCs w:val="22"/>
        </w:rPr>
        <w:t xml:space="preserve">Recurrente, </w:t>
      </w:r>
      <w:r w:rsidRPr="002B4FB6">
        <w:rPr>
          <w:rFonts w:ascii="Palatino Linotype" w:eastAsia="Palatino Linotype" w:hAnsi="Palatino Linotype" w:cs="Palatino Linotype"/>
          <w:sz w:val="22"/>
          <w:szCs w:val="22"/>
        </w:rPr>
        <w:t>se tuvo por presentado el día</w:t>
      </w:r>
      <w:r w:rsidRPr="002B4FB6">
        <w:rPr>
          <w:rFonts w:ascii="Palatino Linotype" w:eastAsia="Palatino Linotype" w:hAnsi="Palatino Linotype" w:cs="Palatino Linotype"/>
          <w:b/>
          <w:sz w:val="22"/>
          <w:szCs w:val="22"/>
        </w:rPr>
        <w:t xml:space="preserve"> </w:t>
      </w:r>
      <w:r w:rsidR="00F36A7F" w:rsidRPr="002B4FB6">
        <w:rPr>
          <w:rFonts w:ascii="Palatino Linotype" w:eastAsia="Palatino Linotype" w:hAnsi="Palatino Linotype" w:cs="Palatino Linotype"/>
          <w:b/>
          <w:sz w:val="22"/>
          <w:szCs w:val="22"/>
        </w:rPr>
        <w:t>uno de julio</w:t>
      </w:r>
      <w:r w:rsidRPr="002B4FB6">
        <w:rPr>
          <w:rFonts w:ascii="Palatino Linotype" w:eastAsia="Palatino Linotype" w:hAnsi="Palatino Linotype" w:cs="Palatino Linotype"/>
          <w:b/>
          <w:sz w:val="22"/>
          <w:szCs w:val="22"/>
        </w:rPr>
        <w:t xml:space="preserve"> de dos mil veinticinco, </w:t>
      </w:r>
      <w:r w:rsidRPr="002B4FB6">
        <w:rPr>
          <w:rFonts w:ascii="Palatino Linotype" w:eastAsia="Palatino Linotype" w:hAnsi="Palatino Linotype" w:cs="Palatino Linotype"/>
          <w:sz w:val="22"/>
          <w:szCs w:val="22"/>
        </w:rPr>
        <w:t>esto es, al décimo cuarto día en que tuvo conocimiento de la respuesta impugnada. En este sentido, se concluye que el presente recurso de revisión se encuentra dentro de los márgenes temporales previstos en las disposiciones legales referidas.</w:t>
      </w:r>
    </w:p>
    <w:p w14:paraId="72C9048B" w14:textId="77777777" w:rsidR="000710B6" w:rsidRPr="002B4FB6" w:rsidRDefault="0029535C">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2B4FB6">
        <w:rPr>
          <w:rFonts w:ascii="Palatino Linotype" w:eastAsia="Palatino Linotype" w:hAnsi="Palatino Linotype" w:cs="Palatino Linotype"/>
          <w:sz w:val="22"/>
          <w:szCs w:val="22"/>
        </w:rPr>
        <w:t>Además, por cuanto hace a la procedibilidad del recurso de revisión, es de suma importancia señalar que la parte</w:t>
      </w:r>
      <w:r w:rsidRPr="002B4FB6">
        <w:rPr>
          <w:rFonts w:ascii="Palatino Linotype" w:eastAsia="Palatino Linotype" w:hAnsi="Palatino Linotype" w:cs="Palatino Linotype"/>
          <w:b/>
          <w:sz w:val="22"/>
          <w:szCs w:val="22"/>
        </w:rPr>
        <w:t xml:space="preserve"> Recurrente</w:t>
      </w:r>
      <w:r w:rsidRPr="002B4FB6">
        <w:rPr>
          <w:rFonts w:ascii="Palatino Linotype" w:eastAsia="Palatino Linotype" w:hAnsi="Palatino Linotype" w:cs="Palatino Linotype"/>
          <w:sz w:val="22"/>
          <w:szCs w:val="22"/>
        </w:rPr>
        <w:t>, no señaló nombre o seudónimo,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4C0403C"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Las solicitudes anónimas</w:t>
      </w:r>
      <w:r w:rsidRPr="002B4FB6">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E6CFB76" w14:textId="77777777" w:rsidR="000710B6" w:rsidRPr="002B4FB6" w:rsidRDefault="0029535C">
      <w:pPr>
        <w:spacing w:before="240" w:after="240" w:line="360" w:lineRule="auto"/>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2B4FB6">
        <w:rPr>
          <w:rFonts w:ascii="Palatino Linotype" w:eastAsia="Palatino Linotype" w:hAnsi="Palatino Linotype" w:cs="Palatino Linotype"/>
          <w:b/>
          <w:sz w:val="22"/>
          <w:szCs w:val="22"/>
        </w:rPr>
        <w:t xml:space="preserve"> SAIMEX.</w:t>
      </w:r>
    </w:p>
    <w:p w14:paraId="35F7CA84"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B4FB6">
        <w:rPr>
          <w:rFonts w:ascii="Palatino Linotype" w:eastAsia="Palatino Linotype" w:hAnsi="Palatino Linotype" w:cs="Palatino Linotype"/>
          <w:b/>
          <w:sz w:val="22"/>
          <w:szCs w:val="22"/>
        </w:rPr>
        <w:t>Recurrente</w:t>
      </w:r>
      <w:r w:rsidRPr="002B4FB6">
        <w:rPr>
          <w:rFonts w:ascii="Palatino Linotype" w:eastAsia="Palatino Linotype" w:hAnsi="Palatino Linotype" w:cs="Palatino Linotype"/>
          <w:sz w:val="22"/>
          <w:szCs w:val="22"/>
        </w:rPr>
        <w:t xml:space="preserve"> en sus motivos de inconformidad, de acuerdo al artículo 179, fracciones I y II del ordenamiento legal citado, que a la letra dice: </w:t>
      </w:r>
    </w:p>
    <w:p w14:paraId="7E20EC1D" w14:textId="77777777" w:rsidR="000710B6" w:rsidRPr="002B4FB6" w:rsidRDefault="0029535C">
      <w:pPr>
        <w:tabs>
          <w:tab w:val="left" w:pos="7938"/>
        </w:tabs>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Artículo 179.</w:t>
      </w:r>
      <w:r w:rsidRPr="002B4FB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00EFD49" w14:textId="77777777" w:rsidR="000710B6" w:rsidRPr="002B4FB6" w:rsidRDefault="0029535C">
      <w:pPr>
        <w:tabs>
          <w:tab w:val="left" w:pos="7938"/>
        </w:tabs>
        <w:spacing w:before="120" w:after="120"/>
        <w:ind w:left="1134"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 xml:space="preserve">I. </w:t>
      </w:r>
      <w:r w:rsidRPr="002B4FB6">
        <w:rPr>
          <w:rFonts w:ascii="Palatino Linotype" w:eastAsia="Palatino Linotype" w:hAnsi="Palatino Linotype" w:cs="Palatino Linotype"/>
          <w:i/>
          <w:sz w:val="22"/>
          <w:szCs w:val="22"/>
        </w:rPr>
        <w:t>La negativa a la información solicitada;</w:t>
      </w:r>
    </w:p>
    <w:p w14:paraId="29ECA63C" w14:textId="77777777" w:rsidR="000710B6" w:rsidRPr="002B4FB6" w:rsidRDefault="0029535C">
      <w:pPr>
        <w:spacing w:before="240" w:after="240" w:line="360" w:lineRule="auto"/>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 xml:space="preserve">Tercero. Materia de la revisión. </w:t>
      </w:r>
      <w:r w:rsidRPr="002B4FB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B4FB6">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2B4FB6">
        <w:rPr>
          <w:rFonts w:ascii="Palatino Linotype" w:eastAsia="Palatino Linotype" w:hAnsi="Palatino Linotype" w:cs="Palatino Linotype"/>
          <w:sz w:val="22"/>
          <w:szCs w:val="22"/>
        </w:rPr>
        <w:t xml:space="preserve">de la parte </w:t>
      </w:r>
      <w:r w:rsidRPr="002B4FB6">
        <w:rPr>
          <w:rFonts w:ascii="Palatino Linotype" w:eastAsia="Palatino Linotype" w:hAnsi="Palatino Linotype" w:cs="Palatino Linotype"/>
          <w:b/>
          <w:sz w:val="22"/>
          <w:szCs w:val="22"/>
        </w:rPr>
        <w:t>Recurrente</w:t>
      </w:r>
      <w:r w:rsidRPr="002B4FB6">
        <w:rPr>
          <w:rFonts w:ascii="Palatino Linotype" w:eastAsia="Palatino Linotype" w:hAnsi="Palatino Linotype" w:cs="Palatino Linotype"/>
          <w:sz w:val="22"/>
          <w:szCs w:val="22"/>
        </w:rPr>
        <w:t>, o en su defecto, en caso de ser procedente, ordenar la entrega de información.</w:t>
      </w:r>
    </w:p>
    <w:p w14:paraId="76B20F9B"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2B4FB6">
        <w:rPr>
          <w:rFonts w:ascii="Palatino Linotype" w:eastAsia="Palatino Linotype" w:hAnsi="Palatino Linotype" w:cs="Palatino Linotype"/>
          <w:b/>
          <w:sz w:val="22"/>
          <w:szCs w:val="22"/>
        </w:rPr>
        <w:t xml:space="preserve">Cuarto. Estudio del asunto. </w:t>
      </w:r>
      <w:r w:rsidRPr="002B4FB6">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80D95E9"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Artículo 4</w:t>
      </w:r>
      <w:r w:rsidRPr="002B4FB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3CD500"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B4FB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4C4342C"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B4FB6">
        <w:rPr>
          <w:rFonts w:ascii="Palatino Linotype" w:eastAsia="Palatino Linotype" w:hAnsi="Palatino Linotype" w:cs="Palatino Linotype"/>
          <w:i/>
          <w:sz w:val="22"/>
          <w:szCs w:val="22"/>
        </w:rPr>
        <w:t>.”</w:t>
      </w:r>
    </w:p>
    <w:p w14:paraId="66124749"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45AA69"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“Artículo 12.-</w:t>
      </w:r>
      <w:r w:rsidRPr="002B4FB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9A777C1"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B4FB6">
        <w:rPr>
          <w:rFonts w:ascii="Palatino Linotype" w:eastAsia="Palatino Linotype" w:hAnsi="Palatino Linotype" w:cs="Palatino Linotype"/>
          <w:i/>
          <w:sz w:val="22"/>
          <w:szCs w:val="22"/>
        </w:rPr>
        <w:t xml:space="preserve">. </w:t>
      </w:r>
      <w:r w:rsidRPr="002B4FB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8A9F962" w14:textId="77777777" w:rsidR="000710B6" w:rsidRPr="002B4FB6" w:rsidRDefault="0029535C">
      <w:pPr>
        <w:spacing w:before="240" w:after="240" w:line="360" w:lineRule="auto"/>
        <w:ind w:right="-93"/>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BD10F60" w14:textId="77777777" w:rsidR="000710B6" w:rsidRPr="002B4FB6" w:rsidRDefault="0029535C">
      <w:pPr>
        <w:spacing w:before="240" w:after="240" w:line="360" w:lineRule="auto"/>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2B4FB6">
        <w:rPr>
          <w:rFonts w:ascii="Palatino Linotype" w:eastAsia="Palatino Linotype" w:hAnsi="Palatino Linotype" w:cs="Palatino Linotype"/>
          <w:b/>
          <w:sz w:val="22"/>
          <w:szCs w:val="22"/>
        </w:rPr>
        <w:t xml:space="preserve"> </w:t>
      </w:r>
    </w:p>
    <w:p w14:paraId="5E47A97E"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 “</w:t>
      </w:r>
      <w:r w:rsidRPr="002B4FB6">
        <w:rPr>
          <w:rFonts w:ascii="Palatino Linotype" w:eastAsia="Palatino Linotype" w:hAnsi="Palatino Linotype" w:cs="Palatino Linotype"/>
          <w:b/>
          <w:i/>
          <w:sz w:val="22"/>
          <w:szCs w:val="22"/>
        </w:rPr>
        <w:t>No existe obligación de elaborar documentos ad hoc para atender las solicitudes de acceso a la información.</w:t>
      </w:r>
      <w:r w:rsidRPr="002B4FB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E3E3BE2" w14:textId="77777777" w:rsidR="000710B6" w:rsidRPr="002B4FB6" w:rsidRDefault="0029535C">
      <w:pPr>
        <w:spacing w:before="120" w:after="12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48C49A2" w14:textId="77777777" w:rsidR="000710B6" w:rsidRPr="002B4FB6" w:rsidRDefault="0029535C">
      <w:pPr>
        <w:spacing w:before="120" w:after="12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F1A180"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 xml:space="preserve">Artículo 3. </w:t>
      </w:r>
      <w:r w:rsidRPr="002B4FB6">
        <w:rPr>
          <w:rFonts w:ascii="Palatino Linotype" w:eastAsia="Palatino Linotype" w:hAnsi="Palatino Linotype" w:cs="Palatino Linotype"/>
          <w:i/>
          <w:sz w:val="22"/>
          <w:szCs w:val="22"/>
        </w:rPr>
        <w:t>Para los efectos de la presente Ley se entenderá por:</w:t>
      </w:r>
    </w:p>
    <w:p w14:paraId="44CD5037"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p>
    <w:p w14:paraId="138B27F9"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XI. Documento:</w:t>
      </w:r>
      <w:r w:rsidRPr="002B4FB6">
        <w:rPr>
          <w:rFonts w:ascii="Palatino Linotype" w:eastAsia="Palatino Linotype" w:hAnsi="Palatino Linotype" w:cs="Palatino Linotype"/>
          <w:i/>
          <w:sz w:val="22"/>
          <w:szCs w:val="22"/>
        </w:rPr>
        <w:t xml:space="preserve"> Los expedientes, reportes, estudios, actas</w:t>
      </w:r>
      <w:r w:rsidRPr="002B4FB6">
        <w:rPr>
          <w:rFonts w:ascii="Palatino Linotype" w:eastAsia="Palatino Linotype" w:hAnsi="Palatino Linotype" w:cs="Palatino Linotype"/>
          <w:b/>
          <w:i/>
          <w:sz w:val="22"/>
          <w:szCs w:val="22"/>
        </w:rPr>
        <w:t>,</w:t>
      </w:r>
      <w:r w:rsidRPr="002B4FB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C8934B3"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B7AE8A"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sz w:val="22"/>
          <w:szCs w:val="22"/>
        </w:rPr>
        <w:t>“</w:t>
      </w:r>
      <w:r w:rsidRPr="002B4FB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B4FB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AFB31C"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276FDE2"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9F6903C"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3080C10"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06C3997B"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E3CB18"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5F30F2A"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2B4FB6">
        <w:rPr>
          <w:rFonts w:ascii="Palatino Linotype" w:eastAsia="Palatino Linotype" w:hAnsi="Palatino Linotype" w:cs="Palatino Linotype"/>
          <w:b/>
          <w:sz w:val="22"/>
          <w:szCs w:val="22"/>
        </w:rPr>
        <w:t>Recurrente</w:t>
      </w:r>
      <w:r w:rsidRPr="002B4FB6">
        <w:rPr>
          <w:rFonts w:ascii="Palatino Linotype" w:eastAsia="Palatino Linotype" w:hAnsi="Palatino Linotype" w:cs="Palatino Linotype"/>
          <w:sz w:val="22"/>
          <w:szCs w:val="22"/>
        </w:rPr>
        <w:t xml:space="preserve"> requirió al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le proporcione, información consistente en lo siguiente:</w:t>
      </w:r>
    </w:p>
    <w:p w14:paraId="0899A7FC" w14:textId="149ECBC4" w:rsidR="000710B6" w:rsidRPr="002B4FB6" w:rsidRDefault="0029535C">
      <w:pPr>
        <w:spacing w:before="240" w:after="240" w:line="360" w:lineRule="auto"/>
        <w:ind w:left="284"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1. </w:t>
      </w:r>
      <w:r w:rsidR="003517B6" w:rsidRPr="002B4FB6">
        <w:rPr>
          <w:rFonts w:ascii="Palatino Linotype" w:eastAsia="Palatino Linotype" w:hAnsi="Palatino Linotype" w:cs="Palatino Linotype"/>
          <w:sz w:val="22"/>
          <w:szCs w:val="22"/>
        </w:rPr>
        <w:t xml:space="preserve">Padrón catastral actualizado a la fecha de la solicitud </w:t>
      </w:r>
    </w:p>
    <w:p w14:paraId="09CE2D6A" w14:textId="77777777" w:rsidR="000710B6" w:rsidRPr="002B4FB6" w:rsidRDefault="0029535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5B0FE32"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21490F7"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5A0A3489"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48E5FAF"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En el caso particular, es de recordar que la Unidad de Transparencia turnó la solicitud a la Tesorería Municipal, como la dependencia que tiene bajo su adscripción a la Coordinación de Catastro dependiente de la Subdirección de Ingresos, la cual es responsable de:</w:t>
      </w:r>
    </w:p>
    <w:p w14:paraId="74F99656" w14:textId="77777777" w:rsidR="000710B6" w:rsidRPr="002B4FB6" w:rsidRDefault="0029535C">
      <w:pPr>
        <w:spacing w:before="240" w:after="240" w:line="360" w:lineRule="auto"/>
        <w:ind w:left="284"/>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Aplicar los procedimientos técnicos y administrativos determinados por el Instituto de Información e Investigación Geográfica, Estadística y Catastral del Estado de México (IGECEM), para el desarrollo de la actividad catastral en el Municipio;</w:t>
      </w:r>
    </w:p>
    <w:p w14:paraId="26095250" w14:textId="77777777" w:rsidR="000710B6" w:rsidRPr="002B4FB6" w:rsidRDefault="0029535C">
      <w:pPr>
        <w:spacing w:before="240" w:after="240" w:line="360" w:lineRule="auto"/>
        <w:ind w:left="284"/>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Elaborar para su presentación al Ayuntamiento, las propuestas para la actualización o modificación de las Tablas de Valores Unitarios de Suelo y Construcciones, de conformidad con la normatividad establecida para tal efecto;</w:t>
      </w:r>
    </w:p>
    <w:p w14:paraId="4EA77E49" w14:textId="77777777" w:rsidR="000710B6" w:rsidRPr="002B4FB6" w:rsidRDefault="0029535C">
      <w:pPr>
        <w:spacing w:before="240" w:after="240" w:line="360" w:lineRule="auto"/>
        <w:ind w:left="284"/>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Vigilar que la asignación de las claves catastrales se realice conforme a la normatividad vigente establecida en el Manual Catastral del Estado de México;</w:t>
      </w:r>
    </w:p>
    <w:p w14:paraId="0AA48B58" w14:textId="77777777" w:rsidR="000710B6" w:rsidRPr="002B4FB6" w:rsidRDefault="0029535C">
      <w:pPr>
        <w:spacing w:before="240" w:after="240" w:line="360" w:lineRule="auto"/>
        <w:ind w:left="284"/>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Registrar y controlar los bienes inmuebles localizados dentro del territorio municipal, con el objeto de integrar, conservar y mantener actualizados los registros gráfico y alfanumérico del Padrón Catastral municipal;</w:t>
      </w:r>
    </w:p>
    <w:p w14:paraId="658253C2" w14:textId="77777777" w:rsidR="000710B6" w:rsidRPr="002B4FB6" w:rsidRDefault="0029535C">
      <w:pPr>
        <w:spacing w:before="240" w:after="240" w:line="360" w:lineRule="auto"/>
        <w:ind w:left="284"/>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Aplicar las Tablas de Valores Unitarios de Suelo y Construcciones aprobadas por la Legislatura, en la determinación del valor catastral de los inmuebles;</w:t>
      </w:r>
    </w:p>
    <w:p w14:paraId="53D41A6F"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En este sentido, se colige que en el presente asunto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0B06EFD1"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Ahora bien, en respuesta a la solicitud de información la persona servidora pública  habilitada manifestó que la información requerida, tenía el carácter de confidencial en su totalidad con fundamento en los, 3 fracción XX, 122, 132 fracción I, 133, 143 fracciones I y II, 147 y 149 de la Ley de Transparencia y Acceso a la Información Pública del Estado de México y Municipios, 168 y 173 del Código Financiero del Estado de México y Municipios, 21 del Reglamento del Título V Código Financiero del Estado de México y Municipios, 72 de la Ley de Gobierno Digital del Estado de México y de las Políticas Generales ACGC001, ACGC004, y ACGC007 del Manual Catastral del Estado de México, al corresponder con datos relativos al patrimonio de los contribuyentes tales como clave catastral, nombre del propietario o poseedor, RFC del propietario o poseedor, Clave Única de Registro de Población, Ubicación del Predio, Datos del Predio.</w:t>
      </w:r>
    </w:p>
    <w:p w14:paraId="242AD016"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Asimismo, refirió que es posible expedir certificaciones o constancias de los documentos y datos que obren en los archivos de las autoridades catastrales municipales, o el padrón catastral, previa acreditación del interés jurídico o legítimo, el cumplimiento de los requisitos establecidos, y el pago de derechos correspondiente a la solicitud de servicios o productos catastrales.</w:t>
      </w:r>
    </w:p>
    <w:p w14:paraId="197DA773"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De igual forma, indicó que el Padrón Catastral Municipal, se conforma de información pública, tal como lo es el catálogo operativo, el cual únicamente hace referencia de información general sobre un área específica y que conforme a la página del Instituto de Información e Investigación Geográfica, Estadística y Catastral del Estado de México son de carácter público y cualquier persona puede acceder a ellos, en las Tablas de Valores Unitarios de Suelo y Construcciones, información localizada en de las páginas 618 a la 629 del documento adjunto denominado Anexo 1, la cual fue publicada en el Periódico Oficial "Gaceta del Gobierno" de fecha 20 de diciembre 2024.</w:t>
      </w:r>
    </w:p>
    <w:p w14:paraId="048D96E3"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Al no estar conforme con los términos de la respuesta proporcionada, la parte </w:t>
      </w:r>
      <w:r w:rsidRPr="002B4FB6">
        <w:rPr>
          <w:rFonts w:ascii="Palatino Linotype" w:eastAsia="Palatino Linotype" w:hAnsi="Palatino Linotype" w:cs="Palatino Linotype"/>
          <w:b/>
          <w:sz w:val="22"/>
          <w:szCs w:val="22"/>
        </w:rPr>
        <w:t xml:space="preserve">Recurrente </w:t>
      </w:r>
      <w:r w:rsidRPr="002B4FB6">
        <w:rPr>
          <w:rFonts w:ascii="Palatino Linotype" w:eastAsia="Palatino Linotype" w:hAnsi="Palatino Linotype" w:cs="Palatino Linotype"/>
          <w:sz w:val="22"/>
          <w:szCs w:val="22"/>
        </w:rPr>
        <w:t>presentó el recurso de revisión que nos ocupa, por medio del cual alegó que no le fue entregada la información solicitada.</w:t>
      </w:r>
    </w:p>
    <w:p w14:paraId="46E2271B" w14:textId="24D1A4BC"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En la etapa de manifestaciones 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ratificó la respuesta proporcionada en primera instancia, hizo entrega del Acta de la Décima Sesión Extraordinaria del Comité de Transparencia, en la cual se sometió a consideración de los integrantes la propuesta de clasificación como información confidencial en su totalidad, de los documentos que dan respuesta a la solicitud de información 00</w:t>
      </w:r>
      <w:r w:rsidR="00F76D2A" w:rsidRPr="002B4FB6">
        <w:rPr>
          <w:rFonts w:ascii="Palatino Linotype" w:eastAsia="Palatino Linotype" w:hAnsi="Palatino Linotype" w:cs="Palatino Linotype"/>
          <w:sz w:val="22"/>
          <w:szCs w:val="22"/>
        </w:rPr>
        <w:t>439</w:t>
      </w:r>
      <w:r w:rsidRPr="002B4FB6">
        <w:rPr>
          <w:rFonts w:ascii="Palatino Linotype" w:eastAsia="Palatino Linotype" w:hAnsi="Palatino Linotype" w:cs="Palatino Linotype"/>
          <w:sz w:val="22"/>
          <w:szCs w:val="22"/>
        </w:rPr>
        <w:t>/ZINACANT/IP/2025, presentado por la Coordinación de Catastro, e hizo entrega de las páginas 1, 618 a 629 del Periódico Oficial "Gaceta del Gobierno" del Estado de México, publicado el veinte de diciembre de 2024, que contienen las Tablas de Valores Unitarios de Suelo y Construcciones.</w:t>
      </w:r>
    </w:p>
    <w:p w14:paraId="6D0309D4" w14:textId="77777777" w:rsidR="000710B6" w:rsidRPr="002B4FB6" w:rsidRDefault="0029535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Una vez establecidas las posturas de las partes, se procede al análisis del requerimiento de información, así como la información proporcionada por 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 xml:space="preserve">en contraposición con el motivo de inconformidad alegado por la parte </w:t>
      </w:r>
      <w:r w:rsidRPr="002B4FB6">
        <w:rPr>
          <w:rFonts w:ascii="Palatino Linotype" w:eastAsia="Palatino Linotype" w:hAnsi="Palatino Linotype" w:cs="Palatino Linotype"/>
          <w:b/>
          <w:sz w:val="22"/>
          <w:szCs w:val="22"/>
        </w:rPr>
        <w:t xml:space="preserve">Recurrente, </w:t>
      </w:r>
      <w:r w:rsidRPr="002B4FB6">
        <w:rPr>
          <w:rFonts w:ascii="Palatino Linotype" w:eastAsia="Palatino Linotype" w:hAnsi="Palatino Linotype" w:cs="Palatino Linotype"/>
          <w:sz w:val="22"/>
          <w:szCs w:val="22"/>
        </w:rPr>
        <w:t>con la finalidad de determinar si el Derecho de acceso de esta se satisfizo, o, en su defecto, ordenar el soporte documental correspondiente, en caso de ser procedente.</w:t>
      </w:r>
    </w:p>
    <w:p w14:paraId="289CEDBF"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En este sentido, en primer lugar,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como se desprende del artículo 91 de la Ley de la Materia que es del tenor literal siguiente:</w:t>
      </w:r>
    </w:p>
    <w:p w14:paraId="2759893C" w14:textId="77777777" w:rsidR="000710B6" w:rsidRPr="002B4FB6" w:rsidRDefault="0029535C">
      <w:pPr>
        <w:ind w:left="851"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 xml:space="preserve">“Artículo 91. </w:t>
      </w:r>
      <w:r w:rsidRPr="002B4FB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0F29C43"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Sin embargo, es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66618B88"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Debe decirse que la Ley de Transparencia y Acceso a la Información Pública del Estado de México y Municipios, define como </w:t>
      </w:r>
      <w:r w:rsidRPr="002B4FB6">
        <w:rPr>
          <w:rFonts w:ascii="Palatino Linotype" w:eastAsia="Palatino Linotype" w:hAnsi="Palatino Linotype" w:cs="Palatino Linotype"/>
          <w:b/>
          <w:sz w:val="22"/>
          <w:szCs w:val="22"/>
        </w:rPr>
        <w:t xml:space="preserve">información reservada </w:t>
      </w:r>
      <w:r w:rsidRPr="002B4FB6">
        <w:rPr>
          <w:rFonts w:ascii="Palatino Linotype" w:eastAsia="Palatino Linotype" w:hAnsi="Palatino Linotype" w:cs="Palatino Linotype"/>
          <w:sz w:val="22"/>
          <w:szCs w:val="22"/>
        </w:rPr>
        <w:t xml:space="preserve">a la información pública clasificada con este carácter de manera temporal por las disposiciones de la Ley de la Materia, cuya divulgación puede causar daños a las  seguridad pública, y como </w:t>
      </w:r>
      <w:r w:rsidRPr="002B4FB6">
        <w:rPr>
          <w:rFonts w:ascii="Palatino Linotype" w:eastAsia="Palatino Linotype" w:hAnsi="Palatino Linotype" w:cs="Palatino Linotype"/>
          <w:b/>
          <w:sz w:val="22"/>
          <w:szCs w:val="22"/>
        </w:rPr>
        <w:t>información confidencial</w:t>
      </w:r>
      <w:r w:rsidRPr="002B4FB6">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4732CE67"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Corolario a lo anterior, es de precisar que la clasificación de la información no opera por el simple mandato de la Ley, sino que es necesario que los Sujetos Obligados</w:t>
      </w:r>
      <w:r w:rsidRPr="002B4FB6">
        <w:rPr>
          <w:rFonts w:ascii="Palatino Linotype" w:eastAsia="Palatino Linotype" w:hAnsi="Palatino Linotype" w:cs="Palatino Linotype"/>
          <w:b/>
          <w:sz w:val="22"/>
          <w:szCs w:val="22"/>
        </w:rPr>
        <w:t>,</w:t>
      </w:r>
      <w:r w:rsidRPr="002B4FB6">
        <w:rPr>
          <w:rFonts w:ascii="Palatino Linotype" w:eastAsia="Palatino Linotype" w:hAnsi="Palatino Linotype" w:cs="Palatino Linotype"/>
          <w:sz w:val="22"/>
          <w:szCs w:val="22"/>
        </w:rPr>
        <w:t xml:space="preserve">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presentar ante la Unidad de Transparencia la propuesta de la clasificación de la información, para que luego, de así resultar procedente el proyecto de clasificación de la información se presente ante al Comité de Transparencia, y que finalmente, sea este último quien apruebe, modifique o revoque la misma, como se desprende de los artículos 49 fracciones II y VIII, 53 fracción X, y 59 fracción V, de la Ley de Transparencia y Acceso a la Información Pública del Estado de México y Municipios.</w:t>
      </w:r>
    </w:p>
    <w:p w14:paraId="032511C6"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En el caso particular, el Comité de Transparencia del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aprobó la clasificación como confidencial en su totalidad de los documentos referentes al padrón catastral, con fundamento en los en los artículos 3, fracciones XXI y XXIII de la Ley de Transparencia y Acceso a la Información Pública del Estado de México y Municipios y 4, fracciones XI y XII de la Ley de Protección de Datos Personales en Posesión de Sujetos Obligados del Estado de México y Municipios, argumentando  en el documento referido, está constituido en su mayoría por datos personales concernientes al patrimonio de un particular, como lo son las claves catastrales y la ubicación exacta de cada inmueble.</w:t>
      </w:r>
    </w:p>
    <w:p w14:paraId="40278FED"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En tal contexto, para determinar la procedencia de la clasificación del padrón catastral, es oportuno analizar la naturaleza del mismo, para lo cual es imprescindible partir de lo establecido en el artículo 168 del Código Financiero del Estado de México, donde se precisa que el Catastro es el sistema de información territorial, cuyo propósito es integrar, conservar y mantener actualizados el padrón catastral estatal y los padrones municipales de la Entidad; además, el artículo en cita define el padrón catastral es el inventario analítico que contiene los datos técnicos y administrativos de los inmuebles y está conformado por el conjunto de registros geográficos, gráficos, estadísticos, alfanuméricos y elementos y características resultantes de las actividades catastrales.</w:t>
      </w:r>
    </w:p>
    <w:p w14:paraId="48C95D60" w14:textId="77777777" w:rsidR="000710B6" w:rsidRPr="002B4FB6" w:rsidRDefault="0029535C">
      <w:pPr>
        <w:spacing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En correlación con la disposición insertada previamente, el artículo 180 del multicitado Código, detalla la composición del padrón catastral, mismo que se inserta a continuación para mejor proveer del presente estudio: </w:t>
      </w:r>
    </w:p>
    <w:p w14:paraId="70101A64" w14:textId="77777777" w:rsidR="000710B6" w:rsidRPr="002B4FB6" w:rsidRDefault="0029535C">
      <w:pPr>
        <w:spacing w:line="276" w:lineRule="auto"/>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 xml:space="preserve">“Artículo 180.- El padrón catastral </w:t>
      </w:r>
      <w:r w:rsidRPr="002B4FB6">
        <w:rPr>
          <w:rFonts w:ascii="Palatino Linotype" w:eastAsia="Palatino Linotype" w:hAnsi="Palatino Linotype" w:cs="Palatino Linotype"/>
          <w:b/>
          <w:i/>
          <w:sz w:val="22"/>
          <w:szCs w:val="22"/>
          <w:u w:val="single"/>
        </w:rPr>
        <w:t>se integra por un registro alfanumérico y un registro gráfico y deberán contener los datos, catálogos y especificaciones establecidos en el reglamento de este Título</w:t>
      </w:r>
      <w:r w:rsidRPr="002B4FB6">
        <w:rPr>
          <w:rFonts w:ascii="Palatino Linotype" w:eastAsia="Palatino Linotype" w:hAnsi="Palatino Linotype" w:cs="Palatino Linotype"/>
          <w:b/>
          <w:i/>
          <w:sz w:val="22"/>
          <w:szCs w:val="22"/>
        </w:rPr>
        <w:t>, el Manual Catastral y demás disposiciones aplicables a la materia.”</w:t>
      </w:r>
    </w:p>
    <w:p w14:paraId="34D16B76"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De manera que como se visualiza con la cita insertada a previamente, el padrón catastral se compone de dos registros respectivamente: uno que es alfanumérico y otro que es el registro gráfico, por lo que bajo esta línea de pensamiento conviene desglosar los elementos que contienen tanto el registro alfanumérico como el gráfico, para lo cual, es necesario traer a colación lo referido por el artículo 29 del Reglamento del Título Quinto del Código Financiero del Estado de México y Municipios, Denominado “Del Catastro”: </w:t>
      </w:r>
    </w:p>
    <w:p w14:paraId="61144E87"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Artículo 29.- Los datos, catálogos y especificaciones a que se refiere el artículo 180 del Código, serán como mínimo los siguientes:</w:t>
      </w:r>
    </w:p>
    <w:p w14:paraId="631587E1"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u w:val="single"/>
        </w:rPr>
      </w:pPr>
      <w:r w:rsidRPr="002B4FB6">
        <w:rPr>
          <w:rFonts w:ascii="Palatino Linotype" w:eastAsia="Palatino Linotype" w:hAnsi="Palatino Linotype" w:cs="Palatino Linotype"/>
          <w:b/>
          <w:i/>
          <w:sz w:val="22"/>
          <w:szCs w:val="22"/>
          <w:u w:val="single"/>
        </w:rPr>
        <w:t>I. El registro alfanumérico deberá contener:</w:t>
      </w:r>
    </w:p>
    <w:p w14:paraId="4C0A9FB9"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A. Datos del inmueble:</w:t>
      </w:r>
    </w:p>
    <w:p w14:paraId="4E9E6601"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1. Clave catastral.</w:t>
      </w:r>
    </w:p>
    <w:p w14:paraId="2DBC207C"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2. </w:t>
      </w:r>
      <w:r w:rsidRPr="002B4FB6">
        <w:rPr>
          <w:rFonts w:ascii="Palatino Linotype" w:eastAsia="Palatino Linotype" w:hAnsi="Palatino Linotype" w:cs="Palatino Linotype"/>
          <w:b/>
          <w:i/>
          <w:sz w:val="22"/>
          <w:szCs w:val="22"/>
        </w:rPr>
        <w:t>Nombre del propietario o poseedor.</w:t>
      </w:r>
    </w:p>
    <w:p w14:paraId="25371302"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3. Clave Única de Registro de Población (CURP).</w:t>
      </w:r>
    </w:p>
    <w:p w14:paraId="4CE10506"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4. Ubicación del predio.</w:t>
      </w:r>
    </w:p>
    <w:p w14:paraId="6F8A9417"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5. Domicilio para recibir notificaciones.</w:t>
      </w:r>
    </w:p>
    <w:p w14:paraId="32601930"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6. Superficie total del terreno.</w:t>
      </w:r>
    </w:p>
    <w:p w14:paraId="2BB31065"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7. Superficie privativa del terreno en condominio.</w:t>
      </w:r>
    </w:p>
    <w:p w14:paraId="0F88B0E3"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8. Superficie común del terreno en condominio</w:t>
      </w:r>
    </w:p>
    <w:p w14:paraId="09F69ECE"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9. Características del terreno.</w:t>
      </w:r>
    </w:p>
    <w:p w14:paraId="5536EA00"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10.Superficie total de construcción.</w:t>
      </w:r>
    </w:p>
    <w:p w14:paraId="36BBDF70"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11.Superficie privativa de la construcción en condominio.</w:t>
      </w:r>
    </w:p>
    <w:p w14:paraId="60779291"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12.Superficie común de la construcción en condominio.</w:t>
      </w:r>
    </w:p>
    <w:p w14:paraId="663EBE6F"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13.Características de la construcción.</w:t>
      </w:r>
    </w:p>
    <w:p w14:paraId="101C8889"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14.Uso del Suelo.</w:t>
      </w:r>
    </w:p>
    <w:p w14:paraId="31AEABF0"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15.Uso específico del predio.</w:t>
      </w:r>
    </w:p>
    <w:p w14:paraId="1506EA8F"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16.Régimen jurídico de la propiedad.</w:t>
      </w:r>
    </w:p>
    <w:p w14:paraId="456137A8"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17. Valor catastral total.</w:t>
      </w:r>
    </w:p>
    <w:p w14:paraId="3DA0FB5A"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18. Valor catastral del terreno.</w:t>
      </w:r>
    </w:p>
    <w:p w14:paraId="63D784EF"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u w:val="single"/>
        </w:rPr>
      </w:pPr>
      <w:r w:rsidRPr="002B4FB6">
        <w:rPr>
          <w:rFonts w:ascii="Palatino Linotype" w:eastAsia="Palatino Linotype" w:hAnsi="Palatino Linotype" w:cs="Palatino Linotype"/>
          <w:b/>
          <w:i/>
          <w:sz w:val="22"/>
          <w:szCs w:val="22"/>
        </w:rPr>
        <w:t>19. Valor catastral de la construcción</w:t>
      </w:r>
      <w:r w:rsidRPr="002B4FB6">
        <w:rPr>
          <w:rFonts w:ascii="Palatino Linotype" w:eastAsia="Palatino Linotype" w:hAnsi="Palatino Linotype" w:cs="Palatino Linotype"/>
          <w:b/>
          <w:i/>
          <w:sz w:val="22"/>
          <w:szCs w:val="22"/>
          <w:u w:val="single"/>
        </w:rPr>
        <w:t>.</w:t>
      </w:r>
    </w:p>
    <w:p w14:paraId="5E13AB79"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u w:val="single"/>
        </w:rPr>
      </w:pPr>
      <w:r w:rsidRPr="002B4FB6">
        <w:rPr>
          <w:rFonts w:ascii="Palatino Linotype" w:eastAsia="Palatino Linotype" w:hAnsi="Palatino Linotype" w:cs="Palatino Linotype"/>
          <w:b/>
          <w:i/>
          <w:sz w:val="22"/>
          <w:szCs w:val="22"/>
          <w:u w:val="single"/>
        </w:rPr>
        <w:t>B. Catálogos operativos:</w:t>
      </w:r>
    </w:p>
    <w:p w14:paraId="33A63B51"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 Localidades.</w:t>
      </w:r>
    </w:p>
    <w:p w14:paraId="0B3E5DA8"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2. Colonias.</w:t>
      </w:r>
    </w:p>
    <w:p w14:paraId="729BB797"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3. Áreas Homogéneas.</w:t>
      </w:r>
    </w:p>
    <w:p w14:paraId="5ADF1995"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4. Tipologías de construcción.</w:t>
      </w:r>
    </w:p>
    <w:p w14:paraId="3BE5618A"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5. Bandas de valor.</w:t>
      </w:r>
    </w:p>
    <w:p w14:paraId="69DBC100"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6. Manzanas.</w:t>
      </w:r>
    </w:p>
    <w:p w14:paraId="2E87FCFC"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7. Calles.</w:t>
      </w:r>
    </w:p>
    <w:p w14:paraId="32011D2C" w14:textId="77777777" w:rsidR="000710B6" w:rsidRPr="002B4FB6" w:rsidRDefault="000710B6">
      <w:pPr>
        <w:spacing w:before="120" w:after="120"/>
        <w:ind w:left="851" w:right="851"/>
        <w:jc w:val="both"/>
        <w:rPr>
          <w:rFonts w:ascii="Palatino Linotype" w:eastAsia="Palatino Linotype" w:hAnsi="Palatino Linotype" w:cs="Palatino Linotype"/>
          <w:i/>
          <w:sz w:val="22"/>
          <w:szCs w:val="22"/>
        </w:rPr>
      </w:pPr>
    </w:p>
    <w:p w14:paraId="6FC901B7"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u w:val="single"/>
        </w:rPr>
      </w:pPr>
      <w:r w:rsidRPr="002B4FB6">
        <w:rPr>
          <w:rFonts w:ascii="Palatino Linotype" w:eastAsia="Palatino Linotype" w:hAnsi="Palatino Linotype" w:cs="Palatino Linotype"/>
          <w:b/>
          <w:i/>
          <w:sz w:val="22"/>
          <w:szCs w:val="22"/>
          <w:u w:val="single"/>
        </w:rPr>
        <w:t>C. Catálogos normativos:</w:t>
      </w:r>
    </w:p>
    <w:p w14:paraId="0D53B66E"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 Delegaciones regionales.</w:t>
      </w:r>
    </w:p>
    <w:p w14:paraId="5F8A51A2"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2. Municipios.</w:t>
      </w:r>
    </w:p>
    <w:p w14:paraId="586A8C1E"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3. Tipos de vialidad</w:t>
      </w:r>
    </w:p>
    <w:p w14:paraId="0A8E33B1"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4. Régimen de propiedad.</w:t>
      </w:r>
    </w:p>
    <w:p w14:paraId="0C61CA25"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5. Uso del suelo.</w:t>
      </w:r>
    </w:p>
    <w:p w14:paraId="1E94B3CD"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6. Usos específicos de los predios.</w:t>
      </w:r>
    </w:p>
    <w:p w14:paraId="49C28874"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7. Tipos de mérito / demérito.</w:t>
      </w:r>
    </w:p>
    <w:p w14:paraId="46F9A0D5"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8. Factores de mérito / demérito.</w:t>
      </w:r>
    </w:p>
    <w:p w14:paraId="719BEB49" w14:textId="77777777" w:rsidR="000710B6" w:rsidRPr="002B4FB6" w:rsidRDefault="000710B6">
      <w:pPr>
        <w:spacing w:before="120" w:after="120"/>
        <w:ind w:left="851" w:right="851"/>
        <w:jc w:val="both"/>
        <w:rPr>
          <w:rFonts w:ascii="Palatino Linotype" w:eastAsia="Palatino Linotype" w:hAnsi="Palatino Linotype" w:cs="Palatino Linotype"/>
          <w:b/>
          <w:i/>
          <w:sz w:val="22"/>
          <w:szCs w:val="22"/>
        </w:rPr>
      </w:pPr>
    </w:p>
    <w:p w14:paraId="059E3C8B"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II. El registro gráfico deberá contener:</w:t>
      </w:r>
    </w:p>
    <w:p w14:paraId="22855F10"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u w:val="single"/>
        </w:rPr>
      </w:pPr>
      <w:r w:rsidRPr="002B4FB6">
        <w:rPr>
          <w:rFonts w:ascii="Palatino Linotype" w:eastAsia="Palatino Linotype" w:hAnsi="Palatino Linotype" w:cs="Palatino Linotype"/>
          <w:b/>
          <w:i/>
          <w:sz w:val="22"/>
          <w:szCs w:val="22"/>
          <w:u w:val="single"/>
        </w:rPr>
        <w:t>A. Tratándose de la cartografía vectorial catastral a nivel de manzana:</w:t>
      </w:r>
    </w:p>
    <w:p w14:paraId="719CB5FC"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 Delimitación municipal.</w:t>
      </w:r>
    </w:p>
    <w:p w14:paraId="23FE8833"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2. Delimitación de zonas catastrales.</w:t>
      </w:r>
    </w:p>
    <w:p w14:paraId="76BBC58B"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3. Delimitación de áreas homogéneas.</w:t>
      </w:r>
    </w:p>
    <w:p w14:paraId="1C966E78"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4. Delimitación de bandas de valor.</w:t>
      </w:r>
    </w:p>
    <w:p w14:paraId="5218A691"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5. Delimitación y código de manzanas.</w:t>
      </w:r>
    </w:p>
    <w:p w14:paraId="16BAF2A1"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6. Código de clave de calle.</w:t>
      </w:r>
    </w:p>
    <w:p w14:paraId="1CFAB7D3"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7. Nombre de la calle.</w:t>
      </w:r>
    </w:p>
    <w:p w14:paraId="596AC901" w14:textId="77777777" w:rsidR="000710B6" w:rsidRPr="002B4FB6" w:rsidRDefault="0029535C">
      <w:pPr>
        <w:spacing w:before="120" w:after="120"/>
        <w:ind w:left="851" w:right="851"/>
        <w:jc w:val="both"/>
        <w:rPr>
          <w:rFonts w:ascii="Palatino Linotype" w:eastAsia="Palatino Linotype" w:hAnsi="Palatino Linotype" w:cs="Palatino Linotype"/>
          <w:b/>
          <w:i/>
          <w:sz w:val="22"/>
          <w:szCs w:val="22"/>
          <w:u w:val="single"/>
        </w:rPr>
      </w:pPr>
      <w:r w:rsidRPr="002B4FB6">
        <w:rPr>
          <w:rFonts w:ascii="Palatino Linotype" w:eastAsia="Palatino Linotype" w:hAnsi="Palatino Linotype" w:cs="Palatino Linotype"/>
          <w:b/>
          <w:i/>
          <w:sz w:val="22"/>
          <w:szCs w:val="22"/>
          <w:u w:val="single"/>
        </w:rPr>
        <w:t>B. En el caso de la cartografía vectorial catastral a nivel de predio, además de lo anterior:</w:t>
      </w:r>
    </w:p>
    <w:p w14:paraId="70AE23C5"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1. Clave catastral.</w:t>
      </w:r>
    </w:p>
    <w:p w14:paraId="639F38CC"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2. Delimitación del predio.</w:t>
      </w:r>
    </w:p>
    <w:p w14:paraId="6E52CA3D"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3. Superficie total de terreno.</w:t>
      </w:r>
    </w:p>
    <w:p w14:paraId="79258815"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4. Perímetro y superficie de las construcciones.</w:t>
      </w:r>
    </w:p>
    <w:p w14:paraId="2FE28CA2"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5. Representación del número de niveles de las construcciones.</w:t>
      </w:r>
    </w:p>
    <w:p w14:paraId="2139F832"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6. Número oficial.”</w:t>
      </w:r>
    </w:p>
    <w:p w14:paraId="47F36BBB"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Delimitado lo anterior, se advierte que existen dos elementos que componen al padrón catastral: </w:t>
      </w:r>
      <w:r w:rsidRPr="002B4FB6">
        <w:rPr>
          <w:rFonts w:ascii="Palatino Linotype" w:eastAsia="Palatino Linotype" w:hAnsi="Palatino Linotype" w:cs="Palatino Linotype"/>
          <w:b/>
          <w:sz w:val="22"/>
          <w:szCs w:val="22"/>
          <w:u w:val="single"/>
        </w:rPr>
        <w:t>el registro alfanumérico y el registro gráfico</w:t>
      </w:r>
      <w:r w:rsidRPr="002B4FB6">
        <w:rPr>
          <w:rFonts w:ascii="Palatino Linotype" w:eastAsia="Palatino Linotype" w:hAnsi="Palatino Linotype" w:cs="Palatino Linotype"/>
          <w:sz w:val="22"/>
          <w:szCs w:val="22"/>
        </w:rPr>
        <w:t>.</w:t>
      </w:r>
    </w:p>
    <w:p w14:paraId="6078CF68" w14:textId="77777777" w:rsidR="000710B6" w:rsidRPr="002B4FB6" w:rsidRDefault="000710B6">
      <w:pPr>
        <w:spacing w:before="240" w:after="240" w:line="360" w:lineRule="auto"/>
        <w:ind w:right="51"/>
        <w:jc w:val="both"/>
        <w:rPr>
          <w:rFonts w:ascii="Palatino Linotype" w:eastAsia="Palatino Linotype" w:hAnsi="Palatino Linotype" w:cs="Palatino Linotype"/>
          <w:sz w:val="22"/>
          <w:szCs w:val="22"/>
        </w:rPr>
      </w:pPr>
    </w:p>
    <w:p w14:paraId="15B9A6E5" w14:textId="77777777" w:rsidR="000710B6" w:rsidRPr="002B4FB6" w:rsidRDefault="0029535C">
      <w:pPr>
        <w:numPr>
          <w:ilvl w:val="0"/>
          <w:numId w:val="2"/>
        </w:numPr>
        <w:pBdr>
          <w:top w:val="nil"/>
          <w:left w:val="nil"/>
          <w:bottom w:val="nil"/>
          <w:right w:val="nil"/>
          <w:between w:val="nil"/>
        </w:pBdr>
        <w:spacing w:before="240" w:after="240" w:line="360" w:lineRule="auto"/>
        <w:ind w:left="567" w:right="51" w:hanging="141"/>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Del registro alfanumérico</w:t>
      </w:r>
    </w:p>
    <w:p w14:paraId="0E445811" w14:textId="77777777" w:rsidR="000710B6" w:rsidRPr="002B4FB6" w:rsidRDefault="0029535C">
      <w:pPr>
        <w:spacing w:before="240" w:after="240" w:line="360" w:lineRule="auto"/>
        <w:ind w:right="51"/>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sz w:val="22"/>
          <w:szCs w:val="22"/>
        </w:rPr>
        <w:t xml:space="preserve">Previo análisis de este registro, resulta importante señalar que se compone de tres elementos: </w:t>
      </w:r>
      <w:r w:rsidRPr="002B4FB6">
        <w:rPr>
          <w:rFonts w:ascii="Palatino Linotype" w:eastAsia="Palatino Linotype" w:hAnsi="Palatino Linotype" w:cs="Palatino Linotype"/>
          <w:b/>
          <w:sz w:val="22"/>
          <w:szCs w:val="22"/>
        </w:rPr>
        <w:t>datos del inmueble, catálogos operativos y catálogos normativos.</w:t>
      </w:r>
    </w:p>
    <w:p w14:paraId="6EF3327B"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En este sentido, se entienden </w:t>
      </w:r>
      <w:r w:rsidRPr="002B4FB6">
        <w:rPr>
          <w:rFonts w:ascii="Palatino Linotype" w:eastAsia="Palatino Linotype" w:hAnsi="Palatino Linotype" w:cs="Palatino Linotype"/>
          <w:b/>
          <w:sz w:val="22"/>
          <w:szCs w:val="22"/>
          <w:u w:val="single"/>
        </w:rPr>
        <w:t>los datos del inmueble</w:t>
      </w:r>
      <w:r w:rsidRPr="002B4FB6">
        <w:rPr>
          <w:rFonts w:ascii="Palatino Linotype" w:eastAsia="Palatino Linotype" w:hAnsi="Palatino Linotype" w:cs="Palatino Linotype"/>
          <w:sz w:val="22"/>
          <w:szCs w:val="22"/>
        </w:rPr>
        <w:t xml:space="preserve"> como aquellos que dan cuenta de la propiedad de una persona sobre el bien, como por ejemplo: la clave catastral, nombre del propietario, ubicación del predio, uso del suelo, régimen jurídico de la propiedad, valor del terreno, valor de la construcción, etc, por lo tanto, se determina que estos datos conducen a la identificación de predios que son propiedad de los particulares, en consecuencia, </w:t>
      </w:r>
      <w:r w:rsidRPr="002B4FB6">
        <w:rPr>
          <w:rFonts w:ascii="Palatino Linotype" w:eastAsia="Palatino Linotype" w:hAnsi="Palatino Linotype" w:cs="Palatino Linotype"/>
          <w:b/>
          <w:sz w:val="22"/>
          <w:szCs w:val="22"/>
        </w:rPr>
        <w:t>no es susceptible de entrega esta información y, por el contrario, procede su clasificación como confidencial</w:t>
      </w:r>
      <w:r w:rsidRPr="002B4FB6">
        <w:rPr>
          <w:rFonts w:ascii="Palatino Linotype" w:eastAsia="Palatino Linotype" w:hAnsi="Palatino Linotype" w:cs="Palatino Linotype"/>
          <w:sz w:val="22"/>
          <w:szCs w:val="22"/>
        </w:rPr>
        <w:t>, de conformidad con lo dispuesto en los artículos 3, fracciones IX, XX y XXI, 91, y 143 fracción I de la Ley de Transparencia y Acceso a la Información Pública del Estado de México y Municipios porque se trata de información de carácter patrimonial que puede vincularse a particulares.</w:t>
      </w:r>
    </w:p>
    <w:p w14:paraId="02E47C44"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Asimismo, atendiendo a la naturaleza de la información que se solicita, no obsta mencionar que la información relativa a los bienes inmuebles propiedad de instituciones públicas o bienes de dominio público que se encuentre contenida en el padrón catastral, no actualiza la causal de clasificación establecida en el artículo 143, fracción I, de la Ley de Transparencia y Acceso a la Información Pública del Estado de México y Municipios, pues se trata del patrimonio con el que cuentan, el cual es administrado y utilizado por las entidades gubernamentales para cumplir con sus funciones, razón por la cual únicamente es susceptible de clasificación bajo dicho supuesto la información relativa a los predios propiedad de particulares.</w:t>
      </w:r>
    </w:p>
    <w:p w14:paraId="127FFF9E"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Por cuanto hace a </w:t>
      </w:r>
      <w:r w:rsidRPr="002B4FB6">
        <w:rPr>
          <w:rFonts w:ascii="Palatino Linotype" w:eastAsia="Palatino Linotype" w:hAnsi="Palatino Linotype" w:cs="Palatino Linotype"/>
          <w:b/>
          <w:sz w:val="22"/>
          <w:szCs w:val="22"/>
          <w:u w:val="single"/>
        </w:rPr>
        <w:t>los catálogos operativos</w:t>
      </w:r>
      <w:r w:rsidRPr="002B4FB6">
        <w:rPr>
          <w:rFonts w:ascii="Palatino Linotype" w:eastAsia="Palatino Linotype" w:hAnsi="Palatino Linotype" w:cs="Palatino Linotype"/>
          <w:sz w:val="22"/>
          <w:szCs w:val="22"/>
        </w:rPr>
        <w:t xml:space="preserve">, se tiene que este rubro se compone por información de las localidades, colonias, áreas homogéneas, tipologías de construcción, bandas de valor, manzanas y calles.  Resulta importante destacar que conforme a lo dispuesto por el Manual Catastral del Estado de México, estos elementos a su vez se remiten al Instituto de Información e Investigación Geográfica, Estadística y Catastral del Estado de México (IGECEM) para permitir la aplicación del modelo de valuación catastral. Dicha valuación, en términos del Reglamento del Título Quinto del Código Financiero del Estado de México y Municipios, Denominado “Del Catastro”, se define como la actividad que determina el valor catastral de los inmuebles, aplicando estrictamente las Tablas de Valores Unitarios de Suelo y Construcciones aprobadas por la Legislatura y las normas, lineamientos y procedimientos establecidos en este Reglamento y el Manual Catastral. No podemos perder de vista que su utilidad se encuentra cuando la persona física o jurídica colectiva, la dependencia o entidad pública estatal o municipal requiere conocer el valor catastral de un inmueble, </w:t>
      </w:r>
      <w:r w:rsidRPr="002B4FB6">
        <w:rPr>
          <w:rFonts w:ascii="Palatino Linotype" w:eastAsia="Palatino Linotype" w:hAnsi="Palatino Linotype" w:cs="Palatino Linotype"/>
          <w:b/>
          <w:sz w:val="22"/>
          <w:szCs w:val="22"/>
          <w:u w:val="single"/>
        </w:rPr>
        <w:t>principalmente para efecto de la determinación correcta de la base gravable para calcular el monto de pago de impuestos y derechos sobre el bien de que se trate, como puede ser el cálculo del impuesto predial</w:t>
      </w:r>
      <w:r w:rsidRPr="002B4FB6">
        <w:rPr>
          <w:rFonts w:ascii="Palatino Linotype" w:eastAsia="Palatino Linotype" w:hAnsi="Palatino Linotype" w:cs="Palatino Linotype"/>
          <w:b/>
          <w:sz w:val="22"/>
          <w:szCs w:val="22"/>
        </w:rPr>
        <w:t xml:space="preserve">, </w:t>
      </w:r>
      <w:r w:rsidRPr="002B4FB6">
        <w:rPr>
          <w:rFonts w:ascii="Palatino Linotype" w:eastAsia="Palatino Linotype" w:hAnsi="Palatino Linotype" w:cs="Palatino Linotype"/>
          <w:sz w:val="22"/>
          <w:szCs w:val="22"/>
        </w:rPr>
        <w:t xml:space="preserve">por lo tanto, </w:t>
      </w:r>
      <w:r w:rsidRPr="002B4FB6">
        <w:rPr>
          <w:rFonts w:ascii="Palatino Linotype" w:eastAsia="Palatino Linotype" w:hAnsi="Palatino Linotype" w:cs="Palatino Linotype"/>
          <w:b/>
          <w:sz w:val="22"/>
          <w:szCs w:val="22"/>
        </w:rPr>
        <w:t>se considera que esta información es susceptible de darse a conocer al público, pues reviste un interés a la colectividad al formar parte de los elementos que permiten la implementación de la valuación catastral</w:t>
      </w:r>
      <w:r w:rsidRPr="002B4FB6">
        <w:rPr>
          <w:rFonts w:ascii="Palatino Linotype" w:eastAsia="Palatino Linotype" w:hAnsi="Palatino Linotype" w:cs="Palatino Linotype"/>
          <w:sz w:val="22"/>
          <w:szCs w:val="22"/>
        </w:rPr>
        <w:t xml:space="preserve"> que a su vez sirve para el cálculo de impuestos o derechos.</w:t>
      </w:r>
    </w:p>
    <w:p w14:paraId="537E0BBE"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Finalmente, sobre este apartado tenemos a los </w:t>
      </w:r>
      <w:r w:rsidRPr="002B4FB6">
        <w:rPr>
          <w:rFonts w:ascii="Palatino Linotype" w:eastAsia="Palatino Linotype" w:hAnsi="Palatino Linotype" w:cs="Palatino Linotype"/>
          <w:b/>
          <w:sz w:val="22"/>
          <w:szCs w:val="22"/>
          <w:u w:val="single"/>
        </w:rPr>
        <w:t>catálogos normativos</w:t>
      </w:r>
      <w:r w:rsidRPr="002B4FB6">
        <w:rPr>
          <w:rFonts w:ascii="Palatino Linotype" w:eastAsia="Palatino Linotype" w:hAnsi="Palatino Linotype" w:cs="Palatino Linotype"/>
          <w:sz w:val="22"/>
          <w:szCs w:val="22"/>
        </w:rPr>
        <w:t xml:space="preserve">, se advierte que contienen los siguientes elementos: delegaciones regionales, municipios, tipos de vialidad, régimen de propiedad, </w:t>
      </w:r>
      <w:r w:rsidRPr="002B4FB6">
        <w:rPr>
          <w:rFonts w:ascii="Palatino Linotype" w:eastAsia="Palatino Linotype" w:hAnsi="Palatino Linotype" w:cs="Palatino Linotype"/>
          <w:b/>
          <w:sz w:val="22"/>
          <w:szCs w:val="22"/>
          <w:u w:val="single"/>
        </w:rPr>
        <w:t>uso del suelo</w:t>
      </w:r>
      <w:r w:rsidRPr="002B4FB6">
        <w:rPr>
          <w:rFonts w:ascii="Palatino Linotype" w:eastAsia="Palatino Linotype" w:hAnsi="Palatino Linotype" w:cs="Palatino Linotype"/>
          <w:sz w:val="22"/>
          <w:szCs w:val="22"/>
        </w:rPr>
        <w:t xml:space="preserve">, usos específicos de los predios, tipos de mérito / demérito y factores de mérito / demérito, por lo que dentro de dicha información pudiera encontrarse tanto información de acceso público, como confidencial en términos de lo dispuesto por la fracción I del artículo 143 de la Ley de Transparencia y Acceso a la Información Pública del Estado de México y Municipios, pues como se detalló en líneas anteriores, cierta información pudiera vincularse con información de carácter patrimonial de particulares, no obstante, respecto de los otros elementos que conforman estos catálogos como delegaciones regionales, municipios, tipos de vialidad y los tipos de mérito / demérito y factores de mérito / demérito 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deberá analizar la información para efecto de determinar si le reviste acceso público.</w:t>
      </w:r>
    </w:p>
    <w:p w14:paraId="25956379" w14:textId="77777777" w:rsidR="000710B6" w:rsidRPr="002B4FB6" w:rsidRDefault="0029535C">
      <w:pPr>
        <w:spacing w:before="240" w:after="240" w:line="360" w:lineRule="auto"/>
        <w:ind w:right="51"/>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 xml:space="preserve">Del registro gráfico </w:t>
      </w:r>
    </w:p>
    <w:p w14:paraId="6F15DE90" w14:textId="77777777" w:rsidR="000710B6" w:rsidRPr="002B4FB6" w:rsidRDefault="0029535C">
      <w:pPr>
        <w:spacing w:after="16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De conformidad con el Manual Catastral del Estado de México, el propósito de la actualización del registro gráfico es el siguiente: </w:t>
      </w:r>
    </w:p>
    <w:p w14:paraId="350830B3" w14:textId="77777777" w:rsidR="000710B6" w:rsidRPr="002B4FB6" w:rsidRDefault="0029535C">
      <w:pPr>
        <w:spacing w:after="160" w:line="259" w:lineRule="auto"/>
        <w:ind w:left="567"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“VI. Actualización Del Registro Gráfico </w:t>
      </w:r>
    </w:p>
    <w:p w14:paraId="16411C92" w14:textId="77777777" w:rsidR="000710B6" w:rsidRPr="002B4FB6" w:rsidRDefault="0029535C">
      <w:pPr>
        <w:spacing w:after="160" w:line="259" w:lineRule="auto"/>
        <w:ind w:left="567"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VI.I. OBJETIVO </w:t>
      </w:r>
    </w:p>
    <w:p w14:paraId="5AF1C2D6" w14:textId="77777777" w:rsidR="000710B6" w:rsidRPr="002B4FB6" w:rsidRDefault="0029535C">
      <w:pPr>
        <w:spacing w:after="160" w:line="259" w:lineRule="auto"/>
        <w:ind w:left="567"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Dar a conocer las políticas, lineamientos y procedimientos para la representación y actualización del registro gráfico del padrón catastral, al personal responsable de </w:t>
      </w:r>
      <w:r w:rsidRPr="002B4FB6">
        <w:rPr>
          <w:rFonts w:ascii="Palatino Linotype" w:eastAsia="Palatino Linotype" w:hAnsi="Palatino Linotype" w:cs="Palatino Linotype"/>
          <w:b/>
          <w:i/>
          <w:sz w:val="22"/>
          <w:szCs w:val="22"/>
        </w:rPr>
        <w:t>llevar a cabo la actualización de la cartografía lineal catastral respecto de los inmuebles y las manzanas ubicadas en los territorios municipales correspondientes</w:t>
      </w:r>
      <w:r w:rsidRPr="002B4FB6">
        <w:rPr>
          <w:rFonts w:ascii="Palatino Linotype" w:eastAsia="Palatino Linotype" w:hAnsi="Palatino Linotype" w:cs="Palatino Linotype"/>
          <w:i/>
          <w:sz w:val="22"/>
          <w:szCs w:val="22"/>
        </w:rPr>
        <w:t>.”</w:t>
      </w:r>
    </w:p>
    <w:p w14:paraId="07CC759F" w14:textId="77777777" w:rsidR="000710B6" w:rsidRPr="002B4FB6" w:rsidRDefault="0029535C">
      <w:pPr>
        <w:spacing w:after="160" w:line="259"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Para ello, se divide en dos, a saber: </w:t>
      </w:r>
    </w:p>
    <w:p w14:paraId="49C8FB20" w14:textId="77777777" w:rsidR="000710B6" w:rsidRPr="002B4FB6" w:rsidRDefault="0029535C">
      <w:pPr>
        <w:spacing w:after="160" w:line="259" w:lineRule="auto"/>
        <w:ind w:right="49"/>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A. De la cartografía vectorial catastral a nivel de manzana:</w:t>
      </w:r>
    </w:p>
    <w:p w14:paraId="3E56D477" w14:textId="77777777" w:rsidR="000710B6" w:rsidRPr="002B4FB6" w:rsidRDefault="0029535C">
      <w:pPr>
        <w:spacing w:after="16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La cual contiene: </w:t>
      </w:r>
      <w:r w:rsidRPr="002B4FB6">
        <w:rPr>
          <w:rFonts w:ascii="Palatino Linotype" w:eastAsia="Palatino Linotype" w:hAnsi="Palatino Linotype" w:cs="Palatino Linotype"/>
          <w:b/>
          <w:sz w:val="22"/>
          <w:szCs w:val="22"/>
        </w:rPr>
        <w:t xml:space="preserve">Delimitación municipal, delimitación de zonas catastrales, delimitación de áreas homogéneas, delimitación de bandas de valor, delimitación y código de manzanas, código de clave de calle y nombre de la calle, </w:t>
      </w:r>
      <w:r w:rsidRPr="002B4FB6">
        <w:rPr>
          <w:rFonts w:ascii="Palatino Linotype" w:eastAsia="Palatino Linotype" w:hAnsi="Palatino Linotype" w:cs="Palatino Linotype"/>
          <w:sz w:val="22"/>
          <w:szCs w:val="22"/>
        </w:rPr>
        <w:t xml:space="preserve">es de vital importancia señalar que de estos elementos se advierte que la cartografía hace referencia a una generalidad, es decir, a las manzanas dentro de los territorios municipales, no así a predios en específico, por lo tanto, con su entrega, no se estarían identificando inmuebles o información de carácter patrimonial concerniente a particulares, tal como se desprende de la siguiente imagen: </w:t>
      </w:r>
    </w:p>
    <w:p w14:paraId="2421AAE8" w14:textId="77777777" w:rsidR="000710B6" w:rsidRPr="002B4FB6" w:rsidRDefault="0029535C">
      <w:pPr>
        <w:spacing w:after="16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noProof/>
          <w:sz w:val="22"/>
          <w:szCs w:val="22"/>
        </w:rPr>
        <w:drawing>
          <wp:inline distT="0" distB="0" distL="0" distR="0" wp14:anchorId="5CA5B81B" wp14:editId="5C94C7FC">
            <wp:extent cx="5581015" cy="2352675"/>
            <wp:effectExtent l="9525" t="9525" r="9525" b="9525"/>
            <wp:docPr id="21401318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9023"/>
                    <a:stretch>
                      <a:fillRect/>
                    </a:stretch>
                  </pic:blipFill>
                  <pic:spPr>
                    <a:xfrm>
                      <a:off x="0" y="0"/>
                      <a:ext cx="5581015" cy="2352675"/>
                    </a:xfrm>
                    <a:prstGeom prst="rect">
                      <a:avLst/>
                    </a:prstGeom>
                    <a:ln w="9525">
                      <a:solidFill>
                        <a:srgbClr val="000000"/>
                      </a:solidFill>
                      <a:prstDash val="solid"/>
                    </a:ln>
                  </pic:spPr>
                </pic:pic>
              </a:graphicData>
            </a:graphic>
          </wp:inline>
        </w:drawing>
      </w:r>
    </w:p>
    <w:p w14:paraId="3AA6394F" w14:textId="77777777" w:rsidR="000710B6" w:rsidRPr="002B4FB6" w:rsidRDefault="0029535C">
      <w:pPr>
        <w:spacing w:after="16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Aunado a lo anterior, el portal del Instituto de Información e Investigación Geográfica, Estadística y Catastral del Estado de México (IGECEM), dentro de sus servicios catastrales publica la cartografía a nivel manzana aplicable a los ejercicios fiscales, de manera ilustrativa se inserta la cartografía correspondiente al año 2019:</w:t>
      </w:r>
    </w:p>
    <w:p w14:paraId="15F159ED" w14:textId="77777777" w:rsidR="000710B6" w:rsidRPr="002B4FB6" w:rsidRDefault="0029535C">
      <w:pPr>
        <w:spacing w:after="16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noProof/>
          <w:sz w:val="22"/>
          <w:szCs w:val="22"/>
        </w:rPr>
        <w:drawing>
          <wp:inline distT="0" distB="0" distL="0" distR="0" wp14:anchorId="52C90921" wp14:editId="05701720">
            <wp:extent cx="5581015" cy="3594100"/>
            <wp:effectExtent l="0" t="0" r="0" b="0"/>
            <wp:docPr id="21401318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81015" cy="3594100"/>
                    </a:xfrm>
                    <a:prstGeom prst="rect">
                      <a:avLst/>
                    </a:prstGeom>
                    <a:ln/>
                  </pic:spPr>
                </pic:pic>
              </a:graphicData>
            </a:graphic>
          </wp:inline>
        </w:drawing>
      </w:r>
    </w:p>
    <w:p w14:paraId="6713A4D9" w14:textId="77777777" w:rsidR="000710B6" w:rsidRPr="002B4FB6" w:rsidRDefault="0029535C">
      <w:pPr>
        <w:spacing w:after="160" w:line="259" w:lineRule="auto"/>
        <w:ind w:right="49"/>
        <w:jc w:val="both"/>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B. De la cartografía vectorial catastral a nivel de predio:</w:t>
      </w:r>
    </w:p>
    <w:p w14:paraId="77A80B2B" w14:textId="77777777" w:rsidR="000710B6" w:rsidRPr="002B4FB6" w:rsidRDefault="0029535C">
      <w:pPr>
        <w:spacing w:before="16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Esta cartografía contiene la Clave catastral, delimitación del predio, superficie total de terreno, perímetro y superficie de las construcciones, representación del número de niveles de las construcciones y número oficial del predio, datos que como se ha reiterado a lo largo de la resolución, con su divulgación se puede conducir a una vulneración a la esfera privada de los particulares propietarios o poseedores de los inmuebles, </w:t>
      </w:r>
      <w:r w:rsidRPr="002B4FB6">
        <w:rPr>
          <w:rFonts w:ascii="Palatino Linotype" w:eastAsia="Palatino Linotype" w:hAnsi="Palatino Linotype" w:cs="Palatino Linotype"/>
          <w:b/>
          <w:sz w:val="22"/>
          <w:szCs w:val="22"/>
        </w:rPr>
        <w:t>por lo tanto deberá ser analizado por el sujeto obligado si procede su clasificación como confidencial</w:t>
      </w:r>
      <w:r w:rsidRPr="002B4FB6">
        <w:rPr>
          <w:rFonts w:ascii="Palatino Linotype" w:eastAsia="Palatino Linotype" w:hAnsi="Palatino Linotype" w:cs="Palatino Linotype"/>
          <w:sz w:val="22"/>
          <w:szCs w:val="22"/>
        </w:rPr>
        <w:t>, de conformidad con lo dispuesto en los artículos 3, fracciones IX, XX y XXI, 91 y 143 fracción I de la Ley de Transparencia y Acceso a la Información Pública del Estado de México y Municipios porque se trata de información de carácter patrimonial que puede vincularse a particulares.</w:t>
      </w:r>
    </w:p>
    <w:p w14:paraId="04C177DF" w14:textId="77777777" w:rsidR="000710B6" w:rsidRPr="002B4FB6" w:rsidRDefault="0029535C">
      <w:pPr>
        <w:spacing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Como se puede advertir de lo analizado a lo largo de las líneas argumentativas, existen elementos dentro del padrón catastral que efectivamente pudieran hacerse del conocimiento del público en general, ello en razón de que abordan una generalidad y no un predio en particular. Asimismo, para robustecer esta argumentación, sirve de interés lo dispuesto por el Instituto de Información e Investigación Geográfica, Estadística y Catastral del Estado de México (IGECEM) en su portal electrónico: </w:t>
      </w:r>
      <w:hyperlink r:id="rId10">
        <w:r w:rsidRPr="002B4FB6">
          <w:rPr>
            <w:rFonts w:ascii="Palatino Linotype" w:eastAsia="Palatino Linotype" w:hAnsi="Palatino Linotype" w:cs="Palatino Linotype"/>
            <w:sz w:val="22"/>
            <w:szCs w:val="22"/>
            <w:u w:val="single"/>
          </w:rPr>
          <w:t>https://igecem.edomex.gob.mx/padron-catastral</w:t>
        </w:r>
      </w:hyperlink>
      <w:r w:rsidRPr="002B4FB6">
        <w:rPr>
          <w:rFonts w:ascii="Palatino Linotype" w:eastAsia="Palatino Linotype" w:hAnsi="Palatino Linotype" w:cs="Palatino Linotype"/>
          <w:sz w:val="22"/>
          <w:szCs w:val="22"/>
        </w:rPr>
        <w:t xml:space="preserve">. </w:t>
      </w:r>
    </w:p>
    <w:p w14:paraId="0D20543F"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“El Padrón Catastral es el conjunto de datos integrados por un registro alfanumérico y un registro gráfico que contienen los catálogos operativos, tales como zonas, manzanas, calles, áreas homogéneas, bandas de valor, además de la descripción técnica y administrativa de los predios, propiedades y construcciones de los inmuebles localizados en territorio Estatal. </w:t>
      </w:r>
    </w:p>
    <w:p w14:paraId="2C4CAB23"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Los dos objetivos primordiales de las Unidades Administrativas de Catastro Municipal son: </w:t>
      </w:r>
    </w:p>
    <w:p w14:paraId="144E24AD"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La asignación de la clave catastral (ubicación geográfica de los inmuebles)</w:t>
      </w:r>
    </w:p>
    <w:p w14:paraId="14E1B4DA"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La obtención del valor catastral (base gravable del cálculo del monto del impuesto predial)</w:t>
      </w:r>
    </w:p>
    <w:p w14:paraId="31E3C4EC" w14:textId="77777777" w:rsidR="000710B6" w:rsidRPr="002B4FB6" w:rsidRDefault="0029535C">
      <w:pPr>
        <w:spacing w:before="120" w:after="120"/>
        <w:ind w:left="851" w:right="851"/>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 xml:space="preserve">El Padrón Catastral se considera, en parte, información clasificada como reservada debido al contenido de datos personales de los propietarios o poseedores de los inmuebles, y para acceder a dicha información es necesario acreditar la personalidad jurídica y legítima; </w:t>
      </w:r>
      <w:r w:rsidRPr="002B4FB6">
        <w:rPr>
          <w:rFonts w:ascii="Palatino Linotype" w:eastAsia="Palatino Linotype" w:hAnsi="Palatino Linotype" w:cs="Palatino Linotype"/>
          <w:b/>
          <w:i/>
          <w:sz w:val="22"/>
          <w:szCs w:val="22"/>
          <w:u w:val="single"/>
        </w:rPr>
        <w:t>sin embargo, existe información dentro del padrón catastral que no está clasificada como reservada, sino que es de índole pública, tal es el caso de los catálogos operativos</w:t>
      </w:r>
      <w:r w:rsidRPr="002B4FB6">
        <w:rPr>
          <w:rFonts w:ascii="Palatino Linotype" w:eastAsia="Palatino Linotype" w:hAnsi="Palatino Linotype" w:cs="Palatino Linotype"/>
          <w:b/>
          <w:i/>
          <w:sz w:val="22"/>
          <w:szCs w:val="22"/>
        </w:rPr>
        <w:t xml:space="preserve"> arriba descritos, y el público en general (entidades públicas incluidas), puede acceder a ellos, </w:t>
      </w:r>
      <w:r w:rsidRPr="002B4FB6">
        <w:rPr>
          <w:rFonts w:ascii="Palatino Linotype" w:eastAsia="Palatino Linotype" w:hAnsi="Palatino Linotype" w:cs="Palatino Linotype"/>
          <w:b/>
          <w:i/>
          <w:sz w:val="22"/>
          <w:szCs w:val="22"/>
          <w:u w:val="single"/>
        </w:rPr>
        <w:t>a través de la página de internet del IGECEM o de la publicación en Gaceta del Gobierno, de las Tablas de Valores Unitarios de Suelo y Construcciones</w:t>
      </w:r>
      <w:r w:rsidRPr="002B4FB6">
        <w:rPr>
          <w:rFonts w:ascii="Palatino Linotype" w:eastAsia="Palatino Linotype" w:hAnsi="Palatino Linotype" w:cs="Palatino Linotype"/>
          <w:i/>
          <w:sz w:val="22"/>
          <w:szCs w:val="22"/>
        </w:rPr>
        <w:t>.” (Sic)</w:t>
      </w:r>
    </w:p>
    <w:p w14:paraId="0A064E48"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Como puede observarse, es el propio Instituto de Información e Investigación Geográfica, Estadística y Catastral del Estado de México (IGECEM) quien reconoce que </w:t>
      </w:r>
      <w:r w:rsidRPr="002B4FB6">
        <w:rPr>
          <w:rFonts w:ascii="Palatino Linotype" w:eastAsia="Palatino Linotype" w:hAnsi="Palatino Linotype" w:cs="Palatino Linotype"/>
          <w:b/>
          <w:sz w:val="22"/>
          <w:szCs w:val="22"/>
        </w:rPr>
        <w:t>la clasificación al padrón catastral no debe ser absoluta</w:t>
      </w:r>
      <w:r w:rsidRPr="002B4FB6">
        <w:rPr>
          <w:rFonts w:ascii="Palatino Linotype" w:eastAsia="Palatino Linotype" w:hAnsi="Palatino Linotype" w:cs="Palatino Linotype"/>
          <w:sz w:val="22"/>
          <w:szCs w:val="22"/>
        </w:rPr>
        <w:t>, pues contiene información susceptible de darse a conocer al público, como son los catálogos operativos y los registros gráficos que dan cuenta de las localidades, colonias, áreas homogéneas, tipologías de construcción, bandas de valor, manzanas y calles, mismas a las que le reviste interés público por formar parte de los elementos que permiten la implementación de la valuación catastral que a su vez sirve para el cálculo de impuestos o derechos, por lo que, se insiste que dentro del padrón catastral, existen elementos que efectivamente pudieran hacerse del conocimiento del público en general, por lo tanto, no se puede hablar de una clasificación absoluta de la información y, por el contrario, se estima pertinente su entrega en versión pública.</w:t>
      </w:r>
    </w:p>
    <w:p w14:paraId="2EF5CAA4"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Ahora bien, en el caso particular, 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a través del</w:t>
      </w:r>
      <w:r w:rsidRPr="002B4FB6">
        <w:rPr>
          <w:rFonts w:ascii="Palatino Linotype" w:eastAsia="Palatino Linotype" w:hAnsi="Palatino Linotype" w:cs="Palatino Linotype"/>
          <w:b/>
          <w:sz w:val="22"/>
          <w:szCs w:val="22"/>
        </w:rPr>
        <w:t xml:space="preserve"> </w:t>
      </w:r>
      <w:r w:rsidRPr="002B4FB6">
        <w:rPr>
          <w:rFonts w:ascii="Palatino Linotype" w:eastAsia="Palatino Linotype" w:hAnsi="Palatino Linotype" w:cs="Palatino Linotype"/>
          <w:sz w:val="22"/>
          <w:szCs w:val="22"/>
        </w:rPr>
        <w:t>Acta de la Décima Sesión Extraordinaria del Comité de Transparencia, clasificó la totalidad de los documentos  referentes al padrón catastral Municipal, sin embargo, como ya ha sido puntualizado la clasificación del padrón catastral no puede ser absoluta, tan es así que el propio servidor público habilitado reconoce que los catálogos operativos son susceptibles de entrega, tal y como lo establece el Instituto de Información e Investigación Geográfica, Estadística y Catastral del Estado de México.</w:t>
      </w:r>
    </w:p>
    <w:p w14:paraId="266BCF0B" w14:textId="19EFC95F"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Además, se reitera que, del registro alfanumérico del padrón catastral, los datos del inmueble, son considerados datos susceptibles de ser clasificada como información confidencial, mientras que en el cas</w:t>
      </w:r>
      <w:r w:rsidR="00F76D2A" w:rsidRPr="002B4FB6">
        <w:rPr>
          <w:rFonts w:ascii="Palatino Linotype" w:eastAsia="Palatino Linotype" w:hAnsi="Palatino Linotype" w:cs="Palatino Linotype"/>
          <w:sz w:val="22"/>
          <w:szCs w:val="22"/>
        </w:rPr>
        <w:t>o</w:t>
      </w:r>
      <w:r w:rsidRPr="002B4FB6">
        <w:rPr>
          <w:rFonts w:ascii="Palatino Linotype" w:eastAsia="Palatino Linotype" w:hAnsi="Palatino Linotype" w:cs="Palatino Linotype"/>
          <w:sz w:val="22"/>
          <w:szCs w:val="22"/>
        </w:rPr>
        <w:t xml:space="preserve"> de los catálogos normativos corresponde a las autoridades catastrales analizar la información para efecto de determinar si la totalidad de esta reviste el carácter de pública.</w:t>
      </w:r>
    </w:p>
    <w:p w14:paraId="10F2AE31"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Respecto del registro gráfico, la cartografía vectorial a nivel de manzana es considerada información pública, mientras que la cartografía vectorial catastral a nivel de predio debe analizarse con la finalidad de determinar si procede su clasificación como confidencial o es susceptible de entrega en versión pública.</w:t>
      </w:r>
    </w:p>
    <w:p w14:paraId="4A9D233F" w14:textId="77777777" w:rsidR="00B34A31"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Cabe resaltar que, si bien 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pretendió entregar las Tablas de Valores Unitarios de Suelo y Construcciones las cuales conforman los catálogos operativos del registro alfanumérico del padrón catastral, como se ilustra a continuación:</w:t>
      </w:r>
    </w:p>
    <w:p w14:paraId="39074FAD" w14:textId="08E815E8" w:rsidR="000710B6" w:rsidRPr="002B4FB6" w:rsidRDefault="00B34A31">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noProof/>
          <w:sz w:val="22"/>
          <w:szCs w:val="22"/>
        </w:rPr>
        <w:drawing>
          <wp:inline distT="0" distB="0" distL="0" distR="0" wp14:anchorId="36122869" wp14:editId="705BB2D2">
            <wp:extent cx="5612130" cy="34004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00425"/>
                    </a:xfrm>
                    <a:prstGeom prst="rect">
                      <a:avLst/>
                    </a:prstGeom>
                  </pic:spPr>
                </pic:pic>
              </a:graphicData>
            </a:graphic>
          </wp:inline>
        </w:drawing>
      </w:r>
      <w:r w:rsidRPr="002B4FB6">
        <w:rPr>
          <w:rFonts w:ascii="Palatino Linotype" w:eastAsia="Palatino Linotype" w:hAnsi="Palatino Linotype" w:cs="Palatino Linotype"/>
          <w:noProof/>
          <w:sz w:val="22"/>
          <w:szCs w:val="22"/>
        </w:rPr>
        <w:t xml:space="preserve"> </w:t>
      </w:r>
    </w:p>
    <w:p w14:paraId="68887D35" w14:textId="665467A2" w:rsidR="000710B6" w:rsidRPr="002B4FB6" w:rsidRDefault="00B34A31">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No obstante lo anterior, n</w:t>
      </w:r>
      <w:r w:rsidR="0029535C" w:rsidRPr="002B4FB6">
        <w:rPr>
          <w:rFonts w:ascii="Palatino Linotype" w:eastAsia="Palatino Linotype" w:hAnsi="Palatino Linotype" w:cs="Palatino Linotype"/>
          <w:sz w:val="22"/>
          <w:szCs w:val="22"/>
        </w:rPr>
        <w:t>o corresponde</w:t>
      </w:r>
      <w:r w:rsidRPr="002B4FB6">
        <w:rPr>
          <w:rFonts w:ascii="Palatino Linotype" w:eastAsia="Palatino Linotype" w:hAnsi="Palatino Linotype" w:cs="Palatino Linotype"/>
          <w:sz w:val="22"/>
          <w:szCs w:val="22"/>
        </w:rPr>
        <w:t>n</w:t>
      </w:r>
      <w:r w:rsidR="0029535C" w:rsidRPr="002B4FB6">
        <w:rPr>
          <w:rFonts w:ascii="Palatino Linotype" w:eastAsia="Palatino Linotype" w:hAnsi="Palatino Linotype" w:cs="Palatino Linotype"/>
          <w:sz w:val="22"/>
          <w:szCs w:val="22"/>
        </w:rPr>
        <w:t xml:space="preserve"> con el periodo solicitado, toda vez que estas fueron publicadas en el Periódico Oficial “Gaceta del Gobierno” del Estado de México el día 20 de diciembre de 2024, mientras que la persona solicitante requirió información vigente al </w:t>
      </w:r>
      <w:r w:rsidRPr="002B4FB6">
        <w:rPr>
          <w:rFonts w:ascii="Palatino Linotype" w:eastAsia="Palatino Linotype" w:hAnsi="Palatino Linotype" w:cs="Palatino Linotype"/>
          <w:sz w:val="22"/>
          <w:szCs w:val="22"/>
        </w:rPr>
        <w:t xml:space="preserve">nueve de junio de dos mil veinticinco. </w:t>
      </w:r>
    </w:p>
    <w:p w14:paraId="57384088" w14:textId="5EFB8B88"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Derivado de los argumentos expuestos, se estima que no puede tenerse por satisfecha la solicitud de información, en virtud de que la clasificación pretendida por el Sujeto Obligado no se encuentra debidamente fundada y motivada, al haber clasificado la totalidad de los documentos referentes al padrón catastral, y haber proporcionado información relacionada con los catálogos operativos del registro alfanumérico del padrón catastral</w:t>
      </w:r>
      <w:r w:rsidR="00673E6C" w:rsidRPr="002B4FB6">
        <w:rPr>
          <w:rFonts w:ascii="Palatino Linotype" w:eastAsia="Palatino Linotype" w:hAnsi="Palatino Linotype" w:cs="Palatino Linotype"/>
          <w:sz w:val="22"/>
          <w:szCs w:val="22"/>
        </w:rPr>
        <w:t xml:space="preserve"> que </w:t>
      </w:r>
      <w:r w:rsidRPr="002B4FB6">
        <w:rPr>
          <w:rFonts w:ascii="Palatino Linotype" w:eastAsia="Palatino Linotype" w:hAnsi="Palatino Linotype" w:cs="Palatino Linotype"/>
          <w:sz w:val="22"/>
          <w:szCs w:val="22"/>
        </w:rPr>
        <w:t>no corresponde con la temporalidad señalada.</w:t>
      </w:r>
    </w:p>
    <w:p w14:paraId="241078ED" w14:textId="67AE2A7A"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Por consiguiente, se estima dable ordenar la entrega del padrón catastral en versión pública de conformidad con el considerando siguiente</w:t>
      </w:r>
      <w:r w:rsidR="00673E6C" w:rsidRPr="002B4FB6">
        <w:rPr>
          <w:rFonts w:ascii="Palatino Linotype" w:eastAsia="Palatino Linotype" w:hAnsi="Palatino Linotype" w:cs="Palatino Linotype"/>
          <w:sz w:val="22"/>
          <w:szCs w:val="22"/>
        </w:rPr>
        <w:t>.</w:t>
      </w:r>
    </w:p>
    <w:p w14:paraId="26FBD592" w14:textId="77777777" w:rsidR="000710B6" w:rsidRPr="002B4FB6" w:rsidRDefault="0029535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De lo hasta aquí expuesto, se concluye que los motivos de inconformidad de la parte </w:t>
      </w:r>
      <w:r w:rsidRPr="002B4FB6">
        <w:rPr>
          <w:rFonts w:ascii="Palatino Linotype" w:eastAsia="Palatino Linotype" w:hAnsi="Palatino Linotype" w:cs="Palatino Linotype"/>
          <w:b/>
          <w:sz w:val="22"/>
          <w:szCs w:val="22"/>
        </w:rPr>
        <w:t xml:space="preserve">Recurrente </w:t>
      </w:r>
      <w:r w:rsidRPr="002B4FB6">
        <w:rPr>
          <w:rFonts w:ascii="Palatino Linotype" w:eastAsia="Palatino Linotype" w:hAnsi="Palatino Linotype" w:cs="Palatino Linotype"/>
          <w:sz w:val="22"/>
          <w:szCs w:val="22"/>
        </w:rPr>
        <w:t xml:space="preserve">devienen fundados, siendo procedente </w:t>
      </w:r>
      <w:r w:rsidRPr="002B4FB6">
        <w:rPr>
          <w:rFonts w:ascii="Palatino Linotype" w:eastAsia="Palatino Linotype" w:hAnsi="Palatino Linotype" w:cs="Palatino Linotype"/>
          <w:i/>
          <w:sz w:val="22"/>
          <w:szCs w:val="22"/>
        </w:rPr>
        <w:t xml:space="preserve">Revocar </w:t>
      </w:r>
      <w:r w:rsidRPr="002B4FB6">
        <w:rPr>
          <w:rFonts w:ascii="Palatino Linotype" w:eastAsia="Palatino Linotype" w:hAnsi="Palatino Linotype" w:cs="Palatino Linotype"/>
          <w:sz w:val="22"/>
          <w:szCs w:val="22"/>
        </w:rPr>
        <w:t xml:space="preserve">la respuesta proporcionada por el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263D01BB"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Quinto. Versión Pública.</w:t>
      </w:r>
      <w:r w:rsidRPr="002B4FB6">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2B4FB6">
        <w:rPr>
          <w:rFonts w:ascii="Palatino Linotype" w:eastAsia="Palatino Linotype" w:hAnsi="Palatino Linotype" w:cs="Palatino Linotype"/>
          <w:b/>
          <w:sz w:val="22"/>
          <w:szCs w:val="22"/>
        </w:rPr>
        <w:t>Recurrente</w:t>
      </w:r>
      <w:r w:rsidRPr="002B4FB6">
        <w:rPr>
          <w:rFonts w:ascii="Palatino Linotype" w:eastAsia="Palatino Linotype" w:hAnsi="Palatino Linotype" w:cs="Palatino Linotype"/>
          <w:sz w:val="22"/>
          <w:szCs w:val="22"/>
        </w:rPr>
        <w:t xml:space="preserve"> sin menoscabo al derecho a la protección de los datos personales de terceros.</w:t>
      </w:r>
    </w:p>
    <w:p w14:paraId="0D78258C"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554531B1"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Artículo 3</w:t>
      </w:r>
      <w:r w:rsidRPr="002B4FB6">
        <w:rPr>
          <w:rFonts w:ascii="Palatino Linotype" w:eastAsia="Palatino Linotype" w:hAnsi="Palatino Linotype" w:cs="Palatino Linotype"/>
          <w:i/>
          <w:sz w:val="22"/>
          <w:szCs w:val="22"/>
        </w:rPr>
        <w:t>. Para los efectos de la presente Ley se entenderá por:</w:t>
      </w:r>
    </w:p>
    <w:p w14:paraId="5A90383A"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bookmarkStart w:id="8" w:name="_GoBack"/>
      <w:bookmarkEnd w:id="8"/>
      <w:r w:rsidRPr="002B4FB6">
        <w:rPr>
          <w:rFonts w:ascii="Palatino Linotype" w:eastAsia="Palatino Linotype" w:hAnsi="Palatino Linotype" w:cs="Palatino Linotype"/>
          <w:i/>
          <w:sz w:val="22"/>
          <w:szCs w:val="22"/>
        </w:rPr>
        <w:t>…</w:t>
      </w:r>
    </w:p>
    <w:p w14:paraId="69C9FC9C"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IX. Datos personales</w:t>
      </w:r>
      <w:r w:rsidRPr="002B4FB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4ECC9F6"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XX. Información clasificada</w:t>
      </w:r>
      <w:r w:rsidRPr="002B4FB6">
        <w:rPr>
          <w:rFonts w:ascii="Palatino Linotype" w:eastAsia="Palatino Linotype" w:hAnsi="Palatino Linotype" w:cs="Palatino Linotype"/>
          <w:i/>
          <w:sz w:val="22"/>
          <w:szCs w:val="22"/>
        </w:rPr>
        <w:t>: Aquella considerada por la presente Ley como reservada o confidencial;</w:t>
      </w:r>
    </w:p>
    <w:p w14:paraId="0B0C9B51"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 xml:space="preserve">XXI. Información confidencial: </w:t>
      </w:r>
      <w:r w:rsidRPr="002B4FB6">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AF27B2"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XLV. Versión pública:</w:t>
      </w:r>
      <w:r w:rsidRPr="002B4FB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392DD7C"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p>
    <w:p w14:paraId="7447C7C5"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Artículo 91.</w:t>
      </w:r>
      <w:r w:rsidRPr="002B4FB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0C7B5B9"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Artículo 132.</w:t>
      </w:r>
      <w:r w:rsidRPr="002B4FB6">
        <w:rPr>
          <w:rFonts w:ascii="Palatino Linotype" w:eastAsia="Palatino Linotype" w:hAnsi="Palatino Linotype" w:cs="Palatino Linotype"/>
          <w:i/>
          <w:sz w:val="22"/>
          <w:szCs w:val="22"/>
        </w:rPr>
        <w:t xml:space="preserve"> La clasificación de la información se llevará a cabo en el momento en que:</w:t>
      </w:r>
    </w:p>
    <w:p w14:paraId="08933614"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w:t>
      </w:r>
      <w:r w:rsidRPr="002B4FB6">
        <w:rPr>
          <w:rFonts w:ascii="Palatino Linotype" w:eastAsia="Palatino Linotype" w:hAnsi="Palatino Linotype" w:cs="Palatino Linotype"/>
          <w:i/>
          <w:sz w:val="22"/>
          <w:szCs w:val="22"/>
        </w:rPr>
        <w:t>. Se reciba una solicitud de acceso a la información;</w:t>
      </w:r>
    </w:p>
    <w:p w14:paraId="128E55C4"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w:t>
      </w:r>
      <w:r w:rsidRPr="002B4FB6">
        <w:rPr>
          <w:rFonts w:ascii="Palatino Linotype" w:eastAsia="Palatino Linotype" w:hAnsi="Palatino Linotype" w:cs="Palatino Linotype"/>
          <w:i/>
          <w:sz w:val="22"/>
          <w:szCs w:val="22"/>
        </w:rPr>
        <w:t xml:space="preserve"> Se determine mediante resolución de autoridad competente; o</w:t>
      </w:r>
    </w:p>
    <w:p w14:paraId="797CFD87"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III.</w:t>
      </w:r>
      <w:r w:rsidRPr="002B4FB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B172AE0"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p>
    <w:p w14:paraId="52D4BB26"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Artículo 137.</w:t>
      </w:r>
      <w:r w:rsidRPr="002B4FB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1C9099" w14:textId="77777777" w:rsidR="000710B6" w:rsidRPr="002B4FB6" w:rsidRDefault="0029535C">
      <w:pPr>
        <w:spacing w:before="120" w:after="120"/>
        <w:ind w:left="851" w:right="902"/>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w:t>
      </w:r>
    </w:p>
    <w:p w14:paraId="50E417B8"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Artículo 143</w:t>
      </w:r>
      <w:r w:rsidRPr="002B4FB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96EDB63"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w:t>
      </w:r>
      <w:r w:rsidRPr="002B4FB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CE3543D"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235186" w14:textId="77777777" w:rsidR="000710B6" w:rsidRPr="002B4FB6" w:rsidRDefault="0029535C">
      <w:pPr>
        <w:spacing w:before="240" w:after="240" w:line="360" w:lineRule="auto"/>
        <w:ind w:right="50"/>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DFB3F58" w14:textId="77777777" w:rsidR="000710B6" w:rsidRPr="002B4FB6" w:rsidRDefault="0029535C">
      <w:pPr>
        <w:spacing w:before="240" w:after="240" w:line="360" w:lineRule="auto"/>
        <w:ind w:right="50"/>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AB9FF9E"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“Artículo 49.</w:t>
      </w:r>
      <w:r w:rsidRPr="002B4FB6">
        <w:rPr>
          <w:rFonts w:ascii="Palatino Linotype" w:eastAsia="Palatino Linotype" w:hAnsi="Palatino Linotype" w:cs="Palatino Linotype"/>
          <w:i/>
          <w:sz w:val="22"/>
          <w:szCs w:val="22"/>
        </w:rPr>
        <w:t xml:space="preserve"> </w:t>
      </w:r>
      <w:r w:rsidRPr="002B4FB6">
        <w:rPr>
          <w:rFonts w:ascii="Palatino Linotype" w:eastAsia="Palatino Linotype" w:hAnsi="Palatino Linotype" w:cs="Palatino Linotype"/>
          <w:b/>
          <w:i/>
          <w:sz w:val="22"/>
          <w:szCs w:val="22"/>
        </w:rPr>
        <w:t>Los Comités de Transparencia</w:t>
      </w:r>
      <w:r w:rsidRPr="002B4FB6">
        <w:rPr>
          <w:rFonts w:ascii="Palatino Linotype" w:eastAsia="Palatino Linotype" w:hAnsi="Palatino Linotype" w:cs="Palatino Linotype"/>
          <w:i/>
          <w:sz w:val="22"/>
          <w:szCs w:val="22"/>
        </w:rPr>
        <w:t xml:space="preserve"> tendrán las siguientes atribuciones:</w:t>
      </w:r>
    </w:p>
    <w:p w14:paraId="0C90126A"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VIII. Aprobar, modificar o revocar la clasificación de la información</w:t>
      </w:r>
      <w:r w:rsidRPr="002B4FB6">
        <w:rPr>
          <w:rFonts w:ascii="Palatino Linotype" w:eastAsia="Palatino Linotype" w:hAnsi="Palatino Linotype" w:cs="Palatino Linotype"/>
          <w:i/>
          <w:sz w:val="22"/>
          <w:szCs w:val="22"/>
        </w:rPr>
        <w:t>…”</w:t>
      </w:r>
    </w:p>
    <w:p w14:paraId="0E1F20F6"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Artículo 53.</w:t>
      </w:r>
      <w:r w:rsidRPr="002B4FB6">
        <w:rPr>
          <w:rFonts w:ascii="Palatino Linotype" w:eastAsia="Palatino Linotype" w:hAnsi="Palatino Linotype" w:cs="Palatino Linotype"/>
          <w:i/>
          <w:sz w:val="22"/>
          <w:szCs w:val="22"/>
        </w:rPr>
        <w:t xml:space="preserve"> Las </w:t>
      </w:r>
      <w:r w:rsidRPr="002B4FB6">
        <w:rPr>
          <w:rFonts w:ascii="Palatino Linotype" w:eastAsia="Palatino Linotype" w:hAnsi="Palatino Linotype" w:cs="Palatino Linotype"/>
          <w:b/>
          <w:i/>
          <w:sz w:val="22"/>
          <w:szCs w:val="22"/>
        </w:rPr>
        <w:t>Unidades de Transparencia</w:t>
      </w:r>
      <w:r w:rsidRPr="002B4FB6">
        <w:rPr>
          <w:rFonts w:ascii="Palatino Linotype" w:eastAsia="Palatino Linotype" w:hAnsi="Palatino Linotype" w:cs="Palatino Linotype"/>
          <w:i/>
          <w:sz w:val="22"/>
          <w:szCs w:val="22"/>
        </w:rPr>
        <w:t xml:space="preserve"> tendrán las siguientes </w:t>
      </w:r>
      <w:r w:rsidRPr="002B4FB6">
        <w:rPr>
          <w:rFonts w:ascii="Palatino Linotype" w:eastAsia="Palatino Linotype" w:hAnsi="Palatino Linotype" w:cs="Palatino Linotype"/>
          <w:b/>
          <w:i/>
          <w:sz w:val="22"/>
          <w:szCs w:val="22"/>
        </w:rPr>
        <w:t>funciones</w:t>
      </w:r>
      <w:r w:rsidRPr="002B4FB6">
        <w:rPr>
          <w:rFonts w:ascii="Palatino Linotype" w:eastAsia="Palatino Linotype" w:hAnsi="Palatino Linotype" w:cs="Palatino Linotype"/>
          <w:i/>
          <w:sz w:val="22"/>
          <w:szCs w:val="22"/>
        </w:rPr>
        <w:t>:</w:t>
      </w:r>
    </w:p>
    <w:p w14:paraId="5B403689"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X. Presentar ante el Comité, el proyecto de clasificación de información</w:t>
      </w:r>
      <w:r w:rsidRPr="002B4FB6">
        <w:rPr>
          <w:rFonts w:ascii="Palatino Linotype" w:eastAsia="Palatino Linotype" w:hAnsi="Palatino Linotype" w:cs="Palatino Linotype"/>
          <w:i/>
          <w:sz w:val="22"/>
          <w:szCs w:val="22"/>
        </w:rPr>
        <w:t xml:space="preserve">…” </w:t>
      </w:r>
    </w:p>
    <w:p w14:paraId="49791650"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“Artículo 59.</w:t>
      </w:r>
      <w:r w:rsidRPr="002B4FB6">
        <w:rPr>
          <w:rFonts w:ascii="Palatino Linotype" w:eastAsia="Palatino Linotype" w:hAnsi="Palatino Linotype" w:cs="Palatino Linotype"/>
          <w:i/>
          <w:sz w:val="22"/>
          <w:szCs w:val="22"/>
        </w:rPr>
        <w:t xml:space="preserve"> Los </w:t>
      </w:r>
      <w:r w:rsidRPr="002B4FB6">
        <w:rPr>
          <w:rFonts w:ascii="Palatino Linotype" w:eastAsia="Palatino Linotype" w:hAnsi="Palatino Linotype" w:cs="Palatino Linotype"/>
          <w:b/>
          <w:i/>
          <w:sz w:val="22"/>
          <w:szCs w:val="22"/>
        </w:rPr>
        <w:t>servidores públicos habilitados</w:t>
      </w:r>
      <w:r w:rsidRPr="002B4FB6">
        <w:rPr>
          <w:rFonts w:ascii="Palatino Linotype" w:eastAsia="Palatino Linotype" w:hAnsi="Palatino Linotype" w:cs="Palatino Linotype"/>
          <w:i/>
          <w:sz w:val="22"/>
          <w:szCs w:val="22"/>
        </w:rPr>
        <w:t xml:space="preserve"> tendrán las </w:t>
      </w:r>
      <w:r w:rsidRPr="002B4FB6">
        <w:rPr>
          <w:rFonts w:ascii="Palatino Linotype" w:eastAsia="Palatino Linotype" w:hAnsi="Palatino Linotype" w:cs="Palatino Linotype"/>
          <w:b/>
          <w:i/>
          <w:sz w:val="22"/>
          <w:szCs w:val="22"/>
        </w:rPr>
        <w:t>funciones</w:t>
      </w:r>
      <w:r w:rsidRPr="002B4FB6">
        <w:rPr>
          <w:rFonts w:ascii="Palatino Linotype" w:eastAsia="Palatino Linotype" w:hAnsi="Palatino Linotype" w:cs="Palatino Linotype"/>
          <w:i/>
          <w:sz w:val="22"/>
          <w:szCs w:val="22"/>
        </w:rPr>
        <w:t xml:space="preserve"> siguientes:</w:t>
      </w:r>
    </w:p>
    <w:p w14:paraId="4559CE28"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B4FB6">
        <w:rPr>
          <w:rFonts w:ascii="Palatino Linotype" w:eastAsia="Palatino Linotype" w:hAnsi="Palatino Linotype" w:cs="Palatino Linotype"/>
          <w:i/>
          <w:sz w:val="22"/>
          <w:szCs w:val="22"/>
        </w:rPr>
        <w:t>, la cual tendrá los fundamentos y argumentos en que se basa dicha propuesta…”</w:t>
      </w:r>
    </w:p>
    <w:p w14:paraId="2146BF3B"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2230716"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4D3A9DE"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Artículo 149.</w:t>
      </w:r>
      <w:r w:rsidRPr="002B4FB6">
        <w:rPr>
          <w:rFonts w:ascii="Palatino Linotype" w:eastAsia="Palatino Linotype" w:hAnsi="Palatino Linotype" w:cs="Palatino Linotype"/>
          <w:i/>
          <w:sz w:val="22"/>
          <w:szCs w:val="22"/>
        </w:rPr>
        <w:t xml:space="preserve"> El </w:t>
      </w:r>
      <w:r w:rsidRPr="002B4FB6">
        <w:rPr>
          <w:rFonts w:ascii="Palatino Linotype" w:eastAsia="Palatino Linotype" w:hAnsi="Palatino Linotype" w:cs="Palatino Linotype"/>
          <w:b/>
          <w:i/>
          <w:sz w:val="22"/>
          <w:szCs w:val="22"/>
        </w:rPr>
        <w:t>acuerdo que clasifique la información como confidencial</w:t>
      </w:r>
      <w:r w:rsidRPr="002B4FB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47285914" w14:textId="77777777" w:rsidR="000710B6" w:rsidRPr="002B4FB6" w:rsidRDefault="0029535C">
      <w:pP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Es decir, 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1EE2D47" w14:textId="77777777" w:rsidR="000710B6" w:rsidRPr="002B4FB6" w:rsidRDefault="0029535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Respecto a las formalidades que deberá llevar el acuerdo de clasificación que deberá emitir 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594BF4E7"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 xml:space="preserve"> “Quincuagésimo. </w:t>
      </w:r>
      <w:r w:rsidRPr="002B4FB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1FF225A" w14:textId="77777777" w:rsidR="000710B6" w:rsidRPr="002B4FB6" w:rsidRDefault="002953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 xml:space="preserve">Quincuagésimo primero. </w:t>
      </w:r>
      <w:r w:rsidRPr="002B4FB6">
        <w:rPr>
          <w:rFonts w:ascii="Palatino Linotype" w:eastAsia="Palatino Linotype" w:hAnsi="Palatino Linotype" w:cs="Palatino Linotype"/>
          <w:i/>
          <w:sz w:val="22"/>
          <w:szCs w:val="22"/>
        </w:rPr>
        <w:t xml:space="preserve">Toda acta del Comité de Transparencia deberá contener: </w:t>
      </w:r>
    </w:p>
    <w:p w14:paraId="43D5A7C5"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w:t>
      </w:r>
      <w:r w:rsidRPr="002B4FB6">
        <w:rPr>
          <w:rFonts w:ascii="Palatino Linotype" w:eastAsia="Palatino Linotype" w:hAnsi="Palatino Linotype" w:cs="Palatino Linotype"/>
          <w:i/>
          <w:sz w:val="22"/>
          <w:szCs w:val="22"/>
        </w:rPr>
        <w:t xml:space="preserve"> El número de sesión y fecha; </w:t>
      </w:r>
    </w:p>
    <w:p w14:paraId="7691F892"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w:t>
      </w:r>
      <w:r w:rsidRPr="002B4FB6">
        <w:rPr>
          <w:rFonts w:ascii="Palatino Linotype" w:eastAsia="Palatino Linotype" w:hAnsi="Palatino Linotype" w:cs="Palatino Linotype"/>
          <w:i/>
          <w:sz w:val="22"/>
          <w:szCs w:val="22"/>
        </w:rPr>
        <w:t xml:space="preserve">. El nombre del área que solicitó la clasificación de información; </w:t>
      </w:r>
    </w:p>
    <w:p w14:paraId="58F9E83B"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III</w:t>
      </w:r>
      <w:r w:rsidRPr="002B4FB6">
        <w:rPr>
          <w:rFonts w:ascii="Palatino Linotype" w:eastAsia="Palatino Linotype" w:hAnsi="Palatino Linotype" w:cs="Palatino Linotype"/>
          <w:i/>
          <w:sz w:val="22"/>
          <w:szCs w:val="22"/>
        </w:rPr>
        <w:t xml:space="preserve">. La fundamentación legal y motivación correspondiente; </w:t>
      </w:r>
    </w:p>
    <w:p w14:paraId="064F0E8E"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IV</w:t>
      </w:r>
      <w:r w:rsidRPr="002B4FB6">
        <w:rPr>
          <w:rFonts w:ascii="Palatino Linotype" w:eastAsia="Palatino Linotype" w:hAnsi="Palatino Linotype" w:cs="Palatino Linotype"/>
          <w:i/>
          <w:sz w:val="22"/>
          <w:szCs w:val="22"/>
        </w:rPr>
        <w:t xml:space="preserve">. La resolución o resoluciones aprobadas; y </w:t>
      </w:r>
    </w:p>
    <w:p w14:paraId="21EE1F60"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V</w:t>
      </w:r>
      <w:r w:rsidRPr="002B4FB6">
        <w:rPr>
          <w:rFonts w:ascii="Palatino Linotype" w:eastAsia="Palatino Linotype" w:hAnsi="Palatino Linotype" w:cs="Palatino Linotype"/>
          <w:i/>
          <w:sz w:val="22"/>
          <w:szCs w:val="22"/>
        </w:rPr>
        <w:t xml:space="preserve">. La rúbrica o firma digital de cada integrante del Comité de Transparencia. </w:t>
      </w:r>
    </w:p>
    <w:p w14:paraId="47366BC8" w14:textId="77777777" w:rsidR="000710B6" w:rsidRPr="002B4FB6" w:rsidRDefault="002953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DD1C38E"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w:t>
      </w:r>
      <w:r w:rsidRPr="002B4FB6">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347E7A4"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II</w:t>
      </w:r>
      <w:r w:rsidRPr="002B4FB6">
        <w:rPr>
          <w:rFonts w:ascii="Palatino Linotype" w:eastAsia="Palatino Linotype" w:hAnsi="Palatino Linotype" w:cs="Palatino Linotype"/>
          <w:i/>
          <w:sz w:val="22"/>
          <w:szCs w:val="22"/>
        </w:rPr>
        <w:t>. Descripción de las partes o secciones reservadas, en caso de clasificación parcial</w:t>
      </w:r>
      <w:r w:rsidRPr="002B4FB6">
        <w:rPr>
          <w:rFonts w:ascii="Palatino Linotype" w:eastAsia="Palatino Linotype" w:hAnsi="Palatino Linotype" w:cs="Palatino Linotype"/>
          <w:b/>
          <w:i/>
          <w:sz w:val="22"/>
          <w:szCs w:val="22"/>
        </w:rPr>
        <w:t xml:space="preserve">; </w:t>
      </w:r>
    </w:p>
    <w:p w14:paraId="388E5C3D"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III.</w:t>
      </w:r>
      <w:r w:rsidRPr="002B4FB6">
        <w:rPr>
          <w:rFonts w:ascii="Palatino Linotype" w:eastAsia="Palatino Linotype" w:hAnsi="Palatino Linotype" w:cs="Palatino Linotype"/>
          <w:i/>
          <w:sz w:val="22"/>
          <w:szCs w:val="22"/>
        </w:rPr>
        <w:t xml:space="preserve"> El periodo por el que mantendrá su clasificación y fecha de expiración; y </w:t>
      </w:r>
    </w:p>
    <w:p w14:paraId="48756BF2" w14:textId="77777777" w:rsidR="000710B6" w:rsidRPr="002B4FB6"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IV.</w:t>
      </w:r>
      <w:r w:rsidRPr="002B4FB6">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BBB104F" w14:textId="77777777" w:rsidR="000710B6" w:rsidRPr="002B4FB6" w:rsidRDefault="002953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26D8808" w14:textId="77777777" w:rsidR="000710B6" w:rsidRPr="002B4FB6" w:rsidRDefault="002953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F0872E0" w14:textId="77777777" w:rsidR="000710B6" w:rsidRPr="002B4FB6" w:rsidRDefault="0029535C">
      <w:pPr>
        <w:spacing w:before="120" w:after="120"/>
        <w:ind w:left="851"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Quincuagésimo segundo</w:t>
      </w:r>
      <w:r w:rsidRPr="002B4FB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2BB84A" w14:textId="77777777" w:rsidR="000710B6" w:rsidRPr="002B4FB6" w:rsidRDefault="0029535C">
      <w:pPr>
        <w:spacing w:before="120" w:after="120"/>
        <w:ind w:left="851"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En el caso especifico de la clasificación y elaboración de versiones públicas de documentos que contengan información confidencial, las áreas de los sujetos obligados deberán: </w:t>
      </w:r>
    </w:p>
    <w:p w14:paraId="1249E293" w14:textId="77777777" w:rsidR="000710B6" w:rsidRPr="002B4FB6" w:rsidRDefault="0029535C">
      <w:pPr>
        <w:spacing w:before="120" w:after="120"/>
        <w:ind w:left="1134"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w:t>
      </w:r>
      <w:r w:rsidRPr="002B4FB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785E643" w14:textId="77777777" w:rsidR="000710B6" w:rsidRPr="002B4FB6" w:rsidRDefault="0029535C">
      <w:pPr>
        <w:spacing w:before="120" w:after="120"/>
        <w:ind w:left="1134"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w:t>
      </w:r>
      <w:r w:rsidRPr="002B4FB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6DF6F69" w14:textId="77777777" w:rsidR="000710B6" w:rsidRPr="002B4FB6" w:rsidRDefault="0029535C">
      <w:pPr>
        <w:spacing w:before="120" w:after="120"/>
        <w:ind w:left="1134"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III.</w:t>
      </w:r>
      <w:r w:rsidRPr="002B4FB6">
        <w:rPr>
          <w:rFonts w:ascii="Palatino Linotype" w:eastAsia="Palatino Linotype" w:hAnsi="Palatino Linotype" w:cs="Palatino Linotype"/>
          <w:i/>
          <w:sz w:val="22"/>
          <w:szCs w:val="22"/>
        </w:rPr>
        <w:t xml:space="preserve"> Señalar las personas o instancias autorizadas a acceder a la información clasificada.</w:t>
      </w:r>
    </w:p>
    <w:p w14:paraId="64C1C52A" w14:textId="77777777" w:rsidR="000710B6" w:rsidRPr="002B4FB6" w:rsidRDefault="0029535C">
      <w:pPr>
        <w:spacing w:before="120" w:after="120"/>
        <w:ind w:left="851" w:right="900"/>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8B5DB09"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73A0CEFE" w14:textId="77777777" w:rsidR="000710B6" w:rsidRPr="002B4FB6" w:rsidRDefault="0029535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i/>
          <w:sz w:val="22"/>
          <w:szCs w:val="22"/>
        </w:rPr>
        <w:t>“</w:t>
      </w:r>
      <w:r w:rsidRPr="002B4FB6">
        <w:rPr>
          <w:rFonts w:ascii="Palatino Linotype" w:eastAsia="Palatino Linotype" w:hAnsi="Palatino Linotype" w:cs="Palatino Linotype"/>
          <w:b/>
          <w:i/>
          <w:sz w:val="22"/>
          <w:szCs w:val="22"/>
        </w:rPr>
        <w:t xml:space="preserve">Quincuagésimo cuarto. </w:t>
      </w:r>
      <w:r w:rsidRPr="002B4FB6">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B4FB6">
        <w:rPr>
          <w:rFonts w:ascii="Palatino Linotype" w:eastAsia="Palatino Linotype" w:hAnsi="Palatino Linotype" w:cs="Palatino Linotype"/>
          <w:b/>
          <w:i/>
          <w:sz w:val="22"/>
          <w:szCs w:val="22"/>
        </w:rPr>
        <w:t xml:space="preserve"> </w:t>
      </w:r>
    </w:p>
    <w:p w14:paraId="7B31E7AC"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 xml:space="preserve">Quincuagésimo quinto. </w:t>
      </w:r>
      <w:r w:rsidRPr="002B4FB6">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491A5FF" w14:textId="77777777" w:rsidR="000710B6" w:rsidRPr="002B4FB6" w:rsidRDefault="0029535C">
      <w:pPr>
        <w:spacing w:before="120" w:after="120"/>
        <w:ind w:left="851" w:right="902"/>
        <w:jc w:val="both"/>
        <w:rPr>
          <w:rFonts w:ascii="Palatino Linotype" w:eastAsia="Palatino Linotype" w:hAnsi="Palatino Linotype" w:cs="Palatino Linotype"/>
          <w:b/>
          <w:i/>
          <w:sz w:val="22"/>
          <w:szCs w:val="22"/>
        </w:rPr>
      </w:pPr>
      <w:r w:rsidRPr="002B4FB6">
        <w:rPr>
          <w:rFonts w:ascii="Palatino Linotype" w:eastAsia="Palatino Linotype" w:hAnsi="Palatino Linotype" w:cs="Palatino Linotype"/>
          <w:b/>
          <w:i/>
          <w:sz w:val="22"/>
          <w:szCs w:val="22"/>
        </w:rPr>
        <w:t>...</w:t>
      </w:r>
    </w:p>
    <w:p w14:paraId="229A12DC"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Quincuagésimo séptimo</w:t>
      </w:r>
      <w:r w:rsidRPr="002B4FB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BD258FE"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w:t>
      </w:r>
      <w:r w:rsidRPr="002B4FB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FACBE4D"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w:t>
      </w:r>
      <w:r w:rsidRPr="002B4FB6">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10D4206" w14:textId="77777777" w:rsidR="000710B6" w:rsidRPr="002B4FB6" w:rsidRDefault="0029535C">
      <w:pPr>
        <w:spacing w:before="120" w:after="120"/>
        <w:ind w:left="1134"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III</w:t>
      </w:r>
      <w:r w:rsidRPr="002B4FB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4AAC6E8"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69D8D3F" w14:textId="77777777" w:rsidR="000710B6" w:rsidRPr="002B4FB6" w:rsidRDefault="0029535C">
      <w:pPr>
        <w:spacing w:before="120" w:after="120"/>
        <w:ind w:left="851" w:right="902"/>
        <w:jc w:val="both"/>
        <w:rPr>
          <w:rFonts w:ascii="Palatino Linotype" w:eastAsia="Palatino Linotype" w:hAnsi="Palatino Linotype" w:cs="Palatino Linotype"/>
          <w:i/>
          <w:sz w:val="22"/>
          <w:szCs w:val="22"/>
        </w:rPr>
      </w:pPr>
      <w:r w:rsidRPr="002B4FB6">
        <w:rPr>
          <w:rFonts w:ascii="Palatino Linotype" w:eastAsia="Palatino Linotype" w:hAnsi="Palatino Linotype" w:cs="Palatino Linotype"/>
          <w:b/>
          <w:i/>
          <w:sz w:val="22"/>
          <w:szCs w:val="22"/>
        </w:rPr>
        <w:t>Quincuagésimo octavo</w:t>
      </w:r>
      <w:r w:rsidRPr="002B4FB6">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54070FF" w14:textId="563A7F60"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Así, con fundamento en lo prescrito en los artículos </w:t>
      </w:r>
      <w:r w:rsidR="00F36A7F" w:rsidRPr="002B4FB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B4FB6">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043BA894" w14:textId="77777777" w:rsidR="000710B6" w:rsidRPr="002B4FB6" w:rsidRDefault="0029535C">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B4FB6">
        <w:rPr>
          <w:rFonts w:ascii="Palatino Linotype" w:eastAsia="Palatino Linotype" w:hAnsi="Palatino Linotype" w:cs="Palatino Linotype"/>
          <w:b/>
          <w:sz w:val="22"/>
          <w:szCs w:val="22"/>
        </w:rPr>
        <w:t>III. R E S U E L V E</w:t>
      </w:r>
    </w:p>
    <w:p w14:paraId="7FBEE33E" w14:textId="1D4FB0A0" w:rsidR="000710B6" w:rsidRPr="002B4FB6" w:rsidRDefault="0029535C">
      <w:pPr>
        <w:spacing w:before="240" w:after="240" w:line="360" w:lineRule="auto"/>
        <w:jc w:val="both"/>
        <w:rPr>
          <w:rFonts w:ascii="Palatino Linotype" w:eastAsia="Palatino Linotype" w:hAnsi="Palatino Linotype" w:cs="Palatino Linotype"/>
          <w:sz w:val="22"/>
          <w:szCs w:val="22"/>
        </w:rPr>
      </w:pPr>
      <w:bookmarkStart w:id="9" w:name="_heading=h.1t3h5sf" w:colFirst="0" w:colLast="0"/>
      <w:bookmarkEnd w:id="9"/>
      <w:r w:rsidRPr="002B4FB6">
        <w:rPr>
          <w:rFonts w:ascii="Palatino Linotype" w:eastAsia="Palatino Linotype" w:hAnsi="Palatino Linotype" w:cs="Palatino Linotype"/>
          <w:b/>
          <w:sz w:val="22"/>
          <w:szCs w:val="22"/>
        </w:rPr>
        <w:t xml:space="preserve">Primero. </w:t>
      </w:r>
      <w:r w:rsidRPr="002B4FB6">
        <w:rPr>
          <w:rFonts w:ascii="Palatino Linotype" w:eastAsia="Palatino Linotype" w:hAnsi="Palatino Linotype" w:cs="Palatino Linotype"/>
          <w:sz w:val="22"/>
          <w:szCs w:val="22"/>
        </w:rPr>
        <w:t>Resultan</w:t>
      </w:r>
      <w:r w:rsidRPr="002B4FB6">
        <w:rPr>
          <w:rFonts w:ascii="Palatino Linotype" w:eastAsia="Palatino Linotype" w:hAnsi="Palatino Linotype" w:cs="Palatino Linotype"/>
          <w:b/>
          <w:sz w:val="22"/>
          <w:szCs w:val="22"/>
        </w:rPr>
        <w:t xml:space="preserve"> fundadas</w:t>
      </w:r>
      <w:r w:rsidRPr="002B4FB6">
        <w:rPr>
          <w:rFonts w:ascii="Palatino Linotype" w:eastAsia="Palatino Linotype" w:hAnsi="Palatino Linotype" w:cs="Palatino Linotype"/>
          <w:sz w:val="22"/>
          <w:szCs w:val="22"/>
        </w:rPr>
        <w:t xml:space="preserve"> las razones o motivos de inconformidad hechos valer por la parte</w:t>
      </w:r>
      <w:r w:rsidRPr="002B4FB6">
        <w:rPr>
          <w:rFonts w:ascii="Palatino Linotype" w:eastAsia="Palatino Linotype" w:hAnsi="Palatino Linotype" w:cs="Palatino Linotype"/>
          <w:b/>
          <w:sz w:val="22"/>
          <w:szCs w:val="22"/>
        </w:rPr>
        <w:t xml:space="preserve"> Recurrente</w:t>
      </w:r>
      <w:r w:rsidRPr="002B4FB6">
        <w:rPr>
          <w:rFonts w:ascii="Palatino Linotype" w:eastAsia="Palatino Linotype" w:hAnsi="Palatino Linotype" w:cs="Palatino Linotype"/>
          <w:sz w:val="22"/>
          <w:szCs w:val="22"/>
        </w:rPr>
        <w:t xml:space="preserve"> en el recurso de revisión </w:t>
      </w:r>
      <w:r w:rsidRPr="002B4FB6">
        <w:rPr>
          <w:rFonts w:ascii="Palatino Linotype" w:eastAsia="Palatino Linotype" w:hAnsi="Palatino Linotype" w:cs="Palatino Linotype"/>
          <w:b/>
          <w:sz w:val="22"/>
          <w:szCs w:val="22"/>
        </w:rPr>
        <w:t>07</w:t>
      </w:r>
      <w:r w:rsidR="00673E6C" w:rsidRPr="002B4FB6">
        <w:rPr>
          <w:rFonts w:ascii="Palatino Linotype" w:eastAsia="Palatino Linotype" w:hAnsi="Palatino Linotype" w:cs="Palatino Linotype"/>
          <w:b/>
          <w:sz w:val="22"/>
          <w:szCs w:val="22"/>
        </w:rPr>
        <w:t>989</w:t>
      </w:r>
      <w:r w:rsidRPr="002B4FB6">
        <w:rPr>
          <w:rFonts w:ascii="Palatino Linotype" w:eastAsia="Palatino Linotype" w:hAnsi="Palatino Linotype" w:cs="Palatino Linotype"/>
          <w:b/>
          <w:sz w:val="22"/>
          <w:szCs w:val="22"/>
        </w:rPr>
        <w:t>/INFOEM/IP/RR/2025</w:t>
      </w:r>
      <w:r w:rsidRPr="002B4FB6">
        <w:rPr>
          <w:rFonts w:ascii="Palatino Linotype" w:eastAsia="Palatino Linotype" w:hAnsi="Palatino Linotype" w:cs="Palatino Linotype"/>
          <w:sz w:val="22"/>
          <w:szCs w:val="22"/>
        </w:rPr>
        <w:t xml:space="preserve">; por lo que, en términos del </w:t>
      </w:r>
      <w:r w:rsidRPr="002B4FB6">
        <w:rPr>
          <w:rFonts w:ascii="Palatino Linotype" w:eastAsia="Palatino Linotype" w:hAnsi="Palatino Linotype" w:cs="Palatino Linotype"/>
          <w:b/>
          <w:sz w:val="22"/>
          <w:szCs w:val="22"/>
        </w:rPr>
        <w:t>Considerando</w:t>
      </w:r>
      <w:r w:rsidRPr="002B4FB6">
        <w:rPr>
          <w:rFonts w:ascii="Palatino Linotype" w:eastAsia="Palatino Linotype" w:hAnsi="Palatino Linotype" w:cs="Palatino Linotype"/>
          <w:sz w:val="22"/>
          <w:szCs w:val="22"/>
        </w:rPr>
        <w:t xml:space="preserve"> </w:t>
      </w:r>
      <w:r w:rsidRPr="002B4FB6">
        <w:rPr>
          <w:rFonts w:ascii="Palatino Linotype" w:eastAsia="Palatino Linotype" w:hAnsi="Palatino Linotype" w:cs="Palatino Linotype"/>
          <w:b/>
          <w:sz w:val="22"/>
          <w:szCs w:val="22"/>
        </w:rPr>
        <w:t xml:space="preserve">Cuarto </w:t>
      </w:r>
      <w:r w:rsidRPr="002B4FB6">
        <w:rPr>
          <w:rFonts w:ascii="Palatino Linotype" w:eastAsia="Palatino Linotype" w:hAnsi="Palatino Linotype" w:cs="Palatino Linotype"/>
          <w:sz w:val="22"/>
          <w:szCs w:val="22"/>
        </w:rPr>
        <w:t xml:space="preserve">de esta resolución, se </w:t>
      </w:r>
      <w:r w:rsidRPr="002B4FB6">
        <w:rPr>
          <w:rFonts w:ascii="Palatino Linotype" w:eastAsia="Palatino Linotype" w:hAnsi="Palatino Linotype" w:cs="Palatino Linotype"/>
          <w:b/>
          <w:sz w:val="22"/>
          <w:szCs w:val="22"/>
        </w:rPr>
        <w:t>Revoca</w:t>
      </w:r>
      <w:r w:rsidRPr="002B4FB6">
        <w:rPr>
          <w:rFonts w:ascii="Palatino Linotype" w:eastAsia="Palatino Linotype" w:hAnsi="Palatino Linotype" w:cs="Palatino Linotype"/>
          <w:sz w:val="22"/>
          <w:szCs w:val="22"/>
        </w:rPr>
        <w:t xml:space="preserve"> la respuesta emitida por el </w:t>
      </w:r>
      <w:r w:rsidRPr="002B4FB6">
        <w:rPr>
          <w:rFonts w:ascii="Palatino Linotype" w:eastAsia="Palatino Linotype" w:hAnsi="Palatino Linotype" w:cs="Palatino Linotype"/>
          <w:b/>
          <w:sz w:val="22"/>
          <w:szCs w:val="22"/>
        </w:rPr>
        <w:t xml:space="preserve">Sujeto Obligado. </w:t>
      </w:r>
    </w:p>
    <w:p w14:paraId="5920CB8A" w14:textId="77777777" w:rsidR="000710B6" w:rsidRPr="002B4FB6" w:rsidRDefault="0029535C">
      <w:pPr>
        <w:spacing w:before="240" w:after="240" w:line="360" w:lineRule="auto"/>
        <w:ind w:right="49"/>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 xml:space="preserve">Segundo. </w:t>
      </w:r>
      <w:r w:rsidRPr="002B4FB6">
        <w:rPr>
          <w:rFonts w:ascii="Palatino Linotype" w:eastAsia="Palatino Linotype" w:hAnsi="Palatino Linotype" w:cs="Palatino Linotype"/>
          <w:sz w:val="22"/>
          <w:szCs w:val="22"/>
        </w:rPr>
        <w:t xml:space="preserve">Se </w:t>
      </w:r>
      <w:r w:rsidRPr="002B4FB6">
        <w:rPr>
          <w:rFonts w:ascii="Palatino Linotype" w:eastAsia="Palatino Linotype" w:hAnsi="Palatino Linotype" w:cs="Palatino Linotype"/>
          <w:b/>
          <w:sz w:val="22"/>
          <w:szCs w:val="22"/>
        </w:rPr>
        <w:t xml:space="preserve">Ordena </w:t>
      </w:r>
      <w:r w:rsidRPr="002B4FB6">
        <w:rPr>
          <w:rFonts w:ascii="Palatino Linotype" w:eastAsia="Palatino Linotype" w:hAnsi="Palatino Linotype" w:cs="Palatino Linotype"/>
          <w:sz w:val="22"/>
          <w:szCs w:val="22"/>
        </w:rPr>
        <w:t xml:space="preserve">al </w:t>
      </w:r>
      <w:r w:rsidRPr="002B4FB6">
        <w:rPr>
          <w:rFonts w:ascii="Palatino Linotype" w:eastAsia="Palatino Linotype" w:hAnsi="Palatino Linotype" w:cs="Palatino Linotype"/>
          <w:b/>
          <w:sz w:val="22"/>
          <w:szCs w:val="22"/>
        </w:rPr>
        <w:t xml:space="preserve">Sujeto Obligado, </w:t>
      </w:r>
      <w:r w:rsidRPr="002B4FB6">
        <w:rPr>
          <w:rFonts w:ascii="Palatino Linotype" w:eastAsia="Palatino Linotype" w:hAnsi="Palatino Linotype" w:cs="Palatino Linotype"/>
          <w:sz w:val="22"/>
          <w:szCs w:val="22"/>
        </w:rPr>
        <w:t xml:space="preserve">en términos de los </w:t>
      </w:r>
      <w:r w:rsidRPr="002B4FB6">
        <w:rPr>
          <w:rFonts w:ascii="Palatino Linotype" w:eastAsia="Palatino Linotype" w:hAnsi="Palatino Linotype" w:cs="Palatino Linotype"/>
          <w:b/>
          <w:sz w:val="22"/>
          <w:szCs w:val="22"/>
        </w:rPr>
        <w:t>Considerandos</w:t>
      </w:r>
      <w:r w:rsidRPr="002B4FB6">
        <w:rPr>
          <w:rFonts w:ascii="Palatino Linotype" w:eastAsia="Palatino Linotype" w:hAnsi="Palatino Linotype" w:cs="Palatino Linotype"/>
          <w:sz w:val="22"/>
          <w:szCs w:val="22"/>
        </w:rPr>
        <w:t xml:space="preserve"> </w:t>
      </w:r>
      <w:r w:rsidRPr="002B4FB6">
        <w:rPr>
          <w:rFonts w:ascii="Palatino Linotype" w:eastAsia="Palatino Linotype" w:hAnsi="Palatino Linotype" w:cs="Palatino Linotype"/>
          <w:b/>
          <w:sz w:val="22"/>
          <w:szCs w:val="22"/>
        </w:rPr>
        <w:t xml:space="preserve">Cuarto </w:t>
      </w:r>
      <w:r w:rsidRPr="002B4FB6">
        <w:rPr>
          <w:rFonts w:ascii="Palatino Linotype" w:eastAsia="Palatino Linotype" w:hAnsi="Palatino Linotype" w:cs="Palatino Linotype"/>
          <w:sz w:val="22"/>
          <w:szCs w:val="22"/>
        </w:rPr>
        <w:t xml:space="preserve"> y </w:t>
      </w:r>
      <w:r w:rsidRPr="002B4FB6">
        <w:rPr>
          <w:rFonts w:ascii="Palatino Linotype" w:eastAsia="Palatino Linotype" w:hAnsi="Palatino Linotype" w:cs="Palatino Linotype"/>
          <w:b/>
          <w:sz w:val="22"/>
          <w:szCs w:val="22"/>
        </w:rPr>
        <w:t>Quinto</w:t>
      </w:r>
      <w:r w:rsidRPr="002B4FB6">
        <w:rPr>
          <w:rFonts w:ascii="Palatino Linotype" w:eastAsia="Palatino Linotype" w:hAnsi="Palatino Linotype" w:cs="Palatino Linotype"/>
          <w:sz w:val="22"/>
          <w:szCs w:val="22"/>
        </w:rPr>
        <w:t xml:space="preserve"> de esta resolución, haga entrega, vía </w:t>
      </w:r>
      <w:r w:rsidRPr="002B4FB6">
        <w:rPr>
          <w:rFonts w:ascii="Palatino Linotype" w:eastAsia="Palatino Linotype" w:hAnsi="Palatino Linotype" w:cs="Palatino Linotype"/>
          <w:b/>
          <w:sz w:val="22"/>
          <w:szCs w:val="22"/>
        </w:rPr>
        <w:t>SAIMEX</w:t>
      </w:r>
      <w:r w:rsidRPr="002B4FB6">
        <w:rPr>
          <w:rFonts w:ascii="Palatino Linotype" w:eastAsia="Palatino Linotype" w:hAnsi="Palatino Linotype" w:cs="Palatino Linotype"/>
          <w:sz w:val="22"/>
          <w:szCs w:val="22"/>
        </w:rPr>
        <w:t>, en versión pública, de lo siguiente:</w:t>
      </w:r>
    </w:p>
    <w:p w14:paraId="5A2D5D73" w14:textId="4AEF7173" w:rsidR="000710B6" w:rsidRPr="002B4FB6" w:rsidRDefault="0029535C">
      <w:pPr>
        <w:spacing w:before="240" w:after="240" w:line="360" w:lineRule="auto"/>
        <w:ind w:left="284"/>
        <w:jc w:val="both"/>
        <w:rPr>
          <w:rFonts w:ascii="Palatino Linotype" w:eastAsia="Palatino Linotype" w:hAnsi="Palatino Linotype" w:cs="Palatino Linotype"/>
          <w:sz w:val="22"/>
          <w:szCs w:val="22"/>
        </w:rPr>
      </w:pPr>
      <w:bookmarkStart w:id="10" w:name="_heading=h.1fob9te" w:colFirst="0" w:colLast="0"/>
      <w:bookmarkEnd w:id="10"/>
      <w:r w:rsidRPr="002B4FB6">
        <w:rPr>
          <w:rFonts w:ascii="Palatino Linotype" w:eastAsia="Palatino Linotype" w:hAnsi="Palatino Linotype" w:cs="Palatino Linotype"/>
          <w:sz w:val="22"/>
          <w:szCs w:val="22"/>
        </w:rPr>
        <w:t xml:space="preserve">1. </w:t>
      </w:r>
      <w:r w:rsidR="00673E6C" w:rsidRPr="002B4FB6">
        <w:rPr>
          <w:rFonts w:ascii="Palatino Linotype" w:eastAsia="Palatino Linotype" w:hAnsi="Palatino Linotype" w:cs="Palatino Linotype"/>
          <w:sz w:val="22"/>
          <w:szCs w:val="22"/>
        </w:rPr>
        <w:t>P</w:t>
      </w:r>
      <w:r w:rsidRPr="002B4FB6">
        <w:rPr>
          <w:rFonts w:ascii="Palatino Linotype" w:eastAsia="Palatino Linotype" w:hAnsi="Palatino Linotype" w:cs="Palatino Linotype"/>
          <w:sz w:val="22"/>
          <w:szCs w:val="22"/>
        </w:rPr>
        <w:t>adrón catastral</w:t>
      </w:r>
      <w:r w:rsidR="00673E6C" w:rsidRPr="002B4FB6">
        <w:rPr>
          <w:rFonts w:ascii="Palatino Linotype" w:eastAsia="Palatino Linotype" w:hAnsi="Palatino Linotype" w:cs="Palatino Linotype"/>
          <w:sz w:val="22"/>
          <w:szCs w:val="22"/>
        </w:rPr>
        <w:t xml:space="preserve"> </w:t>
      </w:r>
      <w:r w:rsidR="00E5348C" w:rsidRPr="002B4FB6">
        <w:rPr>
          <w:rFonts w:ascii="Palatino Linotype" w:eastAsia="Palatino Linotype" w:hAnsi="Palatino Linotype" w:cs="Palatino Linotype"/>
          <w:sz w:val="22"/>
          <w:szCs w:val="22"/>
        </w:rPr>
        <w:t>vigente al nueve de junio de dos mil veinticinco</w:t>
      </w:r>
      <w:r w:rsidRPr="002B4FB6">
        <w:rPr>
          <w:rFonts w:ascii="Palatino Linotype" w:eastAsia="Palatino Linotype" w:hAnsi="Palatino Linotype" w:cs="Palatino Linotype"/>
          <w:sz w:val="22"/>
          <w:szCs w:val="22"/>
        </w:rPr>
        <w:t>.</w:t>
      </w:r>
    </w:p>
    <w:p w14:paraId="1966E955" w14:textId="77777777" w:rsidR="000710B6" w:rsidRPr="002B4FB6" w:rsidRDefault="0029535C">
      <w:pPr>
        <w:widowControl w:val="0"/>
        <w:pBdr>
          <w:top w:val="nil"/>
          <w:left w:val="nil"/>
          <w:bottom w:val="nil"/>
          <w:right w:val="nil"/>
          <w:between w:val="nil"/>
        </w:pBdr>
        <w:spacing w:before="240" w:after="240"/>
        <w:ind w:left="284" w:right="51"/>
        <w:jc w:val="both"/>
        <w:rPr>
          <w:rFonts w:ascii="Palatino Linotype" w:eastAsia="Palatino Linotype" w:hAnsi="Palatino Linotype" w:cs="Palatino Linotype"/>
          <w:i/>
          <w:sz w:val="20"/>
          <w:szCs w:val="20"/>
        </w:rPr>
      </w:pPr>
      <w:r w:rsidRPr="002B4FB6">
        <w:rPr>
          <w:rFonts w:ascii="Palatino Linotype" w:eastAsia="Palatino Linotype" w:hAnsi="Palatino Linotype" w:cs="Palatino Linotype"/>
          <w:i/>
          <w:sz w:val="20"/>
          <w:szCs w:val="20"/>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1C123294"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b/>
          <w:sz w:val="22"/>
          <w:szCs w:val="22"/>
        </w:rPr>
        <w:t xml:space="preserve">Tercero. Notifíquese, </w:t>
      </w:r>
      <w:r w:rsidRPr="002B4FB6">
        <w:rPr>
          <w:rFonts w:ascii="Palatino Linotype" w:eastAsia="Palatino Linotype" w:hAnsi="Palatino Linotype" w:cs="Palatino Linotype"/>
          <w:sz w:val="22"/>
          <w:szCs w:val="22"/>
        </w:rPr>
        <w:t xml:space="preserve">vía </w:t>
      </w:r>
      <w:r w:rsidRPr="002B4FB6">
        <w:rPr>
          <w:rFonts w:ascii="Palatino Linotype" w:eastAsia="Palatino Linotype" w:hAnsi="Palatino Linotype" w:cs="Palatino Linotype"/>
          <w:b/>
          <w:sz w:val="22"/>
          <w:szCs w:val="22"/>
        </w:rPr>
        <w:t>SAIMEX</w:t>
      </w:r>
      <w:r w:rsidRPr="002B4FB6">
        <w:rPr>
          <w:rFonts w:ascii="Palatino Linotype" w:eastAsia="Palatino Linotype" w:hAnsi="Palatino Linotype" w:cs="Palatino Linotype"/>
          <w:sz w:val="22"/>
          <w:szCs w:val="22"/>
        </w:rPr>
        <w:t xml:space="preserve">, al Titular de la Unidad de Transparencia del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2B234C"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r w:rsidRPr="002B4FB6">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2B4FB6">
        <w:rPr>
          <w:rFonts w:ascii="Palatino Linotype" w:eastAsia="Palatino Linotype" w:hAnsi="Palatino Linotype" w:cs="Palatino Linotype"/>
          <w:b/>
          <w:sz w:val="22"/>
          <w:szCs w:val="22"/>
        </w:rPr>
        <w:t>Sujeto Obligado</w:t>
      </w:r>
      <w:r w:rsidRPr="002B4FB6">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EF5D1AE" w14:textId="77777777" w:rsidR="000710B6" w:rsidRPr="002B4FB6" w:rsidRDefault="0029535C">
      <w:pPr>
        <w:spacing w:before="240" w:after="240" w:line="360" w:lineRule="auto"/>
        <w:jc w:val="both"/>
        <w:rPr>
          <w:rFonts w:ascii="Palatino Linotype" w:eastAsia="Palatino Linotype" w:hAnsi="Palatino Linotype" w:cs="Palatino Linotype"/>
          <w:sz w:val="22"/>
          <w:szCs w:val="22"/>
        </w:rPr>
      </w:pPr>
      <w:bookmarkStart w:id="11" w:name="_heading=h.ot3qq6vxa08f" w:colFirst="0" w:colLast="0"/>
      <w:bookmarkEnd w:id="11"/>
      <w:r w:rsidRPr="002B4FB6">
        <w:rPr>
          <w:rFonts w:ascii="Palatino Linotype" w:eastAsia="Palatino Linotype" w:hAnsi="Palatino Linotype" w:cs="Palatino Linotype"/>
          <w:b/>
          <w:sz w:val="22"/>
          <w:szCs w:val="22"/>
        </w:rPr>
        <w:t xml:space="preserve">Cuarto.  Notifíquese, </w:t>
      </w:r>
      <w:r w:rsidRPr="002B4FB6">
        <w:rPr>
          <w:rFonts w:ascii="Palatino Linotype" w:eastAsia="Palatino Linotype" w:hAnsi="Palatino Linotype" w:cs="Palatino Linotype"/>
          <w:sz w:val="22"/>
          <w:szCs w:val="22"/>
        </w:rPr>
        <w:t xml:space="preserve">vía </w:t>
      </w:r>
      <w:r w:rsidRPr="002B4FB6">
        <w:rPr>
          <w:rFonts w:ascii="Palatino Linotype" w:eastAsia="Palatino Linotype" w:hAnsi="Palatino Linotype" w:cs="Palatino Linotype"/>
          <w:b/>
          <w:sz w:val="22"/>
          <w:szCs w:val="22"/>
        </w:rPr>
        <w:t>SAIMEX</w:t>
      </w:r>
      <w:r w:rsidRPr="002B4FB6">
        <w:rPr>
          <w:rFonts w:ascii="Palatino Linotype" w:eastAsia="Palatino Linotype" w:hAnsi="Palatino Linotype" w:cs="Palatino Linotype"/>
          <w:sz w:val="22"/>
          <w:szCs w:val="22"/>
        </w:rPr>
        <w:t xml:space="preserve"> a la parte </w:t>
      </w:r>
      <w:r w:rsidRPr="002B4FB6">
        <w:rPr>
          <w:rFonts w:ascii="Palatino Linotype" w:eastAsia="Palatino Linotype" w:hAnsi="Palatino Linotype" w:cs="Palatino Linotype"/>
          <w:b/>
          <w:sz w:val="22"/>
          <w:szCs w:val="22"/>
        </w:rPr>
        <w:t>Recurrente</w:t>
      </w:r>
      <w:r w:rsidRPr="002B4FB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1C1FA90" w14:textId="77777777" w:rsidR="00A25DE6" w:rsidRPr="002B4FB6" w:rsidRDefault="0029535C" w:rsidP="00A25DE6">
      <w:pPr>
        <w:spacing w:line="360" w:lineRule="auto"/>
        <w:ind w:right="49"/>
        <w:jc w:val="both"/>
        <w:rPr>
          <w:rFonts w:ascii="Palatino Linotype" w:eastAsia="Palatino Linotype" w:hAnsi="Palatino Linotype" w:cs="Palatino Linotype"/>
          <w:sz w:val="22"/>
          <w:szCs w:val="22"/>
        </w:rPr>
      </w:pPr>
      <w:bookmarkStart w:id="12" w:name="_heading=h.lnxbz9" w:colFirst="0" w:colLast="0"/>
      <w:bookmarkEnd w:id="12"/>
      <w:r w:rsidRPr="002B4FB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bookmarkStart w:id="13" w:name="_heading=h.leg78rv93ojj" w:colFirst="0" w:colLast="0"/>
      <w:bookmarkEnd w:id="13"/>
      <w:r w:rsidR="00A25DE6" w:rsidRPr="002B4FB6">
        <w:rPr>
          <w:rFonts w:ascii="Palatino Linotype" w:eastAsia="Palatino Linotype" w:hAnsi="Palatino Linotype" w:cs="Palatino Linotype"/>
          <w:sz w:val="22"/>
          <w:szCs w:val="22"/>
        </w:rPr>
        <w:t xml:space="preserve">EN LA  PRIMERA SESIÓN ORDINARIA CELEBRADA EL CATORCE DE ENERO DE DOS MIL VEINTISÉIS, ANTE EL SECRETARIO TÉCNICO DEL PLENO ALEXIS TAPIA RAMÍREZ. </w:t>
      </w:r>
    </w:p>
    <w:p w14:paraId="69B63F40" w14:textId="77777777" w:rsidR="00A25DE6" w:rsidRPr="00A25DE6" w:rsidRDefault="00A25DE6" w:rsidP="00A25DE6"/>
    <w:p w14:paraId="4B978070" w14:textId="0FA56B65" w:rsidR="000710B6" w:rsidRPr="00A25DE6" w:rsidRDefault="000710B6">
      <w:pPr>
        <w:tabs>
          <w:tab w:val="left" w:pos="8647"/>
        </w:tabs>
        <w:spacing w:before="240" w:after="240" w:line="360" w:lineRule="auto"/>
        <w:ind w:right="51"/>
        <w:jc w:val="both"/>
        <w:rPr>
          <w:rFonts w:ascii="Palatino Linotype" w:eastAsia="Palatino Linotype" w:hAnsi="Palatino Linotype" w:cs="Palatino Linotype"/>
          <w:sz w:val="22"/>
          <w:szCs w:val="22"/>
        </w:rPr>
      </w:pPr>
    </w:p>
    <w:p w14:paraId="0E2727DA"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F307D89" w14:textId="77777777" w:rsidR="000710B6" w:rsidRPr="00A25DE6" w:rsidRDefault="000710B6">
      <w:pPr>
        <w:spacing w:line="360" w:lineRule="auto"/>
        <w:jc w:val="center"/>
        <w:rPr>
          <w:rFonts w:ascii="Palatino Linotype" w:eastAsia="Palatino Linotype" w:hAnsi="Palatino Linotype" w:cs="Palatino Linotype"/>
          <w:sz w:val="22"/>
          <w:szCs w:val="22"/>
        </w:rPr>
      </w:pPr>
    </w:p>
    <w:p w14:paraId="524CB21B"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63599EA2"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0278B1E"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8109E59"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0976267"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4AA6AF66"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77A3AA28"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5CC3B797"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5B670DD2"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1B8A15B2"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1B6F106D"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ED5F95F"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41CC67D6"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59B84AAB"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E15585E"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63EBC43F"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66D48445"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1E32DAD"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35BFAD3"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7AB2343D"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218AF2DA"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6A9352B6"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30D8EED4"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0D4F0546"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2B8A0222"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68809290"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278391B4"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7D7975BC"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37A6BB36" w14:textId="77777777" w:rsidR="000710B6" w:rsidRPr="00A25DE6" w:rsidRDefault="000710B6">
      <w:pPr>
        <w:spacing w:line="360" w:lineRule="auto"/>
        <w:jc w:val="both"/>
        <w:rPr>
          <w:rFonts w:ascii="Palatino Linotype" w:eastAsia="Palatino Linotype" w:hAnsi="Palatino Linotype" w:cs="Palatino Linotype"/>
          <w:sz w:val="22"/>
          <w:szCs w:val="22"/>
        </w:rPr>
      </w:pPr>
    </w:p>
    <w:p w14:paraId="1268E1A8" w14:textId="77777777" w:rsidR="000710B6" w:rsidRPr="00A25DE6" w:rsidRDefault="000710B6">
      <w:pPr>
        <w:spacing w:line="360" w:lineRule="auto"/>
        <w:jc w:val="both"/>
        <w:rPr>
          <w:rFonts w:ascii="Palatino Linotype" w:eastAsia="Palatino Linotype" w:hAnsi="Palatino Linotype" w:cs="Palatino Linotype"/>
          <w:sz w:val="22"/>
          <w:szCs w:val="22"/>
        </w:rPr>
      </w:pPr>
      <w:bookmarkStart w:id="14" w:name="_heading=h.dluxxr715a9d" w:colFirst="0" w:colLast="0"/>
      <w:bookmarkEnd w:id="14"/>
    </w:p>
    <w:sectPr w:rsidR="000710B6" w:rsidRPr="00A25DE6">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12FA1" w14:textId="77777777" w:rsidR="00AD663A" w:rsidRDefault="00AD663A">
      <w:r>
        <w:separator/>
      </w:r>
    </w:p>
  </w:endnote>
  <w:endnote w:type="continuationSeparator" w:id="0">
    <w:p w14:paraId="56896163" w14:textId="77777777" w:rsidR="00AD663A" w:rsidRDefault="00AD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6D18B" w14:textId="3344D610" w:rsidR="000710B6" w:rsidRDefault="002953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37022">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37022">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09E1BA5C" w14:textId="77777777" w:rsidR="000710B6" w:rsidRDefault="0029535C">
    <w:pPr>
      <w:pBdr>
        <w:top w:val="nil"/>
        <w:left w:val="nil"/>
        <w:bottom w:val="nil"/>
        <w:right w:val="nil"/>
        <w:between w:val="nil"/>
      </w:pBdr>
      <w:tabs>
        <w:tab w:val="center" w:pos="4252"/>
        <w:tab w:val="right" w:pos="8504"/>
      </w:tabs>
      <w:ind w:firstLine="708"/>
      <w:rPr>
        <w:rFonts w:ascii="Cambria" w:eastAsia="Cambria" w:hAnsi="Cambria" w:cs="Cambria"/>
        <w:color w:val="000000"/>
      </w:rPr>
    </w:pPr>
    <w:r>
      <w:rPr>
        <w:noProof/>
      </w:rPr>
      <w:drawing>
        <wp:anchor distT="0" distB="0" distL="0" distR="0" simplePos="0" relativeHeight="251659264" behindDoc="1" locked="0" layoutInCell="1" hidden="0" allowOverlap="1" wp14:anchorId="16C4F67E" wp14:editId="1D310BC1">
          <wp:simplePos x="0" y="0"/>
          <wp:positionH relativeFrom="column">
            <wp:posOffset>-1485898</wp:posOffset>
          </wp:positionH>
          <wp:positionV relativeFrom="paragraph">
            <wp:posOffset>59581647</wp:posOffset>
          </wp:positionV>
          <wp:extent cx="7809865" cy="10165715"/>
          <wp:effectExtent l="0" t="0" r="0" b="0"/>
          <wp:wrapNone/>
          <wp:docPr id="21401318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E67EB" w14:textId="1411B9CE" w:rsidR="000710B6" w:rsidRDefault="002953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3702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37022">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42459B3B" w14:textId="77777777" w:rsidR="000710B6" w:rsidRDefault="000710B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20078" w14:textId="77777777" w:rsidR="00AD663A" w:rsidRDefault="00AD663A">
      <w:r>
        <w:separator/>
      </w:r>
    </w:p>
  </w:footnote>
  <w:footnote w:type="continuationSeparator" w:id="0">
    <w:p w14:paraId="453EE7CF" w14:textId="77777777" w:rsidR="00AD663A" w:rsidRDefault="00AD66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12C62" w14:textId="77777777" w:rsidR="000710B6" w:rsidRDefault="000710B6">
    <w:pPr>
      <w:rPr>
        <w:rFonts w:ascii="Cambria" w:eastAsia="Cambria" w:hAnsi="Cambria" w:cs="Cambria"/>
        <w:color w:val="000000"/>
      </w:rPr>
    </w:pPr>
  </w:p>
  <w:tbl>
    <w:tblPr>
      <w:tblStyle w:val="afff2"/>
      <w:tblW w:w="6095" w:type="dxa"/>
      <w:tblInd w:w="3261" w:type="dxa"/>
      <w:tblLayout w:type="fixed"/>
      <w:tblLook w:val="0400" w:firstRow="0" w:lastRow="0" w:firstColumn="0" w:lastColumn="0" w:noHBand="0" w:noVBand="1"/>
    </w:tblPr>
    <w:tblGrid>
      <w:gridCol w:w="2489"/>
      <w:gridCol w:w="3606"/>
    </w:tblGrid>
    <w:tr w:rsidR="000710B6" w14:paraId="1C616E22" w14:textId="77777777">
      <w:tc>
        <w:tcPr>
          <w:tcW w:w="2489" w:type="dxa"/>
        </w:tcPr>
        <w:p w14:paraId="7110892F" w14:textId="77777777"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14:paraId="226BCB42" w14:textId="77777777" w:rsidR="000710B6" w:rsidRDefault="0029535C" w:rsidP="004667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w:t>
          </w:r>
          <w:r w:rsidR="00466710">
            <w:rPr>
              <w:rFonts w:ascii="Palatino Linotype" w:eastAsia="Palatino Linotype" w:hAnsi="Palatino Linotype" w:cs="Palatino Linotype"/>
              <w:b/>
              <w:sz w:val="22"/>
              <w:szCs w:val="22"/>
            </w:rPr>
            <w:t>989</w:t>
          </w:r>
          <w:r>
            <w:rPr>
              <w:rFonts w:ascii="Palatino Linotype" w:eastAsia="Palatino Linotype" w:hAnsi="Palatino Linotype" w:cs="Palatino Linotype"/>
              <w:b/>
              <w:sz w:val="22"/>
              <w:szCs w:val="22"/>
            </w:rPr>
            <w:t>/INFOEM/IP/RR/2025</w:t>
          </w:r>
        </w:p>
      </w:tc>
    </w:tr>
    <w:tr w:rsidR="000710B6" w14:paraId="336D8BF1" w14:textId="77777777">
      <w:trPr>
        <w:trHeight w:val="228"/>
      </w:trPr>
      <w:tc>
        <w:tcPr>
          <w:tcW w:w="2489" w:type="dxa"/>
          <w:vAlign w:val="center"/>
        </w:tcPr>
        <w:p w14:paraId="60CAC8F2" w14:textId="77777777"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14:paraId="5E8BC766" w14:textId="77777777" w:rsidR="000710B6" w:rsidRDefault="0029535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710B6" w14:paraId="4F73EA62" w14:textId="77777777">
      <w:tc>
        <w:tcPr>
          <w:tcW w:w="2489" w:type="dxa"/>
          <w:vAlign w:val="center"/>
        </w:tcPr>
        <w:p w14:paraId="0C9E6802" w14:textId="77777777" w:rsidR="000710B6" w:rsidRDefault="0029535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14:paraId="3408C4D5" w14:textId="77777777" w:rsidR="000710B6" w:rsidRDefault="002953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F384A0" w14:textId="77777777" w:rsidR="000710B6" w:rsidRDefault="0029535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2001" w14:textId="77777777" w:rsidR="000710B6" w:rsidRDefault="0029535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8240" behindDoc="1" locked="0" layoutInCell="1" hidden="0" allowOverlap="1" wp14:anchorId="7D9CA5A1" wp14:editId="7D8B0C5E">
          <wp:simplePos x="0" y="0"/>
          <wp:positionH relativeFrom="column">
            <wp:posOffset>-1080129</wp:posOffset>
          </wp:positionH>
          <wp:positionV relativeFrom="paragraph">
            <wp:posOffset>-369888</wp:posOffset>
          </wp:positionV>
          <wp:extent cx="7809865" cy="10165715"/>
          <wp:effectExtent l="0" t="0" r="0" b="0"/>
          <wp:wrapNone/>
          <wp:docPr id="21401318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3"/>
      <w:tblW w:w="6095" w:type="dxa"/>
      <w:tblInd w:w="3261" w:type="dxa"/>
      <w:tblLayout w:type="fixed"/>
      <w:tblLook w:val="0400" w:firstRow="0" w:lastRow="0" w:firstColumn="0" w:lastColumn="0" w:noHBand="0" w:noVBand="1"/>
    </w:tblPr>
    <w:tblGrid>
      <w:gridCol w:w="2489"/>
      <w:gridCol w:w="3606"/>
    </w:tblGrid>
    <w:tr w:rsidR="000710B6" w14:paraId="37C0F642" w14:textId="77777777">
      <w:tc>
        <w:tcPr>
          <w:tcW w:w="2489" w:type="dxa"/>
        </w:tcPr>
        <w:p w14:paraId="1C82921E" w14:textId="77777777"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14:paraId="582C54E0" w14:textId="77777777" w:rsidR="000710B6" w:rsidRDefault="00466710" w:rsidP="004667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07989</w:t>
          </w:r>
          <w:r w:rsidR="0029535C">
            <w:rPr>
              <w:rFonts w:ascii="Palatino Linotype" w:eastAsia="Palatino Linotype" w:hAnsi="Palatino Linotype" w:cs="Palatino Linotype"/>
              <w:b/>
              <w:sz w:val="22"/>
              <w:szCs w:val="22"/>
            </w:rPr>
            <w:t>/INFOEM/IP/RR/2025</w:t>
          </w:r>
        </w:p>
      </w:tc>
    </w:tr>
    <w:tr w:rsidR="000710B6" w14:paraId="1C2F52BD" w14:textId="77777777">
      <w:tc>
        <w:tcPr>
          <w:tcW w:w="2489" w:type="dxa"/>
        </w:tcPr>
        <w:p w14:paraId="00B41680" w14:textId="77777777"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vAlign w:val="center"/>
        </w:tcPr>
        <w:p w14:paraId="17CFDBC8" w14:textId="77777777" w:rsidR="000710B6" w:rsidRDefault="000710B6">
          <w:pPr>
            <w:ind w:right="175"/>
            <w:jc w:val="both"/>
            <w:rPr>
              <w:rFonts w:ascii="Palatino Linotype" w:eastAsia="Palatino Linotype" w:hAnsi="Palatino Linotype" w:cs="Palatino Linotype"/>
              <w:b/>
              <w:color w:val="FF0000"/>
              <w:sz w:val="22"/>
              <w:szCs w:val="22"/>
              <w:highlight w:val="yellow"/>
            </w:rPr>
          </w:pPr>
        </w:p>
      </w:tc>
    </w:tr>
    <w:tr w:rsidR="000710B6" w14:paraId="4C712151" w14:textId="77777777">
      <w:trPr>
        <w:trHeight w:val="228"/>
      </w:trPr>
      <w:tc>
        <w:tcPr>
          <w:tcW w:w="2489" w:type="dxa"/>
          <w:vAlign w:val="center"/>
        </w:tcPr>
        <w:p w14:paraId="5E85DBC9" w14:textId="77777777"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14:paraId="504D9C47" w14:textId="77777777" w:rsidR="000710B6" w:rsidRDefault="0029535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710B6" w14:paraId="3758D542" w14:textId="77777777">
      <w:tc>
        <w:tcPr>
          <w:tcW w:w="2489" w:type="dxa"/>
          <w:vAlign w:val="center"/>
        </w:tcPr>
        <w:p w14:paraId="2B17EBE1" w14:textId="77777777" w:rsidR="000710B6" w:rsidRDefault="0029535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14:paraId="4FC0ED34" w14:textId="77777777" w:rsidR="000710B6" w:rsidRDefault="002953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FA17FF" w14:textId="77777777" w:rsidR="000710B6" w:rsidRDefault="000710B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812B3"/>
    <w:multiLevelType w:val="multilevel"/>
    <w:tmpl w:val="FD4AB6E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3847965"/>
    <w:multiLevelType w:val="multilevel"/>
    <w:tmpl w:val="C496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B6"/>
    <w:rsid w:val="00003F42"/>
    <w:rsid w:val="000710B6"/>
    <w:rsid w:val="0029535C"/>
    <w:rsid w:val="002B4FB6"/>
    <w:rsid w:val="003517B6"/>
    <w:rsid w:val="004408FB"/>
    <w:rsid w:val="00466710"/>
    <w:rsid w:val="005E5927"/>
    <w:rsid w:val="00673E6C"/>
    <w:rsid w:val="00737022"/>
    <w:rsid w:val="00A25DE6"/>
    <w:rsid w:val="00AD49DE"/>
    <w:rsid w:val="00AD663A"/>
    <w:rsid w:val="00B34A31"/>
    <w:rsid w:val="00B90C1F"/>
    <w:rsid w:val="00BC2D77"/>
    <w:rsid w:val="00C16622"/>
    <w:rsid w:val="00E5348C"/>
    <w:rsid w:val="00E86624"/>
    <w:rsid w:val="00F36A7F"/>
    <w:rsid w:val="00F76D2A"/>
    <w:rsid w:val="00FB6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BFB0"/>
  <w15:docId w15:val="{1FD36060-D4BE-4D78-A69F-13C7EEE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a">
    <w:basedOn w:val="TableNormalf5"/>
    <w:tblPr>
      <w:tblStyleRowBandSize w:val="1"/>
      <w:tblStyleColBandSize w:val="1"/>
      <w:tblCellMar>
        <w:left w:w="115" w:type="dxa"/>
        <w:right w:w="115" w:type="dxa"/>
      </w:tblCellMar>
    </w:tblPr>
  </w:style>
  <w:style w:type="table" w:customStyle="1" w:styleId="a0">
    <w:basedOn w:val="TableNormalf5"/>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5"/>
    <w:tblPr>
      <w:tblStyleRowBandSize w:val="1"/>
      <w:tblStyleColBandSize w:val="1"/>
      <w:tblCellMar>
        <w:left w:w="115" w:type="dxa"/>
        <w:right w:w="115" w:type="dxa"/>
      </w:tblCellMar>
    </w:tblPr>
  </w:style>
  <w:style w:type="table" w:customStyle="1" w:styleId="a2">
    <w:basedOn w:val="TableNormalf5"/>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ind w:left="927" w:hanging="360"/>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3"/>
    <w:tblPr>
      <w:tblStyleRowBandSize w:val="1"/>
      <w:tblStyleColBandSize w:val="1"/>
      <w:tblCellMar>
        <w:left w:w="108" w:type="dxa"/>
        <w:right w:w="108" w:type="dxa"/>
      </w:tblCellMar>
    </w:tblPr>
  </w:style>
  <w:style w:type="table" w:customStyle="1" w:styleId="a6">
    <w:basedOn w:val="TableNormalf3"/>
    <w:tblPr>
      <w:tblStyleRowBandSize w:val="1"/>
      <w:tblStyleColBandSize w:val="1"/>
      <w:tblCellMar>
        <w:left w:w="108" w:type="dxa"/>
        <w:right w:w="108" w:type="dxa"/>
      </w:tblCellMar>
    </w:tblPr>
  </w:style>
  <w:style w:type="table" w:customStyle="1" w:styleId="a7">
    <w:basedOn w:val="TableNormalf3"/>
    <w:tblPr>
      <w:tblStyleRowBandSize w:val="1"/>
      <w:tblStyleColBandSize w:val="1"/>
      <w:tblCellMar>
        <w:left w:w="108" w:type="dxa"/>
        <w:right w:w="108" w:type="dxa"/>
      </w:tblCellMar>
    </w:tblPr>
  </w:style>
  <w:style w:type="table" w:customStyle="1" w:styleId="a8">
    <w:basedOn w:val="TableNormalf3"/>
    <w:tblPr>
      <w:tblStyleRowBandSize w:val="1"/>
      <w:tblStyleColBandSize w:val="1"/>
      <w:tblCellMar>
        <w:left w:w="108" w:type="dxa"/>
        <w:right w:w="108" w:type="dxa"/>
      </w:tblCellMar>
    </w:tblPr>
  </w:style>
  <w:style w:type="table" w:customStyle="1" w:styleId="a9">
    <w:basedOn w:val="TableNormalf3"/>
    <w:tblPr>
      <w:tblStyleRowBandSize w:val="1"/>
      <w:tblStyleColBandSize w:val="1"/>
      <w:tblCellMar>
        <w:left w:w="108" w:type="dxa"/>
        <w:right w:w="108" w:type="dxa"/>
      </w:tblCellMar>
    </w:tblPr>
  </w:style>
  <w:style w:type="table" w:customStyle="1" w:styleId="aa">
    <w:basedOn w:val="TableNormalf3"/>
    <w:tblPr>
      <w:tblStyleRowBandSize w:val="1"/>
      <w:tblStyleColBandSize w:val="1"/>
      <w:tblCellMar>
        <w:left w:w="115" w:type="dxa"/>
        <w:right w:w="115" w:type="dxa"/>
      </w:tblCellMar>
    </w:tblPr>
  </w:style>
  <w:style w:type="table" w:customStyle="1" w:styleId="ab">
    <w:basedOn w:val="TableNormalf3"/>
    <w:tblPr>
      <w:tblStyleRowBandSize w:val="1"/>
      <w:tblStyleColBandSize w:val="1"/>
      <w:tblCellMar>
        <w:left w:w="115" w:type="dxa"/>
        <w:right w:w="115" w:type="dxa"/>
      </w:tblCellMar>
    </w:tblPr>
  </w:style>
  <w:style w:type="table" w:customStyle="1" w:styleId="ac">
    <w:basedOn w:val="TableNormalf2"/>
    <w:tblPr>
      <w:tblStyleRowBandSize w:val="1"/>
      <w:tblStyleColBandSize w:val="1"/>
      <w:tblCellMar>
        <w:left w:w="108" w:type="dxa"/>
        <w:right w:w="108" w:type="dxa"/>
      </w:tblCellMar>
    </w:tblPr>
  </w:style>
  <w:style w:type="table" w:customStyle="1" w:styleId="ad">
    <w:basedOn w:val="TableNormalf2"/>
    <w:tblPr>
      <w:tblStyleRowBandSize w:val="1"/>
      <w:tblStyleColBandSize w:val="1"/>
      <w:tblCellMar>
        <w:left w:w="115" w:type="dxa"/>
        <w:right w:w="115" w:type="dxa"/>
      </w:tblCellMar>
    </w:tblPr>
  </w:style>
  <w:style w:type="table" w:customStyle="1" w:styleId="ae">
    <w:basedOn w:val="TableNormalf2"/>
    <w:tblPr>
      <w:tblStyleRowBandSize w:val="1"/>
      <w:tblStyleColBandSize w:val="1"/>
      <w:tblCellMar>
        <w:left w:w="115" w:type="dxa"/>
        <w:right w:w="115" w:type="dxa"/>
      </w:tblCellMar>
    </w:tblPr>
  </w:style>
  <w:style w:type="table" w:customStyle="1" w:styleId="af">
    <w:basedOn w:val="TableNormalf1"/>
    <w:tblPr>
      <w:tblStyleRowBandSize w:val="1"/>
      <w:tblStyleColBandSize w:val="1"/>
      <w:tblCellMar>
        <w:left w:w="115" w:type="dxa"/>
        <w:right w:w="115" w:type="dxa"/>
      </w:tblCellMar>
    </w:tblPr>
  </w:style>
  <w:style w:type="table" w:customStyle="1" w:styleId="af0">
    <w:basedOn w:val="TableNormalf1"/>
    <w:tblPr>
      <w:tblStyleRowBandSize w:val="1"/>
      <w:tblStyleColBandSize w:val="1"/>
      <w:tblCellMar>
        <w:left w:w="115" w:type="dxa"/>
        <w:right w:w="115" w:type="dxa"/>
      </w:tblCellMar>
    </w:tblPr>
  </w:style>
  <w:style w:type="table" w:customStyle="1" w:styleId="af1">
    <w:basedOn w:val="TableNormalf1"/>
    <w:tblPr>
      <w:tblStyleRowBandSize w:val="1"/>
      <w:tblStyleColBandSize w:val="1"/>
      <w:tblCellMar>
        <w:left w:w="115" w:type="dxa"/>
        <w:right w:w="115" w:type="dxa"/>
      </w:tblCellMar>
    </w:tblPr>
  </w:style>
  <w:style w:type="table" w:customStyle="1" w:styleId="af2">
    <w:basedOn w:val="TableNormalf0"/>
    <w:tblPr>
      <w:tblStyleRowBandSize w:val="1"/>
      <w:tblStyleColBandSize w:val="1"/>
      <w:tblCellMar>
        <w:left w:w="115" w:type="dxa"/>
        <w:right w:w="115" w:type="dxa"/>
      </w:tblCellMar>
    </w:tblPr>
  </w:style>
  <w:style w:type="table" w:customStyle="1" w:styleId="af3">
    <w:basedOn w:val="TableNormalf0"/>
    <w:tblPr>
      <w:tblStyleRowBandSize w:val="1"/>
      <w:tblStyleColBandSize w:val="1"/>
      <w:tblCellMar>
        <w:left w:w="115" w:type="dxa"/>
        <w:right w:w="115" w:type="dxa"/>
      </w:tblCellMar>
    </w:tblPr>
  </w:style>
  <w:style w:type="table" w:customStyle="1" w:styleId="af4">
    <w:basedOn w:val="TableNormalf"/>
    <w:tblPr>
      <w:tblStyleRowBandSize w:val="1"/>
      <w:tblStyleColBandSize w:val="1"/>
      <w:tblCellMar>
        <w:left w:w="115" w:type="dxa"/>
        <w:right w:w="115" w:type="dxa"/>
      </w:tblCellMar>
    </w:tblPr>
  </w:style>
  <w:style w:type="table" w:customStyle="1" w:styleId="af5">
    <w:basedOn w:val="TableNormalf"/>
    <w:tblPr>
      <w:tblStyleRowBandSize w:val="1"/>
      <w:tblStyleColBandSize w:val="1"/>
      <w:tblCellMar>
        <w:left w:w="115" w:type="dxa"/>
        <w:right w:w="115" w:type="dxa"/>
      </w:tblCellMar>
    </w:tblPr>
  </w:style>
  <w:style w:type="table" w:customStyle="1" w:styleId="af6">
    <w:basedOn w:val="TableNormale"/>
    <w:tblPr>
      <w:tblStyleRowBandSize w:val="1"/>
      <w:tblStyleColBandSize w:val="1"/>
      <w:tblCellMar>
        <w:left w:w="115" w:type="dxa"/>
        <w:right w:w="115" w:type="dxa"/>
      </w:tblCellMar>
    </w:tblPr>
  </w:style>
  <w:style w:type="table" w:customStyle="1" w:styleId="af7">
    <w:basedOn w:val="TableNormale"/>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d"/>
    <w:tblPr>
      <w:tblStyleRowBandSize w:val="1"/>
      <w:tblStyleColBandSize w:val="1"/>
      <w:tblCellMar>
        <w:left w:w="115" w:type="dxa"/>
        <w:right w:w="115" w:type="dxa"/>
      </w:tblCellMar>
    </w:tblPr>
  </w:style>
  <w:style w:type="table" w:customStyle="1" w:styleId="af9">
    <w:basedOn w:val="TableNormald"/>
    <w:tblPr>
      <w:tblStyleRowBandSize w:val="1"/>
      <w:tblStyleColBandSize w:val="1"/>
      <w:tblCellMar>
        <w:left w:w="115" w:type="dxa"/>
        <w:right w:w="115" w:type="dxa"/>
      </w:tblCellMar>
    </w:tblPr>
  </w:style>
  <w:style w:type="table" w:customStyle="1" w:styleId="afa">
    <w:basedOn w:val="TableNormalc"/>
    <w:tblPr>
      <w:tblStyleRowBandSize w:val="1"/>
      <w:tblStyleColBandSize w:val="1"/>
      <w:tblCellMar>
        <w:left w:w="115" w:type="dxa"/>
        <w:right w:w="115" w:type="dxa"/>
      </w:tblCellMar>
    </w:tblPr>
  </w:style>
  <w:style w:type="table" w:customStyle="1" w:styleId="afb">
    <w:basedOn w:val="TableNormalc"/>
    <w:tblPr>
      <w:tblStyleRowBandSize w:val="1"/>
      <w:tblStyleColBandSize w:val="1"/>
      <w:tblCellMar>
        <w:left w:w="115" w:type="dxa"/>
        <w:right w:w="115" w:type="dxa"/>
      </w:tblCellMar>
    </w:tblPr>
  </w:style>
  <w:style w:type="table" w:customStyle="1" w:styleId="afc">
    <w:basedOn w:val="TableNormalb"/>
    <w:tblPr>
      <w:tblStyleRowBandSize w:val="1"/>
      <w:tblStyleColBandSize w:val="1"/>
      <w:tblCellMar>
        <w:left w:w="115" w:type="dxa"/>
        <w:right w:w="115" w:type="dxa"/>
      </w:tblCellMar>
    </w:tblPr>
  </w:style>
  <w:style w:type="table" w:customStyle="1" w:styleId="afd">
    <w:basedOn w:val="TableNormalb"/>
    <w:tblPr>
      <w:tblStyleRowBandSize w:val="1"/>
      <w:tblStyleColBandSize w:val="1"/>
      <w:tblCellMar>
        <w:left w:w="115" w:type="dxa"/>
        <w:right w:w="115" w:type="dxa"/>
      </w:tblCellMar>
    </w:tblPr>
  </w:style>
  <w:style w:type="table" w:customStyle="1" w:styleId="afe">
    <w:basedOn w:val="TableNormala"/>
    <w:tblPr>
      <w:tblStyleRowBandSize w:val="1"/>
      <w:tblStyleColBandSize w:val="1"/>
      <w:tblCellMar>
        <w:left w:w="115" w:type="dxa"/>
        <w:right w:w="115" w:type="dxa"/>
      </w:tblCellMar>
    </w:tblPr>
  </w:style>
  <w:style w:type="table" w:customStyle="1" w:styleId="aff">
    <w:basedOn w:val="TableNormala"/>
    <w:tblPr>
      <w:tblStyleRowBandSize w:val="1"/>
      <w:tblStyleColBandSize w:val="1"/>
      <w:tblCellMar>
        <w:left w:w="115" w:type="dxa"/>
        <w:right w:w="115" w:type="dxa"/>
      </w:tblCellMar>
    </w:tblPr>
  </w:style>
  <w:style w:type="table" w:customStyle="1" w:styleId="aff0">
    <w:basedOn w:val="TableNormal9"/>
    <w:tblPr>
      <w:tblStyleRowBandSize w:val="1"/>
      <w:tblStyleColBandSize w:val="1"/>
      <w:tblCellMar>
        <w:left w:w="115" w:type="dxa"/>
        <w:right w:w="115" w:type="dxa"/>
      </w:tblCellMar>
    </w:tblPr>
  </w:style>
  <w:style w:type="table" w:customStyle="1" w:styleId="aff1">
    <w:basedOn w:val="TableNormal9"/>
    <w:tblPr>
      <w:tblStyleRowBandSize w:val="1"/>
      <w:tblStyleColBandSize w:val="1"/>
      <w:tblCellMar>
        <w:left w:w="115" w:type="dxa"/>
        <w:right w:w="115" w:type="dxa"/>
      </w:tblCellMar>
    </w:tblPr>
  </w:style>
  <w:style w:type="table" w:customStyle="1" w:styleId="aff2">
    <w:basedOn w:val="TableNormal8"/>
    <w:tblPr>
      <w:tblStyleRowBandSize w:val="1"/>
      <w:tblStyleColBandSize w:val="1"/>
      <w:tblCellMar>
        <w:left w:w="115" w:type="dxa"/>
        <w:right w:w="115" w:type="dxa"/>
      </w:tblCellMar>
    </w:tblPr>
  </w:style>
  <w:style w:type="table" w:customStyle="1" w:styleId="aff3">
    <w:basedOn w:val="TableNormal8"/>
    <w:tblPr>
      <w:tblStyleRowBandSize w:val="1"/>
      <w:tblStyleColBandSize w:val="1"/>
      <w:tblCellMar>
        <w:left w:w="115" w:type="dxa"/>
        <w:right w:w="115" w:type="dxa"/>
      </w:tblCellMar>
    </w:tblPr>
  </w:style>
  <w:style w:type="table" w:customStyle="1" w:styleId="aff4">
    <w:basedOn w:val="TableNormal7"/>
    <w:tblPr>
      <w:tblStyleRowBandSize w:val="1"/>
      <w:tblStyleColBandSize w:val="1"/>
      <w:tblCellMar>
        <w:left w:w="115" w:type="dxa"/>
        <w:right w:w="115" w:type="dxa"/>
      </w:tblCellMar>
    </w:tblPr>
  </w:style>
  <w:style w:type="table" w:customStyle="1" w:styleId="aff5">
    <w:basedOn w:val="TableNormal7"/>
    <w:tblPr>
      <w:tblStyleRowBandSize w:val="1"/>
      <w:tblStyleColBandSize w:val="1"/>
      <w:tblCellMar>
        <w:left w:w="115" w:type="dxa"/>
        <w:right w:w="115" w:type="dxa"/>
      </w:tblCellMar>
    </w:tblPr>
  </w:style>
  <w:style w:type="table" w:customStyle="1" w:styleId="aff6">
    <w:basedOn w:val="TableNormal6"/>
    <w:tblPr>
      <w:tblStyleRowBandSize w:val="1"/>
      <w:tblStyleColBandSize w:val="1"/>
      <w:tblCellMar>
        <w:left w:w="115" w:type="dxa"/>
        <w:right w:w="115" w:type="dxa"/>
      </w:tblCellMar>
    </w:tblPr>
  </w:style>
  <w:style w:type="table" w:customStyle="1" w:styleId="aff7">
    <w:basedOn w:val="TableNormal6"/>
    <w:tblPr>
      <w:tblStyleRowBandSize w:val="1"/>
      <w:tblStyleColBandSize w:val="1"/>
      <w:tblCellMar>
        <w:left w:w="115" w:type="dxa"/>
        <w:right w:w="115" w:type="dxa"/>
      </w:tblCellMar>
    </w:tblPr>
  </w:style>
  <w:style w:type="table" w:customStyle="1" w:styleId="aff8">
    <w:basedOn w:val="TableNormal5"/>
    <w:tblPr>
      <w:tblStyleRowBandSize w:val="1"/>
      <w:tblStyleColBandSize w:val="1"/>
      <w:tblCellMar>
        <w:left w:w="115" w:type="dxa"/>
        <w:right w:w="115" w:type="dxa"/>
      </w:tblCellMar>
    </w:tblPr>
  </w:style>
  <w:style w:type="table" w:customStyle="1" w:styleId="aff9">
    <w:basedOn w:val="TableNormal5"/>
    <w:tblPr>
      <w:tblStyleRowBandSize w:val="1"/>
      <w:tblStyleColBandSize w:val="1"/>
      <w:tblCellMar>
        <w:left w:w="115" w:type="dxa"/>
        <w:right w:w="115" w:type="dxa"/>
      </w:tblCellMar>
    </w:tblPr>
  </w:style>
  <w:style w:type="table" w:customStyle="1" w:styleId="affa">
    <w:basedOn w:val="TableNormal4"/>
    <w:tblPr>
      <w:tblStyleRowBandSize w:val="1"/>
      <w:tblStyleColBandSize w:val="1"/>
      <w:tblCellMar>
        <w:left w:w="115" w:type="dxa"/>
        <w:right w:w="115" w:type="dxa"/>
      </w:tblCellMar>
    </w:tblPr>
  </w:style>
  <w:style w:type="table" w:customStyle="1" w:styleId="affb">
    <w:basedOn w:val="TableNormal4"/>
    <w:tblPr>
      <w:tblStyleRowBandSize w:val="1"/>
      <w:tblStyleColBandSize w:val="1"/>
      <w:tblCellMar>
        <w:left w:w="115" w:type="dxa"/>
        <w:right w:w="115" w:type="dxa"/>
      </w:tblCellMar>
    </w:tblPr>
  </w:style>
  <w:style w:type="table" w:customStyle="1" w:styleId="affc">
    <w:basedOn w:val="TableNormal3"/>
    <w:tblPr>
      <w:tblStyleRowBandSize w:val="1"/>
      <w:tblStyleColBandSize w:val="1"/>
      <w:tblCellMar>
        <w:left w:w="115" w:type="dxa"/>
        <w:right w:w="115" w:type="dxa"/>
      </w:tblCellMar>
    </w:tblPr>
  </w:style>
  <w:style w:type="table" w:customStyle="1" w:styleId="affd">
    <w:basedOn w:val="TableNormal3"/>
    <w:tblPr>
      <w:tblStyleRowBandSize w:val="1"/>
      <w:tblStyleColBandSize w:val="1"/>
      <w:tblCellMar>
        <w:left w:w="115" w:type="dxa"/>
        <w:right w:w="115"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gecem.edomex.gob.mx/padron-catastr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Vr4hCvQv6iIpR0w7NeKW4ijHg==">CgMxLjAyDmguZGFqM2oyeG82cTY2MghoLmdqZGd4czIJaC4zZHk2dmttMgloLjMwajB6bGwyCWguMnM4ZXlvMTIIaC50eWpjd3QyCWguM3pueXNoNzIJaC4yZXQ5MnAwMgloLjF0M2g1c2YyCWguMWZvYjl0ZTIOaC5vdDNxcTZ2eGEwOGYyCGgubG54Yno5Mg5oLmxlZzc4cnY5M29qajIOaC5kbHV4eHI3MTVhOWQ4AHIhMVE4VjJaangzb2FlUlp0ZE14QkZ0VmVTY0Fsc2pPc01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10700</Words>
  <Characters>58851</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2026-01-15T17:23:00Z</cp:lastPrinted>
  <dcterms:created xsi:type="dcterms:W3CDTF">2026-02-02T02:50:00Z</dcterms:created>
  <dcterms:modified xsi:type="dcterms:W3CDTF">2026-02-02T02:50:00Z</dcterms:modified>
</cp:coreProperties>
</file>