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E86" w:rsidRPr="007351A7" w:rsidRDefault="00B27C24" w:rsidP="007351A7">
      <w:pPr>
        <w:tabs>
          <w:tab w:val="left" w:pos="0"/>
        </w:tabs>
        <w:spacing w:line="360" w:lineRule="auto"/>
        <w:jc w:val="both"/>
        <w:rPr>
          <w:rFonts w:ascii="Palatino Linotype" w:eastAsia="Palatino Linotype" w:hAnsi="Palatino Linotype" w:cs="Palatino Linotype"/>
          <w:b/>
          <w:bCs/>
          <w:color w:val="000000" w:themeColor="text1"/>
        </w:rPr>
      </w:pPr>
      <w:bookmarkStart w:id="0" w:name="_GoBack"/>
      <w:bookmarkEnd w:id="0"/>
      <w:r w:rsidRPr="007351A7">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7351A7" w:rsidRPr="007351A7">
        <w:rPr>
          <w:rFonts w:ascii="Palatino Linotype" w:eastAsia="Palatino Linotype" w:hAnsi="Palatino Linotype" w:cs="Palatino Linotype"/>
          <w:b/>
          <w:color w:val="000000" w:themeColor="text1"/>
        </w:rPr>
        <w:t>de fecha catorce (14) de enero de dos mil veintiséis</w:t>
      </w:r>
      <w:r w:rsidRPr="007351A7">
        <w:rPr>
          <w:rFonts w:ascii="Palatino Linotype" w:eastAsia="Palatino Linotype" w:hAnsi="Palatino Linotype" w:cs="Palatino Linotype"/>
          <w:b/>
          <w:bCs/>
          <w:color w:val="000000" w:themeColor="text1"/>
        </w:rPr>
        <w:t>.</w:t>
      </w:r>
    </w:p>
    <w:p w:rsidR="00F22E86" w:rsidRPr="007351A7" w:rsidRDefault="00F22E86" w:rsidP="007351A7">
      <w:pPr>
        <w:tabs>
          <w:tab w:val="left" w:pos="0"/>
        </w:tabs>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tabs>
          <w:tab w:val="left" w:pos="0"/>
        </w:tabs>
        <w:spacing w:line="360" w:lineRule="auto"/>
        <w:jc w:val="both"/>
        <w:rPr>
          <w:rFonts w:ascii="Palatino Linotype" w:eastAsia="Palatino Linotype" w:hAnsi="Palatino Linotype" w:cs="Palatino Linotype"/>
          <w:b/>
          <w:bCs/>
          <w:color w:val="000000" w:themeColor="text1"/>
        </w:rPr>
      </w:pPr>
      <w:r w:rsidRPr="007351A7">
        <w:rPr>
          <w:rFonts w:ascii="Palatino Linotype" w:eastAsia="Palatino Linotype" w:hAnsi="Palatino Linotype" w:cs="Palatino Linotype"/>
          <w:b/>
          <w:bCs/>
          <w:color w:val="000000" w:themeColor="text1"/>
        </w:rPr>
        <w:t>VISTO</w:t>
      </w:r>
      <w:r w:rsidRPr="007351A7">
        <w:rPr>
          <w:rFonts w:ascii="Palatino Linotype" w:eastAsia="Palatino Linotype" w:hAnsi="Palatino Linotype" w:cs="Palatino Linotype"/>
          <w:color w:val="000000" w:themeColor="text1"/>
        </w:rPr>
        <w:t xml:space="preserve"> el </w:t>
      </w:r>
      <w:r w:rsidRPr="007351A7">
        <w:rPr>
          <w:rFonts w:ascii="Palatino Linotype" w:eastAsia="Palatino Linotype" w:hAnsi="Palatino Linotype" w:cs="Palatino Linotype"/>
          <w:b/>
          <w:bCs/>
          <w:color w:val="000000" w:themeColor="text1"/>
        </w:rPr>
        <w:t>expediente</w:t>
      </w:r>
      <w:r w:rsidRPr="007351A7">
        <w:rPr>
          <w:rFonts w:ascii="Palatino Linotype" w:eastAsia="Palatino Linotype" w:hAnsi="Palatino Linotype" w:cs="Palatino Linotype"/>
          <w:color w:val="000000" w:themeColor="text1"/>
        </w:rPr>
        <w:t xml:space="preserve"> electrónico formado con motivo del recurso de revisión </w:t>
      </w:r>
      <w:r w:rsidRPr="007351A7">
        <w:rPr>
          <w:rFonts w:ascii="Palatino Linotype" w:eastAsia="Palatino Linotype" w:hAnsi="Palatino Linotype" w:cs="Palatino Linotype"/>
          <w:b/>
          <w:bCs/>
          <w:color w:val="000000" w:themeColor="text1"/>
        </w:rPr>
        <w:t>07283/INFOEM/IP/RR/2025</w:t>
      </w:r>
      <w:r w:rsidRPr="007351A7">
        <w:rPr>
          <w:rFonts w:ascii="Palatino Linotype" w:eastAsia="Palatino Linotype" w:hAnsi="Palatino Linotype" w:cs="Palatino Linotype"/>
          <w:color w:val="000000" w:themeColor="text1"/>
        </w:rPr>
        <w:t>,</w:t>
      </w:r>
      <w:r w:rsidRPr="007351A7">
        <w:rPr>
          <w:rFonts w:ascii="Palatino Linotype" w:eastAsia="Palatino Linotype" w:hAnsi="Palatino Linotype" w:cs="Palatino Linotype"/>
          <w:b/>
          <w:bCs/>
          <w:color w:val="000000" w:themeColor="text1"/>
        </w:rPr>
        <w:t xml:space="preserve"> </w:t>
      </w:r>
      <w:r w:rsidRPr="007351A7">
        <w:rPr>
          <w:rFonts w:ascii="Palatino Linotype" w:eastAsia="Palatino Linotype" w:hAnsi="Palatino Linotype" w:cs="Palatino Linotype"/>
          <w:color w:val="000000" w:themeColor="text1"/>
        </w:rPr>
        <w:t xml:space="preserve">promovido por </w:t>
      </w:r>
      <w:r w:rsidR="00822A1B">
        <w:rPr>
          <w:rFonts w:ascii="Palatino Linotype" w:eastAsia="Palatino Linotype" w:hAnsi="Palatino Linotype" w:cs="Palatino Linotype"/>
          <w:b/>
          <w:bCs/>
          <w:color w:val="000000" w:themeColor="text1"/>
        </w:rPr>
        <w:t>XXXX</w:t>
      </w:r>
      <w:r w:rsidRPr="007351A7">
        <w:rPr>
          <w:rFonts w:ascii="Palatino Linotype" w:eastAsia="Palatino Linotype" w:hAnsi="Palatino Linotype" w:cs="Palatino Linotype"/>
          <w:color w:val="000000" w:themeColor="text1"/>
        </w:rPr>
        <w:t xml:space="preserve">, a quien </w:t>
      </w:r>
      <w:r w:rsidRPr="00F017D6">
        <w:rPr>
          <w:rFonts w:ascii="Palatino Linotype" w:eastAsia="Palatino Linotype" w:hAnsi="Palatino Linotype" w:cs="Palatino Linotype"/>
          <w:color w:val="000000" w:themeColor="text1"/>
        </w:rPr>
        <w:t xml:space="preserve">en lo sucesivo denominaremos </w:t>
      </w:r>
      <w:r w:rsidR="007351A7" w:rsidRPr="00F017D6">
        <w:rPr>
          <w:rFonts w:ascii="Palatino Linotype" w:eastAsia="Palatino Linotype" w:hAnsi="Palatino Linotype" w:cs="Palatino Linotype"/>
          <w:color w:val="000000" w:themeColor="text1"/>
        </w:rPr>
        <w:t xml:space="preserve">EL </w:t>
      </w:r>
      <w:r w:rsidRPr="00F017D6">
        <w:rPr>
          <w:rFonts w:ascii="Palatino Linotype" w:eastAsia="Palatino Linotype" w:hAnsi="Palatino Linotype" w:cs="Palatino Linotype"/>
          <w:b/>
          <w:bCs/>
          <w:color w:val="000000" w:themeColor="text1"/>
        </w:rPr>
        <w:t>RECURRENTE</w:t>
      </w:r>
      <w:r w:rsidRPr="00F017D6">
        <w:rPr>
          <w:rFonts w:ascii="Palatino Linotype" w:eastAsia="Palatino Linotype" w:hAnsi="Palatino Linotype" w:cs="Palatino Linotype"/>
          <w:color w:val="000000" w:themeColor="text1"/>
        </w:rPr>
        <w:t xml:space="preserve">, en contra de la respuesta del </w:t>
      </w:r>
      <w:r w:rsidR="006A63D5" w:rsidRPr="00F017D6">
        <w:rPr>
          <w:rFonts w:ascii="Palatino Linotype" w:eastAsia="Palatino Linotype" w:hAnsi="Palatino Linotype" w:cs="Palatino Linotype"/>
          <w:b/>
          <w:bCs/>
          <w:color w:val="000000" w:themeColor="text1"/>
        </w:rPr>
        <w:t>Ayuntamiento de Naucalpan de Juárez</w:t>
      </w:r>
      <w:r w:rsidRPr="00F017D6">
        <w:rPr>
          <w:rFonts w:ascii="Palatino Linotype" w:eastAsia="Palatino Linotype" w:hAnsi="Palatino Linotype" w:cs="Palatino Linotype"/>
          <w:b/>
          <w:bCs/>
          <w:color w:val="000000" w:themeColor="text1"/>
        </w:rPr>
        <w:t xml:space="preserve">, </w:t>
      </w:r>
      <w:r w:rsidRPr="00F017D6">
        <w:rPr>
          <w:rFonts w:ascii="Palatino Linotype" w:eastAsia="Palatino Linotype" w:hAnsi="Palatino Linotype" w:cs="Palatino Linotype"/>
          <w:color w:val="000000" w:themeColor="text1"/>
        </w:rPr>
        <w:t>en adelante el</w:t>
      </w:r>
      <w:r w:rsidRPr="00F017D6">
        <w:rPr>
          <w:rFonts w:ascii="Palatino Linotype" w:eastAsia="Palatino Linotype" w:hAnsi="Palatino Linotype" w:cs="Palatino Linotype"/>
          <w:b/>
          <w:bCs/>
          <w:color w:val="000000" w:themeColor="text1"/>
        </w:rPr>
        <w:t xml:space="preserve"> SUJETO OBLIGADO, </w:t>
      </w:r>
      <w:r w:rsidRPr="00F017D6">
        <w:rPr>
          <w:rFonts w:ascii="Palatino Linotype" w:eastAsia="Palatino Linotype" w:hAnsi="Palatino Linotype" w:cs="Palatino Linotype"/>
          <w:color w:val="000000" w:themeColor="text1"/>
        </w:rPr>
        <w:t>se</w:t>
      </w:r>
      <w:r w:rsidRPr="007351A7">
        <w:rPr>
          <w:rFonts w:ascii="Palatino Linotype" w:eastAsia="Palatino Linotype" w:hAnsi="Palatino Linotype" w:cs="Palatino Linotype"/>
          <w:color w:val="000000" w:themeColor="text1"/>
        </w:rPr>
        <w:t xml:space="preserve"> procede a dictar la presente resolución, con base en los siguientes:</w:t>
      </w:r>
    </w:p>
    <w:p w:rsidR="00F22E86" w:rsidRPr="007351A7" w:rsidRDefault="00F22E86" w:rsidP="007351A7">
      <w:pPr>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keepNext/>
        <w:keepLines/>
        <w:tabs>
          <w:tab w:val="left" w:pos="0"/>
        </w:tabs>
        <w:spacing w:before="240" w:after="240" w:line="360" w:lineRule="auto"/>
        <w:jc w:val="center"/>
        <w:rPr>
          <w:rFonts w:ascii="Palatino Linotype" w:eastAsia="Palatino Linotype" w:hAnsi="Palatino Linotype" w:cs="Palatino Linotype"/>
          <w:b/>
          <w:bCs/>
          <w:color w:val="000000" w:themeColor="text1"/>
        </w:rPr>
      </w:pPr>
      <w:bookmarkStart w:id="1" w:name="_heading=h.gjdgxs" w:colFirst="0" w:colLast="0"/>
      <w:bookmarkEnd w:id="1"/>
      <w:r w:rsidRPr="007351A7">
        <w:rPr>
          <w:rFonts w:ascii="Palatino Linotype" w:eastAsia="Palatino Linotype" w:hAnsi="Palatino Linotype" w:cs="Palatino Linotype"/>
          <w:b/>
          <w:bCs/>
          <w:color w:val="000000" w:themeColor="text1"/>
        </w:rPr>
        <w:t>A N T E C E D E N T E S</w:t>
      </w:r>
    </w:p>
    <w:p w:rsidR="00F22E86" w:rsidRPr="007351A7" w:rsidRDefault="00B27C24" w:rsidP="006C41A1">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 xml:space="preserve">El </w:t>
      </w:r>
      <w:r w:rsidRPr="007351A7">
        <w:rPr>
          <w:rFonts w:ascii="Palatino Linotype" w:eastAsia="Palatino Linotype" w:hAnsi="Palatino Linotype" w:cs="Palatino Linotype"/>
          <w:b/>
          <w:bCs/>
          <w:color w:val="000000" w:themeColor="text1"/>
        </w:rPr>
        <w:t>siete de mayo dos mil veinticinco</w:t>
      </w:r>
      <w:r w:rsidRPr="007351A7">
        <w:rPr>
          <w:rFonts w:ascii="Palatino Linotype" w:eastAsia="Palatino Linotype" w:hAnsi="Palatino Linotype" w:cs="Palatino Linotype"/>
          <w:color w:val="000000" w:themeColor="text1"/>
        </w:rPr>
        <w:t>, el</w:t>
      </w:r>
      <w:r w:rsidRPr="007351A7">
        <w:rPr>
          <w:rFonts w:ascii="Palatino Linotype" w:eastAsia="Palatino Linotype" w:hAnsi="Palatino Linotype" w:cs="Palatino Linotype"/>
          <w:b/>
          <w:bCs/>
          <w:color w:val="000000" w:themeColor="text1"/>
        </w:rPr>
        <w:t xml:space="preserve"> RECURRENTE </w:t>
      </w:r>
      <w:r w:rsidRPr="007351A7">
        <w:rPr>
          <w:rFonts w:ascii="Palatino Linotype" w:eastAsia="Palatino Linotype" w:hAnsi="Palatino Linotype" w:cs="Palatino Linotype"/>
          <w:color w:val="000000" w:themeColor="text1"/>
        </w:rPr>
        <w:t>presentó</w:t>
      </w:r>
      <w:r w:rsidRPr="007351A7">
        <w:rPr>
          <w:rFonts w:ascii="Palatino Linotype" w:eastAsia="Palatino Linotype" w:hAnsi="Palatino Linotype" w:cs="Palatino Linotype"/>
          <w:b/>
          <w:bCs/>
          <w:color w:val="000000" w:themeColor="text1"/>
        </w:rPr>
        <w:t xml:space="preserve"> </w:t>
      </w:r>
      <w:r w:rsidRPr="007351A7">
        <w:rPr>
          <w:rFonts w:ascii="Palatino Linotype" w:eastAsia="Palatino Linotype" w:hAnsi="Palatino Linotype" w:cs="Palatino Linotype"/>
          <w:color w:val="000000" w:themeColor="text1"/>
        </w:rPr>
        <w:t xml:space="preserve">ante el </w:t>
      </w:r>
      <w:r w:rsidRPr="007351A7">
        <w:rPr>
          <w:rFonts w:ascii="Palatino Linotype" w:eastAsia="Palatino Linotype" w:hAnsi="Palatino Linotype" w:cs="Palatino Linotype"/>
          <w:b/>
          <w:bCs/>
          <w:color w:val="000000" w:themeColor="text1"/>
        </w:rPr>
        <w:t>SUJETO OBLIGADO,</w:t>
      </w:r>
      <w:r w:rsidRPr="007351A7">
        <w:rPr>
          <w:rFonts w:ascii="Palatino Linotype" w:eastAsia="Palatino Linotype" w:hAnsi="Palatino Linotype" w:cs="Palatino Linotype"/>
          <w:color w:val="000000" w:themeColor="text1"/>
        </w:rPr>
        <w:t xml:space="preserve"> a través de la Plataforma digital Sistema de Acceso a la Información Mexiquense (SAIMEX), la solicitud de información pública registrada con el número </w:t>
      </w:r>
      <w:r w:rsidRPr="007351A7">
        <w:rPr>
          <w:rFonts w:ascii="Palatino Linotype" w:eastAsia="Palatino Linotype" w:hAnsi="Palatino Linotype" w:cs="Palatino Linotype"/>
          <w:b/>
          <w:bCs/>
          <w:color w:val="000000" w:themeColor="text1"/>
        </w:rPr>
        <w:t> </w:t>
      </w:r>
      <w:r w:rsidR="007351A7" w:rsidRPr="007351A7">
        <w:rPr>
          <w:rFonts w:ascii="Palatino Linotype" w:eastAsia="Palatino Linotype" w:hAnsi="Palatino Linotype" w:cs="Palatino Linotype"/>
          <w:b/>
          <w:bCs/>
          <w:color w:val="000000" w:themeColor="text1"/>
        </w:rPr>
        <w:t>00454/NAUCALPA/IP/2025</w:t>
      </w:r>
      <w:r w:rsidRPr="007351A7">
        <w:rPr>
          <w:rFonts w:ascii="Palatino Linotype" w:eastAsia="Palatino Linotype" w:hAnsi="Palatino Linotype" w:cs="Palatino Linotype"/>
          <w:b/>
          <w:bCs/>
          <w:color w:val="000000" w:themeColor="text1"/>
        </w:rPr>
        <w:t>,</w:t>
      </w:r>
      <w:r w:rsidRPr="007351A7">
        <w:rPr>
          <w:rFonts w:ascii="Palatino Linotype" w:eastAsia="Palatino Linotype" w:hAnsi="Palatino Linotype" w:cs="Palatino Linotype"/>
          <w:color w:val="000000" w:themeColor="text1"/>
        </w:rPr>
        <w:t xml:space="preserve"> </w:t>
      </w:r>
      <w:r w:rsidR="006C41A1">
        <w:rPr>
          <w:rFonts w:ascii="Palatino Linotype" w:eastAsia="Palatino Linotype" w:hAnsi="Palatino Linotype" w:cs="Palatino Linotype"/>
          <w:color w:val="000000" w:themeColor="text1"/>
        </w:rPr>
        <w:t>en la que</w:t>
      </w:r>
      <w:r w:rsidRPr="007351A7">
        <w:rPr>
          <w:rFonts w:ascii="Palatino Linotype" w:eastAsia="Palatino Linotype" w:hAnsi="Palatino Linotype" w:cs="Palatino Linotype"/>
          <w:color w:val="000000" w:themeColor="text1"/>
        </w:rPr>
        <w:t xml:space="preserve"> se solicitó:</w:t>
      </w:r>
    </w:p>
    <w:p w:rsidR="00F22E86" w:rsidRPr="007351A7" w:rsidRDefault="00F22E86" w:rsidP="007351A7">
      <w:pPr>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 xml:space="preserve">“BUENAS TARDES: EN ATENCIÓN A LA MÁXIMA TRANSPARENCIA Y PUBLICIDAD, Y CONSIDERANDO QUE LA PASADA ADMINUSTRACIÓN 2022-2024, NO INSTALÓ COMISIÓN DE PLANEACIÓN PARA EL DESARROLLO MUNICIPAL (COPLADEMUN) ORGANO AUXILIAR EN LA TOMA DE DESICIONES DEL AYUNTAMIENTO, Y QUE ENTRE OTRAS EMITE OPINIÓN PARA CAMBIOS DE USO DE SUELO Y COMO LO SEÑALA EL ART,. 146 FRACCIÓN 1, INCISO I), COMO REQUISITOS PARA EL CAMBIO DE USO D ESUELO : "Opinión favorable y técnicamente justificada de la Comisión de Planeación para el Desarrollo Municipal" Y ESTABLECE QUE "caso de no estar instalada la Comisión, bastará con la opinión favorable y técnicamente justificada que emita la autoridad encargada del desarrollo urbano municipal... SOLICITO: - TODAS Y CADA UNA DE LAS </w:t>
      </w:r>
      <w:r w:rsidRPr="007351A7">
        <w:rPr>
          <w:rFonts w:ascii="Palatino Linotype" w:eastAsia="Palatino Linotype" w:hAnsi="Palatino Linotype" w:cs="Palatino Linotype"/>
          <w:i/>
          <w:iCs/>
          <w:color w:val="000000" w:themeColor="text1"/>
          <w:u w:val="single"/>
        </w:rPr>
        <w:t xml:space="preserve">OPINIONES TÉCNICA Y JURÍDICAMENTE JUSTIFICADAS QUE EMITIÓ LA DIRECCIÓN GENERAL DE </w:t>
      </w:r>
      <w:r w:rsidRPr="007351A7">
        <w:rPr>
          <w:rFonts w:ascii="Palatino Linotype" w:eastAsia="Palatino Linotype" w:hAnsi="Palatino Linotype" w:cs="Palatino Linotype"/>
          <w:i/>
          <w:iCs/>
          <w:color w:val="000000" w:themeColor="text1"/>
          <w:u w:val="single"/>
        </w:rPr>
        <w:lastRenderedPageBreak/>
        <w:t>DESARROLLO URBANO 2022-2024 QUE SIRIVIERON DE SPORTE PARA TODOS Y CADA UNO DE LOS CAMBIOS DE USO DE SUELO QUE SE EXPIDIERON</w:t>
      </w:r>
      <w:r w:rsidRPr="007351A7">
        <w:rPr>
          <w:rFonts w:ascii="Palatino Linotype" w:eastAsia="Palatino Linotype" w:hAnsi="Palatino Linotype" w:cs="Palatino Linotype"/>
          <w:i/>
          <w:iCs/>
          <w:color w:val="000000" w:themeColor="text1"/>
        </w:rPr>
        <w:t>, LO ANTERIOR EN VERSIÓN DIVULGACIÓN, COMO LO SEÑALA LA LEY DE PROTECCIÓN DE DATOS PERSONALES, EN EL ENTENDIDO QUE LO ÚNICO QUE PROTEGE DICHA LEY ES LA INFORMACIÓN SENSIBLE DE LOS PETICIONARIOS COMO SON SU NOMBRE, DOMICILIO PARTICULAR U CUALQUIER OTRO DATO DE CONTATO. “(Sic)</w:t>
      </w:r>
    </w:p>
    <w:p w:rsidR="00F22E86" w:rsidRPr="007351A7" w:rsidRDefault="00F22E86" w:rsidP="007351A7">
      <w:pPr>
        <w:jc w:val="both"/>
        <w:rPr>
          <w:rFonts w:ascii="Palatino Linotype" w:eastAsia="Palatino Linotype" w:hAnsi="Palatino Linotype" w:cs="Palatino Linotype"/>
          <w:i/>
          <w:iCs/>
          <w:color w:val="000000" w:themeColor="text1"/>
        </w:rPr>
      </w:pPr>
    </w:p>
    <w:p w:rsidR="00F22E86" w:rsidRPr="007351A7" w:rsidRDefault="00B27C24" w:rsidP="007351A7">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7351A7">
        <w:rPr>
          <w:rFonts w:ascii="Palatino Linotype" w:eastAsia="Palatino Linotype" w:hAnsi="Palatino Linotype" w:cs="Palatino Linotype"/>
          <w:color w:val="000000" w:themeColor="text1"/>
        </w:rPr>
        <w:t xml:space="preserve">Modalidad de entrega de la información a través de </w:t>
      </w:r>
      <w:r w:rsidRPr="007351A7">
        <w:rPr>
          <w:rFonts w:ascii="Palatino Linotype" w:eastAsia="Palatino Linotype" w:hAnsi="Palatino Linotype" w:cs="Palatino Linotype"/>
          <w:b/>
          <w:bCs/>
          <w:color w:val="000000" w:themeColor="text1"/>
        </w:rPr>
        <w:t>SAIMEX.</w:t>
      </w:r>
    </w:p>
    <w:p w:rsidR="00F22E86" w:rsidRPr="007351A7" w:rsidRDefault="00F22E86" w:rsidP="007351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numPr>
          <w:ilvl w:val="0"/>
          <w:numId w:val="4"/>
        </w:numPr>
        <w:tabs>
          <w:tab w:val="left" w:pos="0"/>
        </w:tabs>
        <w:spacing w:line="360" w:lineRule="auto"/>
        <w:ind w:left="0" w:firstLine="0"/>
        <w:jc w:val="both"/>
        <w:rPr>
          <w:rFonts w:ascii="Palatino Linotype" w:eastAsia="Palatino Linotype" w:hAnsi="Palatino Linotype" w:cs="Palatino Linotype"/>
          <w:b/>
          <w:bCs/>
          <w:color w:val="000000" w:themeColor="text1"/>
        </w:rPr>
      </w:pPr>
      <w:r w:rsidRPr="007351A7">
        <w:rPr>
          <w:rFonts w:ascii="Palatino Linotype" w:eastAsia="Palatino Linotype" w:hAnsi="Palatino Linotype" w:cs="Palatino Linotype"/>
          <w:color w:val="000000" w:themeColor="text1"/>
        </w:rPr>
        <w:t xml:space="preserve">El </w:t>
      </w:r>
      <w:r w:rsidRPr="007351A7">
        <w:rPr>
          <w:rFonts w:ascii="Palatino Linotype" w:eastAsia="Palatino Linotype" w:hAnsi="Palatino Linotype" w:cs="Palatino Linotype"/>
          <w:b/>
          <w:bCs/>
          <w:color w:val="000000" w:themeColor="text1"/>
        </w:rPr>
        <w:t>trece de junio de dos mil veinticinco</w:t>
      </w:r>
      <w:r w:rsidRPr="007351A7">
        <w:rPr>
          <w:rFonts w:ascii="Palatino Linotype" w:eastAsia="Palatino Linotype" w:hAnsi="Palatino Linotype" w:cs="Palatino Linotype"/>
          <w:color w:val="000000" w:themeColor="text1"/>
        </w:rPr>
        <w:t xml:space="preserve">, el </w:t>
      </w:r>
      <w:r w:rsidRPr="007351A7">
        <w:rPr>
          <w:rFonts w:ascii="Palatino Linotype" w:eastAsia="Palatino Linotype" w:hAnsi="Palatino Linotype" w:cs="Palatino Linotype"/>
          <w:b/>
          <w:bCs/>
          <w:color w:val="000000" w:themeColor="text1"/>
        </w:rPr>
        <w:t xml:space="preserve">SUJETO OBLIGADO </w:t>
      </w:r>
      <w:r w:rsidRPr="007351A7">
        <w:rPr>
          <w:rFonts w:ascii="Palatino Linotype" w:eastAsia="Palatino Linotype" w:hAnsi="Palatino Linotype" w:cs="Palatino Linotype"/>
          <w:color w:val="000000" w:themeColor="text1"/>
        </w:rPr>
        <w:t>dio respuesta través del SAIMEX, a través de los archivos siguientes:</w:t>
      </w:r>
    </w:p>
    <w:p w:rsidR="00F22E86" w:rsidRPr="007351A7" w:rsidRDefault="00B27C24" w:rsidP="007351A7">
      <w:pPr>
        <w:tabs>
          <w:tab w:val="left" w:pos="709"/>
        </w:tabs>
        <w:spacing w:line="360" w:lineRule="auto"/>
        <w:jc w:val="both"/>
        <w:rPr>
          <w:rFonts w:ascii="Palatino Linotype" w:eastAsia="Palatino Linotype" w:hAnsi="Palatino Linotype" w:cs="Palatino Linotype"/>
          <w:b/>
          <w:bCs/>
          <w:color w:val="000000" w:themeColor="text1"/>
        </w:rPr>
      </w:pPr>
      <w:r w:rsidRPr="007351A7">
        <w:rPr>
          <w:rFonts w:ascii="Palatino Linotype" w:eastAsia="Palatino Linotype" w:hAnsi="Palatino Linotype" w:cs="Palatino Linotype"/>
          <w:b/>
          <w:bCs/>
          <w:color w:val="000000" w:themeColor="text1"/>
        </w:rPr>
        <w:t>•</w:t>
      </w:r>
      <w:r w:rsidRPr="007351A7">
        <w:rPr>
          <w:rFonts w:ascii="Palatino Linotype" w:eastAsia="Palatino Linotype" w:hAnsi="Palatino Linotype" w:cs="Palatino Linotype"/>
          <w:b/>
          <w:bCs/>
          <w:color w:val="000000" w:themeColor="text1"/>
        </w:rPr>
        <w:tab/>
        <w:t xml:space="preserve">VERSIÓN PÚBLICA-ST 00454 1.pdf: </w:t>
      </w:r>
      <w:r w:rsidRPr="007351A7">
        <w:rPr>
          <w:rFonts w:ascii="Palatino Linotype" w:eastAsia="Palatino Linotype" w:hAnsi="Palatino Linotype" w:cs="Palatino Linotype"/>
          <w:color w:val="000000" w:themeColor="text1"/>
        </w:rPr>
        <w:t>Opiniones técnicas favorables</w:t>
      </w:r>
    </w:p>
    <w:p w:rsidR="00F22E86" w:rsidRPr="007351A7" w:rsidRDefault="00B27C24" w:rsidP="007351A7">
      <w:pPr>
        <w:tabs>
          <w:tab w:val="left" w:pos="709"/>
        </w:tabs>
        <w:spacing w:line="360" w:lineRule="auto"/>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b/>
          <w:bCs/>
          <w:color w:val="000000" w:themeColor="text1"/>
        </w:rPr>
        <w:t>•</w:t>
      </w:r>
      <w:r w:rsidRPr="007351A7">
        <w:rPr>
          <w:rFonts w:ascii="Palatino Linotype" w:eastAsia="Palatino Linotype" w:hAnsi="Palatino Linotype" w:cs="Palatino Linotype"/>
          <w:b/>
          <w:bCs/>
          <w:color w:val="000000" w:themeColor="text1"/>
        </w:rPr>
        <w:tab/>
        <w:t xml:space="preserve">VERSIÓN PÚBLICA- ST- 00454 -2.pdf: </w:t>
      </w:r>
      <w:r w:rsidRPr="007351A7">
        <w:rPr>
          <w:rFonts w:ascii="Palatino Linotype" w:eastAsia="Palatino Linotype" w:hAnsi="Palatino Linotype" w:cs="Palatino Linotype"/>
          <w:color w:val="000000" w:themeColor="text1"/>
        </w:rPr>
        <w:t>Opiniones técnicas favorables.</w:t>
      </w:r>
    </w:p>
    <w:p w:rsidR="00F22E86" w:rsidRPr="007351A7" w:rsidRDefault="00B27C24" w:rsidP="007351A7">
      <w:pPr>
        <w:tabs>
          <w:tab w:val="left" w:pos="709"/>
        </w:tabs>
        <w:spacing w:line="360" w:lineRule="auto"/>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b/>
          <w:bCs/>
          <w:color w:val="000000" w:themeColor="text1"/>
        </w:rPr>
        <w:t>•</w:t>
      </w:r>
      <w:r w:rsidRPr="007351A7">
        <w:rPr>
          <w:rFonts w:ascii="Palatino Linotype" w:eastAsia="Palatino Linotype" w:hAnsi="Palatino Linotype" w:cs="Palatino Linotype"/>
          <w:b/>
          <w:bCs/>
          <w:color w:val="000000" w:themeColor="text1"/>
        </w:rPr>
        <w:tab/>
        <w:t xml:space="preserve">ST_00454_12062025 (1).pdf: </w:t>
      </w:r>
      <w:r w:rsidRPr="007351A7">
        <w:rPr>
          <w:rFonts w:ascii="Palatino Linotype" w:eastAsia="Palatino Linotype" w:hAnsi="Palatino Linotype" w:cs="Palatino Linotype"/>
          <w:color w:val="000000" w:themeColor="text1"/>
        </w:rPr>
        <w:t>Oficio firmado por el Titular de la Dirección de Desarrollo Urbano del Ayuntamiento de Naucalpan de Juárez, Estado de México, por el que se informó que se localizaron 54 opiniones favorables técnicamente justificadas emitidas por la Dirección General de Desarrollo Urbano dentro del periodo solicitado, mismas que remite en versión pública.</w:t>
      </w:r>
    </w:p>
    <w:p w:rsidR="00F22E86" w:rsidRPr="007351A7" w:rsidRDefault="00F22E86" w:rsidP="007351A7">
      <w:pPr>
        <w:tabs>
          <w:tab w:val="left" w:pos="709"/>
        </w:tabs>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tabs>
          <w:tab w:val="left" w:pos="709"/>
        </w:tabs>
        <w:spacing w:line="360" w:lineRule="auto"/>
        <w:jc w:val="both"/>
        <w:rPr>
          <w:rFonts w:ascii="Palatino Linotype" w:eastAsia="Palatino Linotype" w:hAnsi="Palatino Linotype" w:cs="Palatino Linotype"/>
          <w:b/>
          <w:bCs/>
          <w:color w:val="000000" w:themeColor="text1"/>
        </w:rPr>
      </w:pPr>
      <w:r w:rsidRPr="007351A7">
        <w:rPr>
          <w:rFonts w:ascii="Palatino Linotype" w:eastAsia="Palatino Linotype" w:hAnsi="Palatino Linotype" w:cs="Palatino Linotype"/>
          <w:b/>
          <w:bCs/>
          <w:color w:val="000000" w:themeColor="text1"/>
        </w:rPr>
        <w:t>•</w:t>
      </w:r>
      <w:r w:rsidRPr="007351A7">
        <w:rPr>
          <w:rFonts w:ascii="Palatino Linotype" w:eastAsia="Palatino Linotype" w:hAnsi="Palatino Linotype" w:cs="Palatino Linotype"/>
          <w:b/>
          <w:bCs/>
          <w:color w:val="000000" w:themeColor="text1"/>
        </w:rPr>
        <w:tab/>
        <w:t xml:space="preserve">ACUERDO COMITÉ ST-00454 (1).pdf: </w:t>
      </w:r>
      <w:r w:rsidRPr="007351A7">
        <w:rPr>
          <w:rFonts w:ascii="Palatino Linotype" w:eastAsia="Palatino Linotype" w:hAnsi="Palatino Linotype" w:cs="Palatino Linotype"/>
          <w:color w:val="000000" w:themeColor="text1"/>
        </w:rPr>
        <w:t>CT/NAU/ACTA-EXT-021/2025/262. Vigésimo Primera Sesión Extraordinaria, respecto a las 54 opiniones favorables técnicamente justificadas emitidas por la Dirección General de Desarrollo Urbano dentro del periodo solicitado.</w:t>
      </w:r>
    </w:p>
    <w:p w:rsidR="00F22E86" w:rsidRPr="007351A7" w:rsidRDefault="00F22E86" w:rsidP="007351A7">
      <w:pPr>
        <w:tabs>
          <w:tab w:val="left" w:pos="709"/>
        </w:tabs>
        <w:spacing w:line="360" w:lineRule="auto"/>
        <w:jc w:val="both"/>
        <w:rPr>
          <w:rFonts w:ascii="Palatino Linotype" w:eastAsia="Palatino Linotype" w:hAnsi="Palatino Linotype" w:cs="Palatino Linotype"/>
          <w:i/>
          <w:iCs/>
          <w:color w:val="000000" w:themeColor="text1"/>
        </w:rPr>
      </w:pPr>
    </w:p>
    <w:p w:rsidR="00F22E86" w:rsidRPr="007351A7" w:rsidRDefault="00B27C24" w:rsidP="007351A7">
      <w:pPr>
        <w:numPr>
          <w:ilvl w:val="0"/>
          <w:numId w:val="4"/>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bCs/>
          <w:color w:val="000000" w:themeColor="text1"/>
        </w:rPr>
      </w:pPr>
      <w:r w:rsidRPr="007351A7">
        <w:rPr>
          <w:rFonts w:ascii="Palatino Linotype" w:eastAsia="Palatino Linotype" w:hAnsi="Palatino Linotype" w:cs="Palatino Linotype"/>
          <w:color w:val="000000" w:themeColor="text1"/>
        </w:rPr>
        <w:t xml:space="preserve">El </w:t>
      </w:r>
      <w:r w:rsidRPr="007351A7">
        <w:rPr>
          <w:rFonts w:ascii="Palatino Linotype" w:eastAsia="Palatino Linotype" w:hAnsi="Palatino Linotype" w:cs="Palatino Linotype"/>
          <w:b/>
          <w:bCs/>
          <w:color w:val="000000" w:themeColor="text1"/>
        </w:rPr>
        <w:t>dieciséis de junio de dos mil veinticinco,</w:t>
      </w:r>
      <w:r w:rsidRPr="007351A7">
        <w:rPr>
          <w:rFonts w:ascii="Palatino Linotype" w:eastAsia="Palatino Linotype" w:hAnsi="Palatino Linotype" w:cs="Palatino Linotype"/>
          <w:color w:val="000000" w:themeColor="text1"/>
        </w:rPr>
        <w:t xml:space="preserve"> el </w:t>
      </w:r>
      <w:r w:rsidRPr="007351A7">
        <w:rPr>
          <w:rFonts w:ascii="Palatino Linotype" w:eastAsia="Palatino Linotype" w:hAnsi="Palatino Linotype" w:cs="Palatino Linotype"/>
          <w:b/>
          <w:bCs/>
          <w:color w:val="000000" w:themeColor="text1"/>
        </w:rPr>
        <w:t xml:space="preserve">RECURRENTE </w:t>
      </w:r>
      <w:r w:rsidRPr="007351A7">
        <w:rPr>
          <w:rFonts w:ascii="Palatino Linotype" w:eastAsia="Palatino Linotype" w:hAnsi="Palatino Linotype" w:cs="Palatino Linotype"/>
          <w:color w:val="000000" w:themeColor="text1"/>
        </w:rPr>
        <w:t>interpuso el recurso de revisión, señalando como:</w:t>
      </w:r>
    </w:p>
    <w:p w:rsidR="00F22E86" w:rsidRPr="006C41A1" w:rsidRDefault="006C41A1" w:rsidP="006C41A1">
      <w:pPr>
        <w:pStyle w:val="Prrafodelista"/>
        <w:numPr>
          <w:ilvl w:val="0"/>
          <w:numId w:val="7"/>
        </w:numPr>
        <w:jc w:val="both"/>
        <w:rPr>
          <w:rFonts w:ascii="Palatino Linotype" w:eastAsia="Palatino Linotype" w:hAnsi="Palatino Linotype" w:cs="Palatino Linotype"/>
          <w:b/>
          <w:bCs/>
          <w:color w:val="000000" w:themeColor="text1"/>
        </w:rPr>
      </w:pPr>
      <w:r w:rsidRPr="006C41A1">
        <w:rPr>
          <w:rFonts w:ascii="Palatino Linotype" w:eastAsia="Palatino Linotype" w:hAnsi="Palatino Linotype" w:cs="Palatino Linotype"/>
          <w:b/>
          <w:bCs/>
          <w:color w:val="000000" w:themeColor="text1"/>
        </w:rPr>
        <w:lastRenderedPageBreak/>
        <w:t xml:space="preserve">ACTO IMPUGNADO </w:t>
      </w:r>
    </w:p>
    <w:p w:rsidR="00F22E86" w:rsidRPr="007351A7" w:rsidRDefault="00F22E86" w:rsidP="007351A7">
      <w:pPr>
        <w:jc w:val="both"/>
        <w:rPr>
          <w:rFonts w:ascii="Palatino Linotype" w:eastAsia="Palatino Linotype" w:hAnsi="Palatino Linotype" w:cs="Palatino Linotype"/>
          <w:i/>
          <w:iCs/>
          <w:color w:val="000000" w:themeColor="text1"/>
        </w:rPr>
      </w:pPr>
    </w:p>
    <w:p w:rsidR="00F22E86" w:rsidRPr="007351A7" w:rsidRDefault="00B27C24" w:rsidP="007351A7">
      <w:pPr>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 xml:space="preserve"> “LA INCORRECTA RESPUESTA DE LA DIRECCIÓN DE DESARROLLO URBANO” (Sic)</w:t>
      </w:r>
    </w:p>
    <w:p w:rsidR="00F22E86" w:rsidRPr="007351A7" w:rsidRDefault="00F22E86" w:rsidP="007351A7">
      <w:pPr>
        <w:jc w:val="both"/>
        <w:rPr>
          <w:rFonts w:ascii="Palatino Linotype" w:eastAsia="Palatino Linotype" w:hAnsi="Palatino Linotype" w:cs="Palatino Linotype"/>
          <w:b/>
          <w:bCs/>
          <w:color w:val="000000" w:themeColor="text1"/>
        </w:rPr>
      </w:pPr>
    </w:p>
    <w:p w:rsidR="00F22E86" w:rsidRPr="006C41A1" w:rsidRDefault="006C41A1" w:rsidP="006C41A1">
      <w:pPr>
        <w:pStyle w:val="Prrafodelista"/>
        <w:numPr>
          <w:ilvl w:val="0"/>
          <w:numId w:val="7"/>
        </w:numPr>
        <w:jc w:val="both"/>
        <w:rPr>
          <w:rFonts w:ascii="Palatino Linotype" w:eastAsia="Palatino Linotype" w:hAnsi="Palatino Linotype" w:cs="Palatino Linotype"/>
          <w:b/>
          <w:bCs/>
          <w:color w:val="000000" w:themeColor="text1"/>
        </w:rPr>
      </w:pPr>
      <w:r w:rsidRPr="006C41A1">
        <w:rPr>
          <w:rFonts w:ascii="Palatino Linotype" w:eastAsia="Palatino Linotype" w:hAnsi="Palatino Linotype" w:cs="Palatino Linotype"/>
          <w:b/>
          <w:bCs/>
          <w:color w:val="000000" w:themeColor="text1"/>
        </w:rPr>
        <w:t>RAZONES O MOTIVOS DE INCONFORMIDAD</w:t>
      </w:r>
    </w:p>
    <w:p w:rsidR="00F22E86" w:rsidRPr="007351A7" w:rsidRDefault="00F22E86" w:rsidP="007351A7">
      <w:pPr>
        <w:jc w:val="both"/>
        <w:rPr>
          <w:rFonts w:ascii="Palatino Linotype" w:eastAsia="Palatino Linotype" w:hAnsi="Palatino Linotype" w:cs="Palatino Linotype"/>
          <w:b/>
          <w:bCs/>
          <w:color w:val="000000" w:themeColor="text1"/>
        </w:rPr>
      </w:pPr>
    </w:p>
    <w:p w:rsidR="00F22E86" w:rsidRPr="007351A7" w:rsidRDefault="00B27C24" w:rsidP="007351A7">
      <w:pPr>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“YO SOLICITÉ LA OPINÓN TÉCNICA Y JURÍDICAMENTE JUSTIFICADA QUE LA DIRECCIÓN DE DESARROLLO URBANO DEBE EXPEDIR PARA EMITIR SU OPINIÓN EN LAS SOLICITUDES DE CAMBIO DE USO DE SUELO, DENSIDAD, INTENSIDAD, ALTURA U OCUPACIÓN, CUANDO NO ESTA CONSTITUÍDA LA COMISIÓN DE PLANEACIÓN PARA EL DESARROLLO MUNICIPAL COPLADEMUN, SEÑALADA EN EL ART. 146, FRACCIÓN I) DEL REGLAMENTO DEL LIBRO QUINTO QUE A LA LETRA SEÑALA: " Opinión favorable y técnicamente justificada de la Comisión de Planeación para el Desarrollo Municipal en caso de no estar instalada la Comisión, bastará con la opinión favorable y técnicamente justificada que emita la autoridad encargada del desarrollo urbano municipal;" Y DESARROLLO URBANO ME RESPONDE ENVIANDOME LA OPINIÓN TÉCNICA Y JURÍDICAMENTE JUSTIFICADA QUE SEÑALA EL ART. 10, LITERAL "A", FRACCIÓN IX, de la Ley de la Comisión de Impacto Estatal, que a la letra señala: "Opinión favorable del municipio, a través de la persona titular de la Dirección de Desarrollo Urbano o equivalente, en donde no presente inconveniente para su construcción y operación, cuando no se cuente con Plan Municipal de Desarrollo Urbano vigente, y"... POR LO QUE ME REMITIERÓN OPIONES PARA CASOS DE PROYECTOS QUE REQUIEREN EVALUACIÓN DE IMPACTO ESTATAL, SEÑALADA EN EL ART. 5.35 DEL LIBRO QUINTO, Y NO, COMO YO LO SOLICITE, LAS OPINIONES QUE SE VIERTEN DE MANERA INTERNA, PREVIO A EMITIR CAMBIO DE USO DE SUELO, POR NO ESTAR CONSTITUÍDA LA COPLADEMUN,.” (Sic)</w:t>
      </w:r>
    </w:p>
    <w:p w:rsidR="00F22E86" w:rsidRPr="007351A7" w:rsidRDefault="00F22E86" w:rsidP="007351A7">
      <w:pPr>
        <w:jc w:val="both"/>
        <w:rPr>
          <w:rFonts w:ascii="Palatino Linotype" w:eastAsia="Palatino Linotype" w:hAnsi="Palatino Linotype" w:cs="Palatino Linotype"/>
          <w:i/>
          <w:iCs/>
          <w:color w:val="000000" w:themeColor="text1"/>
        </w:rPr>
      </w:pPr>
    </w:p>
    <w:p w:rsidR="00F22E86" w:rsidRPr="007351A7" w:rsidRDefault="00F22E86" w:rsidP="007351A7">
      <w:pPr>
        <w:jc w:val="both"/>
        <w:rPr>
          <w:rFonts w:ascii="Palatino Linotype" w:eastAsia="Palatino Linotype" w:hAnsi="Palatino Linotype" w:cs="Palatino Linotype"/>
          <w:i/>
          <w:iCs/>
          <w:color w:val="000000" w:themeColor="text1"/>
        </w:rPr>
      </w:pPr>
    </w:p>
    <w:p w:rsidR="00F22E86" w:rsidRPr="007351A7" w:rsidRDefault="006C41A1" w:rsidP="007351A7">
      <w:pPr>
        <w:numPr>
          <w:ilvl w:val="0"/>
          <w:numId w:val="3"/>
        </w:numPr>
        <w:spacing w:line="360" w:lineRule="auto"/>
        <w:ind w:left="0"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Posteriormente, la Comisionada p</w:t>
      </w:r>
      <w:r w:rsidR="00B27C24" w:rsidRPr="007351A7">
        <w:rPr>
          <w:rFonts w:ascii="Palatino Linotype" w:eastAsia="Palatino Linotype" w:hAnsi="Palatino Linotype" w:cs="Palatino Linotype"/>
          <w:color w:val="000000" w:themeColor="text1"/>
        </w:rPr>
        <w:t xml:space="preserve">onente con fundamento en lo dispuesto por el artículo 185, fracción II, de la Ley de la materia, a través del </w:t>
      </w:r>
      <w:r w:rsidR="00B27C24" w:rsidRPr="007351A7">
        <w:rPr>
          <w:rFonts w:ascii="Palatino Linotype" w:eastAsia="Palatino Linotype" w:hAnsi="Palatino Linotype" w:cs="Palatino Linotype"/>
          <w:b/>
          <w:bCs/>
          <w:color w:val="000000" w:themeColor="text1"/>
        </w:rPr>
        <w:t>acuerdo de admisión de veintitrés de junio de dos mil veinticinco</w:t>
      </w:r>
      <w:r w:rsidR="00B27C24" w:rsidRPr="007351A7">
        <w:rPr>
          <w:rFonts w:ascii="Palatino Linotype" w:eastAsia="Palatino Linotype" w:hAnsi="Palatino Linotype" w:cs="Palatino Linotype"/>
          <w:color w:val="000000" w:themeColor="text1"/>
        </w:rPr>
        <w:t xml:space="preserve">, puso a disposición de las partes el expediente electrónico vía </w:t>
      </w:r>
      <w:r w:rsidR="00B27C24" w:rsidRPr="007351A7">
        <w:rPr>
          <w:rFonts w:ascii="Palatino Linotype" w:eastAsia="Palatino Linotype" w:hAnsi="Palatino Linotype" w:cs="Palatino Linotype"/>
          <w:b/>
          <w:bCs/>
          <w:color w:val="000000" w:themeColor="text1"/>
        </w:rPr>
        <w:t xml:space="preserve">SAIMEX </w:t>
      </w:r>
      <w:r w:rsidR="00B27C24" w:rsidRPr="007351A7">
        <w:rPr>
          <w:rFonts w:ascii="Palatino Linotype" w:eastAsia="Palatino Linotype" w:hAnsi="Palatino Linotype" w:cs="Palatino Linotype"/>
          <w:color w:val="000000" w:themeColor="text1"/>
        </w:rPr>
        <w:t xml:space="preserve">a efecto de que en un plazo máximo de siete días manifestara lo que a derecho conviniera, ofreciera pruebas y alegatos según corresponda al caso concreto, </w:t>
      </w:r>
      <w:r w:rsidR="00B27C24" w:rsidRPr="007351A7">
        <w:rPr>
          <w:rFonts w:ascii="Palatino Linotype" w:eastAsia="Palatino Linotype" w:hAnsi="Palatino Linotype" w:cs="Palatino Linotype"/>
          <w:color w:val="000000" w:themeColor="text1"/>
        </w:rPr>
        <w:lastRenderedPageBreak/>
        <w:t xml:space="preserve">de esta forma para que el </w:t>
      </w:r>
      <w:r w:rsidR="00B27C24" w:rsidRPr="007351A7">
        <w:rPr>
          <w:rFonts w:ascii="Palatino Linotype" w:eastAsia="Palatino Linotype" w:hAnsi="Palatino Linotype" w:cs="Palatino Linotype"/>
          <w:b/>
          <w:bCs/>
          <w:color w:val="000000" w:themeColor="text1"/>
        </w:rPr>
        <w:t>SUJETO OBLIGADO</w:t>
      </w:r>
      <w:r w:rsidR="00B27C24" w:rsidRPr="007351A7">
        <w:rPr>
          <w:rFonts w:ascii="Palatino Linotype" w:eastAsia="Palatino Linotype" w:hAnsi="Palatino Linotype" w:cs="Palatino Linotype"/>
          <w:color w:val="000000" w:themeColor="text1"/>
        </w:rPr>
        <w:t xml:space="preserve"> presentase el informe justificado procedente. </w:t>
      </w:r>
    </w:p>
    <w:p w:rsidR="00F22E86" w:rsidRPr="007351A7" w:rsidRDefault="00F22E86" w:rsidP="007351A7">
      <w:pPr>
        <w:jc w:val="both"/>
        <w:rPr>
          <w:rFonts w:ascii="Palatino Linotype" w:eastAsia="Palatino Linotype" w:hAnsi="Palatino Linotype" w:cs="Palatino Linotype"/>
          <w:i/>
          <w:iCs/>
          <w:color w:val="000000" w:themeColor="text1"/>
        </w:rPr>
      </w:pP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 xml:space="preserve">Por su parte el </w:t>
      </w:r>
      <w:r w:rsidRPr="007351A7">
        <w:rPr>
          <w:rFonts w:ascii="Palatino Linotype" w:eastAsia="Palatino Linotype" w:hAnsi="Palatino Linotype" w:cs="Palatino Linotype"/>
          <w:b/>
          <w:bCs/>
          <w:color w:val="000000" w:themeColor="text1"/>
        </w:rPr>
        <w:t>Sujeto Obligado</w:t>
      </w:r>
      <w:r w:rsidRPr="007351A7">
        <w:rPr>
          <w:rFonts w:ascii="Palatino Linotype" w:eastAsia="Palatino Linotype" w:hAnsi="Palatino Linotype" w:cs="Palatino Linotype"/>
          <w:color w:val="000000" w:themeColor="text1"/>
        </w:rPr>
        <w:t xml:space="preserve"> en fecha veintisiete de junio de dos mil veinticinco rindió informe justificado de ley mediante </w:t>
      </w:r>
    </w:p>
    <w:p w:rsidR="00F22E86" w:rsidRPr="007351A7" w:rsidRDefault="00B27C24"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b/>
          <w:bCs/>
          <w:i/>
          <w:iCs/>
          <w:color w:val="000000" w:themeColor="text1"/>
        </w:rPr>
        <w:t>PM_JOP_CUTAIP_0533_2025.pdf</w:t>
      </w:r>
      <w:r w:rsidRPr="007351A7">
        <w:rPr>
          <w:rFonts w:ascii="Palatino Linotype" w:eastAsia="Palatino Linotype" w:hAnsi="Palatino Linotype" w:cs="Palatino Linotype"/>
          <w:i/>
          <w:iCs/>
          <w:color w:val="000000" w:themeColor="text1"/>
        </w:rPr>
        <w:t>: Informe Justificado firmado por la Directora de Desarrollo Urbano, por el que informó lo siguiente:</w:t>
      </w:r>
    </w:p>
    <w:p w:rsidR="006A63D5" w:rsidRPr="007351A7" w:rsidRDefault="006A63D5"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p>
    <w:p w:rsidR="00F22E86" w:rsidRPr="007351A7" w:rsidRDefault="00B27C24"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Robusteciendo lo expuesto, considerando que la información requerida en su solicitud primigenia, corresponde al periodo de la administración anterior, es menester señalar que, las determinaciones relacionadas con las solicitudes de cambio de uso de suelo fueron atendidas conforme a los mecanismos administrativos y normativos vigentes en su momento, de acuerdo a las atribuciones conferidas a la entonces Dirección General de Desarrollo Urbano.</w:t>
      </w:r>
    </w:p>
    <w:p w:rsidR="006A63D5" w:rsidRPr="007351A7" w:rsidRDefault="006A63D5"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p>
    <w:p w:rsidR="00F22E86" w:rsidRPr="007351A7" w:rsidRDefault="00B27C24"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En ese contexto, es importante señalar que esta Dirección únicamente participó en la emisión de opiniones favorables técnicamente justificadas en los casos en que los proyectos requieran evaluación por parte de instancias estatales, específicamente cuando existía requerimiento de esa opinión para efectos de la Evaluación de Impacto Estatal, conforme a la Ley de la Comisión de Impacto Estatal y Reglamento del Libro Quinto del Código Administrativo del Estado de México.</w:t>
      </w:r>
    </w:p>
    <w:p w:rsidR="00F22E86" w:rsidRPr="007351A7" w:rsidRDefault="00B27C24"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Máxime que, respecto a las opiniones técnicas y jurídicamente justificadas a que hace referencia el particular, no se identificaron documentos específicos que correspondan plenamente con los alcances y características planteadas por el hoy recurrente en su recurso de revisión, por lo que esta Dirección a cargo no cuenta con información adicional a la remitida al solicitante mediante mi similar con número DDU/2482/2025 de fecha 12 de junio de 2025.</w:t>
      </w:r>
    </w:p>
    <w:p w:rsidR="006A63D5" w:rsidRPr="007351A7" w:rsidRDefault="006A63D5"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p>
    <w:p w:rsidR="00F22E86" w:rsidRPr="007351A7" w:rsidRDefault="00B27C24"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 xml:space="preserve">Por lo antes manifestado, no existe una incorrecta respuesta por parte de esta Dirección de Desarrollo Urbano, toda vez que se hizo la búsqueda exhaustiva y razonada de la información solicitada por el particular, dentro de los archivos con los que cuenta esta Dirección, y únicamente se localizó la información proporcionada al solicitante en mi respuesta inicial, lo anterior de conformidad con lo dispuesto por el artículo 12 de la Ley de Transparencia y Acceso a la Información Pública del Estado </w:t>
      </w:r>
      <w:r w:rsidRPr="007351A7">
        <w:rPr>
          <w:rFonts w:ascii="Palatino Linotype" w:eastAsia="Palatino Linotype" w:hAnsi="Palatino Linotype" w:cs="Palatino Linotype"/>
          <w:i/>
          <w:iCs/>
          <w:color w:val="000000" w:themeColor="text1"/>
        </w:rPr>
        <w:lastRenderedPageBreak/>
        <w:t>de México y Municipios, que en lo sustancial establece que los sujetos obligados sólo proporcionaran la información pública que se les requiera y que obre en sus archivos y en el estado en que ésta se encuentre.</w:t>
      </w:r>
    </w:p>
    <w:p w:rsidR="00F22E86" w:rsidRPr="007351A7" w:rsidRDefault="00F22E86" w:rsidP="007351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 xml:space="preserve">El </w:t>
      </w:r>
      <w:r w:rsidRPr="007351A7">
        <w:rPr>
          <w:rFonts w:ascii="Palatino Linotype" w:eastAsia="Palatino Linotype" w:hAnsi="Palatino Linotype" w:cs="Palatino Linotype"/>
          <w:b/>
          <w:bCs/>
          <w:color w:val="000000" w:themeColor="text1"/>
        </w:rPr>
        <w:t xml:space="preserve">RECURRENTE, </w:t>
      </w:r>
      <w:r w:rsidRPr="007351A7">
        <w:rPr>
          <w:rFonts w:ascii="Palatino Linotype" w:eastAsia="Palatino Linotype" w:hAnsi="Palatino Linotype" w:cs="Palatino Linotype"/>
          <w:color w:val="000000" w:themeColor="text1"/>
        </w:rPr>
        <w:t xml:space="preserve">fue omiso en realizar manifestaciones conforme a su derecho conviniera y asistiera. </w:t>
      </w:r>
    </w:p>
    <w:p w:rsidR="00F22E86" w:rsidRPr="007351A7" w:rsidRDefault="00F22E86" w:rsidP="007351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7351A7">
        <w:rPr>
          <w:rFonts w:ascii="Palatino Linotype" w:eastAsia="Palatino Linotype" w:hAnsi="Palatino Linotype" w:cs="Palatino Linotype"/>
          <w:color w:val="000000" w:themeColor="text1"/>
        </w:rPr>
        <w:t xml:space="preserve">El </w:t>
      </w:r>
      <w:r w:rsidRPr="007351A7">
        <w:rPr>
          <w:rFonts w:ascii="Palatino Linotype" w:eastAsia="Palatino Linotype" w:hAnsi="Palatino Linotype" w:cs="Palatino Linotype"/>
          <w:b/>
          <w:bCs/>
          <w:color w:val="000000" w:themeColor="text1"/>
        </w:rPr>
        <w:t>once de diciembre de dos mil veinticinco</w:t>
      </w:r>
      <w:r w:rsidRPr="007351A7">
        <w:rPr>
          <w:rFonts w:ascii="Palatino Linotype" w:eastAsia="Palatino Linotype" w:hAnsi="Palatino Linotype" w:cs="Palatino Linotype"/>
          <w:color w:val="000000" w:themeColor="text1"/>
        </w:rPr>
        <w:t>, se acordó ampliar el término para resolver el presente asunto.</w:t>
      </w:r>
    </w:p>
    <w:p w:rsidR="00F22E86" w:rsidRPr="007351A7" w:rsidRDefault="00F22E86" w:rsidP="007351A7">
      <w:pPr>
        <w:pBdr>
          <w:top w:val="nil"/>
          <w:left w:val="nil"/>
          <w:bottom w:val="nil"/>
          <w:right w:val="nil"/>
          <w:between w:val="nil"/>
        </w:pBdr>
        <w:rPr>
          <w:rFonts w:ascii="Palatino Linotype" w:eastAsia="Palatino Linotype" w:hAnsi="Palatino Linotype" w:cs="Palatino Linotype"/>
          <w:b/>
          <w:bCs/>
          <w:color w:val="000000" w:themeColor="text1"/>
        </w:rPr>
      </w:pP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F22E86" w:rsidRPr="007351A7" w:rsidRDefault="00F22E86" w:rsidP="007351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numPr>
          <w:ilvl w:val="0"/>
          <w:numId w:val="3"/>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 xml:space="preserve">La Comisionada Ponente decretó el cierre de instrucción mediante el acuerdo del </w:t>
      </w:r>
      <w:r w:rsidRPr="007351A7">
        <w:rPr>
          <w:rFonts w:ascii="Palatino Linotype" w:eastAsia="Palatino Linotype" w:hAnsi="Palatino Linotype" w:cs="Palatino Linotype"/>
          <w:b/>
          <w:bCs/>
          <w:color w:val="000000" w:themeColor="text1"/>
        </w:rPr>
        <w:t xml:space="preserve">diecisiete de </w:t>
      </w:r>
      <w:r w:rsidR="0066404A" w:rsidRPr="007351A7">
        <w:rPr>
          <w:rFonts w:ascii="Palatino Linotype" w:eastAsia="Palatino Linotype" w:hAnsi="Palatino Linotype" w:cs="Palatino Linotype"/>
          <w:b/>
          <w:bCs/>
          <w:color w:val="000000" w:themeColor="text1"/>
        </w:rPr>
        <w:t>diciembre de</w:t>
      </w:r>
      <w:r w:rsidRPr="007351A7">
        <w:rPr>
          <w:rFonts w:ascii="Palatino Linotype" w:eastAsia="Palatino Linotype" w:hAnsi="Palatino Linotype" w:cs="Palatino Linotype"/>
          <w:b/>
          <w:bCs/>
          <w:color w:val="000000" w:themeColor="text1"/>
        </w:rPr>
        <w:t xml:space="preserve"> dos mil veinticinco</w:t>
      </w:r>
      <w:r w:rsidRPr="007351A7">
        <w:rPr>
          <w:rFonts w:ascii="Palatino Linotype" w:eastAsia="Palatino Linotype" w:hAnsi="Palatino Linotype" w:cs="Palatino Linotype"/>
          <w:color w:val="000000" w:themeColor="text1"/>
        </w:rPr>
        <w:t xml:space="preserve">. </w:t>
      </w:r>
    </w:p>
    <w:p w:rsidR="00F22E86" w:rsidRPr="007351A7" w:rsidRDefault="00F22E86" w:rsidP="007351A7">
      <w:pPr>
        <w:tabs>
          <w:tab w:val="left" w:pos="426"/>
        </w:tabs>
        <w:spacing w:line="360" w:lineRule="auto"/>
        <w:jc w:val="both"/>
        <w:rPr>
          <w:rFonts w:ascii="Palatino Linotype" w:eastAsia="Palatino Linotype" w:hAnsi="Palatino Linotype" w:cs="Palatino Linotype"/>
          <w:color w:val="000000" w:themeColor="text1"/>
        </w:rPr>
      </w:pPr>
    </w:p>
    <w:p w:rsidR="00F22E86" w:rsidRDefault="00B27C24" w:rsidP="007351A7">
      <w:pPr>
        <w:spacing w:line="360" w:lineRule="auto"/>
        <w:jc w:val="center"/>
        <w:rPr>
          <w:rFonts w:ascii="Palatino Linotype" w:eastAsia="Palatino Linotype" w:hAnsi="Palatino Linotype" w:cs="Palatino Linotype"/>
          <w:b/>
          <w:bCs/>
          <w:color w:val="000000" w:themeColor="text1"/>
        </w:rPr>
      </w:pPr>
      <w:bookmarkStart w:id="2" w:name="_heading=h.j5t7lf92li45" w:colFirst="0" w:colLast="0"/>
      <w:bookmarkEnd w:id="2"/>
      <w:r w:rsidRPr="007351A7">
        <w:rPr>
          <w:rFonts w:ascii="Palatino Linotype" w:eastAsia="Palatino Linotype" w:hAnsi="Palatino Linotype" w:cs="Palatino Linotype"/>
          <w:b/>
          <w:bCs/>
          <w:color w:val="000000" w:themeColor="text1"/>
        </w:rPr>
        <w:t>C O N S I D E R A N D O S</w:t>
      </w:r>
    </w:p>
    <w:p w:rsidR="006C41A1" w:rsidRPr="007351A7" w:rsidRDefault="006C41A1" w:rsidP="007351A7">
      <w:pPr>
        <w:spacing w:line="360" w:lineRule="auto"/>
        <w:jc w:val="center"/>
        <w:rPr>
          <w:rFonts w:ascii="Palatino Linotype" w:eastAsia="Palatino Linotype" w:hAnsi="Palatino Linotype" w:cs="Palatino Linotype"/>
          <w:b/>
          <w:bCs/>
          <w:color w:val="000000" w:themeColor="text1"/>
        </w:rPr>
      </w:pPr>
    </w:p>
    <w:p w:rsidR="00F22E86" w:rsidRPr="007351A7" w:rsidRDefault="00B27C24" w:rsidP="007351A7">
      <w:pPr>
        <w:pStyle w:val="Ttulo2"/>
        <w:spacing w:before="0" w:line="360" w:lineRule="auto"/>
        <w:rPr>
          <w:rFonts w:ascii="Palatino Linotype" w:eastAsia="Palatino Linotype" w:hAnsi="Palatino Linotype" w:cs="Palatino Linotype"/>
          <w:b/>
          <w:bCs/>
          <w:color w:val="000000" w:themeColor="text1"/>
          <w:sz w:val="24"/>
          <w:szCs w:val="24"/>
        </w:rPr>
      </w:pPr>
      <w:r w:rsidRPr="007351A7">
        <w:rPr>
          <w:rFonts w:ascii="Palatino Linotype" w:eastAsia="Palatino Linotype" w:hAnsi="Palatino Linotype" w:cs="Palatino Linotype"/>
          <w:b/>
          <w:bCs/>
          <w:color w:val="000000" w:themeColor="text1"/>
          <w:sz w:val="24"/>
          <w:szCs w:val="24"/>
        </w:rPr>
        <w:t>PRIMERO. De la competencia</w:t>
      </w: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y Municipios, es competente para conocer y resolver </w:t>
      </w:r>
      <w:r w:rsidRPr="007351A7">
        <w:rPr>
          <w:rFonts w:ascii="Palatino Linotype" w:eastAsia="Palatino Linotype" w:hAnsi="Palatino Linotype" w:cs="Palatino Linotype"/>
          <w:color w:val="000000" w:themeColor="text1"/>
        </w:rPr>
        <w:lastRenderedPageBreak/>
        <w:t>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F22E86" w:rsidRPr="007351A7" w:rsidRDefault="00F22E86" w:rsidP="007351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pStyle w:val="Ttulo2"/>
        <w:spacing w:before="0" w:line="360" w:lineRule="auto"/>
        <w:rPr>
          <w:rFonts w:ascii="Palatino Linotype" w:eastAsia="Palatino Linotype" w:hAnsi="Palatino Linotype" w:cs="Palatino Linotype"/>
          <w:b/>
          <w:bCs/>
          <w:color w:val="000000" w:themeColor="text1"/>
          <w:sz w:val="24"/>
          <w:szCs w:val="24"/>
        </w:rPr>
      </w:pPr>
      <w:bookmarkStart w:id="3" w:name="_heading=h.j5axclyc578s" w:colFirst="0" w:colLast="0"/>
      <w:bookmarkEnd w:id="3"/>
      <w:r w:rsidRPr="007351A7">
        <w:rPr>
          <w:rFonts w:ascii="Palatino Linotype" w:eastAsia="Palatino Linotype" w:hAnsi="Palatino Linotype" w:cs="Palatino Linotype"/>
          <w:b/>
          <w:bCs/>
          <w:color w:val="000000" w:themeColor="text1"/>
          <w:sz w:val="24"/>
          <w:szCs w:val="24"/>
        </w:rPr>
        <w:t>SEGUNDO. De la oportunidad y procedencia.</w:t>
      </w:r>
    </w:p>
    <w:p w:rsidR="00F22E86" w:rsidRPr="007351A7" w:rsidRDefault="00B27C24" w:rsidP="007351A7">
      <w:pPr>
        <w:numPr>
          <w:ilvl w:val="0"/>
          <w:numId w:val="3"/>
        </w:numPr>
        <w:pBdr>
          <w:top w:val="nil"/>
          <w:left w:val="nil"/>
          <w:bottom w:val="nil"/>
          <w:right w:val="nil"/>
          <w:between w:val="nil"/>
        </w:pBdr>
        <w:spacing w:after="280" w:line="360" w:lineRule="auto"/>
        <w:ind w:left="0" w:firstLine="0"/>
        <w:jc w:val="both"/>
        <w:rPr>
          <w:rFonts w:ascii="Palatino Linotype" w:hAnsi="Palatino Linotype"/>
          <w:color w:val="000000" w:themeColor="text1"/>
        </w:rPr>
      </w:pPr>
      <w:r w:rsidRPr="007351A7">
        <w:rPr>
          <w:rFonts w:ascii="Palatino Linotype" w:eastAsia="Palatino Linotype" w:hAnsi="Palatino Linotype" w:cs="Palatino Linotype"/>
          <w:color w:val="000000" w:themeColor="text1"/>
        </w:rPr>
        <w:t xml:space="preserve">Los medios de impugnación fueron presentados a través del </w:t>
      </w:r>
      <w:r w:rsidRPr="007351A7">
        <w:rPr>
          <w:rFonts w:ascii="Palatino Linotype" w:eastAsia="Palatino Linotype" w:hAnsi="Palatino Linotype" w:cs="Palatino Linotype"/>
          <w:b/>
          <w:bCs/>
          <w:color w:val="000000" w:themeColor="text1"/>
        </w:rPr>
        <w:t>SAIMEX,</w:t>
      </w:r>
      <w:r w:rsidRPr="007351A7">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7351A7">
        <w:rPr>
          <w:rFonts w:ascii="Palatino Linotype" w:eastAsia="Palatino Linotype" w:hAnsi="Palatino Linotype" w:cs="Palatino Linotype"/>
          <w:b/>
          <w:bCs/>
          <w:color w:val="000000" w:themeColor="text1"/>
        </w:rPr>
        <w:t>SUJETO OBLIGADO</w:t>
      </w:r>
      <w:r w:rsidRPr="007351A7">
        <w:rPr>
          <w:rFonts w:ascii="Palatino Linotype" w:eastAsia="Palatino Linotype" w:hAnsi="Palatino Linotype" w:cs="Palatino Linotype"/>
          <w:color w:val="000000" w:themeColor="text1"/>
        </w:rPr>
        <w:t xml:space="preserve"> entregó su respuesta el </w:t>
      </w:r>
      <w:r w:rsidRPr="007351A7">
        <w:rPr>
          <w:rFonts w:ascii="Palatino Linotype" w:eastAsia="Palatino Linotype" w:hAnsi="Palatino Linotype" w:cs="Palatino Linotype"/>
          <w:b/>
          <w:bCs/>
          <w:color w:val="000000" w:themeColor="text1"/>
        </w:rPr>
        <w:t>trece de junio de dos mil veinticinco</w:t>
      </w:r>
      <w:r w:rsidRPr="007351A7">
        <w:rPr>
          <w:rFonts w:ascii="Palatino Linotype" w:eastAsia="Palatino Linotype" w:hAnsi="Palatino Linotype" w:cs="Palatino Linotype"/>
          <w:color w:val="000000" w:themeColor="text1"/>
        </w:rPr>
        <w:t xml:space="preserve">, de tal forma que el plazo para interponer el recurso de revisión transcurrió del día </w:t>
      </w:r>
      <w:r w:rsidRPr="007351A7">
        <w:rPr>
          <w:rFonts w:ascii="Palatino Linotype" w:eastAsia="Palatino Linotype" w:hAnsi="Palatino Linotype" w:cs="Palatino Linotype"/>
          <w:b/>
          <w:bCs/>
          <w:color w:val="000000" w:themeColor="text1"/>
        </w:rPr>
        <w:t>dieciséis de junio al cuatro de julio de dos mil veinticinco</w:t>
      </w:r>
      <w:r w:rsidRPr="007351A7">
        <w:rPr>
          <w:rFonts w:ascii="Palatino Linotype" w:eastAsia="Palatino Linotype" w:hAnsi="Palatino Linotype" w:cs="Palatino Linotype"/>
          <w:color w:val="000000" w:themeColor="text1"/>
        </w:rPr>
        <w:t xml:space="preserve">; en consecuencia, el ahora </w:t>
      </w:r>
      <w:r w:rsidRPr="007351A7">
        <w:rPr>
          <w:rFonts w:ascii="Palatino Linotype" w:eastAsia="Palatino Linotype" w:hAnsi="Palatino Linotype" w:cs="Palatino Linotype"/>
          <w:b/>
          <w:bCs/>
          <w:color w:val="000000" w:themeColor="text1"/>
        </w:rPr>
        <w:t>RECURRENTE</w:t>
      </w:r>
      <w:r w:rsidRPr="007351A7">
        <w:rPr>
          <w:rFonts w:ascii="Palatino Linotype" w:eastAsia="Palatino Linotype" w:hAnsi="Palatino Linotype" w:cs="Palatino Linotype"/>
          <w:color w:val="000000" w:themeColor="text1"/>
        </w:rPr>
        <w:t xml:space="preserve"> presentó su inconformidad el día </w:t>
      </w:r>
      <w:r w:rsidRPr="007351A7">
        <w:rPr>
          <w:rFonts w:ascii="Palatino Linotype" w:eastAsia="Palatino Linotype" w:hAnsi="Palatino Linotype" w:cs="Palatino Linotype"/>
          <w:b/>
          <w:bCs/>
          <w:color w:val="000000" w:themeColor="text1"/>
        </w:rPr>
        <w:t>dieciséis de junio de dos mil veinticinco</w:t>
      </w:r>
      <w:r w:rsidRPr="007351A7">
        <w:rPr>
          <w:rFonts w:ascii="Palatino Linotype" w:eastAsia="Palatino Linotype" w:hAnsi="Palatino Linotype" w:cs="Palatino Linotype"/>
          <w:color w:val="000000" w:themeColor="text1"/>
        </w:rPr>
        <w:t>; es decir dentro del lapso legalmente establecido para tal efecto.</w:t>
      </w:r>
    </w:p>
    <w:p w:rsidR="00F22E86" w:rsidRPr="007351A7" w:rsidRDefault="00F22E86" w:rsidP="007351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22E86" w:rsidRPr="007351A7" w:rsidRDefault="00F22E86" w:rsidP="007351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pStyle w:val="Ttulo2"/>
        <w:spacing w:before="0" w:line="360" w:lineRule="auto"/>
        <w:rPr>
          <w:rFonts w:ascii="Palatino Linotype" w:eastAsia="Palatino Linotype" w:hAnsi="Palatino Linotype" w:cs="Palatino Linotype"/>
          <w:b/>
          <w:bCs/>
          <w:color w:val="000000" w:themeColor="text1"/>
          <w:sz w:val="24"/>
          <w:szCs w:val="24"/>
        </w:rPr>
      </w:pPr>
      <w:bookmarkStart w:id="4" w:name="_heading=h.gc99h4b9s21p" w:colFirst="0" w:colLast="0"/>
      <w:bookmarkEnd w:id="4"/>
      <w:r w:rsidRPr="007351A7">
        <w:rPr>
          <w:rFonts w:ascii="Palatino Linotype" w:eastAsia="Palatino Linotype" w:hAnsi="Palatino Linotype" w:cs="Palatino Linotype"/>
          <w:b/>
          <w:bCs/>
          <w:color w:val="000000" w:themeColor="text1"/>
          <w:sz w:val="24"/>
          <w:szCs w:val="24"/>
        </w:rPr>
        <w:lastRenderedPageBreak/>
        <w:t>TERCERO. Del planteamiento de la Litis</w:t>
      </w: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De las constancias en el expediente al rubro indicado, se desprende que el particular  solicitó tener acceso a la información que a continuación se desagrega:</w:t>
      </w:r>
    </w:p>
    <w:p w:rsidR="00F22E86" w:rsidRPr="007351A7" w:rsidRDefault="00B27C24"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BUENAS TARDES: EN ATENCIÓN A LA MÁXIMA TRANSPARENCIA Y PUBLICIDAD, Y CONSIDERANDO QUE LA PASADA ADMINUSTRACIÓN 2022-2024, NO INSTALÓ COMISIÓN DE PLANEACIÓN PARA EL DESARROLLO MUNICIPAL (COPLADEMUN) ORGANO AUXILIAR EN LA TOMA DE DESICIONES DEL AYUNTAMIENTO, Y QUE ENTRE OTRAS EMITE OPINIÓN PARA CAMBIOS DE USO DE SUELO Y COMO LO SEÑALA EL ART,. 146 FRACCIÓN 1, INCISO I), COMO REQUISITOS PARA EL CAMBIO DE USO D ESUELO : "Opinión favorable y técnicamente justificada de la Comisión de Planeación para el Desarrollo Municipal" Y ESTABLECE QUE "caso de no estar instalada la Comisión, bastará con la opinión favorable y técnicamente justificada que emita la autoridad encargada del desarrollo urbano municipal... SOLICITO: - TODAS Y CADA UNA DE LAS OPINIONES TÉCNICA Y JURÍDICAMENTE JUSTIFICADAS QUE EMITIÓ LA DIRECCIÓN GENERAL DE DESARROLLO URBANO 2022-2024 QUE SIRIVIERON DE SPORTE PARA TODOS Y CADA UNO DE LOS CAMBIOS DE USO DE SUELO QUE SE EXPIDIERON, LO ANTERIOR EN VERSIÓN DIVULGACIÓN, COMO LO SEÑALA LA LEY DE PROTECCIÓN DE DATOS PERSONALES, EN EL ENTENDIDO QUE LO ÚNICO QUE PROTEGE DICHA LEY ES LA INFORMACIÓN SENSIBLE DE LOS PETICIONARIOS COMO SON SU NOMBRE, DOMICILIO PARTICULAR U CUALQUIER OTRO DATO DE CONTATO.</w:t>
      </w:r>
    </w:p>
    <w:p w:rsidR="00F22E86" w:rsidRPr="007351A7" w:rsidRDefault="00F22E86" w:rsidP="007351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 xml:space="preserve">En respuesta el </w:t>
      </w:r>
      <w:r w:rsidRPr="007351A7">
        <w:rPr>
          <w:rFonts w:ascii="Palatino Linotype" w:eastAsia="Palatino Linotype" w:hAnsi="Palatino Linotype" w:cs="Palatino Linotype"/>
          <w:b/>
          <w:bCs/>
          <w:color w:val="000000" w:themeColor="text1"/>
        </w:rPr>
        <w:t xml:space="preserve">SUJETO OBLIGADO, </w:t>
      </w:r>
      <w:r w:rsidRPr="007351A7">
        <w:rPr>
          <w:rFonts w:ascii="Palatino Linotype" w:eastAsia="Palatino Linotype" w:hAnsi="Palatino Linotype" w:cs="Palatino Linotype"/>
          <w:color w:val="000000" w:themeColor="text1"/>
        </w:rPr>
        <w:t>informó que remite la información que obra en sus archivos.</w:t>
      </w:r>
    </w:p>
    <w:p w:rsidR="00F22E86" w:rsidRPr="007351A7" w:rsidRDefault="00F22E86" w:rsidP="007351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 xml:space="preserve">Inconforme, el </w:t>
      </w:r>
      <w:r w:rsidRPr="007351A7">
        <w:rPr>
          <w:rFonts w:ascii="Palatino Linotype" w:eastAsia="Palatino Linotype" w:hAnsi="Palatino Linotype" w:cs="Palatino Linotype"/>
          <w:b/>
          <w:bCs/>
          <w:color w:val="000000" w:themeColor="text1"/>
        </w:rPr>
        <w:t>PARTICULAR,</w:t>
      </w:r>
      <w:r w:rsidRPr="007351A7">
        <w:rPr>
          <w:rFonts w:ascii="Palatino Linotype" w:eastAsia="Palatino Linotype" w:hAnsi="Palatino Linotype" w:cs="Palatino Linotype"/>
          <w:color w:val="000000" w:themeColor="text1"/>
        </w:rPr>
        <w:t xml:space="preserve"> se inconformó medularmente de que se le hizo entrega de información que no corresponde a lo solicitado.  </w:t>
      </w:r>
    </w:p>
    <w:p w:rsidR="00F22E86" w:rsidRPr="007351A7" w:rsidRDefault="00F22E86" w:rsidP="007351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lastRenderedPageBreak/>
        <w:t xml:space="preserve">En dichas condiciones, la </w:t>
      </w:r>
      <w:r w:rsidRPr="007351A7">
        <w:rPr>
          <w:rFonts w:ascii="Palatino Linotype" w:eastAsia="Palatino Linotype" w:hAnsi="Palatino Linotype" w:cs="Palatino Linotype"/>
          <w:i/>
          <w:iCs/>
          <w:color w:val="000000" w:themeColor="text1"/>
        </w:rPr>
        <w:t>Litis</w:t>
      </w:r>
      <w:r w:rsidRPr="007351A7">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7351A7">
        <w:rPr>
          <w:rFonts w:ascii="Palatino Linotype" w:eastAsia="Palatino Linotype" w:hAnsi="Palatino Linotype" w:cs="Palatino Linotype"/>
          <w:b/>
          <w:bCs/>
          <w:color w:val="000000" w:themeColor="text1"/>
        </w:rPr>
        <w:t xml:space="preserve">fracción VI </w:t>
      </w:r>
      <w:r w:rsidRPr="007351A7">
        <w:rPr>
          <w:rFonts w:ascii="Palatino Linotype" w:eastAsia="Palatino Linotype" w:hAnsi="Palatino Linotype" w:cs="Palatino Linotype"/>
          <w:color w:val="000000" w:themeColor="text1"/>
        </w:rPr>
        <w:t xml:space="preserve">de la </w:t>
      </w:r>
      <w:r w:rsidRPr="007351A7">
        <w:rPr>
          <w:rFonts w:ascii="Palatino Linotype" w:eastAsia="Palatino Linotype" w:hAnsi="Palatino Linotype" w:cs="Palatino Linotype"/>
          <w:b/>
          <w:bCs/>
          <w:color w:val="000000" w:themeColor="text1"/>
        </w:rPr>
        <w:t>Ley de Transparencia y Acceso a la Información Pública del Estado de México y Municipios</w:t>
      </w:r>
      <w:r w:rsidRPr="007351A7">
        <w:rPr>
          <w:rFonts w:ascii="Palatino Linotype" w:eastAsia="Palatino Linotype" w:hAnsi="Palatino Linotype" w:cs="Palatino Linotype"/>
          <w:color w:val="000000" w:themeColor="text1"/>
        </w:rPr>
        <w:t xml:space="preserve">; fracción que determina la entrega de información que no corresponda con lo solicitado; contexto </w:t>
      </w:r>
      <w:r w:rsidR="0066404A" w:rsidRPr="007351A7">
        <w:rPr>
          <w:rFonts w:ascii="Palatino Linotype" w:eastAsia="Palatino Linotype" w:hAnsi="Palatino Linotype" w:cs="Palatino Linotype"/>
          <w:color w:val="000000" w:themeColor="text1"/>
        </w:rPr>
        <w:t>del cual</w:t>
      </w:r>
      <w:r w:rsidRPr="007351A7">
        <w:rPr>
          <w:rFonts w:ascii="Palatino Linotype" w:eastAsia="Palatino Linotype" w:hAnsi="Palatino Linotype" w:cs="Palatino Linotype"/>
          <w:color w:val="000000" w:themeColor="text1"/>
        </w:rPr>
        <w:t xml:space="preserve"> se dolió </w:t>
      </w:r>
      <w:r w:rsidRPr="007351A7">
        <w:rPr>
          <w:rFonts w:ascii="Palatino Linotype" w:eastAsia="Palatino Linotype" w:hAnsi="Palatino Linotype" w:cs="Palatino Linotype"/>
          <w:b/>
          <w:bCs/>
          <w:color w:val="000000" w:themeColor="text1"/>
        </w:rPr>
        <w:t xml:space="preserve">EL RECURRENTE </w:t>
      </w:r>
      <w:r w:rsidRPr="007351A7">
        <w:rPr>
          <w:rFonts w:ascii="Palatino Linotype" w:eastAsia="Palatino Linotype" w:hAnsi="Palatino Linotype" w:cs="Palatino Linotype"/>
          <w:color w:val="000000" w:themeColor="text1"/>
        </w:rPr>
        <w:t xml:space="preserve">al momento de interponer su inconformidad. </w:t>
      </w:r>
    </w:p>
    <w:p w:rsidR="00F22E86" w:rsidRPr="007351A7" w:rsidRDefault="00F22E86" w:rsidP="007351A7">
      <w:pPr>
        <w:pBdr>
          <w:top w:val="nil"/>
          <w:left w:val="nil"/>
          <w:bottom w:val="nil"/>
          <w:right w:val="nil"/>
          <w:between w:val="nil"/>
        </w:pBdr>
        <w:rPr>
          <w:rFonts w:ascii="Palatino Linotype" w:eastAsia="Palatino Linotype" w:hAnsi="Palatino Linotype" w:cs="Palatino Linotype"/>
          <w:color w:val="000000" w:themeColor="text1"/>
        </w:rPr>
      </w:pPr>
    </w:p>
    <w:p w:rsidR="00F22E86" w:rsidRPr="007351A7" w:rsidRDefault="00B27C24" w:rsidP="007351A7">
      <w:pPr>
        <w:numPr>
          <w:ilvl w:val="0"/>
          <w:numId w:val="3"/>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 xml:space="preserve">De modo tal que el presente recurso de revisión se abocará en determinar si el </w:t>
      </w:r>
      <w:r w:rsidRPr="007351A7">
        <w:rPr>
          <w:rFonts w:ascii="Palatino Linotype" w:eastAsia="Palatino Linotype" w:hAnsi="Palatino Linotype" w:cs="Palatino Linotype"/>
          <w:b/>
          <w:bCs/>
          <w:color w:val="000000" w:themeColor="text1"/>
        </w:rPr>
        <w:t>SUJETO</w:t>
      </w:r>
      <w:r w:rsidRPr="007351A7">
        <w:rPr>
          <w:rFonts w:ascii="Palatino Linotype" w:eastAsia="Palatino Linotype" w:hAnsi="Palatino Linotype" w:cs="Palatino Linotype"/>
          <w:color w:val="000000" w:themeColor="text1"/>
        </w:rPr>
        <w:t xml:space="preserve"> </w:t>
      </w:r>
      <w:r w:rsidRPr="007351A7">
        <w:rPr>
          <w:rFonts w:ascii="Palatino Linotype" w:eastAsia="Palatino Linotype" w:hAnsi="Palatino Linotype" w:cs="Palatino Linotype"/>
          <w:b/>
          <w:bCs/>
          <w:color w:val="000000" w:themeColor="text1"/>
        </w:rPr>
        <w:t>OBLIGADO</w:t>
      </w:r>
      <w:r w:rsidRPr="007351A7">
        <w:rPr>
          <w:rFonts w:ascii="Palatino Linotype" w:eastAsia="Palatino Linotype" w:hAnsi="Palatino Linotype" w:cs="Palatino Linotype"/>
          <w:color w:val="000000" w:themeColor="text1"/>
        </w:rPr>
        <w:t xml:space="preserve"> con su respuesta ciertamente actualiza las causales de procedencia</w:t>
      </w:r>
      <w:r w:rsidRPr="007351A7">
        <w:rPr>
          <w:rFonts w:ascii="Palatino Linotype" w:eastAsia="Palatino Linotype" w:hAnsi="Palatino Linotype" w:cs="Palatino Linotype"/>
          <w:b/>
          <w:bCs/>
          <w:color w:val="000000" w:themeColor="text1"/>
        </w:rPr>
        <w:t xml:space="preserve"> </w:t>
      </w:r>
      <w:r w:rsidRPr="007351A7">
        <w:rPr>
          <w:rFonts w:ascii="Palatino Linotype" w:eastAsia="Palatino Linotype" w:hAnsi="Palatino Linotype" w:cs="Palatino Linotype"/>
          <w:color w:val="000000" w:themeColor="text1"/>
        </w:rPr>
        <w:t>antes señalada; asimismo, determinar si se vulnera el derecho de acceso a la información de la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F22E86" w:rsidRPr="007351A7" w:rsidRDefault="00F22E86" w:rsidP="007351A7">
      <w:pPr>
        <w:pStyle w:val="Ttulo2"/>
        <w:spacing w:before="0" w:line="360" w:lineRule="auto"/>
        <w:rPr>
          <w:rFonts w:ascii="Palatino Linotype" w:eastAsia="Palatino Linotype" w:hAnsi="Palatino Linotype" w:cs="Palatino Linotype"/>
          <w:b/>
          <w:bCs/>
          <w:color w:val="000000" w:themeColor="text1"/>
          <w:sz w:val="24"/>
          <w:szCs w:val="24"/>
        </w:rPr>
      </w:pPr>
    </w:p>
    <w:p w:rsidR="00F22E86" w:rsidRPr="007351A7" w:rsidRDefault="00B27C24" w:rsidP="007351A7">
      <w:pPr>
        <w:pStyle w:val="Ttulo2"/>
        <w:spacing w:before="0" w:line="360" w:lineRule="auto"/>
        <w:rPr>
          <w:rFonts w:ascii="Palatino Linotype" w:eastAsia="Palatino Linotype" w:hAnsi="Palatino Linotype" w:cs="Palatino Linotype"/>
          <w:b/>
          <w:bCs/>
          <w:color w:val="000000" w:themeColor="text1"/>
          <w:sz w:val="24"/>
          <w:szCs w:val="24"/>
          <w:highlight w:val="white"/>
        </w:rPr>
      </w:pPr>
      <w:r w:rsidRPr="007351A7">
        <w:rPr>
          <w:rFonts w:ascii="Palatino Linotype" w:eastAsia="Palatino Linotype" w:hAnsi="Palatino Linotype" w:cs="Palatino Linotype"/>
          <w:b/>
          <w:bCs/>
          <w:color w:val="000000" w:themeColor="text1"/>
          <w:sz w:val="24"/>
          <w:szCs w:val="24"/>
          <w:highlight w:val="white"/>
        </w:rPr>
        <w:t>CUARTO. Del estudio y resolución del asunto.</w:t>
      </w:r>
    </w:p>
    <w:p w:rsidR="00F22E86" w:rsidRPr="007351A7" w:rsidRDefault="00B27C24" w:rsidP="007351A7">
      <w:pPr>
        <w:pStyle w:val="Ttulo1"/>
        <w:numPr>
          <w:ilvl w:val="0"/>
          <w:numId w:val="1"/>
        </w:numPr>
        <w:spacing w:before="0" w:after="240" w:line="360" w:lineRule="auto"/>
        <w:ind w:left="0" w:firstLine="0"/>
        <w:rPr>
          <w:rFonts w:ascii="Palatino Linotype" w:eastAsia="Palatino Linotype" w:hAnsi="Palatino Linotype" w:cs="Palatino Linotype"/>
          <w:b/>
          <w:bCs/>
          <w:color w:val="000000" w:themeColor="text1"/>
          <w:sz w:val="24"/>
          <w:szCs w:val="24"/>
        </w:rPr>
      </w:pPr>
      <w:bookmarkStart w:id="5" w:name="_heading=h.2s8eyo1" w:colFirst="0" w:colLast="0"/>
      <w:bookmarkEnd w:id="5"/>
      <w:r w:rsidRPr="007351A7">
        <w:rPr>
          <w:rFonts w:ascii="Palatino Linotype" w:eastAsia="Palatino Linotype" w:hAnsi="Palatino Linotype" w:cs="Palatino Linotype"/>
          <w:b/>
          <w:bCs/>
          <w:color w:val="000000" w:themeColor="text1"/>
          <w:sz w:val="24"/>
          <w:szCs w:val="24"/>
        </w:rPr>
        <w:t>Del derecho de acceso a la información.</w:t>
      </w:r>
    </w:p>
    <w:p w:rsidR="00F22E86" w:rsidRPr="007351A7" w:rsidRDefault="00B27C24" w:rsidP="007351A7">
      <w:pPr>
        <w:numPr>
          <w:ilvl w:val="0"/>
          <w:numId w:val="3"/>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F22E86" w:rsidRPr="007351A7" w:rsidRDefault="00F22E86" w:rsidP="007351A7">
      <w:pPr>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numPr>
          <w:ilvl w:val="0"/>
          <w:numId w:val="3"/>
        </w:numPr>
        <w:pBdr>
          <w:top w:val="nil"/>
          <w:left w:val="nil"/>
          <w:bottom w:val="nil"/>
          <w:right w:val="nil"/>
          <w:between w:val="nil"/>
        </w:pBdr>
        <w:spacing w:after="280" w:line="360" w:lineRule="auto"/>
        <w:ind w:left="0" w:firstLine="0"/>
        <w:jc w:val="both"/>
        <w:rPr>
          <w:rFonts w:ascii="Palatino Linotype" w:hAnsi="Palatino Linotype"/>
          <w:color w:val="000000" w:themeColor="text1"/>
        </w:rPr>
      </w:pPr>
      <w:r w:rsidRPr="007351A7">
        <w:rPr>
          <w:rFonts w:ascii="Palatino Linotype" w:eastAsia="Palatino Linotype" w:hAnsi="Palatino Linotype" w:cs="Palatino Linotype"/>
          <w:color w:val="000000" w:themeColor="text1"/>
        </w:rPr>
        <w:lastRenderedPageBreak/>
        <w:t xml:space="preserve">Definiendo el Derecho de Acceso a la Información Pública como: </w:t>
      </w:r>
      <w:r w:rsidRPr="007351A7">
        <w:rPr>
          <w:rFonts w:ascii="Palatino Linotype" w:eastAsia="Palatino Linotype" w:hAnsi="Palatino Linotype" w:cs="Palatino Linotype"/>
          <w:i/>
          <w:iCs/>
          <w:color w:val="000000" w:themeColor="text1"/>
        </w:rPr>
        <w:t>La igualdad de oportunidades para recibir, buscar e impartir información</w:t>
      </w:r>
      <w:r w:rsidRPr="007351A7">
        <w:rPr>
          <w:rFonts w:ascii="Palatino Linotype" w:eastAsia="Palatino Linotype" w:hAnsi="Palatino Linotype" w:cs="Palatino Linotype"/>
          <w:i/>
          <w:iCs/>
          <w:color w:val="000000" w:themeColor="text1"/>
          <w:vertAlign w:val="superscript"/>
        </w:rPr>
        <w:footnoteReference w:id="1"/>
      </w:r>
      <w:r w:rsidRPr="007351A7">
        <w:rPr>
          <w:rFonts w:ascii="Palatino Linotype" w:eastAsia="Palatino Linotype" w:hAnsi="Palatino Linotype" w:cs="Palatino Linotype"/>
          <w:i/>
          <w:iCs/>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351A7">
        <w:rPr>
          <w:rFonts w:ascii="Palatino Linotype" w:eastAsia="Palatino Linotype" w:hAnsi="Palatino Linotype" w:cs="Palatino Linotype"/>
          <w:i/>
          <w:iCs/>
          <w:color w:val="000000" w:themeColor="text1"/>
          <w:vertAlign w:val="superscript"/>
        </w:rPr>
        <w:footnoteReference w:id="2"/>
      </w:r>
      <w:r w:rsidRPr="007351A7">
        <w:rPr>
          <w:rFonts w:ascii="Palatino Linotype" w:eastAsia="Palatino Linotype" w:hAnsi="Palatino Linotype" w:cs="Palatino Linotype"/>
          <w:color w:val="000000" w:themeColor="text1"/>
        </w:rPr>
        <w:t>que se constituye como una herramienta fundamental para ejercer</w:t>
      </w:r>
      <w:r w:rsidRPr="007351A7">
        <w:rPr>
          <w:rFonts w:ascii="Palatino Linotype" w:eastAsia="Palatino Linotype" w:hAnsi="Palatino Linotype" w:cs="Palatino Linotype"/>
          <w:i/>
          <w:iCs/>
          <w:color w:val="000000" w:themeColor="text1"/>
        </w:rPr>
        <w:t xml:space="preserve"> el control democrático de las gestiones estatales, de forma tal que puedan cuestionar, indagar y considerar si se está dando un adecuado cumplimiento a las funciones públicas,</w:t>
      </w:r>
      <w:r w:rsidRPr="007351A7">
        <w:rPr>
          <w:rFonts w:ascii="Palatino Linotype" w:eastAsia="Palatino Linotype" w:hAnsi="Palatino Linotype" w:cs="Palatino Linotype"/>
          <w:i/>
          <w:iCs/>
          <w:color w:val="000000" w:themeColor="text1"/>
          <w:vertAlign w:val="superscript"/>
        </w:rPr>
        <w:footnoteReference w:id="3"/>
      </w:r>
      <w:r w:rsidRPr="007351A7">
        <w:rPr>
          <w:rFonts w:ascii="Palatino Linotype" w:eastAsia="Palatino Linotype" w:hAnsi="Palatino Linotype" w:cs="Palatino Linotype"/>
          <w:color w:val="000000" w:themeColor="text1"/>
        </w:rPr>
        <w:t>fomentando</w:t>
      </w:r>
      <w:r w:rsidRPr="007351A7">
        <w:rPr>
          <w:rFonts w:ascii="Palatino Linotype" w:eastAsia="Palatino Linotype" w:hAnsi="Palatino Linotype" w:cs="Palatino Linotype"/>
          <w:i/>
          <w:iCs/>
          <w:color w:val="000000" w:themeColor="text1"/>
        </w:rPr>
        <w:t xml:space="preserve"> la transparencia de las actividades estatales y </w:t>
      </w:r>
      <w:r w:rsidRPr="007351A7">
        <w:rPr>
          <w:rFonts w:ascii="Palatino Linotype" w:eastAsia="Palatino Linotype" w:hAnsi="Palatino Linotype" w:cs="Palatino Linotype"/>
          <w:color w:val="000000" w:themeColor="text1"/>
        </w:rPr>
        <w:t>promoviendo</w:t>
      </w:r>
      <w:r w:rsidRPr="007351A7">
        <w:rPr>
          <w:rFonts w:ascii="Palatino Linotype" w:eastAsia="Palatino Linotype" w:hAnsi="Palatino Linotype" w:cs="Palatino Linotype"/>
          <w:i/>
          <w:iCs/>
          <w:color w:val="000000" w:themeColor="text1"/>
        </w:rPr>
        <w:t xml:space="preserve"> la responsabilidad de los funcionarios sobre su gestión pública,</w:t>
      </w:r>
      <w:r w:rsidRPr="007351A7">
        <w:rPr>
          <w:rFonts w:ascii="Palatino Linotype" w:eastAsia="Palatino Linotype" w:hAnsi="Palatino Linotype" w:cs="Palatino Linotype"/>
          <w:i/>
          <w:iCs/>
          <w:color w:val="000000" w:themeColor="text1"/>
          <w:vertAlign w:val="superscript"/>
        </w:rPr>
        <w:footnoteReference w:id="4"/>
      </w:r>
      <w:r w:rsidRPr="007351A7">
        <w:rPr>
          <w:rFonts w:ascii="Palatino Linotype" w:eastAsia="Palatino Linotype" w:hAnsi="Palatino Linotype" w:cs="Palatino Linotype"/>
          <w:color w:val="000000" w:themeColor="text1"/>
        </w:rPr>
        <w:t>que permite</w:t>
      </w:r>
      <w:r w:rsidRPr="007351A7">
        <w:rPr>
          <w:rFonts w:ascii="Palatino Linotype" w:eastAsia="Palatino Linotype" w:hAnsi="Palatino Linotype" w:cs="Palatino Linotype"/>
          <w:i/>
          <w:iCs/>
          <w:color w:val="000000" w:themeColor="text1"/>
        </w:rPr>
        <w:t xml:space="preserve"> saber qué están haciendo los gobiernos por sus pueblos, sin lo cual la verdad languidecería y la participación en el gobierno permanecería fragmentada.</w:t>
      </w:r>
    </w:p>
    <w:p w:rsidR="00F22E86" w:rsidRPr="007351A7" w:rsidRDefault="00F22E86" w:rsidP="007351A7">
      <w:pPr>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numPr>
          <w:ilvl w:val="0"/>
          <w:numId w:val="3"/>
        </w:numPr>
        <w:pBdr>
          <w:top w:val="nil"/>
          <w:left w:val="nil"/>
          <w:bottom w:val="nil"/>
          <w:right w:val="nil"/>
          <w:between w:val="nil"/>
        </w:pBdr>
        <w:spacing w:after="280" w:line="360" w:lineRule="auto"/>
        <w:ind w:left="0" w:firstLine="0"/>
        <w:jc w:val="both"/>
        <w:rPr>
          <w:rFonts w:ascii="Palatino Linotype" w:hAnsi="Palatino Linotype"/>
          <w:color w:val="000000" w:themeColor="text1"/>
        </w:rPr>
      </w:pPr>
      <w:r w:rsidRPr="007351A7">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rsidR="00F22E86" w:rsidRPr="007351A7" w:rsidRDefault="00B27C24" w:rsidP="007351A7">
      <w:pPr>
        <w:tabs>
          <w:tab w:val="left" w:pos="7797"/>
        </w:tabs>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w:t>
      </w:r>
      <w:r w:rsidRPr="007351A7">
        <w:rPr>
          <w:rFonts w:ascii="Palatino Linotype" w:eastAsia="Palatino Linotype" w:hAnsi="Palatino Linotype" w:cs="Palatino Linotype"/>
          <w:b/>
          <w:bCs/>
          <w:i/>
          <w:iCs/>
          <w:color w:val="000000" w:themeColor="text1"/>
        </w:rPr>
        <w:t>Artículo 1.-</w:t>
      </w:r>
      <w:r w:rsidRPr="007351A7">
        <w:rPr>
          <w:rFonts w:ascii="Palatino Linotype" w:eastAsia="Palatino Linotype" w:hAnsi="Palatino Linotype" w:cs="Palatino Linotype"/>
          <w:i/>
          <w:iCs/>
          <w:color w:val="000000" w:themeColor="text1"/>
        </w:rPr>
        <w:t xml:space="preserve"> </w:t>
      </w:r>
    </w:p>
    <w:p w:rsidR="00F22E86" w:rsidRPr="007351A7" w:rsidRDefault="00B27C24" w:rsidP="007351A7">
      <w:pPr>
        <w:tabs>
          <w:tab w:val="left" w:pos="7797"/>
        </w:tabs>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w:t>
      </w:r>
    </w:p>
    <w:p w:rsidR="00F22E86" w:rsidRPr="007351A7" w:rsidRDefault="00B27C24" w:rsidP="007351A7">
      <w:pPr>
        <w:tabs>
          <w:tab w:val="left" w:pos="7797"/>
        </w:tabs>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Todas las</w:t>
      </w:r>
      <w:r w:rsidRPr="007351A7">
        <w:rPr>
          <w:rFonts w:ascii="Palatino Linotype" w:eastAsia="Palatino Linotype" w:hAnsi="Palatino Linotype" w:cs="Palatino Linotype"/>
          <w:color w:val="000000" w:themeColor="text1"/>
        </w:rPr>
        <w:t xml:space="preserve"> </w:t>
      </w:r>
      <w:r w:rsidRPr="007351A7">
        <w:rPr>
          <w:rFonts w:ascii="Palatino Linotype" w:eastAsia="Palatino Linotype" w:hAnsi="Palatino Linotype" w:cs="Palatino Linotype"/>
          <w:i/>
          <w:iCs/>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F22E86" w:rsidRPr="007351A7" w:rsidRDefault="00B27C24" w:rsidP="007351A7">
      <w:pPr>
        <w:tabs>
          <w:tab w:val="left" w:pos="7797"/>
        </w:tabs>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i/>
          <w:iCs/>
          <w:color w:val="000000" w:themeColor="text1"/>
        </w:rPr>
        <w:lastRenderedPageBreak/>
        <w:t>(…)</w:t>
      </w:r>
      <w:r w:rsidRPr="007351A7">
        <w:rPr>
          <w:rFonts w:ascii="Palatino Linotype" w:eastAsia="Palatino Linotype" w:hAnsi="Palatino Linotype" w:cs="Palatino Linotype"/>
          <w:color w:val="000000" w:themeColor="text1"/>
        </w:rPr>
        <w:t>”.</w:t>
      </w:r>
    </w:p>
    <w:p w:rsidR="00F22E86" w:rsidRPr="007351A7" w:rsidRDefault="00F22E86" w:rsidP="007351A7">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7351A7">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F22E86" w:rsidRPr="007351A7" w:rsidRDefault="00F22E86" w:rsidP="007351A7">
      <w:pPr>
        <w:pBdr>
          <w:top w:val="nil"/>
          <w:left w:val="nil"/>
          <w:bottom w:val="nil"/>
          <w:right w:val="nil"/>
          <w:between w:val="nil"/>
        </w:pBdr>
        <w:spacing w:line="360" w:lineRule="auto"/>
        <w:jc w:val="both"/>
        <w:rPr>
          <w:rFonts w:ascii="Palatino Linotype" w:hAnsi="Palatino Linotype"/>
          <w:color w:val="000000" w:themeColor="text1"/>
        </w:rPr>
      </w:pPr>
    </w:p>
    <w:p w:rsidR="00F22E86" w:rsidRPr="007351A7" w:rsidRDefault="00B27C24" w:rsidP="007351A7">
      <w:pPr>
        <w:numPr>
          <w:ilvl w:val="0"/>
          <w:numId w:val="3"/>
        </w:numPr>
        <w:pBdr>
          <w:top w:val="nil"/>
          <w:left w:val="nil"/>
          <w:bottom w:val="nil"/>
          <w:right w:val="nil"/>
          <w:between w:val="nil"/>
        </w:pBdr>
        <w:spacing w:after="280" w:line="360" w:lineRule="auto"/>
        <w:ind w:left="0" w:firstLine="0"/>
        <w:jc w:val="both"/>
        <w:rPr>
          <w:rFonts w:ascii="Palatino Linotype" w:hAnsi="Palatino Linotype"/>
          <w:color w:val="000000" w:themeColor="text1"/>
        </w:rPr>
      </w:pPr>
      <w:r w:rsidRPr="007351A7">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F22E86" w:rsidRPr="007351A7" w:rsidRDefault="00B27C24" w:rsidP="007351A7">
      <w:pPr>
        <w:spacing w:after="240"/>
        <w:jc w:val="both"/>
        <w:rPr>
          <w:rFonts w:ascii="Palatino Linotype" w:eastAsia="Palatino Linotype" w:hAnsi="Palatino Linotype" w:cs="Palatino Linotype"/>
          <w:b/>
          <w:bCs/>
          <w:i/>
          <w:iCs/>
          <w:color w:val="000000" w:themeColor="text1"/>
        </w:rPr>
      </w:pPr>
      <w:r w:rsidRPr="007351A7">
        <w:rPr>
          <w:rFonts w:ascii="Palatino Linotype" w:eastAsia="Palatino Linotype" w:hAnsi="Palatino Linotype" w:cs="Palatino Linotype"/>
          <w:b/>
          <w:bCs/>
          <w:i/>
          <w:iCs/>
          <w:color w:val="000000" w:themeColor="text1"/>
        </w:rPr>
        <w:t>Constitución Política de los Estados Unidos Mexicanos</w:t>
      </w:r>
    </w:p>
    <w:p w:rsidR="00F22E86" w:rsidRPr="007351A7" w:rsidRDefault="00B27C24" w:rsidP="007351A7">
      <w:pPr>
        <w:spacing w:before="240" w:after="240"/>
        <w:jc w:val="both"/>
        <w:rPr>
          <w:rFonts w:ascii="Palatino Linotype" w:eastAsia="Palatino Linotype" w:hAnsi="Palatino Linotype" w:cs="Palatino Linotype"/>
          <w:b/>
          <w:bCs/>
          <w:i/>
          <w:iCs/>
          <w:color w:val="000000" w:themeColor="text1"/>
        </w:rPr>
      </w:pPr>
      <w:r w:rsidRPr="007351A7">
        <w:rPr>
          <w:rFonts w:ascii="Palatino Linotype" w:eastAsia="Palatino Linotype" w:hAnsi="Palatino Linotype" w:cs="Palatino Linotype"/>
          <w:b/>
          <w:bCs/>
          <w:i/>
          <w:iCs/>
          <w:color w:val="000000" w:themeColor="text1"/>
        </w:rPr>
        <w:t>“Artículo 6.</w:t>
      </w:r>
    </w:p>
    <w:p w:rsidR="00F22E86" w:rsidRPr="007351A7" w:rsidRDefault="00B27C24" w:rsidP="007351A7">
      <w:pPr>
        <w:spacing w:before="240" w:after="240"/>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w:t>
      </w:r>
    </w:p>
    <w:p w:rsidR="00F22E86" w:rsidRPr="007351A7" w:rsidRDefault="00B27C24" w:rsidP="007351A7">
      <w:pPr>
        <w:spacing w:before="240" w:after="240"/>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Para efectos de lo dispuesto en el presente artículo se observará lo siguiente:</w:t>
      </w:r>
    </w:p>
    <w:p w:rsidR="00F22E86" w:rsidRPr="007351A7" w:rsidRDefault="00B27C24" w:rsidP="007351A7">
      <w:pPr>
        <w:spacing w:before="240" w:after="240"/>
        <w:jc w:val="both"/>
        <w:rPr>
          <w:rFonts w:ascii="Palatino Linotype" w:eastAsia="Palatino Linotype" w:hAnsi="Palatino Linotype" w:cs="Palatino Linotype"/>
          <w:b/>
          <w:bCs/>
          <w:i/>
          <w:iCs/>
          <w:color w:val="000000" w:themeColor="text1"/>
        </w:rPr>
      </w:pPr>
      <w:r w:rsidRPr="007351A7">
        <w:rPr>
          <w:rFonts w:ascii="Palatino Linotype" w:eastAsia="Palatino Linotype" w:hAnsi="Palatino Linotype" w:cs="Palatino Linotype"/>
          <w:b/>
          <w:bCs/>
          <w:i/>
          <w:iCs/>
          <w:color w:val="000000" w:themeColor="text1"/>
        </w:rPr>
        <w:t>A</w:t>
      </w:r>
      <w:r w:rsidRPr="007351A7">
        <w:rPr>
          <w:rFonts w:ascii="Palatino Linotype" w:eastAsia="Palatino Linotype" w:hAnsi="Palatino Linotype" w:cs="Palatino Linotype"/>
          <w:i/>
          <w:iCs/>
          <w:color w:val="000000" w:themeColor="text1"/>
        </w:rPr>
        <w:t xml:space="preserve">. </w:t>
      </w:r>
      <w:r w:rsidRPr="007351A7">
        <w:rPr>
          <w:rFonts w:ascii="Palatino Linotype" w:eastAsia="Palatino Linotype" w:hAnsi="Palatino Linotype" w:cs="Palatino Linotype"/>
          <w:b/>
          <w:bCs/>
          <w:i/>
          <w:iCs/>
          <w:color w:val="000000" w:themeColor="text1"/>
        </w:rPr>
        <w:t>Para el ejercicio del derecho de acceso a la información</w:t>
      </w:r>
      <w:r w:rsidRPr="007351A7">
        <w:rPr>
          <w:rFonts w:ascii="Palatino Linotype" w:eastAsia="Palatino Linotype" w:hAnsi="Palatino Linotype" w:cs="Palatino Linotype"/>
          <w:i/>
          <w:iCs/>
          <w:color w:val="000000" w:themeColor="text1"/>
        </w:rPr>
        <w:t xml:space="preserve">, la Federación y </w:t>
      </w:r>
      <w:r w:rsidRPr="007351A7">
        <w:rPr>
          <w:rFonts w:ascii="Palatino Linotype" w:eastAsia="Palatino Linotype" w:hAnsi="Palatino Linotype" w:cs="Palatino Linotype"/>
          <w:b/>
          <w:bCs/>
          <w:i/>
          <w:iCs/>
          <w:color w:val="000000" w:themeColor="text1"/>
        </w:rPr>
        <w:t>las entidades federativas, en el ámbito de sus respectivas competencias, se regirán por los siguientes principios y bases:</w:t>
      </w:r>
    </w:p>
    <w:p w:rsidR="00F22E86" w:rsidRPr="007351A7" w:rsidRDefault="00B27C24" w:rsidP="007351A7">
      <w:pPr>
        <w:spacing w:before="240" w:after="240"/>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b/>
          <w:bCs/>
          <w:i/>
          <w:iCs/>
          <w:color w:val="000000" w:themeColor="text1"/>
        </w:rPr>
        <w:t xml:space="preserve">I. </w:t>
      </w:r>
      <w:r w:rsidRPr="007351A7">
        <w:rPr>
          <w:rFonts w:ascii="Palatino Linotype" w:eastAsia="Palatino Linotype" w:hAnsi="Palatino Linotype" w:cs="Palatino Linotype"/>
          <w:b/>
          <w:bCs/>
          <w:i/>
          <w:iCs/>
          <w:color w:val="000000" w:themeColor="text1"/>
        </w:rPr>
        <w:tab/>
        <w:t>Toda la información en posesión de cualquier</w:t>
      </w:r>
      <w:r w:rsidRPr="007351A7">
        <w:rPr>
          <w:rFonts w:ascii="Palatino Linotype" w:eastAsia="Palatino Linotype" w:hAnsi="Palatino Linotype" w:cs="Palatino Linotype"/>
          <w:i/>
          <w:iCs/>
          <w:color w:val="000000" w:themeColor="text1"/>
        </w:rPr>
        <w:t xml:space="preserve"> </w:t>
      </w:r>
      <w:r w:rsidRPr="007351A7">
        <w:rPr>
          <w:rFonts w:ascii="Palatino Linotype" w:eastAsia="Palatino Linotype" w:hAnsi="Palatino Linotype" w:cs="Palatino Linotype"/>
          <w:b/>
          <w:bCs/>
          <w:i/>
          <w:iCs/>
          <w:color w:val="000000" w:themeColor="text1"/>
        </w:rPr>
        <w:t>autoridad</w:t>
      </w:r>
      <w:r w:rsidRPr="007351A7">
        <w:rPr>
          <w:rFonts w:ascii="Palatino Linotype" w:eastAsia="Palatino Linotype" w:hAnsi="Palatino Linotype" w:cs="Palatino Linotype"/>
          <w:i/>
          <w:iCs/>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351A7">
        <w:rPr>
          <w:rFonts w:ascii="Palatino Linotype" w:eastAsia="Palatino Linotype" w:hAnsi="Palatino Linotype" w:cs="Palatino Linotype"/>
          <w:b/>
          <w:bCs/>
          <w:i/>
          <w:iCs/>
          <w:color w:val="000000" w:themeColor="text1"/>
        </w:rPr>
        <w:t>municipal</w:t>
      </w:r>
      <w:r w:rsidRPr="007351A7">
        <w:rPr>
          <w:rFonts w:ascii="Palatino Linotype" w:eastAsia="Palatino Linotype" w:hAnsi="Palatino Linotype" w:cs="Palatino Linotype"/>
          <w:i/>
          <w:iCs/>
          <w:color w:val="000000" w:themeColor="text1"/>
        </w:rPr>
        <w:t xml:space="preserve">, </w:t>
      </w:r>
      <w:r w:rsidRPr="007351A7">
        <w:rPr>
          <w:rFonts w:ascii="Palatino Linotype" w:eastAsia="Palatino Linotype" w:hAnsi="Palatino Linotype" w:cs="Palatino Linotype"/>
          <w:b/>
          <w:bCs/>
          <w:i/>
          <w:iCs/>
          <w:color w:val="000000" w:themeColor="text1"/>
        </w:rPr>
        <w:t>es pública</w:t>
      </w:r>
      <w:r w:rsidRPr="007351A7">
        <w:rPr>
          <w:rFonts w:ascii="Palatino Linotype" w:eastAsia="Palatino Linotype" w:hAnsi="Palatino Linotype" w:cs="Palatino Linotype"/>
          <w:i/>
          <w:iCs/>
          <w:color w:val="000000" w:themeColor="text1"/>
        </w:rPr>
        <w:t xml:space="preserve"> y sólo podrá ser reservada temporalmente por razones de interés público y seguridad nacional, en los términos que fijen las leyes. </w:t>
      </w:r>
      <w:r w:rsidRPr="007351A7">
        <w:rPr>
          <w:rFonts w:ascii="Palatino Linotype" w:eastAsia="Palatino Linotype" w:hAnsi="Palatino Linotype" w:cs="Palatino Linotype"/>
          <w:b/>
          <w:bCs/>
          <w:i/>
          <w:iCs/>
          <w:color w:val="000000" w:themeColor="text1"/>
        </w:rPr>
        <w:t xml:space="preserve">En la interpretación de este derecho deberá prevalecer el principio de máxima publicidad. Los sujetos obligados deberán documentar todo acto que derive del ejercicio de </w:t>
      </w:r>
      <w:r w:rsidRPr="007351A7">
        <w:rPr>
          <w:rFonts w:ascii="Palatino Linotype" w:eastAsia="Palatino Linotype" w:hAnsi="Palatino Linotype" w:cs="Palatino Linotype"/>
          <w:b/>
          <w:bCs/>
          <w:i/>
          <w:iCs/>
          <w:color w:val="000000" w:themeColor="text1"/>
        </w:rPr>
        <w:lastRenderedPageBreak/>
        <w:t>sus facultades, competencias o funciones</w:t>
      </w:r>
      <w:r w:rsidRPr="007351A7">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rsidR="00F22E86" w:rsidRPr="007351A7" w:rsidRDefault="00F22E86" w:rsidP="007351A7">
      <w:pPr>
        <w:pBdr>
          <w:top w:val="nil"/>
          <w:left w:val="nil"/>
          <w:bottom w:val="nil"/>
          <w:right w:val="nil"/>
          <w:between w:val="nil"/>
        </w:pBdr>
        <w:tabs>
          <w:tab w:val="left" w:pos="567"/>
        </w:tabs>
        <w:spacing w:before="240" w:after="240"/>
        <w:jc w:val="both"/>
        <w:rPr>
          <w:rFonts w:ascii="Palatino Linotype" w:eastAsia="Palatino Linotype" w:hAnsi="Palatino Linotype" w:cs="Palatino Linotype"/>
          <w:b/>
          <w:bCs/>
          <w:i/>
          <w:iCs/>
          <w:color w:val="000000" w:themeColor="text1"/>
        </w:rPr>
      </w:pPr>
    </w:p>
    <w:p w:rsidR="00F22E86" w:rsidRPr="007351A7" w:rsidRDefault="00B27C24" w:rsidP="007351A7">
      <w:pPr>
        <w:spacing w:before="240" w:after="240"/>
        <w:jc w:val="both"/>
        <w:rPr>
          <w:rFonts w:ascii="Palatino Linotype" w:eastAsia="Palatino Linotype" w:hAnsi="Palatino Linotype" w:cs="Palatino Linotype"/>
          <w:b/>
          <w:bCs/>
          <w:i/>
          <w:iCs/>
          <w:color w:val="000000" w:themeColor="text1"/>
        </w:rPr>
      </w:pPr>
      <w:r w:rsidRPr="007351A7">
        <w:rPr>
          <w:rFonts w:ascii="Palatino Linotype" w:eastAsia="Palatino Linotype" w:hAnsi="Palatino Linotype" w:cs="Palatino Linotype"/>
          <w:b/>
          <w:bCs/>
          <w:i/>
          <w:iCs/>
          <w:color w:val="000000" w:themeColor="text1"/>
        </w:rPr>
        <w:t>Constitución Política del Estado Libre y Soberano de México</w:t>
      </w:r>
    </w:p>
    <w:p w:rsidR="00F22E86" w:rsidRPr="007351A7" w:rsidRDefault="00B27C24" w:rsidP="007351A7">
      <w:pPr>
        <w:spacing w:before="240" w:after="240"/>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b/>
          <w:bCs/>
          <w:i/>
          <w:iCs/>
          <w:color w:val="000000" w:themeColor="text1"/>
        </w:rPr>
        <w:t>“Artículo 5</w:t>
      </w:r>
      <w:r w:rsidRPr="007351A7">
        <w:rPr>
          <w:rFonts w:ascii="Palatino Linotype" w:eastAsia="Palatino Linotype" w:hAnsi="Palatino Linotype" w:cs="Palatino Linotype"/>
          <w:i/>
          <w:iCs/>
          <w:color w:val="000000" w:themeColor="text1"/>
        </w:rPr>
        <w:t xml:space="preserve">.- </w:t>
      </w:r>
    </w:p>
    <w:p w:rsidR="00F22E86" w:rsidRPr="007351A7" w:rsidRDefault="00B27C24" w:rsidP="007351A7">
      <w:pPr>
        <w:spacing w:before="240" w:after="240"/>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w:t>
      </w:r>
    </w:p>
    <w:p w:rsidR="00F22E86" w:rsidRPr="007351A7" w:rsidRDefault="00B27C24" w:rsidP="007351A7">
      <w:pPr>
        <w:spacing w:before="240" w:after="240"/>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b/>
          <w:bCs/>
          <w:i/>
          <w:iCs/>
          <w:color w:val="000000" w:themeColor="text1"/>
        </w:rPr>
        <w:t>El derecho a la información será garantizado por el Estado. La ley establecerá las previsiones que permitan asegurar la protección, el respeto y la difusión de este derecho</w:t>
      </w:r>
      <w:r w:rsidRPr="007351A7">
        <w:rPr>
          <w:rFonts w:ascii="Palatino Linotype" w:eastAsia="Palatino Linotype" w:hAnsi="Palatino Linotype" w:cs="Palatino Linotype"/>
          <w:i/>
          <w:iCs/>
          <w:color w:val="000000" w:themeColor="text1"/>
        </w:rPr>
        <w:t>.</w:t>
      </w:r>
    </w:p>
    <w:p w:rsidR="00F22E86" w:rsidRPr="007351A7" w:rsidRDefault="00B27C24" w:rsidP="007351A7">
      <w:pPr>
        <w:spacing w:before="240" w:after="240"/>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F22E86" w:rsidRPr="007351A7" w:rsidRDefault="00B27C24" w:rsidP="007351A7">
      <w:pPr>
        <w:spacing w:before="240" w:after="240"/>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b/>
          <w:bCs/>
          <w:i/>
          <w:iCs/>
          <w:color w:val="000000" w:themeColor="text1"/>
        </w:rPr>
        <w:t>Este derecho se regirá por los principios y bases siguientes</w:t>
      </w:r>
      <w:r w:rsidRPr="007351A7">
        <w:rPr>
          <w:rFonts w:ascii="Palatino Linotype" w:eastAsia="Palatino Linotype" w:hAnsi="Palatino Linotype" w:cs="Palatino Linotype"/>
          <w:i/>
          <w:iCs/>
          <w:color w:val="000000" w:themeColor="text1"/>
        </w:rPr>
        <w:t>:</w:t>
      </w:r>
    </w:p>
    <w:p w:rsidR="00F22E86" w:rsidRPr="007351A7" w:rsidRDefault="00B27C24" w:rsidP="007351A7">
      <w:pPr>
        <w:spacing w:before="240" w:after="240"/>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b/>
          <w:bCs/>
          <w:i/>
          <w:iCs/>
          <w:color w:val="000000" w:themeColor="text1"/>
        </w:rPr>
        <w:t>I. Toda la información en posesión de cualquier autoridad, entidad, órgano y organismos de los</w:t>
      </w:r>
      <w:r w:rsidRPr="007351A7">
        <w:rPr>
          <w:rFonts w:ascii="Palatino Linotype" w:eastAsia="Palatino Linotype" w:hAnsi="Palatino Linotype" w:cs="Palatino Linotype"/>
          <w:i/>
          <w:iCs/>
          <w:color w:val="000000" w:themeColor="text1"/>
        </w:rPr>
        <w:t xml:space="preserve"> Poderes Ejecutivo, Legislativo y Judicial, órganos autónomos, partidos políticos, fideicomisos y fondos públicos estatales y </w:t>
      </w:r>
      <w:r w:rsidRPr="007351A7">
        <w:rPr>
          <w:rFonts w:ascii="Palatino Linotype" w:eastAsia="Palatino Linotype" w:hAnsi="Palatino Linotype" w:cs="Palatino Linotype"/>
          <w:b/>
          <w:bCs/>
          <w:i/>
          <w:iCs/>
          <w:color w:val="000000" w:themeColor="text1"/>
        </w:rPr>
        <w:t>municipales</w:t>
      </w:r>
      <w:r w:rsidRPr="007351A7">
        <w:rPr>
          <w:rFonts w:ascii="Palatino Linotype" w:eastAsia="Palatino Linotype" w:hAnsi="Palatino Linotype" w:cs="Palatino Linotype"/>
          <w:i/>
          <w:iCs/>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351A7">
        <w:rPr>
          <w:rFonts w:ascii="Palatino Linotype" w:eastAsia="Palatino Linotype" w:hAnsi="Palatino Linotype" w:cs="Palatino Linotype"/>
          <w:b/>
          <w:bCs/>
          <w:i/>
          <w:iCs/>
          <w:color w:val="000000" w:themeColor="text1"/>
        </w:rPr>
        <w:t>es pública</w:t>
      </w:r>
      <w:r w:rsidRPr="007351A7">
        <w:rPr>
          <w:rFonts w:ascii="Palatino Linotype" w:eastAsia="Palatino Linotype" w:hAnsi="Palatino Linotype" w:cs="Palatino Linotype"/>
          <w:i/>
          <w:iCs/>
          <w:color w:val="000000" w:themeColor="text1"/>
        </w:rPr>
        <w:t xml:space="preserve"> y sólo podrá ser reservada temporalmente por razones previstas en la Constitución Política de los Estados Unidos Mexicanos de interés público y seguridad, en los términos que fijen las leyes. </w:t>
      </w:r>
      <w:r w:rsidRPr="007351A7">
        <w:rPr>
          <w:rFonts w:ascii="Palatino Linotype" w:eastAsia="Palatino Linotype" w:hAnsi="Palatino Linotype" w:cs="Palatino Linotype"/>
          <w:b/>
          <w:bCs/>
          <w:i/>
          <w:iCs/>
          <w:color w:val="000000" w:themeColor="text1"/>
        </w:rPr>
        <w:t>En la interpretación de este derecho deberá prevalecer el principio de máxima publicidad</w:t>
      </w:r>
      <w:r w:rsidRPr="007351A7">
        <w:rPr>
          <w:rFonts w:ascii="Palatino Linotype" w:eastAsia="Palatino Linotype" w:hAnsi="Palatino Linotype" w:cs="Palatino Linotype"/>
          <w:i/>
          <w:iCs/>
          <w:color w:val="000000" w:themeColor="text1"/>
        </w:rPr>
        <w:t xml:space="preserve">. </w:t>
      </w:r>
      <w:r w:rsidRPr="007351A7">
        <w:rPr>
          <w:rFonts w:ascii="Palatino Linotype" w:eastAsia="Palatino Linotype" w:hAnsi="Palatino Linotype" w:cs="Palatino Linotype"/>
          <w:b/>
          <w:bCs/>
          <w:i/>
          <w:iCs/>
          <w:color w:val="000000" w:themeColor="text1"/>
        </w:rPr>
        <w:t>Los sujetos obligados deberán documentar todo acto que derive del ejercicio de sus facultades, competencias o funciones</w:t>
      </w:r>
      <w:r w:rsidRPr="007351A7">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rsidR="00F22E86" w:rsidRPr="007351A7" w:rsidRDefault="00F22E86" w:rsidP="007351A7">
      <w:pPr>
        <w:tabs>
          <w:tab w:val="left" w:pos="567"/>
        </w:tabs>
        <w:spacing w:before="240" w:after="240"/>
        <w:jc w:val="both"/>
        <w:rPr>
          <w:rFonts w:ascii="Palatino Linotype" w:eastAsia="Palatino Linotype" w:hAnsi="Palatino Linotype" w:cs="Palatino Linotype"/>
          <w:b/>
          <w:bCs/>
          <w:i/>
          <w:iCs/>
          <w:color w:val="000000" w:themeColor="text1"/>
        </w:rPr>
      </w:pPr>
    </w:p>
    <w:p w:rsidR="00F22E86" w:rsidRPr="007351A7" w:rsidRDefault="00B27C24" w:rsidP="007351A7">
      <w:pPr>
        <w:numPr>
          <w:ilvl w:val="0"/>
          <w:numId w:val="3"/>
        </w:numPr>
        <w:pBdr>
          <w:top w:val="nil"/>
          <w:left w:val="nil"/>
          <w:bottom w:val="nil"/>
          <w:right w:val="nil"/>
          <w:between w:val="nil"/>
        </w:pBdr>
        <w:spacing w:after="280" w:line="360" w:lineRule="auto"/>
        <w:ind w:left="0" w:firstLine="0"/>
        <w:jc w:val="both"/>
        <w:rPr>
          <w:rFonts w:ascii="Palatino Linotype" w:hAnsi="Palatino Linotype"/>
          <w:color w:val="000000" w:themeColor="text1"/>
        </w:rPr>
      </w:pPr>
      <w:r w:rsidRPr="007351A7">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7351A7">
        <w:rPr>
          <w:rFonts w:ascii="Palatino Linotype" w:eastAsia="Palatino Linotype" w:hAnsi="Palatino Linotype" w:cs="Palatino Linotype"/>
          <w:i/>
          <w:iCs/>
          <w:color w:val="000000" w:themeColor="text1"/>
        </w:rPr>
        <w:t xml:space="preserve">por los principios de simplicidad, rapidez gratuidad del procedimiento, auxilio y orientación a los </w:t>
      </w:r>
      <w:r w:rsidRPr="007351A7">
        <w:rPr>
          <w:rFonts w:ascii="Palatino Linotype" w:eastAsia="Palatino Linotype" w:hAnsi="Palatino Linotype" w:cs="Palatino Linotype"/>
          <w:i/>
          <w:iCs/>
          <w:color w:val="000000" w:themeColor="text1"/>
        </w:rPr>
        <w:lastRenderedPageBreak/>
        <w:t>particulares</w:t>
      </w:r>
      <w:r w:rsidRPr="007351A7">
        <w:rPr>
          <w:rFonts w:ascii="Palatino Linotype" w:eastAsia="Palatino Linotype" w:hAnsi="Palatino Linotype" w:cs="Palatino Linotype"/>
          <w:color w:val="000000" w:themeColor="text1"/>
        </w:rPr>
        <w:t>, contemplando el derecho de las personas con discapacidad y hablantes de lengua indígena.</w:t>
      </w:r>
    </w:p>
    <w:p w:rsidR="00F22E86" w:rsidRPr="007351A7" w:rsidRDefault="00F22E86" w:rsidP="007351A7">
      <w:pPr>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7351A7">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7351A7">
        <w:rPr>
          <w:rFonts w:ascii="Palatino Linotype" w:eastAsia="Palatino Linotype" w:hAnsi="Palatino Linotype" w:cs="Palatino Linotype"/>
          <w:i/>
          <w:iCs/>
          <w:color w:val="000000" w:themeColor="text1"/>
        </w:rPr>
        <w:t>solicitudes de acceso a la información</w:t>
      </w:r>
      <w:r w:rsidRPr="007351A7">
        <w:rPr>
          <w:rFonts w:ascii="Palatino Linotype" w:eastAsia="Palatino Linotype" w:hAnsi="Palatino Linotype" w:cs="Palatino Linotype"/>
          <w:color w:val="000000" w:themeColor="text1"/>
        </w:rPr>
        <w:t>.</w:t>
      </w:r>
    </w:p>
    <w:p w:rsidR="00F22E86" w:rsidRPr="007351A7" w:rsidRDefault="00F22E86" w:rsidP="007351A7">
      <w:pPr>
        <w:pBdr>
          <w:top w:val="nil"/>
          <w:left w:val="nil"/>
          <w:bottom w:val="nil"/>
          <w:right w:val="nil"/>
          <w:between w:val="nil"/>
        </w:pBdr>
        <w:spacing w:line="360" w:lineRule="auto"/>
        <w:jc w:val="both"/>
        <w:rPr>
          <w:rFonts w:ascii="Palatino Linotype" w:hAnsi="Palatino Linotype"/>
          <w:color w:val="000000" w:themeColor="text1"/>
        </w:rPr>
      </w:pPr>
    </w:p>
    <w:p w:rsidR="00F22E86" w:rsidRPr="007351A7" w:rsidRDefault="00B27C24" w:rsidP="007351A7">
      <w:pPr>
        <w:numPr>
          <w:ilvl w:val="0"/>
          <w:numId w:val="3"/>
        </w:numPr>
        <w:pBdr>
          <w:top w:val="nil"/>
          <w:left w:val="nil"/>
          <w:bottom w:val="nil"/>
          <w:right w:val="nil"/>
          <w:between w:val="nil"/>
        </w:pBdr>
        <w:spacing w:after="280" w:line="360" w:lineRule="auto"/>
        <w:ind w:left="0" w:firstLine="0"/>
        <w:jc w:val="both"/>
        <w:rPr>
          <w:rFonts w:ascii="Palatino Linotype" w:hAnsi="Palatino Linotype"/>
          <w:color w:val="000000" w:themeColor="text1"/>
        </w:rPr>
      </w:pPr>
      <w:bookmarkStart w:id="6" w:name="_heading=h.17dp8vu" w:colFirst="0" w:colLast="0"/>
      <w:bookmarkEnd w:id="6"/>
      <w:r w:rsidRPr="007351A7">
        <w:rPr>
          <w:rFonts w:ascii="Palatino Linotype" w:eastAsia="Palatino Linotype" w:hAnsi="Palatino Linotype" w:cs="Palatino Linotype"/>
          <w:color w:val="000000" w:themeColor="text1"/>
        </w:rPr>
        <w:t xml:space="preserve">Así entonces, se procede analizar, en primer lugar, si el </w:t>
      </w:r>
      <w:r w:rsidRPr="007351A7">
        <w:rPr>
          <w:rFonts w:ascii="Palatino Linotype" w:eastAsia="Palatino Linotype" w:hAnsi="Palatino Linotype" w:cs="Palatino Linotype"/>
          <w:b/>
          <w:bCs/>
          <w:color w:val="000000" w:themeColor="text1"/>
        </w:rPr>
        <w:t>SUJETO OBLIGADO</w:t>
      </w:r>
      <w:r w:rsidRPr="007351A7">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F22E86" w:rsidRPr="007351A7" w:rsidRDefault="00B27C24" w:rsidP="007351A7">
      <w:pPr>
        <w:pStyle w:val="Ttulo1"/>
        <w:spacing w:before="0" w:after="240" w:line="360" w:lineRule="auto"/>
        <w:rPr>
          <w:rFonts w:ascii="Palatino Linotype" w:eastAsia="Palatino Linotype" w:hAnsi="Palatino Linotype" w:cs="Palatino Linotype"/>
          <w:b/>
          <w:bCs/>
          <w:color w:val="000000" w:themeColor="text1"/>
          <w:sz w:val="24"/>
          <w:szCs w:val="24"/>
        </w:rPr>
      </w:pPr>
      <w:bookmarkStart w:id="7" w:name="_heading=h.3rdcrjn" w:colFirst="0" w:colLast="0"/>
      <w:bookmarkEnd w:id="7"/>
      <w:r w:rsidRPr="007351A7">
        <w:rPr>
          <w:rFonts w:ascii="Palatino Linotype" w:eastAsia="Palatino Linotype" w:hAnsi="Palatino Linotype" w:cs="Palatino Linotype"/>
          <w:b/>
          <w:bCs/>
          <w:color w:val="000000" w:themeColor="text1"/>
          <w:sz w:val="24"/>
          <w:szCs w:val="24"/>
        </w:rPr>
        <w:t>II. De la información solicitada y la respuesta del SUJETO OBLIGADO</w:t>
      </w: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7351A7">
        <w:rPr>
          <w:rFonts w:ascii="Palatino Linotype" w:eastAsia="Palatino Linotype" w:hAnsi="Palatino Linotype" w:cs="Palatino Linotype"/>
          <w:color w:val="000000" w:themeColor="text1"/>
        </w:rPr>
        <w:t xml:space="preserve">Acotada la </w:t>
      </w:r>
      <w:r w:rsidRPr="007351A7">
        <w:rPr>
          <w:rFonts w:ascii="Palatino Linotype" w:eastAsia="Palatino Linotype" w:hAnsi="Palatino Linotype" w:cs="Palatino Linotype"/>
          <w:i/>
          <w:iCs/>
          <w:color w:val="000000" w:themeColor="text1"/>
        </w:rPr>
        <w:t>Litis</w:t>
      </w:r>
      <w:r w:rsidRPr="007351A7">
        <w:rPr>
          <w:rFonts w:ascii="Palatino Linotype" w:eastAsia="Palatino Linotype" w:hAnsi="Palatino Linotype" w:cs="Palatino Linotype"/>
          <w:color w:val="000000" w:themeColor="text1"/>
        </w:rPr>
        <w:t xml:space="preserve"> del presente asunto, primeramente es menester precisar que del escrito de inconformidad, se observa que el motivo de inconformidad versó respecto de que la información remitida no corresponde con lo solicitado.</w:t>
      </w:r>
    </w:p>
    <w:p w:rsidR="00F22E86" w:rsidRPr="007351A7" w:rsidRDefault="00F22E86" w:rsidP="007351A7">
      <w:pPr>
        <w:pBdr>
          <w:top w:val="nil"/>
          <w:left w:val="nil"/>
          <w:bottom w:val="nil"/>
          <w:right w:val="nil"/>
          <w:between w:val="nil"/>
        </w:pBdr>
        <w:spacing w:line="360" w:lineRule="auto"/>
        <w:jc w:val="both"/>
        <w:rPr>
          <w:rFonts w:ascii="Palatino Linotype" w:hAnsi="Palatino Linotype"/>
          <w:color w:val="000000" w:themeColor="text1"/>
        </w:rPr>
      </w:pP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7351A7">
        <w:rPr>
          <w:rFonts w:ascii="Palatino Linotype" w:eastAsia="Palatino Linotype" w:hAnsi="Palatino Linotype" w:cs="Palatino Linotype"/>
          <w:color w:val="000000" w:themeColor="text1"/>
        </w:rPr>
        <w:t xml:space="preserve">Ahora bien, de la respuesta proporcionada por el </w:t>
      </w:r>
      <w:r w:rsidRPr="007351A7">
        <w:rPr>
          <w:rFonts w:ascii="Palatino Linotype" w:eastAsia="Palatino Linotype" w:hAnsi="Palatino Linotype" w:cs="Palatino Linotype"/>
          <w:b/>
          <w:bCs/>
          <w:color w:val="000000" w:themeColor="text1"/>
        </w:rPr>
        <w:t xml:space="preserve">SUJETO OBLIGADO, </w:t>
      </w:r>
      <w:r w:rsidRPr="007351A7">
        <w:rPr>
          <w:rFonts w:ascii="Palatino Linotype" w:eastAsia="Palatino Linotype" w:hAnsi="Palatino Linotype" w:cs="Palatino Linotype"/>
          <w:color w:val="000000" w:themeColor="text1"/>
        </w:rPr>
        <w:t>se advierte que hizo alusión que la información que remite es la que obra en sus archivos, derivado de que la información solicitada corresponde a la administración anterior, por lo que fueron atendidos con los mecanismos propios de dicha administración.</w:t>
      </w:r>
    </w:p>
    <w:p w:rsidR="00F22E86" w:rsidRPr="007351A7" w:rsidRDefault="00F22E86" w:rsidP="007351A7">
      <w:pPr>
        <w:pBdr>
          <w:top w:val="nil"/>
          <w:left w:val="nil"/>
          <w:bottom w:val="nil"/>
          <w:right w:val="nil"/>
          <w:between w:val="nil"/>
        </w:pBdr>
        <w:spacing w:line="360" w:lineRule="auto"/>
        <w:jc w:val="both"/>
        <w:rPr>
          <w:rFonts w:ascii="Palatino Linotype" w:hAnsi="Palatino Linotype"/>
          <w:color w:val="000000" w:themeColor="text1"/>
        </w:rPr>
      </w:pP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color w:val="000000" w:themeColor="text1"/>
        </w:rPr>
        <w:t xml:space="preserve">Asimismo, hizo alusión que esa Dirección únicamente participó en la emisión de opiniones favorables técnicamente justificadas en los casos en que los proyectos requieran </w:t>
      </w:r>
      <w:r w:rsidRPr="007351A7">
        <w:rPr>
          <w:rFonts w:ascii="Palatino Linotype" w:eastAsia="Palatino Linotype" w:hAnsi="Palatino Linotype" w:cs="Palatino Linotype"/>
          <w:color w:val="000000" w:themeColor="text1"/>
        </w:rPr>
        <w:lastRenderedPageBreak/>
        <w:t>evaluación por parte de instancias estatales, específicamente cuando existía requerimiento de esa opinión para efectos de la Evaluación de Impacto Estatal, conforme a la Ley de la Comisión de Impacto Estatal y Reglamento del Libro Quinto del Código Administrativo del Estado de México.</w:t>
      </w:r>
    </w:p>
    <w:p w:rsidR="00F22E86" w:rsidRPr="007351A7" w:rsidRDefault="00F22E86" w:rsidP="007351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u w:val="single"/>
        </w:rPr>
      </w:pPr>
      <w:r w:rsidRPr="007351A7">
        <w:rPr>
          <w:rFonts w:ascii="Palatino Linotype" w:eastAsia="Palatino Linotype" w:hAnsi="Palatino Linotype" w:cs="Palatino Linotype"/>
          <w:color w:val="000000" w:themeColor="text1"/>
        </w:rPr>
        <w:t xml:space="preserve">Máxime que, respecto a las opiniones técnicas y jurídicamente justificadas a que hace referencia el particular, no se identificaron documentos específicos que correspondan plenamente con los alcances y características planteadas por el hoy recurrente en su recurso de revisión, </w:t>
      </w:r>
      <w:r w:rsidRPr="007351A7">
        <w:rPr>
          <w:rFonts w:ascii="Palatino Linotype" w:eastAsia="Palatino Linotype" w:hAnsi="Palatino Linotype" w:cs="Palatino Linotype"/>
          <w:color w:val="000000" w:themeColor="text1"/>
          <w:u w:val="single"/>
        </w:rPr>
        <w:t>por lo que esta Dirección a cargo no cuenta con información adicional a la remitida al solicitante mediante mi similar con número DDU/2482/2025 de fecha 12 de junio de 2025.</w:t>
      </w:r>
    </w:p>
    <w:p w:rsidR="00F22E86" w:rsidRPr="007351A7" w:rsidRDefault="00F22E86" w:rsidP="007351A7">
      <w:pPr>
        <w:pBdr>
          <w:top w:val="nil"/>
          <w:left w:val="nil"/>
          <w:bottom w:val="nil"/>
          <w:right w:val="nil"/>
          <w:between w:val="nil"/>
        </w:pBdr>
        <w:spacing w:line="360" w:lineRule="auto"/>
        <w:jc w:val="both"/>
        <w:rPr>
          <w:rFonts w:ascii="Palatino Linotype" w:hAnsi="Palatino Linotype"/>
          <w:color w:val="000000" w:themeColor="text1"/>
        </w:rPr>
      </w:pP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 xml:space="preserve">De lo anterior, se observa que efectivamente la información remitida no corresponde a lo solicitado, en ese tenor, respecto la fuente obligacional que tiene el </w:t>
      </w:r>
      <w:r w:rsidRPr="007351A7">
        <w:rPr>
          <w:rFonts w:ascii="Palatino Linotype" w:eastAsia="Palatino Linotype" w:hAnsi="Palatino Linotype" w:cs="Palatino Linotype"/>
          <w:b/>
          <w:bCs/>
          <w:color w:val="000000" w:themeColor="text1"/>
        </w:rPr>
        <w:t xml:space="preserve">SUJETO OBLIGADO, </w:t>
      </w:r>
      <w:r w:rsidRPr="007351A7">
        <w:rPr>
          <w:rFonts w:ascii="Palatino Linotype" w:eastAsia="Palatino Linotype" w:hAnsi="Palatino Linotype" w:cs="Palatino Linotype"/>
          <w:color w:val="000000" w:themeColor="text1"/>
        </w:rPr>
        <w:t>se refiere lo siguiente:</w:t>
      </w:r>
    </w:p>
    <w:p w:rsidR="00F22E86" w:rsidRPr="007351A7" w:rsidRDefault="00B27C24" w:rsidP="007351A7">
      <w:pPr>
        <w:numPr>
          <w:ilvl w:val="0"/>
          <w:numId w:val="2"/>
        </w:numPr>
        <w:pBdr>
          <w:top w:val="nil"/>
          <w:left w:val="nil"/>
          <w:bottom w:val="nil"/>
          <w:right w:val="nil"/>
          <w:between w:val="nil"/>
        </w:pBdr>
        <w:spacing w:line="276" w:lineRule="auto"/>
        <w:ind w:left="0" w:firstLine="0"/>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b/>
          <w:bCs/>
          <w:color w:val="000000" w:themeColor="text1"/>
        </w:rPr>
        <w:t>Opinión favorable y técnicamente justificada:</w:t>
      </w:r>
      <w:r w:rsidRPr="007351A7">
        <w:rPr>
          <w:rFonts w:ascii="Palatino Linotype" w:hAnsi="Palatino Linotype"/>
          <w:color w:val="000000" w:themeColor="text1"/>
        </w:rPr>
        <w:t xml:space="preserve"> </w:t>
      </w:r>
      <w:r w:rsidRPr="007351A7">
        <w:rPr>
          <w:rFonts w:ascii="Palatino Linotype" w:eastAsia="Palatino Linotype" w:hAnsi="Palatino Linotype" w:cs="Palatino Linotype"/>
          <w:color w:val="000000" w:themeColor="text1"/>
        </w:rPr>
        <w:t>es un requisito legal clave en el Estado de México, utilizado para la autorización de proyectos que implican cambios de uso de suelo o el desarrollo de conjuntos urbanos. En el municipio de Naucalpan de Juárez, la autoridad responsable de emitir dicho dictamen es la Dirección General de Desarrollo Urbano</w:t>
      </w:r>
    </w:p>
    <w:p w:rsidR="00F22E86" w:rsidRPr="007351A7" w:rsidRDefault="00F22E86"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7351A7">
        <w:rPr>
          <w:rFonts w:ascii="Palatino Linotype" w:eastAsia="Palatino Linotype" w:hAnsi="Palatino Linotype" w:cs="Palatino Linotype"/>
          <w:color w:val="000000" w:themeColor="text1"/>
        </w:rPr>
        <w:t xml:space="preserve">En ese tenor, dada la naturaleza de la información, es la Dirección General de Desarrollo Urbano actualmente, ya que esta Dirección es la Unidad Administrativa Municipal Encargada de la Planeación y el Control del Crecimiento Urbano en el Municipio, </w:t>
      </w:r>
      <w:r w:rsidRPr="007351A7">
        <w:rPr>
          <w:rFonts w:ascii="Palatino Linotype" w:eastAsia="Palatino Linotype" w:hAnsi="Palatino Linotype" w:cs="Palatino Linotype"/>
          <w:color w:val="000000" w:themeColor="text1"/>
        </w:rPr>
        <w:lastRenderedPageBreak/>
        <w:t>y sus resoluciones son vinculantes para ciertos trámites, como la obtención de licencias de construcción o cambios de uso de suelo.</w:t>
      </w:r>
      <w:r w:rsidRPr="007351A7">
        <w:rPr>
          <w:rFonts w:ascii="Palatino Linotype" w:eastAsia="Arial" w:hAnsi="Palatino Linotype" w:cs="Arial"/>
          <w:color w:val="000000" w:themeColor="text1"/>
          <w:highlight w:val="white"/>
        </w:rPr>
        <w:t> </w:t>
      </w:r>
    </w:p>
    <w:p w:rsidR="00F22E86" w:rsidRPr="007351A7" w:rsidRDefault="00F22E86" w:rsidP="007351A7">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7351A7">
        <w:rPr>
          <w:rFonts w:ascii="Palatino Linotype" w:eastAsia="Palatino Linotype" w:hAnsi="Palatino Linotype" w:cs="Palatino Linotype"/>
          <w:color w:val="000000" w:themeColor="text1"/>
        </w:rPr>
        <w:t>De acuerdo al Código Administrativo del Estado de México, refiere lo siguiente:</w:t>
      </w:r>
    </w:p>
    <w:p w:rsidR="00F22E86" w:rsidRPr="007351A7" w:rsidRDefault="00B27C24" w:rsidP="007351A7">
      <w:pPr>
        <w:pBdr>
          <w:top w:val="nil"/>
          <w:left w:val="nil"/>
          <w:bottom w:val="nil"/>
          <w:right w:val="nil"/>
          <w:between w:val="nil"/>
        </w:pBdr>
        <w:spacing w:line="276" w:lineRule="auto"/>
        <w:jc w:val="both"/>
        <w:rPr>
          <w:rFonts w:ascii="Palatino Linotype" w:eastAsia="Palatino Linotype" w:hAnsi="Palatino Linotype" w:cs="Palatino Linotype"/>
          <w:b/>
          <w:bCs/>
          <w:i/>
          <w:iCs/>
          <w:color w:val="000000" w:themeColor="text1"/>
        </w:rPr>
      </w:pPr>
      <w:r w:rsidRPr="007351A7">
        <w:rPr>
          <w:rFonts w:ascii="Palatino Linotype" w:eastAsia="Palatino Linotype" w:hAnsi="Palatino Linotype" w:cs="Palatino Linotype"/>
          <w:b/>
          <w:bCs/>
          <w:i/>
          <w:iCs/>
          <w:color w:val="000000" w:themeColor="text1"/>
        </w:rPr>
        <w:t>DEL CARÁCTER OBLIGATORIO DE LAS NORMAS, LIMITACIONES, PROHIBICIONES Y RESTRICCIONES</w:t>
      </w:r>
    </w:p>
    <w:p w:rsidR="00F22E86" w:rsidRPr="007351A7" w:rsidRDefault="00F22E86" w:rsidP="007351A7">
      <w:pPr>
        <w:pBdr>
          <w:top w:val="nil"/>
          <w:left w:val="nil"/>
          <w:bottom w:val="nil"/>
          <w:right w:val="nil"/>
          <w:between w:val="nil"/>
        </w:pBdr>
        <w:spacing w:line="276" w:lineRule="auto"/>
        <w:jc w:val="both"/>
        <w:rPr>
          <w:rFonts w:ascii="Palatino Linotype" w:eastAsia="Palatino Linotype" w:hAnsi="Palatino Linotype" w:cs="Palatino Linotype"/>
          <w:b/>
          <w:bCs/>
          <w:i/>
          <w:iCs/>
          <w:color w:val="000000" w:themeColor="text1"/>
        </w:rPr>
      </w:pPr>
    </w:p>
    <w:p w:rsidR="00F22E86" w:rsidRPr="007351A7" w:rsidRDefault="00B27C24"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b/>
          <w:bCs/>
          <w:i/>
          <w:iCs/>
          <w:color w:val="000000" w:themeColor="text1"/>
        </w:rPr>
        <w:t xml:space="preserve"> Artículo 6</w:t>
      </w:r>
      <w:r w:rsidRPr="007351A7">
        <w:rPr>
          <w:rFonts w:ascii="Palatino Linotype" w:eastAsia="Palatino Linotype" w:hAnsi="Palatino Linotype" w:cs="Palatino Linotype"/>
          <w:i/>
          <w:iCs/>
          <w:color w:val="000000" w:themeColor="text1"/>
        </w:rPr>
        <w:t xml:space="preserve">. Las licencias, permisos, Evaluaciones Técnicas de Impacto y demás autorizaciones a que se refiere el Código y este Reglamento, son instrumentos para la administración y control del desarrollo urbano y la protección de su entorno, por lo que formarán parte de las mismas, las normas, limitaciones y prohibiciones en ellos establecidas. En consecuencia, sus Titulares quedan obligados a su cumplimiento. </w:t>
      </w:r>
    </w:p>
    <w:p w:rsidR="00F22E86" w:rsidRPr="007351A7" w:rsidRDefault="00F22E86"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p>
    <w:p w:rsidR="00F22E86" w:rsidRPr="007351A7" w:rsidRDefault="00B27C24"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La Secretaría y los municipios, en las autorizaciones, licencias, permisos, cédulas, evaluaciones, opiniones y dictámenes que expidan, además de las restricciones conducentes del plan de desarrollo urbano aplicable, señalarán, de ser el caso, las que determinen al efecto organismos públicos como Petróleos Mexicanos, Comisión Federal de Electricidad, Comisión Nacional del Agua, Dirección General de Protección Civil, Instituto Nacional de Antropología e Historia y otras dependencias, entidades u organismos auxiliares federales, estatales o municipales.</w:t>
      </w:r>
    </w:p>
    <w:p w:rsidR="00F22E86" w:rsidRPr="007351A7" w:rsidRDefault="00F22E86"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p>
    <w:p w:rsidR="00F22E86" w:rsidRPr="007351A7" w:rsidRDefault="00B27C24"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w:t>
      </w:r>
    </w:p>
    <w:p w:rsidR="00F22E86" w:rsidRPr="007351A7" w:rsidRDefault="00F22E86"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p>
    <w:p w:rsidR="00F22E86" w:rsidRPr="007351A7" w:rsidRDefault="00B27C24" w:rsidP="007351A7">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7351A7">
        <w:rPr>
          <w:rFonts w:ascii="Palatino Linotype" w:eastAsia="Palatino Linotype" w:hAnsi="Palatino Linotype" w:cs="Palatino Linotype"/>
          <w:b/>
          <w:bCs/>
          <w:i/>
          <w:iCs/>
          <w:color w:val="000000" w:themeColor="text1"/>
        </w:rPr>
        <w:t>DEL CONTENIDO DE LA EVALUACIÓN TÉCNICA DE IMPACTO EN MATERIA URBANA</w:t>
      </w:r>
    </w:p>
    <w:p w:rsidR="00F22E86" w:rsidRPr="007351A7" w:rsidRDefault="00F22E86" w:rsidP="007351A7">
      <w:pPr>
        <w:pBdr>
          <w:top w:val="nil"/>
          <w:left w:val="nil"/>
          <w:bottom w:val="nil"/>
          <w:right w:val="nil"/>
          <w:between w:val="nil"/>
        </w:pBdr>
        <w:jc w:val="both"/>
        <w:rPr>
          <w:rFonts w:ascii="Palatino Linotype" w:eastAsia="Palatino Linotype" w:hAnsi="Palatino Linotype" w:cs="Palatino Linotype"/>
          <w:b/>
          <w:bCs/>
          <w:i/>
          <w:iCs/>
          <w:color w:val="000000" w:themeColor="text1"/>
        </w:rPr>
      </w:pPr>
    </w:p>
    <w:p w:rsidR="00F22E86" w:rsidRPr="007351A7" w:rsidRDefault="00B27C24"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b/>
          <w:bCs/>
          <w:i/>
          <w:iCs/>
          <w:color w:val="000000" w:themeColor="text1"/>
        </w:rPr>
        <w:t>Artículo 141</w:t>
      </w:r>
      <w:r w:rsidRPr="007351A7">
        <w:rPr>
          <w:rFonts w:ascii="Palatino Linotype" w:eastAsia="Palatino Linotype" w:hAnsi="Palatino Linotype" w:cs="Palatino Linotype"/>
          <w:i/>
          <w:iCs/>
          <w:color w:val="000000" w:themeColor="text1"/>
        </w:rPr>
        <w:t>. La Evaluación Técnica de Impacto en materia Urbana, además de lo previsto en la Ley de la Comisión de Impacto Estatal, deberá contener, cuando menos, lo siguiente:</w:t>
      </w:r>
    </w:p>
    <w:p w:rsidR="00F22E86" w:rsidRPr="007351A7" w:rsidRDefault="00B27C24"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w:t>
      </w:r>
    </w:p>
    <w:p w:rsidR="00F22E86" w:rsidRPr="007351A7" w:rsidRDefault="00B27C24"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V. Opinión técnica favorable de la Secretaría, conforme al Plan Municipal de Desarrollo Urbano que corresponda y las normas aplicables en materia de uso de suelo</w:t>
      </w:r>
    </w:p>
    <w:p w:rsidR="00F22E86" w:rsidRPr="007351A7" w:rsidRDefault="00F22E86"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F22E86" w:rsidRPr="007351A7" w:rsidRDefault="00B27C24" w:rsidP="007351A7">
      <w:pPr>
        <w:pBdr>
          <w:top w:val="nil"/>
          <w:left w:val="nil"/>
          <w:bottom w:val="nil"/>
          <w:right w:val="nil"/>
          <w:between w:val="nil"/>
        </w:pBdr>
        <w:jc w:val="center"/>
        <w:rPr>
          <w:rFonts w:ascii="Palatino Linotype" w:eastAsia="Palatino Linotype" w:hAnsi="Palatino Linotype" w:cs="Palatino Linotype"/>
          <w:b/>
          <w:bCs/>
          <w:color w:val="000000" w:themeColor="text1"/>
        </w:rPr>
      </w:pPr>
      <w:r w:rsidRPr="007351A7">
        <w:rPr>
          <w:rFonts w:ascii="Palatino Linotype" w:eastAsia="Palatino Linotype" w:hAnsi="Palatino Linotype" w:cs="Palatino Linotype"/>
          <w:b/>
          <w:bCs/>
          <w:color w:val="000000" w:themeColor="text1"/>
        </w:rPr>
        <w:lastRenderedPageBreak/>
        <w:t>BANDO MUNICIPAL</w:t>
      </w:r>
    </w:p>
    <w:p w:rsidR="00F22E86" w:rsidRPr="007351A7" w:rsidRDefault="00B27C24" w:rsidP="007351A7">
      <w:pPr>
        <w:pBdr>
          <w:top w:val="nil"/>
          <w:left w:val="nil"/>
          <w:bottom w:val="nil"/>
          <w:right w:val="nil"/>
          <w:between w:val="nil"/>
        </w:pBdr>
        <w:jc w:val="center"/>
        <w:rPr>
          <w:rFonts w:ascii="Palatino Linotype" w:eastAsia="Palatino Linotype" w:hAnsi="Palatino Linotype" w:cs="Palatino Linotype"/>
          <w:b/>
          <w:bCs/>
          <w:color w:val="000000" w:themeColor="text1"/>
        </w:rPr>
      </w:pPr>
      <w:r w:rsidRPr="007351A7">
        <w:rPr>
          <w:rFonts w:ascii="Palatino Linotype" w:eastAsia="Palatino Linotype" w:hAnsi="Palatino Linotype" w:cs="Palatino Linotype"/>
          <w:b/>
          <w:bCs/>
          <w:color w:val="000000" w:themeColor="text1"/>
        </w:rPr>
        <w:t>2022-2024</w:t>
      </w:r>
    </w:p>
    <w:p w:rsidR="00F22E86" w:rsidRPr="007351A7" w:rsidRDefault="00B27C24"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 xml:space="preserve">“Artículo 42. La Administración Pública Centralizada y Descentralizada se constituye por las Dependencias, Órganos Desconcentrados y Entidades que señala la Ley Orgánica, aquellas que determine el Reglamento Orgánico y por las que, sean creadas por el Ayuntamiento, mismas que, estarán jerárquicamente subordinadas al Presidente Municipal. </w:t>
      </w:r>
    </w:p>
    <w:p w:rsidR="00F22E86" w:rsidRPr="007351A7" w:rsidRDefault="00B27C24" w:rsidP="007351A7">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7351A7">
        <w:rPr>
          <w:rFonts w:ascii="Palatino Linotype" w:eastAsia="Palatino Linotype" w:hAnsi="Palatino Linotype" w:cs="Palatino Linotype"/>
          <w:b/>
          <w:bCs/>
          <w:i/>
          <w:iCs/>
          <w:color w:val="000000" w:themeColor="text1"/>
        </w:rPr>
        <w:t xml:space="preserve">A. La Administración Pública Centralizada está integrada por: </w:t>
      </w:r>
    </w:p>
    <w:p w:rsidR="00F22E86" w:rsidRPr="007351A7" w:rsidRDefault="00B27C24"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 xml:space="preserve">[…] </w:t>
      </w:r>
    </w:p>
    <w:p w:rsidR="00F22E86" w:rsidRPr="007351A7" w:rsidRDefault="00B27C24" w:rsidP="007351A7">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7351A7">
        <w:rPr>
          <w:rFonts w:ascii="Palatino Linotype" w:eastAsia="Palatino Linotype" w:hAnsi="Palatino Linotype" w:cs="Palatino Linotype"/>
          <w:b/>
          <w:bCs/>
          <w:i/>
          <w:iCs/>
          <w:color w:val="000000" w:themeColor="text1"/>
        </w:rPr>
        <w:t>IX. Dirección General de Desarrollo Urbano;[…]”</w:t>
      </w:r>
    </w:p>
    <w:p w:rsidR="00F22E86" w:rsidRPr="007351A7" w:rsidRDefault="00F22E86" w:rsidP="007351A7">
      <w:pPr>
        <w:pBdr>
          <w:top w:val="nil"/>
          <w:left w:val="nil"/>
          <w:bottom w:val="nil"/>
          <w:right w:val="nil"/>
          <w:between w:val="nil"/>
        </w:pBdr>
        <w:jc w:val="both"/>
        <w:rPr>
          <w:rFonts w:ascii="Palatino Linotype" w:eastAsia="Palatino Linotype" w:hAnsi="Palatino Linotype" w:cs="Palatino Linotype"/>
          <w:b/>
          <w:bCs/>
          <w:i/>
          <w:iCs/>
          <w:color w:val="000000" w:themeColor="text1"/>
        </w:rPr>
      </w:pPr>
    </w:p>
    <w:p w:rsidR="00F22E86" w:rsidRPr="007351A7" w:rsidRDefault="00F22E86" w:rsidP="007351A7">
      <w:pPr>
        <w:pBdr>
          <w:top w:val="nil"/>
          <w:left w:val="nil"/>
          <w:bottom w:val="nil"/>
          <w:right w:val="nil"/>
          <w:between w:val="nil"/>
        </w:pBdr>
        <w:rPr>
          <w:rFonts w:ascii="Palatino Linotype" w:eastAsia="Palatino Linotype" w:hAnsi="Palatino Linotype" w:cs="Palatino Linotype"/>
          <w:b/>
          <w:bCs/>
          <w:color w:val="000000" w:themeColor="text1"/>
        </w:rPr>
      </w:pPr>
    </w:p>
    <w:p w:rsidR="00F22E86" w:rsidRPr="007351A7" w:rsidRDefault="00B27C24" w:rsidP="007351A7">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7351A7">
        <w:rPr>
          <w:rFonts w:ascii="Palatino Linotype" w:eastAsia="Palatino Linotype" w:hAnsi="Palatino Linotype" w:cs="Palatino Linotype"/>
          <w:b/>
          <w:bCs/>
          <w:i/>
          <w:iCs/>
          <w:color w:val="000000" w:themeColor="text1"/>
        </w:rPr>
        <w:t>CAPÍTULO DÉCIMO PRIMERO</w:t>
      </w:r>
    </w:p>
    <w:p w:rsidR="00F22E86" w:rsidRPr="007351A7" w:rsidRDefault="00B27C24" w:rsidP="007351A7">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7351A7">
        <w:rPr>
          <w:rFonts w:ascii="Palatino Linotype" w:eastAsia="Palatino Linotype" w:hAnsi="Palatino Linotype" w:cs="Palatino Linotype"/>
          <w:b/>
          <w:bCs/>
          <w:i/>
          <w:iCs/>
          <w:color w:val="000000" w:themeColor="text1"/>
        </w:rPr>
        <w:t>De la Dirección General Desarrollo Urbano</w:t>
      </w:r>
    </w:p>
    <w:p w:rsidR="00F22E86" w:rsidRPr="007351A7" w:rsidRDefault="00F22E86" w:rsidP="007351A7">
      <w:pPr>
        <w:pBdr>
          <w:top w:val="nil"/>
          <w:left w:val="nil"/>
          <w:bottom w:val="nil"/>
          <w:right w:val="nil"/>
          <w:between w:val="nil"/>
        </w:pBdr>
        <w:jc w:val="center"/>
        <w:rPr>
          <w:rFonts w:ascii="Palatino Linotype" w:eastAsia="Palatino Linotype" w:hAnsi="Palatino Linotype" w:cs="Palatino Linotype"/>
          <w:b/>
          <w:bCs/>
          <w:i/>
          <w:iCs/>
          <w:color w:val="000000" w:themeColor="text1"/>
        </w:rPr>
      </w:pPr>
    </w:p>
    <w:p w:rsidR="00F22E86" w:rsidRPr="007351A7" w:rsidRDefault="00B27C24"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b/>
          <w:bCs/>
          <w:i/>
          <w:iCs/>
          <w:color w:val="000000" w:themeColor="text1"/>
        </w:rPr>
        <w:t>Artículo 83</w:t>
      </w:r>
      <w:r w:rsidRPr="007351A7">
        <w:rPr>
          <w:rFonts w:ascii="Palatino Linotype" w:eastAsia="Palatino Linotype" w:hAnsi="Palatino Linotype" w:cs="Palatino Linotype"/>
          <w:i/>
          <w:iCs/>
          <w:color w:val="000000" w:themeColor="text1"/>
        </w:rPr>
        <w:t xml:space="preserve">. </w:t>
      </w:r>
      <w:r w:rsidRPr="007351A7">
        <w:rPr>
          <w:rFonts w:ascii="Palatino Linotype" w:eastAsia="Palatino Linotype" w:hAnsi="Palatino Linotype" w:cs="Palatino Linotype"/>
          <w:i/>
          <w:iCs/>
          <w:color w:val="000000" w:themeColor="text1"/>
          <w:u w:val="single"/>
        </w:rPr>
        <w:t>La Dirección General de Desarrollo Urbano, es la Dependencia de la Administración Pública Municipal, encargada de planear, ordenar y regular, los asentamientos humanos en el territorio municipal, el desarrollo urbano, la infraestructura vial local a cargo del Municipio</w:t>
      </w:r>
      <w:r w:rsidRPr="007351A7">
        <w:rPr>
          <w:rFonts w:ascii="Palatino Linotype" w:eastAsia="Palatino Linotype" w:hAnsi="Palatino Linotype" w:cs="Palatino Linotype"/>
          <w:i/>
          <w:iCs/>
          <w:color w:val="000000" w:themeColor="text1"/>
        </w:rPr>
        <w:t xml:space="preserve"> y los anuncios, para lo cual podrá concertar y acordar acciones con las autoridades de la Federación, de los Estados, de la Ciudad de México y sus Alcaldías u otros municipios, debiendo vigilar el cumplimiento de las disposiciones jurídicas que regulan esas materias. </w:t>
      </w:r>
    </w:p>
    <w:p w:rsidR="00F22E86" w:rsidRPr="007351A7" w:rsidRDefault="00F22E86"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F22E86" w:rsidRPr="007351A7" w:rsidRDefault="00B27C24" w:rsidP="007351A7">
      <w:pPr>
        <w:pBdr>
          <w:top w:val="nil"/>
          <w:left w:val="nil"/>
          <w:bottom w:val="nil"/>
          <w:right w:val="nil"/>
          <w:between w:val="nil"/>
        </w:pBdr>
        <w:jc w:val="both"/>
        <w:rPr>
          <w:rFonts w:ascii="Palatino Linotype" w:eastAsia="Palatino Linotype" w:hAnsi="Palatino Linotype" w:cs="Palatino Linotype"/>
          <w:i/>
          <w:iCs/>
          <w:color w:val="000000" w:themeColor="text1"/>
          <w:u w:val="single"/>
        </w:rPr>
      </w:pPr>
      <w:r w:rsidRPr="007351A7">
        <w:rPr>
          <w:rFonts w:ascii="Palatino Linotype" w:eastAsia="Palatino Linotype" w:hAnsi="Palatino Linotype" w:cs="Palatino Linotype"/>
          <w:i/>
          <w:iCs/>
          <w:color w:val="000000" w:themeColor="text1"/>
          <w:u w:val="single"/>
        </w:rPr>
        <w:t>A través de las unidades administrativas a su cargo, detecta, registra, previene y evita la proliferación y consolidación de asentamientos humanos irregulares en zonas no aptas para el desarrollo humano, que se encuentran bajo la jurisdicción de este Municipio.</w:t>
      </w:r>
    </w:p>
    <w:p w:rsidR="00F22E86" w:rsidRPr="007351A7" w:rsidRDefault="00F22E86"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F22E86" w:rsidRPr="007351A7" w:rsidRDefault="00B27C24"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 xml:space="preserve">En el territorio municipal quedan excluidas del desarrollo urbano, las áreas consideradas en el Plan de Desarrollo Urbano como no urbanizables, así como aquellas áreas urbanizables no programadas, hasta que sea aprobado el plan parcial correspondiente, en términos de las disposiciones jurídicas aplicables, quedando estrictamente prohibida la formación de nuevos asentamientos humanos en esas áreas. </w:t>
      </w:r>
    </w:p>
    <w:p w:rsidR="00F22E86" w:rsidRPr="007351A7" w:rsidRDefault="00F22E86"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F22E86" w:rsidRPr="007351A7" w:rsidRDefault="00B27C24"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 xml:space="preserve">La Dirección General de Desarrollo Urbano a través de las Unidades Administrativas a su cargo, deberá establecer medidas y ejecutar acciones para prevenir, evitar, controlar, restringir e intervenir en los diversos asentamientos humanos irregulares que se ubiquen y detecten en el territorio municipal, medidas y acciones que se llevarán a cabo conforme a las disposiciones jurídicas aplicables. Queda prohibida la ocupación o invasión con construcciones de cualquier tipo, sin autorización previa </w:t>
      </w:r>
      <w:r w:rsidRPr="007351A7">
        <w:rPr>
          <w:rFonts w:ascii="Palatino Linotype" w:eastAsia="Palatino Linotype" w:hAnsi="Palatino Linotype" w:cs="Palatino Linotype"/>
          <w:i/>
          <w:iCs/>
          <w:color w:val="000000" w:themeColor="text1"/>
        </w:rPr>
        <w:lastRenderedPageBreak/>
        <w:t xml:space="preserve">y expresa de la autoridad competente, de derechos de vía de ductos petroquímicos, vías férreas, ríos, arroyos, canales, acueductos, presas, redes primarias de agua potable, drenaje y alcantarillado, líneas eléctricas, carreteras, avenidas, calles, camellones, guarniciones, banquetas y en general cualquier elemento que forme parte de la vía pública, así como de zonas arqueológicas, monumentos históricos, zonas de preservación ecológica de los centros de población o bienes inmuebles del dominio público. </w:t>
      </w:r>
    </w:p>
    <w:p w:rsidR="00F22E86" w:rsidRPr="007351A7" w:rsidRDefault="00B27C24"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El Ayuntamiento, en todo momento, podrá convenir y ejecutar, a través de la autoridad correspondiente, las acciones a seguir para prevenir, desalojar y en su caso demandar o denunciar a los presuntos responsables por estos actos, así como demoler o suspender las construcciones asentadas en estas zonas, previas formalidades legales o bien en aplicación y ejecución de medidas de seguridad conforme a las disposiciones jurídicas aplicables.</w:t>
      </w:r>
    </w:p>
    <w:p w:rsidR="00F22E86" w:rsidRPr="007351A7" w:rsidRDefault="00F22E86"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F22E86" w:rsidRPr="007351A7" w:rsidRDefault="00B27C24" w:rsidP="007351A7">
      <w:pPr>
        <w:pBdr>
          <w:top w:val="nil"/>
          <w:left w:val="nil"/>
          <w:bottom w:val="nil"/>
          <w:right w:val="nil"/>
          <w:between w:val="nil"/>
        </w:pBdr>
        <w:jc w:val="both"/>
        <w:rPr>
          <w:rFonts w:ascii="Palatino Linotype" w:eastAsia="Palatino Linotype" w:hAnsi="Palatino Linotype" w:cs="Palatino Linotype"/>
          <w:i/>
          <w:iCs/>
          <w:color w:val="000000" w:themeColor="text1"/>
          <w:u w:val="single"/>
        </w:rPr>
      </w:pPr>
      <w:r w:rsidRPr="007351A7">
        <w:rPr>
          <w:rFonts w:ascii="Palatino Linotype" w:eastAsia="Palatino Linotype" w:hAnsi="Palatino Linotype" w:cs="Palatino Linotype"/>
          <w:i/>
          <w:iCs/>
          <w:color w:val="000000" w:themeColor="text1"/>
          <w:u w:val="single"/>
        </w:rPr>
        <w:t xml:space="preserve">Artículo 85. La Dirección General de Desarrollo Urbano, es la responsable de expedir la autorización correspondiente para la colocación de cualquier elemento o instalación (mobiliario urbano) que tengan acceso directo a la infraestructura vial local, en los términos que para tal efecto prevé la normatividad aplicable, salvo en aquellos casos en que la normatividad requiera previo acuerdo de Cabildo. </w:t>
      </w:r>
    </w:p>
    <w:p w:rsidR="00F22E86" w:rsidRPr="007351A7" w:rsidRDefault="00F22E86" w:rsidP="007351A7">
      <w:pPr>
        <w:pBdr>
          <w:top w:val="nil"/>
          <w:left w:val="nil"/>
          <w:bottom w:val="nil"/>
          <w:right w:val="nil"/>
          <w:between w:val="nil"/>
        </w:pBdr>
        <w:jc w:val="both"/>
        <w:rPr>
          <w:rFonts w:ascii="Palatino Linotype" w:eastAsia="Palatino Linotype" w:hAnsi="Palatino Linotype" w:cs="Palatino Linotype"/>
          <w:i/>
          <w:iCs/>
          <w:color w:val="000000" w:themeColor="text1"/>
          <w:u w:val="single"/>
        </w:rPr>
      </w:pPr>
    </w:p>
    <w:p w:rsidR="00F22E86" w:rsidRPr="007351A7" w:rsidRDefault="00B27C24"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 xml:space="preserve">De igual forma, podrá ordenar el retiro inmediato de los elementos o instalaciones a que se refiere el párrafo anterior, en caso de no reunir los requisitos de procedencia conforme a la normativa. </w:t>
      </w:r>
    </w:p>
    <w:p w:rsidR="00F22E86" w:rsidRPr="007351A7" w:rsidRDefault="00F22E86"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F22E86" w:rsidRPr="007351A7" w:rsidRDefault="00B27C24"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No se requiere licencia de construcción para efectuar las siguientes obras:</w:t>
      </w:r>
    </w:p>
    <w:p w:rsidR="00F22E86" w:rsidRPr="007351A7" w:rsidRDefault="00F22E86" w:rsidP="007351A7">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rsidR="00F22E86" w:rsidRPr="007351A7" w:rsidRDefault="00B27C24" w:rsidP="007351A7">
      <w:pPr>
        <w:pBdr>
          <w:top w:val="nil"/>
          <w:left w:val="nil"/>
          <w:bottom w:val="nil"/>
          <w:right w:val="nil"/>
          <w:between w:val="nil"/>
        </w:pBdr>
        <w:spacing w:line="276" w:lineRule="auto"/>
        <w:jc w:val="center"/>
        <w:rPr>
          <w:rFonts w:ascii="Palatino Linotype" w:eastAsia="Palatino Linotype" w:hAnsi="Palatino Linotype" w:cs="Palatino Linotype"/>
          <w:b/>
          <w:bCs/>
          <w:color w:val="000000" w:themeColor="text1"/>
        </w:rPr>
      </w:pPr>
      <w:r w:rsidRPr="007351A7">
        <w:rPr>
          <w:rFonts w:ascii="Palatino Linotype" w:eastAsia="Palatino Linotype" w:hAnsi="Palatino Linotype" w:cs="Palatino Linotype"/>
          <w:b/>
          <w:bCs/>
          <w:color w:val="000000" w:themeColor="text1"/>
        </w:rPr>
        <w:t>BANDO MUNICIPAL</w:t>
      </w:r>
    </w:p>
    <w:p w:rsidR="00F22E86" w:rsidRPr="007351A7" w:rsidRDefault="00B27C24" w:rsidP="007351A7">
      <w:pPr>
        <w:pBdr>
          <w:top w:val="nil"/>
          <w:left w:val="nil"/>
          <w:bottom w:val="nil"/>
          <w:right w:val="nil"/>
          <w:between w:val="nil"/>
        </w:pBdr>
        <w:spacing w:line="276" w:lineRule="auto"/>
        <w:jc w:val="center"/>
        <w:rPr>
          <w:rFonts w:ascii="Palatino Linotype" w:eastAsia="Palatino Linotype" w:hAnsi="Palatino Linotype" w:cs="Palatino Linotype"/>
          <w:b/>
          <w:bCs/>
          <w:color w:val="000000" w:themeColor="text1"/>
        </w:rPr>
      </w:pPr>
      <w:r w:rsidRPr="007351A7">
        <w:rPr>
          <w:rFonts w:ascii="Palatino Linotype" w:eastAsia="Palatino Linotype" w:hAnsi="Palatino Linotype" w:cs="Palatino Linotype"/>
          <w:b/>
          <w:bCs/>
          <w:color w:val="000000" w:themeColor="text1"/>
        </w:rPr>
        <w:t>2025-2027</w:t>
      </w:r>
    </w:p>
    <w:p w:rsidR="00F22E86" w:rsidRPr="007351A7" w:rsidRDefault="00F22E86" w:rsidP="007351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F22E86" w:rsidRPr="007351A7" w:rsidRDefault="00B27C24" w:rsidP="007351A7">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7351A7">
        <w:rPr>
          <w:rFonts w:ascii="Palatino Linotype" w:eastAsia="Palatino Linotype" w:hAnsi="Palatino Linotype" w:cs="Palatino Linotype"/>
          <w:b/>
          <w:bCs/>
          <w:i/>
          <w:iCs/>
          <w:color w:val="000000" w:themeColor="text1"/>
        </w:rPr>
        <w:t>CAPÍTULO DECIMOQUINTO DE LA DIRECCIÓN DE DESARROLLO URBANO</w:t>
      </w:r>
    </w:p>
    <w:p w:rsidR="00F22E86" w:rsidRPr="007351A7" w:rsidRDefault="00F22E86"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F22E86" w:rsidRPr="007351A7" w:rsidRDefault="00B27C24" w:rsidP="007351A7">
      <w:pPr>
        <w:pBdr>
          <w:top w:val="nil"/>
          <w:left w:val="nil"/>
          <w:bottom w:val="nil"/>
          <w:right w:val="nil"/>
          <w:between w:val="nil"/>
        </w:pBdr>
        <w:jc w:val="both"/>
        <w:rPr>
          <w:rFonts w:ascii="Palatino Linotype" w:eastAsia="Palatino Linotype" w:hAnsi="Palatino Linotype" w:cs="Palatino Linotype"/>
          <w:i/>
          <w:iCs/>
          <w:color w:val="000000" w:themeColor="text1"/>
          <w:u w:val="single"/>
        </w:rPr>
      </w:pPr>
      <w:r w:rsidRPr="007351A7">
        <w:rPr>
          <w:rFonts w:ascii="Palatino Linotype" w:eastAsia="Palatino Linotype" w:hAnsi="Palatino Linotype" w:cs="Palatino Linotype"/>
          <w:b/>
          <w:bCs/>
          <w:i/>
          <w:iCs/>
          <w:color w:val="000000" w:themeColor="text1"/>
          <w:u w:val="single"/>
        </w:rPr>
        <w:t>Artículo 81.</w:t>
      </w:r>
      <w:r w:rsidRPr="007351A7">
        <w:rPr>
          <w:rFonts w:ascii="Palatino Linotype" w:eastAsia="Palatino Linotype" w:hAnsi="Palatino Linotype" w:cs="Palatino Linotype"/>
          <w:i/>
          <w:iCs/>
          <w:color w:val="000000" w:themeColor="text1"/>
          <w:u w:val="single"/>
        </w:rPr>
        <w:t xml:space="preserve"> La Dirección de Desarrollo Urbano, es la dependencia de la Administración Pública Municipal, encargada de planear, ordenar y regular, los asentamientos humanos en el territorio municipal</w:t>
      </w:r>
      <w:r w:rsidRPr="007351A7">
        <w:rPr>
          <w:rFonts w:ascii="Palatino Linotype" w:eastAsia="Palatino Linotype" w:hAnsi="Palatino Linotype" w:cs="Palatino Linotype"/>
          <w:i/>
          <w:iCs/>
          <w:color w:val="000000" w:themeColor="text1"/>
        </w:rPr>
        <w:t>, el desarrollo urbano, la infraestructura vial local a cargo del Municipio y los anuncios, para lo cual podrá concertar y acordar acciones con las autoridades de la Federación, de los Estados, de la Ciudad de México y sus alcaldías u otros municipios, debiendo vigilar el cumplimiento de las disposiciones jurídicas que regulan esas materias.</w:t>
      </w:r>
    </w:p>
    <w:p w:rsidR="00F22E86" w:rsidRPr="007351A7" w:rsidRDefault="00F22E86"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F22E86" w:rsidRPr="007351A7" w:rsidRDefault="00B27C24"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lastRenderedPageBreak/>
        <w:t xml:space="preserve"> A través de las unidades administrativas a su cargo, detecta, registra, previene y evita la proliferación y consolidación de asentamientos humanos irregulares en zonas no aptas para el desarrollo humano, que se encuentran bajo la jurisdicción de este Municipio. </w:t>
      </w:r>
    </w:p>
    <w:p w:rsidR="00F22E86" w:rsidRPr="007351A7" w:rsidRDefault="00F22E86"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F22E86" w:rsidRPr="007351A7" w:rsidRDefault="00B27C24"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 xml:space="preserve">En el territorio municipal quedan excluidas del desarrollo urbano, las áreas consideradas en el Plan de Desarrollo Urbano como no urbanizables, así como aquellas áreas urbanizables no programadas, hasta que sea aprobado el plan parcial correspondiente, en términos de las disposiciones jurídicas aplicables, quedando estrictamente prohibida la formación de nuevos asentamientos humanos en esas áreas. </w:t>
      </w:r>
    </w:p>
    <w:p w:rsidR="00F22E86" w:rsidRPr="007351A7" w:rsidRDefault="00F22E86"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F22E86" w:rsidRPr="007351A7" w:rsidRDefault="00B27C24"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u w:val="single"/>
        </w:rPr>
        <w:t>La Dirección de Desarrollo Urbano a través de las Unidades Administrativas a su cargo, deberá establecer medidas y ejecutar acciones para prevenir, evitar, controlar, restringir e intervenir en los diversos asentamientos humanos irregulares que se ubiquen y detecten en el territorio municipal, medidas y acciones que se llevarán a cabo conforme a las disposiciones jurídicas aplicables</w:t>
      </w:r>
      <w:r w:rsidRPr="007351A7">
        <w:rPr>
          <w:rFonts w:ascii="Palatino Linotype" w:eastAsia="Palatino Linotype" w:hAnsi="Palatino Linotype" w:cs="Palatino Linotype"/>
          <w:i/>
          <w:iCs/>
          <w:color w:val="000000" w:themeColor="text1"/>
        </w:rPr>
        <w:t xml:space="preserve">. </w:t>
      </w:r>
    </w:p>
    <w:p w:rsidR="00F22E86" w:rsidRPr="007351A7" w:rsidRDefault="00F22E86"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F22E86" w:rsidRPr="007351A7" w:rsidRDefault="00B27C24"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w:t>
      </w:r>
    </w:p>
    <w:p w:rsidR="00F22E86" w:rsidRPr="007351A7" w:rsidRDefault="00F22E86" w:rsidP="007351A7">
      <w:pPr>
        <w:pBdr>
          <w:top w:val="nil"/>
          <w:left w:val="nil"/>
          <w:bottom w:val="nil"/>
          <w:right w:val="nil"/>
          <w:between w:val="nil"/>
        </w:pBdr>
        <w:jc w:val="both"/>
        <w:rPr>
          <w:rFonts w:ascii="Palatino Linotype" w:eastAsia="Palatino Linotype" w:hAnsi="Palatino Linotype" w:cs="Palatino Linotype"/>
          <w:b/>
          <w:bCs/>
          <w:i/>
          <w:iCs/>
          <w:color w:val="000000" w:themeColor="text1"/>
        </w:rPr>
      </w:pPr>
    </w:p>
    <w:p w:rsidR="00F22E86" w:rsidRPr="007351A7" w:rsidRDefault="00B27C24"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b/>
          <w:bCs/>
          <w:i/>
          <w:iCs/>
          <w:color w:val="000000" w:themeColor="text1"/>
        </w:rPr>
        <w:t>Artículo 83.</w:t>
      </w:r>
      <w:r w:rsidRPr="007351A7">
        <w:rPr>
          <w:rFonts w:ascii="Palatino Linotype" w:eastAsia="Palatino Linotype" w:hAnsi="Palatino Linotype" w:cs="Palatino Linotype"/>
          <w:i/>
          <w:iCs/>
          <w:color w:val="000000" w:themeColor="text1"/>
        </w:rPr>
        <w:t xml:space="preserve"> La Dirección de Desarrollo Urbano, es la responsable de expedir la autorización correspondiente para la colocación de cualquier elemento o instalación (mobiliario urbano) que tengan acceso directo a la infraestructura vial local, en los términos que para tal efecto prevé la normatividad aplicable, salvo en aquellos casos en que la normatividad requiera previo Acuerdo de Cabildo.</w:t>
      </w:r>
    </w:p>
    <w:p w:rsidR="00F22E86" w:rsidRPr="007351A7" w:rsidRDefault="00F22E86"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F22E86" w:rsidRPr="007351A7" w:rsidRDefault="00B27C24"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 xml:space="preserve"> De igual forma, podrá ordenar el retiro inmediato de los elementos o instalaciones a que se refiere el párrafo anterior, en caso de no reunir los requisitos de procedencia conforme a la normativa.</w:t>
      </w:r>
    </w:p>
    <w:p w:rsidR="00F22E86" w:rsidRPr="007351A7" w:rsidRDefault="00F22E86"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F22E86" w:rsidRPr="007351A7" w:rsidRDefault="00B27C24"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w:t>
      </w:r>
    </w:p>
    <w:p w:rsidR="00F22E86" w:rsidRPr="007351A7" w:rsidRDefault="00F22E86"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F22E86" w:rsidRPr="007351A7" w:rsidRDefault="00F22E86"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 xml:space="preserve">Asimismo, conforme el artículo 12 del Reglamento Interno de la Dirección General de Desarrollo Urbano del Municipio de Naucalpan de Juárez, se advierte que dicha dirección, entre las unidades administrativas que tiene a su cargo se encuentra la Subdirección de Planeación y Evaluación Urbana, como se sigue: </w:t>
      </w:r>
    </w:p>
    <w:p w:rsidR="00F22E86" w:rsidRPr="007351A7" w:rsidRDefault="00F22E86" w:rsidP="007351A7">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F22E86" w:rsidRPr="007351A7" w:rsidRDefault="00B27C24"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lastRenderedPageBreak/>
        <w:t>“Artículo 12.- La Dirección General, para el despacho de sus atribuciones, se auxiliará de las Unidades Administrativas siguientes:</w:t>
      </w:r>
    </w:p>
    <w:p w:rsidR="00F22E86" w:rsidRPr="007351A7" w:rsidRDefault="00B27C24"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 xml:space="preserve"> I. Coordinación Administrativa; </w:t>
      </w:r>
    </w:p>
    <w:p w:rsidR="00F22E86" w:rsidRPr="007351A7" w:rsidRDefault="00B27C24" w:rsidP="007351A7">
      <w:pPr>
        <w:pBdr>
          <w:top w:val="nil"/>
          <w:left w:val="nil"/>
          <w:bottom w:val="nil"/>
          <w:right w:val="nil"/>
          <w:between w:val="nil"/>
        </w:pBdr>
        <w:spacing w:line="276" w:lineRule="auto"/>
        <w:jc w:val="both"/>
        <w:rPr>
          <w:rFonts w:ascii="Palatino Linotype" w:eastAsia="Palatino Linotype" w:hAnsi="Palatino Linotype" w:cs="Palatino Linotype"/>
          <w:b/>
          <w:bCs/>
          <w:i/>
          <w:iCs/>
          <w:color w:val="000000" w:themeColor="text1"/>
        </w:rPr>
      </w:pPr>
      <w:r w:rsidRPr="007351A7">
        <w:rPr>
          <w:rFonts w:ascii="Palatino Linotype" w:eastAsia="Palatino Linotype" w:hAnsi="Palatino Linotype" w:cs="Palatino Linotype"/>
          <w:b/>
          <w:bCs/>
          <w:i/>
          <w:iCs/>
          <w:color w:val="000000" w:themeColor="text1"/>
        </w:rPr>
        <w:t>II. Subdirección de Planeación y Evaluación Urbana;</w:t>
      </w:r>
    </w:p>
    <w:p w:rsidR="00F22E86" w:rsidRPr="007351A7" w:rsidRDefault="00B27C24"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 xml:space="preserve"> III. Subdirección de Operación Urbana;</w:t>
      </w:r>
    </w:p>
    <w:p w:rsidR="00F22E86" w:rsidRPr="007351A7" w:rsidRDefault="00B27C24"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 xml:space="preserve"> IV. Subdirección de Regularización de la Tenencia de la Tierra; </w:t>
      </w:r>
    </w:p>
    <w:p w:rsidR="00F22E86" w:rsidRPr="007351A7" w:rsidRDefault="00B27C24"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 xml:space="preserve">V. Subdirección de Movilidad Territorial; y </w:t>
      </w:r>
    </w:p>
    <w:p w:rsidR="00F22E86" w:rsidRPr="007351A7" w:rsidRDefault="00B27C24"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VI. Subdirección Jurídica.”</w:t>
      </w:r>
    </w:p>
    <w:p w:rsidR="00F22E86" w:rsidRPr="007351A7" w:rsidRDefault="00F22E86" w:rsidP="007351A7">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color w:val="000000" w:themeColor="text1"/>
        </w:rPr>
        <w:t>En esa tesitura, resulta conveniente señalar que, la Comisión de Impacto Estatal de la Secretaría de Desarrollo Urbano e Infraestructura, en su página oficial, contempla entre sus guías, la relativa al "Conjunto urbano y condominio" consultable en el siguiente enlace:https://coime.edomex.gob.mx/sites/coime.edomex.gob.mx/files/files/ConjuntosUrbanosVEDA23.pdf, en cuyos requisitos para la obtención de la Evaluación de Impacto Estatal, se advierte dentro de los requisitos específicos contar con Evaluación Técnica de Impacto en materia urbana, previa emisión de la autorización, dictamen u opinión favorable de las dependencias u organismos federales, estatales o municipales, como se muestra a continuación:</w:t>
      </w:r>
    </w:p>
    <w:p w:rsidR="00F22E86" w:rsidRPr="007351A7" w:rsidRDefault="00F22E86" w:rsidP="007351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pBdr>
          <w:top w:val="nil"/>
          <w:left w:val="nil"/>
          <w:bottom w:val="nil"/>
          <w:right w:val="nil"/>
          <w:between w:val="nil"/>
        </w:pBdr>
        <w:spacing w:line="360" w:lineRule="auto"/>
        <w:jc w:val="center"/>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noProof/>
          <w:color w:val="000000" w:themeColor="text1"/>
          <w:lang w:val="es-MX"/>
        </w:rPr>
        <w:lastRenderedPageBreak/>
        <w:drawing>
          <wp:inline distT="0" distB="0" distL="0" distR="0">
            <wp:extent cx="5400675" cy="36798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400675" cy="3679825"/>
                    </a:xfrm>
                    <a:prstGeom prst="rect">
                      <a:avLst/>
                    </a:prstGeom>
                    <a:ln/>
                  </pic:spPr>
                </pic:pic>
              </a:graphicData>
            </a:graphic>
          </wp:inline>
        </w:drawing>
      </w:r>
    </w:p>
    <w:p w:rsidR="00F22E86" w:rsidRPr="007351A7" w:rsidRDefault="00F22E86" w:rsidP="007351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 xml:space="preserve">A mayor abundamiento, es de indicar que conforme el artículo 142, primer párrafo y 142 Bis del Reglamento del Libro Quinto del Código Administrativo del Estado de México se desprende que tratándose de conjuntos urbanos y condominios, para la emisión de la Evaluación Técnica de Impacto en materia Urbana, se debe entregar a la Secretaría de Desarrollo Urbano y Obra, entre otros, </w:t>
      </w:r>
      <w:r w:rsidRPr="007351A7">
        <w:rPr>
          <w:rFonts w:ascii="Palatino Linotype" w:eastAsia="Palatino Linotype" w:hAnsi="Palatino Linotype" w:cs="Palatino Linotype"/>
          <w:b/>
          <w:bCs/>
          <w:color w:val="000000" w:themeColor="text1"/>
          <w:u w:val="single"/>
        </w:rPr>
        <w:t>la opinión favorable y técnicamente justificada emitida por autoridad municipal competente en materia de desarrollo urbano.</w:t>
      </w:r>
      <w:r w:rsidRPr="007351A7">
        <w:rPr>
          <w:rFonts w:ascii="Palatino Linotype" w:eastAsia="Palatino Linotype" w:hAnsi="Palatino Linotype" w:cs="Palatino Linotype"/>
          <w:color w:val="000000" w:themeColor="text1"/>
        </w:rPr>
        <w:t xml:space="preserve"> </w:t>
      </w:r>
    </w:p>
    <w:p w:rsidR="00F22E86" w:rsidRPr="007351A7" w:rsidRDefault="00B27C24" w:rsidP="007351A7">
      <w:pPr>
        <w:pBdr>
          <w:top w:val="nil"/>
          <w:left w:val="nil"/>
          <w:bottom w:val="nil"/>
          <w:right w:val="nil"/>
          <w:between w:val="nil"/>
        </w:pBdr>
        <w:spacing w:line="276" w:lineRule="auto"/>
        <w:jc w:val="both"/>
        <w:rPr>
          <w:rFonts w:ascii="Palatino Linotype" w:eastAsia="Palatino Linotype" w:hAnsi="Palatino Linotype" w:cs="Palatino Linotype"/>
          <w:b/>
          <w:bCs/>
          <w:i/>
          <w:iCs/>
          <w:color w:val="000000" w:themeColor="text1"/>
        </w:rPr>
      </w:pPr>
      <w:r w:rsidRPr="007351A7">
        <w:rPr>
          <w:rFonts w:ascii="Palatino Linotype" w:eastAsia="Palatino Linotype" w:hAnsi="Palatino Linotype" w:cs="Palatino Linotype"/>
          <w:b/>
          <w:bCs/>
          <w:i/>
          <w:iCs/>
          <w:color w:val="000000" w:themeColor="text1"/>
        </w:rPr>
        <w:t>DE LOS DOCUMENTOS PARA OBTENER LA EVALUACIÓN TÉCNICA DE IMPACTO EN MATERIA URBANA PARA CONJUNTOS URBANOS Y CONDOMINIOS</w:t>
      </w:r>
    </w:p>
    <w:p w:rsidR="00F22E86" w:rsidRPr="007351A7" w:rsidRDefault="00F22E86"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p>
    <w:p w:rsidR="00F22E86" w:rsidRPr="007351A7" w:rsidRDefault="00B27C24"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b/>
          <w:bCs/>
          <w:i/>
          <w:iCs/>
          <w:color w:val="000000" w:themeColor="text1"/>
        </w:rPr>
        <w:t>“Artículo 142.</w:t>
      </w:r>
      <w:r w:rsidRPr="007351A7">
        <w:rPr>
          <w:rFonts w:ascii="Palatino Linotype" w:eastAsia="Palatino Linotype" w:hAnsi="Palatino Linotype" w:cs="Palatino Linotype"/>
          <w:i/>
          <w:iCs/>
          <w:color w:val="000000" w:themeColor="text1"/>
        </w:rPr>
        <w:t xml:space="preserve"> </w:t>
      </w:r>
      <w:r w:rsidRPr="007351A7">
        <w:rPr>
          <w:rFonts w:ascii="Palatino Linotype" w:eastAsia="Palatino Linotype" w:hAnsi="Palatino Linotype" w:cs="Palatino Linotype"/>
          <w:b/>
          <w:bCs/>
          <w:i/>
          <w:iCs/>
          <w:color w:val="000000" w:themeColor="text1"/>
        </w:rPr>
        <w:t>Tratándose de conjuntos urbanos y condominios</w:t>
      </w:r>
      <w:r w:rsidRPr="007351A7">
        <w:rPr>
          <w:rFonts w:ascii="Palatino Linotype" w:eastAsia="Palatino Linotype" w:hAnsi="Palatino Linotype" w:cs="Palatino Linotype"/>
          <w:i/>
          <w:iCs/>
          <w:color w:val="000000" w:themeColor="text1"/>
        </w:rPr>
        <w:t xml:space="preserve">, además de los ya señalados en el artículo 140, la Comisión de Impacto Estatal, deberá remitir a la Secretaría como requisitos </w:t>
      </w:r>
      <w:r w:rsidRPr="007351A7">
        <w:rPr>
          <w:rFonts w:ascii="Palatino Linotype" w:eastAsia="Palatino Linotype" w:hAnsi="Palatino Linotype" w:cs="Palatino Linotype"/>
          <w:i/>
          <w:iCs/>
          <w:color w:val="000000" w:themeColor="text1"/>
        </w:rPr>
        <w:lastRenderedPageBreak/>
        <w:t xml:space="preserve">específicos para la emisión de la Evaluación Técnica de Impacto en materia Urbana, los siguientes:[…]” </w:t>
      </w:r>
    </w:p>
    <w:p w:rsidR="00F22E86" w:rsidRPr="007351A7" w:rsidRDefault="00F22E86"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p>
    <w:p w:rsidR="00F22E86" w:rsidRPr="007351A7" w:rsidRDefault="00B27C24" w:rsidP="007351A7">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u w:val="single"/>
        </w:rPr>
      </w:pPr>
      <w:r w:rsidRPr="007351A7">
        <w:rPr>
          <w:rFonts w:ascii="Palatino Linotype" w:eastAsia="Palatino Linotype" w:hAnsi="Palatino Linotype" w:cs="Palatino Linotype"/>
          <w:b/>
          <w:bCs/>
          <w:i/>
          <w:iCs/>
          <w:color w:val="000000" w:themeColor="text1"/>
        </w:rPr>
        <w:t>“Artículo 142 Bis</w:t>
      </w:r>
      <w:r w:rsidRPr="007351A7">
        <w:rPr>
          <w:rFonts w:ascii="Palatino Linotype" w:eastAsia="Palatino Linotype" w:hAnsi="Palatino Linotype" w:cs="Palatino Linotype"/>
          <w:i/>
          <w:iCs/>
          <w:color w:val="000000" w:themeColor="text1"/>
        </w:rPr>
        <w:t xml:space="preserve">. Tratándose de cambios de uso de suelo, de densidad, coeficiente de ocupación de suelo, coeficiente de utilización del suelo y altura de edificaciones, relacionados con alguna de las hipótesis de las fracciones I a VIII del artículo 5.35 del Código, se deberán presentar los requisitos señalados en el artículo 140 del presente Reglamento, </w:t>
      </w:r>
      <w:r w:rsidRPr="007351A7">
        <w:rPr>
          <w:rFonts w:ascii="Palatino Linotype" w:eastAsia="Palatino Linotype" w:hAnsi="Palatino Linotype" w:cs="Palatino Linotype"/>
          <w:i/>
          <w:iCs/>
          <w:color w:val="000000" w:themeColor="text1"/>
          <w:u w:val="single"/>
        </w:rPr>
        <w:t>así como la opinión favorable y técnicamente justificada emitida por autoridad municipal competente en materia de desarrollo urbano.”</w:t>
      </w:r>
    </w:p>
    <w:p w:rsidR="00F22E86" w:rsidRPr="007351A7" w:rsidRDefault="00F22E86" w:rsidP="007351A7">
      <w:pPr>
        <w:pBdr>
          <w:top w:val="nil"/>
          <w:left w:val="nil"/>
          <w:bottom w:val="nil"/>
          <w:right w:val="nil"/>
          <w:between w:val="nil"/>
        </w:pBdr>
        <w:spacing w:line="360" w:lineRule="auto"/>
        <w:jc w:val="both"/>
        <w:rPr>
          <w:rFonts w:ascii="Palatino Linotype" w:hAnsi="Palatino Linotype"/>
          <w:color w:val="000000" w:themeColor="text1"/>
        </w:rPr>
      </w:pP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De lo anterior, se advierte que en materia de desarrollo urbano el Ayuntamiento de Naucalpan se encuentra facultado a emitir opinión favorable y técnicamente justificada por conducto de su unidad administrativa competente; opinión que puede emitirse de manera enunciativa más no limitativa a través de un oficio, pues la Ley no impide dicha cuestión.</w:t>
      </w:r>
    </w:p>
    <w:p w:rsidR="00F22E86" w:rsidRPr="007351A7" w:rsidRDefault="00F22E86" w:rsidP="007351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De lo anterior, se advierte que si bien es cierto la información corresponde a la administración anterior, en atención al deber de documentar, se debió hacer entrega de la información y/o documentación que obraba en sus archivos a la administración entrante, en consecuencia, al haber informado el Servidor Público Habilitado para tal efecto que después de haberse realizado una búsqueda exhaustiva y razonable, citando al artículo 12 de la ley adjetiva en la materia, no se localizó la información solicitada, deberá emitir el acuerdo de inexistencia de la información, pues dada la naturaleza y la temporalidad de la información solicitada, resulta congruente que se hayan emitido opiniones favorables.</w:t>
      </w:r>
    </w:p>
    <w:p w:rsidR="00F22E86" w:rsidRPr="007351A7" w:rsidRDefault="00F22E86" w:rsidP="007351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numPr>
          <w:ilvl w:val="0"/>
          <w:numId w:val="3"/>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 xml:space="preserve">En ese contexto, con la simple afirmación del </w:t>
      </w:r>
      <w:r w:rsidRPr="007351A7">
        <w:rPr>
          <w:rFonts w:ascii="Palatino Linotype" w:eastAsia="Palatino Linotype" w:hAnsi="Palatino Linotype" w:cs="Palatino Linotype"/>
          <w:b/>
          <w:bCs/>
          <w:color w:val="000000" w:themeColor="text1"/>
        </w:rPr>
        <w:t xml:space="preserve">SUJETO OBLIGADO, </w:t>
      </w:r>
      <w:r w:rsidRPr="007351A7">
        <w:rPr>
          <w:rFonts w:ascii="Palatino Linotype" w:eastAsia="Palatino Linotype" w:hAnsi="Palatino Linotype" w:cs="Palatino Linotype"/>
          <w:color w:val="000000" w:themeColor="text1"/>
        </w:rPr>
        <w:t xml:space="preserve">no se puede dar por colmado el derecho de acceso a la información del particular. Al haber señalado que no se cuenta con la información requerida, el </w:t>
      </w:r>
      <w:r w:rsidRPr="007351A7">
        <w:rPr>
          <w:rFonts w:ascii="Palatino Linotype" w:eastAsia="Palatino Linotype" w:hAnsi="Palatino Linotype" w:cs="Palatino Linotype"/>
          <w:b/>
          <w:bCs/>
          <w:color w:val="000000" w:themeColor="text1"/>
        </w:rPr>
        <w:t>Sujeto Obligado</w:t>
      </w:r>
      <w:r w:rsidRPr="007351A7">
        <w:rPr>
          <w:rFonts w:ascii="Palatino Linotype" w:eastAsia="Palatino Linotype" w:hAnsi="Palatino Linotype" w:cs="Palatino Linotype"/>
          <w:color w:val="000000" w:themeColor="text1"/>
        </w:rPr>
        <w:t xml:space="preserve"> deberá elaborar y poner a </w:t>
      </w:r>
      <w:r w:rsidRPr="007351A7">
        <w:rPr>
          <w:rFonts w:ascii="Palatino Linotype" w:eastAsia="Palatino Linotype" w:hAnsi="Palatino Linotype" w:cs="Palatino Linotype"/>
          <w:color w:val="000000" w:themeColor="text1"/>
        </w:rPr>
        <w:lastRenderedPageBreak/>
        <w:t>disposición del particular un acuerdo mediante el cual se declare la inexistencia de la información. Por lo que es necesario traer a contexto lo que dispone la</w:t>
      </w:r>
      <w:r w:rsidRPr="007351A7">
        <w:rPr>
          <w:rFonts w:ascii="Palatino Linotype" w:eastAsia="Palatino Linotype" w:hAnsi="Palatino Linotype" w:cs="Palatino Linotype"/>
          <w:b/>
          <w:bCs/>
          <w:color w:val="000000" w:themeColor="text1"/>
        </w:rPr>
        <w:t xml:space="preserve"> Ley de Transparencia y Acceso a la Información Pública del Estado de México y Municipios</w:t>
      </w:r>
      <w:r w:rsidRPr="007351A7">
        <w:rPr>
          <w:rFonts w:ascii="Palatino Linotype" w:eastAsia="Palatino Linotype" w:hAnsi="Palatino Linotype" w:cs="Palatino Linotype"/>
          <w:color w:val="000000" w:themeColor="text1"/>
        </w:rPr>
        <w:t> en su 169, fracción III, señala:</w:t>
      </w:r>
    </w:p>
    <w:p w:rsidR="00F22E86" w:rsidRPr="007351A7" w:rsidRDefault="00B27C24" w:rsidP="007351A7">
      <w:pPr>
        <w:shd w:val="clear" w:color="auto" w:fill="FFFFFF"/>
        <w:spacing w:before="240" w:after="240" w:line="360"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color w:val="000000" w:themeColor="text1"/>
        </w:rPr>
        <w:t> “</w:t>
      </w:r>
      <w:r w:rsidRPr="007351A7">
        <w:rPr>
          <w:rFonts w:ascii="Palatino Linotype" w:eastAsia="Palatino Linotype" w:hAnsi="Palatino Linotype" w:cs="Palatino Linotype"/>
          <w:b/>
          <w:bCs/>
          <w:i/>
          <w:iCs/>
          <w:color w:val="000000" w:themeColor="text1"/>
        </w:rPr>
        <w:t xml:space="preserve">Artículo 169. </w:t>
      </w:r>
      <w:r w:rsidRPr="007351A7">
        <w:rPr>
          <w:rFonts w:ascii="Palatino Linotype" w:eastAsia="Palatino Linotype" w:hAnsi="Palatino Linotype" w:cs="Palatino Linotype"/>
          <w:i/>
          <w:iCs/>
          <w:color w:val="000000" w:themeColor="text1"/>
        </w:rPr>
        <w:t>Cuando la información no se encuentre en los archivos del sujeto obligado, el Comité de Transparencia:</w:t>
      </w:r>
    </w:p>
    <w:p w:rsidR="00F22E86" w:rsidRPr="007351A7" w:rsidRDefault="00B27C24" w:rsidP="007351A7">
      <w:pPr>
        <w:spacing w:line="360"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b/>
          <w:bCs/>
          <w:i/>
          <w:iCs/>
          <w:color w:val="000000" w:themeColor="text1"/>
        </w:rPr>
        <w:t xml:space="preserve">I. </w:t>
      </w:r>
      <w:r w:rsidRPr="007351A7">
        <w:rPr>
          <w:rFonts w:ascii="Palatino Linotype" w:eastAsia="Palatino Linotype" w:hAnsi="Palatino Linotype" w:cs="Palatino Linotype"/>
          <w:i/>
          <w:iCs/>
          <w:color w:val="000000" w:themeColor="text1"/>
        </w:rPr>
        <w:t>Analizará el caso y tomará las medidas necesarias para localizar la información;</w:t>
      </w:r>
    </w:p>
    <w:p w:rsidR="00F22E86" w:rsidRPr="007351A7" w:rsidRDefault="00B27C24" w:rsidP="007351A7">
      <w:pPr>
        <w:spacing w:line="360"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b/>
          <w:bCs/>
          <w:i/>
          <w:iCs/>
          <w:color w:val="000000" w:themeColor="text1"/>
        </w:rPr>
        <w:t xml:space="preserve">II. </w:t>
      </w:r>
      <w:r w:rsidRPr="007351A7">
        <w:rPr>
          <w:rFonts w:ascii="Palatino Linotype" w:eastAsia="Palatino Linotype" w:hAnsi="Palatino Linotype" w:cs="Palatino Linotype"/>
          <w:i/>
          <w:iCs/>
          <w:color w:val="000000" w:themeColor="text1"/>
        </w:rPr>
        <w:t>Expedirá una resolución que confirme la inexistencia del documento;</w:t>
      </w:r>
    </w:p>
    <w:p w:rsidR="00F22E86" w:rsidRPr="007351A7" w:rsidRDefault="00B27C24" w:rsidP="007351A7">
      <w:pPr>
        <w:spacing w:line="360"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b/>
          <w:bCs/>
          <w:i/>
          <w:iCs/>
          <w:color w:val="000000" w:themeColor="text1"/>
        </w:rPr>
        <w:t xml:space="preserve">III. </w:t>
      </w:r>
      <w:r w:rsidRPr="007351A7">
        <w:rPr>
          <w:rFonts w:ascii="Palatino Linotype" w:eastAsia="Palatino Linotype" w:hAnsi="Palatino Linotype" w:cs="Palatino Linotype"/>
          <w:i/>
          <w:iCs/>
          <w:color w:val="000000" w:themeColor="text1"/>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F22E86" w:rsidRPr="007351A7" w:rsidRDefault="00B27C24" w:rsidP="007351A7">
      <w:pPr>
        <w:spacing w:line="360"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b/>
          <w:bCs/>
          <w:i/>
          <w:iCs/>
          <w:color w:val="000000" w:themeColor="text1"/>
        </w:rPr>
        <w:t xml:space="preserve">IV. </w:t>
      </w:r>
      <w:r w:rsidRPr="007351A7">
        <w:rPr>
          <w:rFonts w:ascii="Palatino Linotype" w:eastAsia="Palatino Linotype" w:hAnsi="Palatino Linotype" w:cs="Palatino Linotype"/>
          <w:i/>
          <w:iCs/>
          <w:color w:val="000000" w:themeColor="text1"/>
        </w:rPr>
        <w:t>Notificará al órgano interno de control o equivalente del sujeto obligado quien, en su caso, deberá iniciar el procedimiento de responsabilidad administrativa que corresponda.</w:t>
      </w:r>
    </w:p>
    <w:p w:rsidR="00F22E86" w:rsidRPr="007351A7" w:rsidRDefault="00F22E86" w:rsidP="007351A7">
      <w:pPr>
        <w:spacing w:line="360" w:lineRule="auto"/>
        <w:jc w:val="both"/>
        <w:rPr>
          <w:rFonts w:ascii="Palatino Linotype" w:eastAsia="Palatino Linotype" w:hAnsi="Palatino Linotype" w:cs="Palatino Linotype"/>
          <w:i/>
          <w:iCs/>
          <w:color w:val="000000" w:themeColor="text1"/>
        </w:rPr>
      </w:pPr>
    </w:p>
    <w:p w:rsidR="00F22E86" w:rsidRPr="007351A7" w:rsidRDefault="00B27C24" w:rsidP="007351A7">
      <w:pPr>
        <w:spacing w:line="360"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La Unidad de Transparencia deberá notificarlo al solicitante por escrito, en un plazo que no exceda de quince días hábiles contados a partir del día siguiente a la presentación de la solicitud.</w:t>
      </w:r>
    </w:p>
    <w:p w:rsidR="00F22E86" w:rsidRPr="007351A7" w:rsidRDefault="00F22E86" w:rsidP="007351A7">
      <w:pPr>
        <w:spacing w:line="360" w:lineRule="auto"/>
        <w:jc w:val="both"/>
        <w:rPr>
          <w:rFonts w:ascii="Palatino Linotype" w:eastAsia="Palatino Linotype" w:hAnsi="Palatino Linotype" w:cs="Palatino Linotype"/>
          <w:i/>
          <w:iCs/>
          <w:color w:val="000000" w:themeColor="text1"/>
        </w:rPr>
      </w:pPr>
    </w:p>
    <w:p w:rsidR="00F22E86" w:rsidRPr="007351A7" w:rsidRDefault="00B27C24" w:rsidP="007351A7">
      <w:pPr>
        <w:spacing w:line="360"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Este plazo podrá ampliarse hasta por otros siete días hábiles, siempre que existan razones para ello, debiendo notificarse por escrito al solicitante.” (Sic)</w:t>
      </w:r>
    </w:p>
    <w:p w:rsidR="00F22E86" w:rsidRPr="007351A7" w:rsidRDefault="00F22E86" w:rsidP="007351A7">
      <w:pPr>
        <w:spacing w:line="360" w:lineRule="auto"/>
        <w:jc w:val="both"/>
        <w:rPr>
          <w:rFonts w:ascii="Palatino Linotype" w:eastAsia="Palatino Linotype" w:hAnsi="Palatino Linotype" w:cs="Palatino Linotype"/>
          <w:i/>
          <w:iCs/>
          <w:color w:val="000000" w:themeColor="text1"/>
        </w:rPr>
      </w:pPr>
    </w:p>
    <w:p w:rsidR="00F22E86" w:rsidRPr="007351A7" w:rsidRDefault="00B27C24" w:rsidP="007351A7">
      <w:pPr>
        <w:numPr>
          <w:ilvl w:val="0"/>
          <w:numId w:val="3"/>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lastRenderedPageBreak/>
        <w:t>Del precepto antes transcrito se advierte claramente que cuando la información no se encuentre en los archivos del Sujeto Obligado, el Comité de Transparencia deberá ordenar que se genere la información en caso de que ésta tuviera que existir en la medida que deriva del ejercicio de sus facultades, competencias o funciones.</w:t>
      </w:r>
    </w:p>
    <w:p w:rsidR="00F22E86" w:rsidRPr="007351A7" w:rsidRDefault="00F22E86" w:rsidP="007351A7">
      <w:pPr>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numPr>
          <w:ilvl w:val="0"/>
          <w:numId w:val="3"/>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Previo a observar las formalidades que han de observarse en dicho acuerdo y para mayor entendimiento sobre el concepto de inexistencia en materia de acceso a la información pública, es necesario señalar que el </w:t>
      </w:r>
      <w:r w:rsidRPr="007351A7">
        <w:rPr>
          <w:rFonts w:ascii="Palatino Linotype" w:eastAsia="Palatino Linotype" w:hAnsi="Palatino Linotype" w:cs="Palatino Linotype"/>
          <w:color w:val="000000" w:themeColor="text1"/>
          <w:highlight w:val="white"/>
        </w:rPr>
        <w:t>Instituto Nacional de Transparencia, Acceso a la Información y Protección de Datos Personales </w:t>
      </w:r>
      <w:r w:rsidRPr="007351A7">
        <w:rPr>
          <w:rFonts w:ascii="Palatino Linotype" w:eastAsia="Palatino Linotype" w:hAnsi="Palatino Linotype" w:cs="Palatino Linotype"/>
          <w:color w:val="000000" w:themeColor="text1"/>
        </w:rPr>
        <w:t>emitió el criterio número 14-17, que es de la literalidad siguiente:</w:t>
      </w:r>
    </w:p>
    <w:p w:rsidR="00F22E86" w:rsidRPr="007351A7" w:rsidRDefault="00B27C24" w:rsidP="007351A7">
      <w:pPr>
        <w:shd w:val="clear" w:color="auto" w:fill="FFFFFF"/>
        <w:spacing w:line="360" w:lineRule="auto"/>
        <w:jc w:val="center"/>
        <w:rPr>
          <w:rFonts w:ascii="Palatino Linotype" w:eastAsia="Palatino Linotype" w:hAnsi="Palatino Linotype" w:cs="Palatino Linotype"/>
          <w:b/>
          <w:bCs/>
          <w:i/>
          <w:iCs/>
          <w:color w:val="000000" w:themeColor="text1"/>
        </w:rPr>
      </w:pPr>
      <w:r w:rsidRPr="007351A7">
        <w:rPr>
          <w:rFonts w:ascii="Palatino Linotype" w:eastAsia="Palatino Linotype" w:hAnsi="Palatino Linotype" w:cs="Palatino Linotype"/>
          <w:b/>
          <w:bCs/>
          <w:i/>
          <w:iCs/>
          <w:color w:val="000000" w:themeColor="text1"/>
        </w:rPr>
        <w:t>“Criterio 14/17</w:t>
      </w:r>
    </w:p>
    <w:p w:rsidR="00F22E86" w:rsidRPr="007351A7" w:rsidRDefault="00F22E86" w:rsidP="007351A7">
      <w:pPr>
        <w:shd w:val="clear" w:color="auto" w:fill="FFFFFF"/>
        <w:spacing w:line="360" w:lineRule="auto"/>
        <w:jc w:val="center"/>
        <w:rPr>
          <w:rFonts w:ascii="Palatino Linotype" w:eastAsia="Palatino Linotype" w:hAnsi="Palatino Linotype" w:cs="Palatino Linotype"/>
          <w:color w:val="000000" w:themeColor="text1"/>
        </w:rPr>
      </w:pPr>
    </w:p>
    <w:p w:rsidR="00F22E86" w:rsidRPr="007351A7" w:rsidRDefault="00B27C24" w:rsidP="007351A7">
      <w:pPr>
        <w:shd w:val="clear" w:color="auto" w:fill="FFFFFF"/>
        <w:spacing w:line="360" w:lineRule="auto"/>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i/>
          <w:iCs/>
          <w:color w:val="000000" w:themeColor="text1"/>
        </w:rPr>
        <w:t>Inexistencia. La inexistencia es una cuestión de hecho que se atribuye a la información solicitada e implica que ésta </w:t>
      </w:r>
      <w:r w:rsidRPr="007351A7">
        <w:rPr>
          <w:rFonts w:ascii="Palatino Linotype" w:eastAsia="Palatino Linotype" w:hAnsi="Palatino Linotype" w:cs="Palatino Linotype"/>
          <w:b/>
          <w:bCs/>
          <w:i/>
          <w:iCs/>
          <w:color w:val="000000" w:themeColor="text1"/>
        </w:rPr>
        <w:t>no se encuentra en los archivos del sujeto obligado, no obstante que cuenta con facultades para poseerla</w:t>
      </w:r>
      <w:r w:rsidRPr="007351A7">
        <w:rPr>
          <w:rFonts w:ascii="Palatino Linotype" w:eastAsia="Palatino Linotype" w:hAnsi="Palatino Linotype" w:cs="Palatino Linotype"/>
          <w:i/>
          <w:iCs/>
          <w:color w:val="000000" w:themeColor="text1"/>
        </w:rPr>
        <w:t>.</w:t>
      </w:r>
    </w:p>
    <w:p w:rsidR="00F22E86" w:rsidRPr="007351A7" w:rsidRDefault="00B27C24" w:rsidP="007351A7">
      <w:pPr>
        <w:shd w:val="clear" w:color="auto" w:fill="FFFFFF"/>
        <w:spacing w:line="360" w:lineRule="auto"/>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i/>
          <w:iCs/>
          <w:color w:val="000000" w:themeColor="text1"/>
        </w:rPr>
        <w:t> </w:t>
      </w:r>
    </w:p>
    <w:p w:rsidR="00F22E86" w:rsidRPr="007351A7" w:rsidRDefault="00B27C24" w:rsidP="007351A7">
      <w:pPr>
        <w:shd w:val="clear" w:color="auto" w:fill="FFFFFF"/>
        <w:spacing w:line="360" w:lineRule="auto"/>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i/>
          <w:iCs/>
          <w:color w:val="000000" w:themeColor="text1"/>
        </w:rPr>
        <w:t>Resoluciones: </w:t>
      </w:r>
      <w:r w:rsidRPr="007351A7">
        <w:rPr>
          <w:rFonts w:ascii="Palatino Linotype" w:eastAsia="Palatino Linotype" w:hAnsi="Palatino Linotype" w:cs="Palatino Linotype"/>
          <w:color w:val="000000" w:themeColor="text1"/>
        </w:rPr>
        <w:t>·</w:t>
      </w:r>
      <w:r w:rsidRPr="007351A7">
        <w:rPr>
          <w:rFonts w:ascii="Palatino Linotype" w:eastAsia="Palatino Linotype" w:hAnsi="Palatino Linotype" w:cs="Palatino Linotype"/>
          <w:i/>
          <w:iCs/>
          <w:color w:val="000000" w:themeColor="text1"/>
        </w:rPr>
        <w:t> RRA 4669/16. Instituto Nacional Electoral. 18 de enero de 2017. Por unanimidad. Comisionado Ponente Joel Salas Suárez. </w:t>
      </w:r>
      <w:r w:rsidRPr="007351A7">
        <w:rPr>
          <w:rFonts w:ascii="Palatino Linotype" w:eastAsia="Palatino Linotype" w:hAnsi="Palatino Linotype" w:cs="Palatino Linotype"/>
          <w:color w:val="000000" w:themeColor="text1"/>
        </w:rPr>
        <w:t>·</w:t>
      </w:r>
      <w:r w:rsidRPr="007351A7">
        <w:rPr>
          <w:rFonts w:ascii="Palatino Linotype" w:eastAsia="Palatino Linotype" w:hAnsi="Palatino Linotype" w:cs="Palatino Linotype"/>
          <w:i/>
          <w:iCs/>
          <w:color w:val="000000" w:themeColor="text1"/>
        </w:rPr>
        <w:t> RRA 0183/17. Nueva Alianza. 01 de febrero de 2017. Por unanimidad. Comisionado Ponente Francisco Javier Acuña Llamas. </w:t>
      </w:r>
      <w:r w:rsidRPr="007351A7">
        <w:rPr>
          <w:rFonts w:ascii="Palatino Linotype" w:eastAsia="Palatino Linotype" w:hAnsi="Palatino Linotype" w:cs="Palatino Linotype"/>
          <w:color w:val="000000" w:themeColor="text1"/>
        </w:rPr>
        <w:t>·</w:t>
      </w:r>
      <w:r w:rsidRPr="007351A7">
        <w:rPr>
          <w:rFonts w:ascii="Palatino Linotype" w:eastAsia="Palatino Linotype" w:hAnsi="Palatino Linotype" w:cs="Palatino Linotype"/>
          <w:i/>
          <w:iCs/>
          <w:color w:val="000000" w:themeColor="text1"/>
        </w:rPr>
        <w:t> RRA 4484/16. Instituto Nacional de Migración. 16 de febrero de 2017. Por mayoría de seis votos a favor y uno en contra de la Comisionada Areli Cano Guadiana. Comisionada Ponente María Patricia Kurczyn Villalobos.”</w:t>
      </w:r>
    </w:p>
    <w:p w:rsidR="00F22E86" w:rsidRPr="007351A7" w:rsidRDefault="00B27C24" w:rsidP="007351A7">
      <w:pPr>
        <w:shd w:val="clear" w:color="auto" w:fill="FFFFFF"/>
        <w:spacing w:line="360" w:lineRule="auto"/>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 </w:t>
      </w:r>
    </w:p>
    <w:p w:rsidR="00F22E86" w:rsidRPr="007351A7" w:rsidRDefault="00B27C24" w:rsidP="007351A7">
      <w:pPr>
        <w:numPr>
          <w:ilvl w:val="0"/>
          <w:numId w:val="3"/>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lastRenderedPageBreak/>
        <w:t>Además como consecuencia de las disposiciones legales contenidas en la </w:t>
      </w:r>
      <w:r w:rsidRPr="007351A7">
        <w:rPr>
          <w:rFonts w:ascii="Palatino Linotype" w:eastAsia="Palatino Linotype" w:hAnsi="Palatino Linotype" w:cs="Palatino Linotype"/>
          <w:b/>
          <w:bCs/>
          <w:color w:val="000000" w:themeColor="text1"/>
        </w:rPr>
        <w:t>Ley General de Transparencia y Acceso a la Información Pública</w:t>
      </w:r>
      <w:r w:rsidRPr="007351A7">
        <w:rPr>
          <w:rFonts w:ascii="Palatino Linotype" w:eastAsia="Palatino Linotype" w:hAnsi="Palatino Linotype" w:cs="Palatino Linotype"/>
          <w:color w:val="000000" w:themeColor="text1"/>
        </w:rPr>
        <w:t>, es que existe el mandato expreso de que en caso de no existir la documentación que debió, por mandato de ley, generarse, administrarse o poseerse, es obligación de la autoridad emitir una declaratoria formal que debe reunir los requisitos señalados en la propia norma jurídica,</w:t>
      </w:r>
      <w:r w:rsidRPr="007351A7">
        <w:rPr>
          <w:rFonts w:ascii="Palatino Linotype" w:eastAsia="Palatino Linotype" w:hAnsi="Palatino Linotype" w:cs="Palatino Linotype"/>
          <w:color w:val="000000" w:themeColor="text1"/>
          <w:vertAlign w:val="superscript"/>
        </w:rPr>
        <w:footnoteReference w:id="5"/>
      </w:r>
      <w:r w:rsidRPr="007351A7">
        <w:rPr>
          <w:rFonts w:ascii="Palatino Linotype" w:eastAsia="Palatino Linotype" w:hAnsi="Palatino Linotype" w:cs="Palatino Linotype"/>
          <w:color w:val="000000" w:themeColor="text1"/>
        </w:rPr>
        <w:t>según puede apreciarse a continuación:</w:t>
      </w:r>
    </w:p>
    <w:p w:rsidR="00F22E86" w:rsidRPr="007351A7" w:rsidRDefault="00B27C24" w:rsidP="007351A7">
      <w:pPr>
        <w:shd w:val="clear" w:color="auto" w:fill="FFFFFF"/>
        <w:spacing w:before="240" w:after="360" w:line="360" w:lineRule="auto"/>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b/>
          <w:bCs/>
          <w:i/>
          <w:iCs/>
          <w:color w:val="000000" w:themeColor="text1"/>
        </w:rPr>
        <w:t>“Artículo 19.</w:t>
      </w:r>
      <w:r w:rsidRPr="007351A7">
        <w:rPr>
          <w:rFonts w:ascii="Palatino Linotype" w:eastAsia="Palatino Linotype" w:hAnsi="Palatino Linotype" w:cs="Palatino Linotype"/>
          <w:i/>
          <w:iCs/>
          <w:color w:val="000000" w:themeColor="text1"/>
        </w:rPr>
        <w:t> Se presume que la información debe existir si se refiere a las facultades, competencias y funciones que los ordenamientos jurídicos aplicables otorgan a los sujetos obligados.</w:t>
      </w:r>
    </w:p>
    <w:p w:rsidR="00F22E86" w:rsidRPr="007351A7" w:rsidRDefault="00B27C24" w:rsidP="007351A7">
      <w:pPr>
        <w:shd w:val="clear" w:color="auto" w:fill="FFFFFF"/>
        <w:spacing w:before="240" w:after="240" w:line="360"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En los casos en que ciertas facultades, competencias o funciones no se hayan ejercido, se debe motivar la respuesta en función de las causas que motiven la inexistencia.</w:t>
      </w:r>
    </w:p>
    <w:p w:rsidR="00F22E86" w:rsidRPr="007351A7" w:rsidRDefault="00B27C24" w:rsidP="007351A7">
      <w:pPr>
        <w:shd w:val="clear" w:color="auto" w:fill="FFFFFF"/>
        <w:spacing w:before="240" w:after="240" w:line="360" w:lineRule="auto"/>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i/>
          <w:iCs/>
          <w:color w:val="000000" w:themeColor="text1"/>
        </w:rPr>
        <w:t>(…)</w:t>
      </w:r>
    </w:p>
    <w:p w:rsidR="00F22E86" w:rsidRPr="007351A7" w:rsidRDefault="00B27C24" w:rsidP="007351A7">
      <w:pPr>
        <w:numPr>
          <w:ilvl w:val="0"/>
          <w:numId w:val="3"/>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 xml:space="preserve">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el criterio 0004-11 aprobado por el Pleno de este Órgano Garante, en la sesión ordinaria de fecha 25 de </w:t>
      </w:r>
      <w:r w:rsidRPr="007351A7">
        <w:rPr>
          <w:rFonts w:ascii="Palatino Linotype" w:eastAsia="Palatino Linotype" w:hAnsi="Palatino Linotype" w:cs="Palatino Linotype"/>
          <w:color w:val="000000" w:themeColor="text1"/>
        </w:rPr>
        <w:lastRenderedPageBreak/>
        <w:t>agosto del año 2011, que demuestran claramente el concepto de inexistencia, y en qué circunstancias debe emitirse la declaratoria respectiva:</w:t>
      </w:r>
    </w:p>
    <w:p w:rsidR="00F22E86" w:rsidRPr="007351A7" w:rsidRDefault="00B27C24" w:rsidP="007351A7">
      <w:pPr>
        <w:shd w:val="clear" w:color="auto" w:fill="FFFFFF"/>
        <w:tabs>
          <w:tab w:val="left" w:pos="8222"/>
        </w:tabs>
        <w:spacing w:line="276" w:lineRule="auto"/>
        <w:jc w:val="center"/>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b/>
          <w:bCs/>
          <w:i/>
          <w:iCs/>
          <w:color w:val="000000" w:themeColor="text1"/>
        </w:rPr>
        <w:t>“CRITERIO 0004-11</w:t>
      </w:r>
    </w:p>
    <w:p w:rsidR="00F22E86" w:rsidRPr="007351A7" w:rsidRDefault="00B27C24" w:rsidP="007351A7">
      <w:pPr>
        <w:shd w:val="clear" w:color="auto" w:fill="FFFFFF"/>
        <w:tabs>
          <w:tab w:val="left" w:pos="8222"/>
        </w:tabs>
        <w:spacing w:line="276" w:lineRule="auto"/>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b/>
          <w:bCs/>
          <w:i/>
          <w:iCs/>
          <w:color w:val="000000" w:themeColor="text1"/>
        </w:rPr>
        <w:t>INEXISTENCIA. DECLARATORIA DE LA. ALCANCES Y PROCEDIMIENTOS</w:t>
      </w:r>
      <w:r w:rsidRPr="007351A7">
        <w:rPr>
          <w:rFonts w:ascii="Palatino Linotype" w:eastAsia="Palatino Linotype" w:hAnsi="Palatino Linotype" w:cs="Palatino Linotype"/>
          <w:i/>
          <w:iCs/>
          <w:color w:val="000000" w:themeColor="text1"/>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F22E86" w:rsidRPr="007351A7" w:rsidRDefault="00B27C24" w:rsidP="007351A7">
      <w:pPr>
        <w:shd w:val="clear" w:color="auto" w:fill="FFFFFF"/>
        <w:tabs>
          <w:tab w:val="left" w:pos="8222"/>
        </w:tabs>
        <w:spacing w:line="276" w:lineRule="auto"/>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i/>
          <w:iCs/>
          <w:color w:val="000000" w:themeColor="text1"/>
        </w:rPr>
        <w:t>Bajo el entendido de que dicha búsqueda exhaustiva permitirá dos determinaciones:</w:t>
      </w:r>
    </w:p>
    <w:p w:rsidR="00F22E86" w:rsidRPr="007351A7" w:rsidRDefault="00B27C24" w:rsidP="007351A7">
      <w:pPr>
        <w:shd w:val="clear" w:color="auto" w:fill="FFFFFF"/>
        <w:tabs>
          <w:tab w:val="left" w:pos="8222"/>
        </w:tabs>
        <w:spacing w:line="276" w:lineRule="auto"/>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i/>
          <w:iCs/>
          <w:color w:val="000000" w:themeColor="text1"/>
        </w:rPr>
        <w:t>1ª) Que se localice la documentación que contenga la información solicitada y de ser así la información pueda entregarse al solicitante en la forma en que se encuentra disponible, o</w:t>
      </w:r>
    </w:p>
    <w:p w:rsidR="00F22E86" w:rsidRPr="007351A7" w:rsidRDefault="00B27C24" w:rsidP="007351A7">
      <w:pPr>
        <w:shd w:val="clear" w:color="auto" w:fill="FFFFFF"/>
        <w:tabs>
          <w:tab w:val="left" w:pos="8222"/>
        </w:tabs>
        <w:spacing w:line="276" w:lineRule="auto"/>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i/>
          <w:iCs/>
          <w:color w:val="000000" w:themeColor="text1"/>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F22E86" w:rsidRPr="007351A7" w:rsidRDefault="00B27C24" w:rsidP="007351A7">
      <w:pPr>
        <w:shd w:val="clear" w:color="auto" w:fill="FFFFFF"/>
        <w:tabs>
          <w:tab w:val="left" w:pos="8222"/>
        </w:tabs>
        <w:spacing w:line="276" w:lineRule="auto"/>
        <w:jc w:val="both"/>
        <w:rPr>
          <w:rFonts w:ascii="Palatino Linotype" w:eastAsia="Palatino Linotype" w:hAnsi="Palatino Linotype" w:cs="Palatino Linotype"/>
          <w:i/>
          <w:iCs/>
          <w:color w:val="000000" w:themeColor="text1"/>
        </w:rPr>
      </w:pPr>
      <w:r w:rsidRPr="007351A7">
        <w:rPr>
          <w:rFonts w:ascii="Palatino Linotype" w:eastAsia="Palatino Linotype" w:hAnsi="Palatino Linotype" w:cs="Palatino Linotype"/>
          <w:i/>
          <w:iCs/>
          <w:color w:val="000000" w:themeColor="text1"/>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 (Sic)</w:t>
      </w:r>
    </w:p>
    <w:p w:rsidR="00F22E86" w:rsidRPr="007351A7" w:rsidRDefault="00B27C24" w:rsidP="007351A7">
      <w:pPr>
        <w:numPr>
          <w:ilvl w:val="0"/>
          <w:numId w:val="3"/>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lastRenderedPageBreak/>
        <w:t>En consecuencia, </w:t>
      </w:r>
      <w:r w:rsidRPr="007351A7">
        <w:rPr>
          <w:rFonts w:ascii="Palatino Linotype" w:eastAsia="Palatino Linotype" w:hAnsi="Palatino Linotype" w:cs="Palatino Linotype"/>
          <w:b/>
          <w:bCs/>
          <w:color w:val="000000" w:themeColor="text1"/>
        </w:rPr>
        <w:t>el SUJETO OBLIGADO </w:t>
      </w:r>
      <w:r w:rsidRPr="007351A7">
        <w:rPr>
          <w:rFonts w:ascii="Palatino Linotype" w:eastAsia="Palatino Linotype" w:hAnsi="Palatino Linotype" w:cs="Palatino Linotype"/>
          <w:color w:val="000000" w:themeColor="text1"/>
        </w:rPr>
        <w:t>en todo tiempo debió cumplir con las formalidades exigidas por el marco jurídico implicando fundar y motivar su respuesta, por lo que deberá emitir un Acuerdo del Comité de Transparencia, que se hará del conocimiento del particular, pero, en los siguientes términos:</w:t>
      </w:r>
    </w:p>
    <w:p w:rsidR="00F22E86" w:rsidRPr="007351A7" w:rsidRDefault="00B27C24" w:rsidP="007351A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 Deberá emitir el acuerdo de inexistencia respectivo, en el entendido, que el acto de autoridad debe estar </w:t>
      </w:r>
      <w:r w:rsidRPr="007351A7">
        <w:rPr>
          <w:rFonts w:ascii="Palatino Linotype" w:eastAsia="Palatino Linotype" w:hAnsi="Palatino Linotype" w:cs="Palatino Linotype"/>
          <w:b/>
          <w:bCs/>
          <w:color w:val="000000" w:themeColor="text1"/>
        </w:rPr>
        <w:t>debidamente fundado y motivado.</w:t>
      </w:r>
    </w:p>
    <w:p w:rsidR="00F22E86" w:rsidRPr="007351A7" w:rsidRDefault="00B27C24" w:rsidP="007351A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 · Señalando el lugar y fecha de la resolución, el nombre del solicitante, la información solicitada, </w:t>
      </w:r>
      <w:r w:rsidRPr="007351A7">
        <w:rPr>
          <w:rFonts w:ascii="Palatino Linotype" w:eastAsia="Palatino Linotype" w:hAnsi="Palatino Linotype" w:cs="Palatino Linotype"/>
          <w:b/>
          <w:bCs/>
          <w:color w:val="000000" w:themeColor="text1"/>
        </w:rPr>
        <w:t>el fundamento y motivo por el cual se determina que la información solicitada no obra en sus archivos</w:t>
      </w:r>
      <w:r w:rsidRPr="007351A7">
        <w:rPr>
          <w:rFonts w:ascii="Palatino Linotype" w:eastAsia="Palatino Linotype" w:hAnsi="Palatino Linotype" w:cs="Palatino Linotype"/>
          <w:color w:val="000000" w:themeColor="text1"/>
        </w:rPr>
        <w:t>, los nombres y firmas autógrafas de los integrantes del Comité de Información.</w:t>
      </w:r>
    </w:p>
    <w:p w:rsidR="00F22E86" w:rsidRPr="007351A7" w:rsidRDefault="00F22E86" w:rsidP="007351A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numPr>
          <w:ilvl w:val="0"/>
          <w:numId w:val="3"/>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themeColor="text1"/>
        </w:rPr>
      </w:pPr>
      <w:bookmarkStart w:id="8" w:name="_heading=h.c5jq1no086x4" w:colFirst="0" w:colLast="0"/>
      <w:bookmarkEnd w:id="8"/>
      <w:r w:rsidRPr="007351A7">
        <w:rPr>
          <w:rFonts w:ascii="Palatino Linotype" w:eastAsia="Palatino Linotype" w:hAnsi="Palatino Linotype" w:cs="Palatino Linotype"/>
          <w:color w:val="000000" w:themeColor="text1"/>
        </w:rPr>
        <w:t>En ese caso su comité de Transparencia tiene el deber de emitir un acuerdo de inexistencia, el cual -se insiste-, se dicta en aquellos supuestos en los que si bien la información solicitada la genera, posee o administra el </w:t>
      </w:r>
      <w:r w:rsidRPr="007351A7">
        <w:rPr>
          <w:rFonts w:ascii="Palatino Linotype" w:eastAsia="Palatino Linotype" w:hAnsi="Palatino Linotype" w:cs="Palatino Linotype"/>
          <w:b/>
          <w:bCs/>
          <w:color w:val="000000" w:themeColor="text1"/>
        </w:rPr>
        <w:t>SUJETO OBLIGADO</w:t>
      </w:r>
      <w:r w:rsidRPr="007351A7">
        <w:rPr>
          <w:rFonts w:ascii="Palatino Linotype" w:eastAsia="Palatino Linotype" w:hAnsi="Palatino Linotype" w:cs="Palatino Linotype"/>
          <w:color w:val="000000" w:themeColor="text1"/>
        </w:rPr>
        <w:t> en el marco de las funciones de derecho público; sin embargo, éste no lo posee por la razones que se deben expresar </w:t>
      </w:r>
      <w:r w:rsidRPr="007351A7">
        <w:rPr>
          <w:rFonts w:ascii="Palatino Linotype" w:eastAsia="Palatino Linotype" w:hAnsi="Palatino Linotype" w:cs="Palatino Linotype"/>
          <w:b/>
          <w:bCs/>
          <w:color w:val="000000" w:themeColor="text1"/>
        </w:rPr>
        <w:t>a través de un acuerdo debidamente fundado y motivado </w:t>
      </w:r>
      <w:r w:rsidRPr="007351A7">
        <w:rPr>
          <w:rFonts w:ascii="Palatino Linotype" w:eastAsia="Palatino Linotype" w:hAnsi="Palatino Linotype" w:cs="Palatino Linotype"/>
          <w:color w:val="000000" w:themeColor="text1"/>
        </w:rPr>
        <w:t>esto en estricto apego a lo establecido en los artículos 169 y 170 de la Ley Estatal de Transparencia, situación que no ocurrió, por lo que, para dar cumplimiento a la resolución es necesario entregar el acuerdo emitido por el Comité de Transparencia mediante el cual se sustente la inexistencia de la información.</w:t>
      </w:r>
    </w:p>
    <w:p w:rsidR="00F22E86" w:rsidRPr="007351A7" w:rsidRDefault="00F22E86" w:rsidP="007351A7">
      <w:pPr>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 xml:space="preserve">Por lo anteriormente expuesto y fundado, este </w:t>
      </w:r>
      <w:r w:rsidRPr="007351A7">
        <w:rPr>
          <w:rFonts w:ascii="Palatino Linotype" w:eastAsia="Palatino Linotype" w:hAnsi="Palatino Linotype" w:cs="Palatino Linotype"/>
          <w:b/>
          <w:bCs/>
          <w:color w:val="000000" w:themeColor="text1"/>
        </w:rPr>
        <w:t>ÓRGANO GARANTE</w:t>
      </w:r>
      <w:r w:rsidRPr="007351A7">
        <w:rPr>
          <w:rFonts w:ascii="Palatino Linotype" w:eastAsia="Palatino Linotype" w:hAnsi="Palatino Linotype" w:cs="Palatino Linotype"/>
          <w:color w:val="000000" w:themeColor="text1"/>
        </w:rPr>
        <w:t xml:space="preserve"> emite los siguientes:</w:t>
      </w:r>
    </w:p>
    <w:p w:rsidR="00F22E86" w:rsidRPr="007351A7" w:rsidRDefault="00B27C24" w:rsidP="007351A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bookmarkStart w:id="9" w:name="_heading=h.4d34og8" w:colFirst="0" w:colLast="0"/>
      <w:bookmarkEnd w:id="9"/>
      <w:r w:rsidRPr="007351A7">
        <w:rPr>
          <w:rFonts w:ascii="Palatino Linotype" w:eastAsia="Palatino Linotype" w:hAnsi="Palatino Linotype" w:cs="Palatino Linotype"/>
          <w:color w:val="000000" w:themeColor="text1"/>
        </w:rPr>
        <w:lastRenderedPageBreak/>
        <w:t xml:space="preserve">Es por lo expuesto que resulta dable </w:t>
      </w:r>
      <w:r w:rsidRPr="007351A7">
        <w:rPr>
          <w:rFonts w:ascii="Palatino Linotype" w:eastAsia="Palatino Linotype" w:hAnsi="Palatino Linotype" w:cs="Palatino Linotype"/>
          <w:b/>
          <w:bCs/>
          <w:color w:val="000000" w:themeColor="text1"/>
        </w:rPr>
        <w:t xml:space="preserve">REVOCAR </w:t>
      </w:r>
      <w:r w:rsidRPr="007351A7">
        <w:rPr>
          <w:rFonts w:ascii="Palatino Linotype" w:eastAsia="Palatino Linotype" w:hAnsi="Palatino Linotype" w:cs="Palatino Linotype"/>
          <w:color w:val="000000" w:themeColor="text1"/>
        </w:rPr>
        <w:t xml:space="preserve">la respuesta del </w:t>
      </w:r>
      <w:r w:rsidRPr="007351A7">
        <w:rPr>
          <w:rFonts w:ascii="Palatino Linotype" w:eastAsia="Palatino Linotype" w:hAnsi="Palatino Linotype" w:cs="Palatino Linotype"/>
          <w:b/>
          <w:bCs/>
          <w:color w:val="000000" w:themeColor="text1"/>
        </w:rPr>
        <w:t xml:space="preserve">SUJETO OBLIGADO </w:t>
      </w:r>
      <w:r w:rsidRPr="007351A7">
        <w:rPr>
          <w:rFonts w:ascii="Palatino Linotype" w:eastAsia="Palatino Linotype" w:hAnsi="Palatino Linotype" w:cs="Palatino Linotype"/>
          <w:color w:val="000000" w:themeColor="text1"/>
        </w:rPr>
        <w:t>y ordenar el acuerdo de inexistencia respecto la información solicitada en los términos antes referidos.</w:t>
      </w:r>
    </w:p>
    <w:p w:rsidR="00F22E86" w:rsidRPr="007351A7" w:rsidRDefault="00F22E86" w:rsidP="007351A7">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rsidR="00F22E86" w:rsidRPr="007351A7" w:rsidRDefault="00B27C24" w:rsidP="007351A7">
      <w:pPr>
        <w:numPr>
          <w:ilvl w:val="0"/>
          <w:numId w:val="3"/>
        </w:numPr>
        <w:pBdr>
          <w:top w:val="nil"/>
          <w:left w:val="nil"/>
          <w:bottom w:val="nil"/>
          <w:right w:val="nil"/>
          <w:between w:val="nil"/>
        </w:pBdr>
        <w:spacing w:after="280" w:line="360" w:lineRule="auto"/>
        <w:ind w:left="0" w:firstLine="0"/>
        <w:jc w:val="both"/>
        <w:rPr>
          <w:rFonts w:ascii="Palatino Linotype" w:hAnsi="Palatino Linotype"/>
          <w:color w:val="000000" w:themeColor="text1"/>
        </w:rPr>
      </w:pPr>
      <w:r w:rsidRPr="007351A7">
        <w:rPr>
          <w:rFonts w:ascii="Palatino Linotype" w:eastAsia="Palatino Linotype" w:hAnsi="Palatino Linotype" w:cs="Palatino Linotype"/>
          <w:color w:val="000000" w:themeColor="text1"/>
        </w:rPr>
        <w:t>Por lo anteriormente expuesto, este Órgano Garante considera parcialmente fundadas las razones o motivos de inconformidad que plantea el</w:t>
      </w:r>
      <w:r w:rsidRPr="007351A7">
        <w:rPr>
          <w:rFonts w:ascii="Palatino Linotype" w:eastAsia="Palatino Linotype" w:hAnsi="Palatino Linotype" w:cs="Palatino Linotype"/>
          <w:b/>
          <w:bCs/>
          <w:color w:val="000000" w:themeColor="text1"/>
        </w:rPr>
        <w:t xml:space="preserve"> RECURRENTE</w:t>
      </w:r>
      <w:r w:rsidRPr="007351A7">
        <w:rPr>
          <w:rFonts w:ascii="Palatino Linotype" w:eastAsia="Palatino Linotype" w:hAnsi="Palatino Linotype" w:cs="Palatino Linotype"/>
          <w:color w:val="000000" w:themeColor="text1"/>
        </w:rPr>
        <w:t xml:space="preserve">, determinando </w:t>
      </w:r>
      <w:r w:rsidRPr="007351A7">
        <w:rPr>
          <w:rFonts w:ascii="Palatino Linotype" w:eastAsia="Palatino Linotype" w:hAnsi="Palatino Linotype" w:cs="Palatino Linotype"/>
          <w:b/>
          <w:bCs/>
          <w:smallCaps/>
          <w:color w:val="000000" w:themeColor="text1"/>
        </w:rPr>
        <w:t xml:space="preserve">REVOCAR  </w:t>
      </w:r>
      <w:r w:rsidRPr="007351A7">
        <w:rPr>
          <w:rFonts w:ascii="Palatino Linotype" w:eastAsia="Palatino Linotype" w:hAnsi="Palatino Linotype" w:cs="Palatino Linotype"/>
          <w:color w:val="000000" w:themeColor="text1"/>
        </w:rPr>
        <w:t xml:space="preserve">la respuesta del </w:t>
      </w:r>
      <w:r w:rsidRPr="007351A7">
        <w:rPr>
          <w:rFonts w:ascii="Palatino Linotype" w:eastAsia="Palatino Linotype" w:hAnsi="Palatino Linotype" w:cs="Palatino Linotype"/>
          <w:b/>
          <w:bCs/>
          <w:color w:val="000000" w:themeColor="text1"/>
        </w:rPr>
        <w:t>SUJETO OBLIGADO</w:t>
      </w:r>
      <w:r w:rsidRPr="007351A7">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7351A7">
        <w:rPr>
          <w:rFonts w:ascii="Palatino Linotype" w:eastAsia="Palatino Linotype" w:hAnsi="Palatino Linotype" w:cs="Palatino Linotype"/>
          <w:b/>
          <w:bCs/>
          <w:color w:val="000000" w:themeColor="text1"/>
        </w:rPr>
        <w:t>ÓRGANO GARANTE</w:t>
      </w:r>
      <w:r w:rsidRPr="007351A7">
        <w:rPr>
          <w:rFonts w:ascii="Palatino Linotype" w:eastAsia="Palatino Linotype" w:hAnsi="Palatino Linotype" w:cs="Palatino Linotype"/>
          <w:color w:val="000000" w:themeColor="text1"/>
        </w:rPr>
        <w:t xml:space="preserve"> emite los siguientes.</w:t>
      </w:r>
    </w:p>
    <w:p w:rsidR="00F22E86" w:rsidRPr="007351A7" w:rsidRDefault="00F22E86" w:rsidP="007351A7">
      <w:pPr>
        <w:pBdr>
          <w:top w:val="nil"/>
          <w:left w:val="nil"/>
          <w:bottom w:val="nil"/>
          <w:right w:val="nil"/>
          <w:between w:val="nil"/>
        </w:pBdr>
        <w:rPr>
          <w:rFonts w:ascii="Palatino Linotype" w:eastAsia="Palatino Linotype" w:hAnsi="Palatino Linotype" w:cs="Palatino Linotype"/>
          <w:color w:val="000000" w:themeColor="text1"/>
        </w:rPr>
      </w:pPr>
    </w:p>
    <w:p w:rsidR="00F22E86" w:rsidRPr="007351A7" w:rsidRDefault="00B27C24" w:rsidP="007351A7">
      <w:pPr>
        <w:pStyle w:val="Ttulo1"/>
        <w:spacing w:before="0" w:line="360" w:lineRule="auto"/>
        <w:jc w:val="center"/>
        <w:rPr>
          <w:rFonts w:ascii="Palatino Linotype" w:eastAsia="Palatino Linotype" w:hAnsi="Palatino Linotype" w:cs="Palatino Linotype"/>
          <w:b/>
          <w:bCs/>
          <w:color w:val="000000" w:themeColor="text1"/>
          <w:sz w:val="24"/>
          <w:szCs w:val="24"/>
        </w:rPr>
      </w:pPr>
      <w:r w:rsidRPr="007351A7">
        <w:rPr>
          <w:rFonts w:ascii="Palatino Linotype" w:eastAsia="Palatino Linotype" w:hAnsi="Palatino Linotype" w:cs="Palatino Linotype"/>
          <w:b/>
          <w:bCs/>
          <w:color w:val="000000" w:themeColor="text1"/>
          <w:sz w:val="24"/>
          <w:szCs w:val="24"/>
        </w:rPr>
        <w:t>R E S O L U T I V O S</w:t>
      </w:r>
    </w:p>
    <w:p w:rsidR="00F22E86" w:rsidRPr="007351A7" w:rsidRDefault="00F22E86" w:rsidP="007351A7">
      <w:pPr>
        <w:spacing w:line="360" w:lineRule="auto"/>
        <w:rPr>
          <w:rFonts w:ascii="Palatino Linotype" w:eastAsia="Palatino Linotype" w:hAnsi="Palatino Linotype" w:cs="Palatino Linotype"/>
          <w:color w:val="000000" w:themeColor="text1"/>
        </w:rPr>
      </w:pPr>
    </w:p>
    <w:p w:rsidR="00F22E86" w:rsidRPr="007351A7" w:rsidRDefault="00B27C24" w:rsidP="007351A7">
      <w:pPr>
        <w:spacing w:line="360" w:lineRule="auto"/>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b/>
          <w:bCs/>
          <w:color w:val="000000" w:themeColor="text1"/>
        </w:rPr>
        <w:t>PRIMERO</w:t>
      </w:r>
      <w:r w:rsidRPr="007351A7">
        <w:rPr>
          <w:rFonts w:ascii="Palatino Linotype" w:eastAsia="Palatino Linotype" w:hAnsi="Palatino Linotype" w:cs="Palatino Linotype"/>
          <w:color w:val="000000" w:themeColor="text1"/>
        </w:rPr>
        <w:t>. Resultan fundadas las</w:t>
      </w:r>
      <w:r w:rsidRPr="007351A7">
        <w:rPr>
          <w:rFonts w:ascii="Palatino Linotype" w:eastAsia="Palatino Linotype" w:hAnsi="Palatino Linotype" w:cs="Palatino Linotype"/>
          <w:b/>
          <w:bCs/>
          <w:color w:val="000000" w:themeColor="text1"/>
        </w:rPr>
        <w:t xml:space="preserve"> </w:t>
      </w:r>
      <w:r w:rsidRPr="007351A7">
        <w:rPr>
          <w:rFonts w:ascii="Palatino Linotype" w:eastAsia="Palatino Linotype" w:hAnsi="Palatino Linotype" w:cs="Palatino Linotype"/>
          <w:color w:val="000000" w:themeColor="text1"/>
        </w:rPr>
        <w:t xml:space="preserve">razones o motivos de inconformidad hechos valer en el Recurso de Revisión </w:t>
      </w:r>
      <w:r w:rsidRPr="007351A7">
        <w:rPr>
          <w:rFonts w:ascii="Palatino Linotype" w:eastAsia="Palatino Linotype" w:hAnsi="Palatino Linotype" w:cs="Palatino Linotype"/>
          <w:b/>
          <w:bCs/>
          <w:color w:val="000000" w:themeColor="text1"/>
        </w:rPr>
        <w:t xml:space="preserve">07283/INFOEM/IP/RR/2025, </w:t>
      </w:r>
      <w:r w:rsidRPr="007351A7">
        <w:rPr>
          <w:rFonts w:ascii="Palatino Linotype" w:eastAsia="Palatino Linotype" w:hAnsi="Palatino Linotype" w:cs="Palatino Linotype"/>
          <w:color w:val="000000" w:themeColor="text1"/>
        </w:rPr>
        <w:t xml:space="preserve">en términos del </w:t>
      </w:r>
      <w:r w:rsidRPr="007351A7">
        <w:rPr>
          <w:rFonts w:ascii="Palatino Linotype" w:eastAsia="Palatino Linotype" w:hAnsi="Palatino Linotype" w:cs="Palatino Linotype"/>
          <w:b/>
          <w:bCs/>
          <w:color w:val="000000" w:themeColor="text1"/>
        </w:rPr>
        <w:t xml:space="preserve">Considerando Cuarto </w:t>
      </w:r>
      <w:r w:rsidRPr="007351A7">
        <w:rPr>
          <w:rFonts w:ascii="Palatino Linotype" w:eastAsia="Palatino Linotype" w:hAnsi="Palatino Linotype" w:cs="Palatino Linotype"/>
          <w:color w:val="000000" w:themeColor="text1"/>
        </w:rPr>
        <w:t>de la presente resolución.</w:t>
      </w:r>
    </w:p>
    <w:p w:rsidR="00F22E86" w:rsidRPr="007351A7" w:rsidRDefault="00F22E86" w:rsidP="007351A7">
      <w:pPr>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spacing w:line="360" w:lineRule="auto"/>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b/>
          <w:bCs/>
          <w:color w:val="000000" w:themeColor="text1"/>
        </w:rPr>
        <w:t>SEGUNDO.</w:t>
      </w:r>
      <w:r w:rsidRPr="007351A7">
        <w:rPr>
          <w:rFonts w:ascii="Palatino Linotype" w:eastAsia="Palatino Linotype" w:hAnsi="Palatino Linotype" w:cs="Palatino Linotype"/>
          <w:color w:val="000000" w:themeColor="text1"/>
        </w:rPr>
        <w:t xml:space="preserve"> Se </w:t>
      </w:r>
      <w:r w:rsidRPr="007351A7">
        <w:rPr>
          <w:rFonts w:ascii="Palatino Linotype" w:eastAsia="Palatino Linotype" w:hAnsi="Palatino Linotype" w:cs="Palatino Linotype"/>
          <w:b/>
          <w:bCs/>
          <w:color w:val="000000" w:themeColor="text1"/>
        </w:rPr>
        <w:t xml:space="preserve">REVOCA </w:t>
      </w:r>
      <w:r w:rsidRPr="007351A7">
        <w:rPr>
          <w:rFonts w:ascii="Palatino Linotype" w:eastAsia="Palatino Linotype" w:hAnsi="Palatino Linotype" w:cs="Palatino Linotype"/>
          <w:color w:val="000000" w:themeColor="text1"/>
        </w:rPr>
        <w:t xml:space="preserve">la respuesta emitida por el </w:t>
      </w:r>
      <w:r w:rsidRPr="007351A7">
        <w:rPr>
          <w:rFonts w:ascii="Palatino Linotype" w:eastAsia="Palatino Linotype" w:hAnsi="Palatino Linotype" w:cs="Palatino Linotype"/>
          <w:b/>
          <w:bCs/>
          <w:color w:val="000000" w:themeColor="text1"/>
        </w:rPr>
        <w:t xml:space="preserve">Ayuntamiento de Naucalpan de Juárez </w:t>
      </w:r>
      <w:r w:rsidRPr="007351A7">
        <w:rPr>
          <w:rFonts w:ascii="Palatino Linotype" w:eastAsia="Palatino Linotype" w:hAnsi="Palatino Linotype" w:cs="Palatino Linotype"/>
          <w:color w:val="000000" w:themeColor="text1"/>
        </w:rPr>
        <w:t xml:space="preserve">y se </w:t>
      </w:r>
      <w:r w:rsidRPr="007351A7">
        <w:rPr>
          <w:rFonts w:ascii="Palatino Linotype" w:eastAsia="Palatino Linotype" w:hAnsi="Palatino Linotype" w:cs="Palatino Linotype"/>
          <w:b/>
          <w:bCs/>
          <w:color w:val="000000" w:themeColor="text1"/>
        </w:rPr>
        <w:t>ORDENA</w:t>
      </w:r>
      <w:r w:rsidRPr="007351A7">
        <w:rPr>
          <w:rFonts w:ascii="Palatino Linotype" w:eastAsia="Palatino Linotype" w:hAnsi="Palatino Linotype" w:cs="Palatino Linotype"/>
          <w:color w:val="000000" w:themeColor="text1"/>
        </w:rPr>
        <w:t xml:space="preserve"> entregar vía Sistema de Acceso a la Información Mexiquense </w:t>
      </w:r>
      <w:r w:rsidRPr="007351A7">
        <w:rPr>
          <w:rFonts w:ascii="Palatino Linotype" w:eastAsia="Palatino Linotype" w:hAnsi="Palatino Linotype" w:cs="Palatino Linotype"/>
          <w:b/>
          <w:bCs/>
          <w:color w:val="000000" w:themeColor="text1"/>
        </w:rPr>
        <w:t xml:space="preserve">(SAIMEX) </w:t>
      </w:r>
      <w:r w:rsidRPr="007351A7">
        <w:rPr>
          <w:rFonts w:ascii="Palatino Linotype" w:eastAsia="Palatino Linotype" w:hAnsi="Palatino Linotype" w:cs="Palatino Linotype"/>
          <w:color w:val="000000" w:themeColor="text1"/>
        </w:rPr>
        <w:t>lo siguiente:</w:t>
      </w:r>
    </w:p>
    <w:p w:rsidR="00F22E86" w:rsidRPr="007351A7" w:rsidRDefault="00B27C24" w:rsidP="007351A7">
      <w:pPr>
        <w:spacing w:line="360" w:lineRule="auto"/>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 xml:space="preserve"> </w:t>
      </w:r>
    </w:p>
    <w:p w:rsidR="00F22E86" w:rsidRPr="007351A7" w:rsidRDefault="00B27C24" w:rsidP="007351A7">
      <w:pPr>
        <w:numPr>
          <w:ilvl w:val="0"/>
          <w:numId w:val="2"/>
        </w:numPr>
        <w:pBdr>
          <w:top w:val="nil"/>
          <w:left w:val="nil"/>
          <w:bottom w:val="nil"/>
          <w:right w:val="nil"/>
          <w:between w:val="nil"/>
        </w:pBdr>
        <w:ind w:left="0" w:firstLine="0"/>
        <w:jc w:val="both"/>
        <w:rPr>
          <w:rFonts w:ascii="Palatino Linotype" w:eastAsia="Palatino Linotype" w:hAnsi="Palatino Linotype" w:cs="Palatino Linotype"/>
          <w:b/>
          <w:bCs/>
          <w:i/>
          <w:iCs/>
          <w:color w:val="000000" w:themeColor="text1"/>
        </w:rPr>
      </w:pPr>
      <w:r w:rsidRPr="007351A7">
        <w:rPr>
          <w:rFonts w:ascii="Palatino Linotype" w:eastAsia="Palatino Linotype" w:hAnsi="Palatino Linotype" w:cs="Palatino Linotype"/>
          <w:b/>
          <w:bCs/>
          <w:color w:val="000000" w:themeColor="text1"/>
        </w:rPr>
        <w:lastRenderedPageBreak/>
        <w:t>Acuerdo emitido por el Comité de Transparencia en el que se declare la inexistencia de las Opiniones Técnicas referidas en la solicitud de información.</w:t>
      </w:r>
    </w:p>
    <w:p w:rsidR="00F22E86" w:rsidRPr="007351A7" w:rsidRDefault="00F22E86" w:rsidP="007351A7">
      <w:pPr>
        <w:jc w:val="center"/>
        <w:rPr>
          <w:rFonts w:ascii="Palatino Linotype" w:eastAsia="Palatino Linotype" w:hAnsi="Palatino Linotype" w:cs="Palatino Linotype"/>
          <w:i/>
          <w:iCs/>
          <w:color w:val="000000" w:themeColor="text1"/>
        </w:rPr>
      </w:pPr>
    </w:p>
    <w:p w:rsidR="00F22E86" w:rsidRPr="007351A7" w:rsidRDefault="00B27C24" w:rsidP="007351A7">
      <w:pPr>
        <w:tabs>
          <w:tab w:val="left" w:pos="2947"/>
        </w:tabs>
        <w:spacing w:line="360" w:lineRule="auto"/>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ab/>
      </w:r>
    </w:p>
    <w:p w:rsidR="00F22E86" w:rsidRPr="007351A7" w:rsidRDefault="00B27C24" w:rsidP="007351A7">
      <w:pPr>
        <w:tabs>
          <w:tab w:val="left" w:pos="8080"/>
        </w:tabs>
        <w:spacing w:line="360" w:lineRule="auto"/>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b/>
          <w:bCs/>
          <w:color w:val="000000" w:themeColor="text1"/>
        </w:rPr>
        <w:t xml:space="preserve">TERCERO. NOTIFÍQUESE </w:t>
      </w:r>
      <w:r w:rsidRPr="007351A7">
        <w:rPr>
          <w:rFonts w:ascii="Palatino Linotype" w:eastAsia="Palatino Linotype" w:hAnsi="Palatino Linotype" w:cs="Palatino Linotype"/>
          <w:color w:val="000000" w:themeColor="text1"/>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7351A7">
        <w:rPr>
          <w:rFonts w:ascii="Palatino Linotype" w:eastAsia="Palatino Linotype" w:hAnsi="Palatino Linotype" w:cs="Palatino Linotype"/>
          <w:b/>
          <w:bCs/>
          <w:color w:val="000000" w:themeColor="text1"/>
        </w:rPr>
        <w:t xml:space="preserve">dé cumplimiento a lo ordenado dentro del plazo de diez días hábiles, </w:t>
      </w:r>
      <w:r w:rsidRPr="007351A7">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F22E86" w:rsidRPr="007351A7" w:rsidRDefault="00F22E86" w:rsidP="007351A7">
      <w:pPr>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spacing w:line="360" w:lineRule="auto"/>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b/>
          <w:bCs/>
          <w:color w:val="000000" w:themeColor="text1"/>
        </w:rPr>
        <w:t xml:space="preserve">CUARTO. </w:t>
      </w:r>
      <w:r w:rsidRPr="007351A7">
        <w:rPr>
          <w:rFonts w:ascii="Palatino Linotype" w:eastAsia="Palatino Linotype" w:hAnsi="Palatino Linotype" w:cs="Palatino Linotype"/>
          <w:color w:val="000000" w:themeColor="text1"/>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F22E86" w:rsidRPr="007351A7" w:rsidRDefault="00F22E86" w:rsidP="007351A7">
      <w:pPr>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spacing w:line="360" w:lineRule="auto"/>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b/>
          <w:bCs/>
          <w:color w:val="000000" w:themeColor="text1"/>
        </w:rPr>
        <w:t xml:space="preserve">QUINTO. Notifíquese </w:t>
      </w:r>
      <w:r w:rsidR="0066404A">
        <w:rPr>
          <w:rFonts w:ascii="Palatino Linotype" w:eastAsia="Palatino Linotype" w:hAnsi="Palatino Linotype" w:cs="Palatino Linotype"/>
          <w:color w:val="000000" w:themeColor="text1"/>
        </w:rPr>
        <w:t xml:space="preserve">al </w:t>
      </w:r>
      <w:r w:rsidRPr="007351A7">
        <w:rPr>
          <w:rFonts w:ascii="Palatino Linotype" w:eastAsia="Palatino Linotype" w:hAnsi="Palatino Linotype" w:cs="Palatino Linotype"/>
          <w:b/>
          <w:bCs/>
          <w:color w:val="000000" w:themeColor="text1"/>
        </w:rPr>
        <w:t>RECURRENTE</w:t>
      </w:r>
      <w:r w:rsidRPr="007351A7">
        <w:rPr>
          <w:rFonts w:ascii="Palatino Linotype" w:eastAsia="Palatino Linotype" w:hAnsi="Palatino Linotype" w:cs="Palatino Linotype"/>
          <w:color w:val="000000" w:themeColor="text1"/>
        </w:rPr>
        <w:t xml:space="preserve"> la presente resolución, vía SAIMEX.</w:t>
      </w:r>
    </w:p>
    <w:p w:rsidR="00F22E86" w:rsidRPr="007351A7" w:rsidRDefault="00F22E86" w:rsidP="007351A7">
      <w:pPr>
        <w:spacing w:line="360" w:lineRule="auto"/>
        <w:jc w:val="both"/>
        <w:rPr>
          <w:rFonts w:ascii="Palatino Linotype" w:eastAsia="Palatino Linotype" w:hAnsi="Palatino Linotype" w:cs="Palatino Linotype"/>
          <w:color w:val="000000" w:themeColor="text1"/>
        </w:rPr>
      </w:pPr>
    </w:p>
    <w:p w:rsidR="00F22E86" w:rsidRPr="007351A7" w:rsidRDefault="00B27C24" w:rsidP="007351A7">
      <w:pPr>
        <w:spacing w:line="360" w:lineRule="auto"/>
        <w:jc w:val="both"/>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b/>
          <w:bCs/>
          <w:color w:val="000000" w:themeColor="text1"/>
        </w:rPr>
        <w:t>SEXTO.</w:t>
      </w:r>
      <w:r w:rsidRPr="007351A7">
        <w:rPr>
          <w:rFonts w:ascii="Palatino Linotype" w:eastAsia="Palatino Linotype" w:hAnsi="Palatino Linotype" w:cs="Palatino Linotype"/>
          <w:color w:val="000000" w:themeColor="text1"/>
        </w:rPr>
        <w:t xml:space="preserve"> Se hace del conocimiento de</w:t>
      </w:r>
      <w:r w:rsidR="0066404A">
        <w:rPr>
          <w:rFonts w:ascii="Palatino Linotype" w:eastAsia="Palatino Linotype" w:hAnsi="Palatino Linotype" w:cs="Palatino Linotype"/>
          <w:color w:val="000000" w:themeColor="text1"/>
        </w:rPr>
        <w:t xml:space="preserve">l </w:t>
      </w:r>
      <w:r w:rsidRPr="007351A7">
        <w:rPr>
          <w:rFonts w:ascii="Palatino Linotype" w:eastAsia="Palatino Linotype" w:hAnsi="Palatino Linotype" w:cs="Palatino Linotype"/>
          <w:b/>
          <w:bCs/>
          <w:color w:val="000000" w:themeColor="text1"/>
        </w:rPr>
        <w:t>RECURRENTE</w:t>
      </w:r>
      <w:r w:rsidRPr="007351A7">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w:t>
      </w:r>
      <w:r w:rsidRPr="007351A7">
        <w:rPr>
          <w:rFonts w:ascii="Palatino Linotype" w:eastAsia="Palatino Linotype" w:hAnsi="Palatino Linotype" w:cs="Palatino Linotype"/>
          <w:color w:val="000000" w:themeColor="text1"/>
        </w:rPr>
        <w:lastRenderedPageBreak/>
        <w:t>algún perjuicio podrá impugnarla vía juicio de amparo en los términos de las leyes aplicables.</w:t>
      </w:r>
    </w:p>
    <w:p w:rsidR="00F22E86" w:rsidRDefault="00F22E86" w:rsidP="007351A7">
      <w:pPr>
        <w:spacing w:line="360" w:lineRule="auto"/>
        <w:jc w:val="both"/>
        <w:rPr>
          <w:rFonts w:ascii="Palatino Linotype" w:eastAsia="Palatino Linotype" w:hAnsi="Palatino Linotype" w:cs="Palatino Linotype"/>
          <w:color w:val="000000" w:themeColor="text1"/>
        </w:rPr>
      </w:pPr>
    </w:p>
    <w:p w:rsidR="00F22E86" w:rsidRPr="007351A7" w:rsidRDefault="0066404A" w:rsidP="007351A7">
      <w:pPr>
        <w:spacing w:line="360" w:lineRule="auto"/>
        <w:jc w:val="both"/>
        <w:rPr>
          <w:rFonts w:ascii="Palatino Linotype" w:eastAsia="Palatino Linotype" w:hAnsi="Palatino Linotype" w:cs="Palatino Linotype"/>
          <w:color w:val="000000" w:themeColor="text1"/>
        </w:rPr>
      </w:pPr>
      <w:bookmarkStart w:id="10" w:name="_heading=h.30j0zll" w:colFirst="0" w:colLast="0"/>
      <w:bookmarkEnd w:id="10"/>
      <w:r w:rsidRPr="0066404A">
        <w:rPr>
          <w:rFonts w:ascii="Palatino Linotype" w:eastAsia="Palatino Linotype" w:hAnsi="Palatino Linotype" w:cs="Palatino Linotype"/>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CATORCE (14) DE ENERO DE DOS MIL VEINTISÉIS, ANTE EL SECRETARIO TÉCNICO DEL PLENO ALEXIS TAPIA RAMÍREZ.</w:t>
      </w:r>
    </w:p>
    <w:p w:rsidR="00F22E86" w:rsidRPr="007351A7" w:rsidRDefault="00F22E86" w:rsidP="007351A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22E86" w:rsidRPr="007351A7" w:rsidRDefault="00F22E86" w:rsidP="007351A7">
      <w:pPr>
        <w:spacing w:line="360" w:lineRule="auto"/>
        <w:jc w:val="both"/>
        <w:rPr>
          <w:rFonts w:ascii="Palatino Linotype" w:eastAsia="Palatino Linotype" w:hAnsi="Palatino Linotype" w:cs="Palatino Linotype"/>
          <w:color w:val="000000" w:themeColor="text1"/>
        </w:rPr>
      </w:pPr>
    </w:p>
    <w:p w:rsidR="00F22E86" w:rsidRPr="007351A7" w:rsidRDefault="00F22E86" w:rsidP="007351A7">
      <w:pPr>
        <w:spacing w:line="360" w:lineRule="auto"/>
        <w:jc w:val="both"/>
        <w:rPr>
          <w:rFonts w:ascii="Palatino Linotype" w:eastAsia="Palatino Linotype" w:hAnsi="Palatino Linotype" w:cs="Palatino Linotype"/>
          <w:color w:val="000000" w:themeColor="text1"/>
        </w:rPr>
      </w:pPr>
    </w:p>
    <w:p w:rsidR="00F22E86" w:rsidRPr="007351A7" w:rsidRDefault="00F22E86" w:rsidP="007351A7">
      <w:pPr>
        <w:spacing w:line="360" w:lineRule="auto"/>
        <w:jc w:val="both"/>
        <w:rPr>
          <w:rFonts w:ascii="Palatino Linotype" w:eastAsia="Palatino Linotype" w:hAnsi="Palatino Linotype" w:cs="Palatino Linotype"/>
          <w:color w:val="000000" w:themeColor="text1"/>
        </w:rPr>
      </w:pPr>
    </w:p>
    <w:p w:rsidR="00F22E86" w:rsidRPr="007351A7" w:rsidRDefault="00F22E86" w:rsidP="007351A7">
      <w:pPr>
        <w:spacing w:line="360" w:lineRule="auto"/>
        <w:jc w:val="both"/>
        <w:rPr>
          <w:rFonts w:ascii="Palatino Linotype" w:eastAsia="Palatino Linotype" w:hAnsi="Palatino Linotype" w:cs="Palatino Linotype"/>
          <w:color w:val="000000" w:themeColor="text1"/>
        </w:rPr>
      </w:pPr>
    </w:p>
    <w:p w:rsidR="00F22E86" w:rsidRPr="007351A7" w:rsidRDefault="00F22E86" w:rsidP="007351A7">
      <w:pPr>
        <w:spacing w:line="360" w:lineRule="auto"/>
        <w:jc w:val="both"/>
        <w:rPr>
          <w:rFonts w:ascii="Palatino Linotype" w:eastAsia="Palatino Linotype" w:hAnsi="Palatino Linotype" w:cs="Palatino Linotype"/>
          <w:color w:val="000000" w:themeColor="text1"/>
        </w:rPr>
      </w:pPr>
    </w:p>
    <w:p w:rsidR="00F22E86" w:rsidRPr="007351A7" w:rsidRDefault="00F22E86" w:rsidP="007351A7">
      <w:pPr>
        <w:spacing w:line="360" w:lineRule="auto"/>
        <w:jc w:val="both"/>
        <w:rPr>
          <w:rFonts w:ascii="Palatino Linotype" w:eastAsia="Palatino Linotype" w:hAnsi="Palatino Linotype" w:cs="Palatino Linotype"/>
          <w:color w:val="000000" w:themeColor="text1"/>
        </w:rPr>
      </w:pPr>
    </w:p>
    <w:p w:rsidR="00F22E86" w:rsidRPr="007351A7" w:rsidRDefault="00F22E86" w:rsidP="007351A7">
      <w:pPr>
        <w:spacing w:line="360" w:lineRule="auto"/>
        <w:rPr>
          <w:rFonts w:ascii="Palatino Linotype" w:eastAsia="Palatino Linotype" w:hAnsi="Palatino Linotype" w:cs="Palatino Linotype"/>
          <w:color w:val="000000" w:themeColor="text1"/>
        </w:rPr>
      </w:pPr>
    </w:p>
    <w:p w:rsidR="00F22E86" w:rsidRPr="007351A7" w:rsidRDefault="00F22E86" w:rsidP="007351A7">
      <w:pPr>
        <w:spacing w:line="360" w:lineRule="auto"/>
        <w:rPr>
          <w:rFonts w:ascii="Palatino Linotype" w:eastAsia="Palatino Linotype" w:hAnsi="Palatino Linotype" w:cs="Palatino Linotype"/>
          <w:color w:val="000000" w:themeColor="text1"/>
        </w:rPr>
      </w:pPr>
    </w:p>
    <w:p w:rsidR="00F22E86" w:rsidRPr="007351A7" w:rsidRDefault="00F22E86" w:rsidP="007351A7">
      <w:pPr>
        <w:spacing w:line="360" w:lineRule="auto"/>
        <w:rPr>
          <w:rFonts w:ascii="Palatino Linotype" w:eastAsia="Palatino Linotype" w:hAnsi="Palatino Linotype" w:cs="Palatino Linotype"/>
          <w:color w:val="000000" w:themeColor="text1"/>
        </w:rPr>
      </w:pPr>
    </w:p>
    <w:p w:rsidR="00F22E86" w:rsidRPr="007351A7" w:rsidRDefault="00F22E86" w:rsidP="007351A7">
      <w:pPr>
        <w:spacing w:line="360" w:lineRule="auto"/>
        <w:rPr>
          <w:rFonts w:ascii="Palatino Linotype" w:eastAsia="Palatino Linotype" w:hAnsi="Palatino Linotype" w:cs="Palatino Linotype"/>
          <w:color w:val="000000" w:themeColor="text1"/>
        </w:rPr>
      </w:pPr>
    </w:p>
    <w:p w:rsidR="00F22E86" w:rsidRPr="007351A7" w:rsidRDefault="00F22E86" w:rsidP="007351A7">
      <w:pPr>
        <w:spacing w:line="360" w:lineRule="auto"/>
        <w:rPr>
          <w:rFonts w:ascii="Palatino Linotype" w:eastAsia="Palatino Linotype" w:hAnsi="Palatino Linotype" w:cs="Palatino Linotype"/>
          <w:color w:val="000000" w:themeColor="text1"/>
        </w:rPr>
      </w:pPr>
    </w:p>
    <w:p w:rsidR="00F22E86" w:rsidRPr="007351A7" w:rsidRDefault="00F22E86" w:rsidP="007351A7">
      <w:pPr>
        <w:spacing w:line="360" w:lineRule="auto"/>
        <w:rPr>
          <w:rFonts w:ascii="Palatino Linotype" w:eastAsia="Palatino Linotype" w:hAnsi="Palatino Linotype" w:cs="Palatino Linotype"/>
          <w:color w:val="000000" w:themeColor="text1"/>
        </w:rPr>
      </w:pPr>
    </w:p>
    <w:p w:rsidR="00F22E86" w:rsidRPr="007351A7" w:rsidRDefault="00F22E86" w:rsidP="007351A7">
      <w:pPr>
        <w:spacing w:line="360" w:lineRule="auto"/>
        <w:rPr>
          <w:rFonts w:ascii="Palatino Linotype" w:eastAsia="Palatino Linotype" w:hAnsi="Palatino Linotype" w:cs="Palatino Linotype"/>
          <w:color w:val="000000" w:themeColor="text1"/>
        </w:rPr>
      </w:pPr>
    </w:p>
    <w:p w:rsidR="00F22E86" w:rsidRPr="007351A7" w:rsidRDefault="00B27C24" w:rsidP="007351A7">
      <w:pPr>
        <w:tabs>
          <w:tab w:val="left" w:pos="3374"/>
        </w:tabs>
        <w:spacing w:line="360" w:lineRule="auto"/>
        <w:rPr>
          <w:rFonts w:ascii="Palatino Linotype" w:eastAsia="Palatino Linotype" w:hAnsi="Palatino Linotype" w:cs="Palatino Linotype"/>
          <w:color w:val="000000" w:themeColor="text1"/>
        </w:rPr>
      </w:pPr>
      <w:r w:rsidRPr="007351A7">
        <w:rPr>
          <w:rFonts w:ascii="Palatino Linotype" w:eastAsia="Palatino Linotype" w:hAnsi="Palatino Linotype" w:cs="Palatino Linotype"/>
          <w:color w:val="000000" w:themeColor="text1"/>
        </w:rPr>
        <w:tab/>
      </w:r>
    </w:p>
    <w:p w:rsidR="00F22E86" w:rsidRPr="007351A7" w:rsidRDefault="00F22E86" w:rsidP="007351A7">
      <w:pPr>
        <w:tabs>
          <w:tab w:val="left" w:pos="3374"/>
        </w:tabs>
        <w:spacing w:line="360" w:lineRule="auto"/>
        <w:rPr>
          <w:rFonts w:ascii="Palatino Linotype" w:eastAsia="Palatino Linotype" w:hAnsi="Palatino Linotype" w:cs="Palatino Linotype"/>
          <w:color w:val="000000" w:themeColor="text1"/>
        </w:rPr>
      </w:pPr>
    </w:p>
    <w:p w:rsidR="00F22E86" w:rsidRPr="007351A7" w:rsidRDefault="00F22E86" w:rsidP="007351A7">
      <w:pPr>
        <w:tabs>
          <w:tab w:val="left" w:pos="3374"/>
        </w:tabs>
        <w:spacing w:line="360" w:lineRule="auto"/>
        <w:rPr>
          <w:rFonts w:ascii="Palatino Linotype" w:eastAsia="Palatino Linotype" w:hAnsi="Palatino Linotype" w:cs="Palatino Linotype"/>
          <w:color w:val="000000" w:themeColor="text1"/>
        </w:rPr>
      </w:pPr>
    </w:p>
    <w:p w:rsidR="00F22E86" w:rsidRPr="007351A7" w:rsidRDefault="00F22E86" w:rsidP="007351A7">
      <w:pPr>
        <w:tabs>
          <w:tab w:val="left" w:pos="3374"/>
        </w:tabs>
        <w:spacing w:line="360" w:lineRule="auto"/>
        <w:rPr>
          <w:rFonts w:ascii="Palatino Linotype" w:eastAsia="Palatino Linotype" w:hAnsi="Palatino Linotype" w:cs="Palatino Linotype"/>
          <w:color w:val="000000" w:themeColor="text1"/>
        </w:rPr>
      </w:pPr>
    </w:p>
    <w:p w:rsidR="00F22E86" w:rsidRPr="007351A7" w:rsidRDefault="00F22E86" w:rsidP="007351A7">
      <w:pPr>
        <w:tabs>
          <w:tab w:val="left" w:pos="3374"/>
        </w:tabs>
        <w:spacing w:line="360" w:lineRule="auto"/>
        <w:rPr>
          <w:rFonts w:ascii="Palatino Linotype" w:eastAsia="Palatino Linotype" w:hAnsi="Palatino Linotype" w:cs="Palatino Linotype"/>
          <w:color w:val="000000" w:themeColor="text1"/>
        </w:rPr>
      </w:pPr>
    </w:p>
    <w:p w:rsidR="00F22E86" w:rsidRPr="007351A7" w:rsidRDefault="00F22E86" w:rsidP="007351A7">
      <w:pPr>
        <w:tabs>
          <w:tab w:val="left" w:pos="3374"/>
        </w:tabs>
        <w:spacing w:line="360" w:lineRule="auto"/>
        <w:rPr>
          <w:rFonts w:ascii="Palatino Linotype" w:eastAsia="Palatino Linotype" w:hAnsi="Palatino Linotype" w:cs="Palatino Linotype"/>
          <w:color w:val="000000" w:themeColor="text1"/>
        </w:rPr>
      </w:pPr>
    </w:p>
    <w:p w:rsidR="00F22E86" w:rsidRPr="007351A7" w:rsidRDefault="00F22E86" w:rsidP="007351A7">
      <w:pPr>
        <w:tabs>
          <w:tab w:val="left" w:pos="3374"/>
        </w:tabs>
        <w:spacing w:line="360" w:lineRule="auto"/>
        <w:rPr>
          <w:rFonts w:ascii="Palatino Linotype" w:eastAsia="Palatino Linotype" w:hAnsi="Palatino Linotype" w:cs="Palatino Linotype"/>
          <w:color w:val="000000" w:themeColor="text1"/>
        </w:rPr>
      </w:pPr>
    </w:p>
    <w:p w:rsidR="00F22E86" w:rsidRPr="007351A7" w:rsidRDefault="00F22E86" w:rsidP="007351A7">
      <w:pPr>
        <w:tabs>
          <w:tab w:val="left" w:pos="3374"/>
        </w:tabs>
        <w:spacing w:line="360" w:lineRule="auto"/>
        <w:rPr>
          <w:rFonts w:ascii="Palatino Linotype" w:eastAsia="Palatino Linotype" w:hAnsi="Palatino Linotype" w:cs="Palatino Linotype"/>
          <w:color w:val="000000" w:themeColor="text1"/>
        </w:rPr>
      </w:pPr>
    </w:p>
    <w:p w:rsidR="00F22E86" w:rsidRPr="007351A7" w:rsidRDefault="00F22E86" w:rsidP="007351A7">
      <w:pPr>
        <w:tabs>
          <w:tab w:val="left" w:pos="3374"/>
        </w:tabs>
        <w:spacing w:line="360" w:lineRule="auto"/>
        <w:rPr>
          <w:rFonts w:ascii="Palatino Linotype" w:eastAsia="Palatino Linotype" w:hAnsi="Palatino Linotype" w:cs="Palatino Linotype"/>
          <w:color w:val="000000" w:themeColor="text1"/>
        </w:rPr>
      </w:pPr>
    </w:p>
    <w:p w:rsidR="00F22E86" w:rsidRPr="007351A7" w:rsidRDefault="00F22E86" w:rsidP="007351A7">
      <w:pPr>
        <w:tabs>
          <w:tab w:val="left" w:pos="3374"/>
        </w:tabs>
        <w:spacing w:line="360" w:lineRule="auto"/>
        <w:rPr>
          <w:rFonts w:ascii="Palatino Linotype" w:eastAsia="Palatino Linotype" w:hAnsi="Palatino Linotype" w:cs="Palatino Linotype"/>
          <w:color w:val="000000" w:themeColor="text1"/>
        </w:rPr>
      </w:pPr>
    </w:p>
    <w:p w:rsidR="00F22E86" w:rsidRPr="007351A7" w:rsidRDefault="00F22E86" w:rsidP="007351A7">
      <w:pPr>
        <w:tabs>
          <w:tab w:val="left" w:pos="3374"/>
        </w:tabs>
        <w:spacing w:line="360" w:lineRule="auto"/>
        <w:rPr>
          <w:rFonts w:ascii="Palatino Linotype" w:eastAsia="Palatino Linotype" w:hAnsi="Palatino Linotype" w:cs="Palatino Linotype"/>
          <w:color w:val="000000" w:themeColor="text1"/>
        </w:rPr>
      </w:pPr>
    </w:p>
    <w:p w:rsidR="00F22E86" w:rsidRPr="007351A7" w:rsidRDefault="00F22E86" w:rsidP="007351A7">
      <w:pPr>
        <w:rPr>
          <w:rFonts w:ascii="Palatino Linotype" w:hAnsi="Palatino Linotype"/>
          <w:color w:val="000000" w:themeColor="text1"/>
        </w:rPr>
      </w:pPr>
    </w:p>
    <w:p w:rsidR="00F22E86" w:rsidRPr="007351A7" w:rsidRDefault="00F22E86" w:rsidP="007351A7">
      <w:pPr>
        <w:rPr>
          <w:rFonts w:ascii="Palatino Linotype" w:hAnsi="Palatino Linotype"/>
          <w:color w:val="000000" w:themeColor="text1"/>
        </w:rPr>
      </w:pPr>
    </w:p>
    <w:p w:rsidR="00F22E86" w:rsidRPr="007351A7" w:rsidRDefault="00F22E86" w:rsidP="007351A7">
      <w:pPr>
        <w:rPr>
          <w:rFonts w:ascii="Palatino Linotype" w:hAnsi="Palatino Linotype"/>
          <w:color w:val="000000" w:themeColor="text1"/>
        </w:rPr>
      </w:pPr>
    </w:p>
    <w:p w:rsidR="00F22E86" w:rsidRPr="007351A7" w:rsidRDefault="00F22E86" w:rsidP="007351A7">
      <w:pPr>
        <w:rPr>
          <w:rFonts w:ascii="Palatino Linotype" w:hAnsi="Palatino Linotype"/>
          <w:color w:val="000000" w:themeColor="text1"/>
        </w:rPr>
      </w:pPr>
    </w:p>
    <w:sectPr w:rsidR="00F22E86" w:rsidRPr="007351A7" w:rsidSect="006C41A1">
      <w:headerReference w:type="even" r:id="rId9"/>
      <w:headerReference w:type="default" r:id="rId10"/>
      <w:footerReference w:type="default" r:id="rId11"/>
      <w:headerReference w:type="first" r:id="rId12"/>
      <w:footerReference w:type="first" r:id="rId13"/>
      <w:pgSz w:w="12240" w:h="15840"/>
      <w:pgMar w:top="2269" w:right="900"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57F" w:rsidRDefault="009C757F">
      <w:r>
        <w:separator/>
      </w:r>
    </w:p>
  </w:endnote>
  <w:endnote w:type="continuationSeparator" w:id="0">
    <w:p w:rsidR="009C757F" w:rsidRDefault="009C7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5F76EE06-40C5-4361-8549-91A1ADD8A207}"/>
    <w:embedBold r:id="rId2" w:fontKey="{A146C73B-AD48-4439-81D9-8EA0E3008EF7}"/>
    <w:embedItalic r:id="rId3" w:fontKey="{28DFF4BB-3015-444E-B195-263C8F9B98C7}"/>
    <w:embedBoldItalic r:id="rId4" w:fontKey="{5B697D92-714D-4E7D-B86B-E9C3FEB794B2}"/>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5" w:fontKey="{1D6F9C4A-950E-4C4D-9676-263E116DFC7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733D87E3-93D7-4F3F-AB5A-929DF473356F}"/>
    <w:embedBold r:id="rId7" w:fontKey="{B2355E02-8799-45D7-AE6D-E3F47A07ADDB}"/>
    <w:embedItalic r:id="rId8" w:fontKey="{5CD802D2-6B17-4B4D-97EA-8B3239CEF064}"/>
  </w:font>
  <w:font w:name="Calibri Light">
    <w:panose1 w:val="020F0302020204030204"/>
    <w:charset w:val="00"/>
    <w:family w:val="swiss"/>
    <w:pitch w:val="variable"/>
    <w:sig w:usb0="E4002EFF" w:usb1="C200247B" w:usb2="00000009" w:usb3="00000000" w:csb0="000001FF" w:csb1="00000000"/>
    <w:embedRegular r:id="rId9" w:fontKey="{A08383E8-F95B-4759-8F67-9FD82B3B6DE9}"/>
  </w:font>
  <w:font w:name="Modica Black">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embedRegular r:id="rId10" w:fontKey="{9F3EE146-B86A-45D8-AA2C-4C02D2394FF5}"/>
  </w:font>
  <w:font w:name="Georgia">
    <w:panose1 w:val="02040502050405020303"/>
    <w:charset w:val="00"/>
    <w:family w:val="roman"/>
    <w:pitch w:val="variable"/>
    <w:sig w:usb0="00000287" w:usb1="00000000" w:usb2="00000000" w:usb3="00000000" w:csb0="0000009F" w:csb1="00000000"/>
    <w:embedItalic r:id="rId11" w:fontKey="{A99C4CBD-1A61-4440-9C24-6D7E308376A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E86" w:rsidRPr="006C41A1" w:rsidRDefault="00B27C2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6C41A1">
      <w:rPr>
        <w:rFonts w:ascii="Palatino Linotype" w:eastAsia="Palatino Linotype" w:hAnsi="Palatino Linotype" w:cs="Palatino Linotype"/>
        <w:color w:val="000000"/>
        <w:sz w:val="22"/>
        <w:szCs w:val="20"/>
      </w:rPr>
      <w:t xml:space="preserve">Página </w:t>
    </w:r>
    <w:r w:rsidRPr="006C41A1">
      <w:rPr>
        <w:rFonts w:ascii="Palatino Linotype" w:eastAsia="Palatino Linotype" w:hAnsi="Palatino Linotype" w:cs="Palatino Linotype"/>
        <w:color w:val="000000"/>
        <w:sz w:val="22"/>
        <w:szCs w:val="20"/>
      </w:rPr>
      <w:fldChar w:fldCharType="begin"/>
    </w:r>
    <w:r w:rsidRPr="006C41A1">
      <w:rPr>
        <w:rFonts w:ascii="Palatino Linotype" w:eastAsia="Palatino Linotype" w:hAnsi="Palatino Linotype" w:cs="Palatino Linotype"/>
        <w:color w:val="000000"/>
        <w:sz w:val="22"/>
        <w:szCs w:val="20"/>
      </w:rPr>
      <w:instrText>PAGE</w:instrText>
    </w:r>
    <w:r w:rsidRPr="006C41A1">
      <w:rPr>
        <w:rFonts w:ascii="Palatino Linotype" w:eastAsia="Palatino Linotype" w:hAnsi="Palatino Linotype" w:cs="Palatino Linotype"/>
        <w:color w:val="000000"/>
        <w:sz w:val="22"/>
        <w:szCs w:val="20"/>
      </w:rPr>
      <w:fldChar w:fldCharType="separate"/>
    </w:r>
    <w:r w:rsidR="00822A1B">
      <w:rPr>
        <w:rFonts w:ascii="Palatino Linotype" w:eastAsia="Palatino Linotype" w:hAnsi="Palatino Linotype" w:cs="Palatino Linotype"/>
        <w:noProof/>
        <w:color w:val="000000"/>
        <w:sz w:val="22"/>
        <w:szCs w:val="20"/>
      </w:rPr>
      <w:t>21</w:t>
    </w:r>
    <w:r w:rsidRPr="006C41A1">
      <w:rPr>
        <w:rFonts w:ascii="Palatino Linotype" w:eastAsia="Palatino Linotype" w:hAnsi="Palatino Linotype" w:cs="Palatino Linotype"/>
        <w:color w:val="000000"/>
        <w:sz w:val="22"/>
        <w:szCs w:val="20"/>
      </w:rPr>
      <w:fldChar w:fldCharType="end"/>
    </w:r>
    <w:r w:rsidRPr="006C41A1">
      <w:rPr>
        <w:rFonts w:ascii="Palatino Linotype" w:eastAsia="Palatino Linotype" w:hAnsi="Palatino Linotype" w:cs="Palatino Linotype"/>
        <w:color w:val="000000"/>
        <w:sz w:val="22"/>
        <w:szCs w:val="20"/>
      </w:rPr>
      <w:t xml:space="preserve"> de </w:t>
    </w:r>
    <w:r w:rsidRPr="006C41A1">
      <w:rPr>
        <w:rFonts w:ascii="Palatino Linotype" w:eastAsia="Palatino Linotype" w:hAnsi="Palatino Linotype" w:cs="Palatino Linotype"/>
        <w:color w:val="000000"/>
        <w:sz w:val="22"/>
        <w:szCs w:val="20"/>
      </w:rPr>
      <w:fldChar w:fldCharType="begin"/>
    </w:r>
    <w:r w:rsidRPr="006C41A1">
      <w:rPr>
        <w:rFonts w:ascii="Palatino Linotype" w:eastAsia="Palatino Linotype" w:hAnsi="Palatino Linotype" w:cs="Palatino Linotype"/>
        <w:color w:val="000000"/>
        <w:sz w:val="22"/>
        <w:szCs w:val="20"/>
      </w:rPr>
      <w:instrText>NUMPAGES</w:instrText>
    </w:r>
    <w:r w:rsidRPr="006C41A1">
      <w:rPr>
        <w:rFonts w:ascii="Palatino Linotype" w:eastAsia="Palatino Linotype" w:hAnsi="Palatino Linotype" w:cs="Palatino Linotype"/>
        <w:color w:val="000000"/>
        <w:sz w:val="22"/>
        <w:szCs w:val="20"/>
      </w:rPr>
      <w:fldChar w:fldCharType="separate"/>
    </w:r>
    <w:r w:rsidR="00822A1B">
      <w:rPr>
        <w:rFonts w:ascii="Palatino Linotype" w:eastAsia="Palatino Linotype" w:hAnsi="Palatino Linotype" w:cs="Palatino Linotype"/>
        <w:noProof/>
        <w:color w:val="000000"/>
        <w:sz w:val="22"/>
        <w:szCs w:val="20"/>
      </w:rPr>
      <w:t>29</w:t>
    </w:r>
    <w:r w:rsidRPr="006C41A1">
      <w:rPr>
        <w:rFonts w:ascii="Palatino Linotype" w:eastAsia="Palatino Linotype" w:hAnsi="Palatino Linotype" w:cs="Palatino Linotype"/>
        <w:color w:val="000000"/>
        <w:sz w:val="22"/>
        <w:szCs w:val="20"/>
      </w:rPr>
      <w:fldChar w:fldCharType="end"/>
    </w:r>
  </w:p>
  <w:p w:rsidR="00F22E86" w:rsidRDefault="00F22E8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E86" w:rsidRPr="006C41A1" w:rsidRDefault="00B27C2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6C41A1">
      <w:rPr>
        <w:rFonts w:ascii="Palatino Linotype" w:eastAsia="Palatino Linotype" w:hAnsi="Palatino Linotype" w:cs="Palatino Linotype"/>
        <w:color w:val="000000"/>
        <w:sz w:val="22"/>
        <w:szCs w:val="20"/>
      </w:rPr>
      <w:t xml:space="preserve">Página </w:t>
    </w:r>
    <w:r w:rsidRPr="006C41A1">
      <w:rPr>
        <w:rFonts w:ascii="Palatino Linotype" w:eastAsia="Palatino Linotype" w:hAnsi="Palatino Linotype" w:cs="Palatino Linotype"/>
        <w:color w:val="000000"/>
        <w:sz w:val="22"/>
        <w:szCs w:val="20"/>
      </w:rPr>
      <w:fldChar w:fldCharType="begin"/>
    </w:r>
    <w:r w:rsidRPr="006C41A1">
      <w:rPr>
        <w:rFonts w:ascii="Palatino Linotype" w:eastAsia="Palatino Linotype" w:hAnsi="Palatino Linotype" w:cs="Palatino Linotype"/>
        <w:color w:val="000000"/>
        <w:sz w:val="22"/>
        <w:szCs w:val="20"/>
      </w:rPr>
      <w:instrText>PAGE</w:instrText>
    </w:r>
    <w:r w:rsidRPr="006C41A1">
      <w:rPr>
        <w:rFonts w:ascii="Palatino Linotype" w:eastAsia="Palatino Linotype" w:hAnsi="Palatino Linotype" w:cs="Palatino Linotype"/>
        <w:color w:val="000000"/>
        <w:sz w:val="22"/>
        <w:szCs w:val="20"/>
      </w:rPr>
      <w:fldChar w:fldCharType="separate"/>
    </w:r>
    <w:r w:rsidR="00822A1B">
      <w:rPr>
        <w:rFonts w:ascii="Palatino Linotype" w:eastAsia="Palatino Linotype" w:hAnsi="Palatino Linotype" w:cs="Palatino Linotype"/>
        <w:noProof/>
        <w:color w:val="000000"/>
        <w:sz w:val="22"/>
        <w:szCs w:val="20"/>
      </w:rPr>
      <w:t>1</w:t>
    </w:r>
    <w:r w:rsidRPr="006C41A1">
      <w:rPr>
        <w:rFonts w:ascii="Palatino Linotype" w:eastAsia="Palatino Linotype" w:hAnsi="Palatino Linotype" w:cs="Palatino Linotype"/>
        <w:color w:val="000000"/>
        <w:sz w:val="22"/>
        <w:szCs w:val="20"/>
      </w:rPr>
      <w:fldChar w:fldCharType="end"/>
    </w:r>
    <w:r w:rsidRPr="006C41A1">
      <w:rPr>
        <w:rFonts w:ascii="Palatino Linotype" w:eastAsia="Palatino Linotype" w:hAnsi="Palatino Linotype" w:cs="Palatino Linotype"/>
        <w:color w:val="000000"/>
        <w:sz w:val="22"/>
        <w:szCs w:val="20"/>
      </w:rPr>
      <w:t xml:space="preserve"> de </w:t>
    </w:r>
    <w:r w:rsidRPr="006C41A1">
      <w:rPr>
        <w:rFonts w:ascii="Palatino Linotype" w:eastAsia="Palatino Linotype" w:hAnsi="Palatino Linotype" w:cs="Palatino Linotype"/>
        <w:color w:val="000000"/>
        <w:sz w:val="22"/>
        <w:szCs w:val="20"/>
      </w:rPr>
      <w:fldChar w:fldCharType="begin"/>
    </w:r>
    <w:r w:rsidRPr="006C41A1">
      <w:rPr>
        <w:rFonts w:ascii="Palatino Linotype" w:eastAsia="Palatino Linotype" w:hAnsi="Palatino Linotype" w:cs="Palatino Linotype"/>
        <w:color w:val="000000"/>
        <w:sz w:val="22"/>
        <w:szCs w:val="20"/>
      </w:rPr>
      <w:instrText>NUMPAGES</w:instrText>
    </w:r>
    <w:r w:rsidRPr="006C41A1">
      <w:rPr>
        <w:rFonts w:ascii="Palatino Linotype" w:eastAsia="Palatino Linotype" w:hAnsi="Palatino Linotype" w:cs="Palatino Linotype"/>
        <w:color w:val="000000"/>
        <w:sz w:val="22"/>
        <w:szCs w:val="20"/>
      </w:rPr>
      <w:fldChar w:fldCharType="separate"/>
    </w:r>
    <w:r w:rsidR="00822A1B">
      <w:rPr>
        <w:rFonts w:ascii="Palatino Linotype" w:eastAsia="Palatino Linotype" w:hAnsi="Palatino Linotype" w:cs="Palatino Linotype"/>
        <w:noProof/>
        <w:color w:val="000000"/>
        <w:sz w:val="22"/>
        <w:szCs w:val="20"/>
      </w:rPr>
      <w:t>29</w:t>
    </w:r>
    <w:r w:rsidRPr="006C41A1">
      <w:rPr>
        <w:rFonts w:ascii="Palatino Linotype" w:eastAsia="Palatino Linotype" w:hAnsi="Palatino Linotype" w:cs="Palatino Linotype"/>
        <w:color w:val="000000"/>
        <w:sz w:val="22"/>
        <w:szCs w:val="20"/>
      </w:rPr>
      <w:fldChar w:fldCharType="end"/>
    </w:r>
  </w:p>
  <w:p w:rsidR="00F22E86" w:rsidRDefault="00F22E8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57F" w:rsidRDefault="009C757F">
      <w:r>
        <w:separator/>
      </w:r>
    </w:p>
  </w:footnote>
  <w:footnote w:type="continuationSeparator" w:id="0">
    <w:p w:rsidR="009C757F" w:rsidRDefault="009C757F">
      <w:r>
        <w:continuationSeparator/>
      </w:r>
    </w:p>
  </w:footnote>
  <w:footnote w:id="1">
    <w:p w:rsidR="00F22E86" w:rsidRDefault="00B27C2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F22E86" w:rsidRDefault="00B27C2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F22E86" w:rsidRDefault="00B27C2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F22E86" w:rsidRDefault="00B27C2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rsidR="00F22E86" w:rsidRDefault="00B27C2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222222"/>
          <w:sz w:val="20"/>
          <w:szCs w:val="20"/>
        </w:rPr>
        <w:t>Lo anterior es incluso un requerimiento del sistema interamericano de protección a los derechos humanos. </w:t>
      </w:r>
      <w:r>
        <w:rPr>
          <w:i/>
          <w:iCs/>
          <w:color w:val="222222"/>
          <w:sz w:val="20"/>
          <w:szCs w:val="20"/>
        </w:rPr>
        <w:t>Ibídem</w:t>
      </w:r>
      <w:r>
        <w:rPr>
          <w:color w:val="222222"/>
          <w:sz w:val="20"/>
          <w:szCs w:val="20"/>
        </w:rPr>
        <w:t>. Párr. 113.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E86" w:rsidRDefault="009C757F">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
      <w:tblW w:w="7512" w:type="dxa"/>
      <w:tblInd w:w="2694" w:type="dxa"/>
      <w:tblLayout w:type="fixed"/>
      <w:tblLook w:val="0400" w:firstRow="0" w:lastRow="0" w:firstColumn="0" w:lastColumn="0" w:noHBand="0" w:noVBand="1"/>
    </w:tblPr>
    <w:tblGrid>
      <w:gridCol w:w="2976"/>
      <w:gridCol w:w="4536"/>
    </w:tblGrid>
    <w:tr w:rsidR="00F22E86" w:rsidTr="007351A7">
      <w:trPr>
        <w:trHeight w:val="227"/>
      </w:trPr>
      <w:tc>
        <w:tcPr>
          <w:tcW w:w="2976" w:type="dxa"/>
          <w:vAlign w:val="center"/>
        </w:tcPr>
        <w:p w:rsidR="00F22E86" w:rsidRPr="007351A7" w:rsidRDefault="00B27C24" w:rsidP="007351A7">
          <w:pPr>
            <w:ind w:right="34"/>
            <w:jc w:val="right"/>
            <w:rPr>
              <w:rFonts w:ascii="Palatino Linotype" w:eastAsia="Palatino Linotype" w:hAnsi="Palatino Linotype" w:cs="Palatino Linotype"/>
              <w:b/>
              <w:bCs/>
              <w:color w:val="000000" w:themeColor="text1"/>
            </w:rPr>
          </w:pPr>
          <w:r w:rsidRPr="007351A7">
            <w:rPr>
              <w:rFonts w:ascii="Palatino Linotype" w:eastAsia="Palatino Linotype" w:hAnsi="Palatino Linotype" w:cs="Palatino Linotype"/>
              <w:b/>
              <w:bCs/>
              <w:color w:val="000000" w:themeColor="text1"/>
            </w:rPr>
            <w:t>Recurso de Revisión:</w:t>
          </w:r>
        </w:p>
      </w:tc>
      <w:tc>
        <w:tcPr>
          <w:tcW w:w="4536" w:type="dxa"/>
          <w:vAlign w:val="center"/>
        </w:tcPr>
        <w:p w:rsidR="00F22E86" w:rsidRPr="007351A7" w:rsidRDefault="00B27C24" w:rsidP="007351A7">
          <w:pPr>
            <w:pBdr>
              <w:top w:val="nil"/>
              <w:left w:val="nil"/>
              <w:bottom w:val="nil"/>
              <w:right w:val="nil"/>
              <w:between w:val="nil"/>
            </w:pBdr>
            <w:tabs>
              <w:tab w:val="right" w:pos="8838"/>
            </w:tabs>
            <w:ind w:right="-213"/>
            <w:rPr>
              <w:rFonts w:ascii="Palatino Linotype" w:eastAsia="Palatino Linotype" w:hAnsi="Palatino Linotype" w:cs="Palatino Linotype"/>
              <w:bCs/>
              <w:color w:val="000000" w:themeColor="text1"/>
            </w:rPr>
          </w:pPr>
          <w:r w:rsidRPr="007351A7">
            <w:rPr>
              <w:rFonts w:ascii="Palatino Linotype" w:eastAsia="Palatino Linotype" w:hAnsi="Palatino Linotype" w:cs="Palatino Linotype"/>
              <w:bCs/>
              <w:color w:val="000000" w:themeColor="text1"/>
            </w:rPr>
            <w:t>07283/INFOEM/IP/RR/2025</w:t>
          </w:r>
        </w:p>
      </w:tc>
    </w:tr>
    <w:tr w:rsidR="00F22E86" w:rsidTr="007351A7">
      <w:trPr>
        <w:trHeight w:val="242"/>
      </w:trPr>
      <w:tc>
        <w:tcPr>
          <w:tcW w:w="2976" w:type="dxa"/>
          <w:vAlign w:val="center"/>
        </w:tcPr>
        <w:p w:rsidR="00F22E86" w:rsidRPr="007351A7" w:rsidRDefault="00B27C24" w:rsidP="007351A7">
          <w:pPr>
            <w:ind w:right="34"/>
            <w:jc w:val="right"/>
            <w:rPr>
              <w:rFonts w:ascii="Palatino Linotype" w:eastAsia="Palatino Linotype" w:hAnsi="Palatino Linotype" w:cs="Palatino Linotype"/>
              <w:b/>
              <w:bCs/>
              <w:color w:val="000000" w:themeColor="text1"/>
            </w:rPr>
          </w:pPr>
          <w:r w:rsidRPr="007351A7">
            <w:rPr>
              <w:rFonts w:ascii="Palatino Linotype" w:eastAsia="Palatino Linotype" w:hAnsi="Palatino Linotype" w:cs="Palatino Linotype"/>
              <w:b/>
              <w:bCs/>
              <w:color w:val="000000" w:themeColor="text1"/>
            </w:rPr>
            <w:t>Sujeto Obligado:</w:t>
          </w:r>
        </w:p>
      </w:tc>
      <w:tc>
        <w:tcPr>
          <w:tcW w:w="4536" w:type="dxa"/>
          <w:vAlign w:val="center"/>
        </w:tcPr>
        <w:p w:rsidR="00F22E86" w:rsidRPr="007351A7" w:rsidRDefault="00B27C24" w:rsidP="007351A7">
          <w:pPr>
            <w:pBdr>
              <w:top w:val="nil"/>
              <w:left w:val="nil"/>
              <w:bottom w:val="nil"/>
              <w:right w:val="nil"/>
              <w:between w:val="nil"/>
            </w:pBdr>
            <w:tabs>
              <w:tab w:val="right" w:pos="8838"/>
            </w:tabs>
            <w:ind w:right="-213"/>
            <w:jc w:val="both"/>
            <w:rPr>
              <w:rFonts w:ascii="Palatino Linotype" w:eastAsia="Palatino Linotype" w:hAnsi="Palatino Linotype" w:cs="Palatino Linotype"/>
              <w:bCs/>
              <w:color w:val="000000" w:themeColor="text1"/>
            </w:rPr>
          </w:pPr>
          <w:r w:rsidRPr="007351A7">
            <w:rPr>
              <w:rFonts w:ascii="Palatino Linotype" w:eastAsia="Palatino Linotype" w:hAnsi="Palatino Linotype" w:cs="Palatino Linotype"/>
              <w:bCs/>
              <w:color w:val="000000" w:themeColor="text1"/>
            </w:rPr>
            <w:t>Ayuntamiento de Naucalpan de Juárez</w:t>
          </w:r>
        </w:p>
      </w:tc>
    </w:tr>
    <w:tr w:rsidR="00F22E86" w:rsidTr="007351A7">
      <w:trPr>
        <w:trHeight w:val="342"/>
      </w:trPr>
      <w:tc>
        <w:tcPr>
          <w:tcW w:w="2976" w:type="dxa"/>
          <w:vAlign w:val="center"/>
        </w:tcPr>
        <w:p w:rsidR="00F22E86" w:rsidRPr="007351A7" w:rsidRDefault="00B27C24" w:rsidP="007351A7">
          <w:pPr>
            <w:ind w:right="34"/>
            <w:jc w:val="right"/>
            <w:rPr>
              <w:rFonts w:ascii="Palatino Linotype" w:eastAsia="Palatino Linotype" w:hAnsi="Palatino Linotype" w:cs="Palatino Linotype"/>
              <w:b/>
              <w:bCs/>
              <w:color w:val="000000" w:themeColor="text1"/>
            </w:rPr>
          </w:pPr>
          <w:r w:rsidRPr="007351A7">
            <w:rPr>
              <w:rFonts w:ascii="Palatino Linotype" w:eastAsia="Palatino Linotype" w:hAnsi="Palatino Linotype" w:cs="Palatino Linotype"/>
              <w:b/>
              <w:bCs/>
              <w:color w:val="000000" w:themeColor="text1"/>
            </w:rPr>
            <w:t>Comisionada Ponente:</w:t>
          </w:r>
        </w:p>
      </w:tc>
      <w:tc>
        <w:tcPr>
          <w:tcW w:w="4536" w:type="dxa"/>
          <w:vAlign w:val="center"/>
        </w:tcPr>
        <w:p w:rsidR="00F22E86" w:rsidRPr="007351A7" w:rsidRDefault="00B27C24" w:rsidP="007351A7">
          <w:pPr>
            <w:pBdr>
              <w:top w:val="nil"/>
              <w:left w:val="nil"/>
              <w:bottom w:val="nil"/>
              <w:right w:val="nil"/>
              <w:between w:val="nil"/>
            </w:pBdr>
            <w:tabs>
              <w:tab w:val="right" w:pos="8838"/>
            </w:tabs>
            <w:ind w:right="-213"/>
            <w:rPr>
              <w:rFonts w:ascii="Palatino Linotype" w:eastAsia="Palatino Linotype" w:hAnsi="Palatino Linotype" w:cs="Palatino Linotype"/>
              <w:bCs/>
              <w:color w:val="000000" w:themeColor="text1"/>
            </w:rPr>
          </w:pPr>
          <w:r w:rsidRPr="007351A7">
            <w:rPr>
              <w:rFonts w:ascii="Palatino Linotype" w:eastAsia="Palatino Linotype" w:hAnsi="Palatino Linotype" w:cs="Palatino Linotype"/>
              <w:bCs/>
              <w:color w:val="000000" w:themeColor="text1"/>
            </w:rPr>
            <w:t>María del Rosario Mejía Ayala</w:t>
          </w:r>
        </w:p>
      </w:tc>
    </w:tr>
  </w:tbl>
  <w:p w:rsidR="00F22E86" w:rsidRDefault="009C757F">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68.55pt;margin-top:-122.4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654" w:type="dxa"/>
      <w:tblInd w:w="2552" w:type="dxa"/>
      <w:tblLayout w:type="fixed"/>
      <w:tblLook w:val="0400" w:firstRow="0" w:lastRow="0" w:firstColumn="0" w:lastColumn="0" w:noHBand="0" w:noVBand="1"/>
    </w:tblPr>
    <w:tblGrid>
      <w:gridCol w:w="2977"/>
      <w:gridCol w:w="4677"/>
    </w:tblGrid>
    <w:tr w:rsidR="00F22E86" w:rsidTr="007351A7">
      <w:trPr>
        <w:trHeight w:val="227"/>
      </w:trPr>
      <w:tc>
        <w:tcPr>
          <w:tcW w:w="2977" w:type="dxa"/>
          <w:vAlign w:val="center"/>
        </w:tcPr>
        <w:p w:rsidR="00F22E86" w:rsidRPr="007351A7" w:rsidRDefault="00B27C24" w:rsidP="007351A7">
          <w:pPr>
            <w:jc w:val="right"/>
            <w:rPr>
              <w:rFonts w:ascii="Palatino Linotype" w:eastAsia="Palatino Linotype" w:hAnsi="Palatino Linotype" w:cs="Palatino Linotype"/>
              <w:b/>
              <w:bCs/>
              <w:color w:val="000000" w:themeColor="text1"/>
            </w:rPr>
          </w:pPr>
          <w:r w:rsidRPr="007351A7">
            <w:rPr>
              <w:rFonts w:ascii="Palatino Linotype" w:eastAsia="Palatino Linotype" w:hAnsi="Palatino Linotype" w:cs="Palatino Linotype"/>
              <w:b/>
              <w:bCs/>
              <w:color w:val="000000" w:themeColor="text1"/>
            </w:rPr>
            <w:t>Recurso de Revisión:</w:t>
          </w:r>
        </w:p>
      </w:tc>
      <w:tc>
        <w:tcPr>
          <w:tcW w:w="4677" w:type="dxa"/>
          <w:vAlign w:val="center"/>
        </w:tcPr>
        <w:p w:rsidR="00F22E86" w:rsidRPr="007351A7" w:rsidRDefault="00B27C24" w:rsidP="007351A7">
          <w:pPr>
            <w:pBdr>
              <w:top w:val="nil"/>
              <w:left w:val="nil"/>
              <w:bottom w:val="nil"/>
              <w:right w:val="nil"/>
              <w:between w:val="nil"/>
            </w:pBdr>
            <w:tabs>
              <w:tab w:val="right" w:pos="8838"/>
            </w:tabs>
            <w:rPr>
              <w:rFonts w:ascii="Palatino Linotype" w:eastAsia="Palatino Linotype" w:hAnsi="Palatino Linotype" w:cs="Palatino Linotype"/>
              <w:bCs/>
              <w:color w:val="000000" w:themeColor="text1"/>
            </w:rPr>
          </w:pPr>
          <w:r w:rsidRPr="007351A7">
            <w:rPr>
              <w:rFonts w:ascii="Palatino Linotype" w:eastAsia="Palatino Linotype" w:hAnsi="Palatino Linotype" w:cs="Palatino Linotype"/>
              <w:bCs/>
              <w:color w:val="000000" w:themeColor="text1"/>
            </w:rPr>
            <w:t>07283/INFOEM/IP/RR/2025</w:t>
          </w:r>
        </w:p>
      </w:tc>
    </w:tr>
    <w:tr w:rsidR="00F22E86" w:rsidTr="007351A7">
      <w:trPr>
        <w:trHeight w:val="242"/>
      </w:trPr>
      <w:tc>
        <w:tcPr>
          <w:tcW w:w="2977" w:type="dxa"/>
          <w:vAlign w:val="center"/>
        </w:tcPr>
        <w:p w:rsidR="00F22E86" w:rsidRPr="007351A7" w:rsidRDefault="00B27C24" w:rsidP="007351A7">
          <w:pPr>
            <w:jc w:val="right"/>
            <w:rPr>
              <w:rFonts w:ascii="Palatino Linotype" w:eastAsia="Palatino Linotype" w:hAnsi="Palatino Linotype" w:cs="Palatino Linotype"/>
              <w:b/>
              <w:bCs/>
              <w:color w:val="000000" w:themeColor="text1"/>
            </w:rPr>
          </w:pPr>
          <w:r w:rsidRPr="007351A7">
            <w:rPr>
              <w:rFonts w:ascii="Palatino Linotype" w:eastAsia="Palatino Linotype" w:hAnsi="Palatino Linotype" w:cs="Palatino Linotype"/>
              <w:b/>
              <w:bCs/>
              <w:color w:val="000000" w:themeColor="text1"/>
            </w:rPr>
            <w:t>Recurrente:</w:t>
          </w:r>
        </w:p>
      </w:tc>
      <w:tc>
        <w:tcPr>
          <w:tcW w:w="4677" w:type="dxa"/>
        </w:tcPr>
        <w:p w:rsidR="00F22E86" w:rsidRPr="007351A7" w:rsidRDefault="00822A1B" w:rsidP="007351A7">
          <w:pPr>
            <w:pBdr>
              <w:top w:val="nil"/>
              <w:left w:val="nil"/>
              <w:bottom w:val="nil"/>
              <w:right w:val="nil"/>
              <w:between w:val="nil"/>
            </w:pBdr>
            <w:tabs>
              <w:tab w:val="right" w:pos="8838"/>
              <w:tab w:val="left" w:pos="521"/>
            </w:tabs>
            <w:rPr>
              <w:rFonts w:ascii="Palatino Linotype" w:eastAsia="Palatino Linotype" w:hAnsi="Palatino Linotype" w:cs="Palatino Linotype"/>
              <w:bCs/>
              <w:color w:val="000000" w:themeColor="text1"/>
            </w:rPr>
          </w:pPr>
          <w:r>
            <w:rPr>
              <w:rFonts w:ascii="Palatino Linotype" w:eastAsia="Palatino Linotype" w:hAnsi="Palatino Linotype" w:cs="Palatino Linotype"/>
              <w:bCs/>
              <w:color w:val="000000" w:themeColor="text1"/>
            </w:rPr>
            <w:t>XXXX</w:t>
          </w:r>
        </w:p>
      </w:tc>
    </w:tr>
    <w:tr w:rsidR="00F22E86" w:rsidTr="007351A7">
      <w:trPr>
        <w:trHeight w:val="342"/>
      </w:trPr>
      <w:tc>
        <w:tcPr>
          <w:tcW w:w="2977" w:type="dxa"/>
          <w:vAlign w:val="center"/>
        </w:tcPr>
        <w:p w:rsidR="00F22E86" w:rsidRPr="007351A7" w:rsidRDefault="00B27C24" w:rsidP="007351A7">
          <w:pPr>
            <w:jc w:val="right"/>
            <w:rPr>
              <w:rFonts w:ascii="Palatino Linotype" w:eastAsia="Palatino Linotype" w:hAnsi="Palatino Linotype" w:cs="Palatino Linotype"/>
              <w:b/>
              <w:bCs/>
              <w:color w:val="000000" w:themeColor="text1"/>
            </w:rPr>
          </w:pPr>
          <w:r w:rsidRPr="007351A7">
            <w:rPr>
              <w:rFonts w:ascii="Palatino Linotype" w:eastAsia="Palatino Linotype" w:hAnsi="Palatino Linotype" w:cs="Palatino Linotype"/>
              <w:b/>
              <w:bCs/>
              <w:color w:val="000000" w:themeColor="text1"/>
            </w:rPr>
            <w:t>Sujeto Obligado:</w:t>
          </w:r>
        </w:p>
      </w:tc>
      <w:tc>
        <w:tcPr>
          <w:tcW w:w="4677" w:type="dxa"/>
          <w:vAlign w:val="center"/>
        </w:tcPr>
        <w:p w:rsidR="00F22E86" w:rsidRPr="007351A7" w:rsidRDefault="00B27C24" w:rsidP="007351A7">
          <w:pPr>
            <w:pBdr>
              <w:top w:val="nil"/>
              <w:left w:val="nil"/>
              <w:bottom w:val="nil"/>
              <w:right w:val="nil"/>
              <w:between w:val="nil"/>
            </w:pBdr>
            <w:tabs>
              <w:tab w:val="right" w:pos="8838"/>
            </w:tabs>
            <w:jc w:val="both"/>
            <w:rPr>
              <w:rFonts w:ascii="Palatino Linotype" w:eastAsia="Palatino Linotype" w:hAnsi="Palatino Linotype" w:cs="Palatino Linotype"/>
              <w:bCs/>
              <w:color w:val="000000" w:themeColor="text1"/>
            </w:rPr>
          </w:pPr>
          <w:r w:rsidRPr="007351A7">
            <w:rPr>
              <w:rFonts w:ascii="Palatino Linotype" w:eastAsia="Palatino Linotype" w:hAnsi="Palatino Linotype" w:cs="Palatino Linotype"/>
              <w:bCs/>
              <w:color w:val="000000" w:themeColor="text1"/>
            </w:rPr>
            <w:t>Ayuntamiento de Naucalpan de Juárez</w:t>
          </w:r>
        </w:p>
      </w:tc>
    </w:tr>
    <w:tr w:rsidR="00F22E86" w:rsidTr="007351A7">
      <w:trPr>
        <w:trHeight w:val="342"/>
      </w:trPr>
      <w:tc>
        <w:tcPr>
          <w:tcW w:w="2977" w:type="dxa"/>
          <w:vAlign w:val="center"/>
        </w:tcPr>
        <w:p w:rsidR="00F22E86" w:rsidRPr="007351A7" w:rsidRDefault="00B27C24" w:rsidP="007351A7">
          <w:pPr>
            <w:jc w:val="right"/>
            <w:rPr>
              <w:rFonts w:ascii="Palatino Linotype" w:eastAsia="Palatino Linotype" w:hAnsi="Palatino Linotype" w:cs="Palatino Linotype"/>
              <w:b/>
              <w:bCs/>
              <w:color w:val="000000" w:themeColor="text1"/>
            </w:rPr>
          </w:pPr>
          <w:r w:rsidRPr="007351A7">
            <w:rPr>
              <w:rFonts w:ascii="Palatino Linotype" w:eastAsia="Palatino Linotype" w:hAnsi="Palatino Linotype" w:cs="Palatino Linotype"/>
              <w:b/>
              <w:bCs/>
              <w:color w:val="000000" w:themeColor="text1"/>
            </w:rPr>
            <w:t>Comisionada Ponente:</w:t>
          </w:r>
        </w:p>
      </w:tc>
      <w:tc>
        <w:tcPr>
          <w:tcW w:w="4677" w:type="dxa"/>
          <w:vAlign w:val="center"/>
        </w:tcPr>
        <w:p w:rsidR="00F22E86" w:rsidRPr="007351A7" w:rsidRDefault="00B27C24" w:rsidP="007351A7">
          <w:pPr>
            <w:pBdr>
              <w:top w:val="nil"/>
              <w:left w:val="nil"/>
              <w:bottom w:val="nil"/>
              <w:right w:val="nil"/>
              <w:between w:val="nil"/>
            </w:pBdr>
            <w:tabs>
              <w:tab w:val="right" w:pos="8838"/>
            </w:tabs>
            <w:rPr>
              <w:rFonts w:ascii="Palatino Linotype" w:eastAsia="Palatino Linotype" w:hAnsi="Palatino Linotype" w:cs="Palatino Linotype"/>
              <w:bCs/>
              <w:color w:val="000000" w:themeColor="text1"/>
            </w:rPr>
          </w:pPr>
          <w:r w:rsidRPr="007351A7">
            <w:rPr>
              <w:rFonts w:ascii="Palatino Linotype" w:eastAsia="Palatino Linotype" w:hAnsi="Palatino Linotype" w:cs="Palatino Linotype"/>
              <w:bCs/>
              <w:color w:val="000000" w:themeColor="text1"/>
            </w:rPr>
            <w:t>María del Rosario Mejía Ayala</w:t>
          </w:r>
        </w:p>
      </w:tc>
    </w:tr>
  </w:tbl>
  <w:p w:rsidR="00F22E86" w:rsidRDefault="009C757F">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75.35pt;margin-top:-123.55pt;width:609.4pt;height:789.9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33378"/>
    <w:multiLevelType w:val="multilevel"/>
    <w:tmpl w:val="8708E47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135CD9"/>
    <w:multiLevelType w:val="multilevel"/>
    <w:tmpl w:val="9206667A"/>
    <w:lvl w:ilvl="0">
      <w:start w:val="4"/>
      <w:numFmt w:val="decimal"/>
      <w:lvlText w:val="%1."/>
      <w:lvlJc w:val="left"/>
      <w:pPr>
        <w:ind w:left="64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C64F43"/>
    <w:multiLevelType w:val="multilevel"/>
    <w:tmpl w:val="EDE4D488"/>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6C23311"/>
    <w:multiLevelType w:val="multilevel"/>
    <w:tmpl w:val="B5D8B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CA003E"/>
    <w:multiLevelType w:val="multilevel"/>
    <w:tmpl w:val="ED46297C"/>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B393177"/>
    <w:multiLevelType w:val="multilevel"/>
    <w:tmpl w:val="A2A2A9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C9B27A8"/>
    <w:multiLevelType w:val="hybridMultilevel"/>
    <w:tmpl w:val="26341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E86"/>
    <w:rsid w:val="002A0556"/>
    <w:rsid w:val="003936A4"/>
    <w:rsid w:val="00396408"/>
    <w:rsid w:val="00541A94"/>
    <w:rsid w:val="00660FB9"/>
    <w:rsid w:val="0066404A"/>
    <w:rsid w:val="006A63D5"/>
    <w:rsid w:val="006C41A1"/>
    <w:rsid w:val="007351A7"/>
    <w:rsid w:val="00822A1B"/>
    <w:rsid w:val="009C757F"/>
    <w:rsid w:val="00B26038"/>
    <w:rsid w:val="00B27C24"/>
    <w:rsid w:val="00E060BB"/>
    <w:rsid w:val="00F017D6"/>
    <w:rsid w:val="00F22E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4C42D00-6A83-4D48-8625-5D632ADBF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E75B5"/>
      <w:sz w:val="32"/>
      <w:szCs w:val="32"/>
    </w:rPr>
  </w:style>
  <w:style w:type="paragraph" w:styleId="Ttulo2">
    <w:name w:val="heading 2"/>
    <w:basedOn w:val="Normal"/>
    <w:next w:val="Normal"/>
    <w:pPr>
      <w:keepNext/>
      <w:keepLines/>
      <w:spacing w:before="40"/>
      <w:outlineLvl w:val="1"/>
    </w:pPr>
    <w:rPr>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685D5F"/>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uiPriority w:val="9"/>
    <w:rsid w:val="00685D5F"/>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685D5F"/>
    <w:pPr>
      <w:tabs>
        <w:tab w:val="center" w:pos="4419"/>
        <w:tab w:val="right" w:pos="8838"/>
      </w:tabs>
    </w:pPr>
  </w:style>
  <w:style w:type="character" w:customStyle="1" w:styleId="EncabezadoCar">
    <w:name w:val="Encabezado Car"/>
    <w:basedOn w:val="Fuentedeprrafopredeter"/>
    <w:link w:val="Encabezado"/>
    <w:uiPriority w:val="99"/>
    <w:rsid w:val="00685D5F"/>
    <w:rPr>
      <w:rFonts w:eastAsiaTheme="minorEastAsia"/>
      <w:sz w:val="24"/>
      <w:szCs w:val="24"/>
      <w:lang w:val="es-ES_tradnl" w:eastAsia="es-ES"/>
    </w:rPr>
  </w:style>
  <w:style w:type="paragraph" w:styleId="Piedepgina">
    <w:name w:val="footer"/>
    <w:basedOn w:val="Normal"/>
    <w:link w:val="PiedepginaCar"/>
    <w:uiPriority w:val="99"/>
    <w:unhideWhenUsed/>
    <w:rsid w:val="00685D5F"/>
    <w:pPr>
      <w:tabs>
        <w:tab w:val="center" w:pos="4419"/>
        <w:tab w:val="right" w:pos="8838"/>
      </w:tabs>
    </w:pPr>
  </w:style>
  <w:style w:type="character" w:customStyle="1" w:styleId="PiedepginaCar">
    <w:name w:val="Pie de página Car"/>
    <w:basedOn w:val="Fuentedeprrafopredeter"/>
    <w:link w:val="Piedepgina"/>
    <w:uiPriority w:val="99"/>
    <w:rsid w:val="00685D5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85D5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85D5F"/>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685D5F"/>
    <w:rPr>
      <w:color w:val="0563C1" w:themeColor="hyperlink"/>
      <w:u w:val="single"/>
    </w:rPr>
  </w:style>
  <w:style w:type="table" w:styleId="Tablanormal1">
    <w:name w:val="Plain Table 1"/>
    <w:basedOn w:val="Tablanormal"/>
    <w:uiPriority w:val="41"/>
    <w:rsid w:val="00685D5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2">
    <w:name w:val="A2"/>
    <w:uiPriority w:val="99"/>
    <w:rsid w:val="002C5318"/>
    <w:rPr>
      <w:rFonts w:cs="Modica Black"/>
      <w:color w:val="000000"/>
      <w:sz w:val="20"/>
      <w:szCs w:val="20"/>
    </w:rPr>
  </w:style>
  <w:style w:type="paragraph" w:customStyle="1" w:styleId="Pa2">
    <w:name w:val="Pa2"/>
    <w:basedOn w:val="Normal"/>
    <w:next w:val="Normal"/>
    <w:uiPriority w:val="99"/>
    <w:rsid w:val="002C5318"/>
    <w:pPr>
      <w:autoSpaceDE w:val="0"/>
      <w:autoSpaceDN w:val="0"/>
      <w:adjustRightInd w:val="0"/>
      <w:spacing w:line="221" w:lineRule="atLeast"/>
    </w:pPr>
    <w:rPr>
      <w:rFonts w:ascii="Modica Black" w:eastAsiaTheme="minorHAnsi" w:hAnsi="Modica Black"/>
      <w:lang w:val="es-MX" w:eastAsia="en-US"/>
    </w:rPr>
  </w:style>
  <w:style w:type="paragraph" w:customStyle="1" w:styleId="Pa5">
    <w:name w:val="Pa5"/>
    <w:basedOn w:val="Normal"/>
    <w:next w:val="Normal"/>
    <w:uiPriority w:val="99"/>
    <w:rsid w:val="002C5318"/>
    <w:pPr>
      <w:autoSpaceDE w:val="0"/>
      <w:autoSpaceDN w:val="0"/>
      <w:adjustRightInd w:val="0"/>
      <w:spacing w:line="221" w:lineRule="atLeast"/>
    </w:pPr>
    <w:rPr>
      <w:rFonts w:ascii="Modica Black" w:eastAsiaTheme="minorHAnsi" w:hAnsi="Modica Black"/>
      <w:lang w:val="es-MX" w:eastAsia="en-US"/>
    </w:rPr>
  </w:style>
  <w:style w:type="paragraph" w:customStyle="1" w:styleId="Default">
    <w:name w:val="Default"/>
    <w:rsid w:val="00525732"/>
    <w:pPr>
      <w:autoSpaceDE w:val="0"/>
      <w:autoSpaceDN w:val="0"/>
      <w:adjustRightInd w:val="0"/>
    </w:pPr>
    <w:rPr>
      <w:rFonts w:ascii="Bookman Old Style" w:hAnsi="Bookman Old Style" w:cs="Bookman Old Style"/>
      <w:color w:val="000000"/>
    </w:rPr>
  </w:style>
  <w:style w:type="paragraph" w:styleId="Sinespaciado">
    <w:name w:val="No Spacing"/>
    <w:aliases w:val="Francesa,INAI"/>
    <w:link w:val="SinespaciadoCar"/>
    <w:uiPriority w:val="1"/>
    <w:qFormat/>
    <w:rsid w:val="00845AE9"/>
  </w:style>
  <w:style w:type="character" w:customStyle="1" w:styleId="SinespaciadoCar">
    <w:name w:val="Sin espaciado Car"/>
    <w:aliases w:val="Francesa Car,INAI Car"/>
    <w:link w:val="Sinespaciado"/>
    <w:uiPriority w:val="1"/>
    <w:locked/>
    <w:rsid w:val="00845AE9"/>
  </w:style>
  <w:style w:type="character" w:customStyle="1" w:styleId="gmail-il">
    <w:name w:val="gmail-il"/>
    <w:basedOn w:val="Fuentedeprrafopredeter"/>
    <w:rsid w:val="00D45FD4"/>
  </w:style>
  <w:style w:type="paragraph" w:styleId="NormalWeb">
    <w:name w:val="Normal (Web)"/>
    <w:basedOn w:val="Normal"/>
    <w:uiPriority w:val="99"/>
    <w:unhideWhenUsed/>
    <w:rsid w:val="00D45FD4"/>
    <w:pPr>
      <w:spacing w:before="100" w:beforeAutospacing="1" w:after="100" w:afterAutospacing="1"/>
    </w:pPr>
    <w:rPr>
      <w:rFonts w:ascii="Times New Roman" w:eastAsia="Times New Roman" w:hAnsi="Times New Roman" w:cs="Times New Roman"/>
      <w:lang w:val="es-MX"/>
    </w:rPr>
  </w:style>
  <w:style w:type="character" w:customStyle="1" w:styleId="object">
    <w:name w:val="object"/>
    <w:basedOn w:val="Fuentedeprrafopredeter"/>
    <w:rsid w:val="00D45FD4"/>
  </w:style>
  <w:style w:type="character" w:styleId="Hipervnculovisitado">
    <w:name w:val="FollowedHyperlink"/>
    <w:basedOn w:val="Fuentedeprrafopredeter"/>
    <w:uiPriority w:val="99"/>
    <w:semiHidden/>
    <w:unhideWhenUsed/>
    <w:rsid w:val="00EE552F"/>
    <w:rPr>
      <w:color w:val="954F72" w:themeColor="followedHyperlink"/>
      <w:u w:val="single"/>
    </w:rPr>
  </w:style>
  <w:style w:type="paragraph" w:styleId="Sangradetextonormal">
    <w:name w:val="Body Text Indent"/>
    <w:basedOn w:val="Normal"/>
    <w:link w:val="SangradetextonormalCar"/>
    <w:uiPriority w:val="99"/>
    <w:unhideWhenUsed/>
    <w:rsid w:val="000768E9"/>
    <w:pPr>
      <w:spacing w:after="120"/>
      <w:ind w:left="283"/>
    </w:pPr>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rsid w:val="000768E9"/>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0768E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768E9"/>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457D7B"/>
    <w:pPr>
      <w:numPr>
        <w:numId w:val="6"/>
      </w:numPr>
      <w:contextualSpacing/>
    </w:pPr>
    <w:rPr>
      <w:rFonts w:ascii="Times New Roman" w:eastAsia="Times New Roman" w:hAnsi="Times New Roman" w:cs="Times New Roman"/>
      <w:lang w:val="es-ES"/>
    </w:rPr>
  </w:style>
  <w:style w:type="character" w:customStyle="1" w:styleId="object-hover">
    <w:name w:val="object-hover"/>
    <w:basedOn w:val="Fuentedeprrafopredeter"/>
    <w:rsid w:val="0060207A"/>
  </w:style>
  <w:style w:type="character" w:customStyle="1" w:styleId="vkekvd">
    <w:name w:val="vkekvd"/>
    <w:basedOn w:val="Fuentedeprrafopredeter"/>
    <w:rsid w:val="004B168C"/>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264971">
      <w:bodyDiv w:val="1"/>
      <w:marLeft w:val="0"/>
      <w:marRight w:val="0"/>
      <w:marTop w:val="0"/>
      <w:marBottom w:val="0"/>
      <w:divBdr>
        <w:top w:val="none" w:sz="0" w:space="0" w:color="auto"/>
        <w:left w:val="none" w:sz="0" w:space="0" w:color="auto"/>
        <w:bottom w:val="none" w:sz="0" w:space="0" w:color="auto"/>
        <w:right w:val="none" w:sz="0" w:space="0" w:color="auto"/>
      </w:divBdr>
    </w:div>
    <w:div w:id="1425682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sSTeFMdv4Z4nW5hi4jXAa/wM6w==">CgMxLjAyCGguZ2pkZ3hzMgloLjMwajB6bGwyDmguajV0N2xmOTJsaTQ1Mg5oLmo1YXhjbHljNTc4czIOaC5nYzk5aDRiOXMyMXAyCWguMnM4ZXlvMTIJaC4xN2RwOHZ1MgloLjNyZGNyam4yDmguYzVqcTFubzA4Nng0MgloLjRkMzRvZzgyCWguMzBqMHpsbDgAciExOXNLajlyZ09hOV95MkxWd2xHb3dmT0c2d05iRGt5SHM=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29</Pages>
  <Words>7084</Words>
  <Characters>38965</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45958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INFOEM399</dc:creator>
  <cp:lastModifiedBy>Cuenta Microsoft</cp:lastModifiedBy>
  <cp:revision>9</cp:revision>
  <cp:lastPrinted>2026-01-16T16:22:00Z</cp:lastPrinted>
  <dcterms:created xsi:type="dcterms:W3CDTF">2026-01-12T19:06:00Z</dcterms:created>
  <dcterms:modified xsi:type="dcterms:W3CDTF">2026-01-29T19:38:00Z</dcterms:modified>
</cp:coreProperties>
</file>