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108" w:rsidRPr="00D41429" w:rsidRDefault="000D2D12">
      <w:pPr>
        <w:tabs>
          <w:tab w:val="left" w:pos="3465"/>
        </w:tabs>
        <w:spacing w:line="360" w:lineRule="auto"/>
        <w:jc w:val="both"/>
        <w:rPr>
          <w:rFonts w:ascii="Palatino Linotype" w:eastAsia="Palatino Linotype" w:hAnsi="Palatino Linotype" w:cs="Palatino Linotype"/>
          <w:b/>
          <w:color w:val="000000"/>
        </w:rPr>
      </w:pPr>
      <w:bookmarkStart w:id="0" w:name="_GoBack"/>
      <w:bookmarkEnd w:id="0"/>
      <w:r w:rsidRPr="00D41429">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D41429">
        <w:rPr>
          <w:rFonts w:ascii="Palatino Linotype" w:eastAsia="Palatino Linotype" w:hAnsi="Palatino Linotype" w:cs="Palatino Linotype"/>
          <w:b/>
        </w:rPr>
        <w:t xml:space="preserve">de fecha </w:t>
      </w:r>
      <w:r w:rsidR="00E60C0B" w:rsidRPr="00D41429">
        <w:rPr>
          <w:rFonts w:ascii="Palatino Linotype" w:eastAsia="Palatino Linotype" w:hAnsi="Palatino Linotype" w:cs="Palatino Linotype"/>
          <w:b/>
          <w:color w:val="000000"/>
        </w:rPr>
        <w:t>veinticinco</w:t>
      </w:r>
      <w:r w:rsidR="00D41429" w:rsidRPr="00D41429">
        <w:rPr>
          <w:rFonts w:ascii="Palatino Linotype" w:eastAsia="Palatino Linotype" w:hAnsi="Palatino Linotype" w:cs="Palatino Linotype"/>
          <w:b/>
          <w:color w:val="000000"/>
        </w:rPr>
        <w:t xml:space="preserve"> (25)</w:t>
      </w:r>
      <w:r w:rsidR="00E60C0B" w:rsidRPr="00D41429">
        <w:rPr>
          <w:rFonts w:ascii="Palatino Linotype" w:eastAsia="Palatino Linotype" w:hAnsi="Palatino Linotype" w:cs="Palatino Linotype"/>
          <w:b/>
          <w:color w:val="000000"/>
        </w:rPr>
        <w:t xml:space="preserve"> de febrero</w:t>
      </w:r>
      <w:r w:rsidRPr="00D41429">
        <w:rPr>
          <w:rFonts w:ascii="Palatino Linotype" w:eastAsia="Palatino Linotype" w:hAnsi="Palatino Linotype" w:cs="Palatino Linotype"/>
          <w:b/>
          <w:color w:val="000000"/>
        </w:rPr>
        <w:t xml:space="preserve"> de dos mil veintiséis.</w:t>
      </w:r>
    </w:p>
    <w:p w:rsidR="00CA3108" w:rsidRPr="00D41429" w:rsidRDefault="00CA3108">
      <w:pPr>
        <w:tabs>
          <w:tab w:val="left" w:pos="3465"/>
        </w:tabs>
        <w:spacing w:line="360" w:lineRule="auto"/>
        <w:jc w:val="both"/>
        <w:rPr>
          <w:rFonts w:ascii="Palatino Linotype" w:eastAsia="Palatino Linotype" w:hAnsi="Palatino Linotype" w:cs="Palatino Linotype"/>
        </w:rPr>
      </w:pPr>
    </w:p>
    <w:p w:rsidR="00CA3108" w:rsidRPr="00D41429" w:rsidRDefault="000D2D12">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b/>
          <w:bCs/>
          <w:color w:val="000000"/>
        </w:rPr>
        <w:t>VISTO</w:t>
      </w:r>
      <w:r w:rsidRPr="00D41429">
        <w:rPr>
          <w:rFonts w:ascii="Palatino Linotype" w:eastAsia="Palatino Linotype" w:hAnsi="Palatino Linotype" w:cs="Palatino Linotype"/>
          <w:color w:val="000000"/>
        </w:rPr>
        <w:t xml:space="preserve"> el expediente electrónico formado con motivo del Recurso de Revisión </w:t>
      </w:r>
      <w:r w:rsidRPr="00D41429">
        <w:rPr>
          <w:rFonts w:ascii="Palatino Linotype" w:eastAsia="Palatino Linotype" w:hAnsi="Palatino Linotype" w:cs="Palatino Linotype"/>
          <w:b/>
          <w:bCs/>
          <w:color w:val="000000"/>
        </w:rPr>
        <w:t>07913/INFOEM/IP/RR/2025</w:t>
      </w:r>
      <w:r w:rsidRPr="00D41429">
        <w:rPr>
          <w:rFonts w:ascii="Palatino Linotype" w:eastAsia="Palatino Linotype" w:hAnsi="Palatino Linotype" w:cs="Palatino Linotype"/>
          <w:color w:val="000000"/>
        </w:rPr>
        <w:t>,</w:t>
      </w:r>
      <w:r w:rsidRPr="00D41429">
        <w:rPr>
          <w:rFonts w:ascii="Palatino Linotype" w:eastAsia="Palatino Linotype" w:hAnsi="Palatino Linotype" w:cs="Palatino Linotype"/>
          <w:b/>
          <w:bCs/>
          <w:color w:val="000000"/>
        </w:rPr>
        <w:t xml:space="preserve"> </w:t>
      </w:r>
      <w:r w:rsidRPr="00D41429">
        <w:rPr>
          <w:rFonts w:ascii="Palatino Linotype" w:eastAsia="Palatino Linotype" w:hAnsi="Palatino Linotype" w:cs="Palatino Linotype"/>
          <w:color w:val="000000"/>
        </w:rPr>
        <w:t xml:space="preserve">promovido por </w:t>
      </w:r>
      <w:r w:rsidR="004D2562">
        <w:rPr>
          <w:rFonts w:ascii="Palatino Linotype" w:eastAsia="Palatino Linotype" w:hAnsi="Palatino Linotype" w:cs="Palatino Linotype"/>
          <w:b/>
          <w:bCs/>
          <w:color w:val="000000"/>
        </w:rPr>
        <w:t>XXXX</w:t>
      </w:r>
      <w:r w:rsidRPr="00D41429">
        <w:rPr>
          <w:rFonts w:ascii="Palatino Linotype" w:eastAsia="Palatino Linotype" w:hAnsi="Palatino Linotype" w:cs="Palatino Linotype"/>
          <w:b/>
          <w:bCs/>
          <w:color w:val="000000"/>
        </w:rPr>
        <w:t>,</w:t>
      </w:r>
      <w:r w:rsidRPr="00D41429">
        <w:rPr>
          <w:rFonts w:ascii="Palatino Linotype" w:eastAsia="Palatino Linotype" w:hAnsi="Palatino Linotype" w:cs="Palatino Linotype"/>
          <w:color w:val="000000"/>
        </w:rPr>
        <w:t xml:space="preserve"> a quien en lo sucesivo se le identificará como </w:t>
      </w:r>
      <w:r w:rsidRPr="00D41429">
        <w:rPr>
          <w:rFonts w:ascii="Palatino Linotype" w:eastAsia="Palatino Linotype" w:hAnsi="Palatino Linotype" w:cs="Palatino Linotype"/>
          <w:b/>
          <w:bCs/>
          <w:color w:val="000000"/>
        </w:rPr>
        <w:t>EL RECURRENTE</w:t>
      </w:r>
      <w:r w:rsidRPr="00D41429">
        <w:rPr>
          <w:rFonts w:ascii="Palatino Linotype" w:eastAsia="Palatino Linotype" w:hAnsi="Palatino Linotype" w:cs="Palatino Linotype"/>
          <w:color w:val="000000"/>
        </w:rPr>
        <w:t xml:space="preserve">, en contra de la respuesta del </w:t>
      </w:r>
      <w:r w:rsidRPr="00D41429">
        <w:rPr>
          <w:rFonts w:ascii="Palatino Linotype" w:eastAsia="Palatino Linotype" w:hAnsi="Palatino Linotype" w:cs="Palatino Linotype"/>
          <w:b/>
          <w:bCs/>
          <w:color w:val="000000"/>
        </w:rPr>
        <w:t xml:space="preserve">Ayuntamiento de Almoloya de Juárez, </w:t>
      </w:r>
      <w:r w:rsidRPr="00D41429">
        <w:rPr>
          <w:rFonts w:ascii="Palatino Linotype" w:eastAsia="Palatino Linotype" w:hAnsi="Palatino Linotype" w:cs="Palatino Linotype"/>
          <w:color w:val="000000"/>
        </w:rPr>
        <w:t xml:space="preserve">en </w:t>
      </w:r>
      <w:r w:rsidR="00D41429">
        <w:rPr>
          <w:rFonts w:ascii="Palatino Linotype" w:eastAsia="Palatino Linotype" w:hAnsi="Palatino Linotype" w:cs="Palatino Linotype"/>
          <w:color w:val="000000"/>
        </w:rPr>
        <w:t>adelante</w:t>
      </w:r>
      <w:r w:rsidRPr="00D41429">
        <w:rPr>
          <w:rFonts w:ascii="Palatino Linotype" w:eastAsia="Palatino Linotype" w:hAnsi="Palatino Linotype" w:cs="Palatino Linotype"/>
          <w:color w:val="000000"/>
        </w:rPr>
        <w:t xml:space="preserve"> el</w:t>
      </w:r>
      <w:r w:rsidRPr="00D41429">
        <w:rPr>
          <w:rFonts w:ascii="Palatino Linotype" w:eastAsia="Palatino Linotype" w:hAnsi="Palatino Linotype" w:cs="Palatino Linotype"/>
          <w:b/>
          <w:bCs/>
          <w:color w:val="000000"/>
        </w:rPr>
        <w:t xml:space="preserve"> SUJETO OBLIGADO</w:t>
      </w:r>
      <w:r w:rsidRPr="00D41429">
        <w:rPr>
          <w:rFonts w:ascii="Palatino Linotype" w:eastAsia="Palatino Linotype" w:hAnsi="Palatino Linotype" w:cs="Palatino Linotype"/>
          <w:color w:val="000000"/>
        </w:rPr>
        <w:t>, se procede a dictar la presente Resolución, con base en los siguientes:</w:t>
      </w:r>
    </w:p>
    <w:p w:rsidR="00CA3108" w:rsidRPr="00D41429" w:rsidRDefault="00CA3108">
      <w:pPr>
        <w:spacing w:line="360" w:lineRule="auto"/>
        <w:jc w:val="both"/>
        <w:rPr>
          <w:rFonts w:ascii="Palatino Linotype" w:eastAsia="Palatino Linotype" w:hAnsi="Palatino Linotype" w:cs="Palatino Linotype"/>
        </w:rPr>
      </w:pPr>
    </w:p>
    <w:p w:rsidR="00CA3108" w:rsidRPr="00D41429" w:rsidRDefault="000D2D12">
      <w:pPr>
        <w:pStyle w:val="Ttulo1"/>
        <w:spacing w:before="0" w:line="360" w:lineRule="auto"/>
        <w:jc w:val="center"/>
        <w:rPr>
          <w:rFonts w:ascii="Palatino Linotype" w:eastAsia="Palatino Linotype" w:hAnsi="Palatino Linotype" w:cs="Palatino Linotype"/>
          <w:b/>
          <w:bCs/>
          <w:color w:val="000000"/>
          <w:sz w:val="24"/>
          <w:szCs w:val="24"/>
        </w:rPr>
      </w:pPr>
      <w:bookmarkStart w:id="1" w:name="_heading=h.2ahr0kw9nwco" w:colFirst="0" w:colLast="0"/>
      <w:bookmarkEnd w:id="1"/>
      <w:r w:rsidRPr="00D41429">
        <w:rPr>
          <w:rFonts w:ascii="Palatino Linotype" w:eastAsia="Palatino Linotype" w:hAnsi="Palatino Linotype" w:cs="Palatino Linotype"/>
          <w:b/>
          <w:bCs/>
          <w:color w:val="000000"/>
          <w:sz w:val="24"/>
          <w:szCs w:val="24"/>
        </w:rPr>
        <w:t>A</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N</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T</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E</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C</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E</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D</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E</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N</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T</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E</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S</w:t>
      </w:r>
    </w:p>
    <w:p w:rsidR="00CA3108" w:rsidRPr="00D41429" w:rsidRDefault="00CA310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A3108" w:rsidRPr="00D41429" w:rsidRDefault="000D2D1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El día </w:t>
      </w:r>
      <w:r w:rsidRPr="00D41429">
        <w:rPr>
          <w:rFonts w:ascii="Palatino Linotype" w:eastAsia="Palatino Linotype" w:hAnsi="Palatino Linotype" w:cs="Palatino Linotype"/>
          <w:b/>
          <w:bCs/>
          <w:color w:val="000000"/>
        </w:rPr>
        <w:t xml:space="preserve">dos de junio dos mil veinticinco, </w:t>
      </w:r>
      <w:r w:rsidRPr="00D41429">
        <w:rPr>
          <w:rFonts w:ascii="Palatino Linotype" w:eastAsia="Palatino Linotype" w:hAnsi="Palatino Linotype" w:cs="Palatino Linotype"/>
          <w:color w:val="000000"/>
        </w:rPr>
        <w:t xml:space="preserve">se presentó ante el </w:t>
      </w:r>
      <w:r w:rsidRPr="00D41429">
        <w:rPr>
          <w:rFonts w:ascii="Palatino Linotype" w:eastAsia="Palatino Linotype" w:hAnsi="Palatino Linotype" w:cs="Palatino Linotype"/>
          <w:b/>
          <w:bCs/>
          <w:color w:val="000000"/>
        </w:rPr>
        <w:t>SUJETO OBLIGADO</w:t>
      </w:r>
      <w:r w:rsidRPr="00D41429">
        <w:rPr>
          <w:rFonts w:ascii="Palatino Linotype" w:eastAsia="Palatino Linotype" w:hAnsi="Palatino Linotype" w:cs="Palatino Linotype"/>
          <w:color w:val="000000"/>
        </w:rPr>
        <w:t xml:space="preserve"> vía Sistema de Acceso a la Información Mexiquense (SAIMEX), la Solicitud de Información Pública registrada con el número</w:t>
      </w:r>
      <w:r w:rsidRPr="00D41429">
        <w:rPr>
          <w:rFonts w:ascii="Palatino Linotype" w:eastAsia="Palatino Linotype" w:hAnsi="Palatino Linotype" w:cs="Palatino Linotype"/>
          <w:b/>
          <w:bCs/>
          <w:color w:val="000000"/>
        </w:rPr>
        <w:t xml:space="preserve"> 00</w:t>
      </w:r>
      <w:r w:rsidRPr="00D41429">
        <w:rPr>
          <w:rFonts w:ascii="Palatino Linotype" w:eastAsia="Palatino Linotype" w:hAnsi="Palatino Linotype" w:cs="Palatino Linotype"/>
          <w:b/>
          <w:bCs/>
        </w:rPr>
        <w:t>290</w:t>
      </w:r>
      <w:r w:rsidRPr="00D41429">
        <w:rPr>
          <w:rFonts w:ascii="Palatino Linotype" w:eastAsia="Palatino Linotype" w:hAnsi="Palatino Linotype" w:cs="Palatino Linotype"/>
          <w:b/>
          <w:bCs/>
          <w:color w:val="000000"/>
        </w:rPr>
        <w:t>/A</w:t>
      </w:r>
      <w:r w:rsidRPr="00D41429">
        <w:rPr>
          <w:rFonts w:ascii="Palatino Linotype" w:eastAsia="Palatino Linotype" w:hAnsi="Palatino Linotype" w:cs="Palatino Linotype"/>
          <w:b/>
          <w:bCs/>
        </w:rPr>
        <w:t>LMOJU</w:t>
      </w:r>
      <w:r w:rsidRPr="00D41429">
        <w:rPr>
          <w:rFonts w:ascii="Palatino Linotype" w:eastAsia="Palatino Linotype" w:hAnsi="Palatino Linotype" w:cs="Palatino Linotype"/>
          <w:b/>
          <w:bCs/>
          <w:color w:val="000000"/>
        </w:rPr>
        <w:t xml:space="preserve">/IP/2025; </w:t>
      </w:r>
      <w:r w:rsidR="00D41429">
        <w:rPr>
          <w:rFonts w:ascii="Palatino Linotype" w:eastAsia="Palatino Linotype" w:hAnsi="Palatino Linotype" w:cs="Palatino Linotype"/>
          <w:color w:val="000000"/>
        </w:rPr>
        <w:t>en la que</w:t>
      </w:r>
      <w:r w:rsidRPr="00D41429">
        <w:rPr>
          <w:rFonts w:ascii="Palatino Linotype" w:eastAsia="Palatino Linotype" w:hAnsi="Palatino Linotype" w:cs="Palatino Linotype"/>
          <w:color w:val="000000"/>
        </w:rPr>
        <w:t xml:space="preserve"> se solicitó la siguiente información:</w:t>
      </w:r>
    </w:p>
    <w:p w:rsidR="00CA3108" w:rsidRPr="00D41429" w:rsidRDefault="00CA310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A3108" w:rsidRPr="00D41429" w:rsidRDefault="000D2D12">
      <w:pPr>
        <w:spacing w:line="360" w:lineRule="auto"/>
        <w:ind w:left="426" w:right="425"/>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w:t>
      </w:r>
      <w:r w:rsidRPr="00D41429">
        <w:rPr>
          <w:rFonts w:ascii="Palatino Linotype" w:eastAsia="Palatino Linotype" w:hAnsi="Palatino Linotype" w:cs="Palatino Linotype"/>
          <w:i/>
          <w:iCs/>
          <w:color w:val="000000"/>
        </w:rPr>
        <w:t>Solicito la nombres de los medios de comunicación, páginas y personas a las que tiene convenio el ayuntamiento para que difundan la información del municipio y/o columnas de opinión o difundir publicidad, también solicito los montos que se les pagas a cada uno, periodo del contrato y desde cuándo inició. De antemano gracias!</w:t>
      </w:r>
      <w:r w:rsidRPr="00D41429">
        <w:rPr>
          <w:rFonts w:ascii="Palatino Linotype" w:eastAsia="Palatino Linotype" w:hAnsi="Palatino Linotype" w:cs="Palatino Linotype"/>
          <w:i/>
          <w:iCs/>
        </w:rPr>
        <w:t>”</w:t>
      </w:r>
    </w:p>
    <w:p w:rsidR="00CA3108" w:rsidRPr="00D41429" w:rsidRDefault="00CA3108">
      <w:pPr>
        <w:pBdr>
          <w:top w:val="nil"/>
          <w:left w:val="nil"/>
          <w:bottom w:val="nil"/>
          <w:right w:val="nil"/>
          <w:between w:val="nil"/>
        </w:pBdr>
        <w:spacing w:line="360" w:lineRule="auto"/>
        <w:ind w:left="426" w:right="474"/>
        <w:jc w:val="both"/>
        <w:rPr>
          <w:rFonts w:ascii="Palatino Linotype" w:eastAsia="Palatino Linotype" w:hAnsi="Palatino Linotype" w:cs="Palatino Linotype"/>
          <w:i/>
          <w:iCs/>
          <w:color w:val="000000"/>
        </w:rPr>
      </w:pPr>
    </w:p>
    <w:p w:rsidR="00CA3108" w:rsidRPr="00D41429" w:rsidRDefault="000D2D12" w:rsidP="00D41429">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Modalidad de entrega de la información: Vía SAIMEX.</w:t>
      </w:r>
    </w:p>
    <w:p w:rsidR="00CA3108" w:rsidRPr="00D41429" w:rsidRDefault="000D2D1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D41429">
        <w:rPr>
          <w:rFonts w:ascii="Palatino Linotype" w:eastAsia="Palatino Linotype" w:hAnsi="Palatino Linotype" w:cs="Palatino Linotype"/>
          <w:color w:val="000000"/>
        </w:rPr>
        <w:lastRenderedPageBreak/>
        <w:t xml:space="preserve">El </w:t>
      </w:r>
      <w:r w:rsidRPr="00D41429">
        <w:rPr>
          <w:rFonts w:ascii="Palatino Linotype" w:eastAsia="Palatino Linotype" w:hAnsi="Palatino Linotype" w:cs="Palatino Linotype"/>
          <w:b/>
          <w:bCs/>
          <w:color w:val="000000"/>
        </w:rPr>
        <w:t>veintitrés de junio de dos mil veinticinco</w:t>
      </w:r>
      <w:r w:rsidRPr="00D41429">
        <w:rPr>
          <w:rFonts w:ascii="Palatino Linotype" w:eastAsia="Palatino Linotype" w:hAnsi="Palatino Linotype" w:cs="Palatino Linotype"/>
          <w:color w:val="000000"/>
        </w:rPr>
        <w:t xml:space="preserve">, el </w:t>
      </w:r>
      <w:r w:rsidRPr="00D41429">
        <w:rPr>
          <w:rFonts w:ascii="Palatino Linotype" w:eastAsia="Palatino Linotype" w:hAnsi="Palatino Linotype" w:cs="Palatino Linotype"/>
          <w:b/>
          <w:bCs/>
          <w:color w:val="000000"/>
        </w:rPr>
        <w:t>SUJETO OBLIGADO</w:t>
      </w:r>
      <w:r w:rsidRPr="00D41429">
        <w:rPr>
          <w:rFonts w:ascii="Palatino Linotype" w:eastAsia="Palatino Linotype" w:hAnsi="Palatino Linotype" w:cs="Palatino Linotype"/>
          <w:color w:val="000000"/>
        </w:rPr>
        <w:t xml:space="preserve"> dio respuesta mediante un archivo denominado </w:t>
      </w:r>
      <w:r w:rsidRPr="00D41429">
        <w:rPr>
          <w:rFonts w:ascii="Palatino Linotype" w:eastAsia="Palatino Linotype" w:hAnsi="Palatino Linotype" w:cs="Palatino Linotype"/>
          <w:b/>
          <w:bCs/>
          <w:i/>
          <w:iCs/>
          <w:color w:val="000000"/>
        </w:rPr>
        <w:t>Resp. Sol. 00290-2025.pdf</w:t>
      </w:r>
      <w:r w:rsidRPr="00D41429">
        <w:rPr>
          <w:rFonts w:ascii="Palatino Linotype" w:eastAsia="Palatino Linotype" w:hAnsi="Palatino Linotype" w:cs="Palatino Linotype"/>
          <w:color w:val="000000"/>
        </w:rPr>
        <w:t>, cuyo contenido corresponde a dos oficios, uno signado por el Coordinador de Comunicación y Atención Ciudadana Digital, a través del cual informa, que los convenios celebrados con medios de comunicación y colaboradores periodísticos, están sujetos a cláusulas de confidencialidad acordadas entre las partes, por lo que a efecto de salvaguardar los intereses legítimos de terceros, no es posible proporcionar la información detallada solicitada.</w:t>
      </w:r>
    </w:p>
    <w:p w:rsidR="00CA3108" w:rsidRPr="00D41429" w:rsidRDefault="00CA3108">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CA3108" w:rsidRPr="00D41429" w:rsidRDefault="000D2D1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Inconforme con la respuesta emitida, el </w:t>
      </w:r>
      <w:r w:rsidRPr="00D41429">
        <w:rPr>
          <w:rFonts w:ascii="Palatino Linotype" w:eastAsia="Palatino Linotype" w:hAnsi="Palatino Linotype" w:cs="Palatino Linotype"/>
          <w:b/>
          <w:bCs/>
          <w:color w:val="000000"/>
        </w:rPr>
        <w:t>treinta de junio de dos mil veinticinco</w:t>
      </w:r>
      <w:r w:rsidRPr="00D41429">
        <w:rPr>
          <w:rFonts w:ascii="Palatino Linotype" w:eastAsia="Palatino Linotype" w:hAnsi="Palatino Linotype" w:cs="Palatino Linotype"/>
          <w:color w:val="000000"/>
        </w:rPr>
        <w:t xml:space="preserve">, la parte </w:t>
      </w:r>
      <w:r w:rsidRPr="00D41429">
        <w:rPr>
          <w:rFonts w:ascii="Palatino Linotype" w:eastAsia="Palatino Linotype" w:hAnsi="Palatino Linotype" w:cs="Palatino Linotype"/>
          <w:b/>
          <w:bCs/>
          <w:color w:val="000000"/>
        </w:rPr>
        <w:t>RECURRENTE</w:t>
      </w:r>
      <w:r w:rsidRPr="00D41429">
        <w:rPr>
          <w:rFonts w:ascii="Palatino Linotype" w:eastAsia="Palatino Linotype" w:hAnsi="Palatino Linotype" w:cs="Palatino Linotype"/>
          <w:color w:val="000000"/>
        </w:rPr>
        <w:t xml:space="preserve"> interpuso su Recurso de Revisión, señalando como acto impugnado y razones o motivos de inconformidad, lo siguiente:</w:t>
      </w:r>
    </w:p>
    <w:p w:rsidR="00CA3108" w:rsidRPr="00D41429" w:rsidRDefault="00CA3108">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CA3108" w:rsidRPr="00D41429" w:rsidRDefault="000D2D12" w:rsidP="00D41429">
      <w:pPr>
        <w:pStyle w:val="Prrafodelista"/>
        <w:numPr>
          <w:ilvl w:val="0"/>
          <w:numId w:val="6"/>
        </w:numPr>
        <w:pBdr>
          <w:top w:val="nil"/>
          <w:left w:val="nil"/>
          <w:bottom w:val="nil"/>
          <w:right w:val="nil"/>
          <w:between w:val="nil"/>
        </w:pBdr>
        <w:spacing w:line="360" w:lineRule="auto"/>
        <w:ind w:left="851" w:right="426"/>
        <w:jc w:val="both"/>
        <w:rPr>
          <w:rFonts w:ascii="Palatino Linotype" w:eastAsia="Palatino Linotype" w:hAnsi="Palatino Linotype" w:cs="Palatino Linotype"/>
          <w:b/>
          <w:bCs/>
          <w:color w:val="000000"/>
        </w:rPr>
      </w:pPr>
      <w:bookmarkStart w:id="2" w:name="_heading=h.8onz5u6hu3rr" w:colFirst="0" w:colLast="0"/>
      <w:bookmarkEnd w:id="2"/>
      <w:r w:rsidRPr="00D41429">
        <w:rPr>
          <w:rFonts w:ascii="Palatino Linotype" w:eastAsia="Palatino Linotype" w:hAnsi="Palatino Linotype" w:cs="Palatino Linotype"/>
          <w:b/>
          <w:bCs/>
          <w:color w:val="000000"/>
        </w:rPr>
        <w:t>ACTO IMPUGNADO:</w:t>
      </w:r>
    </w:p>
    <w:p w:rsidR="00CA3108" w:rsidRPr="00D41429" w:rsidRDefault="000D2D12">
      <w:pPr>
        <w:pBdr>
          <w:top w:val="nil"/>
          <w:left w:val="nil"/>
          <w:bottom w:val="nil"/>
          <w:right w:val="nil"/>
          <w:between w:val="nil"/>
        </w:pBdr>
        <w:spacing w:line="360" w:lineRule="auto"/>
        <w:ind w:left="426" w:right="426"/>
        <w:jc w:val="both"/>
        <w:rPr>
          <w:rFonts w:ascii="Palatino Linotype" w:eastAsia="Palatino Linotype" w:hAnsi="Palatino Linotype" w:cs="Palatino Linotype"/>
          <w:i/>
          <w:iCs/>
          <w:color w:val="000000"/>
        </w:rPr>
      </w:pPr>
      <w:r w:rsidRPr="00D41429">
        <w:rPr>
          <w:rFonts w:ascii="Palatino Linotype" w:eastAsia="Palatino Linotype" w:hAnsi="Palatino Linotype" w:cs="Palatino Linotype"/>
          <w:i/>
          <w:iCs/>
          <w:color w:val="000000"/>
        </w:rPr>
        <w:t>“Incumplió la ley”</w:t>
      </w:r>
    </w:p>
    <w:p w:rsidR="00CA3108" w:rsidRPr="00D41429" w:rsidRDefault="00CA3108">
      <w:pPr>
        <w:pBdr>
          <w:top w:val="nil"/>
          <w:left w:val="nil"/>
          <w:bottom w:val="nil"/>
          <w:right w:val="nil"/>
          <w:between w:val="nil"/>
        </w:pBdr>
        <w:spacing w:line="360" w:lineRule="auto"/>
        <w:ind w:left="426" w:right="426"/>
        <w:jc w:val="both"/>
        <w:rPr>
          <w:rFonts w:ascii="Palatino Linotype" w:eastAsia="Palatino Linotype" w:hAnsi="Palatino Linotype" w:cs="Palatino Linotype"/>
          <w:i/>
          <w:iCs/>
          <w:color w:val="000000"/>
        </w:rPr>
      </w:pPr>
    </w:p>
    <w:p w:rsidR="00CA3108" w:rsidRPr="00D41429" w:rsidRDefault="000D2D12" w:rsidP="00D41429">
      <w:pPr>
        <w:pStyle w:val="Prrafodelista"/>
        <w:numPr>
          <w:ilvl w:val="0"/>
          <w:numId w:val="6"/>
        </w:numPr>
        <w:pBdr>
          <w:top w:val="nil"/>
          <w:left w:val="nil"/>
          <w:bottom w:val="nil"/>
          <w:right w:val="nil"/>
          <w:between w:val="nil"/>
        </w:pBdr>
        <w:spacing w:line="360" w:lineRule="auto"/>
        <w:ind w:left="851" w:right="426"/>
        <w:jc w:val="both"/>
        <w:rPr>
          <w:rFonts w:ascii="Palatino Linotype" w:eastAsia="Palatino Linotype" w:hAnsi="Palatino Linotype" w:cs="Palatino Linotype"/>
          <w:b/>
          <w:bCs/>
          <w:color w:val="000000"/>
        </w:rPr>
      </w:pPr>
      <w:r w:rsidRPr="00D41429">
        <w:rPr>
          <w:rFonts w:ascii="Palatino Linotype" w:eastAsia="Palatino Linotype" w:hAnsi="Palatino Linotype" w:cs="Palatino Linotype"/>
          <w:b/>
          <w:bCs/>
          <w:color w:val="000000"/>
        </w:rPr>
        <w:t>RAZONES O MOTIVOS DE LA INCONFORMIDAD</w:t>
      </w:r>
      <w:r w:rsidRPr="00D41429">
        <w:rPr>
          <w:rFonts w:ascii="Palatino Linotype" w:eastAsia="Palatino Linotype" w:hAnsi="Palatino Linotype" w:cs="Palatino Linotype"/>
          <w:b/>
          <w:bCs/>
          <w:color w:val="000000"/>
        </w:rPr>
        <w:tab/>
      </w:r>
    </w:p>
    <w:p w:rsidR="00CA3108" w:rsidRPr="00D41429" w:rsidRDefault="000D2D12">
      <w:pPr>
        <w:pBdr>
          <w:top w:val="nil"/>
          <w:left w:val="nil"/>
          <w:bottom w:val="nil"/>
          <w:right w:val="nil"/>
          <w:between w:val="nil"/>
        </w:pBdr>
        <w:spacing w:line="360" w:lineRule="auto"/>
        <w:ind w:left="426" w:right="426"/>
        <w:jc w:val="both"/>
        <w:rPr>
          <w:rFonts w:ascii="Palatino Linotype" w:eastAsia="Palatino Linotype" w:hAnsi="Palatino Linotype" w:cs="Palatino Linotype"/>
          <w:i/>
          <w:iCs/>
          <w:color w:val="000000"/>
        </w:rPr>
      </w:pPr>
      <w:r w:rsidRPr="00D41429">
        <w:rPr>
          <w:rFonts w:ascii="Palatino Linotype" w:eastAsia="Palatino Linotype" w:hAnsi="Palatino Linotype" w:cs="Palatino Linotype"/>
          <w:i/>
          <w:iCs/>
          <w:color w:val="000000"/>
        </w:rPr>
        <w:t>“el ayuntamiento no entregó la información solicitada, le recuerdo que si bien, hay información de caracter confidenciales ustedes deben entregar las versiones pública de la informacion solicitada, es ilegal crear acuerdos con medios de comunicacion usando recurso publico sin hacer publico los contratos y acuerdos. Esta solicitud tiene fines periodisticos, por lo que se consignará su respuesta en la que son opacos y se espera que cumplan con la ley vía recurso de revisión”</w:t>
      </w:r>
    </w:p>
    <w:p w:rsidR="00CA3108" w:rsidRPr="00D41429" w:rsidRDefault="00CA3108">
      <w:pPr>
        <w:pBdr>
          <w:top w:val="nil"/>
          <w:left w:val="nil"/>
          <w:bottom w:val="nil"/>
          <w:right w:val="nil"/>
          <w:between w:val="nil"/>
        </w:pBdr>
        <w:spacing w:line="360" w:lineRule="auto"/>
        <w:ind w:left="426" w:right="426"/>
        <w:jc w:val="both"/>
        <w:rPr>
          <w:rFonts w:ascii="Palatino Linotype" w:eastAsia="Palatino Linotype" w:hAnsi="Palatino Linotype" w:cs="Palatino Linotype"/>
          <w:i/>
          <w:iCs/>
          <w:color w:val="000000"/>
        </w:rPr>
      </w:pPr>
    </w:p>
    <w:p w:rsidR="00CA3108" w:rsidRPr="00D41429" w:rsidRDefault="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lastRenderedPageBreak/>
        <w:t>La Comisionada p</w:t>
      </w:r>
      <w:r w:rsidR="000D2D12" w:rsidRPr="00D41429">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 fecha </w:t>
      </w:r>
      <w:r w:rsidR="000D2D12" w:rsidRPr="00D41429">
        <w:rPr>
          <w:rFonts w:ascii="Palatino Linotype" w:eastAsia="Palatino Linotype" w:hAnsi="Palatino Linotype" w:cs="Palatino Linotype"/>
          <w:b/>
          <w:bCs/>
          <w:color w:val="000000"/>
        </w:rPr>
        <w:t>siete de julio dos mil veinticinco</w:t>
      </w:r>
      <w:r w:rsidR="000D2D12" w:rsidRPr="00D41429">
        <w:rPr>
          <w:rFonts w:ascii="Palatino Linotype" w:eastAsia="Palatino Linotype" w:hAnsi="Palatino Linotype" w:cs="Palatino Linotype"/>
          <w:color w:val="000000"/>
        </w:rPr>
        <w:t xml:space="preserve">, puso a disposición de las partes el expediente electrónico vía </w:t>
      </w:r>
      <w:r w:rsidR="000D2D12" w:rsidRPr="00D41429">
        <w:rPr>
          <w:rFonts w:ascii="Palatino Linotype" w:eastAsia="Palatino Linotype" w:hAnsi="Palatino Linotype" w:cs="Palatino Linotype"/>
          <w:b/>
          <w:bCs/>
          <w:color w:val="000000"/>
        </w:rPr>
        <w:t xml:space="preserve">SAIMEX </w:t>
      </w:r>
      <w:r w:rsidR="000D2D12" w:rsidRPr="00D41429">
        <w:rPr>
          <w:rFonts w:ascii="Palatino Linotype" w:eastAsia="Palatino Linotype" w:hAnsi="Palatino Linotype" w:cs="Palatino Linotype"/>
          <w:color w:val="000000"/>
        </w:rPr>
        <w:t xml:space="preserve">a efecto de que en un plazo máximo de siete días manifestaran lo que a su derecho conviniera, ofrecieran pruebas y alegatos según corresponda a los casos concretos, y el </w:t>
      </w:r>
      <w:r w:rsidR="000D2D12" w:rsidRPr="00D41429">
        <w:rPr>
          <w:rFonts w:ascii="Palatino Linotype" w:eastAsia="Palatino Linotype" w:hAnsi="Palatino Linotype" w:cs="Palatino Linotype"/>
          <w:b/>
          <w:bCs/>
          <w:color w:val="000000"/>
        </w:rPr>
        <w:t>SUJETO OBLIGADO</w:t>
      </w:r>
      <w:r w:rsidR="000D2D12" w:rsidRPr="00D41429">
        <w:rPr>
          <w:rFonts w:ascii="Palatino Linotype" w:eastAsia="Palatino Linotype" w:hAnsi="Palatino Linotype" w:cs="Palatino Linotype"/>
          <w:color w:val="000000"/>
        </w:rPr>
        <w:t xml:space="preserve"> presentará el Informe Justificado procedente.</w:t>
      </w:r>
    </w:p>
    <w:p w:rsidR="00CA3108" w:rsidRPr="00D41429" w:rsidRDefault="00CA310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A3108" w:rsidRPr="00D41429" w:rsidRDefault="000D2D1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El </w:t>
      </w:r>
      <w:r w:rsidRPr="00D41429">
        <w:rPr>
          <w:rFonts w:ascii="Palatino Linotype" w:eastAsia="Palatino Linotype" w:hAnsi="Palatino Linotype" w:cs="Palatino Linotype"/>
          <w:b/>
          <w:bCs/>
          <w:color w:val="000000"/>
        </w:rPr>
        <w:t>SUJETO OBLIGADO</w:t>
      </w:r>
      <w:r w:rsidRPr="00D41429">
        <w:rPr>
          <w:rFonts w:ascii="Palatino Linotype" w:eastAsia="Palatino Linotype" w:hAnsi="Palatino Linotype" w:cs="Palatino Linotype"/>
          <w:color w:val="000000"/>
        </w:rPr>
        <w:t xml:space="preserve"> fue omiso en rendir el informe justificado correspondiente. Por su parte el </w:t>
      </w:r>
      <w:r w:rsidRPr="00D41429">
        <w:rPr>
          <w:rFonts w:ascii="Palatino Linotype" w:eastAsia="Palatino Linotype" w:hAnsi="Palatino Linotype" w:cs="Palatino Linotype"/>
          <w:b/>
          <w:bCs/>
          <w:color w:val="000000"/>
        </w:rPr>
        <w:t>RECURRENTE</w:t>
      </w:r>
      <w:r w:rsidRPr="00D41429">
        <w:rPr>
          <w:rFonts w:ascii="Palatino Linotype" w:eastAsia="Palatino Linotype" w:hAnsi="Palatino Linotype" w:cs="Palatino Linotype"/>
          <w:color w:val="000000"/>
        </w:rPr>
        <w:t xml:space="preserve"> no realizó manifestaciones que a su derecho conviniera y asistiera.</w:t>
      </w:r>
    </w:p>
    <w:p w:rsidR="00CA3108" w:rsidRPr="00D41429" w:rsidRDefault="00CA3108">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CA3108" w:rsidRPr="00D41429" w:rsidRDefault="000D2D1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El </w:t>
      </w:r>
      <w:r w:rsidRPr="00D41429">
        <w:rPr>
          <w:rFonts w:ascii="Palatino Linotype" w:eastAsia="Palatino Linotype" w:hAnsi="Palatino Linotype" w:cs="Palatino Linotype"/>
          <w:b/>
          <w:bCs/>
          <w:color w:val="000000"/>
        </w:rPr>
        <w:t>diecisiete de febrero de dos mil veinticinco</w:t>
      </w:r>
      <w:r w:rsidRPr="00D41429">
        <w:rPr>
          <w:rFonts w:ascii="Palatino Linotype" w:eastAsia="Palatino Linotype" w:hAnsi="Palatino Linotype" w:cs="Palatino Linotype"/>
          <w:color w:val="000000"/>
        </w:rPr>
        <w:t>, con fundamento en el artículo 181, tercer párrafo, de la Ley de Transparencia y Acceso a la Información Pública del Estado de México y Municipios se notificó que el plazo de treinta días para resolver el Recurso de Revisión sería ampliado por un periodo de quince días hábiles adicionales.</w:t>
      </w:r>
    </w:p>
    <w:p w:rsidR="00CA3108" w:rsidRPr="00D41429" w:rsidRDefault="00CA3108">
      <w:pPr>
        <w:pBdr>
          <w:top w:val="nil"/>
          <w:left w:val="nil"/>
          <w:bottom w:val="nil"/>
          <w:right w:val="nil"/>
          <w:between w:val="nil"/>
        </w:pBdr>
        <w:ind w:left="720"/>
        <w:rPr>
          <w:rFonts w:ascii="Palatino Linotype" w:eastAsia="Palatino Linotype" w:hAnsi="Palatino Linotype" w:cs="Palatino Linotype"/>
          <w:color w:val="000000"/>
        </w:rPr>
      </w:pPr>
    </w:p>
    <w:p w:rsidR="00CA3108" w:rsidRPr="00D41429" w:rsidRDefault="000D2D1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Este Organismo Garante no pasa por alto explicar que la dilación en la resolución del presente asunto encuentra su justificación en que, el alto número de recursos de revisión recibidos ha incrementado el número de medios de impugnación que deben resolverse por este instituto, circunstancia atípica que ha rebasado las capacidades técnicas y humanas del personal encargado de la elaboración de resoluciones a dichos medios de impugnación.</w:t>
      </w:r>
    </w:p>
    <w:p w:rsidR="00CA3108" w:rsidRPr="00D41429" w:rsidRDefault="00CA3108">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CA3108" w:rsidRPr="00D41429" w:rsidRDefault="000D2D1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lastRenderedPageBreak/>
        <w:t xml:space="preserve">Seguidamente al no existir pendientes o diligencia por desahogar, mediante Acuerdo de misma fecha se decretó el cierre de instrucción, por lo que: </w:t>
      </w:r>
    </w:p>
    <w:p w:rsidR="00CA3108" w:rsidRPr="00D41429" w:rsidRDefault="00CA310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A3108" w:rsidRPr="00D41429" w:rsidRDefault="000D2D12">
      <w:pPr>
        <w:pStyle w:val="Ttulo1"/>
        <w:spacing w:before="0" w:line="360" w:lineRule="auto"/>
        <w:jc w:val="center"/>
        <w:rPr>
          <w:rFonts w:ascii="Palatino Linotype" w:eastAsia="Palatino Linotype" w:hAnsi="Palatino Linotype" w:cs="Palatino Linotype"/>
          <w:b/>
          <w:bCs/>
          <w:color w:val="000000"/>
          <w:sz w:val="24"/>
          <w:szCs w:val="24"/>
        </w:rPr>
      </w:pPr>
      <w:bookmarkStart w:id="3" w:name="_heading=h.sjylbokfov2q" w:colFirst="0" w:colLast="0"/>
      <w:bookmarkEnd w:id="3"/>
      <w:r w:rsidRPr="00D41429">
        <w:rPr>
          <w:rFonts w:ascii="Palatino Linotype" w:eastAsia="Palatino Linotype" w:hAnsi="Palatino Linotype" w:cs="Palatino Linotype"/>
          <w:b/>
          <w:bCs/>
          <w:color w:val="000000"/>
          <w:sz w:val="24"/>
          <w:szCs w:val="24"/>
        </w:rPr>
        <w:t>C</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O</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N</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S</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I</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D</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E</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R</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A</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N</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D</w:t>
      </w:r>
      <w:r w:rsidR="00D41429">
        <w:rPr>
          <w:rFonts w:ascii="Palatino Linotype" w:eastAsia="Palatino Linotype" w:hAnsi="Palatino Linotype" w:cs="Palatino Linotype"/>
          <w:b/>
          <w:bCs/>
          <w:color w:val="000000"/>
          <w:sz w:val="24"/>
          <w:szCs w:val="24"/>
        </w:rPr>
        <w:t xml:space="preserve"> </w:t>
      </w:r>
      <w:r w:rsidRPr="00D41429">
        <w:rPr>
          <w:rFonts w:ascii="Palatino Linotype" w:eastAsia="Palatino Linotype" w:hAnsi="Palatino Linotype" w:cs="Palatino Linotype"/>
          <w:b/>
          <w:bCs/>
          <w:color w:val="000000"/>
          <w:sz w:val="24"/>
          <w:szCs w:val="24"/>
        </w:rPr>
        <w:t>O</w:t>
      </w:r>
      <w:r w:rsidR="00D41429">
        <w:rPr>
          <w:rFonts w:ascii="Palatino Linotype" w:eastAsia="Palatino Linotype" w:hAnsi="Palatino Linotype" w:cs="Palatino Linotype"/>
          <w:b/>
          <w:bCs/>
          <w:color w:val="000000"/>
          <w:sz w:val="24"/>
          <w:szCs w:val="24"/>
        </w:rPr>
        <w:t xml:space="preserve"> </w:t>
      </w:r>
    </w:p>
    <w:p w:rsidR="00CA3108" w:rsidRPr="00D41429" w:rsidRDefault="00CA3108">
      <w:pPr>
        <w:pStyle w:val="Ttulo2"/>
        <w:spacing w:before="0" w:line="360" w:lineRule="auto"/>
        <w:rPr>
          <w:rFonts w:ascii="Palatino Linotype" w:eastAsia="Palatino Linotype" w:hAnsi="Palatino Linotype" w:cs="Palatino Linotype"/>
          <w:b/>
          <w:bCs/>
          <w:color w:val="000000"/>
          <w:sz w:val="24"/>
          <w:szCs w:val="24"/>
        </w:rPr>
      </w:pPr>
      <w:bookmarkStart w:id="4" w:name="_heading=h.w3v18ouncp9b" w:colFirst="0" w:colLast="0"/>
      <w:bookmarkEnd w:id="4"/>
    </w:p>
    <w:p w:rsidR="00CA3108" w:rsidRPr="00D41429" w:rsidRDefault="000D2D12">
      <w:pPr>
        <w:pStyle w:val="Ttulo2"/>
        <w:spacing w:before="0" w:line="360" w:lineRule="auto"/>
        <w:rPr>
          <w:rFonts w:ascii="Palatino Linotype" w:eastAsia="Palatino Linotype" w:hAnsi="Palatino Linotype" w:cs="Palatino Linotype"/>
          <w:b/>
          <w:bCs/>
          <w:color w:val="000000"/>
          <w:sz w:val="24"/>
          <w:szCs w:val="24"/>
        </w:rPr>
      </w:pPr>
      <w:r w:rsidRPr="00D41429">
        <w:rPr>
          <w:rFonts w:ascii="Palatino Linotype" w:eastAsia="Palatino Linotype" w:hAnsi="Palatino Linotype" w:cs="Palatino Linotype"/>
          <w:b/>
          <w:bCs/>
          <w:color w:val="000000"/>
          <w:sz w:val="24"/>
          <w:szCs w:val="24"/>
        </w:rPr>
        <w:t>PRIMERO. De la competencia</w:t>
      </w:r>
    </w:p>
    <w:p w:rsidR="00CA3108" w:rsidRPr="00D41429" w:rsidRDefault="000D2D1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CA3108" w:rsidRPr="00D41429" w:rsidRDefault="00CA3108">
      <w:pPr>
        <w:spacing w:line="360" w:lineRule="auto"/>
        <w:jc w:val="both"/>
        <w:rPr>
          <w:rFonts w:ascii="Palatino Linotype" w:eastAsia="Palatino Linotype" w:hAnsi="Palatino Linotype" w:cs="Palatino Linotype"/>
          <w:color w:val="000000"/>
        </w:rPr>
      </w:pPr>
    </w:p>
    <w:p w:rsidR="00CA3108" w:rsidRPr="00D41429" w:rsidRDefault="000D2D12">
      <w:pPr>
        <w:spacing w:line="360" w:lineRule="auto"/>
        <w:jc w:val="both"/>
        <w:rPr>
          <w:rFonts w:ascii="Palatino Linotype" w:eastAsia="Palatino Linotype" w:hAnsi="Palatino Linotype" w:cs="Palatino Linotype"/>
          <w:b/>
          <w:bCs/>
        </w:rPr>
      </w:pPr>
      <w:bookmarkStart w:id="5" w:name="_heading=h.5sxx2wrrp91y" w:colFirst="0" w:colLast="0"/>
      <w:bookmarkEnd w:id="5"/>
      <w:r w:rsidRPr="00D41429">
        <w:rPr>
          <w:rFonts w:ascii="Palatino Linotype" w:eastAsia="Palatino Linotype" w:hAnsi="Palatino Linotype" w:cs="Palatino Linotype"/>
          <w:color w:val="000000"/>
        </w:rPr>
        <w:t xml:space="preserve"> </w:t>
      </w:r>
      <w:r w:rsidRPr="00D41429">
        <w:rPr>
          <w:rFonts w:ascii="Palatino Linotype" w:eastAsia="Palatino Linotype" w:hAnsi="Palatino Linotype" w:cs="Palatino Linotype"/>
          <w:b/>
          <w:bCs/>
        </w:rPr>
        <w:t>SEGUNDO. De la oportunidad y procedencia.</w:t>
      </w: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t xml:space="preserve">Este Órgano Garante considera que el medio de impugnación reúne los requisitos de procedencia </w:t>
      </w:r>
      <w:r w:rsidRPr="00D41429">
        <w:rPr>
          <w:rFonts w:ascii="Palatino Linotype" w:eastAsia="Palatino Linotype" w:hAnsi="Palatino Linotype" w:cs="Palatino Linotype"/>
          <w:color w:val="000000"/>
        </w:rPr>
        <w:t xml:space="preserve">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w:t>
      </w:r>
      <w:r w:rsidRPr="00D41429">
        <w:rPr>
          <w:rFonts w:ascii="Palatino Linotype" w:eastAsia="Palatino Linotype" w:hAnsi="Palatino Linotype" w:cs="Palatino Linotype"/>
          <w:b/>
          <w:bCs/>
          <w:color w:val="000000"/>
        </w:rPr>
        <w:t>LA RECURRENTE</w:t>
      </w:r>
      <w:r w:rsidRPr="00D41429">
        <w:rPr>
          <w:rFonts w:ascii="Palatino Linotype" w:eastAsia="Palatino Linotype" w:hAnsi="Palatino Linotype" w:cs="Palatino Linotype"/>
          <w:color w:val="000000"/>
        </w:rPr>
        <w:t xml:space="preserve"> ante otra instancia.</w:t>
      </w:r>
    </w:p>
    <w:p w:rsidR="00CA3108" w:rsidRPr="00D41429" w:rsidRDefault="00CA3108">
      <w:pPr>
        <w:spacing w:line="360" w:lineRule="auto"/>
        <w:jc w:val="both"/>
        <w:rPr>
          <w:rFonts w:ascii="Palatino Linotype" w:eastAsia="Palatino Linotype" w:hAnsi="Palatino Linotype" w:cs="Palatino Linotype"/>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lastRenderedPageBreak/>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CA3108" w:rsidRPr="00D41429" w:rsidRDefault="000D2D12">
      <w:pPr>
        <w:spacing w:line="360" w:lineRule="auto"/>
        <w:ind w:left="567" w:right="567"/>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w:t>
      </w:r>
      <w:r w:rsidRPr="00D41429">
        <w:rPr>
          <w:rFonts w:ascii="Palatino Linotype" w:eastAsia="Palatino Linotype" w:hAnsi="Palatino Linotype" w:cs="Palatino Linotype"/>
          <w:b/>
          <w:bCs/>
          <w:i/>
          <w:iCs/>
        </w:rPr>
        <w:t>Las solicitudes anónimas</w:t>
      </w:r>
      <w:r w:rsidRPr="00D41429">
        <w:rPr>
          <w:rFonts w:ascii="Palatino Linotype" w:eastAsia="Palatino Linotype" w:hAnsi="Palatino Linotype" w:cs="Palatino Linotype"/>
          <w:i/>
          <w:iCs/>
        </w:rPr>
        <w:t xml:space="preserve">, con nombre incompleto o seudónimo </w:t>
      </w:r>
      <w:r w:rsidRPr="00D41429">
        <w:rPr>
          <w:rFonts w:ascii="Palatino Linotype" w:eastAsia="Palatino Linotype" w:hAnsi="Palatino Linotype" w:cs="Palatino Linotype"/>
          <w:b/>
          <w:bCs/>
          <w:i/>
          <w:iCs/>
        </w:rPr>
        <w:t>serán procedentes para su trámite por parte del sujeto obligado ante quien se presente</w:t>
      </w:r>
      <w:r w:rsidRPr="00D41429">
        <w:rPr>
          <w:rFonts w:ascii="Palatino Linotype" w:eastAsia="Palatino Linotype" w:hAnsi="Palatino Linotype" w:cs="Palatino Linotype"/>
          <w:i/>
          <w:iCs/>
        </w:rPr>
        <w:t>. No podrá requerirse información adicional con motivo del nombre proporcionado por el solicitante."</w:t>
      </w:r>
    </w:p>
    <w:p w:rsidR="00CA3108" w:rsidRPr="00D41429" w:rsidRDefault="00CA3108">
      <w:pPr>
        <w:spacing w:line="360" w:lineRule="auto"/>
        <w:rPr>
          <w:rFonts w:ascii="Palatino Linotype" w:eastAsia="Palatino Linotype" w:hAnsi="Palatino Linotype" w:cs="Palatino Linotype"/>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w:t>
      </w:r>
    </w:p>
    <w:p w:rsidR="00CA3108" w:rsidRPr="00D41429" w:rsidRDefault="00CA3108">
      <w:pPr>
        <w:spacing w:line="360" w:lineRule="auto"/>
        <w:jc w:val="both"/>
        <w:rPr>
          <w:rFonts w:ascii="Palatino Linotype" w:eastAsia="Palatino Linotype" w:hAnsi="Palatino Linotype" w:cs="Palatino Linotype"/>
        </w:rPr>
      </w:pPr>
    </w:p>
    <w:p w:rsidR="00CA3108" w:rsidRPr="00D41429" w:rsidRDefault="000D2D12">
      <w:pPr>
        <w:pStyle w:val="Ttulo2"/>
        <w:spacing w:before="0" w:line="360" w:lineRule="auto"/>
        <w:rPr>
          <w:rFonts w:ascii="Palatino Linotype" w:eastAsia="Palatino Linotype" w:hAnsi="Palatino Linotype" w:cs="Palatino Linotype"/>
          <w:b/>
          <w:bCs/>
          <w:color w:val="000000"/>
          <w:sz w:val="24"/>
          <w:szCs w:val="24"/>
        </w:rPr>
      </w:pPr>
      <w:bookmarkStart w:id="6" w:name="_heading=h.dvnltgd7zj7w" w:colFirst="0" w:colLast="0"/>
      <w:bookmarkEnd w:id="6"/>
      <w:r w:rsidRPr="00D41429">
        <w:rPr>
          <w:rFonts w:ascii="Palatino Linotype" w:eastAsia="Palatino Linotype" w:hAnsi="Palatino Linotype" w:cs="Palatino Linotype"/>
          <w:b/>
          <w:bCs/>
          <w:color w:val="000000"/>
          <w:sz w:val="24"/>
          <w:szCs w:val="24"/>
        </w:rPr>
        <w:t>TERCERO. Del planteamiento de la</w:t>
      </w:r>
      <w:r w:rsidRPr="00D41429">
        <w:rPr>
          <w:rFonts w:ascii="Palatino Linotype" w:eastAsia="Palatino Linotype" w:hAnsi="Palatino Linotype" w:cs="Palatino Linotype"/>
          <w:b/>
          <w:bCs/>
          <w:i/>
          <w:iCs/>
          <w:color w:val="000000"/>
          <w:sz w:val="24"/>
          <w:szCs w:val="24"/>
        </w:rPr>
        <w:t xml:space="preserve"> Litis</w:t>
      </w:r>
    </w:p>
    <w:p w:rsidR="00CA3108" w:rsidRPr="00D41429" w:rsidRDefault="000D2D1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Se solicitó tener acceso, a la información que a continuación se desagrega:</w:t>
      </w:r>
    </w:p>
    <w:p w:rsidR="00CA3108" w:rsidRPr="00D41429" w:rsidRDefault="000D2D12">
      <w:pPr>
        <w:numPr>
          <w:ilvl w:val="0"/>
          <w:numId w:val="2"/>
        </w:numPr>
        <w:pBdr>
          <w:top w:val="nil"/>
          <w:left w:val="nil"/>
          <w:bottom w:val="nil"/>
          <w:right w:val="nil"/>
          <w:between w:val="nil"/>
        </w:pBdr>
        <w:spacing w:line="360" w:lineRule="auto"/>
        <w:ind w:right="851"/>
        <w:jc w:val="both"/>
        <w:rPr>
          <w:rFonts w:ascii="Palatino Linotype" w:eastAsia="Palatino Linotype" w:hAnsi="Palatino Linotype" w:cs="Palatino Linotype"/>
          <w:b/>
          <w:bCs/>
          <w:color w:val="000000"/>
        </w:rPr>
      </w:pPr>
      <w:r w:rsidRPr="00D41429">
        <w:rPr>
          <w:rFonts w:ascii="Palatino Linotype" w:eastAsia="Palatino Linotype" w:hAnsi="Palatino Linotype" w:cs="Palatino Linotype"/>
          <w:b/>
          <w:bCs/>
          <w:color w:val="000000"/>
        </w:rPr>
        <w:t>Los nombres de los medios de comunicación, páginas y personas a las que tiene convenio el Ayuntamiento para difundir información del Municipio o publicidad, montos pagados y, el periodo de los contratos.</w:t>
      </w:r>
    </w:p>
    <w:p w:rsidR="00CA3108" w:rsidRPr="00D41429" w:rsidRDefault="00CA3108">
      <w:pPr>
        <w:pBdr>
          <w:top w:val="nil"/>
          <w:left w:val="nil"/>
          <w:bottom w:val="nil"/>
          <w:right w:val="nil"/>
          <w:between w:val="nil"/>
        </w:pBdr>
        <w:spacing w:line="360" w:lineRule="auto"/>
        <w:ind w:left="778" w:right="851"/>
        <w:jc w:val="both"/>
        <w:rPr>
          <w:rFonts w:ascii="Palatino Linotype" w:eastAsia="Palatino Linotype" w:hAnsi="Palatino Linotype" w:cs="Palatino Linotype"/>
          <w:b/>
          <w:bCs/>
          <w:color w:val="000000"/>
        </w:rPr>
      </w:pPr>
    </w:p>
    <w:p w:rsidR="00CA3108" w:rsidRPr="00D41429" w:rsidRDefault="000D2D1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En respuesta, el </w:t>
      </w:r>
      <w:r w:rsidRPr="00D41429">
        <w:rPr>
          <w:rFonts w:ascii="Palatino Linotype" w:eastAsia="Palatino Linotype" w:hAnsi="Palatino Linotype" w:cs="Palatino Linotype"/>
          <w:b/>
          <w:bCs/>
          <w:color w:val="000000"/>
        </w:rPr>
        <w:t xml:space="preserve">SUJETO OBLIGADO </w:t>
      </w:r>
      <w:r w:rsidRPr="00D41429">
        <w:rPr>
          <w:rFonts w:ascii="Palatino Linotype" w:eastAsia="Palatino Linotype" w:hAnsi="Palatino Linotype" w:cs="Palatino Linotype"/>
          <w:color w:val="000000"/>
        </w:rPr>
        <w:t xml:space="preserve">remitió el archivo ya descrito en el anterior Párrafo 2; no obstante el particular se inconformó, por la negativa a la entrega de la información; en dichas condiciones, la </w:t>
      </w:r>
      <w:r w:rsidRPr="00D41429">
        <w:rPr>
          <w:rFonts w:ascii="Palatino Linotype" w:eastAsia="Palatino Linotype" w:hAnsi="Palatino Linotype" w:cs="Palatino Linotype"/>
          <w:i/>
          <w:iCs/>
          <w:color w:val="000000"/>
        </w:rPr>
        <w:t>Litis</w:t>
      </w:r>
      <w:r w:rsidRPr="00D41429">
        <w:rPr>
          <w:rFonts w:ascii="Palatino Linotype" w:eastAsia="Palatino Linotype" w:hAnsi="Palatino Linotype" w:cs="Palatino Linotype"/>
          <w:color w:val="000000"/>
        </w:rPr>
        <w:t xml:space="preserve"> a resolver en el recurso de revisión se </w:t>
      </w:r>
      <w:r w:rsidRPr="00D41429">
        <w:rPr>
          <w:rFonts w:ascii="Palatino Linotype" w:eastAsia="Palatino Linotype" w:hAnsi="Palatino Linotype" w:cs="Palatino Linotype"/>
          <w:color w:val="000000"/>
        </w:rPr>
        <w:lastRenderedPageBreak/>
        <w:t xml:space="preserve">circunscribe a determinar si se actualiza la causal de procedencia prevista en el artículo 179, </w:t>
      </w:r>
      <w:r w:rsidRPr="00D41429">
        <w:rPr>
          <w:rFonts w:ascii="Palatino Linotype" w:eastAsia="Palatino Linotype" w:hAnsi="Palatino Linotype" w:cs="Palatino Linotype"/>
          <w:b/>
          <w:bCs/>
          <w:color w:val="000000"/>
        </w:rPr>
        <w:t xml:space="preserve">fracción I </w:t>
      </w:r>
      <w:r w:rsidRPr="00D41429">
        <w:rPr>
          <w:rFonts w:ascii="Palatino Linotype" w:eastAsia="Palatino Linotype" w:hAnsi="Palatino Linotype" w:cs="Palatino Linotype"/>
          <w:color w:val="000000"/>
        </w:rPr>
        <w:t xml:space="preserve">de la </w:t>
      </w:r>
      <w:r w:rsidRPr="00D41429">
        <w:rPr>
          <w:rFonts w:ascii="Palatino Linotype" w:eastAsia="Palatino Linotype" w:hAnsi="Palatino Linotype" w:cs="Palatino Linotype"/>
          <w:b/>
          <w:bCs/>
          <w:color w:val="000000"/>
        </w:rPr>
        <w:t>Ley de Transparencia y Acceso a la Información Pública del Estado de México y Municipios</w:t>
      </w:r>
      <w:r w:rsidRPr="00D41429">
        <w:rPr>
          <w:rFonts w:ascii="Palatino Linotype" w:eastAsia="Palatino Linotype" w:hAnsi="Palatino Linotype" w:cs="Palatino Linotype"/>
          <w:color w:val="000000"/>
        </w:rPr>
        <w:t xml:space="preserve">; fracción que determina las hipótesis jurídica relativa a la negativa de entrega de la información; contexto del cual se dolió </w:t>
      </w:r>
      <w:r w:rsidRPr="00D41429">
        <w:rPr>
          <w:rFonts w:ascii="Palatino Linotype" w:eastAsia="Palatino Linotype" w:hAnsi="Palatino Linotype" w:cs="Palatino Linotype"/>
          <w:b/>
          <w:bCs/>
          <w:color w:val="000000"/>
        </w:rPr>
        <w:t xml:space="preserve">EL RECURRENTE </w:t>
      </w:r>
      <w:r w:rsidRPr="00D41429">
        <w:rPr>
          <w:rFonts w:ascii="Palatino Linotype" w:eastAsia="Palatino Linotype" w:hAnsi="Palatino Linotype" w:cs="Palatino Linotype"/>
          <w:color w:val="000000"/>
        </w:rPr>
        <w:t xml:space="preserve">al momento de interponer su inconformidad. </w:t>
      </w:r>
    </w:p>
    <w:p w:rsidR="00CA3108" w:rsidRPr="00D41429" w:rsidRDefault="00CA3108">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color w:val="000000"/>
        </w:rPr>
        <w:t xml:space="preserve">De modo tal que el presente Recurso de Revisión se abocara en determinar si el </w:t>
      </w:r>
      <w:r w:rsidRPr="00D41429">
        <w:rPr>
          <w:rFonts w:ascii="Palatino Linotype" w:eastAsia="Palatino Linotype" w:hAnsi="Palatino Linotype" w:cs="Palatino Linotype"/>
          <w:b/>
          <w:bCs/>
          <w:color w:val="000000"/>
        </w:rPr>
        <w:t>SUJETO</w:t>
      </w:r>
      <w:r w:rsidRPr="00D41429">
        <w:rPr>
          <w:rFonts w:ascii="Palatino Linotype" w:eastAsia="Palatino Linotype" w:hAnsi="Palatino Linotype" w:cs="Palatino Linotype"/>
          <w:color w:val="000000"/>
        </w:rPr>
        <w:t xml:space="preserve"> </w:t>
      </w:r>
      <w:r w:rsidRPr="00D41429">
        <w:rPr>
          <w:rFonts w:ascii="Palatino Linotype" w:eastAsia="Palatino Linotype" w:hAnsi="Palatino Linotype" w:cs="Palatino Linotype"/>
          <w:b/>
          <w:bCs/>
          <w:color w:val="000000"/>
        </w:rPr>
        <w:t>OBLIGADO</w:t>
      </w:r>
      <w:r w:rsidRPr="00D41429">
        <w:rPr>
          <w:rFonts w:ascii="Palatino Linotype" w:eastAsia="Palatino Linotype" w:hAnsi="Palatino Linotype" w:cs="Palatino Linotype"/>
          <w:color w:val="000000"/>
        </w:rPr>
        <w:t xml:space="preserve"> con su respuesta ciertamente actualiza la causal de procedencia</w:t>
      </w:r>
      <w:r w:rsidRPr="00D41429">
        <w:rPr>
          <w:rFonts w:ascii="Palatino Linotype" w:eastAsia="Palatino Linotype" w:hAnsi="Palatino Linotype" w:cs="Palatino Linotype"/>
          <w:b/>
          <w:bCs/>
          <w:color w:val="000000"/>
        </w:rPr>
        <w:t xml:space="preserve"> </w:t>
      </w:r>
      <w:r w:rsidRPr="00D41429">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CA3108" w:rsidRPr="00D41429" w:rsidRDefault="00CA3108">
      <w:pPr>
        <w:pBdr>
          <w:top w:val="nil"/>
          <w:left w:val="nil"/>
          <w:bottom w:val="nil"/>
          <w:right w:val="nil"/>
          <w:between w:val="nil"/>
        </w:pBdr>
        <w:ind w:left="720"/>
        <w:rPr>
          <w:rFonts w:ascii="Palatino Linotype" w:eastAsia="Palatino Linotype" w:hAnsi="Palatino Linotype" w:cs="Palatino Linotype"/>
          <w:color w:val="000000"/>
        </w:rPr>
      </w:pPr>
    </w:p>
    <w:p w:rsidR="00CA3108" w:rsidRPr="00D41429" w:rsidRDefault="000D2D12">
      <w:pPr>
        <w:pStyle w:val="Ttulo2"/>
        <w:spacing w:before="0" w:line="360" w:lineRule="auto"/>
        <w:rPr>
          <w:rFonts w:ascii="Palatino Linotype" w:eastAsia="Palatino Linotype" w:hAnsi="Palatino Linotype" w:cs="Palatino Linotype"/>
          <w:b/>
          <w:bCs/>
          <w:color w:val="000000"/>
          <w:sz w:val="24"/>
          <w:szCs w:val="24"/>
        </w:rPr>
      </w:pPr>
      <w:r w:rsidRPr="00D41429">
        <w:rPr>
          <w:rFonts w:ascii="Palatino Linotype" w:eastAsia="Palatino Linotype" w:hAnsi="Palatino Linotype" w:cs="Palatino Linotype"/>
          <w:b/>
          <w:bCs/>
          <w:color w:val="000000"/>
          <w:sz w:val="24"/>
          <w:szCs w:val="24"/>
        </w:rPr>
        <w:t>CUARTO. Del estudio y resolución del estudio</w:t>
      </w: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w:t>
      </w:r>
      <w:r w:rsidRPr="00D41429">
        <w:rPr>
          <w:rFonts w:ascii="Palatino Linotype" w:eastAsia="Palatino Linotype" w:hAnsi="Palatino Linotype" w:cs="Palatino Linotype"/>
          <w:color w:val="000000"/>
        </w:rPr>
        <w:t>Transparencia</w:t>
      </w:r>
      <w:r w:rsidRPr="00D41429">
        <w:rPr>
          <w:rFonts w:ascii="Palatino Linotype" w:eastAsia="Palatino Linotype" w:hAnsi="Palatino Linotype" w:cs="Palatino Linotype"/>
        </w:rPr>
        <w:t xml:space="preserve">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w:t>
      </w:r>
      <w:r w:rsidRPr="00D41429">
        <w:rPr>
          <w:rFonts w:ascii="Palatino Linotype" w:eastAsia="Palatino Linotype" w:hAnsi="Palatino Linotype" w:cs="Palatino Linotype"/>
        </w:rPr>
        <w:lastRenderedPageBreak/>
        <w:t>competencias o funciones desde su origen la eventual publicidad y reutilización de la información que generen.</w:t>
      </w:r>
    </w:p>
    <w:p w:rsidR="00CA3108" w:rsidRPr="00D41429" w:rsidRDefault="00CA3108">
      <w:pPr>
        <w:spacing w:line="360" w:lineRule="auto"/>
        <w:jc w:val="both"/>
        <w:rPr>
          <w:rFonts w:ascii="Palatino Linotype" w:eastAsia="Palatino Linotype" w:hAnsi="Palatino Linotype" w:cs="Palatino Linotype"/>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CA3108" w:rsidRPr="00D41429" w:rsidRDefault="00CA3108">
      <w:pPr>
        <w:spacing w:line="360" w:lineRule="auto"/>
        <w:rPr>
          <w:rFonts w:ascii="Palatino Linotype" w:eastAsia="Palatino Linotype" w:hAnsi="Palatino Linotype" w:cs="Palatino Linotype"/>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CA3108" w:rsidRPr="00D41429" w:rsidRDefault="00CA3108">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rPr>
        <w:t xml:space="preserve">Acotado lo anterior, es dable primeramente recordar la respuesta que versó en una imposibilidad de entregar lo solicitado; ya que a decir del </w:t>
      </w:r>
      <w:r w:rsidRPr="00D41429">
        <w:rPr>
          <w:rFonts w:ascii="Palatino Linotype" w:eastAsia="Palatino Linotype" w:hAnsi="Palatino Linotype" w:cs="Palatino Linotype"/>
          <w:b/>
          <w:bCs/>
        </w:rPr>
        <w:t>SUJETO OBLIGADO</w:t>
      </w:r>
      <w:r w:rsidRPr="00D41429">
        <w:rPr>
          <w:rFonts w:ascii="Palatino Linotype" w:eastAsia="Palatino Linotype" w:hAnsi="Palatino Linotype" w:cs="Palatino Linotype"/>
        </w:rPr>
        <w:t xml:space="preserve"> existe confidencialidad entre las partes que impide dar atención a los requerimientos. Luego </w:t>
      </w:r>
      <w:r w:rsidRPr="00D41429">
        <w:rPr>
          <w:rFonts w:ascii="Palatino Linotype" w:eastAsia="Palatino Linotype" w:hAnsi="Palatino Linotype" w:cs="Palatino Linotype"/>
        </w:rPr>
        <w:lastRenderedPageBreak/>
        <w:t xml:space="preserve">entonces para determinar la procedencia o improcedencia de los argumentos vertidos es necesario analizar la naturaleza jurídica </w:t>
      </w:r>
      <w:r w:rsidRPr="00D41429">
        <w:rPr>
          <w:rFonts w:ascii="Palatino Linotype" w:eastAsia="Palatino Linotype" w:hAnsi="Palatino Linotype" w:cs="Palatino Linotype"/>
          <w:color w:val="000000"/>
        </w:rPr>
        <w:t xml:space="preserve">y el marco normativo de lo solicitado, a lo que debemos traer a contexto lo dispuesto en la Ley de la Contratación Pública del Estado de México y Municipios, la cual tiene por objeto regular los actos relativos a la planeación, programación, presupuestación, ejecución y control de la adquisición, enajenación y arrendamiento de bienes, y la </w:t>
      </w:r>
      <w:r w:rsidRPr="00D41429">
        <w:rPr>
          <w:rFonts w:ascii="Palatino Linotype" w:eastAsia="Palatino Linotype" w:hAnsi="Palatino Linotype" w:cs="Palatino Linotype"/>
          <w:b/>
          <w:bCs/>
          <w:color w:val="000000"/>
        </w:rPr>
        <w:t>contratación de servicios de cualquier naturaleza, que realicen los Ayuntamientos del Estado</w:t>
      </w:r>
      <w:r w:rsidRPr="00D41429">
        <w:rPr>
          <w:rFonts w:ascii="Palatino Linotype" w:eastAsia="Palatino Linotype" w:hAnsi="Palatino Linotype" w:cs="Palatino Linotype"/>
          <w:color w:val="000000"/>
        </w:rPr>
        <w:t xml:space="preserve">; los cuales se </w:t>
      </w:r>
      <w:r w:rsidRPr="00D41429">
        <w:rPr>
          <w:rFonts w:ascii="Palatino Linotype" w:eastAsia="Palatino Linotype" w:hAnsi="Palatino Linotype" w:cs="Palatino Linotype"/>
        </w:rPr>
        <w:t>adjudicarán</w:t>
      </w:r>
      <w:r w:rsidRPr="00D41429">
        <w:rPr>
          <w:rFonts w:ascii="Palatino Linotype" w:eastAsia="Palatino Linotype" w:hAnsi="Palatino Linotype" w:cs="Palatino Linotype"/>
          <w:color w:val="000000"/>
        </w:rPr>
        <w:t xml:space="preserve"> a través de </w:t>
      </w:r>
      <w:r w:rsidRPr="00D41429">
        <w:rPr>
          <w:rFonts w:ascii="Palatino Linotype" w:eastAsia="Palatino Linotype" w:hAnsi="Palatino Linotype" w:cs="Palatino Linotype"/>
          <w:color w:val="000000"/>
          <w:u w:val="single"/>
        </w:rPr>
        <w:t>licitaciones públicas</w:t>
      </w:r>
      <w:r w:rsidRPr="00D41429">
        <w:rPr>
          <w:rFonts w:ascii="Palatino Linotype" w:eastAsia="Palatino Linotype" w:hAnsi="Palatino Linotype" w:cs="Palatino Linotype"/>
          <w:color w:val="000000"/>
        </w:rPr>
        <w:t>, i</w:t>
      </w:r>
      <w:r w:rsidRPr="00D41429">
        <w:rPr>
          <w:rFonts w:ascii="Palatino Linotype" w:eastAsia="Palatino Linotype" w:hAnsi="Palatino Linotype" w:cs="Palatino Linotype"/>
          <w:color w:val="000000"/>
          <w:u w:val="single"/>
        </w:rPr>
        <w:t>nvitación restringida o adjudicación directa,</w:t>
      </w:r>
      <w:r w:rsidRPr="00D41429">
        <w:rPr>
          <w:rFonts w:ascii="Palatino Linotype" w:eastAsia="Palatino Linotype" w:hAnsi="Palatino Linotype" w:cs="Palatino Linotype"/>
          <w:color w:val="000000"/>
        </w:rPr>
        <w:t xml:space="preserve"> mediante convocatoria pública, tal y como lo establecen los artículos 4, 26 y 27 de dicha Ley, los cuales son del tenor siguiente:</w:t>
      </w:r>
    </w:p>
    <w:p w:rsidR="00CA3108" w:rsidRPr="00D41429" w:rsidRDefault="000D2D12">
      <w:pPr>
        <w:spacing w:line="360" w:lineRule="auto"/>
        <w:ind w:left="851" w:right="82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w:t>
      </w:r>
      <w:r w:rsidRPr="00D41429">
        <w:rPr>
          <w:rFonts w:ascii="Palatino Linotype" w:eastAsia="Palatino Linotype" w:hAnsi="Palatino Linotype" w:cs="Palatino Linotype"/>
          <w:b/>
          <w:bCs/>
          <w:i/>
          <w:iCs/>
        </w:rPr>
        <w:t>Artículo 4.-</w:t>
      </w:r>
      <w:r w:rsidRPr="00D41429">
        <w:rPr>
          <w:rFonts w:ascii="Palatino Linotype" w:eastAsia="Palatino Linotype" w:hAnsi="Palatino Linotype" w:cs="Palatino Linotype"/>
          <w:i/>
          <w:iCs/>
        </w:rPr>
        <w:t xml:space="preserve"> Para los efectos de esta Ley, en las adquisiciones, enajenaciones, arrendamientos y servicios, quedan comprendidos: </w:t>
      </w:r>
    </w:p>
    <w:p w:rsidR="00CA3108" w:rsidRPr="00D41429" w:rsidRDefault="000D2D12">
      <w:pPr>
        <w:spacing w:line="360" w:lineRule="auto"/>
        <w:ind w:left="851" w:right="82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 xml:space="preserve">I. La adquisición de bienes muebles. </w:t>
      </w:r>
    </w:p>
    <w:p w:rsidR="00CA3108" w:rsidRPr="00D41429" w:rsidRDefault="000D2D12">
      <w:pPr>
        <w:spacing w:line="360" w:lineRule="auto"/>
        <w:ind w:left="851" w:right="82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 xml:space="preserve">II. La adquisición de bienes inmuebles, a través de compraventa. </w:t>
      </w:r>
    </w:p>
    <w:p w:rsidR="00CA3108" w:rsidRPr="00D41429" w:rsidRDefault="000D2D12">
      <w:pPr>
        <w:spacing w:line="360" w:lineRule="auto"/>
        <w:ind w:left="851" w:right="82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 xml:space="preserve">III. La enajenación de bienes muebles e inmuebles. </w:t>
      </w:r>
    </w:p>
    <w:p w:rsidR="00CA3108" w:rsidRPr="00D41429" w:rsidRDefault="000D2D12">
      <w:pPr>
        <w:spacing w:line="360" w:lineRule="auto"/>
        <w:ind w:left="851" w:right="82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 xml:space="preserve">IV. El arrendamiento de bienes muebles e inmuebles. </w:t>
      </w:r>
    </w:p>
    <w:p w:rsidR="00CA3108" w:rsidRPr="00D41429" w:rsidRDefault="000D2D12">
      <w:pPr>
        <w:spacing w:line="360" w:lineRule="auto"/>
        <w:ind w:left="851" w:right="82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 xml:space="preserve">V. La contratación de los servicios, relacionados con bienes muebles que se encuentran incorporados o adheridos a bienes inmuebles, cuya instalación o mantenimiento no implique modificación al bien inmueble. </w:t>
      </w:r>
    </w:p>
    <w:p w:rsidR="00CA3108" w:rsidRPr="00D41429" w:rsidRDefault="000D2D12">
      <w:pPr>
        <w:spacing w:line="360" w:lineRule="auto"/>
        <w:ind w:left="851" w:right="82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 xml:space="preserve">VI. La contratación de los servicios de reconstrucción y mantenimiento de bienes muebles. </w:t>
      </w:r>
    </w:p>
    <w:p w:rsidR="00CA3108" w:rsidRPr="00D41429" w:rsidRDefault="000D2D12">
      <w:pPr>
        <w:spacing w:line="360" w:lineRule="auto"/>
        <w:ind w:left="851" w:right="82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VII. La contratación de los servicios de maquila, seguros y transportación, así como de los de limpieza y vigilancia de bienes inmuebles</w:t>
      </w:r>
    </w:p>
    <w:p w:rsidR="00CA3108" w:rsidRPr="00D41429" w:rsidRDefault="000D2D12">
      <w:pPr>
        <w:spacing w:line="360" w:lineRule="auto"/>
        <w:ind w:left="851" w:right="822"/>
        <w:jc w:val="both"/>
        <w:rPr>
          <w:rFonts w:ascii="Palatino Linotype" w:eastAsia="Palatino Linotype" w:hAnsi="Palatino Linotype" w:cs="Palatino Linotype"/>
          <w:b/>
          <w:bCs/>
          <w:i/>
          <w:iCs/>
        </w:rPr>
      </w:pPr>
      <w:r w:rsidRPr="00D41429">
        <w:rPr>
          <w:rFonts w:ascii="Palatino Linotype" w:eastAsia="Palatino Linotype" w:hAnsi="Palatino Linotype" w:cs="Palatino Linotype"/>
          <w:b/>
          <w:bCs/>
          <w:i/>
          <w:iCs/>
        </w:rPr>
        <w:lastRenderedPageBreak/>
        <w:t xml:space="preserve">VIII. La prestación de servicios profesionales, la contratación de consultorías, asesorías y estudios e investigaciones, excepto la contratación de servicios personales de personas físicas bajo el régimen de honorarios. </w:t>
      </w:r>
    </w:p>
    <w:p w:rsidR="00CA3108" w:rsidRPr="00D41429" w:rsidRDefault="000D2D12">
      <w:pPr>
        <w:spacing w:line="360" w:lineRule="auto"/>
        <w:ind w:left="851" w:right="822"/>
        <w:jc w:val="both"/>
        <w:rPr>
          <w:rFonts w:ascii="Palatino Linotype" w:eastAsia="Palatino Linotype" w:hAnsi="Palatino Linotype" w:cs="Palatino Linotype"/>
          <w:b/>
          <w:bCs/>
          <w:i/>
          <w:iCs/>
        </w:rPr>
      </w:pPr>
      <w:r w:rsidRPr="00D41429">
        <w:rPr>
          <w:rFonts w:ascii="Palatino Linotype" w:eastAsia="Palatino Linotype" w:hAnsi="Palatino Linotype" w:cs="Palatino Linotype"/>
          <w:b/>
          <w:bCs/>
          <w:i/>
          <w:iCs/>
        </w:rPr>
        <w:t>En general, otros actos que impliquen la contratación de servicios de cualquier naturaleza.</w:t>
      </w:r>
    </w:p>
    <w:p w:rsidR="00CA3108" w:rsidRPr="00D41429" w:rsidRDefault="00CA3108">
      <w:pPr>
        <w:spacing w:line="360" w:lineRule="auto"/>
        <w:ind w:left="851" w:right="822"/>
        <w:jc w:val="both"/>
        <w:rPr>
          <w:rFonts w:ascii="Palatino Linotype" w:eastAsia="Palatino Linotype" w:hAnsi="Palatino Linotype" w:cs="Palatino Linotype"/>
          <w:b/>
          <w:bCs/>
          <w:i/>
          <w:iCs/>
        </w:rPr>
      </w:pPr>
    </w:p>
    <w:p w:rsidR="00CA3108" w:rsidRPr="00D41429" w:rsidRDefault="000D2D12">
      <w:pPr>
        <w:spacing w:line="360" w:lineRule="auto"/>
        <w:ind w:left="851" w:right="822"/>
        <w:jc w:val="both"/>
        <w:rPr>
          <w:rFonts w:ascii="Palatino Linotype" w:eastAsia="Palatino Linotype" w:hAnsi="Palatino Linotype" w:cs="Palatino Linotype"/>
          <w:b/>
          <w:bCs/>
          <w:i/>
          <w:iCs/>
        </w:rPr>
      </w:pPr>
      <w:r w:rsidRPr="00D41429">
        <w:rPr>
          <w:rFonts w:ascii="Palatino Linotype" w:eastAsia="Palatino Linotype" w:hAnsi="Palatino Linotype" w:cs="Palatino Linotype"/>
          <w:b/>
          <w:bCs/>
          <w:i/>
          <w:iCs/>
        </w:rPr>
        <w:t>Artículo 26.- Las adquisiciones, arrendamientos y servicios se adjudicarán a través de licitaciones públicas, mediante convocatoria pública.</w:t>
      </w:r>
    </w:p>
    <w:p w:rsidR="00CA3108" w:rsidRPr="00D41429" w:rsidRDefault="00CA3108">
      <w:pPr>
        <w:spacing w:line="360" w:lineRule="auto"/>
        <w:ind w:left="851" w:right="822"/>
        <w:jc w:val="both"/>
        <w:rPr>
          <w:rFonts w:ascii="Palatino Linotype" w:eastAsia="Palatino Linotype" w:hAnsi="Palatino Linotype" w:cs="Palatino Linotype"/>
          <w:b/>
          <w:bCs/>
          <w:i/>
          <w:iCs/>
        </w:rPr>
      </w:pPr>
    </w:p>
    <w:p w:rsidR="00CA3108" w:rsidRPr="00D41429" w:rsidRDefault="000D2D12">
      <w:pPr>
        <w:spacing w:line="360" w:lineRule="auto"/>
        <w:ind w:left="851" w:right="822"/>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 xml:space="preserve">Artículo 27.- </w:t>
      </w:r>
      <w:r w:rsidRPr="00D41429">
        <w:rPr>
          <w:rFonts w:ascii="Palatino Linotype" w:eastAsia="Palatino Linotype" w:hAnsi="Palatino Linotype" w:cs="Palatino Linotype"/>
          <w:i/>
          <w:iCs/>
        </w:rPr>
        <w:t xml:space="preserve">La Secretaría, las entidades, los tribunales administrativos y los ayuntamientos podrán adjudicar adquisiciones, arrendamientos y servicios, mediante las excepciones al procedimiento de licitación que a continuación se señalan: </w:t>
      </w:r>
    </w:p>
    <w:p w:rsidR="00CA3108" w:rsidRPr="00D41429" w:rsidRDefault="000D2D12">
      <w:pPr>
        <w:spacing w:line="360" w:lineRule="auto"/>
        <w:ind w:left="851" w:right="82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 xml:space="preserve">I. Invitación restringida. </w:t>
      </w:r>
    </w:p>
    <w:p w:rsidR="00CA3108" w:rsidRPr="00D41429" w:rsidRDefault="000D2D12">
      <w:pPr>
        <w:spacing w:line="360" w:lineRule="auto"/>
        <w:ind w:left="851" w:right="82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II. Adjudicación directa.”</w:t>
      </w:r>
    </w:p>
    <w:p w:rsidR="00CA3108" w:rsidRPr="00D41429" w:rsidRDefault="000D2D12">
      <w:pPr>
        <w:spacing w:line="360" w:lineRule="auto"/>
        <w:ind w:left="567" w:right="567"/>
        <w:rPr>
          <w:rFonts w:ascii="Palatino Linotype" w:eastAsia="Palatino Linotype" w:hAnsi="Palatino Linotype" w:cs="Palatino Linotype"/>
        </w:rPr>
      </w:pPr>
      <w:r w:rsidRPr="00D41429">
        <w:rPr>
          <w:rFonts w:ascii="Palatino Linotype" w:eastAsia="Palatino Linotype" w:hAnsi="Palatino Linotype" w:cs="Palatino Linotype"/>
        </w:rPr>
        <w:t xml:space="preserve">(Énfasis añadido) </w:t>
      </w:r>
    </w:p>
    <w:p w:rsidR="00CA3108" w:rsidRPr="00D41429" w:rsidRDefault="00CA3108">
      <w:pPr>
        <w:spacing w:line="360" w:lineRule="auto"/>
        <w:jc w:val="both"/>
        <w:rPr>
          <w:rFonts w:ascii="Palatino Linotype" w:eastAsia="Palatino Linotype" w:hAnsi="Palatino Linotype" w:cs="Palatino Linotype"/>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Asimismo, en las licitaciones se debe seguir el procedimiento marcado en el artículo 35 del precitado </w:t>
      </w:r>
      <w:r w:rsidRPr="00D41429">
        <w:rPr>
          <w:rFonts w:ascii="Palatino Linotype" w:eastAsia="Palatino Linotype" w:hAnsi="Palatino Linotype" w:cs="Palatino Linotype"/>
        </w:rPr>
        <w:t>ordenamiento</w:t>
      </w:r>
      <w:r w:rsidRPr="00D41429">
        <w:rPr>
          <w:rFonts w:ascii="Palatino Linotype" w:eastAsia="Palatino Linotype" w:hAnsi="Palatino Linotype" w:cs="Palatino Linotype"/>
          <w:color w:val="000000"/>
        </w:rPr>
        <w:t>, que literalmente establece:</w:t>
      </w:r>
    </w:p>
    <w:p w:rsidR="00CA3108" w:rsidRPr="00D41429" w:rsidRDefault="000D2D12">
      <w:pPr>
        <w:spacing w:line="360" w:lineRule="auto"/>
        <w:ind w:left="567" w:right="567"/>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“Artículo 35</w:t>
      </w:r>
      <w:r w:rsidRPr="00D41429">
        <w:rPr>
          <w:rFonts w:ascii="Palatino Linotype" w:eastAsia="Palatino Linotype" w:hAnsi="Palatino Linotype" w:cs="Palatino Linotype"/>
          <w:i/>
          <w:iCs/>
        </w:rPr>
        <w:t>.- En los procedimientos de licitación pública se observará lo siguiente:</w:t>
      </w:r>
    </w:p>
    <w:p w:rsidR="00CA3108" w:rsidRPr="00D41429" w:rsidRDefault="000D2D12">
      <w:pPr>
        <w:spacing w:line="360" w:lineRule="auto"/>
        <w:ind w:left="567" w:right="567"/>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lastRenderedPageBreak/>
        <w:t>I. El acto de presentación y apertura de propuestas se llevará a cabo por el servidor público que designe la convocante, conforme al procedimiento que se establezca en el reglamento de esta Ley.</w:t>
      </w:r>
    </w:p>
    <w:p w:rsidR="00CA3108" w:rsidRPr="00D41429" w:rsidRDefault="000D2D12">
      <w:pPr>
        <w:spacing w:line="360" w:lineRule="auto"/>
        <w:ind w:left="567" w:right="567"/>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II. El comité de adquisiciones y servicios evaluará y analizará las propuestas técnicas y económicas presentadas por los licitantes en el ámbito de las respectivas competencias de sus integrantes, y emitirá el dictamen de adjudicación.</w:t>
      </w:r>
    </w:p>
    <w:p w:rsidR="00CA3108" w:rsidRPr="00D41429" w:rsidRDefault="000D2D12">
      <w:pPr>
        <w:spacing w:line="360" w:lineRule="auto"/>
        <w:ind w:left="567" w:right="567"/>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 xml:space="preserve">III. Las bases de licitación se pondrán a la venta a partir de la fecha de publicación de la convocatoria y hasta el día hábil anterior a la fecha de celebración </w:t>
      </w:r>
      <w:r w:rsidRPr="00D41429">
        <w:rPr>
          <w:rFonts w:ascii="Palatino Linotype" w:eastAsia="Palatino Linotype" w:hAnsi="Palatino Linotype" w:cs="Palatino Linotype"/>
          <w:b/>
          <w:bCs/>
          <w:i/>
          <w:iCs/>
        </w:rPr>
        <w:t xml:space="preserve">de la </w:t>
      </w:r>
      <w:r w:rsidRPr="00D41429">
        <w:rPr>
          <w:rFonts w:ascii="Palatino Linotype" w:eastAsia="Palatino Linotype" w:hAnsi="Palatino Linotype" w:cs="Palatino Linotype"/>
          <w:i/>
          <w:iCs/>
        </w:rPr>
        <w:t>junta de aclaraciones o, en su defecto, del acto de presentación y apertura de propuestas.</w:t>
      </w:r>
    </w:p>
    <w:p w:rsidR="00CA3108" w:rsidRPr="00D41429" w:rsidRDefault="000D2D12">
      <w:pPr>
        <w:spacing w:line="360" w:lineRule="auto"/>
        <w:ind w:left="567" w:right="567"/>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IV. Las convocantes podrán modificar los plazos y términos establecidos en la convocatoria o en las bases de licitación, hasta cinco días hábiles anteriores a la fecha de la celebración del acto de presentación y apertura de propuestas.</w:t>
      </w:r>
    </w:p>
    <w:p w:rsidR="00CA3108" w:rsidRPr="00D41429" w:rsidRDefault="000D2D12">
      <w:pPr>
        <w:spacing w:line="360" w:lineRule="auto"/>
        <w:ind w:left="567" w:right="567"/>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V. Las modificaciones no podrán limitar el número de licitantes, sustituir o variar sustancialmente los bienes o servicios convocados originalmente, ni adicionar otros  distintos.</w:t>
      </w:r>
    </w:p>
    <w:p w:rsidR="00CA3108" w:rsidRPr="00D41429" w:rsidRDefault="000D2D12">
      <w:pPr>
        <w:spacing w:line="360" w:lineRule="auto"/>
        <w:ind w:left="567" w:right="567"/>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VI. Las modificaciones a la convocatoria o a las bases se harán del conocimiento de los interesados hasta tres días hábiles antes de la fecha señalada para el acto de presentación y apertura de propuestas.</w:t>
      </w:r>
    </w:p>
    <w:p w:rsidR="00CA3108" w:rsidRPr="00D41429" w:rsidRDefault="000D2D12">
      <w:pPr>
        <w:spacing w:line="360" w:lineRule="auto"/>
        <w:ind w:left="567" w:right="567"/>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VII. Se emitirá el fallo dentro de los 15 días hábiles siguientes a la publicación de la convocatoria.</w:t>
      </w:r>
    </w:p>
    <w:p w:rsidR="00CA3108" w:rsidRPr="00D41429" w:rsidRDefault="000D2D12">
      <w:pPr>
        <w:spacing w:line="360" w:lineRule="auto"/>
        <w:ind w:left="567" w:right="567"/>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VIII. Los licitantes se podrán registrar hasta el día y la hora fijados para el acto de presentación y apertura de propuestas.</w:t>
      </w:r>
      <w:r w:rsidRPr="00D41429">
        <w:rPr>
          <w:rFonts w:ascii="Palatino Linotype" w:eastAsia="Palatino Linotype" w:hAnsi="Palatino Linotype" w:cs="Palatino Linotype"/>
          <w:b/>
          <w:bCs/>
          <w:i/>
          <w:iCs/>
        </w:rPr>
        <w:t>”</w:t>
      </w:r>
    </w:p>
    <w:p w:rsidR="00CA3108" w:rsidRPr="00D41429" w:rsidRDefault="000D2D12">
      <w:pPr>
        <w:spacing w:line="360" w:lineRule="auto"/>
        <w:ind w:left="567" w:right="567"/>
        <w:rPr>
          <w:rFonts w:ascii="Palatino Linotype" w:eastAsia="Palatino Linotype" w:hAnsi="Palatino Linotype" w:cs="Palatino Linotype"/>
        </w:rPr>
      </w:pPr>
      <w:r w:rsidRPr="00D41429">
        <w:rPr>
          <w:rFonts w:ascii="Palatino Linotype" w:eastAsia="Palatino Linotype" w:hAnsi="Palatino Linotype" w:cs="Palatino Linotype"/>
        </w:rPr>
        <w:t>(Énfasis añadido)</w:t>
      </w: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lastRenderedPageBreak/>
        <w:t>Del precepto legal, se desprende que al Comité de Adquisiciones y Servicios, le corresponde evaluar y analizar las propuestas técnicas y económicas presentadas por los licitantes en el ámbito de las respectivas competencias de sus integrantes, debiendo emitir para ello un dictamen de adjudicación y conforme a dicho dictamen se deberá emitir el fallo dentro de los quince días hábiles siguientes a la publicación de la convocatoria.</w:t>
      </w:r>
    </w:p>
    <w:p w:rsidR="00CA3108" w:rsidRPr="00D41429" w:rsidRDefault="00CA310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Ahora bien, por cuanto hace a la invitación restringida el artículo 44 de la Ley de la Contratación Pública del Estado de México y Municipios, dispone que podrá realizarse cuando se hubiere declarado desierto un procedimiento de licitación o cuando el importe de la operación no exceda de los montos establecidos por el Presupuesto de Egresos del Gobierno del Estado de México del ejercicio correspondiente. </w:t>
      </w:r>
    </w:p>
    <w:p w:rsidR="00CA3108" w:rsidRPr="00D41429" w:rsidRDefault="00CA3108">
      <w:pPr>
        <w:spacing w:line="360" w:lineRule="auto"/>
        <w:jc w:val="both"/>
        <w:rPr>
          <w:rFonts w:ascii="Palatino Linotype" w:eastAsia="Palatino Linotype" w:hAnsi="Palatino Linotype" w:cs="Palatino Linotype"/>
          <w:color w:val="000000"/>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En este sentido, debe decirse que los </w:t>
      </w:r>
      <w:r w:rsidRPr="00D41429">
        <w:rPr>
          <w:rFonts w:ascii="Palatino Linotype" w:eastAsia="Palatino Linotype" w:hAnsi="Palatino Linotype" w:cs="Palatino Linotype"/>
          <w:b/>
          <w:bCs/>
          <w:color w:val="000000"/>
          <w:u w:val="single"/>
        </w:rPr>
        <w:t xml:space="preserve">expedientes de las adquisiciones, </w:t>
      </w:r>
      <w:r w:rsidRPr="00D41429">
        <w:rPr>
          <w:rFonts w:ascii="Palatino Linotype" w:eastAsia="Palatino Linotype" w:hAnsi="Palatino Linotype" w:cs="Palatino Linotype"/>
          <w:color w:val="000000"/>
          <w:u w:val="single"/>
        </w:rPr>
        <w:t xml:space="preserve">arrendamientos, enajenaciones y </w:t>
      </w:r>
      <w:r w:rsidRPr="00D41429">
        <w:rPr>
          <w:rFonts w:ascii="Palatino Linotype" w:eastAsia="Palatino Linotype" w:hAnsi="Palatino Linotype" w:cs="Palatino Linotype"/>
          <w:b/>
          <w:bCs/>
          <w:color w:val="000000"/>
          <w:u w:val="single"/>
        </w:rPr>
        <w:t>servicios</w:t>
      </w:r>
      <w:r w:rsidRPr="00D41429">
        <w:rPr>
          <w:rFonts w:ascii="Palatino Linotype" w:eastAsia="Palatino Linotype" w:hAnsi="Palatino Linotype" w:cs="Palatino Linotype"/>
          <w:color w:val="000000"/>
        </w:rPr>
        <w:t xml:space="preserve">, se encuentra considerada como una de las </w:t>
      </w:r>
      <w:r w:rsidRPr="00D41429">
        <w:rPr>
          <w:rFonts w:ascii="Palatino Linotype" w:eastAsia="Palatino Linotype" w:hAnsi="Palatino Linotype" w:cs="Palatino Linotype"/>
          <w:b/>
          <w:bCs/>
          <w:color w:val="000000"/>
        </w:rPr>
        <w:t>obligaciones de transparencias comunes</w:t>
      </w:r>
      <w:r w:rsidRPr="00D41429">
        <w:rPr>
          <w:rFonts w:ascii="Palatino Linotype" w:eastAsia="Palatino Linotype" w:hAnsi="Palatino Linotype" w:cs="Palatino Linotype"/>
          <w:color w:val="000000"/>
        </w:rPr>
        <w:t xml:space="preserve">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el artículo 92 de la de la Ley de Transparencia y Acceso a la Información Pública del Estado de México y Municipios, en su fracción XXIX, dispone lo siguiente:</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“Artículo 92. </w:t>
      </w:r>
      <w:r w:rsidRPr="00D41429">
        <w:rPr>
          <w:rFonts w:ascii="Palatino Linotype" w:eastAsia="Palatino Linotype" w:hAnsi="Palatino Linotype" w:cs="Palatino Linotype"/>
          <w:i/>
          <w:iCs/>
        </w:rPr>
        <w:t xml:space="preserve">Los sujetos obligados deberán poner a disposición del público de manera permanente y actualizada de forma sencilla, precisa y entendible, en los respectivos medios electrónicos, de acuerdo con sus facultades, atribuciones, </w:t>
      </w:r>
      <w:r w:rsidRPr="00D41429">
        <w:rPr>
          <w:rFonts w:ascii="Palatino Linotype" w:eastAsia="Palatino Linotype" w:hAnsi="Palatino Linotype" w:cs="Palatino Linotype"/>
          <w:i/>
          <w:iCs/>
        </w:rPr>
        <w:lastRenderedPageBreak/>
        <w:t>funciones u objeto social, según corresponda, la información, por lo menos, de los temas, documentos y políticas que a continuación se señalan:</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i/>
          <w:iCs/>
        </w:rPr>
        <w:t>(…)</w:t>
      </w:r>
    </w:p>
    <w:p w:rsidR="00CA3108" w:rsidRPr="00D41429" w:rsidRDefault="00CA3108">
      <w:pPr>
        <w:spacing w:line="360" w:lineRule="auto"/>
        <w:ind w:left="851" w:right="822"/>
        <w:jc w:val="both"/>
        <w:rPr>
          <w:rFonts w:ascii="Palatino Linotype" w:eastAsia="Palatino Linotype" w:hAnsi="Palatino Linotype" w:cs="Palatino Linotype"/>
          <w:b/>
          <w:bCs/>
          <w:i/>
          <w:iCs/>
        </w:rPr>
      </w:pP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XXIX. </w:t>
      </w:r>
      <w:r w:rsidRPr="00D41429">
        <w:rPr>
          <w:rFonts w:ascii="Palatino Linotype" w:eastAsia="Palatino Linotype" w:hAnsi="Palatino Linotype" w:cs="Palatino Linotype"/>
          <w:i/>
          <w:iCs/>
        </w:rPr>
        <w:t>La información sobre los procesos y resultados sobre procedimientos de adjudicación directa, invitación restringida y licitación de cualquier naturaleza, </w:t>
      </w:r>
      <w:r w:rsidRPr="00D41429">
        <w:rPr>
          <w:rFonts w:ascii="Palatino Linotype" w:eastAsia="Palatino Linotype" w:hAnsi="Palatino Linotype" w:cs="Palatino Linotype"/>
          <w:b/>
          <w:bCs/>
          <w:i/>
          <w:iCs/>
          <w:u w:val="single"/>
        </w:rPr>
        <w:t>incluyendo la versión pública del expediente respectivo y de los contratos</w:t>
      </w:r>
      <w:r w:rsidRPr="00D41429">
        <w:rPr>
          <w:rFonts w:ascii="Palatino Linotype" w:eastAsia="Palatino Linotype" w:hAnsi="Palatino Linotype" w:cs="Palatino Linotype"/>
          <w:i/>
          <w:iCs/>
        </w:rPr>
        <w:t> celebrados, que deberán contener, por los menos, lo siguiente:</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a) </w:t>
      </w:r>
      <w:r w:rsidRPr="00D41429">
        <w:rPr>
          <w:rFonts w:ascii="Palatino Linotype" w:eastAsia="Palatino Linotype" w:hAnsi="Palatino Linotype" w:cs="Palatino Linotype"/>
          <w:i/>
          <w:iCs/>
        </w:rPr>
        <w:t>De licitaciones públicas o procedimientos de invitación restringida:</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1)</w:t>
      </w:r>
      <w:r w:rsidRPr="00D41429">
        <w:rPr>
          <w:rFonts w:ascii="Palatino Linotype" w:eastAsia="Palatino Linotype" w:hAnsi="Palatino Linotype" w:cs="Palatino Linotype"/>
          <w:i/>
          <w:iCs/>
        </w:rPr>
        <w:t> La convocatoria o invitación emitida, así como los fundamentos legales aplicados para llevarla a cabo;</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2) </w:t>
      </w:r>
      <w:r w:rsidRPr="00D41429">
        <w:rPr>
          <w:rFonts w:ascii="Palatino Linotype" w:eastAsia="Palatino Linotype" w:hAnsi="Palatino Linotype" w:cs="Palatino Linotype"/>
          <w:i/>
          <w:iCs/>
        </w:rPr>
        <w:t>Los nombres de los participantes o invitados;</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3)</w:t>
      </w:r>
      <w:r w:rsidRPr="00D41429">
        <w:rPr>
          <w:rFonts w:ascii="Palatino Linotype" w:eastAsia="Palatino Linotype" w:hAnsi="Palatino Linotype" w:cs="Palatino Linotype"/>
          <w:i/>
          <w:iCs/>
        </w:rPr>
        <w:t> El nombre del ganador y las razones que lo justifican;</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4) </w:t>
      </w:r>
      <w:r w:rsidRPr="00D41429">
        <w:rPr>
          <w:rFonts w:ascii="Palatino Linotype" w:eastAsia="Palatino Linotype" w:hAnsi="Palatino Linotype" w:cs="Palatino Linotype"/>
          <w:i/>
          <w:iCs/>
        </w:rPr>
        <w:t>El área solicitante y la responsable de su ejecución;</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5) </w:t>
      </w:r>
      <w:r w:rsidRPr="00D41429">
        <w:rPr>
          <w:rFonts w:ascii="Palatino Linotype" w:eastAsia="Palatino Linotype" w:hAnsi="Palatino Linotype" w:cs="Palatino Linotype"/>
          <w:i/>
          <w:iCs/>
        </w:rPr>
        <w:t>Las convocatorias e invitaciones emitidas;</w:t>
      </w:r>
    </w:p>
    <w:p w:rsidR="00CA3108" w:rsidRPr="00D41429" w:rsidRDefault="000D2D12">
      <w:pPr>
        <w:spacing w:line="360" w:lineRule="auto"/>
        <w:ind w:left="851" w:right="82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6) Los dictámenes y fallo de adjudicación;</w:t>
      </w:r>
    </w:p>
    <w:p w:rsidR="00CA3108" w:rsidRPr="00D41429" w:rsidRDefault="000D2D12">
      <w:pPr>
        <w:spacing w:line="360" w:lineRule="auto"/>
        <w:ind w:left="851" w:right="822"/>
        <w:jc w:val="both"/>
        <w:rPr>
          <w:rFonts w:ascii="Palatino Linotype" w:eastAsia="Palatino Linotype" w:hAnsi="Palatino Linotype" w:cs="Palatino Linotype"/>
          <w:b/>
          <w:bCs/>
          <w:i/>
          <w:iCs/>
        </w:rPr>
      </w:pPr>
      <w:r w:rsidRPr="00D41429">
        <w:rPr>
          <w:rFonts w:ascii="Palatino Linotype" w:eastAsia="Palatino Linotype" w:hAnsi="Palatino Linotype" w:cs="Palatino Linotype"/>
          <w:b/>
          <w:bCs/>
          <w:i/>
          <w:iCs/>
          <w:u w:val="single"/>
        </w:rPr>
        <w:t>7) El contrato y, en su caso, sus anexos</w:t>
      </w:r>
      <w:r w:rsidRPr="00D41429">
        <w:rPr>
          <w:rFonts w:ascii="Palatino Linotype" w:eastAsia="Palatino Linotype" w:hAnsi="Palatino Linotype" w:cs="Palatino Linotype"/>
          <w:b/>
          <w:bCs/>
          <w:i/>
          <w:iCs/>
        </w:rPr>
        <w:t>;</w:t>
      </w:r>
    </w:p>
    <w:p w:rsidR="00CA3108" w:rsidRPr="00D41429" w:rsidRDefault="000D2D12">
      <w:pPr>
        <w:spacing w:line="360" w:lineRule="auto"/>
        <w:ind w:left="851" w:right="82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8) Los mecanismos de vigilancia y supervisión, incluyendo en su caso, los estudios de impacto urbano y ambiental, según corresponda;</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9) </w:t>
      </w:r>
      <w:r w:rsidRPr="00D41429">
        <w:rPr>
          <w:rFonts w:ascii="Palatino Linotype" w:eastAsia="Palatino Linotype" w:hAnsi="Palatino Linotype" w:cs="Palatino Linotype"/>
          <w:i/>
          <w:iCs/>
        </w:rPr>
        <w:t>La partida presupuestal, de conformidad con el clasificador por objeto del gasto, en el caso de ser aplicable;</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i/>
          <w:iCs/>
        </w:rPr>
        <w:t>10) Origen de los recursos especificando si son federales, estatales o municipales, así como el tipo de fondo de participación o aportación respectiva;</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lastRenderedPageBreak/>
        <w:t>11) </w:t>
      </w:r>
      <w:r w:rsidRPr="00D41429">
        <w:rPr>
          <w:rFonts w:ascii="Palatino Linotype" w:eastAsia="Palatino Linotype" w:hAnsi="Palatino Linotype" w:cs="Palatino Linotype"/>
          <w:i/>
          <w:iCs/>
        </w:rPr>
        <w:t>Los convenios modificatorios que, en su caso, sean firmados, precisando el objeto y la fecha de celebración;</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12) </w:t>
      </w:r>
      <w:r w:rsidRPr="00D41429">
        <w:rPr>
          <w:rFonts w:ascii="Palatino Linotype" w:eastAsia="Palatino Linotype" w:hAnsi="Palatino Linotype" w:cs="Palatino Linotype"/>
          <w:i/>
          <w:iCs/>
        </w:rPr>
        <w:t>Los informes de avance físico y financiero sobre las obras o servicios contratados;</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13) </w:t>
      </w:r>
      <w:r w:rsidRPr="00D41429">
        <w:rPr>
          <w:rFonts w:ascii="Palatino Linotype" w:eastAsia="Palatino Linotype" w:hAnsi="Palatino Linotype" w:cs="Palatino Linotype"/>
          <w:i/>
          <w:iCs/>
        </w:rPr>
        <w:t>El convenio de terminación; y</w:t>
      </w:r>
    </w:p>
    <w:p w:rsidR="00CA3108" w:rsidRPr="00D41429" w:rsidRDefault="000D2D12">
      <w:pPr>
        <w:spacing w:line="360" w:lineRule="auto"/>
        <w:ind w:left="851" w:right="822"/>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14) </w:t>
      </w:r>
      <w:r w:rsidRPr="00D41429">
        <w:rPr>
          <w:rFonts w:ascii="Palatino Linotype" w:eastAsia="Palatino Linotype" w:hAnsi="Palatino Linotype" w:cs="Palatino Linotype"/>
          <w:i/>
          <w:iCs/>
        </w:rPr>
        <w:t>El finiquito.</w:t>
      </w:r>
    </w:p>
    <w:p w:rsidR="00CA3108" w:rsidRPr="00D41429" w:rsidRDefault="00CA3108">
      <w:pPr>
        <w:spacing w:line="360" w:lineRule="auto"/>
        <w:ind w:left="851" w:right="822"/>
        <w:jc w:val="both"/>
        <w:rPr>
          <w:rFonts w:ascii="Palatino Linotype" w:eastAsia="Palatino Linotype" w:hAnsi="Palatino Linotype" w:cs="Palatino Linotype"/>
        </w:rPr>
      </w:pPr>
    </w:p>
    <w:p w:rsidR="00CA3108" w:rsidRPr="00D41429" w:rsidRDefault="000D2D12">
      <w:pPr>
        <w:spacing w:line="360" w:lineRule="auto"/>
        <w:ind w:left="851" w:right="822"/>
        <w:jc w:val="both"/>
        <w:rPr>
          <w:rFonts w:ascii="Palatino Linotype" w:eastAsia="Palatino Linotype" w:hAnsi="Palatino Linotype" w:cs="Palatino Linotype"/>
          <w:b/>
          <w:bCs/>
        </w:rPr>
      </w:pPr>
      <w:r w:rsidRPr="00D41429">
        <w:rPr>
          <w:rFonts w:ascii="Palatino Linotype" w:eastAsia="Palatino Linotype" w:hAnsi="Palatino Linotype" w:cs="Palatino Linotype"/>
          <w:b/>
          <w:bCs/>
          <w:i/>
          <w:iCs/>
        </w:rPr>
        <w:t>b)</w:t>
      </w:r>
      <w:r w:rsidRPr="00D41429">
        <w:rPr>
          <w:rFonts w:ascii="Palatino Linotype" w:eastAsia="Palatino Linotype" w:hAnsi="Palatino Linotype" w:cs="Palatino Linotype"/>
          <w:i/>
          <w:iCs/>
        </w:rPr>
        <w:t> De las adjudicaciones directas:</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1) </w:t>
      </w:r>
      <w:r w:rsidRPr="00D41429">
        <w:rPr>
          <w:rFonts w:ascii="Palatino Linotype" w:eastAsia="Palatino Linotype" w:hAnsi="Palatino Linotype" w:cs="Palatino Linotype"/>
          <w:i/>
          <w:iCs/>
        </w:rPr>
        <w:t>La propuesta enviada por el participante;</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2) </w:t>
      </w:r>
      <w:r w:rsidRPr="00D41429">
        <w:rPr>
          <w:rFonts w:ascii="Palatino Linotype" w:eastAsia="Palatino Linotype" w:hAnsi="Palatino Linotype" w:cs="Palatino Linotype"/>
          <w:i/>
          <w:iCs/>
        </w:rPr>
        <w:t>Los motivos y fundamentos legales aplicados para llevarla a cabo;</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3) </w:t>
      </w:r>
      <w:r w:rsidRPr="00D41429">
        <w:rPr>
          <w:rFonts w:ascii="Palatino Linotype" w:eastAsia="Palatino Linotype" w:hAnsi="Palatino Linotype" w:cs="Palatino Linotype"/>
          <w:i/>
          <w:iCs/>
        </w:rPr>
        <w:t>La autorización del ejercicio de la opción;</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i/>
          <w:iCs/>
        </w:rPr>
        <w:t>4) </w:t>
      </w:r>
      <w:r w:rsidRPr="00D41429">
        <w:rPr>
          <w:rFonts w:ascii="Palatino Linotype" w:eastAsia="Palatino Linotype" w:hAnsi="Palatino Linotype" w:cs="Palatino Linotype"/>
          <w:b/>
          <w:bCs/>
          <w:i/>
          <w:iCs/>
        </w:rPr>
        <w:t>En su caso, las cotizaciones consideradas, especificando los nombres de los proveedores y sus montos</w:t>
      </w:r>
      <w:r w:rsidRPr="00D41429">
        <w:rPr>
          <w:rFonts w:ascii="Palatino Linotype" w:eastAsia="Palatino Linotype" w:hAnsi="Palatino Linotype" w:cs="Palatino Linotype"/>
          <w:i/>
          <w:iCs/>
        </w:rPr>
        <w:t>;</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5) El nombre de la persona física o jurídica colectiva adjudicada</w:t>
      </w:r>
      <w:r w:rsidRPr="00D41429">
        <w:rPr>
          <w:rFonts w:ascii="Palatino Linotype" w:eastAsia="Palatino Linotype" w:hAnsi="Palatino Linotype" w:cs="Palatino Linotype"/>
          <w:i/>
          <w:iCs/>
        </w:rPr>
        <w:t>;</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6) </w:t>
      </w:r>
      <w:r w:rsidRPr="00D41429">
        <w:rPr>
          <w:rFonts w:ascii="Palatino Linotype" w:eastAsia="Palatino Linotype" w:hAnsi="Palatino Linotype" w:cs="Palatino Linotype"/>
          <w:i/>
          <w:iCs/>
        </w:rPr>
        <w:t>La unidad administrativa solicitante y la responsable de su ejecución;</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7)</w:t>
      </w:r>
      <w:r w:rsidRPr="00D41429">
        <w:rPr>
          <w:rFonts w:ascii="Palatino Linotype" w:eastAsia="Palatino Linotype" w:hAnsi="Palatino Linotype" w:cs="Palatino Linotype"/>
          <w:i/>
          <w:iCs/>
        </w:rPr>
        <w:t> </w:t>
      </w:r>
      <w:r w:rsidRPr="00D41429">
        <w:rPr>
          <w:rFonts w:ascii="Palatino Linotype" w:eastAsia="Palatino Linotype" w:hAnsi="Palatino Linotype" w:cs="Palatino Linotype"/>
          <w:b/>
          <w:bCs/>
          <w:i/>
          <w:iCs/>
        </w:rPr>
        <w:t>El número, fecha, el monto del contrato y el plazo de entrega o de ejecución de los servicios</w:t>
      </w:r>
      <w:r w:rsidRPr="00D41429">
        <w:rPr>
          <w:rFonts w:ascii="Palatino Linotype" w:eastAsia="Palatino Linotype" w:hAnsi="Palatino Linotype" w:cs="Palatino Linotype"/>
          <w:i/>
          <w:iCs/>
        </w:rPr>
        <w:t xml:space="preserve"> u obra;</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8) </w:t>
      </w:r>
      <w:r w:rsidRPr="00D41429">
        <w:rPr>
          <w:rFonts w:ascii="Palatino Linotype" w:eastAsia="Palatino Linotype" w:hAnsi="Palatino Linotype" w:cs="Palatino Linotype"/>
          <w:i/>
          <w:iCs/>
        </w:rPr>
        <w:t>Los mecanismos de vigilancia y supervisión, incluyendo, en su caso, los estudios de impacto urbano y ambiental, según corresponda;</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9) </w:t>
      </w:r>
      <w:r w:rsidRPr="00D41429">
        <w:rPr>
          <w:rFonts w:ascii="Palatino Linotype" w:eastAsia="Palatino Linotype" w:hAnsi="Palatino Linotype" w:cs="Palatino Linotype"/>
          <w:i/>
          <w:iCs/>
        </w:rPr>
        <w:t>Los informes de avance sobre las obras o servicios contratados;</w:t>
      </w:r>
    </w:p>
    <w:p w:rsidR="00CA3108" w:rsidRPr="00D41429" w:rsidRDefault="000D2D12">
      <w:pPr>
        <w:spacing w:line="360" w:lineRule="auto"/>
        <w:ind w:left="851" w:right="822"/>
        <w:jc w:val="both"/>
        <w:rPr>
          <w:rFonts w:ascii="Palatino Linotype" w:eastAsia="Palatino Linotype" w:hAnsi="Palatino Linotype" w:cs="Palatino Linotype"/>
        </w:rPr>
      </w:pPr>
      <w:r w:rsidRPr="00D41429">
        <w:rPr>
          <w:rFonts w:ascii="Palatino Linotype" w:eastAsia="Palatino Linotype" w:hAnsi="Palatino Linotype" w:cs="Palatino Linotype"/>
          <w:b/>
          <w:bCs/>
          <w:i/>
          <w:iCs/>
        </w:rPr>
        <w:t>10) </w:t>
      </w:r>
      <w:r w:rsidRPr="00D41429">
        <w:rPr>
          <w:rFonts w:ascii="Palatino Linotype" w:eastAsia="Palatino Linotype" w:hAnsi="Palatino Linotype" w:cs="Palatino Linotype"/>
          <w:i/>
          <w:iCs/>
        </w:rPr>
        <w:t>El convenio de terminación; y</w:t>
      </w:r>
    </w:p>
    <w:p w:rsidR="00CA3108" w:rsidRPr="00D41429" w:rsidRDefault="000D2D12">
      <w:pPr>
        <w:spacing w:line="360" w:lineRule="auto"/>
        <w:ind w:left="851" w:right="822"/>
        <w:jc w:val="both"/>
        <w:rPr>
          <w:rFonts w:ascii="Palatino Linotype" w:eastAsia="Palatino Linotype" w:hAnsi="Palatino Linotype" w:cs="Palatino Linotype"/>
          <w:b/>
          <w:bCs/>
        </w:rPr>
      </w:pPr>
      <w:r w:rsidRPr="00D41429">
        <w:rPr>
          <w:rFonts w:ascii="Palatino Linotype" w:eastAsia="Palatino Linotype" w:hAnsi="Palatino Linotype" w:cs="Palatino Linotype"/>
          <w:b/>
          <w:bCs/>
          <w:i/>
          <w:iCs/>
        </w:rPr>
        <w:t>11) </w:t>
      </w:r>
      <w:r w:rsidRPr="00D41429">
        <w:rPr>
          <w:rFonts w:ascii="Palatino Linotype" w:eastAsia="Palatino Linotype" w:hAnsi="Palatino Linotype" w:cs="Palatino Linotype"/>
          <w:i/>
          <w:iCs/>
        </w:rPr>
        <w:t>El finiquito.</w:t>
      </w:r>
      <w:r w:rsidRPr="00D41429">
        <w:rPr>
          <w:rFonts w:ascii="Palatino Linotype" w:eastAsia="Palatino Linotype" w:hAnsi="Palatino Linotype" w:cs="Palatino Linotype"/>
          <w:b/>
          <w:bCs/>
          <w:i/>
          <w:iCs/>
        </w:rPr>
        <w:t xml:space="preserve">” </w:t>
      </w:r>
      <w:r w:rsidRPr="00D41429">
        <w:rPr>
          <w:rFonts w:ascii="Palatino Linotype" w:eastAsia="Palatino Linotype" w:hAnsi="Palatino Linotype" w:cs="Palatino Linotype"/>
        </w:rPr>
        <w:t>Énfasis propio</w:t>
      </w:r>
    </w:p>
    <w:p w:rsidR="00CA3108" w:rsidRPr="00D41429" w:rsidRDefault="00CA3108">
      <w:pPr>
        <w:spacing w:line="360" w:lineRule="auto"/>
        <w:ind w:left="851" w:right="850"/>
        <w:jc w:val="both"/>
        <w:rPr>
          <w:rFonts w:ascii="Palatino Linotype" w:eastAsia="Palatino Linotype" w:hAnsi="Palatino Linotype" w:cs="Palatino Linotype"/>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color w:val="000000"/>
          <w:u w:val="single"/>
        </w:rPr>
      </w:pPr>
      <w:r w:rsidRPr="00D41429">
        <w:rPr>
          <w:rFonts w:ascii="Palatino Linotype" w:eastAsia="Palatino Linotype" w:hAnsi="Palatino Linotype" w:cs="Palatino Linotype"/>
          <w:color w:val="000000"/>
        </w:rPr>
        <w:lastRenderedPageBreak/>
        <w:t xml:space="preserve">En consecuencia, se determina que ciertamente existe fuente obligacional para celebrar contratos relacionados con la adquisición de bienes y servicios, a través de procedimientos de licitación, invitación restringida o adjudicación directa, en todos los casos, existe la obligación de hacer pública la información relacionada con las mismas, de acuerdo al artículo 92 de la Ley de Transparencia Local, ya que existe un interés colectivo de conocer el uso y destino de los recursos públicos; luego entonces </w:t>
      </w:r>
      <w:r w:rsidRPr="00D41429">
        <w:rPr>
          <w:rFonts w:ascii="Palatino Linotype" w:eastAsia="Palatino Linotype" w:hAnsi="Palatino Linotype" w:cs="Palatino Linotype"/>
          <w:color w:val="000000"/>
          <w:u w:val="single"/>
        </w:rPr>
        <w:t>se desestima el hecho planteado de no poder dar a conocer lo solicitado porque en los contratos o entre las partes existan cláusulas de confidencialidad de no dar a conocer la información.</w:t>
      </w:r>
    </w:p>
    <w:p w:rsidR="00CA3108" w:rsidRPr="00D41429" w:rsidRDefault="00CA3108">
      <w:pPr>
        <w:spacing w:line="360" w:lineRule="auto"/>
        <w:jc w:val="both"/>
        <w:rPr>
          <w:rFonts w:ascii="Palatino Linotype" w:eastAsia="Palatino Linotype" w:hAnsi="Palatino Linotype" w:cs="Palatino Linotype"/>
          <w:color w:val="000000"/>
        </w:rPr>
      </w:pPr>
    </w:p>
    <w:p w:rsidR="00CA3108" w:rsidRDefault="000D2D12">
      <w:pPr>
        <w:numPr>
          <w:ilvl w:val="0"/>
          <w:numId w:val="1"/>
        </w:numPr>
        <w:spacing w:line="360" w:lineRule="auto"/>
        <w:ind w:left="0" w:firstLine="0"/>
        <w:jc w:val="both"/>
        <w:rPr>
          <w:rFonts w:ascii="Palatino Linotype" w:eastAsia="Palatino Linotype" w:hAnsi="Palatino Linotype" w:cs="Palatino Linotype"/>
          <w:color w:val="000000"/>
        </w:rPr>
      </w:pPr>
      <w:bookmarkStart w:id="7" w:name="_heading=h.tqb5edk7atal" w:colFirst="0" w:colLast="0"/>
      <w:bookmarkEnd w:id="7"/>
      <w:r w:rsidRPr="00D41429">
        <w:rPr>
          <w:rFonts w:ascii="Palatino Linotype" w:eastAsia="Palatino Linotype" w:hAnsi="Palatino Linotype" w:cs="Palatino Linotype"/>
          <w:color w:val="000000"/>
        </w:rPr>
        <w:t xml:space="preserve">Luego entonces, es procedente ordenar el soporte documental solicitado de manera inicial, </w:t>
      </w:r>
      <w:r w:rsidR="00D41429" w:rsidRPr="00D41429">
        <w:rPr>
          <w:rFonts w:ascii="Palatino Linotype" w:eastAsia="Palatino Linotype" w:hAnsi="Palatino Linotype" w:cs="Palatino Linotype"/>
          <w:color w:val="000000"/>
        </w:rPr>
        <w:t>misma</w:t>
      </w:r>
      <w:r w:rsidRPr="00D41429">
        <w:rPr>
          <w:rFonts w:ascii="Palatino Linotype" w:eastAsia="Palatino Linotype" w:hAnsi="Palatino Linotype" w:cs="Palatino Linotype"/>
          <w:color w:val="000000"/>
        </w:rPr>
        <w:t xml:space="preserve"> que no pasa desapercibido, el </w:t>
      </w:r>
      <w:r w:rsidRPr="00D41429">
        <w:rPr>
          <w:rFonts w:ascii="Palatino Linotype" w:eastAsia="Palatino Linotype" w:hAnsi="Palatino Linotype" w:cs="Palatino Linotype"/>
          <w:b/>
          <w:bCs/>
          <w:color w:val="000000"/>
        </w:rPr>
        <w:t>SUJETO OBLIGADO</w:t>
      </w:r>
      <w:r w:rsidRPr="00D41429">
        <w:rPr>
          <w:rFonts w:ascii="Palatino Linotype" w:eastAsia="Palatino Linotype" w:hAnsi="Palatino Linotype" w:cs="Palatino Linotype"/>
          <w:color w:val="000000"/>
        </w:rPr>
        <w:t xml:space="preserve"> asumió que si genera, posee y administra, tan es así que expresa una imposibilidad para poderlo entregar. Con la determinación anterior quedará por colmado el derecho de acceso a la información del ahora Recurrente; toda vez que el Derecho que tutela este Órgano Garante </w:t>
      </w:r>
      <w:r w:rsidRPr="00D41429">
        <w:rPr>
          <w:rFonts w:ascii="Palatino Linotype" w:eastAsia="Palatino Linotype" w:hAnsi="Palatino Linotype" w:cs="Palatino Linotype"/>
        </w:rPr>
        <w:t>corresponde</w:t>
      </w:r>
      <w:r w:rsidRPr="00D41429">
        <w:rPr>
          <w:rFonts w:ascii="Palatino Linotype" w:eastAsia="Palatino Linotype" w:hAnsi="Palatino Linotype" w:cs="Palatino Linotype"/>
          <w:color w:val="000000"/>
        </w:rPr>
        <w:t xml:space="preserve"> a la  </w:t>
      </w:r>
      <w:r w:rsidRPr="00D41429">
        <w:rPr>
          <w:rFonts w:ascii="Palatino Linotype" w:eastAsia="Palatino Linotype" w:hAnsi="Palatino Linotype" w:cs="Palatino Linotype"/>
          <w:i/>
          <w:iCs/>
          <w:color w:val="000000"/>
        </w:rPr>
        <w:t>igualdad de oportunidades para recibir, buscar e impartir información</w:t>
      </w:r>
      <w:r w:rsidRPr="00D41429">
        <w:rPr>
          <w:rFonts w:ascii="Palatino Linotype" w:eastAsia="Palatino Linotype" w:hAnsi="Palatino Linotype" w:cs="Palatino Linotype"/>
          <w:i/>
          <w:iCs/>
          <w:color w:val="000000"/>
          <w:vertAlign w:val="superscript"/>
        </w:rPr>
        <w:footnoteReference w:id="1"/>
      </w:r>
      <w:r w:rsidRPr="00D41429">
        <w:rPr>
          <w:rFonts w:ascii="Palatino Linotype" w:eastAsia="Palatino Linotype" w:hAnsi="Palatino Linotype" w:cs="Palatino Linotype"/>
          <w:i/>
          <w:iCs/>
          <w:color w:val="000000"/>
        </w:rPr>
        <w:t xml:space="preserve"> en posesión de cualquier autoridad, entidad, órgano y organismo de los </w:t>
      </w:r>
      <w:r w:rsidRPr="00D41429">
        <w:rPr>
          <w:rFonts w:ascii="Palatino Linotype" w:eastAsia="Palatino Linotype" w:hAnsi="Palatino Linotype" w:cs="Palatino Linotype"/>
          <w:color w:val="000000"/>
        </w:rPr>
        <w:t>poderes</w:t>
      </w:r>
      <w:r w:rsidRPr="00D41429">
        <w:rPr>
          <w:rFonts w:ascii="Palatino Linotype" w:eastAsia="Palatino Linotype" w:hAnsi="Palatino Linotype" w:cs="Palatino Linotype"/>
          <w:i/>
          <w:iCs/>
          <w:color w:val="000000"/>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D41429">
        <w:rPr>
          <w:rFonts w:ascii="Palatino Linotype" w:eastAsia="Palatino Linotype" w:hAnsi="Palatino Linotype" w:cs="Palatino Linotype"/>
          <w:color w:val="000000"/>
          <w:vertAlign w:val="superscript"/>
        </w:rPr>
        <w:footnoteReference w:id="2"/>
      </w:r>
      <w:r w:rsidRPr="00D41429">
        <w:rPr>
          <w:rFonts w:ascii="Palatino Linotype" w:eastAsia="Palatino Linotype" w:hAnsi="Palatino Linotype" w:cs="Palatino Linotype"/>
          <w:i/>
          <w:iCs/>
          <w:color w:val="000000"/>
        </w:rPr>
        <w:t xml:space="preserve"> </w:t>
      </w:r>
      <w:r w:rsidRPr="00D41429">
        <w:rPr>
          <w:rFonts w:ascii="Palatino Linotype" w:eastAsia="Palatino Linotype" w:hAnsi="Palatino Linotype" w:cs="Palatino Linotype"/>
          <w:color w:val="000000"/>
        </w:rPr>
        <w:t xml:space="preserve">que se constituye como una herramienta fundamental para </w:t>
      </w:r>
      <w:r w:rsidRPr="00D41429">
        <w:rPr>
          <w:rFonts w:ascii="Palatino Linotype" w:eastAsia="Palatino Linotype" w:hAnsi="Palatino Linotype" w:cs="Palatino Linotype"/>
          <w:i/>
          <w:iCs/>
          <w:color w:val="000000"/>
        </w:rPr>
        <w:t xml:space="preserve">ejercer control democrático de las gestiones estatales, de forma tal que puedan cuestionar, indagar y considerar si se </w:t>
      </w:r>
      <w:r w:rsidRPr="00D41429">
        <w:rPr>
          <w:rFonts w:ascii="Palatino Linotype" w:eastAsia="Palatino Linotype" w:hAnsi="Palatino Linotype" w:cs="Palatino Linotype"/>
          <w:i/>
          <w:iCs/>
          <w:color w:val="000000"/>
        </w:rPr>
        <w:lastRenderedPageBreak/>
        <w:t>está dando un adecuado cumplimiento de las funciones públicas,</w:t>
      </w:r>
      <w:r w:rsidRPr="00D41429">
        <w:rPr>
          <w:rFonts w:ascii="Palatino Linotype" w:eastAsia="Palatino Linotype" w:hAnsi="Palatino Linotype" w:cs="Palatino Linotype"/>
          <w:i/>
          <w:iCs/>
          <w:color w:val="000000"/>
          <w:vertAlign w:val="superscript"/>
        </w:rPr>
        <w:footnoteReference w:id="3"/>
      </w:r>
      <w:r w:rsidRPr="00D41429">
        <w:rPr>
          <w:rFonts w:ascii="Palatino Linotype" w:eastAsia="Palatino Linotype" w:hAnsi="Palatino Linotype" w:cs="Palatino Linotype"/>
          <w:color w:val="000000"/>
        </w:rPr>
        <w:t>fomentando</w:t>
      </w:r>
      <w:r w:rsidRPr="00D41429">
        <w:rPr>
          <w:rFonts w:ascii="Palatino Linotype" w:eastAsia="Palatino Linotype" w:hAnsi="Palatino Linotype" w:cs="Palatino Linotype"/>
          <w:i/>
          <w:iCs/>
          <w:color w:val="000000"/>
        </w:rPr>
        <w:t xml:space="preserve"> la transparencia de las actividades estatales y</w:t>
      </w:r>
      <w:r w:rsidRPr="00D41429">
        <w:rPr>
          <w:rFonts w:ascii="Palatino Linotype" w:eastAsia="Palatino Linotype" w:hAnsi="Palatino Linotype" w:cs="Palatino Linotype"/>
          <w:color w:val="000000"/>
        </w:rPr>
        <w:t xml:space="preserve"> promoviendo</w:t>
      </w:r>
      <w:r w:rsidRPr="00D41429">
        <w:rPr>
          <w:rFonts w:ascii="Palatino Linotype" w:eastAsia="Palatino Linotype" w:hAnsi="Palatino Linotype" w:cs="Palatino Linotype"/>
          <w:i/>
          <w:iCs/>
          <w:color w:val="000000"/>
        </w:rPr>
        <w:t xml:space="preserve"> la responsabilidad de los funcionarios sobre su gestión pública</w:t>
      </w:r>
      <w:r w:rsidRPr="00D41429">
        <w:rPr>
          <w:rFonts w:ascii="Palatino Linotype" w:eastAsia="Palatino Linotype" w:hAnsi="Palatino Linotype" w:cs="Palatino Linotype"/>
          <w:i/>
          <w:iCs/>
          <w:color w:val="000000"/>
          <w:vertAlign w:val="superscript"/>
        </w:rPr>
        <w:footnoteReference w:id="4"/>
      </w:r>
      <w:r w:rsidRPr="00D41429">
        <w:rPr>
          <w:rFonts w:ascii="Palatino Linotype" w:eastAsia="Palatino Linotype" w:hAnsi="Palatino Linotype" w:cs="Palatino Linotype"/>
          <w:i/>
          <w:iCs/>
          <w:color w:val="000000"/>
        </w:rPr>
        <w:t xml:space="preserve"> </w:t>
      </w:r>
      <w:r w:rsidRPr="00D41429">
        <w:rPr>
          <w:rFonts w:ascii="Palatino Linotype" w:eastAsia="Palatino Linotype" w:hAnsi="Palatino Linotype" w:cs="Palatino Linotype"/>
          <w:color w:val="000000"/>
        </w:rPr>
        <w:t>que permite</w:t>
      </w:r>
      <w:r w:rsidRPr="00D41429">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r w:rsidRPr="00D41429">
        <w:rPr>
          <w:rFonts w:ascii="Palatino Linotype" w:eastAsia="Palatino Linotype" w:hAnsi="Palatino Linotype" w:cs="Palatino Linotype"/>
          <w:i/>
          <w:iCs/>
          <w:color w:val="000000"/>
          <w:vertAlign w:val="superscript"/>
        </w:rPr>
        <w:footnoteReference w:id="5"/>
      </w:r>
      <w:r w:rsidRPr="00D41429">
        <w:rPr>
          <w:rFonts w:ascii="Palatino Linotype" w:eastAsia="Palatino Linotype" w:hAnsi="Palatino Linotype" w:cs="Palatino Linotype"/>
          <w:color w:val="000000"/>
        </w:rPr>
        <w:t xml:space="preserve"> ”</w:t>
      </w:r>
    </w:p>
    <w:p w:rsidR="00D41429" w:rsidRPr="00D41429" w:rsidRDefault="00D41429" w:rsidP="00D41429">
      <w:pPr>
        <w:spacing w:line="360" w:lineRule="auto"/>
        <w:jc w:val="both"/>
        <w:rPr>
          <w:rFonts w:ascii="Palatino Linotype" w:eastAsia="Palatino Linotype" w:hAnsi="Palatino Linotype" w:cs="Palatino Linotype"/>
          <w:color w:val="000000"/>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i/>
          <w:iCs/>
          <w:color w:val="000000"/>
        </w:rPr>
      </w:pPr>
      <w:r w:rsidRPr="00D41429">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CA3108" w:rsidRPr="00D41429" w:rsidRDefault="000D2D12">
      <w:pPr>
        <w:spacing w:line="360" w:lineRule="auto"/>
        <w:ind w:left="426" w:right="474"/>
        <w:jc w:val="both"/>
        <w:rPr>
          <w:rFonts w:ascii="Palatino Linotype" w:eastAsia="Palatino Linotype" w:hAnsi="Palatino Linotype" w:cs="Palatino Linotype"/>
          <w:b/>
          <w:bCs/>
          <w:i/>
          <w:iCs/>
          <w:color w:val="000000"/>
        </w:rPr>
      </w:pPr>
      <w:r w:rsidRPr="00D41429">
        <w:rPr>
          <w:rFonts w:ascii="Palatino Linotype" w:eastAsia="Palatino Linotype" w:hAnsi="Palatino Linotype" w:cs="Palatino Linotype"/>
          <w:b/>
          <w:bCs/>
          <w:i/>
          <w:iCs/>
          <w:color w:val="000000"/>
        </w:rPr>
        <w:t>“CRITERIO 0002-11</w:t>
      </w:r>
    </w:p>
    <w:p w:rsidR="00CA3108" w:rsidRPr="00D41429" w:rsidRDefault="000D2D12">
      <w:pPr>
        <w:spacing w:line="360" w:lineRule="auto"/>
        <w:ind w:left="426" w:right="474"/>
        <w:jc w:val="both"/>
        <w:rPr>
          <w:rFonts w:ascii="Palatino Linotype" w:eastAsia="Palatino Linotype" w:hAnsi="Palatino Linotype" w:cs="Palatino Linotype"/>
          <w:i/>
          <w:iCs/>
          <w:color w:val="000000"/>
        </w:rPr>
      </w:pPr>
      <w:r w:rsidRPr="00D41429">
        <w:rPr>
          <w:rFonts w:ascii="Palatino Linotype" w:eastAsia="Palatino Linotype" w:hAnsi="Palatino Linotype" w:cs="Palatino Linotype"/>
          <w:b/>
          <w:bCs/>
          <w:i/>
          <w:iCs/>
          <w:color w:val="000000"/>
        </w:rPr>
        <w:t>INFORMACIÓN PÚBLICA, CONCEPTO DE, EN MATERIA DE TRANSPARENCIA. INTERPRETACIÓN TEMÁTICA DE LOS ARTÍCULOS 2, FRACCIÓN V, XV, Y XVI, 3, 4,11 Y 41.</w:t>
      </w:r>
      <w:r w:rsidRPr="00D41429">
        <w:rPr>
          <w:rFonts w:ascii="Palatino Linotype" w:eastAsia="Palatino Linotype" w:hAnsi="Palatino Linotype" w:cs="Palatino Linotype"/>
          <w:i/>
          <w:iCs/>
          <w:color w:val="000000"/>
        </w:rPr>
        <w:t xml:space="preserve"> De conformidad con los artículos antes referidos, el derecho de acceso a la información pública, se define en cuanto a su alcance y resultado material, el acceso a los archivos, registros y documentos públicos, administrados, generados </w:t>
      </w:r>
      <w:r w:rsidRPr="00D41429">
        <w:rPr>
          <w:rFonts w:ascii="Palatino Linotype" w:eastAsia="Palatino Linotype" w:hAnsi="Palatino Linotype" w:cs="Palatino Linotype"/>
          <w:i/>
          <w:iCs/>
          <w:color w:val="000000"/>
        </w:rPr>
        <w:lastRenderedPageBreak/>
        <w:t>o en posesión de los órganos u organismos públicos, en virtud del ejercicio de sus funciones de derecho público, sin importar su fuente, soporte o fecha de elaboración.</w:t>
      </w:r>
    </w:p>
    <w:p w:rsidR="00CA3108" w:rsidRPr="00D41429" w:rsidRDefault="000D2D12">
      <w:pPr>
        <w:spacing w:line="360" w:lineRule="auto"/>
        <w:ind w:left="426" w:right="474"/>
        <w:jc w:val="both"/>
        <w:rPr>
          <w:rFonts w:ascii="Palatino Linotype" w:eastAsia="Palatino Linotype" w:hAnsi="Palatino Linotype" w:cs="Palatino Linotype"/>
          <w:i/>
          <w:iCs/>
          <w:color w:val="000000"/>
        </w:rPr>
      </w:pPr>
      <w:r w:rsidRPr="00D41429">
        <w:rPr>
          <w:rFonts w:ascii="Palatino Linotype" w:eastAsia="Palatino Linotype" w:hAnsi="Palatino Linotype" w:cs="Palatino Linotype"/>
          <w:i/>
          <w:iCs/>
          <w:color w:val="000000"/>
        </w:rPr>
        <w:t>En consecuencia el acceso a la información se refiere a que se cumplan cualquiera de los siguientes tres supuestos:</w:t>
      </w:r>
    </w:p>
    <w:p w:rsidR="00CA3108" w:rsidRPr="00D41429" w:rsidRDefault="000D2D12">
      <w:pPr>
        <w:spacing w:line="360" w:lineRule="auto"/>
        <w:ind w:left="426" w:right="474"/>
        <w:jc w:val="both"/>
        <w:rPr>
          <w:rFonts w:ascii="Palatino Linotype" w:eastAsia="Palatino Linotype" w:hAnsi="Palatino Linotype" w:cs="Palatino Linotype"/>
          <w:i/>
          <w:iCs/>
          <w:color w:val="000000"/>
        </w:rPr>
      </w:pPr>
      <w:r w:rsidRPr="00D41429">
        <w:rPr>
          <w:rFonts w:ascii="Palatino Linotype" w:eastAsia="Palatino Linotype" w:hAnsi="Palatino Linotype" w:cs="Palatino Linotype"/>
          <w:i/>
          <w:iCs/>
          <w:color w:val="000000"/>
        </w:rPr>
        <w:t>Que se trate de información registrada en cualquier soporte documental, que en ejercicio de las atribuciones conferidas, sea generada por los Sujetos Obligados;</w:t>
      </w:r>
    </w:p>
    <w:p w:rsidR="00CA3108" w:rsidRPr="00D41429" w:rsidRDefault="000D2D12">
      <w:pPr>
        <w:spacing w:line="360" w:lineRule="auto"/>
        <w:ind w:left="426" w:right="474"/>
        <w:jc w:val="both"/>
        <w:rPr>
          <w:rFonts w:ascii="Palatino Linotype" w:eastAsia="Palatino Linotype" w:hAnsi="Palatino Linotype" w:cs="Palatino Linotype"/>
          <w:i/>
          <w:iCs/>
          <w:color w:val="000000"/>
        </w:rPr>
      </w:pPr>
      <w:r w:rsidRPr="00D41429">
        <w:rPr>
          <w:rFonts w:ascii="Palatino Linotype" w:eastAsia="Palatino Linotype" w:hAnsi="Palatino Linotype" w:cs="Palatino Linotype"/>
          <w:i/>
          <w:iCs/>
          <w:color w:val="000000"/>
        </w:rPr>
        <w:t>Que se trate de información registrada en cualquier soporte documental, que en ejercicio de las atribuciones conferidas, sea administrada por los Sujetos Obligados, y</w:t>
      </w:r>
    </w:p>
    <w:p w:rsidR="00CA3108" w:rsidRPr="00D41429" w:rsidRDefault="000D2D12">
      <w:pPr>
        <w:spacing w:line="360" w:lineRule="auto"/>
        <w:ind w:left="426" w:right="474"/>
        <w:jc w:val="both"/>
        <w:rPr>
          <w:rFonts w:ascii="Palatino Linotype" w:eastAsia="Palatino Linotype" w:hAnsi="Palatino Linotype" w:cs="Palatino Linotype"/>
          <w:i/>
          <w:iCs/>
          <w:color w:val="000000"/>
        </w:rPr>
      </w:pPr>
      <w:r w:rsidRPr="00D41429">
        <w:rPr>
          <w:rFonts w:ascii="Palatino Linotype" w:eastAsia="Palatino Linotype" w:hAnsi="Palatino Linotype" w:cs="Palatino Linotype"/>
          <w:i/>
          <w:iCs/>
          <w:color w:val="000000"/>
        </w:rPr>
        <w:t>Que se trate de información registrada en cualquier soporte documental, que en ejercicio de las atribuciones conferidas, se encuentre en posesión de los Sujetos Obligados.”</w:t>
      </w:r>
    </w:p>
    <w:p w:rsidR="00CA3108" w:rsidRPr="00D41429" w:rsidRDefault="00CA3108">
      <w:pPr>
        <w:spacing w:line="360" w:lineRule="auto"/>
        <w:ind w:left="567" w:right="567"/>
        <w:jc w:val="both"/>
        <w:rPr>
          <w:rFonts w:ascii="Palatino Linotype" w:eastAsia="Palatino Linotype" w:hAnsi="Palatino Linotype" w:cs="Palatino Linotype"/>
          <w:i/>
          <w:iCs/>
          <w:color w:val="000000"/>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CA3108" w:rsidRPr="00D41429" w:rsidRDefault="000D2D12">
      <w:pPr>
        <w:spacing w:line="360" w:lineRule="auto"/>
        <w:ind w:left="426" w:right="474"/>
        <w:jc w:val="both"/>
        <w:rPr>
          <w:rFonts w:ascii="Palatino Linotype" w:eastAsia="Palatino Linotype" w:hAnsi="Palatino Linotype" w:cs="Palatino Linotype"/>
          <w:i/>
          <w:iCs/>
          <w:color w:val="000000"/>
        </w:rPr>
      </w:pPr>
      <w:r w:rsidRPr="00D41429">
        <w:rPr>
          <w:rFonts w:ascii="Palatino Linotype" w:eastAsia="Palatino Linotype" w:hAnsi="Palatino Linotype" w:cs="Palatino Linotype"/>
          <w:b/>
          <w:bCs/>
          <w:i/>
          <w:iCs/>
          <w:color w:val="000000"/>
        </w:rPr>
        <w:t xml:space="preserve">XI. Documento: </w:t>
      </w:r>
      <w:r w:rsidRPr="00D41429">
        <w:rPr>
          <w:rFonts w:ascii="Palatino Linotype" w:eastAsia="Palatino Linotype" w:hAnsi="Palatino Linotype" w:cs="Palatino Linotype"/>
          <w:i/>
          <w:iCs/>
          <w:color w:val="000000"/>
        </w:rPr>
        <w:t xml:space="preserve">Los expedientes, reportes, estudios, actas, resoluciones, oficios, correspondencia, acuerdos, directivas, directrices, circulares, contratos, convenios, instructivos, notas, memorandos, estadísticas o bien, </w:t>
      </w:r>
      <w:r w:rsidRPr="00D41429">
        <w:rPr>
          <w:rFonts w:ascii="Palatino Linotype" w:eastAsia="Palatino Linotype" w:hAnsi="Palatino Linotype" w:cs="Palatino Linotype"/>
          <w:b/>
          <w:bCs/>
          <w:i/>
          <w:iCs/>
          <w:color w:val="000000"/>
        </w:rPr>
        <w:t>cualquier otro registro</w:t>
      </w:r>
      <w:r w:rsidRPr="00D41429">
        <w:rPr>
          <w:rFonts w:ascii="Palatino Linotype" w:eastAsia="Palatino Linotype" w:hAnsi="Palatino Linotype" w:cs="Palatino Linotype"/>
          <w:i/>
          <w:iCs/>
          <w:color w:val="000000"/>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CA3108" w:rsidRPr="00D41429" w:rsidRDefault="00CA3108">
      <w:pPr>
        <w:spacing w:line="360" w:lineRule="auto"/>
        <w:ind w:left="567" w:right="567"/>
        <w:jc w:val="both"/>
        <w:rPr>
          <w:rFonts w:ascii="Palatino Linotype" w:eastAsia="Palatino Linotype" w:hAnsi="Palatino Linotype" w:cs="Palatino Linotype"/>
          <w:i/>
          <w:iCs/>
          <w:color w:val="000000"/>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lastRenderedPageBreak/>
        <w:t xml:space="preserve">Es así que, todos los actos de autoridad que realicen los Sujetos Obligados </w:t>
      </w:r>
      <w:r w:rsidRPr="00D41429">
        <w:rPr>
          <w:rFonts w:ascii="Palatino Linotype" w:eastAsia="Palatino Linotype" w:hAnsi="Palatino Linotype" w:cs="Palatino Linotype"/>
          <w:b/>
          <w:bCs/>
          <w:color w:val="000000"/>
        </w:rPr>
        <w:t xml:space="preserve">deben estar </w:t>
      </w:r>
      <w:r w:rsidRPr="00D41429">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rsidR="00CA3108" w:rsidRPr="00D41429" w:rsidRDefault="00CA3108">
      <w:pPr>
        <w:pBdr>
          <w:top w:val="nil"/>
          <w:left w:val="nil"/>
          <w:bottom w:val="nil"/>
          <w:right w:val="nil"/>
          <w:between w:val="nil"/>
        </w:pBdr>
        <w:tabs>
          <w:tab w:val="left" w:pos="284"/>
        </w:tabs>
        <w:spacing w:line="360" w:lineRule="auto"/>
        <w:ind w:right="51"/>
        <w:jc w:val="both"/>
        <w:rPr>
          <w:rFonts w:ascii="Palatino Linotype" w:eastAsia="Palatino Linotype" w:hAnsi="Palatino Linotype" w:cs="Palatino Linotype"/>
          <w:color w:val="000000"/>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CA3108" w:rsidRPr="00D41429" w:rsidRDefault="000D2D12">
      <w:pPr>
        <w:spacing w:line="360" w:lineRule="auto"/>
        <w:ind w:left="426" w:right="567"/>
        <w:jc w:val="both"/>
        <w:rPr>
          <w:rFonts w:ascii="Palatino Linotype" w:eastAsia="Palatino Linotype" w:hAnsi="Palatino Linotype" w:cs="Palatino Linotype"/>
          <w:i/>
          <w:iCs/>
          <w:color w:val="000000"/>
        </w:rPr>
      </w:pPr>
      <w:r w:rsidRPr="00D41429">
        <w:rPr>
          <w:rFonts w:ascii="Palatino Linotype" w:eastAsia="Palatino Linotype" w:hAnsi="Palatino Linotype" w:cs="Palatino Linotype"/>
          <w:b/>
          <w:bCs/>
          <w:i/>
          <w:iCs/>
          <w:color w:val="000000"/>
        </w:rPr>
        <w:t xml:space="preserve">“Artículo 4. </w:t>
      </w:r>
      <w:r w:rsidRPr="00D41429">
        <w:rPr>
          <w:rFonts w:ascii="Palatino Linotype" w:eastAsia="Palatino Linotype" w:hAnsi="Palatino Linotype" w:cs="Palatino Linotype"/>
          <w:i/>
          <w:iCs/>
          <w:color w:val="000000"/>
        </w:rPr>
        <w:t>El derecho humano de acceso a la información pública es la prerrogativa de las personas para buscar, difundir, investigar, recabar, recibir y solicitar información pública, sin necesidad de acreditar personalidad ni interés jurídico.</w:t>
      </w:r>
    </w:p>
    <w:p w:rsidR="00CA3108" w:rsidRPr="00D41429" w:rsidRDefault="000D2D12">
      <w:pPr>
        <w:spacing w:line="360" w:lineRule="auto"/>
        <w:ind w:left="426" w:right="567"/>
        <w:jc w:val="both"/>
        <w:rPr>
          <w:rFonts w:ascii="Palatino Linotype" w:eastAsia="Palatino Linotype" w:hAnsi="Palatino Linotype" w:cs="Palatino Linotype"/>
          <w:i/>
          <w:iCs/>
          <w:color w:val="000000"/>
        </w:rPr>
      </w:pPr>
      <w:r w:rsidRPr="00D41429">
        <w:rPr>
          <w:rFonts w:ascii="Palatino Linotype" w:eastAsia="Palatino Linotype" w:hAnsi="Palatino Linotype" w:cs="Palatino Linotype"/>
          <w:b/>
          <w:bCs/>
          <w:i/>
          <w:iCs/>
          <w:color w:val="000000"/>
        </w:rPr>
        <w:t>Toda la información</w:t>
      </w:r>
      <w:r w:rsidRPr="00D41429">
        <w:rPr>
          <w:rFonts w:ascii="Palatino Linotype" w:eastAsia="Palatino Linotype" w:hAnsi="Palatino Linotype" w:cs="Palatino Linotype"/>
          <w:i/>
          <w:iCs/>
          <w:color w:val="000000"/>
        </w:rPr>
        <w:t xml:space="preserve"> generada, obtenida, adquirida, transformada, administrada o </w:t>
      </w:r>
      <w:r w:rsidRPr="00D41429">
        <w:rPr>
          <w:rFonts w:ascii="Palatino Linotype" w:eastAsia="Palatino Linotype" w:hAnsi="Palatino Linotype" w:cs="Palatino Linotype"/>
          <w:b/>
          <w:bCs/>
          <w:i/>
          <w:iCs/>
          <w:color w:val="000000"/>
        </w:rPr>
        <w:t>en posesión de los sujetos obligados es pública</w:t>
      </w:r>
      <w:r w:rsidRPr="00D41429">
        <w:rPr>
          <w:rFonts w:ascii="Palatino Linotype" w:eastAsia="Palatino Linotype" w:hAnsi="Palatino Linotype" w:cs="Palatino Linotype"/>
          <w:i/>
          <w:iCs/>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CA3108" w:rsidRPr="00D41429" w:rsidRDefault="000D2D12">
      <w:pPr>
        <w:spacing w:line="360" w:lineRule="auto"/>
        <w:ind w:left="426" w:right="567"/>
        <w:jc w:val="both"/>
        <w:rPr>
          <w:rFonts w:ascii="Palatino Linotype" w:eastAsia="Palatino Linotype" w:hAnsi="Palatino Linotype" w:cs="Palatino Linotype"/>
          <w:i/>
          <w:iCs/>
          <w:color w:val="000000"/>
        </w:rPr>
      </w:pPr>
      <w:r w:rsidRPr="00D41429">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rsidR="00CA3108" w:rsidRPr="00D41429" w:rsidRDefault="00CA3108">
      <w:pPr>
        <w:spacing w:line="360" w:lineRule="auto"/>
        <w:ind w:left="567" w:right="567"/>
        <w:jc w:val="both"/>
        <w:rPr>
          <w:rFonts w:ascii="Palatino Linotype" w:eastAsia="Palatino Linotype" w:hAnsi="Palatino Linotype" w:cs="Palatino Linotype"/>
          <w:i/>
          <w:iCs/>
          <w:color w:val="000000"/>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lastRenderedPageBreak/>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D41429">
        <w:rPr>
          <w:rFonts w:ascii="Palatino Linotype" w:eastAsia="Palatino Linotype" w:hAnsi="Palatino Linotype" w:cs="Palatino Linotype"/>
          <w:color w:val="000000"/>
          <w:vertAlign w:val="superscript"/>
        </w:rPr>
        <w:footnoteReference w:id="6"/>
      </w:r>
      <w:r w:rsidRPr="00D41429">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CA3108" w:rsidRPr="00D41429" w:rsidRDefault="00CA3108">
      <w:pPr>
        <w:spacing w:line="360" w:lineRule="auto"/>
        <w:jc w:val="both"/>
        <w:rPr>
          <w:rFonts w:ascii="Palatino Linotype" w:eastAsia="Palatino Linotype" w:hAnsi="Palatino Linotype" w:cs="Palatino Linotype"/>
          <w:color w:val="000000"/>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CA3108" w:rsidRPr="00D41429" w:rsidRDefault="000D2D12">
      <w:pPr>
        <w:pBdr>
          <w:top w:val="nil"/>
          <w:left w:val="nil"/>
          <w:bottom w:val="nil"/>
          <w:right w:val="nil"/>
          <w:between w:val="nil"/>
        </w:pBdr>
        <w:tabs>
          <w:tab w:val="left" w:pos="851"/>
        </w:tabs>
        <w:spacing w:line="360" w:lineRule="auto"/>
        <w:ind w:left="425" w:right="476"/>
        <w:jc w:val="both"/>
        <w:rPr>
          <w:rFonts w:ascii="Palatino Linotype" w:eastAsia="Palatino Linotype" w:hAnsi="Palatino Linotype" w:cs="Palatino Linotype"/>
          <w:i/>
          <w:iCs/>
          <w:color w:val="000000"/>
        </w:rPr>
      </w:pPr>
      <w:r w:rsidRPr="00D41429">
        <w:rPr>
          <w:rFonts w:ascii="Palatino Linotype" w:eastAsia="Palatino Linotype" w:hAnsi="Palatino Linotype" w:cs="Palatino Linotype"/>
          <w:b/>
          <w:bCs/>
          <w:i/>
          <w:iCs/>
          <w:color w:val="000000"/>
        </w:rPr>
        <w:t>ACCESO A LA INFORMACIÓN. IMPLICACIÓN DEL PRINCIPIO DE MÁXIMA PUBLICIDAD EN EL DERECHO FUNDAMENTAL RELATIVO.</w:t>
      </w:r>
      <w:r w:rsidRPr="00D41429">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w:t>
      </w:r>
      <w:r w:rsidRPr="00D41429">
        <w:rPr>
          <w:rFonts w:ascii="Palatino Linotype" w:eastAsia="Palatino Linotype" w:hAnsi="Palatino Linotype" w:cs="Palatino Linotype"/>
          <w:i/>
          <w:iCs/>
          <w:color w:val="000000"/>
        </w:rPr>
        <w:lastRenderedPageBreak/>
        <w:t>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CA3108" w:rsidRPr="00D41429" w:rsidRDefault="00CA3108">
      <w:pPr>
        <w:pBdr>
          <w:top w:val="nil"/>
          <w:left w:val="nil"/>
          <w:bottom w:val="nil"/>
          <w:right w:val="nil"/>
          <w:between w:val="nil"/>
        </w:pBdr>
        <w:tabs>
          <w:tab w:val="left" w:pos="851"/>
        </w:tabs>
        <w:spacing w:line="360" w:lineRule="auto"/>
        <w:ind w:right="476"/>
        <w:jc w:val="both"/>
        <w:rPr>
          <w:rFonts w:ascii="Palatino Linotype" w:eastAsia="Palatino Linotype" w:hAnsi="Palatino Linotype" w:cs="Palatino Linotype"/>
          <w:color w:val="000000"/>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b/>
          <w:bCs/>
          <w:color w:val="000000"/>
        </w:rPr>
      </w:pPr>
      <w:r w:rsidRPr="00D41429">
        <w:rPr>
          <w:rFonts w:ascii="Palatino Linotype" w:eastAsia="Palatino Linotype" w:hAnsi="Palatino Linotype" w:cs="Palatino Linotype"/>
          <w:color w:val="000000"/>
        </w:rPr>
        <w:t>Finalmente no pasa desapercibido que la solicitud de información carece de extremos temporales de los cuales se requiere la información.</w:t>
      </w:r>
      <w:r w:rsidRPr="00D41429">
        <w:rPr>
          <w:rFonts w:ascii="Palatino Linotype" w:eastAsia="Palatino Linotype" w:hAnsi="Palatino Linotype" w:cs="Palatino Linotype"/>
        </w:rPr>
        <w:t xml:space="preserve"> por lo cual se requerirá del </w:t>
      </w:r>
      <w:r w:rsidRPr="00D41429">
        <w:rPr>
          <w:rFonts w:ascii="Palatino Linotype" w:eastAsia="Palatino Linotype" w:hAnsi="Palatino Linotype" w:cs="Palatino Linotype"/>
          <w:color w:val="000000"/>
        </w:rPr>
        <w:t>dos</w:t>
      </w:r>
      <w:r w:rsidRPr="00D41429">
        <w:rPr>
          <w:rFonts w:ascii="Palatino Linotype" w:eastAsia="Palatino Linotype" w:hAnsi="Palatino Linotype" w:cs="Palatino Linotype"/>
        </w:rPr>
        <w:t xml:space="preserve"> de junio de dos mil veinticuatro al dos de junio de dos mil veinticinco, de conformidad con el </w:t>
      </w:r>
      <w:r w:rsidRPr="00D41429">
        <w:rPr>
          <w:rFonts w:ascii="Palatino Linotype" w:eastAsia="Palatino Linotype" w:hAnsi="Palatino Linotype" w:cs="Palatino Linotype"/>
          <w:color w:val="000000"/>
        </w:rPr>
        <w:t>Criterio Periodo de búsqueda de la información emitido por el entonces Instituto Nacional de Transparencia, Acceso a la Información y Protección de Datos Personales, que establece lo siguiente:</w:t>
      </w:r>
    </w:p>
    <w:p w:rsidR="00CA3108" w:rsidRPr="00D41429" w:rsidRDefault="00CA3108">
      <w:pPr>
        <w:tabs>
          <w:tab w:val="left" w:pos="567"/>
        </w:tabs>
        <w:spacing w:line="360" w:lineRule="auto"/>
        <w:ind w:right="49"/>
        <w:jc w:val="both"/>
        <w:rPr>
          <w:rFonts w:ascii="Palatino Linotype" w:eastAsia="Palatino Linotype" w:hAnsi="Palatino Linotype" w:cs="Palatino Linotype"/>
          <w:b/>
          <w:bCs/>
          <w:color w:val="000000"/>
        </w:rPr>
      </w:pPr>
    </w:p>
    <w:p w:rsidR="00CA3108" w:rsidRPr="00D41429" w:rsidRDefault="000D2D12">
      <w:pPr>
        <w:spacing w:line="360" w:lineRule="auto"/>
        <w:ind w:left="426" w:right="425"/>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lastRenderedPageBreak/>
        <w:t xml:space="preserve">“Periodo de búsqueda de la información. </w:t>
      </w:r>
      <w:r w:rsidRPr="00D41429">
        <w:rPr>
          <w:rFonts w:ascii="Palatino Linotype" w:eastAsia="Palatino Linotype" w:hAnsi="Palatino Linotype" w:cs="Palatino Linotype"/>
          <w:i/>
          <w:iCs/>
        </w:rPr>
        <w:t>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w:t>
      </w:r>
    </w:p>
    <w:p w:rsidR="00CA3108" w:rsidRPr="00D41429" w:rsidRDefault="00CA3108">
      <w:pPr>
        <w:spacing w:line="360" w:lineRule="auto"/>
        <w:ind w:left="567" w:right="900"/>
        <w:jc w:val="both"/>
        <w:rPr>
          <w:rFonts w:ascii="Palatino Linotype" w:eastAsia="Palatino Linotype" w:hAnsi="Palatino Linotype" w:cs="Palatino Linotype"/>
          <w:color w:val="000000"/>
        </w:rPr>
      </w:pPr>
    </w:p>
    <w:p w:rsidR="00CA3108" w:rsidRPr="00D41429" w:rsidRDefault="000D2D12">
      <w:pPr>
        <w:pBdr>
          <w:top w:val="nil"/>
          <w:left w:val="nil"/>
          <w:bottom w:val="nil"/>
          <w:right w:val="nil"/>
          <w:between w:val="nil"/>
        </w:pBdr>
        <w:tabs>
          <w:tab w:val="left" w:pos="284"/>
          <w:tab w:val="left" w:pos="426"/>
        </w:tabs>
        <w:spacing w:line="360" w:lineRule="auto"/>
        <w:ind w:right="49"/>
        <w:jc w:val="both"/>
        <w:rPr>
          <w:rFonts w:ascii="Palatino Linotype" w:eastAsia="Palatino Linotype" w:hAnsi="Palatino Linotype" w:cs="Palatino Linotype"/>
          <w:b/>
          <w:bCs/>
          <w:color w:val="000000"/>
        </w:rPr>
      </w:pPr>
      <w:r w:rsidRPr="00D41429">
        <w:rPr>
          <w:rFonts w:ascii="Palatino Linotype" w:eastAsia="Palatino Linotype" w:hAnsi="Palatino Linotype" w:cs="Palatino Linotype"/>
          <w:b/>
          <w:bCs/>
          <w:color w:val="000000"/>
        </w:rPr>
        <w:t>QUINTO. De la versión pública.</w:t>
      </w: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Finalmente, debe señalarse que dada la propia y especial naturaleza de lo solicitado, eminentemente contiene múltiples datos personales que deberán ser protegidos como ya quedó asentado en el Considerando anterior del presente proveído. Para dar cumplimiento a la presente resolución, contengan datos que deban ser clasificados, el </w:t>
      </w:r>
      <w:r w:rsidRPr="00D41429">
        <w:rPr>
          <w:rFonts w:ascii="Palatino Linotype" w:eastAsia="Palatino Linotype" w:hAnsi="Palatino Linotype" w:cs="Palatino Linotype"/>
          <w:b/>
          <w:bCs/>
          <w:color w:val="000000"/>
        </w:rPr>
        <w:t>SUJETO OBLIGADO</w:t>
      </w:r>
      <w:r w:rsidRPr="00D41429">
        <w:rPr>
          <w:rFonts w:ascii="Palatino Linotype" w:eastAsia="Palatino Linotype" w:hAnsi="Palatino Linotype" w:cs="Palatino Linotype"/>
          <w:color w:val="000000"/>
        </w:rPr>
        <w:t xml:space="preserve"> deberá hacer la elaboración de la versión pública de tales documentos a fin de satisfacer el derecho de acceso a la información pública del recurrente sin menoscabo al derecho a la protección de los datos personales de terceros.</w:t>
      </w:r>
    </w:p>
    <w:p w:rsidR="00CA3108" w:rsidRPr="00D41429" w:rsidRDefault="00CA310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rsidR="00CA3108" w:rsidRPr="00D41429" w:rsidRDefault="000D2D12">
      <w:pPr>
        <w:spacing w:line="360" w:lineRule="auto"/>
        <w:ind w:left="993" w:right="1041"/>
        <w:jc w:val="both"/>
        <w:rPr>
          <w:rFonts w:ascii="Palatino Linotype" w:eastAsia="Palatino Linotype" w:hAnsi="Palatino Linotype" w:cs="Palatino Linotype"/>
          <w:b/>
          <w:bCs/>
          <w:i/>
          <w:iCs/>
        </w:rPr>
      </w:pPr>
      <w:r w:rsidRPr="00D41429">
        <w:rPr>
          <w:rFonts w:ascii="Palatino Linotype" w:eastAsia="Palatino Linotype" w:hAnsi="Palatino Linotype" w:cs="Palatino Linotype"/>
          <w:b/>
          <w:bCs/>
          <w:i/>
          <w:iCs/>
        </w:rPr>
        <w:t xml:space="preserve"> “Artículo 3. Para los efectos de la presente Ley se entenderá por:</w:t>
      </w:r>
    </w:p>
    <w:p w:rsidR="00CA3108" w:rsidRPr="00D41429" w:rsidRDefault="000D2D12">
      <w:pPr>
        <w:spacing w:line="360" w:lineRule="auto"/>
        <w:ind w:left="993" w:right="1041"/>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IX. Datos personales:</w:t>
      </w:r>
      <w:r w:rsidRPr="00D41429">
        <w:rPr>
          <w:rFonts w:ascii="Palatino Linotype" w:eastAsia="Palatino Linotype" w:hAnsi="Palatino Linotype" w:cs="Palatino Linotype"/>
          <w:i/>
          <w:iCs/>
        </w:rPr>
        <w:t xml:space="preserve"> </w:t>
      </w:r>
      <w:r w:rsidRPr="00D41429">
        <w:rPr>
          <w:rFonts w:ascii="Palatino Linotype" w:eastAsia="Palatino Linotype" w:hAnsi="Palatino Linotype" w:cs="Palatino Linotype"/>
          <w:b/>
          <w:bCs/>
          <w:i/>
          <w:iCs/>
        </w:rPr>
        <w:t>La información concerniente a una persona, identificada o identificable</w:t>
      </w:r>
      <w:r w:rsidRPr="00D41429">
        <w:rPr>
          <w:rFonts w:ascii="Palatino Linotype" w:eastAsia="Palatino Linotype" w:hAnsi="Palatino Linotype" w:cs="Palatino Linotype"/>
          <w:i/>
          <w:iCs/>
        </w:rPr>
        <w:t xml:space="preserve"> según lo dispuesto por la Ley de Protección de Datos Personales del Estado de México;</w:t>
      </w:r>
    </w:p>
    <w:p w:rsidR="00CA3108" w:rsidRPr="00D41429" w:rsidRDefault="000D2D12">
      <w:pPr>
        <w:spacing w:line="360" w:lineRule="auto"/>
        <w:ind w:left="993" w:right="1041"/>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lastRenderedPageBreak/>
        <w:t>XX. Información clasificada:</w:t>
      </w:r>
      <w:r w:rsidRPr="00D41429">
        <w:rPr>
          <w:rFonts w:ascii="Palatino Linotype" w:eastAsia="Palatino Linotype" w:hAnsi="Palatino Linotype" w:cs="Palatino Linotype"/>
          <w:i/>
          <w:iCs/>
        </w:rPr>
        <w:t xml:space="preserve"> Aquella considerada por la presente Ley como reservada o confidencial;</w:t>
      </w:r>
    </w:p>
    <w:p w:rsidR="00CA3108" w:rsidRPr="00D41429" w:rsidRDefault="000D2D12">
      <w:pPr>
        <w:spacing w:line="360" w:lineRule="auto"/>
        <w:ind w:left="993" w:right="1041"/>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XXXII. Protección de Datos Personales:</w:t>
      </w:r>
      <w:r w:rsidRPr="00D41429">
        <w:rPr>
          <w:rFonts w:ascii="Palatino Linotype" w:eastAsia="Palatino Linotype" w:hAnsi="Palatino Linotype" w:cs="Palatino Linotype"/>
          <w:i/>
          <w:iCs/>
        </w:rPr>
        <w:t xml:space="preserve"> Derecho humano que tutela la privacidad de datos personales en poder de los sujetos obligados y sujetos particulares;</w:t>
      </w:r>
    </w:p>
    <w:p w:rsidR="00CA3108" w:rsidRPr="00D41429" w:rsidRDefault="000D2D12">
      <w:pPr>
        <w:spacing w:line="360" w:lineRule="auto"/>
        <w:ind w:left="993" w:right="1041"/>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XLV. Versión pública</w:t>
      </w:r>
      <w:r w:rsidRPr="00D41429">
        <w:rPr>
          <w:rFonts w:ascii="Palatino Linotype" w:eastAsia="Palatino Linotype" w:hAnsi="Palatino Linotype" w:cs="Palatino Linotype"/>
          <w:i/>
          <w:iCs/>
        </w:rPr>
        <w:t>: Documento en el que se elimine, suprime o borra la información clasificada como reservada o confidencial para permitir su acceso.”</w:t>
      </w:r>
    </w:p>
    <w:p w:rsidR="00CA3108" w:rsidRPr="00D41429" w:rsidRDefault="00CA3108">
      <w:pPr>
        <w:spacing w:line="360" w:lineRule="auto"/>
        <w:ind w:left="993" w:right="1041"/>
        <w:jc w:val="both"/>
        <w:rPr>
          <w:rFonts w:ascii="Palatino Linotype" w:eastAsia="Palatino Linotype" w:hAnsi="Palatino Linotype" w:cs="Palatino Linotype"/>
          <w:i/>
          <w:iCs/>
        </w:rPr>
      </w:pPr>
    </w:p>
    <w:p w:rsidR="00CA3108" w:rsidRPr="00D41429" w:rsidRDefault="000D2D12">
      <w:pPr>
        <w:spacing w:line="360" w:lineRule="auto"/>
        <w:ind w:left="993" w:right="1041"/>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“Artículo 6.</w:t>
      </w:r>
      <w:r w:rsidRPr="00D41429">
        <w:rPr>
          <w:rFonts w:ascii="Palatino Linotype" w:eastAsia="Palatino Linotype" w:hAnsi="Palatino Linotype" w:cs="Palatino Linotype"/>
          <w:i/>
          <w:iCs/>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CA3108" w:rsidRPr="00D41429" w:rsidRDefault="00CA3108">
      <w:pPr>
        <w:spacing w:line="360" w:lineRule="auto"/>
        <w:ind w:left="993" w:right="1041"/>
        <w:jc w:val="both"/>
        <w:rPr>
          <w:rFonts w:ascii="Palatino Linotype" w:eastAsia="Palatino Linotype" w:hAnsi="Palatino Linotype" w:cs="Palatino Linotype"/>
          <w:i/>
          <w:iCs/>
        </w:rPr>
      </w:pPr>
    </w:p>
    <w:p w:rsidR="00CA3108" w:rsidRPr="00D41429" w:rsidRDefault="000D2D12">
      <w:pPr>
        <w:spacing w:line="360" w:lineRule="auto"/>
        <w:ind w:left="993" w:right="1041"/>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 </w:t>
      </w:r>
      <w:r w:rsidRPr="00D41429">
        <w:rPr>
          <w:rFonts w:ascii="Palatino Linotype" w:eastAsia="Palatino Linotype" w:hAnsi="Palatino Linotype" w:cs="Palatino Linotype"/>
          <w:b/>
          <w:bCs/>
          <w:i/>
          <w:iCs/>
        </w:rPr>
        <w:t>Artículo 49.</w:t>
      </w:r>
      <w:r w:rsidRPr="00D41429">
        <w:rPr>
          <w:rFonts w:ascii="Palatino Linotype" w:eastAsia="Palatino Linotype" w:hAnsi="Palatino Linotype" w:cs="Palatino Linotype"/>
          <w:i/>
          <w:iCs/>
        </w:rPr>
        <w:t> Los Comités de Transparencia tendrán las siguientes atribuciones:</w:t>
      </w:r>
    </w:p>
    <w:p w:rsidR="00CA3108" w:rsidRPr="00D41429" w:rsidRDefault="000D2D12">
      <w:pPr>
        <w:spacing w:line="360" w:lineRule="auto"/>
        <w:ind w:left="993" w:right="1041"/>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w:t>
      </w:r>
    </w:p>
    <w:p w:rsidR="00CA3108" w:rsidRPr="00D41429" w:rsidRDefault="000D2D12">
      <w:pPr>
        <w:spacing w:line="360" w:lineRule="auto"/>
        <w:ind w:left="993" w:right="1041"/>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VIII</w:t>
      </w:r>
      <w:r w:rsidRPr="00D41429">
        <w:rPr>
          <w:rFonts w:ascii="Palatino Linotype" w:eastAsia="Palatino Linotype" w:hAnsi="Palatino Linotype" w:cs="Palatino Linotype"/>
          <w:i/>
          <w:iCs/>
        </w:rPr>
        <w:t>. Aprobar, modificar o revocar la clasificación de la información;</w:t>
      </w:r>
    </w:p>
    <w:p w:rsidR="00CA3108" w:rsidRPr="00D41429" w:rsidRDefault="000D2D12">
      <w:pPr>
        <w:spacing w:line="360" w:lineRule="auto"/>
        <w:ind w:left="993" w:right="1041"/>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w:t>
      </w:r>
    </w:p>
    <w:p w:rsidR="00CA3108" w:rsidRPr="00D41429" w:rsidRDefault="000D2D12">
      <w:pPr>
        <w:spacing w:line="360" w:lineRule="auto"/>
        <w:ind w:left="993" w:right="1041"/>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lastRenderedPageBreak/>
        <w:t xml:space="preserve">Artículo 91. </w:t>
      </w:r>
      <w:r w:rsidRPr="00D41429">
        <w:rPr>
          <w:rFonts w:ascii="Palatino Linotype" w:eastAsia="Palatino Linotype" w:hAnsi="Palatino Linotype" w:cs="Palatino Linotype"/>
          <w:i/>
          <w:iCs/>
        </w:rPr>
        <w:t>El acceso a la información pública será restringido excepcionalmente, cuando ésta sea clasificada como reservada o confidencial.</w:t>
      </w:r>
    </w:p>
    <w:p w:rsidR="00CA3108" w:rsidRPr="00D41429" w:rsidRDefault="00CA3108">
      <w:pPr>
        <w:spacing w:line="360" w:lineRule="auto"/>
        <w:ind w:left="993" w:right="1041"/>
        <w:jc w:val="both"/>
        <w:rPr>
          <w:rFonts w:ascii="Palatino Linotype" w:eastAsia="Palatino Linotype" w:hAnsi="Palatino Linotype" w:cs="Palatino Linotype"/>
          <w:i/>
          <w:iCs/>
        </w:rPr>
      </w:pPr>
    </w:p>
    <w:p w:rsidR="00CA3108" w:rsidRPr="00D41429" w:rsidRDefault="000D2D12">
      <w:pPr>
        <w:spacing w:line="360" w:lineRule="auto"/>
        <w:ind w:left="993" w:right="1041"/>
        <w:jc w:val="both"/>
        <w:rPr>
          <w:rFonts w:ascii="Palatino Linotype" w:eastAsia="Palatino Linotype" w:hAnsi="Palatino Linotype" w:cs="Palatino Linotype"/>
          <w:b/>
          <w:bCs/>
          <w:i/>
          <w:iCs/>
        </w:rPr>
      </w:pPr>
      <w:r w:rsidRPr="00D41429">
        <w:rPr>
          <w:rFonts w:ascii="Palatino Linotype" w:eastAsia="Palatino Linotype" w:hAnsi="Palatino Linotype" w:cs="Palatino Linotype"/>
          <w:b/>
          <w:bCs/>
          <w:i/>
          <w:iCs/>
        </w:rPr>
        <w:t>“Artículo 137.</w:t>
      </w:r>
      <w:r w:rsidRPr="00D41429">
        <w:rPr>
          <w:rFonts w:ascii="Palatino Linotype" w:eastAsia="Palatino Linotype" w:hAnsi="Palatino Linotype" w:cs="Palatino Linotype"/>
          <w:i/>
          <w:iCs/>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CA3108" w:rsidRPr="00D41429" w:rsidRDefault="00CA3108">
      <w:pPr>
        <w:spacing w:line="360" w:lineRule="auto"/>
        <w:ind w:left="993" w:right="1041"/>
        <w:jc w:val="both"/>
        <w:rPr>
          <w:rFonts w:ascii="Palatino Linotype" w:eastAsia="Palatino Linotype" w:hAnsi="Palatino Linotype" w:cs="Palatino Linotype"/>
          <w:b/>
          <w:bCs/>
          <w:i/>
          <w:iCs/>
        </w:rPr>
      </w:pPr>
    </w:p>
    <w:p w:rsidR="00CA3108" w:rsidRPr="00D41429" w:rsidRDefault="000D2D12">
      <w:pPr>
        <w:spacing w:line="360" w:lineRule="auto"/>
        <w:ind w:left="993" w:right="1041"/>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“Artículo 143</w:t>
      </w:r>
      <w:r w:rsidRPr="00D41429">
        <w:rPr>
          <w:rFonts w:ascii="Palatino Linotype" w:eastAsia="Palatino Linotype" w:hAnsi="Palatino Linotype" w:cs="Palatino Linotype"/>
          <w:i/>
          <w:iCs/>
        </w:rPr>
        <w:t>. Para los efectos de esta Ley se considera información confidencial, la clasificada como tal, de manera permanente, por su naturaleza, cuando:</w:t>
      </w:r>
    </w:p>
    <w:p w:rsidR="00CA3108" w:rsidRPr="00D41429" w:rsidRDefault="000D2D12">
      <w:pPr>
        <w:spacing w:line="360" w:lineRule="auto"/>
        <w:ind w:left="993" w:right="1041"/>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I.</w:t>
      </w:r>
      <w:r w:rsidRPr="00D41429">
        <w:rPr>
          <w:rFonts w:ascii="Palatino Linotype" w:eastAsia="Palatino Linotype" w:hAnsi="Palatino Linotype" w:cs="Palatino Linotype"/>
          <w:i/>
          <w:iCs/>
        </w:rPr>
        <w:t xml:space="preserve"> Se refiera a la información privada y los datos personales concernientes a una persona física o jurídica colectiva identificada o identificable;</w:t>
      </w:r>
    </w:p>
    <w:p w:rsidR="00CA3108" w:rsidRPr="00D41429" w:rsidRDefault="000D2D12">
      <w:pPr>
        <w:spacing w:line="360" w:lineRule="auto"/>
        <w:ind w:left="993" w:right="1041"/>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II. Los secretos bancario, fiduciario, industrial, comercial, fiscal, bursátil y postal, cuya titularidad corresponda a particulares, sujetos de derecho internacional o a sujetos obligados cuando no involucren el ejercicio de recursos públicos; y</w:t>
      </w:r>
    </w:p>
    <w:p w:rsidR="00CA3108" w:rsidRPr="00D41429" w:rsidRDefault="000D2D12">
      <w:pPr>
        <w:spacing w:line="360" w:lineRule="auto"/>
        <w:ind w:left="993" w:right="1041"/>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 xml:space="preserve">III. La que presenten los particulares a los sujetos obligados, de conformidad con lo dispuesto por las leyes o los tratados internacionales.” </w:t>
      </w:r>
    </w:p>
    <w:p w:rsidR="00CA3108" w:rsidRPr="00D41429" w:rsidRDefault="00CA3108">
      <w:pPr>
        <w:spacing w:line="360" w:lineRule="auto"/>
        <w:ind w:left="993" w:right="1041"/>
        <w:jc w:val="both"/>
        <w:rPr>
          <w:rFonts w:ascii="Palatino Linotype" w:eastAsia="Palatino Linotype" w:hAnsi="Palatino Linotype" w:cs="Palatino Linotype"/>
          <w:i/>
          <w:iCs/>
        </w:rPr>
      </w:pPr>
    </w:p>
    <w:p w:rsidR="00CA3108" w:rsidRPr="00D41429" w:rsidRDefault="000D2D12">
      <w:pPr>
        <w:numPr>
          <w:ilvl w:val="0"/>
          <w:numId w:val="1"/>
        </w:numP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De los preceptos anteriores se desprende que cuando un documento que vaya a ser entregado vía acceso a la información pública, contenga tanto información de interés </w:t>
      </w:r>
      <w:r w:rsidRPr="00D41429">
        <w:rPr>
          <w:rFonts w:ascii="Palatino Linotype" w:eastAsia="Palatino Linotype" w:hAnsi="Palatino Linotype" w:cs="Palatino Linotype"/>
          <w:color w:val="000000"/>
        </w:rPr>
        <w:lastRenderedPageBreak/>
        <w:t>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rsidR="00CA3108" w:rsidRPr="00D41429" w:rsidRDefault="00CA3108">
      <w:pPr>
        <w:spacing w:line="360" w:lineRule="auto"/>
        <w:ind w:right="51"/>
        <w:jc w:val="both"/>
        <w:rPr>
          <w:rFonts w:ascii="Palatino Linotype" w:eastAsia="Palatino Linotype" w:hAnsi="Palatino Linotype" w:cs="Palatino Linotype"/>
        </w:rPr>
      </w:pPr>
    </w:p>
    <w:p w:rsidR="00CA3108" w:rsidRPr="00D41429" w:rsidRDefault="000D2D12" w:rsidP="00D41429">
      <w:pPr>
        <w:pStyle w:val="Prrafodelista"/>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CA3108" w:rsidRPr="00D41429" w:rsidRDefault="00CA3108">
      <w:pPr>
        <w:spacing w:line="360" w:lineRule="auto"/>
        <w:ind w:right="50"/>
        <w:jc w:val="both"/>
        <w:rPr>
          <w:rFonts w:ascii="Palatino Linotype" w:eastAsia="Palatino Linotype" w:hAnsi="Palatino Linotype" w:cs="Palatino Linotype"/>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rsidR="00CA3108" w:rsidRPr="00D41429" w:rsidRDefault="00CA3108">
      <w:pPr>
        <w:pBdr>
          <w:top w:val="nil"/>
          <w:left w:val="nil"/>
          <w:bottom w:val="nil"/>
          <w:right w:val="nil"/>
          <w:between w:val="nil"/>
        </w:pBdr>
        <w:ind w:left="720"/>
        <w:rPr>
          <w:rFonts w:ascii="Palatino Linotype" w:eastAsia="Palatino Linotype" w:hAnsi="Palatino Linotype" w:cs="Palatino Linotype"/>
          <w:color w:val="000000"/>
        </w:rPr>
      </w:pPr>
    </w:p>
    <w:p w:rsidR="00CA3108" w:rsidRPr="00D41429" w:rsidRDefault="000D2D12">
      <w:pPr>
        <w:spacing w:line="360" w:lineRule="auto"/>
        <w:ind w:left="851" w:right="1043"/>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lastRenderedPageBreak/>
        <w:t>“Artículo 49.</w:t>
      </w:r>
      <w:r w:rsidRPr="00D41429">
        <w:rPr>
          <w:rFonts w:ascii="Palatino Linotype" w:eastAsia="Palatino Linotype" w:hAnsi="Palatino Linotype" w:cs="Palatino Linotype"/>
          <w:i/>
          <w:iCs/>
        </w:rPr>
        <w:t xml:space="preserve"> </w:t>
      </w:r>
      <w:r w:rsidRPr="00D41429">
        <w:rPr>
          <w:rFonts w:ascii="Palatino Linotype" w:eastAsia="Palatino Linotype" w:hAnsi="Palatino Linotype" w:cs="Palatino Linotype"/>
          <w:b/>
          <w:bCs/>
          <w:i/>
          <w:iCs/>
        </w:rPr>
        <w:t>Los Comités de Transparencia</w:t>
      </w:r>
      <w:r w:rsidRPr="00D41429">
        <w:rPr>
          <w:rFonts w:ascii="Palatino Linotype" w:eastAsia="Palatino Linotype" w:hAnsi="Palatino Linotype" w:cs="Palatino Linotype"/>
          <w:i/>
          <w:iCs/>
        </w:rPr>
        <w:t xml:space="preserve"> tendrán las siguientes atribuciones:</w:t>
      </w:r>
    </w:p>
    <w:p w:rsidR="00CA3108" w:rsidRPr="00D41429" w:rsidRDefault="000D2D12">
      <w:pPr>
        <w:spacing w:line="360" w:lineRule="auto"/>
        <w:ind w:left="851" w:right="1043"/>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VIII. Aprobar, modificar o revocar la clasificación de la información</w:t>
      </w:r>
      <w:r w:rsidRPr="00D41429">
        <w:rPr>
          <w:rFonts w:ascii="Palatino Linotype" w:eastAsia="Palatino Linotype" w:hAnsi="Palatino Linotype" w:cs="Palatino Linotype"/>
          <w:i/>
          <w:iCs/>
        </w:rPr>
        <w:t>…”</w:t>
      </w:r>
    </w:p>
    <w:p w:rsidR="00CA3108" w:rsidRPr="00D41429" w:rsidRDefault="000D2D12">
      <w:pPr>
        <w:spacing w:line="360" w:lineRule="auto"/>
        <w:ind w:left="851" w:right="1043"/>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w:t>
      </w:r>
      <w:r w:rsidRPr="00D41429">
        <w:rPr>
          <w:rFonts w:ascii="Palatino Linotype" w:eastAsia="Palatino Linotype" w:hAnsi="Palatino Linotype" w:cs="Palatino Linotype"/>
          <w:b/>
          <w:bCs/>
          <w:i/>
          <w:iCs/>
        </w:rPr>
        <w:t>Artículo 53.</w:t>
      </w:r>
      <w:r w:rsidRPr="00D41429">
        <w:rPr>
          <w:rFonts w:ascii="Palatino Linotype" w:eastAsia="Palatino Linotype" w:hAnsi="Palatino Linotype" w:cs="Palatino Linotype"/>
          <w:i/>
          <w:iCs/>
        </w:rPr>
        <w:t xml:space="preserve"> Las </w:t>
      </w:r>
      <w:r w:rsidRPr="00D41429">
        <w:rPr>
          <w:rFonts w:ascii="Palatino Linotype" w:eastAsia="Palatino Linotype" w:hAnsi="Palatino Linotype" w:cs="Palatino Linotype"/>
          <w:b/>
          <w:bCs/>
          <w:i/>
          <w:iCs/>
        </w:rPr>
        <w:t>Unidades de Transparencia</w:t>
      </w:r>
      <w:r w:rsidRPr="00D41429">
        <w:rPr>
          <w:rFonts w:ascii="Palatino Linotype" w:eastAsia="Palatino Linotype" w:hAnsi="Palatino Linotype" w:cs="Palatino Linotype"/>
          <w:i/>
          <w:iCs/>
        </w:rPr>
        <w:t xml:space="preserve"> tendrán las siguientes </w:t>
      </w:r>
      <w:r w:rsidRPr="00D41429">
        <w:rPr>
          <w:rFonts w:ascii="Palatino Linotype" w:eastAsia="Palatino Linotype" w:hAnsi="Palatino Linotype" w:cs="Palatino Linotype"/>
          <w:b/>
          <w:bCs/>
          <w:i/>
          <w:iCs/>
        </w:rPr>
        <w:t>funciones</w:t>
      </w:r>
      <w:r w:rsidRPr="00D41429">
        <w:rPr>
          <w:rFonts w:ascii="Palatino Linotype" w:eastAsia="Palatino Linotype" w:hAnsi="Palatino Linotype" w:cs="Palatino Linotype"/>
          <w:i/>
          <w:iCs/>
        </w:rPr>
        <w:t>:</w:t>
      </w:r>
    </w:p>
    <w:p w:rsidR="00CA3108" w:rsidRPr="00D41429" w:rsidRDefault="000D2D12">
      <w:pPr>
        <w:spacing w:line="360" w:lineRule="auto"/>
        <w:ind w:left="851" w:right="1043"/>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X. Presentar ante el Comité, el proyecto de clasificación de información</w:t>
      </w:r>
      <w:r w:rsidRPr="00D41429">
        <w:rPr>
          <w:rFonts w:ascii="Palatino Linotype" w:eastAsia="Palatino Linotype" w:hAnsi="Palatino Linotype" w:cs="Palatino Linotype"/>
          <w:i/>
          <w:iCs/>
        </w:rPr>
        <w:t xml:space="preserve">…” </w:t>
      </w:r>
    </w:p>
    <w:p w:rsidR="00CA3108" w:rsidRPr="00D41429" w:rsidRDefault="000D2D12">
      <w:pPr>
        <w:spacing w:line="360" w:lineRule="auto"/>
        <w:ind w:left="851" w:right="1043"/>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“Artículo 59.</w:t>
      </w:r>
      <w:r w:rsidRPr="00D41429">
        <w:rPr>
          <w:rFonts w:ascii="Palatino Linotype" w:eastAsia="Palatino Linotype" w:hAnsi="Palatino Linotype" w:cs="Palatino Linotype"/>
          <w:i/>
          <w:iCs/>
        </w:rPr>
        <w:t xml:space="preserve"> Los </w:t>
      </w:r>
      <w:r w:rsidRPr="00D41429">
        <w:rPr>
          <w:rFonts w:ascii="Palatino Linotype" w:eastAsia="Palatino Linotype" w:hAnsi="Palatino Linotype" w:cs="Palatino Linotype"/>
          <w:b/>
          <w:bCs/>
          <w:i/>
          <w:iCs/>
        </w:rPr>
        <w:t>servidores públicos habilitados</w:t>
      </w:r>
      <w:r w:rsidRPr="00D41429">
        <w:rPr>
          <w:rFonts w:ascii="Palatino Linotype" w:eastAsia="Palatino Linotype" w:hAnsi="Palatino Linotype" w:cs="Palatino Linotype"/>
          <w:i/>
          <w:iCs/>
        </w:rPr>
        <w:t xml:space="preserve"> tendrán las </w:t>
      </w:r>
      <w:r w:rsidRPr="00D41429">
        <w:rPr>
          <w:rFonts w:ascii="Palatino Linotype" w:eastAsia="Palatino Linotype" w:hAnsi="Palatino Linotype" w:cs="Palatino Linotype"/>
          <w:b/>
          <w:bCs/>
          <w:i/>
          <w:iCs/>
        </w:rPr>
        <w:t>funciones</w:t>
      </w:r>
      <w:r w:rsidRPr="00D41429">
        <w:rPr>
          <w:rFonts w:ascii="Palatino Linotype" w:eastAsia="Palatino Linotype" w:hAnsi="Palatino Linotype" w:cs="Palatino Linotype"/>
          <w:i/>
          <w:iCs/>
        </w:rPr>
        <w:t xml:space="preserve"> siguientes:</w:t>
      </w:r>
    </w:p>
    <w:p w:rsidR="00CA3108" w:rsidRPr="00D41429" w:rsidRDefault="000D2D12">
      <w:pPr>
        <w:spacing w:line="360" w:lineRule="auto"/>
        <w:ind w:left="851" w:right="1043"/>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V. Integrar y presentar al responsable de la Unidad de Transparencia la propuesta de clasificación de información</w:t>
      </w:r>
      <w:r w:rsidRPr="00D41429">
        <w:rPr>
          <w:rFonts w:ascii="Palatino Linotype" w:eastAsia="Palatino Linotype" w:hAnsi="Palatino Linotype" w:cs="Palatino Linotype"/>
          <w:i/>
          <w:iCs/>
        </w:rPr>
        <w:t>, la cual tendrá los fundamentos y argumentos en que se basa dicha propuesta…”</w:t>
      </w:r>
    </w:p>
    <w:p w:rsidR="00CA3108" w:rsidRPr="00D41429" w:rsidRDefault="00CA3108">
      <w:pPr>
        <w:spacing w:line="360" w:lineRule="auto"/>
        <w:ind w:left="851" w:right="1043"/>
        <w:jc w:val="both"/>
        <w:rPr>
          <w:rFonts w:ascii="Palatino Linotype" w:eastAsia="Palatino Linotype" w:hAnsi="Palatino Linotype" w:cs="Palatino Linotype"/>
          <w:i/>
          <w:iCs/>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rsidR="00CA3108" w:rsidRPr="00D41429" w:rsidRDefault="00CA3108">
      <w:pPr>
        <w:spacing w:line="360" w:lineRule="auto"/>
        <w:jc w:val="both"/>
        <w:rPr>
          <w:rFonts w:ascii="Palatino Linotype" w:eastAsia="Palatino Linotype" w:hAnsi="Palatino Linotype" w:cs="Palatino Linotype"/>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lastRenderedPageBreak/>
        <w:t>Para lo cual, a su vez en el caso de información de carácter confidencial, se debe atender a lo que señala el artículo 149 de la Ley de Transparencia Local vigente, que se lee como sigue:</w:t>
      </w:r>
    </w:p>
    <w:p w:rsidR="00CA3108" w:rsidRPr="00D41429" w:rsidRDefault="000D2D12">
      <w:pPr>
        <w:spacing w:line="360" w:lineRule="auto"/>
        <w:ind w:left="993" w:right="1041"/>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w:t>
      </w:r>
      <w:r w:rsidRPr="00D41429">
        <w:rPr>
          <w:rFonts w:ascii="Palatino Linotype" w:eastAsia="Palatino Linotype" w:hAnsi="Palatino Linotype" w:cs="Palatino Linotype"/>
          <w:b/>
          <w:bCs/>
          <w:i/>
          <w:iCs/>
        </w:rPr>
        <w:t>Artículo 149.</w:t>
      </w:r>
      <w:r w:rsidRPr="00D41429">
        <w:rPr>
          <w:rFonts w:ascii="Palatino Linotype" w:eastAsia="Palatino Linotype" w:hAnsi="Palatino Linotype" w:cs="Palatino Linotype"/>
          <w:i/>
          <w:iCs/>
        </w:rPr>
        <w:t xml:space="preserve"> El </w:t>
      </w:r>
      <w:r w:rsidRPr="00D41429">
        <w:rPr>
          <w:rFonts w:ascii="Palatino Linotype" w:eastAsia="Palatino Linotype" w:hAnsi="Palatino Linotype" w:cs="Palatino Linotype"/>
          <w:b/>
          <w:bCs/>
          <w:i/>
          <w:iCs/>
        </w:rPr>
        <w:t>acuerdo que clasifique la información como confidencial</w:t>
      </w:r>
      <w:r w:rsidRPr="00D41429">
        <w:rPr>
          <w:rFonts w:ascii="Palatino Linotype" w:eastAsia="Palatino Linotype" w:hAnsi="Palatino Linotype" w:cs="Palatino Linotype"/>
          <w:i/>
          <w:iCs/>
        </w:rPr>
        <w:t xml:space="preserve"> deberá contener un razonamiento lógico en el que demuestre que la información se encuentra en alguna o algunas de las hipótesis previstas en la presente Ley.”</w:t>
      </w:r>
    </w:p>
    <w:p w:rsidR="00CA3108" w:rsidRPr="00D41429" w:rsidRDefault="00CA310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rsidR="00CA3108" w:rsidRPr="00D41429" w:rsidRDefault="00CA3108">
      <w:pPr>
        <w:spacing w:line="360" w:lineRule="auto"/>
        <w:ind w:right="-93"/>
        <w:jc w:val="both"/>
        <w:rPr>
          <w:rFonts w:ascii="Palatino Linotype" w:eastAsia="Palatino Linotype" w:hAnsi="Palatino Linotype" w:cs="Palatino Linotype"/>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Al </w:t>
      </w:r>
      <w:r w:rsidRPr="00D41429">
        <w:rPr>
          <w:rFonts w:ascii="Palatino Linotype" w:eastAsia="Palatino Linotype" w:hAnsi="Palatino Linotype" w:cs="Palatino Linotype"/>
          <w:color w:val="222222"/>
        </w:rPr>
        <w:t>respecto</w:t>
      </w:r>
      <w:r w:rsidRPr="00D41429">
        <w:rPr>
          <w:rFonts w:ascii="Palatino Linotype" w:eastAsia="Palatino Linotype" w:hAnsi="Palatino Linotype" w:cs="Palatino Linotype"/>
          <w:color w:val="000000"/>
        </w:rPr>
        <w:t xml:space="preserve">, es de señalar que </w:t>
      </w:r>
      <w:r w:rsidRPr="00D41429">
        <w:rPr>
          <w:rFonts w:ascii="Palatino Linotype" w:eastAsia="Palatino Linotype" w:hAnsi="Palatino Linotype" w:cs="Palatino Linotype"/>
          <w:b/>
          <w:bCs/>
          <w:color w:val="000000"/>
        </w:rPr>
        <w:t xml:space="preserve">la firma </w:t>
      </w:r>
      <w:r w:rsidRPr="00D41429">
        <w:rPr>
          <w:rFonts w:ascii="Palatino Linotype" w:eastAsia="Palatino Linotype" w:hAnsi="Palatino Linotype" w:cs="Palatino Linotype"/>
          <w:color w:val="000000"/>
        </w:rPr>
        <w:t xml:space="preserve">es considerada un dato personal, al tratarse de información gráfica a través de la cual su titular exterioriza su voluntad en actos públicos y privados. </w:t>
      </w:r>
    </w:p>
    <w:p w:rsidR="00CA3108" w:rsidRPr="00D41429" w:rsidRDefault="00CA3108">
      <w:pPr>
        <w:spacing w:line="360" w:lineRule="auto"/>
        <w:ind w:right="-93"/>
        <w:jc w:val="both"/>
        <w:rPr>
          <w:rFonts w:ascii="Palatino Linotype" w:eastAsia="Palatino Linotype" w:hAnsi="Palatino Linotype" w:cs="Palatino Linotype"/>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Al respecto, este Instituto, considera que entregar la firmas del servidor público, si abona a la transparencia, dado que con esta se acredita que fue emitida por autoridad </w:t>
      </w:r>
      <w:r w:rsidRPr="00D41429">
        <w:rPr>
          <w:rFonts w:ascii="Palatino Linotype" w:eastAsia="Palatino Linotype" w:hAnsi="Palatino Linotype" w:cs="Palatino Linotype"/>
          <w:color w:val="000000"/>
        </w:rPr>
        <w:lastRenderedPageBreak/>
        <w:t>competente en uso de las facultades que le otorga la legislación; por lo que, guarda cierto interés público dar a conocer la firma, dado que le da validez al documento.</w:t>
      </w:r>
    </w:p>
    <w:p w:rsidR="00CA3108" w:rsidRPr="00D41429" w:rsidRDefault="00CA3108">
      <w:pPr>
        <w:spacing w:line="360" w:lineRule="auto"/>
        <w:ind w:right="-93"/>
        <w:jc w:val="both"/>
        <w:rPr>
          <w:rFonts w:ascii="Palatino Linotype" w:eastAsia="Palatino Linotype" w:hAnsi="Palatino Linotype" w:cs="Palatino Linotype"/>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Por lo que, se considera que, en el presente caso, al dar validez al documento en cuestión, la firma del servidor público guarda el carácter de público y, por lo tanto, no actualiza la causal de clasificación prevista en el artículo 143, fracción I, de la Ley de Transparencia y Acceso a la Información Pública del Estado de México y Municipios.</w:t>
      </w:r>
    </w:p>
    <w:p w:rsidR="00CA3108" w:rsidRPr="00D41429" w:rsidRDefault="00CA3108">
      <w:pPr>
        <w:pBdr>
          <w:top w:val="nil"/>
          <w:left w:val="nil"/>
          <w:bottom w:val="nil"/>
          <w:right w:val="nil"/>
          <w:between w:val="nil"/>
        </w:pBdr>
        <w:spacing w:line="360" w:lineRule="auto"/>
        <w:ind w:left="644"/>
        <w:jc w:val="both"/>
        <w:rPr>
          <w:rFonts w:ascii="Palatino Linotype" w:eastAsia="Palatino Linotype" w:hAnsi="Palatino Linotype" w:cs="Palatino Linotype"/>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Sirve de sustento a lo anterior el Criterio de Interpretación 02/19 emitido por el Instituto Nacional de Transparencia, Acceso a la Información y Protección de Datos Personales, cuyo rubro y texto establecen lo siguiente:</w:t>
      </w:r>
    </w:p>
    <w:p w:rsidR="00CA3108" w:rsidRPr="00D41429" w:rsidRDefault="000D2D12">
      <w:pPr>
        <w:spacing w:line="360" w:lineRule="auto"/>
        <w:ind w:left="1134" w:right="1041"/>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w:t>
      </w:r>
      <w:r w:rsidRPr="00D41429">
        <w:rPr>
          <w:rFonts w:ascii="Palatino Linotype" w:eastAsia="Palatino Linotype" w:hAnsi="Palatino Linotype" w:cs="Palatino Linotype"/>
          <w:b/>
          <w:bCs/>
          <w:i/>
          <w:iCs/>
        </w:rPr>
        <w:t>FIRMA Y RÚBRICA DE SERVIDORES PÚBLICOS.</w:t>
      </w:r>
      <w:r w:rsidRPr="00D41429">
        <w:rPr>
          <w:rFonts w:ascii="Palatino Linotype" w:eastAsia="Palatino Linotype" w:hAnsi="Palatino Linotype" w:cs="Palatino Linotype"/>
          <w:i/>
          <w:iCs/>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rsidR="00CA3108" w:rsidRPr="00D41429" w:rsidRDefault="00CA3108">
      <w:pPr>
        <w:spacing w:line="360" w:lineRule="auto"/>
        <w:ind w:left="1134" w:right="1041"/>
        <w:jc w:val="both"/>
        <w:rPr>
          <w:rFonts w:ascii="Palatino Linotype" w:eastAsia="Palatino Linotype" w:hAnsi="Palatino Linotype" w:cs="Palatino Linotype"/>
          <w:i/>
          <w:iCs/>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highlight w:val="white"/>
        </w:rPr>
      </w:pPr>
      <w:r w:rsidRPr="00D41429">
        <w:rPr>
          <w:rFonts w:ascii="Palatino Linotype" w:eastAsia="Palatino Linotype" w:hAnsi="Palatino Linotype" w:cs="Palatino Linotype"/>
          <w:color w:val="000000"/>
        </w:rPr>
        <w:t xml:space="preserve">Al respecto, se destaca que la versión pública que elabore el </w:t>
      </w:r>
      <w:r w:rsidRPr="00D41429">
        <w:rPr>
          <w:rFonts w:ascii="Palatino Linotype" w:eastAsia="Palatino Linotype" w:hAnsi="Palatino Linotype" w:cs="Palatino Linotype"/>
          <w:b/>
          <w:bCs/>
          <w:color w:val="000000"/>
        </w:rPr>
        <w:t>SUJETO OBLIGADO</w:t>
      </w:r>
      <w:r w:rsidRPr="00D41429">
        <w:rPr>
          <w:rFonts w:ascii="Palatino Linotype" w:eastAsia="Palatino Linotype" w:hAnsi="Palatino Linotype" w:cs="Palatino Linotype"/>
          <w:color w:val="000000"/>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Generales en Materia de Clasificación y Desclasificación de la Información, Así como para la elaboración de versiones públicas emitidos por el Consejo Nacional de Transparencia, con el cual </w:t>
      </w:r>
      <w:r w:rsidRPr="00D41429">
        <w:rPr>
          <w:rFonts w:ascii="Palatino Linotype" w:eastAsia="Palatino Linotype" w:hAnsi="Palatino Linotype" w:cs="Palatino Linotype"/>
          <w:color w:val="000000"/>
        </w:rPr>
        <w:lastRenderedPageBreak/>
        <w:t>sustentara la clasificación de datos y con ello la "versión pública" de los documentos materia de las solicitudes</w:t>
      </w:r>
      <w:r w:rsidRPr="00D41429">
        <w:rPr>
          <w:rFonts w:ascii="Palatino Linotype" w:eastAsia="Palatino Linotype" w:hAnsi="Palatino Linotype" w:cs="Palatino Linotype"/>
          <w:color w:val="000000"/>
          <w:highlight w:val="white"/>
        </w:rPr>
        <w:t>.</w:t>
      </w:r>
    </w:p>
    <w:p w:rsidR="00CA3108" w:rsidRPr="00D41429" w:rsidRDefault="00CA3108">
      <w:pPr>
        <w:pBdr>
          <w:top w:val="nil"/>
          <w:left w:val="nil"/>
          <w:bottom w:val="nil"/>
          <w:right w:val="nil"/>
          <w:between w:val="nil"/>
        </w:pBdr>
        <w:tabs>
          <w:tab w:val="left" w:pos="284"/>
          <w:tab w:val="left" w:pos="426"/>
        </w:tabs>
        <w:spacing w:line="360" w:lineRule="auto"/>
        <w:ind w:right="49"/>
        <w:jc w:val="both"/>
        <w:rPr>
          <w:rFonts w:ascii="Palatino Linotype" w:eastAsia="Palatino Linotype" w:hAnsi="Palatino Linotype" w:cs="Palatino Linotype"/>
          <w:color w:val="000000"/>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t xml:space="preserve">Respecto del RFC de proveedores, no puede considerarse como clasificado aun siendo de personas físicas ya que </w:t>
      </w:r>
      <w:r w:rsidRPr="00D41429">
        <w:rPr>
          <w:rFonts w:ascii="Palatino Linotype" w:eastAsia="Palatino Linotype" w:hAnsi="Palatino Linotype" w:cs="Palatino Linotype"/>
          <w:color w:val="000000"/>
        </w:rPr>
        <w:t>corresponde</w:t>
      </w:r>
      <w:r w:rsidRPr="00D41429">
        <w:rPr>
          <w:rFonts w:ascii="Palatino Linotype" w:eastAsia="Palatino Linotype" w:hAnsi="Palatino Linotype" w:cs="Palatino Linotype"/>
        </w:rPr>
        <w:t xml:space="preserve"> a un requisito indispensable para ser </w:t>
      </w:r>
      <w:r w:rsidRPr="00D41429">
        <w:rPr>
          <w:rFonts w:ascii="Palatino Linotype" w:eastAsia="Palatino Linotype" w:hAnsi="Palatino Linotype" w:cs="Palatino Linotype"/>
          <w:color w:val="000000"/>
        </w:rPr>
        <w:t>contratista</w:t>
      </w:r>
      <w:r w:rsidRPr="00D41429">
        <w:rPr>
          <w:rFonts w:ascii="Palatino Linotype" w:eastAsia="Palatino Linotype" w:hAnsi="Palatino Linotype" w:cs="Palatino Linotype"/>
        </w:rPr>
        <w:t xml:space="preserve"> y/o proveedor y llevar a cabo actividades comerciales con los sujetos obligados de la Entidad, ya que sin este, no se pueden realizar, por lo que su entrega es un elemento adicional que respalda la legalidad de los procesos de contratación de obra pública, como corresponde a lo solicitado.</w:t>
      </w:r>
    </w:p>
    <w:p w:rsidR="00CA3108" w:rsidRPr="00D41429" w:rsidRDefault="00CA3108">
      <w:pPr>
        <w:spacing w:line="360" w:lineRule="auto"/>
        <w:ind w:right="-91"/>
        <w:jc w:val="both"/>
        <w:rPr>
          <w:rFonts w:ascii="Palatino Linotype" w:eastAsia="Palatino Linotype" w:hAnsi="Palatino Linotype" w:cs="Palatino Linotype"/>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t>En ese contexto, entregar el Registro Federal de Contribuyentes de personas físicas cuando aceptan realizar la construcción de obras públicas con recursos del erario, favorece la rendición de cuentas, al 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rsidR="00CA3108" w:rsidRPr="00D41429" w:rsidRDefault="00CA3108">
      <w:pPr>
        <w:spacing w:line="360" w:lineRule="auto"/>
        <w:ind w:right="-91"/>
        <w:jc w:val="both"/>
        <w:rPr>
          <w:rFonts w:ascii="Palatino Linotype" w:eastAsia="Palatino Linotype" w:hAnsi="Palatino Linotype" w:cs="Palatino Linotype"/>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t xml:space="preserve">No debe dejarse de lado, que cualquier persona que pretenda tener cualquier tipo de relación, laboral, empresarial, de trámites, servicios o comercial, para el caso que nos ocupa, debe en cierta medida ceder información relacionada con su vida, en aras de obtener el beneficio pretendido, como formar parte de los proveedores gubernamentales, al respecto, la información sobre la que se debe conceder publicidad sólo es aquella relacionada con el ejercicio de recursos públicos o de funciones y las facturas, pólizas y documentos en donde </w:t>
      </w:r>
      <w:r w:rsidRPr="00D41429">
        <w:rPr>
          <w:rFonts w:ascii="Palatino Linotype" w:eastAsia="Palatino Linotype" w:hAnsi="Palatino Linotype" w:cs="Palatino Linotype"/>
        </w:rPr>
        <w:lastRenderedPageBreak/>
        <w:t>constan las transferencias bancarias de pagos de sujetos obligados, están vinculadas directamente con el ejercicio de recursos públicos.</w:t>
      </w:r>
    </w:p>
    <w:p w:rsidR="00CA3108" w:rsidRPr="00D41429" w:rsidRDefault="00CA3108">
      <w:pPr>
        <w:spacing w:line="360" w:lineRule="auto"/>
        <w:ind w:right="-91"/>
        <w:jc w:val="both"/>
        <w:rPr>
          <w:rFonts w:ascii="Palatino Linotype" w:eastAsia="Palatino Linotype" w:hAnsi="Palatino Linotype" w:cs="Palatino Linotype"/>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t>Por lo que refiere al RFC de personas jurídico-colectivas, se reitera que no constituyen información confidencial, tal y como lo estableció el entonces Instituto Nacional de Transparencia, Acceso a la Información Pública y Protección de Datos Personales –INAI-, en su Criterio histórico 1/2014.</w:t>
      </w:r>
    </w:p>
    <w:p w:rsidR="00CA3108" w:rsidRPr="00D41429" w:rsidRDefault="000D2D12">
      <w:pPr>
        <w:spacing w:line="360" w:lineRule="auto"/>
        <w:ind w:left="567" w:right="539"/>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Denominación o razón social, y Registro Federal de Contribuyentes de personas morales, no constituyen información confidencial</w:t>
      </w:r>
      <w:r w:rsidRPr="00D41429">
        <w:rPr>
          <w:rFonts w:ascii="Palatino Linotype" w:eastAsia="Palatino Linotype" w:hAnsi="Palatino Linotype" w:cs="Palatino Linotype"/>
          <w:i/>
          <w:iCs/>
        </w:rPr>
        <w:t>. La denominación o razón social de personas morales es pública, por encontrarse inscritas en el Registro Público de Comercio. Por lo que respecta a su Registro Federal de Contribuyentes (RFC), en principio, también es público, ya que no se refiere a hechos o actos de carácter económico, contable, jurídico o administrativo que sean útiles o representen una ventaja a sus competidores, en términos de lo dispuesto en el artículo 18, fracción I de la Ley Federal de Transparencia y Acceso a la Información Pública Gubernamental y en el Trigésimo Sexto de los Lineamientos Generales para la clasificación y desclasificación de la información de las dependencias y entidades de la Administración Pública Federal; aunado al hecho de que tampoco se trata de información concerniente a personas físicas, por lo que no puede considerarse un dato personal, con fundamento en lo previsto en el artículo 18, fracción II de ese ordenamiento legal. Por lo anterior, la denominación o razón social, así como el RFC de personas morales, no constituye información confidencial.</w:t>
      </w:r>
    </w:p>
    <w:p w:rsidR="00CA3108" w:rsidRPr="00D41429" w:rsidRDefault="00CA3108">
      <w:pPr>
        <w:spacing w:line="360" w:lineRule="auto"/>
        <w:ind w:right="-91"/>
        <w:jc w:val="both"/>
        <w:rPr>
          <w:rFonts w:ascii="Palatino Linotype" w:eastAsia="Palatino Linotype" w:hAnsi="Palatino Linotype" w:cs="Palatino Linotype"/>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lastRenderedPageBreak/>
        <w:t>Por consiguiente, no procede clasificar como confidencial con fundamento en el artículo 143, fracción I, de la Ley de Transparencia y Acceso a la Información Pública del Estado de México y Municipios y, eliminar RFC de personas físicas ni de personas jurídico-colectivas en los documentos que pudiera proporcionar el Sujeto Obligado.</w:t>
      </w:r>
    </w:p>
    <w:p w:rsidR="00CA3108" w:rsidRPr="00D41429" w:rsidRDefault="00CA3108">
      <w:pPr>
        <w:pBdr>
          <w:top w:val="nil"/>
          <w:left w:val="nil"/>
          <w:bottom w:val="nil"/>
          <w:right w:val="nil"/>
          <w:between w:val="nil"/>
        </w:pBdr>
        <w:spacing w:line="360" w:lineRule="auto"/>
        <w:jc w:val="both"/>
        <w:rPr>
          <w:rFonts w:ascii="Palatino Linotype" w:eastAsia="Palatino Linotype" w:hAnsi="Palatino Linotype" w:cs="Palatino Linotype"/>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t xml:space="preserve">Igualmente, resulta importante destacar que el </w:t>
      </w:r>
      <w:r w:rsidRPr="00D41429">
        <w:rPr>
          <w:rFonts w:ascii="Palatino Linotype" w:eastAsia="Palatino Linotype" w:hAnsi="Palatino Linotype" w:cs="Palatino Linotype"/>
          <w:i/>
          <w:iCs/>
        </w:rPr>
        <w:t>número de cuenta bancaria</w:t>
      </w:r>
      <w:r w:rsidRPr="00D41429">
        <w:rPr>
          <w:rFonts w:ascii="Palatino Linotype" w:eastAsia="Palatino Linotype" w:hAnsi="Palatino Linotype" w:cs="Palatino Linotype"/>
        </w:rPr>
        <w:t xml:space="preserve"> de las personas físicas o jurídico-colectivas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rsidR="00CA3108" w:rsidRPr="00D41429" w:rsidRDefault="00CA3108">
      <w:pPr>
        <w:pBdr>
          <w:top w:val="nil"/>
          <w:left w:val="nil"/>
          <w:bottom w:val="nil"/>
          <w:right w:val="nil"/>
          <w:between w:val="nil"/>
        </w:pBdr>
        <w:ind w:left="720"/>
        <w:rPr>
          <w:rFonts w:ascii="Palatino Linotype" w:eastAsia="Palatino Linotype" w:hAnsi="Palatino Linotype" w:cs="Palatino Linotype"/>
          <w:color w:val="000000"/>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rsidR="00CA3108" w:rsidRPr="00D41429" w:rsidRDefault="00CA3108">
      <w:pPr>
        <w:spacing w:line="360" w:lineRule="auto"/>
        <w:ind w:right="50"/>
        <w:jc w:val="both"/>
        <w:rPr>
          <w:rFonts w:ascii="Palatino Linotype" w:eastAsia="Palatino Linotype" w:hAnsi="Palatino Linotype" w:cs="Palatino Linotype"/>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rsidR="00CA3108"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lastRenderedPageBreak/>
        <w:t xml:space="preserve">En esa virtud, este Pleno determina que dicha información no puede ser del dominio público, toda vez que se podría dar un uso inadecuado a la misma o cometer algún ilícito o fraude como ya ha sido expuesto. </w:t>
      </w:r>
    </w:p>
    <w:p w:rsidR="00D41429" w:rsidRPr="00D41429" w:rsidRDefault="00D41429" w:rsidP="00D41429">
      <w:pPr>
        <w:pBdr>
          <w:top w:val="nil"/>
          <w:left w:val="nil"/>
          <w:bottom w:val="nil"/>
          <w:right w:val="nil"/>
          <w:between w:val="nil"/>
        </w:pBdr>
        <w:spacing w:line="360" w:lineRule="auto"/>
        <w:jc w:val="both"/>
        <w:rPr>
          <w:rFonts w:ascii="Palatino Linotype" w:eastAsia="Palatino Linotype" w:hAnsi="Palatino Linotype" w:cs="Palatino Linotype"/>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t>Es por esta razón que se debe omitir el o los números de cuentas bancarias de particulares en las versiones públicas que de las facturas se hagan, para ser entregadas.</w:t>
      </w:r>
    </w:p>
    <w:p w:rsidR="00CA3108" w:rsidRPr="00D41429" w:rsidRDefault="00CA3108">
      <w:pPr>
        <w:spacing w:line="360" w:lineRule="auto"/>
        <w:ind w:right="50"/>
        <w:jc w:val="both"/>
        <w:rPr>
          <w:rFonts w:ascii="Palatino Linotype" w:eastAsia="Palatino Linotype" w:hAnsi="Palatino Linotype" w:cs="Palatino Linotype"/>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t>Lo anterior, no es así tratándose de las cuentas bancarias o claves interbancarias de los Sujetos Obligados ya que su publicidad cede a la rendición de cuentas al transparentar la forma en que son administrados los recursos públicos.</w:t>
      </w:r>
    </w:p>
    <w:p w:rsidR="00CA3108" w:rsidRPr="00D41429" w:rsidRDefault="00CA3108">
      <w:pPr>
        <w:pBdr>
          <w:top w:val="nil"/>
          <w:left w:val="nil"/>
          <w:bottom w:val="nil"/>
          <w:right w:val="nil"/>
          <w:between w:val="nil"/>
        </w:pBdr>
        <w:ind w:left="720"/>
        <w:rPr>
          <w:rFonts w:ascii="Palatino Linotype" w:eastAsia="Palatino Linotype" w:hAnsi="Palatino Linotype" w:cs="Palatino Linotype"/>
          <w:color w:val="000000"/>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t>Lo argumentado encuentra sustento en los criterios 10/17 y 11/17 emitidos por el Instituto Nacional de Transparencia, Acceso a la Información y Protección de Datos Personales, INAI, que llevan por rubro y texto los siguientes:</w:t>
      </w:r>
    </w:p>
    <w:p w:rsidR="00CA3108" w:rsidRPr="00D41429" w:rsidRDefault="000D2D12">
      <w:pPr>
        <w:spacing w:after="240" w:line="276" w:lineRule="auto"/>
        <w:ind w:left="851" w:right="900"/>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“Cuentas bancarias y/o CLABE interbancaria de personas físicas y morales privadas.</w:t>
      </w:r>
      <w:r w:rsidRPr="00D41429">
        <w:rPr>
          <w:rFonts w:ascii="Palatino Linotype" w:eastAsia="Palatino Linotype" w:hAnsi="Palatino Linotype" w:cs="Palatino Linotype"/>
          <w:i/>
          <w:iCs/>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CA3108" w:rsidRPr="00D41429" w:rsidRDefault="000D2D12">
      <w:pPr>
        <w:spacing w:before="240" w:line="276" w:lineRule="auto"/>
        <w:ind w:left="851" w:right="900"/>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Cuentas bancarias y/o CLABE interbancaria de sujetos obligados que reciben y/o transfieren recursos públicos, son información pública</w:t>
      </w:r>
      <w:r w:rsidRPr="00D41429">
        <w:rPr>
          <w:rFonts w:ascii="Palatino Linotype" w:eastAsia="Palatino Linotype" w:hAnsi="Palatino Linotype" w:cs="Palatino Linotype"/>
          <w:i/>
          <w:iCs/>
        </w:rPr>
        <w:t xml:space="preserve">. La </w:t>
      </w:r>
      <w:r w:rsidRPr="00D41429">
        <w:rPr>
          <w:rFonts w:ascii="Palatino Linotype" w:eastAsia="Palatino Linotype" w:hAnsi="Palatino Linotype" w:cs="Palatino Linotype"/>
          <w:i/>
          <w:iCs/>
        </w:rPr>
        <w:lastRenderedPageBreak/>
        <w:t>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CA3108" w:rsidRPr="00D41429" w:rsidRDefault="00CA3108">
      <w:pPr>
        <w:spacing w:line="360" w:lineRule="auto"/>
        <w:ind w:left="851" w:right="900"/>
        <w:jc w:val="both"/>
        <w:rPr>
          <w:rFonts w:ascii="Palatino Linotype" w:eastAsia="Palatino Linotype" w:hAnsi="Palatino Linotype" w:cs="Palatino Linotype"/>
          <w:i/>
          <w:iCs/>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t xml:space="preserve">Relacionado con lo anterior, el </w:t>
      </w:r>
      <w:r w:rsidRPr="00D41429">
        <w:rPr>
          <w:rFonts w:ascii="Palatino Linotype" w:eastAsia="Palatino Linotype" w:hAnsi="Palatino Linotype" w:cs="Palatino Linotype"/>
          <w:b/>
          <w:bCs/>
        </w:rPr>
        <w:t>nombre de las personas físicas</w:t>
      </w:r>
      <w:r w:rsidRPr="00D41429">
        <w:rPr>
          <w:rFonts w:ascii="Palatino Linotype" w:eastAsia="Palatino Linotype" w:hAnsi="Palatino Linotype" w:cs="Palatino Linotype"/>
        </w:rPr>
        <w:t xml:space="preserve"> o los </w:t>
      </w:r>
      <w:r w:rsidRPr="00D41429">
        <w:rPr>
          <w:rFonts w:ascii="Palatino Linotype" w:eastAsia="Palatino Linotype" w:hAnsi="Palatino Linotype" w:cs="Palatino Linotype"/>
          <w:b/>
          <w:bCs/>
        </w:rPr>
        <w:t>representantes legales de las personas morales</w:t>
      </w:r>
      <w:r w:rsidRPr="00D41429">
        <w:rPr>
          <w:rFonts w:ascii="Palatino Linotype" w:eastAsia="Palatino Linotype" w:hAnsi="Palatino Linotype" w:cs="Palatino Linotype"/>
        </w:rPr>
        <w:t>,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rsidR="00CA3108" w:rsidRPr="00D41429" w:rsidRDefault="00CA3108">
      <w:pPr>
        <w:spacing w:line="360" w:lineRule="auto"/>
        <w:ind w:right="51"/>
        <w:jc w:val="both"/>
        <w:rPr>
          <w:rFonts w:ascii="Palatino Linotype" w:eastAsia="Palatino Linotype" w:hAnsi="Palatino Linotype" w:cs="Palatino Linotype"/>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t>Argumentación que guarda sustento en lo estipulado por el artículo 23 de la Ley de Transparencia y Acceso a la Información Pública del Estado de México y Municipios en su penúltimo párrafo, mismo que es del tenor literal siguiente:</w:t>
      </w:r>
    </w:p>
    <w:p w:rsidR="00CA3108" w:rsidRPr="00D41429" w:rsidRDefault="000D2D12">
      <w:pPr>
        <w:spacing w:after="120" w:line="276" w:lineRule="auto"/>
        <w:ind w:left="851" w:right="90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w:t>
      </w:r>
      <w:r w:rsidRPr="00D41429">
        <w:rPr>
          <w:rFonts w:ascii="Palatino Linotype" w:eastAsia="Palatino Linotype" w:hAnsi="Palatino Linotype" w:cs="Palatino Linotype"/>
          <w:b/>
          <w:bCs/>
          <w:i/>
          <w:iCs/>
        </w:rPr>
        <w:t>Artículo 23.</w:t>
      </w:r>
      <w:r w:rsidRPr="00D41429">
        <w:rPr>
          <w:rFonts w:ascii="Palatino Linotype" w:eastAsia="Palatino Linotype" w:hAnsi="Palatino Linotype" w:cs="Palatino Linotype"/>
          <w:i/>
          <w:iCs/>
        </w:rPr>
        <w:t xml:space="preserve"> (…)</w:t>
      </w:r>
    </w:p>
    <w:p w:rsidR="00CA3108" w:rsidRPr="00D41429" w:rsidRDefault="000D2D12">
      <w:pPr>
        <w:spacing w:before="120" w:line="276" w:lineRule="auto"/>
        <w:ind w:left="851" w:right="90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rPr>
        <w:lastRenderedPageBreak/>
        <w:t>Asimismo, resulta aplicable el contenido del Criterio de interpretación 01/19 emitido por el entonces Instituto Nacional de Transparencia, Acceso a la Información, y Protección de Datos Personales, INAI, que lleva por rubro y texto los siguientes</w:t>
      </w:r>
    </w:p>
    <w:p w:rsidR="00CA3108" w:rsidRPr="00D41429" w:rsidRDefault="000D2D12">
      <w:pPr>
        <w:spacing w:line="276" w:lineRule="auto"/>
        <w:ind w:left="851" w:right="900"/>
        <w:jc w:val="both"/>
        <w:rPr>
          <w:rFonts w:ascii="Palatino Linotype" w:eastAsia="Palatino Linotype" w:hAnsi="Palatino Linotype" w:cs="Palatino Linotype"/>
          <w:i/>
          <w:iCs/>
        </w:rPr>
      </w:pPr>
      <w:r w:rsidRPr="00D41429">
        <w:rPr>
          <w:rFonts w:ascii="Palatino Linotype" w:eastAsia="Palatino Linotype" w:hAnsi="Palatino Linotype" w:cs="Palatino Linotype"/>
          <w:b/>
          <w:bCs/>
          <w:i/>
          <w:iCs/>
        </w:rPr>
        <w:t>“Datos de identificación del representante o apoderado legal.</w:t>
      </w:r>
      <w:r w:rsidRPr="00D41429">
        <w:rPr>
          <w:rFonts w:ascii="Palatino Linotype" w:eastAsia="Palatino Linotype" w:hAnsi="Palatino Linotype" w:cs="Palatino Linotype"/>
          <w:i/>
          <w:iCs/>
        </w:rPr>
        <w:t xml:space="preserve"> </w:t>
      </w:r>
      <w:r w:rsidRPr="00D41429">
        <w:rPr>
          <w:rFonts w:ascii="Palatino Linotype" w:eastAsia="Palatino Linotype" w:hAnsi="Palatino Linotype" w:cs="Palatino Linotype"/>
          <w:b/>
          <w:bCs/>
          <w:i/>
          <w:iCs/>
        </w:rPr>
        <w:t xml:space="preserve">Naturaleza jurídica. </w:t>
      </w:r>
      <w:r w:rsidRPr="00D41429">
        <w:rPr>
          <w:rFonts w:ascii="Palatino Linotype" w:eastAsia="Palatino Linotype" w:hAnsi="Palatino Linotype" w:cs="Palatino Linotype"/>
          <w:i/>
          <w:iCs/>
        </w:rPr>
        <w:t xml:space="preserve">El nombre, la firma y la rúbrica de una persona física, que actúe como representante o apoderado legal de un tercero que haya celebrado un acto jurídico, con algún sujeto obligado, </w:t>
      </w:r>
      <w:r w:rsidRPr="00D41429">
        <w:rPr>
          <w:rFonts w:ascii="Palatino Linotype" w:eastAsia="Palatino Linotype" w:hAnsi="Palatino Linotype" w:cs="Palatino Linotype"/>
          <w:b/>
          <w:bCs/>
          <w:i/>
          <w:iCs/>
        </w:rPr>
        <w:t>es información pública, en razón de que tales datos fueron proporcionados con el objeto de expresar el consentimiento obligacional del tercero y otorgar validez a dicho instrumento jurídico</w:t>
      </w:r>
      <w:r w:rsidRPr="00D41429">
        <w:rPr>
          <w:rFonts w:ascii="Palatino Linotype" w:eastAsia="Palatino Linotype" w:hAnsi="Palatino Linotype" w:cs="Palatino Linotype"/>
          <w:i/>
          <w:iCs/>
        </w:rPr>
        <w:t>.”</w:t>
      </w:r>
    </w:p>
    <w:p w:rsidR="00CA3108" w:rsidRPr="00D41429" w:rsidRDefault="00CA3108">
      <w:pPr>
        <w:spacing w:line="360" w:lineRule="auto"/>
        <w:ind w:right="-93"/>
        <w:jc w:val="both"/>
        <w:rPr>
          <w:rFonts w:ascii="Palatino Linotype" w:eastAsia="Palatino Linotype" w:hAnsi="Palatino Linotype" w:cs="Palatino Linotype"/>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Por lo tanto, la entrega de documentos en su versión pública debe acompañarse necesariamente del Acuerdo del Comité de Transparencia que la sustente, en el que se expongan los fundamentos y razonamientos que llevaron al </w:t>
      </w:r>
      <w:r w:rsidRPr="00D41429">
        <w:rPr>
          <w:rFonts w:ascii="Palatino Linotype" w:eastAsia="Palatino Linotype" w:hAnsi="Palatino Linotype" w:cs="Palatino Linotype"/>
          <w:b/>
          <w:bCs/>
          <w:color w:val="000000"/>
        </w:rPr>
        <w:t>SUJETO OBLIGADO</w:t>
      </w:r>
      <w:r w:rsidRPr="00D41429">
        <w:rPr>
          <w:rFonts w:ascii="Palatino Linotype" w:eastAsia="Palatino Linotype" w:hAnsi="Palatino Linotype" w:cs="Palatino Linotype"/>
          <w:color w:val="000000"/>
        </w:rPr>
        <w:t>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D41429">
        <w:rPr>
          <w:rFonts w:ascii="Palatino Linotype" w:eastAsia="Palatino Linotype" w:hAnsi="Palatino Linotype" w:cs="Palatino Linotype"/>
          <w:b/>
          <w:bCs/>
          <w:color w:val="000000"/>
        </w:rPr>
        <w:t>RECURRENTE.</w:t>
      </w:r>
    </w:p>
    <w:p w:rsidR="00CA3108" w:rsidRPr="00D41429" w:rsidRDefault="00CA3108">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De este modo, como ha sido señalado en la presente resolución, en armonía entre los principios constitucionales de máxima publicidad y de protección de datos personales, la </w:t>
      </w:r>
      <w:r w:rsidRPr="00D41429">
        <w:rPr>
          <w:rFonts w:ascii="Palatino Linotype" w:eastAsia="Palatino Linotype" w:hAnsi="Palatino Linotype" w:cs="Palatino Linotype"/>
          <w:color w:val="000000"/>
        </w:rPr>
        <w:lastRenderedPageBreak/>
        <w:t xml:space="preserve">Ley de Transparencia y Acceso a la Información Pública del Estado de México y Municipios permite la elaboración de versiones públicas en las que se suprima aquella información relacionada con la vida privada de los servidores públicos. </w:t>
      </w:r>
    </w:p>
    <w:p w:rsidR="00CA3108" w:rsidRPr="00D41429" w:rsidRDefault="00CA3108">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CA3108" w:rsidRPr="00D41429" w:rsidRDefault="00CA3108">
      <w:pPr>
        <w:pBdr>
          <w:top w:val="nil"/>
          <w:left w:val="nil"/>
          <w:bottom w:val="nil"/>
          <w:right w:val="nil"/>
          <w:between w:val="nil"/>
        </w:pBdr>
        <w:spacing w:line="360" w:lineRule="auto"/>
        <w:ind w:left="720"/>
        <w:jc w:val="both"/>
        <w:rPr>
          <w:rFonts w:ascii="Palatino Linotype" w:eastAsia="Palatino Linotype" w:hAnsi="Palatino Linotype" w:cs="Palatino Linotype"/>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Entorno a lo que aquí nos interesa, los Lineamientos Quincuagésimo sexto, Quincuagésimo séptimo y Quincuagésimo octavo, establecen lo siguiente:</w:t>
      </w:r>
    </w:p>
    <w:p w:rsidR="00CA3108" w:rsidRPr="00D41429" w:rsidRDefault="000D2D12">
      <w:pPr>
        <w:spacing w:line="360" w:lineRule="auto"/>
        <w:ind w:left="851" w:right="90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“Quincuagésimo sexto</w:t>
      </w:r>
      <w:r w:rsidRPr="00D41429">
        <w:rPr>
          <w:rFonts w:ascii="Palatino Linotype" w:eastAsia="Palatino Linotype" w:hAnsi="Palatino Linotype" w:cs="Palatino Linotype"/>
          <w:b/>
          <w:bCs/>
          <w:i/>
          <w:iCs/>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CA3108" w:rsidRPr="00D41429" w:rsidRDefault="000D2D12">
      <w:pPr>
        <w:spacing w:line="360" w:lineRule="auto"/>
        <w:ind w:left="851" w:right="90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 xml:space="preserve">Quincuagésimo séptimo. Se considera, en principio, como información pública y no podrá omitirse de las versiones públicas la siguiente: </w:t>
      </w:r>
    </w:p>
    <w:p w:rsidR="00CA3108" w:rsidRPr="00D41429" w:rsidRDefault="000D2D12">
      <w:pPr>
        <w:spacing w:line="360" w:lineRule="auto"/>
        <w:ind w:left="851" w:right="90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 xml:space="preserve">I. La relativa a las Obligaciones de Transparencia que contempla el Título V de la Ley General y las demás disposiciones legales aplicables; </w:t>
      </w:r>
    </w:p>
    <w:p w:rsidR="00CA3108" w:rsidRPr="00D41429" w:rsidRDefault="000D2D12">
      <w:pPr>
        <w:spacing w:line="360" w:lineRule="auto"/>
        <w:ind w:left="851" w:right="90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lastRenderedPageBreak/>
        <w:t xml:space="preserve">II. El nombre de los servidores públicos en los documentos, y sus firmas autógrafas, cuando sean utilizados en el ejercicio de las facultades conferidas para el desempeño del servicio público, y </w:t>
      </w:r>
    </w:p>
    <w:p w:rsidR="00CA3108" w:rsidRPr="00D41429" w:rsidRDefault="000D2D12">
      <w:pPr>
        <w:spacing w:line="360" w:lineRule="auto"/>
        <w:ind w:left="851" w:right="90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III. La información que documente decisiones y los actos de autoridad concluidos de los sujetos obligados, así como el ejercicio de las facultades o actividades de los servidores públicos, de manera que se pueda valorar el desempeño de los mismos.</w:t>
      </w:r>
    </w:p>
    <w:p w:rsidR="00CA3108" w:rsidRPr="00D41429" w:rsidRDefault="000D2D12">
      <w:pPr>
        <w:spacing w:line="360" w:lineRule="auto"/>
        <w:ind w:left="851" w:right="90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 xml:space="preserve">Lo anterior, siempre y cuando no se acredite alguna causal de clasificación, prevista en las leyes o en los tratados internaciones suscritos por el Estado mexicano. </w:t>
      </w:r>
    </w:p>
    <w:p w:rsidR="00CA3108" w:rsidRPr="00D41429" w:rsidRDefault="000D2D12">
      <w:pPr>
        <w:spacing w:line="360" w:lineRule="auto"/>
        <w:ind w:left="851" w:right="902"/>
        <w:jc w:val="both"/>
        <w:rPr>
          <w:rFonts w:ascii="Palatino Linotype" w:eastAsia="Palatino Linotype" w:hAnsi="Palatino Linotype" w:cs="Palatino Linotype"/>
          <w:i/>
          <w:iCs/>
        </w:rPr>
      </w:pPr>
      <w:r w:rsidRPr="00D41429">
        <w:rPr>
          <w:rFonts w:ascii="Palatino Linotype" w:eastAsia="Palatino Linotype" w:hAnsi="Palatino Linotype" w:cs="Palatino Linotype"/>
          <w:i/>
          <w:iCs/>
        </w:rPr>
        <w:t>Quincuagésimo octavo. Los sujetos obligados garantizarán que los sistemas o medios empleados para eliminar la información en las versiones públicas no permitan la recuperación o visualización de la misma.”</w:t>
      </w:r>
    </w:p>
    <w:p w:rsidR="00CA3108" w:rsidRPr="00D41429" w:rsidRDefault="00CA3108">
      <w:pPr>
        <w:spacing w:line="360" w:lineRule="auto"/>
        <w:ind w:left="851" w:right="902"/>
        <w:jc w:val="both"/>
        <w:rPr>
          <w:rFonts w:ascii="Palatino Linotype" w:eastAsia="Palatino Linotype" w:hAnsi="Palatino Linotype" w:cs="Palatino Linotype"/>
          <w:i/>
          <w:iCs/>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Por lo tanto, </w:t>
      </w:r>
      <w:r w:rsidRPr="00D41429">
        <w:rPr>
          <w:rFonts w:ascii="Palatino Linotype" w:eastAsia="Palatino Linotype" w:hAnsi="Palatino Linotype" w:cs="Palatino Linotype"/>
          <w:b/>
          <w:bCs/>
          <w:color w:val="000000"/>
        </w:rPr>
        <w:t xml:space="preserve">la entrega de documentos en su versión pública debe </w:t>
      </w:r>
      <w:r w:rsidRPr="00D41429">
        <w:rPr>
          <w:rFonts w:ascii="Palatino Linotype" w:eastAsia="Palatino Linotype" w:hAnsi="Palatino Linotype" w:cs="Palatino Linotype"/>
          <w:color w:val="000000"/>
        </w:rPr>
        <w:t>acompañarse</w:t>
      </w:r>
      <w:r w:rsidRPr="00D41429">
        <w:rPr>
          <w:rFonts w:ascii="Palatino Linotype" w:eastAsia="Palatino Linotype" w:hAnsi="Palatino Linotype" w:cs="Palatino Linotype"/>
          <w:b/>
          <w:bCs/>
          <w:color w:val="000000"/>
        </w:rPr>
        <w:t xml:space="preserve"> </w:t>
      </w:r>
      <w:r w:rsidRPr="00D41429">
        <w:rPr>
          <w:rFonts w:ascii="Palatino Linotype" w:eastAsia="Palatino Linotype" w:hAnsi="Palatino Linotype" w:cs="Palatino Linotype"/>
          <w:color w:val="000000"/>
        </w:rPr>
        <w:t>necesariamente</w:t>
      </w:r>
      <w:r w:rsidRPr="00D41429">
        <w:rPr>
          <w:rFonts w:ascii="Palatino Linotype" w:eastAsia="Palatino Linotype" w:hAnsi="Palatino Linotype" w:cs="Palatino Linotype"/>
          <w:b/>
          <w:bCs/>
          <w:color w:val="000000"/>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sidRPr="00D41429">
        <w:rPr>
          <w:rFonts w:ascii="Palatino Linotype" w:eastAsia="Palatino Linotype" w:hAnsi="Palatino Linotype" w:cs="Palatino Linotype"/>
          <w:color w:val="000000"/>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CA3108" w:rsidRPr="00D41429" w:rsidRDefault="00CA3108">
      <w:pPr>
        <w:pBdr>
          <w:top w:val="nil"/>
          <w:left w:val="nil"/>
          <w:bottom w:val="nil"/>
          <w:right w:val="nil"/>
          <w:between w:val="nil"/>
        </w:pBdr>
        <w:tabs>
          <w:tab w:val="left" w:pos="284"/>
          <w:tab w:val="left" w:pos="426"/>
        </w:tabs>
        <w:spacing w:line="360" w:lineRule="auto"/>
        <w:ind w:right="49"/>
        <w:jc w:val="both"/>
        <w:rPr>
          <w:rFonts w:ascii="Palatino Linotype" w:eastAsia="Palatino Linotype" w:hAnsi="Palatino Linotype" w:cs="Palatino Linotype"/>
          <w:color w:val="000000"/>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lastRenderedPageBreak/>
        <w:t>Los sujetos obligados</w:t>
      </w:r>
      <w:r w:rsidRPr="00D41429">
        <w:rPr>
          <w:rFonts w:ascii="Palatino Linotype" w:eastAsia="Palatino Linotype" w:hAnsi="Palatino Linotype" w:cs="Palatino Linotype"/>
          <w:b/>
          <w:bCs/>
          <w:color w:val="000000"/>
        </w:rPr>
        <w:t xml:space="preserve"> </w:t>
      </w:r>
      <w:r w:rsidRPr="00D41429">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tbl>
      <w:tblPr>
        <w:tblStyle w:val="a"/>
        <w:tblW w:w="977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087"/>
      </w:tblGrid>
      <w:tr w:rsidR="00CA3108" w:rsidRPr="00D41429" w:rsidTr="00D41429">
        <w:tc>
          <w:tcPr>
            <w:tcW w:w="2689" w:type="dxa"/>
          </w:tcPr>
          <w:p w:rsidR="00CA3108" w:rsidRPr="00D41429" w:rsidRDefault="000D2D12">
            <w:pPr>
              <w:tabs>
                <w:tab w:val="left" w:pos="284"/>
              </w:tabs>
              <w:rPr>
                <w:rFonts w:ascii="Palatino Linotype" w:eastAsia="Palatino Linotype" w:hAnsi="Palatino Linotype" w:cs="Palatino Linotype"/>
              </w:rPr>
            </w:pPr>
            <w:r w:rsidRPr="00D41429">
              <w:rPr>
                <w:rFonts w:ascii="Palatino Linotype" w:eastAsia="Palatino Linotype" w:hAnsi="Palatino Linotype" w:cs="Palatino Linotype"/>
              </w:rPr>
              <w:t>a) Requisitos previos.</w:t>
            </w:r>
          </w:p>
        </w:tc>
        <w:tc>
          <w:tcPr>
            <w:tcW w:w="7087" w:type="dxa"/>
          </w:tcPr>
          <w:p w:rsidR="00CA3108" w:rsidRPr="00D41429" w:rsidRDefault="000D2D12">
            <w:pPr>
              <w:tabs>
                <w:tab w:val="left" w:pos="284"/>
              </w:tabs>
              <w:ind w:right="49"/>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CA3108" w:rsidRPr="00D41429" w:rsidRDefault="000D2D12">
            <w:pPr>
              <w:tabs>
                <w:tab w:val="left" w:pos="284"/>
              </w:tabs>
              <w:ind w:right="49"/>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CA3108" w:rsidRPr="00D41429" w:rsidRDefault="000D2D12">
            <w:pPr>
              <w:tabs>
                <w:tab w:val="left" w:pos="284"/>
              </w:tabs>
              <w:ind w:right="49"/>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CA3108" w:rsidRPr="00D41429" w:rsidRDefault="000D2D12">
            <w:pPr>
              <w:tabs>
                <w:tab w:val="left" w:pos="284"/>
              </w:tabs>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D41429">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D41429">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CA3108" w:rsidRPr="00D41429" w:rsidRDefault="00CA3108">
            <w:pPr>
              <w:tabs>
                <w:tab w:val="left" w:pos="284"/>
              </w:tabs>
              <w:jc w:val="both"/>
              <w:rPr>
                <w:rFonts w:ascii="Palatino Linotype" w:eastAsia="Palatino Linotype" w:hAnsi="Palatino Linotype" w:cs="Palatino Linotype"/>
              </w:rPr>
            </w:pPr>
          </w:p>
        </w:tc>
      </w:tr>
      <w:tr w:rsidR="00CA3108" w:rsidRPr="00D41429" w:rsidTr="00D41429">
        <w:tc>
          <w:tcPr>
            <w:tcW w:w="2689" w:type="dxa"/>
          </w:tcPr>
          <w:p w:rsidR="00CA3108" w:rsidRPr="00D41429" w:rsidRDefault="000D2D12">
            <w:pPr>
              <w:tabs>
                <w:tab w:val="left" w:pos="284"/>
              </w:tabs>
              <w:rPr>
                <w:rFonts w:ascii="Palatino Linotype" w:eastAsia="Palatino Linotype" w:hAnsi="Palatino Linotype" w:cs="Palatino Linotype"/>
              </w:rPr>
            </w:pPr>
            <w:r w:rsidRPr="00D41429">
              <w:rPr>
                <w:rFonts w:ascii="Palatino Linotype" w:eastAsia="Palatino Linotype" w:hAnsi="Palatino Linotype" w:cs="Palatino Linotype"/>
              </w:rPr>
              <w:t>b) Supuestos de clasificación.</w:t>
            </w:r>
          </w:p>
        </w:tc>
        <w:tc>
          <w:tcPr>
            <w:tcW w:w="7087" w:type="dxa"/>
          </w:tcPr>
          <w:p w:rsidR="00CA3108" w:rsidRPr="00D41429" w:rsidRDefault="000D2D12">
            <w:pPr>
              <w:tabs>
                <w:tab w:val="left" w:pos="284"/>
              </w:tabs>
              <w:ind w:right="49"/>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CA3108" w:rsidRPr="00D41429" w:rsidRDefault="000D2D12">
            <w:pPr>
              <w:tabs>
                <w:tab w:val="left" w:pos="284"/>
              </w:tabs>
              <w:ind w:right="49"/>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w:t>
            </w:r>
            <w:r w:rsidRPr="00D41429">
              <w:rPr>
                <w:rFonts w:ascii="Palatino Linotype" w:eastAsia="Palatino Linotype" w:hAnsi="Palatino Linotype" w:cs="Palatino Linotype"/>
                <w:color w:val="000000"/>
              </w:rPr>
              <w:lastRenderedPageBreak/>
              <w:t>debe realizarse de manera restrictiva y limitada, por lo que debe acreditarse que se cumple con esta condición y no se pueden ampliar las excepciones o supuestos de clasificación aduciendo analogía o mayoría de razón.</w:t>
            </w:r>
          </w:p>
          <w:p w:rsidR="00CA3108" w:rsidRPr="00D41429" w:rsidRDefault="000D2D12">
            <w:pPr>
              <w:tabs>
                <w:tab w:val="left" w:pos="284"/>
              </w:tabs>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El </w:t>
            </w:r>
            <w:r w:rsidRPr="00D41429">
              <w:rPr>
                <w:rFonts w:ascii="Palatino Linotype" w:eastAsia="Palatino Linotype" w:hAnsi="Palatino Linotype" w:cs="Palatino Linotype"/>
                <w:b/>
                <w:bCs/>
                <w:color w:val="000000"/>
              </w:rPr>
              <w:t>Sujeto Obligado</w:t>
            </w:r>
            <w:r w:rsidRPr="00D41429">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CA3108" w:rsidRPr="00D41429" w:rsidRDefault="00CA3108">
            <w:pPr>
              <w:tabs>
                <w:tab w:val="left" w:pos="284"/>
              </w:tabs>
              <w:jc w:val="both"/>
              <w:rPr>
                <w:rFonts w:ascii="Palatino Linotype" w:eastAsia="Palatino Linotype" w:hAnsi="Palatino Linotype" w:cs="Palatino Linotype"/>
              </w:rPr>
            </w:pPr>
          </w:p>
        </w:tc>
      </w:tr>
      <w:tr w:rsidR="00CA3108" w:rsidRPr="00D41429" w:rsidTr="00D41429">
        <w:tc>
          <w:tcPr>
            <w:tcW w:w="2689" w:type="dxa"/>
          </w:tcPr>
          <w:p w:rsidR="00CA3108" w:rsidRPr="00D41429" w:rsidRDefault="000D2D12">
            <w:pPr>
              <w:tabs>
                <w:tab w:val="left" w:pos="284"/>
              </w:tabs>
              <w:rPr>
                <w:rFonts w:ascii="Palatino Linotype" w:eastAsia="Palatino Linotype" w:hAnsi="Palatino Linotype" w:cs="Palatino Linotype"/>
              </w:rPr>
            </w:pPr>
            <w:r w:rsidRPr="00D41429">
              <w:rPr>
                <w:rFonts w:ascii="Palatino Linotype" w:eastAsia="Palatino Linotype" w:hAnsi="Palatino Linotype" w:cs="Palatino Linotype"/>
              </w:rPr>
              <w:lastRenderedPageBreak/>
              <w:t>c) Formalidades para emitir el acuerdo de clasificación.</w:t>
            </w:r>
          </w:p>
        </w:tc>
        <w:tc>
          <w:tcPr>
            <w:tcW w:w="7087" w:type="dxa"/>
          </w:tcPr>
          <w:p w:rsidR="00CA3108" w:rsidRPr="00D41429" w:rsidRDefault="000D2D12">
            <w:pPr>
              <w:tabs>
                <w:tab w:val="left" w:pos="284"/>
              </w:tabs>
              <w:ind w:right="49"/>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CA3108" w:rsidRPr="00D41429" w:rsidRDefault="000D2D12">
            <w:pPr>
              <w:tabs>
                <w:tab w:val="left" w:pos="284"/>
              </w:tabs>
              <w:ind w:right="49"/>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Es necesario que </w:t>
            </w:r>
            <w:r w:rsidRPr="00D41429">
              <w:rPr>
                <w:rFonts w:ascii="Palatino Linotype" w:eastAsia="Palatino Linotype" w:hAnsi="Palatino Linotype" w:cs="Palatino Linotype"/>
                <w:b/>
                <w:bCs/>
                <w:color w:val="000000"/>
                <w:u w:val="single"/>
              </w:rPr>
              <w:t>el acto reúna con los requisitos elementales</w:t>
            </w:r>
            <w:r w:rsidRPr="00D41429">
              <w:rPr>
                <w:rFonts w:ascii="Palatino Linotype" w:eastAsia="Palatino Linotype" w:hAnsi="Palatino Linotype" w:cs="Palatino Linotype"/>
                <w:color w:val="000000"/>
              </w:rPr>
              <w:t>, entre ellos, que la autoridad que va a emitir el acto de autoridad sea la legalmente facultada para ello.</w:t>
            </w:r>
          </w:p>
          <w:p w:rsidR="00CA3108" w:rsidRPr="00D41429" w:rsidRDefault="000D2D12">
            <w:pPr>
              <w:tabs>
                <w:tab w:val="left" w:pos="284"/>
              </w:tabs>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CA3108" w:rsidRPr="00D41429" w:rsidRDefault="00CA3108">
            <w:pPr>
              <w:tabs>
                <w:tab w:val="left" w:pos="284"/>
              </w:tabs>
              <w:jc w:val="both"/>
              <w:rPr>
                <w:rFonts w:ascii="Palatino Linotype" w:eastAsia="Palatino Linotype" w:hAnsi="Palatino Linotype" w:cs="Palatino Linotype"/>
              </w:rPr>
            </w:pPr>
          </w:p>
        </w:tc>
      </w:tr>
      <w:tr w:rsidR="00CA3108" w:rsidRPr="00D41429" w:rsidTr="00D41429">
        <w:tc>
          <w:tcPr>
            <w:tcW w:w="2689" w:type="dxa"/>
          </w:tcPr>
          <w:p w:rsidR="00CA3108" w:rsidRPr="00D41429" w:rsidRDefault="00CA3108">
            <w:pPr>
              <w:tabs>
                <w:tab w:val="left" w:pos="284"/>
              </w:tabs>
              <w:rPr>
                <w:rFonts w:ascii="Palatino Linotype" w:eastAsia="Palatino Linotype" w:hAnsi="Palatino Linotype" w:cs="Palatino Linotype"/>
              </w:rPr>
            </w:pPr>
          </w:p>
          <w:p w:rsidR="00CA3108" w:rsidRPr="00D41429" w:rsidRDefault="000D2D12">
            <w:pPr>
              <w:tabs>
                <w:tab w:val="left" w:pos="284"/>
              </w:tabs>
              <w:jc w:val="both"/>
              <w:rPr>
                <w:rFonts w:ascii="Palatino Linotype" w:eastAsia="Palatino Linotype" w:hAnsi="Palatino Linotype" w:cs="Palatino Linotype"/>
              </w:rPr>
            </w:pPr>
            <w:r w:rsidRPr="00D41429">
              <w:rPr>
                <w:rFonts w:ascii="Palatino Linotype" w:eastAsia="Palatino Linotype" w:hAnsi="Palatino Linotype" w:cs="Palatino Linotype"/>
                <w:color w:val="000000"/>
              </w:rPr>
              <w:t xml:space="preserve">d) Requisitos de fondo del acuerdo de clasificación. </w:t>
            </w:r>
          </w:p>
        </w:tc>
        <w:tc>
          <w:tcPr>
            <w:tcW w:w="7087" w:type="dxa"/>
          </w:tcPr>
          <w:p w:rsidR="00CA3108" w:rsidRPr="00D41429" w:rsidRDefault="000D2D12">
            <w:pPr>
              <w:tabs>
                <w:tab w:val="left" w:pos="284"/>
              </w:tabs>
              <w:ind w:right="49"/>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D41429">
              <w:rPr>
                <w:rFonts w:ascii="Palatino Linotype" w:eastAsia="Palatino Linotype" w:hAnsi="Palatino Linotype" w:cs="Palatino Linotype"/>
                <w:b/>
                <w:bCs/>
                <w:color w:val="000000"/>
              </w:rPr>
              <w:t xml:space="preserve">Sujetos </w:t>
            </w:r>
            <w:r w:rsidRPr="00D41429">
              <w:rPr>
                <w:rFonts w:ascii="Palatino Linotype" w:eastAsia="Palatino Linotype" w:hAnsi="Palatino Linotype" w:cs="Palatino Linotype"/>
                <w:b/>
                <w:bCs/>
                <w:color w:val="000000"/>
              </w:rPr>
              <w:lastRenderedPageBreak/>
              <w:t>Obligados</w:t>
            </w:r>
            <w:r w:rsidRPr="00D41429">
              <w:rPr>
                <w:rFonts w:ascii="Palatino Linotype" w:eastAsia="Palatino Linotype" w:hAnsi="Palatino Linotype" w:cs="Palatino Linotype"/>
                <w:color w:val="000000"/>
              </w:rPr>
              <w:t xml:space="preserve">, por lo que deberán fundar y motivar debidamente la clasificación. </w:t>
            </w:r>
          </w:p>
          <w:p w:rsidR="00CA3108" w:rsidRPr="00D41429" w:rsidRDefault="000D2D12">
            <w:pPr>
              <w:tabs>
                <w:tab w:val="left" w:pos="284"/>
              </w:tabs>
              <w:ind w:right="49"/>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De lo anterior, se desprende que para una correcta </w:t>
            </w:r>
            <w:r w:rsidRPr="00D41429">
              <w:rPr>
                <w:rFonts w:ascii="Palatino Linotype" w:eastAsia="Palatino Linotype" w:hAnsi="Palatino Linotype" w:cs="Palatino Linotype"/>
                <w:b/>
                <w:bCs/>
                <w:color w:val="000000"/>
              </w:rPr>
              <w:t>clasificación total o parcial</w:t>
            </w:r>
            <w:r w:rsidRPr="00D41429">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CA3108" w:rsidRPr="00D41429" w:rsidRDefault="000D2D12">
            <w:pPr>
              <w:tabs>
                <w:tab w:val="left" w:pos="284"/>
              </w:tabs>
              <w:ind w:right="49"/>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CA3108" w:rsidRPr="00D41429" w:rsidRDefault="000D2D12">
            <w:pPr>
              <w:tabs>
                <w:tab w:val="left" w:pos="284"/>
              </w:tabs>
              <w:ind w:right="49"/>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CA3108" w:rsidRPr="00D41429" w:rsidRDefault="000D2D12">
            <w:pPr>
              <w:tabs>
                <w:tab w:val="left" w:pos="284"/>
              </w:tabs>
              <w:ind w:right="49"/>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Ahora bien, </w:t>
            </w:r>
            <w:r w:rsidRPr="00D41429">
              <w:rPr>
                <w:rFonts w:ascii="Palatino Linotype" w:eastAsia="Palatino Linotype" w:hAnsi="Palatino Linotype" w:cs="Palatino Linotype"/>
                <w:b/>
                <w:bCs/>
                <w:color w:val="000000"/>
                <w:u w:val="single"/>
              </w:rPr>
              <w:t>para cada caso además de fundar y motivar</w:t>
            </w:r>
            <w:r w:rsidRPr="00D41429">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CA3108" w:rsidRPr="00D41429" w:rsidRDefault="00CA3108">
            <w:pPr>
              <w:tabs>
                <w:tab w:val="left" w:pos="284"/>
              </w:tabs>
              <w:ind w:right="49"/>
              <w:jc w:val="both"/>
              <w:rPr>
                <w:rFonts w:ascii="Palatino Linotype" w:eastAsia="Palatino Linotype" w:hAnsi="Palatino Linotype" w:cs="Palatino Linotype"/>
                <w:color w:val="000000"/>
              </w:rPr>
            </w:pPr>
          </w:p>
        </w:tc>
      </w:tr>
      <w:tr w:rsidR="00CA3108" w:rsidRPr="00D41429" w:rsidTr="00D41429">
        <w:tc>
          <w:tcPr>
            <w:tcW w:w="2689" w:type="dxa"/>
          </w:tcPr>
          <w:p w:rsidR="00CA3108" w:rsidRPr="00D41429" w:rsidRDefault="000D2D12">
            <w:pPr>
              <w:tabs>
                <w:tab w:val="left" w:pos="284"/>
              </w:tabs>
              <w:ind w:right="49"/>
              <w:jc w:val="both"/>
              <w:rPr>
                <w:rFonts w:ascii="Palatino Linotype" w:eastAsia="Palatino Linotype" w:hAnsi="Palatino Linotype" w:cs="Palatino Linotype"/>
              </w:rPr>
            </w:pPr>
            <w:r w:rsidRPr="00D41429">
              <w:rPr>
                <w:rFonts w:ascii="Palatino Linotype" w:eastAsia="Palatino Linotype" w:hAnsi="Palatino Linotype" w:cs="Palatino Linotype"/>
              </w:rPr>
              <w:lastRenderedPageBreak/>
              <w:t xml:space="preserve">e) Condiciones especiales de la clasificación de la información como confidencial. </w:t>
            </w:r>
          </w:p>
        </w:tc>
        <w:tc>
          <w:tcPr>
            <w:tcW w:w="7087" w:type="dxa"/>
          </w:tcPr>
          <w:p w:rsidR="00CA3108" w:rsidRPr="00D41429" w:rsidRDefault="000D2D12">
            <w:pPr>
              <w:tabs>
                <w:tab w:val="left" w:pos="284"/>
              </w:tabs>
              <w:ind w:right="49"/>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CA3108" w:rsidRPr="00D41429" w:rsidRDefault="000D2D12">
            <w:pPr>
              <w:tabs>
                <w:tab w:val="left" w:pos="284"/>
              </w:tabs>
              <w:ind w:right="49"/>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CA3108" w:rsidRPr="00D41429" w:rsidRDefault="000D2D12">
            <w:pPr>
              <w:tabs>
                <w:tab w:val="left" w:pos="284"/>
              </w:tabs>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CA3108" w:rsidRPr="00D41429" w:rsidRDefault="00CA3108">
            <w:pPr>
              <w:tabs>
                <w:tab w:val="left" w:pos="284"/>
              </w:tabs>
              <w:rPr>
                <w:rFonts w:ascii="Palatino Linotype" w:eastAsia="Palatino Linotype" w:hAnsi="Palatino Linotype" w:cs="Palatino Linotype"/>
              </w:rPr>
            </w:pPr>
          </w:p>
        </w:tc>
      </w:tr>
    </w:tbl>
    <w:p w:rsidR="00CA3108" w:rsidRPr="00D41429" w:rsidRDefault="00CA3108">
      <w:pPr>
        <w:tabs>
          <w:tab w:val="left" w:pos="284"/>
        </w:tabs>
        <w:spacing w:line="360" w:lineRule="auto"/>
        <w:rPr>
          <w:rFonts w:ascii="Palatino Linotype" w:eastAsia="Palatino Linotype" w:hAnsi="Palatino Linotype" w:cs="Palatino Linotype"/>
          <w:color w:val="000000"/>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CA3108" w:rsidRPr="00D41429" w:rsidRDefault="00CA3108">
      <w:pPr>
        <w:pBdr>
          <w:top w:val="nil"/>
          <w:left w:val="nil"/>
          <w:bottom w:val="nil"/>
          <w:right w:val="nil"/>
          <w:between w:val="nil"/>
        </w:pBdr>
        <w:tabs>
          <w:tab w:val="left" w:pos="851"/>
        </w:tabs>
        <w:spacing w:line="360" w:lineRule="auto"/>
        <w:ind w:right="476"/>
        <w:jc w:val="both"/>
        <w:rPr>
          <w:rFonts w:ascii="Palatino Linotype" w:eastAsia="Palatino Linotype" w:hAnsi="Palatino Linotype" w:cs="Palatino Linotype"/>
          <w:i/>
          <w:iCs/>
          <w:color w:val="000000"/>
        </w:rPr>
      </w:pPr>
    </w:p>
    <w:p w:rsidR="00CA3108" w:rsidRPr="00D41429" w:rsidRDefault="000D2D12" w:rsidP="00D4142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1429">
        <w:rPr>
          <w:rFonts w:ascii="Palatino Linotype" w:eastAsia="Palatino Linotype" w:hAnsi="Palatino Linotype" w:cs="Palatino Linotype"/>
          <w:color w:val="000000"/>
        </w:rPr>
        <w:t>Por</w:t>
      </w:r>
      <w:r w:rsidRPr="00D41429">
        <w:rPr>
          <w:rFonts w:ascii="Palatino Linotype" w:eastAsia="Palatino Linotype" w:hAnsi="Palatino Linotype" w:cs="Palatino Linotype"/>
          <w:color w:val="222222"/>
        </w:rPr>
        <w:t xml:space="preserve"> lo </w:t>
      </w:r>
      <w:r w:rsidRPr="00D41429">
        <w:rPr>
          <w:rFonts w:ascii="Palatino Linotype" w:eastAsia="Palatino Linotype" w:hAnsi="Palatino Linotype" w:cs="Palatino Linotype"/>
        </w:rPr>
        <w:t>anteriormente</w:t>
      </w:r>
      <w:r w:rsidRPr="00D41429">
        <w:rPr>
          <w:rFonts w:ascii="Palatino Linotype" w:eastAsia="Palatino Linotype" w:hAnsi="Palatino Linotype" w:cs="Palatino Linotype"/>
          <w:color w:val="222222"/>
        </w:rPr>
        <w:t xml:space="preserve"> expuesto y fundado, este </w:t>
      </w:r>
      <w:r w:rsidRPr="00D41429">
        <w:rPr>
          <w:rFonts w:ascii="Palatino Linotype" w:eastAsia="Palatino Linotype" w:hAnsi="Palatino Linotype" w:cs="Palatino Linotype"/>
          <w:b/>
          <w:bCs/>
          <w:color w:val="222222"/>
        </w:rPr>
        <w:t>ÓRGANO GARANTE</w:t>
      </w:r>
      <w:r w:rsidRPr="00D41429">
        <w:rPr>
          <w:rFonts w:ascii="Palatino Linotype" w:eastAsia="Palatino Linotype" w:hAnsi="Palatino Linotype" w:cs="Palatino Linotype"/>
          <w:color w:val="222222"/>
        </w:rPr>
        <w:t xml:space="preserve"> emite los </w:t>
      </w:r>
      <w:r w:rsidRPr="00D41429">
        <w:rPr>
          <w:rFonts w:ascii="Palatino Linotype" w:eastAsia="Palatino Linotype" w:hAnsi="Palatino Linotype" w:cs="Palatino Linotype"/>
        </w:rPr>
        <w:t>siguientes</w:t>
      </w:r>
      <w:r w:rsidRPr="00D41429">
        <w:rPr>
          <w:rFonts w:ascii="Palatino Linotype" w:eastAsia="Palatino Linotype" w:hAnsi="Palatino Linotype" w:cs="Palatino Linotype"/>
          <w:color w:val="222222"/>
        </w:rPr>
        <w:t>:</w:t>
      </w:r>
    </w:p>
    <w:p w:rsidR="00CA3108" w:rsidRPr="00D41429" w:rsidRDefault="00CA3108">
      <w:pPr>
        <w:pBdr>
          <w:top w:val="nil"/>
          <w:left w:val="nil"/>
          <w:bottom w:val="nil"/>
          <w:right w:val="nil"/>
          <w:between w:val="nil"/>
        </w:pBdr>
        <w:spacing w:line="360" w:lineRule="auto"/>
        <w:jc w:val="both"/>
        <w:rPr>
          <w:rFonts w:ascii="Palatino Linotype" w:eastAsia="Palatino Linotype" w:hAnsi="Palatino Linotype" w:cs="Palatino Linotype"/>
        </w:rPr>
      </w:pPr>
    </w:p>
    <w:p w:rsidR="00CA3108" w:rsidRPr="00D41429" w:rsidRDefault="000D2D12">
      <w:pPr>
        <w:keepNext/>
        <w:keepLines/>
        <w:spacing w:line="360" w:lineRule="auto"/>
        <w:jc w:val="center"/>
        <w:rPr>
          <w:rFonts w:ascii="Palatino Linotype" w:eastAsia="Palatino Linotype" w:hAnsi="Palatino Linotype" w:cs="Palatino Linotype"/>
          <w:b/>
          <w:bCs/>
          <w:color w:val="000000"/>
        </w:rPr>
      </w:pPr>
      <w:r w:rsidRPr="00D41429">
        <w:rPr>
          <w:rFonts w:ascii="Palatino Linotype" w:eastAsia="Palatino Linotype" w:hAnsi="Palatino Linotype" w:cs="Palatino Linotype"/>
          <w:b/>
          <w:bCs/>
          <w:color w:val="000000"/>
        </w:rPr>
        <w:t>R E S O L U T I V O S</w:t>
      </w:r>
    </w:p>
    <w:p w:rsidR="00CA3108" w:rsidRPr="00D41429" w:rsidRDefault="000D2D12">
      <w:pPr>
        <w:spacing w:line="360" w:lineRule="auto"/>
        <w:ind w:right="-929"/>
        <w:jc w:val="both"/>
        <w:rPr>
          <w:rFonts w:ascii="Palatino Linotype" w:eastAsia="Palatino Linotype" w:hAnsi="Palatino Linotype" w:cs="Palatino Linotype"/>
          <w:b/>
          <w:bCs/>
        </w:rPr>
      </w:pPr>
      <w:r w:rsidRPr="00D41429">
        <w:rPr>
          <w:rFonts w:ascii="Palatino Linotype" w:eastAsia="Palatino Linotype" w:hAnsi="Palatino Linotype" w:cs="Palatino Linotype"/>
          <w:b/>
          <w:bCs/>
        </w:rPr>
        <w:tab/>
      </w:r>
    </w:p>
    <w:p w:rsidR="00CA3108" w:rsidRPr="00D41429" w:rsidRDefault="000D2D12">
      <w:pPr>
        <w:spacing w:line="360" w:lineRule="auto"/>
        <w:jc w:val="both"/>
        <w:rPr>
          <w:rFonts w:ascii="Palatino Linotype" w:eastAsia="Palatino Linotype" w:hAnsi="Palatino Linotype" w:cs="Palatino Linotype"/>
        </w:rPr>
      </w:pPr>
      <w:r w:rsidRPr="00D41429">
        <w:rPr>
          <w:rFonts w:ascii="Palatino Linotype" w:eastAsia="Palatino Linotype" w:hAnsi="Palatino Linotype" w:cs="Palatino Linotype"/>
          <w:b/>
          <w:bCs/>
        </w:rPr>
        <w:t>PRIMERO</w:t>
      </w:r>
      <w:r w:rsidRPr="00D41429">
        <w:rPr>
          <w:rFonts w:ascii="Palatino Linotype" w:eastAsia="Palatino Linotype" w:hAnsi="Palatino Linotype" w:cs="Palatino Linotype"/>
        </w:rPr>
        <w:t xml:space="preserve">. Resultan fundadas las razones o motivos de inconformidad hechos valer en el Recurso de Revisión </w:t>
      </w:r>
      <w:r w:rsidRPr="00D41429">
        <w:rPr>
          <w:rFonts w:ascii="Palatino Linotype" w:eastAsia="Palatino Linotype" w:hAnsi="Palatino Linotype" w:cs="Palatino Linotype"/>
          <w:b/>
          <w:bCs/>
        </w:rPr>
        <w:t xml:space="preserve">07913/INFOEM/IP/RR/2025, </w:t>
      </w:r>
      <w:r w:rsidRPr="00D41429">
        <w:rPr>
          <w:rFonts w:ascii="Palatino Linotype" w:eastAsia="Palatino Linotype" w:hAnsi="Palatino Linotype" w:cs="Palatino Linotype"/>
        </w:rPr>
        <w:t xml:space="preserve">en términos de los </w:t>
      </w:r>
      <w:r w:rsidRPr="00D41429">
        <w:rPr>
          <w:rFonts w:ascii="Palatino Linotype" w:eastAsia="Palatino Linotype" w:hAnsi="Palatino Linotype" w:cs="Palatino Linotype"/>
          <w:b/>
          <w:bCs/>
        </w:rPr>
        <w:t>Considerandos</w:t>
      </w:r>
      <w:r w:rsidRPr="00D41429">
        <w:rPr>
          <w:rFonts w:ascii="Palatino Linotype" w:eastAsia="Palatino Linotype" w:hAnsi="Palatino Linotype" w:cs="Palatino Linotype"/>
        </w:rPr>
        <w:t xml:space="preserve"> </w:t>
      </w:r>
      <w:r w:rsidRPr="00D41429">
        <w:rPr>
          <w:rFonts w:ascii="Palatino Linotype" w:eastAsia="Palatino Linotype" w:hAnsi="Palatino Linotype" w:cs="Palatino Linotype"/>
          <w:b/>
          <w:bCs/>
        </w:rPr>
        <w:t xml:space="preserve">Cuarto y Quinto </w:t>
      </w:r>
      <w:r w:rsidRPr="00D41429">
        <w:rPr>
          <w:rFonts w:ascii="Palatino Linotype" w:eastAsia="Palatino Linotype" w:hAnsi="Palatino Linotype" w:cs="Palatino Linotype"/>
        </w:rPr>
        <w:t>de la presente Resolución.</w:t>
      </w:r>
    </w:p>
    <w:p w:rsidR="00CA3108" w:rsidRPr="00D41429" w:rsidRDefault="00CA3108">
      <w:pPr>
        <w:spacing w:line="360" w:lineRule="auto"/>
        <w:jc w:val="both"/>
        <w:rPr>
          <w:rFonts w:ascii="Palatino Linotype" w:eastAsia="Palatino Linotype" w:hAnsi="Palatino Linotype" w:cs="Palatino Linotype"/>
        </w:rPr>
      </w:pPr>
    </w:p>
    <w:p w:rsidR="00CA3108" w:rsidRPr="00D41429" w:rsidRDefault="000D2D12">
      <w:pPr>
        <w:spacing w:line="360" w:lineRule="auto"/>
        <w:jc w:val="both"/>
        <w:rPr>
          <w:rFonts w:ascii="Palatino Linotype" w:eastAsia="Palatino Linotype" w:hAnsi="Palatino Linotype" w:cs="Palatino Linotype"/>
        </w:rPr>
      </w:pPr>
      <w:r w:rsidRPr="00D41429">
        <w:rPr>
          <w:rFonts w:ascii="Palatino Linotype" w:eastAsia="Palatino Linotype" w:hAnsi="Palatino Linotype" w:cs="Palatino Linotype"/>
          <w:b/>
          <w:bCs/>
        </w:rPr>
        <w:lastRenderedPageBreak/>
        <w:t xml:space="preserve">SEGUNDO. </w:t>
      </w:r>
      <w:r w:rsidRPr="00D41429">
        <w:rPr>
          <w:rFonts w:ascii="Palatino Linotype" w:eastAsia="Palatino Linotype" w:hAnsi="Palatino Linotype" w:cs="Palatino Linotype"/>
          <w:color w:val="000000"/>
        </w:rPr>
        <w:t xml:space="preserve">Se </w:t>
      </w:r>
      <w:r w:rsidRPr="00D41429">
        <w:rPr>
          <w:rFonts w:ascii="Palatino Linotype" w:eastAsia="Palatino Linotype" w:hAnsi="Palatino Linotype" w:cs="Palatino Linotype"/>
          <w:b/>
          <w:bCs/>
          <w:color w:val="000000"/>
        </w:rPr>
        <w:t xml:space="preserve">REVOCA </w:t>
      </w:r>
      <w:r w:rsidRPr="00D41429">
        <w:rPr>
          <w:rFonts w:ascii="Palatino Linotype" w:eastAsia="Palatino Linotype" w:hAnsi="Palatino Linotype" w:cs="Palatino Linotype"/>
          <w:color w:val="000000"/>
        </w:rPr>
        <w:t xml:space="preserve">la respuesta emitida por el </w:t>
      </w:r>
      <w:r w:rsidRPr="00D41429">
        <w:rPr>
          <w:rFonts w:ascii="Palatino Linotype" w:eastAsia="Palatino Linotype" w:hAnsi="Palatino Linotype" w:cs="Palatino Linotype"/>
          <w:b/>
          <w:bCs/>
          <w:color w:val="000000"/>
        </w:rPr>
        <w:t>Ayuntamiento de Almoloya de Juárez</w:t>
      </w:r>
      <w:r w:rsidRPr="00D41429">
        <w:rPr>
          <w:rFonts w:ascii="Palatino Linotype" w:eastAsia="Palatino Linotype" w:hAnsi="Palatino Linotype" w:cs="Palatino Linotype"/>
          <w:b/>
          <w:bCs/>
        </w:rPr>
        <w:t>;</w:t>
      </w:r>
      <w:r w:rsidRPr="00D41429">
        <w:rPr>
          <w:rFonts w:ascii="Palatino Linotype" w:eastAsia="Palatino Linotype" w:hAnsi="Palatino Linotype" w:cs="Palatino Linotype"/>
        </w:rPr>
        <w:t xml:space="preserve"> por lo que</w:t>
      </w:r>
      <w:r w:rsidRPr="00D41429">
        <w:rPr>
          <w:rFonts w:ascii="Palatino Linotype" w:eastAsia="Palatino Linotype" w:hAnsi="Palatino Linotype" w:cs="Palatino Linotype"/>
          <w:color w:val="000000"/>
        </w:rPr>
        <w:t xml:space="preserve"> se </w:t>
      </w:r>
      <w:r w:rsidRPr="00D41429">
        <w:rPr>
          <w:rFonts w:ascii="Palatino Linotype" w:eastAsia="Palatino Linotype" w:hAnsi="Palatino Linotype" w:cs="Palatino Linotype"/>
          <w:b/>
          <w:bCs/>
          <w:color w:val="000000"/>
        </w:rPr>
        <w:t>ORDENA</w:t>
      </w:r>
      <w:r w:rsidRPr="00D41429">
        <w:rPr>
          <w:rFonts w:ascii="Palatino Linotype" w:eastAsia="Palatino Linotype" w:hAnsi="Palatino Linotype" w:cs="Palatino Linotype"/>
          <w:color w:val="000000"/>
        </w:rPr>
        <w:t xml:space="preserve"> entregar vía Sistema de Acceso a la Información Mexiquense (</w:t>
      </w:r>
      <w:r w:rsidRPr="00D41429">
        <w:rPr>
          <w:rFonts w:ascii="Palatino Linotype" w:eastAsia="Palatino Linotype" w:hAnsi="Palatino Linotype" w:cs="Palatino Linotype"/>
          <w:b/>
          <w:bCs/>
          <w:color w:val="000000"/>
        </w:rPr>
        <w:t>SAIMEX</w:t>
      </w:r>
      <w:r w:rsidRPr="00D41429">
        <w:rPr>
          <w:rFonts w:ascii="Palatino Linotype" w:eastAsia="Palatino Linotype" w:hAnsi="Palatino Linotype" w:cs="Palatino Linotype"/>
          <w:color w:val="000000"/>
        </w:rPr>
        <w:t>), la siguiente información en versión pública</w:t>
      </w:r>
      <w:r w:rsidRPr="00D41429">
        <w:rPr>
          <w:rFonts w:ascii="Palatino Linotype" w:eastAsia="Palatino Linotype" w:hAnsi="Palatino Linotype" w:cs="Palatino Linotype"/>
        </w:rPr>
        <w:t>:</w:t>
      </w:r>
    </w:p>
    <w:p w:rsidR="00CA3108" w:rsidRPr="00D41429" w:rsidRDefault="00CA3108">
      <w:pPr>
        <w:spacing w:line="360" w:lineRule="auto"/>
        <w:jc w:val="both"/>
        <w:rPr>
          <w:rFonts w:ascii="Palatino Linotype" w:eastAsia="Palatino Linotype" w:hAnsi="Palatino Linotype" w:cs="Palatino Linotype"/>
        </w:rPr>
      </w:pPr>
    </w:p>
    <w:p w:rsidR="00CA3108" w:rsidRPr="00D41429" w:rsidRDefault="000D2D12">
      <w:pPr>
        <w:numPr>
          <w:ilvl w:val="0"/>
          <w:numId w:val="4"/>
        </w:numPr>
        <w:pBdr>
          <w:top w:val="nil"/>
          <w:left w:val="nil"/>
          <w:bottom w:val="nil"/>
          <w:right w:val="nil"/>
          <w:between w:val="nil"/>
        </w:pBdr>
        <w:spacing w:line="360" w:lineRule="auto"/>
        <w:ind w:right="567"/>
        <w:jc w:val="both"/>
        <w:rPr>
          <w:rFonts w:ascii="Palatino Linotype" w:eastAsia="Palatino Linotype" w:hAnsi="Palatino Linotype" w:cs="Palatino Linotype"/>
          <w:color w:val="000000"/>
        </w:rPr>
      </w:pPr>
      <w:r w:rsidRPr="00D41429">
        <w:rPr>
          <w:rFonts w:ascii="Palatino Linotype" w:eastAsia="Palatino Linotype" w:hAnsi="Palatino Linotype" w:cs="Palatino Linotype"/>
          <w:color w:val="000000"/>
        </w:rPr>
        <w:t>Soporte documental en que consten o se adviertan los nombres de los medios de comunicación o de personas físicas con convenios o contratos celebrados con el Ayuntamiento de Almoloya de Juárez, para difusión de información o publicidad del Municipio; los montos pagados; y el periodo de  los contratos celebrados, del 02 de junio de 2024 al 02 de junio de 2025.</w:t>
      </w:r>
    </w:p>
    <w:p w:rsidR="00CA3108" w:rsidRPr="00D41429" w:rsidRDefault="000D2D12">
      <w:pPr>
        <w:pBdr>
          <w:top w:val="nil"/>
          <w:left w:val="nil"/>
          <w:bottom w:val="nil"/>
          <w:right w:val="nil"/>
          <w:between w:val="nil"/>
        </w:pBdr>
        <w:spacing w:line="360" w:lineRule="auto"/>
        <w:ind w:left="851" w:right="567"/>
        <w:jc w:val="both"/>
        <w:rPr>
          <w:rFonts w:ascii="Palatino Linotype" w:eastAsia="Palatino Linotype" w:hAnsi="Palatino Linotype" w:cs="Palatino Linotype"/>
          <w:b/>
          <w:bCs/>
          <w:color w:val="000000"/>
        </w:rPr>
      </w:pPr>
      <w:r w:rsidRPr="00D41429">
        <w:rPr>
          <w:rFonts w:ascii="Palatino Linotype" w:eastAsia="Palatino Linotype" w:hAnsi="Palatino Linotype" w:cs="Palatino Linotype"/>
          <w:b/>
          <w:bCs/>
          <w:color w:val="000000"/>
        </w:rPr>
        <w:t xml:space="preserve"> </w:t>
      </w:r>
    </w:p>
    <w:p w:rsidR="00CA3108" w:rsidRPr="00D41429" w:rsidRDefault="000D2D12">
      <w:pPr>
        <w:spacing w:line="360" w:lineRule="auto"/>
        <w:jc w:val="both"/>
        <w:rPr>
          <w:rFonts w:ascii="Palatino Linotype" w:eastAsia="Palatino Linotype" w:hAnsi="Palatino Linotype" w:cs="Palatino Linotype"/>
        </w:rPr>
      </w:pPr>
      <w:r w:rsidRPr="00D41429">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rsidR="00CA3108" w:rsidRPr="00D41429" w:rsidRDefault="00CA3108">
      <w:pPr>
        <w:spacing w:line="360" w:lineRule="auto"/>
        <w:jc w:val="both"/>
        <w:rPr>
          <w:rFonts w:ascii="Palatino Linotype" w:eastAsia="Palatino Linotype" w:hAnsi="Palatino Linotype" w:cs="Palatino Linotype"/>
        </w:rPr>
      </w:pPr>
    </w:p>
    <w:p w:rsidR="00CA3108" w:rsidRPr="00D41429" w:rsidRDefault="000D2D12">
      <w:pPr>
        <w:spacing w:line="360" w:lineRule="auto"/>
        <w:ind w:right="51"/>
        <w:jc w:val="both"/>
        <w:rPr>
          <w:rFonts w:ascii="Palatino Linotype" w:eastAsia="Palatino Linotype" w:hAnsi="Palatino Linotype" w:cs="Palatino Linotype"/>
        </w:rPr>
      </w:pPr>
      <w:r w:rsidRPr="00D41429">
        <w:rPr>
          <w:rFonts w:ascii="Palatino Linotype" w:eastAsia="Palatino Linotype" w:hAnsi="Palatino Linotype" w:cs="Palatino Linotype"/>
          <w:b/>
          <w:bCs/>
        </w:rPr>
        <w:t xml:space="preserve">TERCERO. Notifíquese </w:t>
      </w:r>
      <w:r w:rsidRPr="00D41429">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D41429">
        <w:rPr>
          <w:rFonts w:ascii="Palatino Linotype" w:eastAsia="Palatino Linotype" w:hAnsi="Palatino Linotype" w:cs="Palatino Linotype"/>
          <w:b/>
          <w:bCs/>
        </w:rPr>
        <w:t>dé cumplimiento a lo ordenado dentro del plazo de diez días hábiles,</w:t>
      </w:r>
      <w:r w:rsidRPr="00D41429">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w:t>
      </w:r>
      <w:r w:rsidRPr="00D41429">
        <w:rPr>
          <w:rFonts w:ascii="Palatino Linotype" w:eastAsia="Palatino Linotype" w:hAnsi="Palatino Linotype" w:cs="Palatino Linotype"/>
        </w:rPr>
        <w:lastRenderedPageBreak/>
        <w:t>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CA3108" w:rsidRPr="00D41429" w:rsidRDefault="00CA3108">
      <w:pPr>
        <w:spacing w:line="360" w:lineRule="auto"/>
        <w:ind w:right="51"/>
        <w:jc w:val="both"/>
        <w:rPr>
          <w:rFonts w:ascii="Palatino Linotype" w:eastAsia="Palatino Linotype" w:hAnsi="Palatino Linotype" w:cs="Palatino Linotype"/>
        </w:rPr>
      </w:pPr>
    </w:p>
    <w:p w:rsidR="00CA3108" w:rsidRPr="00D41429" w:rsidRDefault="000D2D12">
      <w:pPr>
        <w:spacing w:line="360" w:lineRule="auto"/>
        <w:ind w:right="51"/>
        <w:jc w:val="both"/>
        <w:rPr>
          <w:rFonts w:ascii="Palatino Linotype" w:eastAsia="Palatino Linotype" w:hAnsi="Palatino Linotype" w:cs="Palatino Linotype"/>
        </w:rPr>
      </w:pPr>
      <w:r w:rsidRPr="00D41429">
        <w:rPr>
          <w:rFonts w:ascii="Palatino Linotype" w:eastAsia="Palatino Linotype" w:hAnsi="Palatino Linotype" w:cs="Palatino Linotype"/>
          <w:b/>
          <w:bCs/>
        </w:rPr>
        <w:t xml:space="preserve">CUARTO. </w:t>
      </w:r>
      <w:r w:rsidRPr="00D41429">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D41429">
        <w:rPr>
          <w:rFonts w:ascii="Palatino Linotype" w:eastAsia="Palatino Linotype" w:hAnsi="Palatino Linotype" w:cs="Palatino Linotype"/>
          <w:b/>
          <w:bCs/>
        </w:rPr>
        <w:t>SUJETO OBLIGADO</w:t>
      </w:r>
      <w:r w:rsidRPr="00D41429">
        <w:rPr>
          <w:rFonts w:ascii="Palatino Linotype" w:eastAsia="Palatino Linotype" w:hAnsi="Palatino Linotype" w:cs="Palatino Linotype"/>
        </w:rPr>
        <w:t xml:space="preserve"> de manera fundada y motivada, podrá solicitar una ampliación de plazo para el cumplimiento de la presente Resolución.</w:t>
      </w:r>
    </w:p>
    <w:p w:rsidR="00CA3108" w:rsidRPr="00D41429" w:rsidRDefault="00CA3108">
      <w:pPr>
        <w:spacing w:line="360" w:lineRule="auto"/>
        <w:ind w:right="51"/>
        <w:jc w:val="both"/>
        <w:rPr>
          <w:rFonts w:ascii="Palatino Linotype" w:eastAsia="Palatino Linotype" w:hAnsi="Palatino Linotype" w:cs="Palatino Linotype"/>
        </w:rPr>
      </w:pPr>
    </w:p>
    <w:p w:rsidR="00CA3108" w:rsidRPr="00D41429" w:rsidRDefault="000D2D12">
      <w:pPr>
        <w:tabs>
          <w:tab w:val="left" w:pos="8080"/>
        </w:tabs>
        <w:spacing w:line="360" w:lineRule="auto"/>
        <w:ind w:right="51"/>
        <w:jc w:val="both"/>
        <w:rPr>
          <w:rFonts w:ascii="Palatino Linotype" w:eastAsia="Palatino Linotype" w:hAnsi="Palatino Linotype" w:cs="Palatino Linotype"/>
        </w:rPr>
      </w:pPr>
      <w:r w:rsidRPr="00D41429">
        <w:rPr>
          <w:rFonts w:ascii="Palatino Linotype" w:eastAsia="Palatino Linotype" w:hAnsi="Palatino Linotype" w:cs="Palatino Linotype"/>
          <w:b/>
          <w:bCs/>
        </w:rPr>
        <w:t xml:space="preserve">QUINTO. </w:t>
      </w:r>
      <w:r w:rsidRPr="00D41429">
        <w:rPr>
          <w:rFonts w:ascii="Palatino Linotype" w:eastAsia="Palatino Linotype" w:hAnsi="Palatino Linotype" w:cs="Palatino Linotype"/>
        </w:rPr>
        <w:t xml:space="preserve">Notifíquese al </w:t>
      </w:r>
      <w:r w:rsidRPr="00D41429">
        <w:rPr>
          <w:rFonts w:ascii="Palatino Linotype" w:eastAsia="Palatino Linotype" w:hAnsi="Palatino Linotype" w:cs="Palatino Linotype"/>
          <w:b/>
          <w:bCs/>
        </w:rPr>
        <w:t>RECURRENTE</w:t>
      </w:r>
      <w:r w:rsidRPr="00D41429">
        <w:rPr>
          <w:rFonts w:ascii="Palatino Linotype" w:eastAsia="Palatino Linotype" w:hAnsi="Palatino Linotype" w:cs="Palatino Linotype"/>
        </w:rPr>
        <w:t xml:space="preserve"> la presente Resolución, vía </w:t>
      </w:r>
      <w:r w:rsidRPr="00D41429">
        <w:rPr>
          <w:rFonts w:ascii="Palatino Linotype" w:eastAsia="Palatino Linotype" w:hAnsi="Palatino Linotype" w:cs="Palatino Linotype"/>
          <w:b/>
          <w:bCs/>
        </w:rPr>
        <w:t>SAIMEX</w:t>
      </w:r>
      <w:r w:rsidRPr="00D41429">
        <w:rPr>
          <w:rFonts w:ascii="Palatino Linotype" w:eastAsia="Palatino Linotype" w:hAnsi="Palatino Linotype" w:cs="Palatino Linotype"/>
        </w:rPr>
        <w:t>.</w:t>
      </w:r>
    </w:p>
    <w:p w:rsidR="00CA3108" w:rsidRPr="00D41429" w:rsidRDefault="00CA3108">
      <w:pPr>
        <w:tabs>
          <w:tab w:val="left" w:pos="8080"/>
        </w:tabs>
        <w:spacing w:line="360" w:lineRule="auto"/>
        <w:ind w:right="51"/>
        <w:jc w:val="both"/>
        <w:rPr>
          <w:rFonts w:ascii="Palatino Linotype" w:eastAsia="Palatino Linotype" w:hAnsi="Palatino Linotype" w:cs="Palatino Linotype"/>
        </w:rPr>
      </w:pPr>
    </w:p>
    <w:p w:rsidR="00CA3108" w:rsidRPr="00D41429" w:rsidRDefault="000D2D12">
      <w:pPr>
        <w:shd w:val="clear" w:color="auto" w:fill="FFFFFF"/>
        <w:spacing w:line="360" w:lineRule="auto"/>
        <w:ind w:right="51"/>
        <w:jc w:val="both"/>
        <w:rPr>
          <w:rFonts w:ascii="Palatino Linotype" w:eastAsia="Palatino Linotype" w:hAnsi="Palatino Linotype" w:cs="Palatino Linotype"/>
        </w:rPr>
      </w:pPr>
      <w:r w:rsidRPr="00D41429">
        <w:rPr>
          <w:rFonts w:ascii="Palatino Linotype" w:eastAsia="Palatino Linotype" w:hAnsi="Palatino Linotype" w:cs="Palatino Linotype"/>
          <w:b/>
          <w:bCs/>
        </w:rPr>
        <w:t xml:space="preserve">SEXTO. </w:t>
      </w:r>
      <w:r w:rsidRPr="00D41429">
        <w:rPr>
          <w:rFonts w:ascii="Palatino Linotype" w:eastAsia="Palatino Linotype" w:hAnsi="Palatino Linotype" w:cs="Palatino Linotype"/>
        </w:rPr>
        <w:t>Se hace del conocimiento del</w:t>
      </w:r>
      <w:r w:rsidRPr="00D41429">
        <w:rPr>
          <w:rFonts w:ascii="Palatino Linotype" w:eastAsia="Palatino Linotype" w:hAnsi="Palatino Linotype" w:cs="Palatino Linotype"/>
          <w:b/>
          <w:bCs/>
        </w:rPr>
        <w:t xml:space="preserve"> RECURRENTE </w:t>
      </w:r>
      <w:r w:rsidRPr="00D41429">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CA3108" w:rsidRPr="00D41429" w:rsidRDefault="00CA3108">
      <w:pPr>
        <w:shd w:val="clear" w:color="auto" w:fill="FFFFFF"/>
        <w:spacing w:line="360" w:lineRule="auto"/>
        <w:jc w:val="both"/>
        <w:rPr>
          <w:rFonts w:ascii="Palatino Linotype" w:eastAsia="Palatino Linotype" w:hAnsi="Palatino Linotype" w:cs="Palatino Linotype"/>
        </w:rPr>
      </w:pPr>
    </w:p>
    <w:p w:rsidR="00E60C0B" w:rsidRPr="00D41429" w:rsidRDefault="00E60C0B" w:rsidP="00E60C0B">
      <w:pPr>
        <w:spacing w:before="240" w:after="240" w:line="360" w:lineRule="auto"/>
        <w:ind w:firstLine="1"/>
        <w:jc w:val="both"/>
        <w:rPr>
          <w:rFonts w:ascii="Palatino Linotype" w:hAnsi="Palatino Linotype"/>
        </w:rPr>
      </w:pPr>
      <w:bookmarkStart w:id="8" w:name="_Hlk99014733"/>
      <w:r w:rsidRPr="00D41429">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w:t>
      </w:r>
      <w:r w:rsidRPr="00D41429">
        <w:rPr>
          <w:rFonts w:ascii="Palatino Linotype" w:hAnsi="Palatino Linotype" w:cs="Palatino Linotype"/>
        </w:rPr>
        <w:lastRenderedPageBreak/>
        <w:t xml:space="preserve">NORIEGA Y GUADALUPE RAMÍREZ PEÑA; EN LA SÉPTIMA SESIÓN ORDINARIA, CELEBRADA EL VEINTICINCO (25) DE FEBRERO DE DOS MIL VEINTISÉIS, ANTE EL SECRETARIO TÉCNICO DEL PLENO </w:t>
      </w:r>
      <w:r w:rsidRPr="00D41429">
        <w:rPr>
          <w:rFonts w:ascii="Palatino Linotype" w:hAnsi="Palatino Linotype" w:cs="Palatino Linotype"/>
          <w:color w:val="000000" w:themeColor="text1"/>
        </w:rPr>
        <w:t>ALEXIS TAPIA RAMÍREZ.</w:t>
      </w:r>
    </w:p>
    <w:bookmarkEnd w:id="8"/>
    <w:p w:rsidR="00CA3108" w:rsidRPr="00D41429" w:rsidRDefault="00CA3108">
      <w:pPr>
        <w:spacing w:line="360" w:lineRule="auto"/>
        <w:jc w:val="both"/>
        <w:rPr>
          <w:rFonts w:ascii="Palatino Linotype" w:eastAsia="Palatino Linotype" w:hAnsi="Palatino Linotype" w:cs="Palatino Linotype"/>
        </w:rPr>
      </w:pPr>
    </w:p>
    <w:p w:rsidR="00CA3108" w:rsidRPr="00D41429" w:rsidRDefault="00CA3108">
      <w:pPr>
        <w:spacing w:line="360" w:lineRule="auto"/>
        <w:rPr>
          <w:rFonts w:ascii="Palatino Linotype" w:eastAsia="Palatino Linotype" w:hAnsi="Palatino Linotype" w:cs="Palatino Linotype"/>
        </w:rPr>
      </w:pPr>
    </w:p>
    <w:p w:rsidR="00CA3108" w:rsidRPr="00D41429" w:rsidRDefault="00CA3108">
      <w:pPr>
        <w:spacing w:line="360" w:lineRule="auto"/>
        <w:rPr>
          <w:rFonts w:ascii="Palatino Linotype" w:eastAsia="Palatino Linotype" w:hAnsi="Palatino Linotype" w:cs="Palatino Linotype"/>
        </w:rPr>
      </w:pPr>
    </w:p>
    <w:p w:rsidR="00CA3108" w:rsidRPr="00D41429" w:rsidRDefault="00CA3108">
      <w:pPr>
        <w:spacing w:line="360" w:lineRule="auto"/>
        <w:rPr>
          <w:rFonts w:ascii="Palatino Linotype" w:eastAsia="Palatino Linotype" w:hAnsi="Palatino Linotype" w:cs="Palatino Linotype"/>
        </w:rPr>
      </w:pPr>
    </w:p>
    <w:p w:rsidR="00CA3108" w:rsidRPr="00D41429" w:rsidRDefault="00CA3108">
      <w:pPr>
        <w:spacing w:line="360" w:lineRule="auto"/>
        <w:rPr>
          <w:rFonts w:ascii="Palatino Linotype" w:eastAsia="Palatino Linotype" w:hAnsi="Palatino Linotype" w:cs="Palatino Linotype"/>
        </w:rPr>
      </w:pPr>
    </w:p>
    <w:p w:rsidR="00CA3108" w:rsidRPr="00D41429" w:rsidRDefault="00CA3108">
      <w:pPr>
        <w:spacing w:line="360" w:lineRule="auto"/>
        <w:rPr>
          <w:rFonts w:ascii="Palatino Linotype" w:eastAsia="Palatino Linotype" w:hAnsi="Palatino Linotype" w:cs="Palatino Linotype"/>
        </w:rPr>
      </w:pPr>
    </w:p>
    <w:p w:rsidR="00CA3108" w:rsidRPr="00D41429" w:rsidRDefault="00CA3108">
      <w:pPr>
        <w:spacing w:line="360" w:lineRule="auto"/>
        <w:rPr>
          <w:rFonts w:ascii="Palatino Linotype" w:eastAsia="Palatino Linotype" w:hAnsi="Palatino Linotype" w:cs="Palatino Linotype"/>
        </w:rPr>
      </w:pPr>
    </w:p>
    <w:p w:rsidR="00CA3108" w:rsidRPr="00D41429" w:rsidRDefault="00CA3108">
      <w:pPr>
        <w:spacing w:line="360" w:lineRule="auto"/>
        <w:rPr>
          <w:rFonts w:ascii="Palatino Linotype" w:eastAsia="Palatino Linotype" w:hAnsi="Palatino Linotype" w:cs="Palatino Linotype"/>
        </w:rPr>
      </w:pPr>
    </w:p>
    <w:p w:rsidR="00CA3108" w:rsidRPr="00D41429" w:rsidRDefault="000D2D12">
      <w:pPr>
        <w:tabs>
          <w:tab w:val="left" w:pos="3374"/>
        </w:tabs>
        <w:spacing w:line="360" w:lineRule="auto"/>
        <w:rPr>
          <w:rFonts w:ascii="Palatino Linotype" w:eastAsia="Palatino Linotype" w:hAnsi="Palatino Linotype" w:cs="Palatino Linotype"/>
        </w:rPr>
      </w:pPr>
      <w:r w:rsidRPr="00D41429">
        <w:rPr>
          <w:rFonts w:ascii="Palatino Linotype" w:eastAsia="Palatino Linotype" w:hAnsi="Palatino Linotype" w:cs="Palatino Linotype"/>
        </w:rPr>
        <w:tab/>
      </w:r>
    </w:p>
    <w:p w:rsidR="00CA3108" w:rsidRPr="00D41429" w:rsidRDefault="00CA3108">
      <w:pPr>
        <w:tabs>
          <w:tab w:val="left" w:pos="3374"/>
        </w:tabs>
        <w:spacing w:line="360" w:lineRule="auto"/>
        <w:rPr>
          <w:rFonts w:ascii="Palatino Linotype" w:eastAsia="Palatino Linotype" w:hAnsi="Palatino Linotype" w:cs="Palatino Linotype"/>
        </w:rPr>
      </w:pPr>
    </w:p>
    <w:p w:rsidR="00CA3108" w:rsidRPr="00D41429" w:rsidRDefault="00CA3108">
      <w:pPr>
        <w:tabs>
          <w:tab w:val="left" w:pos="3374"/>
        </w:tabs>
        <w:spacing w:line="360" w:lineRule="auto"/>
        <w:rPr>
          <w:rFonts w:ascii="Palatino Linotype" w:eastAsia="Palatino Linotype" w:hAnsi="Palatino Linotype" w:cs="Palatino Linotype"/>
        </w:rPr>
      </w:pPr>
    </w:p>
    <w:p w:rsidR="00CA3108" w:rsidRPr="00D41429" w:rsidRDefault="00CA3108">
      <w:pPr>
        <w:tabs>
          <w:tab w:val="left" w:pos="3374"/>
        </w:tabs>
        <w:spacing w:line="360" w:lineRule="auto"/>
        <w:rPr>
          <w:rFonts w:ascii="Palatino Linotype" w:eastAsia="Palatino Linotype" w:hAnsi="Palatino Linotype" w:cs="Palatino Linotype"/>
        </w:rPr>
      </w:pPr>
    </w:p>
    <w:p w:rsidR="00CA3108" w:rsidRPr="00D41429" w:rsidRDefault="00CA3108">
      <w:pPr>
        <w:tabs>
          <w:tab w:val="left" w:pos="3374"/>
        </w:tabs>
        <w:spacing w:line="360" w:lineRule="auto"/>
        <w:rPr>
          <w:rFonts w:ascii="Palatino Linotype" w:eastAsia="Palatino Linotype" w:hAnsi="Palatino Linotype" w:cs="Palatino Linotype"/>
        </w:rPr>
      </w:pPr>
    </w:p>
    <w:p w:rsidR="00CA3108" w:rsidRPr="00D41429" w:rsidRDefault="00CA3108">
      <w:pPr>
        <w:tabs>
          <w:tab w:val="left" w:pos="3374"/>
        </w:tabs>
        <w:spacing w:line="360" w:lineRule="auto"/>
        <w:rPr>
          <w:rFonts w:ascii="Palatino Linotype" w:eastAsia="Palatino Linotype" w:hAnsi="Palatino Linotype" w:cs="Palatino Linotype"/>
        </w:rPr>
      </w:pPr>
    </w:p>
    <w:p w:rsidR="00CA3108" w:rsidRPr="00D41429" w:rsidRDefault="00CA3108">
      <w:pPr>
        <w:tabs>
          <w:tab w:val="left" w:pos="3374"/>
        </w:tabs>
        <w:spacing w:line="360" w:lineRule="auto"/>
        <w:rPr>
          <w:rFonts w:ascii="Palatino Linotype" w:eastAsia="Palatino Linotype" w:hAnsi="Palatino Linotype" w:cs="Palatino Linotype"/>
        </w:rPr>
      </w:pPr>
    </w:p>
    <w:p w:rsidR="00CA3108" w:rsidRPr="00D41429" w:rsidRDefault="00CA3108">
      <w:pPr>
        <w:tabs>
          <w:tab w:val="left" w:pos="3374"/>
        </w:tabs>
        <w:spacing w:line="360" w:lineRule="auto"/>
        <w:rPr>
          <w:rFonts w:ascii="Palatino Linotype" w:eastAsia="Palatino Linotype" w:hAnsi="Palatino Linotype" w:cs="Palatino Linotype"/>
        </w:rPr>
      </w:pPr>
    </w:p>
    <w:p w:rsidR="00CA3108" w:rsidRPr="00D41429" w:rsidRDefault="00CA3108">
      <w:pPr>
        <w:tabs>
          <w:tab w:val="left" w:pos="3374"/>
        </w:tabs>
        <w:spacing w:line="360" w:lineRule="auto"/>
        <w:rPr>
          <w:rFonts w:ascii="Palatino Linotype" w:eastAsia="Palatino Linotype" w:hAnsi="Palatino Linotype" w:cs="Palatino Linotype"/>
        </w:rPr>
      </w:pPr>
    </w:p>
    <w:p w:rsidR="00CA3108" w:rsidRPr="00D41429" w:rsidRDefault="00CA3108">
      <w:pPr>
        <w:tabs>
          <w:tab w:val="left" w:pos="3374"/>
        </w:tabs>
        <w:spacing w:line="360" w:lineRule="auto"/>
        <w:rPr>
          <w:rFonts w:ascii="Palatino Linotype" w:eastAsia="Palatino Linotype" w:hAnsi="Palatino Linotype" w:cs="Palatino Linotype"/>
        </w:rPr>
      </w:pPr>
    </w:p>
    <w:p w:rsidR="00CA3108" w:rsidRPr="00D41429" w:rsidRDefault="00CA3108">
      <w:pPr>
        <w:tabs>
          <w:tab w:val="left" w:pos="3374"/>
        </w:tabs>
        <w:spacing w:line="360" w:lineRule="auto"/>
        <w:rPr>
          <w:rFonts w:ascii="Palatino Linotype" w:eastAsia="Palatino Linotype" w:hAnsi="Palatino Linotype" w:cs="Palatino Linotype"/>
        </w:rPr>
      </w:pPr>
    </w:p>
    <w:p w:rsidR="00CA3108" w:rsidRPr="00D41429" w:rsidRDefault="00CA3108">
      <w:pPr>
        <w:spacing w:line="360" w:lineRule="auto"/>
        <w:rPr>
          <w:rFonts w:ascii="Palatino Linotype" w:eastAsia="Palatino Linotype" w:hAnsi="Palatino Linotype" w:cs="Palatino Linotype"/>
        </w:rPr>
      </w:pPr>
    </w:p>
    <w:p w:rsidR="00CA3108" w:rsidRPr="00D41429" w:rsidRDefault="00CA3108">
      <w:pPr>
        <w:spacing w:line="360" w:lineRule="auto"/>
        <w:rPr>
          <w:rFonts w:ascii="Palatino Linotype" w:eastAsia="Palatino Linotype" w:hAnsi="Palatino Linotype" w:cs="Palatino Linotype"/>
        </w:rPr>
      </w:pPr>
    </w:p>
    <w:p w:rsidR="00CA3108" w:rsidRPr="00D41429" w:rsidRDefault="00CA3108">
      <w:pPr>
        <w:spacing w:line="360" w:lineRule="auto"/>
        <w:rPr>
          <w:rFonts w:ascii="Palatino Linotype" w:eastAsia="Palatino Linotype" w:hAnsi="Palatino Linotype" w:cs="Palatino Linotype"/>
        </w:rPr>
      </w:pPr>
    </w:p>
    <w:p w:rsidR="00CA3108" w:rsidRPr="00D41429" w:rsidRDefault="00CA3108">
      <w:pPr>
        <w:spacing w:line="360" w:lineRule="auto"/>
        <w:rPr>
          <w:rFonts w:ascii="Palatino Linotype" w:eastAsia="Palatino Linotype" w:hAnsi="Palatino Linotype" w:cs="Palatino Linotype"/>
        </w:rPr>
      </w:pPr>
    </w:p>
    <w:sectPr w:rsidR="00CA3108" w:rsidRPr="00D41429" w:rsidSect="00D41429">
      <w:headerReference w:type="even" r:id="rId8"/>
      <w:headerReference w:type="default" r:id="rId9"/>
      <w:footerReference w:type="default" r:id="rId10"/>
      <w:headerReference w:type="first" r:id="rId11"/>
      <w:footerReference w:type="first" r:id="rId12"/>
      <w:pgSz w:w="12240" w:h="15840"/>
      <w:pgMar w:top="2269" w:right="900" w:bottom="2127"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987" w:rsidRDefault="00BE1987">
      <w:r>
        <w:separator/>
      </w:r>
    </w:p>
  </w:endnote>
  <w:endnote w:type="continuationSeparator" w:id="0">
    <w:p w:rsidR="00BE1987" w:rsidRDefault="00BE1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1" w:fontKey="{728618DA-E032-4853-9770-5F58493C3C12}"/>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2" w:fontKey="{B7CDFCBE-F9E7-414D-9022-D74B1F6760A6}"/>
    <w:embedBold r:id="rId3" w:fontKey="{D3403D0A-C6FA-479B-80F4-7B2D42A2EAE0}"/>
    <w:embedItalic r:id="rId4" w:fontKey="{2E372AF9-A58A-419D-86BB-C9F2917126D5}"/>
    <w:embedBoldItalic r:id="rId5" w:fontKey="{3C478C42-8F9C-4E43-82D9-7EBEC79D4C37}"/>
  </w:font>
  <w:font w:name="Calibri">
    <w:panose1 w:val="020F0502020204030204"/>
    <w:charset w:val="00"/>
    <w:family w:val="swiss"/>
    <w:pitch w:val="variable"/>
    <w:sig w:usb0="E4002EFF" w:usb1="C200247B" w:usb2="00000009" w:usb3="00000000" w:csb0="000001FF" w:csb1="00000000"/>
    <w:embedRegular r:id="rId6" w:fontKey="{42C38E36-B67D-477C-957C-8E0B6F3EDAD1}"/>
    <w:embedBold r:id="rId7" w:fontKey="{88F2CD7F-99DB-442B-B0F2-5696C8CD7B55}"/>
    <w:embedItalic r:id="rId8" w:fontKey="{6C76F1B0-E14A-4076-9CB7-90569899C864}"/>
  </w:font>
  <w:font w:name="Calibri Light">
    <w:panose1 w:val="020F0302020204030204"/>
    <w:charset w:val="00"/>
    <w:family w:val="swiss"/>
    <w:pitch w:val="variable"/>
    <w:sig w:usb0="E4002EFF" w:usb1="C200247B" w:usb2="00000009" w:usb3="00000000" w:csb0="000001FF" w:csb1="00000000"/>
    <w:embedRegular r:id="rId9" w:fontKey="{AB988636-C729-4F08-BC58-F4BB766D9F29}"/>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0" w:fontKey="{F9E8DBC3-2DAC-4849-8579-5D317ED0E1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108" w:rsidRPr="00D41429" w:rsidRDefault="000D2D12">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D41429">
      <w:rPr>
        <w:rFonts w:ascii="Palatino Linotype" w:eastAsia="Palatino Linotype" w:hAnsi="Palatino Linotype" w:cs="Palatino Linotype"/>
        <w:b/>
        <w:color w:val="000000"/>
        <w:sz w:val="22"/>
        <w:szCs w:val="20"/>
      </w:rPr>
      <w:t xml:space="preserve">Página </w:t>
    </w:r>
    <w:r w:rsidRPr="00D41429">
      <w:rPr>
        <w:rFonts w:ascii="Palatino Linotype" w:eastAsia="Palatino Linotype" w:hAnsi="Palatino Linotype" w:cs="Palatino Linotype"/>
        <w:b/>
        <w:color w:val="000000"/>
        <w:sz w:val="22"/>
        <w:szCs w:val="20"/>
      </w:rPr>
      <w:fldChar w:fldCharType="begin"/>
    </w:r>
    <w:r w:rsidRPr="00D41429">
      <w:rPr>
        <w:rFonts w:ascii="Palatino Linotype" w:eastAsia="Palatino Linotype" w:hAnsi="Palatino Linotype" w:cs="Palatino Linotype"/>
        <w:b/>
        <w:color w:val="000000"/>
        <w:sz w:val="22"/>
        <w:szCs w:val="20"/>
      </w:rPr>
      <w:instrText>PAGE</w:instrText>
    </w:r>
    <w:r w:rsidRPr="00D41429">
      <w:rPr>
        <w:rFonts w:ascii="Palatino Linotype" w:eastAsia="Palatino Linotype" w:hAnsi="Palatino Linotype" w:cs="Palatino Linotype"/>
        <w:b/>
        <w:color w:val="000000"/>
        <w:sz w:val="22"/>
        <w:szCs w:val="20"/>
      </w:rPr>
      <w:fldChar w:fldCharType="separate"/>
    </w:r>
    <w:r w:rsidR="004D2562">
      <w:rPr>
        <w:rFonts w:ascii="Palatino Linotype" w:eastAsia="Palatino Linotype" w:hAnsi="Palatino Linotype" w:cs="Palatino Linotype"/>
        <w:b/>
        <w:noProof/>
        <w:color w:val="000000"/>
        <w:sz w:val="22"/>
        <w:szCs w:val="20"/>
      </w:rPr>
      <w:t>21</w:t>
    </w:r>
    <w:r w:rsidRPr="00D41429">
      <w:rPr>
        <w:rFonts w:ascii="Palatino Linotype" w:eastAsia="Palatino Linotype" w:hAnsi="Palatino Linotype" w:cs="Palatino Linotype"/>
        <w:b/>
        <w:color w:val="000000"/>
        <w:sz w:val="22"/>
        <w:szCs w:val="20"/>
      </w:rPr>
      <w:fldChar w:fldCharType="end"/>
    </w:r>
    <w:r w:rsidRPr="00D41429">
      <w:rPr>
        <w:rFonts w:ascii="Palatino Linotype" w:eastAsia="Palatino Linotype" w:hAnsi="Palatino Linotype" w:cs="Palatino Linotype"/>
        <w:b/>
        <w:color w:val="000000"/>
        <w:sz w:val="22"/>
        <w:szCs w:val="20"/>
      </w:rPr>
      <w:t xml:space="preserve"> de </w:t>
    </w:r>
    <w:r w:rsidRPr="00D41429">
      <w:rPr>
        <w:rFonts w:ascii="Palatino Linotype" w:eastAsia="Palatino Linotype" w:hAnsi="Palatino Linotype" w:cs="Palatino Linotype"/>
        <w:b/>
        <w:color w:val="000000"/>
        <w:sz w:val="22"/>
        <w:szCs w:val="20"/>
      </w:rPr>
      <w:fldChar w:fldCharType="begin"/>
    </w:r>
    <w:r w:rsidRPr="00D41429">
      <w:rPr>
        <w:rFonts w:ascii="Palatino Linotype" w:eastAsia="Palatino Linotype" w:hAnsi="Palatino Linotype" w:cs="Palatino Linotype"/>
        <w:b/>
        <w:color w:val="000000"/>
        <w:sz w:val="22"/>
        <w:szCs w:val="20"/>
      </w:rPr>
      <w:instrText>NUMPAGES</w:instrText>
    </w:r>
    <w:r w:rsidRPr="00D41429">
      <w:rPr>
        <w:rFonts w:ascii="Palatino Linotype" w:eastAsia="Palatino Linotype" w:hAnsi="Palatino Linotype" w:cs="Palatino Linotype"/>
        <w:b/>
        <w:color w:val="000000"/>
        <w:sz w:val="22"/>
        <w:szCs w:val="20"/>
      </w:rPr>
      <w:fldChar w:fldCharType="separate"/>
    </w:r>
    <w:r w:rsidR="004D2562">
      <w:rPr>
        <w:rFonts w:ascii="Palatino Linotype" w:eastAsia="Palatino Linotype" w:hAnsi="Palatino Linotype" w:cs="Palatino Linotype"/>
        <w:b/>
        <w:noProof/>
        <w:color w:val="000000"/>
        <w:sz w:val="22"/>
        <w:szCs w:val="20"/>
      </w:rPr>
      <w:t>42</w:t>
    </w:r>
    <w:r w:rsidRPr="00D41429">
      <w:rPr>
        <w:rFonts w:ascii="Palatino Linotype" w:eastAsia="Palatino Linotype" w:hAnsi="Palatino Linotype" w:cs="Palatino Linotype"/>
        <w:b/>
        <w:color w:val="000000"/>
        <w:sz w:val="22"/>
        <w:szCs w:val="20"/>
      </w:rPr>
      <w:fldChar w:fldCharType="end"/>
    </w:r>
  </w:p>
  <w:p w:rsidR="00CA3108" w:rsidRDefault="00CA310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108" w:rsidRPr="00D41429" w:rsidRDefault="000D2D12">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D41429">
      <w:rPr>
        <w:rFonts w:ascii="Palatino Linotype" w:eastAsia="Palatino Linotype" w:hAnsi="Palatino Linotype" w:cs="Palatino Linotype"/>
        <w:b/>
        <w:color w:val="000000"/>
        <w:sz w:val="22"/>
        <w:szCs w:val="20"/>
      </w:rPr>
      <w:t xml:space="preserve">Página </w:t>
    </w:r>
    <w:r w:rsidRPr="00D41429">
      <w:rPr>
        <w:rFonts w:ascii="Palatino Linotype" w:eastAsia="Palatino Linotype" w:hAnsi="Palatino Linotype" w:cs="Palatino Linotype"/>
        <w:b/>
        <w:color w:val="000000"/>
        <w:sz w:val="22"/>
        <w:szCs w:val="20"/>
      </w:rPr>
      <w:fldChar w:fldCharType="begin"/>
    </w:r>
    <w:r w:rsidRPr="00D41429">
      <w:rPr>
        <w:rFonts w:ascii="Palatino Linotype" w:eastAsia="Palatino Linotype" w:hAnsi="Palatino Linotype" w:cs="Palatino Linotype"/>
        <w:b/>
        <w:color w:val="000000"/>
        <w:sz w:val="22"/>
        <w:szCs w:val="20"/>
      </w:rPr>
      <w:instrText>PAGE</w:instrText>
    </w:r>
    <w:r w:rsidRPr="00D41429">
      <w:rPr>
        <w:rFonts w:ascii="Palatino Linotype" w:eastAsia="Palatino Linotype" w:hAnsi="Palatino Linotype" w:cs="Palatino Linotype"/>
        <w:b/>
        <w:color w:val="000000"/>
        <w:sz w:val="22"/>
        <w:szCs w:val="20"/>
      </w:rPr>
      <w:fldChar w:fldCharType="separate"/>
    </w:r>
    <w:r w:rsidR="004D2562">
      <w:rPr>
        <w:rFonts w:ascii="Palatino Linotype" w:eastAsia="Palatino Linotype" w:hAnsi="Palatino Linotype" w:cs="Palatino Linotype"/>
        <w:b/>
        <w:noProof/>
        <w:color w:val="000000"/>
        <w:sz w:val="22"/>
        <w:szCs w:val="20"/>
      </w:rPr>
      <w:t>1</w:t>
    </w:r>
    <w:r w:rsidRPr="00D41429">
      <w:rPr>
        <w:rFonts w:ascii="Palatino Linotype" w:eastAsia="Palatino Linotype" w:hAnsi="Palatino Linotype" w:cs="Palatino Linotype"/>
        <w:b/>
        <w:color w:val="000000"/>
        <w:sz w:val="22"/>
        <w:szCs w:val="20"/>
      </w:rPr>
      <w:fldChar w:fldCharType="end"/>
    </w:r>
    <w:r w:rsidRPr="00D41429">
      <w:rPr>
        <w:rFonts w:ascii="Palatino Linotype" w:eastAsia="Palatino Linotype" w:hAnsi="Palatino Linotype" w:cs="Palatino Linotype"/>
        <w:b/>
        <w:color w:val="000000"/>
        <w:sz w:val="22"/>
        <w:szCs w:val="20"/>
      </w:rPr>
      <w:t xml:space="preserve"> de </w:t>
    </w:r>
    <w:r w:rsidRPr="00D41429">
      <w:rPr>
        <w:rFonts w:ascii="Palatino Linotype" w:eastAsia="Palatino Linotype" w:hAnsi="Palatino Linotype" w:cs="Palatino Linotype"/>
        <w:b/>
        <w:color w:val="000000"/>
        <w:sz w:val="22"/>
        <w:szCs w:val="20"/>
      </w:rPr>
      <w:fldChar w:fldCharType="begin"/>
    </w:r>
    <w:r w:rsidRPr="00D41429">
      <w:rPr>
        <w:rFonts w:ascii="Palatino Linotype" w:eastAsia="Palatino Linotype" w:hAnsi="Palatino Linotype" w:cs="Palatino Linotype"/>
        <w:b/>
        <w:color w:val="000000"/>
        <w:sz w:val="22"/>
        <w:szCs w:val="20"/>
      </w:rPr>
      <w:instrText>NUMPAGES</w:instrText>
    </w:r>
    <w:r w:rsidRPr="00D41429">
      <w:rPr>
        <w:rFonts w:ascii="Palatino Linotype" w:eastAsia="Palatino Linotype" w:hAnsi="Palatino Linotype" w:cs="Palatino Linotype"/>
        <w:b/>
        <w:color w:val="000000"/>
        <w:sz w:val="22"/>
        <w:szCs w:val="20"/>
      </w:rPr>
      <w:fldChar w:fldCharType="separate"/>
    </w:r>
    <w:r w:rsidR="004D2562">
      <w:rPr>
        <w:rFonts w:ascii="Palatino Linotype" w:eastAsia="Palatino Linotype" w:hAnsi="Palatino Linotype" w:cs="Palatino Linotype"/>
        <w:b/>
        <w:noProof/>
        <w:color w:val="000000"/>
        <w:sz w:val="22"/>
        <w:szCs w:val="20"/>
      </w:rPr>
      <w:t>42</w:t>
    </w:r>
    <w:r w:rsidRPr="00D41429">
      <w:rPr>
        <w:rFonts w:ascii="Palatino Linotype" w:eastAsia="Palatino Linotype" w:hAnsi="Palatino Linotype" w:cs="Palatino Linotype"/>
        <w:b/>
        <w:color w:val="000000"/>
        <w:sz w:val="22"/>
        <w:szCs w:val="20"/>
      </w:rPr>
      <w:fldChar w:fldCharType="end"/>
    </w:r>
  </w:p>
  <w:p w:rsidR="00CA3108" w:rsidRDefault="00CA310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987" w:rsidRDefault="00BE1987">
      <w:r>
        <w:separator/>
      </w:r>
    </w:p>
  </w:footnote>
  <w:footnote w:type="continuationSeparator" w:id="0">
    <w:p w:rsidR="00BE1987" w:rsidRDefault="00BE1987">
      <w:r>
        <w:continuationSeparator/>
      </w:r>
    </w:p>
  </w:footnote>
  <w:footnote w:id="1">
    <w:p w:rsidR="00CA3108" w:rsidRDefault="000D2D1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CA3108" w:rsidRDefault="000D2D1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CA3108" w:rsidRDefault="000D2D12">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CA3108" w:rsidRDefault="000D2D12">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rsidR="00CA3108" w:rsidRDefault="000D2D12">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rsidR="00CA3108" w:rsidRDefault="000D2D12">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CA3108" w:rsidRDefault="000D2D12">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CA3108" w:rsidRDefault="000D2D12">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108" w:rsidRDefault="00BE1987">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371" w:type="dxa"/>
      <w:tblInd w:w="2694" w:type="dxa"/>
      <w:tblLayout w:type="fixed"/>
      <w:tblLook w:val="0400" w:firstRow="0" w:lastRow="0" w:firstColumn="0" w:lastColumn="0" w:noHBand="0" w:noVBand="1"/>
    </w:tblPr>
    <w:tblGrid>
      <w:gridCol w:w="2976"/>
      <w:gridCol w:w="4395"/>
    </w:tblGrid>
    <w:tr w:rsidR="00CA3108" w:rsidTr="00D41429">
      <w:trPr>
        <w:trHeight w:val="227"/>
      </w:trPr>
      <w:tc>
        <w:tcPr>
          <w:tcW w:w="2976" w:type="dxa"/>
          <w:vAlign w:val="center"/>
        </w:tcPr>
        <w:p w:rsidR="00CA3108" w:rsidRPr="00D41429" w:rsidRDefault="000D2D12" w:rsidP="00D41429">
          <w:pPr>
            <w:ind w:right="34"/>
            <w:jc w:val="right"/>
            <w:rPr>
              <w:rFonts w:ascii="Palatino Linotype" w:eastAsia="Palatino Linotype" w:hAnsi="Palatino Linotype" w:cs="Palatino Linotype"/>
              <w:b/>
              <w:bCs/>
              <w:szCs w:val="22"/>
            </w:rPr>
          </w:pPr>
          <w:r w:rsidRPr="00D41429">
            <w:rPr>
              <w:rFonts w:ascii="Palatino Linotype" w:eastAsia="Palatino Linotype" w:hAnsi="Palatino Linotype" w:cs="Palatino Linotype"/>
              <w:b/>
              <w:bCs/>
              <w:szCs w:val="22"/>
            </w:rPr>
            <w:t>Recurso de Revisión:</w:t>
          </w:r>
        </w:p>
      </w:tc>
      <w:tc>
        <w:tcPr>
          <w:tcW w:w="4395" w:type="dxa"/>
          <w:vAlign w:val="center"/>
        </w:tcPr>
        <w:p w:rsidR="00CA3108" w:rsidRPr="00D41429" w:rsidRDefault="000D2D12" w:rsidP="00D41429">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szCs w:val="22"/>
            </w:rPr>
          </w:pPr>
          <w:r w:rsidRPr="00D41429">
            <w:rPr>
              <w:rFonts w:ascii="Palatino Linotype" w:eastAsia="Palatino Linotype" w:hAnsi="Palatino Linotype" w:cs="Palatino Linotype"/>
              <w:bCs/>
              <w:color w:val="000000"/>
              <w:szCs w:val="22"/>
            </w:rPr>
            <w:t>07913/INFOEM/IP/RR/2025</w:t>
          </w:r>
        </w:p>
      </w:tc>
    </w:tr>
    <w:tr w:rsidR="00CA3108" w:rsidTr="00D41429">
      <w:trPr>
        <w:trHeight w:val="242"/>
      </w:trPr>
      <w:tc>
        <w:tcPr>
          <w:tcW w:w="2976" w:type="dxa"/>
          <w:vAlign w:val="center"/>
        </w:tcPr>
        <w:p w:rsidR="00CA3108" w:rsidRPr="00D41429" w:rsidRDefault="000D2D12" w:rsidP="00D41429">
          <w:pPr>
            <w:ind w:right="34"/>
            <w:jc w:val="right"/>
            <w:rPr>
              <w:rFonts w:ascii="Palatino Linotype" w:eastAsia="Palatino Linotype" w:hAnsi="Palatino Linotype" w:cs="Palatino Linotype"/>
              <w:b/>
              <w:bCs/>
              <w:szCs w:val="22"/>
            </w:rPr>
          </w:pPr>
          <w:r w:rsidRPr="00D41429">
            <w:rPr>
              <w:rFonts w:ascii="Palatino Linotype" w:eastAsia="Palatino Linotype" w:hAnsi="Palatino Linotype" w:cs="Palatino Linotype"/>
              <w:b/>
              <w:bCs/>
              <w:szCs w:val="22"/>
            </w:rPr>
            <w:t>Sujeto Obligado:</w:t>
          </w:r>
        </w:p>
      </w:tc>
      <w:tc>
        <w:tcPr>
          <w:tcW w:w="4395" w:type="dxa"/>
          <w:vAlign w:val="center"/>
        </w:tcPr>
        <w:p w:rsidR="00CA3108" w:rsidRPr="00D41429" w:rsidRDefault="000D2D12" w:rsidP="00D41429">
          <w:pPr>
            <w:pBdr>
              <w:top w:val="nil"/>
              <w:left w:val="nil"/>
              <w:bottom w:val="nil"/>
              <w:right w:val="nil"/>
              <w:between w:val="nil"/>
            </w:pBdr>
            <w:tabs>
              <w:tab w:val="center" w:pos="4419"/>
              <w:tab w:val="right" w:pos="8838"/>
            </w:tabs>
            <w:ind w:right="212"/>
            <w:rPr>
              <w:rFonts w:ascii="Palatino Linotype" w:eastAsia="Palatino Linotype" w:hAnsi="Palatino Linotype" w:cs="Palatino Linotype"/>
              <w:bCs/>
              <w:color w:val="000000"/>
              <w:szCs w:val="22"/>
            </w:rPr>
          </w:pPr>
          <w:r w:rsidRPr="00D41429">
            <w:rPr>
              <w:rFonts w:ascii="Palatino Linotype" w:eastAsia="Palatino Linotype" w:hAnsi="Palatino Linotype" w:cs="Palatino Linotype"/>
              <w:bCs/>
              <w:color w:val="000000"/>
              <w:szCs w:val="22"/>
            </w:rPr>
            <w:t>Ayuntamiento de Almoloya de Juárez</w:t>
          </w:r>
        </w:p>
      </w:tc>
    </w:tr>
    <w:tr w:rsidR="00CA3108" w:rsidTr="00D41429">
      <w:trPr>
        <w:trHeight w:val="342"/>
      </w:trPr>
      <w:tc>
        <w:tcPr>
          <w:tcW w:w="2976" w:type="dxa"/>
          <w:vAlign w:val="center"/>
        </w:tcPr>
        <w:p w:rsidR="00CA3108" w:rsidRPr="00D41429" w:rsidRDefault="000D2D12" w:rsidP="00D41429">
          <w:pPr>
            <w:ind w:right="34"/>
            <w:jc w:val="right"/>
            <w:rPr>
              <w:rFonts w:ascii="Palatino Linotype" w:eastAsia="Palatino Linotype" w:hAnsi="Palatino Linotype" w:cs="Palatino Linotype"/>
              <w:b/>
              <w:bCs/>
              <w:szCs w:val="22"/>
            </w:rPr>
          </w:pPr>
          <w:r w:rsidRPr="00D41429">
            <w:rPr>
              <w:rFonts w:ascii="Palatino Linotype" w:eastAsia="Palatino Linotype" w:hAnsi="Palatino Linotype" w:cs="Palatino Linotype"/>
              <w:b/>
              <w:bCs/>
              <w:szCs w:val="22"/>
            </w:rPr>
            <w:t>Comisionada Ponente:</w:t>
          </w:r>
        </w:p>
      </w:tc>
      <w:tc>
        <w:tcPr>
          <w:tcW w:w="4395" w:type="dxa"/>
          <w:vAlign w:val="center"/>
        </w:tcPr>
        <w:p w:rsidR="00D41429" w:rsidRDefault="00D41429" w:rsidP="00D41429">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szCs w:val="22"/>
            </w:rPr>
          </w:pPr>
        </w:p>
        <w:p w:rsidR="00CA3108" w:rsidRPr="00D41429" w:rsidRDefault="000D2D12" w:rsidP="00D41429">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szCs w:val="22"/>
            </w:rPr>
          </w:pPr>
          <w:r w:rsidRPr="00D41429">
            <w:rPr>
              <w:rFonts w:ascii="Palatino Linotype" w:eastAsia="Palatino Linotype" w:hAnsi="Palatino Linotype" w:cs="Palatino Linotype"/>
              <w:bCs/>
              <w:color w:val="000000"/>
              <w:szCs w:val="22"/>
            </w:rPr>
            <w:t>María del Rosario Mejía Ayala</w:t>
          </w:r>
        </w:p>
        <w:p w:rsidR="00CA3108" w:rsidRPr="00D41429" w:rsidRDefault="00CA3108" w:rsidP="00D41429">
          <w:pPr>
            <w:pBdr>
              <w:top w:val="nil"/>
              <w:left w:val="nil"/>
              <w:bottom w:val="nil"/>
              <w:right w:val="nil"/>
              <w:between w:val="nil"/>
            </w:pBdr>
            <w:tabs>
              <w:tab w:val="center" w:pos="4419"/>
              <w:tab w:val="right" w:pos="8838"/>
            </w:tabs>
            <w:rPr>
              <w:rFonts w:ascii="Palatino Linotype" w:eastAsia="Palatino Linotype" w:hAnsi="Palatino Linotype" w:cs="Palatino Linotype"/>
              <w:bCs/>
              <w:szCs w:val="22"/>
            </w:rPr>
          </w:pPr>
        </w:p>
      </w:tc>
    </w:tr>
  </w:tbl>
  <w:p w:rsidR="00CA3108" w:rsidRDefault="00BE1987">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513" w:type="dxa"/>
      <w:tblInd w:w="2552" w:type="dxa"/>
      <w:tblLayout w:type="fixed"/>
      <w:tblLook w:val="0400" w:firstRow="0" w:lastRow="0" w:firstColumn="0" w:lastColumn="0" w:noHBand="0" w:noVBand="1"/>
    </w:tblPr>
    <w:tblGrid>
      <w:gridCol w:w="2977"/>
      <w:gridCol w:w="4536"/>
    </w:tblGrid>
    <w:tr w:rsidR="00CA3108" w:rsidTr="00D41429">
      <w:trPr>
        <w:trHeight w:val="227"/>
      </w:trPr>
      <w:tc>
        <w:tcPr>
          <w:tcW w:w="2977" w:type="dxa"/>
          <w:vAlign w:val="center"/>
        </w:tcPr>
        <w:p w:rsidR="00CA3108" w:rsidRPr="00D41429" w:rsidRDefault="000D2D12">
          <w:pPr>
            <w:jc w:val="right"/>
            <w:rPr>
              <w:rFonts w:ascii="Palatino Linotype" w:eastAsia="Palatino Linotype" w:hAnsi="Palatino Linotype" w:cs="Palatino Linotype"/>
              <w:b/>
              <w:bCs/>
            </w:rPr>
          </w:pPr>
          <w:r w:rsidRPr="00D41429">
            <w:rPr>
              <w:rFonts w:ascii="Palatino Linotype" w:eastAsia="Palatino Linotype" w:hAnsi="Palatino Linotype" w:cs="Palatino Linotype"/>
              <w:b/>
              <w:bCs/>
            </w:rPr>
            <w:t>Recurso de Revisión:</w:t>
          </w:r>
        </w:p>
      </w:tc>
      <w:tc>
        <w:tcPr>
          <w:tcW w:w="4536" w:type="dxa"/>
          <w:vAlign w:val="center"/>
        </w:tcPr>
        <w:p w:rsidR="00CA3108" w:rsidRPr="00D41429" w:rsidRDefault="000D2D12" w:rsidP="00D41429">
          <w:pPr>
            <w:pBdr>
              <w:top w:val="nil"/>
              <w:left w:val="nil"/>
              <w:bottom w:val="nil"/>
              <w:right w:val="nil"/>
              <w:between w:val="nil"/>
            </w:pBdr>
            <w:tabs>
              <w:tab w:val="right" w:pos="8838"/>
            </w:tabs>
            <w:rPr>
              <w:rFonts w:ascii="Palatino Linotype" w:eastAsia="Palatino Linotype" w:hAnsi="Palatino Linotype" w:cs="Palatino Linotype"/>
              <w:bCs/>
              <w:color w:val="000000"/>
            </w:rPr>
          </w:pPr>
          <w:r w:rsidRPr="00D41429">
            <w:rPr>
              <w:rFonts w:ascii="Palatino Linotype" w:eastAsia="Palatino Linotype" w:hAnsi="Palatino Linotype" w:cs="Palatino Linotype"/>
              <w:bCs/>
              <w:color w:val="000000"/>
            </w:rPr>
            <w:t>07913/INFOEM/IP/RR/2025</w:t>
          </w:r>
        </w:p>
      </w:tc>
    </w:tr>
    <w:tr w:rsidR="00CA3108" w:rsidTr="00D41429">
      <w:trPr>
        <w:trHeight w:val="242"/>
      </w:trPr>
      <w:tc>
        <w:tcPr>
          <w:tcW w:w="2977" w:type="dxa"/>
          <w:vAlign w:val="center"/>
        </w:tcPr>
        <w:p w:rsidR="00CA3108" w:rsidRPr="00D41429" w:rsidRDefault="000D2D12">
          <w:pPr>
            <w:jc w:val="right"/>
            <w:rPr>
              <w:rFonts w:ascii="Palatino Linotype" w:eastAsia="Palatino Linotype" w:hAnsi="Palatino Linotype" w:cs="Palatino Linotype"/>
              <w:b/>
              <w:bCs/>
            </w:rPr>
          </w:pPr>
          <w:r w:rsidRPr="00D41429">
            <w:rPr>
              <w:rFonts w:ascii="Palatino Linotype" w:eastAsia="Palatino Linotype" w:hAnsi="Palatino Linotype" w:cs="Palatino Linotype"/>
              <w:b/>
              <w:bCs/>
            </w:rPr>
            <w:t>Recurrente:</w:t>
          </w:r>
        </w:p>
      </w:tc>
      <w:tc>
        <w:tcPr>
          <w:tcW w:w="4536" w:type="dxa"/>
        </w:tcPr>
        <w:p w:rsidR="00CA3108" w:rsidRPr="00D41429" w:rsidRDefault="004D2562" w:rsidP="004D2562">
          <w:pPr>
            <w:pBdr>
              <w:top w:val="nil"/>
              <w:left w:val="nil"/>
              <w:bottom w:val="nil"/>
              <w:right w:val="nil"/>
              <w:between w:val="nil"/>
            </w:pBdr>
            <w:tabs>
              <w:tab w:val="right" w:pos="8838"/>
              <w:tab w:val="left" w:pos="521"/>
            </w:tabs>
            <w:rPr>
              <w:rFonts w:ascii="Palatino Linotype" w:eastAsia="Palatino Linotype" w:hAnsi="Palatino Linotype" w:cs="Palatino Linotype"/>
              <w:bCs/>
              <w:color w:val="000000"/>
            </w:rPr>
          </w:pPr>
          <w:r>
            <w:rPr>
              <w:rFonts w:ascii="Palatino Linotype" w:eastAsia="Palatino Linotype" w:hAnsi="Palatino Linotype" w:cs="Palatino Linotype"/>
              <w:bCs/>
              <w:color w:val="000000"/>
            </w:rPr>
            <w:t>XXXX</w:t>
          </w:r>
        </w:p>
      </w:tc>
    </w:tr>
    <w:tr w:rsidR="00CA3108" w:rsidTr="00D41429">
      <w:trPr>
        <w:trHeight w:val="342"/>
      </w:trPr>
      <w:tc>
        <w:tcPr>
          <w:tcW w:w="2977" w:type="dxa"/>
          <w:vAlign w:val="center"/>
        </w:tcPr>
        <w:p w:rsidR="00CA3108" w:rsidRPr="00D41429" w:rsidRDefault="000D2D12">
          <w:pPr>
            <w:jc w:val="right"/>
            <w:rPr>
              <w:rFonts w:ascii="Palatino Linotype" w:eastAsia="Palatino Linotype" w:hAnsi="Palatino Linotype" w:cs="Palatino Linotype"/>
              <w:b/>
              <w:bCs/>
            </w:rPr>
          </w:pPr>
          <w:r w:rsidRPr="00D41429">
            <w:rPr>
              <w:rFonts w:ascii="Palatino Linotype" w:eastAsia="Palatino Linotype" w:hAnsi="Palatino Linotype" w:cs="Palatino Linotype"/>
              <w:b/>
              <w:bCs/>
            </w:rPr>
            <w:t>Sujeto Obligado:</w:t>
          </w:r>
        </w:p>
      </w:tc>
      <w:tc>
        <w:tcPr>
          <w:tcW w:w="4536" w:type="dxa"/>
          <w:vAlign w:val="center"/>
        </w:tcPr>
        <w:p w:rsidR="00CA3108" w:rsidRPr="00D41429" w:rsidRDefault="000D2D12" w:rsidP="00D41429">
          <w:pPr>
            <w:pBdr>
              <w:top w:val="nil"/>
              <w:left w:val="nil"/>
              <w:bottom w:val="nil"/>
              <w:right w:val="nil"/>
              <w:between w:val="nil"/>
            </w:pBdr>
            <w:tabs>
              <w:tab w:val="right" w:pos="8838"/>
            </w:tabs>
            <w:rPr>
              <w:rFonts w:ascii="Palatino Linotype" w:eastAsia="Palatino Linotype" w:hAnsi="Palatino Linotype" w:cs="Palatino Linotype"/>
              <w:bCs/>
              <w:color w:val="000000"/>
            </w:rPr>
          </w:pPr>
          <w:r w:rsidRPr="00D41429">
            <w:rPr>
              <w:rFonts w:ascii="Palatino Linotype" w:eastAsia="Palatino Linotype" w:hAnsi="Palatino Linotype" w:cs="Palatino Linotype"/>
              <w:bCs/>
              <w:color w:val="000000"/>
            </w:rPr>
            <w:t>Ayuntamiento de Almoloya de Juárez</w:t>
          </w:r>
        </w:p>
      </w:tc>
    </w:tr>
    <w:tr w:rsidR="00CA3108" w:rsidTr="00D41429">
      <w:trPr>
        <w:trHeight w:val="342"/>
      </w:trPr>
      <w:tc>
        <w:tcPr>
          <w:tcW w:w="2977" w:type="dxa"/>
          <w:vAlign w:val="center"/>
        </w:tcPr>
        <w:p w:rsidR="00CA3108" w:rsidRPr="00D41429" w:rsidRDefault="000D2D12">
          <w:pPr>
            <w:jc w:val="right"/>
            <w:rPr>
              <w:rFonts w:ascii="Palatino Linotype" w:eastAsia="Palatino Linotype" w:hAnsi="Palatino Linotype" w:cs="Palatino Linotype"/>
              <w:b/>
              <w:bCs/>
            </w:rPr>
          </w:pPr>
          <w:r w:rsidRPr="00D41429">
            <w:rPr>
              <w:rFonts w:ascii="Palatino Linotype" w:eastAsia="Palatino Linotype" w:hAnsi="Palatino Linotype" w:cs="Palatino Linotype"/>
              <w:b/>
              <w:bCs/>
            </w:rPr>
            <w:t>Comisionada Ponente:</w:t>
          </w:r>
        </w:p>
      </w:tc>
      <w:tc>
        <w:tcPr>
          <w:tcW w:w="4536" w:type="dxa"/>
          <w:vAlign w:val="center"/>
        </w:tcPr>
        <w:p w:rsidR="00CA3108" w:rsidRPr="00D41429" w:rsidRDefault="000D2D12" w:rsidP="00D41429">
          <w:pPr>
            <w:pBdr>
              <w:top w:val="nil"/>
              <w:left w:val="nil"/>
              <w:bottom w:val="nil"/>
              <w:right w:val="nil"/>
              <w:between w:val="nil"/>
            </w:pBdr>
            <w:tabs>
              <w:tab w:val="right" w:pos="8838"/>
            </w:tabs>
            <w:rPr>
              <w:rFonts w:ascii="Palatino Linotype" w:eastAsia="Palatino Linotype" w:hAnsi="Palatino Linotype" w:cs="Palatino Linotype"/>
              <w:bCs/>
              <w:color w:val="000000"/>
            </w:rPr>
          </w:pPr>
          <w:r w:rsidRPr="00D41429">
            <w:rPr>
              <w:rFonts w:ascii="Palatino Linotype" w:eastAsia="Palatino Linotype" w:hAnsi="Palatino Linotype" w:cs="Palatino Linotype"/>
              <w:bCs/>
              <w:color w:val="000000"/>
            </w:rPr>
            <w:t>María del Rosario Mejía Ayala</w:t>
          </w:r>
        </w:p>
      </w:tc>
    </w:tr>
  </w:tbl>
  <w:p w:rsidR="00CA3108" w:rsidRDefault="00BE1987">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4.55pt;margin-top:-122.3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10B74"/>
    <w:multiLevelType w:val="multilevel"/>
    <w:tmpl w:val="05F8746A"/>
    <w:lvl w:ilvl="0">
      <w:start w:val="1"/>
      <w:numFmt w:val="lowerLetter"/>
      <w:lvlText w:val="%1)"/>
      <w:lvlJc w:val="left"/>
      <w:pPr>
        <w:ind w:left="778" w:hanging="360"/>
      </w:p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 w15:restartNumberingAfterBreak="0">
    <w:nsid w:val="0B660BEB"/>
    <w:multiLevelType w:val="hybridMultilevel"/>
    <w:tmpl w:val="D06EC93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 w15:restartNumberingAfterBreak="0">
    <w:nsid w:val="0F305841"/>
    <w:multiLevelType w:val="multilevel"/>
    <w:tmpl w:val="0128D048"/>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951C14"/>
    <w:multiLevelType w:val="multilevel"/>
    <w:tmpl w:val="CF1E505E"/>
    <w:lvl w:ilvl="0">
      <w:start w:val="1"/>
      <w:numFmt w:val="lowerLetter"/>
      <w:lvlText w:val="%1)"/>
      <w:lvlJc w:val="left"/>
      <w:pPr>
        <w:ind w:left="778"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9D6628"/>
    <w:multiLevelType w:val="multilevel"/>
    <w:tmpl w:val="957AE42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5" w15:restartNumberingAfterBreak="0">
    <w:nsid w:val="4D184B3A"/>
    <w:multiLevelType w:val="multilevel"/>
    <w:tmpl w:val="4EAA499A"/>
    <w:lvl w:ilvl="0">
      <w:start w:val="24"/>
      <w:numFmt w:val="decimal"/>
      <w:lvlText w:val="%1."/>
      <w:lvlJc w:val="left"/>
      <w:pPr>
        <w:ind w:left="644" w:hanging="359"/>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108"/>
    <w:rsid w:val="00064A2F"/>
    <w:rsid w:val="000D2D12"/>
    <w:rsid w:val="000E78AF"/>
    <w:rsid w:val="004D2562"/>
    <w:rsid w:val="00BE1987"/>
    <w:rsid w:val="00CA3108"/>
    <w:rsid w:val="00D41429"/>
    <w:rsid w:val="00E26C0A"/>
    <w:rsid w:val="00E60C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3CEFA89-2052-498A-B63C-580FBBED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40"/>
      <w:outlineLvl w:val="2"/>
    </w:pPr>
    <w:rPr>
      <w:color w:val="1F3863"/>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character" w:customStyle="1" w:styleId="Ttulo1Car">
    <w:name w:val="Título 1 Car"/>
    <w:basedOn w:val="Fuentedeprrafopredeter"/>
    <w:uiPriority w:val="9"/>
    <w:rsid w:val="00947C3B"/>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7C3B"/>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7C3B"/>
    <w:pPr>
      <w:tabs>
        <w:tab w:val="center" w:pos="4419"/>
        <w:tab w:val="right" w:pos="8838"/>
      </w:tabs>
    </w:pPr>
  </w:style>
  <w:style w:type="character" w:customStyle="1" w:styleId="EncabezadoCar">
    <w:name w:val="Encabezado Car"/>
    <w:basedOn w:val="Fuentedeprrafopredeter"/>
    <w:link w:val="Encabezado"/>
    <w:uiPriority w:val="99"/>
    <w:rsid w:val="00947C3B"/>
    <w:rPr>
      <w:rFonts w:eastAsiaTheme="minorEastAsia"/>
      <w:sz w:val="24"/>
      <w:szCs w:val="24"/>
      <w:lang w:val="es-ES_tradnl" w:eastAsia="es-ES"/>
    </w:rPr>
  </w:style>
  <w:style w:type="paragraph" w:styleId="Piedepgina">
    <w:name w:val="footer"/>
    <w:basedOn w:val="Normal"/>
    <w:link w:val="PiedepginaCar"/>
    <w:uiPriority w:val="99"/>
    <w:unhideWhenUsed/>
    <w:rsid w:val="00947C3B"/>
    <w:pPr>
      <w:tabs>
        <w:tab w:val="center" w:pos="4419"/>
        <w:tab w:val="right" w:pos="8838"/>
      </w:tabs>
    </w:pPr>
  </w:style>
  <w:style w:type="character" w:customStyle="1" w:styleId="PiedepginaCar">
    <w:name w:val="Pie de página Car"/>
    <w:basedOn w:val="Fuentedeprrafopredeter"/>
    <w:link w:val="Piedepgina"/>
    <w:uiPriority w:val="99"/>
    <w:rsid w:val="00947C3B"/>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947C3B"/>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947C3B"/>
    <w:rPr>
      <w:rFonts w:eastAsiaTheme="minorEastAsia"/>
      <w:sz w:val="24"/>
      <w:szCs w:val="24"/>
      <w:lang w:val="es-ES_tradnl" w:eastAsia="es-ES"/>
    </w:rPr>
  </w:style>
  <w:style w:type="character" w:styleId="Hipervnculo">
    <w:name w:val="Hyperlink"/>
    <w:basedOn w:val="Fuentedeprrafopredeter"/>
    <w:uiPriority w:val="99"/>
    <w:unhideWhenUsed/>
    <w:rsid w:val="00947C3B"/>
    <w:rPr>
      <w:color w:val="0000FF"/>
      <w:u w:val="single"/>
    </w:rPr>
  </w:style>
  <w:style w:type="table" w:customStyle="1" w:styleId="Tablanormal12">
    <w:name w:val="Tabla normal 12"/>
    <w:basedOn w:val="Tablanormal"/>
    <w:next w:val="Tablanormal1"/>
    <w:uiPriority w:val="41"/>
    <w:rsid w:val="00947C3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947C3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1">
    <w:name w:val="Mención sin resolver1"/>
    <w:basedOn w:val="Fuentedeprrafopredeter"/>
    <w:uiPriority w:val="99"/>
    <w:semiHidden/>
    <w:unhideWhenUsed/>
    <w:rsid w:val="008A09B0"/>
    <w:rPr>
      <w:color w:val="605E5C"/>
      <w:shd w:val="clear" w:color="auto" w:fill="E1DFDD"/>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5F346E"/>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F346E"/>
    <w:rPr>
      <w:rFonts w:eastAsiaTheme="minorHAnsi"/>
      <w:sz w:val="20"/>
      <w:szCs w:val="20"/>
      <w:lang w:val="es-MX" w:eastAsia="en-US"/>
    </w:rPr>
  </w:style>
  <w:style w:type="character" w:customStyle="1" w:styleId="TextonotapieCar1">
    <w:name w:val="Texto nota pie Car1"/>
    <w:basedOn w:val="Fuentedeprrafopredeter"/>
    <w:uiPriority w:val="99"/>
    <w:semiHidden/>
    <w:rsid w:val="005F346E"/>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5F346E"/>
    <w:rPr>
      <w:vertAlign w:val="superscript"/>
    </w:rPr>
  </w:style>
  <w:style w:type="paragraph" w:customStyle="1" w:styleId="Citas">
    <w:name w:val="Citas"/>
    <w:basedOn w:val="Normal"/>
    <w:qFormat/>
    <w:rsid w:val="002124C5"/>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Sinespaciado">
    <w:name w:val="No Spacing"/>
    <w:aliases w:val="Francesa,INAI"/>
    <w:link w:val="SinespaciadoCar"/>
    <w:uiPriority w:val="1"/>
    <w:qFormat/>
    <w:rsid w:val="00B90932"/>
  </w:style>
  <w:style w:type="character" w:customStyle="1" w:styleId="SinespaciadoCar">
    <w:name w:val="Sin espaciado Car"/>
    <w:aliases w:val="Francesa Car,INAI Car"/>
    <w:link w:val="Sinespaciado"/>
    <w:uiPriority w:val="1"/>
    <w:locked/>
    <w:rsid w:val="00B90932"/>
  </w:style>
  <w:style w:type="paragraph" w:customStyle="1" w:styleId="Default">
    <w:name w:val="Default"/>
    <w:qFormat/>
    <w:rsid w:val="008809BF"/>
    <w:pPr>
      <w:autoSpaceDE w:val="0"/>
      <w:autoSpaceDN w:val="0"/>
      <w:adjustRightInd w:val="0"/>
    </w:pPr>
    <w:rPr>
      <w:rFonts w:ascii="Arial" w:hAnsi="Arial" w:cs="Arial"/>
      <w:color w:val="000000"/>
    </w:rPr>
  </w:style>
  <w:style w:type="paragraph" w:styleId="Textoindependiente">
    <w:name w:val="Body Text"/>
    <w:basedOn w:val="Normal"/>
    <w:link w:val="TextoindependienteCar"/>
    <w:rsid w:val="00186EC3"/>
    <w:pPr>
      <w:jc w:val="both"/>
    </w:pPr>
    <w:rPr>
      <w:rFonts w:ascii="Arial" w:eastAsia="Times New Roman" w:hAnsi="Arial" w:cs="Times New Roman"/>
      <w:szCs w:val="20"/>
      <w:lang w:val="es-MX" w:eastAsia="es-ES_tradnl"/>
    </w:rPr>
  </w:style>
  <w:style w:type="character" w:customStyle="1" w:styleId="TextoindependienteCar">
    <w:name w:val="Texto independiente Car"/>
    <w:basedOn w:val="Fuentedeprrafopredeter"/>
    <w:link w:val="Textoindependiente"/>
    <w:rsid w:val="00186EC3"/>
    <w:rPr>
      <w:rFonts w:ascii="Arial" w:eastAsia="Times New Roman" w:hAnsi="Arial" w:cs="Times New Roman"/>
      <w:sz w:val="24"/>
      <w:szCs w:val="20"/>
      <w:lang w:eastAsia="es-ES_tradnl"/>
    </w:rPr>
  </w:style>
  <w:style w:type="character" w:customStyle="1" w:styleId="Ttulo3Car">
    <w:name w:val="Título 3 Car"/>
    <w:basedOn w:val="Fuentedeprrafopredeter"/>
    <w:uiPriority w:val="9"/>
    <w:rsid w:val="00826670"/>
    <w:rPr>
      <w:rFonts w:asciiTheme="majorHAnsi" w:eastAsiaTheme="majorEastAsia" w:hAnsiTheme="majorHAnsi" w:cstheme="majorBidi"/>
      <w:color w:val="1F3763" w:themeColor="accent1" w:themeShade="7F"/>
      <w:sz w:val="24"/>
      <w:szCs w:val="24"/>
      <w:lang w:val="es-ES_tradnl" w:eastAsia="es-ES"/>
    </w:rPr>
  </w:style>
  <w:style w:type="paragraph" w:customStyle="1" w:styleId="j">
    <w:name w:val="j"/>
    <w:basedOn w:val="Normal"/>
    <w:rsid w:val="00826670"/>
    <w:pPr>
      <w:spacing w:before="100" w:beforeAutospacing="1" w:after="100" w:afterAutospacing="1"/>
    </w:pPr>
    <w:rPr>
      <w:rFonts w:ascii="Times New Roman" w:eastAsia="Times New Roman" w:hAnsi="Times New Roman" w:cs="Times New Roman"/>
      <w:lang w:val="es-MX"/>
    </w:rPr>
  </w:style>
  <w:style w:type="paragraph" w:customStyle="1" w:styleId="francesa">
    <w:name w:val="francesa"/>
    <w:basedOn w:val="Normal"/>
    <w:rsid w:val="00826670"/>
    <w:pPr>
      <w:spacing w:before="100" w:beforeAutospacing="1" w:after="100" w:afterAutospacing="1"/>
    </w:pPr>
    <w:rPr>
      <w:rFonts w:ascii="Times New Roman" w:eastAsia="Times New Roman" w:hAnsi="Times New Roman" w:cs="Times New Roman"/>
      <w:lang w:val="es-MX"/>
    </w:rPr>
  </w:style>
  <w:style w:type="character" w:customStyle="1" w:styleId="charoverride-2">
    <w:name w:val="charoverride-2"/>
    <w:basedOn w:val="Fuentedeprrafopredeter"/>
    <w:rsid w:val="00826670"/>
  </w:style>
  <w:style w:type="character" w:customStyle="1" w:styleId="charoverride-1">
    <w:name w:val="charoverride-1"/>
    <w:basedOn w:val="Fuentedeprrafopredeter"/>
    <w:rsid w:val="00826670"/>
  </w:style>
  <w:style w:type="paragraph" w:styleId="NormalWeb">
    <w:name w:val="Normal (Web)"/>
    <w:basedOn w:val="Normal"/>
    <w:uiPriority w:val="99"/>
    <w:unhideWhenUsed/>
    <w:rsid w:val="004A64CC"/>
    <w:pPr>
      <w:spacing w:before="100" w:beforeAutospacing="1" w:after="100" w:afterAutospacing="1"/>
    </w:pPr>
    <w:rPr>
      <w:rFonts w:ascii="Times New Roman" w:eastAsia="Times New Roman" w:hAnsi="Times New Roman" w:cs="Times New Roman"/>
      <w:lang w:val="es-MX"/>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fOcJP1yzL5bOI+MTYDs5HwRkYg==">CgMxLjAyDmguMmFocjBrdzlud2NvMg5oLjhvbno1dTZodTNycjIOaC5zanlsYm9rZm92MnEyDmgudzN2MThvdW5jcDliMg5oLjVzeHgyd3JycDkxeTIOaC5kdm5sdGdkN3pqN3cyDmgudHFiNWVkazdhdGFsOAByITF3YkpDMzNVQmY2NnhhYjUyQ3RLT205U0F3N1dTOUpMdw==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42</Pages>
  <Words>9412</Words>
  <Characters>51767</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Cuenta Microsoft</cp:lastModifiedBy>
  <cp:revision>6</cp:revision>
  <cp:lastPrinted>2026-02-27T16:04:00Z</cp:lastPrinted>
  <dcterms:created xsi:type="dcterms:W3CDTF">2026-02-18T19:40:00Z</dcterms:created>
  <dcterms:modified xsi:type="dcterms:W3CDTF">2026-03-05T19:42:00Z</dcterms:modified>
</cp:coreProperties>
</file>