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C10E8" w14:textId="77777777" w:rsidR="007E6D6E" w:rsidRDefault="00DF6000">
      <w:pPr>
        <w:tabs>
          <w:tab w:val="left" w:pos="3465"/>
        </w:tabs>
        <w:spacing w:line="360" w:lineRule="auto"/>
        <w:ind w:right="-929"/>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Pr>
          <w:rFonts w:ascii="Palatino Linotype" w:eastAsia="Palatino Linotype" w:hAnsi="Palatino Linotype" w:cs="Palatino Linotype"/>
          <w:b/>
          <w:bCs/>
        </w:rPr>
        <w:t>fecha tres (03) de junio de dos mil veintiséis.</w:t>
      </w:r>
    </w:p>
    <w:p w14:paraId="75E15877" w14:textId="77777777" w:rsidR="007E6D6E" w:rsidRDefault="007E6D6E">
      <w:pPr>
        <w:tabs>
          <w:tab w:val="left" w:pos="3465"/>
        </w:tabs>
        <w:spacing w:line="360" w:lineRule="auto"/>
        <w:ind w:right="-929"/>
        <w:jc w:val="both"/>
        <w:rPr>
          <w:rFonts w:ascii="Palatino Linotype" w:eastAsia="Palatino Linotype" w:hAnsi="Palatino Linotype" w:cs="Palatino Linotype"/>
        </w:rPr>
      </w:pPr>
    </w:p>
    <w:p w14:paraId="610BB24F" w14:textId="45FAE5C7" w:rsidR="007E6D6E" w:rsidRDefault="00DF6000">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01128/INFOEM/IP/RR/2026</w:t>
      </w:r>
      <w:r>
        <w:rPr>
          <w:rFonts w:ascii="Palatino Linotype" w:eastAsia="Palatino Linotype" w:hAnsi="Palatino Linotype" w:cs="Palatino Linotype"/>
          <w:color w:val="000000"/>
        </w:rPr>
        <w:t xml:space="preserve">, promovido </w:t>
      </w:r>
      <w:r>
        <w:rPr>
          <w:rFonts w:ascii="Palatino Linotype" w:eastAsia="Palatino Linotype" w:hAnsi="Palatino Linotype" w:cs="Palatino Linotype"/>
        </w:rPr>
        <w:t>por</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una persona que se registró bajo el pseudónimo de </w:t>
      </w:r>
      <w:r w:rsidR="00C25D67">
        <w:rPr>
          <w:rFonts w:ascii="Palatino Linotype" w:eastAsia="Palatino Linotype" w:hAnsi="Palatino Linotype" w:cs="Palatino Linotype"/>
          <w:b/>
          <w:bCs/>
        </w:rPr>
        <w:t>XXXX</w:t>
      </w:r>
      <w:r>
        <w:rPr>
          <w:rFonts w:ascii="Palatino Linotype" w:eastAsia="Palatino Linotype" w:hAnsi="Palatino Linotype" w:cs="Palatino Linotype"/>
          <w:color w:val="000000"/>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00051/TEJUPIL/IP/2025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Tejupilco,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w:t>
      </w:r>
    </w:p>
    <w:p w14:paraId="18C45BE4" w14:textId="77777777" w:rsidR="007E6D6E" w:rsidRDefault="007E6D6E">
      <w:pPr>
        <w:spacing w:line="360" w:lineRule="auto"/>
        <w:ind w:right="-929"/>
        <w:jc w:val="both"/>
        <w:rPr>
          <w:rFonts w:ascii="Palatino Linotype" w:eastAsia="Palatino Linotype" w:hAnsi="Palatino Linotype" w:cs="Palatino Linotype"/>
        </w:rPr>
      </w:pPr>
    </w:p>
    <w:p w14:paraId="4005EF7A" w14:textId="77777777" w:rsidR="007E6D6E" w:rsidRDefault="00DF6000">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14:paraId="3EC0F742" w14:textId="77777777" w:rsidR="007E6D6E" w:rsidRDefault="007E6D6E">
      <w:pPr>
        <w:pBdr>
          <w:top w:val="nil"/>
          <w:left w:val="nil"/>
          <w:bottom w:val="nil"/>
          <w:right w:val="nil"/>
          <w:between w:val="nil"/>
        </w:pBdr>
        <w:spacing w:line="360" w:lineRule="auto"/>
        <w:ind w:left="720" w:right="-929"/>
        <w:jc w:val="both"/>
        <w:rPr>
          <w:rFonts w:ascii="Palatino Linotype" w:eastAsia="Palatino Linotype" w:hAnsi="Palatino Linotype" w:cs="Palatino Linotype"/>
          <w:b/>
          <w:bCs/>
          <w:color w:val="000000"/>
          <w:u w:val="single"/>
        </w:rPr>
      </w:pPr>
    </w:p>
    <w:p w14:paraId="0BDA73F3" w14:textId="77777777" w:rsidR="007E6D6E" w:rsidRDefault="00DF6000">
      <w:pPr>
        <w:numPr>
          <w:ilvl w:val="0"/>
          <w:numId w:val="3"/>
        </w:numPr>
        <w:pBdr>
          <w:top w:val="nil"/>
          <w:left w:val="nil"/>
          <w:bottom w:val="nil"/>
          <w:right w:val="nil"/>
          <w:between w:val="nil"/>
        </w:pBdr>
        <w:tabs>
          <w:tab w:val="left" w:pos="0"/>
        </w:tabs>
        <w:spacing w:line="360" w:lineRule="auto"/>
        <w:ind w:left="0" w:right="-929"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quince de diciembre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14:paraId="569EE401" w14:textId="77777777" w:rsidR="007E6D6E" w:rsidRDefault="007E6D6E">
      <w:pPr>
        <w:pBdr>
          <w:top w:val="nil"/>
          <w:left w:val="nil"/>
          <w:bottom w:val="nil"/>
          <w:right w:val="nil"/>
          <w:between w:val="nil"/>
        </w:pBdr>
        <w:ind w:right="-929"/>
        <w:jc w:val="both"/>
        <w:rPr>
          <w:rFonts w:ascii="Palatino Linotype" w:eastAsia="Palatino Linotype" w:hAnsi="Palatino Linotype" w:cs="Palatino Linotype"/>
          <w:color w:val="000000"/>
        </w:rPr>
      </w:pPr>
    </w:p>
    <w:p w14:paraId="289DD315"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 fundamento en los artículos 6° de la Constitución Política de los Estados Unidos Mexicanos, 8° de la Ley General de Transparencia y Acceso a la Información Pública, y 2, 4, 13, 43, 44, 45, 92, 95, 100, 117, 120 y 143 de la Ley de Transparencia y Acceso a la Información Pública del Estado de México y Municipios, solicito respetuosamente la siguiente información correspondiente exclusivamente al ejercicio 2025, relacionada con la Unidad de Transparencia del Ayuntamiento y su Titular: 🟦 1. Titular de la Unidad de Transparencia Nombre completo del Titular de la Unidad de Transparencia. Copia en versión pública del nombramiento. Fecha de inicio en el cargo. Fundamento legal de su designación. Atribuciones y obligaciones del cargo conforme a la Ley, Bando Municipal y reglamentos aplicables. 🟩 2. Estructura y operación de la Unidad de Transparencia Manual de Organización y Procedimientos de la Unidad de Transparencia. Estructura orgánica vigente. Listado del personal adscrito a la Unidad de Transparencia indicando: Nombre Puesto Funciones Sueldo bruto y neto Horarios oficiales de atención y medios habilitados para recibir solicitudes de información. 🟧 3. Gestión de solicitudes </w:t>
      </w:r>
      <w:r>
        <w:rPr>
          <w:rFonts w:ascii="Palatino Linotype" w:eastAsia="Palatino Linotype" w:hAnsi="Palatino Linotype" w:cs="Palatino Linotype"/>
          <w:i/>
          <w:iCs/>
          <w:color w:val="000000"/>
        </w:rPr>
        <w:lastRenderedPageBreak/>
        <w:t xml:space="preserve">de información pública (2025) Número total de solicitudes de información recibidas en 2025. Número de solicitudes contestadas dentro del plazo legal. Número de solicitudes contestadas de forma extemporánea. Número de solicitudes en las que se haya requerido aclaración o prevención. Número de solicitudes en las que se haya declarado inexistencia de información. Número de solicitudes en las que se haya clasificado información como reservada o confidencial. Número de solicitudes en las que se haya autorizado ampliación de plazo. 🟥 4. Comité de Transparencia Copia del acta de instalación del Comité de Transparencia. Integrantes del Comité y cargos que desempeñan. Copia de las actas de sesiones celebradas en 2025. Copia de las resoluciones emitidas por el Comité durante 2025, incluyendo: Clasificaciones Desclasificaciones Declaratorias de inexistencia 🟨 5. Recursos de revisión y cumplimiento Número de recursos de revisión interpuestos en contra del Ayuntamiento en 2025. Sentido de las resoluciones emitidas por el INFOEM (confirmadas, modificadas o revocadas). Copia en versión pública de las resoluciones emitidas por el INFOEM en 2025. Informe sobre el cumplimiento o incumplimiento de dichas resoluciones. Medidas de apremio o apercibimientos impuestos al Ayuntamiento en materia de transparencia durante 2025, si los hubiera. 🟪 6. Obligaciones de transparencia e IPOMEX Nombre del servidor público responsable de la actualización del portal IPOMEX. Calendario de actualización de obligaciones de transparencia. Informes internos de cumplimiento de obligaciones de transparencia correspondientes a 2025. Observaciones, requerimientos o vistas formuladas por el INFOEM al Ayuntamiento en materia de IPOMEX durante 2025. Acciones correctivas implementadas para dar cumplimiento a dichas observaciones. 🟫 7. Capacitación y control interno Programas de capacitación impartidos en materia de transparencia y acceso a la información durante 2025. Listas de asistencia y constancias emitidas (versión pública). Procedimientos administrativos iniciados o vistas dadas a la Contraloría Municipal por incumplimiento a la Ley de Transparencia durante 2025. </w:t>
      </w:r>
      <w:r>
        <w:rPr>
          <w:rFonts w:ascii="Quattrocento Sans" w:eastAsia="Quattrocento Sans" w:hAnsi="Quattrocento Sans" w:cs="Quattrocento Sans"/>
          <w:i/>
          <w:iCs/>
          <w:color w:val="000000"/>
        </w:rPr>
        <w:t>🔴</w:t>
      </w:r>
      <w:r>
        <w:rPr>
          <w:rFonts w:ascii="Palatino Linotype" w:eastAsia="Palatino Linotype" w:hAnsi="Palatino Linotype" w:cs="Palatino Linotype"/>
          <w:i/>
          <w:iCs/>
          <w:color w:val="000000"/>
        </w:rPr>
        <w:t xml:space="preserve"> 8. En caso de inexistencia En caso de que alguno de los documentos solicitados no exista, solicito la emisión del acta circunstanciada de inexistencia, debidamente fundada y motivada, conforme al artículo 143 de la Ley de Transparencia del Estado de México y Municipios.” (Sic)</w:t>
      </w:r>
    </w:p>
    <w:p w14:paraId="49B78281" w14:textId="77777777" w:rsidR="007E6D6E" w:rsidRDefault="007E6D6E">
      <w:pPr>
        <w:spacing w:line="360" w:lineRule="auto"/>
        <w:ind w:right="-929"/>
        <w:jc w:val="both"/>
        <w:rPr>
          <w:rFonts w:ascii="Palatino Linotype" w:eastAsia="Palatino Linotype" w:hAnsi="Palatino Linotype" w:cs="Palatino Linotype"/>
        </w:rPr>
      </w:pPr>
    </w:p>
    <w:p w14:paraId="20165958" w14:textId="77777777" w:rsidR="007E6D6E" w:rsidRDefault="00DF6000">
      <w:pPr>
        <w:numPr>
          <w:ilvl w:val="0"/>
          <w:numId w:val="19"/>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14:paraId="146E4D94" w14:textId="77777777" w:rsidR="007E6D6E" w:rsidRDefault="007E6D6E">
      <w:p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p>
    <w:p w14:paraId="66A2DA9D" w14:textId="77777777" w:rsidR="007E6D6E" w:rsidRDefault="00DF6000">
      <w:pPr>
        <w:numPr>
          <w:ilvl w:val="0"/>
          <w:numId w:val="3"/>
        </w:numPr>
        <w:pBdr>
          <w:top w:val="nil"/>
          <w:left w:val="nil"/>
          <w:bottom w:val="nil"/>
          <w:right w:val="nil"/>
          <w:between w:val="nil"/>
        </w:pBdr>
        <w:tabs>
          <w:tab w:val="left" w:pos="0"/>
        </w:tabs>
        <w:spacing w:line="360" w:lineRule="auto"/>
        <w:ind w:left="0" w:right="-929"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tres de diciembre de dos mil 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 los archivos digitales siguientes:</w:t>
      </w:r>
    </w:p>
    <w:p w14:paraId="10A9AD8D" w14:textId="77777777" w:rsidR="007E6D6E" w:rsidRDefault="00DF6000">
      <w:pPr>
        <w:numPr>
          <w:ilvl w:val="0"/>
          <w:numId w:val="5"/>
        </w:numPr>
        <w:pBdr>
          <w:top w:val="nil"/>
          <w:left w:val="nil"/>
          <w:bottom w:val="nil"/>
          <w:right w:val="nil"/>
          <w:between w:val="nil"/>
        </w:pBdr>
        <w:tabs>
          <w:tab w:val="left" w:pos="567"/>
        </w:tabs>
        <w:ind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1ER ACTA DEL COMITÉ DE TRANSPARENCIA AYUNT DE TEJUPILCO.pdf</w:t>
      </w:r>
    </w:p>
    <w:p w14:paraId="5873BF01" w14:textId="77777777" w:rsidR="007E6D6E" w:rsidRDefault="00DF6000">
      <w:pPr>
        <w:pBdr>
          <w:top w:val="nil"/>
          <w:left w:val="nil"/>
          <w:bottom w:val="nil"/>
          <w:right w:val="nil"/>
          <w:between w:val="nil"/>
        </w:pBdr>
        <w:tabs>
          <w:tab w:val="left" w:pos="567"/>
        </w:tabs>
        <w:ind w:left="426"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ACTA DE LA PRIMERA SESIÓN ORDINARIA PARA LA INTEGRACION DEL COMITÉ DE TRANSPARENCIA DEL AYUNTAMIENTO DE TEJUPILCO, ESTADO DE MEXICO. ADMINISTRACION 2025-2027</w:t>
      </w:r>
    </w:p>
    <w:p w14:paraId="6B737FD3" w14:textId="77777777" w:rsidR="007E6D6E" w:rsidRDefault="007E6D6E">
      <w:pPr>
        <w:pBdr>
          <w:top w:val="nil"/>
          <w:left w:val="nil"/>
          <w:bottom w:val="nil"/>
          <w:right w:val="nil"/>
          <w:between w:val="nil"/>
        </w:pBdr>
        <w:tabs>
          <w:tab w:val="left" w:pos="567"/>
        </w:tabs>
        <w:ind w:right="-929"/>
        <w:jc w:val="both"/>
        <w:rPr>
          <w:rFonts w:ascii="Palatino Linotype" w:eastAsia="Palatino Linotype" w:hAnsi="Palatino Linotype" w:cs="Palatino Linotype"/>
          <w:color w:val="000000"/>
        </w:rPr>
      </w:pPr>
    </w:p>
    <w:p w14:paraId="48FBA229" w14:textId="77777777" w:rsidR="007E6D6E" w:rsidRDefault="00DF6000">
      <w:pPr>
        <w:pBdr>
          <w:top w:val="nil"/>
          <w:left w:val="nil"/>
          <w:bottom w:val="nil"/>
          <w:right w:val="nil"/>
          <w:between w:val="nil"/>
        </w:pBdr>
        <w:tabs>
          <w:tab w:val="left" w:pos="567"/>
        </w:tabs>
        <w:ind w:left="426"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Misma que se proporcionó en incorrecta versión pública al testar la firma de servidores públicos.</w:t>
      </w:r>
    </w:p>
    <w:p w14:paraId="7888D6EF" w14:textId="77777777" w:rsidR="007E6D6E" w:rsidRDefault="007E6D6E">
      <w:pPr>
        <w:pBdr>
          <w:top w:val="nil"/>
          <w:left w:val="nil"/>
          <w:bottom w:val="nil"/>
          <w:right w:val="nil"/>
          <w:between w:val="nil"/>
        </w:pBdr>
        <w:tabs>
          <w:tab w:val="left" w:pos="567"/>
        </w:tabs>
        <w:ind w:left="426" w:right="-929"/>
        <w:jc w:val="both"/>
        <w:rPr>
          <w:rFonts w:ascii="Palatino Linotype" w:eastAsia="Palatino Linotype" w:hAnsi="Palatino Linotype" w:cs="Palatino Linotype"/>
          <w:b/>
          <w:bCs/>
          <w:i/>
          <w:iCs/>
          <w:color w:val="000000"/>
        </w:rPr>
      </w:pPr>
    </w:p>
    <w:p w14:paraId="34AA7913" w14:textId="77777777" w:rsidR="007E6D6E" w:rsidRDefault="00DF6000">
      <w:pPr>
        <w:numPr>
          <w:ilvl w:val="0"/>
          <w:numId w:val="5"/>
        </w:numPr>
        <w:pBdr>
          <w:top w:val="nil"/>
          <w:left w:val="nil"/>
          <w:bottom w:val="nil"/>
          <w:right w:val="nil"/>
          <w:between w:val="nil"/>
        </w:pBdr>
        <w:tabs>
          <w:tab w:val="left" w:pos="567"/>
        </w:tabs>
        <w:ind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Informacion Solicitada UT.docx</w:t>
      </w:r>
    </w:p>
    <w:p w14:paraId="0AF39743" w14:textId="77777777" w:rsidR="007E6D6E" w:rsidRDefault="00DF6000">
      <w:pPr>
        <w:pBdr>
          <w:top w:val="nil"/>
          <w:left w:val="nil"/>
          <w:bottom w:val="nil"/>
          <w:right w:val="nil"/>
          <w:between w:val="nil"/>
        </w:pBdr>
        <w:tabs>
          <w:tab w:val="left" w:pos="567"/>
        </w:tabs>
        <w:ind w:left="426"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escrito libre que contiene diversa información en atención al requerimiento realizado.</w:t>
      </w:r>
    </w:p>
    <w:p w14:paraId="3DFE9226" w14:textId="77777777" w:rsidR="007E6D6E" w:rsidRDefault="007E6D6E">
      <w:pPr>
        <w:pBdr>
          <w:top w:val="nil"/>
          <w:left w:val="nil"/>
          <w:bottom w:val="nil"/>
          <w:right w:val="nil"/>
          <w:between w:val="nil"/>
        </w:pBdr>
        <w:tabs>
          <w:tab w:val="left" w:pos="567"/>
        </w:tabs>
        <w:ind w:left="426" w:right="-929"/>
        <w:jc w:val="both"/>
        <w:rPr>
          <w:rFonts w:ascii="Palatino Linotype" w:eastAsia="Palatino Linotype" w:hAnsi="Palatino Linotype" w:cs="Palatino Linotype"/>
          <w:color w:val="000000"/>
        </w:rPr>
      </w:pPr>
    </w:p>
    <w:p w14:paraId="6A39871B" w14:textId="77777777" w:rsidR="007E6D6E" w:rsidRDefault="00DF6000">
      <w:pPr>
        <w:numPr>
          <w:ilvl w:val="0"/>
          <w:numId w:val="5"/>
        </w:numPr>
        <w:pBdr>
          <w:top w:val="nil"/>
          <w:left w:val="nil"/>
          <w:bottom w:val="nil"/>
          <w:right w:val="nil"/>
          <w:between w:val="nil"/>
        </w:pBdr>
        <w:tabs>
          <w:tab w:val="left" w:pos="567"/>
        </w:tabs>
        <w:ind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LISTA DE ASISTENCIA A CAPACITACIÓN.pdf</w:t>
      </w:r>
    </w:p>
    <w:p w14:paraId="3C0105B4" w14:textId="77777777" w:rsidR="007E6D6E" w:rsidRDefault="00DF6000">
      <w:pPr>
        <w:pBdr>
          <w:top w:val="nil"/>
          <w:left w:val="nil"/>
          <w:bottom w:val="nil"/>
          <w:right w:val="nil"/>
          <w:between w:val="nil"/>
        </w:pBdr>
        <w:tabs>
          <w:tab w:val="left" w:pos="567"/>
        </w:tabs>
        <w:ind w:left="426"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que contiene una relación en la que se advierte nombre, área, fecha y firma.</w:t>
      </w:r>
    </w:p>
    <w:p w14:paraId="0E449DA4" w14:textId="77777777" w:rsidR="007E6D6E" w:rsidRDefault="00DF6000">
      <w:pPr>
        <w:pBdr>
          <w:top w:val="nil"/>
          <w:left w:val="nil"/>
          <w:bottom w:val="nil"/>
          <w:right w:val="nil"/>
          <w:between w:val="nil"/>
        </w:pBdr>
        <w:tabs>
          <w:tab w:val="left" w:pos="567"/>
        </w:tabs>
        <w:ind w:left="426"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Misma que se proporcionó en incorrecta versión pública al testar la firma de servidores públicos.</w:t>
      </w:r>
    </w:p>
    <w:p w14:paraId="7960487C" w14:textId="77777777" w:rsidR="007E6D6E" w:rsidRDefault="00DF6000">
      <w:pPr>
        <w:pBdr>
          <w:top w:val="nil"/>
          <w:left w:val="nil"/>
          <w:bottom w:val="nil"/>
          <w:right w:val="nil"/>
          <w:between w:val="nil"/>
        </w:pBdr>
        <w:tabs>
          <w:tab w:val="left" w:pos="567"/>
        </w:tabs>
        <w:ind w:left="426"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se puede advertir otro documento en el que se advierte una relación con nombre, firma y unidad administrativa.</w:t>
      </w:r>
    </w:p>
    <w:p w14:paraId="7DC9A7D1" w14:textId="77777777" w:rsidR="007E6D6E" w:rsidRDefault="007E6D6E">
      <w:pPr>
        <w:pBdr>
          <w:top w:val="nil"/>
          <w:left w:val="nil"/>
          <w:bottom w:val="nil"/>
          <w:right w:val="nil"/>
          <w:between w:val="nil"/>
        </w:pBdr>
        <w:tabs>
          <w:tab w:val="left" w:pos="1591"/>
        </w:tabs>
        <w:ind w:right="-929"/>
        <w:jc w:val="both"/>
        <w:rPr>
          <w:rFonts w:ascii="Palatino Linotype" w:eastAsia="Palatino Linotype" w:hAnsi="Palatino Linotype" w:cs="Palatino Linotype"/>
          <w:b/>
          <w:bCs/>
        </w:rPr>
      </w:pPr>
    </w:p>
    <w:p w14:paraId="3C37F6FC" w14:textId="77777777" w:rsidR="007E6D6E" w:rsidRDefault="007E6D6E">
      <w:pPr>
        <w:pBdr>
          <w:top w:val="nil"/>
          <w:left w:val="nil"/>
          <w:bottom w:val="nil"/>
          <w:right w:val="nil"/>
          <w:between w:val="nil"/>
        </w:pBdr>
        <w:tabs>
          <w:tab w:val="left" w:pos="1591"/>
        </w:tabs>
        <w:ind w:right="-929"/>
        <w:jc w:val="both"/>
        <w:rPr>
          <w:rFonts w:ascii="Palatino Linotype" w:eastAsia="Palatino Linotype" w:hAnsi="Palatino Linotype" w:cs="Palatino Linotype"/>
          <w:b/>
          <w:bCs/>
        </w:rPr>
      </w:pPr>
    </w:p>
    <w:p w14:paraId="4A0AF757" w14:textId="77777777" w:rsidR="007E6D6E" w:rsidRDefault="00DF6000">
      <w:pPr>
        <w:numPr>
          <w:ilvl w:val="0"/>
          <w:numId w:val="3"/>
        </w:numPr>
        <w:pBdr>
          <w:top w:val="nil"/>
          <w:left w:val="nil"/>
          <w:bottom w:val="nil"/>
          <w:right w:val="nil"/>
          <w:between w:val="nil"/>
        </w:pBdr>
        <w:tabs>
          <w:tab w:val="left" w:pos="0"/>
        </w:tabs>
        <w:spacing w:line="360" w:lineRule="auto"/>
        <w:ind w:left="0" w:right="-929"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veintiséis de enero de dos mil veintiséis</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en contra de la respuesta otorgada por el Sujeto Obligado, realizando las siguientes manifestaciones:</w:t>
      </w:r>
    </w:p>
    <w:p w14:paraId="21BF9D9F"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b/>
          <w:bCs/>
        </w:rPr>
      </w:pPr>
      <w:bookmarkStart w:id="2" w:name="_heading=h.tfhqoujuyn98" w:colFirst="0" w:colLast="0"/>
      <w:bookmarkEnd w:id="2"/>
    </w:p>
    <w:p w14:paraId="4F0EAE82" w14:textId="77777777" w:rsidR="007E6D6E" w:rsidRDefault="00DF6000">
      <w:pPr>
        <w:numPr>
          <w:ilvl w:val="0"/>
          <w:numId w:val="1"/>
        </w:numPr>
        <w:pBdr>
          <w:top w:val="nil"/>
          <w:left w:val="nil"/>
          <w:bottom w:val="nil"/>
          <w:right w:val="nil"/>
          <w:between w:val="nil"/>
        </w:pBdr>
        <w:ind w:right="-929"/>
        <w:jc w:val="both"/>
        <w:rPr>
          <w:rFonts w:ascii="Palatino Linotype" w:eastAsia="Palatino Linotype" w:hAnsi="Palatino Linotype" w:cs="Palatino Linotype"/>
          <w:b/>
          <w:bCs/>
          <w:color w:val="000000"/>
        </w:rPr>
      </w:pPr>
      <w:bookmarkStart w:id="3" w:name="_heading=h.30j0zll" w:colFirst="0" w:colLast="0"/>
      <w:bookmarkEnd w:id="3"/>
      <w:r>
        <w:rPr>
          <w:rFonts w:ascii="Palatino Linotype" w:eastAsia="Palatino Linotype" w:hAnsi="Palatino Linotype" w:cs="Palatino Linotype"/>
          <w:b/>
          <w:bCs/>
          <w:color w:val="000000"/>
        </w:rPr>
        <w:t xml:space="preserve">Acto impugnado: </w:t>
      </w:r>
    </w:p>
    <w:p w14:paraId="01499197"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“Impugno la respuesta otorgada por ser incompleta, no exhaustiva y evasiva, y por omitir la emisión de actas de inexistencia del Comité de Transparencia cuando reconoce que determinados documentos o información no existen, en violación al artículo 143 de la Ley.” (Sic)</w:t>
      </w:r>
    </w:p>
    <w:p w14:paraId="7E62F198"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rPr>
      </w:pPr>
    </w:p>
    <w:p w14:paraId="34DB46B6" w14:textId="77777777" w:rsidR="007E6D6E" w:rsidRDefault="00DF6000">
      <w:pPr>
        <w:numPr>
          <w:ilvl w:val="0"/>
          <w:numId w:val="2"/>
        </w:numPr>
        <w:pBdr>
          <w:top w:val="nil"/>
          <w:left w:val="nil"/>
          <w:bottom w:val="nil"/>
          <w:right w:val="nil"/>
          <w:between w:val="nil"/>
        </w:pBdr>
        <w:ind w:right="-929"/>
        <w:jc w:val="both"/>
        <w:rPr>
          <w:rFonts w:ascii="Palatino Linotype" w:eastAsia="Palatino Linotype" w:hAnsi="Palatino Linotype" w:cs="Palatino Linotype"/>
          <w:b/>
          <w:bCs/>
          <w:color w:val="000000"/>
        </w:rPr>
      </w:pPr>
      <w:bookmarkStart w:id="4" w:name="_heading=h.1fob9te" w:colFirst="0" w:colLast="0"/>
      <w:bookmarkEnd w:id="4"/>
      <w:r>
        <w:rPr>
          <w:rFonts w:ascii="Palatino Linotype" w:eastAsia="Palatino Linotype" w:hAnsi="Palatino Linotype" w:cs="Palatino Linotype"/>
          <w:b/>
          <w:bCs/>
          <w:color w:val="000000"/>
        </w:rPr>
        <w:t>Razones o Motivos de inconformidad:</w:t>
      </w:r>
    </w:p>
    <w:p w14:paraId="5B34881C"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Omisión del Manual de Organización. Solicité el Manual de Organización y Procedimientos de la Unidad de Transparencia. La autoridad no lo entrega y se limita a señalar que “se rige por la Ley”, lo cual no sustituye al documento solicitado. Si el manual no existe, debió emitirse Acta de Inexistencia del Comité (art. 143), lo cual no ocurrió. 2) Falta del informe de cumplimiento de resoluciones. Solicité el informe sobre el cumplimiento o incumplimiento de las resoluciones del </w:t>
      </w:r>
      <w:r>
        <w:rPr>
          <w:rFonts w:ascii="Palatino Linotype" w:eastAsia="Palatino Linotype" w:hAnsi="Palatino Linotype" w:cs="Palatino Linotype"/>
          <w:i/>
          <w:iCs/>
          <w:color w:val="000000"/>
        </w:rPr>
        <w:lastRenderedPageBreak/>
        <w:t>INFOEM en 2025. La respuesta solo enumera estados de recursos, pero no entrega el informe requerido, por lo que la respuesta es parcial. 3) Entrega indebida mediante enlaces. Para las resoluciones del INFOEM, el sujeto obligado remite a un enlace externo en lugar de entregar los documentos en versión pública, contraviniendo el deber de entrega directa de la información solicitada. 4) Omisión de actas de inexistencia (art. 143). En diversos rubros la autoridad afirma que “no existen” procedimientos, observaciones o sanciones; sin embargo, no acompaña las actas del Comité de Transparencia que declaren formalmente la inexistencia, como exige la Ley. 5) Respuesta genérica y evasiva en IPOMEX. Se limita a indicar que “se verifica en el portal”, cuando solicité informes internos de cumplimiento 2025 y observaciones del INFOEM; ello constituye evasión y falta de exhaustividad. 6) Falta de debida fundamentación y motivación del oficio de respuesta. El oficio solo indica “se envía información” sin relacionar documentos ni justificar cómo atienden cada punto, lo que impide verificar el cumplimiento. Solicito al INFOEM: Revoque la respuesta impugnada. Ordene emitir una nueva respuesta en la que: a) Se entregue el Manual de Organización o, en su defecto, se emita el Acta de Inexistencia del Comité. b) Se entregue el informe de cumplimiento/incumplimiento de resoluciones del INFOEM 2025. c) Se entreguen las resoluciones en PDF (no enlaces). d) Se emitan las actas de inexistencia del Comité en todos los rubros donde se afirma que no existe información. e) Se rinda el informe interno de IPOMEX 2025 y se atiendan expresamente las observaciones del INFOEM, si las hay. FUNDAMENTO Artículos 4, 13, 143 y 176 fracciones II y III de la Ley de Transparencia del Estado de México y Municipios; principios de máxima publicidad, legalidad, congruencia y exhaustividad.” (Sic)</w:t>
      </w:r>
    </w:p>
    <w:p w14:paraId="09568BC4" w14:textId="77777777" w:rsidR="007E6D6E" w:rsidRDefault="007E6D6E">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i/>
          <w:iCs/>
          <w:color w:val="000000"/>
          <w:u w:val="single"/>
        </w:rPr>
      </w:pPr>
    </w:p>
    <w:p w14:paraId="583C9FC4" w14:textId="77777777" w:rsidR="007E6D6E" w:rsidRDefault="00DF6000">
      <w:pPr>
        <w:numPr>
          <w:ilvl w:val="0"/>
          <w:numId w:val="3"/>
        </w:numPr>
        <w:pBdr>
          <w:top w:val="nil"/>
          <w:left w:val="nil"/>
          <w:bottom w:val="nil"/>
          <w:right w:val="nil"/>
          <w:between w:val="nil"/>
        </w:pBdr>
        <w:tabs>
          <w:tab w:val="left" w:pos="0"/>
        </w:tabs>
        <w:spacing w:line="360" w:lineRule="auto"/>
        <w:ind w:left="0" w:right="-929"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treinta de enero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14:paraId="28C9F992" w14:textId="77777777" w:rsidR="007E6D6E" w:rsidRDefault="007E6D6E">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i/>
          <w:iCs/>
          <w:color w:val="000000"/>
          <w:u w:val="single"/>
        </w:rPr>
      </w:pPr>
    </w:p>
    <w:p w14:paraId="677827EF"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no presentó informe justificado, tal como se muestra en la imagen siguiente:</w:t>
      </w:r>
    </w:p>
    <w:p w14:paraId="07A0EA1F" w14:textId="77777777" w:rsidR="007E6D6E" w:rsidRDefault="00DF6000">
      <w:pPr>
        <w:pBdr>
          <w:top w:val="nil"/>
          <w:left w:val="nil"/>
          <w:bottom w:val="nil"/>
          <w:right w:val="nil"/>
          <w:between w:val="nil"/>
        </w:pBdr>
        <w:spacing w:line="360" w:lineRule="auto"/>
        <w:ind w:right="-929"/>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14:anchorId="25A71B0D" wp14:editId="16C57820">
            <wp:extent cx="4193109" cy="10855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193109" cy="1085520"/>
                    </a:xfrm>
                    <a:prstGeom prst="rect">
                      <a:avLst/>
                    </a:prstGeom>
                    <a:ln/>
                  </pic:spPr>
                </pic:pic>
              </a:graphicData>
            </a:graphic>
          </wp:inline>
        </w:drawing>
      </w:r>
    </w:p>
    <w:p w14:paraId="43426920" w14:textId="77777777" w:rsidR="007E6D6E" w:rsidRDefault="007E6D6E">
      <w:pPr>
        <w:pBdr>
          <w:top w:val="nil"/>
          <w:left w:val="nil"/>
          <w:bottom w:val="nil"/>
          <w:right w:val="nil"/>
          <w:between w:val="nil"/>
        </w:pBdr>
        <w:spacing w:line="360" w:lineRule="auto"/>
        <w:ind w:right="-929"/>
        <w:jc w:val="both"/>
        <w:rPr>
          <w:rFonts w:ascii="Palatino Linotype" w:eastAsia="Palatino Linotype" w:hAnsi="Palatino Linotype" w:cs="Palatino Linotype"/>
          <w:b/>
          <w:bCs/>
          <w:i/>
          <w:iCs/>
          <w:color w:val="000000"/>
        </w:rPr>
      </w:pPr>
    </w:p>
    <w:p w14:paraId="65C7BD80"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diecisiete de marzo de dos mil veintiséis</w:t>
      </w:r>
      <w:r>
        <w:rPr>
          <w:rFonts w:ascii="Palatino Linotype" w:eastAsia="Palatino Linotype" w:hAnsi="Palatino Linotype" w:cs="Palatino Linotype"/>
          <w:color w:val="000000"/>
        </w:rPr>
        <w:t xml:space="preserve">, se acordó </w:t>
      </w:r>
      <w:r>
        <w:rPr>
          <w:rFonts w:ascii="Palatino Linotype" w:eastAsia="Palatino Linotype" w:hAnsi="Palatino Linotype" w:cs="Palatino Linotype"/>
          <w:b/>
          <w:bCs/>
          <w:color w:val="000000"/>
        </w:rPr>
        <w:t xml:space="preserve">ampliar el </w:t>
      </w:r>
      <w:r>
        <w:rPr>
          <w:rFonts w:ascii="Palatino Linotype" w:eastAsia="Palatino Linotype" w:hAnsi="Palatino Linotype" w:cs="Palatino Linotype"/>
          <w:b/>
          <w:bCs/>
        </w:rPr>
        <w:t>plazo</w:t>
      </w:r>
      <w:r>
        <w:rPr>
          <w:rFonts w:ascii="Palatino Linotype" w:eastAsia="Palatino Linotype" w:hAnsi="Palatino Linotype" w:cs="Palatino Linotype"/>
          <w:color w:val="000000"/>
        </w:rPr>
        <w:t xml:space="preserve"> para resolver el presente Recurso de Revisión.</w:t>
      </w:r>
    </w:p>
    <w:p w14:paraId="3ABDBF47" w14:textId="77777777" w:rsidR="007E6D6E" w:rsidRDefault="007E6D6E">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p>
    <w:p w14:paraId="1C5FD03A"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nueve de abril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14:paraId="22C3F4D9" w14:textId="77777777" w:rsidR="007E6D6E" w:rsidRDefault="007E6D6E">
      <w:pPr>
        <w:pBdr>
          <w:top w:val="nil"/>
          <w:left w:val="nil"/>
          <w:bottom w:val="nil"/>
          <w:right w:val="nil"/>
          <w:between w:val="nil"/>
        </w:pBdr>
        <w:ind w:left="720" w:right="-929"/>
        <w:rPr>
          <w:rFonts w:ascii="Palatino Linotype" w:eastAsia="Palatino Linotype" w:hAnsi="Palatino Linotype" w:cs="Palatino Linotype"/>
          <w:b/>
          <w:bCs/>
          <w:color w:val="000000"/>
        </w:rPr>
      </w:pPr>
    </w:p>
    <w:p w14:paraId="5294F003" w14:textId="77777777" w:rsidR="007E6D6E" w:rsidRDefault="00DF6000">
      <w:pPr>
        <w:keepNext/>
        <w:keepLine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14:paraId="36C8925C" w14:textId="77777777" w:rsidR="007E6D6E" w:rsidRDefault="007E6D6E">
      <w:pPr>
        <w:spacing w:line="360" w:lineRule="auto"/>
        <w:ind w:right="-929"/>
        <w:rPr>
          <w:rFonts w:ascii="Palatino Linotype" w:eastAsia="Palatino Linotype" w:hAnsi="Palatino Linotype" w:cs="Palatino Linotype"/>
        </w:rPr>
      </w:pPr>
    </w:p>
    <w:p w14:paraId="47A3A325" w14:textId="77777777" w:rsidR="007E6D6E" w:rsidRDefault="00DF6000">
      <w:pPr>
        <w:keepNext/>
        <w:keepLines/>
        <w:spacing w:line="360" w:lineRule="auto"/>
        <w:ind w:right="-929"/>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14:paraId="6BB6A678"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w:t>
      </w:r>
      <w:r>
        <w:rPr>
          <w:rFonts w:ascii="Palatino Linotype" w:eastAsia="Palatino Linotype" w:hAnsi="Palatino Linotype" w:cs="Palatino Linotype"/>
          <w:color w:val="000000"/>
        </w:rPr>
        <w:lastRenderedPageBreak/>
        <w:t>a la Información Pública del Estado de México y Municipios; 6, 9 fracciones I y XXIII, y 11 del Reglamento Interior del Instituto de Transparencia, Acceso a la Información Pública y Protección de Datos Personales del Estado de México y Municipios.</w:t>
      </w:r>
    </w:p>
    <w:p w14:paraId="591D363D" w14:textId="77777777" w:rsidR="007E6D6E" w:rsidRDefault="007E6D6E">
      <w:pPr>
        <w:tabs>
          <w:tab w:val="left" w:pos="426"/>
        </w:tabs>
        <w:spacing w:line="360" w:lineRule="auto"/>
        <w:ind w:right="-929"/>
        <w:jc w:val="both"/>
        <w:rPr>
          <w:rFonts w:ascii="Palatino Linotype" w:eastAsia="Palatino Linotype" w:hAnsi="Palatino Linotype" w:cs="Palatino Linotype"/>
          <w:color w:val="000000"/>
        </w:rPr>
      </w:pPr>
    </w:p>
    <w:p w14:paraId="50B6AAAF" w14:textId="77777777" w:rsidR="007E6D6E" w:rsidRDefault="00DF6000">
      <w:pPr>
        <w:keepNext/>
        <w:keepLines/>
        <w:spacing w:line="360" w:lineRule="auto"/>
        <w:ind w:right="-929"/>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14:paraId="0ABEE454"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medio</w:t>
      </w:r>
      <w:r>
        <w:rPr>
          <w:rFonts w:ascii="Palatino Linotype" w:eastAsia="Palatino Linotype" w:hAnsi="Palatino Linotype" w:cs="Palatino Linotype"/>
        </w:rPr>
        <w:t xml:space="preserve">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veintiséis de enero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veintisiete de enero al diecisiete de febrero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veintisiete de enero de dos mil veintiséis</w:t>
      </w:r>
      <w:r>
        <w:rPr>
          <w:rFonts w:ascii="Palatino Linotype" w:eastAsia="Palatino Linotype" w:hAnsi="Palatino Linotype" w:cs="Palatino Linotype"/>
        </w:rPr>
        <w:t xml:space="preserve">, este  se encuentra dentro de los márgenes temporales previstos en el </w:t>
      </w:r>
      <w:r>
        <w:rPr>
          <w:rFonts w:ascii="Palatino Linotype" w:eastAsia="Palatino Linotype" w:hAnsi="Palatino Linotype" w:cs="Palatino Linotype"/>
          <w:b/>
          <w:bCs/>
        </w:rPr>
        <w:t>artículo 178</w:t>
      </w:r>
      <w:r>
        <w:rPr>
          <w:rFonts w:ascii="Palatino Linotype" w:eastAsia="Palatino Linotype" w:hAnsi="Palatino Linotype" w:cs="Palatino Linotype"/>
        </w:rPr>
        <w:t xml:space="preserve">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14:paraId="584A1B71" w14:textId="77777777" w:rsidR="007E6D6E" w:rsidRDefault="007E6D6E">
      <w:pPr>
        <w:spacing w:line="360" w:lineRule="auto"/>
        <w:ind w:right="-929"/>
        <w:jc w:val="both"/>
        <w:rPr>
          <w:rFonts w:ascii="Palatino Linotype" w:eastAsia="Palatino Linotype" w:hAnsi="Palatino Linotype" w:cs="Palatino Linotype"/>
        </w:rPr>
      </w:pPr>
      <w:bookmarkStart w:id="5" w:name="_heading=h.2et92p0" w:colFirst="0" w:colLast="0"/>
      <w:bookmarkEnd w:id="5"/>
    </w:p>
    <w:p w14:paraId="2E0BAF58" w14:textId="77777777" w:rsidR="007E6D6E" w:rsidRDefault="00DF6000">
      <w:pPr>
        <w:pStyle w:val="Ttulo2"/>
        <w:ind w:right="-929"/>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14:paraId="11528F06"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tener acceso, a la información que a continuación se simplifica:</w:t>
      </w:r>
    </w:p>
    <w:p w14:paraId="27459AAB" w14:textId="77777777" w:rsidR="007E6D6E" w:rsidRDefault="00DF6000">
      <w:pPr>
        <w:numPr>
          <w:ilvl w:val="0"/>
          <w:numId w:val="5"/>
        </w:numPr>
        <w:pBdr>
          <w:top w:val="nil"/>
          <w:left w:val="nil"/>
          <w:bottom w:val="nil"/>
          <w:right w:val="nil"/>
          <w:between w:val="nil"/>
        </w:pBdr>
        <w:ind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Información del ejercicio 2025, relacionada con la Unidad de Transparencia y su Titular:</w:t>
      </w:r>
    </w:p>
    <w:p w14:paraId="344B6285" w14:textId="77777777" w:rsidR="007E6D6E" w:rsidRDefault="007E6D6E">
      <w:pPr>
        <w:ind w:right="-929"/>
        <w:jc w:val="both"/>
        <w:rPr>
          <w:rFonts w:ascii="Palatino Linotype" w:eastAsia="Palatino Linotype" w:hAnsi="Palatino Linotype" w:cs="Palatino Linotype"/>
          <w:i/>
          <w:iCs/>
          <w:color w:val="000000"/>
        </w:rPr>
      </w:pPr>
    </w:p>
    <w:p w14:paraId="4B0F5E55" w14:textId="77777777" w:rsidR="007E6D6E" w:rsidRDefault="00DF6000">
      <w:pPr>
        <w:numPr>
          <w:ilvl w:val="3"/>
          <w:numId w:val="6"/>
        </w:numPr>
        <w:pBdr>
          <w:top w:val="nil"/>
          <w:left w:val="nil"/>
          <w:bottom w:val="nil"/>
          <w:right w:val="nil"/>
          <w:between w:val="nil"/>
        </w:pBdr>
        <w:ind w:left="993"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Titular de la Unidad de Transparencia:</w:t>
      </w:r>
    </w:p>
    <w:p w14:paraId="27A2D0CD" w14:textId="77777777" w:rsidR="007E6D6E" w:rsidRDefault="00DF6000">
      <w:pPr>
        <w:numPr>
          <w:ilvl w:val="4"/>
          <w:numId w:val="7"/>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completo.</w:t>
      </w:r>
    </w:p>
    <w:p w14:paraId="2C310DDC" w14:textId="77777777" w:rsidR="007E6D6E" w:rsidRDefault="00DF6000">
      <w:pPr>
        <w:numPr>
          <w:ilvl w:val="4"/>
          <w:numId w:val="7"/>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Nombramiento. </w:t>
      </w:r>
    </w:p>
    <w:p w14:paraId="70ED6C0A" w14:textId="77777777" w:rsidR="007E6D6E" w:rsidRDefault="00DF6000">
      <w:pPr>
        <w:numPr>
          <w:ilvl w:val="4"/>
          <w:numId w:val="7"/>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Fecha de inicio en el cargo. </w:t>
      </w:r>
    </w:p>
    <w:p w14:paraId="5F56A189" w14:textId="77777777" w:rsidR="007E6D6E" w:rsidRDefault="00DF6000">
      <w:pPr>
        <w:numPr>
          <w:ilvl w:val="4"/>
          <w:numId w:val="7"/>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Fundamento legal de su designación. </w:t>
      </w:r>
    </w:p>
    <w:p w14:paraId="197FDFCF" w14:textId="77777777" w:rsidR="007E6D6E" w:rsidRDefault="00DF6000">
      <w:pPr>
        <w:numPr>
          <w:ilvl w:val="4"/>
          <w:numId w:val="7"/>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Atribuciones y obligaciones del cargo.</w:t>
      </w:r>
    </w:p>
    <w:p w14:paraId="59B9D646" w14:textId="77777777" w:rsidR="007E6D6E" w:rsidRDefault="007E6D6E">
      <w:pPr>
        <w:ind w:right="-929"/>
        <w:jc w:val="both"/>
        <w:rPr>
          <w:rFonts w:ascii="Palatino Linotype" w:eastAsia="Palatino Linotype" w:hAnsi="Palatino Linotype" w:cs="Palatino Linotype"/>
          <w:i/>
          <w:iCs/>
          <w:color w:val="000000"/>
        </w:rPr>
      </w:pPr>
    </w:p>
    <w:p w14:paraId="495E1F9C" w14:textId="77777777" w:rsidR="007E6D6E" w:rsidRDefault="00DF6000">
      <w:pPr>
        <w:numPr>
          <w:ilvl w:val="3"/>
          <w:numId w:val="6"/>
        </w:numPr>
        <w:pBdr>
          <w:top w:val="nil"/>
          <w:left w:val="nil"/>
          <w:bottom w:val="nil"/>
          <w:right w:val="nil"/>
          <w:between w:val="nil"/>
        </w:pBdr>
        <w:ind w:left="993"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Estructura y operación de la Unidad de Transparencia:</w:t>
      </w:r>
    </w:p>
    <w:p w14:paraId="3AEF77E4" w14:textId="77777777" w:rsidR="007E6D6E" w:rsidRDefault="00DF6000">
      <w:pPr>
        <w:numPr>
          <w:ilvl w:val="0"/>
          <w:numId w:val="8"/>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Manual de Organización y Procedimientos.</w:t>
      </w:r>
    </w:p>
    <w:p w14:paraId="0FD745F7" w14:textId="77777777" w:rsidR="007E6D6E" w:rsidRDefault="00DF6000">
      <w:pPr>
        <w:numPr>
          <w:ilvl w:val="0"/>
          <w:numId w:val="8"/>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Estructura orgánica vigente.</w:t>
      </w:r>
    </w:p>
    <w:p w14:paraId="50A3C9EE" w14:textId="77777777" w:rsidR="007E6D6E" w:rsidRDefault="00DF6000">
      <w:pPr>
        <w:numPr>
          <w:ilvl w:val="0"/>
          <w:numId w:val="8"/>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Listado del personal indicando: Nombre Puesto Funciones Sueldo bruto y neto. </w:t>
      </w:r>
    </w:p>
    <w:p w14:paraId="368687F4" w14:textId="77777777" w:rsidR="007E6D6E" w:rsidRDefault="00DF6000">
      <w:pPr>
        <w:numPr>
          <w:ilvl w:val="0"/>
          <w:numId w:val="8"/>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Horarios oficiales de atención y medios habilitados para recibir solicitudes de información.</w:t>
      </w:r>
    </w:p>
    <w:p w14:paraId="621A62F8" w14:textId="77777777" w:rsidR="007E6D6E" w:rsidRDefault="007E6D6E">
      <w:pPr>
        <w:ind w:right="-929"/>
        <w:jc w:val="both"/>
        <w:rPr>
          <w:rFonts w:ascii="Palatino Linotype" w:eastAsia="Palatino Linotype" w:hAnsi="Palatino Linotype" w:cs="Palatino Linotype"/>
          <w:i/>
          <w:iCs/>
          <w:color w:val="000000"/>
        </w:rPr>
      </w:pPr>
    </w:p>
    <w:p w14:paraId="2953C14D" w14:textId="77777777" w:rsidR="007E6D6E" w:rsidRDefault="00DF6000">
      <w:pPr>
        <w:numPr>
          <w:ilvl w:val="3"/>
          <w:numId w:val="6"/>
        </w:numPr>
        <w:pBdr>
          <w:top w:val="nil"/>
          <w:left w:val="nil"/>
          <w:bottom w:val="nil"/>
          <w:right w:val="nil"/>
          <w:between w:val="nil"/>
        </w:pBdr>
        <w:ind w:left="993"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Gestión de solicitudes de información pública (2025):</w:t>
      </w:r>
    </w:p>
    <w:p w14:paraId="0D2B6E75" w14:textId="77777777" w:rsidR="007E6D6E" w:rsidRDefault="00DF6000">
      <w:pPr>
        <w:numPr>
          <w:ilvl w:val="0"/>
          <w:numId w:val="9"/>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Número total de solicitudes de información recibidas en 2025. </w:t>
      </w:r>
    </w:p>
    <w:p w14:paraId="56393CEB" w14:textId="77777777" w:rsidR="007E6D6E" w:rsidRDefault="00DF6000">
      <w:pPr>
        <w:numPr>
          <w:ilvl w:val="0"/>
          <w:numId w:val="9"/>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Número de solicitudes contestadas dentro del plazo legal. </w:t>
      </w:r>
    </w:p>
    <w:p w14:paraId="6CE2E8F9" w14:textId="77777777" w:rsidR="007E6D6E" w:rsidRDefault="00DF6000">
      <w:pPr>
        <w:numPr>
          <w:ilvl w:val="0"/>
          <w:numId w:val="9"/>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Número de solicitudes contestadas de forma extemporánea. </w:t>
      </w:r>
    </w:p>
    <w:p w14:paraId="58107DFC" w14:textId="77777777" w:rsidR="007E6D6E" w:rsidRDefault="00DF6000">
      <w:pPr>
        <w:numPr>
          <w:ilvl w:val="0"/>
          <w:numId w:val="9"/>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Número de solicitudes en las que se haya requerido aclaración o prevención. </w:t>
      </w:r>
    </w:p>
    <w:p w14:paraId="0BBE0B2F" w14:textId="77777777" w:rsidR="007E6D6E" w:rsidRDefault="00DF6000">
      <w:pPr>
        <w:numPr>
          <w:ilvl w:val="0"/>
          <w:numId w:val="9"/>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Número de solicitudes en las que se haya declarado inexistencia de información. </w:t>
      </w:r>
    </w:p>
    <w:p w14:paraId="14BFCD5D" w14:textId="77777777" w:rsidR="007E6D6E" w:rsidRDefault="00DF6000">
      <w:pPr>
        <w:numPr>
          <w:ilvl w:val="0"/>
          <w:numId w:val="9"/>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en las que se haya clasificado información como reservada o confidencial.</w:t>
      </w:r>
    </w:p>
    <w:p w14:paraId="1D36209C" w14:textId="77777777" w:rsidR="007E6D6E" w:rsidRDefault="00DF6000">
      <w:pPr>
        <w:numPr>
          <w:ilvl w:val="0"/>
          <w:numId w:val="9"/>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en las que se haya autorizado ampliación de plazo.</w:t>
      </w:r>
    </w:p>
    <w:p w14:paraId="408DC083" w14:textId="77777777" w:rsidR="007E6D6E" w:rsidRDefault="007E6D6E">
      <w:pPr>
        <w:ind w:right="-929"/>
        <w:jc w:val="both"/>
        <w:rPr>
          <w:rFonts w:ascii="Palatino Linotype" w:eastAsia="Palatino Linotype" w:hAnsi="Palatino Linotype" w:cs="Palatino Linotype"/>
          <w:i/>
          <w:iCs/>
          <w:color w:val="000000"/>
        </w:rPr>
      </w:pPr>
    </w:p>
    <w:p w14:paraId="191F3224" w14:textId="77777777" w:rsidR="007E6D6E" w:rsidRDefault="00DF6000">
      <w:pPr>
        <w:numPr>
          <w:ilvl w:val="3"/>
          <w:numId w:val="6"/>
        </w:numPr>
        <w:pBdr>
          <w:top w:val="nil"/>
          <w:left w:val="nil"/>
          <w:bottom w:val="nil"/>
          <w:right w:val="nil"/>
          <w:between w:val="nil"/>
        </w:pBdr>
        <w:ind w:left="993"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Comité de Transparencia:</w:t>
      </w:r>
    </w:p>
    <w:p w14:paraId="5CD34CAB" w14:textId="77777777" w:rsidR="007E6D6E" w:rsidRDefault="00DF6000">
      <w:pPr>
        <w:numPr>
          <w:ilvl w:val="0"/>
          <w:numId w:val="10"/>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Acta de instalación.</w:t>
      </w:r>
    </w:p>
    <w:p w14:paraId="313121CD" w14:textId="77777777" w:rsidR="007E6D6E" w:rsidRDefault="00DF6000">
      <w:pPr>
        <w:numPr>
          <w:ilvl w:val="0"/>
          <w:numId w:val="10"/>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Integrantes del Comité y cargos que desempeñan.</w:t>
      </w:r>
    </w:p>
    <w:p w14:paraId="44EA7B9B" w14:textId="77777777" w:rsidR="007E6D6E" w:rsidRDefault="00DF6000">
      <w:pPr>
        <w:numPr>
          <w:ilvl w:val="0"/>
          <w:numId w:val="10"/>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Actas de sesiones celebradas en 2025. </w:t>
      </w:r>
    </w:p>
    <w:p w14:paraId="7294C3BF" w14:textId="77777777" w:rsidR="007E6D6E" w:rsidRDefault="00DF6000">
      <w:pPr>
        <w:numPr>
          <w:ilvl w:val="0"/>
          <w:numId w:val="10"/>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Copia de las resoluciones emitidas, incluyendo: Clasificaciones Desclasificaciones Declaratorias de inexistencia.</w:t>
      </w:r>
    </w:p>
    <w:p w14:paraId="50265971" w14:textId="77777777" w:rsidR="007E6D6E" w:rsidRDefault="007E6D6E">
      <w:pPr>
        <w:ind w:right="-929"/>
        <w:jc w:val="both"/>
        <w:rPr>
          <w:rFonts w:ascii="Palatino Linotype" w:eastAsia="Palatino Linotype" w:hAnsi="Palatino Linotype" w:cs="Palatino Linotype"/>
          <w:i/>
          <w:iCs/>
          <w:color w:val="000000"/>
        </w:rPr>
      </w:pPr>
    </w:p>
    <w:p w14:paraId="6A4222FC" w14:textId="77777777" w:rsidR="007E6D6E" w:rsidRDefault="00DF6000">
      <w:pPr>
        <w:numPr>
          <w:ilvl w:val="3"/>
          <w:numId w:val="6"/>
        </w:numPr>
        <w:pBdr>
          <w:top w:val="nil"/>
          <w:left w:val="nil"/>
          <w:bottom w:val="nil"/>
          <w:right w:val="nil"/>
          <w:between w:val="nil"/>
        </w:pBdr>
        <w:ind w:left="993"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Recursos de revisión y cumplimiento:</w:t>
      </w:r>
    </w:p>
    <w:p w14:paraId="0644FCB6" w14:textId="77777777" w:rsidR="007E6D6E" w:rsidRDefault="00DF6000">
      <w:pPr>
        <w:numPr>
          <w:ilvl w:val="0"/>
          <w:numId w:val="11"/>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recursos de revisión interpuestos.</w:t>
      </w:r>
    </w:p>
    <w:p w14:paraId="1F9F7975" w14:textId="77777777" w:rsidR="007E6D6E" w:rsidRDefault="00DF6000">
      <w:pPr>
        <w:numPr>
          <w:ilvl w:val="0"/>
          <w:numId w:val="11"/>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Sentido de las resoluciones emitidas por el INFOEM (confirmadas, modificadas o revocadas). </w:t>
      </w:r>
    </w:p>
    <w:p w14:paraId="44033ED7" w14:textId="77777777" w:rsidR="007E6D6E" w:rsidRDefault="00DF6000">
      <w:pPr>
        <w:numPr>
          <w:ilvl w:val="0"/>
          <w:numId w:val="11"/>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Resoluciones emitidas por el INFOEM.</w:t>
      </w:r>
    </w:p>
    <w:p w14:paraId="4B8EA6EE" w14:textId="77777777" w:rsidR="007E6D6E" w:rsidRDefault="00DF6000">
      <w:pPr>
        <w:numPr>
          <w:ilvl w:val="0"/>
          <w:numId w:val="11"/>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.Informe sobre el cumplimiento o incumplimiento de dichas resoluciones. </w:t>
      </w:r>
    </w:p>
    <w:p w14:paraId="3AA6D6B9" w14:textId="77777777" w:rsidR="007E6D6E" w:rsidRDefault="00DF6000">
      <w:pPr>
        <w:numPr>
          <w:ilvl w:val="0"/>
          <w:numId w:val="11"/>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Medidas de apremio o apercibimientos impuestos al Ayuntamiento en materia de transparencia durante 2025, si los hubiera.</w:t>
      </w:r>
    </w:p>
    <w:p w14:paraId="2D883E04" w14:textId="77777777" w:rsidR="007E6D6E" w:rsidRDefault="007E6D6E">
      <w:pPr>
        <w:ind w:right="-929"/>
        <w:jc w:val="both"/>
        <w:rPr>
          <w:rFonts w:ascii="Palatino Linotype" w:eastAsia="Palatino Linotype" w:hAnsi="Palatino Linotype" w:cs="Palatino Linotype"/>
          <w:i/>
          <w:iCs/>
          <w:color w:val="000000"/>
        </w:rPr>
      </w:pPr>
    </w:p>
    <w:p w14:paraId="5EBFEBE1" w14:textId="77777777" w:rsidR="007E6D6E" w:rsidRDefault="00DF6000">
      <w:pPr>
        <w:numPr>
          <w:ilvl w:val="3"/>
          <w:numId w:val="6"/>
        </w:numPr>
        <w:pBdr>
          <w:top w:val="nil"/>
          <w:left w:val="nil"/>
          <w:bottom w:val="nil"/>
          <w:right w:val="nil"/>
          <w:between w:val="nil"/>
        </w:pBdr>
        <w:ind w:left="993"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Obligaciones de transparencia e IPOMEX:</w:t>
      </w:r>
    </w:p>
    <w:p w14:paraId="03C8FB12" w14:textId="77777777" w:rsidR="007E6D6E" w:rsidRDefault="00DF6000">
      <w:pPr>
        <w:numPr>
          <w:ilvl w:val="0"/>
          <w:numId w:val="12"/>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Nombre del servidor público responsable de la actualización del portal IPOMEX. </w:t>
      </w:r>
    </w:p>
    <w:p w14:paraId="50549D55" w14:textId="77777777" w:rsidR="007E6D6E" w:rsidRDefault="00DF6000">
      <w:pPr>
        <w:numPr>
          <w:ilvl w:val="0"/>
          <w:numId w:val="12"/>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Calendario de actualización de obligaciones de transparencia. </w:t>
      </w:r>
    </w:p>
    <w:p w14:paraId="59249DC5" w14:textId="77777777" w:rsidR="007E6D6E" w:rsidRDefault="00DF6000">
      <w:pPr>
        <w:numPr>
          <w:ilvl w:val="0"/>
          <w:numId w:val="12"/>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Informes internos de cumplimiento de obligaciones de transparencia. </w:t>
      </w:r>
    </w:p>
    <w:p w14:paraId="6CC56AE0" w14:textId="77777777" w:rsidR="007E6D6E" w:rsidRDefault="00DF6000">
      <w:pPr>
        <w:numPr>
          <w:ilvl w:val="0"/>
          <w:numId w:val="12"/>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Observaciones, requerimientos o vistas formuladas por el INFOEM al Ayuntamiento en materia de IPOMEX.</w:t>
      </w:r>
    </w:p>
    <w:p w14:paraId="6CA20B2F" w14:textId="77777777" w:rsidR="007E6D6E" w:rsidRDefault="00DF6000">
      <w:pPr>
        <w:numPr>
          <w:ilvl w:val="0"/>
          <w:numId w:val="12"/>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Acciones correctivas implementadas para dar cumplimiento a dichas observaciones.</w:t>
      </w:r>
    </w:p>
    <w:p w14:paraId="1F93F500" w14:textId="77777777" w:rsidR="007E6D6E" w:rsidRDefault="007E6D6E">
      <w:pPr>
        <w:ind w:right="-929"/>
        <w:jc w:val="both"/>
        <w:rPr>
          <w:rFonts w:ascii="Palatino Linotype" w:eastAsia="Palatino Linotype" w:hAnsi="Palatino Linotype" w:cs="Palatino Linotype"/>
          <w:i/>
          <w:iCs/>
          <w:color w:val="000000"/>
        </w:rPr>
      </w:pPr>
    </w:p>
    <w:p w14:paraId="0A2ABC46" w14:textId="77777777" w:rsidR="007E6D6E" w:rsidRDefault="00DF6000">
      <w:pPr>
        <w:numPr>
          <w:ilvl w:val="3"/>
          <w:numId w:val="6"/>
        </w:numPr>
        <w:pBdr>
          <w:top w:val="nil"/>
          <w:left w:val="nil"/>
          <w:bottom w:val="nil"/>
          <w:right w:val="nil"/>
          <w:between w:val="nil"/>
        </w:pBdr>
        <w:ind w:left="993"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Capacitación y control interno:</w:t>
      </w:r>
    </w:p>
    <w:p w14:paraId="2485708B" w14:textId="77777777" w:rsidR="007E6D6E" w:rsidRDefault="00DF6000">
      <w:pPr>
        <w:numPr>
          <w:ilvl w:val="0"/>
          <w:numId w:val="13"/>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Programas de capacitación impartidos en materia de transparencia y acceso a la información.</w:t>
      </w:r>
    </w:p>
    <w:p w14:paraId="2E3B574B" w14:textId="77777777" w:rsidR="007E6D6E" w:rsidRDefault="00DF6000">
      <w:pPr>
        <w:numPr>
          <w:ilvl w:val="0"/>
          <w:numId w:val="13"/>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Listas de asistencia y constancias emitidas.</w:t>
      </w:r>
    </w:p>
    <w:p w14:paraId="3590A712" w14:textId="77777777" w:rsidR="007E6D6E" w:rsidRDefault="00DF6000">
      <w:pPr>
        <w:numPr>
          <w:ilvl w:val="0"/>
          <w:numId w:val="13"/>
        </w:numPr>
        <w:pBdr>
          <w:top w:val="nil"/>
          <w:left w:val="nil"/>
          <w:bottom w:val="nil"/>
          <w:right w:val="nil"/>
          <w:between w:val="nil"/>
        </w:pBdr>
        <w:ind w:left="127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Procedimientos administrativos iniciados o vistas dadas a la Contraloría Municipal por incumplimiento a la Ley de Transparencia.</w:t>
      </w:r>
    </w:p>
    <w:p w14:paraId="09663AAE" w14:textId="77777777" w:rsidR="007E6D6E" w:rsidRDefault="007E6D6E">
      <w:pPr>
        <w:pBdr>
          <w:top w:val="nil"/>
          <w:left w:val="nil"/>
          <w:bottom w:val="nil"/>
          <w:right w:val="nil"/>
          <w:between w:val="nil"/>
        </w:pBdr>
        <w:ind w:right="-929"/>
        <w:jc w:val="both"/>
        <w:rPr>
          <w:rFonts w:ascii="Palatino Linotype" w:eastAsia="Palatino Linotype" w:hAnsi="Palatino Linotype" w:cs="Palatino Linotype"/>
          <w:i/>
          <w:iCs/>
          <w:color w:val="000000"/>
        </w:rPr>
      </w:pPr>
    </w:p>
    <w:p w14:paraId="31E5D039" w14:textId="77777777" w:rsidR="007E6D6E" w:rsidRDefault="007E6D6E">
      <w:pPr>
        <w:pBdr>
          <w:top w:val="nil"/>
          <w:left w:val="nil"/>
          <w:bottom w:val="nil"/>
          <w:right w:val="nil"/>
          <w:between w:val="nil"/>
        </w:pBdr>
        <w:ind w:left="851" w:right="-929"/>
        <w:jc w:val="both"/>
        <w:rPr>
          <w:rFonts w:ascii="Palatino Linotype" w:eastAsia="Palatino Linotype" w:hAnsi="Palatino Linotype" w:cs="Palatino Linotype"/>
          <w:color w:val="000000"/>
        </w:rPr>
      </w:pPr>
    </w:p>
    <w:p w14:paraId="5871D839"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14:paraId="2280E16B" w14:textId="77777777" w:rsidR="007E6D6E" w:rsidRDefault="007E6D6E">
      <w:pPr>
        <w:ind w:left="720" w:right="-929"/>
        <w:jc w:val="both"/>
        <w:rPr>
          <w:rFonts w:ascii="Palatino Linotype" w:eastAsia="Palatino Linotype" w:hAnsi="Palatino Linotype" w:cs="Palatino Linotype"/>
          <w:i/>
          <w:iCs/>
          <w:color w:val="000000"/>
        </w:rPr>
      </w:pPr>
    </w:p>
    <w:p w14:paraId="45549020"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las hipótesis relativa a </w:t>
      </w:r>
      <w:r>
        <w:rPr>
          <w:rFonts w:ascii="Palatino Linotype" w:eastAsia="Palatino Linotype" w:hAnsi="Palatino Linotype" w:cs="Palatino Linotype"/>
          <w:b/>
          <w:bCs/>
          <w:color w:val="000000"/>
        </w:rPr>
        <w:t>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señalada.</w:t>
      </w:r>
    </w:p>
    <w:p w14:paraId="5829F5B0" w14:textId="77777777" w:rsidR="007E6D6E" w:rsidRDefault="007E6D6E">
      <w:pPr>
        <w:spacing w:line="360" w:lineRule="auto"/>
        <w:ind w:right="-929"/>
        <w:rPr>
          <w:rFonts w:ascii="Palatino Linotype" w:eastAsia="Palatino Linotype" w:hAnsi="Palatino Linotype" w:cs="Palatino Linotype"/>
        </w:rPr>
      </w:pPr>
    </w:p>
    <w:p w14:paraId="5CC34783" w14:textId="77777777" w:rsidR="007E6D6E" w:rsidRDefault="00DF6000">
      <w:pPr>
        <w:pStyle w:val="Ttulo2"/>
        <w:ind w:right="-929"/>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t>CUARTO. Del estudio y resolución del asunto.</w:t>
      </w:r>
    </w:p>
    <w:p w14:paraId="4A9B5FFB"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w:t>
      </w:r>
      <w:r>
        <w:rPr>
          <w:rFonts w:ascii="Palatino Linotype" w:eastAsia="Palatino Linotype" w:hAnsi="Palatino Linotype" w:cs="Palatino Linotype"/>
        </w:rPr>
        <w:lastRenderedPageBreak/>
        <w:t>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45BDEF88" w14:textId="77777777" w:rsidR="007E6D6E" w:rsidRDefault="007E6D6E">
      <w:pPr>
        <w:spacing w:line="360" w:lineRule="auto"/>
        <w:ind w:right="-929"/>
        <w:jc w:val="both"/>
        <w:rPr>
          <w:rFonts w:ascii="Palatino Linotype" w:eastAsia="Palatino Linotype" w:hAnsi="Palatino Linotype" w:cs="Palatino Linotype"/>
        </w:rPr>
      </w:pPr>
    </w:p>
    <w:p w14:paraId="229B1BF6"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38C60E5" w14:textId="77777777" w:rsidR="007E6D6E" w:rsidRDefault="007E6D6E">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14:paraId="2B6DF155"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50003DA8" w14:textId="77777777" w:rsidR="007E6D6E" w:rsidRDefault="00DF6000">
      <w:pPr>
        <w:numPr>
          <w:ilvl w:val="0"/>
          <w:numId w:val="14"/>
        </w:numPr>
        <w:pBdr>
          <w:top w:val="nil"/>
          <w:left w:val="nil"/>
          <w:bottom w:val="nil"/>
          <w:right w:val="nil"/>
          <w:between w:val="nil"/>
        </w:pBdr>
        <w:spacing w:line="360" w:lineRule="auto"/>
        <w:ind w:right="-9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14:paraId="344A3D35" w14:textId="77777777" w:rsidR="007E6D6E" w:rsidRDefault="00DF6000">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Para el ejercicio de sus atribuciones y para el despacho de los asuntos, el Titular del Ejecutivo Municipal, tiene bajo su cargo a las Dependencias y Unidades de la Administración </w:t>
      </w:r>
      <w:r>
        <w:rPr>
          <w:rFonts w:ascii="Palatino Linotype" w:eastAsia="Palatino Linotype" w:hAnsi="Palatino Linotype" w:cs="Palatino Linotype"/>
        </w:rPr>
        <w:lastRenderedPageBreak/>
        <w:t>Pública Municipal, las cuales se encuentran establecidas en el artículo 69, del Bando Municipal 2025.</w:t>
      </w:r>
    </w:p>
    <w:p w14:paraId="1F1AF8AA"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69. </w:t>
      </w:r>
      <w:r>
        <w:rPr>
          <w:rFonts w:ascii="Palatino Linotype" w:eastAsia="Palatino Linotype" w:hAnsi="Palatino Linotype" w:cs="Palatino Linotype"/>
          <w:i/>
          <w:iCs/>
        </w:rPr>
        <w:t xml:space="preserve">El Responsable y Titular de la Administración Pública Municipal es el Presidente Municipal, en conjunto con su cuerpo edilicio compuesto por la Síndico y los siete Regidores. </w:t>
      </w:r>
    </w:p>
    <w:p w14:paraId="68C26680" w14:textId="77777777" w:rsidR="007E6D6E" w:rsidRDefault="007E6D6E">
      <w:pPr>
        <w:ind w:left="567" w:right="-929"/>
        <w:jc w:val="both"/>
        <w:rPr>
          <w:rFonts w:ascii="Palatino Linotype" w:eastAsia="Palatino Linotype" w:hAnsi="Palatino Linotype" w:cs="Palatino Linotype"/>
          <w:i/>
          <w:iCs/>
        </w:rPr>
      </w:pPr>
    </w:p>
    <w:p w14:paraId="04E3270D"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el ejercicio de sus atribuciones y para el despacho de los asuntos, el Titular del Ejecutivo Municipal, tiene bajo su cargo a las Dependencias y Unidades de la Administración Pública Municipal, las cuales son:</w:t>
      </w:r>
    </w:p>
    <w:p w14:paraId="195DDC71"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0DE8FCD" w14:textId="77777777" w:rsidR="007E6D6E" w:rsidRDefault="00DF6000">
      <w:pPr>
        <w:ind w:left="567"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 UNIDAD DE TRANSPARENCIA </w:t>
      </w:r>
    </w:p>
    <w:p w14:paraId="353F8084"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Titular de la Unidad de Transparencia </w:t>
      </w:r>
    </w:p>
    <w:p w14:paraId="60322802"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a. Departamento de Información Ciudadana</w:t>
      </w:r>
    </w:p>
    <w:p w14:paraId="7F35CFAE"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E6D492F" w14:textId="77777777" w:rsidR="007E6D6E" w:rsidRDefault="007E6D6E">
      <w:pPr>
        <w:ind w:left="567" w:right="-929"/>
        <w:jc w:val="both"/>
        <w:rPr>
          <w:rFonts w:ascii="Palatino Linotype" w:eastAsia="Palatino Linotype" w:hAnsi="Palatino Linotype" w:cs="Palatino Linotype"/>
          <w:i/>
          <w:iCs/>
        </w:rPr>
      </w:pPr>
    </w:p>
    <w:p w14:paraId="519D7D65" w14:textId="77777777" w:rsidR="007E6D6E" w:rsidRDefault="007E6D6E">
      <w:pPr>
        <w:spacing w:line="360" w:lineRule="auto"/>
        <w:ind w:right="-929"/>
        <w:jc w:val="both"/>
      </w:pPr>
    </w:p>
    <w:p w14:paraId="21E0660F"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La Ley de Transparencia y Acceso a la Información Pública del Estado de México y Municipios establece lo siguiente respecto a las Unidades de Transparencia:</w:t>
      </w:r>
    </w:p>
    <w:p w14:paraId="38B8032C" w14:textId="77777777" w:rsidR="007E6D6E" w:rsidRDefault="00DF6000">
      <w:pPr>
        <w:ind w:left="567"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III</w:t>
      </w:r>
    </w:p>
    <w:p w14:paraId="065E91E5" w14:textId="77777777" w:rsidR="007E6D6E" w:rsidRDefault="00DF6000">
      <w:pPr>
        <w:ind w:left="567"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Unidades de Transparencia</w:t>
      </w:r>
    </w:p>
    <w:p w14:paraId="750FA8AC" w14:textId="77777777" w:rsidR="007E6D6E" w:rsidRDefault="007E6D6E">
      <w:pPr>
        <w:ind w:left="567" w:right="-929"/>
        <w:jc w:val="both"/>
        <w:rPr>
          <w:rFonts w:ascii="Palatino Linotype" w:eastAsia="Palatino Linotype" w:hAnsi="Palatino Linotype" w:cs="Palatino Linotype"/>
          <w:i/>
          <w:iCs/>
        </w:rPr>
      </w:pPr>
    </w:p>
    <w:p w14:paraId="74C6CE4F"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50. Los sujetos obligados contarán con un área responsable para la atención de las solicitudes de información, a la que se le denominará Unidad de Transparencia</w:t>
      </w:r>
      <w:r>
        <w:rPr>
          <w:rFonts w:ascii="Palatino Linotype" w:eastAsia="Palatino Linotype" w:hAnsi="Palatino Linotype" w:cs="Palatino Linotype"/>
          <w:i/>
          <w:iCs/>
        </w:rPr>
        <w:t>.</w:t>
      </w:r>
    </w:p>
    <w:p w14:paraId="09E5A869" w14:textId="77777777" w:rsidR="007E6D6E" w:rsidRDefault="007E6D6E">
      <w:pPr>
        <w:ind w:left="567" w:right="-929"/>
        <w:jc w:val="both"/>
        <w:rPr>
          <w:rFonts w:ascii="Palatino Linotype" w:eastAsia="Palatino Linotype" w:hAnsi="Palatino Linotype" w:cs="Palatino Linotype"/>
          <w:i/>
          <w:iCs/>
        </w:rPr>
      </w:pPr>
    </w:p>
    <w:p w14:paraId="4A7A736D"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51</w:t>
      </w:r>
      <w:r>
        <w:rPr>
          <w:rFonts w:ascii="Palatino Linotype" w:eastAsia="Palatino Linotype" w:hAnsi="Palatino Linotype" w:cs="Palatino Linotype"/>
          <w:i/>
          <w:iCs/>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 </w:t>
      </w:r>
    </w:p>
    <w:p w14:paraId="56AAE7AD" w14:textId="77777777" w:rsidR="007E6D6E" w:rsidRDefault="007E6D6E">
      <w:pPr>
        <w:ind w:left="567" w:right="-929"/>
        <w:jc w:val="both"/>
        <w:rPr>
          <w:rFonts w:ascii="Palatino Linotype" w:eastAsia="Palatino Linotype" w:hAnsi="Palatino Linotype" w:cs="Palatino Linotype"/>
          <w:i/>
          <w:iCs/>
        </w:rPr>
      </w:pPr>
    </w:p>
    <w:p w14:paraId="7586B1D5"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52</w:t>
      </w:r>
      <w:r>
        <w:rPr>
          <w:rFonts w:ascii="Palatino Linotype" w:eastAsia="Palatino Linotype" w:hAnsi="Palatino Linotype" w:cs="Palatino Linotype"/>
          <w:i/>
          <w:iCs/>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w:t>
      </w:r>
      <w:r>
        <w:rPr>
          <w:rFonts w:ascii="Palatino Linotype" w:eastAsia="Palatino Linotype" w:hAnsi="Palatino Linotype" w:cs="Palatino Linotype"/>
          <w:i/>
          <w:iCs/>
        </w:rPr>
        <w:lastRenderedPageBreak/>
        <w:t xml:space="preserve">referencia se someta a un proceso de disociación, es decir, no haga identificable al titular de tales datos personales. </w:t>
      </w:r>
    </w:p>
    <w:p w14:paraId="4B613E5A" w14:textId="77777777" w:rsidR="007E6D6E" w:rsidRDefault="007E6D6E">
      <w:pPr>
        <w:ind w:left="567" w:right="-929"/>
        <w:jc w:val="both"/>
        <w:rPr>
          <w:rFonts w:ascii="Palatino Linotype" w:eastAsia="Palatino Linotype" w:hAnsi="Palatino Linotype" w:cs="Palatino Linotype"/>
          <w:i/>
          <w:iCs/>
        </w:rPr>
      </w:pPr>
    </w:p>
    <w:p w14:paraId="6CA1D3D7"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Unidades de Transparencia tendrán las siguientes funciones: </w:t>
      </w:r>
    </w:p>
    <w:p w14:paraId="1748D472" w14:textId="77777777" w:rsidR="007E6D6E" w:rsidRDefault="007E6D6E">
      <w:pPr>
        <w:ind w:left="567" w:right="-929"/>
        <w:jc w:val="both"/>
        <w:rPr>
          <w:rFonts w:ascii="Palatino Linotype" w:eastAsia="Palatino Linotype" w:hAnsi="Palatino Linotype" w:cs="Palatino Linotype"/>
          <w:i/>
          <w:iCs/>
        </w:rPr>
      </w:pPr>
    </w:p>
    <w:p w14:paraId="600ADE46"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1BFDFA80"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Recibir, tramitar y dar respuesta a las solicitudes de acceso a la información; </w:t>
      </w:r>
    </w:p>
    <w:p w14:paraId="797FB685"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Auxiliar a los particulares en la elaboración de solicitudes de acceso a la información y, en su caso, orientarlos sobre los sujetos obligados competentes conforme a la normatividad aplicable; </w:t>
      </w:r>
    </w:p>
    <w:p w14:paraId="338A0B19"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Realizar, con efectividad, los trámites internos necesarios para la atención de las solicitudes de acceso a la información; </w:t>
      </w:r>
    </w:p>
    <w:p w14:paraId="51D87E72"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Entregar, en su caso, a los particulares la información solicitada; </w:t>
      </w:r>
    </w:p>
    <w:p w14:paraId="7977B660"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Efectuar las notificaciones a los solicitantes; </w:t>
      </w:r>
    </w:p>
    <w:p w14:paraId="009C6E59"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Proponer al Comité de Transparencia, los procedimientos internos que aseguren la mayor eficiencia en la gestión de las solicitudes de acceso a la información, conforme a la normatividad aplicable; </w:t>
      </w:r>
    </w:p>
    <w:p w14:paraId="0C420E59"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Proponer a quien preside el Comité de Transparencia, personal habilitado que sea necesario para recibir y dar trámite a las solicitudes de acceso a la información; </w:t>
      </w:r>
    </w:p>
    <w:p w14:paraId="5D2D20C8"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274F83B1"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 Presentar ante el Comité, el proyecto de clasificación de información; </w:t>
      </w:r>
    </w:p>
    <w:p w14:paraId="307BF62B"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Promover e implementar políticas de transparencia proactiva procurando su accesibilidad; </w:t>
      </w:r>
    </w:p>
    <w:p w14:paraId="1E9F936F"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Fomentar la transparencia y accesibilidad al interior del sujeto obligado; </w:t>
      </w:r>
    </w:p>
    <w:p w14:paraId="6AE7CB8F"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XIII. Hacer del conocimiento de la instancia competente la probable responsabilidad por el incumplimiento de las obligaciones previstas en la presente Ley; y</w:t>
      </w:r>
    </w:p>
    <w:p w14:paraId="59791CAB"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XIV. Las demás que resulten necesarias para facilitar el acceso a la información y aquellas que se desprenden de la presente Ley y demás disposiciones jurídicas aplicables.</w:t>
      </w:r>
    </w:p>
    <w:p w14:paraId="164D9F5F"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3AE7AB6C" w14:textId="77777777" w:rsidR="007E6D6E" w:rsidRDefault="007E6D6E">
      <w:pPr>
        <w:ind w:left="567" w:right="-929"/>
        <w:jc w:val="both"/>
        <w:rPr>
          <w:rFonts w:ascii="Palatino Linotype" w:eastAsia="Palatino Linotype" w:hAnsi="Palatino Linotype" w:cs="Palatino Linotype"/>
          <w:i/>
          <w:iCs/>
        </w:rPr>
      </w:pPr>
    </w:p>
    <w:p w14:paraId="64A812A4"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56</w:t>
      </w:r>
      <w:r>
        <w:rPr>
          <w:rFonts w:ascii="Palatino Linotype" w:eastAsia="Palatino Linotype" w:hAnsi="Palatino Linotype" w:cs="Palatino Linotype"/>
          <w:i/>
          <w:iCs/>
        </w:rPr>
        <w:t xml:space="preserve">. Los sujetos obligados, a través de las Unidades de Transparencia acataran las resoluciones, lineamientos y criterios del Instituto y atenderán los requerimientos de informes que éste realice. </w:t>
      </w:r>
    </w:p>
    <w:p w14:paraId="1EE01790" w14:textId="77777777" w:rsidR="007E6D6E" w:rsidRDefault="007E6D6E">
      <w:pPr>
        <w:ind w:left="567" w:right="-929"/>
        <w:jc w:val="both"/>
        <w:rPr>
          <w:rFonts w:ascii="Palatino Linotype" w:eastAsia="Palatino Linotype" w:hAnsi="Palatino Linotype" w:cs="Palatino Linotype"/>
          <w:i/>
          <w:iCs/>
        </w:rPr>
      </w:pPr>
    </w:p>
    <w:p w14:paraId="15F4BE11"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57</w:t>
      </w:r>
      <w:r>
        <w:rPr>
          <w:rFonts w:ascii="Palatino Linotype" w:eastAsia="Palatino Linotype" w:hAnsi="Palatino Linotype" w:cs="Palatino Linotype"/>
          <w:i/>
          <w:iCs/>
        </w:rPr>
        <w:t xml:space="preserve">. El responsable de la Unidad de Transparencia deberá tener el perfil adecuado para el cumplimiento de las obligaciones que se derivan de la presente Ley. Para ser nombrado titular de la Unidad de Transparencia, deberá cumplir, por lo menos, con los siguientes requisitos: </w:t>
      </w:r>
    </w:p>
    <w:p w14:paraId="692C41FA" w14:textId="77777777" w:rsidR="007E6D6E" w:rsidRDefault="007E6D6E">
      <w:pPr>
        <w:ind w:left="567" w:right="-929"/>
        <w:jc w:val="both"/>
        <w:rPr>
          <w:rFonts w:ascii="Palatino Linotype" w:eastAsia="Palatino Linotype" w:hAnsi="Palatino Linotype" w:cs="Palatino Linotype"/>
          <w:i/>
          <w:iCs/>
        </w:rPr>
      </w:pPr>
    </w:p>
    <w:p w14:paraId="61EC0FAD"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Contar con conocimiento o, tratándose de las entidades gubernamentales estatales y los municipios certificación en materia de acceso a la información, transparencia y protección de datos personales, que para tal efecto emita el Instituto; </w:t>
      </w:r>
    </w:p>
    <w:p w14:paraId="3822435A"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Experiencia en materia de acceso a la información y protección de datospersonales; y </w:t>
      </w:r>
    </w:p>
    <w:p w14:paraId="157EB5EE"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III. Habilidades de organización y comunicación, así como visión y liderazgo.</w:t>
      </w:r>
    </w:p>
    <w:p w14:paraId="391623F5" w14:textId="77777777" w:rsidR="007E6D6E" w:rsidRDefault="007E6D6E">
      <w:pPr>
        <w:ind w:left="567" w:right="-929"/>
        <w:jc w:val="both"/>
        <w:rPr>
          <w:rFonts w:ascii="Palatino Linotype" w:eastAsia="Palatino Linotype" w:hAnsi="Palatino Linotype" w:cs="Palatino Linotype"/>
          <w:i/>
          <w:iCs/>
        </w:rPr>
      </w:pPr>
    </w:p>
    <w:p w14:paraId="216E4632" w14:textId="77777777" w:rsidR="007E6D6E" w:rsidRDefault="007E6D6E">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1E87BDFD" w14:textId="77777777" w:rsidR="007E6D6E" w:rsidRDefault="00DF6000">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Unidad de Transparencia</w:t>
      </w:r>
      <w:r>
        <w:rPr>
          <w:rFonts w:ascii="Palatino Linotype" w:eastAsia="Palatino Linotype" w:hAnsi="Palatino Linotype" w:cs="Palatino Linotype"/>
        </w:rPr>
        <w:t xml:space="preserve"> será la encargada de tramitar internamente la solicitud de información y tendrá la responsabilidad de verificar en cada caso que la misma no sea confidencial o reservada, con funciones de Recibir, tramitar y dar respuesta a las solicitudes de acceso a la información; Recabar, difundir y actualizar la información relativa a las obligaciones de transparencia comunes y específicas; Llevar un registro de las solicitudes de acceso a la información, sus respuestas, resultados, costos de reproducción y envío, resolución a los recursos de revisión que se hayan emitido en contra de sus respuestas y del cumplimiento de las mismas; Presentar ante el Comité, el proyecto de clasificación de información, por mencionar algunas.</w:t>
      </w:r>
    </w:p>
    <w:p w14:paraId="2E7D563B" w14:textId="77777777" w:rsidR="00933F59" w:rsidRDefault="00933F59" w:rsidP="00933F59">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589053DF" w14:textId="77777777" w:rsidR="007E6D6E" w:rsidRDefault="00DF6000">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Unidad de Transparencia</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 xml:space="preserve">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w:t>
      </w:r>
      <w:r>
        <w:rPr>
          <w:rFonts w:ascii="Palatino Linotype" w:eastAsia="Palatino Linotype" w:hAnsi="Palatino Linotype" w:cs="Palatino Linotype"/>
        </w:rPr>
        <w:lastRenderedPageBreak/>
        <w:t>información de conformidad con la fracción XXXIX del artículo tercero de la legislación local vigente en materia de transparencia:</w:t>
      </w:r>
    </w:p>
    <w:p w14:paraId="33EE7E5C"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F725BEC" w14:textId="77777777" w:rsidR="007E6D6E" w:rsidRDefault="007E6D6E">
      <w:pPr>
        <w:spacing w:line="360" w:lineRule="auto"/>
        <w:ind w:left="708" w:right="-929"/>
        <w:jc w:val="both"/>
        <w:rPr>
          <w:rFonts w:ascii="Palatino Linotype" w:eastAsia="Palatino Linotype" w:hAnsi="Palatino Linotype" w:cs="Palatino Linotype"/>
        </w:rPr>
      </w:pPr>
    </w:p>
    <w:p w14:paraId="413D5808" w14:textId="77777777" w:rsidR="007E6D6E" w:rsidRDefault="00DF6000">
      <w:pPr>
        <w:numPr>
          <w:ilvl w:val="0"/>
          <w:numId w:val="3"/>
        </w:numPr>
        <w:spacing w:line="360" w:lineRule="auto"/>
        <w:ind w:left="0" w:right="-929"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14:paraId="696708F0"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14:paraId="30CEDDD1" w14:textId="77777777" w:rsidR="007E6D6E" w:rsidRDefault="007E6D6E">
      <w:pPr>
        <w:spacing w:line="360" w:lineRule="auto"/>
        <w:ind w:right="-929"/>
        <w:jc w:val="both"/>
        <w:rPr>
          <w:rFonts w:ascii="Palatino Linotype" w:eastAsia="Palatino Linotype" w:hAnsi="Palatino Linotype" w:cs="Palatino Linotype"/>
          <w:color w:val="000000"/>
        </w:rPr>
      </w:pPr>
    </w:p>
    <w:p w14:paraId="0B2073B8" w14:textId="77777777" w:rsidR="007E6D6E" w:rsidRDefault="00DF6000">
      <w:pPr>
        <w:numPr>
          <w:ilvl w:val="0"/>
          <w:numId w:val="3"/>
        </w:numPr>
        <w:spacing w:line="360" w:lineRule="auto"/>
        <w:ind w:left="0" w:right="-929" w:firstLine="0"/>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w:t>
      </w:r>
      <w:r>
        <w:rPr>
          <w:rFonts w:ascii="Palatino Linotype" w:eastAsia="Palatino Linotype" w:hAnsi="Palatino Linotype" w:cs="Palatino Linotype"/>
        </w:rPr>
        <w:t>directrices</w:t>
      </w:r>
      <w:r>
        <w:rPr>
          <w:rFonts w:ascii="Palatino Linotype" w:eastAsia="Palatino Linotype" w:hAnsi="Palatino Linotype" w:cs="Palatino Linotype"/>
          <w:color w:val="000000"/>
        </w:rPr>
        <w:t xml:space="preserve">,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770416AF" w14:textId="77777777" w:rsidR="007E6D6E" w:rsidRDefault="00DF6000">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14:paraId="72E7244B" w14:textId="77777777" w:rsidR="007E6D6E" w:rsidRDefault="00DF6000">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286840AB" w14:textId="77777777" w:rsidR="007E6D6E" w:rsidRDefault="00DF6000">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w:t>
      </w:r>
      <w:r>
        <w:rPr>
          <w:rFonts w:ascii="Palatino Linotype" w:eastAsia="Palatino Linotype" w:hAnsi="Palatino Linotype" w:cs="Palatino Linotype"/>
          <w:i/>
          <w:iCs/>
          <w:color w:val="000000"/>
        </w:rPr>
        <w:lastRenderedPageBreak/>
        <w:t>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285977E" w14:textId="77777777" w:rsidR="007E6D6E" w:rsidRDefault="00DF6000">
      <w:pP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1A119F88" w14:textId="77777777" w:rsidR="007E6D6E" w:rsidRDefault="007E6D6E">
      <w:pPr>
        <w:ind w:right="-929"/>
        <w:jc w:val="both"/>
        <w:rPr>
          <w:rFonts w:ascii="Palatino Linotype" w:eastAsia="Palatino Linotype" w:hAnsi="Palatino Linotype" w:cs="Palatino Linotype"/>
        </w:rPr>
      </w:pPr>
    </w:p>
    <w:p w14:paraId="3121E752" w14:textId="77777777" w:rsidR="007E6D6E" w:rsidRDefault="00DF6000">
      <w:pPr>
        <w:numPr>
          <w:ilvl w:val="0"/>
          <w:numId w:val="3"/>
        </w:numPr>
        <w:spacing w:line="360" w:lineRule="auto"/>
        <w:ind w:left="0" w:right="-929" w:firstLine="0"/>
        <w:jc w:val="both"/>
        <w:rPr>
          <w:color w:val="000000"/>
        </w:rPr>
      </w:pPr>
      <w:r>
        <w:rPr>
          <w:rFonts w:ascii="Palatino Linotype" w:eastAsia="Palatino Linotype" w:hAnsi="Palatino Linotype" w:cs="Palatino Linotype"/>
          <w:color w:val="000000"/>
        </w:rPr>
        <w:t xml:space="preserve">Siendo </w:t>
      </w:r>
      <w:r>
        <w:rPr>
          <w:rFonts w:ascii="Palatino Linotype" w:eastAsia="Palatino Linotype" w:hAnsi="Palatino Linotype" w:cs="Palatino Linotype"/>
        </w:rPr>
        <w:t>aplicable</w:t>
      </w:r>
      <w:r>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CB3F021" w14:textId="77777777" w:rsidR="007E6D6E" w:rsidRDefault="00DF6000">
      <w:pPr>
        <w:ind w:left="850"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14:paraId="1E101CCC" w14:textId="77777777" w:rsidR="007E6D6E" w:rsidRDefault="00DF6000">
      <w:pPr>
        <w:ind w:left="850"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B2D8CDB" w14:textId="77777777" w:rsidR="007E6D6E" w:rsidRDefault="00DF6000">
      <w:pPr>
        <w:ind w:left="850" w:right="-929"/>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14:paraId="4D81AA17" w14:textId="77777777" w:rsidR="007E6D6E" w:rsidRDefault="00DF6000">
      <w:pPr>
        <w:ind w:left="850"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14:paraId="02670A01" w14:textId="77777777" w:rsidR="007E6D6E" w:rsidRDefault="00DF6000">
      <w:pPr>
        <w:ind w:left="850" w:right="-929"/>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14:paraId="45F76D14" w14:textId="77777777" w:rsidR="007E6D6E" w:rsidRDefault="00DF6000">
      <w:pPr>
        <w:ind w:left="850" w:right="-929"/>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14:paraId="40207242" w14:textId="77777777" w:rsidR="007E6D6E" w:rsidRDefault="00DF6000">
      <w:pPr>
        <w:tabs>
          <w:tab w:val="left" w:pos="851"/>
        </w:tabs>
        <w:spacing w:line="360" w:lineRule="auto"/>
        <w:ind w:left="850" w:right="-929"/>
        <w:rPr>
          <w:rFonts w:ascii="Palatino Linotype" w:eastAsia="Palatino Linotype" w:hAnsi="Palatino Linotype" w:cs="Palatino Linotype"/>
        </w:rPr>
      </w:pPr>
      <w:r>
        <w:rPr>
          <w:rFonts w:ascii="Palatino Linotype" w:eastAsia="Palatino Linotype" w:hAnsi="Palatino Linotype" w:cs="Palatino Linotype"/>
        </w:rPr>
        <w:t>(Énfasis Añadido)</w:t>
      </w:r>
    </w:p>
    <w:p w14:paraId="37CC1E3A" w14:textId="77777777" w:rsidR="007E6D6E" w:rsidRDefault="007E6D6E">
      <w:pPr>
        <w:pBdr>
          <w:top w:val="nil"/>
          <w:left w:val="nil"/>
          <w:bottom w:val="nil"/>
          <w:right w:val="nil"/>
          <w:between w:val="nil"/>
        </w:pBdr>
        <w:ind w:right="-929"/>
        <w:jc w:val="both"/>
        <w:rPr>
          <w:rFonts w:ascii="Palatino Linotype" w:eastAsia="Palatino Linotype" w:hAnsi="Palatino Linotype" w:cs="Palatino Linotype"/>
          <w:color w:val="000000"/>
        </w:rPr>
      </w:pPr>
    </w:p>
    <w:p w14:paraId="2CB05F27" w14:textId="77777777" w:rsidR="007E6D6E" w:rsidRDefault="00DF6000">
      <w:pPr>
        <w:numPr>
          <w:ilvl w:val="0"/>
          <w:numId w:val="3"/>
        </w:numPr>
        <w:spacing w:line="360" w:lineRule="auto"/>
        <w:ind w:left="0" w:right="-929"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14:paraId="053F2AF8"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14:paraId="636030BA" w14:textId="77777777" w:rsidR="007E6D6E" w:rsidRDefault="007E6D6E">
      <w:pPr>
        <w:ind w:left="566" w:right="-929"/>
        <w:jc w:val="both"/>
        <w:rPr>
          <w:rFonts w:ascii="Palatino Linotype" w:eastAsia="Palatino Linotype" w:hAnsi="Palatino Linotype" w:cs="Palatino Linotype"/>
          <w:i/>
          <w:iCs/>
        </w:rPr>
      </w:pPr>
    </w:p>
    <w:p w14:paraId="7C3A3818"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14:paraId="6086D978" w14:textId="77777777" w:rsidR="007E6D6E" w:rsidRDefault="00DF6000">
      <w:pPr>
        <w:ind w:left="566" w:right="-929"/>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14:paraId="3051A809" w14:textId="77777777" w:rsidR="007E6D6E" w:rsidRDefault="00DF6000">
      <w:pPr>
        <w:spacing w:line="360" w:lineRule="auto"/>
        <w:ind w:left="566" w:right="-929"/>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14:paraId="47A83A22" w14:textId="77777777" w:rsidR="007E6D6E" w:rsidRDefault="007E6D6E">
      <w:pPr>
        <w:ind w:right="-929"/>
        <w:jc w:val="both"/>
        <w:rPr>
          <w:rFonts w:ascii="Palatino Linotype" w:eastAsia="Palatino Linotype" w:hAnsi="Palatino Linotype" w:cs="Palatino Linotype"/>
        </w:rPr>
      </w:pPr>
    </w:p>
    <w:p w14:paraId="1BCB1487" w14:textId="77777777" w:rsidR="007E6D6E" w:rsidRDefault="00DF6000">
      <w:pPr>
        <w:numPr>
          <w:ilvl w:val="0"/>
          <w:numId w:val="3"/>
        </w:numPr>
        <w:spacing w:line="360" w:lineRule="auto"/>
        <w:ind w:left="0" w:right="-929"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14:paraId="58DF4147" w14:textId="77777777" w:rsidR="007E6D6E" w:rsidRDefault="007E6D6E">
      <w:pPr>
        <w:spacing w:line="360" w:lineRule="auto"/>
        <w:ind w:right="-929"/>
        <w:jc w:val="both"/>
        <w:rPr>
          <w:rFonts w:ascii="Palatino Linotype" w:eastAsia="Palatino Linotype" w:hAnsi="Palatino Linotype" w:cs="Palatino Linotype"/>
          <w:color w:val="000000"/>
        </w:rPr>
      </w:pPr>
    </w:p>
    <w:p w14:paraId="07D83084"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Con el objetivo de profundizar en el análisis del presente medio de impugnación, y proporcionar una comprensión integral, la siguiente tabla detalla la información requerida, la respuesta proporcionada y los motivos de inconformidad, a fin de determinar si el Sujeto Obligado colma con el requerimiento hecho por el particular:</w:t>
      </w:r>
    </w:p>
    <w:p w14:paraId="0BC9E4C4" w14:textId="77777777" w:rsidR="007E6D6E" w:rsidRDefault="007E6D6E">
      <w:pPr>
        <w:spacing w:line="360" w:lineRule="auto"/>
        <w:ind w:right="-929"/>
        <w:jc w:val="both"/>
        <w:rPr>
          <w:rFonts w:ascii="Palatino Linotype" w:eastAsia="Palatino Linotype" w:hAnsi="Palatino Linotype" w:cs="Palatino Linotype"/>
          <w:i/>
          <w:iCs/>
          <w:color w:val="000000"/>
        </w:rPr>
      </w:pPr>
    </w:p>
    <w:tbl>
      <w:tblPr>
        <w:tblStyle w:val="a"/>
        <w:tblW w:w="9345"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166"/>
        <w:gridCol w:w="2625"/>
        <w:gridCol w:w="1974"/>
        <w:gridCol w:w="1580"/>
      </w:tblGrid>
      <w:tr w:rsidR="007E6D6E" w14:paraId="5DB45146" w14:textId="77777777">
        <w:trPr>
          <w:cantSplit/>
          <w:trHeight w:val="426"/>
          <w:tblHeader/>
        </w:trPr>
        <w:tc>
          <w:tcPr>
            <w:tcW w:w="3165" w:type="dxa"/>
            <w:shd w:val="clear" w:color="auto" w:fill="D9D9D9"/>
            <w:vAlign w:val="center"/>
          </w:tcPr>
          <w:p w14:paraId="5B59D824"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Información solicitada</w:t>
            </w:r>
          </w:p>
          <w:p w14:paraId="20C5CBF9"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5F2EE2B3"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Información del ejercicio 2025, relacionada con la Unidad de Transparencia y su Titular</w:t>
            </w:r>
          </w:p>
        </w:tc>
        <w:tc>
          <w:tcPr>
            <w:tcW w:w="2625" w:type="dxa"/>
            <w:shd w:val="clear" w:color="auto" w:fill="D9D9D9"/>
            <w:vAlign w:val="center"/>
          </w:tcPr>
          <w:p w14:paraId="24BBE5AA"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Información proporcionada</w:t>
            </w:r>
          </w:p>
        </w:tc>
        <w:tc>
          <w:tcPr>
            <w:tcW w:w="1974" w:type="dxa"/>
            <w:shd w:val="clear" w:color="auto" w:fill="D9D9D9"/>
            <w:vAlign w:val="center"/>
          </w:tcPr>
          <w:p w14:paraId="57666F2B"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inconformidad</w:t>
            </w:r>
          </w:p>
        </w:tc>
        <w:tc>
          <w:tcPr>
            <w:tcW w:w="1580" w:type="dxa"/>
            <w:shd w:val="clear" w:color="auto" w:fill="D9D9D9"/>
            <w:vAlign w:val="center"/>
          </w:tcPr>
          <w:p w14:paraId="0FC3983F"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¿Colma?</w:t>
            </w:r>
          </w:p>
        </w:tc>
      </w:tr>
      <w:tr w:rsidR="007E6D6E" w14:paraId="0A4F8314" w14:textId="77777777">
        <w:tc>
          <w:tcPr>
            <w:tcW w:w="9344" w:type="dxa"/>
            <w:gridSpan w:val="4"/>
            <w:shd w:val="clear" w:color="auto" w:fill="D9D9D9"/>
            <w:vAlign w:val="center"/>
          </w:tcPr>
          <w:p w14:paraId="699EC098" w14:textId="77777777" w:rsidR="007E6D6E" w:rsidRDefault="00DF6000">
            <w:pPr>
              <w:numPr>
                <w:ilvl w:val="0"/>
                <w:numId w:val="18"/>
              </w:numPr>
              <w:pBdr>
                <w:top w:val="nil"/>
                <w:left w:val="nil"/>
                <w:bottom w:val="nil"/>
                <w:right w:val="nil"/>
                <w:between w:val="nil"/>
              </w:pBdr>
              <w:ind w:right="-51"/>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Titular de la Unidad de Transparencia:</w:t>
            </w:r>
          </w:p>
        </w:tc>
      </w:tr>
      <w:tr w:rsidR="007E6D6E" w14:paraId="3DB36FBA" w14:textId="77777777">
        <w:tc>
          <w:tcPr>
            <w:tcW w:w="3165" w:type="dxa"/>
            <w:shd w:val="clear" w:color="auto" w:fill="auto"/>
            <w:vAlign w:val="center"/>
          </w:tcPr>
          <w:p w14:paraId="27645369" w14:textId="77777777" w:rsidR="007E6D6E" w:rsidRDefault="00DF6000">
            <w:pPr>
              <w:pBdr>
                <w:top w:val="nil"/>
                <w:left w:val="nil"/>
                <w:bottom w:val="nil"/>
                <w:right w:val="nil"/>
                <w:between w:val="nil"/>
              </w:pBdr>
              <w:ind w:left="94"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completo.</w:t>
            </w:r>
          </w:p>
        </w:tc>
        <w:tc>
          <w:tcPr>
            <w:tcW w:w="2625" w:type="dxa"/>
            <w:shd w:val="clear" w:color="auto" w:fill="auto"/>
            <w:vAlign w:val="center"/>
          </w:tcPr>
          <w:p w14:paraId="4EE09F03"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Jimena Jaimes Aguirre</w:t>
            </w:r>
          </w:p>
        </w:tc>
        <w:tc>
          <w:tcPr>
            <w:tcW w:w="1974" w:type="dxa"/>
            <w:vMerge w:val="restart"/>
            <w:shd w:val="clear" w:color="auto" w:fill="auto"/>
            <w:vAlign w:val="center"/>
          </w:tcPr>
          <w:p w14:paraId="1A4114F4"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inconformidad</w:t>
            </w:r>
          </w:p>
        </w:tc>
        <w:tc>
          <w:tcPr>
            <w:tcW w:w="1580" w:type="dxa"/>
            <w:vMerge w:val="restart"/>
            <w:shd w:val="clear" w:color="auto" w:fill="auto"/>
            <w:vAlign w:val="center"/>
          </w:tcPr>
          <w:p w14:paraId="4DCD8678"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60AC7B6A"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540778D5"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Actos consentidos</w:t>
            </w:r>
          </w:p>
        </w:tc>
      </w:tr>
      <w:tr w:rsidR="007E6D6E" w14:paraId="438AF302" w14:textId="77777777">
        <w:tc>
          <w:tcPr>
            <w:tcW w:w="3165" w:type="dxa"/>
            <w:shd w:val="clear" w:color="auto" w:fill="auto"/>
            <w:vAlign w:val="center"/>
          </w:tcPr>
          <w:p w14:paraId="27D1FF13" w14:textId="77777777" w:rsidR="007E6D6E" w:rsidRDefault="00DF6000">
            <w:pPr>
              <w:pBdr>
                <w:top w:val="nil"/>
                <w:left w:val="nil"/>
                <w:bottom w:val="nil"/>
                <w:right w:val="nil"/>
                <w:between w:val="nil"/>
              </w:pBdr>
              <w:ind w:left="94"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Nombramiento. </w:t>
            </w:r>
          </w:p>
        </w:tc>
        <w:tc>
          <w:tcPr>
            <w:tcW w:w="2625" w:type="dxa"/>
            <w:shd w:val="clear" w:color="auto" w:fill="auto"/>
            <w:vAlign w:val="center"/>
          </w:tcPr>
          <w:p w14:paraId="3E3340D6"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xml:space="preserve">Copia en versión pública del nombramiento. </w:t>
            </w:r>
          </w:p>
          <w:p w14:paraId="4F4B2FC7" w14:textId="77777777" w:rsidR="007E6D6E" w:rsidRDefault="007E6D6E">
            <w:pPr>
              <w:ind w:right="-51"/>
              <w:jc w:val="both"/>
              <w:rPr>
                <w:rFonts w:ascii="Palatino Linotype" w:eastAsia="Palatino Linotype" w:hAnsi="Palatino Linotype" w:cs="Palatino Linotype"/>
              </w:rPr>
            </w:pPr>
          </w:p>
          <w:p w14:paraId="1274BD90"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No se anexó nombramiento</w:t>
            </w:r>
          </w:p>
        </w:tc>
        <w:tc>
          <w:tcPr>
            <w:tcW w:w="1974" w:type="dxa"/>
            <w:vMerge/>
            <w:shd w:val="clear" w:color="auto" w:fill="auto"/>
            <w:vAlign w:val="center"/>
          </w:tcPr>
          <w:p w14:paraId="2398EFBE"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3D3208DE"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1BEECF0E" w14:textId="77777777">
        <w:tc>
          <w:tcPr>
            <w:tcW w:w="3165" w:type="dxa"/>
            <w:shd w:val="clear" w:color="auto" w:fill="auto"/>
            <w:vAlign w:val="center"/>
          </w:tcPr>
          <w:p w14:paraId="44995CB5" w14:textId="77777777" w:rsidR="007E6D6E" w:rsidRDefault="00DF6000">
            <w:pPr>
              <w:pBdr>
                <w:top w:val="nil"/>
                <w:left w:val="nil"/>
                <w:bottom w:val="nil"/>
                <w:right w:val="nil"/>
                <w:between w:val="nil"/>
              </w:pBdr>
              <w:ind w:left="94"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Fecha de inicio en el cargo. </w:t>
            </w:r>
          </w:p>
        </w:tc>
        <w:tc>
          <w:tcPr>
            <w:tcW w:w="2625" w:type="dxa"/>
            <w:shd w:val="clear" w:color="auto" w:fill="auto"/>
            <w:vAlign w:val="center"/>
          </w:tcPr>
          <w:p w14:paraId="4A866272"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30 de enero de 2025</w:t>
            </w:r>
          </w:p>
        </w:tc>
        <w:tc>
          <w:tcPr>
            <w:tcW w:w="1974" w:type="dxa"/>
            <w:vMerge/>
            <w:shd w:val="clear" w:color="auto" w:fill="auto"/>
            <w:vAlign w:val="center"/>
          </w:tcPr>
          <w:p w14:paraId="207B8F53"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3F3629CF"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6CE33582" w14:textId="77777777">
        <w:tc>
          <w:tcPr>
            <w:tcW w:w="3165" w:type="dxa"/>
            <w:shd w:val="clear" w:color="auto" w:fill="auto"/>
            <w:vAlign w:val="center"/>
          </w:tcPr>
          <w:p w14:paraId="338A124B" w14:textId="77777777" w:rsidR="007E6D6E" w:rsidRDefault="00DF6000">
            <w:pPr>
              <w:pBdr>
                <w:top w:val="nil"/>
                <w:left w:val="nil"/>
                <w:bottom w:val="nil"/>
                <w:right w:val="nil"/>
                <w:between w:val="nil"/>
              </w:pBdr>
              <w:ind w:left="94"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Fundamento legal de su designación. </w:t>
            </w:r>
          </w:p>
        </w:tc>
        <w:tc>
          <w:tcPr>
            <w:tcW w:w="2625" w:type="dxa"/>
            <w:shd w:val="clear" w:color="auto" w:fill="auto"/>
            <w:vAlign w:val="center"/>
          </w:tcPr>
          <w:p w14:paraId="52ECA8A7"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Artículo 86 de la Ley Orgánica Municipal del Estado de México y en el Artículo 35 del Bando Municipal 2025</w:t>
            </w:r>
          </w:p>
        </w:tc>
        <w:tc>
          <w:tcPr>
            <w:tcW w:w="1974" w:type="dxa"/>
            <w:vMerge/>
            <w:shd w:val="clear" w:color="auto" w:fill="auto"/>
            <w:vAlign w:val="center"/>
          </w:tcPr>
          <w:p w14:paraId="5C0EED9A"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43BE0C1B"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04134CD8" w14:textId="77777777">
        <w:tc>
          <w:tcPr>
            <w:tcW w:w="3165" w:type="dxa"/>
            <w:shd w:val="clear" w:color="auto" w:fill="auto"/>
            <w:vAlign w:val="center"/>
          </w:tcPr>
          <w:p w14:paraId="6388A3ED" w14:textId="77777777" w:rsidR="007E6D6E" w:rsidRDefault="00DF6000">
            <w:pPr>
              <w:pBdr>
                <w:top w:val="nil"/>
                <w:left w:val="nil"/>
                <w:bottom w:val="nil"/>
                <w:right w:val="nil"/>
                <w:between w:val="nil"/>
              </w:pBdr>
              <w:ind w:left="94"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Atribuciones y obligaciones del cargo.</w:t>
            </w:r>
          </w:p>
        </w:tc>
        <w:tc>
          <w:tcPr>
            <w:tcW w:w="2625" w:type="dxa"/>
            <w:shd w:val="clear" w:color="auto" w:fill="auto"/>
            <w:vAlign w:val="center"/>
          </w:tcPr>
          <w:p w14:paraId="0C05A3ED"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Las que le confiere la Ley de Transparencia y Acceso a la Información Pública del Estado de México y Municipios, La ley Orgánica Municipal y El Bando Municipal 2025</w:t>
            </w:r>
          </w:p>
        </w:tc>
        <w:tc>
          <w:tcPr>
            <w:tcW w:w="1974" w:type="dxa"/>
            <w:vMerge/>
            <w:shd w:val="clear" w:color="auto" w:fill="auto"/>
            <w:vAlign w:val="center"/>
          </w:tcPr>
          <w:p w14:paraId="4F6E72FE"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5B3E6771"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52EB5C7B" w14:textId="77777777">
        <w:tc>
          <w:tcPr>
            <w:tcW w:w="9344" w:type="dxa"/>
            <w:gridSpan w:val="4"/>
            <w:shd w:val="clear" w:color="auto" w:fill="D9D9D9"/>
            <w:vAlign w:val="center"/>
          </w:tcPr>
          <w:p w14:paraId="7377B86E" w14:textId="77777777" w:rsidR="007E6D6E" w:rsidRDefault="00DF6000">
            <w:pPr>
              <w:numPr>
                <w:ilvl w:val="0"/>
                <w:numId w:val="18"/>
              </w:numPr>
              <w:pBdr>
                <w:top w:val="nil"/>
                <w:left w:val="nil"/>
                <w:bottom w:val="nil"/>
                <w:right w:val="nil"/>
                <w:between w:val="nil"/>
              </w:pBdr>
              <w:ind w:right="-51"/>
              <w:jc w:val="cente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Estructura y operación de la Unidad de Transparencia:</w:t>
            </w:r>
          </w:p>
        </w:tc>
      </w:tr>
      <w:tr w:rsidR="007E6D6E" w14:paraId="432C693E" w14:textId="77777777">
        <w:tc>
          <w:tcPr>
            <w:tcW w:w="3165" w:type="dxa"/>
            <w:shd w:val="clear" w:color="auto" w:fill="auto"/>
            <w:vAlign w:val="center"/>
          </w:tcPr>
          <w:p w14:paraId="2A47B2BA"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Manual de Organización y Procedimientos.</w:t>
            </w:r>
          </w:p>
        </w:tc>
        <w:tc>
          <w:tcPr>
            <w:tcW w:w="2625" w:type="dxa"/>
            <w:shd w:val="clear" w:color="auto" w:fill="auto"/>
            <w:vAlign w:val="center"/>
          </w:tcPr>
          <w:p w14:paraId="1BA04D75"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rige por la Ley de Transparencia y Acceso a la Información Pública del Estado de México y Municipios.</w:t>
            </w:r>
          </w:p>
        </w:tc>
        <w:tc>
          <w:tcPr>
            <w:tcW w:w="1974" w:type="dxa"/>
            <w:shd w:val="clear" w:color="auto" w:fill="auto"/>
            <w:vAlign w:val="center"/>
          </w:tcPr>
          <w:p w14:paraId="6FC84AB5"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Omisión del Manual de Organización</w:t>
            </w:r>
          </w:p>
        </w:tc>
        <w:tc>
          <w:tcPr>
            <w:tcW w:w="1580" w:type="dxa"/>
            <w:shd w:val="clear" w:color="auto" w:fill="auto"/>
            <w:vAlign w:val="center"/>
          </w:tcPr>
          <w:p w14:paraId="71E6ED59" w14:textId="77777777" w:rsidR="007E6D6E" w:rsidRDefault="00DF6000">
            <w:pPr>
              <w:ind w:right="-51"/>
              <w:jc w:val="center"/>
              <w:rPr>
                <w:rFonts w:ascii="Palatino Linotype" w:eastAsia="Palatino Linotype" w:hAnsi="Palatino Linotype" w:cs="Palatino Linotype"/>
                <w:b/>
                <w:bCs/>
              </w:rPr>
            </w:pPr>
            <w:r>
              <w:rPr>
                <w:rFonts w:ascii="Palatino Linotype" w:eastAsia="Palatino Linotype" w:hAnsi="Palatino Linotype" w:cs="Palatino Linotype"/>
                <w:b/>
                <w:bCs/>
              </w:rPr>
              <w:t>NO</w:t>
            </w:r>
          </w:p>
        </w:tc>
      </w:tr>
      <w:tr w:rsidR="007E6D6E" w14:paraId="22709D43" w14:textId="77777777">
        <w:tc>
          <w:tcPr>
            <w:tcW w:w="3165" w:type="dxa"/>
            <w:shd w:val="clear" w:color="auto" w:fill="auto"/>
            <w:vAlign w:val="center"/>
          </w:tcPr>
          <w:p w14:paraId="19CE3762"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Estructura orgánica vigente.</w:t>
            </w:r>
          </w:p>
        </w:tc>
        <w:tc>
          <w:tcPr>
            <w:tcW w:w="2625" w:type="dxa"/>
            <w:shd w:val="clear" w:color="auto" w:fill="auto"/>
            <w:vAlign w:val="center"/>
          </w:tcPr>
          <w:p w14:paraId="172F657F"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colma con el punto siguiente</w:t>
            </w:r>
          </w:p>
        </w:tc>
        <w:tc>
          <w:tcPr>
            <w:tcW w:w="1974" w:type="dxa"/>
            <w:vMerge w:val="restart"/>
            <w:shd w:val="clear" w:color="auto" w:fill="auto"/>
            <w:vAlign w:val="center"/>
          </w:tcPr>
          <w:p w14:paraId="10558A23"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inconformidad</w:t>
            </w:r>
          </w:p>
        </w:tc>
        <w:tc>
          <w:tcPr>
            <w:tcW w:w="1580" w:type="dxa"/>
            <w:vMerge w:val="restart"/>
            <w:shd w:val="clear" w:color="auto" w:fill="auto"/>
            <w:vAlign w:val="center"/>
          </w:tcPr>
          <w:p w14:paraId="3CA121C1"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0C98B611"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598D728E"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Actos consentidos</w:t>
            </w:r>
          </w:p>
        </w:tc>
      </w:tr>
      <w:tr w:rsidR="007E6D6E" w14:paraId="1C549E0C" w14:textId="77777777">
        <w:tc>
          <w:tcPr>
            <w:tcW w:w="3165" w:type="dxa"/>
            <w:shd w:val="clear" w:color="auto" w:fill="auto"/>
            <w:vAlign w:val="center"/>
          </w:tcPr>
          <w:p w14:paraId="554DC77D"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Listado del personal indicando: Nombre Puesto Funciones Sueldo bruto y neto.</w:t>
            </w:r>
          </w:p>
        </w:tc>
        <w:tc>
          <w:tcPr>
            <w:tcW w:w="2625" w:type="dxa"/>
            <w:shd w:val="clear" w:color="auto" w:fill="auto"/>
            <w:vAlign w:val="center"/>
          </w:tcPr>
          <w:p w14:paraId="23EAF070"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Nombre: Jimena Jaimes Aguirre</w:t>
            </w:r>
          </w:p>
          <w:p w14:paraId="0716ACFE"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Puesto: Titular de la Unidad</w:t>
            </w:r>
          </w:p>
          <w:p w14:paraId="0BF73783"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xml:space="preserve">Funciones: </w:t>
            </w:r>
          </w:p>
          <w:p w14:paraId="261948A6"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Gestionar el acceso a la información pública;</w:t>
            </w:r>
          </w:p>
          <w:p w14:paraId="3304DAA7"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Recabar y actualizar información de oficio en el portal Ipomex;</w:t>
            </w:r>
          </w:p>
          <w:p w14:paraId="5C45040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Atender solicitudes ciudadanas en un plazo máximo de quince días hábiles, garantizar la protección de datos personales y orientar a la ciudadanía para ejercer su derecho,</w:t>
            </w:r>
          </w:p>
          <w:p w14:paraId="5EB90FD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Sueldo bruto: $9,766.00</w:t>
            </w:r>
          </w:p>
          <w:p w14:paraId="7CA23A0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Sueldo neto: $8,000.00</w:t>
            </w:r>
          </w:p>
          <w:p w14:paraId="7699B101" w14:textId="77777777" w:rsidR="007E6D6E" w:rsidRDefault="007E6D6E">
            <w:pPr>
              <w:ind w:right="-51"/>
              <w:jc w:val="both"/>
              <w:rPr>
                <w:rFonts w:ascii="Palatino Linotype" w:eastAsia="Palatino Linotype" w:hAnsi="Palatino Linotype" w:cs="Palatino Linotype"/>
              </w:rPr>
            </w:pPr>
          </w:p>
          <w:p w14:paraId="01285AB2"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Nombre: Hermilo Martinez Osorio</w:t>
            </w:r>
          </w:p>
          <w:p w14:paraId="042BFE5D"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Puesto: Jefe de Departamento</w:t>
            </w:r>
          </w:p>
          <w:p w14:paraId="26C9E2E5"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xml:space="preserve">Funciones: </w:t>
            </w:r>
          </w:p>
          <w:p w14:paraId="2A123781"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Supervisar la Transparencia Activa.</w:t>
            </w:r>
          </w:p>
          <w:p w14:paraId="17E80EE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Gestión de solicitudes.</w:t>
            </w:r>
          </w:p>
          <w:p w14:paraId="3C910E4C"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lastRenderedPageBreak/>
              <w:t>- Asesoría Ciudadana.</w:t>
            </w:r>
          </w:p>
          <w:p w14:paraId="23DE4F4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Mejora Regulatoria.</w:t>
            </w:r>
          </w:p>
          <w:p w14:paraId="2294AB97"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Vinculación Interdepartamental.</w:t>
            </w:r>
          </w:p>
          <w:p w14:paraId="3C87944D"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Sueldo bruto: $9,766.00</w:t>
            </w:r>
          </w:p>
          <w:p w14:paraId="38511CA6"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Sueldo neto: $8,000.00</w:t>
            </w:r>
          </w:p>
          <w:p w14:paraId="1AC4DB82" w14:textId="77777777" w:rsidR="007E6D6E" w:rsidRDefault="007E6D6E">
            <w:pPr>
              <w:ind w:right="-51"/>
              <w:jc w:val="both"/>
              <w:rPr>
                <w:rFonts w:ascii="Palatino Linotype" w:eastAsia="Palatino Linotype" w:hAnsi="Palatino Linotype" w:cs="Palatino Linotype"/>
              </w:rPr>
            </w:pPr>
          </w:p>
          <w:p w14:paraId="0D25BD7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Nombre: Anayanzi Rangel Beltran</w:t>
            </w:r>
          </w:p>
          <w:p w14:paraId="7BE2D472"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Puesto: Auxiliar</w:t>
            </w:r>
          </w:p>
          <w:p w14:paraId="47FD2588"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Funciones:</w:t>
            </w:r>
          </w:p>
          <w:p w14:paraId="55959FA8"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Gestión de Solicitudes;</w:t>
            </w:r>
          </w:p>
          <w:p w14:paraId="681AD448"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Archivo y Orden;</w:t>
            </w:r>
          </w:p>
          <w:p w14:paraId="684ECFB5"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Apoyo a la Ciudadanía;</w:t>
            </w:r>
          </w:p>
          <w:p w14:paraId="32832EC4"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Trámite de Respuesta;</w:t>
            </w:r>
          </w:p>
          <w:p w14:paraId="6DA5F123"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Actualización de Información;</w:t>
            </w:r>
          </w:p>
          <w:p w14:paraId="1220C70D"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Soporte Operativo y</w:t>
            </w:r>
          </w:p>
          <w:p w14:paraId="0E80F09A"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Difusión y Transparencia.</w:t>
            </w:r>
          </w:p>
          <w:p w14:paraId="039B043D"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Sueldo bruto: $5,448.00</w:t>
            </w:r>
          </w:p>
          <w:p w14:paraId="6CFE45CA"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Sueldo neto: $4,500.00</w:t>
            </w:r>
          </w:p>
        </w:tc>
        <w:tc>
          <w:tcPr>
            <w:tcW w:w="1974" w:type="dxa"/>
            <w:vMerge/>
            <w:shd w:val="clear" w:color="auto" w:fill="auto"/>
            <w:vAlign w:val="center"/>
          </w:tcPr>
          <w:p w14:paraId="71C847F9"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2B7E0362"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39DBCE8B" w14:textId="77777777">
        <w:tc>
          <w:tcPr>
            <w:tcW w:w="3165" w:type="dxa"/>
            <w:shd w:val="clear" w:color="auto" w:fill="auto"/>
            <w:vAlign w:val="center"/>
          </w:tcPr>
          <w:p w14:paraId="753FE4DC"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Horarios oficiales de atención y medios habilitados para recibir solicitudes de información.</w:t>
            </w:r>
          </w:p>
        </w:tc>
        <w:tc>
          <w:tcPr>
            <w:tcW w:w="2625" w:type="dxa"/>
            <w:shd w:val="clear" w:color="auto" w:fill="auto"/>
            <w:vAlign w:val="center"/>
          </w:tcPr>
          <w:p w14:paraId="2F3BB619"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Horario de 09:00 a 16:00 horas de lunes a viernes.</w:t>
            </w:r>
          </w:p>
          <w:p w14:paraId="20C59F65"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xml:space="preserve">- Se recibe a través del portal de SAIMEX y presencial en las </w:t>
            </w:r>
            <w:r>
              <w:rPr>
                <w:rFonts w:ascii="Palatino Linotype" w:eastAsia="Palatino Linotype" w:hAnsi="Palatino Linotype" w:cs="Palatino Linotype"/>
              </w:rPr>
              <w:lastRenderedPageBreak/>
              <w:t>oficinas del Ayuntamiento de Tejupilco en la Unidad de Transparencia.</w:t>
            </w:r>
          </w:p>
        </w:tc>
        <w:tc>
          <w:tcPr>
            <w:tcW w:w="1974" w:type="dxa"/>
            <w:vMerge/>
            <w:shd w:val="clear" w:color="auto" w:fill="auto"/>
            <w:vAlign w:val="center"/>
          </w:tcPr>
          <w:p w14:paraId="5880B603"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5CD38680"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59B58CDE" w14:textId="77777777">
        <w:tc>
          <w:tcPr>
            <w:tcW w:w="9344" w:type="dxa"/>
            <w:gridSpan w:val="4"/>
            <w:shd w:val="clear" w:color="auto" w:fill="D9D9D9"/>
            <w:vAlign w:val="center"/>
          </w:tcPr>
          <w:p w14:paraId="408F6F81" w14:textId="77777777" w:rsidR="007E6D6E" w:rsidRDefault="00DF6000">
            <w:pPr>
              <w:numPr>
                <w:ilvl w:val="0"/>
                <w:numId w:val="18"/>
              </w:numPr>
              <w:ind w:right="-51"/>
              <w:jc w:val="both"/>
              <w:rPr>
                <w:rFonts w:ascii="Palatino Linotype" w:eastAsia="Palatino Linotype" w:hAnsi="Palatino Linotype" w:cs="Palatino Linotype"/>
                <w:i/>
                <w:iCs/>
              </w:rPr>
            </w:pPr>
            <w:r>
              <w:rPr>
                <w:rFonts w:ascii="Palatino Linotype" w:eastAsia="Palatino Linotype" w:hAnsi="Palatino Linotype" w:cs="Palatino Linotype"/>
                <w:i/>
                <w:iCs/>
              </w:rPr>
              <w:t>Gestión de solicitudes de información pública:</w:t>
            </w:r>
          </w:p>
        </w:tc>
      </w:tr>
      <w:tr w:rsidR="007E6D6E" w14:paraId="16FA02B7" w14:textId="77777777">
        <w:tc>
          <w:tcPr>
            <w:tcW w:w="3165" w:type="dxa"/>
            <w:shd w:val="clear" w:color="auto" w:fill="auto"/>
            <w:vAlign w:val="center"/>
          </w:tcPr>
          <w:p w14:paraId="24E9F4CB"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Número total de solicitudes de información recibidas. </w:t>
            </w:r>
          </w:p>
        </w:tc>
        <w:tc>
          <w:tcPr>
            <w:tcW w:w="2625" w:type="dxa"/>
            <w:shd w:val="clear" w:color="auto" w:fill="auto"/>
            <w:vAlign w:val="center"/>
          </w:tcPr>
          <w:p w14:paraId="3E60E8E9"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51</w:t>
            </w:r>
          </w:p>
        </w:tc>
        <w:tc>
          <w:tcPr>
            <w:tcW w:w="1974" w:type="dxa"/>
            <w:vMerge w:val="restart"/>
            <w:shd w:val="clear" w:color="auto" w:fill="auto"/>
            <w:vAlign w:val="center"/>
          </w:tcPr>
          <w:p w14:paraId="26D41254"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inconformidad</w:t>
            </w:r>
          </w:p>
        </w:tc>
        <w:tc>
          <w:tcPr>
            <w:tcW w:w="1580" w:type="dxa"/>
            <w:vMerge w:val="restart"/>
            <w:shd w:val="clear" w:color="auto" w:fill="auto"/>
            <w:vAlign w:val="center"/>
          </w:tcPr>
          <w:p w14:paraId="30CFF8A2"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358229B5"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5D86C9D6"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Actos consentidos</w:t>
            </w:r>
          </w:p>
        </w:tc>
      </w:tr>
      <w:tr w:rsidR="007E6D6E" w14:paraId="7A5E5A60" w14:textId="77777777">
        <w:tc>
          <w:tcPr>
            <w:tcW w:w="3165" w:type="dxa"/>
            <w:shd w:val="clear" w:color="auto" w:fill="auto"/>
            <w:vAlign w:val="center"/>
          </w:tcPr>
          <w:p w14:paraId="1046F682"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contestadas dentro del plazo legal.</w:t>
            </w:r>
          </w:p>
        </w:tc>
        <w:tc>
          <w:tcPr>
            <w:tcW w:w="2625" w:type="dxa"/>
            <w:shd w:val="clear" w:color="auto" w:fill="auto"/>
            <w:vAlign w:val="center"/>
          </w:tcPr>
          <w:p w14:paraId="0D6B8C68"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51</w:t>
            </w:r>
          </w:p>
        </w:tc>
        <w:tc>
          <w:tcPr>
            <w:tcW w:w="1974" w:type="dxa"/>
            <w:vMerge/>
            <w:shd w:val="clear" w:color="auto" w:fill="auto"/>
            <w:vAlign w:val="center"/>
          </w:tcPr>
          <w:p w14:paraId="71F62794"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0B5942A5"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3AECCD6B" w14:textId="77777777">
        <w:tc>
          <w:tcPr>
            <w:tcW w:w="3165" w:type="dxa"/>
            <w:shd w:val="clear" w:color="auto" w:fill="auto"/>
            <w:vAlign w:val="center"/>
          </w:tcPr>
          <w:p w14:paraId="10BE1C0D"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contestadas de forma extemporánea.</w:t>
            </w:r>
          </w:p>
        </w:tc>
        <w:tc>
          <w:tcPr>
            <w:tcW w:w="2625" w:type="dxa"/>
            <w:shd w:val="clear" w:color="auto" w:fill="auto"/>
            <w:vAlign w:val="center"/>
          </w:tcPr>
          <w:p w14:paraId="6846C5E8"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0</w:t>
            </w:r>
          </w:p>
        </w:tc>
        <w:tc>
          <w:tcPr>
            <w:tcW w:w="1974" w:type="dxa"/>
            <w:vMerge/>
            <w:shd w:val="clear" w:color="auto" w:fill="auto"/>
            <w:vAlign w:val="center"/>
          </w:tcPr>
          <w:p w14:paraId="7E235568"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2C9067D9"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318E0A90" w14:textId="77777777">
        <w:tc>
          <w:tcPr>
            <w:tcW w:w="3165" w:type="dxa"/>
            <w:shd w:val="clear" w:color="auto" w:fill="auto"/>
            <w:vAlign w:val="center"/>
          </w:tcPr>
          <w:p w14:paraId="299156B1"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en las que se haya requerido aclaración o prevención.</w:t>
            </w:r>
          </w:p>
        </w:tc>
        <w:tc>
          <w:tcPr>
            <w:tcW w:w="2625" w:type="dxa"/>
            <w:shd w:val="clear" w:color="auto" w:fill="auto"/>
            <w:vAlign w:val="center"/>
          </w:tcPr>
          <w:p w14:paraId="47B78F74"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1</w:t>
            </w:r>
          </w:p>
        </w:tc>
        <w:tc>
          <w:tcPr>
            <w:tcW w:w="1974" w:type="dxa"/>
            <w:vMerge/>
            <w:shd w:val="clear" w:color="auto" w:fill="auto"/>
            <w:vAlign w:val="center"/>
          </w:tcPr>
          <w:p w14:paraId="68073619"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77B33891"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2557A8B1" w14:textId="77777777">
        <w:tc>
          <w:tcPr>
            <w:tcW w:w="3165" w:type="dxa"/>
            <w:shd w:val="clear" w:color="auto" w:fill="auto"/>
            <w:vAlign w:val="center"/>
          </w:tcPr>
          <w:p w14:paraId="313801C4"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en las que se haya declarado inexistencia de información.</w:t>
            </w:r>
          </w:p>
        </w:tc>
        <w:tc>
          <w:tcPr>
            <w:tcW w:w="2625" w:type="dxa"/>
            <w:shd w:val="clear" w:color="auto" w:fill="auto"/>
            <w:vAlign w:val="center"/>
          </w:tcPr>
          <w:p w14:paraId="4CA892AC"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1</w:t>
            </w:r>
          </w:p>
        </w:tc>
        <w:tc>
          <w:tcPr>
            <w:tcW w:w="1974" w:type="dxa"/>
            <w:vMerge/>
            <w:shd w:val="clear" w:color="auto" w:fill="auto"/>
            <w:vAlign w:val="center"/>
          </w:tcPr>
          <w:p w14:paraId="7A0F9B7C"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43CCDD6E"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19290471" w14:textId="77777777">
        <w:tc>
          <w:tcPr>
            <w:tcW w:w="3165" w:type="dxa"/>
            <w:shd w:val="clear" w:color="auto" w:fill="auto"/>
            <w:vAlign w:val="center"/>
          </w:tcPr>
          <w:p w14:paraId="2EEF5F13"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en las que se haya clasificado información como reservada o confidencial.</w:t>
            </w:r>
          </w:p>
        </w:tc>
        <w:tc>
          <w:tcPr>
            <w:tcW w:w="2625" w:type="dxa"/>
            <w:shd w:val="clear" w:color="auto" w:fill="auto"/>
            <w:vAlign w:val="center"/>
          </w:tcPr>
          <w:p w14:paraId="301F2E66"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1</w:t>
            </w:r>
          </w:p>
        </w:tc>
        <w:tc>
          <w:tcPr>
            <w:tcW w:w="1974" w:type="dxa"/>
            <w:vMerge/>
            <w:shd w:val="clear" w:color="auto" w:fill="auto"/>
            <w:vAlign w:val="center"/>
          </w:tcPr>
          <w:p w14:paraId="3743D85F"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40D07BC5"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6481E8E1" w14:textId="77777777">
        <w:tc>
          <w:tcPr>
            <w:tcW w:w="3165" w:type="dxa"/>
            <w:shd w:val="clear" w:color="auto" w:fill="auto"/>
            <w:vAlign w:val="center"/>
          </w:tcPr>
          <w:p w14:paraId="559C2EA7"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solicitudes en las que se haya autorizado ampliación de plazo.</w:t>
            </w:r>
          </w:p>
        </w:tc>
        <w:tc>
          <w:tcPr>
            <w:tcW w:w="2625" w:type="dxa"/>
            <w:shd w:val="clear" w:color="auto" w:fill="auto"/>
            <w:vAlign w:val="center"/>
          </w:tcPr>
          <w:p w14:paraId="63B6A112"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0</w:t>
            </w:r>
          </w:p>
        </w:tc>
        <w:tc>
          <w:tcPr>
            <w:tcW w:w="1974" w:type="dxa"/>
            <w:vMerge/>
            <w:shd w:val="clear" w:color="auto" w:fill="auto"/>
            <w:vAlign w:val="center"/>
          </w:tcPr>
          <w:p w14:paraId="704E18A9"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7F150586"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4F2B50D1" w14:textId="77777777">
        <w:tc>
          <w:tcPr>
            <w:tcW w:w="9344" w:type="dxa"/>
            <w:gridSpan w:val="4"/>
            <w:shd w:val="clear" w:color="auto" w:fill="D9D9D9"/>
            <w:vAlign w:val="center"/>
          </w:tcPr>
          <w:p w14:paraId="66CFDBAC" w14:textId="77777777" w:rsidR="007E6D6E" w:rsidRDefault="00DF6000">
            <w:pPr>
              <w:numPr>
                <w:ilvl w:val="0"/>
                <w:numId w:val="18"/>
              </w:numPr>
              <w:ind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Comité de Transparencia:</w:t>
            </w:r>
          </w:p>
        </w:tc>
      </w:tr>
      <w:tr w:rsidR="007E6D6E" w14:paraId="18E8C0B7" w14:textId="77777777">
        <w:tc>
          <w:tcPr>
            <w:tcW w:w="3165" w:type="dxa"/>
            <w:shd w:val="clear" w:color="auto" w:fill="auto"/>
            <w:vAlign w:val="center"/>
          </w:tcPr>
          <w:p w14:paraId="4BC83B04"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Acta de instalación.</w:t>
            </w:r>
          </w:p>
        </w:tc>
        <w:tc>
          <w:tcPr>
            <w:tcW w:w="2625" w:type="dxa"/>
            <w:shd w:val="clear" w:color="auto" w:fill="auto"/>
            <w:vAlign w:val="center"/>
          </w:tcPr>
          <w:p w14:paraId="5B8CE12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anexa acta de instalación del Comité de Transparencia.</w:t>
            </w:r>
          </w:p>
          <w:p w14:paraId="46A70ADC" w14:textId="77777777" w:rsidR="007E6D6E" w:rsidRDefault="007E6D6E">
            <w:pPr>
              <w:ind w:right="-51"/>
              <w:jc w:val="both"/>
              <w:rPr>
                <w:rFonts w:ascii="Palatino Linotype" w:eastAsia="Palatino Linotype" w:hAnsi="Palatino Linotype" w:cs="Palatino Linotype"/>
              </w:rPr>
            </w:pPr>
          </w:p>
          <w:p w14:paraId="11586467"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 Se proporcionó en incorrecta versión pública al testar la firma de servidores públicos.</w:t>
            </w:r>
          </w:p>
        </w:tc>
        <w:tc>
          <w:tcPr>
            <w:tcW w:w="1974" w:type="dxa"/>
            <w:vMerge w:val="restart"/>
            <w:shd w:val="clear" w:color="auto" w:fill="auto"/>
            <w:vAlign w:val="center"/>
          </w:tcPr>
          <w:p w14:paraId="07108C07"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Sin inconformidad</w:t>
            </w:r>
          </w:p>
        </w:tc>
        <w:tc>
          <w:tcPr>
            <w:tcW w:w="1580" w:type="dxa"/>
            <w:vMerge w:val="restart"/>
            <w:shd w:val="clear" w:color="auto" w:fill="auto"/>
            <w:vAlign w:val="center"/>
          </w:tcPr>
          <w:p w14:paraId="20D89C65"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30F49CD8"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3331CF41"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Actos consentidos</w:t>
            </w:r>
          </w:p>
        </w:tc>
      </w:tr>
      <w:tr w:rsidR="007E6D6E" w14:paraId="2C76988F" w14:textId="77777777">
        <w:tc>
          <w:tcPr>
            <w:tcW w:w="3165" w:type="dxa"/>
            <w:shd w:val="clear" w:color="auto" w:fill="auto"/>
            <w:vAlign w:val="center"/>
          </w:tcPr>
          <w:p w14:paraId="3435E6A0"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Integrantes del Comité y cargos que desempeñan.</w:t>
            </w:r>
          </w:p>
        </w:tc>
        <w:tc>
          <w:tcPr>
            <w:tcW w:w="2625" w:type="dxa"/>
            <w:shd w:val="clear" w:color="auto" w:fill="auto"/>
            <w:vAlign w:val="center"/>
          </w:tcPr>
          <w:p w14:paraId="12DD602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describen en el acta de instalación del Comité de Transparencia</w:t>
            </w:r>
          </w:p>
        </w:tc>
        <w:tc>
          <w:tcPr>
            <w:tcW w:w="1974" w:type="dxa"/>
            <w:vMerge/>
            <w:shd w:val="clear" w:color="auto" w:fill="auto"/>
            <w:vAlign w:val="center"/>
          </w:tcPr>
          <w:p w14:paraId="51BF1581"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2AA8E56F"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4F91E633" w14:textId="77777777">
        <w:tc>
          <w:tcPr>
            <w:tcW w:w="3165" w:type="dxa"/>
            <w:shd w:val="clear" w:color="auto" w:fill="auto"/>
            <w:vAlign w:val="center"/>
          </w:tcPr>
          <w:p w14:paraId="5CC7797E"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Actas de sesiones celebradas. </w:t>
            </w:r>
          </w:p>
        </w:tc>
        <w:tc>
          <w:tcPr>
            <w:tcW w:w="2625" w:type="dxa"/>
            <w:shd w:val="clear" w:color="auto" w:fill="auto"/>
            <w:vAlign w:val="center"/>
          </w:tcPr>
          <w:p w14:paraId="6B8CC4EA"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El Sujeto Obligado refirió que se anexan.</w:t>
            </w:r>
          </w:p>
          <w:p w14:paraId="126B45AA" w14:textId="77777777" w:rsidR="007E6D6E" w:rsidRDefault="007E6D6E">
            <w:pPr>
              <w:ind w:right="-51"/>
              <w:jc w:val="both"/>
              <w:rPr>
                <w:rFonts w:ascii="Palatino Linotype" w:eastAsia="Palatino Linotype" w:hAnsi="Palatino Linotype" w:cs="Palatino Linotype"/>
              </w:rPr>
            </w:pPr>
          </w:p>
          <w:p w14:paraId="385C3997"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No se anexan actas.</w:t>
            </w:r>
          </w:p>
        </w:tc>
        <w:tc>
          <w:tcPr>
            <w:tcW w:w="1974" w:type="dxa"/>
            <w:vMerge/>
            <w:shd w:val="clear" w:color="auto" w:fill="auto"/>
            <w:vAlign w:val="center"/>
          </w:tcPr>
          <w:p w14:paraId="451A1D7D"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15EA10C4"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3F4BEAB8" w14:textId="77777777">
        <w:tc>
          <w:tcPr>
            <w:tcW w:w="3165" w:type="dxa"/>
            <w:shd w:val="clear" w:color="auto" w:fill="auto"/>
            <w:vAlign w:val="center"/>
          </w:tcPr>
          <w:p w14:paraId="2B3918CE"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Copia de las resoluciones emitidas, incluyendo: Clasificaciones Desclasificaciones Declaratorias de inexistencia.</w:t>
            </w:r>
          </w:p>
        </w:tc>
        <w:tc>
          <w:tcPr>
            <w:tcW w:w="2625" w:type="dxa"/>
            <w:shd w:val="clear" w:color="auto" w:fill="auto"/>
            <w:vAlign w:val="center"/>
          </w:tcPr>
          <w:p w14:paraId="48796E5A"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Sin pronunciamiento</w:t>
            </w:r>
          </w:p>
          <w:p w14:paraId="758B5287" w14:textId="77777777" w:rsidR="007E6D6E" w:rsidRDefault="007E6D6E">
            <w:pPr>
              <w:ind w:right="-51"/>
              <w:jc w:val="both"/>
              <w:rPr>
                <w:rFonts w:ascii="Palatino Linotype" w:eastAsia="Palatino Linotype" w:hAnsi="Palatino Linotype" w:cs="Palatino Linotype"/>
              </w:rPr>
            </w:pPr>
          </w:p>
          <w:p w14:paraId="7CE9EB18"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colma con las actas de las sesiones, las cuales contienen las resoluciones del Comité.)</w:t>
            </w:r>
          </w:p>
        </w:tc>
        <w:tc>
          <w:tcPr>
            <w:tcW w:w="1974" w:type="dxa"/>
            <w:vMerge/>
            <w:shd w:val="clear" w:color="auto" w:fill="auto"/>
            <w:vAlign w:val="center"/>
          </w:tcPr>
          <w:p w14:paraId="34ECE0D8"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7E7A924F"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4AD99CAA" w14:textId="77777777">
        <w:tc>
          <w:tcPr>
            <w:tcW w:w="9344" w:type="dxa"/>
            <w:gridSpan w:val="4"/>
            <w:shd w:val="clear" w:color="auto" w:fill="D9D9D9"/>
            <w:vAlign w:val="center"/>
          </w:tcPr>
          <w:p w14:paraId="5E785ECC" w14:textId="77777777" w:rsidR="007E6D6E" w:rsidRDefault="00DF6000">
            <w:pPr>
              <w:numPr>
                <w:ilvl w:val="0"/>
                <w:numId w:val="18"/>
              </w:numPr>
              <w:ind w:right="-51"/>
              <w:jc w:val="both"/>
              <w:rPr>
                <w:rFonts w:ascii="Palatino Linotype" w:eastAsia="Palatino Linotype" w:hAnsi="Palatino Linotype" w:cs="Palatino Linotype"/>
                <w:i/>
                <w:iCs/>
              </w:rPr>
            </w:pPr>
            <w:r>
              <w:rPr>
                <w:rFonts w:ascii="Palatino Linotype" w:eastAsia="Palatino Linotype" w:hAnsi="Palatino Linotype" w:cs="Palatino Linotype"/>
                <w:i/>
                <w:iCs/>
              </w:rPr>
              <w:t>Recursos de revisión y cumplimiento:</w:t>
            </w:r>
          </w:p>
        </w:tc>
      </w:tr>
      <w:tr w:rsidR="007E6D6E" w14:paraId="7766CB49" w14:textId="77777777">
        <w:tc>
          <w:tcPr>
            <w:tcW w:w="3165" w:type="dxa"/>
            <w:shd w:val="clear" w:color="auto" w:fill="auto"/>
            <w:vAlign w:val="center"/>
          </w:tcPr>
          <w:p w14:paraId="195BF675" w14:textId="77777777" w:rsidR="007E6D6E" w:rsidRDefault="00DF6000">
            <w:pP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Número de recursos de revisión interpuestos.</w:t>
            </w:r>
          </w:p>
        </w:tc>
        <w:tc>
          <w:tcPr>
            <w:tcW w:w="2625" w:type="dxa"/>
            <w:shd w:val="clear" w:color="auto" w:fill="auto"/>
            <w:vAlign w:val="center"/>
          </w:tcPr>
          <w:p w14:paraId="780AB207"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11</w:t>
            </w:r>
          </w:p>
        </w:tc>
        <w:tc>
          <w:tcPr>
            <w:tcW w:w="1974" w:type="dxa"/>
            <w:vMerge w:val="restart"/>
            <w:shd w:val="clear" w:color="auto" w:fill="auto"/>
            <w:vAlign w:val="center"/>
          </w:tcPr>
          <w:p w14:paraId="4D5CBA57"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inconformidad</w:t>
            </w:r>
          </w:p>
        </w:tc>
        <w:tc>
          <w:tcPr>
            <w:tcW w:w="1580" w:type="dxa"/>
            <w:vMerge w:val="restart"/>
            <w:shd w:val="clear" w:color="auto" w:fill="auto"/>
            <w:vAlign w:val="center"/>
          </w:tcPr>
          <w:p w14:paraId="796588EC"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4742C676"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67C4791A"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Actos consentidos</w:t>
            </w:r>
          </w:p>
        </w:tc>
      </w:tr>
      <w:tr w:rsidR="007E6D6E" w14:paraId="78B220B1" w14:textId="77777777">
        <w:tc>
          <w:tcPr>
            <w:tcW w:w="3165" w:type="dxa"/>
            <w:shd w:val="clear" w:color="auto" w:fill="auto"/>
            <w:vAlign w:val="center"/>
          </w:tcPr>
          <w:p w14:paraId="3D919E7D" w14:textId="77777777" w:rsidR="007E6D6E" w:rsidRDefault="00DF6000">
            <w:pP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Sentido de las resoluciones emitidas por el INFOEM (confirmadas, modificadas o revocadas). </w:t>
            </w:r>
          </w:p>
        </w:tc>
        <w:tc>
          <w:tcPr>
            <w:tcW w:w="2625" w:type="dxa"/>
            <w:shd w:val="clear" w:color="auto" w:fill="auto"/>
            <w:vAlign w:val="center"/>
          </w:tcPr>
          <w:p w14:paraId="1679FBB4"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- 6 cambio de información.</w:t>
            </w:r>
          </w:p>
          <w:p w14:paraId="60B9D725"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- 2 confirmadas.</w:t>
            </w:r>
          </w:p>
          <w:p w14:paraId="547F8D78"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- 3 en proceso.</w:t>
            </w:r>
          </w:p>
        </w:tc>
        <w:tc>
          <w:tcPr>
            <w:tcW w:w="1974" w:type="dxa"/>
            <w:vMerge/>
            <w:shd w:val="clear" w:color="auto" w:fill="auto"/>
            <w:vAlign w:val="center"/>
          </w:tcPr>
          <w:p w14:paraId="3C630511"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3DC63A2A"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3AAF3E11" w14:textId="77777777">
        <w:tc>
          <w:tcPr>
            <w:tcW w:w="3165" w:type="dxa"/>
            <w:shd w:val="clear" w:color="auto" w:fill="auto"/>
            <w:vAlign w:val="center"/>
          </w:tcPr>
          <w:p w14:paraId="649D126C" w14:textId="77777777" w:rsidR="007E6D6E" w:rsidRDefault="00DF6000">
            <w:pP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Resoluciones emitidas por el INFOEM.</w:t>
            </w:r>
          </w:p>
        </w:tc>
        <w:tc>
          <w:tcPr>
            <w:tcW w:w="2625" w:type="dxa"/>
            <w:shd w:val="clear" w:color="auto" w:fill="auto"/>
            <w:vAlign w:val="center"/>
          </w:tcPr>
          <w:p w14:paraId="78D89744"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consultar en el siguiente link https://www.infoem.org.mx/es/node/806/</w:t>
            </w:r>
          </w:p>
        </w:tc>
        <w:tc>
          <w:tcPr>
            <w:tcW w:w="1974" w:type="dxa"/>
            <w:shd w:val="clear" w:color="auto" w:fill="auto"/>
            <w:vAlign w:val="center"/>
          </w:tcPr>
          <w:p w14:paraId="28300A55"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Entrega indebida mediante enlaces para las resoluciones del </w:t>
            </w:r>
            <w:r>
              <w:rPr>
                <w:rFonts w:ascii="Palatino Linotype" w:eastAsia="Palatino Linotype" w:hAnsi="Palatino Linotype" w:cs="Palatino Linotype"/>
                <w:i/>
                <w:iCs/>
                <w:color w:val="000000"/>
              </w:rPr>
              <w:lastRenderedPageBreak/>
              <w:t>INFOEM, el sujeto obligado remite a un enlace externo en lugar de entregar los documentos en versión pública</w:t>
            </w:r>
          </w:p>
        </w:tc>
        <w:tc>
          <w:tcPr>
            <w:tcW w:w="1580" w:type="dxa"/>
            <w:shd w:val="clear" w:color="auto" w:fill="auto"/>
            <w:vAlign w:val="center"/>
          </w:tcPr>
          <w:p w14:paraId="560937D1" w14:textId="77777777" w:rsidR="007E6D6E" w:rsidRDefault="00DF6000">
            <w:pPr>
              <w:ind w:right="-51"/>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NO</w:t>
            </w:r>
          </w:p>
        </w:tc>
      </w:tr>
      <w:tr w:rsidR="007E6D6E" w14:paraId="6370F04E" w14:textId="77777777">
        <w:tc>
          <w:tcPr>
            <w:tcW w:w="3165" w:type="dxa"/>
            <w:shd w:val="clear" w:color="auto" w:fill="auto"/>
            <w:vAlign w:val="center"/>
          </w:tcPr>
          <w:p w14:paraId="6FECF6A7" w14:textId="77777777" w:rsidR="007E6D6E" w:rsidRDefault="00DF6000">
            <w:pP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Informe sobre el cumplimiento o incumplimiento de dichas resoluciones. </w:t>
            </w:r>
          </w:p>
        </w:tc>
        <w:tc>
          <w:tcPr>
            <w:tcW w:w="2625" w:type="dxa"/>
            <w:shd w:val="clear" w:color="auto" w:fill="auto"/>
            <w:vAlign w:val="center"/>
          </w:tcPr>
          <w:p w14:paraId="70BF54C2"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Sin pronunciamiento</w:t>
            </w:r>
          </w:p>
        </w:tc>
        <w:tc>
          <w:tcPr>
            <w:tcW w:w="1974" w:type="dxa"/>
            <w:shd w:val="clear" w:color="auto" w:fill="auto"/>
            <w:vAlign w:val="center"/>
          </w:tcPr>
          <w:p w14:paraId="77238C7C"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Falta del informe de cumplimiento de resoluciones</w:t>
            </w:r>
          </w:p>
        </w:tc>
        <w:tc>
          <w:tcPr>
            <w:tcW w:w="1580" w:type="dxa"/>
            <w:shd w:val="clear" w:color="auto" w:fill="auto"/>
            <w:vAlign w:val="center"/>
          </w:tcPr>
          <w:p w14:paraId="29D1748C" w14:textId="77777777" w:rsidR="007E6D6E" w:rsidRDefault="00DF6000">
            <w:pPr>
              <w:ind w:right="-51"/>
              <w:jc w:val="center"/>
              <w:rPr>
                <w:rFonts w:ascii="Palatino Linotype" w:eastAsia="Palatino Linotype" w:hAnsi="Palatino Linotype" w:cs="Palatino Linotype"/>
                <w:b/>
                <w:bCs/>
              </w:rPr>
            </w:pPr>
            <w:r>
              <w:rPr>
                <w:rFonts w:ascii="Palatino Linotype" w:eastAsia="Palatino Linotype" w:hAnsi="Palatino Linotype" w:cs="Palatino Linotype"/>
                <w:b/>
                <w:bCs/>
              </w:rPr>
              <w:t>NO</w:t>
            </w:r>
          </w:p>
        </w:tc>
      </w:tr>
      <w:tr w:rsidR="007E6D6E" w14:paraId="13390113" w14:textId="77777777">
        <w:tc>
          <w:tcPr>
            <w:tcW w:w="3165" w:type="dxa"/>
            <w:shd w:val="clear" w:color="auto" w:fill="auto"/>
            <w:vAlign w:val="center"/>
          </w:tcPr>
          <w:p w14:paraId="7EBFCB2E" w14:textId="77777777" w:rsidR="007E6D6E" w:rsidRDefault="00DF6000">
            <w:pP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Medidas de apremio o apercibimientos impuestos al Ayuntamiento en materia de transparencia durante 2025, si los hubiera.</w:t>
            </w:r>
          </w:p>
        </w:tc>
        <w:tc>
          <w:tcPr>
            <w:tcW w:w="2625" w:type="dxa"/>
            <w:shd w:val="clear" w:color="auto" w:fill="auto"/>
            <w:vAlign w:val="center"/>
          </w:tcPr>
          <w:p w14:paraId="1EE2A4AA"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Ninguno</w:t>
            </w:r>
          </w:p>
        </w:tc>
        <w:tc>
          <w:tcPr>
            <w:tcW w:w="1974" w:type="dxa"/>
            <w:shd w:val="clear" w:color="auto" w:fill="auto"/>
            <w:vAlign w:val="center"/>
          </w:tcPr>
          <w:p w14:paraId="77D3D875"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Omisión de actas de inexistencia</w:t>
            </w:r>
          </w:p>
        </w:tc>
        <w:tc>
          <w:tcPr>
            <w:tcW w:w="1580" w:type="dxa"/>
            <w:shd w:val="clear" w:color="auto" w:fill="auto"/>
            <w:vAlign w:val="center"/>
          </w:tcPr>
          <w:p w14:paraId="15240461" w14:textId="77777777" w:rsidR="007E6D6E" w:rsidRDefault="00DF6000">
            <w:pPr>
              <w:ind w:right="-51"/>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21C8CB17" w14:textId="77777777" w:rsidR="007E6D6E" w:rsidRDefault="007E6D6E">
            <w:pPr>
              <w:ind w:right="-51"/>
              <w:jc w:val="both"/>
              <w:rPr>
                <w:rFonts w:ascii="Palatino Linotype" w:eastAsia="Palatino Linotype" w:hAnsi="Palatino Linotype" w:cs="Palatino Linotype"/>
              </w:rPr>
            </w:pPr>
          </w:p>
          <w:p w14:paraId="2F2400A2"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Hechos negativos</w:t>
            </w:r>
          </w:p>
        </w:tc>
      </w:tr>
      <w:tr w:rsidR="007E6D6E" w14:paraId="2BCE56FD" w14:textId="77777777">
        <w:tc>
          <w:tcPr>
            <w:tcW w:w="9344" w:type="dxa"/>
            <w:gridSpan w:val="4"/>
            <w:shd w:val="clear" w:color="auto" w:fill="D9D9D9"/>
            <w:vAlign w:val="center"/>
          </w:tcPr>
          <w:p w14:paraId="0CEAEE8D" w14:textId="77777777" w:rsidR="007E6D6E" w:rsidRDefault="00DF6000">
            <w:pPr>
              <w:numPr>
                <w:ilvl w:val="0"/>
                <w:numId w:val="18"/>
              </w:numPr>
              <w:ind w:right="-51"/>
              <w:jc w:val="both"/>
              <w:rPr>
                <w:rFonts w:ascii="Palatino Linotype" w:eastAsia="Palatino Linotype" w:hAnsi="Palatino Linotype" w:cs="Palatino Linotype"/>
              </w:rPr>
            </w:pPr>
            <w:r>
              <w:rPr>
                <w:rFonts w:ascii="Palatino Linotype" w:eastAsia="Palatino Linotype" w:hAnsi="Palatino Linotype" w:cs="Palatino Linotype"/>
                <w:i/>
                <w:iCs/>
              </w:rPr>
              <w:t>Obligaciones de transparencia e IPOMEX</w:t>
            </w:r>
          </w:p>
        </w:tc>
      </w:tr>
      <w:tr w:rsidR="007E6D6E" w14:paraId="23BABC5F" w14:textId="77777777">
        <w:tc>
          <w:tcPr>
            <w:tcW w:w="3165" w:type="dxa"/>
            <w:shd w:val="clear" w:color="auto" w:fill="auto"/>
            <w:vAlign w:val="center"/>
          </w:tcPr>
          <w:p w14:paraId="25EBF17E"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Nombre del servidor público responsable de la actualización del portal IPOMEX. </w:t>
            </w:r>
          </w:p>
        </w:tc>
        <w:tc>
          <w:tcPr>
            <w:tcW w:w="2625" w:type="dxa"/>
            <w:shd w:val="clear" w:color="auto" w:fill="auto"/>
            <w:vAlign w:val="center"/>
          </w:tcPr>
          <w:p w14:paraId="679C307C"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Jimena Jaimes Aguirre</w:t>
            </w:r>
          </w:p>
        </w:tc>
        <w:tc>
          <w:tcPr>
            <w:tcW w:w="1974" w:type="dxa"/>
            <w:vMerge w:val="restart"/>
            <w:shd w:val="clear" w:color="auto" w:fill="auto"/>
            <w:vAlign w:val="center"/>
          </w:tcPr>
          <w:p w14:paraId="6DFCEA59"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inconformidad</w:t>
            </w:r>
          </w:p>
        </w:tc>
        <w:tc>
          <w:tcPr>
            <w:tcW w:w="1580" w:type="dxa"/>
            <w:vMerge w:val="restart"/>
            <w:shd w:val="clear" w:color="auto" w:fill="auto"/>
            <w:vAlign w:val="center"/>
          </w:tcPr>
          <w:p w14:paraId="1AB7485A"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045F6D74"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5BF6BCED"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Actos consentidos</w:t>
            </w:r>
          </w:p>
        </w:tc>
      </w:tr>
      <w:tr w:rsidR="007E6D6E" w14:paraId="095BD32E" w14:textId="77777777">
        <w:tc>
          <w:tcPr>
            <w:tcW w:w="3165" w:type="dxa"/>
            <w:shd w:val="clear" w:color="auto" w:fill="auto"/>
            <w:vAlign w:val="center"/>
          </w:tcPr>
          <w:p w14:paraId="4DD94E0B"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Calendario de actualización de obligaciones de transparencia. </w:t>
            </w:r>
          </w:p>
        </w:tc>
        <w:tc>
          <w:tcPr>
            <w:tcW w:w="2625" w:type="dxa"/>
            <w:shd w:val="clear" w:color="auto" w:fill="auto"/>
            <w:vAlign w:val="center"/>
          </w:tcPr>
          <w:p w14:paraId="2493EB6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realizan trimestralmente.</w:t>
            </w:r>
          </w:p>
        </w:tc>
        <w:tc>
          <w:tcPr>
            <w:tcW w:w="1974" w:type="dxa"/>
            <w:vMerge/>
            <w:shd w:val="clear" w:color="auto" w:fill="auto"/>
            <w:vAlign w:val="center"/>
          </w:tcPr>
          <w:p w14:paraId="59BB1F2B"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7AA79068"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555C35BB" w14:textId="77777777">
        <w:tc>
          <w:tcPr>
            <w:tcW w:w="3165" w:type="dxa"/>
            <w:shd w:val="clear" w:color="auto" w:fill="auto"/>
            <w:vAlign w:val="center"/>
          </w:tcPr>
          <w:p w14:paraId="22C146AE"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Informes internos de cumplimiento de obligaciones de transparencia. </w:t>
            </w:r>
          </w:p>
        </w:tc>
        <w:tc>
          <w:tcPr>
            <w:tcW w:w="2625" w:type="dxa"/>
            <w:shd w:val="clear" w:color="auto" w:fill="auto"/>
            <w:vAlign w:val="center"/>
          </w:tcPr>
          <w:p w14:paraId="6BC1592D"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verifican en el Portal de IPOMEX.</w:t>
            </w:r>
          </w:p>
        </w:tc>
        <w:tc>
          <w:tcPr>
            <w:tcW w:w="1974" w:type="dxa"/>
            <w:shd w:val="clear" w:color="auto" w:fill="auto"/>
            <w:vAlign w:val="center"/>
          </w:tcPr>
          <w:p w14:paraId="7386F6A0"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Respuesta genérica y evasiva. Se limita a indicar que “se verifica en el portal”, cuando solicité informes internos de cumplimiento 2025</w:t>
            </w:r>
          </w:p>
        </w:tc>
        <w:tc>
          <w:tcPr>
            <w:tcW w:w="1580" w:type="dxa"/>
            <w:shd w:val="clear" w:color="auto" w:fill="auto"/>
            <w:vAlign w:val="center"/>
          </w:tcPr>
          <w:p w14:paraId="1BB04BE4" w14:textId="77777777" w:rsidR="007E6D6E" w:rsidRDefault="00DF6000">
            <w:pPr>
              <w:ind w:right="-51"/>
              <w:jc w:val="center"/>
              <w:rPr>
                <w:rFonts w:ascii="Palatino Linotype" w:eastAsia="Palatino Linotype" w:hAnsi="Palatino Linotype" w:cs="Palatino Linotype"/>
                <w:b/>
                <w:bCs/>
              </w:rPr>
            </w:pPr>
            <w:r>
              <w:rPr>
                <w:rFonts w:ascii="Palatino Linotype" w:eastAsia="Palatino Linotype" w:hAnsi="Palatino Linotype" w:cs="Palatino Linotype"/>
                <w:b/>
                <w:bCs/>
              </w:rPr>
              <w:t>NO</w:t>
            </w:r>
          </w:p>
        </w:tc>
      </w:tr>
      <w:tr w:rsidR="007E6D6E" w14:paraId="70C92592" w14:textId="77777777">
        <w:tc>
          <w:tcPr>
            <w:tcW w:w="3165" w:type="dxa"/>
            <w:shd w:val="clear" w:color="auto" w:fill="auto"/>
            <w:vAlign w:val="center"/>
          </w:tcPr>
          <w:p w14:paraId="4D8620D9"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Observaciones, requerimientos o vistas formuladas por el INFOEM al Ayuntamiento en materia de IPOMEX.</w:t>
            </w:r>
          </w:p>
        </w:tc>
        <w:tc>
          <w:tcPr>
            <w:tcW w:w="2625" w:type="dxa"/>
            <w:shd w:val="clear" w:color="auto" w:fill="auto"/>
            <w:vAlign w:val="center"/>
          </w:tcPr>
          <w:p w14:paraId="2DA6FD79"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Ninguna</w:t>
            </w:r>
          </w:p>
        </w:tc>
        <w:tc>
          <w:tcPr>
            <w:tcW w:w="1974" w:type="dxa"/>
            <w:shd w:val="clear" w:color="auto" w:fill="auto"/>
            <w:vAlign w:val="center"/>
          </w:tcPr>
          <w:p w14:paraId="7A56E039"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Omisión de actas de inexistencia</w:t>
            </w:r>
          </w:p>
        </w:tc>
        <w:tc>
          <w:tcPr>
            <w:tcW w:w="1580" w:type="dxa"/>
            <w:shd w:val="clear" w:color="auto" w:fill="auto"/>
            <w:vAlign w:val="center"/>
          </w:tcPr>
          <w:p w14:paraId="71E4DFAB" w14:textId="77777777" w:rsidR="007E6D6E" w:rsidRDefault="00DF6000">
            <w:pPr>
              <w:ind w:right="-51"/>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746591CA" w14:textId="77777777" w:rsidR="007E6D6E" w:rsidRDefault="007E6D6E">
            <w:pPr>
              <w:ind w:right="-51"/>
              <w:jc w:val="both"/>
              <w:rPr>
                <w:rFonts w:ascii="Palatino Linotype" w:eastAsia="Palatino Linotype" w:hAnsi="Palatino Linotype" w:cs="Palatino Linotype"/>
              </w:rPr>
            </w:pPr>
          </w:p>
          <w:p w14:paraId="7796D729" w14:textId="77777777" w:rsidR="007E6D6E" w:rsidRDefault="00DF6000">
            <w:pPr>
              <w:ind w:right="-51"/>
              <w:jc w:val="center"/>
              <w:rPr>
                <w:rFonts w:ascii="Palatino Linotype" w:eastAsia="Palatino Linotype" w:hAnsi="Palatino Linotype" w:cs="Palatino Linotype"/>
              </w:rPr>
            </w:pPr>
            <w:r>
              <w:rPr>
                <w:rFonts w:ascii="Palatino Linotype" w:eastAsia="Palatino Linotype" w:hAnsi="Palatino Linotype" w:cs="Palatino Linotype"/>
              </w:rPr>
              <w:t>Hechos negativos</w:t>
            </w:r>
          </w:p>
        </w:tc>
      </w:tr>
      <w:tr w:rsidR="007E6D6E" w14:paraId="4128E21C" w14:textId="77777777">
        <w:tc>
          <w:tcPr>
            <w:tcW w:w="3165" w:type="dxa"/>
            <w:shd w:val="clear" w:color="auto" w:fill="auto"/>
            <w:vAlign w:val="center"/>
          </w:tcPr>
          <w:p w14:paraId="6FB33E9C"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Acciones correctivas implementadas para dar cumplimiento a dichas observaciones.</w:t>
            </w:r>
          </w:p>
        </w:tc>
        <w:tc>
          <w:tcPr>
            <w:tcW w:w="2625" w:type="dxa"/>
            <w:shd w:val="clear" w:color="auto" w:fill="auto"/>
            <w:vAlign w:val="center"/>
          </w:tcPr>
          <w:p w14:paraId="4A75C827"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N/A</w:t>
            </w:r>
          </w:p>
        </w:tc>
        <w:tc>
          <w:tcPr>
            <w:tcW w:w="1974" w:type="dxa"/>
            <w:shd w:val="clear" w:color="auto" w:fill="auto"/>
            <w:vAlign w:val="center"/>
          </w:tcPr>
          <w:p w14:paraId="238C6626"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inconformidad</w:t>
            </w:r>
          </w:p>
        </w:tc>
        <w:tc>
          <w:tcPr>
            <w:tcW w:w="1580" w:type="dxa"/>
            <w:shd w:val="clear" w:color="auto" w:fill="auto"/>
            <w:vAlign w:val="center"/>
          </w:tcPr>
          <w:p w14:paraId="5C377B72"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5787B4BB"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0C2D4E7E"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Actos consentidos</w:t>
            </w:r>
          </w:p>
        </w:tc>
      </w:tr>
      <w:tr w:rsidR="007E6D6E" w14:paraId="6BD50B76" w14:textId="77777777">
        <w:tc>
          <w:tcPr>
            <w:tcW w:w="9344" w:type="dxa"/>
            <w:gridSpan w:val="4"/>
            <w:shd w:val="clear" w:color="auto" w:fill="D9D9D9"/>
            <w:vAlign w:val="center"/>
          </w:tcPr>
          <w:p w14:paraId="587717B3" w14:textId="77777777" w:rsidR="007E6D6E" w:rsidRDefault="00DF6000">
            <w:pPr>
              <w:numPr>
                <w:ilvl w:val="0"/>
                <w:numId w:val="18"/>
              </w:numPr>
              <w:ind w:right="-51"/>
              <w:jc w:val="both"/>
              <w:rPr>
                <w:rFonts w:ascii="Palatino Linotype" w:eastAsia="Palatino Linotype" w:hAnsi="Palatino Linotype" w:cs="Palatino Linotype"/>
                <w:i/>
                <w:iCs/>
              </w:rPr>
            </w:pPr>
            <w:r>
              <w:rPr>
                <w:rFonts w:ascii="Palatino Linotype" w:eastAsia="Palatino Linotype" w:hAnsi="Palatino Linotype" w:cs="Palatino Linotype"/>
                <w:i/>
                <w:iCs/>
              </w:rPr>
              <w:t>Capacitación y control interno:</w:t>
            </w:r>
          </w:p>
        </w:tc>
      </w:tr>
      <w:tr w:rsidR="007E6D6E" w14:paraId="109446D1" w14:textId="77777777">
        <w:tc>
          <w:tcPr>
            <w:tcW w:w="3165" w:type="dxa"/>
            <w:shd w:val="clear" w:color="auto" w:fill="auto"/>
            <w:vAlign w:val="center"/>
          </w:tcPr>
          <w:p w14:paraId="67259B1C"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Programas de capacitación impartidos en materia de transparencia y acceso a la información.</w:t>
            </w:r>
          </w:p>
        </w:tc>
        <w:tc>
          <w:tcPr>
            <w:tcW w:w="2625" w:type="dxa"/>
            <w:shd w:val="clear" w:color="auto" w:fill="auto"/>
            <w:vAlign w:val="center"/>
          </w:tcPr>
          <w:p w14:paraId="28BC7B15"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llevó a cabo una capacitación el 10 de Abril a los Titulares de las áreas del Ayuntamiento</w:t>
            </w:r>
          </w:p>
        </w:tc>
        <w:tc>
          <w:tcPr>
            <w:tcW w:w="1974" w:type="dxa"/>
            <w:vMerge w:val="restart"/>
            <w:shd w:val="clear" w:color="auto" w:fill="auto"/>
            <w:vAlign w:val="center"/>
          </w:tcPr>
          <w:p w14:paraId="61CA9C69"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inconformidad</w:t>
            </w:r>
          </w:p>
        </w:tc>
        <w:tc>
          <w:tcPr>
            <w:tcW w:w="1580" w:type="dxa"/>
            <w:vMerge w:val="restart"/>
            <w:shd w:val="clear" w:color="auto" w:fill="auto"/>
            <w:vAlign w:val="center"/>
          </w:tcPr>
          <w:p w14:paraId="34DF426F"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14:paraId="74047171" w14:textId="77777777" w:rsidR="007E6D6E" w:rsidRDefault="007E6D6E">
            <w:pPr>
              <w:pBdr>
                <w:top w:val="nil"/>
                <w:left w:val="nil"/>
                <w:bottom w:val="nil"/>
                <w:right w:val="nil"/>
                <w:between w:val="nil"/>
              </w:pBdr>
              <w:ind w:right="-51"/>
              <w:jc w:val="center"/>
              <w:rPr>
                <w:rFonts w:ascii="Palatino Linotype" w:eastAsia="Palatino Linotype" w:hAnsi="Palatino Linotype" w:cs="Palatino Linotype"/>
                <w:b/>
                <w:bCs/>
                <w:color w:val="000000"/>
              </w:rPr>
            </w:pPr>
          </w:p>
          <w:p w14:paraId="6980E313"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Actos consentidos</w:t>
            </w:r>
          </w:p>
        </w:tc>
      </w:tr>
      <w:tr w:rsidR="007E6D6E" w14:paraId="000B6EFD" w14:textId="77777777">
        <w:tc>
          <w:tcPr>
            <w:tcW w:w="3165" w:type="dxa"/>
            <w:shd w:val="clear" w:color="auto" w:fill="auto"/>
            <w:vAlign w:val="center"/>
          </w:tcPr>
          <w:p w14:paraId="236D7D85"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Listas de asistencia y constancias emitidas.</w:t>
            </w:r>
          </w:p>
        </w:tc>
        <w:tc>
          <w:tcPr>
            <w:tcW w:w="2625" w:type="dxa"/>
            <w:shd w:val="clear" w:color="auto" w:fill="auto"/>
            <w:vAlign w:val="center"/>
          </w:tcPr>
          <w:p w14:paraId="3A7516A2"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Solo se tomó asistencia y no se realizaron constancias a la actividad.</w:t>
            </w:r>
          </w:p>
          <w:p w14:paraId="38F20AFC" w14:textId="77777777" w:rsidR="007E6D6E" w:rsidRDefault="007E6D6E">
            <w:pPr>
              <w:ind w:right="-51"/>
              <w:jc w:val="both"/>
              <w:rPr>
                <w:rFonts w:ascii="Palatino Linotype" w:eastAsia="Palatino Linotype" w:hAnsi="Palatino Linotype" w:cs="Palatino Linotype"/>
              </w:rPr>
            </w:pPr>
          </w:p>
          <w:p w14:paraId="389C3FFC"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Se anexan listas de asistencias.</w:t>
            </w:r>
          </w:p>
          <w:p w14:paraId="5D4F899A" w14:textId="77777777" w:rsidR="007E6D6E" w:rsidRDefault="007E6D6E">
            <w:pPr>
              <w:ind w:right="-51"/>
              <w:jc w:val="both"/>
              <w:rPr>
                <w:rFonts w:ascii="Palatino Linotype" w:eastAsia="Palatino Linotype" w:hAnsi="Palatino Linotype" w:cs="Palatino Linotype"/>
              </w:rPr>
            </w:pPr>
          </w:p>
          <w:p w14:paraId="4F5EB7BB"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t>Las listas entregadas se encuentran en incorrecta versión pública al testar la firma de servidores públicos.</w:t>
            </w:r>
          </w:p>
        </w:tc>
        <w:tc>
          <w:tcPr>
            <w:tcW w:w="1974" w:type="dxa"/>
            <w:vMerge/>
            <w:shd w:val="clear" w:color="auto" w:fill="auto"/>
            <w:vAlign w:val="center"/>
          </w:tcPr>
          <w:p w14:paraId="7FBB5227"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c>
          <w:tcPr>
            <w:tcW w:w="1580" w:type="dxa"/>
            <w:vMerge/>
            <w:shd w:val="clear" w:color="auto" w:fill="auto"/>
            <w:vAlign w:val="center"/>
          </w:tcPr>
          <w:p w14:paraId="504B9E79" w14:textId="77777777" w:rsidR="007E6D6E" w:rsidRDefault="007E6D6E">
            <w:pPr>
              <w:widowControl w:val="0"/>
              <w:pBdr>
                <w:top w:val="nil"/>
                <w:left w:val="nil"/>
                <w:bottom w:val="nil"/>
                <w:right w:val="nil"/>
                <w:between w:val="nil"/>
              </w:pBdr>
              <w:spacing w:line="276" w:lineRule="auto"/>
              <w:ind w:right="-929"/>
              <w:rPr>
                <w:rFonts w:ascii="Palatino Linotype" w:eastAsia="Palatino Linotype" w:hAnsi="Palatino Linotype" w:cs="Palatino Linotype"/>
              </w:rPr>
            </w:pPr>
          </w:p>
        </w:tc>
      </w:tr>
      <w:tr w:rsidR="007E6D6E" w14:paraId="412D26C4" w14:textId="77777777">
        <w:tc>
          <w:tcPr>
            <w:tcW w:w="3165" w:type="dxa"/>
            <w:shd w:val="clear" w:color="auto" w:fill="auto"/>
            <w:vAlign w:val="center"/>
          </w:tcPr>
          <w:p w14:paraId="51AD8A05" w14:textId="77777777" w:rsidR="007E6D6E" w:rsidRDefault="00DF6000">
            <w:pPr>
              <w:pBdr>
                <w:top w:val="nil"/>
                <w:left w:val="nil"/>
                <w:bottom w:val="nil"/>
                <w:right w:val="nil"/>
                <w:between w:val="nil"/>
              </w:pBdr>
              <w:ind w:left="-47" w:right="-5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Procedimientos administrativos iniciados o vistas dadas a la Contraloría </w:t>
            </w:r>
            <w:r>
              <w:rPr>
                <w:rFonts w:ascii="Palatino Linotype" w:eastAsia="Palatino Linotype" w:hAnsi="Palatino Linotype" w:cs="Palatino Linotype"/>
                <w:i/>
                <w:iCs/>
                <w:color w:val="000000"/>
              </w:rPr>
              <w:lastRenderedPageBreak/>
              <w:t>Municipal por incumplimiento a la Ley de Transparencia.</w:t>
            </w:r>
          </w:p>
        </w:tc>
        <w:tc>
          <w:tcPr>
            <w:tcW w:w="2625" w:type="dxa"/>
            <w:shd w:val="clear" w:color="auto" w:fill="auto"/>
            <w:vAlign w:val="center"/>
          </w:tcPr>
          <w:p w14:paraId="0994BECF"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lastRenderedPageBreak/>
              <w:t>Ninguno</w:t>
            </w:r>
          </w:p>
        </w:tc>
        <w:tc>
          <w:tcPr>
            <w:tcW w:w="1974" w:type="dxa"/>
            <w:shd w:val="clear" w:color="auto" w:fill="auto"/>
            <w:vAlign w:val="center"/>
          </w:tcPr>
          <w:p w14:paraId="2A68B5E9" w14:textId="77777777" w:rsidR="007E6D6E" w:rsidRDefault="00DF6000">
            <w:pPr>
              <w:pBdr>
                <w:top w:val="nil"/>
                <w:left w:val="nil"/>
                <w:bottom w:val="nil"/>
                <w:right w:val="nil"/>
                <w:between w:val="nil"/>
              </w:pBdr>
              <w:ind w:right="-51"/>
              <w:jc w:val="center"/>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Omisión de actas de inexistencia</w:t>
            </w:r>
          </w:p>
        </w:tc>
        <w:tc>
          <w:tcPr>
            <w:tcW w:w="1580" w:type="dxa"/>
            <w:shd w:val="clear" w:color="auto" w:fill="auto"/>
            <w:vAlign w:val="center"/>
          </w:tcPr>
          <w:p w14:paraId="0E1773A7" w14:textId="77777777" w:rsidR="007E6D6E" w:rsidRDefault="00DF6000">
            <w:pPr>
              <w:ind w:right="-51"/>
              <w:jc w:val="both"/>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34BC9680" w14:textId="77777777" w:rsidR="007E6D6E" w:rsidRDefault="007E6D6E">
            <w:pPr>
              <w:ind w:right="-51"/>
              <w:jc w:val="both"/>
              <w:rPr>
                <w:rFonts w:ascii="Palatino Linotype" w:eastAsia="Palatino Linotype" w:hAnsi="Palatino Linotype" w:cs="Palatino Linotype"/>
                <w:b/>
                <w:bCs/>
              </w:rPr>
            </w:pPr>
          </w:p>
          <w:p w14:paraId="41E67541" w14:textId="77777777" w:rsidR="007E6D6E" w:rsidRDefault="00DF6000">
            <w:pPr>
              <w:ind w:right="-51"/>
              <w:jc w:val="both"/>
              <w:rPr>
                <w:rFonts w:ascii="Palatino Linotype" w:eastAsia="Palatino Linotype" w:hAnsi="Palatino Linotype" w:cs="Palatino Linotype"/>
              </w:rPr>
            </w:pPr>
            <w:r>
              <w:rPr>
                <w:rFonts w:ascii="Palatino Linotype" w:eastAsia="Palatino Linotype" w:hAnsi="Palatino Linotype" w:cs="Palatino Linotype"/>
              </w:rPr>
              <w:lastRenderedPageBreak/>
              <w:t>No se pronunció el Órgano Interno de Control, unidad administrativa competente para poseer, generar o administrar la información.</w:t>
            </w:r>
          </w:p>
        </w:tc>
      </w:tr>
    </w:tbl>
    <w:p w14:paraId="7C34F31C" w14:textId="77777777" w:rsidR="007E6D6E" w:rsidRDefault="007E6D6E">
      <w:pPr>
        <w:spacing w:line="360" w:lineRule="auto"/>
        <w:ind w:right="-51"/>
        <w:jc w:val="both"/>
        <w:rPr>
          <w:color w:val="000000"/>
        </w:rPr>
      </w:pPr>
    </w:p>
    <w:p w14:paraId="165F6512"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Del análisis </w:t>
      </w:r>
      <w:r>
        <w:rPr>
          <w:rFonts w:ascii="Palatino Linotype" w:eastAsia="Palatino Linotype" w:hAnsi="Palatino Linotype" w:cs="Palatino Linotype"/>
          <w:color w:val="000000"/>
        </w:rPr>
        <w:t>en</w:t>
      </w:r>
      <w:r>
        <w:rPr>
          <w:rFonts w:ascii="Palatino Linotype" w:eastAsia="Palatino Linotype" w:hAnsi="Palatino Linotype" w:cs="Palatino Linotype"/>
        </w:rPr>
        <w:t xml:space="preserve"> referencia, es de recordar entonces que el particular se dolió señalando como motivos y razones de inconformidad medularmente por lo siguiente: </w:t>
      </w:r>
      <w:r>
        <w:rPr>
          <w:rFonts w:ascii="Palatino Linotype" w:eastAsia="Palatino Linotype" w:hAnsi="Palatino Linotype" w:cs="Palatino Linotype"/>
          <w:i/>
          <w:iCs/>
          <w:color w:val="000000"/>
        </w:rPr>
        <w:t>1) Omisión del Manual de Organización 2) Falta del informe de cumplimiento de resoluciones 3) Entrega indebida mediante enlaces para las resoluciones del INFOEM, el sujeto obligado remite a un enlace externo en lugar de entregar los documentos en versión pública. 4) Omisión de actas de inexistencia. En diversos rubros la autoridad afirma que “no existen” procedimientos, observaciones o sanciones; sin embargo, no acompaña las actas del Comité de Transparencia que declaren formalmente la inexistencia 5) Respuesta genérica y evasiva en IPOMEX. Se limita a indicar que “se verifica en el portal”, cuando solicité informes internos de cumplimiento 2025 y 6) Falta de debida fundamentación y motivación del oficio de respuesta</w:t>
      </w:r>
      <w:r>
        <w:rPr>
          <w:rFonts w:ascii="Palatino Linotype" w:eastAsia="Palatino Linotype" w:hAnsi="Palatino Linotype" w:cs="Palatino Linotype"/>
          <w:color w:val="000000"/>
        </w:rPr>
        <w:t xml:space="preserve">; por lo que, la parte de la solicitud que no fue combatida se debe tener como </w:t>
      </w:r>
      <w:r>
        <w:rPr>
          <w:rFonts w:ascii="Palatino Linotype" w:eastAsia="Palatino Linotype" w:hAnsi="Palatino Linotype" w:cs="Palatino Linotype"/>
          <w:b/>
          <w:bCs/>
          <w:color w:val="000000"/>
        </w:rPr>
        <w:t>actos consentidos</w:t>
      </w:r>
      <w:r>
        <w:rPr>
          <w:rFonts w:ascii="Palatino Linotype" w:eastAsia="Palatino Linotype" w:hAnsi="Palatino Linotype" w:cs="Palatino Linotype"/>
          <w:color w:val="000000"/>
        </w:rPr>
        <w:t>, por no haber pronunciamiento de impugnación.</w:t>
      </w:r>
    </w:p>
    <w:p w14:paraId="64B52C98" w14:textId="77777777" w:rsidR="007E6D6E" w:rsidRDefault="007E6D6E">
      <w:pPr>
        <w:spacing w:line="360" w:lineRule="auto"/>
        <w:ind w:right="-929"/>
        <w:jc w:val="both"/>
        <w:rPr>
          <w:rFonts w:ascii="Palatino Linotype" w:eastAsia="Palatino Linotype" w:hAnsi="Palatino Linotype" w:cs="Palatino Linotype"/>
        </w:rPr>
      </w:pPr>
    </w:p>
    <w:p w14:paraId="157CA0E2"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Luego </w:t>
      </w:r>
      <w:r>
        <w:rPr>
          <w:rFonts w:ascii="Palatino Linotype" w:eastAsia="Palatino Linotype" w:hAnsi="Palatino Linotype" w:cs="Palatino Linotype"/>
          <w:color w:val="000000"/>
        </w:rPr>
        <w:t>entonces</w:t>
      </w:r>
      <w:r>
        <w:rPr>
          <w:rFonts w:ascii="Palatino Linotype" w:eastAsia="Palatino Linotype" w:hAnsi="Palatino Linotype" w:cs="Palatino Linotype"/>
        </w:rPr>
        <w:t xml:space="preserve">, al no existir inconformidad, la información se tiene por </w:t>
      </w:r>
      <w:r>
        <w:rPr>
          <w:rFonts w:ascii="Palatino Linotype" w:eastAsia="Palatino Linotype" w:hAnsi="Palatino Linotype" w:cs="Palatino Linotype"/>
          <w:color w:val="000000"/>
        </w:rPr>
        <w:t>consentida</w:t>
      </w:r>
      <w:r>
        <w:rPr>
          <w:rFonts w:ascii="Palatino Linotype" w:eastAsia="Palatino Linotype" w:hAnsi="Palatino Linotype" w:cs="Palatino Linotype"/>
        </w:rPr>
        <w:t>, ya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que la falta de </w:t>
      </w:r>
      <w:r>
        <w:rPr>
          <w:rFonts w:ascii="Palatino Linotype" w:eastAsia="Palatino Linotype" w:hAnsi="Palatino Linotype" w:cs="Palatino Linotype"/>
          <w:color w:val="000000"/>
        </w:rPr>
        <w:t>impugnación</w:t>
      </w:r>
      <w:r>
        <w:rPr>
          <w:rFonts w:ascii="Palatino Linotype" w:eastAsia="Palatino Linotype" w:hAnsi="Palatino Linotype" w:cs="Palatino Linotype"/>
        </w:rPr>
        <w:t xml:space="preserve"> resp</w:t>
      </w:r>
      <w:r>
        <w:rPr>
          <w:rFonts w:ascii="Palatino Linotype" w:eastAsia="Palatino Linotype" w:hAnsi="Palatino Linotype" w:cs="Palatino Linotype"/>
          <w:color w:val="000000"/>
        </w:rPr>
        <w:t>e</w:t>
      </w:r>
      <w:r>
        <w:rPr>
          <w:rFonts w:ascii="Palatino Linotype" w:eastAsia="Palatino Linotype" w:hAnsi="Palatino Linotype" w:cs="Palatino Linotype"/>
        </w:rPr>
        <w:t xml:space="preserve">cto de los requerimientos que no fueron manifestados en el recurso de revisión, debe entenderse como </w:t>
      </w:r>
      <w:r>
        <w:rPr>
          <w:rFonts w:ascii="Palatino Linotype" w:eastAsia="Palatino Linotype" w:hAnsi="Palatino Linotype" w:cs="Palatino Linotype"/>
          <w:b/>
          <w:bCs/>
        </w:rPr>
        <w:t>actos consentidos</w:t>
      </w:r>
      <w:r>
        <w:rPr>
          <w:rFonts w:ascii="Palatino Linotype" w:eastAsia="Palatino Linotype" w:hAnsi="Palatino Linotype" w:cs="Palatino Linotype"/>
        </w:rPr>
        <w:t>.</w:t>
      </w:r>
    </w:p>
    <w:p w14:paraId="6934B386" w14:textId="77777777" w:rsidR="007E6D6E" w:rsidRDefault="007E6D6E">
      <w:pPr>
        <w:pBdr>
          <w:top w:val="nil"/>
          <w:left w:val="nil"/>
          <w:bottom w:val="nil"/>
          <w:right w:val="nil"/>
          <w:between w:val="nil"/>
        </w:pBdr>
        <w:spacing w:line="360" w:lineRule="auto"/>
        <w:ind w:right="-929"/>
        <w:rPr>
          <w:rFonts w:ascii="Palatino Linotype" w:eastAsia="Palatino Linotype" w:hAnsi="Palatino Linotype" w:cs="Palatino Linotype"/>
          <w:color w:val="000000"/>
        </w:rPr>
      </w:pPr>
    </w:p>
    <w:p w14:paraId="25D80914"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Esto es así, debido a que cuando el recurrente impugna la respuesta del sujeto obligado y éste </w:t>
      </w:r>
      <w:r>
        <w:rPr>
          <w:rFonts w:ascii="Palatino Linotype" w:eastAsia="Palatino Linotype" w:hAnsi="Palatino Linotype" w:cs="Palatino Linotype"/>
          <w:color w:val="000000"/>
        </w:rPr>
        <w:t>no</w:t>
      </w:r>
      <w:r>
        <w:rPr>
          <w:rFonts w:ascii="Palatino Linotype" w:eastAsia="Palatino Linotype" w:hAnsi="Palatino Linotype" w:cs="Palatino Linotype"/>
        </w:rPr>
        <w:t xml:space="preserve"> expresa </w:t>
      </w:r>
      <w:r>
        <w:rPr>
          <w:rFonts w:ascii="Palatino Linotype" w:eastAsia="Palatino Linotype" w:hAnsi="Palatino Linotype" w:cs="Palatino Linotype"/>
          <w:color w:val="000000"/>
        </w:rPr>
        <w:t>razón</w:t>
      </w:r>
      <w:r>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14:paraId="31AC78C4"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“REVISIÓN EN AMPARO. LOS RESOLUTIVOS NO COMBATIDOS DEBEN DECLARARSE FIRMES. </w:t>
      </w:r>
      <w:r>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Pr>
          <w:rFonts w:ascii="Palatino Linotype" w:eastAsia="Palatino Linotype" w:hAnsi="Palatino Linotype" w:cs="Palatino Linotype"/>
          <w:i/>
          <w:iCs/>
          <w:color w:val="000000"/>
        </w:rPr>
        <w:t>.”</w:t>
      </w:r>
    </w:p>
    <w:p w14:paraId="40A1B445" w14:textId="77777777" w:rsidR="007E6D6E" w:rsidRDefault="007E6D6E">
      <w:pPr>
        <w:pBdr>
          <w:top w:val="nil"/>
          <w:left w:val="nil"/>
          <w:bottom w:val="nil"/>
          <w:right w:val="nil"/>
          <w:between w:val="nil"/>
        </w:pBdr>
        <w:spacing w:line="360" w:lineRule="auto"/>
        <w:ind w:left="426" w:right="-929"/>
        <w:jc w:val="center"/>
        <w:rPr>
          <w:rFonts w:ascii="Palatino Linotype" w:eastAsia="Palatino Linotype" w:hAnsi="Palatino Linotype" w:cs="Palatino Linotype"/>
          <w:color w:val="000000"/>
        </w:rPr>
      </w:pPr>
    </w:p>
    <w:p w14:paraId="168D9655"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Consecutivamente</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la parte de la respuesta que no fue impugnada debe declararse consentida por el recurrente, toda vez que no realizó </w:t>
      </w:r>
      <w:r>
        <w:rPr>
          <w:rFonts w:ascii="Palatino Linotype" w:eastAsia="Palatino Linotype" w:hAnsi="Palatino Linotype" w:cs="Palatino Linotype"/>
        </w:rPr>
        <w:t>manifestaciones</w:t>
      </w:r>
      <w:r>
        <w:rPr>
          <w:rFonts w:ascii="Palatino Linotype" w:eastAsia="Palatino Linotype" w:hAnsi="Palatino Linotype" w:cs="Palatino Linotype"/>
          <w:b/>
          <w:bCs/>
        </w:rPr>
        <w:t xml:space="preserve"> </w:t>
      </w:r>
      <w:r>
        <w:rPr>
          <w:rFonts w:ascii="Palatino Linotype" w:eastAsia="Palatino Linotype" w:hAnsi="Palatino Linotype" w:cs="Palatino Linotype"/>
        </w:rPr>
        <w:t>de</w:t>
      </w:r>
      <w:r>
        <w:rPr>
          <w:rFonts w:ascii="Palatino Linotype" w:eastAsia="Palatino Linotype" w:hAnsi="Palatino Linotype" w:cs="Palatino Linotype"/>
          <w:b/>
          <w:bCs/>
        </w:rPr>
        <w:t xml:space="preserve"> inconformidad</w:t>
      </w:r>
      <w:r>
        <w:rPr>
          <w:rFonts w:ascii="Palatino Linotype" w:eastAsia="Palatino Linotype" w:hAnsi="Palatino Linotype" w:cs="Palatino Linotype"/>
        </w:rPr>
        <w:t xml:space="preserve">; por lo que, no pueden producirse efectos jurídicos tendentes a revocar, confirmar o modificar el acto reclamado ya que </w:t>
      </w:r>
      <w:r>
        <w:rPr>
          <w:rFonts w:ascii="Palatino Linotype" w:eastAsia="Palatino Linotype" w:hAnsi="Palatino Linotype" w:cs="Palatino Linotype"/>
          <w:b/>
          <w:bCs/>
        </w:rPr>
        <w:t>se infiere su consentimiento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ante la falta de impugnación </w:t>
      </w:r>
      <w:r>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14:paraId="50CCF77F"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“ACTOS CONSENTIDOS. SON LOS QUE NO SE IMPUGNAN MEDIANTE EL RECURSO IDÓNEO. </w:t>
      </w:r>
      <w:r>
        <w:rPr>
          <w:rFonts w:ascii="Palatino Linotype" w:eastAsia="Palatino Linotype" w:hAnsi="Palatino Linotype" w:cs="Palatino Linotype"/>
          <w:i/>
          <w:iCs/>
          <w:color w:val="000000"/>
          <w:u w:val="single"/>
        </w:rPr>
        <w:t>Debe reputarse como consentido el acto que no se impugnó por el medio establecido por la ley</w:t>
      </w:r>
      <w:r>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623F9AF3" w14:textId="77777777" w:rsidR="007E6D6E" w:rsidRDefault="007E6D6E">
      <w:pPr>
        <w:spacing w:line="360" w:lineRule="auto"/>
        <w:ind w:right="-929"/>
        <w:jc w:val="both"/>
        <w:rPr>
          <w:rFonts w:ascii="Palatino Linotype" w:eastAsia="Palatino Linotype" w:hAnsi="Palatino Linotype" w:cs="Palatino Linotype"/>
          <w:i/>
          <w:iCs/>
          <w:color w:val="000000"/>
        </w:rPr>
      </w:pPr>
    </w:p>
    <w:p w14:paraId="3D2857FC"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color w:val="000000"/>
        </w:rPr>
      </w:pPr>
    </w:p>
    <w:p w14:paraId="4FC4341D"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bien</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respecto</w:t>
      </w:r>
      <w:r>
        <w:rPr>
          <w:rFonts w:ascii="Palatino Linotype" w:eastAsia="Palatino Linotype" w:hAnsi="Palatino Linotype" w:cs="Palatino Linotype"/>
        </w:rPr>
        <w:t xml:space="preserve"> de los puntos de solicitud numeral 5, </w:t>
      </w:r>
      <w:r>
        <w:rPr>
          <w:rFonts w:ascii="Palatino Linotype" w:eastAsia="Palatino Linotype" w:hAnsi="Palatino Linotype" w:cs="Palatino Linotype"/>
          <w:i/>
          <w:iCs/>
          <w:u w:val="single"/>
        </w:rPr>
        <w:t>Medidas de apremio o apercibimientos impuestos al Ayuntamiento en materia de transparencia durante 2025, si los hubiera</w:t>
      </w:r>
      <w:r>
        <w:rPr>
          <w:rFonts w:ascii="Palatino Linotype" w:eastAsia="Palatino Linotype" w:hAnsi="Palatino Linotype" w:cs="Palatino Linotype"/>
          <w:i/>
          <w:iCs/>
        </w:rPr>
        <w:t xml:space="preserve">; </w:t>
      </w:r>
      <w:r>
        <w:rPr>
          <w:rFonts w:ascii="Palatino Linotype" w:eastAsia="Palatino Linotype" w:hAnsi="Palatino Linotype" w:cs="Palatino Linotype"/>
        </w:rPr>
        <w:t xml:space="preserve">numeral 6, </w:t>
      </w:r>
      <w:r>
        <w:rPr>
          <w:rFonts w:ascii="Palatino Linotype" w:eastAsia="Palatino Linotype" w:hAnsi="Palatino Linotype" w:cs="Palatino Linotype"/>
          <w:i/>
          <w:iCs/>
          <w:u w:val="single"/>
        </w:rPr>
        <w:t>Observaciones, requerimientos o vistas formuladas por el INFOEM al Ayuntamiento en materia de IPOMEX</w:t>
      </w:r>
      <w:r>
        <w:rPr>
          <w:rFonts w:ascii="Palatino Linotype" w:eastAsia="Palatino Linotype" w:hAnsi="Palatino Linotype" w:cs="Palatino Linotype"/>
          <w:i/>
          <w:iCs/>
        </w:rPr>
        <w:t>;</w:t>
      </w:r>
      <w:r>
        <w:rPr>
          <w:rFonts w:ascii="Palatino Linotype" w:eastAsia="Palatino Linotype" w:hAnsi="Palatino Linotype" w:cs="Palatino Linotype"/>
        </w:rPr>
        <w:t xml:space="preserve"> y numeral 7, </w:t>
      </w:r>
      <w:r>
        <w:rPr>
          <w:rFonts w:ascii="Palatino Linotype" w:eastAsia="Palatino Linotype" w:hAnsi="Palatino Linotype" w:cs="Palatino Linotype"/>
          <w:i/>
          <w:iCs/>
          <w:u w:val="single"/>
        </w:rPr>
        <w:t>Procedimientos administrativos iniciados o vistas dadas a la Contraloría Municipal por incumplimiento a la Ley de Transparencia</w:t>
      </w:r>
      <w:r>
        <w:rPr>
          <w:rFonts w:ascii="Palatino Linotype" w:eastAsia="Palatino Linotype" w:hAnsi="Palatino Linotype" w:cs="Palatino Linotype"/>
          <w:i/>
          <w:iCs/>
        </w:rPr>
        <w:t>.</w:t>
      </w:r>
      <w:r>
        <w:rPr>
          <w:rFonts w:ascii="Palatino Linotype" w:eastAsia="Palatino Linotype" w:hAnsi="Palatino Linotype" w:cs="Palatino Linotype"/>
        </w:rPr>
        <w:t xml:space="preserve"> el Sujeto Obligado respondió no haber ninguna o ninguno, circunstancia de la cual se dolió el recurrente por la omisión de la entrega del acta de inexistencia; no obstante, es de referir que nos encontramos ante un</w:t>
      </w:r>
      <w:r>
        <w:rPr>
          <w:rFonts w:ascii="Palatino Linotype" w:eastAsia="Palatino Linotype" w:hAnsi="Palatino Linotype" w:cs="Palatino Linotype"/>
          <w:b/>
          <w:bCs/>
        </w:rPr>
        <w:t xml:space="preserve"> hecho negativo</w:t>
      </w:r>
      <w:r>
        <w:rPr>
          <w:rFonts w:ascii="Palatino Linotype" w:eastAsia="Palatino Linotype" w:hAnsi="Palatino Linotype" w:cs="Palatino Linotype"/>
        </w:rPr>
        <w:t xml:space="preserve">, por lo que </w:t>
      </w:r>
      <w:r>
        <w:rPr>
          <w:rFonts w:ascii="Palatino Linotype" w:eastAsia="Palatino Linotype" w:hAnsi="Palatino Linotype" w:cs="Palatino Linotype"/>
          <w:b/>
          <w:bCs/>
        </w:rPr>
        <w:t>no resulta aplicable</w:t>
      </w:r>
      <w:r>
        <w:rPr>
          <w:rFonts w:ascii="Palatino Linotype" w:eastAsia="Palatino Linotype" w:hAnsi="Palatino Linotype" w:cs="Palatino Linotype"/>
        </w:rPr>
        <w:t xml:space="preserve"> el artículo 19, de la Ley de la materia que nos constriñe a </w:t>
      </w:r>
      <w:r>
        <w:rPr>
          <w:rFonts w:ascii="Palatino Linotype" w:eastAsia="Palatino Linotype" w:hAnsi="Palatino Linotype" w:cs="Palatino Linotype"/>
          <w:b/>
          <w:bCs/>
        </w:rPr>
        <w:t>la emisión de un acuerdo de inexistencia</w:t>
      </w:r>
      <w:r>
        <w:rPr>
          <w:rFonts w:ascii="Palatino Linotype" w:eastAsia="Palatino Linotype" w:hAnsi="Palatino Linotype" w:cs="Palatino Linotype"/>
        </w:rPr>
        <w:t xml:space="preserve">, resultando aplicable la siguiente tesis: </w:t>
      </w:r>
    </w:p>
    <w:p w14:paraId="35102702" w14:textId="77777777" w:rsidR="007E6D6E" w:rsidRDefault="00DF6000">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HECHOS NEGATIVOS, NO SON SUSCEPTIBLES DE DEMOSTRACIÓN.</w:t>
      </w:r>
    </w:p>
    <w:p w14:paraId="47B555D6" w14:textId="77777777" w:rsidR="007E6D6E" w:rsidRDefault="00DF6000">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14:paraId="12AAD1FB" w14:textId="77777777" w:rsidR="007E6D6E" w:rsidRDefault="007E6D6E">
      <w:pPr>
        <w:pBdr>
          <w:top w:val="nil"/>
          <w:left w:val="nil"/>
          <w:bottom w:val="nil"/>
          <w:right w:val="nil"/>
          <w:between w:val="nil"/>
        </w:pBdr>
        <w:ind w:left="1134" w:right="-929"/>
        <w:jc w:val="both"/>
        <w:rPr>
          <w:rFonts w:ascii="Palatino Linotype" w:eastAsia="Palatino Linotype" w:hAnsi="Palatino Linotype" w:cs="Palatino Linotype"/>
          <w:i/>
          <w:iCs/>
          <w:color w:val="000000"/>
        </w:rPr>
      </w:pPr>
    </w:p>
    <w:p w14:paraId="3E46387D" w14:textId="77777777" w:rsidR="007E6D6E" w:rsidRDefault="00DF6000">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2022/61. José García Florín (Menor). 9 de octubre de 1961. Cinco votos. Ponente: José Rivera Pérez Campos</w:t>
      </w:r>
    </w:p>
    <w:p w14:paraId="26F1F6FE" w14:textId="77777777" w:rsidR="007E6D6E" w:rsidRDefault="007E6D6E">
      <w:pPr>
        <w:spacing w:line="360" w:lineRule="auto"/>
        <w:ind w:right="-929"/>
        <w:jc w:val="both"/>
        <w:rPr>
          <w:rFonts w:ascii="Palatino Linotype" w:eastAsia="Palatino Linotype" w:hAnsi="Palatino Linotype" w:cs="Palatino Linotype"/>
        </w:rPr>
      </w:pPr>
    </w:p>
    <w:p w14:paraId="2B9D311C"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De lo que se </w:t>
      </w:r>
      <w:r>
        <w:rPr>
          <w:rFonts w:ascii="Palatino Linotype" w:eastAsia="Palatino Linotype" w:hAnsi="Palatino Linotype" w:cs="Palatino Linotype"/>
          <w:color w:val="000000"/>
        </w:rPr>
        <w:t>desprende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es materialmente imposible realizar la entrega de alguna documental que no ha generado, poseído o administrado el </w:t>
      </w:r>
      <w:r>
        <w:rPr>
          <w:rFonts w:ascii="Palatino Linotype" w:eastAsia="Palatino Linotype" w:hAnsi="Palatino Linotype" w:cs="Palatino Linotype"/>
          <w:b/>
          <w:bCs/>
        </w:rPr>
        <w:t>SUJETO OBLIGADO</w:t>
      </w:r>
      <w:r>
        <w:rPr>
          <w:rFonts w:ascii="Palatino Linotype" w:eastAsia="Palatino Linotype" w:hAnsi="Palatino Linotype" w:cs="Palatino Linotype"/>
        </w:rPr>
        <w:t>.</w:t>
      </w:r>
    </w:p>
    <w:p w14:paraId="4871D9E9" w14:textId="77777777" w:rsidR="007E6D6E" w:rsidRDefault="007E6D6E">
      <w:pPr>
        <w:spacing w:line="360" w:lineRule="auto"/>
        <w:ind w:right="-929"/>
        <w:jc w:val="both"/>
        <w:rPr>
          <w:rFonts w:ascii="Palatino Linotype" w:eastAsia="Palatino Linotype" w:hAnsi="Palatino Linotype" w:cs="Palatino Linotype"/>
          <w:b/>
          <w:bCs/>
          <w:color w:val="000000"/>
        </w:rPr>
      </w:pPr>
    </w:p>
    <w:p w14:paraId="52C19835"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lastRenderedPageBreak/>
        <w:t xml:space="preserve">Resultando necesario puntualizar con claridad que éste Órgano Protector del Derecho de Acceso a la Información no está facultado para pronunciarse sobre la veracidad de la información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los Sujetos Obligados ponen a disposición de los solicitantes; situación que se aleja de las atribuciones de este Instituto.</w:t>
      </w:r>
    </w:p>
    <w:p w14:paraId="67F91DEA" w14:textId="77777777" w:rsidR="007E6D6E" w:rsidRDefault="007E6D6E">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p>
    <w:p w14:paraId="5AFD9317"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14:paraId="31F533A9" w14:textId="77777777" w:rsidR="007E6D6E" w:rsidRDefault="00DF6000">
      <w:pPr>
        <w:pBdr>
          <w:top w:val="nil"/>
          <w:left w:val="nil"/>
          <w:bottom w:val="nil"/>
          <w:right w:val="nil"/>
          <w:between w:val="nil"/>
        </w:pBdr>
        <w:ind w:left="646"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14:paraId="26CBAB65" w14:textId="77777777" w:rsidR="007E6D6E" w:rsidRDefault="007E6D6E">
      <w:pPr>
        <w:spacing w:line="360" w:lineRule="auto"/>
        <w:ind w:right="-929"/>
        <w:jc w:val="both"/>
      </w:pPr>
    </w:p>
    <w:p w14:paraId="6E7B02BA"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 éste </w:t>
      </w:r>
      <w:r>
        <w:rPr>
          <w:rFonts w:ascii="Palatino Linotype" w:eastAsia="Palatino Linotype" w:hAnsi="Palatino Linotype" w:cs="Palatino Linotype"/>
          <w:color w:val="000000"/>
        </w:rPr>
        <w:t>Órgano</w:t>
      </w:r>
      <w:r>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14:paraId="00248CE4" w14:textId="77777777" w:rsidR="007E6D6E" w:rsidRDefault="007E6D6E">
      <w:pPr>
        <w:spacing w:line="360" w:lineRule="auto"/>
        <w:ind w:right="-929"/>
        <w:jc w:val="both"/>
        <w:rPr>
          <w:rFonts w:ascii="Palatino Linotype" w:eastAsia="Palatino Linotype" w:hAnsi="Palatino Linotype" w:cs="Palatino Linotype"/>
          <w:i/>
          <w:iCs/>
        </w:rPr>
      </w:pPr>
    </w:p>
    <w:p w14:paraId="153DA8EC"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Sin embargo, en relación al punto de solicitud contenido en el numeral 7, </w:t>
      </w:r>
      <w:r>
        <w:rPr>
          <w:rFonts w:ascii="Palatino Linotype" w:eastAsia="Palatino Linotype" w:hAnsi="Palatino Linotype" w:cs="Palatino Linotype"/>
          <w:i/>
          <w:iCs/>
          <w:u w:val="single"/>
        </w:rPr>
        <w:t>Procedimientos administrativos iniciados o vistas dadas a la Contraloría Municipal por incumplimiento a la Ley de Transparencia</w:t>
      </w:r>
      <w:r>
        <w:rPr>
          <w:rFonts w:ascii="Palatino Linotype" w:eastAsia="Palatino Linotype" w:hAnsi="Palatino Linotype" w:cs="Palatino Linotype"/>
          <w:u w:val="single"/>
        </w:rPr>
        <w:t>,</w:t>
      </w:r>
      <w:r>
        <w:rPr>
          <w:rFonts w:ascii="Palatino Linotype" w:eastAsia="Palatino Linotype" w:hAnsi="Palatino Linotype" w:cs="Palatino Linotype"/>
        </w:rPr>
        <w:t xml:space="preserve"> únicamente se pronunció la Unidad de Transparencia, </w:t>
      </w:r>
      <w:r>
        <w:rPr>
          <w:rFonts w:ascii="Palatino Linotype" w:eastAsia="Palatino Linotype" w:hAnsi="Palatino Linotype" w:cs="Palatino Linotype"/>
        </w:rPr>
        <w:lastRenderedPageBreak/>
        <w:t>advirtiéndole que el Órgano Interno de Control es otra de las unidades administrativas en las que puede obrar la información requerida, al ser ésta última a la que se hace del conocimiento por infracciones a la Ley de transparencia Local, tal como se describe a continuación:</w:t>
      </w:r>
    </w:p>
    <w:p w14:paraId="79863202" w14:textId="77777777" w:rsidR="007E6D6E" w:rsidRDefault="00DF6000">
      <w:pPr>
        <w:ind w:left="566"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 Pública del Estado de México y Municipios</w:t>
      </w:r>
    </w:p>
    <w:p w14:paraId="2C3981DA" w14:textId="77777777" w:rsidR="007E6D6E" w:rsidRDefault="007E6D6E">
      <w:pPr>
        <w:ind w:left="566" w:right="-929"/>
        <w:jc w:val="center"/>
        <w:rPr>
          <w:rFonts w:ascii="Palatino Linotype" w:eastAsia="Palatino Linotype" w:hAnsi="Palatino Linotype" w:cs="Palatino Linotype"/>
          <w:b/>
          <w:bCs/>
          <w:i/>
          <w:iCs/>
        </w:rPr>
      </w:pPr>
    </w:p>
    <w:p w14:paraId="35374F4E"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36</w:t>
      </w:r>
      <w:r>
        <w:rPr>
          <w:rFonts w:ascii="Palatino Linotype" w:eastAsia="Palatino Linotype" w:hAnsi="Palatino Linotype" w:cs="Palatino Linotype"/>
          <w:i/>
          <w:iCs/>
        </w:rPr>
        <w:t>. El Instituto tendrá, en el ámbito de su competencia, las atribuciones siguientes:</w:t>
      </w:r>
    </w:p>
    <w:p w14:paraId="25EA2546"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2A4C247"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X. Hacer del conocimiento del órgano interno de control o equivalente de cada sujeto obligado las infracciones a esta Ley;</w:t>
      </w:r>
    </w:p>
    <w:p w14:paraId="25BDDB16"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F8AA4CB" w14:textId="77777777" w:rsidR="007E6D6E" w:rsidRDefault="007E6D6E">
      <w:pPr>
        <w:ind w:left="566" w:right="-929"/>
        <w:jc w:val="both"/>
        <w:rPr>
          <w:rFonts w:ascii="Palatino Linotype" w:eastAsia="Palatino Linotype" w:hAnsi="Palatino Linotype" w:cs="Palatino Linotype"/>
          <w:i/>
          <w:iCs/>
        </w:rPr>
      </w:pPr>
    </w:p>
    <w:p w14:paraId="04E0FCBB"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169</w:t>
      </w:r>
      <w:r>
        <w:rPr>
          <w:rFonts w:ascii="Palatino Linotype" w:eastAsia="Palatino Linotype" w:hAnsi="Palatino Linotype" w:cs="Palatino Linotype"/>
          <w:i/>
          <w:iCs/>
        </w:rPr>
        <w:t>. Cuando la información no se encuentre en los archivos del sujeto obligado, el Comité de Transparencia:</w:t>
      </w:r>
    </w:p>
    <w:p w14:paraId="464C4483"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6ED205E"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IV. Notificará al órgano interno de control o equivalente del sujeto obligado quien, en su caso, deberá iniciar el procedimiento de responsabilidad administrativa que corresponda.</w:t>
      </w:r>
    </w:p>
    <w:p w14:paraId="01FF9AA2"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5DBDC4B" w14:textId="77777777" w:rsidR="007E6D6E" w:rsidRDefault="007E6D6E">
      <w:pPr>
        <w:ind w:left="566" w:right="-929"/>
        <w:jc w:val="both"/>
        <w:rPr>
          <w:rFonts w:ascii="Palatino Linotype" w:eastAsia="Palatino Linotype" w:hAnsi="Palatino Linotype" w:cs="Palatino Linotype"/>
          <w:i/>
          <w:iCs/>
        </w:rPr>
      </w:pPr>
    </w:p>
    <w:p w14:paraId="1E9EFFDE"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223</w:t>
      </w:r>
      <w:r>
        <w:rPr>
          <w:rFonts w:ascii="Palatino Linotype" w:eastAsia="Palatino Linotype" w:hAnsi="Palatino Linotype" w:cs="Palatino Linotype"/>
          <w:i/>
          <w:iCs/>
        </w:rPr>
        <w:t>. El Instituto dará vista al Órgano Interno de Control en términos de la Ley de Responsabilidades Administrativas del Estado de México y Municipios, para que determine el grado de responsabilidad de quienes incumplan con las obligaciones de la presente Ley.</w:t>
      </w:r>
    </w:p>
    <w:p w14:paraId="54CAB13A" w14:textId="77777777" w:rsidR="007E6D6E" w:rsidRDefault="00DF6000">
      <w:pPr>
        <w:ind w:left="56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EFDE624" w14:textId="77777777" w:rsidR="007E6D6E" w:rsidRDefault="007E6D6E">
      <w:pPr>
        <w:ind w:right="-929"/>
        <w:rPr>
          <w:rFonts w:ascii="Palatino Linotype" w:eastAsia="Palatino Linotype" w:hAnsi="Palatino Linotype" w:cs="Palatino Linotype"/>
          <w:b/>
          <w:bCs/>
          <w:i/>
          <w:iCs/>
        </w:rPr>
      </w:pPr>
    </w:p>
    <w:p w14:paraId="6D72FEBE"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la normatividad establece que ante infracciones cometidas a la Ley en cita, el Instituto de Transparencia, Acceso a la Información Pública y Protección de Datos Personales del Estado de México y Municipios, hará del conocimiento al Órgano Interno de Control; asimismo, el Comité de Transparencia, cuando la información solicitada no se encuentre en los archivos del Sujeto Obligado, deberá iniciar el procedimiento de responsabilidad administrativa que corresponda; y por último, ante incumplimientos a las </w:t>
      </w:r>
      <w:r>
        <w:rPr>
          <w:rFonts w:ascii="Palatino Linotype" w:eastAsia="Palatino Linotype" w:hAnsi="Palatino Linotype" w:cs="Palatino Linotype"/>
        </w:rPr>
        <w:lastRenderedPageBreak/>
        <w:t xml:space="preserve">obligaciones normadas en la presente Ley, el Instituto dará vista al Órgano Interno de Control en términos de la Ley de Responsabilidades Administrativas del Estado de México y Municipios, para que determine el grado de responsabilidad. </w:t>
      </w:r>
    </w:p>
    <w:p w14:paraId="6FA3AF0A" w14:textId="77777777" w:rsidR="007E6D6E" w:rsidRDefault="007E6D6E">
      <w:pPr>
        <w:spacing w:line="360" w:lineRule="auto"/>
        <w:ind w:right="-929"/>
        <w:jc w:val="both"/>
        <w:rPr>
          <w:rFonts w:ascii="Palatino Linotype" w:eastAsia="Palatino Linotype" w:hAnsi="Palatino Linotype" w:cs="Palatino Linotype"/>
          <w:u w:val="single"/>
        </w:rPr>
      </w:pPr>
    </w:p>
    <w:p w14:paraId="757F01C0"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Por esto, se presume que la información puede existir al referirse a facultades, competencias y funciones que los ordenamientos jurídicos otorgan a los sujetos obligados. </w:t>
      </w:r>
      <w:r>
        <w:rPr>
          <w:rFonts w:ascii="Palatino Linotype" w:eastAsia="Palatino Linotype" w:hAnsi="Palatino Linotype" w:cs="Palatino Linotype"/>
          <w:color w:val="000000"/>
        </w:rPr>
        <w:t xml:space="preserve">En consecuencia,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realizar una </w:t>
      </w:r>
      <w:r>
        <w:rPr>
          <w:rFonts w:ascii="Palatino Linotype" w:eastAsia="Palatino Linotype" w:hAnsi="Palatino Linotype" w:cs="Palatino Linotype"/>
          <w:b/>
          <w:bCs/>
          <w:color w:val="000000"/>
        </w:rPr>
        <w:t>nueva búsqueda exhaustiva y razonable</w:t>
      </w:r>
      <w:r>
        <w:rPr>
          <w:rFonts w:ascii="Palatino Linotype" w:eastAsia="Palatino Linotype" w:hAnsi="Palatino Linotype" w:cs="Palatino Linotype"/>
          <w:color w:val="000000"/>
        </w:rPr>
        <w:t xml:space="preserve"> en las unidades administrativas que de conformidad a sus funciones y atribuciones posean, administren o generen la información, con la finalidad de entregar la que </w:t>
      </w:r>
      <w:r>
        <w:rPr>
          <w:rFonts w:ascii="Palatino Linotype" w:eastAsia="Palatino Linotype" w:hAnsi="Palatino Linotype" w:cs="Palatino Linotype"/>
        </w:rPr>
        <w:t>resulte</w:t>
      </w:r>
      <w:r>
        <w:rPr>
          <w:rFonts w:ascii="Palatino Linotype" w:eastAsia="Palatino Linotype" w:hAnsi="Palatino Linotype" w:cs="Palatino Linotype"/>
          <w:color w:val="000000"/>
        </w:rPr>
        <w:t xml:space="preserve"> de interés para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w:t>
      </w:r>
    </w:p>
    <w:p w14:paraId="24730AFA" w14:textId="77777777" w:rsidR="007E6D6E" w:rsidRDefault="007E6D6E">
      <w:pPr>
        <w:spacing w:line="360" w:lineRule="auto"/>
        <w:ind w:right="-929"/>
        <w:jc w:val="both"/>
        <w:rPr>
          <w:rFonts w:ascii="Palatino Linotype" w:eastAsia="Palatino Linotype" w:hAnsi="Palatino Linotype" w:cs="Palatino Linotype"/>
          <w:color w:val="000000"/>
        </w:rPr>
      </w:pPr>
    </w:p>
    <w:p w14:paraId="6C78E5C5"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14:paraId="7513A54F"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DB9B386" w14:textId="77777777" w:rsidR="007E6D6E" w:rsidRDefault="007E6D6E">
      <w:pPr>
        <w:pBdr>
          <w:top w:val="nil"/>
          <w:left w:val="nil"/>
          <w:bottom w:val="nil"/>
          <w:right w:val="nil"/>
          <w:between w:val="nil"/>
        </w:pBdr>
        <w:ind w:right="-929"/>
        <w:jc w:val="both"/>
        <w:rPr>
          <w:rFonts w:ascii="Palatino Linotype" w:eastAsia="Palatino Linotype" w:hAnsi="Palatino Linotype" w:cs="Palatino Linotype"/>
          <w:i/>
          <w:iCs/>
        </w:rPr>
      </w:pPr>
    </w:p>
    <w:p w14:paraId="2828DDD8" w14:textId="77777777" w:rsidR="007E6D6E" w:rsidRDefault="007E6D6E">
      <w:pPr>
        <w:pBdr>
          <w:top w:val="nil"/>
          <w:left w:val="nil"/>
          <w:bottom w:val="nil"/>
          <w:right w:val="nil"/>
          <w:between w:val="nil"/>
        </w:pBdr>
        <w:ind w:right="-929"/>
        <w:jc w:val="both"/>
        <w:rPr>
          <w:rFonts w:ascii="Palatino Linotype" w:eastAsia="Palatino Linotype" w:hAnsi="Palatino Linotype" w:cs="Palatino Linotype"/>
          <w:i/>
          <w:iCs/>
        </w:rPr>
      </w:pPr>
    </w:p>
    <w:p w14:paraId="42D369DB" w14:textId="77777777" w:rsidR="007E6D6E" w:rsidRPr="00DF6000"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Por lo anterior, este Organismo Garante, con la finalidad de garantizar el derecho humano de acceso a la información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y a fin de reparar el agravio causado ante la omisión en que incurriera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ya que como se señaló, su respuesta careció del principio de exhaustividad, al no pronunciarse por las consideraciones ya expuestas, por lo que se estima procedente</w:t>
      </w:r>
      <w:r>
        <w:rPr>
          <w:rFonts w:ascii="Palatino Linotype" w:eastAsia="Palatino Linotype" w:hAnsi="Palatino Linotype" w:cs="Palatino Linotype"/>
          <w:b/>
          <w:bCs/>
          <w:color w:val="000000"/>
        </w:rPr>
        <w:t xml:space="preserve"> ORDENAR</w:t>
      </w:r>
      <w:r>
        <w:rPr>
          <w:rFonts w:ascii="Palatino Linotype" w:eastAsia="Palatino Linotype" w:hAnsi="Palatino Linotype" w:cs="Palatino Linotype"/>
          <w:color w:val="000000"/>
        </w:rPr>
        <w:t xml:space="preserve"> que, previa búsqueda exhaustiva y razonable, de ser procedente en versión pública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haga entrega </w:t>
      </w:r>
      <w:r>
        <w:rPr>
          <w:rFonts w:ascii="Palatino Linotype" w:eastAsia="Palatino Linotype" w:hAnsi="Palatino Linotype" w:cs="Palatino Linotype"/>
        </w:rPr>
        <w:t xml:space="preserve">de la información siguiente: </w:t>
      </w:r>
      <w:r>
        <w:rPr>
          <w:rFonts w:ascii="Palatino Linotype" w:eastAsia="Palatino Linotype" w:hAnsi="Palatino Linotype" w:cs="Palatino Linotype"/>
          <w:b/>
          <w:bCs/>
        </w:rPr>
        <w:t>el documento en el que conste o se adviertan Procedimientos administrativos iniciados o vistas dadas a la Contraloría Municipal por incumplimiento a la Ley de Transparencia.</w:t>
      </w:r>
    </w:p>
    <w:p w14:paraId="4390CDDA" w14:textId="77777777" w:rsidR="00DF6000" w:rsidRPr="00DF6000" w:rsidRDefault="00DF6000" w:rsidP="00DF6000">
      <w:pPr>
        <w:spacing w:line="360" w:lineRule="auto"/>
        <w:ind w:right="-929"/>
        <w:jc w:val="both"/>
        <w:rPr>
          <w:rFonts w:ascii="Palatino Linotype" w:eastAsia="Palatino Linotype" w:hAnsi="Palatino Linotype" w:cs="Palatino Linotype"/>
        </w:rPr>
      </w:pPr>
    </w:p>
    <w:p w14:paraId="2535EF20" w14:textId="77777777" w:rsidR="00DF6000" w:rsidRPr="00F75444" w:rsidRDefault="00DF6000" w:rsidP="00DF6000">
      <w:pPr>
        <w:numPr>
          <w:ilvl w:val="0"/>
          <w:numId w:val="3"/>
        </w:numPr>
        <w:spacing w:line="360" w:lineRule="auto"/>
        <w:ind w:left="0" w:right="-929" w:firstLine="0"/>
        <w:jc w:val="both"/>
        <w:rPr>
          <w:rFonts w:ascii="Palatino Linotype" w:hAnsi="Palatino Linotype" w:cs="Arial"/>
        </w:rPr>
      </w:pPr>
      <w:r w:rsidRPr="00F75444">
        <w:rPr>
          <w:rFonts w:ascii="Palatino Linotype" w:hAnsi="Palatino Linotype" w:cs="Arial"/>
        </w:rPr>
        <w:t xml:space="preserve">En función de lo planteado, resulta </w:t>
      </w:r>
      <w:r w:rsidRPr="00F75444">
        <w:rPr>
          <w:rFonts w:ascii="Palatino Linotype" w:eastAsia="Palatino Linotype" w:hAnsi="Palatino Linotype" w:cs="Palatino Linotype"/>
          <w:color w:val="000000"/>
        </w:rPr>
        <w:t>responsabilidad</w:t>
      </w:r>
      <w:r w:rsidRPr="00F75444">
        <w:rPr>
          <w:rFonts w:ascii="Palatino Linotype" w:hAnsi="Palatino Linotype" w:cs="Arial"/>
        </w:rPr>
        <w:t xml:space="preserve"> del </w:t>
      </w:r>
      <w:r w:rsidRPr="00F75444">
        <w:rPr>
          <w:rFonts w:ascii="Palatino Linotype" w:hAnsi="Palatino Linotype" w:cs="Arial"/>
          <w:b/>
          <w:bCs/>
        </w:rPr>
        <w:t xml:space="preserve">Sujeto Obligado </w:t>
      </w:r>
      <w:r w:rsidRPr="00F75444">
        <w:rPr>
          <w:rFonts w:ascii="Palatino Linotype" w:hAnsi="Palatino Linotype" w:cs="Arial"/>
        </w:rPr>
        <w:t xml:space="preserve">valorar el contenido de la información y en su caso advertir la posible actualización de causales de </w:t>
      </w:r>
      <w:r w:rsidRPr="00F75444">
        <w:rPr>
          <w:rFonts w:ascii="Palatino Linotype" w:hAnsi="Palatino Linotype" w:cs="Arial"/>
          <w:b/>
        </w:rPr>
        <w:t>CONFIDENCIALIDAD</w:t>
      </w:r>
      <w:r w:rsidRPr="00F75444">
        <w:rPr>
          <w:rFonts w:ascii="Palatino Linotype" w:hAnsi="Palatino Linotype" w:cs="Arial"/>
        </w:rPr>
        <w:t xml:space="preserve"> y/o </w:t>
      </w:r>
      <w:r w:rsidRPr="00F75444">
        <w:rPr>
          <w:rFonts w:ascii="Palatino Linotype" w:hAnsi="Palatino Linotype" w:cs="Arial"/>
          <w:b/>
        </w:rPr>
        <w:t>RESERVA</w:t>
      </w:r>
      <w:r w:rsidRPr="00F75444">
        <w:rPr>
          <w:rFonts w:ascii="Palatino Linotype" w:hAnsi="Palatino Linotype" w:cs="Arial"/>
        </w:rPr>
        <w:t xml:space="preserve">. </w:t>
      </w:r>
    </w:p>
    <w:p w14:paraId="21236AAE" w14:textId="77777777" w:rsidR="00DF6000" w:rsidRPr="00F75444" w:rsidRDefault="00DF6000" w:rsidP="00DF6000"/>
    <w:p w14:paraId="66C056B2" w14:textId="77777777" w:rsidR="00DF6000" w:rsidRPr="00F75444" w:rsidRDefault="00DF6000" w:rsidP="00DF6000">
      <w:pPr>
        <w:numPr>
          <w:ilvl w:val="0"/>
          <w:numId w:val="21"/>
        </w:numPr>
        <w:spacing w:line="360" w:lineRule="auto"/>
        <w:contextualSpacing/>
        <w:jc w:val="both"/>
        <w:rPr>
          <w:rFonts w:ascii="Palatino Linotype" w:hAnsi="Palatino Linotype" w:cs="Tahoma"/>
          <w:b/>
          <w:u w:val="single"/>
        </w:rPr>
      </w:pPr>
      <w:r w:rsidRPr="00F75444">
        <w:rPr>
          <w:rFonts w:ascii="Palatino Linotype" w:hAnsi="Palatino Linotype" w:cs="Tahoma"/>
          <w:b/>
          <w:u w:val="single"/>
        </w:rPr>
        <w:t>Juicio o Procedimiento Administrativo Concluido</w:t>
      </w:r>
    </w:p>
    <w:p w14:paraId="7BCAE16C" w14:textId="77777777" w:rsidR="00DF6000" w:rsidRPr="00F75444" w:rsidRDefault="00DF6000" w:rsidP="00DF6000">
      <w:pPr>
        <w:numPr>
          <w:ilvl w:val="0"/>
          <w:numId w:val="3"/>
        </w:numPr>
        <w:spacing w:line="360" w:lineRule="auto"/>
        <w:ind w:left="0" w:right="-929" w:firstLine="0"/>
        <w:jc w:val="both"/>
        <w:rPr>
          <w:rFonts w:ascii="Palatino Linotype" w:eastAsia="Times New Roman" w:hAnsi="Palatino Linotype" w:cs="Tahoma"/>
          <w:color w:val="000000"/>
          <w:lang w:eastAsia="es-ES"/>
        </w:rPr>
      </w:pPr>
      <w:r w:rsidRPr="00F75444">
        <w:rPr>
          <w:rFonts w:ascii="Palatino Linotype" w:eastAsia="Times New Roman" w:hAnsi="Palatino Linotype" w:cs="Tahoma"/>
          <w:color w:val="000000"/>
          <w:lang w:eastAsia="es-ES"/>
        </w:rPr>
        <w:t xml:space="preserve">Ahora bien, para el </w:t>
      </w:r>
      <w:r w:rsidRPr="00F75444">
        <w:rPr>
          <w:rFonts w:ascii="Palatino Linotype" w:hAnsi="Palatino Linotype" w:cs="Arial"/>
        </w:rPr>
        <w:t>caso</w:t>
      </w:r>
      <w:r w:rsidRPr="00F75444">
        <w:rPr>
          <w:rFonts w:ascii="Palatino Linotype" w:eastAsia="Times New Roman" w:hAnsi="Palatino Linotype" w:cs="Tahoma"/>
          <w:color w:val="000000"/>
          <w:lang w:eastAsia="es-ES"/>
        </w:rPr>
        <w:t xml:space="preserve"> de que el expediente del procedimiento administrativo se encuentre concluido, no se actualizaría la causal de </w:t>
      </w:r>
      <w:r w:rsidRPr="00F75444">
        <w:rPr>
          <w:rFonts w:ascii="Palatino Linotype" w:eastAsia="Times New Roman" w:hAnsi="Palatino Linotype" w:cs="Tahoma"/>
          <w:b/>
          <w:color w:val="000000"/>
          <w:lang w:eastAsia="es-ES"/>
        </w:rPr>
        <w:t>RESERVA</w:t>
      </w:r>
      <w:r w:rsidRPr="00F75444">
        <w:rPr>
          <w:rFonts w:ascii="Palatino Linotype" w:eastAsia="Times New Roman" w:hAnsi="Palatino Linotype" w:cs="Tahoma"/>
          <w:color w:val="000000"/>
          <w:lang w:eastAsia="es-ES"/>
        </w:rPr>
        <w:t>, pues no se actualizaría el primero de los requisitos establecidos en el Trigésimo de los Lineamientos Generales, por lo que, tendría que proporcionar la información en versión pública.</w:t>
      </w:r>
    </w:p>
    <w:p w14:paraId="3136E89E" w14:textId="77777777" w:rsidR="00DF6000" w:rsidRPr="00F75444" w:rsidRDefault="00DF6000" w:rsidP="00DF6000">
      <w:pPr>
        <w:spacing w:line="360" w:lineRule="auto"/>
        <w:contextualSpacing/>
        <w:jc w:val="both"/>
        <w:rPr>
          <w:rFonts w:ascii="Palatino Linotype" w:eastAsia="Times New Roman" w:hAnsi="Palatino Linotype" w:cs="Tahoma"/>
          <w:color w:val="000000"/>
          <w:lang w:eastAsia="es-ES"/>
        </w:rPr>
      </w:pPr>
    </w:p>
    <w:p w14:paraId="2286BCF5" w14:textId="77777777" w:rsidR="00DF6000" w:rsidRPr="00F75444" w:rsidRDefault="00DF6000" w:rsidP="00DF6000">
      <w:pPr>
        <w:numPr>
          <w:ilvl w:val="0"/>
          <w:numId w:val="3"/>
        </w:numPr>
        <w:spacing w:line="360" w:lineRule="auto"/>
        <w:ind w:left="0" w:right="-929" w:firstLine="0"/>
        <w:jc w:val="both"/>
        <w:rPr>
          <w:rFonts w:ascii="Palatino Linotype" w:hAnsi="Palatino Linotype" w:cs="Tahoma"/>
          <w:color w:val="000000"/>
        </w:rPr>
      </w:pPr>
      <w:r w:rsidRPr="00F75444">
        <w:rPr>
          <w:rFonts w:ascii="Palatino Linotype" w:hAnsi="Palatino Linotype" w:cs="Tahoma"/>
          <w:bCs/>
          <w:iCs/>
          <w:color w:val="000000"/>
          <w:lang w:val="es-ES"/>
        </w:rPr>
        <w:t xml:space="preserve">Lo anterior, toma sustento con los </w:t>
      </w:r>
      <w:r w:rsidRPr="00F75444">
        <w:rPr>
          <w:rFonts w:ascii="Palatino Linotype" w:hAnsi="Palatino Linotype" w:cs="Tahoma"/>
          <w:bCs/>
          <w:color w:val="000000"/>
        </w:rPr>
        <w:t xml:space="preserve">artículos 3, fracción XLV, y 137 de la Ley de Transparencia y Acceso a la Información Pública del Estado de México y Municipios y los numerales Segundo, fracción XVIII, y Quincuagésimo sexto de los Lineamientos Generales que establecen </w:t>
      </w:r>
      <w:r w:rsidRPr="00F75444">
        <w:rPr>
          <w:rFonts w:ascii="Palatino Linotype" w:hAnsi="Palatino Linotype" w:cs="Tahoma"/>
          <w:color w:val="000000"/>
        </w:rPr>
        <w:t xml:space="preserve">que cuando un documento contenga información pública y reservada o confidencial, la Unidad de Transparencia para efectos de atender al requerimiento </w:t>
      </w:r>
      <w:r w:rsidRPr="00F75444">
        <w:rPr>
          <w:rFonts w:ascii="Palatino Linotype" w:hAnsi="Palatino Linotype" w:cs="Tahoma"/>
          <w:color w:val="000000"/>
        </w:rPr>
        <w:lastRenderedPageBreak/>
        <w:t>informativo, deberá elaborar una versión Pública, en la que se testen las partes o secciones clasificadas, indicando su contenido de manera genérica y fundando y motivando su clasificación; documento que deberá ser aprobado por el Comité de Transparencia.</w:t>
      </w:r>
    </w:p>
    <w:p w14:paraId="260BC864" w14:textId="77777777" w:rsidR="00DF6000" w:rsidRPr="00F75444" w:rsidRDefault="00DF6000" w:rsidP="00DF6000">
      <w:pPr>
        <w:spacing w:line="360" w:lineRule="auto"/>
        <w:contextualSpacing/>
        <w:jc w:val="both"/>
        <w:rPr>
          <w:rFonts w:ascii="Palatino Linotype" w:eastAsia="Times New Roman" w:hAnsi="Palatino Linotype" w:cs="Tahoma"/>
          <w:color w:val="000000"/>
          <w:lang w:eastAsia="es-ES"/>
        </w:rPr>
      </w:pPr>
    </w:p>
    <w:p w14:paraId="2D135F73" w14:textId="77777777" w:rsidR="00DF6000" w:rsidRPr="00F75444" w:rsidRDefault="00DF6000" w:rsidP="00DF6000">
      <w:pPr>
        <w:numPr>
          <w:ilvl w:val="0"/>
          <w:numId w:val="3"/>
        </w:numPr>
        <w:spacing w:line="360" w:lineRule="auto"/>
        <w:ind w:left="0" w:right="-929" w:firstLine="0"/>
        <w:jc w:val="both"/>
        <w:rPr>
          <w:rFonts w:ascii="Palatino Linotype" w:eastAsia="Times New Roman" w:hAnsi="Palatino Linotype" w:cs="Tahoma"/>
          <w:color w:val="000000"/>
          <w:lang w:eastAsia="es-ES"/>
        </w:rPr>
      </w:pPr>
      <w:r w:rsidRPr="00F75444">
        <w:rPr>
          <w:rFonts w:ascii="Palatino Linotype" w:eastAsia="Times New Roman" w:hAnsi="Palatino Linotype" w:cs="Tahoma"/>
          <w:color w:val="000000"/>
          <w:lang w:eastAsia="es-ES"/>
        </w:rPr>
        <w:t xml:space="preserve">Ahora bien, es </w:t>
      </w:r>
      <w:r w:rsidRPr="00F75444">
        <w:rPr>
          <w:rFonts w:ascii="Palatino Linotype" w:hAnsi="Palatino Linotype" w:cs="Tahoma"/>
          <w:bCs/>
          <w:iCs/>
          <w:color w:val="000000"/>
          <w:lang w:val="es-ES"/>
        </w:rPr>
        <w:t>necesario</w:t>
      </w:r>
      <w:r w:rsidRPr="00F75444">
        <w:rPr>
          <w:rFonts w:ascii="Palatino Linotype" w:eastAsia="Times New Roman" w:hAnsi="Palatino Linotype" w:cs="Tahoma"/>
          <w:color w:val="000000"/>
          <w:lang w:eastAsia="es-ES"/>
        </w:rPr>
        <w:t xml:space="preserve"> señalar que se desconoce el contenido de los documentos que integran el expediente, por lo que, es de señalar que los mismos pueden ser aquellos con los cuales identifica la parte demandada, o bien, únicamente se conforma de datos que la hacen identificables, </w:t>
      </w:r>
      <w:r w:rsidRPr="00F75444">
        <w:rPr>
          <w:rFonts w:ascii="Palatino Linotype" w:eastAsia="Times New Roman" w:hAnsi="Palatino Linotype" w:cs="Tahoma"/>
          <w:color w:val="000000"/>
          <w:u w:val="single"/>
          <w:lang w:eastAsia="es-ES"/>
        </w:rPr>
        <w:t xml:space="preserve">como identificaciones oficiales, comprobantes de domicilio, comprobantes oficiales, como los emitidos por el Registro Civil, entre otros, por lo que, resulta necesario analizar si estos </w:t>
      </w:r>
      <w:r w:rsidRPr="00F75444">
        <w:rPr>
          <w:rFonts w:ascii="Palatino Linotype" w:eastAsia="Times New Roman" w:hAnsi="Palatino Linotype" w:cs="Tahoma"/>
          <w:b/>
          <w:color w:val="000000"/>
          <w:u w:val="single"/>
          <w:lang w:eastAsia="es-ES"/>
        </w:rPr>
        <w:t>serían considerados CONFIDENCIALES en su totalidad</w:t>
      </w:r>
      <w:r w:rsidRPr="00F75444">
        <w:rPr>
          <w:rFonts w:ascii="Palatino Linotype" w:eastAsia="Times New Roman" w:hAnsi="Palatino Linotype" w:cs="Tahoma"/>
          <w:color w:val="000000"/>
          <w:lang w:eastAsia="es-ES"/>
        </w:rPr>
        <w:t>.</w:t>
      </w:r>
    </w:p>
    <w:p w14:paraId="5B417E51" w14:textId="77777777" w:rsidR="00DF6000" w:rsidRPr="00F75444" w:rsidRDefault="00DF6000" w:rsidP="00DF6000">
      <w:pPr>
        <w:spacing w:line="360" w:lineRule="auto"/>
        <w:contextualSpacing/>
        <w:jc w:val="both"/>
        <w:rPr>
          <w:rFonts w:ascii="Palatino Linotype" w:eastAsia="Times New Roman" w:hAnsi="Palatino Linotype" w:cs="Tahoma"/>
          <w:color w:val="000000"/>
          <w:lang w:eastAsia="es-ES"/>
        </w:rPr>
      </w:pPr>
    </w:p>
    <w:p w14:paraId="7A97C476" w14:textId="77777777" w:rsidR="00DF6000" w:rsidRPr="00F75444" w:rsidRDefault="00DF6000" w:rsidP="00DF6000">
      <w:pPr>
        <w:numPr>
          <w:ilvl w:val="0"/>
          <w:numId w:val="3"/>
        </w:numPr>
        <w:spacing w:line="360" w:lineRule="auto"/>
        <w:ind w:left="0" w:right="-929" w:firstLine="0"/>
        <w:jc w:val="both"/>
        <w:rPr>
          <w:rFonts w:ascii="Palatino Linotype" w:hAnsi="Palatino Linotype" w:cs="Tahoma"/>
          <w:bCs/>
          <w:lang w:val="es-ES"/>
        </w:rPr>
      </w:pPr>
      <w:r w:rsidRPr="00F75444">
        <w:rPr>
          <w:rFonts w:ascii="Palatino Linotype" w:hAnsi="Palatino Linotype" w:cs="Tahoma"/>
          <w:bCs/>
        </w:rPr>
        <w:t xml:space="preserve">Al respecto, resulta necesario </w:t>
      </w:r>
      <w:r w:rsidRPr="00F75444">
        <w:rPr>
          <w:rFonts w:ascii="Palatino Linotype" w:hAnsi="Palatino Linotype" w:cs="Tahoma"/>
          <w:bCs/>
          <w:iCs/>
          <w:color w:val="000000"/>
          <w:lang w:val="es-ES"/>
        </w:rPr>
        <w:t>precisar que la Suprema Corte de Justicia de la Nación ha reconocido como derechos</w:t>
      </w:r>
      <w:r w:rsidRPr="00F75444">
        <w:rPr>
          <w:rFonts w:ascii="Palatino Linotype" w:hAnsi="Palatino Linotype" w:cs="Tahoma"/>
          <w:bCs/>
          <w:lang w:val="es-ES"/>
        </w:rPr>
        <w:t xml:space="preserve"> fundamentales de las personas, </w:t>
      </w:r>
      <w:r w:rsidRPr="00F75444">
        <w:rPr>
          <w:rFonts w:ascii="Palatino Linotype" w:hAnsi="Palatino Linotype" w:cs="Tahoma"/>
          <w:b/>
          <w:bCs/>
          <w:lang w:val="es-ES"/>
        </w:rPr>
        <w:t>el derecho a la intimidad</w:t>
      </w:r>
      <w:r w:rsidRPr="00F75444">
        <w:rPr>
          <w:rFonts w:ascii="Palatino Linotype" w:hAnsi="Palatino Linotype" w:cs="Tahoma"/>
          <w:bCs/>
          <w:lang w:val="es-ES"/>
        </w:rPr>
        <w:t>, en el siguiente criterio:</w:t>
      </w:r>
    </w:p>
    <w:p w14:paraId="0A48AFAB" w14:textId="77777777" w:rsidR="00DF6000" w:rsidRPr="00F75444" w:rsidRDefault="00DF6000" w:rsidP="00DF6000">
      <w:pPr>
        <w:ind w:left="567" w:right="567"/>
        <w:jc w:val="both"/>
        <w:rPr>
          <w:rFonts w:ascii="Palatino Linotype" w:hAnsi="Palatino Linotype" w:cs="Tahoma"/>
          <w:bCs/>
          <w:i/>
          <w:szCs w:val="20"/>
          <w:lang w:val="es-ES"/>
        </w:rPr>
      </w:pPr>
      <w:r w:rsidRPr="00F75444">
        <w:rPr>
          <w:rFonts w:ascii="Palatino Linotype" w:hAnsi="Palatino Linotype" w:cs="Tahoma"/>
          <w:bCs/>
          <w:i/>
          <w:szCs w:val="20"/>
          <w:lang w:val="es-ES"/>
        </w:rPr>
        <w:t>“</w:t>
      </w:r>
      <w:r w:rsidRPr="00F75444">
        <w:rPr>
          <w:rFonts w:ascii="Palatino Linotype" w:hAnsi="Palatino Linotype" w:cs="Tahoma"/>
          <w:b/>
          <w:bCs/>
          <w:i/>
          <w:szCs w:val="20"/>
          <w:lang w:val="es-ES"/>
        </w:rPr>
        <w:t xml:space="preserve">DERECHOS A LA INTIMIDAD, PROPIA IMAGEN, IDENTIDAD PERSONAL Y SEXUAL. CONSTITUYEN DERECHOS DE DEFENSA Y GARANTÍA ESENCIAL PARA LA CONDICIÓN HUMANA.  </w:t>
      </w:r>
      <w:r w:rsidRPr="00F75444">
        <w:rPr>
          <w:rFonts w:ascii="Palatino Linotype" w:hAnsi="Palatino Linotype" w:cs="Tahoma"/>
          <w:bCs/>
          <w:i/>
          <w:szCs w:val="20"/>
          <w:lang w:val="es-ES"/>
        </w:rPr>
        <w:t xml:space="preserve">Dentro de los derechos personalísimos se encuentran necesariamente comprendidos el </w:t>
      </w:r>
      <w:r w:rsidRPr="00F75444">
        <w:rPr>
          <w:rFonts w:ascii="Palatino Linotype" w:hAnsi="Palatino Linotype" w:cs="Tahoma"/>
          <w:b/>
          <w:bCs/>
          <w:i/>
          <w:szCs w:val="20"/>
          <w:lang w:val="es-ES"/>
        </w:rPr>
        <w:t>derecho a la intimidad y a la propia imagen</w:t>
      </w:r>
      <w:r w:rsidRPr="00F75444">
        <w:rPr>
          <w:rFonts w:ascii="Palatino Linotype" w:hAnsi="Palatino Linotype" w:cs="Tahoma"/>
          <w:bCs/>
          <w:i/>
          <w:szCs w:val="20"/>
          <w:lang w:val="es-ES"/>
        </w:rPr>
        <w:t xml:space="preserve">, así como a la </w:t>
      </w:r>
      <w:r w:rsidRPr="00F75444">
        <w:rPr>
          <w:rFonts w:ascii="Palatino Linotype" w:hAnsi="Palatino Linotype" w:cs="Tahoma"/>
          <w:b/>
          <w:bCs/>
          <w:i/>
          <w:szCs w:val="20"/>
          <w:lang w:val="es-ES"/>
        </w:rPr>
        <w:t>identidad personal</w:t>
      </w:r>
      <w:r w:rsidRPr="00F75444">
        <w:rPr>
          <w:rFonts w:ascii="Palatino Linotype" w:hAnsi="Palatino Linotype" w:cs="Tahoma"/>
          <w:bCs/>
          <w:i/>
          <w:szCs w:val="20"/>
          <w:lang w:val="es-ES"/>
        </w:rPr>
        <w:t xml:space="preserve"> y sexual; entendiéndose por el primero, </w:t>
      </w:r>
      <w:r w:rsidRPr="00F75444">
        <w:rPr>
          <w:rFonts w:ascii="Palatino Linotype" w:hAnsi="Palatino Linotype" w:cs="Tahoma"/>
          <w:b/>
          <w:bCs/>
          <w:i/>
          <w:szCs w:val="20"/>
          <w:lang w:val="es-ES"/>
        </w:rPr>
        <w:t>el derecho del individuo a no ser conocido por otros en ciertos aspectos de su vida</w:t>
      </w:r>
      <w:r w:rsidRPr="00F75444">
        <w:rPr>
          <w:rFonts w:ascii="Palatino Linotype" w:hAnsi="Palatino Linotype" w:cs="Tahoma"/>
          <w:bCs/>
          <w:i/>
          <w:szCs w:val="20"/>
          <w:lang w:val="es-ES"/>
        </w:rPr>
        <w:t xml:space="preserve"> y, </w:t>
      </w:r>
      <w:r w:rsidRPr="00F75444">
        <w:rPr>
          <w:rFonts w:ascii="Palatino Linotype" w:hAnsi="Palatino Linotype" w:cs="Tahoma"/>
          <w:b/>
          <w:bCs/>
          <w:i/>
          <w:szCs w:val="20"/>
          <w:lang w:val="es-ES"/>
        </w:rPr>
        <w:t>por ende, el poder de decisión sobre la publicidad o información de datos relativos a su persona</w:t>
      </w:r>
      <w:r w:rsidRPr="00F75444">
        <w:rPr>
          <w:rFonts w:ascii="Palatino Linotype" w:hAnsi="Palatino Linotype" w:cs="Tahoma"/>
          <w:bCs/>
          <w:i/>
          <w:szCs w:val="20"/>
          <w:lang w:val="es-ES"/>
        </w:rPr>
        <w:t>, familia, pensamientos o sentimientos;</w:t>
      </w:r>
      <w:r w:rsidRPr="00F75444">
        <w:rPr>
          <w:rFonts w:ascii="Palatino Linotype" w:hAnsi="Palatino Linotype" w:cs="Tahoma"/>
          <w:b/>
          <w:bCs/>
          <w:i/>
          <w:szCs w:val="20"/>
          <w:lang w:val="es-ES"/>
        </w:rPr>
        <w:t xml:space="preserve"> </w:t>
      </w:r>
      <w:r w:rsidRPr="00F75444">
        <w:rPr>
          <w:rFonts w:ascii="Palatino Linotype" w:hAnsi="Palatino Linotype" w:cs="Tahoma"/>
          <w:bCs/>
          <w:i/>
          <w:szCs w:val="20"/>
          <w:lang w:val="es-ES"/>
        </w:rPr>
        <w:t xml:space="preserve">a la </w:t>
      </w:r>
      <w:r w:rsidRPr="00F75444">
        <w:rPr>
          <w:rFonts w:ascii="Palatino Linotype" w:hAnsi="Palatino Linotype" w:cs="Tahoma"/>
          <w:b/>
          <w:bCs/>
          <w:i/>
          <w:szCs w:val="20"/>
          <w:lang w:val="es-ES"/>
        </w:rPr>
        <w:t>propia imagen, como aquel derecho de decidir, en forma libre, sobre la manera en que elige mostrarse frente a los demás</w:t>
      </w:r>
      <w:r w:rsidRPr="00F75444">
        <w:rPr>
          <w:rFonts w:ascii="Palatino Linotype" w:hAnsi="Palatino Linotype" w:cs="Tahoma"/>
          <w:bCs/>
          <w:i/>
          <w:szCs w:val="20"/>
          <w:lang w:val="es-ES"/>
        </w:rPr>
        <w:t xml:space="preserve">;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ante la sociedad y permiten identificarlo; y que implica, por tanto, </w:t>
      </w:r>
      <w:r w:rsidRPr="00F75444">
        <w:rPr>
          <w:rFonts w:ascii="Palatino Linotype" w:hAnsi="Palatino Linotype" w:cs="Tahoma"/>
          <w:bCs/>
          <w:i/>
          <w:szCs w:val="20"/>
          <w:lang w:val="es-ES"/>
        </w:rPr>
        <w:lastRenderedPageBreak/>
        <w:t xml:space="preserve">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w:t>
      </w:r>
      <w:r w:rsidRPr="00F75444">
        <w:rPr>
          <w:rFonts w:ascii="Palatino Linotype" w:hAnsi="Palatino Linotype" w:cs="Tahoma"/>
          <w:b/>
          <w:bCs/>
          <w:i/>
          <w:szCs w:val="20"/>
          <w:lang w:val="es-ES"/>
        </w:rPr>
        <w:t>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r w:rsidRPr="00F75444">
        <w:rPr>
          <w:rFonts w:ascii="Palatino Linotype" w:hAnsi="Palatino Linotype" w:cs="Tahoma"/>
          <w:bCs/>
          <w:i/>
          <w:szCs w:val="20"/>
          <w:lang w:val="es-ES"/>
        </w:rPr>
        <w:t>”</w:t>
      </w:r>
    </w:p>
    <w:p w14:paraId="2187EEEB" w14:textId="77777777" w:rsidR="00DF6000" w:rsidRDefault="00DF6000" w:rsidP="00DF6000">
      <w:pPr>
        <w:ind w:right="567"/>
        <w:jc w:val="both"/>
        <w:rPr>
          <w:rFonts w:ascii="Palatino Linotype" w:hAnsi="Palatino Linotype" w:cs="Tahoma"/>
          <w:b/>
          <w:bCs/>
          <w:i/>
          <w:szCs w:val="20"/>
          <w:lang w:val="es-ES"/>
        </w:rPr>
      </w:pPr>
    </w:p>
    <w:p w14:paraId="1961CEE8" w14:textId="77777777" w:rsidR="00933F59" w:rsidRPr="00F75444" w:rsidRDefault="00933F59" w:rsidP="00DF6000">
      <w:pPr>
        <w:ind w:right="567"/>
        <w:jc w:val="both"/>
        <w:rPr>
          <w:rFonts w:ascii="Palatino Linotype" w:hAnsi="Palatino Linotype" w:cs="Tahoma"/>
          <w:b/>
          <w:bCs/>
          <w:i/>
          <w:szCs w:val="20"/>
          <w:lang w:val="es-ES"/>
        </w:rPr>
      </w:pPr>
    </w:p>
    <w:p w14:paraId="76E55EE5" w14:textId="77777777" w:rsidR="00DF6000" w:rsidRPr="00F75444" w:rsidRDefault="00DF6000" w:rsidP="00DF6000">
      <w:pPr>
        <w:numPr>
          <w:ilvl w:val="0"/>
          <w:numId w:val="3"/>
        </w:numPr>
        <w:spacing w:line="360" w:lineRule="auto"/>
        <w:ind w:left="0" w:right="-929" w:firstLine="0"/>
        <w:jc w:val="both"/>
        <w:rPr>
          <w:rFonts w:ascii="Palatino Linotype" w:hAnsi="Palatino Linotype" w:cs="Tahoma"/>
          <w:b/>
          <w:bCs/>
          <w:lang w:val="es-ES"/>
        </w:rPr>
      </w:pPr>
      <w:r w:rsidRPr="00F75444">
        <w:rPr>
          <w:rFonts w:ascii="Palatino Linotype" w:hAnsi="Palatino Linotype" w:cs="Tahoma"/>
          <w:bCs/>
          <w:lang w:val="es-ES"/>
        </w:rPr>
        <w:t xml:space="preserve">En ese sentido, es derecho de todo individuo a no ser conocido por otros en ciertos aspectos de su vida y, por ende, el poder de decisión sobre la publicidad o información de datos relativos a su persona </w:t>
      </w:r>
      <w:r w:rsidRPr="00F75444">
        <w:rPr>
          <w:rFonts w:ascii="Palatino Linotype" w:hAnsi="Palatino Linotype" w:cs="Tahoma"/>
          <w:b/>
          <w:bCs/>
          <w:lang w:val="es-ES"/>
        </w:rPr>
        <w:t>(derecho a la intimidad).</w:t>
      </w:r>
    </w:p>
    <w:p w14:paraId="587679DD" w14:textId="77777777" w:rsidR="00DF6000" w:rsidRPr="00F75444" w:rsidRDefault="00DF6000" w:rsidP="00DF6000">
      <w:pPr>
        <w:spacing w:line="360" w:lineRule="auto"/>
        <w:jc w:val="both"/>
        <w:rPr>
          <w:rFonts w:ascii="Palatino Linotype" w:hAnsi="Palatino Linotype" w:cs="Tahoma"/>
          <w:bCs/>
          <w:lang w:val="es-ES"/>
        </w:rPr>
      </w:pPr>
    </w:p>
    <w:p w14:paraId="542E0B18" w14:textId="77777777" w:rsidR="00DF6000" w:rsidRPr="00F75444" w:rsidRDefault="00DF6000" w:rsidP="00DF6000">
      <w:pPr>
        <w:numPr>
          <w:ilvl w:val="0"/>
          <w:numId w:val="3"/>
        </w:numPr>
        <w:spacing w:line="360" w:lineRule="auto"/>
        <w:ind w:left="0" w:right="-929" w:firstLine="0"/>
        <w:jc w:val="both"/>
        <w:rPr>
          <w:rFonts w:ascii="Palatino Linotype" w:hAnsi="Palatino Linotype" w:cs="Tahoma"/>
          <w:bCs/>
          <w:lang w:val="es-ES"/>
        </w:rPr>
      </w:pPr>
      <w:r w:rsidRPr="00F75444">
        <w:rPr>
          <w:rFonts w:ascii="Palatino Linotype" w:hAnsi="Palatino Linotype" w:cs="Tahoma"/>
          <w:bCs/>
        </w:rPr>
        <w:t xml:space="preserve">Además, </w:t>
      </w:r>
      <w:r w:rsidRPr="00F75444">
        <w:rPr>
          <w:rFonts w:ascii="Palatino Linotype" w:hAnsi="Palatino Linotype" w:cs="Tahoma"/>
          <w:bCs/>
          <w:lang w:val="es-ES"/>
        </w:rPr>
        <w:t xml:space="preserve">cabe señalar que lo previsto en la tesis aislada número 1a. CCXIV/2009, emitida por la Primera Sala de la Suprema Corte de Justicia de la Nación, publicada </w:t>
      </w:r>
      <w:r w:rsidRPr="00F75444">
        <w:rPr>
          <w:rFonts w:ascii="Palatino Linotype" w:hAnsi="Palatino Linotype" w:cs="Tahoma"/>
          <w:bCs/>
          <w:iCs/>
          <w:lang w:val="es-ES"/>
        </w:rPr>
        <w:t>en la Gaceta del Semanario Judicial de la Federación, Tomo XXX, de diciembre de 2009, página 277, de la Novena Época, materia constitucional,</w:t>
      </w:r>
      <w:r w:rsidRPr="00F75444">
        <w:rPr>
          <w:rFonts w:ascii="Palatino Linotype" w:hAnsi="Palatino Linotype" w:cs="Tahoma"/>
          <w:bCs/>
          <w:lang w:val="es-ES"/>
        </w:rPr>
        <w:t xml:space="preserve"> que establece lo siguiente:</w:t>
      </w:r>
    </w:p>
    <w:p w14:paraId="056C8292" w14:textId="77777777" w:rsidR="00DF6000" w:rsidRPr="00F75444" w:rsidRDefault="00DF6000" w:rsidP="00DF6000">
      <w:pPr>
        <w:spacing w:line="360" w:lineRule="auto"/>
        <w:ind w:right="-93"/>
        <w:jc w:val="both"/>
        <w:rPr>
          <w:rFonts w:ascii="Palatino Linotype" w:hAnsi="Palatino Linotype" w:cs="Tahoma"/>
          <w:bCs/>
          <w:lang w:val="es-ES"/>
        </w:rPr>
      </w:pPr>
    </w:p>
    <w:p w14:paraId="2ED9CF44" w14:textId="77777777" w:rsidR="00DF6000" w:rsidRPr="00F75444" w:rsidRDefault="00DF6000" w:rsidP="00DF6000">
      <w:pPr>
        <w:ind w:left="567" w:right="567"/>
        <w:jc w:val="both"/>
        <w:rPr>
          <w:rFonts w:ascii="Palatino Linotype" w:hAnsi="Palatino Linotype" w:cs="Tahoma"/>
          <w:bCs/>
          <w:i/>
          <w:szCs w:val="20"/>
          <w:lang w:val="es-ES"/>
        </w:rPr>
      </w:pPr>
      <w:r w:rsidRPr="00F75444">
        <w:rPr>
          <w:rFonts w:ascii="Palatino Linotype" w:hAnsi="Palatino Linotype" w:cs="Tahoma"/>
          <w:bCs/>
          <w:i/>
          <w:szCs w:val="20"/>
          <w:lang w:val="es-ES"/>
        </w:rPr>
        <w:t>“</w:t>
      </w:r>
      <w:r w:rsidRPr="00F75444">
        <w:rPr>
          <w:rFonts w:ascii="Palatino Linotype" w:hAnsi="Palatino Linotype" w:cs="Tahoma"/>
          <w:b/>
          <w:bCs/>
          <w:i/>
          <w:szCs w:val="20"/>
          <w:lang w:val="es-ES"/>
        </w:rPr>
        <w:t xml:space="preserve">DERECHO A LA VIDA PRIVADA. SU CONTENIDO GENERAL Y LA IMPORTANCIA DE NO DESCONTEXTUALIZAR LAS REFERENCIAS A LA MISMA. </w:t>
      </w:r>
      <w:r w:rsidRPr="00F75444">
        <w:rPr>
          <w:rFonts w:ascii="Palatino Linotype" w:hAnsi="Palatino Linotype" w:cs="Tahoma"/>
          <w:bCs/>
          <w:i/>
          <w:szCs w:val="20"/>
          <w:lang w:val="es-ES"/>
        </w:rPr>
        <w:t xml:space="preserve">La Suprema Corte de Justicia de la Nación se ha referido en varias tesis a los rasgos característicos de la noción de lo ‘privado’. Así, lo ha relacionado </w:t>
      </w:r>
      <w:r w:rsidRPr="00F75444">
        <w:rPr>
          <w:rFonts w:ascii="Palatino Linotype" w:hAnsi="Palatino Linotype" w:cs="Tahoma"/>
          <w:bCs/>
          <w:i/>
          <w:szCs w:val="20"/>
          <w:lang w:val="es-ES"/>
        </w:rPr>
        <w:lastRenderedPageBreak/>
        <w:t xml:space="preserve">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F75444">
        <w:rPr>
          <w:rFonts w:ascii="Palatino Linotype" w:hAnsi="Palatino Linotype" w:cs="Tahoma"/>
          <w:b/>
          <w:bCs/>
          <w:i/>
          <w:szCs w:val="20"/>
          <w:lang w:val="es-E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F75444">
        <w:rPr>
          <w:rFonts w:ascii="Palatino Linotype" w:hAnsi="Palatino Linotype" w:cs="Tahoma"/>
          <w:bCs/>
          <w:i/>
          <w:szCs w:val="20"/>
          <w:lang w:val="es-E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F75444">
        <w:rPr>
          <w:rFonts w:ascii="Palatino Linotype" w:hAnsi="Palatino Linotype" w:cs="Tahoma"/>
          <w:b/>
          <w:bCs/>
          <w:i/>
          <w:szCs w:val="20"/>
          <w:lang w:val="es-ES"/>
        </w:rPr>
        <w:lastRenderedPageBreak/>
        <w:t>En un sentido amplio, entonces, la protección constitucional de la vida privada implica poder conducir parte de la vida de uno protegido de la mirada y las injerencias de los demás</w:t>
      </w:r>
      <w:r w:rsidRPr="00F75444">
        <w:rPr>
          <w:rFonts w:ascii="Palatino Linotype" w:hAnsi="Palatino Linotype" w:cs="Tahoma"/>
          <w:bCs/>
          <w:i/>
          <w:szCs w:val="20"/>
          <w:lang w:val="es-E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74F12E54" w14:textId="77777777" w:rsidR="00DF6000" w:rsidRPr="00F75444" w:rsidRDefault="00DF6000" w:rsidP="00DF6000">
      <w:pPr>
        <w:spacing w:line="360" w:lineRule="auto"/>
        <w:ind w:right="-93"/>
        <w:jc w:val="both"/>
        <w:rPr>
          <w:rFonts w:ascii="Palatino Linotype" w:hAnsi="Palatino Linotype" w:cs="Tahoma"/>
          <w:bCs/>
          <w:lang w:val="es-ES"/>
        </w:rPr>
      </w:pPr>
    </w:p>
    <w:p w14:paraId="638B496B" w14:textId="77777777" w:rsidR="00DF6000" w:rsidRPr="00F75444" w:rsidRDefault="00DF6000" w:rsidP="00DF6000">
      <w:pPr>
        <w:numPr>
          <w:ilvl w:val="0"/>
          <w:numId w:val="3"/>
        </w:numPr>
        <w:spacing w:line="360" w:lineRule="auto"/>
        <w:ind w:left="0" w:right="-929" w:firstLine="0"/>
        <w:jc w:val="both"/>
        <w:rPr>
          <w:rFonts w:ascii="Palatino Linotype" w:hAnsi="Palatino Linotype" w:cs="Tahoma"/>
          <w:b/>
          <w:bCs/>
          <w:lang w:val="es-ES"/>
        </w:rPr>
      </w:pPr>
      <w:r w:rsidRPr="00F75444">
        <w:rPr>
          <w:rFonts w:ascii="Palatino Linotype" w:hAnsi="Palatino Linotype" w:cs="Tahoma"/>
          <w:bCs/>
          <w:lang w:val="es-ES"/>
        </w:rPr>
        <w:t xml:space="preserve">De conformidad con lo señalado, se colige que </w:t>
      </w:r>
      <w:r w:rsidRPr="00F75444">
        <w:rPr>
          <w:rFonts w:ascii="Palatino Linotype" w:hAnsi="Palatino Linotype" w:cs="Tahoma"/>
          <w:b/>
          <w:bCs/>
          <w:lang w:val="es-ES"/>
        </w:rPr>
        <w:t>las actividades que realicen los particulares, dentro del ámbito privado, o dentro de la esfera particular, es información que debe protegerse.</w:t>
      </w:r>
    </w:p>
    <w:p w14:paraId="718C8647" w14:textId="77777777" w:rsidR="00DF6000" w:rsidRPr="00F75444" w:rsidRDefault="00DF6000" w:rsidP="00DF6000">
      <w:pPr>
        <w:spacing w:line="360" w:lineRule="auto"/>
        <w:ind w:right="-93"/>
        <w:jc w:val="both"/>
        <w:rPr>
          <w:rFonts w:ascii="Palatino Linotype" w:hAnsi="Palatino Linotype" w:cs="Tahoma"/>
          <w:bCs/>
        </w:rPr>
      </w:pPr>
    </w:p>
    <w:p w14:paraId="37084E06" w14:textId="77777777" w:rsidR="00DF6000" w:rsidRPr="00F75444" w:rsidRDefault="00DF6000" w:rsidP="00DF6000">
      <w:pPr>
        <w:numPr>
          <w:ilvl w:val="0"/>
          <w:numId w:val="3"/>
        </w:numPr>
        <w:spacing w:line="360" w:lineRule="auto"/>
        <w:ind w:left="0" w:right="-929" w:firstLine="0"/>
        <w:jc w:val="both"/>
        <w:rPr>
          <w:rFonts w:ascii="Palatino Linotype" w:hAnsi="Palatino Linotype" w:cs="Tahoma"/>
          <w:bCs/>
        </w:rPr>
      </w:pPr>
      <w:r w:rsidRPr="00F75444">
        <w:rPr>
          <w:rFonts w:ascii="Palatino Linotype" w:hAnsi="Palatino Linotype" w:cs="Tahoma"/>
          <w:bCs/>
        </w:rPr>
        <w:t xml:space="preserve">En ese </w:t>
      </w:r>
      <w:r w:rsidRPr="00F75444">
        <w:rPr>
          <w:rFonts w:ascii="Palatino Linotype" w:hAnsi="Palatino Linotype" w:cs="Tahoma"/>
          <w:bCs/>
          <w:lang w:val="es-ES"/>
        </w:rPr>
        <w:t>contexto</w:t>
      </w:r>
      <w:r w:rsidRPr="00F75444">
        <w:rPr>
          <w:rFonts w:ascii="Palatino Linotype" w:hAnsi="Palatino Linotype" w:cs="Tahoma"/>
          <w:bCs/>
        </w:rPr>
        <w:t xml:space="preserve">, los anexos podrían conformarse de información que hace identificable alguna de las partes, o </w:t>
      </w:r>
      <w:r w:rsidRPr="00F75444">
        <w:rPr>
          <w:rFonts w:ascii="Palatino Linotype" w:hAnsi="Palatino Linotype" w:cs="Tahoma"/>
          <w:b/>
          <w:bCs/>
          <w:lang w:val="es-ES"/>
        </w:rPr>
        <w:t>bien</w:t>
      </w:r>
      <w:r w:rsidRPr="00F75444">
        <w:rPr>
          <w:rFonts w:ascii="Palatino Linotype" w:hAnsi="Palatino Linotype" w:cs="Tahoma"/>
          <w:bCs/>
        </w:rPr>
        <w:t>, que sean totalmente referentes a la vida privada o íntima de alguna estas; cuya revelación iría en contra del derecho a la vida privada.</w:t>
      </w:r>
    </w:p>
    <w:p w14:paraId="54A61C50" w14:textId="77777777" w:rsidR="00DF6000" w:rsidRPr="00F75444" w:rsidRDefault="00DF6000" w:rsidP="00DF6000">
      <w:pPr>
        <w:spacing w:line="360" w:lineRule="auto"/>
        <w:ind w:right="-93"/>
        <w:jc w:val="both"/>
        <w:rPr>
          <w:rFonts w:ascii="Palatino Linotype" w:hAnsi="Palatino Linotype" w:cs="Tahoma"/>
          <w:bCs/>
        </w:rPr>
      </w:pPr>
    </w:p>
    <w:p w14:paraId="039904A1" w14:textId="77777777" w:rsidR="00DF6000" w:rsidRPr="00F75444" w:rsidRDefault="00DF6000" w:rsidP="00DF6000">
      <w:pPr>
        <w:numPr>
          <w:ilvl w:val="0"/>
          <w:numId w:val="3"/>
        </w:numPr>
        <w:spacing w:line="360" w:lineRule="auto"/>
        <w:ind w:left="0" w:right="-929" w:firstLine="0"/>
        <w:jc w:val="both"/>
        <w:rPr>
          <w:rFonts w:ascii="Palatino Linotype" w:eastAsia="Times New Roman" w:hAnsi="Palatino Linotype" w:cs="Times New Roman"/>
          <w:lang w:val="es-ES" w:eastAsia="es-ES"/>
        </w:rPr>
      </w:pPr>
      <w:r w:rsidRPr="00F75444">
        <w:rPr>
          <w:rFonts w:ascii="Palatino Linotype" w:eastAsia="Times New Roman" w:hAnsi="Palatino Linotype" w:cs="Times New Roman"/>
          <w:lang w:val="es-ES" w:eastAsia="es-ES"/>
        </w:rPr>
        <w:t xml:space="preserve">Por lo </w:t>
      </w:r>
      <w:r w:rsidRPr="00F75444">
        <w:rPr>
          <w:rFonts w:ascii="Palatino Linotype" w:hAnsi="Palatino Linotype" w:cs="Tahoma"/>
          <w:bCs/>
        </w:rPr>
        <w:t>expuesto</w:t>
      </w:r>
      <w:r w:rsidRPr="00F75444">
        <w:rPr>
          <w:rFonts w:ascii="Palatino Linotype" w:eastAsia="Times New Roman" w:hAnsi="Palatino Linotype" w:cs="Times New Roman"/>
          <w:lang w:val="es-ES" w:eastAsia="es-ES"/>
        </w:rPr>
        <w:t xml:space="preserve">, este Instituto considera dable ordenar al </w:t>
      </w:r>
      <w:r w:rsidRPr="00F75444">
        <w:rPr>
          <w:rFonts w:ascii="Palatino Linotype" w:eastAsia="Times New Roman" w:hAnsi="Palatino Linotype" w:cs="Times New Roman"/>
          <w:b/>
          <w:bCs/>
          <w:lang w:val="es-ES" w:eastAsia="es-ES"/>
        </w:rPr>
        <w:t>Sujeto Obligado</w:t>
      </w:r>
      <w:r w:rsidRPr="00F75444">
        <w:rPr>
          <w:rFonts w:ascii="Palatino Linotype" w:eastAsia="Times New Roman" w:hAnsi="Palatino Linotype" w:cs="Times New Roman"/>
          <w:lang w:val="es-ES" w:eastAsia="es-ES"/>
        </w:rPr>
        <w:t xml:space="preserve">, la presentación del Acuerdo de Clasificación correspondiente, con el cual se deberá fundamentar y motivar la clasificación de la información solicitada por </w:t>
      </w:r>
      <w:r w:rsidRPr="00F75444">
        <w:rPr>
          <w:rFonts w:ascii="Palatino Linotype" w:eastAsia="Times New Roman" w:hAnsi="Palatino Linotype" w:cs="Times New Roman"/>
          <w:b/>
          <w:lang w:val="es-ES" w:eastAsia="es-ES"/>
        </w:rPr>
        <w:t>el Recurrente</w:t>
      </w:r>
      <w:r w:rsidRPr="00F75444">
        <w:rPr>
          <w:rFonts w:ascii="Palatino Linotype" w:eastAsia="Times New Roman" w:hAnsi="Palatino Linotype" w:cs="Times New Roman"/>
          <w:lang w:val="es-ES" w:eastAsia="es-ES"/>
        </w:rPr>
        <w:t>, con la finalidad de dar cumplimiento a los principios de certeza jurídica, máxima publicidad y pro persona que establecen los artículos 4 y 9 fracciones I, VII y VIII de la Ley de Transparencia y Acceso a la Información Pública del Estado de México y Municipios.</w:t>
      </w:r>
    </w:p>
    <w:p w14:paraId="2053469E" w14:textId="77777777" w:rsidR="00DF6000" w:rsidRPr="00F75444" w:rsidRDefault="00DF6000" w:rsidP="00DF6000">
      <w:pPr>
        <w:autoSpaceDE w:val="0"/>
        <w:autoSpaceDN w:val="0"/>
        <w:adjustRightInd w:val="0"/>
        <w:spacing w:line="360" w:lineRule="auto"/>
        <w:jc w:val="both"/>
        <w:rPr>
          <w:rFonts w:ascii="Palatino Linotype" w:eastAsia="Times New Roman" w:hAnsi="Palatino Linotype" w:cs="Times New Roman"/>
          <w:lang w:val="es-ES" w:eastAsia="es-ES"/>
        </w:rPr>
      </w:pPr>
    </w:p>
    <w:p w14:paraId="35C8E2BB" w14:textId="77777777" w:rsidR="00DF6000" w:rsidRPr="00F75444" w:rsidRDefault="00DF6000" w:rsidP="00DF6000">
      <w:pPr>
        <w:numPr>
          <w:ilvl w:val="0"/>
          <w:numId w:val="3"/>
        </w:numPr>
        <w:spacing w:line="360" w:lineRule="auto"/>
        <w:ind w:left="0" w:right="-929" w:firstLine="0"/>
        <w:jc w:val="both"/>
        <w:rPr>
          <w:rFonts w:ascii="Palatino Linotype" w:eastAsia="Times New Roman" w:hAnsi="Palatino Linotype" w:cs="Arial"/>
          <w:bCs/>
        </w:rPr>
      </w:pPr>
      <w:r w:rsidRPr="00F75444">
        <w:rPr>
          <w:rFonts w:ascii="Palatino Linotype" w:eastAsia="Times New Roman" w:hAnsi="Palatino Linotype" w:cs="Arial"/>
          <w:bCs/>
        </w:rPr>
        <w:lastRenderedPageBreak/>
        <w:t xml:space="preserve">En ese tenor y de acuerdo a la interpretación en el orden administrativo que le da la Ley de la materia a este Instituto específicamente, en términos de su artículo 36, fracción I, </w:t>
      </w:r>
      <w:r w:rsidRPr="00F75444">
        <w:rPr>
          <w:rFonts w:ascii="Palatino Linotype" w:eastAsia="Times New Roman" w:hAnsi="Palatino Linotype" w:cs="Arial"/>
        </w:rPr>
        <w:t xml:space="preserve">de la Ley de Transparencia y Acceso a la Información Pública del Estado de México y Municipios, </w:t>
      </w:r>
      <w:r w:rsidRPr="00F75444">
        <w:rPr>
          <w:rFonts w:ascii="Palatino Linotype" w:eastAsia="Times New Roman" w:hAnsi="Palatino Linotype" w:cs="Arial"/>
          <w:bCs/>
        </w:rPr>
        <w:t xml:space="preserve">a efecto de salvaguardar el derecho de acceso a la información pública consignado a favor del </w:t>
      </w:r>
      <w:r w:rsidRPr="00F75444">
        <w:rPr>
          <w:rFonts w:ascii="Palatino Linotype" w:eastAsia="Times New Roman" w:hAnsi="Palatino Linotype" w:cs="Arial"/>
          <w:b/>
          <w:bCs/>
        </w:rPr>
        <w:t>Recurrente</w:t>
      </w:r>
      <w:r w:rsidRPr="00F75444">
        <w:rPr>
          <w:rFonts w:ascii="Palatino Linotype" w:eastAsia="Times New Roman" w:hAnsi="Palatino Linotype" w:cs="Arial"/>
          <w:bCs/>
        </w:rPr>
        <w:t>.</w:t>
      </w:r>
    </w:p>
    <w:p w14:paraId="76AEF6C6" w14:textId="77777777" w:rsidR="00DF6000" w:rsidRPr="00F75444" w:rsidRDefault="00DF6000" w:rsidP="00DF6000">
      <w:pPr>
        <w:spacing w:line="360" w:lineRule="auto"/>
        <w:jc w:val="both"/>
        <w:rPr>
          <w:rFonts w:ascii="Palatino Linotype" w:eastAsia="Times New Roman" w:hAnsi="Palatino Linotype" w:cs="Arial"/>
          <w:bCs/>
        </w:rPr>
      </w:pPr>
    </w:p>
    <w:p w14:paraId="313DF7C7"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rPr>
      </w:pPr>
      <w:r w:rsidRPr="00F75444">
        <w:rPr>
          <w:rFonts w:ascii="Palatino Linotype" w:eastAsia="Palatino Linotype" w:hAnsi="Palatino Linotype" w:cs="Palatino Linotype"/>
        </w:rPr>
        <w:t>En procedimientos por</w:t>
      </w:r>
      <w:r w:rsidRPr="00F75444">
        <w:rPr>
          <w:rFonts w:ascii="Palatino Linotype" w:eastAsia="Palatino Linotype" w:hAnsi="Palatino Linotype" w:cs="Palatino Linotype"/>
          <w:b/>
        </w:rPr>
        <w:t xml:space="preserve"> faltas graves absolutorias, </w:t>
      </w:r>
      <w:r w:rsidRPr="00F75444">
        <w:rPr>
          <w:rFonts w:ascii="Palatino Linotype" w:eastAsia="Palatino Linotype" w:hAnsi="Palatino Linotype" w:cs="Palatino Linotype"/>
        </w:rPr>
        <w:t>se deberá</w:t>
      </w:r>
      <w:r w:rsidRPr="00F75444">
        <w:rPr>
          <w:rFonts w:ascii="Palatino Linotype" w:eastAsia="Palatino Linotype" w:hAnsi="Palatino Linotype" w:cs="Palatino Linotype"/>
          <w:b/>
        </w:rPr>
        <w:t xml:space="preserve"> </w:t>
      </w:r>
      <w:r w:rsidRPr="00F75444">
        <w:rPr>
          <w:rFonts w:ascii="Palatino Linotype" w:eastAsia="Palatino Linotype" w:hAnsi="Palatino Linotype" w:cs="Palatino Linotype"/>
        </w:rPr>
        <w:t>clasificar como confidencial el nombre y cargo, así como cualquier otro dato que haga identificable al servidor público.</w:t>
      </w:r>
    </w:p>
    <w:p w14:paraId="31574BDC" w14:textId="77777777" w:rsidR="00DF6000" w:rsidRPr="00F75444" w:rsidRDefault="00DF6000" w:rsidP="00DF6000">
      <w:pPr>
        <w:pBdr>
          <w:top w:val="nil"/>
          <w:left w:val="nil"/>
          <w:bottom w:val="nil"/>
          <w:right w:val="nil"/>
          <w:between w:val="nil"/>
        </w:pBdr>
        <w:spacing w:line="360" w:lineRule="auto"/>
        <w:jc w:val="both"/>
        <w:rPr>
          <w:rFonts w:ascii="Palatino Linotype" w:eastAsia="Palatino Linotype" w:hAnsi="Palatino Linotype" w:cs="Palatino Linotype"/>
        </w:rPr>
      </w:pPr>
    </w:p>
    <w:p w14:paraId="7D060418"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rPr>
      </w:pPr>
      <w:r w:rsidRPr="00F75444">
        <w:rPr>
          <w:rFonts w:ascii="Palatino Linotype" w:eastAsia="Palatino Linotype" w:hAnsi="Palatino Linotype" w:cs="Palatino Linotype"/>
        </w:rPr>
        <w:t>En procedimientos por</w:t>
      </w:r>
      <w:r w:rsidRPr="00F75444">
        <w:rPr>
          <w:rFonts w:ascii="Palatino Linotype" w:eastAsia="Palatino Linotype" w:hAnsi="Palatino Linotype" w:cs="Palatino Linotype"/>
          <w:b/>
        </w:rPr>
        <w:t xml:space="preserve"> faltas no graves absolutorias y condenatorias, </w:t>
      </w:r>
      <w:r w:rsidRPr="00F75444">
        <w:rPr>
          <w:rFonts w:ascii="Palatino Linotype" w:eastAsia="Palatino Linotype" w:hAnsi="Palatino Linotype" w:cs="Palatino Linotype"/>
        </w:rPr>
        <w:t>se deberá clasificar como confidencial el nombre, cargo y cualquier otro dato que haga identificable al servidor público, así como la sanción en caso de las condenatorias.</w:t>
      </w:r>
    </w:p>
    <w:p w14:paraId="6AD8105E" w14:textId="77777777" w:rsidR="00DF6000" w:rsidRPr="00F75444" w:rsidRDefault="00DF6000" w:rsidP="00DF6000">
      <w:pPr>
        <w:spacing w:line="360" w:lineRule="auto"/>
        <w:jc w:val="both"/>
        <w:rPr>
          <w:rFonts w:ascii="Palatino Linotype" w:eastAsia="Times New Roman" w:hAnsi="Palatino Linotype" w:cs="Arial"/>
          <w:bCs/>
        </w:rPr>
      </w:pPr>
    </w:p>
    <w:p w14:paraId="7DF8C587"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 xml:space="preserve">Si los </w:t>
      </w:r>
      <w:r w:rsidRPr="00F75444">
        <w:rPr>
          <w:rFonts w:ascii="Palatino Linotype" w:eastAsia="Palatino Linotype" w:hAnsi="Palatino Linotype" w:cs="Palatino Linotype"/>
        </w:rPr>
        <w:t>procedimientos</w:t>
      </w:r>
      <w:r w:rsidRPr="00F75444">
        <w:rPr>
          <w:rFonts w:ascii="Palatino Linotype" w:eastAsia="Palatino Linotype" w:hAnsi="Palatino Linotype" w:cs="Palatino Linotype"/>
          <w:szCs w:val="28"/>
        </w:rPr>
        <w:t xml:space="preserve"> administrativos requeridos por la persona solicitante están contenidos en expedientes que encuadran en el presente caso se procederá a su acceso en versión pública, protegiendo el nombre, cargo y área de adscripción del Servidor Público absuelto y aquellos datos personales que le hagan identificable, pues al no relacionarse la información con servidores públicos que hubieran recibido alguna sanción por posibles responsabilidades, es procedente clasificar como confidencial los datos referidos, al poder causar un perjuicio a la vida privada de estos.</w:t>
      </w:r>
    </w:p>
    <w:p w14:paraId="73018F5F"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 xml:space="preserve">Cabe </w:t>
      </w:r>
      <w:r w:rsidRPr="00F75444">
        <w:rPr>
          <w:rFonts w:ascii="Palatino Linotype" w:eastAsia="Palatino Linotype" w:hAnsi="Palatino Linotype" w:cs="Palatino Linotype"/>
        </w:rPr>
        <w:t>mencionar</w:t>
      </w:r>
      <w:r w:rsidRPr="00F75444">
        <w:rPr>
          <w:rFonts w:ascii="Palatino Linotype" w:eastAsia="Palatino Linotype" w:hAnsi="Palatino Linotype" w:cs="Palatino Linotype"/>
          <w:szCs w:val="28"/>
        </w:rPr>
        <w:t xml:space="preserve"> que el artículo 6, Apartado A), fracción II, de la Constitución Política de los Estados Unidos Mexicanos, prevé que la información que se refiere a la vida privada y los datos personales, será protegida en los términos y con las excepciones que fijen las leyes. </w:t>
      </w:r>
      <w:r w:rsidRPr="00F75444">
        <w:rPr>
          <w:rFonts w:ascii="Palatino Linotype" w:eastAsia="Palatino Linotype" w:hAnsi="Palatino Linotype" w:cs="Palatino Linotype"/>
          <w:szCs w:val="28"/>
        </w:rPr>
        <w:lastRenderedPageBreak/>
        <w:t>Igualmente, el segundo párrafo del artículo 16 de la Carta Magna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1DE61C4F" w14:textId="77777777" w:rsidR="00DF6000" w:rsidRPr="00F75444" w:rsidRDefault="00DF6000" w:rsidP="00DF6000">
      <w:pPr>
        <w:spacing w:before="240" w:after="240" w:line="360" w:lineRule="auto"/>
        <w:contextualSpacing/>
        <w:jc w:val="both"/>
        <w:rPr>
          <w:rFonts w:ascii="Palatino Linotype" w:eastAsia="Palatino Linotype" w:hAnsi="Palatino Linotype" w:cs="Palatino Linotype"/>
        </w:rPr>
      </w:pPr>
    </w:p>
    <w:p w14:paraId="1FD8D2A6"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Acorde con lo anterior,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5C15FCE0" w14:textId="77777777" w:rsidR="00DF6000" w:rsidRPr="00F75444" w:rsidRDefault="00DF6000" w:rsidP="00DF6000">
      <w:pPr>
        <w:ind w:left="720"/>
        <w:contextualSpacing/>
        <w:rPr>
          <w:rFonts w:ascii="Palatino Linotype" w:eastAsia="Palatino Linotype" w:hAnsi="Palatino Linotype" w:cs="Palatino Linotype"/>
        </w:rPr>
      </w:pPr>
    </w:p>
    <w:p w14:paraId="5292FDA8"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6C19FF87" w14:textId="77777777" w:rsidR="00DF6000" w:rsidRPr="00F75444" w:rsidRDefault="00DF6000" w:rsidP="00DF6000">
      <w:pPr>
        <w:ind w:left="720"/>
        <w:contextualSpacing/>
        <w:rPr>
          <w:rFonts w:ascii="Palatino Linotype" w:eastAsia="Palatino Linotype" w:hAnsi="Palatino Linotype" w:cs="Palatino Linotype"/>
        </w:rPr>
      </w:pPr>
    </w:p>
    <w:p w14:paraId="3C6CD4A8"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En concordancia con lo previo, el artículo 143, fracción I, de la Ley de Transparencia previamente citada, establece que la información privada y los datos personales, concernientes a una persona física identificada o identificable son confidenciales.</w:t>
      </w:r>
    </w:p>
    <w:p w14:paraId="3626F930" w14:textId="77777777" w:rsidR="00DF6000" w:rsidRPr="00F75444" w:rsidRDefault="00DF6000" w:rsidP="00DF6000">
      <w:pPr>
        <w:ind w:left="720"/>
        <w:contextualSpacing/>
        <w:rPr>
          <w:rFonts w:ascii="Palatino Linotype" w:eastAsia="Palatino Linotype" w:hAnsi="Palatino Linotype" w:cs="Palatino Linotype"/>
          <w:szCs w:val="28"/>
        </w:rPr>
      </w:pPr>
    </w:p>
    <w:p w14:paraId="10327D35"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 xml:space="preserve">Asimismo, en el artículo 145 de la Ley de Transparencia y Acceso a la Información Pública del Estado de México y Municipios, prevé que para que los Sujetos Obligados puedan permitir el acceso a la información confidencial, requieren obtener el consentimiento de los </w:t>
      </w:r>
      <w:r w:rsidRPr="00F75444">
        <w:rPr>
          <w:rFonts w:ascii="Palatino Linotype" w:eastAsia="Palatino Linotype" w:hAnsi="Palatino Linotype" w:cs="Palatino Linotype"/>
          <w:szCs w:val="28"/>
        </w:rPr>
        <w:lastRenderedPageBreak/>
        <w:t xml:space="preserve">particulares titulares de la información, excepto cuando </w:t>
      </w:r>
      <w:r w:rsidRPr="00F75444">
        <w:rPr>
          <w:rFonts w:ascii="Palatino Linotype" w:eastAsia="Palatino Linotype" w:hAnsi="Palatino Linotype" w:cs="Palatino Linotype"/>
          <w:b/>
          <w:szCs w:val="28"/>
        </w:rPr>
        <w:t xml:space="preserve">I) </w:t>
      </w:r>
      <w:r w:rsidRPr="00F75444">
        <w:rPr>
          <w:rFonts w:ascii="Palatino Linotype" w:eastAsia="Palatino Linotype" w:hAnsi="Palatino Linotype" w:cs="Palatino Linotype"/>
          <w:szCs w:val="28"/>
        </w:rPr>
        <w:t xml:space="preserve">la información se encuentre en registros públicos o fuentes de acceso público, </w:t>
      </w:r>
      <w:r w:rsidRPr="00F75444">
        <w:rPr>
          <w:rFonts w:ascii="Palatino Linotype" w:eastAsia="Palatino Linotype" w:hAnsi="Palatino Linotype" w:cs="Palatino Linotype"/>
          <w:b/>
          <w:szCs w:val="28"/>
        </w:rPr>
        <w:t>II)</w:t>
      </w:r>
      <w:r w:rsidRPr="00F75444">
        <w:rPr>
          <w:rFonts w:ascii="Palatino Linotype" w:eastAsia="Palatino Linotype" w:hAnsi="Palatino Linotype" w:cs="Palatino Linotype"/>
          <w:szCs w:val="28"/>
        </w:rPr>
        <w:t xml:space="preserve"> por ley tenga el carácter de pública, </w:t>
      </w:r>
      <w:r w:rsidRPr="00F75444">
        <w:rPr>
          <w:rFonts w:ascii="Palatino Linotype" w:eastAsia="Palatino Linotype" w:hAnsi="Palatino Linotype" w:cs="Palatino Linotype"/>
          <w:b/>
          <w:szCs w:val="28"/>
        </w:rPr>
        <w:t>III)</w:t>
      </w:r>
      <w:r w:rsidRPr="00F75444">
        <w:rPr>
          <w:rFonts w:ascii="Palatino Linotype" w:eastAsia="Palatino Linotype" w:hAnsi="Palatino Linotype" w:cs="Palatino Linotype"/>
          <w:szCs w:val="28"/>
        </w:rPr>
        <w:t xml:space="preserve"> exista una orden judicial, </w:t>
      </w:r>
      <w:r w:rsidRPr="00F75444">
        <w:rPr>
          <w:rFonts w:ascii="Palatino Linotype" w:eastAsia="Palatino Linotype" w:hAnsi="Palatino Linotype" w:cs="Palatino Linotype"/>
          <w:b/>
          <w:szCs w:val="28"/>
        </w:rPr>
        <w:t>IV)</w:t>
      </w:r>
      <w:r w:rsidRPr="00F75444">
        <w:rPr>
          <w:rFonts w:ascii="Palatino Linotype" w:eastAsia="Palatino Linotype" w:hAnsi="Palatino Linotype" w:cs="Palatino Linotype"/>
          <w:szCs w:val="28"/>
        </w:rPr>
        <w:t xml:space="preserve"> por razones de seguridad nacional y salubridad general o, </w:t>
      </w:r>
      <w:r w:rsidRPr="00F75444">
        <w:rPr>
          <w:rFonts w:ascii="Palatino Linotype" w:eastAsia="Palatino Linotype" w:hAnsi="Palatino Linotype" w:cs="Palatino Linotype"/>
          <w:b/>
          <w:szCs w:val="28"/>
        </w:rPr>
        <w:t>v)</w:t>
      </w:r>
      <w:r w:rsidRPr="00F75444">
        <w:rPr>
          <w:rFonts w:ascii="Palatino Linotype" w:eastAsia="Palatino Linotype" w:hAnsi="Palatino Linotype" w:cs="Palatino Linotype"/>
          <w:szCs w:val="28"/>
        </w:rPr>
        <w:t xml:space="preserve"> para proteger los derechos de terceros o cuando se transmitan entre sujetos obligados en términos de los tratados y los acuerdos interinstitucionales.</w:t>
      </w:r>
    </w:p>
    <w:p w14:paraId="7BFA1AC4" w14:textId="77777777" w:rsidR="00DF6000" w:rsidRPr="00F75444" w:rsidRDefault="00DF6000" w:rsidP="00DF6000">
      <w:pPr>
        <w:ind w:left="720"/>
        <w:contextualSpacing/>
        <w:rPr>
          <w:rFonts w:ascii="Palatino Linotype" w:eastAsia="Palatino Linotype" w:hAnsi="Palatino Linotype" w:cs="Palatino Linotype"/>
        </w:rPr>
      </w:pPr>
    </w:p>
    <w:p w14:paraId="44E1BA1A"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rPr>
      </w:pPr>
      <w:r w:rsidRPr="00F75444">
        <w:rPr>
          <w:rFonts w:ascii="Palatino Linotype" w:eastAsia="Palatino Linotype" w:hAnsi="Palatino Linotype" w:cs="Palatino Linotype"/>
        </w:rPr>
        <w:t xml:space="preserve">En </w:t>
      </w:r>
      <w:r w:rsidRPr="00F75444">
        <w:rPr>
          <w:rFonts w:ascii="Palatino Linotype" w:eastAsia="Palatino Linotype" w:hAnsi="Palatino Linotype" w:cs="Palatino Linotype"/>
          <w:szCs w:val="28"/>
        </w:rPr>
        <w:t>términos</w:t>
      </w:r>
      <w:r w:rsidRPr="00F75444">
        <w:rPr>
          <w:rFonts w:ascii="Palatino Linotype" w:eastAsia="Palatino Linotype" w:hAnsi="Palatino Linotype" w:cs="Palatino Linotype"/>
        </w:rPr>
        <w:t xml:space="preserve"> de lo expuesto, la documentación y aquellos datos que se consideren confidenciales, serán una limitante del derecho de acceso a la información, siempre y cuando:</w:t>
      </w:r>
    </w:p>
    <w:p w14:paraId="6FC91B88" w14:textId="77777777" w:rsidR="00DF6000" w:rsidRPr="00F75444" w:rsidRDefault="00DF6000" w:rsidP="00DF6000">
      <w:pPr>
        <w:spacing w:line="360" w:lineRule="auto"/>
        <w:ind w:left="567" w:right="60"/>
        <w:jc w:val="both"/>
        <w:rPr>
          <w:rFonts w:ascii="Palatino Linotype" w:eastAsia="Palatino Linotype" w:hAnsi="Palatino Linotype" w:cs="Palatino Linotype"/>
        </w:rPr>
      </w:pPr>
      <w:r w:rsidRPr="00F75444">
        <w:rPr>
          <w:rFonts w:ascii="Palatino Linotype" w:eastAsia="Palatino Linotype" w:hAnsi="Palatino Linotype" w:cs="Palatino Linotype"/>
          <w:b/>
        </w:rPr>
        <w:t xml:space="preserve">a) </w:t>
      </w:r>
      <w:r w:rsidRPr="00F75444">
        <w:rPr>
          <w:rFonts w:ascii="Palatino Linotype" w:eastAsia="Palatino Linotype" w:hAnsi="Palatino Linotype" w:cs="Palatino Linotype"/>
        </w:rPr>
        <w:t>Se trate de datos personales; esto es, información concerniente a una persona física y que ésta sea identificada o identificable.</w:t>
      </w:r>
    </w:p>
    <w:p w14:paraId="11322393" w14:textId="77777777" w:rsidR="00DF6000" w:rsidRPr="00F75444" w:rsidRDefault="00DF6000" w:rsidP="00DF6000">
      <w:pPr>
        <w:spacing w:line="360" w:lineRule="auto"/>
        <w:ind w:left="567" w:right="60"/>
        <w:jc w:val="both"/>
        <w:rPr>
          <w:rFonts w:ascii="Palatino Linotype" w:eastAsia="Palatino Linotype" w:hAnsi="Palatino Linotype" w:cs="Palatino Linotype"/>
        </w:rPr>
      </w:pPr>
      <w:r w:rsidRPr="00F75444">
        <w:rPr>
          <w:rFonts w:ascii="Palatino Linotype" w:eastAsia="Palatino Linotype" w:hAnsi="Palatino Linotype" w:cs="Palatino Linotype"/>
          <w:b/>
        </w:rPr>
        <w:t xml:space="preserve">b) </w:t>
      </w:r>
      <w:r w:rsidRPr="00F75444">
        <w:rPr>
          <w:rFonts w:ascii="Palatino Linotype" w:eastAsia="Palatino Linotype" w:hAnsi="Palatino Linotype" w:cs="Palatino Linotype"/>
        </w:rPr>
        <w:t>Para la difusión de los datos, se requiera el consentimiento del titular.</w:t>
      </w:r>
    </w:p>
    <w:p w14:paraId="4B8B78EC" w14:textId="77777777" w:rsidR="00DF6000" w:rsidRPr="00F75444" w:rsidRDefault="00DF6000" w:rsidP="00DF6000">
      <w:pPr>
        <w:spacing w:before="240" w:after="240" w:line="360" w:lineRule="auto"/>
        <w:contextualSpacing/>
        <w:jc w:val="both"/>
        <w:rPr>
          <w:rFonts w:ascii="Palatino Linotype" w:eastAsia="Palatino Linotype" w:hAnsi="Palatino Linotype" w:cs="Palatino Linotype"/>
        </w:rPr>
      </w:pPr>
    </w:p>
    <w:p w14:paraId="40AACA41"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rPr>
      </w:pPr>
      <w:r w:rsidRPr="00F75444">
        <w:rPr>
          <w:rFonts w:ascii="Palatino Linotype" w:eastAsia="Palatino Linotype" w:hAnsi="Palatino Linotype" w:cs="Palatino Linotype"/>
        </w:rPr>
        <w:t>En ese orden de ideas, de conformidad con el artículo 3, fracción IX de la Ley de Transparencia y Acceso a la Información Pública del Estado de México y Municipios, con relación al diverso 4° fracciones XI y XII, de la Ley de Protección de Datos Personales en Posesión de Sujetos Obligados del Estado de México y Municipios, se advierte que son datos personales, la información concerniente a una persona física identificada o identificable (</w:t>
      </w:r>
      <w:r w:rsidRPr="00F75444">
        <w:rPr>
          <w:rFonts w:ascii="Palatino Linotype" w:eastAsia="Palatino Linotype" w:hAnsi="Palatino Linotype" w:cs="Palatino Linotype"/>
          <w:i/>
        </w:rPr>
        <w:t>cuando su identidad pueda determinarse directa o indirectamente a través de cualquier documento informativo físico o electrónico</w:t>
      </w:r>
      <w:r w:rsidRPr="00F75444">
        <w:rPr>
          <w:rFonts w:ascii="Palatino Linotype" w:eastAsia="Palatino Linotype" w:hAnsi="Palatino Linotype" w:cs="Palatino Linotype"/>
        </w:rPr>
        <w:t>), establecida en cualquier formato o modalidad.</w:t>
      </w:r>
    </w:p>
    <w:p w14:paraId="731DF541" w14:textId="77777777" w:rsidR="00DF6000" w:rsidRPr="00F75444" w:rsidRDefault="00DF6000" w:rsidP="00DF6000">
      <w:pPr>
        <w:spacing w:before="240" w:after="240" w:line="360" w:lineRule="auto"/>
        <w:contextualSpacing/>
        <w:jc w:val="both"/>
        <w:rPr>
          <w:rFonts w:ascii="Palatino Linotype" w:eastAsia="Palatino Linotype" w:hAnsi="Palatino Linotype" w:cs="Palatino Linotype"/>
        </w:rPr>
      </w:pPr>
    </w:p>
    <w:p w14:paraId="5F56B00E"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rPr>
        <w:t>Además</w:t>
      </w:r>
      <w:r w:rsidRPr="00F75444">
        <w:rPr>
          <w:rFonts w:ascii="Palatino Linotype" w:eastAsia="Palatino Linotype" w:hAnsi="Palatino Linotype" w:cs="Palatino Linotype"/>
          <w:szCs w:val="28"/>
        </w:rPr>
        <w:t>, en el artículo 5° de dicho ordenamiento jurídico, establece que es la Ley aplicable para todo tratamiento de datos personales.</w:t>
      </w:r>
    </w:p>
    <w:p w14:paraId="5295EF40"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 xml:space="preserve">En ese </w:t>
      </w:r>
      <w:r w:rsidRPr="00F75444">
        <w:rPr>
          <w:rFonts w:ascii="Palatino Linotype" w:eastAsia="Palatino Linotype" w:hAnsi="Palatino Linotype" w:cs="Palatino Linotype"/>
        </w:rPr>
        <w:t>contexto</w:t>
      </w:r>
      <w:r w:rsidRPr="00F75444">
        <w:rPr>
          <w:rFonts w:ascii="Palatino Linotype" w:eastAsia="Palatino Linotype" w:hAnsi="Palatino Linotype" w:cs="Palatino Linotype"/>
          <w:szCs w:val="28"/>
        </w:rPr>
        <w:t xml:space="preserve">, los artículos 6, 7, 8 y 14 de la Ley de Protección de Datos Personales en Posesión de Sujetos Obligados del Estado de México y Municipios disponen que los responsables del tratamiento de datos personales, deben observar los principios de licitud, </w:t>
      </w:r>
      <w:r w:rsidRPr="00F75444">
        <w:rPr>
          <w:rFonts w:ascii="Palatino Linotype" w:eastAsia="Palatino Linotype" w:hAnsi="Palatino Linotype" w:cs="Palatino Linotype"/>
          <w:szCs w:val="28"/>
        </w:rPr>
        <w:lastRenderedPageBreak/>
        <w:t>consentimiento, información, calidad, lealtad, finalidad, proporcionalidad y responsabilidad; además, que dicho tratamiento deberá obedecer exclusivamente a sus atribuciones legales y con el consentimiento de su titular, además de que debe estar justificado en ley (</w:t>
      </w:r>
      <w:r w:rsidRPr="00F75444">
        <w:rPr>
          <w:rFonts w:ascii="Palatino Linotype" w:eastAsia="Palatino Linotype" w:hAnsi="Palatino Linotype" w:cs="Palatino Linotype"/>
          <w:i/>
          <w:szCs w:val="28"/>
        </w:rPr>
        <w:t>principio de finalidad</w:t>
      </w:r>
      <w:r w:rsidRPr="00F75444">
        <w:rPr>
          <w:rFonts w:ascii="Palatino Linotype" w:eastAsia="Palatino Linotype" w:hAnsi="Palatino Linotype" w:cs="Palatino Linotype"/>
          <w:szCs w:val="28"/>
        </w:rPr>
        <w:t>).</w:t>
      </w:r>
    </w:p>
    <w:p w14:paraId="5D085984" w14:textId="77777777" w:rsidR="00DF6000" w:rsidRPr="00F75444" w:rsidRDefault="00DF6000" w:rsidP="00DF6000">
      <w:pPr>
        <w:ind w:left="720"/>
        <w:contextualSpacing/>
        <w:rPr>
          <w:rFonts w:ascii="Palatino Linotype" w:eastAsia="Palatino Linotype" w:hAnsi="Palatino Linotype" w:cs="Palatino Linotype"/>
          <w:szCs w:val="28"/>
        </w:rPr>
      </w:pPr>
    </w:p>
    <w:p w14:paraId="245F130B"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Así,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14:paraId="6E6A4AA9" w14:textId="77777777" w:rsidR="00DF6000" w:rsidRPr="00F75444" w:rsidRDefault="00DF6000" w:rsidP="00DF6000">
      <w:pPr>
        <w:ind w:left="720"/>
        <w:contextualSpacing/>
        <w:rPr>
          <w:rFonts w:ascii="Palatino Linotype" w:eastAsia="Palatino Linotype" w:hAnsi="Palatino Linotype" w:cs="Palatino Linotype"/>
          <w:szCs w:val="28"/>
        </w:rPr>
      </w:pPr>
    </w:p>
    <w:p w14:paraId="7EBF2209"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En este contexto, la confidencialidad de los datos personales, tiene por objetivo establecer el límite del derecho de acceso a la información a partir del derecho a la intimidad y la vida privada de los individuos.</w:t>
      </w:r>
    </w:p>
    <w:p w14:paraId="0589C229" w14:textId="77777777" w:rsidR="00DF6000" w:rsidRPr="00F75444" w:rsidRDefault="00DF6000" w:rsidP="00DF6000">
      <w:pPr>
        <w:ind w:left="720"/>
        <w:contextualSpacing/>
        <w:rPr>
          <w:rFonts w:ascii="Palatino Linotype" w:eastAsia="Palatino Linotype" w:hAnsi="Palatino Linotype" w:cs="Palatino Linotype"/>
          <w:szCs w:val="28"/>
        </w:rPr>
      </w:pPr>
    </w:p>
    <w:p w14:paraId="10EA615C"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De tal suerte, las instituciones públicas tienen la doble responsabilidad, por un lado, de proteger los datos personales y por otro, darle publicidad aquella información de relevancia que sea de interés público.</w:t>
      </w:r>
    </w:p>
    <w:p w14:paraId="0AA5BE52" w14:textId="77777777" w:rsidR="00DF6000" w:rsidRPr="00F75444" w:rsidRDefault="00DF6000" w:rsidP="00DF6000">
      <w:pPr>
        <w:ind w:left="720"/>
        <w:contextualSpacing/>
        <w:rPr>
          <w:rFonts w:ascii="Palatino Linotype" w:eastAsia="Palatino Linotype" w:hAnsi="Palatino Linotype" w:cs="Palatino Linotype"/>
          <w:szCs w:val="28"/>
        </w:rPr>
      </w:pPr>
    </w:p>
    <w:p w14:paraId="13831699"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En este orden de ideas, toda la información que transparente la gestión pública, favorezca la rendición de cuentas y contribuya a la democratización del Estado Mexicano es, sin excepción, de naturaleza pública; sin embargo, la información esta necesariamente vinculada con datos personales, los cuales deben ser protegidos.</w:t>
      </w:r>
    </w:p>
    <w:p w14:paraId="2706B803" w14:textId="77777777" w:rsidR="00DF6000" w:rsidRPr="00F75444" w:rsidRDefault="00DF6000" w:rsidP="00DF6000">
      <w:pPr>
        <w:ind w:left="720"/>
        <w:contextualSpacing/>
        <w:rPr>
          <w:rFonts w:ascii="Palatino Linotype" w:eastAsia="Palatino Linotype" w:hAnsi="Palatino Linotype" w:cs="Palatino Linotype"/>
          <w:szCs w:val="28"/>
        </w:rPr>
      </w:pPr>
    </w:p>
    <w:p w14:paraId="47CE090E"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lastRenderedPageBreak/>
        <w:t>Por otro lado, cuando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14:paraId="463E403E" w14:textId="77777777" w:rsidR="00DF6000" w:rsidRPr="00F75444" w:rsidRDefault="00DF6000" w:rsidP="00DF6000">
      <w:pPr>
        <w:ind w:left="720"/>
        <w:contextualSpacing/>
        <w:rPr>
          <w:rFonts w:ascii="Palatino Linotype" w:eastAsia="Palatino Linotype" w:hAnsi="Palatino Linotype" w:cs="Palatino Linotype"/>
        </w:rPr>
      </w:pPr>
    </w:p>
    <w:p w14:paraId="5D33626A"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En tales circunstancias, se considera que en la especie proporcionar el nombre, cargo y área de adscripción de los Servidores Públicos absueltos,</w:t>
      </w:r>
      <w:r w:rsidRPr="00F75444">
        <w:rPr>
          <w:rFonts w:ascii="Palatino Linotype" w:eastAsia="Palatino Linotype" w:hAnsi="Palatino Linotype" w:cs="Palatino Linotype"/>
          <w:b/>
          <w:szCs w:val="28"/>
        </w:rPr>
        <w:t xml:space="preserve"> </w:t>
      </w:r>
      <w:r w:rsidRPr="00F75444">
        <w:rPr>
          <w:rFonts w:ascii="Palatino Linotype" w:eastAsia="Palatino Linotype" w:hAnsi="Palatino Linotype" w:cs="Palatino Linotype"/>
          <w:szCs w:val="28"/>
        </w:rPr>
        <w:t>en caso de que existieran, podría afectar su honor, buen nombre y su imagen.</w:t>
      </w:r>
    </w:p>
    <w:p w14:paraId="175358D3" w14:textId="77777777" w:rsidR="00DF6000" w:rsidRPr="00F75444" w:rsidRDefault="00DF6000" w:rsidP="00DF6000">
      <w:pPr>
        <w:spacing w:before="240" w:after="240" w:line="360" w:lineRule="auto"/>
        <w:contextualSpacing/>
        <w:jc w:val="both"/>
        <w:rPr>
          <w:rFonts w:ascii="Palatino Linotype" w:eastAsia="Palatino Linotype" w:hAnsi="Palatino Linotype" w:cs="Palatino Linotype"/>
          <w:szCs w:val="28"/>
        </w:rPr>
      </w:pPr>
    </w:p>
    <w:p w14:paraId="738341BC"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Asimismo, el derecho a la propia imagen es el derecho de decidir, de forma libre, sobre la manera en que elige mostrarse frente a los demás.</w:t>
      </w:r>
    </w:p>
    <w:p w14:paraId="0D7DB426" w14:textId="77777777" w:rsidR="00DF6000" w:rsidRPr="00F75444" w:rsidRDefault="00DF6000" w:rsidP="00DF6000">
      <w:pPr>
        <w:ind w:left="720"/>
        <w:contextualSpacing/>
        <w:rPr>
          <w:rFonts w:ascii="Palatino Linotype" w:eastAsia="Palatino Linotype" w:hAnsi="Palatino Linotype" w:cs="Palatino Linotype"/>
          <w:szCs w:val="28"/>
        </w:rPr>
      </w:pPr>
    </w:p>
    <w:p w14:paraId="2A74CA2E"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Por otro lado, en cuanto al derecho al honor, la jurisprudencia número 1a./J. 118/2013 (10a.), emitida por la Primera Sala de la Suprema Corte de Justicia de la Nación, publicada en la Gaceta del Semanario Judicial de la Federación, Tomo I, Libro 3, de febrero de 2014, página 470, de la Décima Época, materia constitucional, dispone:</w:t>
      </w:r>
    </w:p>
    <w:p w14:paraId="2425B518" w14:textId="77777777" w:rsidR="00DF6000" w:rsidRPr="00F75444" w:rsidRDefault="00DF6000" w:rsidP="00DF6000">
      <w:pPr>
        <w:spacing w:before="120" w:after="120"/>
        <w:ind w:left="567" w:right="862"/>
        <w:jc w:val="both"/>
        <w:rPr>
          <w:rFonts w:ascii="Palatino Linotype" w:eastAsia="Palatino Linotype" w:hAnsi="Palatino Linotype" w:cs="Palatino Linotype"/>
          <w:i/>
        </w:rPr>
      </w:pPr>
      <w:r w:rsidRPr="00F75444">
        <w:rPr>
          <w:rFonts w:ascii="Palatino Linotype" w:eastAsia="Palatino Linotype" w:hAnsi="Palatino Linotype" w:cs="Palatino Linotype"/>
          <w:i/>
        </w:rPr>
        <w:t>“</w:t>
      </w:r>
      <w:r w:rsidRPr="00F75444">
        <w:rPr>
          <w:rFonts w:ascii="Palatino Linotype" w:eastAsia="Palatino Linotype" w:hAnsi="Palatino Linotype" w:cs="Palatino Linotype"/>
          <w:b/>
          <w:i/>
        </w:rPr>
        <w:t xml:space="preserve">DERECHO FUNDAMENTAL AL HONOR. SU DIMENSIÓN SUBJETIVA Y OBJETIVA. </w:t>
      </w:r>
      <w:r w:rsidRPr="00F75444">
        <w:rPr>
          <w:rFonts w:ascii="Palatino Linotype" w:eastAsia="Palatino Linotype" w:hAnsi="Palatino Linotype" w:cs="Palatino Linotype"/>
          <w:i/>
        </w:rPr>
        <w:t xml:space="preserve">A juicio de esta Primera Sala de la Suprema Corte de Justicia de la Nación, es posible definir al honor como el </w:t>
      </w:r>
      <w:r w:rsidRPr="00F75444">
        <w:rPr>
          <w:rFonts w:ascii="Palatino Linotype" w:eastAsia="Palatino Linotype" w:hAnsi="Palatino Linotype" w:cs="Palatino Linotype"/>
          <w:b/>
          <w:i/>
        </w:rPr>
        <w:t>concepto que la persona tiene de sí misma o que los demás se han formado de ella, en virtud de su proceder o de la expresión de su calidad ética y social.</w:t>
      </w:r>
      <w:r w:rsidRPr="00F75444">
        <w:rPr>
          <w:rFonts w:ascii="Palatino Linotype" w:eastAsia="Palatino Linotype" w:hAnsi="Palatino Linotype" w:cs="Palatino Linotype"/>
          <w:i/>
        </w:rPr>
        <w:t xml:space="preserve"> Todo individuo, al vivir en sociedad, tiene el derecho de ser respetado y considerado y, correlativamente, tiene la obligación de respetar a aquellos que lo rodean. En el campo jurídico esta necesidad se traduce en un derecho </w:t>
      </w:r>
      <w:r w:rsidRPr="00F75444">
        <w:rPr>
          <w:rFonts w:ascii="Palatino Linotype" w:eastAsia="Palatino Linotype" w:hAnsi="Palatino Linotype" w:cs="Palatino Linotype"/>
          <w:i/>
        </w:rPr>
        <w:lastRenderedPageBreak/>
        <w:t>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55A12C70" w14:textId="77777777" w:rsidR="00DF6000" w:rsidRPr="00F75444" w:rsidRDefault="00DF6000" w:rsidP="00DF6000">
      <w:pPr>
        <w:spacing w:before="240" w:after="240" w:line="360" w:lineRule="auto"/>
        <w:contextualSpacing/>
        <w:jc w:val="both"/>
        <w:rPr>
          <w:rFonts w:ascii="Palatino Linotype" w:eastAsia="Palatino Linotype" w:hAnsi="Palatino Linotype" w:cs="Palatino Linotype"/>
        </w:rPr>
      </w:pPr>
    </w:p>
    <w:p w14:paraId="2332B2E9"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De la tesis transcrita se desprende que el honor es el concepto que la persona tiene de sí misma o que los demás se han formado de ella, en virtud de su proceder o de la expresión de su calidad ética y social.</w:t>
      </w:r>
    </w:p>
    <w:p w14:paraId="6B064F89" w14:textId="77777777" w:rsidR="00DF6000" w:rsidRPr="00F75444" w:rsidRDefault="00DF6000" w:rsidP="00DF6000">
      <w:pPr>
        <w:spacing w:before="240" w:after="240" w:line="360" w:lineRule="auto"/>
        <w:contextualSpacing/>
        <w:jc w:val="both"/>
        <w:rPr>
          <w:rFonts w:ascii="Palatino Linotype" w:eastAsia="Palatino Linotype" w:hAnsi="Palatino Linotype" w:cs="Palatino Linotype"/>
          <w:szCs w:val="28"/>
        </w:rPr>
      </w:pPr>
    </w:p>
    <w:p w14:paraId="6C263221"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En el campo jurídico, es un derecho humano que involucra la facultad de cada individuo de ser tratado de forma decorosa. Este derecho tiene dos elementos, el subjetivo, que se basa en un sentimiento íntimo que se exterioriza por la afirmación que la persona hace de su propia dignidad, y en un sentimiento objetivo, que es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w:t>
      </w:r>
    </w:p>
    <w:p w14:paraId="01B7C03B"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Adicionalmente, en relación a este derecho [</w:t>
      </w:r>
      <w:r w:rsidRPr="00F75444">
        <w:rPr>
          <w:rFonts w:ascii="Palatino Linotype" w:eastAsia="Palatino Linotype" w:hAnsi="Palatino Linotype" w:cs="Palatino Linotype"/>
          <w:i/>
          <w:szCs w:val="28"/>
        </w:rPr>
        <w:t>al honor</w:t>
      </w:r>
      <w:r w:rsidRPr="00F75444">
        <w:rPr>
          <w:rFonts w:ascii="Palatino Linotype" w:eastAsia="Palatino Linotype" w:hAnsi="Palatino Linotype" w:cs="Palatino Linotype"/>
          <w:szCs w:val="28"/>
        </w:rPr>
        <w:t xml:space="preserve">], el máximo tribunal también ha señalado que aunque no esté expresamente contenido en la Carta Magna, ésta obliga su tutela en términos de lo previsto en el artículo 1° Constitucional, como se muestra en la tesis aislada </w:t>
      </w:r>
      <w:r w:rsidRPr="00F75444">
        <w:rPr>
          <w:rFonts w:ascii="Palatino Linotype" w:eastAsia="Palatino Linotype" w:hAnsi="Palatino Linotype" w:cs="Palatino Linotype"/>
          <w:szCs w:val="28"/>
        </w:rPr>
        <w:lastRenderedPageBreak/>
        <w:t>número I.5o.C.4 K (10a.), emitida por Tribunales Colegiados de Circuito, publicada en el Semanario Judicial de la Federación y su Gaceta, Tomo 2, Libro XXI, de junio de 2013, página 1258, de la Décima Época, materia constitucional, de rubro y texto siguiente:</w:t>
      </w:r>
    </w:p>
    <w:p w14:paraId="64541789" w14:textId="77777777" w:rsidR="00DF6000" w:rsidRPr="00F75444" w:rsidRDefault="00DF6000" w:rsidP="00DF6000">
      <w:pPr>
        <w:spacing w:before="120" w:after="120"/>
        <w:ind w:left="567" w:right="862"/>
        <w:jc w:val="both"/>
        <w:rPr>
          <w:rFonts w:ascii="Palatino Linotype" w:eastAsia="Palatino Linotype" w:hAnsi="Palatino Linotype" w:cs="Palatino Linotype"/>
          <w:b/>
          <w:i/>
        </w:rPr>
      </w:pPr>
      <w:r w:rsidRPr="00F75444">
        <w:rPr>
          <w:rFonts w:ascii="Palatino Linotype" w:eastAsia="Palatino Linotype" w:hAnsi="Palatino Linotype" w:cs="Palatino Linotype"/>
          <w:i/>
        </w:rPr>
        <w:t>“</w:t>
      </w:r>
      <w:r w:rsidRPr="00F75444">
        <w:rPr>
          <w:rFonts w:ascii="Palatino Linotype" w:eastAsia="Palatino Linotype" w:hAnsi="Palatino Linotype" w:cs="Palatino Linotype"/>
          <w:b/>
          <w:i/>
        </w:rPr>
        <w:t xml:space="preserve">DERECHOS AL HONOR, A LA INTIMIDAD Y A LA PROPIA IMAGEN. CONSTITUYEN DERECHOS HUMANOS QUE SE PROTEGEN A TRAVÉS DEL ACTUAL MARCO CONSTITUCIONAL. </w:t>
      </w:r>
      <w:r w:rsidRPr="00F75444">
        <w:rPr>
          <w:rFonts w:ascii="Palatino Linotype" w:eastAsia="Palatino Linotype" w:hAnsi="Palatino Linotype" w:cs="Palatino Linotype"/>
          <w:i/>
        </w:rPr>
        <w:t xml:space="preserve">Si conforme a las características que conforman a los derechos humanos, éstos no recaen sobre cosas materiales, sino que otorgan acción para lograr que el Estado respete los derechos garantizados, y se consideran esenciales e inherentes al ser humano y derivados de su propia naturaleza, resulta lógico que los atributos de la personalidad se enlacen directamente con tales derechos, pues los mencionados atributos tienen una coincidencia con las libertades protegidas por los derechos del hombre como son los concernientes al honor, a la intimidad y a la propia imagen que constituyen derechos subjetivos del ser humano, en tanto que son inseparables de su titular, quien nace con ellos, y el Estado debe reconocerlos. Como no recaen sobre bienes materiales, sino sobre la personalidad de los individuos, son generales porque corresponden a todos los seres humanos, y no pueden considerarse renunciables, transmisibles o prescriptibles, porque son inherentes a la persona misma, es decir, son intrínsecos al sujeto quien no puede vivir sin ellos. Ahora, del contenido expreso del artículo 1o. constitucional se advierte que nuestro país actualmente adopta una protección amplia de los derechos humanos, mediante el reconocimiento claro del principio pro personae, como rector de la interpretación y aplicación de las normas jurídicas, en aquellas que favorezcan y brinden mayor protección a las personas, aunado a que también precisa de manera clara la obligación de observar los tratados internacionales firmados por el Estado Mexicano al momento de aplicar e interpretar las normas jurídicas en las que se vea involucrado este tipo de derechos, como son los señalados atributos de la personalidad conforme a la Convención Americana sobre Derechos Humanos y el Pacto Internacional de Derechos Civiles y Políticos, y en casos en los que se involucra la posible afectación por daño moral de un atributo de la personalidad -en su vertiente del derecho al honor- debe aplicarse la tutela y protección consagrada en los principios reconocidos al efecto en nuestra Carta </w:t>
      </w:r>
      <w:r w:rsidRPr="00F75444">
        <w:rPr>
          <w:rFonts w:ascii="Palatino Linotype" w:eastAsia="Palatino Linotype" w:hAnsi="Palatino Linotype" w:cs="Palatino Linotype"/>
          <w:i/>
        </w:rPr>
        <w:lastRenderedPageBreak/>
        <w:t>Magna, con independencia de que no exista una referencia expresa en el texto constitucional hacia la salvaguarda concreta del citado atributo, pues la obligación de protección deriva de disposiciones contenidas en dos tipos de ordenamientos superiores -Constitución y tratados internacionales- con los que cuenta el Estado Mexicano.”</w:t>
      </w:r>
      <w:r w:rsidRPr="00F75444">
        <w:rPr>
          <w:rFonts w:ascii="Palatino Linotype" w:eastAsia="Palatino Linotype" w:hAnsi="Palatino Linotype" w:cs="Palatino Linotype"/>
          <w:b/>
          <w:i/>
        </w:rPr>
        <w:t xml:space="preserve"> </w:t>
      </w:r>
    </w:p>
    <w:p w14:paraId="0917D123" w14:textId="77777777" w:rsidR="00DF6000" w:rsidRPr="00F75444" w:rsidRDefault="00DF6000" w:rsidP="00DF6000">
      <w:pPr>
        <w:spacing w:before="240" w:after="240" w:line="360" w:lineRule="auto"/>
        <w:contextualSpacing/>
        <w:jc w:val="both"/>
        <w:rPr>
          <w:rFonts w:ascii="Palatino Linotype" w:eastAsia="Palatino Linotype" w:hAnsi="Palatino Linotype" w:cs="Palatino Linotype"/>
        </w:rPr>
      </w:pPr>
    </w:p>
    <w:p w14:paraId="71BEE170"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Asimismo, el artículo 12 de la Declaración Universal de los Derechos Humanos</w:t>
      </w:r>
      <w:r w:rsidRPr="00F75444">
        <w:rPr>
          <w:rFonts w:ascii="Palatino Linotype" w:eastAsia="Palatino Linotype" w:hAnsi="Palatino Linotype" w:cs="Palatino Linotype"/>
          <w:i/>
          <w:szCs w:val="28"/>
        </w:rPr>
        <w:t xml:space="preserve"> </w:t>
      </w:r>
      <w:r w:rsidRPr="00F75444">
        <w:rPr>
          <w:rFonts w:ascii="Palatino Linotype" w:eastAsia="Palatino Linotype" w:hAnsi="Palatino Linotype" w:cs="Palatino Linotype"/>
          <w:szCs w:val="28"/>
        </w:rPr>
        <w:t>prevé que nadie será objeto de injerencias arbitrarias en su vida privada, su familia, su domicilio o su correspondencia, ni de ataques a su honra o a su reputación. Toda persona tiene derecho a la protección de la ley contra tales injerencias o ataques.</w:t>
      </w:r>
    </w:p>
    <w:p w14:paraId="42DB6898" w14:textId="77777777" w:rsidR="00DF6000" w:rsidRPr="00F75444" w:rsidRDefault="00DF6000" w:rsidP="00DF6000">
      <w:pPr>
        <w:spacing w:line="360" w:lineRule="auto"/>
        <w:ind w:right="-929"/>
        <w:jc w:val="both"/>
        <w:rPr>
          <w:rFonts w:ascii="Palatino Linotype" w:eastAsia="Palatino Linotype" w:hAnsi="Palatino Linotype" w:cs="Palatino Linotype"/>
          <w:szCs w:val="28"/>
        </w:rPr>
      </w:pPr>
    </w:p>
    <w:p w14:paraId="76486010"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de ataques ilegales a su honra o reputación; y que toda persona tiene derecho a la protección de la ley contra esas injerencias o esos ataques.</w:t>
      </w:r>
    </w:p>
    <w:p w14:paraId="519A45A4" w14:textId="77777777" w:rsidR="00DF6000" w:rsidRPr="00F75444" w:rsidRDefault="00DF6000" w:rsidP="00DF6000">
      <w:pPr>
        <w:ind w:left="720"/>
        <w:contextualSpacing/>
        <w:rPr>
          <w:rFonts w:ascii="Palatino Linotype" w:eastAsia="Palatino Linotype" w:hAnsi="Palatino Linotype" w:cs="Palatino Linotype"/>
          <w:szCs w:val="28"/>
        </w:rPr>
      </w:pPr>
    </w:p>
    <w:p w14:paraId="266E79EC"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Finalmente, el artículo 17 del Pacto Internacional de los Derechos Civiles y Políticos señala que nadie será objeto de injerencias arbitrarias o ilegales en su vida privada, su familia, su domicilio o su correspondencia, ni de ataques ilegales a su honra y reputación; y que toda persona tiene derecho a la protección de la ley contra esas injerencias o esos ataques.</w:t>
      </w:r>
    </w:p>
    <w:p w14:paraId="7748284D" w14:textId="77777777" w:rsidR="00DF6000" w:rsidRPr="00F75444" w:rsidRDefault="00DF6000" w:rsidP="00DF6000">
      <w:pPr>
        <w:ind w:left="720"/>
        <w:contextualSpacing/>
        <w:rPr>
          <w:rFonts w:ascii="Palatino Linotype" w:eastAsia="Palatino Linotype" w:hAnsi="Palatino Linotype" w:cs="Palatino Linotype"/>
          <w:szCs w:val="28"/>
        </w:rPr>
      </w:pPr>
    </w:p>
    <w:p w14:paraId="263EFC73"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 xml:space="preserve">Por lo expuesto, se desprende que dar a conocer los nombres, cargos y áreas de adscripción de los </w:t>
      </w:r>
      <w:r w:rsidRPr="00F75444">
        <w:rPr>
          <w:rFonts w:ascii="Palatino Linotype" w:eastAsia="Palatino Linotype" w:hAnsi="Palatino Linotype" w:cs="Palatino Linotype"/>
          <w:b/>
          <w:szCs w:val="28"/>
        </w:rPr>
        <w:t>servidores públicos absueltos</w:t>
      </w:r>
      <w:r w:rsidRPr="00F75444">
        <w:rPr>
          <w:rFonts w:ascii="Palatino Linotype" w:eastAsia="Palatino Linotype" w:hAnsi="Palatino Linotype" w:cs="Palatino Linotype"/>
          <w:szCs w:val="28"/>
        </w:rPr>
        <w:t xml:space="preserve">, en su caso que existan, constituyen información confidencial que afecta su esfera privada, puesto que podría generar una </w:t>
      </w:r>
      <w:r w:rsidRPr="00F75444">
        <w:rPr>
          <w:rFonts w:ascii="Palatino Linotype" w:eastAsia="Palatino Linotype" w:hAnsi="Palatino Linotype" w:cs="Palatino Linotype"/>
          <w:szCs w:val="28"/>
        </w:rPr>
        <w:lastRenderedPageBreak/>
        <w:t>percepción negativa de éste, ocasionando un perjuicio en su honor, intimidad y buena imagen, pues como se precisó la afectación es para el propio servidor público, situación que no afecta a terceros.</w:t>
      </w:r>
    </w:p>
    <w:p w14:paraId="59677F99" w14:textId="77777777" w:rsidR="00DF6000" w:rsidRPr="00F75444" w:rsidRDefault="00DF6000" w:rsidP="00DF6000">
      <w:pPr>
        <w:ind w:left="720"/>
        <w:contextualSpacing/>
        <w:rPr>
          <w:rFonts w:ascii="Palatino Linotype" w:eastAsia="Palatino Linotype" w:hAnsi="Palatino Linotype" w:cs="Palatino Linotype"/>
          <w:szCs w:val="28"/>
        </w:rPr>
      </w:pPr>
    </w:p>
    <w:p w14:paraId="7296F6C8" w14:textId="77777777" w:rsidR="00DF6000" w:rsidRPr="00F75444" w:rsidRDefault="00DF6000" w:rsidP="00DF6000">
      <w:pPr>
        <w:numPr>
          <w:ilvl w:val="0"/>
          <w:numId w:val="3"/>
        </w:numPr>
        <w:spacing w:line="360" w:lineRule="auto"/>
        <w:ind w:left="0" w:right="-929" w:firstLine="0"/>
        <w:jc w:val="both"/>
        <w:rPr>
          <w:rFonts w:ascii="Palatino Linotype" w:eastAsia="Palatino Linotype" w:hAnsi="Palatino Linotype" w:cs="Palatino Linotype"/>
          <w:szCs w:val="28"/>
        </w:rPr>
      </w:pPr>
      <w:r w:rsidRPr="00F75444">
        <w:rPr>
          <w:rFonts w:ascii="Palatino Linotype" w:eastAsia="Palatino Linotype" w:hAnsi="Palatino Linotype" w:cs="Palatino Linotype"/>
          <w:szCs w:val="28"/>
        </w:rPr>
        <w:t xml:space="preserve">Asimismo, dar a conocer el nombre y cargo del servidor público que no haya recibido una sanción por una supuesta responsabilidad que no se comprobó, la cual no causa una afectación a otros, como se precisó en párrafos anteriores, podría generar un juicio </w:t>
      </w:r>
      <w:r w:rsidRPr="00F75444">
        <w:rPr>
          <w:rFonts w:ascii="Palatino Linotype" w:eastAsia="Palatino Linotype" w:hAnsi="Palatino Linotype" w:cs="Palatino Linotype"/>
          <w:i/>
          <w:szCs w:val="28"/>
        </w:rPr>
        <w:t>a priori</w:t>
      </w:r>
      <w:r w:rsidRPr="00F75444">
        <w:rPr>
          <w:rFonts w:ascii="Palatino Linotype" w:eastAsia="Palatino Linotype" w:hAnsi="Palatino Linotype" w:cs="Palatino Linotype"/>
          <w:szCs w:val="28"/>
        </w:rPr>
        <w:t xml:space="preserve"> por parte de la sociedad, afectando su prestigio y su buen nombre, pues la sociedad podría calificar de manera negativa a dicho servidor público, o hacerlo sujeto a ofensas, lo cual daña su vida privada y profesional, mismas que forman parte de su intimidad; por lo que se concluye que dicha información, en caso que existiera, tiene el carácter de confidencial.</w:t>
      </w:r>
    </w:p>
    <w:p w14:paraId="24864D92" w14:textId="77777777" w:rsidR="00DF6000" w:rsidRPr="00F75444" w:rsidRDefault="00DF6000" w:rsidP="00DF6000">
      <w:pPr>
        <w:tabs>
          <w:tab w:val="left" w:pos="709"/>
        </w:tabs>
        <w:spacing w:line="360" w:lineRule="auto"/>
        <w:jc w:val="both"/>
        <w:rPr>
          <w:rFonts w:ascii="Palatino Linotype" w:eastAsia="Times New Roman" w:hAnsi="Palatino Linotype" w:cs="Times New Roman"/>
        </w:rPr>
      </w:pPr>
    </w:p>
    <w:p w14:paraId="4F5A97B4" w14:textId="77777777" w:rsidR="00DF6000" w:rsidRPr="00F75444" w:rsidRDefault="00DF6000" w:rsidP="00DF6000">
      <w:pPr>
        <w:numPr>
          <w:ilvl w:val="0"/>
          <w:numId w:val="3"/>
        </w:numPr>
        <w:spacing w:line="360" w:lineRule="auto"/>
        <w:ind w:left="0" w:right="-929" w:firstLine="0"/>
        <w:jc w:val="both"/>
        <w:rPr>
          <w:rFonts w:ascii="Palatino Linotype" w:eastAsia="Times New Roman" w:hAnsi="Palatino Linotype" w:cs="Times New Roman"/>
        </w:rPr>
      </w:pPr>
      <w:r w:rsidRPr="00F75444">
        <w:rPr>
          <w:rFonts w:ascii="Palatino Linotype" w:eastAsia="Times New Roman" w:hAnsi="Palatino Linotype" w:cs="Times New Roman"/>
        </w:rPr>
        <w:t xml:space="preserve">Acotado lo anterior, se destaca </w:t>
      </w:r>
      <w:r w:rsidRPr="00F75444">
        <w:rPr>
          <w:rFonts w:ascii="Palatino Linotype" w:eastAsia="Palatino Linotype" w:hAnsi="Palatino Linotype" w:cs="Palatino Linotype"/>
          <w:szCs w:val="28"/>
        </w:rPr>
        <w:t>que</w:t>
      </w:r>
      <w:r w:rsidRPr="00F75444">
        <w:rPr>
          <w:rFonts w:ascii="Palatino Linotype" w:eastAsia="Times New Roman" w:hAnsi="Palatino Linotype" w:cs="Times New Roman"/>
        </w:rPr>
        <w:t xml:space="preserve">, si bien es cierto para el caso de las quejas, denuncias y sugerencias que formen parte de procedimientos de </w:t>
      </w:r>
      <w:r w:rsidRPr="00F75444">
        <w:rPr>
          <w:rFonts w:ascii="Palatino Linotype" w:eastAsia="Times New Roman" w:hAnsi="Palatino Linotype" w:cs="Times New Roman"/>
          <w:b/>
          <w:u w:val="single"/>
        </w:rPr>
        <w:t>sanciones graves absolutorias, concluidos</w:t>
      </w:r>
      <w:r w:rsidRPr="00F75444">
        <w:rPr>
          <w:rFonts w:ascii="Palatino Linotype" w:eastAsia="Times New Roman" w:hAnsi="Palatino Linotype" w:cs="Times New Roman"/>
        </w:rPr>
        <w:t xml:space="preserve">, procederá a su acceso en </w:t>
      </w:r>
      <w:r w:rsidRPr="00F75444">
        <w:rPr>
          <w:rFonts w:ascii="Palatino Linotype" w:eastAsia="Times New Roman" w:hAnsi="Palatino Linotype" w:cs="Times New Roman"/>
          <w:i/>
        </w:rPr>
        <w:t>versión pública</w:t>
      </w:r>
      <w:r w:rsidRPr="00F75444">
        <w:rPr>
          <w:rFonts w:ascii="Palatino Linotype" w:eastAsia="Times New Roman" w:hAnsi="Palatino Linotype" w:cs="Times New Roman"/>
        </w:rPr>
        <w:t xml:space="preserve">, </w:t>
      </w:r>
      <w:r w:rsidRPr="00F75444">
        <w:rPr>
          <w:rFonts w:ascii="Palatino Linotype" w:eastAsia="Times New Roman" w:hAnsi="Palatino Linotype" w:cs="Times New Roman"/>
          <w:b/>
          <w:u w:val="single"/>
        </w:rPr>
        <w:t>protegiendo el nombre, cargo y área de adscripción de los Servidores Públicos absuelto</w:t>
      </w:r>
      <w:r w:rsidRPr="00F75444">
        <w:rPr>
          <w:rFonts w:ascii="Palatino Linotype" w:eastAsia="Times New Roman" w:hAnsi="Palatino Linotype" w:cs="Times New Roman"/>
        </w:rPr>
        <w:t xml:space="preserve"> y aquellos datos personales que hagan identificable a una persona, toda vez que la información solicitada, se relaciona con servidores públicos en específico, los cuales al no haber recibido alguna sanción por posibles responsabilidades, se procede a clasificar como confidencial el nombre y cargo del servidor público, al poder causar un perjuicio a la vida privada de estos.</w:t>
      </w:r>
    </w:p>
    <w:p w14:paraId="617AC109" w14:textId="77777777" w:rsidR="00DF6000" w:rsidRPr="00F75444" w:rsidRDefault="00DF6000" w:rsidP="00DF6000">
      <w:pPr>
        <w:rPr>
          <w:rFonts w:ascii="Palatino Linotype" w:eastAsia="Times New Roman" w:hAnsi="Palatino Linotype" w:cs="Times New Roman"/>
        </w:rPr>
      </w:pPr>
    </w:p>
    <w:p w14:paraId="3D4C5EA5" w14:textId="77777777" w:rsidR="00DF6000" w:rsidRPr="00F75444" w:rsidRDefault="00DF6000" w:rsidP="00DF6000">
      <w:pPr>
        <w:numPr>
          <w:ilvl w:val="0"/>
          <w:numId w:val="3"/>
        </w:numPr>
        <w:spacing w:line="360" w:lineRule="auto"/>
        <w:ind w:left="0" w:right="-929" w:firstLine="0"/>
        <w:jc w:val="both"/>
      </w:pPr>
      <w:r w:rsidRPr="00F75444">
        <w:rPr>
          <w:rFonts w:ascii="Palatino Linotype" w:eastAsia="Times New Roman" w:hAnsi="Palatino Linotype" w:cs="Times New Roman"/>
          <w:lang w:eastAsia="es-ES"/>
        </w:rPr>
        <w:t xml:space="preserve">En </w:t>
      </w:r>
      <w:r w:rsidRPr="00F75444">
        <w:rPr>
          <w:rFonts w:ascii="Palatino Linotype" w:eastAsia="Times New Roman" w:hAnsi="Palatino Linotype" w:cs="Times New Roman"/>
        </w:rPr>
        <w:t>conclusión</w:t>
      </w:r>
      <w:r w:rsidRPr="00F75444">
        <w:rPr>
          <w:rFonts w:ascii="Palatino Linotype" w:eastAsia="Times New Roman" w:hAnsi="Palatino Linotype" w:cs="Times New Roman"/>
          <w:lang w:eastAsia="es-ES"/>
        </w:rPr>
        <w:t xml:space="preserve">, en el caso de que, </w:t>
      </w:r>
      <w:r w:rsidRPr="00F75444">
        <w:rPr>
          <w:rFonts w:ascii="Palatino Linotype" w:eastAsia="Palatino Linotype" w:hAnsi="Palatino Linotype" w:cs="Palatino Linotype"/>
        </w:rPr>
        <w:t>procedimientos administrativos señalados en la solicitud de información</w:t>
      </w:r>
      <w:r w:rsidRPr="00F75444">
        <w:rPr>
          <w:rFonts w:ascii="Palatino Linotype" w:eastAsia="Times New Roman" w:hAnsi="Palatino Linotype" w:cs="Times New Roman"/>
          <w:b/>
          <w:u w:val="single"/>
          <w:lang w:eastAsia="es-ES"/>
        </w:rPr>
        <w:t xml:space="preserve"> hayan quedado firmes las resoluciones correspondientes</w:t>
      </w:r>
      <w:r w:rsidRPr="00F75444">
        <w:rPr>
          <w:rFonts w:ascii="Palatino Linotype" w:eastAsia="Times New Roman" w:hAnsi="Palatino Linotype" w:cs="Times New Roman"/>
          <w:lang w:eastAsia="es-ES"/>
        </w:rPr>
        <w:t>, deberá hacer entrega de dichas acciones en versión pública</w:t>
      </w:r>
    </w:p>
    <w:p w14:paraId="35D7BAC1" w14:textId="77777777" w:rsidR="007E6D6E" w:rsidRDefault="007E6D6E">
      <w:pPr>
        <w:spacing w:line="360" w:lineRule="auto"/>
        <w:ind w:right="-929"/>
        <w:jc w:val="both"/>
        <w:rPr>
          <w:rFonts w:ascii="Palatino Linotype" w:eastAsia="Palatino Linotype" w:hAnsi="Palatino Linotype" w:cs="Palatino Linotype"/>
          <w:b/>
          <w:bCs/>
        </w:rPr>
      </w:pPr>
    </w:p>
    <w:p w14:paraId="30245DA6"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Ahora bien, es de señalar que para aquellas resoluciones que no han quedado firmes o no han causado estado, se debe elaborar un acuerdo de clasificación de la información como reservada, bajo las causales establecidas en los artículos 113, fracciones X y XI de la Ley General de Transparencia, y 140, fracciones VI y VIII de la Ley de Transparencia del Estado, correlativo con los numerales Vigésimo noveno y Trigésimo de los Lineamientos de Clasificación; insistiendo que ello es </w:t>
      </w:r>
      <w:r>
        <w:rPr>
          <w:rFonts w:ascii="Palatino Linotype" w:eastAsia="Palatino Linotype" w:hAnsi="Palatino Linotype" w:cs="Palatino Linotype"/>
          <w:b/>
          <w:bCs/>
        </w:rPr>
        <w:t>siempre y cuando el sujeto obligado acredite de manera fundada y motivada</w:t>
      </w:r>
      <w:r>
        <w:rPr>
          <w:rFonts w:ascii="Palatino Linotype" w:eastAsia="Palatino Linotype" w:hAnsi="Palatino Linotype" w:cs="Palatino Linotype"/>
        </w:rPr>
        <w:t xml:space="preserve"> que los procedimientos administrativos señalados en la solicitud de información, </w:t>
      </w:r>
      <w:r>
        <w:rPr>
          <w:rFonts w:ascii="Palatino Linotype" w:eastAsia="Palatino Linotype" w:hAnsi="Palatino Linotype" w:cs="Palatino Linotype"/>
          <w:b/>
          <w:bCs/>
        </w:rPr>
        <w:t xml:space="preserve">no estén firmes. </w:t>
      </w:r>
    </w:p>
    <w:p w14:paraId="7E29737B" w14:textId="77777777" w:rsidR="007E6D6E" w:rsidRDefault="007E6D6E">
      <w:pPr>
        <w:pBdr>
          <w:top w:val="nil"/>
          <w:left w:val="nil"/>
          <w:bottom w:val="nil"/>
          <w:right w:val="nil"/>
          <w:between w:val="nil"/>
        </w:pBdr>
        <w:tabs>
          <w:tab w:val="left" w:pos="142"/>
        </w:tabs>
        <w:spacing w:line="360" w:lineRule="auto"/>
        <w:ind w:right="-929"/>
        <w:jc w:val="both"/>
        <w:rPr>
          <w:rFonts w:ascii="Palatino Linotype" w:eastAsia="Palatino Linotype" w:hAnsi="Palatino Linotype" w:cs="Palatino Linotype"/>
          <w:b/>
          <w:bCs/>
        </w:rPr>
      </w:pPr>
    </w:p>
    <w:p w14:paraId="17402F25"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 es de puntualizar  que la </w:t>
      </w:r>
      <w:r>
        <w:rPr>
          <w:rFonts w:ascii="Palatino Linotype" w:eastAsia="Palatino Linotype" w:hAnsi="Palatino Linotype" w:cs="Palatino Linotype"/>
          <w:b/>
          <w:bCs/>
        </w:rPr>
        <w:t>clasificación de la información como reservada corresponde a procedimientos administrativos en trámite</w:t>
      </w:r>
      <w:r>
        <w:rPr>
          <w:rFonts w:ascii="Palatino Linotype" w:eastAsia="Palatino Linotype" w:hAnsi="Palatino Linotype" w:cs="Palatino Linotype"/>
        </w:rPr>
        <w:t>.</w:t>
      </w:r>
    </w:p>
    <w:p w14:paraId="145D62DB" w14:textId="77777777" w:rsidR="007E6D6E" w:rsidRDefault="007E6D6E">
      <w:pPr>
        <w:pBdr>
          <w:top w:val="nil"/>
          <w:left w:val="nil"/>
          <w:bottom w:val="nil"/>
          <w:right w:val="nil"/>
          <w:between w:val="nil"/>
        </w:pBdr>
        <w:tabs>
          <w:tab w:val="left" w:pos="142"/>
        </w:tabs>
        <w:spacing w:line="360" w:lineRule="auto"/>
        <w:ind w:right="-929"/>
        <w:jc w:val="both"/>
        <w:rPr>
          <w:rFonts w:ascii="Palatino Linotype" w:eastAsia="Palatino Linotype" w:hAnsi="Palatino Linotype" w:cs="Palatino Linotype"/>
          <w:b/>
          <w:bCs/>
        </w:rPr>
      </w:pPr>
    </w:p>
    <w:p w14:paraId="5DA618D0"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entender los alcances de la fundamentación y motivación, sirve de sustento la tesis visible en la página 450, Tomo XIV, Noviembre de 1994, del Apéndice del Semanario Judicial de la Federación 1917-2000, que literalmente dice: </w:t>
      </w:r>
    </w:p>
    <w:p w14:paraId="4812D8AD"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FUNDAMENTACIÓN Y MOTIVACIÓN, CONCEPTO DE</w:t>
      </w:r>
      <w:r>
        <w:rPr>
          <w:rFonts w:ascii="Palatino Linotype" w:eastAsia="Palatino Linotype" w:hAnsi="Palatino Linotype" w:cs="Palatino Linotype"/>
          <w:i/>
          <w:iCs/>
        </w:rPr>
        <w:t>.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160F3B05" w14:textId="77777777" w:rsidR="007E6D6E" w:rsidRDefault="007E6D6E">
      <w:pPr>
        <w:spacing w:line="360" w:lineRule="auto"/>
        <w:ind w:right="-929"/>
        <w:jc w:val="both"/>
        <w:rPr>
          <w:rFonts w:ascii="Palatino Linotype" w:eastAsia="Palatino Linotype" w:hAnsi="Palatino Linotype" w:cs="Palatino Linotype"/>
        </w:rPr>
      </w:pPr>
    </w:p>
    <w:p w14:paraId="6157DDF2"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para considerar que se cumple con la formalidad destacada, la autoridad emisora de un acto de autoridad que incide en la esfera de derechos de un particular, </w:t>
      </w:r>
      <w:r>
        <w:rPr>
          <w:rFonts w:ascii="Palatino Linotype" w:eastAsia="Palatino Linotype" w:hAnsi="Palatino Linotype" w:cs="Palatino Linotype"/>
          <w:b/>
          <w:bCs/>
        </w:rPr>
        <w:t>debe darle a conocer a este,  en detalle y de manera completa</w:t>
      </w:r>
      <w:r>
        <w:rPr>
          <w:rFonts w:ascii="Palatino Linotype" w:eastAsia="Palatino Linotype" w:hAnsi="Palatino Linotype" w:cs="Palatino Linotype"/>
        </w:rPr>
        <w:t xml:space="preserve">, en la actuación de que se trate, la esencia de todas las circunstancias y condiciones que determinaron el acto de la autoridad, de manera </w:t>
      </w:r>
      <w:r>
        <w:rPr>
          <w:rFonts w:ascii="Palatino Linotype" w:eastAsia="Palatino Linotype" w:hAnsi="Palatino Linotype" w:cs="Palatino Linotype"/>
        </w:rPr>
        <w:lastRenderedPageBreak/>
        <w:t>que sea evidente y muy claro para el afectado poder cuestionar y controvertir el mérito de la decisión, permitiéndole una real y auténtica defensa. Por tanto, no basta que el acto de 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14:paraId="02EA706C" w14:textId="77777777" w:rsidR="007E6D6E" w:rsidRDefault="007E6D6E">
      <w:pPr>
        <w:spacing w:line="360" w:lineRule="auto"/>
        <w:ind w:right="-929"/>
        <w:jc w:val="both"/>
        <w:rPr>
          <w:rFonts w:ascii="Palatino Linotype" w:eastAsia="Palatino Linotype" w:hAnsi="Palatino Linotype" w:cs="Palatino Linotype"/>
        </w:rPr>
      </w:pPr>
    </w:p>
    <w:p w14:paraId="76E79B19"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Tal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14:paraId="2E36134F" w14:textId="77777777" w:rsidR="007E6D6E" w:rsidRDefault="00DF6000">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FUNDAMENTACIÓN Y MOTIVACIÓN. EL ASPECTO FORMAL DE LA GARANTÍA Y SU FINALIDAD SE TRADUCEN EN EXPLICAR, JUSTIFICAR, POSIBILITAR LA DEFENSA Y COMUNICAR LA DECISIÓN</w:t>
      </w:r>
      <w:r>
        <w:rPr>
          <w:rFonts w:ascii="Palatino Linotype" w:eastAsia="Palatino Linotype" w:hAnsi="Palatino Linotype" w:cs="Palatino Linotype"/>
          <w:i/>
          <w:iCs/>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B8F869A" w14:textId="77777777" w:rsidR="007E6D6E" w:rsidRDefault="007E6D6E">
      <w:pPr>
        <w:spacing w:line="360" w:lineRule="auto"/>
        <w:ind w:right="-929"/>
        <w:jc w:val="both"/>
        <w:rPr>
          <w:rFonts w:ascii="Palatino Linotype" w:eastAsia="Palatino Linotype" w:hAnsi="Palatino Linotype" w:cs="Palatino Linotype"/>
        </w:rPr>
      </w:pPr>
    </w:p>
    <w:p w14:paraId="7C2BB807"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Resulta necesario mencionar que los Lineamientos Generales en Materia de Clasificación y Desclasificación de la Información, así como para la Elaboración de Versiones Públicas, tienen por objeto establecer los criterios con base en los cuales los sujetos obligados clasificará como reservada o confidencial la información que posean, desclasificará y generarán, en su caso, versiones públicas de expedientes o documentos que contengan partes o secciones clasificadas, señalando que dicho cuerpo normativo es de observancia obligatoria para los sujetos obligados.</w:t>
      </w:r>
    </w:p>
    <w:p w14:paraId="343FEEF0" w14:textId="77777777" w:rsidR="007E6D6E" w:rsidRDefault="007E6D6E">
      <w:pPr>
        <w:spacing w:line="360" w:lineRule="auto"/>
        <w:ind w:right="-929"/>
        <w:jc w:val="both"/>
        <w:rPr>
          <w:rFonts w:ascii="Palatino Linotype" w:eastAsia="Palatino Linotype" w:hAnsi="Palatino Linotype" w:cs="Palatino Linotype"/>
        </w:rPr>
      </w:pPr>
    </w:p>
    <w:p w14:paraId="13BE338C"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 este entendido, el numeral segundo, fracción XIII del documento en consulta refiere que la prueba de daño es la argumentación fundada y motivada que deben realizar los sujetos obligados tendiente a acreditar que la divulgación de información lesiona el interés jurídicamente protegido por la normativa aplicable y que el daño que puede producirse con la publicidad de la información es mayor que el interés de conocerla.</w:t>
      </w:r>
    </w:p>
    <w:p w14:paraId="02CC4AD8" w14:textId="77777777" w:rsidR="007E6D6E" w:rsidRDefault="007E6D6E">
      <w:pPr>
        <w:spacing w:line="360" w:lineRule="auto"/>
        <w:ind w:right="-929"/>
        <w:jc w:val="both"/>
        <w:rPr>
          <w:rFonts w:ascii="Palatino Linotype" w:eastAsia="Palatino Linotype" w:hAnsi="Palatino Linotype" w:cs="Palatino Linotype"/>
        </w:rPr>
      </w:pPr>
    </w:p>
    <w:p w14:paraId="725FF0CB"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igual manera, el numeral cuarto establece que para clasificar la información como reservada o confidencial, de manera total o parcial, el titular del área del sujeto obligado deberá atender lo dispuesto por el Título Sexto de la Ley General, </w:t>
      </w:r>
      <w:r>
        <w:rPr>
          <w:rFonts w:ascii="Palatino Linotype" w:eastAsia="Palatino Linotype" w:hAnsi="Palatino Linotype" w:cs="Palatino Linotype"/>
          <w:b/>
          <w:bCs/>
        </w:rPr>
        <w:t>en relación con las disposiciones contenidas en los presentes lineamientos, así como en aquellas disposiciones legales aplicables a la materia en el ámbito de sus respectivas competencias,</w:t>
      </w:r>
      <w:r>
        <w:rPr>
          <w:rFonts w:ascii="Palatino Linotype" w:eastAsia="Palatino Linotype" w:hAnsi="Palatino Linotype" w:cs="Palatino Linotype"/>
        </w:rPr>
        <w:t xml:space="preserve"> en tanto estas últimas no contravengan lo dispuesto en la Ley General.</w:t>
      </w:r>
    </w:p>
    <w:p w14:paraId="65A5A205" w14:textId="77777777" w:rsidR="007E6D6E" w:rsidRDefault="007E6D6E">
      <w:pPr>
        <w:tabs>
          <w:tab w:val="left" w:pos="7513"/>
        </w:tabs>
        <w:spacing w:line="360" w:lineRule="auto"/>
        <w:ind w:right="-929"/>
        <w:jc w:val="both"/>
        <w:rPr>
          <w:rFonts w:ascii="Palatino Linotype" w:eastAsia="Palatino Linotype" w:hAnsi="Palatino Linotype" w:cs="Palatino Linotype"/>
        </w:rPr>
      </w:pPr>
    </w:p>
    <w:p w14:paraId="1E45778E"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y en el caso que nos ocupa, se entiende que para que los sujetos obligados puedan clasificar la información con el carácter de reservada, atendiendo a lo </w:t>
      </w:r>
      <w:r>
        <w:rPr>
          <w:rFonts w:ascii="Palatino Linotype" w:eastAsia="Palatino Linotype" w:hAnsi="Palatino Linotype" w:cs="Palatino Linotype"/>
        </w:rPr>
        <w:lastRenderedPageBreak/>
        <w:t>dispuesto por la Ley General de Transparencia, en relación con los Lineamientos de clasificación y de conformidad las disposiciones legales aplicables a la materia, siendo en este caso la Ley de Transparencia del Estado, siempre y cuando no se contravenga con lo señalado en la Ley General.</w:t>
      </w:r>
    </w:p>
    <w:p w14:paraId="6A083EFA" w14:textId="77777777" w:rsidR="007E6D6E" w:rsidRDefault="007E6D6E">
      <w:pPr>
        <w:pBdr>
          <w:top w:val="nil"/>
          <w:left w:val="nil"/>
          <w:bottom w:val="nil"/>
          <w:right w:val="nil"/>
          <w:between w:val="nil"/>
        </w:pBdr>
        <w:tabs>
          <w:tab w:val="left" w:pos="142"/>
        </w:tabs>
        <w:spacing w:line="360" w:lineRule="auto"/>
        <w:ind w:right="-929"/>
        <w:jc w:val="both"/>
        <w:rPr>
          <w:rFonts w:ascii="Palatino Linotype" w:eastAsia="Palatino Linotype" w:hAnsi="Palatino Linotype" w:cs="Palatino Linotype"/>
        </w:rPr>
      </w:pPr>
    </w:p>
    <w:p w14:paraId="5964E618"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Así cuando los sujetos obligados se refieran a información de carácter reservado,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0EDC086E" w14:textId="77777777" w:rsidR="007E6D6E" w:rsidRDefault="007E6D6E">
      <w:pPr>
        <w:tabs>
          <w:tab w:val="left" w:pos="7513"/>
        </w:tabs>
        <w:spacing w:line="360" w:lineRule="auto"/>
        <w:ind w:right="-929"/>
        <w:jc w:val="both"/>
        <w:rPr>
          <w:rFonts w:ascii="Palatino Linotype" w:eastAsia="Palatino Linotype" w:hAnsi="Palatino Linotype" w:cs="Palatino Linotype"/>
        </w:rPr>
      </w:pPr>
    </w:p>
    <w:p w14:paraId="2A3C120B"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tal motivo, para el caso de los procedimientos administrativos requeridos en la solicitud de información, de los que no se ha emitido resolución definitiva, se  debe elaborar un acuerdo de clasificación de la información como reservada, bajo las causales establecidas en los artículos 113, fracciones X y XI de la Ley General de Transparencia, y 140, fracciones VI y VIII de la Ley de Transparencia del Estado, correlativo con los numerales Vigésimo noveno y Trigésimo de los Lineamientos de Clasificación; insistiendo que ello es </w:t>
      </w:r>
      <w:r>
        <w:rPr>
          <w:rFonts w:ascii="Palatino Linotype" w:eastAsia="Palatino Linotype" w:hAnsi="Palatino Linotype" w:cs="Palatino Linotype"/>
          <w:b/>
          <w:bCs/>
        </w:rPr>
        <w:t>siempre y cuando el sujeto obligado acredite de manera fundada y motivada</w:t>
      </w:r>
      <w:r>
        <w:rPr>
          <w:rFonts w:ascii="Palatino Linotype" w:eastAsia="Palatino Linotype" w:hAnsi="Palatino Linotype" w:cs="Palatino Linotype"/>
        </w:rPr>
        <w:t xml:space="preserve"> </w:t>
      </w:r>
      <w:r w:rsidRPr="00E90599">
        <w:rPr>
          <w:rFonts w:ascii="Palatino Linotype" w:eastAsia="Palatino Linotype" w:hAnsi="Palatino Linotype" w:cs="Palatino Linotype"/>
          <w:b/>
        </w:rPr>
        <w:t xml:space="preserve">que de los procedimientos administrativos </w:t>
      </w:r>
      <w:r>
        <w:rPr>
          <w:rFonts w:ascii="Palatino Linotype" w:eastAsia="Palatino Linotype" w:hAnsi="Palatino Linotype" w:cs="Palatino Linotype"/>
        </w:rPr>
        <w:t xml:space="preserve">requeridos en la solicitud de información, </w:t>
      </w:r>
      <w:r>
        <w:rPr>
          <w:rFonts w:ascii="Palatino Linotype" w:eastAsia="Palatino Linotype" w:hAnsi="Palatino Linotype" w:cs="Palatino Linotype"/>
          <w:b/>
          <w:bCs/>
        </w:rPr>
        <w:t>no se ha emitido resolución definitiva.</w:t>
      </w:r>
    </w:p>
    <w:p w14:paraId="5D8CFEAB" w14:textId="77777777" w:rsidR="007E6D6E" w:rsidRDefault="007E6D6E">
      <w:pPr>
        <w:pBdr>
          <w:top w:val="nil"/>
          <w:left w:val="nil"/>
          <w:bottom w:val="nil"/>
          <w:right w:val="nil"/>
          <w:between w:val="nil"/>
        </w:pBdr>
        <w:tabs>
          <w:tab w:val="left" w:pos="142"/>
        </w:tabs>
        <w:spacing w:line="360" w:lineRule="auto"/>
        <w:ind w:right="-929"/>
        <w:jc w:val="both"/>
        <w:rPr>
          <w:rFonts w:ascii="Palatino Linotype" w:eastAsia="Palatino Linotype" w:hAnsi="Palatino Linotype" w:cs="Palatino Linotype"/>
        </w:rPr>
      </w:pPr>
    </w:p>
    <w:p w14:paraId="0512DBB0"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 para realizar la reserva de la información invocando la fracción X, del artículo 113 de la Ley General de Transparencia y VI, del artículo 140 de la Ley de Transparencia del Estado, la resolución o acuerdo de clasificación que emita el sujeto </w:t>
      </w:r>
      <w:r>
        <w:rPr>
          <w:rFonts w:ascii="Palatino Linotype" w:eastAsia="Palatino Linotype" w:hAnsi="Palatino Linotype" w:cs="Palatino Linotype"/>
        </w:rPr>
        <w:lastRenderedPageBreak/>
        <w:t xml:space="preserve">obligado deberá de acreditar que de divulgarse la información afecte el debido proceso actualizándose los siguientes elementos: </w:t>
      </w:r>
    </w:p>
    <w:p w14:paraId="3F82A230" w14:textId="77777777" w:rsidR="007E6D6E" w:rsidRDefault="00DF6000">
      <w:pPr>
        <w:numPr>
          <w:ilvl w:val="0"/>
          <w:numId w:val="15"/>
        </w:numP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La existencia de un procedimiento judicial, administrativo o arbitral en trámite; </w:t>
      </w:r>
    </w:p>
    <w:p w14:paraId="1194EE92" w14:textId="77777777" w:rsidR="007E6D6E" w:rsidRDefault="00DF6000">
      <w:pPr>
        <w:numPr>
          <w:ilvl w:val="0"/>
          <w:numId w:val="15"/>
        </w:numP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Que el sujeto obligado sea parte en ese procedimiento; </w:t>
      </w:r>
    </w:p>
    <w:p w14:paraId="1991166E" w14:textId="77777777" w:rsidR="007E6D6E" w:rsidRDefault="00DF6000">
      <w:pPr>
        <w:numPr>
          <w:ilvl w:val="0"/>
          <w:numId w:val="15"/>
        </w:numP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Que la información no sea conocida por la contraparte antes de la presentación de la misma en el proceso, y </w:t>
      </w:r>
    </w:p>
    <w:p w14:paraId="6E16470F" w14:textId="77777777" w:rsidR="007E6D6E" w:rsidRDefault="00DF6000">
      <w:pPr>
        <w:numPr>
          <w:ilvl w:val="0"/>
          <w:numId w:val="15"/>
        </w:numP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Que con su divulgación se menoscaben los derechos del debido proceso.</w:t>
      </w:r>
    </w:p>
    <w:p w14:paraId="67B10721" w14:textId="77777777" w:rsidR="007E6D6E" w:rsidRDefault="007E6D6E">
      <w:pPr>
        <w:tabs>
          <w:tab w:val="left" w:pos="7513"/>
        </w:tabs>
        <w:spacing w:line="360" w:lineRule="auto"/>
        <w:ind w:right="-929"/>
        <w:jc w:val="both"/>
        <w:rPr>
          <w:rFonts w:ascii="Palatino Linotype" w:eastAsia="Palatino Linotype" w:hAnsi="Palatino Linotype" w:cs="Palatino Linotype"/>
        </w:rPr>
      </w:pPr>
    </w:p>
    <w:p w14:paraId="0D6B606C"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Asimismo, deberá elaborar una prueba de daño conforme a lo establecido por los artículos 104 de la Ley General de Transparencia; 141 de la Ley de Transparencia del Estado; y numeral Trigésimo tercero de los Lineamientos de Clasificación atendiendo a lo siguiente:</w:t>
      </w:r>
    </w:p>
    <w:p w14:paraId="6B5EC422" w14:textId="77777777" w:rsidR="007E6D6E" w:rsidRDefault="00DF6000">
      <w:pPr>
        <w:numPr>
          <w:ilvl w:val="0"/>
          <w:numId w:val="16"/>
        </w:numPr>
        <w:pBdr>
          <w:top w:val="nil"/>
          <w:left w:val="nil"/>
          <w:bottom w:val="nil"/>
          <w:right w:val="nil"/>
          <w:between w:val="nil"/>
        </w:pBd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Se deberá fundar la clasificación, al citar la fracción y la hipótesis de la causal aplicable de los artículos 113 de la Ley General y 140 de la Ley de Transparencia Local, vinculandose con el Lineamiento específico de los Lineamientos de Clasificación y cuando corresponda, el supuesto normativo</w:t>
      </w:r>
      <w:r>
        <w:t xml:space="preserve"> </w:t>
      </w:r>
      <w:r>
        <w:rPr>
          <w:rFonts w:ascii="Palatino Linotype" w:eastAsia="Palatino Linotype" w:hAnsi="Palatino Linotype" w:cs="Palatino Linotype"/>
        </w:rPr>
        <w:t xml:space="preserve">que expresamente le otorga el carácter de información reservada; </w:t>
      </w:r>
    </w:p>
    <w:p w14:paraId="2D972F55" w14:textId="77777777" w:rsidR="007E6D6E" w:rsidRDefault="00DF6000">
      <w:pPr>
        <w:numPr>
          <w:ilvl w:val="0"/>
          <w:numId w:val="16"/>
        </w:numPr>
        <w:pBdr>
          <w:top w:val="nil"/>
          <w:left w:val="nil"/>
          <w:bottom w:val="nil"/>
          <w:right w:val="nil"/>
          <w:between w:val="nil"/>
        </w:pBd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Se deberá motivar la clasificación, señalando las circunstancias de </w:t>
      </w:r>
      <w:r>
        <w:rPr>
          <w:rFonts w:ascii="Palatino Linotype" w:eastAsia="Palatino Linotype" w:hAnsi="Palatino Linotype" w:cs="Palatino Linotype"/>
          <w:b/>
          <w:bCs/>
        </w:rPr>
        <w:t>modo, tiempo y lugar</w:t>
      </w:r>
      <w:r>
        <w:rPr>
          <w:rFonts w:ascii="Palatino Linotype" w:eastAsia="Palatino Linotype" w:hAnsi="Palatino Linotype" w:cs="Palatino Linotype"/>
        </w:rPr>
        <w:t xml:space="preserve"> que acrediten el vínculo entre la difusión de la información y la afectación al interés público; </w:t>
      </w:r>
    </w:p>
    <w:p w14:paraId="1BFFA7C6" w14:textId="77777777" w:rsidR="007E6D6E" w:rsidRDefault="00DF6000">
      <w:pPr>
        <w:numPr>
          <w:ilvl w:val="0"/>
          <w:numId w:val="16"/>
        </w:numPr>
        <w:pBdr>
          <w:top w:val="nil"/>
          <w:left w:val="nil"/>
          <w:bottom w:val="nil"/>
          <w:right w:val="nil"/>
          <w:between w:val="nil"/>
        </w:pBd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Se deberán precisar las razones objetivas por las que la apertura de la información generaría un riesgo de perjuicio </w:t>
      </w:r>
      <w:r>
        <w:rPr>
          <w:rFonts w:ascii="Palatino Linotype" w:eastAsia="Palatino Linotype" w:hAnsi="Palatino Linotype" w:cs="Palatino Linotype"/>
          <w:b/>
          <w:bCs/>
        </w:rPr>
        <w:t xml:space="preserve">real, demostrable e identificable </w:t>
      </w:r>
      <w:r>
        <w:rPr>
          <w:rFonts w:ascii="Palatino Linotype" w:eastAsia="Palatino Linotype" w:hAnsi="Palatino Linotype" w:cs="Palatino Linotype"/>
        </w:rPr>
        <w:t xml:space="preserve">al interés jurídico tutelado de que se trate; </w:t>
      </w:r>
    </w:p>
    <w:p w14:paraId="39D40CE1" w14:textId="77777777" w:rsidR="007E6D6E" w:rsidRDefault="007E6D6E">
      <w:pPr>
        <w:pBdr>
          <w:top w:val="nil"/>
          <w:left w:val="nil"/>
          <w:bottom w:val="nil"/>
          <w:right w:val="nil"/>
          <w:between w:val="nil"/>
        </w:pBdr>
        <w:ind w:left="720" w:right="-929"/>
        <w:rPr>
          <w:rFonts w:ascii="Palatino Linotype" w:eastAsia="Palatino Linotype" w:hAnsi="Palatino Linotype" w:cs="Palatino Linotype"/>
        </w:rPr>
      </w:pPr>
    </w:p>
    <w:p w14:paraId="16FEE530" w14:textId="77777777" w:rsidR="007E6D6E" w:rsidRDefault="00DF6000">
      <w:pPr>
        <w:numPr>
          <w:ilvl w:val="0"/>
          <w:numId w:val="16"/>
        </w:numPr>
        <w:pBdr>
          <w:top w:val="nil"/>
          <w:left w:val="nil"/>
          <w:bottom w:val="nil"/>
          <w:right w:val="nil"/>
          <w:between w:val="nil"/>
        </w:pBd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Mediante una ponderación entre la medida restrictiva y el derecho de acceso a la información, deberá justificar y probar objetivamente mediante los elementos </w:t>
      </w:r>
      <w:r>
        <w:rPr>
          <w:rFonts w:ascii="Palatino Linotype" w:eastAsia="Palatino Linotype" w:hAnsi="Palatino Linotype" w:cs="Palatino Linotype"/>
        </w:rPr>
        <w:lastRenderedPageBreak/>
        <w:t xml:space="preserve">señalados en el punto anterior, que la publicidad de la información solicitada generaría un riesgo de perjuicio que supera al interés público de que la información se difunda; </w:t>
      </w:r>
    </w:p>
    <w:p w14:paraId="4BAB26EC" w14:textId="77777777" w:rsidR="007E6D6E" w:rsidRDefault="00DF6000">
      <w:pPr>
        <w:numPr>
          <w:ilvl w:val="0"/>
          <w:numId w:val="16"/>
        </w:numPr>
        <w:pBdr>
          <w:top w:val="nil"/>
          <w:left w:val="nil"/>
          <w:bottom w:val="nil"/>
          <w:right w:val="nil"/>
          <w:between w:val="nil"/>
        </w:pBd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Deberá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14:paraId="00010654" w14:textId="77777777" w:rsidR="007E6D6E" w:rsidRDefault="00DF6000">
      <w:pPr>
        <w:numPr>
          <w:ilvl w:val="0"/>
          <w:numId w:val="16"/>
        </w:numPr>
        <w:pBdr>
          <w:top w:val="nil"/>
          <w:left w:val="nil"/>
          <w:bottom w:val="nil"/>
          <w:right w:val="nil"/>
          <w:between w:val="nil"/>
        </w:pBdr>
        <w:tabs>
          <w:tab w:val="left" w:pos="7513"/>
        </w:tabs>
        <w:spacing w:after="160"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En caso de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425C68C8" w14:textId="77777777" w:rsidR="007E6D6E" w:rsidRDefault="007E6D6E">
      <w:pPr>
        <w:tabs>
          <w:tab w:val="left" w:pos="7513"/>
        </w:tabs>
        <w:spacing w:line="360" w:lineRule="auto"/>
        <w:ind w:right="-929"/>
        <w:jc w:val="both"/>
        <w:rPr>
          <w:rFonts w:ascii="Palatino Linotype" w:eastAsia="Palatino Linotype" w:hAnsi="Palatino Linotype" w:cs="Palatino Linotype"/>
        </w:rPr>
      </w:pPr>
    </w:p>
    <w:p w14:paraId="6E2C9733"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para realizar la reserva de la información invocando la fracción XI, del artículo 113 de la Ley General de Transparencia y VIII, del artículo 140 de la Ley de Transparencia del Estado, en la misma resolución o acuerdo de clasificación deberá respecto de aquella información que vulnere la conducción de los expedientes judiciales o de los procedimientos administrativos seguidos en forma de juicio, deberá acreditar los siguientes elementos: </w:t>
      </w:r>
    </w:p>
    <w:p w14:paraId="3FB15F5C" w14:textId="77777777" w:rsidR="007E6D6E" w:rsidRDefault="00DF6000">
      <w:pPr>
        <w:numPr>
          <w:ilvl w:val="0"/>
          <w:numId w:val="17"/>
        </w:numPr>
        <w:pBdr>
          <w:top w:val="nil"/>
          <w:left w:val="nil"/>
          <w:bottom w:val="nil"/>
          <w:right w:val="nil"/>
          <w:between w:val="nil"/>
        </w:pBd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La existencia de un juicio o procedimiento administrativo materialmente jurisdiccional, que se encuentre en trámite; </w:t>
      </w:r>
    </w:p>
    <w:p w14:paraId="12A4328D" w14:textId="77777777" w:rsidR="007E6D6E" w:rsidRDefault="00DF6000">
      <w:pPr>
        <w:numPr>
          <w:ilvl w:val="0"/>
          <w:numId w:val="17"/>
        </w:numPr>
        <w:pBdr>
          <w:top w:val="nil"/>
          <w:left w:val="nil"/>
          <w:bottom w:val="nil"/>
          <w:right w:val="nil"/>
          <w:between w:val="nil"/>
        </w:pBdr>
        <w:tabs>
          <w:tab w:val="left" w:pos="7513"/>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Que la información solicitada se refiera a actuaciones, diligencias o constancias propias del procedimiento; y </w:t>
      </w:r>
    </w:p>
    <w:p w14:paraId="403414CD" w14:textId="77777777" w:rsidR="007E6D6E" w:rsidRDefault="00DF6000">
      <w:pPr>
        <w:numPr>
          <w:ilvl w:val="0"/>
          <w:numId w:val="17"/>
        </w:numPr>
        <w:pBdr>
          <w:top w:val="nil"/>
          <w:left w:val="nil"/>
          <w:bottom w:val="nil"/>
          <w:right w:val="nil"/>
          <w:between w:val="nil"/>
        </w:pBdr>
        <w:tabs>
          <w:tab w:val="left" w:pos="7513"/>
        </w:tabs>
        <w:spacing w:after="160"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Que su difusión afecte o interrumpa la libertad de decisión de las autoridades dentro del juicio o procedimiento administrativo seguido en forma de juicio.</w:t>
      </w:r>
    </w:p>
    <w:p w14:paraId="290EE48D" w14:textId="77777777" w:rsidR="007E6D6E" w:rsidRDefault="007E6D6E">
      <w:pPr>
        <w:pBdr>
          <w:top w:val="nil"/>
          <w:left w:val="nil"/>
          <w:bottom w:val="nil"/>
          <w:right w:val="nil"/>
          <w:between w:val="nil"/>
        </w:pBdr>
        <w:tabs>
          <w:tab w:val="left" w:pos="7513"/>
        </w:tabs>
        <w:spacing w:after="160" w:line="360" w:lineRule="auto"/>
        <w:ind w:left="1080" w:right="-929"/>
        <w:jc w:val="both"/>
        <w:rPr>
          <w:rFonts w:ascii="Palatino Linotype" w:eastAsia="Palatino Linotype" w:hAnsi="Palatino Linotype" w:cs="Palatino Linotype"/>
        </w:rPr>
      </w:pPr>
    </w:p>
    <w:p w14:paraId="3B62B42A"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los efectos de la fracción I, se considera procedimiento seguido en forma de juicio a aquel formalmente administrativo, pero materialmente jurisdiccional; esto es, en el que concurran los siguientes elementos: </w:t>
      </w:r>
    </w:p>
    <w:p w14:paraId="54A678E9" w14:textId="77777777" w:rsidR="007E6D6E" w:rsidRDefault="00DF6000">
      <w:pPr>
        <w:tabs>
          <w:tab w:val="left" w:pos="7513"/>
        </w:tabs>
        <w:spacing w:line="360" w:lineRule="auto"/>
        <w:ind w:left="567" w:right="-929"/>
        <w:jc w:val="both"/>
        <w:rPr>
          <w:rFonts w:ascii="Palatino Linotype" w:eastAsia="Palatino Linotype" w:hAnsi="Palatino Linotype" w:cs="Palatino Linotype"/>
        </w:rPr>
      </w:pPr>
      <w:r>
        <w:rPr>
          <w:rFonts w:ascii="Palatino Linotype" w:eastAsia="Palatino Linotype" w:hAnsi="Palatino Linotype" w:cs="Palatino Linotype"/>
        </w:rPr>
        <w:t xml:space="preserve">1. 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117971B1" w14:textId="77777777" w:rsidR="007E6D6E" w:rsidRDefault="00DF6000">
      <w:pPr>
        <w:tabs>
          <w:tab w:val="left" w:pos="7513"/>
        </w:tabs>
        <w:spacing w:line="360" w:lineRule="auto"/>
        <w:ind w:left="567" w:right="-929"/>
        <w:jc w:val="both"/>
        <w:rPr>
          <w:rFonts w:ascii="Palatino Linotype" w:eastAsia="Palatino Linotype" w:hAnsi="Palatino Linotype" w:cs="Palatino Linotype"/>
        </w:rPr>
      </w:pPr>
      <w:r>
        <w:rPr>
          <w:rFonts w:ascii="Palatino Linotype" w:eastAsia="Palatino Linotype" w:hAnsi="Palatino Linotype" w:cs="Palatino Linotype"/>
        </w:rPr>
        <w:t xml:space="preserve">2. Que se cumplan las formalidades esenciales del procedimiento. </w:t>
      </w:r>
    </w:p>
    <w:p w14:paraId="7B0B4E1E" w14:textId="77777777" w:rsidR="007E6D6E" w:rsidRDefault="007E6D6E">
      <w:pPr>
        <w:tabs>
          <w:tab w:val="left" w:pos="7513"/>
        </w:tabs>
        <w:spacing w:line="360" w:lineRule="auto"/>
        <w:ind w:left="567" w:right="-929"/>
        <w:jc w:val="both"/>
        <w:rPr>
          <w:rFonts w:ascii="Palatino Linotype" w:eastAsia="Palatino Linotype" w:hAnsi="Palatino Linotype" w:cs="Palatino Linotype"/>
        </w:rPr>
      </w:pPr>
    </w:p>
    <w:p w14:paraId="7BC0C54A"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No serán objeto de reserva las resoluciones interlocutorias </w:t>
      </w:r>
      <w:r>
        <w:rPr>
          <w:rFonts w:ascii="Palatino Linotype" w:eastAsia="Palatino Linotype" w:hAnsi="Palatino Linotype" w:cs="Palatino Linotype"/>
          <w:b/>
          <w:bCs/>
          <w:u w:val="single"/>
        </w:rPr>
        <w:t>o definitivas</w:t>
      </w:r>
      <w:r>
        <w:rPr>
          <w:rFonts w:ascii="Palatino Linotype" w:eastAsia="Palatino Linotype" w:hAnsi="Palatino Linotype" w:cs="Palatino Linotype"/>
        </w:rPr>
        <w:t xml:space="preserve"> que se dicten dentro de los procedimientos o con las que se concluya el mismo. En estos casos deberá otorgarse acceso a la resolución en versión pública, testando la información clasificada.</w:t>
      </w:r>
    </w:p>
    <w:p w14:paraId="2D5D9368" w14:textId="77777777" w:rsidR="007E6D6E" w:rsidRDefault="007E6D6E">
      <w:pPr>
        <w:tabs>
          <w:tab w:val="left" w:pos="7513"/>
        </w:tabs>
        <w:spacing w:line="360" w:lineRule="auto"/>
        <w:ind w:right="-929"/>
        <w:jc w:val="both"/>
        <w:rPr>
          <w:rFonts w:ascii="Palatino Linotype" w:eastAsia="Palatino Linotype" w:hAnsi="Palatino Linotype" w:cs="Palatino Linotype"/>
        </w:rPr>
      </w:pPr>
    </w:p>
    <w:p w14:paraId="79ECC96E"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De igual manera, deberá elaborar la prueba de daño atendiendo lo antes señalado, conforme a lo establecido por los artículos 104 de la Ley General de Transparencia; 141 de la Ley de Transparencia del Estado; y numeral Trigésimo tercero de los Lineamientos de Clasificación.</w:t>
      </w:r>
    </w:p>
    <w:p w14:paraId="0BF87A33" w14:textId="77777777" w:rsidR="007E6D6E" w:rsidRDefault="007E6D6E">
      <w:pPr>
        <w:tabs>
          <w:tab w:val="left" w:pos="7513"/>
        </w:tabs>
        <w:spacing w:line="360" w:lineRule="auto"/>
        <w:ind w:right="-929"/>
        <w:jc w:val="both"/>
        <w:rPr>
          <w:rFonts w:ascii="Palatino Linotype" w:eastAsia="Palatino Linotype" w:hAnsi="Palatino Linotype" w:cs="Palatino Linotype"/>
        </w:rPr>
      </w:pPr>
    </w:p>
    <w:p w14:paraId="5674A61B"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Finalmente, no se omite mencionar que de conformidad con lo establecido en el artículo 92, fracción XL de la Ley de Transparencia del Estado,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relativa a </w:t>
      </w:r>
      <w:r>
        <w:rPr>
          <w:rFonts w:ascii="Palatino Linotype" w:eastAsia="Palatino Linotype" w:hAnsi="Palatino Linotype" w:cs="Palatino Linotype"/>
          <w:b/>
          <w:bCs/>
        </w:rPr>
        <w:t xml:space="preserve">las </w:t>
      </w:r>
      <w:r>
        <w:rPr>
          <w:rFonts w:ascii="Palatino Linotype" w:eastAsia="Palatino Linotype" w:hAnsi="Palatino Linotype" w:cs="Palatino Linotype"/>
          <w:b/>
          <w:bCs/>
        </w:rPr>
        <w:lastRenderedPageBreak/>
        <w:t>resoluciones y laudos que se emitan en procesos o procedimientos seguidos en forma de juicio.</w:t>
      </w:r>
    </w:p>
    <w:p w14:paraId="541540C2" w14:textId="77777777" w:rsidR="007E6D6E" w:rsidRDefault="007E6D6E">
      <w:pPr>
        <w:spacing w:line="360" w:lineRule="auto"/>
        <w:ind w:right="-929"/>
        <w:jc w:val="both"/>
        <w:rPr>
          <w:rFonts w:ascii="Palatino Linotype" w:eastAsia="Palatino Linotype" w:hAnsi="Palatino Linotype" w:cs="Palatino Linotype"/>
          <w:i/>
          <w:iCs/>
          <w:u w:val="single"/>
        </w:rPr>
      </w:pPr>
    </w:p>
    <w:p w14:paraId="4E624258"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en cuanto al punto de solicitud </w:t>
      </w:r>
      <w:r>
        <w:rPr>
          <w:rFonts w:ascii="Palatino Linotype" w:eastAsia="Palatino Linotype" w:hAnsi="Palatino Linotype" w:cs="Palatino Linotype"/>
          <w:i/>
          <w:iCs/>
          <w:u w:val="single"/>
        </w:rPr>
        <w:t>Manual de Organización y Procedimientos</w:t>
      </w:r>
      <w:r>
        <w:rPr>
          <w:rFonts w:ascii="Palatino Linotype" w:eastAsia="Palatino Linotype" w:hAnsi="Palatino Linotype" w:cs="Palatino Linotype"/>
          <w:u w:val="single"/>
        </w:rPr>
        <w:t>,</w:t>
      </w:r>
      <w:r>
        <w:rPr>
          <w:rFonts w:ascii="Palatino Linotype" w:eastAsia="Palatino Linotype" w:hAnsi="Palatino Linotype" w:cs="Palatino Linotype"/>
        </w:rPr>
        <w:t xml:space="preserve"> el Sujeto Obligado refirió que </w:t>
      </w:r>
      <w:r>
        <w:rPr>
          <w:rFonts w:ascii="Palatino Linotype" w:eastAsia="Palatino Linotype" w:hAnsi="Palatino Linotype" w:cs="Palatino Linotype"/>
          <w:i/>
          <w:iCs/>
        </w:rPr>
        <w:t>se rige por la Ley de Transparencia y Acceso a la Información Pública del Estado de México y Municipios</w:t>
      </w:r>
      <w:r>
        <w:rPr>
          <w:rFonts w:ascii="Palatino Linotype" w:eastAsia="Palatino Linotype" w:hAnsi="Palatino Linotype" w:cs="Palatino Linotype"/>
        </w:rPr>
        <w:t xml:space="preserve">, circunstancia de la cual se dolió el recurrente por la falta de entrega del mismo, en consecuencia, si bien al Ley de Transparencia Local contiene en su capítulo III lo relativo a las Unidades de Transparencia, en la que se norma la designación del responsable, funciones y perfil del titular, esta Ponencia procedió a realizar una búsqueda del documento solicitado, se localizó en la página web oficial del Sujeto Obligado, consultable en el siguiente link </w:t>
      </w:r>
      <w:hyperlink r:id="rId9">
        <w:r>
          <w:rPr>
            <w:rFonts w:ascii="Palatino Linotype" w:eastAsia="Palatino Linotype" w:hAnsi="Palatino Linotype" w:cs="Palatino Linotype"/>
            <w:color w:val="0563C1"/>
            <w:u w:val="single"/>
          </w:rPr>
          <w:t>https://www.tejupilco.gob.mx/mejora-regulatoria-municipal/catalogo-municipal-de-regulac</w:t>
        </w:r>
      </w:hyperlink>
      <w:r>
        <w:rPr>
          <w:rFonts w:ascii="Palatino Linotype" w:eastAsia="Palatino Linotype" w:hAnsi="Palatino Linotype" w:cs="Palatino Linotype"/>
        </w:rPr>
        <w:t xml:space="preserve"> el apartado del “catálogo municipal de regulaciones”, mismo que está diseñado para el registro, difusión y actualización de todas las disposiciones legales, reglamentarias y administrativas que regulan la operación y funcionamiento de las dependencias y entidades de la administración pública, en donde se localizó en el numeral 28, el Manual de organización de la Unidad de Transparencia, mismo que muestra dicho documento, de la administración 2022-2024, empero vigente a la fecha de la solicitud, tal como se muestra en las imágenes siguientes:</w:t>
      </w:r>
    </w:p>
    <w:p w14:paraId="2A980B14" w14:textId="77777777" w:rsidR="007E6D6E" w:rsidRDefault="00DF6000">
      <w:pPr>
        <w:spacing w:line="360" w:lineRule="auto"/>
        <w:ind w:left="1440" w:right="-929" w:hanging="1440"/>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309E1228" wp14:editId="3B2B5AA7">
            <wp:extent cx="3618836" cy="213617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618836" cy="2136170"/>
                    </a:xfrm>
                    <a:prstGeom prst="rect">
                      <a:avLst/>
                    </a:prstGeom>
                    <a:ln/>
                  </pic:spPr>
                </pic:pic>
              </a:graphicData>
            </a:graphic>
          </wp:inline>
        </w:drawing>
      </w:r>
    </w:p>
    <w:p w14:paraId="25EDC154" w14:textId="77777777" w:rsidR="007E6D6E" w:rsidRDefault="00DF6000">
      <w:pPr>
        <w:spacing w:line="360" w:lineRule="auto"/>
        <w:ind w:left="1440" w:right="-929" w:hanging="1440"/>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09419582" wp14:editId="341151BA">
            <wp:extent cx="3691442" cy="2110327"/>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691442" cy="2110327"/>
                    </a:xfrm>
                    <a:prstGeom prst="rect">
                      <a:avLst/>
                    </a:prstGeom>
                    <a:ln/>
                  </pic:spPr>
                </pic:pic>
              </a:graphicData>
            </a:graphic>
          </wp:inline>
        </w:drawing>
      </w:r>
    </w:p>
    <w:p w14:paraId="2D1E7CCC" w14:textId="77777777" w:rsidR="007E6D6E" w:rsidRDefault="00DF6000">
      <w:pPr>
        <w:spacing w:line="360" w:lineRule="auto"/>
        <w:ind w:left="1440" w:right="-929" w:hanging="1440"/>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17791A93" wp14:editId="1BFD3041">
            <wp:extent cx="3069229" cy="3101179"/>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069229" cy="3101179"/>
                    </a:xfrm>
                    <a:prstGeom prst="rect">
                      <a:avLst/>
                    </a:prstGeom>
                    <a:ln/>
                  </pic:spPr>
                </pic:pic>
              </a:graphicData>
            </a:graphic>
          </wp:inline>
        </w:drawing>
      </w:r>
    </w:p>
    <w:p w14:paraId="05A66A51" w14:textId="77777777" w:rsidR="007E6D6E" w:rsidRDefault="007E6D6E">
      <w:pPr>
        <w:spacing w:line="360" w:lineRule="auto"/>
        <w:ind w:left="1440" w:right="-929" w:hanging="1440"/>
        <w:jc w:val="center"/>
        <w:rPr>
          <w:rFonts w:ascii="Palatino Linotype" w:eastAsia="Palatino Linotype" w:hAnsi="Palatino Linotype" w:cs="Palatino Linotype"/>
        </w:rPr>
      </w:pPr>
    </w:p>
    <w:p w14:paraId="5C494E7C"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tales circunstancias es dable </w:t>
      </w:r>
      <w:r>
        <w:rPr>
          <w:rFonts w:ascii="Palatino Linotype" w:eastAsia="Palatino Linotype" w:hAnsi="Palatino Linotype" w:cs="Palatino Linotype"/>
          <w:b/>
          <w:bCs/>
        </w:rPr>
        <w:t>ORDENAR</w:t>
      </w:r>
      <w:r>
        <w:rPr>
          <w:rFonts w:ascii="Palatino Linotype" w:eastAsia="Palatino Linotype" w:hAnsi="Palatino Linotype" w:cs="Palatino Linotype"/>
        </w:rPr>
        <w:t xml:space="preserve"> la entrega previa búsqueda exhaustiva y razonable del </w:t>
      </w:r>
      <w:r>
        <w:rPr>
          <w:rFonts w:ascii="Palatino Linotype" w:eastAsia="Palatino Linotype" w:hAnsi="Palatino Linotype" w:cs="Palatino Linotype"/>
          <w:b/>
          <w:bCs/>
        </w:rPr>
        <w:t>Manual de Organización y Procedimientos de la Unidad de Transparencia, o el que se haya generado, vigente al 15 de diciembre de 2025.</w:t>
      </w:r>
    </w:p>
    <w:p w14:paraId="0354D992" w14:textId="77777777" w:rsidR="007E6D6E" w:rsidRDefault="007E6D6E">
      <w:pPr>
        <w:spacing w:line="360" w:lineRule="auto"/>
        <w:ind w:right="-929"/>
        <w:jc w:val="both"/>
        <w:rPr>
          <w:rFonts w:ascii="Palatino Linotype" w:eastAsia="Palatino Linotype" w:hAnsi="Palatino Linotype" w:cs="Palatino Linotype"/>
        </w:rPr>
      </w:pPr>
    </w:p>
    <w:p w14:paraId="692B6671"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del punto de solicitud </w:t>
      </w:r>
      <w:r>
        <w:rPr>
          <w:rFonts w:ascii="Palatino Linotype" w:eastAsia="Palatino Linotype" w:hAnsi="Palatino Linotype" w:cs="Palatino Linotype"/>
          <w:i/>
          <w:iCs/>
          <w:u w:val="single"/>
        </w:rPr>
        <w:t>Resoluciones emitidas por el INFOEM</w:t>
      </w:r>
      <w:r>
        <w:rPr>
          <w:rFonts w:ascii="Palatino Linotype" w:eastAsia="Palatino Linotype" w:hAnsi="Palatino Linotype" w:cs="Palatino Linotype"/>
        </w:rPr>
        <w:t xml:space="preserve">, el Sujeto Obligado refirió que la información podría ser consultada en el link </w:t>
      </w:r>
      <w:hyperlink r:id="rId13">
        <w:r>
          <w:rPr>
            <w:rFonts w:ascii="Palatino Linotype" w:eastAsia="Palatino Linotype" w:hAnsi="Palatino Linotype" w:cs="Palatino Linotype"/>
            <w:color w:val="0563C1"/>
            <w:u w:val="single"/>
          </w:rPr>
          <w:t>https://www.infoem.org.mx/es/node/806/</w:t>
        </w:r>
      </w:hyperlink>
      <w:r>
        <w:rPr>
          <w:rFonts w:ascii="Palatino Linotype" w:eastAsia="Palatino Linotype" w:hAnsi="Palatino Linotype" w:cs="Palatino Linotype"/>
        </w:rPr>
        <w:t xml:space="preserve"> , al consultar el mismo remite a la página oficial el INFOEM, en el apartado de Recursos de Revisión en versión pública, mostrando un total de 105,393 resultados, tal como se muestra en la siguiente imagen:</w:t>
      </w:r>
    </w:p>
    <w:p w14:paraId="4105E3EE" w14:textId="77777777" w:rsidR="007E6D6E" w:rsidRDefault="00DF6000">
      <w:pPr>
        <w:spacing w:line="360" w:lineRule="auto"/>
        <w:ind w:right="-92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5B30DF97" wp14:editId="7CFE839C">
            <wp:extent cx="3867999" cy="3166437"/>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867999" cy="3166437"/>
                    </a:xfrm>
                    <a:prstGeom prst="rect">
                      <a:avLst/>
                    </a:prstGeom>
                    <a:ln/>
                  </pic:spPr>
                </pic:pic>
              </a:graphicData>
            </a:graphic>
          </wp:inline>
        </w:drawing>
      </w:r>
    </w:p>
    <w:p w14:paraId="1A05FB01" w14:textId="77777777" w:rsidR="007E6D6E" w:rsidRDefault="007E6D6E">
      <w:pPr>
        <w:spacing w:line="360" w:lineRule="auto"/>
        <w:ind w:right="-929"/>
        <w:jc w:val="center"/>
        <w:rPr>
          <w:rFonts w:ascii="Palatino Linotype" w:eastAsia="Palatino Linotype" w:hAnsi="Palatino Linotype" w:cs="Palatino Linotype"/>
        </w:rPr>
      </w:pPr>
    </w:p>
    <w:p w14:paraId="727B0B29"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circunstancias, si bien se entregó la liga en formato abierto y en dicha página se advierte una función para filtrar resultados, el Sujeto Obligado dejó de observar lo </w:t>
      </w:r>
      <w:r>
        <w:rPr>
          <w:rFonts w:ascii="Palatino Linotype" w:eastAsia="Palatino Linotype" w:hAnsi="Palatino Linotype" w:cs="Palatino Linotype"/>
          <w:color w:val="000000"/>
        </w:rPr>
        <w:t xml:space="preserve">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Pr>
          <w:rFonts w:ascii="Palatino Linotype" w:eastAsia="Palatino Linotype" w:hAnsi="Palatino Linotype" w:cs="Palatino Linotype"/>
          <w:b/>
          <w:bCs/>
          <w:color w:val="000000"/>
          <w:u w:val="single"/>
        </w:rPr>
        <w:t xml:space="preserve">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 </w:t>
      </w:r>
      <w:r>
        <w:rPr>
          <w:rFonts w:ascii="Palatino Linotype" w:eastAsia="Palatino Linotype" w:hAnsi="Palatino Linotype" w:cs="Palatino Linotype"/>
          <w:color w:val="000000"/>
        </w:rPr>
        <w:t>Circunstancia que no aconteció, ya que el Sujeto Obligado si bien señaló la fuente de consulta, no describió de forma precisa y concreta la manera para acceder a la misma, situación que implica que el solicitante realice la búsqueda en toda la información disponible.</w:t>
      </w:r>
    </w:p>
    <w:p w14:paraId="33E50B5E"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En razón de lo expuesto es dable </w:t>
      </w:r>
      <w:r>
        <w:rPr>
          <w:rFonts w:ascii="Palatino Linotype" w:eastAsia="Palatino Linotype" w:hAnsi="Palatino Linotype" w:cs="Palatino Linotype"/>
          <w:b/>
          <w:bCs/>
        </w:rPr>
        <w:t>ORDENAR</w:t>
      </w:r>
      <w:r>
        <w:rPr>
          <w:rFonts w:ascii="Palatino Linotype" w:eastAsia="Palatino Linotype" w:hAnsi="Palatino Linotype" w:cs="Palatino Linotype"/>
        </w:rPr>
        <w:t xml:space="preserve"> la entrega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previa búsqueda exhaustiva y razonable, de ser procedente en versión pública, las </w:t>
      </w:r>
      <w:r>
        <w:rPr>
          <w:rFonts w:ascii="Palatino Linotype" w:eastAsia="Palatino Linotype" w:hAnsi="Palatino Linotype" w:cs="Palatino Linotype"/>
          <w:b/>
          <w:bCs/>
        </w:rPr>
        <w:t>resoluciones emitidas por el INFOEM a los recursos de revisión interpuestos en contra de las respuestas emitidas a la solicitud de información</w:t>
      </w:r>
      <w:r>
        <w:rPr>
          <w:rFonts w:ascii="Palatino Linotype" w:eastAsia="Palatino Linotype" w:hAnsi="Palatino Linotype" w:cs="Palatino Linotype"/>
        </w:rPr>
        <w:t xml:space="preserve">. </w:t>
      </w:r>
    </w:p>
    <w:p w14:paraId="74F1F607" w14:textId="77777777" w:rsidR="007E6D6E" w:rsidRDefault="007E6D6E">
      <w:pPr>
        <w:spacing w:line="360" w:lineRule="auto"/>
        <w:ind w:right="-929"/>
        <w:jc w:val="both"/>
        <w:rPr>
          <w:rFonts w:ascii="Palatino Linotype" w:eastAsia="Palatino Linotype" w:hAnsi="Palatino Linotype" w:cs="Palatino Linotype"/>
          <w:b/>
          <w:bCs/>
          <w:u w:val="single"/>
        </w:rPr>
      </w:pPr>
    </w:p>
    <w:p w14:paraId="0178656E"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cuanto al punto de solicitud </w:t>
      </w:r>
      <w:r>
        <w:rPr>
          <w:rFonts w:ascii="Palatino Linotype" w:eastAsia="Palatino Linotype" w:hAnsi="Palatino Linotype" w:cs="Palatino Linotype"/>
          <w:i/>
          <w:iCs/>
          <w:color w:val="000000"/>
          <w:u w:val="single"/>
        </w:rPr>
        <w:t>Informe sobre el cumplimiento o incumplimiento de dichas resoluciones</w:t>
      </w:r>
      <w:r>
        <w:rPr>
          <w:rFonts w:ascii="Palatino Linotype" w:eastAsia="Palatino Linotype" w:hAnsi="Palatino Linotype" w:cs="Palatino Linotype"/>
          <w:color w:val="000000"/>
          <w:u w:val="single"/>
        </w:rPr>
        <w:t xml:space="preserve">, </w:t>
      </w:r>
      <w:r>
        <w:rPr>
          <w:rFonts w:ascii="Palatino Linotype" w:eastAsia="Palatino Linotype" w:hAnsi="Palatino Linotype" w:cs="Palatino Linotype"/>
          <w:color w:val="000000"/>
        </w:rPr>
        <w:t xml:space="preserve"> el Sujeto Obligado fue omiso en otorgar respuesta, por lo que es de recordar que una de las funciones de las Unidades de Transparencia es llevar un registro de la resolución a los recursos de revisión que se hayan emitido en contra de sus respuestas y del cumplimiento de las mismas, de conformidad con el artículo 53, fracción IX de la Ley de Transparencia Local, </w:t>
      </w:r>
      <w:r>
        <w:rPr>
          <w:rFonts w:ascii="Palatino Linotype" w:eastAsia="Palatino Linotype" w:hAnsi="Palatino Linotype" w:cs="Palatino Linotype"/>
        </w:rPr>
        <w:t>situándose</w:t>
      </w:r>
      <w:r>
        <w:rPr>
          <w:rFonts w:ascii="Palatino Linotype" w:eastAsia="Palatino Linotype" w:hAnsi="Palatino Linotype" w:cs="Palatino Linotype"/>
          <w:color w:val="000000"/>
        </w:rPr>
        <w:t xml:space="preserve"> a continuación:</w:t>
      </w:r>
    </w:p>
    <w:p w14:paraId="02D7DC3F"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w:t>
      </w:r>
      <w:r>
        <w:rPr>
          <w:rFonts w:ascii="Palatino Linotype" w:eastAsia="Palatino Linotype" w:hAnsi="Palatino Linotype" w:cs="Palatino Linotype"/>
          <w:b/>
          <w:bCs/>
          <w:i/>
          <w:iCs/>
        </w:rPr>
        <w:t>Unidades de Transparencia</w:t>
      </w:r>
      <w:r>
        <w:rPr>
          <w:rFonts w:ascii="Palatino Linotype" w:eastAsia="Palatino Linotype" w:hAnsi="Palatino Linotype" w:cs="Palatino Linotype"/>
          <w:i/>
          <w:iCs/>
        </w:rPr>
        <w:t xml:space="preserve"> tendrán las siguientes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14:paraId="2E29019B"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62F566E"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IX. Llevar un registro</w:t>
      </w:r>
      <w:r>
        <w:rPr>
          <w:rFonts w:ascii="Palatino Linotype" w:eastAsia="Palatino Linotype" w:hAnsi="Palatino Linotype" w:cs="Palatino Linotype"/>
          <w:i/>
          <w:iCs/>
        </w:rPr>
        <w:t xml:space="preserve"> de las solicitudes de acceso a la información, sus respuestas, resultados, costos de reproducción y envío, </w:t>
      </w:r>
      <w:r>
        <w:rPr>
          <w:rFonts w:ascii="Palatino Linotype" w:eastAsia="Palatino Linotype" w:hAnsi="Palatino Linotype" w:cs="Palatino Linotype"/>
          <w:b/>
          <w:bCs/>
          <w:i/>
          <w:iCs/>
        </w:rPr>
        <w:t xml:space="preserve">resolución a los recursos de revisión que se hayan emitido en contra de sus respuestas y del </w:t>
      </w:r>
      <w:r>
        <w:rPr>
          <w:rFonts w:ascii="Palatino Linotype" w:eastAsia="Palatino Linotype" w:hAnsi="Palatino Linotype" w:cs="Palatino Linotype"/>
          <w:b/>
          <w:bCs/>
          <w:i/>
          <w:iCs/>
          <w:u w:val="single"/>
        </w:rPr>
        <w:t>cumplimiento</w:t>
      </w:r>
      <w:r>
        <w:rPr>
          <w:rFonts w:ascii="Palatino Linotype" w:eastAsia="Palatino Linotype" w:hAnsi="Palatino Linotype" w:cs="Palatino Linotype"/>
          <w:i/>
          <w:iCs/>
        </w:rPr>
        <w:t xml:space="preserve"> de las mismas;</w:t>
      </w:r>
    </w:p>
    <w:p w14:paraId="1113B795"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3C768381"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rPr>
      </w:pPr>
    </w:p>
    <w:p w14:paraId="299FC46E"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rPr>
      </w:pPr>
    </w:p>
    <w:p w14:paraId="713F7E42"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consecuencia, al corresponder a funciones que la normatividad le otorga a los Sujetos Obligados, se presume que la información debe existir, siendo dable </w:t>
      </w:r>
      <w:r>
        <w:rPr>
          <w:rFonts w:ascii="Palatino Linotype" w:eastAsia="Palatino Linotype" w:hAnsi="Palatino Linotype" w:cs="Palatino Linotype"/>
          <w:b/>
          <w:bCs/>
        </w:rPr>
        <w:t>ORDENAR</w:t>
      </w:r>
      <w:r>
        <w:rPr>
          <w:rFonts w:ascii="Palatino Linotype" w:eastAsia="Palatino Linotype" w:hAnsi="Palatino Linotype" w:cs="Palatino Linotype"/>
        </w:rPr>
        <w:t xml:space="preserve"> la entrega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previa búsqueda exhaustiva y razonable, de ser procedente en versión pública, del </w:t>
      </w:r>
      <w:r>
        <w:rPr>
          <w:rFonts w:ascii="Palatino Linotype" w:eastAsia="Palatino Linotype" w:hAnsi="Palatino Linotype" w:cs="Palatino Linotype"/>
          <w:b/>
          <w:bCs/>
        </w:rPr>
        <w:t>documento en el que conste o se advierta el cumplimiento o incumplimiento a la resolución a los recursos de revisión que se hayan emitido en contra de sus respuestas.</w:t>
      </w:r>
    </w:p>
    <w:p w14:paraId="2BDBA310"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cuanto al punto de solicitud </w:t>
      </w:r>
      <w:r>
        <w:rPr>
          <w:rFonts w:ascii="Palatino Linotype" w:eastAsia="Palatino Linotype" w:hAnsi="Palatino Linotype" w:cs="Palatino Linotype"/>
          <w:i/>
          <w:iCs/>
          <w:color w:val="000000"/>
          <w:u w:val="single"/>
        </w:rPr>
        <w:t>Informes internos de cumplimiento de obligaciones de transparencia</w:t>
      </w:r>
      <w:r>
        <w:rPr>
          <w:rFonts w:ascii="Palatino Linotype" w:eastAsia="Palatino Linotype" w:hAnsi="Palatino Linotype" w:cs="Palatino Linotype"/>
          <w:color w:val="000000"/>
        </w:rPr>
        <w:t xml:space="preserve"> el Sujeto Obligado admitió contar con la información al mencionar en respuesta que </w:t>
      </w:r>
      <w:r>
        <w:rPr>
          <w:rFonts w:ascii="Palatino Linotype" w:eastAsia="Palatino Linotype" w:hAnsi="Palatino Linotype" w:cs="Palatino Linotype"/>
          <w:i/>
          <w:iCs/>
          <w:color w:val="000000"/>
        </w:rPr>
        <w:t>Se verifican en el Portal de IPOMEX</w:t>
      </w:r>
      <w:r>
        <w:rPr>
          <w:rFonts w:ascii="Palatino Linotype" w:eastAsia="Palatino Linotype" w:hAnsi="Palatino Linotype" w:cs="Palatino Linotype"/>
          <w:color w:val="000000"/>
        </w:rPr>
        <w:t xml:space="preserve">; no obstante </w:t>
      </w:r>
      <w:r>
        <w:rPr>
          <w:rFonts w:ascii="Palatino Linotype" w:eastAsia="Palatino Linotype" w:hAnsi="Palatino Linotype" w:cs="Palatino Linotype"/>
        </w:rPr>
        <w:t xml:space="preserve">el Sujeto Obligado dejó de observar lo </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lastRenderedPageBreak/>
        <w:t xml:space="preserve">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Pr>
          <w:rFonts w:ascii="Palatino Linotype" w:eastAsia="Palatino Linotype" w:hAnsi="Palatino Linotype" w:cs="Palatino Linotype"/>
          <w:b/>
          <w:bCs/>
          <w:color w:val="000000"/>
          <w:u w:val="single"/>
        </w:rPr>
        <w:t xml:space="preserve">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 </w:t>
      </w:r>
      <w:r>
        <w:rPr>
          <w:rFonts w:ascii="Palatino Linotype" w:eastAsia="Palatino Linotype" w:hAnsi="Palatino Linotype" w:cs="Palatino Linotype"/>
          <w:color w:val="000000"/>
        </w:rPr>
        <w:t>Circunstancia que no aconteció.</w:t>
      </w:r>
    </w:p>
    <w:p w14:paraId="240B64AC" w14:textId="77777777" w:rsidR="007E6D6E" w:rsidRDefault="007E6D6E">
      <w:pPr>
        <w:spacing w:line="360" w:lineRule="auto"/>
        <w:ind w:right="-929"/>
        <w:jc w:val="both"/>
        <w:rPr>
          <w:rFonts w:ascii="Palatino Linotype" w:eastAsia="Palatino Linotype" w:hAnsi="Palatino Linotype" w:cs="Palatino Linotype"/>
          <w:color w:val="000000"/>
          <w:u w:val="single"/>
        </w:rPr>
      </w:pPr>
    </w:p>
    <w:p w14:paraId="6421D560"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la Dirección General Jurídica y de Verificación del Instituto de Transparencia, Acceso a la Información Pública y Protección de Datos Personales del Estado de México y Municipios, tiene como funciones las establecidas en el Reglamento de este Instituto, tal como se cita a continuación:</w:t>
      </w:r>
    </w:p>
    <w:p w14:paraId="0103BB3D" w14:textId="77777777" w:rsidR="007E6D6E" w:rsidRDefault="00DF6000">
      <w:pPr>
        <w:pBdr>
          <w:top w:val="nil"/>
          <w:left w:val="nil"/>
          <w:bottom w:val="nil"/>
          <w:right w:val="nil"/>
          <w:between w:val="nil"/>
        </w:pBdr>
        <w:ind w:left="567"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REGLAMENTO INTERIOR DEL INSTITUTO DE TRANSPARENCIA, ACCESO A LA INFORMACIÓN PÚBLICA Y PROTECCIÓN DE DATOS PERSONALES DEL ESTADO DE MÉXICO Y MUNICIPIOS</w:t>
      </w:r>
    </w:p>
    <w:p w14:paraId="0732D434" w14:textId="77777777" w:rsidR="007E6D6E" w:rsidRDefault="007E6D6E">
      <w:pPr>
        <w:pBdr>
          <w:top w:val="nil"/>
          <w:left w:val="nil"/>
          <w:bottom w:val="nil"/>
          <w:right w:val="nil"/>
          <w:between w:val="nil"/>
        </w:pBdr>
        <w:ind w:left="567" w:right="-929"/>
        <w:jc w:val="center"/>
        <w:rPr>
          <w:rFonts w:ascii="Palatino Linotype" w:eastAsia="Palatino Linotype" w:hAnsi="Palatino Linotype" w:cs="Palatino Linotype"/>
          <w:b/>
          <w:bCs/>
          <w:i/>
          <w:iCs/>
        </w:rPr>
      </w:pPr>
    </w:p>
    <w:p w14:paraId="4403757B" w14:textId="77777777" w:rsidR="007E6D6E" w:rsidRDefault="00DF6000">
      <w:pPr>
        <w:pBdr>
          <w:top w:val="nil"/>
          <w:left w:val="nil"/>
          <w:bottom w:val="nil"/>
          <w:right w:val="nil"/>
          <w:between w:val="nil"/>
        </w:pBdr>
        <w:ind w:left="567"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Sección Novena </w:t>
      </w:r>
    </w:p>
    <w:p w14:paraId="53BEC391" w14:textId="77777777" w:rsidR="007E6D6E" w:rsidRDefault="00DF6000">
      <w:pPr>
        <w:pBdr>
          <w:top w:val="nil"/>
          <w:left w:val="nil"/>
          <w:bottom w:val="nil"/>
          <w:right w:val="nil"/>
          <w:between w:val="nil"/>
        </w:pBdr>
        <w:ind w:left="567"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Dirección General Jurídica y de Verificación </w:t>
      </w:r>
    </w:p>
    <w:p w14:paraId="58616598" w14:textId="77777777" w:rsidR="007E6D6E" w:rsidRDefault="007E6D6E">
      <w:pPr>
        <w:pBdr>
          <w:top w:val="nil"/>
          <w:left w:val="nil"/>
          <w:bottom w:val="nil"/>
          <w:right w:val="nil"/>
          <w:between w:val="nil"/>
        </w:pBdr>
        <w:ind w:left="567" w:right="-929"/>
        <w:jc w:val="center"/>
        <w:rPr>
          <w:rFonts w:ascii="Palatino Linotype" w:eastAsia="Palatino Linotype" w:hAnsi="Palatino Linotype" w:cs="Palatino Linotype"/>
          <w:b/>
          <w:bCs/>
          <w:i/>
          <w:iCs/>
        </w:rPr>
      </w:pPr>
    </w:p>
    <w:p w14:paraId="2B8362D8"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23</w:t>
      </w:r>
      <w:r>
        <w:rPr>
          <w:rFonts w:ascii="Palatino Linotype" w:eastAsia="Palatino Linotype" w:hAnsi="Palatino Linotype" w:cs="Palatino Linotype"/>
          <w:i/>
          <w:iCs/>
        </w:rPr>
        <w:t>. Corresponde a la Dirección General Jurídica y de Verificación ejercer las atribuciones siguientes:</w:t>
      </w:r>
    </w:p>
    <w:p w14:paraId="6A73BE26"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552B528"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XIV. Ordenar y practicar verificaciones a los portales de internet de los Sujetos Obligados, para revisar y constatar el debido cumplimiento de las obligaciones de transparencia, asesorando a los Sujetos Obligados en los términos que establecen las Leyes de la Materia, lineamientos y demás disposiciones jurídicas aplicables. Asimismo, informar mensualmente al Pleno las verificaciones realizadas a los portales de transparencia de los Sujetos Obligados;</w:t>
      </w:r>
    </w:p>
    <w:p w14:paraId="00FCBB51"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rPr>
      </w:pPr>
    </w:p>
    <w:p w14:paraId="7AAAC898"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XV. Calificar el desempeño de los Sujetos Obligados en el cumplimiento de las obligaciones de transparencia que publiquen, en términos de los lineamientos que expida el Instituto y demás disposiciones jurídicas aplicables, así como elaborar la estadística e informes de dicha actividad;</w:t>
      </w:r>
    </w:p>
    <w:p w14:paraId="04DE7BF0"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rPr>
      </w:pPr>
    </w:p>
    <w:p w14:paraId="664569D9"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XVI. Calificar la gravedad de las faltas derivadas del incumplimiento de los sujetos obligados a las determinaciones emitidas por el Instituto en materia de incumplimiento a las obligaciones de transparencia derivadas de la verificación a los portales de transparencia; y proponer al Pleno las medidas de apremio que correspondan, de conformidad con las leyes de la materia y los lineamientos que para tal efecto se emitan.</w:t>
      </w:r>
    </w:p>
    <w:p w14:paraId="0FFA8480"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rPr>
      </w:pPr>
    </w:p>
    <w:p w14:paraId="18B9CDBD"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XVII. Notificar, gestionar y, en su caso, ejecutar las medias de apremio impuestas por el Pleno del Instituto en materia de incumplimiento a las obligaciones de transparencia derivadas de la verificación a los portales de transparencia;</w:t>
      </w:r>
    </w:p>
    <w:p w14:paraId="2B1677B8" w14:textId="77777777" w:rsidR="007E6D6E" w:rsidRDefault="007E6D6E">
      <w:pPr>
        <w:pBdr>
          <w:top w:val="nil"/>
          <w:left w:val="nil"/>
          <w:bottom w:val="nil"/>
          <w:right w:val="nil"/>
          <w:between w:val="nil"/>
        </w:pBdr>
        <w:ind w:left="567" w:right="-929"/>
        <w:jc w:val="both"/>
        <w:rPr>
          <w:rFonts w:ascii="Palatino Linotype" w:eastAsia="Palatino Linotype" w:hAnsi="Palatino Linotype" w:cs="Palatino Linotype"/>
          <w:i/>
          <w:iCs/>
        </w:rPr>
      </w:pPr>
    </w:p>
    <w:p w14:paraId="17FBA031"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XVIII. Remitir al Órgano Interno de Control de los Sujetos Obligados o, en su caso, a la autoridad que corresponda, el expediente que contenga las presuntas infracciones cometidas en el marco de la Ley de Transparencia o de la Ley de Protección de Datos Personales, para la promoción de responsabilidades y sanciones, así como dar seguimiento al resultado de los procedimientos instaurados.</w:t>
      </w:r>
    </w:p>
    <w:p w14:paraId="2B3D432E" w14:textId="77777777" w:rsidR="007E6D6E" w:rsidRDefault="00DF6000">
      <w:pPr>
        <w:pBdr>
          <w:top w:val="nil"/>
          <w:left w:val="nil"/>
          <w:bottom w:val="nil"/>
          <w:right w:val="nil"/>
          <w:between w:val="nil"/>
        </w:pBdr>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8470B35" w14:textId="77777777" w:rsidR="007E6D6E" w:rsidRDefault="007E6D6E">
      <w:pPr>
        <w:spacing w:line="360" w:lineRule="auto"/>
        <w:ind w:right="-929"/>
        <w:jc w:val="both"/>
        <w:rPr>
          <w:rFonts w:ascii="Palatino Linotype" w:eastAsia="Palatino Linotype" w:hAnsi="Palatino Linotype" w:cs="Palatino Linotype"/>
          <w:color w:val="000000"/>
          <w:u w:val="single"/>
        </w:rPr>
      </w:pPr>
    </w:p>
    <w:p w14:paraId="0885E5BF"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análisis de la normatividad referida, la Dirección General Jurídica y de Verificación </w:t>
      </w:r>
      <w:r>
        <w:rPr>
          <w:rFonts w:ascii="Palatino Linotype" w:eastAsia="Palatino Linotype" w:hAnsi="Palatino Linotype" w:cs="Palatino Linotype"/>
        </w:rPr>
        <w:t>práctica</w:t>
      </w:r>
      <w:r>
        <w:rPr>
          <w:rFonts w:ascii="Palatino Linotype" w:eastAsia="Palatino Linotype" w:hAnsi="Palatino Linotype" w:cs="Palatino Linotype"/>
          <w:color w:val="000000"/>
        </w:rPr>
        <w:t xml:space="preserve"> verificaciones a los portales de internet de los Sujetos Obligados, para revisar y constatar el debido cumplimiento de las obligaciones de transparencia; Califica el desempeño de los Sujetos Obligados en el cumplimiento de las obligaciones de transparencia que publiquen; y Califica la gravedad de las faltas derivadas del incumplimiento de los sujetos obligados a las determinaciones emitidas por el Instituto en materia de incumplimiento a las obligaciones de transparencia derivadas de la verificación a los portales de transparencia.</w:t>
      </w:r>
    </w:p>
    <w:p w14:paraId="13CB7CAC" w14:textId="77777777" w:rsidR="007E6D6E" w:rsidRDefault="007E6D6E">
      <w:pPr>
        <w:spacing w:line="360" w:lineRule="auto"/>
        <w:ind w:right="-929"/>
        <w:jc w:val="both"/>
        <w:rPr>
          <w:rFonts w:ascii="Palatino Linotype" w:eastAsia="Palatino Linotype" w:hAnsi="Palatino Linotype" w:cs="Palatino Linotype"/>
          <w:color w:val="000000"/>
        </w:rPr>
      </w:pPr>
    </w:p>
    <w:p w14:paraId="007A9360"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razón de lo expuesto, y es dable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documento, en el que conste o se advierta el cumplimiento de obligaciones de transparencia, vigente al 15 de diciembre de 2025.</w:t>
      </w:r>
    </w:p>
    <w:p w14:paraId="797488E3" w14:textId="77777777" w:rsidR="007E6D6E" w:rsidRDefault="007E6D6E">
      <w:pPr>
        <w:spacing w:line="360" w:lineRule="auto"/>
        <w:ind w:right="-929"/>
        <w:jc w:val="both"/>
        <w:rPr>
          <w:rFonts w:ascii="Palatino Linotype" w:eastAsia="Palatino Linotype" w:hAnsi="Palatino Linotype" w:cs="Palatino Linotype"/>
          <w:color w:val="000000"/>
        </w:rPr>
      </w:pPr>
    </w:p>
    <w:p w14:paraId="06B46375" w14:textId="77777777" w:rsidR="007E6D6E" w:rsidRDefault="00DF6000">
      <w:pPr>
        <w:numPr>
          <w:ilvl w:val="0"/>
          <w:numId w:val="3"/>
        </w:numPr>
        <w:spacing w:line="360" w:lineRule="auto"/>
        <w:ind w:left="0" w:right="-929" w:firstLine="0"/>
        <w:jc w:val="both"/>
        <w:rPr>
          <w:color w:val="000000"/>
        </w:rPr>
      </w:pPr>
      <w:r>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atender al siguiente Considerando.</w:t>
      </w:r>
    </w:p>
    <w:p w14:paraId="5158293D" w14:textId="77777777" w:rsidR="007E6D6E" w:rsidRDefault="007E6D6E">
      <w:pPr>
        <w:keepNext/>
        <w:keepLines/>
        <w:spacing w:after="160" w:line="360" w:lineRule="auto"/>
        <w:ind w:right="-929"/>
        <w:rPr>
          <w:rFonts w:ascii="Palatino Linotype" w:eastAsia="Palatino Linotype" w:hAnsi="Palatino Linotype" w:cs="Palatino Linotype"/>
          <w:b/>
          <w:bCs/>
          <w:color w:val="000000"/>
        </w:rPr>
      </w:pPr>
    </w:p>
    <w:p w14:paraId="3E32E9AB" w14:textId="77777777" w:rsidR="007E6D6E" w:rsidRDefault="00DF6000">
      <w:pPr>
        <w:keepNext/>
        <w:keepLines/>
        <w:spacing w:after="160" w:line="360" w:lineRule="auto"/>
        <w:ind w:right="-9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14:paraId="423B1D29" w14:textId="77777777" w:rsidR="007E6D6E" w:rsidRDefault="00DF6000">
      <w:pPr>
        <w:keepNext/>
        <w:keepLines/>
        <w:numPr>
          <w:ilvl w:val="0"/>
          <w:numId w:val="20"/>
        </w:numPr>
        <w:tabs>
          <w:tab w:val="left" w:pos="284"/>
        </w:tabs>
        <w:spacing w:after="160" w:line="360" w:lineRule="auto"/>
        <w:ind w:right="-9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14:paraId="70DA9824"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Debido</w:t>
      </w:r>
      <w:r>
        <w:rPr>
          <w:rFonts w:ascii="Palatino Linotype" w:eastAsia="Palatino Linotype" w:hAnsi="Palatino Linotype" w:cs="Palatino Linotype"/>
        </w:rPr>
        <w:t xml:space="preserve"> a la información solicitada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 la adecuada versión pública, protegiendo los datos que no son susceptibles de ser proporcionados. </w:t>
      </w:r>
    </w:p>
    <w:p w14:paraId="0D0B8CA6" w14:textId="77777777" w:rsidR="007E6D6E" w:rsidRDefault="007E6D6E">
      <w:pPr>
        <w:tabs>
          <w:tab w:val="left" w:pos="0"/>
          <w:tab w:val="left" w:pos="284"/>
        </w:tabs>
        <w:spacing w:line="360" w:lineRule="auto"/>
        <w:ind w:right="-929"/>
        <w:jc w:val="both"/>
        <w:rPr>
          <w:rFonts w:ascii="Palatino Linotype" w:eastAsia="Palatino Linotype" w:hAnsi="Palatino Linotype" w:cs="Palatino Linotype"/>
          <w:highlight w:val="yellow"/>
        </w:rPr>
      </w:pPr>
    </w:p>
    <w:p w14:paraId="0F1F819E"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46BC3E8C" w14:textId="77777777" w:rsidR="007E6D6E" w:rsidRDefault="007E6D6E">
      <w:pPr>
        <w:tabs>
          <w:tab w:val="left" w:pos="284"/>
        </w:tabs>
        <w:spacing w:after="160" w:line="360" w:lineRule="auto"/>
        <w:ind w:right="-929"/>
        <w:jc w:val="both"/>
        <w:rPr>
          <w:rFonts w:ascii="Palatino Linotype" w:eastAsia="Palatino Linotype" w:hAnsi="Palatino Linotype" w:cs="Palatino Linotype"/>
          <w:color w:val="000000"/>
        </w:rPr>
      </w:pPr>
    </w:p>
    <w:tbl>
      <w:tblPr>
        <w:tblStyle w:val="a0"/>
        <w:tblW w:w="97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64"/>
        <w:gridCol w:w="7116"/>
      </w:tblGrid>
      <w:tr w:rsidR="007E6D6E" w14:paraId="7F95D482" w14:textId="77777777">
        <w:tc>
          <w:tcPr>
            <w:tcW w:w="2664" w:type="dxa"/>
          </w:tcPr>
          <w:p w14:paraId="3EB86AE2" w14:textId="77777777" w:rsidR="007E6D6E" w:rsidRDefault="00DF6000">
            <w:pPr>
              <w:tabs>
                <w:tab w:val="left" w:pos="284"/>
              </w:tabs>
              <w:spacing w:line="360" w:lineRule="auto"/>
              <w:ind w:right="-100"/>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116" w:type="dxa"/>
          </w:tcPr>
          <w:p w14:paraId="43E93AC4"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w:t>
            </w:r>
            <w:r>
              <w:rPr>
                <w:rFonts w:ascii="Palatino Linotype" w:eastAsia="Palatino Linotype" w:hAnsi="Palatino Linotype" w:cs="Palatino Linotype"/>
                <w:color w:val="000000"/>
              </w:rPr>
              <w:lastRenderedPageBreak/>
              <w:t xml:space="preserve">de clasificación, es deber de los titulares de las áreas proponer su clasificación y no del Comité de Transparencia. </w:t>
            </w:r>
          </w:p>
          <w:p w14:paraId="658042CC"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048F84E6"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14:paraId="10EA178A" w14:textId="77777777" w:rsidR="007E6D6E" w:rsidRDefault="00DF6000">
            <w:pPr>
              <w:tabs>
                <w:tab w:val="left" w:pos="284"/>
              </w:tabs>
              <w:spacing w:line="276" w:lineRule="auto"/>
              <w:ind w:right="-10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E6D6E" w14:paraId="7A3FD0C8" w14:textId="77777777">
        <w:tc>
          <w:tcPr>
            <w:tcW w:w="2664" w:type="dxa"/>
            <w:shd w:val="clear" w:color="auto" w:fill="F2F2F2"/>
          </w:tcPr>
          <w:p w14:paraId="32067517" w14:textId="77777777" w:rsidR="007E6D6E" w:rsidRDefault="00DF6000">
            <w:pPr>
              <w:tabs>
                <w:tab w:val="left" w:pos="284"/>
              </w:tabs>
              <w:spacing w:line="360" w:lineRule="auto"/>
              <w:ind w:right="-100"/>
              <w:rPr>
                <w:rFonts w:ascii="Palatino Linotype" w:eastAsia="Palatino Linotype" w:hAnsi="Palatino Linotype" w:cs="Palatino Linotype"/>
                <w:b/>
                <w:bCs/>
              </w:rPr>
            </w:pPr>
            <w:r>
              <w:rPr>
                <w:rFonts w:ascii="Palatino Linotype" w:eastAsia="Palatino Linotype" w:hAnsi="Palatino Linotype" w:cs="Palatino Linotype"/>
                <w:b/>
                <w:bCs/>
              </w:rPr>
              <w:lastRenderedPageBreak/>
              <w:t>b) Supuestos de clasificación.</w:t>
            </w:r>
          </w:p>
        </w:tc>
        <w:tc>
          <w:tcPr>
            <w:tcW w:w="7116" w:type="dxa"/>
            <w:shd w:val="clear" w:color="auto" w:fill="F2F2F2"/>
          </w:tcPr>
          <w:p w14:paraId="3CC6C28E"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0229B34"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AA8D6A8" w14:textId="77777777" w:rsidR="007E6D6E" w:rsidRDefault="00DF6000">
            <w:pPr>
              <w:tabs>
                <w:tab w:val="left" w:pos="284"/>
              </w:tabs>
              <w:spacing w:line="276" w:lineRule="auto"/>
              <w:ind w:right="-10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E6D6E" w14:paraId="36A143AC" w14:textId="77777777">
        <w:tc>
          <w:tcPr>
            <w:tcW w:w="2664" w:type="dxa"/>
          </w:tcPr>
          <w:p w14:paraId="7D397C1E" w14:textId="77777777" w:rsidR="007E6D6E" w:rsidRDefault="00DF6000">
            <w:pPr>
              <w:tabs>
                <w:tab w:val="left" w:pos="284"/>
              </w:tabs>
              <w:spacing w:line="360" w:lineRule="auto"/>
              <w:ind w:right="-100"/>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116" w:type="dxa"/>
          </w:tcPr>
          <w:p w14:paraId="215B87A8"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4F6FFC24"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14:paraId="1628CF31" w14:textId="77777777" w:rsidR="007E6D6E" w:rsidRDefault="00DF6000">
            <w:pPr>
              <w:tabs>
                <w:tab w:val="left" w:pos="284"/>
              </w:tabs>
              <w:spacing w:line="276" w:lineRule="auto"/>
              <w:ind w:right="-10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E6D6E" w14:paraId="731AC8B8" w14:textId="77777777">
        <w:tc>
          <w:tcPr>
            <w:tcW w:w="2664" w:type="dxa"/>
            <w:shd w:val="clear" w:color="auto" w:fill="F2F2F2"/>
          </w:tcPr>
          <w:p w14:paraId="63ADF227" w14:textId="77777777" w:rsidR="007E6D6E" w:rsidRDefault="007E6D6E">
            <w:pPr>
              <w:tabs>
                <w:tab w:val="left" w:pos="284"/>
              </w:tabs>
              <w:spacing w:line="360" w:lineRule="auto"/>
              <w:ind w:right="-100"/>
              <w:rPr>
                <w:rFonts w:ascii="Palatino Linotype" w:eastAsia="Palatino Linotype" w:hAnsi="Palatino Linotype" w:cs="Palatino Linotype"/>
                <w:b/>
                <w:bCs/>
              </w:rPr>
            </w:pPr>
          </w:p>
          <w:p w14:paraId="232FA5C0" w14:textId="77777777" w:rsidR="007E6D6E" w:rsidRDefault="00DF6000">
            <w:pPr>
              <w:tabs>
                <w:tab w:val="left" w:pos="284"/>
              </w:tabs>
              <w:spacing w:line="360" w:lineRule="auto"/>
              <w:ind w:right="-100"/>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116" w:type="dxa"/>
            <w:shd w:val="clear" w:color="auto" w:fill="F2F2F2"/>
          </w:tcPr>
          <w:p w14:paraId="75F67995"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14:paraId="0BA34A3C"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2639214"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w:t>
            </w:r>
            <w:r>
              <w:rPr>
                <w:rFonts w:ascii="Palatino Linotype" w:eastAsia="Palatino Linotype" w:hAnsi="Palatino Linotype" w:cs="Palatino Linotype"/>
                <w:color w:val="000000"/>
              </w:rPr>
              <w:lastRenderedPageBreak/>
              <w:t>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0E7B82D"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24913E96"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E6D6E" w14:paraId="2DC166F6" w14:textId="77777777">
        <w:tc>
          <w:tcPr>
            <w:tcW w:w="2664" w:type="dxa"/>
          </w:tcPr>
          <w:p w14:paraId="65933EF1" w14:textId="77777777" w:rsidR="007E6D6E" w:rsidRDefault="00DF6000">
            <w:pPr>
              <w:tabs>
                <w:tab w:val="left" w:pos="284"/>
              </w:tabs>
              <w:spacing w:line="360" w:lineRule="auto"/>
              <w:ind w:right="-100"/>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116" w:type="dxa"/>
          </w:tcPr>
          <w:p w14:paraId="5CE28661"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14:paraId="794A277A" w14:textId="77777777" w:rsidR="007E6D6E" w:rsidRDefault="00DF6000">
            <w:pPr>
              <w:tabs>
                <w:tab w:val="left" w:pos="284"/>
              </w:tabs>
              <w:spacing w:line="276" w:lineRule="auto"/>
              <w:ind w:right="-10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CD97745" w14:textId="77777777" w:rsidR="007E6D6E" w:rsidRDefault="00DF6000">
            <w:pPr>
              <w:tabs>
                <w:tab w:val="left" w:pos="284"/>
              </w:tabs>
              <w:spacing w:line="276" w:lineRule="auto"/>
              <w:ind w:right="-100"/>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F97BD7C" w14:textId="77777777" w:rsidR="007E6D6E" w:rsidRDefault="007E6D6E">
      <w:pPr>
        <w:tabs>
          <w:tab w:val="left" w:pos="284"/>
        </w:tabs>
        <w:spacing w:line="360" w:lineRule="auto"/>
        <w:ind w:right="-929"/>
        <w:rPr>
          <w:rFonts w:ascii="Palatino Linotype" w:eastAsia="Palatino Linotype" w:hAnsi="Palatino Linotype" w:cs="Palatino Linotype"/>
          <w:color w:val="000000"/>
        </w:rPr>
      </w:pPr>
    </w:p>
    <w:p w14:paraId="2B4D413F"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w:t>
      </w:r>
      <w:r>
        <w:rPr>
          <w:rFonts w:ascii="Palatino Linotype" w:eastAsia="Palatino Linotype" w:hAnsi="Palatino Linotype" w:cs="Palatino Linotype"/>
          <w:color w:val="000000"/>
        </w:rPr>
        <w:t>ese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sentido</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Comité de Transparencia,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llevaron al Sujeto </w:t>
      </w:r>
      <w:r>
        <w:rPr>
          <w:rFonts w:ascii="Palatino Linotype" w:eastAsia="Palatino Linotype" w:hAnsi="Palatino Linotype" w:cs="Palatino Linotype"/>
          <w:color w:val="000000"/>
        </w:rPr>
        <w:t>Obligado</w:t>
      </w:r>
      <w:r>
        <w:rPr>
          <w:rFonts w:ascii="Palatino Linotype" w:eastAsia="Palatino Linotype" w:hAnsi="Palatino Linotype" w:cs="Palatino Linotype"/>
        </w:rPr>
        <w:t xml:space="preserve"> a testar, suprimir o eliminar datos de dicho soporte documental, ya que no hacerlo, se </w:t>
      </w:r>
      <w:r>
        <w:rPr>
          <w:rFonts w:ascii="Palatino Linotype" w:eastAsia="Palatino Linotype" w:hAnsi="Palatino Linotype" w:cs="Palatino Linotype"/>
          <w:color w:val="000000"/>
        </w:rPr>
        <w:t>reitera</w:t>
      </w:r>
      <w:r>
        <w:rPr>
          <w:rFonts w:ascii="Palatino Linotype" w:eastAsia="Palatino Linotype" w:hAnsi="Palatino Linotype" w:cs="Palatino Linotype"/>
        </w:rPr>
        <w:t xml:space="preserve"> que lo entregado no tendría un sustento jurídico ni resultaría ser una versión pública, sino más bien una documentación ilegible, incompleta o tachada; ya que el no justificar las causas o </w:t>
      </w:r>
      <w:r>
        <w:rPr>
          <w:rFonts w:ascii="Palatino Linotype" w:eastAsia="Palatino Linotype" w:hAnsi="Palatino Linotype" w:cs="Palatino Linotype"/>
          <w:color w:val="000000"/>
        </w:rPr>
        <w:t>motivos</w:t>
      </w:r>
      <w:r>
        <w:rPr>
          <w:rFonts w:ascii="Palatino Linotype" w:eastAsia="Palatino Linotype" w:hAnsi="Palatino Linotype" w:cs="Palatino Linotype"/>
        </w:rPr>
        <w:t xml:space="preserve"> por las que no se aprecian determinados datos -ya sea porque se testan o suprimen- deja al solicitante en estado de incertidumbre, al no conocer o comprender porque no aparecen en la documentación respectiva.</w:t>
      </w:r>
    </w:p>
    <w:p w14:paraId="4DCCE9D3" w14:textId="77777777" w:rsidR="007E6D6E" w:rsidRDefault="007E6D6E">
      <w:pPr>
        <w:tabs>
          <w:tab w:val="left" w:pos="284"/>
        </w:tabs>
        <w:spacing w:line="360" w:lineRule="auto"/>
        <w:ind w:right="-929"/>
        <w:jc w:val="both"/>
        <w:rPr>
          <w:rFonts w:ascii="Palatino Linotype" w:eastAsia="Palatino Linotype" w:hAnsi="Palatino Linotype" w:cs="Palatino Linotype"/>
          <w:color w:val="000000"/>
        </w:rPr>
      </w:pPr>
    </w:p>
    <w:p w14:paraId="4933189F" w14:textId="77777777" w:rsidR="007E6D6E" w:rsidRDefault="00DF6000">
      <w:pPr>
        <w:numPr>
          <w:ilvl w:val="0"/>
          <w:numId w:val="3"/>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entrega la información sin proteger los datos personales o testando </w:t>
      </w:r>
      <w:r>
        <w:rPr>
          <w:rFonts w:ascii="Palatino Linotype" w:eastAsia="Palatino Linotype" w:hAnsi="Palatino Linotype" w:cs="Palatino Linotype"/>
          <w:color w:val="000000"/>
        </w:rPr>
        <w:t>datos</w:t>
      </w:r>
      <w:r>
        <w:rPr>
          <w:rFonts w:ascii="Palatino Linotype" w:eastAsia="Palatino Linotype" w:hAnsi="Palatino Linotype" w:cs="Palatino Linotype"/>
        </w:rPr>
        <w:t xml:space="preserve"> considerados como públicos incumple con lo que estipulan las disposiciones legales establecidas, </w:t>
      </w:r>
      <w:r>
        <w:rPr>
          <w:rFonts w:ascii="Palatino Linotype" w:eastAsia="Palatino Linotype" w:hAnsi="Palatino Linotype" w:cs="Palatino Linotype"/>
          <w:color w:val="000000"/>
        </w:rPr>
        <w:t>asimismo</w:t>
      </w:r>
      <w:r>
        <w:rPr>
          <w:rFonts w:ascii="Palatino Linotype" w:eastAsia="Palatino Linotype" w:hAnsi="Palatino Linotype" w:cs="Palatino Linotype"/>
        </w:rPr>
        <w:t xml:space="preserve"> que si entrega un documento testado sin el debido acuerdo de clasificación.</w:t>
      </w:r>
    </w:p>
    <w:p w14:paraId="484464DA" w14:textId="77777777" w:rsidR="007E6D6E" w:rsidRDefault="007E6D6E">
      <w:pPr>
        <w:spacing w:line="360" w:lineRule="auto"/>
        <w:ind w:right="-929"/>
        <w:jc w:val="both"/>
        <w:rPr>
          <w:color w:val="000000"/>
        </w:rPr>
      </w:pPr>
    </w:p>
    <w:p w14:paraId="02DDD7EA" w14:textId="76A2B034" w:rsidR="007E6D6E" w:rsidRDefault="00DF6000">
      <w:pPr>
        <w:numPr>
          <w:ilvl w:val="0"/>
          <w:numId w:val="3"/>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cuadragésimo cuarto,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933F59">
        <w:rPr>
          <w:rFonts w:ascii="Palatino Linotype" w:eastAsia="Palatino Linotype" w:hAnsi="Palatino Linotype" w:cs="Palatino Linotype"/>
        </w:rPr>
        <w:t xml:space="preserve"> -----------------------------------------------------------</w:t>
      </w:r>
    </w:p>
    <w:p w14:paraId="1894C318" w14:textId="77777777" w:rsidR="00933F59" w:rsidRDefault="00933F59" w:rsidP="00933F59">
      <w:pPr>
        <w:pStyle w:val="Prrafodelista"/>
        <w:rPr>
          <w:rFonts w:ascii="Palatino Linotype" w:eastAsia="Palatino Linotype" w:hAnsi="Palatino Linotype" w:cs="Palatino Linotype"/>
        </w:rPr>
      </w:pPr>
    </w:p>
    <w:p w14:paraId="5A4EB579" w14:textId="77777777" w:rsidR="00933F59" w:rsidRDefault="00933F59" w:rsidP="00933F59">
      <w:pPr>
        <w:spacing w:line="360" w:lineRule="auto"/>
        <w:ind w:right="-929"/>
        <w:jc w:val="both"/>
        <w:rPr>
          <w:rFonts w:ascii="Palatino Linotype" w:eastAsia="Palatino Linotype" w:hAnsi="Palatino Linotype" w:cs="Palatino Linotype"/>
        </w:rPr>
      </w:pPr>
    </w:p>
    <w:p w14:paraId="1E0D24EC" w14:textId="77777777" w:rsidR="00933F59" w:rsidRDefault="00933F59" w:rsidP="00933F59">
      <w:pPr>
        <w:spacing w:line="360" w:lineRule="auto"/>
        <w:ind w:right="-929"/>
        <w:jc w:val="both"/>
        <w:rPr>
          <w:rFonts w:ascii="Palatino Linotype" w:eastAsia="Palatino Linotype" w:hAnsi="Palatino Linotype" w:cs="Palatino Linotype"/>
        </w:rPr>
      </w:pPr>
    </w:p>
    <w:p w14:paraId="794E23DC" w14:textId="77777777" w:rsidR="00933F59" w:rsidRDefault="00933F59" w:rsidP="00933F59">
      <w:pPr>
        <w:spacing w:line="360" w:lineRule="auto"/>
        <w:ind w:right="-929"/>
        <w:jc w:val="both"/>
        <w:rPr>
          <w:rFonts w:ascii="Palatino Linotype" w:eastAsia="Palatino Linotype" w:hAnsi="Palatino Linotype" w:cs="Palatino Linotype"/>
        </w:rPr>
      </w:pPr>
    </w:p>
    <w:p w14:paraId="13B0E1E2" w14:textId="77777777" w:rsidR="007E6D6E" w:rsidRDefault="007E6D6E">
      <w:pPr>
        <w:ind w:right="-929"/>
        <w:rPr>
          <w:rFonts w:ascii="Palatino Linotype" w:eastAsia="Palatino Linotype" w:hAnsi="Palatino Linotype" w:cs="Palatino Linotype"/>
        </w:rPr>
      </w:pPr>
    </w:p>
    <w:p w14:paraId="5303E4BD" w14:textId="77777777" w:rsidR="007E6D6E" w:rsidRDefault="00DF6000">
      <w:pPr>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R E S U E L V E</w:t>
      </w:r>
    </w:p>
    <w:p w14:paraId="576AF7CE" w14:textId="77777777" w:rsidR="007E6D6E" w:rsidRDefault="007E6D6E">
      <w:pPr>
        <w:spacing w:line="360" w:lineRule="auto"/>
        <w:ind w:right="-929"/>
        <w:jc w:val="center"/>
        <w:rPr>
          <w:rFonts w:ascii="Palatino Linotype" w:eastAsia="Palatino Linotype" w:hAnsi="Palatino Linotype" w:cs="Palatino Linotype"/>
          <w:b/>
          <w:bCs/>
        </w:rPr>
      </w:pPr>
    </w:p>
    <w:p w14:paraId="3DB18F2D" w14:textId="77777777" w:rsidR="007E6D6E" w:rsidRDefault="00DF6000">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PARCIALMENTE</w:t>
      </w:r>
      <w:r>
        <w:rPr>
          <w:rFonts w:ascii="Palatino Linotype" w:eastAsia="Palatino Linotype" w:hAnsi="Palatino Linotype" w:cs="Palatino Linotype"/>
        </w:rPr>
        <w:t xml:space="preserve">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Recursos de Revisión </w:t>
      </w:r>
      <w:r>
        <w:rPr>
          <w:rFonts w:ascii="Palatino Linotype" w:eastAsia="Palatino Linotype" w:hAnsi="Palatino Linotype" w:cs="Palatino Linotype"/>
          <w:b/>
          <w:bCs/>
        </w:rPr>
        <w:t xml:space="preserve">01128/INFOEM/IP/RR/2026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14:paraId="5FCE760E" w14:textId="77777777" w:rsidR="007E6D6E" w:rsidRDefault="007E6D6E">
      <w:pPr>
        <w:spacing w:line="360" w:lineRule="auto"/>
        <w:ind w:right="-929"/>
        <w:jc w:val="both"/>
        <w:rPr>
          <w:rFonts w:ascii="Palatino Linotype" w:eastAsia="Palatino Linotype" w:hAnsi="Palatino Linotype" w:cs="Palatino Linotype"/>
        </w:rPr>
      </w:pPr>
    </w:p>
    <w:p w14:paraId="0E93E695" w14:textId="77777777" w:rsidR="007E6D6E" w:rsidRDefault="00DF6000">
      <w:pPr>
        <w:spacing w:line="360" w:lineRule="auto"/>
        <w:ind w:right="-929"/>
        <w:jc w:val="both"/>
        <w:rPr>
          <w:rFonts w:ascii="Palatino Linotype" w:eastAsia="Palatino Linotype" w:hAnsi="Palatino Linotype" w:cs="Palatino Linotype"/>
        </w:rPr>
      </w:pPr>
      <w:bookmarkStart w:id="7" w:name="_heading=h.26in1rg" w:colFirst="0" w:colLast="0"/>
      <w:bookmarkEnd w:id="7"/>
      <w:r>
        <w:rPr>
          <w:rFonts w:ascii="Palatino Linotype" w:eastAsia="Palatino Linotype" w:hAnsi="Palatino Linotype" w:cs="Palatino Linotype"/>
          <w:b/>
          <w:bCs/>
        </w:rPr>
        <w:t xml:space="preserve">SEGUNDO.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 xml:space="preserve">MODIFICA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Ayuntamiento de Tejupilco,</w:t>
      </w:r>
      <w:r>
        <w:rPr>
          <w:rFonts w:ascii="Palatino Linotype" w:eastAsia="Palatino Linotype" w:hAnsi="Palatino Linotype" w:cs="Palatino Linotype"/>
        </w:rPr>
        <w:t xml:space="preserve"> a la solicitud de información pública registrada con el número</w:t>
      </w:r>
      <w:r>
        <w:rPr>
          <w:rFonts w:ascii="Palatino Linotype" w:eastAsia="Palatino Linotype" w:hAnsi="Palatino Linotype" w:cs="Palatino Linotype"/>
          <w:b/>
          <w:bCs/>
        </w:rPr>
        <w:t xml:space="preserve"> 00051/TEJUPIL/IP/2025 </w:t>
      </w:r>
      <w:r>
        <w:rPr>
          <w:rFonts w:ascii="Palatino Linotype" w:eastAsia="Palatino Linotype" w:hAnsi="Palatino Linotype" w:cs="Palatino Linotype"/>
        </w:rPr>
        <w:t xml:space="preserve">y se </w:t>
      </w:r>
      <w:r>
        <w:rPr>
          <w:rFonts w:ascii="Palatino Linotype" w:eastAsia="Palatino Linotype" w:hAnsi="Palatino Linotype" w:cs="Palatino Linotype"/>
          <w:b/>
          <w:bCs/>
        </w:rPr>
        <w:t>ORDENA</w:t>
      </w:r>
      <w:r>
        <w:rPr>
          <w:rFonts w:ascii="Palatino Linotype" w:eastAsia="Palatino Linotype" w:hAnsi="Palatino Linotype" w:cs="Palatino Linotype"/>
        </w:rPr>
        <w:t xml:space="preserve"> entregar vía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previa búsqueda exhaustiva y razonable,</w:t>
      </w:r>
      <w:r>
        <w:rPr>
          <w:rFonts w:ascii="Palatino Linotype" w:eastAsia="Palatino Linotype" w:hAnsi="Palatino Linotype" w:cs="Palatino Linotype"/>
          <w:b/>
          <w:bCs/>
        </w:rPr>
        <w:t xml:space="preserve"> </w:t>
      </w:r>
      <w:r>
        <w:rPr>
          <w:rFonts w:ascii="Palatino Linotype" w:eastAsia="Palatino Linotype" w:hAnsi="Palatino Linotype" w:cs="Palatino Linotype"/>
        </w:rPr>
        <w:t>de ser procedente en versión pública, la siguiente información:</w:t>
      </w:r>
    </w:p>
    <w:p w14:paraId="5B01A065" w14:textId="77777777" w:rsidR="007E6D6E" w:rsidRDefault="007E6D6E">
      <w:pPr>
        <w:spacing w:line="360" w:lineRule="auto"/>
        <w:ind w:right="-929"/>
        <w:jc w:val="both"/>
        <w:rPr>
          <w:rFonts w:ascii="Palatino Linotype" w:eastAsia="Palatino Linotype" w:hAnsi="Palatino Linotype" w:cs="Palatino Linotype"/>
        </w:rPr>
      </w:pPr>
    </w:p>
    <w:p w14:paraId="68731A5B" w14:textId="77777777" w:rsidR="007E6D6E" w:rsidRDefault="00DF6000">
      <w:pPr>
        <w:numPr>
          <w:ilvl w:val="0"/>
          <w:numId w:val="4"/>
        </w:numPr>
        <w:pBdr>
          <w:top w:val="nil"/>
          <w:left w:val="nil"/>
          <w:bottom w:val="nil"/>
          <w:right w:val="nil"/>
          <w:between w:val="nil"/>
        </w:pBdr>
        <w:ind w:left="714" w:right="-929" w:hanging="35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Manual de Organización y Procedimientos de la Unidad de Transparencia, o el que se haya generado, vigente al 15 de diciembre de 2025.</w:t>
      </w:r>
    </w:p>
    <w:p w14:paraId="22C702D5" w14:textId="77777777" w:rsidR="007E6D6E" w:rsidRDefault="007E6D6E">
      <w:pPr>
        <w:pBdr>
          <w:top w:val="nil"/>
          <w:left w:val="nil"/>
          <w:bottom w:val="nil"/>
          <w:right w:val="nil"/>
          <w:between w:val="nil"/>
        </w:pBdr>
        <w:ind w:left="714" w:right="-929"/>
        <w:jc w:val="both"/>
        <w:rPr>
          <w:rFonts w:ascii="Palatino Linotype" w:eastAsia="Palatino Linotype" w:hAnsi="Palatino Linotype" w:cs="Palatino Linotype"/>
          <w:b/>
          <w:bCs/>
          <w:color w:val="000000"/>
        </w:rPr>
      </w:pPr>
    </w:p>
    <w:p w14:paraId="47C45CD3" w14:textId="77777777" w:rsidR="007E6D6E" w:rsidRDefault="00DF6000">
      <w:pPr>
        <w:numPr>
          <w:ilvl w:val="0"/>
          <w:numId w:val="4"/>
        </w:numPr>
        <w:pBdr>
          <w:top w:val="nil"/>
          <w:left w:val="nil"/>
          <w:bottom w:val="nil"/>
          <w:right w:val="nil"/>
          <w:between w:val="nil"/>
        </w:pBdr>
        <w:ind w:left="714" w:right="-929" w:hanging="35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documento en el que conste o se adviertan procedimientos administrativos iniciados o vistas dadas a la Contraloría Municipal por incumplimiento a la Ley de Transparencia y Acceso a la Información Pública del Estado de México y Municipios, del 01 de enero al 15 de diciembre de 2025.</w:t>
      </w:r>
    </w:p>
    <w:p w14:paraId="5329F460" w14:textId="77777777" w:rsidR="007E6D6E" w:rsidRDefault="007E6D6E">
      <w:pPr>
        <w:pBdr>
          <w:top w:val="nil"/>
          <w:left w:val="nil"/>
          <w:bottom w:val="nil"/>
          <w:right w:val="nil"/>
          <w:between w:val="nil"/>
        </w:pBdr>
        <w:ind w:left="714" w:right="-929"/>
        <w:jc w:val="both"/>
        <w:rPr>
          <w:rFonts w:ascii="Palatino Linotype" w:eastAsia="Palatino Linotype" w:hAnsi="Palatino Linotype" w:cs="Palatino Linotype"/>
          <w:b/>
          <w:bCs/>
          <w:color w:val="000000"/>
        </w:rPr>
      </w:pPr>
    </w:p>
    <w:p w14:paraId="0B90EC08" w14:textId="77777777" w:rsidR="007E6D6E" w:rsidRDefault="00DF6000">
      <w:pPr>
        <w:numPr>
          <w:ilvl w:val="0"/>
          <w:numId w:val="4"/>
        </w:numPr>
        <w:pBdr>
          <w:top w:val="nil"/>
          <w:left w:val="nil"/>
          <w:bottom w:val="nil"/>
          <w:right w:val="nil"/>
          <w:between w:val="nil"/>
        </w:pBdr>
        <w:ind w:left="714" w:right="-929" w:hanging="35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Resoluciones emitidas a los recursos de revisión interpuestos en contra de sus respuestas, del 01 de enero al 15 de diciembre de 2025.</w:t>
      </w:r>
    </w:p>
    <w:p w14:paraId="51BBAAA0" w14:textId="77777777" w:rsidR="007E6D6E" w:rsidRDefault="007E6D6E">
      <w:pPr>
        <w:pBdr>
          <w:top w:val="nil"/>
          <w:left w:val="nil"/>
          <w:bottom w:val="nil"/>
          <w:right w:val="nil"/>
          <w:between w:val="nil"/>
        </w:pBdr>
        <w:ind w:left="714" w:right="-929"/>
        <w:jc w:val="both"/>
        <w:rPr>
          <w:rFonts w:ascii="Palatino Linotype" w:eastAsia="Palatino Linotype" w:hAnsi="Palatino Linotype" w:cs="Palatino Linotype"/>
          <w:b/>
          <w:bCs/>
          <w:color w:val="000000"/>
        </w:rPr>
      </w:pPr>
    </w:p>
    <w:p w14:paraId="278D8D0D" w14:textId="77777777" w:rsidR="007E6D6E" w:rsidRDefault="00DF6000">
      <w:pPr>
        <w:numPr>
          <w:ilvl w:val="0"/>
          <w:numId w:val="4"/>
        </w:numPr>
        <w:pBdr>
          <w:top w:val="nil"/>
          <w:left w:val="nil"/>
          <w:bottom w:val="nil"/>
          <w:right w:val="nil"/>
          <w:between w:val="nil"/>
        </w:pBdr>
        <w:ind w:left="714" w:right="-929" w:hanging="35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 el cumplimiento o incumplimiento a la resolución a los recursos de revisión que se hayan emitido en contra de sus respuestas del 01 de enero al 15 de diciembre de 2025.</w:t>
      </w:r>
    </w:p>
    <w:p w14:paraId="7C68E5CA" w14:textId="77777777" w:rsidR="007E6D6E" w:rsidRDefault="007E6D6E">
      <w:pPr>
        <w:pBdr>
          <w:top w:val="nil"/>
          <w:left w:val="nil"/>
          <w:bottom w:val="nil"/>
          <w:right w:val="nil"/>
          <w:between w:val="nil"/>
        </w:pBdr>
        <w:ind w:left="714" w:right="-929"/>
        <w:jc w:val="both"/>
        <w:rPr>
          <w:rFonts w:ascii="Palatino Linotype" w:eastAsia="Palatino Linotype" w:hAnsi="Palatino Linotype" w:cs="Palatino Linotype"/>
          <w:b/>
          <w:bCs/>
          <w:color w:val="000000"/>
        </w:rPr>
      </w:pPr>
    </w:p>
    <w:p w14:paraId="5F446DD1" w14:textId="77777777" w:rsidR="007E6D6E" w:rsidRDefault="00DF6000">
      <w:pPr>
        <w:numPr>
          <w:ilvl w:val="0"/>
          <w:numId w:val="4"/>
        </w:numPr>
        <w:pBdr>
          <w:top w:val="nil"/>
          <w:left w:val="nil"/>
          <w:bottom w:val="nil"/>
          <w:right w:val="nil"/>
          <w:between w:val="nil"/>
        </w:pBdr>
        <w:ind w:left="714" w:right="-929" w:hanging="35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 el cumplimiento a las obligaciones de transparencia, vigente al 15 de diciembre de 2025.</w:t>
      </w:r>
    </w:p>
    <w:p w14:paraId="5F35D972" w14:textId="77777777" w:rsidR="007E6D6E" w:rsidRDefault="007E6D6E">
      <w:pPr>
        <w:pBdr>
          <w:top w:val="nil"/>
          <w:left w:val="nil"/>
          <w:bottom w:val="nil"/>
          <w:right w:val="nil"/>
          <w:between w:val="nil"/>
        </w:pBdr>
        <w:spacing w:line="360" w:lineRule="auto"/>
        <w:ind w:left="720" w:right="-929"/>
        <w:jc w:val="both"/>
        <w:rPr>
          <w:rFonts w:ascii="Palatino Linotype" w:eastAsia="Palatino Linotype" w:hAnsi="Palatino Linotype" w:cs="Palatino Linotype"/>
          <w:b/>
          <w:bCs/>
          <w:color w:val="000000"/>
        </w:rPr>
      </w:pPr>
    </w:p>
    <w:p w14:paraId="2FE3C12F" w14:textId="77777777" w:rsidR="007E6D6E" w:rsidRDefault="00DF6000">
      <w:pPr>
        <w:spacing w:line="360" w:lineRule="auto"/>
        <w:ind w:left="567" w:right="-92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Para efecto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 la parte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14:paraId="4F76E896" w14:textId="77777777" w:rsidR="007E6D6E" w:rsidRDefault="007E6D6E">
      <w:pPr>
        <w:spacing w:line="360" w:lineRule="auto"/>
        <w:ind w:left="567" w:right="-929"/>
        <w:jc w:val="both"/>
        <w:rPr>
          <w:rFonts w:ascii="Palatino Linotype" w:eastAsia="Palatino Linotype" w:hAnsi="Palatino Linotype" w:cs="Palatino Linotype"/>
        </w:rPr>
      </w:pPr>
    </w:p>
    <w:p w14:paraId="1FC5AB65" w14:textId="77777777" w:rsidR="007E6D6E" w:rsidRDefault="00DF6000">
      <w:pPr>
        <w:spacing w:line="360" w:lineRule="auto"/>
        <w:ind w:left="567"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supuesto que la información que se ordena en el inciso 2), corresponda a procedimientos administrativos que se encuentren en trámite,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emitir y entregar el Acuerdo de Clasificación como información reservada que emita el Comité de Transparencia, de conformidad con lo dispuesto en los artículos </w:t>
      </w:r>
      <w:hyperlink r:id="rId15">
        <w:r>
          <w:rPr>
            <w:rFonts w:ascii="Palatino Linotype" w:eastAsia="Palatino Linotype" w:hAnsi="Palatino Linotype" w:cs="Palatino Linotype"/>
            <w:color w:val="000000"/>
          </w:rPr>
          <w:t>128, 129, 135</w:t>
        </w:r>
      </w:hyperlink>
      <w:r>
        <w:rPr>
          <w:rFonts w:ascii="Palatino Linotype" w:eastAsia="Palatino Linotype" w:hAnsi="Palatino Linotype" w:cs="Palatino Linotype"/>
          <w:color w:val="000000"/>
        </w:rPr>
        <w:t> y 140 de la Ley de Transparencia y Acceso a la Información Pública del Estado de México y Municipios.</w:t>
      </w:r>
    </w:p>
    <w:p w14:paraId="7D4D008E" w14:textId="77777777" w:rsidR="007E6D6E" w:rsidRPr="00F75444" w:rsidRDefault="007E6D6E">
      <w:pPr>
        <w:spacing w:line="360" w:lineRule="auto"/>
        <w:ind w:right="-929"/>
        <w:jc w:val="both"/>
        <w:rPr>
          <w:rFonts w:ascii="Palatino Linotype" w:eastAsia="Palatino Linotype" w:hAnsi="Palatino Linotype" w:cs="Palatino Linotype"/>
        </w:rPr>
      </w:pPr>
    </w:p>
    <w:p w14:paraId="0E1B30A4" w14:textId="77777777" w:rsidR="007E6D6E" w:rsidRDefault="00DF6000">
      <w:pPr>
        <w:spacing w:line="360" w:lineRule="auto"/>
        <w:ind w:left="567" w:right="-929"/>
        <w:jc w:val="both"/>
        <w:rPr>
          <w:rFonts w:ascii="Palatino Linotype" w:eastAsia="Palatino Linotype" w:hAnsi="Palatino Linotype" w:cs="Palatino Linotype"/>
        </w:rPr>
      </w:pPr>
      <w:r w:rsidRPr="00F75444">
        <w:rPr>
          <w:rFonts w:ascii="Palatino Linotype" w:eastAsia="Palatino Linotype" w:hAnsi="Palatino Linotype" w:cs="Palatino Linotype"/>
        </w:rPr>
        <w:t xml:space="preserve">Para el caso que el </w:t>
      </w:r>
      <w:r w:rsidRPr="00F75444">
        <w:rPr>
          <w:rFonts w:ascii="Palatino Linotype" w:eastAsia="Palatino Linotype" w:hAnsi="Palatino Linotype" w:cs="Palatino Linotype"/>
          <w:b/>
          <w:bCs/>
        </w:rPr>
        <w:t>SUJETO OBLIGADO</w:t>
      </w:r>
      <w:r w:rsidRPr="00F75444">
        <w:rPr>
          <w:rFonts w:ascii="Palatino Linotype" w:eastAsia="Palatino Linotype" w:hAnsi="Palatino Linotype" w:cs="Palatino Linotype"/>
        </w:rPr>
        <w:t xml:space="preserve">, luego de la búsqueda exhaustiva y razonable no cuente con la información que se ordena su entrega en </w:t>
      </w:r>
      <w:r w:rsidR="00D80A64" w:rsidRPr="00F75444">
        <w:rPr>
          <w:rFonts w:ascii="Palatino Linotype" w:eastAsia="Palatino Linotype" w:hAnsi="Palatino Linotype" w:cs="Palatino Linotype"/>
        </w:rPr>
        <w:t>los</w:t>
      </w:r>
      <w:r w:rsidRPr="00F75444">
        <w:rPr>
          <w:rFonts w:ascii="Palatino Linotype" w:eastAsia="Palatino Linotype" w:hAnsi="Palatino Linotype" w:cs="Palatino Linotype"/>
        </w:rPr>
        <w:t xml:space="preserve"> inciso</w:t>
      </w:r>
      <w:r w:rsidR="00D80A64" w:rsidRPr="00F75444">
        <w:rPr>
          <w:rFonts w:ascii="Palatino Linotype" w:eastAsia="Palatino Linotype" w:hAnsi="Palatino Linotype" w:cs="Palatino Linotype"/>
        </w:rPr>
        <w:t>s</w:t>
      </w:r>
      <w:r w:rsidRPr="00F75444">
        <w:rPr>
          <w:rFonts w:ascii="Palatino Linotype" w:eastAsia="Palatino Linotype" w:hAnsi="Palatino Linotype" w:cs="Palatino Linotype"/>
        </w:rPr>
        <w:t xml:space="preserve"> 2)</w:t>
      </w:r>
      <w:r w:rsidR="00D80A64" w:rsidRPr="00F75444">
        <w:rPr>
          <w:rFonts w:ascii="Palatino Linotype" w:eastAsia="Palatino Linotype" w:hAnsi="Palatino Linotype" w:cs="Palatino Linotype"/>
        </w:rPr>
        <w:t xml:space="preserve"> y 4)</w:t>
      </w:r>
      <w:r w:rsidRPr="00F75444">
        <w:rPr>
          <w:rFonts w:ascii="Palatino Linotype" w:eastAsia="Palatino Linotype" w:hAnsi="Palatino Linotype" w:cs="Palatino Linotype"/>
        </w:rPr>
        <w:t>, por no haberse generado,</w:t>
      </w:r>
      <w:r w:rsidR="00D80A64" w:rsidRPr="00F75444">
        <w:rPr>
          <w:rFonts w:ascii="Palatino Linotype" w:eastAsia="Palatino Linotype" w:hAnsi="Palatino Linotype" w:cs="Palatino Linotype"/>
        </w:rPr>
        <w:t xml:space="preserve"> poseído o administrado,</w:t>
      </w:r>
      <w:r w:rsidRPr="00F75444">
        <w:rPr>
          <w:rFonts w:ascii="Palatino Linotype" w:eastAsia="Palatino Linotype" w:hAnsi="Palatino Linotype" w:cs="Palatino Linotype"/>
        </w:rPr>
        <w:t xml:space="preserve"> bastará que lo haga del conocimiento del </w:t>
      </w:r>
      <w:r w:rsidRPr="00F75444">
        <w:rPr>
          <w:rFonts w:ascii="Palatino Linotype" w:eastAsia="Palatino Linotype" w:hAnsi="Palatino Linotype" w:cs="Palatino Linotype"/>
          <w:b/>
          <w:bCs/>
        </w:rPr>
        <w:t>RECURRENTE</w:t>
      </w:r>
      <w:r w:rsidRPr="00F75444">
        <w:rPr>
          <w:rFonts w:ascii="Palatino Linotype" w:eastAsia="Palatino Linotype" w:hAnsi="Palatino Linotype" w:cs="Palatino Linotype"/>
        </w:rPr>
        <w:t xml:space="preserve"> al momento de dar cumplimiento a la presente Resolución, en términos del artículo 19, párrafo segundo, de la Ley de Transparencia y</w:t>
      </w:r>
      <w:r>
        <w:rPr>
          <w:rFonts w:ascii="Palatino Linotype" w:eastAsia="Palatino Linotype" w:hAnsi="Palatino Linotype" w:cs="Palatino Linotype"/>
        </w:rPr>
        <w:t xml:space="preserve"> Acceso a la Información Pública del Estado de México y Municipios.</w:t>
      </w:r>
    </w:p>
    <w:p w14:paraId="4425AA2B" w14:textId="77777777" w:rsidR="007E6D6E" w:rsidRDefault="007E6D6E">
      <w:pPr>
        <w:spacing w:line="360" w:lineRule="auto"/>
        <w:ind w:right="-929"/>
        <w:jc w:val="both"/>
        <w:rPr>
          <w:rFonts w:ascii="Palatino Linotype" w:eastAsia="Palatino Linotype" w:hAnsi="Palatino Linotype" w:cs="Palatino Linotype"/>
        </w:rPr>
      </w:pPr>
    </w:p>
    <w:p w14:paraId="73FDFC00" w14:textId="77777777" w:rsidR="007E6D6E" w:rsidRDefault="00DF6000">
      <w:pPr>
        <w:tabs>
          <w:tab w:val="left" w:pos="8080"/>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w:t>
      </w:r>
      <w:r>
        <w:rPr>
          <w:rFonts w:ascii="Palatino Linotype" w:eastAsia="Palatino Linotype" w:hAnsi="Palatino Linotype" w:cs="Palatino Linotype"/>
        </w:rPr>
        <w:lastRenderedPageBreak/>
        <w:t xml:space="preserve">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1B977AB" w14:textId="77777777" w:rsidR="007E6D6E" w:rsidRDefault="007E6D6E">
      <w:pPr>
        <w:tabs>
          <w:tab w:val="left" w:pos="8080"/>
        </w:tabs>
        <w:spacing w:line="360" w:lineRule="auto"/>
        <w:ind w:right="-929"/>
        <w:jc w:val="both"/>
        <w:rPr>
          <w:rFonts w:ascii="Palatino Linotype" w:eastAsia="Palatino Linotype" w:hAnsi="Palatino Linotype" w:cs="Palatino Linotype"/>
        </w:rPr>
      </w:pPr>
    </w:p>
    <w:p w14:paraId="7330DC12" w14:textId="77777777" w:rsidR="007E6D6E" w:rsidRDefault="00DF6000">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14:paraId="34778F9B" w14:textId="77777777" w:rsidR="007E6D6E" w:rsidRDefault="007E6D6E">
      <w:pPr>
        <w:spacing w:line="360" w:lineRule="auto"/>
        <w:ind w:right="-929"/>
        <w:jc w:val="both"/>
        <w:rPr>
          <w:rFonts w:ascii="Palatino Linotype" w:eastAsia="Palatino Linotype" w:hAnsi="Palatino Linotype" w:cs="Palatino Linotype"/>
        </w:rPr>
      </w:pPr>
    </w:p>
    <w:p w14:paraId="69CD0AE4" w14:textId="77777777" w:rsidR="007E6D6E" w:rsidRDefault="00DF6000">
      <w:pPr>
        <w:spacing w:line="360" w:lineRule="auto"/>
        <w:ind w:right="-929"/>
        <w:jc w:val="both"/>
        <w:rPr>
          <w:rFonts w:ascii="Palatino Linotype" w:eastAsia="Palatino Linotype" w:hAnsi="Palatino Linotype" w:cs="Palatino Linotype"/>
        </w:rPr>
      </w:pPr>
      <w:bookmarkStart w:id="8" w:name="_heading=h.pn1k91cl3mfa" w:colFirst="0" w:colLast="0"/>
      <w:bookmarkEnd w:id="8"/>
      <w:r>
        <w:rPr>
          <w:rFonts w:ascii="Palatino Linotype" w:eastAsia="Palatino Linotype" w:hAnsi="Palatino Linotype" w:cs="Palatino Linotype"/>
          <w:b/>
          <w:bCs/>
        </w:rPr>
        <w:t>QUINTO. NOTIFÍQUESE</w:t>
      </w:r>
      <w:r>
        <w:rPr>
          <w:rFonts w:ascii="Palatino Linotype" w:eastAsia="Palatino Linotype" w:hAnsi="Palatino Linotype" w:cs="Palatino Linotype"/>
        </w:rPr>
        <w:t xml:space="preserve"> la presente resolución a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7A27C802" w14:textId="77777777" w:rsidR="007E6D6E" w:rsidRDefault="007E6D6E">
      <w:pPr>
        <w:spacing w:line="360" w:lineRule="auto"/>
        <w:ind w:right="-929"/>
        <w:jc w:val="both"/>
        <w:rPr>
          <w:rFonts w:ascii="Palatino Linotype" w:eastAsia="Palatino Linotype" w:hAnsi="Palatino Linotype" w:cs="Palatino Linotype"/>
          <w:b/>
          <w:bCs/>
        </w:rPr>
      </w:pPr>
    </w:p>
    <w:p w14:paraId="74139AC5" w14:textId="4702D4F5" w:rsidR="00D4413D" w:rsidRPr="003E2295" w:rsidRDefault="00D4413D" w:rsidP="00D4413D">
      <w:pPr>
        <w:spacing w:before="240" w:after="240" w:line="360" w:lineRule="auto"/>
        <w:ind w:right="-801" w:firstLine="1"/>
        <w:jc w:val="both"/>
        <w:rPr>
          <w:rFonts w:ascii="Palatino Linotype" w:hAnsi="Palatino Linotype"/>
        </w:rPr>
      </w:pPr>
      <w:bookmarkStart w:id="9"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591E10">
        <w:rPr>
          <w:rFonts w:ascii="Palatino Linotype" w:hAnsi="Palatino Linotype" w:cs="Palatino Linotype"/>
        </w:rPr>
        <w:t xml:space="preserve"> EMITIENDO VOTO PARTICULAR</w:t>
      </w:r>
      <w:r w:rsidRPr="003E2295">
        <w:rPr>
          <w:rFonts w:ascii="Palatino Linotype" w:hAnsi="Palatino Linotype" w:cs="Palatino Linotype"/>
        </w:rPr>
        <w:t xml:space="preserve">, SHARON CRISTINA MORALES MARTÍNEZ, LUIS GUSTAVO PARRA NORIEGA </w:t>
      </w:r>
      <w:r w:rsidR="00591E10">
        <w:rPr>
          <w:rFonts w:ascii="Palatino Linotype" w:hAnsi="Palatino Linotype" w:cs="Palatino Linotype"/>
        </w:rPr>
        <w:t>EMITIENDO VOTO PARTICULAR</w:t>
      </w:r>
      <w:r w:rsidR="00591E10" w:rsidRPr="003E2295">
        <w:rPr>
          <w:rFonts w:ascii="Palatino Linotype" w:hAnsi="Palatino Linotype" w:cs="Palatino Linotype"/>
        </w:rPr>
        <w:t xml:space="preserve"> </w:t>
      </w:r>
      <w:r w:rsidRPr="003E2295">
        <w:rPr>
          <w:rFonts w:ascii="Palatino Linotype" w:hAnsi="Palatino Linotype" w:cs="Palatino Linotype"/>
        </w:rPr>
        <w:t xml:space="preserve">Y </w:t>
      </w:r>
      <w:r w:rsidRPr="003E2295">
        <w:rPr>
          <w:rFonts w:ascii="Palatino Linotype" w:hAnsi="Palatino Linotype" w:cs="Palatino Linotype"/>
        </w:rPr>
        <w:lastRenderedPageBreak/>
        <w:t xml:space="preserve">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14:paraId="51C45F0A" w14:textId="77777777" w:rsidR="007E6D6E" w:rsidRDefault="007E6D6E" w:rsidP="00D4413D">
      <w:pPr>
        <w:spacing w:line="360" w:lineRule="auto"/>
        <w:ind w:right="-801"/>
        <w:jc w:val="both"/>
        <w:rPr>
          <w:rFonts w:ascii="Palatino Linotype" w:eastAsia="Palatino Linotype" w:hAnsi="Palatino Linotype" w:cs="Palatino Linotype"/>
        </w:rPr>
      </w:pPr>
    </w:p>
    <w:p w14:paraId="757EF665" w14:textId="77777777" w:rsidR="007E6D6E" w:rsidRDefault="007E6D6E" w:rsidP="00D4413D">
      <w:pPr>
        <w:ind w:right="-801"/>
        <w:rPr>
          <w:rFonts w:ascii="Palatino Linotype" w:eastAsia="Palatino Linotype" w:hAnsi="Palatino Linotype" w:cs="Palatino Linotype"/>
        </w:rPr>
      </w:pPr>
    </w:p>
    <w:p w14:paraId="22BF72E2" w14:textId="77777777" w:rsidR="007E6D6E" w:rsidRDefault="007E6D6E">
      <w:pPr>
        <w:tabs>
          <w:tab w:val="left" w:pos="3374"/>
        </w:tabs>
        <w:spacing w:line="360" w:lineRule="auto"/>
        <w:ind w:right="-929"/>
        <w:rPr>
          <w:rFonts w:ascii="Palatino Linotype" w:eastAsia="Palatino Linotype" w:hAnsi="Palatino Linotype" w:cs="Palatino Linotype"/>
        </w:rPr>
      </w:pPr>
    </w:p>
    <w:p w14:paraId="264F333F" w14:textId="77777777" w:rsidR="00F75444" w:rsidRDefault="00F75444">
      <w:pPr>
        <w:tabs>
          <w:tab w:val="left" w:pos="3374"/>
        </w:tabs>
        <w:spacing w:line="360" w:lineRule="auto"/>
        <w:ind w:right="-929"/>
        <w:rPr>
          <w:rFonts w:ascii="Palatino Linotype" w:eastAsia="Palatino Linotype" w:hAnsi="Palatino Linotype" w:cs="Palatino Linotype"/>
        </w:rPr>
      </w:pPr>
    </w:p>
    <w:p w14:paraId="476DB39B" w14:textId="77777777" w:rsidR="00F75444" w:rsidRDefault="00F75444">
      <w:pPr>
        <w:tabs>
          <w:tab w:val="left" w:pos="3374"/>
        </w:tabs>
        <w:spacing w:line="360" w:lineRule="auto"/>
        <w:ind w:right="-929"/>
        <w:rPr>
          <w:rFonts w:ascii="Palatino Linotype" w:eastAsia="Palatino Linotype" w:hAnsi="Palatino Linotype" w:cs="Palatino Linotype"/>
        </w:rPr>
      </w:pPr>
    </w:p>
    <w:p w14:paraId="5690123B" w14:textId="77777777" w:rsidR="00F75444" w:rsidRDefault="00F75444">
      <w:pPr>
        <w:tabs>
          <w:tab w:val="left" w:pos="3374"/>
        </w:tabs>
        <w:spacing w:line="360" w:lineRule="auto"/>
        <w:ind w:right="-929"/>
        <w:rPr>
          <w:rFonts w:ascii="Palatino Linotype" w:eastAsia="Palatino Linotype" w:hAnsi="Palatino Linotype" w:cs="Palatino Linotype"/>
        </w:rPr>
      </w:pPr>
    </w:p>
    <w:p w14:paraId="701841DD" w14:textId="77777777" w:rsidR="00F75444" w:rsidRDefault="00F75444">
      <w:pPr>
        <w:tabs>
          <w:tab w:val="left" w:pos="3374"/>
        </w:tabs>
        <w:spacing w:line="360" w:lineRule="auto"/>
        <w:ind w:right="-929"/>
        <w:rPr>
          <w:rFonts w:ascii="Palatino Linotype" w:eastAsia="Palatino Linotype" w:hAnsi="Palatino Linotype" w:cs="Palatino Linotype"/>
        </w:rPr>
      </w:pPr>
    </w:p>
    <w:p w14:paraId="6DA3B2B8" w14:textId="77777777" w:rsidR="00F75444" w:rsidRDefault="00F75444">
      <w:pPr>
        <w:tabs>
          <w:tab w:val="left" w:pos="3374"/>
        </w:tabs>
        <w:spacing w:line="360" w:lineRule="auto"/>
        <w:ind w:right="-929"/>
        <w:rPr>
          <w:rFonts w:ascii="Palatino Linotype" w:eastAsia="Palatino Linotype" w:hAnsi="Palatino Linotype" w:cs="Palatino Linotype"/>
        </w:rPr>
      </w:pPr>
    </w:p>
    <w:p w14:paraId="3C0C2B5D" w14:textId="77777777" w:rsidR="00F75444" w:rsidRDefault="00F75444">
      <w:pPr>
        <w:tabs>
          <w:tab w:val="left" w:pos="3374"/>
        </w:tabs>
        <w:spacing w:line="360" w:lineRule="auto"/>
        <w:ind w:right="-929"/>
        <w:rPr>
          <w:rFonts w:ascii="Palatino Linotype" w:eastAsia="Palatino Linotype" w:hAnsi="Palatino Linotype" w:cs="Palatino Linotype"/>
        </w:rPr>
      </w:pPr>
    </w:p>
    <w:p w14:paraId="39E865A1" w14:textId="77777777" w:rsidR="00F75444" w:rsidRDefault="00F75444">
      <w:pPr>
        <w:tabs>
          <w:tab w:val="left" w:pos="3374"/>
        </w:tabs>
        <w:spacing w:line="360" w:lineRule="auto"/>
        <w:ind w:right="-929"/>
        <w:rPr>
          <w:rFonts w:ascii="Palatino Linotype" w:eastAsia="Palatino Linotype" w:hAnsi="Palatino Linotype" w:cs="Palatino Linotype"/>
        </w:rPr>
      </w:pPr>
    </w:p>
    <w:p w14:paraId="238F98F9" w14:textId="77777777" w:rsidR="00F75444" w:rsidRDefault="00F75444">
      <w:pPr>
        <w:tabs>
          <w:tab w:val="left" w:pos="3374"/>
        </w:tabs>
        <w:spacing w:line="360" w:lineRule="auto"/>
        <w:ind w:right="-929"/>
        <w:rPr>
          <w:rFonts w:ascii="Palatino Linotype" w:eastAsia="Palatino Linotype" w:hAnsi="Palatino Linotype" w:cs="Palatino Linotype"/>
        </w:rPr>
      </w:pPr>
    </w:p>
    <w:p w14:paraId="56EC46DF" w14:textId="77777777" w:rsidR="00F75444" w:rsidRDefault="00F75444">
      <w:pPr>
        <w:tabs>
          <w:tab w:val="left" w:pos="3374"/>
        </w:tabs>
        <w:spacing w:line="360" w:lineRule="auto"/>
        <w:ind w:right="-929"/>
        <w:rPr>
          <w:rFonts w:ascii="Palatino Linotype" w:eastAsia="Palatino Linotype" w:hAnsi="Palatino Linotype" w:cs="Palatino Linotype"/>
        </w:rPr>
      </w:pPr>
    </w:p>
    <w:p w14:paraId="4167BE9D" w14:textId="77777777" w:rsidR="00F75444" w:rsidRDefault="00F75444">
      <w:pPr>
        <w:tabs>
          <w:tab w:val="left" w:pos="3374"/>
        </w:tabs>
        <w:spacing w:line="360" w:lineRule="auto"/>
        <w:ind w:right="-929"/>
        <w:rPr>
          <w:rFonts w:ascii="Palatino Linotype" w:eastAsia="Palatino Linotype" w:hAnsi="Palatino Linotype" w:cs="Palatino Linotype"/>
        </w:rPr>
      </w:pPr>
    </w:p>
    <w:p w14:paraId="44087290" w14:textId="77777777" w:rsidR="00F75444" w:rsidRDefault="00F75444">
      <w:pPr>
        <w:tabs>
          <w:tab w:val="left" w:pos="3374"/>
        </w:tabs>
        <w:spacing w:line="360" w:lineRule="auto"/>
        <w:ind w:right="-929"/>
        <w:rPr>
          <w:rFonts w:ascii="Palatino Linotype" w:eastAsia="Palatino Linotype" w:hAnsi="Palatino Linotype" w:cs="Palatino Linotype"/>
        </w:rPr>
      </w:pPr>
    </w:p>
    <w:p w14:paraId="131FDCE0" w14:textId="77777777" w:rsidR="00F75444" w:rsidRDefault="00F75444">
      <w:pPr>
        <w:tabs>
          <w:tab w:val="left" w:pos="3374"/>
        </w:tabs>
        <w:spacing w:line="360" w:lineRule="auto"/>
        <w:ind w:right="-929"/>
        <w:rPr>
          <w:rFonts w:ascii="Palatino Linotype" w:eastAsia="Palatino Linotype" w:hAnsi="Palatino Linotype" w:cs="Palatino Linotype"/>
        </w:rPr>
      </w:pPr>
    </w:p>
    <w:p w14:paraId="486939B1" w14:textId="77777777" w:rsidR="00F75444" w:rsidRDefault="00F75444">
      <w:pPr>
        <w:tabs>
          <w:tab w:val="left" w:pos="3374"/>
        </w:tabs>
        <w:spacing w:line="360" w:lineRule="auto"/>
        <w:ind w:right="-929"/>
        <w:rPr>
          <w:rFonts w:ascii="Palatino Linotype" w:eastAsia="Palatino Linotype" w:hAnsi="Palatino Linotype" w:cs="Palatino Linotype"/>
        </w:rPr>
      </w:pPr>
    </w:p>
    <w:p w14:paraId="07D71D9C" w14:textId="77777777" w:rsidR="00F75444" w:rsidRDefault="00F75444">
      <w:pPr>
        <w:tabs>
          <w:tab w:val="left" w:pos="3374"/>
        </w:tabs>
        <w:spacing w:line="360" w:lineRule="auto"/>
        <w:ind w:right="-929"/>
        <w:rPr>
          <w:rFonts w:ascii="Palatino Linotype" w:eastAsia="Palatino Linotype" w:hAnsi="Palatino Linotype" w:cs="Palatino Linotype"/>
        </w:rPr>
      </w:pPr>
    </w:p>
    <w:p w14:paraId="6297A922" w14:textId="77777777" w:rsidR="00F75444" w:rsidRDefault="00F75444">
      <w:pPr>
        <w:tabs>
          <w:tab w:val="left" w:pos="3374"/>
        </w:tabs>
        <w:spacing w:line="360" w:lineRule="auto"/>
        <w:ind w:right="-929"/>
        <w:rPr>
          <w:rFonts w:ascii="Palatino Linotype" w:eastAsia="Palatino Linotype" w:hAnsi="Palatino Linotype" w:cs="Palatino Linotype"/>
        </w:rPr>
      </w:pPr>
    </w:p>
    <w:p w14:paraId="6F4077C8" w14:textId="77777777" w:rsidR="00F75444" w:rsidRDefault="00F75444">
      <w:pPr>
        <w:tabs>
          <w:tab w:val="left" w:pos="3374"/>
        </w:tabs>
        <w:spacing w:line="360" w:lineRule="auto"/>
        <w:ind w:right="-929"/>
        <w:rPr>
          <w:rFonts w:ascii="Palatino Linotype" w:eastAsia="Palatino Linotype" w:hAnsi="Palatino Linotype" w:cs="Palatino Linotype"/>
        </w:rPr>
      </w:pPr>
    </w:p>
    <w:p w14:paraId="17402C38" w14:textId="77777777" w:rsidR="00F75444" w:rsidRDefault="00F75444">
      <w:pPr>
        <w:tabs>
          <w:tab w:val="left" w:pos="3374"/>
        </w:tabs>
        <w:spacing w:line="360" w:lineRule="auto"/>
        <w:ind w:right="-929"/>
        <w:rPr>
          <w:rFonts w:ascii="Palatino Linotype" w:eastAsia="Palatino Linotype" w:hAnsi="Palatino Linotype" w:cs="Palatino Linotype"/>
        </w:rPr>
      </w:pPr>
    </w:p>
    <w:p w14:paraId="13ED1DDD" w14:textId="77777777" w:rsidR="00F75444" w:rsidRDefault="00F75444">
      <w:pPr>
        <w:tabs>
          <w:tab w:val="left" w:pos="3374"/>
        </w:tabs>
        <w:spacing w:line="360" w:lineRule="auto"/>
        <w:ind w:right="-929"/>
        <w:rPr>
          <w:rFonts w:ascii="Palatino Linotype" w:eastAsia="Palatino Linotype" w:hAnsi="Palatino Linotype" w:cs="Palatino Linotype"/>
        </w:rPr>
      </w:pPr>
    </w:p>
    <w:p w14:paraId="0A9F5FA3" w14:textId="77777777" w:rsidR="00F75444" w:rsidRDefault="00F75444">
      <w:pPr>
        <w:tabs>
          <w:tab w:val="left" w:pos="3374"/>
        </w:tabs>
        <w:spacing w:line="360" w:lineRule="auto"/>
        <w:ind w:right="-929"/>
        <w:rPr>
          <w:rFonts w:ascii="Palatino Linotype" w:eastAsia="Palatino Linotype" w:hAnsi="Palatino Linotype" w:cs="Palatino Linotype"/>
        </w:rPr>
      </w:pPr>
    </w:p>
    <w:p w14:paraId="1F24941C" w14:textId="77777777" w:rsidR="00F75444" w:rsidRDefault="00F75444">
      <w:pPr>
        <w:tabs>
          <w:tab w:val="left" w:pos="3374"/>
        </w:tabs>
        <w:spacing w:line="360" w:lineRule="auto"/>
        <w:ind w:right="-929"/>
        <w:rPr>
          <w:rFonts w:ascii="Palatino Linotype" w:eastAsia="Palatino Linotype" w:hAnsi="Palatino Linotype" w:cs="Palatino Linotype"/>
        </w:rPr>
      </w:pPr>
    </w:p>
    <w:sectPr w:rsidR="00F75444">
      <w:headerReference w:type="even" r:id="rId16"/>
      <w:headerReference w:type="default" r:id="rId17"/>
      <w:footerReference w:type="default" r:id="rId18"/>
      <w:headerReference w:type="first" r:id="rId19"/>
      <w:footerReference w:type="first" r:id="rId20"/>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5CC8B" w14:textId="77777777" w:rsidR="00D869F8" w:rsidRDefault="00D869F8">
      <w:r>
        <w:separator/>
      </w:r>
    </w:p>
  </w:endnote>
  <w:endnote w:type="continuationSeparator" w:id="0">
    <w:p w14:paraId="60D5A5EA" w14:textId="77777777" w:rsidR="00D869F8" w:rsidRDefault="00D8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EFF1223E-78C3-49E9-A30A-1ABFBF934541}"/>
    <w:embedBold r:id="rId2" w:fontKey="{092B275B-A258-4644-9A41-212C2528933C}"/>
    <w:embedItalic r:id="rId3" w:fontKey="{B4955587-3E96-44F3-8E80-5C8B1F62CC9E}"/>
    <w:embedBoldItalic r:id="rId4" w:fontKey="{8F8F09A9-EAC1-4950-B779-D87130A79091}"/>
  </w:font>
  <w:font w:name="Noto Sans Symbols">
    <w:charset w:val="00"/>
    <w:family w:val="auto"/>
    <w:pitch w:val="default"/>
    <w:embedRegular r:id="rId5" w:fontKey="{786F2608-36B4-4D80-B8E0-D4010E13B6E9}"/>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5AB85D89-D3A7-48A8-88F3-3629FE1213AF}"/>
    <w:embedBold r:id="rId7" w:fontKey="{A9A16C54-5F20-43F0-B691-886C09828EDD}"/>
    <w:embedItalic r:id="rId8" w:fontKey="{84F65263-D7AA-411C-92A2-936BA3333FCE}"/>
    <w:embedBoldItalic r:id="rId9" w:fontKey="{F56AA3B9-387D-48D1-9094-E987761144D9}"/>
  </w:font>
  <w:font w:name="Georgia">
    <w:panose1 w:val="02040502050405020303"/>
    <w:charset w:val="00"/>
    <w:family w:val="roman"/>
    <w:pitch w:val="variable"/>
    <w:sig w:usb0="00000287" w:usb1="00000000" w:usb2="00000000" w:usb3="00000000" w:csb0="0000009F" w:csb1="00000000"/>
    <w:embedItalic r:id="rId10" w:fontKey="{0C0A261F-7BC7-46FC-A614-01106F0A8B24}"/>
  </w:font>
  <w:font w:name="Quattrocento Sans">
    <w:charset w:val="00"/>
    <w:family w:val="swiss"/>
    <w:pitch w:val="variable"/>
    <w:sig w:usb0="800000BF" w:usb1="4000005B" w:usb2="00000000" w:usb3="00000000" w:csb0="00000001" w:csb1="00000000"/>
    <w:embedItalic r:id="rId11" w:fontKey="{123D7151-F910-45A4-9E5C-4CD879B9308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2" w:fontKey="{4DFDBBAF-C420-4813-B8C2-7FAC9B1EC7E9}"/>
    <w:embedBold r:id="rId13" w:fontKey="{531A57F3-58BC-42A9-8A6B-963522859A30}"/>
    <w:embedBoldItalic r:id="rId14" w:fontKey="{B3DA0345-79AD-4E13-A0BE-D2FADBE2728F}"/>
  </w:font>
  <w:font w:name="Cambria">
    <w:panose1 w:val="02040503050406030204"/>
    <w:charset w:val="00"/>
    <w:family w:val="roman"/>
    <w:pitch w:val="variable"/>
    <w:sig w:usb0="E00006FF" w:usb1="420024FF" w:usb2="02000000" w:usb3="00000000" w:csb0="0000019F" w:csb1="00000000"/>
    <w:embedRegular r:id="rId15" w:fontKey="{8001A971-86EF-4790-ACB9-566746B6B8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6A244" w14:textId="77777777" w:rsidR="00DF6000" w:rsidRDefault="00DF600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C25D67">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C25D67">
      <w:rPr>
        <w:rFonts w:ascii="Palatino Linotype" w:eastAsia="Palatino Linotype" w:hAnsi="Palatino Linotype" w:cs="Palatino Linotype"/>
        <w:noProof/>
        <w:color w:val="000000"/>
        <w:sz w:val="22"/>
        <w:szCs w:val="22"/>
      </w:rPr>
      <w:t>66</w:t>
    </w:r>
    <w:r>
      <w:rPr>
        <w:rFonts w:ascii="Palatino Linotype" w:eastAsia="Palatino Linotype" w:hAnsi="Palatino Linotype" w:cs="Palatino Linotype"/>
        <w:color w:val="000000"/>
        <w:sz w:val="22"/>
        <w:szCs w:val="22"/>
      </w:rPr>
      <w:fldChar w:fldCharType="end"/>
    </w:r>
  </w:p>
  <w:p w14:paraId="504BDD93" w14:textId="77777777" w:rsidR="00DF6000" w:rsidRDefault="00DF600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B12FB" w14:textId="77777777" w:rsidR="00DF6000" w:rsidRDefault="00DF600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C25D67">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C25D67">
      <w:rPr>
        <w:rFonts w:ascii="Palatino Linotype" w:eastAsia="Palatino Linotype" w:hAnsi="Palatino Linotype" w:cs="Palatino Linotype"/>
        <w:noProof/>
        <w:color w:val="000000"/>
        <w:sz w:val="22"/>
        <w:szCs w:val="22"/>
      </w:rPr>
      <w:t>66</w:t>
    </w:r>
    <w:r>
      <w:rPr>
        <w:rFonts w:ascii="Palatino Linotype" w:eastAsia="Palatino Linotype" w:hAnsi="Palatino Linotype" w:cs="Palatino Linotype"/>
        <w:color w:val="000000"/>
        <w:sz w:val="22"/>
        <w:szCs w:val="22"/>
      </w:rPr>
      <w:fldChar w:fldCharType="end"/>
    </w:r>
  </w:p>
  <w:p w14:paraId="27A4049F" w14:textId="77777777" w:rsidR="00DF6000" w:rsidRDefault="00DF600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560CA" w14:textId="77777777" w:rsidR="00D869F8" w:rsidRDefault="00D869F8">
      <w:r>
        <w:separator/>
      </w:r>
    </w:p>
  </w:footnote>
  <w:footnote w:type="continuationSeparator" w:id="0">
    <w:p w14:paraId="665148D5" w14:textId="77777777" w:rsidR="00D869F8" w:rsidRDefault="00D86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67C54" w14:textId="77777777" w:rsidR="00DF6000" w:rsidRDefault="00D869F8">
    <w:pPr>
      <w:pBdr>
        <w:top w:val="nil"/>
        <w:left w:val="nil"/>
        <w:bottom w:val="nil"/>
        <w:right w:val="nil"/>
        <w:between w:val="nil"/>
      </w:pBdr>
      <w:tabs>
        <w:tab w:val="center" w:pos="4419"/>
        <w:tab w:val="right" w:pos="8838"/>
      </w:tabs>
      <w:rPr>
        <w:color w:val="000000"/>
      </w:rPr>
    </w:pPr>
    <w:r>
      <w:rPr>
        <w:color w:val="000000"/>
      </w:rPr>
      <w:pict w14:anchorId="7B6EF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C9ED8" w14:textId="77777777" w:rsidR="00DF6000" w:rsidRDefault="00DF6000">
    <w:pPr>
      <w:widowControl w:val="0"/>
      <w:pBdr>
        <w:top w:val="nil"/>
        <w:left w:val="nil"/>
        <w:bottom w:val="nil"/>
        <w:right w:val="nil"/>
        <w:between w:val="nil"/>
      </w:pBdr>
      <w:spacing w:line="276" w:lineRule="auto"/>
      <w:rPr>
        <w:color w:val="000000"/>
      </w:rPr>
    </w:pPr>
  </w:p>
  <w:tbl>
    <w:tblPr>
      <w:tblStyle w:val="a1"/>
      <w:tblW w:w="7890" w:type="dxa"/>
      <w:tblInd w:w="2552" w:type="dxa"/>
      <w:tblLayout w:type="fixed"/>
      <w:tblLook w:val="0400" w:firstRow="0" w:lastRow="0" w:firstColumn="0" w:lastColumn="0" w:noHBand="0" w:noVBand="1"/>
    </w:tblPr>
    <w:tblGrid>
      <w:gridCol w:w="3744"/>
      <w:gridCol w:w="4146"/>
    </w:tblGrid>
    <w:tr w:rsidR="00DF6000" w14:paraId="5B5ADCAB" w14:textId="77777777">
      <w:trPr>
        <w:trHeight w:val="281"/>
      </w:trPr>
      <w:tc>
        <w:tcPr>
          <w:tcW w:w="3744" w:type="dxa"/>
          <w:vAlign w:val="center"/>
        </w:tcPr>
        <w:p w14:paraId="0136BEAE" w14:textId="77777777" w:rsidR="00DF6000" w:rsidRDefault="00DF600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14:paraId="2C3DD681" w14:textId="77777777" w:rsidR="00DF6000" w:rsidRDefault="00DF600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01128/INFOEM/IP/RR/2026</w:t>
          </w:r>
        </w:p>
      </w:tc>
    </w:tr>
    <w:tr w:rsidR="00DF6000" w14:paraId="0DA87E02" w14:textId="77777777">
      <w:trPr>
        <w:trHeight w:val="342"/>
      </w:trPr>
      <w:tc>
        <w:tcPr>
          <w:tcW w:w="3744" w:type="dxa"/>
        </w:tcPr>
        <w:p w14:paraId="47D06E3D" w14:textId="77777777" w:rsidR="00DF6000" w:rsidRDefault="00DF600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14:paraId="222201B7" w14:textId="77777777" w:rsidR="00DF6000" w:rsidRDefault="00DF600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Tejupilco</w:t>
          </w:r>
        </w:p>
      </w:tc>
    </w:tr>
    <w:tr w:rsidR="00DF6000" w14:paraId="64327739" w14:textId="77777777">
      <w:trPr>
        <w:trHeight w:val="342"/>
      </w:trPr>
      <w:tc>
        <w:tcPr>
          <w:tcW w:w="3744" w:type="dxa"/>
          <w:vAlign w:val="center"/>
        </w:tcPr>
        <w:p w14:paraId="13F6D2DE" w14:textId="77777777" w:rsidR="00DF6000" w:rsidRDefault="00DF600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14:paraId="7F0454B4" w14:textId="77777777" w:rsidR="00DF6000" w:rsidRDefault="00DF6000">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7F14AD08" w14:textId="77777777" w:rsidR="00DF6000" w:rsidRDefault="00D869F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6B8AF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6"/>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890" w:type="dxa"/>
      <w:tblInd w:w="2552" w:type="dxa"/>
      <w:tblLayout w:type="fixed"/>
      <w:tblLook w:val="0400" w:firstRow="0" w:lastRow="0" w:firstColumn="0" w:lastColumn="0" w:noHBand="0" w:noVBand="1"/>
    </w:tblPr>
    <w:tblGrid>
      <w:gridCol w:w="3744"/>
      <w:gridCol w:w="4146"/>
    </w:tblGrid>
    <w:tr w:rsidR="00DF6000" w14:paraId="43C84F64" w14:textId="77777777">
      <w:trPr>
        <w:trHeight w:val="281"/>
      </w:trPr>
      <w:tc>
        <w:tcPr>
          <w:tcW w:w="3744" w:type="dxa"/>
          <w:vAlign w:val="center"/>
        </w:tcPr>
        <w:p w14:paraId="620D2775" w14:textId="77777777" w:rsidR="00DF6000" w:rsidRDefault="00DF600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14:paraId="2DAF93DD" w14:textId="77777777" w:rsidR="00DF6000" w:rsidRDefault="00DF600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01128/INFOEM/IP/RR/2026</w:t>
          </w:r>
        </w:p>
      </w:tc>
    </w:tr>
    <w:tr w:rsidR="00DF6000" w14:paraId="662E4CB8" w14:textId="77777777">
      <w:trPr>
        <w:trHeight w:val="242"/>
      </w:trPr>
      <w:tc>
        <w:tcPr>
          <w:tcW w:w="3744" w:type="dxa"/>
          <w:vAlign w:val="center"/>
        </w:tcPr>
        <w:p w14:paraId="769A7B74" w14:textId="77777777" w:rsidR="00DF6000" w:rsidRDefault="00DF600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46" w:type="dxa"/>
        </w:tcPr>
        <w:p w14:paraId="1F7EFFF6" w14:textId="42BBEF3D" w:rsidR="00DF6000" w:rsidRDefault="00C25D67">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DF6000" w14:paraId="0F950224" w14:textId="77777777">
      <w:trPr>
        <w:trHeight w:val="342"/>
      </w:trPr>
      <w:tc>
        <w:tcPr>
          <w:tcW w:w="3744" w:type="dxa"/>
        </w:tcPr>
        <w:p w14:paraId="19420C35" w14:textId="77777777" w:rsidR="00DF6000" w:rsidRDefault="00DF600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14:paraId="15DB0D2C" w14:textId="77777777" w:rsidR="00DF6000" w:rsidRDefault="00DF600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Tejupilco</w:t>
          </w:r>
        </w:p>
      </w:tc>
    </w:tr>
    <w:tr w:rsidR="00DF6000" w14:paraId="5E96CB9E" w14:textId="77777777">
      <w:trPr>
        <w:trHeight w:val="342"/>
      </w:trPr>
      <w:tc>
        <w:tcPr>
          <w:tcW w:w="3744" w:type="dxa"/>
          <w:vAlign w:val="center"/>
        </w:tcPr>
        <w:p w14:paraId="627FD88C" w14:textId="77777777" w:rsidR="00DF6000" w:rsidRDefault="00DF600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14:paraId="5DA358E9" w14:textId="77777777" w:rsidR="00DF6000" w:rsidRDefault="00DF6000">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5A0E5898" w14:textId="77777777" w:rsidR="00DF6000" w:rsidRDefault="00D869F8">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4C31D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49A9"/>
    <w:multiLevelType w:val="multilevel"/>
    <w:tmpl w:val="1FD4945A"/>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 w15:restartNumberingAfterBreak="0">
    <w:nsid w:val="04F14543"/>
    <w:multiLevelType w:val="multilevel"/>
    <w:tmpl w:val="A6801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1"/>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AB4AD1"/>
    <w:multiLevelType w:val="multilevel"/>
    <w:tmpl w:val="EFD68F6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D74588"/>
    <w:multiLevelType w:val="multilevel"/>
    <w:tmpl w:val="5610166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3148CF"/>
    <w:multiLevelType w:val="multilevel"/>
    <w:tmpl w:val="D570D38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5" w15:restartNumberingAfterBreak="0">
    <w:nsid w:val="1A597BDA"/>
    <w:multiLevelType w:val="multilevel"/>
    <w:tmpl w:val="74F4535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24CB387C"/>
    <w:multiLevelType w:val="hybridMultilevel"/>
    <w:tmpl w:val="D1123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C44F84"/>
    <w:multiLevelType w:val="multilevel"/>
    <w:tmpl w:val="7E864BC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360E789B"/>
    <w:multiLevelType w:val="multilevel"/>
    <w:tmpl w:val="4C5AAB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1F07B1"/>
    <w:multiLevelType w:val="multilevel"/>
    <w:tmpl w:val="6B3A1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296FED"/>
    <w:multiLevelType w:val="multilevel"/>
    <w:tmpl w:val="42E6054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9A044E"/>
    <w:multiLevelType w:val="multilevel"/>
    <w:tmpl w:val="9D6E1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781902"/>
    <w:multiLevelType w:val="multilevel"/>
    <w:tmpl w:val="4BCE8524"/>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3" w15:restartNumberingAfterBreak="0">
    <w:nsid w:val="4BE37D85"/>
    <w:multiLevelType w:val="multilevel"/>
    <w:tmpl w:val="4F865C94"/>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4" w15:restartNumberingAfterBreak="0">
    <w:nsid w:val="5432417A"/>
    <w:multiLevelType w:val="multilevel"/>
    <w:tmpl w:val="6A18AA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910161F"/>
    <w:multiLevelType w:val="multilevel"/>
    <w:tmpl w:val="B7DCE50A"/>
    <w:lvl w:ilvl="0">
      <w:start w:val="1"/>
      <w:numFmt w:val="decimal"/>
      <w:lvlText w:val="%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3F6A02"/>
    <w:multiLevelType w:val="multilevel"/>
    <w:tmpl w:val="57B096F6"/>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7" w15:restartNumberingAfterBreak="0">
    <w:nsid w:val="6187341F"/>
    <w:multiLevelType w:val="multilevel"/>
    <w:tmpl w:val="86E21C1A"/>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8" w15:restartNumberingAfterBreak="0">
    <w:nsid w:val="64137360"/>
    <w:multiLevelType w:val="multilevel"/>
    <w:tmpl w:val="EDCE7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5E14E2"/>
    <w:multiLevelType w:val="multilevel"/>
    <w:tmpl w:val="92FA2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B070BEB"/>
    <w:multiLevelType w:val="multilevel"/>
    <w:tmpl w:val="CB0AD652"/>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num w:numId="1">
    <w:abstractNumId w:val="11"/>
  </w:num>
  <w:num w:numId="2">
    <w:abstractNumId w:val="19"/>
  </w:num>
  <w:num w:numId="3">
    <w:abstractNumId w:val="3"/>
  </w:num>
  <w:num w:numId="4">
    <w:abstractNumId w:val="9"/>
  </w:num>
  <w:num w:numId="5">
    <w:abstractNumId w:val="7"/>
  </w:num>
  <w:num w:numId="6">
    <w:abstractNumId w:val="1"/>
  </w:num>
  <w:num w:numId="7">
    <w:abstractNumId w:val="18"/>
  </w:num>
  <w:num w:numId="8">
    <w:abstractNumId w:val="16"/>
  </w:num>
  <w:num w:numId="9">
    <w:abstractNumId w:val="20"/>
  </w:num>
  <w:num w:numId="10">
    <w:abstractNumId w:val="13"/>
  </w:num>
  <w:num w:numId="11">
    <w:abstractNumId w:val="0"/>
  </w:num>
  <w:num w:numId="12">
    <w:abstractNumId w:val="17"/>
  </w:num>
  <w:num w:numId="13">
    <w:abstractNumId w:val="12"/>
  </w:num>
  <w:num w:numId="14">
    <w:abstractNumId w:val="4"/>
  </w:num>
  <w:num w:numId="15">
    <w:abstractNumId w:val="10"/>
  </w:num>
  <w:num w:numId="16">
    <w:abstractNumId w:val="14"/>
  </w:num>
  <w:num w:numId="17">
    <w:abstractNumId w:val="2"/>
  </w:num>
  <w:num w:numId="18">
    <w:abstractNumId w:val="15"/>
  </w:num>
  <w:num w:numId="19">
    <w:abstractNumId w:val="5"/>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6E"/>
    <w:rsid w:val="001C1444"/>
    <w:rsid w:val="001D2684"/>
    <w:rsid w:val="00317F17"/>
    <w:rsid w:val="003E4468"/>
    <w:rsid w:val="00401123"/>
    <w:rsid w:val="0043639F"/>
    <w:rsid w:val="00582122"/>
    <w:rsid w:val="00591E10"/>
    <w:rsid w:val="007E6D6E"/>
    <w:rsid w:val="008A3848"/>
    <w:rsid w:val="00933F59"/>
    <w:rsid w:val="00B4117F"/>
    <w:rsid w:val="00C25D67"/>
    <w:rsid w:val="00D4413D"/>
    <w:rsid w:val="00D80A64"/>
    <w:rsid w:val="00D869F8"/>
    <w:rsid w:val="00DF6000"/>
    <w:rsid w:val="00E90599"/>
    <w:rsid w:val="00ED1C06"/>
    <w:rsid w:val="00F754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EED2F8"/>
  <w15:docId w15:val="{661594E5-C60B-4308-8EB8-5E5CECA8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933F59"/>
    <w:pPr>
      <w:ind w:left="720"/>
      <w:contextualSpacing/>
    </w:pPr>
  </w:style>
  <w:style w:type="paragraph" w:styleId="Piedepgina">
    <w:name w:val="footer"/>
    <w:basedOn w:val="Normal"/>
    <w:link w:val="PiedepginaCar"/>
    <w:uiPriority w:val="99"/>
    <w:unhideWhenUsed/>
    <w:rsid w:val="00C25D67"/>
    <w:pPr>
      <w:tabs>
        <w:tab w:val="center" w:pos="4419"/>
        <w:tab w:val="right" w:pos="8838"/>
      </w:tabs>
    </w:pPr>
  </w:style>
  <w:style w:type="character" w:customStyle="1" w:styleId="PiedepginaCar">
    <w:name w:val="Pie de página Car"/>
    <w:basedOn w:val="Fuentedeprrafopredeter"/>
    <w:link w:val="Piedepgina"/>
    <w:uiPriority w:val="99"/>
    <w:rsid w:val="00C25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foem.org.mx/es/node/80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tejupilco.gob.mx/mejora-regulatoria-municipal/catalogo-municipal-de-regulac" TargetMode="External"/><Relationship Id="rId14" Type="http://schemas.openxmlformats.org/officeDocument/2006/relationships/image" Target="media/image5.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inIlFN3+pNjfaVhrT4xp07DrQ==">CgMxLjAyCGguZ2pkZ3hzMg5oLnRmaHFvdWp1eW45ODIJaC4zMGowemxsMgloLjFmb2I5dGUyCWguMmV0OTJwMDIJaC4xdDNoNXNmMgloLjI2aW4xcmcyDmgucG4xazkxY2wzbWZhOAByITE1OWhvM2hxUWVJSGlNYnZXUklPZnRZWXc3TUZ3aE5rRA==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66</Pages>
  <Words>16546</Words>
  <Characters>91003</Characters>
  <Application>Microsoft Office Word</Application>
  <DocSecurity>0</DocSecurity>
  <Lines>758</Lines>
  <Paragraphs>214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107335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2026-06-05T16:39:00Z</cp:lastPrinted>
  <dcterms:created xsi:type="dcterms:W3CDTF">2026-06-01T22:02:00Z</dcterms:created>
  <dcterms:modified xsi:type="dcterms:W3CDTF">2026-06-09T22:54:00Z</dcterms:modified>
</cp:coreProperties>
</file>