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A3B" w:rsidRPr="006611A3" w:rsidRDefault="002905ED">
      <w:pPr>
        <w:tabs>
          <w:tab w:val="left" w:pos="0"/>
        </w:tabs>
        <w:spacing w:line="360" w:lineRule="auto"/>
        <w:ind w:right="-879"/>
        <w:jc w:val="both"/>
        <w:rPr>
          <w:rFonts w:ascii="Palatino Linotype" w:eastAsia="Palatino Linotype" w:hAnsi="Palatino Linotype" w:cs="Palatino Linotype"/>
        </w:rPr>
      </w:pPr>
      <w:r w:rsidRPr="006611A3">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w:t>
      </w:r>
      <w:r w:rsidR="006611A3" w:rsidRPr="006611A3">
        <w:rPr>
          <w:rFonts w:ascii="Palatino Linotype" w:eastAsia="Palatino Linotype" w:hAnsi="Palatino Linotype" w:cs="Palatino Linotype"/>
        </w:rPr>
        <w:t xml:space="preserve"> fecha</w:t>
      </w:r>
      <w:r w:rsidRPr="006611A3">
        <w:rPr>
          <w:rFonts w:ascii="Palatino Linotype" w:eastAsia="Palatino Linotype" w:hAnsi="Palatino Linotype" w:cs="Palatino Linotype"/>
          <w:b/>
        </w:rPr>
        <w:t xml:space="preserve"> </w:t>
      </w:r>
      <w:r w:rsidR="00DD4EFA" w:rsidRPr="006611A3">
        <w:rPr>
          <w:rFonts w:ascii="Palatino Linotype" w:eastAsia="Palatino Linotype" w:hAnsi="Palatino Linotype" w:cs="Palatino Linotype"/>
          <w:b/>
        </w:rPr>
        <w:t xml:space="preserve">trece </w:t>
      </w:r>
      <w:r w:rsidR="006611A3" w:rsidRPr="006611A3">
        <w:rPr>
          <w:rFonts w:ascii="Palatino Linotype" w:eastAsia="Palatino Linotype" w:hAnsi="Palatino Linotype" w:cs="Palatino Linotype"/>
          <w:b/>
        </w:rPr>
        <w:t xml:space="preserve">(13) </w:t>
      </w:r>
      <w:r w:rsidR="00DD4EFA" w:rsidRPr="006611A3">
        <w:rPr>
          <w:rFonts w:ascii="Palatino Linotype" w:eastAsia="Palatino Linotype" w:hAnsi="Palatino Linotype" w:cs="Palatino Linotype"/>
          <w:b/>
        </w:rPr>
        <w:t xml:space="preserve">de mayo </w:t>
      </w:r>
      <w:r w:rsidR="00E375E7" w:rsidRPr="006611A3">
        <w:rPr>
          <w:rFonts w:ascii="Palatino Linotype" w:eastAsia="Palatino Linotype" w:hAnsi="Palatino Linotype" w:cs="Palatino Linotype"/>
          <w:b/>
        </w:rPr>
        <w:t>de dos mil veintiséis</w:t>
      </w:r>
      <w:r w:rsidRPr="006611A3">
        <w:rPr>
          <w:rFonts w:ascii="Palatino Linotype" w:eastAsia="Palatino Linotype" w:hAnsi="Palatino Linotype" w:cs="Palatino Linotype"/>
          <w:b/>
        </w:rPr>
        <w:t>.</w:t>
      </w:r>
      <w:r w:rsidRPr="006611A3">
        <w:rPr>
          <w:rFonts w:ascii="Palatino Linotype" w:eastAsia="Palatino Linotype" w:hAnsi="Palatino Linotype" w:cs="Palatino Linotype"/>
        </w:rPr>
        <w:t xml:space="preserve"> </w:t>
      </w:r>
    </w:p>
    <w:p w:rsidR="00BD7A3B" w:rsidRPr="006611A3" w:rsidRDefault="00BD7A3B">
      <w:pPr>
        <w:tabs>
          <w:tab w:val="left" w:pos="0"/>
        </w:tabs>
        <w:spacing w:line="360" w:lineRule="auto"/>
        <w:ind w:right="-879"/>
        <w:jc w:val="both"/>
        <w:rPr>
          <w:rFonts w:ascii="Palatino Linotype" w:eastAsia="Palatino Linotype" w:hAnsi="Palatino Linotype" w:cs="Palatino Linotype"/>
        </w:rPr>
      </w:pPr>
    </w:p>
    <w:p w:rsidR="00BD7A3B" w:rsidRPr="006611A3" w:rsidRDefault="002905ED">
      <w:pPr>
        <w:spacing w:line="360" w:lineRule="auto"/>
        <w:ind w:right="-879"/>
        <w:jc w:val="both"/>
        <w:rPr>
          <w:rFonts w:ascii="Palatino Linotype" w:eastAsia="Palatino Linotype" w:hAnsi="Palatino Linotype" w:cs="Palatino Linotype"/>
        </w:rPr>
      </w:pPr>
      <w:r w:rsidRPr="006611A3">
        <w:rPr>
          <w:rFonts w:ascii="Palatino Linotype" w:eastAsia="Palatino Linotype" w:hAnsi="Palatino Linotype" w:cs="Palatino Linotype"/>
          <w:b/>
        </w:rPr>
        <w:t>VISTO</w:t>
      </w:r>
      <w:r w:rsidRPr="006611A3">
        <w:rPr>
          <w:rFonts w:ascii="Palatino Linotype" w:eastAsia="Palatino Linotype" w:hAnsi="Palatino Linotype" w:cs="Palatino Linotype"/>
        </w:rPr>
        <w:t xml:space="preserve"> el expediente electrónico formado con motivo del recurso de revisión </w:t>
      </w:r>
      <w:r w:rsidR="004550C1" w:rsidRPr="006611A3">
        <w:rPr>
          <w:rFonts w:ascii="Palatino Linotype" w:eastAsia="Palatino Linotype" w:hAnsi="Palatino Linotype" w:cs="Palatino Linotype"/>
          <w:b/>
        </w:rPr>
        <w:t>00888/INFOEM/ICR-123/IP/RR/2026</w:t>
      </w:r>
      <w:r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rPr>
        <w:t xml:space="preserve">promovido </w:t>
      </w:r>
      <w:r w:rsidR="005106BB" w:rsidRPr="006611A3">
        <w:rPr>
          <w:rFonts w:ascii="Palatino Linotype" w:eastAsia="Palatino Linotype" w:hAnsi="Palatino Linotype" w:cs="Palatino Linotype"/>
        </w:rPr>
        <w:t>por</w:t>
      </w:r>
      <w:r w:rsidR="005106BB" w:rsidRPr="006611A3">
        <w:rPr>
          <w:rFonts w:ascii="Palatino Linotype" w:eastAsia="Palatino Linotype" w:hAnsi="Palatino Linotype" w:cs="Palatino Linotype"/>
          <w:b/>
        </w:rPr>
        <w:t xml:space="preserve"> </w:t>
      </w:r>
      <w:r w:rsidR="00A203CC">
        <w:rPr>
          <w:rFonts w:ascii="Palatino Linotype" w:eastAsia="Palatino Linotype" w:hAnsi="Palatino Linotype" w:cs="Palatino Linotype"/>
          <w:b/>
        </w:rPr>
        <w:t>XXXX</w:t>
      </w:r>
      <w:r w:rsidRPr="006611A3">
        <w:rPr>
          <w:rFonts w:ascii="Palatino Linotype" w:eastAsia="Palatino Linotype" w:hAnsi="Palatino Linotype" w:cs="Palatino Linotype"/>
        </w:rPr>
        <w:t xml:space="preserve">, a quien en lo sucesivo se le identificara como </w:t>
      </w:r>
      <w:r w:rsidR="004550C1" w:rsidRPr="006611A3">
        <w:rPr>
          <w:rFonts w:ascii="Palatino Linotype" w:eastAsia="Palatino Linotype" w:hAnsi="Palatino Linotype" w:cs="Palatino Linotype"/>
          <w:b/>
        </w:rPr>
        <w:t>EL</w:t>
      </w:r>
      <w:r w:rsidR="004550C1"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b/>
        </w:rPr>
        <w:t>RECURRENTE</w:t>
      </w:r>
      <w:r w:rsidRPr="006611A3">
        <w:rPr>
          <w:rFonts w:ascii="Palatino Linotype" w:eastAsia="Palatino Linotype" w:hAnsi="Palatino Linotype" w:cs="Palatino Linotype"/>
        </w:rPr>
        <w:t xml:space="preserve">, en contra de la respuesta del </w:t>
      </w:r>
      <w:r w:rsidR="004550C1" w:rsidRPr="006611A3">
        <w:rPr>
          <w:rFonts w:ascii="Palatino Linotype" w:eastAsia="Palatino Linotype" w:hAnsi="Palatino Linotype" w:cs="Palatino Linotype"/>
          <w:b/>
          <w:bCs/>
        </w:rPr>
        <w:t>Sistema Municipal Para el Desarrollo Integral de la Familia de Ixtapaluca</w:t>
      </w:r>
      <w:r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rPr>
        <w:t xml:space="preserve">en </w:t>
      </w:r>
      <w:r w:rsidR="006611A3" w:rsidRPr="006611A3">
        <w:rPr>
          <w:rFonts w:ascii="Palatino Linotype" w:eastAsia="Palatino Linotype" w:hAnsi="Palatino Linotype" w:cs="Palatino Linotype"/>
        </w:rPr>
        <w:t>adelante</w:t>
      </w:r>
      <w:r w:rsidRPr="006611A3">
        <w:rPr>
          <w:rFonts w:ascii="Palatino Linotype" w:eastAsia="Palatino Linotype" w:hAnsi="Palatino Linotype" w:cs="Palatino Linotype"/>
        </w:rPr>
        <w:t xml:space="preserve"> el</w:t>
      </w:r>
      <w:r w:rsidRPr="006611A3">
        <w:rPr>
          <w:rFonts w:ascii="Palatino Linotype" w:eastAsia="Palatino Linotype" w:hAnsi="Palatino Linotype" w:cs="Palatino Linotype"/>
          <w:b/>
        </w:rPr>
        <w:t xml:space="preserve"> SUJETO OBLIGADO, </w:t>
      </w:r>
      <w:r w:rsidRPr="006611A3">
        <w:rPr>
          <w:rFonts w:ascii="Palatino Linotype" w:eastAsia="Palatino Linotype" w:hAnsi="Palatino Linotype" w:cs="Palatino Linotype"/>
        </w:rPr>
        <w:t xml:space="preserve">se procede a dictar la presente resolución, con base en los siguientes: </w:t>
      </w:r>
      <w:bookmarkStart w:id="0" w:name="_GoBack"/>
      <w:bookmarkEnd w:id="0"/>
    </w:p>
    <w:p w:rsidR="00BD7A3B" w:rsidRPr="006611A3" w:rsidRDefault="00BD7A3B">
      <w:pPr>
        <w:spacing w:line="360" w:lineRule="auto"/>
        <w:ind w:right="-879"/>
        <w:jc w:val="both"/>
        <w:rPr>
          <w:rFonts w:ascii="Palatino Linotype" w:eastAsia="Palatino Linotype" w:hAnsi="Palatino Linotype" w:cs="Palatino Linotype"/>
        </w:rPr>
      </w:pPr>
    </w:p>
    <w:p w:rsidR="00BD7A3B" w:rsidRPr="006611A3" w:rsidRDefault="002905ED">
      <w:pPr>
        <w:keepNext/>
        <w:keepLines/>
        <w:tabs>
          <w:tab w:val="left" w:pos="0"/>
        </w:tabs>
        <w:spacing w:line="360" w:lineRule="auto"/>
        <w:ind w:right="-879"/>
        <w:jc w:val="center"/>
        <w:rPr>
          <w:rFonts w:ascii="Palatino Linotype" w:eastAsia="Palatino Linotype" w:hAnsi="Palatino Linotype" w:cs="Palatino Linotype"/>
          <w:b/>
        </w:rPr>
      </w:pPr>
      <w:bookmarkStart w:id="1" w:name="_heading=h.dbwx6li7inh1" w:colFirst="0" w:colLast="0"/>
      <w:bookmarkEnd w:id="1"/>
      <w:r w:rsidRPr="006611A3">
        <w:rPr>
          <w:rFonts w:ascii="Palatino Linotype" w:eastAsia="Palatino Linotype" w:hAnsi="Palatino Linotype" w:cs="Palatino Linotype"/>
          <w:b/>
        </w:rPr>
        <w:t>A</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N</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T</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E</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C</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E</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D</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E</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N</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T</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E</w:t>
      </w:r>
      <w:r w:rsidR="006611A3"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S</w:t>
      </w:r>
    </w:p>
    <w:p w:rsidR="00BD7A3B" w:rsidRPr="006611A3" w:rsidRDefault="00BD7A3B">
      <w:pPr>
        <w:keepNext/>
        <w:keepLines/>
        <w:tabs>
          <w:tab w:val="left" w:pos="0"/>
        </w:tabs>
        <w:spacing w:line="360" w:lineRule="auto"/>
        <w:ind w:right="-879"/>
        <w:jc w:val="center"/>
        <w:rPr>
          <w:rFonts w:ascii="Palatino Linotype" w:eastAsia="Palatino Linotype" w:hAnsi="Palatino Linotype" w:cs="Palatino Linotype"/>
          <w:b/>
        </w:rPr>
      </w:pPr>
    </w:p>
    <w:p w:rsidR="00E84CF7" w:rsidRPr="006611A3" w:rsidRDefault="00E84CF7" w:rsidP="004550C1">
      <w:pPr>
        <w:numPr>
          <w:ilvl w:val="0"/>
          <w:numId w:val="1"/>
        </w:numPr>
        <w:tabs>
          <w:tab w:val="left" w:pos="0"/>
        </w:tabs>
        <w:spacing w:line="360" w:lineRule="auto"/>
        <w:ind w:left="0" w:right="-879" w:firstLine="0"/>
        <w:jc w:val="both"/>
        <w:rPr>
          <w:rFonts w:ascii="Palatino Linotype" w:eastAsia="Palatino Linotype" w:hAnsi="Palatino Linotype" w:cs="Palatino Linotype"/>
          <w:color w:val="000000" w:themeColor="text1"/>
        </w:rPr>
      </w:pPr>
      <w:r w:rsidRPr="006611A3">
        <w:rPr>
          <w:rFonts w:ascii="Palatino Linotype" w:eastAsia="Palatino Linotype" w:hAnsi="Palatino Linotype" w:cs="Palatino Linotype"/>
          <w:color w:val="000000" w:themeColor="text1"/>
        </w:rPr>
        <w:t xml:space="preserve">El </w:t>
      </w:r>
      <w:r w:rsidR="004550C1" w:rsidRPr="006611A3">
        <w:rPr>
          <w:rFonts w:ascii="Palatino Linotype" w:eastAsia="Palatino Linotype" w:hAnsi="Palatino Linotype" w:cs="Palatino Linotype"/>
          <w:b/>
          <w:color w:val="000000" w:themeColor="text1"/>
        </w:rPr>
        <w:t>veinticuatro de noviembre</w:t>
      </w:r>
      <w:r w:rsidRPr="006611A3">
        <w:rPr>
          <w:rFonts w:ascii="Palatino Linotype" w:eastAsia="Palatino Linotype" w:hAnsi="Palatino Linotype" w:cs="Palatino Linotype"/>
          <w:b/>
          <w:color w:val="000000" w:themeColor="text1"/>
        </w:rPr>
        <w:t xml:space="preserve"> de dos mil veinticinco, </w:t>
      </w:r>
      <w:r w:rsidR="004550C1" w:rsidRPr="006611A3">
        <w:rPr>
          <w:rFonts w:ascii="Palatino Linotype" w:eastAsia="Palatino Linotype" w:hAnsi="Palatino Linotype" w:cs="Palatino Linotype"/>
          <w:b/>
          <w:color w:val="000000" w:themeColor="text1"/>
        </w:rPr>
        <w:t>EL</w:t>
      </w:r>
      <w:r w:rsidRPr="006611A3">
        <w:rPr>
          <w:rFonts w:ascii="Palatino Linotype" w:eastAsia="Palatino Linotype" w:hAnsi="Palatino Linotype" w:cs="Palatino Linotype"/>
          <w:b/>
          <w:color w:val="000000" w:themeColor="text1"/>
        </w:rPr>
        <w:t xml:space="preserve"> RECURRENTE, </w:t>
      </w:r>
      <w:r w:rsidRPr="006611A3">
        <w:rPr>
          <w:rFonts w:ascii="Palatino Linotype" w:eastAsia="Palatino Linotype" w:hAnsi="Palatino Linotype" w:cs="Palatino Linotype"/>
          <w:color w:val="000000" w:themeColor="text1"/>
        </w:rPr>
        <w:t xml:space="preserve">presentó a través del Sistema de Acceso a la Información Mexiquense (SAIMEX), la solicitud de acceso a la información pública, con número de folio </w:t>
      </w:r>
      <w:r w:rsidRPr="006611A3">
        <w:rPr>
          <w:rFonts w:ascii="Palatino Linotype" w:eastAsia="Palatino Linotype" w:hAnsi="Palatino Linotype" w:cs="Palatino Linotype"/>
          <w:b/>
          <w:color w:val="000000" w:themeColor="text1"/>
        </w:rPr>
        <w:t xml:space="preserve"> </w:t>
      </w:r>
      <w:r w:rsidR="004550C1" w:rsidRPr="006611A3">
        <w:rPr>
          <w:rFonts w:ascii="Palatino Linotype" w:eastAsia="Palatino Linotype" w:hAnsi="Palatino Linotype" w:cs="Palatino Linotype"/>
          <w:b/>
          <w:color w:val="000000" w:themeColor="text1"/>
        </w:rPr>
        <w:t>00328/DIFIXTAPAL/IP/2025</w:t>
      </w:r>
      <w:r w:rsidRPr="006611A3">
        <w:rPr>
          <w:rFonts w:ascii="Palatino Linotype" w:eastAsia="Palatino Linotype" w:hAnsi="Palatino Linotype" w:cs="Palatino Linotype"/>
          <w:color w:val="000000" w:themeColor="text1"/>
        </w:rPr>
        <w:t>, misma que se tuvo por presentada el veintidós de septiembre del mismo año, en la que solicitó</w:t>
      </w:r>
      <w:r w:rsidRPr="006611A3">
        <w:rPr>
          <w:rFonts w:ascii="Palatino Linotype" w:eastAsia="Palatino Linotype" w:hAnsi="Palatino Linotype" w:cs="Palatino Linotype"/>
          <w:b/>
          <w:color w:val="000000" w:themeColor="text1"/>
        </w:rPr>
        <w:t xml:space="preserve"> </w:t>
      </w:r>
      <w:r w:rsidRPr="006611A3">
        <w:rPr>
          <w:rFonts w:ascii="Palatino Linotype" w:eastAsia="Palatino Linotype" w:hAnsi="Palatino Linotype" w:cs="Palatino Linotype"/>
          <w:color w:val="000000" w:themeColor="text1"/>
        </w:rPr>
        <w:t xml:space="preserve">lo siguiente: </w:t>
      </w:r>
    </w:p>
    <w:p w:rsidR="00E84CF7" w:rsidRPr="006611A3" w:rsidRDefault="00E84CF7" w:rsidP="00E84CF7">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rsidR="00E84CF7" w:rsidRPr="006611A3" w:rsidRDefault="004550C1" w:rsidP="00C93FDA">
      <w:pPr>
        <w:pBdr>
          <w:top w:val="nil"/>
          <w:left w:val="nil"/>
          <w:bottom w:val="nil"/>
          <w:right w:val="nil"/>
          <w:between w:val="nil"/>
        </w:pBdr>
        <w:jc w:val="both"/>
        <w:rPr>
          <w:rFonts w:ascii="Palatino Linotype" w:eastAsia="Palatino Linotype" w:hAnsi="Palatino Linotype" w:cs="Palatino Linotype"/>
          <w:i/>
          <w:color w:val="000000" w:themeColor="text1"/>
        </w:rPr>
      </w:pPr>
      <w:r w:rsidRPr="006611A3">
        <w:rPr>
          <w:rFonts w:ascii="Palatino Linotype" w:eastAsia="Palatino Linotype" w:hAnsi="Palatino Linotype" w:cs="Palatino Linotype"/>
          <w:i/>
          <w:color w:val="000000" w:themeColor="text1"/>
        </w:rPr>
        <w:t xml:space="preserve"> </w:t>
      </w:r>
      <w:r w:rsidR="00E84CF7" w:rsidRPr="006611A3">
        <w:rPr>
          <w:rFonts w:ascii="Palatino Linotype" w:eastAsia="Palatino Linotype" w:hAnsi="Palatino Linotype" w:cs="Palatino Linotype"/>
          <w:i/>
          <w:color w:val="000000" w:themeColor="text1"/>
        </w:rPr>
        <w:t>“</w:t>
      </w:r>
      <w:r w:rsidRPr="006611A3">
        <w:rPr>
          <w:rFonts w:ascii="Palatino Linotype" w:hAnsi="Palatino Linotype"/>
          <w:i/>
          <w:color w:val="000000" w:themeColor="text1"/>
        </w:rPr>
        <w:t>Solicito copia en versión pública del convenio, acuerdo, acta o instrumento jurídico de coordinación celebrado entre el DIF Municipal de Ixtapaluca y la Beneficencia Pública del Estado de México o Federal, que justifique legalmente la entrega de “300 lentes para personas en situación de vulnerabilidad”, como se difundió en redes sociales. Solicito además anexos, minutas, oficios de solicitud y cualquier documento soporte que acredite dicha coordinación institucional.</w:t>
      </w:r>
      <w:r w:rsidR="00E84CF7" w:rsidRPr="006611A3">
        <w:rPr>
          <w:rFonts w:ascii="Palatino Linotype" w:hAnsi="Palatino Linotype"/>
          <w:i/>
          <w:color w:val="000000" w:themeColor="text1"/>
        </w:rPr>
        <w:t>”</w:t>
      </w:r>
      <w:r w:rsidR="00E84CF7" w:rsidRPr="006611A3">
        <w:rPr>
          <w:rFonts w:ascii="Palatino Linotype" w:eastAsia="Palatino Linotype" w:hAnsi="Palatino Linotype" w:cs="Palatino Linotype"/>
          <w:i/>
          <w:color w:val="000000" w:themeColor="text1"/>
        </w:rPr>
        <w:t xml:space="preserve"> (Sic)</w:t>
      </w:r>
    </w:p>
    <w:p w:rsidR="00E84CF7" w:rsidRPr="006611A3" w:rsidRDefault="00E84CF7" w:rsidP="00E84CF7">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rsidR="00E84CF7" w:rsidRPr="006611A3" w:rsidRDefault="00E84CF7" w:rsidP="00E84CF7">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rsidR="00E84CF7" w:rsidRPr="006611A3" w:rsidRDefault="00E84CF7" w:rsidP="00E84CF7">
      <w:pPr>
        <w:spacing w:line="360" w:lineRule="auto"/>
        <w:ind w:firstLine="426"/>
        <w:jc w:val="both"/>
        <w:rPr>
          <w:rFonts w:ascii="Palatino Linotype" w:eastAsia="Palatino Linotype" w:hAnsi="Palatino Linotype" w:cs="Palatino Linotype"/>
          <w:b/>
          <w:color w:val="000000" w:themeColor="text1"/>
        </w:rPr>
      </w:pPr>
      <w:r w:rsidRPr="006611A3">
        <w:rPr>
          <w:rFonts w:ascii="Palatino Linotype" w:eastAsia="Palatino Linotype" w:hAnsi="Palatino Linotype" w:cs="Palatino Linotype"/>
          <w:b/>
          <w:color w:val="000000" w:themeColor="text1"/>
        </w:rPr>
        <w:t>Modalidad de entrega</w:t>
      </w:r>
      <w:r w:rsidRPr="006611A3">
        <w:rPr>
          <w:rFonts w:ascii="Palatino Linotype" w:eastAsia="Palatino Linotype" w:hAnsi="Palatino Linotype" w:cs="Palatino Linotype"/>
          <w:color w:val="000000" w:themeColor="text1"/>
        </w:rPr>
        <w:t xml:space="preserve">: a través del </w:t>
      </w:r>
      <w:r w:rsidRPr="006611A3">
        <w:rPr>
          <w:rFonts w:ascii="Palatino Linotype" w:eastAsia="Palatino Linotype" w:hAnsi="Palatino Linotype" w:cs="Palatino Linotype"/>
          <w:b/>
          <w:color w:val="000000" w:themeColor="text1"/>
        </w:rPr>
        <w:t>SAIMEX.</w:t>
      </w:r>
    </w:p>
    <w:p w:rsidR="00BD7A3B" w:rsidRPr="006611A3" w:rsidRDefault="002905ED">
      <w:pPr>
        <w:numPr>
          <w:ilvl w:val="0"/>
          <w:numId w:val="1"/>
        </w:numPr>
        <w:tabs>
          <w:tab w:val="left" w:pos="0"/>
        </w:tabs>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lastRenderedPageBreak/>
        <w:t xml:space="preserve">De </w:t>
      </w:r>
      <w:r w:rsidRPr="006611A3">
        <w:rPr>
          <w:rFonts w:ascii="Palatino Linotype" w:eastAsia="Palatino Linotype" w:hAnsi="Palatino Linotype" w:cs="Palatino Linotype"/>
        </w:rPr>
        <w:t>conformidad</w:t>
      </w:r>
      <w:r w:rsidRPr="006611A3">
        <w:rPr>
          <w:rFonts w:ascii="Palatino Linotype" w:eastAsia="Palatino Linotype" w:hAnsi="Palatino Linotype" w:cs="Palatino Linotype"/>
          <w:color w:val="000000"/>
        </w:rPr>
        <w:t xml:space="preserve"> con el artículo 136, párrafo primero de la Ley de Transparencia y </w:t>
      </w:r>
      <w:r w:rsidRPr="006611A3">
        <w:rPr>
          <w:rFonts w:ascii="Palatino Linotype" w:eastAsia="Palatino Linotype" w:hAnsi="Palatino Linotype" w:cs="Palatino Linotype"/>
          <w:color w:val="000000" w:themeColor="text1"/>
        </w:rPr>
        <w:t>Acceso</w:t>
      </w:r>
      <w:r w:rsidRPr="006611A3">
        <w:rPr>
          <w:rFonts w:ascii="Palatino Linotype" w:eastAsia="Palatino Linotype" w:hAnsi="Palatino Linotype" w:cs="Palatino Linotype"/>
          <w:color w:val="000000"/>
        </w:rPr>
        <w:t xml:space="preserve"> a la Información Pública del Estado de México y Municipios, el Sujeto Obligado debió dar contestación a la solicitud de acceso a la información; sin embargo, de las constancias que obran en el expediente electrónico del Sistema de Acceso a la Información Mexiquense (SAIMEX), se advierte que el</w:t>
      </w:r>
      <w:r w:rsidRPr="006611A3">
        <w:rPr>
          <w:rFonts w:ascii="Palatino Linotype" w:eastAsia="Palatino Linotype" w:hAnsi="Palatino Linotype" w:cs="Palatino Linotype"/>
          <w:b/>
        </w:rPr>
        <w:t xml:space="preserve"> </w:t>
      </w:r>
      <w:r w:rsidR="004550C1" w:rsidRPr="006611A3">
        <w:rPr>
          <w:rFonts w:ascii="Palatino Linotype" w:eastAsia="Palatino Linotype" w:hAnsi="Palatino Linotype" w:cs="Palatino Linotype"/>
          <w:b/>
          <w:bCs/>
        </w:rPr>
        <w:t>Sistema Municipal Para el Desarrollo Integral de la Familia de Ixtapaluca</w:t>
      </w:r>
      <w:r w:rsidRPr="006611A3">
        <w:rPr>
          <w:rFonts w:ascii="Palatino Linotype" w:eastAsia="Palatino Linotype" w:hAnsi="Palatino Linotype" w:cs="Palatino Linotype"/>
          <w:color w:val="000000"/>
        </w:rPr>
        <w:t xml:space="preserve">, </w:t>
      </w:r>
      <w:r w:rsidRPr="006611A3">
        <w:rPr>
          <w:rFonts w:ascii="Palatino Linotype" w:eastAsia="Palatino Linotype" w:hAnsi="Palatino Linotype" w:cs="Palatino Linotype"/>
          <w:b/>
          <w:color w:val="000000"/>
        </w:rPr>
        <w:t>omitió dar respuesta</w:t>
      </w:r>
      <w:r w:rsidRPr="006611A3">
        <w:rPr>
          <w:rFonts w:ascii="Palatino Linotype" w:eastAsia="Palatino Linotype" w:hAnsi="Palatino Linotype" w:cs="Palatino Linotype"/>
          <w:color w:val="000000"/>
        </w:rPr>
        <w:t xml:space="preserve"> a la solicitud de información, por lo que se </w:t>
      </w:r>
      <w:r w:rsidRPr="006611A3">
        <w:rPr>
          <w:rFonts w:ascii="Palatino Linotype" w:eastAsia="Palatino Linotype" w:hAnsi="Palatino Linotype" w:cs="Palatino Linotype"/>
          <w:b/>
          <w:color w:val="000000"/>
        </w:rPr>
        <w:t>configura la negativa ficta</w:t>
      </w:r>
      <w:r w:rsidRPr="006611A3">
        <w:rPr>
          <w:rFonts w:ascii="Palatino Linotype" w:eastAsia="Palatino Linotype" w:hAnsi="Palatino Linotype" w:cs="Palatino Linotype"/>
          <w:color w:val="000000"/>
        </w:rPr>
        <w:t xml:space="preserve"> a entregar información, prevista, en los artículos 166, párrafo cuarto y 178, párrafo segundo de la Ley de Transparencia y Acceso a la Información Pública del Estado de México y Municipios.</w:t>
      </w:r>
      <w:r w:rsidR="004550C1" w:rsidRPr="006611A3">
        <w:rPr>
          <w:rFonts w:ascii="Palatino Linotype" w:eastAsia="Palatino Linotype" w:hAnsi="Palatino Linotype" w:cs="Palatino Linotype"/>
          <w:color w:val="000000"/>
        </w:rPr>
        <w:t xml:space="preserve"> </w:t>
      </w:r>
    </w:p>
    <w:p w:rsidR="00BD7A3B" w:rsidRPr="006611A3" w:rsidRDefault="00BD7A3B">
      <w:pPr>
        <w:tabs>
          <w:tab w:val="left" w:pos="0"/>
        </w:tabs>
        <w:spacing w:line="360" w:lineRule="auto"/>
        <w:ind w:right="-879"/>
        <w:jc w:val="both"/>
        <w:rPr>
          <w:rFonts w:ascii="Palatino Linotype" w:eastAsia="Palatino Linotype" w:hAnsi="Palatino Linotype" w:cs="Palatino Linotype"/>
        </w:rPr>
      </w:pPr>
      <w:bookmarkStart w:id="2" w:name="_heading=h.rt9ec2knm2nh" w:colFirst="0" w:colLast="0"/>
      <w:bookmarkEnd w:id="2"/>
    </w:p>
    <w:p w:rsidR="00E84CF7" w:rsidRPr="006611A3" w:rsidRDefault="00E84CF7" w:rsidP="00320D87">
      <w:pPr>
        <w:numPr>
          <w:ilvl w:val="0"/>
          <w:numId w:val="1"/>
        </w:numPr>
        <w:tabs>
          <w:tab w:val="left" w:pos="0"/>
        </w:tabs>
        <w:spacing w:line="360" w:lineRule="auto"/>
        <w:ind w:left="0" w:right="-879" w:firstLine="0"/>
        <w:jc w:val="both"/>
        <w:rPr>
          <w:rFonts w:ascii="Palatino Linotype" w:eastAsia="Palatino Linotype" w:hAnsi="Palatino Linotype" w:cs="Palatino Linotype"/>
          <w:color w:val="000000" w:themeColor="text1"/>
        </w:rPr>
      </w:pPr>
      <w:r w:rsidRPr="006611A3">
        <w:rPr>
          <w:rFonts w:ascii="Palatino Linotype" w:eastAsia="Palatino Linotype" w:hAnsi="Palatino Linotype" w:cs="Palatino Linotype"/>
        </w:rPr>
        <w:t>Ante</w:t>
      </w:r>
      <w:r w:rsidRPr="006611A3">
        <w:rPr>
          <w:rFonts w:ascii="Palatino Linotype" w:eastAsia="Palatino Linotype" w:hAnsi="Palatino Linotype" w:cs="Palatino Linotype"/>
          <w:color w:val="000000" w:themeColor="text1"/>
        </w:rPr>
        <w:t xml:space="preserve"> la falta de respuesta</w:t>
      </w:r>
      <w:r w:rsidRPr="006611A3">
        <w:rPr>
          <w:rFonts w:ascii="Palatino Linotype" w:eastAsia="Palatino Linotype" w:hAnsi="Palatino Linotype" w:cs="Palatino Linotype"/>
          <w:b/>
          <w:color w:val="000000" w:themeColor="text1"/>
        </w:rPr>
        <w:t xml:space="preserve"> </w:t>
      </w:r>
      <w:r w:rsidRPr="006611A3">
        <w:rPr>
          <w:rFonts w:ascii="Palatino Linotype" w:eastAsia="Palatino Linotype" w:hAnsi="Palatino Linotype" w:cs="Palatino Linotype"/>
          <w:color w:val="000000" w:themeColor="text1"/>
        </w:rPr>
        <w:t xml:space="preserve">del </w:t>
      </w:r>
      <w:r w:rsidRPr="006611A3">
        <w:rPr>
          <w:rFonts w:ascii="Palatino Linotype" w:eastAsia="Palatino Linotype" w:hAnsi="Palatino Linotype" w:cs="Palatino Linotype"/>
          <w:b/>
          <w:color w:val="000000" w:themeColor="text1"/>
        </w:rPr>
        <w:t>SUJETO OBLIGADO</w:t>
      </w:r>
      <w:r w:rsidRPr="006611A3">
        <w:rPr>
          <w:rFonts w:ascii="Palatino Linotype" w:eastAsia="Palatino Linotype" w:hAnsi="Palatino Linotype" w:cs="Palatino Linotype"/>
          <w:color w:val="000000" w:themeColor="text1"/>
        </w:rPr>
        <w:t xml:space="preserve">, </w:t>
      </w:r>
      <w:r w:rsidR="004550C1" w:rsidRPr="006611A3">
        <w:rPr>
          <w:rFonts w:ascii="Palatino Linotype" w:eastAsia="Palatino Linotype" w:hAnsi="Palatino Linotype" w:cs="Palatino Linotype"/>
          <w:b/>
          <w:color w:val="000000" w:themeColor="text1"/>
        </w:rPr>
        <w:t>EL RECURRENTE</w:t>
      </w:r>
      <w:r w:rsidRPr="006611A3">
        <w:rPr>
          <w:rFonts w:ascii="Palatino Linotype" w:eastAsia="Palatino Linotype" w:hAnsi="Palatino Linotype" w:cs="Palatino Linotype"/>
          <w:color w:val="000000" w:themeColor="text1"/>
        </w:rPr>
        <w:t xml:space="preserve"> interpuso el Recurso de Revisión el </w:t>
      </w:r>
      <w:r w:rsidR="00320D87" w:rsidRPr="006611A3">
        <w:rPr>
          <w:rFonts w:ascii="Palatino Linotype" w:eastAsia="Palatino Linotype" w:hAnsi="Palatino Linotype" w:cs="Palatino Linotype"/>
          <w:b/>
          <w:color w:val="000000" w:themeColor="text1"/>
        </w:rPr>
        <w:t>veintiuno de enero de dos mil veintiséis</w:t>
      </w:r>
      <w:r w:rsidRPr="006611A3">
        <w:rPr>
          <w:rFonts w:ascii="Palatino Linotype" w:eastAsia="Palatino Linotype" w:hAnsi="Palatino Linotype" w:cs="Palatino Linotype"/>
          <w:b/>
          <w:color w:val="000000" w:themeColor="text1"/>
        </w:rPr>
        <w:t xml:space="preserve">, </w:t>
      </w:r>
      <w:r w:rsidRPr="006611A3">
        <w:rPr>
          <w:rFonts w:ascii="Palatino Linotype" w:eastAsia="Palatino Linotype" w:hAnsi="Palatino Linotype" w:cs="Palatino Linotype"/>
          <w:color w:val="000000" w:themeColor="text1"/>
        </w:rPr>
        <w:t xml:space="preserve">registrado en el </w:t>
      </w:r>
      <w:r w:rsidRPr="006611A3">
        <w:rPr>
          <w:rFonts w:ascii="Palatino Linotype" w:eastAsia="Palatino Linotype" w:hAnsi="Palatino Linotype" w:cs="Palatino Linotype"/>
          <w:b/>
          <w:color w:val="000000" w:themeColor="text1"/>
        </w:rPr>
        <w:t xml:space="preserve">SAIMEX </w:t>
      </w:r>
      <w:r w:rsidRPr="006611A3">
        <w:rPr>
          <w:rFonts w:ascii="Palatino Linotype" w:eastAsia="Palatino Linotype" w:hAnsi="Palatino Linotype" w:cs="Palatino Linotype"/>
          <w:color w:val="000000" w:themeColor="text1"/>
        </w:rPr>
        <w:t xml:space="preserve">con el número de expediente </w:t>
      </w:r>
      <w:r w:rsidR="00320D87" w:rsidRPr="006611A3">
        <w:rPr>
          <w:rFonts w:ascii="Palatino Linotype" w:eastAsia="Palatino Linotype" w:hAnsi="Palatino Linotype" w:cs="Palatino Linotype"/>
          <w:b/>
          <w:color w:val="000000" w:themeColor="text1"/>
        </w:rPr>
        <w:t>00888/INFOEM/IP/RR/2026</w:t>
      </w:r>
      <w:r w:rsidRPr="006611A3">
        <w:rPr>
          <w:rFonts w:ascii="Palatino Linotype" w:eastAsia="Palatino Linotype" w:hAnsi="Palatino Linotype" w:cs="Palatino Linotype"/>
          <w:color w:val="000000" w:themeColor="text1"/>
        </w:rPr>
        <w:t>,</w:t>
      </w:r>
      <w:r w:rsidRPr="006611A3">
        <w:rPr>
          <w:rFonts w:ascii="Palatino Linotype" w:eastAsia="Palatino Linotype" w:hAnsi="Palatino Linotype" w:cs="Palatino Linotype"/>
          <w:b/>
          <w:color w:val="000000" w:themeColor="text1"/>
        </w:rPr>
        <w:t xml:space="preserve"> </w:t>
      </w:r>
      <w:r w:rsidRPr="006611A3">
        <w:rPr>
          <w:rFonts w:ascii="Palatino Linotype" w:eastAsia="Palatino Linotype" w:hAnsi="Palatino Linotype" w:cs="Palatino Linotype"/>
          <w:color w:val="000000" w:themeColor="text1"/>
        </w:rPr>
        <w:t>en el cual aduce, las siguientes manifestaciones:</w:t>
      </w:r>
    </w:p>
    <w:p w:rsidR="00E84CF7" w:rsidRPr="006611A3" w:rsidRDefault="00E84CF7" w:rsidP="00E84CF7">
      <w:pPr>
        <w:pBdr>
          <w:top w:val="nil"/>
          <w:left w:val="nil"/>
          <w:bottom w:val="nil"/>
          <w:right w:val="nil"/>
          <w:between w:val="nil"/>
        </w:pBdr>
        <w:spacing w:line="360" w:lineRule="auto"/>
        <w:jc w:val="both"/>
        <w:rPr>
          <w:rFonts w:ascii="Palatino Linotype" w:eastAsia="Palatino Linotype" w:hAnsi="Palatino Linotype" w:cs="Palatino Linotype"/>
          <w:color w:val="000000" w:themeColor="text1"/>
        </w:rPr>
      </w:pPr>
    </w:p>
    <w:p w:rsidR="00E84CF7" w:rsidRPr="006611A3" w:rsidRDefault="00E84CF7" w:rsidP="006611A3">
      <w:pPr>
        <w:pStyle w:val="Prrafodelista"/>
        <w:numPr>
          <w:ilvl w:val="0"/>
          <w:numId w:val="33"/>
        </w:numPr>
        <w:spacing w:line="259" w:lineRule="auto"/>
        <w:jc w:val="both"/>
        <w:rPr>
          <w:rFonts w:ascii="Palatino Linotype" w:eastAsia="Palatino Linotype" w:hAnsi="Palatino Linotype" w:cs="Palatino Linotype"/>
          <w:b/>
          <w:color w:val="000000" w:themeColor="text1"/>
          <w:sz w:val="24"/>
        </w:rPr>
      </w:pPr>
      <w:r w:rsidRPr="006611A3">
        <w:rPr>
          <w:rFonts w:ascii="Palatino Linotype" w:eastAsia="Palatino Linotype" w:hAnsi="Palatino Linotype" w:cs="Palatino Linotype"/>
          <w:b/>
          <w:color w:val="000000" w:themeColor="text1"/>
          <w:sz w:val="24"/>
        </w:rPr>
        <w:t xml:space="preserve">ACTO IMPUGNADO: </w:t>
      </w:r>
    </w:p>
    <w:p w:rsidR="00E84CF7" w:rsidRPr="006611A3" w:rsidRDefault="00E84CF7" w:rsidP="00E84CF7">
      <w:pPr>
        <w:ind w:left="567"/>
        <w:jc w:val="both"/>
        <w:rPr>
          <w:rFonts w:ascii="Palatino Linotype" w:eastAsia="Palatino Linotype" w:hAnsi="Palatino Linotype" w:cs="Palatino Linotype"/>
          <w:i/>
          <w:color w:val="000000" w:themeColor="text1"/>
        </w:rPr>
      </w:pPr>
      <w:r w:rsidRPr="006611A3">
        <w:rPr>
          <w:rFonts w:ascii="Palatino Linotype" w:eastAsia="Palatino Linotype" w:hAnsi="Palatino Linotype" w:cs="Palatino Linotype"/>
          <w:i/>
          <w:color w:val="000000" w:themeColor="text1"/>
        </w:rPr>
        <w:t>“</w:t>
      </w:r>
      <w:r w:rsidR="00320D87" w:rsidRPr="006611A3">
        <w:rPr>
          <w:rFonts w:ascii="Palatino Linotype" w:hAnsi="Palatino Linotype"/>
          <w:i/>
          <w:color w:val="000000" w:themeColor="text1"/>
        </w:rPr>
        <w:t>El Sistema Municipal para el Desarrollo Integral de la Familia del Municipio de Ixtapaluca fue omiso en atender la solicitud de acceso a la información presentada por el suscrito a través de la Plataforma Nacional de Transparencia, toda vez que, habiendo transcurrido el plazo legal establecido, no emitió respuesta alguna ni realizó pronunciamiento expreso sobre la misma. Dicha omisión constituye una vulneración al derecho humano de acceso a la información pública, al incumplir con la obligación legal de responder de manera oportuna y fundada, en contravención a lo dispuesto por la Ley de Transparencia y Acceso a la Información Pública del Estado de México y Municipios, motivo por el cual se hace valer como agravio dentro del presente recurso de revisión.</w:t>
      </w:r>
      <w:r w:rsidRPr="006611A3">
        <w:rPr>
          <w:rFonts w:ascii="Palatino Linotype" w:hAnsi="Palatino Linotype"/>
          <w:i/>
          <w:color w:val="000000" w:themeColor="text1"/>
        </w:rPr>
        <w:t>”</w:t>
      </w:r>
      <w:r w:rsidRPr="006611A3">
        <w:rPr>
          <w:rFonts w:ascii="Palatino Linotype" w:eastAsia="Palatino Linotype" w:hAnsi="Palatino Linotype" w:cs="Palatino Linotype"/>
          <w:i/>
          <w:color w:val="000000" w:themeColor="text1"/>
        </w:rPr>
        <w:t xml:space="preserve"> (Sic).</w:t>
      </w:r>
    </w:p>
    <w:p w:rsidR="00E84CF7" w:rsidRDefault="00E84CF7" w:rsidP="00E84CF7">
      <w:pPr>
        <w:ind w:left="567"/>
        <w:jc w:val="both"/>
        <w:rPr>
          <w:rFonts w:ascii="Palatino Linotype" w:eastAsia="Palatino Linotype" w:hAnsi="Palatino Linotype" w:cs="Palatino Linotype"/>
          <w:i/>
          <w:color w:val="000000" w:themeColor="text1"/>
        </w:rPr>
      </w:pPr>
    </w:p>
    <w:p w:rsidR="006611A3" w:rsidRPr="006611A3" w:rsidRDefault="006611A3" w:rsidP="00E84CF7">
      <w:pPr>
        <w:ind w:left="567"/>
        <w:jc w:val="both"/>
        <w:rPr>
          <w:rFonts w:ascii="Palatino Linotype" w:eastAsia="Palatino Linotype" w:hAnsi="Palatino Linotype" w:cs="Palatino Linotype"/>
          <w:i/>
          <w:color w:val="000000" w:themeColor="text1"/>
        </w:rPr>
      </w:pPr>
    </w:p>
    <w:p w:rsidR="00E84CF7" w:rsidRPr="006611A3" w:rsidRDefault="00E84CF7" w:rsidP="00E84CF7">
      <w:pPr>
        <w:ind w:left="567"/>
        <w:jc w:val="both"/>
        <w:rPr>
          <w:rFonts w:ascii="Palatino Linotype" w:eastAsia="Palatino Linotype" w:hAnsi="Palatino Linotype" w:cs="Palatino Linotype"/>
          <w:i/>
          <w:color w:val="000000" w:themeColor="text1"/>
        </w:rPr>
      </w:pPr>
    </w:p>
    <w:p w:rsidR="00E84CF7" w:rsidRPr="006611A3" w:rsidRDefault="00E84CF7" w:rsidP="006611A3">
      <w:pPr>
        <w:pStyle w:val="Prrafodelista"/>
        <w:numPr>
          <w:ilvl w:val="0"/>
          <w:numId w:val="33"/>
        </w:numPr>
        <w:pBdr>
          <w:top w:val="nil"/>
          <w:left w:val="nil"/>
          <w:bottom w:val="nil"/>
          <w:right w:val="nil"/>
          <w:between w:val="nil"/>
        </w:pBdr>
        <w:jc w:val="both"/>
        <w:rPr>
          <w:rFonts w:ascii="Palatino Linotype" w:eastAsia="Palatino Linotype" w:hAnsi="Palatino Linotype" w:cs="Palatino Linotype"/>
          <w:color w:val="000000" w:themeColor="text1"/>
          <w:sz w:val="24"/>
        </w:rPr>
      </w:pPr>
      <w:r w:rsidRPr="006611A3">
        <w:rPr>
          <w:rFonts w:ascii="Palatino Linotype" w:eastAsia="Palatino Linotype" w:hAnsi="Palatino Linotype" w:cs="Palatino Linotype"/>
          <w:b/>
          <w:color w:val="000000" w:themeColor="text1"/>
          <w:sz w:val="24"/>
        </w:rPr>
        <w:lastRenderedPageBreak/>
        <w:t>RAZONES O MOTIVOS DE INCONFORMIDAD</w:t>
      </w:r>
      <w:r w:rsidRPr="006611A3">
        <w:rPr>
          <w:rFonts w:ascii="Palatino Linotype" w:eastAsia="Palatino Linotype" w:hAnsi="Palatino Linotype" w:cs="Palatino Linotype"/>
          <w:color w:val="000000" w:themeColor="text1"/>
          <w:sz w:val="24"/>
        </w:rPr>
        <w:t xml:space="preserve">: </w:t>
      </w:r>
    </w:p>
    <w:p w:rsidR="00E84CF7" w:rsidRPr="006611A3" w:rsidRDefault="00E84CF7" w:rsidP="00E84CF7">
      <w:pPr>
        <w:ind w:left="567"/>
        <w:jc w:val="both"/>
        <w:rPr>
          <w:rFonts w:ascii="Palatino Linotype" w:eastAsia="Palatino Linotype" w:hAnsi="Palatino Linotype" w:cs="Palatino Linotype"/>
          <w:i/>
          <w:color w:val="000000" w:themeColor="text1"/>
        </w:rPr>
      </w:pPr>
      <w:r w:rsidRPr="006611A3">
        <w:rPr>
          <w:rFonts w:ascii="Palatino Linotype" w:eastAsia="Palatino Linotype" w:hAnsi="Palatino Linotype" w:cs="Palatino Linotype"/>
          <w:i/>
          <w:color w:val="000000" w:themeColor="text1"/>
        </w:rPr>
        <w:t xml:space="preserve"> “</w:t>
      </w:r>
      <w:r w:rsidR="00320D87" w:rsidRPr="006611A3">
        <w:rPr>
          <w:rFonts w:ascii="Palatino Linotype" w:hAnsi="Palatino Linotype"/>
          <w:i/>
          <w:color w:val="000000" w:themeColor="text1"/>
        </w:rPr>
        <w:t>El Sistema Municipal para el Desarrollo Integral de la Familia del Municipio de Ixtapaluca fue omiso en atender la solicitud de acceso a la información presentada por el suscrito a través de la Plataforma Nacional de Transparencia, toda vez que, habiendo transcurrido el plazo legal establecido, no emitió respuesta alguna ni realizó pronunciamiento expreso sobre la misma. Dicha omisión constituye una vulneración al derecho humano de acceso a la información pública, al incumplir con la obligación legal de responder de manera oportuna y fundada, en contravención a lo dispuesto por la Ley de Transparencia y Acceso a la Información Pública del Estado de México y Municipios, motivo por el cual se hace valer como agravio dentro del presente recurso de revisión</w:t>
      </w:r>
      <w:r w:rsidRPr="006611A3">
        <w:rPr>
          <w:rFonts w:ascii="Palatino Linotype" w:hAnsi="Palatino Linotype"/>
          <w:i/>
          <w:color w:val="000000" w:themeColor="text1"/>
        </w:rPr>
        <w:t>.”</w:t>
      </w:r>
      <w:r w:rsidRPr="006611A3">
        <w:rPr>
          <w:rFonts w:ascii="Palatino Linotype" w:eastAsia="Palatino Linotype" w:hAnsi="Palatino Linotype" w:cs="Palatino Linotype"/>
          <w:i/>
          <w:color w:val="000000" w:themeColor="text1"/>
        </w:rPr>
        <w:t xml:space="preserve"> (Sic).</w:t>
      </w:r>
    </w:p>
    <w:p w:rsidR="00BD7A3B" w:rsidRPr="006611A3" w:rsidRDefault="00BD7A3B" w:rsidP="00E84CF7">
      <w:pPr>
        <w:spacing w:line="360" w:lineRule="auto"/>
        <w:ind w:left="567" w:right="-879"/>
        <w:jc w:val="both"/>
        <w:rPr>
          <w:rFonts w:ascii="Palatino Linotype" w:eastAsia="Palatino Linotype" w:hAnsi="Palatino Linotype" w:cs="Palatino Linotype"/>
          <w:i/>
          <w:color w:val="000000"/>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rPr>
        <w:t xml:space="preserve">La Comisionada Ponente con fundamento en lo dispuesto por el artículo 185 fracción II de la ley de la materia, a través del </w:t>
      </w:r>
      <w:r w:rsidRPr="006611A3">
        <w:rPr>
          <w:rFonts w:ascii="Palatino Linotype" w:eastAsia="Palatino Linotype" w:hAnsi="Palatino Linotype" w:cs="Palatino Linotype"/>
          <w:b/>
        </w:rPr>
        <w:t>acuerdo de admisión</w:t>
      </w:r>
      <w:r w:rsidRPr="006611A3">
        <w:rPr>
          <w:rFonts w:ascii="Palatino Linotype" w:eastAsia="Palatino Linotype" w:hAnsi="Palatino Linotype" w:cs="Palatino Linotype"/>
        </w:rPr>
        <w:t xml:space="preserve"> del </w:t>
      </w:r>
      <w:r w:rsidR="000779F4" w:rsidRPr="006611A3">
        <w:rPr>
          <w:rFonts w:ascii="Palatino Linotype" w:eastAsia="Palatino Linotype" w:hAnsi="Palatino Linotype" w:cs="Palatino Linotype"/>
          <w:b/>
          <w:color w:val="000000" w:themeColor="text1"/>
        </w:rPr>
        <w:t>veintidós de enero de dos mil veintiséis</w:t>
      </w:r>
      <w:r w:rsidRPr="006611A3">
        <w:rPr>
          <w:rFonts w:ascii="Palatino Linotype" w:eastAsia="Palatino Linotype" w:hAnsi="Palatino Linotype" w:cs="Palatino Linotype"/>
        </w:rPr>
        <w:t xml:space="preserve">, puso a disposición de las partes el expediente electrónico vía Sistema de Acceso a la Información Mexiquense </w:t>
      </w:r>
      <w:r w:rsidRPr="006611A3">
        <w:rPr>
          <w:rFonts w:ascii="Palatino Linotype" w:eastAsia="Palatino Linotype" w:hAnsi="Palatino Linotype" w:cs="Palatino Linotype"/>
          <w:b/>
        </w:rPr>
        <w:t xml:space="preserve">(SAIMEX) </w:t>
      </w:r>
      <w:r w:rsidRPr="006611A3">
        <w:rPr>
          <w:rFonts w:ascii="Palatino Linotype" w:eastAsia="Palatino Linotype" w:hAnsi="Palatino Linotype" w:cs="Palatino Linotype"/>
        </w:rPr>
        <w:t xml:space="preserve">a efecto de que en un plazo máximo de siete días manifestaran lo que a derecho convinieran, ofrecieran pruebas y alegatos según corresponda al caso concreto, de esta forma para que el </w:t>
      </w:r>
      <w:r w:rsidRPr="006611A3">
        <w:rPr>
          <w:rFonts w:ascii="Palatino Linotype" w:eastAsia="Palatino Linotype" w:hAnsi="Palatino Linotype" w:cs="Palatino Linotype"/>
          <w:b/>
        </w:rPr>
        <w:t>SUJETO OBLIGADO</w:t>
      </w:r>
      <w:r w:rsidRPr="006611A3">
        <w:rPr>
          <w:rFonts w:ascii="Palatino Linotype" w:eastAsia="Palatino Linotype" w:hAnsi="Palatino Linotype" w:cs="Palatino Linotype"/>
        </w:rPr>
        <w:t xml:space="preserve"> presentara el Informe Justificado procedente.  </w:t>
      </w:r>
    </w:p>
    <w:p w:rsidR="00BD7A3B" w:rsidRPr="006611A3" w:rsidRDefault="00BD7A3B">
      <w:pPr>
        <w:pBdr>
          <w:top w:val="nil"/>
          <w:left w:val="nil"/>
          <w:bottom w:val="nil"/>
          <w:right w:val="nil"/>
          <w:between w:val="nil"/>
        </w:pBdr>
        <w:spacing w:line="360" w:lineRule="auto"/>
        <w:ind w:left="720" w:right="-879"/>
        <w:rPr>
          <w:rFonts w:ascii="Palatino Linotype" w:eastAsia="Palatino Linotype" w:hAnsi="Palatino Linotype" w:cs="Palatino Linotype"/>
          <w:color w:val="000000"/>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rPr>
        <w:t xml:space="preserve">De las constancias que obran en el expediente electrónico SAIMEX, se advierte que las </w:t>
      </w:r>
      <w:r w:rsidRPr="006611A3">
        <w:rPr>
          <w:rFonts w:ascii="Palatino Linotype" w:eastAsia="Palatino Linotype" w:hAnsi="Palatino Linotype" w:cs="Palatino Linotype"/>
          <w:b/>
        </w:rPr>
        <w:t>partes fueron omisas en emitir manifestaciones o alegatos</w:t>
      </w:r>
      <w:r w:rsidRPr="006611A3">
        <w:rPr>
          <w:rFonts w:ascii="Palatino Linotype" w:eastAsia="Palatino Linotype" w:hAnsi="Palatino Linotype" w:cs="Palatino Linotype"/>
        </w:rPr>
        <w:t>.</w:t>
      </w:r>
    </w:p>
    <w:p w:rsidR="00BD7A3B" w:rsidRPr="006611A3" w:rsidRDefault="00BD7A3B">
      <w:pPr>
        <w:spacing w:line="360" w:lineRule="auto"/>
        <w:ind w:right="-879"/>
        <w:jc w:val="both"/>
        <w:rPr>
          <w:rFonts w:ascii="Palatino Linotype" w:eastAsia="Palatino Linotype" w:hAnsi="Palatino Linotype" w:cs="Palatino Linotype"/>
          <w:i/>
          <w:color w:val="000000"/>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color w:val="000000"/>
        </w:rPr>
        <w:t xml:space="preserve">El </w:t>
      </w:r>
      <w:r w:rsidR="000779F4" w:rsidRPr="006611A3">
        <w:rPr>
          <w:rFonts w:ascii="Palatino Linotype" w:eastAsia="Palatino Linotype" w:hAnsi="Palatino Linotype" w:cs="Palatino Linotype"/>
          <w:b/>
          <w:color w:val="000000" w:themeColor="text1"/>
        </w:rPr>
        <w:t>cinco de febrero de dos mil veintiséis</w:t>
      </w:r>
      <w:r w:rsidRPr="006611A3">
        <w:rPr>
          <w:rFonts w:ascii="Palatino Linotype" w:eastAsia="Palatino Linotype" w:hAnsi="Palatino Linotype" w:cs="Palatino Linotype"/>
          <w:b/>
          <w:color w:val="000000"/>
        </w:rPr>
        <w:t>,</w:t>
      </w:r>
      <w:r w:rsidRPr="006611A3">
        <w:rPr>
          <w:rFonts w:ascii="Palatino Linotype" w:eastAsia="Palatino Linotype" w:hAnsi="Palatino Linotype" w:cs="Palatino Linotype"/>
          <w:color w:val="000000"/>
        </w:rPr>
        <w:t xml:space="preserve"> se notificó acuerdo mediante el cual se decretó el </w:t>
      </w:r>
      <w:r w:rsidRPr="006611A3">
        <w:rPr>
          <w:rFonts w:ascii="Palatino Linotype" w:eastAsia="Palatino Linotype" w:hAnsi="Palatino Linotype" w:cs="Palatino Linotype"/>
          <w:b/>
          <w:color w:val="000000"/>
        </w:rPr>
        <w:t>cierre de instrucción</w:t>
      </w:r>
      <w:r w:rsidRPr="006611A3">
        <w:rPr>
          <w:rFonts w:ascii="Palatino Linotype" w:eastAsia="Palatino Linotype" w:hAnsi="Palatino Linotype" w:cs="Palatino Linotype"/>
          <w:color w:val="000000"/>
        </w:rPr>
        <w:t>.</w:t>
      </w:r>
    </w:p>
    <w:p w:rsidR="00BD7A3B" w:rsidRPr="006611A3" w:rsidRDefault="00BD7A3B">
      <w:pPr>
        <w:spacing w:line="360" w:lineRule="auto"/>
        <w:ind w:right="-879"/>
        <w:jc w:val="both"/>
        <w:rPr>
          <w:rFonts w:ascii="Palatino Linotype" w:eastAsia="Palatino Linotype" w:hAnsi="Palatino Linotype" w:cs="Palatino Linotype"/>
          <w:i/>
          <w:color w:val="000000"/>
        </w:rPr>
      </w:pPr>
    </w:p>
    <w:p w:rsidR="00BD7A3B" w:rsidRPr="006611A3" w:rsidRDefault="002905ED" w:rsidP="002F1C1F">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color w:val="000000"/>
        </w:rPr>
        <w:t>El</w:t>
      </w:r>
      <w:r w:rsidRPr="006611A3">
        <w:rPr>
          <w:rFonts w:ascii="Palatino Linotype" w:eastAsia="Palatino Linotype" w:hAnsi="Palatino Linotype" w:cs="Palatino Linotype"/>
        </w:rPr>
        <w:t xml:space="preserve"> </w:t>
      </w:r>
      <w:r w:rsidR="00217826" w:rsidRPr="006611A3">
        <w:rPr>
          <w:rFonts w:ascii="Palatino Linotype" w:eastAsia="Palatino Linotype" w:hAnsi="Palatino Linotype" w:cs="Palatino Linotype"/>
          <w:b/>
        </w:rPr>
        <w:t>once</w:t>
      </w:r>
      <w:r w:rsidR="00F353F4" w:rsidRPr="006611A3">
        <w:rPr>
          <w:rFonts w:ascii="Palatino Linotype" w:eastAsia="Palatino Linotype" w:hAnsi="Palatino Linotype" w:cs="Palatino Linotype"/>
          <w:b/>
        </w:rPr>
        <w:t xml:space="preserve"> de febrero de dos mil veintiséis</w:t>
      </w:r>
      <w:r w:rsidRPr="006611A3">
        <w:rPr>
          <w:rFonts w:ascii="Palatino Linotype" w:eastAsia="Palatino Linotype" w:hAnsi="Palatino Linotype" w:cs="Palatino Linotype"/>
        </w:rPr>
        <w:t xml:space="preserve">, el Pleno del Instituto de Transparencia, Accesos la Información Pública y Protección de Datos Personales del Estado de México y </w:t>
      </w:r>
      <w:r w:rsidRPr="006611A3">
        <w:rPr>
          <w:rFonts w:ascii="Palatino Linotype" w:eastAsia="Palatino Linotype" w:hAnsi="Palatino Linotype" w:cs="Palatino Linotype"/>
        </w:rPr>
        <w:lastRenderedPageBreak/>
        <w:t xml:space="preserve">Municipios, durante la </w:t>
      </w:r>
      <w:r w:rsidR="00217826" w:rsidRPr="006611A3">
        <w:rPr>
          <w:rFonts w:ascii="Palatino Linotype" w:eastAsia="Palatino Linotype" w:hAnsi="Palatino Linotype" w:cs="Palatino Linotype"/>
        </w:rPr>
        <w:t xml:space="preserve">Quinta </w:t>
      </w:r>
      <w:r w:rsidRPr="006611A3">
        <w:rPr>
          <w:rFonts w:ascii="Palatino Linotype" w:eastAsia="Palatino Linotype" w:hAnsi="Palatino Linotype" w:cs="Palatino Linotype"/>
        </w:rPr>
        <w:t xml:space="preserve">Sesión Ordinaria, aprobó la </w:t>
      </w:r>
      <w:r w:rsidRPr="006611A3">
        <w:rPr>
          <w:rFonts w:ascii="Palatino Linotype" w:eastAsia="Palatino Linotype" w:hAnsi="Palatino Linotype" w:cs="Palatino Linotype"/>
          <w:b/>
        </w:rPr>
        <w:t xml:space="preserve">Resolución del Recurso de Revisión </w:t>
      </w:r>
      <w:r w:rsidR="002F1C1F" w:rsidRPr="006611A3">
        <w:rPr>
          <w:rFonts w:ascii="Palatino Linotype" w:eastAsia="Palatino Linotype" w:hAnsi="Palatino Linotype" w:cs="Palatino Linotype"/>
          <w:b/>
        </w:rPr>
        <w:t>00888/INFOEM/IP/RR/2026</w:t>
      </w:r>
      <w:r w:rsidRPr="006611A3">
        <w:rPr>
          <w:rFonts w:ascii="Palatino Linotype" w:eastAsia="Palatino Linotype" w:hAnsi="Palatino Linotype" w:cs="Palatino Linotype"/>
        </w:rPr>
        <w:t>, en la cual se determinó lo siguiente:</w:t>
      </w:r>
    </w:p>
    <w:p w:rsidR="002F1C1F" w:rsidRPr="006611A3" w:rsidRDefault="002905ED" w:rsidP="002F1C1F">
      <w:pPr>
        <w:ind w:left="567" w:right="-879"/>
        <w:jc w:val="both"/>
        <w:rPr>
          <w:rFonts w:ascii="Palatino Linotype" w:eastAsia="Palatino Linotype" w:hAnsi="Palatino Linotype" w:cs="Palatino Linotype"/>
          <w:b/>
          <w:i/>
          <w:color w:val="000000"/>
        </w:rPr>
      </w:pPr>
      <w:r w:rsidRPr="006611A3">
        <w:rPr>
          <w:rFonts w:ascii="Palatino Linotype" w:eastAsia="Palatino Linotype" w:hAnsi="Palatino Linotype" w:cs="Palatino Linotype"/>
          <w:b/>
          <w:i/>
          <w:color w:val="000000"/>
        </w:rPr>
        <w:t>“</w:t>
      </w:r>
      <w:r w:rsidR="002F1C1F" w:rsidRPr="006611A3">
        <w:rPr>
          <w:rFonts w:ascii="Palatino Linotype" w:eastAsia="Palatino Linotype" w:hAnsi="Palatino Linotype" w:cs="Palatino Linotype"/>
          <w:b/>
          <w:i/>
          <w:color w:val="000000"/>
        </w:rPr>
        <w:t xml:space="preserve">PRIMERO. Resultan fundadas las razones o motivos de inconformidad hechos valer por LA RECURRENTE, en términos del considerando TERCERO, de la presente resolución. </w:t>
      </w:r>
    </w:p>
    <w:p w:rsidR="002F1C1F" w:rsidRPr="006611A3" w:rsidRDefault="002F1C1F" w:rsidP="002F1C1F">
      <w:pPr>
        <w:ind w:left="567" w:right="-879"/>
        <w:jc w:val="both"/>
        <w:rPr>
          <w:rFonts w:ascii="Palatino Linotype" w:eastAsia="Palatino Linotype" w:hAnsi="Palatino Linotype" w:cs="Palatino Linotype"/>
          <w:b/>
          <w:i/>
          <w:color w:val="000000"/>
        </w:rPr>
      </w:pPr>
    </w:p>
    <w:p w:rsidR="00BD7A3B" w:rsidRPr="006611A3" w:rsidRDefault="002F1C1F" w:rsidP="002F1C1F">
      <w:pPr>
        <w:ind w:left="567" w:right="-879"/>
        <w:jc w:val="both"/>
        <w:rPr>
          <w:rFonts w:ascii="Palatino Linotype" w:eastAsia="Palatino Linotype" w:hAnsi="Palatino Linotype" w:cs="Palatino Linotype"/>
          <w:i/>
        </w:rPr>
      </w:pPr>
      <w:r w:rsidRPr="006611A3">
        <w:rPr>
          <w:rFonts w:ascii="Palatino Linotype" w:eastAsia="Palatino Linotype" w:hAnsi="Palatino Linotype" w:cs="Palatino Linotype"/>
          <w:b/>
          <w:i/>
          <w:color w:val="000000"/>
        </w:rPr>
        <w:t xml:space="preserve">SEGUNDO. Se ORDENA al Sujeto Obligado atienda la solicitud de información folio 00328/DIFIXTAPAL/IP/2025, vía Sistema de Acceso a la Información Mexiquense (SAIMEX), en términos del Considerando TERCERO de esta resolución. </w:t>
      </w:r>
      <w:r w:rsidR="00DA238D" w:rsidRPr="006611A3">
        <w:rPr>
          <w:rFonts w:ascii="Palatino Linotype" w:eastAsia="Palatino Linotype" w:hAnsi="Palatino Linotype" w:cs="Palatino Linotype"/>
          <w:i/>
        </w:rPr>
        <w:t>…”</w:t>
      </w:r>
    </w:p>
    <w:p w:rsidR="00DA238D" w:rsidRPr="006611A3" w:rsidRDefault="00DA238D" w:rsidP="00DA238D">
      <w:pPr>
        <w:ind w:left="567" w:right="-879"/>
        <w:jc w:val="both"/>
        <w:rPr>
          <w:rFonts w:ascii="Palatino Linotype" w:eastAsia="Palatino Linotype" w:hAnsi="Palatino Linotype" w:cs="Palatino Linotype"/>
          <w:i/>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El </w:t>
      </w:r>
      <w:r w:rsidR="00217826" w:rsidRPr="006611A3">
        <w:rPr>
          <w:rFonts w:ascii="Palatino Linotype" w:eastAsia="Palatino Linotype" w:hAnsi="Palatino Linotype" w:cs="Palatino Linotype"/>
          <w:b/>
        </w:rPr>
        <w:t>dieciséis de febrero de dos mil veintiséis</w:t>
      </w:r>
      <w:r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b/>
        </w:rPr>
        <w:t>se notificó</w:t>
      </w:r>
      <w:r w:rsidRPr="006611A3">
        <w:rPr>
          <w:rFonts w:ascii="Palatino Linotype" w:eastAsia="Palatino Linotype" w:hAnsi="Palatino Linotype" w:cs="Palatino Linotype"/>
        </w:rPr>
        <w:t xml:space="preserve"> por medio del Sistema de Acceso a la Información Mexiquense (SAIMEX), a las partes, </w:t>
      </w:r>
      <w:r w:rsidRPr="006611A3">
        <w:rPr>
          <w:rFonts w:ascii="Palatino Linotype" w:eastAsia="Palatino Linotype" w:hAnsi="Palatino Linotype" w:cs="Palatino Linotype"/>
          <w:b/>
        </w:rPr>
        <w:t>la resolución</w:t>
      </w:r>
      <w:r w:rsidRPr="006611A3">
        <w:rPr>
          <w:rFonts w:ascii="Palatino Linotype" w:eastAsia="Palatino Linotype" w:hAnsi="Palatino Linotype" w:cs="Palatino Linotype"/>
        </w:rPr>
        <w:t xml:space="preserve"> del Medio de Impugnación previamente referido.</w:t>
      </w:r>
    </w:p>
    <w:p w:rsidR="00BD7A3B" w:rsidRPr="006611A3" w:rsidRDefault="00BD7A3B">
      <w:pPr>
        <w:spacing w:line="360" w:lineRule="auto"/>
        <w:ind w:right="-879"/>
        <w:jc w:val="both"/>
        <w:rPr>
          <w:rFonts w:ascii="Palatino Linotype" w:eastAsia="Palatino Linotype" w:hAnsi="Palatino Linotype" w:cs="Palatino Linotype"/>
          <w:b/>
          <w:color w:val="FF0000"/>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b/>
          <w:color w:val="FF0000"/>
        </w:rPr>
      </w:pPr>
      <w:bookmarkStart w:id="3" w:name="_heading=h.t2bvwuudp66w" w:colFirst="0" w:colLast="0"/>
      <w:bookmarkEnd w:id="3"/>
      <w:r w:rsidRPr="006611A3">
        <w:rPr>
          <w:rFonts w:ascii="Palatino Linotype" w:eastAsia="Palatino Linotype" w:hAnsi="Palatino Linotype" w:cs="Palatino Linotype"/>
        </w:rPr>
        <w:t xml:space="preserve">Con fecha </w:t>
      </w:r>
      <w:r w:rsidR="00217826" w:rsidRPr="006611A3">
        <w:rPr>
          <w:rFonts w:ascii="Palatino Linotype" w:eastAsia="Palatino Linotype" w:hAnsi="Palatino Linotype" w:cs="Palatino Linotype"/>
          <w:b/>
        </w:rPr>
        <w:t>dieciocho de febrero de dos mil veintiséis</w:t>
      </w:r>
      <w:r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b/>
        </w:rPr>
        <w:t>el Sujeto Obligado notificó</w:t>
      </w:r>
      <w:r w:rsidRPr="006611A3">
        <w:rPr>
          <w:rFonts w:ascii="Palatino Linotype" w:eastAsia="Palatino Linotype" w:hAnsi="Palatino Linotype" w:cs="Palatino Linotype"/>
        </w:rPr>
        <w:t xml:space="preserve"> a través del Sistema de Acceso a la Información Mexiquense (SAIMEX), </w:t>
      </w:r>
      <w:r w:rsidRPr="006611A3">
        <w:rPr>
          <w:rFonts w:ascii="Palatino Linotype" w:eastAsia="Palatino Linotype" w:hAnsi="Palatino Linotype" w:cs="Palatino Linotype"/>
          <w:b/>
        </w:rPr>
        <w:t>la entrega de información</w:t>
      </w:r>
      <w:r w:rsidRPr="006611A3">
        <w:rPr>
          <w:rFonts w:ascii="Palatino Linotype" w:eastAsia="Palatino Linotype" w:hAnsi="Palatino Linotype" w:cs="Palatino Linotype"/>
        </w:rPr>
        <w:t>, a través de</w:t>
      </w:r>
      <w:r w:rsidR="00B750C7" w:rsidRPr="006611A3">
        <w:rPr>
          <w:rFonts w:ascii="Palatino Linotype" w:eastAsia="Palatino Linotype" w:hAnsi="Palatino Linotype" w:cs="Palatino Linotype"/>
        </w:rPr>
        <w:t>l archivo digital siguiente:</w:t>
      </w:r>
    </w:p>
    <w:p w:rsidR="00217826" w:rsidRPr="006611A3" w:rsidRDefault="00217826" w:rsidP="00B750C7">
      <w:pPr>
        <w:tabs>
          <w:tab w:val="left" w:pos="4667"/>
        </w:tabs>
        <w:ind w:left="567" w:right="-879"/>
        <w:jc w:val="both"/>
        <w:rPr>
          <w:rFonts w:ascii="Palatino Linotype" w:eastAsia="Palatino Linotype" w:hAnsi="Palatino Linotype" w:cs="Palatino Linotype"/>
          <w:b/>
          <w:i/>
        </w:rPr>
      </w:pPr>
      <w:r w:rsidRPr="006611A3">
        <w:rPr>
          <w:rFonts w:ascii="Palatino Linotype" w:eastAsia="Palatino Linotype" w:hAnsi="Palatino Linotype" w:cs="Palatino Linotype"/>
          <w:b/>
          <w:i/>
        </w:rPr>
        <w:t xml:space="preserve">RESPUESTA 328.pdf </w:t>
      </w:r>
    </w:p>
    <w:p w:rsidR="00BD7A3B" w:rsidRPr="006611A3" w:rsidRDefault="00217826" w:rsidP="00217826">
      <w:pPr>
        <w:ind w:left="567" w:right="-879"/>
        <w:jc w:val="both"/>
        <w:rPr>
          <w:rFonts w:ascii="Palatino Linotype" w:eastAsia="Palatino Linotype" w:hAnsi="Palatino Linotype" w:cs="Palatino Linotype"/>
        </w:rPr>
      </w:pPr>
      <w:r w:rsidRPr="006611A3">
        <w:rPr>
          <w:rFonts w:ascii="Palatino Linotype" w:eastAsia="Palatino Linotype" w:hAnsi="Palatino Linotype" w:cs="Palatino Linotype"/>
        </w:rPr>
        <w:t>OFICIO: IXT/UT/0327/2025 de fecha 16 de diciembre de 2025, firmado por el Titular de la Unidad de Transparencia y Acceso a la Información Pública, a través del cual informa lo siguiente:</w:t>
      </w:r>
    </w:p>
    <w:p w:rsidR="00217826" w:rsidRPr="006611A3" w:rsidRDefault="00217826" w:rsidP="00217826">
      <w:pPr>
        <w:ind w:left="567" w:right="-879"/>
        <w:jc w:val="both"/>
        <w:rPr>
          <w:rFonts w:ascii="Palatino Linotype" w:eastAsia="Palatino Linotype" w:hAnsi="Palatino Linotype" w:cs="Palatino Linotype"/>
        </w:rPr>
      </w:pPr>
    </w:p>
    <w:p w:rsidR="00217826" w:rsidRPr="006611A3" w:rsidRDefault="00217826" w:rsidP="00217826">
      <w:pPr>
        <w:ind w:left="567" w:right="-879"/>
        <w:jc w:val="both"/>
        <w:rPr>
          <w:rFonts w:ascii="Palatino Linotype" w:eastAsia="Palatino Linotype" w:hAnsi="Palatino Linotype" w:cs="Palatino Linotype"/>
          <w:b/>
          <w:i/>
        </w:rPr>
      </w:pPr>
      <w:r w:rsidRPr="006611A3">
        <w:rPr>
          <w:rFonts w:ascii="Palatino Linotype" w:eastAsia="Palatino Linotype" w:hAnsi="Palatino Linotype" w:cs="Palatino Linotype"/>
          <w:i/>
        </w:rPr>
        <w:t xml:space="preserve">“SE HACE DEL CONOCIMIENTO DEL PARTICULAR QUE LA INFORMACIÓN SOLICITADA, </w:t>
      </w:r>
      <w:r w:rsidRPr="006611A3">
        <w:rPr>
          <w:rFonts w:ascii="Palatino Linotype" w:eastAsia="Palatino Linotype" w:hAnsi="Palatino Linotype" w:cs="Palatino Linotype"/>
          <w:b/>
          <w:i/>
        </w:rPr>
        <w:t xml:space="preserve">TODA VEZ QUE USTED HA OPTADO POR LA MODALIDAD DE "COPIAS SIMPLES" PARA LA OBTENCIÓN DE LA DOCUMENTACIÓN, SE LE COMUNICA QUE </w:t>
      </w:r>
      <w:r w:rsidRPr="006611A3">
        <w:rPr>
          <w:rFonts w:ascii="Palatino Linotype" w:eastAsia="Palatino Linotype" w:hAnsi="Palatino Linotype" w:cs="Palatino Linotype"/>
          <w:b/>
          <w:i/>
          <w:u w:val="single"/>
        </w:rPr>
        <w:t>LA REPRODUCCIÓN DE LA MISMA GENERA EL PAGO DE DERECHOS</w:t>
      </w:r>
      <w:r w:rsidRPr="006611A3">
        <w:rPr>
          <w:rFonts w:ascii="Palatino Linotype" w:eastAsia="Palatino Linotype" w:hAnsi="Palatino Linotype" w:cs="Palatino Linotype"/>
          <w:b/>
          <w:i/>
        </w:rPr>
        <w:t xml:space="preserve"> A FAVOR DE LA HACIENDA PÚBLICA MUNICIPAL.</w:t>
      </w:r>
    </w:p>
    <w:p w:rsidR="00217826" w:rsidRPr="006611A3" w:rsidRDefault="00217826" w:rsidP="00217826">
      <w:pPr>
        <w:ind w:left="567" w:right="-879"/>
        <w:jc w:val="both"/>
        <w:rPr>
          <w:rFonts w:ascii="Palatino Linotype" w:eastAsia="Palatino Linotype" w:hAnsi="Palatino Linotype" w:cs="Palatino Linotype"/>
          <w:i/>
        </w:rPr>
      </w:pPr>
      <w:r w:rsidRPr="006611A3">
        <w:rPr>
          <w:rFonts w:ascii="Palatino Linotype" w:eastAsia="Palatino Linotype" w:hAnsi="Palatino Linotype" w:cs="Palatino Linotype"/>
          <w:i/>
        </w:rPr>
        <w:t>…</w:t>
      </w:r>
    </w:p>
    <w:p w:rsidR="00217826" w:rsidRPr="006611A3" w:rsidRDefault="00217826" w:rsidP="00217826">
      <w:pPr>
        <w:ind w:left="567" w:right="-879"/>
        <w:jc w:val="both"/>
        <w:rPr>
          <w:rFonts w:ascii="Palatino Linotype" w:eastAsia="Palatino Linotype" w:hAnsi="Palatino Linotype" w:cs="Palatino Linotype"/>
          <w:i/>
        </w:rPr>
      </w:pPr>
      <w:r w:rsidRPr="006611A3">
        <w:rPr>
          <w:rFonts w:ascii="Palatino Linotype" w:eastAsia="Palatino Linotype" w:hAnsi="Palatino Linotype" w:cs="Palatino Linotype"/>
          <w:i/>
        </w:rPr>
        <w:t>ESTE COBRO SE MOTIVA EN LA NECESIDAD DE RESARCIR LOS COSTOS DE MATERIALES Y LA GESTIÓN ADMINISTRATIVA QUE CONLLEVA LA REPRODUCCIÓN DE LOS EXPEDIENTES OFICIALES.</w:t>
      </w:r>
    </w:p>
    <w:p w:rsidR="00217826" w:rsidRPr="006611A3" w:rsidRDefault="00217826" w:rsidP="00217826">
      <w:pPr>
        <w:ind w:left="567" w:right="-879"/>
        <w:jc w:val="both"/>
        <w:rPr>
          <w:rFonts w:ascii="Palatino Linotype" w:eastAsia="Palatino Linotype" w:hAnsi="Palatino Linotype" w:cs="Palatino Linotype"/>
          <w:i/>
        </w:rPr>
      </w:pPr>
      <w:r w:rsidRPr="006611A3">
        <w:rPr>
          <w:rFonts w:ascii="Palatino Linotype" w:eastAsia="Palatino Linotype" w:hAnsi="Palatino Linotype" w:cs="Palatino Linotype"/>
          <w:i/>
        </w:rPr>
        <w:t>…</w:t>
      </w:r>
    </w:p>
    <w:p w:rsidR="00217826" w:rsidRPr="006611A3" w:rsidRDefault="00217826" w:rsidP="00217826">
      <w:pPr>
        <w:ind w:left="567" w:right="-879"/>
        <w:jc w:val="both"/>
        <w:rPr>
          <w:rFonts w:ascii="Palatino Linotype" w:eastAsia="Palatino Linotype" w:hAnsi="Palatino Linotype" w:cs="Palatino Linotype"/>
          <w:i/>
        </w:rPr>
      </w:pPr>
      <w:r w:rsidRPr="006611A3">
        <w:rPr>
          <w:rFonts w:ascii="Palatino Linotype" w:eastAsia="Palatino Linotype" w:hAnsi="Palatino Linotype" w:cs="Palatino Linotype"/>
          <w:i/>
        </w:rPr>
        <w:lastRenderedPageBreak/>
        <w:t>PARA PROCEDER CON LA ENTREGA, ESTA UNIDAD DE TRANSPARENCIA QUEDA A LA ESPERA DE QUE EL INTERESADO MANIFIESTE SU VOLUNTAD DE CUBRIR LOS COSTOS MENCIONADOS. UNA VEZ RECIBIDA DICHA ACEPTACIÓN, SE REALIZARÁ EL CONTEO TOTAL DE LAS FOJAS QUE INTEGRAN EL EXPEDIENTE DE COORDINACIÓN PARA EMITIR LA HOJA DE REFERENCIA DE PAGO.” (Sic)</w:t>
      </w:r>
    </w:p>
    <w:p w:rsidR="00217826" w:rsidRPr="006611A3" w:rsidRDefault="00217826" w:rsidP="00217826">
      <w:pPr>
        <w:ind w:left="567" w:right="-879"/>
        <w:jc w:val="both"/>
        <w:rPr>
          <w:rFonts w:ascii="Palatino Linotype" w:eastAsia="Palatino Linotype" w:hAnsi="Palatino Linotype" w:cs="Palatino Linotype"/>
          <w:i/>
        </w:rPr>
      </w:pPr>
    </w:p>
    <w:p w:rsidR="00217826" w:rsidRPr="006611A3" w:rsidRDefault="00217826" w:rsidP="00403172">
      <w:pPr>
        <w:ind w:right="-879"/>
        <w:jc w:val="both"/>
        <w:rPr>
          <w:rFonts w:ascii="Palatino Linotype" w:eastAsia="Palatino Linotype" w:hAnsi="Palatino Linotype" w:cs="Palatino Linotype"/>
          <w:b/>
          <w:color w:val="FF0000"/>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El </w:t>
      </w:r>
      <w:r w:rsidR="00CD6B01" w:rsidRPr="006611A3">
        <w:rPr>
          <w:rFonts w:ascii="Palatino Linotype" w:eastAsia="Palatino Linotype" w:hAnsi="Palatino Linotype" w:cs="Palatino Linotype"/>
          <w:b/>
        </w:rPr>
        <w:t>cuatro de marzo de dos mil veintiséis</w:t>
      </w:r>
      <w:r w:rsidRPr="006611A3">
        <w:rPr>
          <w:rFonts w:ascii="Palatino Linotype" w:eastAsia="Palatino Linotype" w:hAnsi="Palatino Linotype" w:cs="Palatino Linotype"/>
        </w:rPr>
        <w:t xml:space="preserve">, se recibió en este Instituto, a través del Sistema de </w:t>
      </w:r>
      <w:r w:rsidRPr="006611A3">
        <w:rPr>
          <w:rFonts w:ascii="Palatino Linotype" w:eastAsia="Palatino Linotype" w:hAnsi="Palatino Linotype" w:cs="Palatino Linotype"/>
          <w:b/>
        </w:rPr>
        <w:t>Acceso</w:t>
      </w:r>
      <w:r w:rsidRPr="006611A3">
        <w:rPr>
          <w:rFonts w:ascii="Palatino Linotype" w:eastAsia="Palatino Linotype" w:hAnsi="Palatino Linotype" w:cs="Palatino Linotype"/>
        </w:rPr>
        <w:t xml:space="preserve"> a la Información Mexiquense (SAIMEX), el </w:t>
      </w:r>
      <w:r w:rsidRPr="006611A3">
        <w:rPr>
          <w:rFonts w:ascii="Palatino Linotype" w:eastAsia="Palatino Linotype" w:hAnsi="Palatino Linotype" w:cs="Palatino Linotype"/>
          <w:b/>
        </w:rPr>
        <w:t>Recurso de Revisión</w:t>
      </w:r>
      <w:r w:rsidRPr="006611A3">
        <w:rPr>
          <w:rFonts w:ascii="Palatino Linotype" w:eastAsia="Palatino Linotype" w:hAnsi="Palatino Linotype" w:cs="Palatino Linotype"/>
        </w:rPr>
        <w:t xml:space="preserve"> interpuesto por la parte Recurrente, en contra de la entrega de información del Sujeto Obligado, en cumplimiento a la Resolución referida en el párrafo 9, lo anterior; en los siguientes términos:</w:t>
      </w:r>
    </w:p>
    <w:p w:rsidR="002D56A9" w:rsidRPr="006611A3" w:rsidRDefault="002905ED" w:rsidP="002D56A9">
      <w:pPr>
        <w:tabs>
          <w:tab w:val="left" w:pos="4667"/>
        </w:tabs>
        <w:ind w:left="567" w:right="-879"/>
        <w:jc w:val="both"/>
        <w:rPr>
          <w:rFonts w:ascii="Palatino Linotype" w:eastAsia="Palatino Linotype" w:hAnsi="Palatino Linotype" w:cs="Palatino Linotype"/>
          <w:b/>
          <w:i/>
        </w:rPr>
      </w:pPr>
      <w:r w:rsidRPr="006611A3">
        <w:rPr>
          <w:rFonts w:ascii="Palatino Linotype" w:eastAsia="Palatino Linotype" w:hAnsi="Palatino Linotype" w:cs="Palatino Linotype"/>
          <w:b/>
          <w:i/>
        </w:rPr>
        <w:t>ACTO IMPUGNADO</w:t>
      </w:r>
      <w:r w:rsidR="002D56A9" w:rsidRPr="006611A3">
        <w:rPr>
          <w:rFonts w:ascii="Palatino Linotype" w:eastAsia="Palatino Linotype" w:hAnsi="Palatino Linotype" w:cs="Palatino Linotype"/>
          <w:b/>
          <w:i/>
        </w:rPr>
        <w:t xml:space="preserve"> y RAZONES O MOTIVOS DE LA INCONFORMIDAD</w:t>
      </w:r>
    </w:p>
    <w:p w:rsidR="00BD7A3B" w:rsidRPr="006611A3" w:rsidRDefault="00BD7A3B">
      <w:pPr>
        <w:tabs>
          <w:tab w:val="left" w:pos="4667"/>
        </w:tabs>
        <w:ind w:left="567" w:right="-879"/>
        <w:jc w:val="both"/>
        <w:rPr>
          <w:rFonts w:ascii="Palatino Linotype" w:eastAsia="Palatino Linotype" w:hAnsi="Palatino Linotype" w:cs="Palatino Linotype"/>
          <w:b/>
          <w:i/>
        </w:rPr>
      </w:pPr>
    </w:p>
    <w:p w:rsidR="00BD7A3B" w:rsidRPr="006611A3" w:rsidRDefault="002905ED">
      <w:pPr>
        <w:ind w:left="567" w:right="-879"/>
        <w:jc w:val="both"/>
        <w:rPr>
          <w:rFonts w:ascii="Palatino Linotype" w:eastAsia="Palatino Linotype" w:hAnsi="Palatino Linotype" w:cs="Palatino Linotype"/>
          <w:i/>
        </w:rPr>
      </w:pPr>
      <w:r w:rsidRPr="006611A3">
        <w:rPr>
          <w:rFonts w:ascii="Palatino Linotype" w:eastAsia="Palatino Linotype" w:hAnsi="Palatino Linotype" w:cs="Palatino Linotype"/>
          <w:i/>
        </w:rPr>
        <w:t>“</w:t>
      </w:r>
      <w:r w:rsidR="002D56A9" w:rsidRPr="006611A3">
        <w:rPr>
          <w:rFonts w:ascii="Palatino Linotype" w:eastAsia="Palatino Linotype" w:hAnsi="Palatino Linotype" w:cs="Palatino Linotype"/>
          <w:i/>
        </w:rPr>
        <w:t xml:space="preserve">por mi propio derecho, señalando como medio para oír y recibir notificaciones el sistema electrónico correspondiente, comparezco para interponer RECURSO DE REVISIÓN en contra de la respuesta emitida por el Sistema Municipal para el Desarrollo Integral de la Familia de Ixtapaluca, mediante la cual pretende imponer un cobro por la entrega de la información solicitada, determinación que resulta contraria a los principios de gratuidad, máxima publicidad y accesibilidad previstos en la Ley de Transparencia y Acceso a la Información Pública del Estado de México y Municipios. El sujeto obligado pretende condicionar la entrega de la información al pago de cantidades que no se encuentran debidamente fundadas ni motivadas, sin precisar con claridad el número de fojas, el tipo de reproducción, el sustento normativo específico del arancel aplicable ni el cálculo pormenorizado que justifique el monto requerido. La sola referencia genérica a costos de reproducción resulta insuficiente para satisfacer el estándar de legalidad exigido en materia administrativa, máxime cuando no se acredita que la información no pueda ser proporcionada en formato electrónico sin costo, modalidad que debe privilegiarse conforme a la ley. La legislación en la materia establece que el acceso a la información es gratuito y que únicamente podrán cobrarse los costos estrictamente derivados de la reproducción material, lo cual implica que, si la información obra en formato digital o es susceptible de digitalización razonable, debe entregarse por medios electrónicos sin generar carga económica al solicitante. En el caso concreto, el sujeto obligado no demuestra que la información solicitada se encuentre exclusivamente en soporte físico ni que su digitalización represente una carga desproporcionada, por lo que el cobro pretendido resulta arbitrario y restrictivo del derecho humano de acceso a la información. Asimismo, la autoridad no acredita haber ofrecido alternativas menos gravosas, ni garantiza que el monto </w:t>
      </w:r>
      <w:r w:rsidR="002D56A9" w:rsidRPr="006611A3">
        <w:rPr>
          <w:rFonts w:ascii="Palatino Linotype" w:eastAsia="Palatino Linotype" w:hAnsi="Palatino Linotype" w:cs="Palatino Linotype"/>
          <w:i/>
        </w:rPr>
        <w:lastRenderedPageBreak/>
        <w:t>señalado corresponda estrictamente al costo unitario autorizado en la normatividad aplicable, lo que genera incertidumbre jurídica y evidencia una actuación contraria a los principios de legalidad y proporcionalidad. Por lo anterior, solicito a ese Órgano Garante se admita el presente recurso, se revoque la respuesta emitida por el Sistema Municipal para el Desarrollo Integral de la Familia de Ixtapaluca y se ordene la entrega de la información en formato electrónico sin costo alguno, o en su defecto, se requiera al sujeto obligado que funde, motive y acredite de manera objetiva, detallada y verificable la procedencia y cálculo exacto de cualquier cobro, garantizando en todo momento el pleno ejercicio del derecho de acceso a la información. Protesto lo necesario.</w:t>
      </w:r>
      <w:r w:rsidRPr="006611A3">
        <w:rPr>
          <w:rFonts w:ascii="Palatino Linotype" w:eastAsia="Palatino Linotype" w:hAnsi="Palatino Linotype" w:cs="Palatino Linotype"/>
          <w:i/>
        </w:rPr>
        <w:t>” (Sic)</w:t>
      </w:r>
    </w:p>
    <w:p w:rsidR="00BD7A3B" w:rsidRPr="006611A3" w:rsidRDefault="00BD7A3B">
      <w:pPr>
        <w:spacing w:line="360" w:lineRule="auto"/>
        <w:ind w:right="-879"/>
        <w:jc w:val="both"/>
        <w:rPr>
          <w:rFonts w:ascii="Palatino Linotype" w:eastAsia="Palatino Linotype" w:hAnsi="Palatino Linotype" w:cs="Palatino Linotype"/>
          <w:color w:val="2E75B5"/>
        </w:rPr>
      </w:pPr>
    </w:p>
    <w:p w:rsidR="00BD7A3B" w:rsidRPr="006611A3" w:rsidRDefault="002905ED" w:rsidP="00856535">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El </w:t>
      </w:r>
      <w:r w:rsidR="002D56A9" w:rsidRPr="006611A3">
        <w:rPr>
          <w:rFonts w:ascii="Palatino Linotype" w:eastAsia="Palatino Linotype" w:hAnsi="Palatino Linotype" w:cs="Palatino Linotype"/>
          <w:b/>
        </w:rPr>
        <w:t xml:space="preserve">doce de marzo de dos mil veintiséis </w:t>
      </w:r>
      <w:r w:rsidRPr="006611A3">
        <w:rPr>
          <w:rFonts w:ascii="Palatino Linotype" w:eastAsia="Palatino Linotype" w:hAnsi="Palatino Linotype" w:cs="Palatino Linotype"/>
        </w:rPr>
        <w:t xml:space="preserve">, se acordó la </w:t>
      </w:r>
      <w:r w:rsidRPr="006611A3">
        <w:rPr>
          <w:rFonts w:ascii="Palatino Linotype" w:eastAsia="Palatino Linotype" w:hAnsi="Palatino Linotype" w:cs="Palatino Linotype"/>
          <w:b/>
        </w:rPr>
        <w:t>admisión del Recurso de Revisión</w:t>
      </w:r>
      <w:r w:rsidRPr="006611A3">
        <w:rPr>
          <w:rFonts w:ascii="Palatino Linotype" w:eastAsia="Palatino Linotype" w:hAnsi="Palatino Linotype" w:cs="Palatino Linotype"/>
        </w:rPr>
        <w:t xml:space="preserve"> número </w:t>
      </w:r>
      <w:r w:rsidR="00856535" w:rsidRPr="006611A3">
        <w:rPr>
          <w:rFonts w:ascii="Palatino Linotype" w:eastAsia="Palatino Linotype" w:hAnsi="Palatino Linotype" w:cs="Palatino Linotype"/>
          <w:b/>
        </w:rPr>
        <w:t xml:space="preserve">00888/INFOEM/ICR-123/IP/RR/2026 </w:t>
      </w:r>
      <w:r w:rsidRPr="006611A3">
        <w:rPr>
          <w:rFonts w:ascii="Palatino Linotype" w:eastAsia="Palatino Linotype" w:hAnsi="Palatino Linotype" w:cs="Palatino Linotype"/>
        </w:rPr>
        <w:t>interpuesto por el Particular en contra del Sujeto Obligado, en términos del artículo 185, fracciones I, II y IV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r w:rsidRPr="006611A3">
        <w:rPr>
          <w:rFonts w:ascii="Palatino Linotype" w:eastAsia="Palatino Linotype" w:hAnsi="Palatino Linotype" w:cs="Palatino Linotype"/>
          <w:b/>
        </w:rPr>
        <w:t xml:space="preserve"> </w:t>
      </w:r>
    </w:p>
    <w:p w:rsidR="00BD7A3B" w:rsidRPr="006611A3" w:rsidRDefault="00BD7A3B">
      <w:pPr>
        <w:spacing w:line="360" w:lineRule="auto"/>
        <w:ind w:right="-879"/>
        <w:jc w:val="both"/>
        <w:rPr>
          <w:rFonts w:ascii="Palatino Linotype" w:eastAsia="Palatino Linotype" w:hAnsi="Palatino Linotype" w:cs="Palatino Linotype"/>
          <w:color w:val="FF0000"/>
        </w:rPr>
      </w:pPr>
    </w:p>
    <w:p w:rsidR="00BD7A3B" w:rsidRPr="006611A3" w:rsidRDefault="002905ED">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rPr>
        <w:t xml:space="preserve">De las constancias que obran en el expediente electrónico SAIMEX, se advierte que las </w:t>
      </w:r>
      <w:r w:rsidRPr="006611A3">
        <w:rPr>
          <w:rFonts w:ascii="Palatino Linotype" w:eastAsia="Palatino Linotype" w:hAnsi="Palatino Linotype" w:cs="Palatino Linotype"/>
          <w:b/>
        </w:rPr>
        <w:t>partes fueron omisas en emitir manifestaciones o alegatos</w:t>
      </w:r>
      <w:r w:rsidRPr="006611A3">
        <w:rPr>
          <w:rFonts w:ascii="Palatino Linotype" w:eastAsia="Palatino Linotype" w:hAnsi="Palatino Linotype" w:cs="Palatino Linotype"/>
        </w:rPr>
        <w:t>.</w:t>
      </w:r>
    </w:p>
    <w:p w:rsidR="00BD7A3B" w:rsidRPr="006611A3" w:rsidRDefault="00856535" w:rsidP="000A6FB9">
      <w:pPr>
        <w:spacing w:line="360" w:lineRule="auto"/>
        <w:ind w:right="-879"/>
        <w:jc w:val="center"/>
        <w:rPr>
          <w:rFonts w:ascii="Palatino Linotype" w:eastAsia="Palatino Linotype" w:hAnsi="Palatino Linotype" w:cs="Palatino Linotype"/>
          <w:i/>
          <w:color w:val="000000"/>
        </w:rPr>
      </w:pPr>
      <w:r w:rsidRPr="006611A3">
        <w:rPr>
          <w:rFonts w:ascii="Palatino Linotype" w:eastAsia="Palatino Linotype" w:hAnsi="Palatino Linotype" w:cs="Palatino Linotype"/>
          <w:i/>
          <w:noProof/>
          <w:color w:val="000000"/>
        </w:rPr>
        <w:drawing>
          <wp:inline distT="0" distB="0" distL="0" distR="0" wp14:anchorId="0FFEB699" wp14:editId="305BA1FE">
            <wp:extent cx="5742940" cy="144653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42940" cy="1446530"/>
                    </a:xfrm>
                    <a:prstGeom prst="rect">
                      <a:avLst/>
                    </a:prstGeom>
                  </pic:spPr>
                </pic:pic>
              </a:graphicData>
            </a:graphic>
          </wp:inline>
        </w:drawing>
      </w:r>
    </w:p>
    <w:p w:rsidR="000A6FB9" w:rsidRPr="006611A3" w:rsidRDefault="000A6FB9" w:rsidP="000A6FB9">
      <w:pPr>
        <w:spacing w:line="360" w:lineRule="auto"/>
        <w:ind w:right="-879"/>
        <w:jc w:val="center"/>
        <w:rPr>
          <w:rFonts w:ascii="Palatino Linotype" w:eastAsia="Palatino Linotype" w:hAnsi="Palatino Linotype" w:cs="Palatino Linotype"/>
          <w:i/>
          <w:color w:val="000000"/>
        </w:rPr>
      </w:pPr>
    </w:p>
    <w:p w:rsidR="0070233E" w:rsidRPr="006611A3" w:rsidRDefault="0070233E" w:rsidP="0070233E">
      <w:pPr>
        <w:numPr>
          <w:ilvl w:val="0"/>
          <w:numId w:val="1"/>
        </w:numPr>
        <w:spacing w:line="360" w:lineRule="auto"/>
        <w:ind w:left="0" w:right="-879" w:firstLine="0"/>
        <w:jc w:val="both"/>
        <w:rPr>
          <w:rFonts w:ascii="Palatino Linotype" w:eastAsia="Palatino Linotype" w:hAnsi="Palatino Linotype" w:cs="Palatino Linotype"/>
          <w:b/>
          <w:color w:val="000000"/>
        </w:rPr>
      </w:pPr>
      <w:r w:rsidRPr="006611A3">
        <w:rPr>
          <w:rFonts w:ascii="Palatino Linotype" w:eastAsia="Palatino Linotype" w:hAnsi="Palatino Linotype" w:cs="Palatino Linotype"/>
          <w:color w:val="000000"/>
        </w:rPr>
        <w:lastRenderedPageBreak/>
        <w:t xml:space="preserve">Seguidamente, en fecha </w:t>
      </w:r>
      <w:r w:rsidRPr="006611A3">
        <w:rPr>
          <w:rFonts w:ascii="Palatino Linotype" w:eastAsia="Palatino Linotype" w:hAnsi="Palatino Linotype" w:cs="Palatino Linotype"/>
          <w:b/>
          <w:color w:val="000000"/>
        </w:rPr>
        <w:t>nueve de abril de dos mil veintiséis</w:t>
      </w:r>
      <w:r w:rsidRPr="006611A3">
        <w:rPr>
          <w:rFonts w:ascii="Palatino Linotype" w:eastAsia="Palatino Linotype" w:hAnsi="Palatino Linotype" w:cs="Palatino Linotype"/>
          <w:color w:val="000000"/>
        </w:rPr>
        <w:t xml:space="preserve">, la Comisionada Ponente dictó el </w:t>
      </w:r>
      <w:r w:rsidRPr="006611A3">
        <w:rPr>
          <w:rFonts w:ascii="Palatino Linotype" w:eastAsia="Palatino Linotype" w:hAnsi="Palatino Linotype" w:cs="Palatino Linotype"/>
          <w:b/>
          <w:color w:val="000000"/>
        </w:rPr>
        <w:t>cierre del periodo de instrucción</w:t>
      </w:r>
      <w:r w:rsidRPr="006611A3">
        <w:rPr>
          <w:rFonts w:ascii="Palatino Linotype" w:eastAsia="Palatino Linotype" w:hAnsi="Palatino Linotype" w:cs="Palatino Linotype"/>
          <w:color w:val="000000"/>
        </w:rPr>
        <w:t xml:space="preserve"> y, ordenó la resolución que conforme a Derecho proceda.</w:t>
      </w:r>
    </w:p>
    <w:p w:rsidR="0070233E" w:rsidRPr="006611A3" w:rsidRDefault="0070233E" w:rsidP="0070233E">
      <w:pPr>
        <w:spacing w:line="360" w:lineRule="auto"/>
        <w:ind w:right="-879"/>
        <w:jc w:val="both"/>
        <w:rPr>
          <w:rFonts w:ascii="Palatino Linotype" w:eastAsia="Palatino Linotype" w:hAnsi="Palatino Linotype" w:cs="Palatino Linotype"/>
          <w:b/>
          <w:color w:val="000000"/>
        </w:rPr>
      </w:pPr>
    </w:p>
    <w:p w:rsidR="000A6FB9" w:rsidRPr="006611A3" w:rsidRDefault="00ED2E3E" w:rsidP="000A6FB9">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color w:val="000000"/>
        </w:rPr>
        <w:t xml:space="preserve">El </w:t>
      </w:r>
      <w:r w:rsidR="0070233E" w:rsidRPr="006611A3">
        <w:rPr>
          <w:rFonts w:ascii="Palatino Linotype" w:eastAsia="Palatino Linotype" w:hAnsi="Palatino Linotype" w:cs="Palatino Linotype"/>
          <w:b/>
          <w:color w:val="000000"/>
        </w:rPr>
        <w:t>seis de mayo</w:t>
      </w:r>
      <w:r w:rsidRPr="006611A3">
        <w:rPr>
          <w:rFonts w:ascii="Palatino Linotype" w:eastAsia="Palatino Linotype" w:hAnsi="Palatino Linotype" w:cs="Palatino Linotype"/>
          <w:b/>
          <w:color w:val="000000"/>
        </w:rPr>
        <w:t xml:space="preserve"> de dos mil veintiséis</w:t>
      </w:r>
      <w:r w:rsidRPr="006611A3">
        <w:rPr>
          <w:rFonts w:ascii="Palatino Linotype" w:eastAsia="Palatino Linotype" w:hAnsi="Palatino Linotype" w:cs="Palatino Linotype"/>
          <w:color w:val="000000"/>
        </w:rPr>
        <w:t xml:space="preserve">, </w:t>
      </w:r>
      <w:r w:rsidR="000A6FB9" w:rsidRPr="006611A3">
        <w:rPr>
          <w:rFonts w:ascii="Palatino Linotype" w:eastAsia="Palatino Linotype" w:hAnsi="Palatino Linotype" w:cs="Palatino Linotype"/>
          <w:color w:val="000000"/>
        </w:rPr>
        <w:t xml:space="preserve">se acordó </w:t>
      </w:r>
      <w:r w:rsidR="000A6FB9" w:rsidRPr="006611A3">
        <w:rPr>
          <w:rFonts w:ascii="Palatino Linotype" w:eastAsia="Palatino Linotype" w:hAnsi="Palatino Linotype" w:cs="Palatino Linotype"/>
          <w:b/>
          <w:color w:val="000000"/>
        </w:rPr>
        <w:t>ampliar el término para resolver</w:t>
      </w:r>
      <w:r w:rsidR="000A6FB9" w:rsidRPr="006611A3">
        <w:rPr>
          <w:rFonts w:ascii="Palatino Linotype" w:eastAsia="Palatino Linotype" w:hAnsi="Palatino Linotype" w:cs="Palatino Linotype"/>
          <w:color w:val="000000"/>
        </w:rPr>
        <w:t xml:space="preserve"> el presente asunto.</w:t>
      </w:r>
    </w:p>
    <w:p w:rsidR="00BD7A3B" w:rsidRPr="006611A3" w:rsidRDefault="00BD7A3B">
      <w:pPr>
        <w:spacing w:line="360" w:lineRule="auto"/>
        <w:ind w:right="-879"/>
        <w:jc w:val="both"/>
        <w:rPr>
          <w:rFonts w:ascii="Palatino Linotype" w:eastAsia="Palatino Linotype" w:hAnsi="Palatino Linotype" w:cs="Palatino Linotype"/>
          <w:b/>
        </w:rPr>
      </w:pPr>
    </w:p>
    <w:p w:rsidR="0026182F" w:rsidRPr="006611A3" w:rsidRDefault="0026182F" w:rsidP="0026182F">
      <w:pPr>
        <w:pBdr>
          <w:top w:val="nil"/>
          <w:left w:val="nil"/>
          <w:bottom w:val="nil"/>
          <w:right w:val="nil"/>
          <w:between w:val="nil"/>
        </w:pBdr>
        <w:ind w:right="-788"/>
        <w:jc w:val="both"/>
        <w:rPr>
          <w:rFonts w:ascii="Palatino Linotype" w:eastAsia="Palatino Linotype" w:hAnsi="Palatino Linotype" w:cs="Palatino Linotype"/>
          <w:b/>
          <w:color w:val="000000"/>
        </w:rPr>
      </w:pPr>
    </w:p>
    <w:p w:rsidR="0026182F" w:rsidRPr="006611A3" w:rsidRDefault="0026182F" w:rsidP="0026182F">
      <w:pPr>
        <w:keepNext/>
        <w:keepLines/>
        <w:spacing w:line="360" w:lineRule="auto"/>
        <w:jc w:val="center"/>
        <w:rPr>
          <w:rFonts w:ascii="Palatino Linotype" w:eastAsia="Palatino Linotype" w:hAnsi="Palatino Linotype" w:cs="Palatino Linotype"/>
          <w:b/>
        </w:rPr>
      </w:pPr>
      <w:r w:rsidRPr="006611A3">
        <w:rPr>
          <w:rFonts w:ascii="Palatino Linotype" w:eastAsia="Palatino Linotype" w:hAnsi="Palatino Linotype" w:cs="Palatino Linotype"/>
          <w:b/>
        </w:rPr>
        <w:t>C</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O</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N</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S</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I</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D</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E</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R</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A</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N</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D</w:t>
      </w:r>
      <w:r w:rsidR="00114726"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b/>
        </w:rPr>
        <w:t xml:space="preserve">O </w:t>
      </w:r>
    </w:p>
    <w:p w:rsidR="0026182F" w:rsidRPr="006611A3" w:rsidRDefault="0026182F" w:rsidP="0026182F">
      <w:pPr>
        <w:spacing w:line="360" w:lineRule="auto"/>
        <w:rPr>
          <w:rFonts w:ascii="Palatino Linotype" w:eastAsia="Palatino Linotype" w:hAnsi="Palatino Linotype" w:cs="Palatino Linotype"/>
        </w:rPr>
      </w:pPr>
    </w:p>
    <w:p w:rsidR="0026182F" w:rsidRPr="006611A3" w:rsidRDefault="0026182F" w:rsidP="0026182F">
      <w:pPr>
        <w:keepNext/>
        <w:keepLines/>
        <w:spacing w:line="360" w:lineRule="auto"/>
        <w:rPr>
          <w:rFonts w:ascii="Palatino Linotype" w:eastAsia="Palatino Linotype" w:hAnsi="Palatino Linotype" w:cs="Palatino Linotype"/>
          <w:b/>
        </w:rPr>
      </w:pPr>
      <w:r w:rsidRPr="006611A3">
        <w:rPr>
          <w:rFonts w:ascii="Palatino Linotype" w:eastAsia="Palatino Linotype" w:hAnsi="Palatino Linotype" w:cs="Palatino Linotype"/>
          <w:b/>
        </w:rPr>
        <w:t>PRIMERO. De la competencia</w:t>
      </w:r>
    </w:p>
    <w:p w:rsidR="0026182F" w:rsidRPr="006611A3" w:rsidRDefault="0026182F" w:rsidP="00337418">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6182F" w:rsidRPr="006611A3" w:rsidRDefault="0026182F" w:rsidP="0026182F">
      <w:pPr>
        <w:tabs>
          <w:tab w:val="left" w:pos="426"/>
        </w:tabs>
        <w:spacing w:line="360" w:lineRule="auto"/>
        <w:jc w:val="both"/>
        <w:rPr>
          <w:rFonts w:ascii="Palatino Linotype" w:eastAsia="Palatino Linotype" w:hAnsi="Palatino Linotype" w:cs="Palatino Linotype"/>
          <w:color w:val="000000"/>
        </w:rPr>
      </w:pPr>
    </w:p>
    <w:p w:rsidR="0026182F" w:rsidRPr="006611A3" w:rsidRDefault="0026182F" w:rsidP="0026182F">
      <w:pPr>
        <w:keepNext/>
        <w:keepLines/>
        <w:spacing w:line="360" w:lineRule="auto"/>
        <w:rPr>
          <w:rFonts w:ascii="Palatino Linotype" w:eastAsia="Palatino Linotype" w:hAnsi="Palatino Linotype" w:cs="Palatino Linotype"/>
          <w:b/>
        </w:rPr>
      </w:pPr>
      <w:r w:rsidRPr="006611A3">
        <w:rPr>
          <w:rFonts w:ascii="Palatino Linotype" w:eastAsia="Palatino Linotype" w:hAnsi="Palatino Linotype" w:cs="Palatino Linotype"/>
          <w:b/>
        </w:rPr>
        <w:t>SEGUNDO. De la oportunidad y procedencia.</w:t>
      </w:r>
    </w:p>
    <w:p w:rsidR="0026182F" w:rsidRPr="006611A3" w:rsidRDefault="0026182F" w:rsidP="00337418">
      <w:pPr>
        <w:numPr>
          <w:ilvl w:val="0"/>
          <w:numId w:val="1"/>
        </w:numPr>
        <w:spacing w:line="360" w:lineRule="auto"/>
        <w:ind w:left="0" w:right="-879" w:firstLine="0"/>
        <w:jc w:val="both"/>
        <w:rPr>
          <w:rFonts w:ascii="Palatino Linotype" w:eastAsia="Palatino Linotype" w:hAnsi="Palatino Linotype" w:cs="Palatino Linotype"/>
        </w:rPr>
      </w:pPr>
      <w:bookmarkStart w:id="4" w:name="_heading=h.2et92p0" w:colFirst="0" w:colLast="0"/>
      <w:bookmarkEnd w:id="4"/>
      <w:r w:rsidRPr="006611A3">
        <w:rPr>
          <w:rFonts w:ascii="Palatino Linotype" w:eastAsia="Palatino Linotype" w:hAnsi="Palatino Linotype" w:cs="Palatino Linotype"/>
        </w:rPr>
        <w:t xml:space="preserve">El </w:t>
      </w:r>
      <w:r w:rsidRPr="006611A3">
        <w:rPr>
          <w:rFonts w:ascii="Palatino Linotype" w:eastAsia="Palatino Linotype" w:hAnsi="Palatino Linotype" w:cs="Palatino Linotype"/>
          <w:color w:val="000000"/>
        </w:rPr>
        <w:t>medio</w:t>
      </w:r>
      <w:r w:rsidRPr="006611A3">
        <w:rPr>
          <w:rFonts w:ascii="Palatino Linotype" w:eastAsia="Palatino Linotype" w:hAnsi="Palatino Linotype" w:cs="Palatino Linotype"/>
        </w:rPr>
        <w:t xml:space="preserve"> de impugnación fue presentado a través del </w:t>
      </w:r>
      <w:r w:rsidRPr="006611A3">
        <w:rPr>
          <w:rFonts w:ascii="Palatino Linotype" w:eastAsia="Palatino Linotype" w:hAnsi="Palatino Linotype" w:cs="Palatino Linotype"/>
          <w:b/>
        </w:rPr>
        <w:t>SAIMEX,</w:t>
      </w:r>
      <w:r w:rsidRPr="006611A3">
        <w:rPr>
          <w:rFonts w:ascii="Palatino Linotype" w:eastAsia="Palatino Linotype" w:hAnsi="Palatino Linotype" w:cs="Palatino Linotype"/>
        </w:rPr>
        <w:t xml:space="preserve"> en el formato previamente aprobado para tal efecto y dentro del plazo legal de quince días hábiles otorgados; </w:t>
      </w:r>
      <w:r w:rsidRPr="006611A3">
        <w:rPr>
          <w:rFonts w:ascii="Palatino Linotype" w:eastAsia="Palatino Linotype" w:hAnsi="Palatino Linotype" w:cs="Palatino Linotype"/>
        </w:rPr>
        <w:lastRenderedPageBreak/>
        <w:t xml:space="preserve">para el caso en particular es de señalar que el </w:t>
      </w:r>
      <w:r w:rsidRPr="006611A3">
        <w:rPr>
          <w:rFonts w:ascii="Palatino Linotype" w:eastAsia="Palatino Linotype" w:hAnsi="Palatino Linotype" w:cs="Palatino Linotype"/>
          <w:b/>
        </w:rPr>
        <w:t>SUJETO OBLIGADO</w:t>
      </w:r>
      <w:r w:rsidRPr="006611A3">
        <w:rPr>
          <w:rFonts w:ascii="Palatino Linotype" w:eastAsia="Palatino Linotype" w:hAnsi="Palatino Linotype" w:cs="Palatino Linotype"/>
        </w:rPr>
        <w:t xml:space="preserve"> entregó respuesta el </w:t>
      </w:r>
      <w:r w:rsidR="000D1629" w:rsidRPr="006611A3">
        <w:rPr>
          <w:rFonts w:ascii="Palatino Linotype" w:eastAsia="Palatino Linotype" w:hAnsi="Palatino Linotype" w:cs="Palatino Linotype"/>
          <w:b/>
        </w:rPr>
        <w:t>dieciocho de febrero de dos mil veintiséis</w:t>
      </w:r>
      <w:r w:rsidRPr="006611A3">
        <w:rPr>
          <w:rFonts w:ascii="Palatino Linotype" w:eastAsia="Palatino Linotype" w:hAnsi="Palatino Linotype" w:cs="Palatino Linotype"/>
        </w:rPr>
        <w:t xml:space="preserve">, de tal forma que el plazo para interponer el recurso transcurrió del </w:t>
      </w:r>
      <w:r w:rsidR="000D1629" w:rsidRPr="006611A3">
        <w:rPr>
          <w:rFonts w:ascii="Palatino Linotype" w:eastAsia="Palatino Linotype" w:hAnsi="Palatino Linotype" w:cs="Palatino Linotype"/>
          <w:b/>
        </w:rPr>
        <w:t>diecinueve de febrero al doce de marzo</w:t>
      </w:r>
      <w:r w:rsidR="00337418" w:rsidRPr="006611A3">
        <w:rPr>
          <w:rFonts w:ascii="Palatino Linotype" w:eastAsia="Palatino Linotype" w:hAnsi="Palatino Linotype" w:cs="Palatino Linotype"/>
          <w:b/>
        </w:rPr>
        <w:t xml:space="preserve"> de dos mil veintiséis</w:t>
      </w:r>
      <w:r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rPr>
        <w:t xml:space="preserve">en consecuencia, si el </w:t>
      </w:r>
      <w:r w:rsidRPr="006611A3">
        <w:rPr>
          <w:rFonts w:ascii="Palatino Linotype" w:eastAsia="Palatino Linotype" w:hAnsi="Palatino Linotype" w:cs="Palatino Linotype"/>
          <w:b/>
        </w:rPr>
        <w:t>PARTICULAR</w:t>
      </w:r>
      <w:r w:rsidRPr="006611A3">
        <w:rPr>
          <w:rFonts w:ascii="Palatino Linotype" w:eastAsia="Palatino Linotype" w:hAnsi="Palatino Linotype" w:cs="Palatino Linotype"/>
        </w:rPr>
        <w:t xml:space="preserve"> presentó su inconformidad el </w:t>
      </w:r>
      <w:r w:rsidR="000D1629" w:rsidRPr="006611A3">
        <w:rPr>
          <w:rFonts w:ascii="Palatino Linotype" w:eastAsia="Palatino Linotype" w:hAnsi="Palatino Linotype" w:cs="Palatino Linotype"/>
          <w:b/>
        </w:rPr>
        <w:t>cuatro de marzo de dos mil veintiséis</w:t>
      </w:r>
      <w:r w:rsidRPr="006611A3">
        <w:rPr>
          <w:rFonts w:ascii="Palatino Linotype" w:eastAsia="Palatino Linotype" w:hAnsi="Palatino Linotype" w:cs="Palatino Linotype"/>
        </w:rPr>
        <w:t xml:space="preserve">, este  se encuentra dentro de los márgenes temporales previstos en el artículo 178 de la </w:t>
      </w:r>
      <w:r w:rsidRPr="006611A3">
        <w:rPr>
          <w:rFonts w:ascii="Palatino Linotype" w:eastAsia="Palatino Linotype" w:hAnsi="Palatino Linotype" w:cs="Palatino Linotype"/>
          <w:b/>
        </w:rPr>
        <w:t xml:space="preserve">Ley de Transparencia y Acceso a la Información Pública del Estado de México y Municipios </w:t>
      </w:r>
      <w:r w:rsidRPr="006611A3">
        <w:rPr>
          <w:rFonts w:ascii="Palatino Linotype" w:eastAsia="Palatino Linotype" w:hAnsi="Palatino Linotype" w:cs="Palatino Linotype"/>
        </w:rPr>
        <w:t xml:space="preserve">vigente. </w:t>
      </w:r>
    </w:p>
    <w:p w:rsidR="0026182F" w:rsidRPr="006611A3" w:rsidRDefault="0026182F" w:rsidP="0026182F">
      <w:pPr>
        <w:spacing w:line="360" w:lineRule="auto"/>
        <w:ind w:right="49"/>
        <w:jc w:val="both"/>
        <w:rPr>
          <w:rFonts w:ascii="Palatino Linotype" w:eastAsia="Palatino Linotype" w:hAnsi="Palatino Linotype" w:cs="Palatino Linotype"/>
        </w:rPr>
      </w:pPr>
    </w:p>
    <w:p w:rsidR="0026182F" w:rsidRPr="006611A3" w:rsidRDefault="0026182F" w:rsidP="0026182F">
      <w:pPr>
        <w:pStyle w:val="Ttulo2"/>
        <w:rPr>
          <w:rFonts w:ascii="Palatino Linotype" w:eastAsia="Palatino Linotype" w:hAnsi="Palatino Linotype" w:cs="Palatino Linotype"/>
          <w:b/>
          <w:i/>
          <w:color w:val="000000"/>
          <w:sz w:val="24"/>
          <w:szCs w:val="24"/>
        </w:rPr>
      </w:pPr>
      <w:r w:rsidRPr="006611A3">
        <w:rPr>
          <w:rFonts w:ascii="Palatino Linotype" w:eastAsia="Palatino Linotype" w:hAnsi="Palatino Linotype" w:cs="Palatino Linotype"/>
          <w:b/>
          <w:color w:val="000000"/>
          <w:sz w:val="24"/>
          <w:szCs w:val="24"/>
        </w:rPr>
        <w:t xml:space="preserve">TERCERO. Del planteamiento de la </w:t>
      </w:r>
      <w:r w:rsidRPr="006611A3">
        <w:rPr>
          <w:rFonts w:ascii="Palatino Linotype" w:eastAsia="Palatino Linotype" w:hAnsi="Palatino Linotype" w:cs="Palatino Linotype"/>
          <w:b/>
          <w:i/>
          <w:color w:val="000000"/>
          <w:sz w:val="24"/>
          <w:szCs w:val="24"/>
        </w:rPr>
        <w:t>Litis.</w:t>
      </w:r>
    </w:p>
    <w:p w:rsidR="0026182F" w:rsidRPr="006611A3" w:rsidRDefault="0026182F" w:rsidP="003543DC">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Se solicitó tener acceso, a la información que a continuación se simplifica:</w:t>
      </w:r>
    </w:p>
    <w:p w:rsidR="00795B50" w:rsidRPr="006611A3" w:rsidRDefault="00795B50" w:rsidP="00795B50">
      <w:pPr>
        <w:pStyle w:val="Prrafodelista"/>
        <w:numPr>
          <w:ilvl w:val="0"/>
          <w:numId w:val="28"/>
        </w:numPr>
        <w:ind w:left="993" w:right="-788"/>
        <w:jc w:val="both"/>
        <w:rPr>
          <w:rFonts w:ascii="Palatino Linotype" w:eastAsia="Palatino Linotype" w:hAnsi="Palatino Linotype" w:cs="Palatino Linotype"/>
          <w:i/>
          <w:color w:val="000000"/>
          <w:sz w:val="24"/>
        </w:rPr>
      </w:pPr>
      <w:r w:rsidRPr="006611A3">
        <w:rPr>
          <w:rFonts w:ascii="Palatino Linotype" w:eastAsia="Palatino Linotype" w:hAnsi="Palatino Linotype" w:cs="Palatino Linotype"/>
          <w:i/>
          <w:color w:val="000000"/>
          <w:sz w:val="24"/>
        </w:rPr>
        <w:t>Solicito copia en versión pública del convenio, acuerdo, acta o instrumento jurídico de coordinación celebrado entre el DIF Municipal de Ixtapaluca y la Beneficencia Pública del Estado de México o Federal, que justifique legalmente la entrega de “300 lentes para personas en situación de vulnerabilidad”, así como anexos, minutas, oficios de solicitud y cualquier documento soporte que acredite dicha coordinación institucional.</w:t>
      </w:r>
    </w:p>
    <w:p w:rsidR="0026182F" w:rsidRPr="006611A3" w:rsidRDefault="0026182F" w:rsidP="0026182F">
      <w:pPr>
        <w:ind w:left="709" w:right="-788"/>
        <w:jc w:val="both"/>
        <w:rPr>
          <w:rFonts w:ascii="Palatino Linotype" w:eastAsia="Palatino Linotype" w:hAnsi="Palatino Linotype" w:cs="Palatino Linotype"/>
          <w:b/>
        </w:rPr>
      </w:pPr>
    </w:p>
    <w:p w:rsidR="007F2116" w:rsidRPr="006611A3" w:rsidRDefault="007F2116" w:rsidP="0026182F">
      <w:pPr>
        <w:ind w:left="709" w:right="-788"/>
        <w:jc w:val="both"/>
        <w:rPr>
          <w:rFonts w:ascii="Palatino Linotype" w:eastAsia="Palatino Linotype" w:hAnsi="Palatino Linotype" w:cs="Palatino Linotype"/>
          <w:b/>
        </w:rPr>
      </w:pPr>
    </w:p>
    <w:p w:rsidR="0026182F" w:rsidRPr="006611A3" w:rsidRDefault="0026182F" w:rsidP="00873612">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rPr>
        <w:t xml:space="preserve">En </w:t>
      </w:r>
      <w:r w:rsidRPr="006611A3">
        <w:rPr>
          <w:rFonts w:ascii="Palatino Linotype" w:eastAsia="Palatino Linotype" w:hAnsi="Palatino Linotype" w:cs="Palatino Linotype"/>
          <w:color w:val="000000"/>
        </w:rPr>
        <w:t>respuesta</w:t>
      </w:r>
      <w:r w:rsidRPr="006611A3">
        <w:rPr>
          <w:rFonts w:ascii="Palatino Linotype" w:eastAsia="Palatino Linotype" w:hAnsi="Palatino Linotype" w:cs="Palatino Linotype"/>
        </w:rPr>
        <w:t>, el Sujeto Obligado</w:t>
      </w:r>
      <w:r w:rsidRPr="006611A3">
        <w:rPr>
          <w:rFonts w:ascii="Palatino Linotype" w:eastAsia="Palatino Linotype" w:hAnsi="Palatino Linotype" w:cs="Palatino Linotype"/>
          <w:b/>
        </w:rPr>
        <w:t xml:space="preserve"> </w:t>
      </w:r>
      <w:r w:rsidR="00873612" w:rsidRPr="006611A3">
        <w:rPr>
          <w:rFonts w:ascii="Palatino Linotype" w:eastAsia="Palatino Linotype" w:hAnsi="Palatino Linotype" w:cs="Palatino Linotype"/>
        </w:rPr>
        <w:t>realizó la entrega de información ya descrita</w:t>
      </w:r>
      <w:r w:rsidRPr="006611A3">
        <w:rPr>
          <w:rFonts w:ascii="Palatino Linotype" w:eastAsia="Palatino Linotype" w:hAnsi="Palatino Linotype" w:cs="Palatino Linotype"/>
        </w:rPr>
        <w:t xml:space="preserve"> en el an</w:t>
      </w:r>
      <w:r w:rsidR="00873612" w:rsidRPr="006611A3">
        <w:rPr>
          <w:rFonts w:ascii="Palatino Linotype" w:eastAsia="Palatino Linotype" w:hAnsi="Palatino Linotype" w:cs="Palatino Linotype"/>
        </w:rPr>
        <w:t>terior párrafo 9</w:t>
      </w:r>
      <w:r w:rsidRPr="006611A3">
        <w:rPr>
          <w:rFonts w:ascii="Palatino Linotype" w:eastAsia="Palatino Linotype" w:hAnsi="Palatino Linotype" w:cs="Palatino Linotype"/>
        </w:rPr>
        <w:t xml:space="preserve">, inconforme con la </w:t>
      </w:r>
      <w:r w:rsidR="00873612" w:rsidRPr="006611A3">
        <w:rPr>
          <w:rFonts w:ascii="Palatino Linotype" w:eastAsia="Palatino Linotype" w:hAnsi="Palatino Linotype" w:cs="Palatino Linotype"/>
        </w:rPr>
        <w:t>misma</w:t>
      </w:r>
      <w:r w:rsidRPr="006611A3">
        <w:rPr>
          <w:rFonts w:ascii="Palatino Linotype" w:eastAsia="Palatino Linotype" w:hAnsi="Palatino Linotype" w:cs="Palatino Linotype"/>
        </w:rPr>
        <w:t xml:space="preserve">, se interpuso recurso de revisión argumentando sustancialmente </w:t>
      </w:r>
      <w:r w:rsidR="00205A99" w:rsidRPr="006611A3">
        <w:rPr>
          <w:rFonts w:ascii="Palatino Linotype" w:eastAsia="Palatino Linotype" w:hAnsi="Palatino Linotype" w:cs="Palatino Linotype"/>
        </w:rPr>
        <w:t>el costo para la entrega de información.</w:t>
      </w:r>
    </w:p>
    <w:p w:rsidR="0026182F" w:rsidRPr="006611A3" w:rsidRDefault="0026182F" w:rsidP="0026182F">
      <w:pPr>
        <w:spacing w:line="360" w:lineRule="auto"/>
        <w:ind w:right="-787"/>
        <w:jc w:val="both"/>
        <w:rPr>
          <w:rFonts w:ascii="Palatino Linotype" w:eastAsia="Palatino Linotype" w:hAnsi="Palatino Linotype" w:cs="Palatino Linotype"/>
          <w:i/>
          <w:color w:val="000000"/>
        </w:rPr>
      </w:pPr>
    </w:p>
    <w:p w:rsidR="0026182F" w:rsidRPr="006611A3" w:rsidRDefault="0026182F" w:rsidP="00873612">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artículo </w:t>
      </w:r>
      <w:r w:rsidRPr="006611A3">
        <w:rPr>
          <w:rFonts w:ascii="Palatino Linotype" w:eastAsia="Palatino Linotype" w:hAnsi="Palatino Linotype" w:cs="Palatino Linotype"/>
          <w:b/>
        </w:rPr>
        <w:t xml:space="preserve">179, </w:t>
      </w:r>
      <w:r w:rsidR="00205A99" w:rsidRPr="006611A3">
        <w:rPr>
          <w:rFonts w:ascii="Palatino Linotype" w:eastAsia="Palatino Linotype" w:hAnsi="Palatino Linotype" w:cs="Palatino Linotype"/>
          <w:b/>
        </w:rPr>
        <w:t>fracción X</w:t>
      </w:r>
      <w:r w:rsidRPr="006611A3">
        <w:rPr>
          <w:rFonts w:ascii="Palatino Linotype" w:eastAsia="Palatino Linotype" w:hAnsi="Palatino Linotype" w:cs="Palatino Linotype"/>
          <w:b/>
        </w:rPr>
        <w:t>, de la Ley de Transparencia y Acceso a la Información Pública del Estado de México y Municipios</w:t>
      </w:r>
      <w:r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color w:val="000000"/>
        </w:rPr>
        <w:t xml:space="preserve">fracción que determina la hipótesis relativa a </w:t>
      </w:r>
      <w:r w:rsidR="00205A99" w:rsidRPr="006611A3">
        <w:rPr>
          <w:rFonts w:ascii="Palatino Linotype" w:eastAsia="Palatino Linotype" w:hAnsi="Palatino Linotype" w:cs="Palatino Linotype"/>
          <w:b/>
          <w:color w:val="000000"/>
        </w:rPr>
        <w:t>los costos o tiempos de entrega de la información</w:t>
      </w:r>
      <w:r w:rsidRPr="006611A3">
        <w:rPr>
          <w:rFonts w:ascii="Palatino Linotype" w:eastAsia="Palatino Linotype" w:hAnsi="Palatino Linotype" w:cs="Palatino Linotype"/>
          <w:b/>
          <w:color w:val="000000"/>
        </w:rPr>
        <w:t>,</w:t>
      </w:r>
      <w:r w:rsidRPr="006611A3">
        <w:rPr>
          <w:rFonts w:ascii="Palatino Linotype" w:eastAsia="Palatino Linotype" w:hAnsi="Palatino Linotype" w:cs="Palatino Linotype"/>
          <w:color w:val="000000"/>
        </w:rPr>
        <w:t xml:space="preserve"> </w:t>
      </w:r>
      <w:r w:rsidRPr="006611A3">
        <w:rPr>
          <w:rFonts w:ascii="Palatino Linotype" w:eastAsia="Palatino Linotype" w:hAnsi="Palatino Linotype" w:cs="Palatino Linotype"/>
        </w:rPr>
        <w:t xml:space="preserve">contexto del cual se dolió el Recurrente al momento de interponer su </w:t>
      </w:r>
      <w:r w:rsidRPr="006611A3">
        <w:rPr>
          <w:rFonts w:ascii="Palatino Linotype" w:eastAsia="Palatino Linotype" w:hAnsi="Palatino Linotype" w:cs="Palatino Linotype"/>
        </w:rPr>
        <w:lastRenderedPageBreak/>
        <w:t>inconformidad.</w:t>
      </w:r>
      <w:r w:rsidRPr="006611A3">
        <w:rPr>
          <w:rFonts w:ascii="Palatino Linotype" w:eastAsia="Palatino Linotype" w:hAnsi="Palatino Linotype" w:cs="Palatino Linotype"/>
          <w:color w:val="000000"/>
        </w:rPr>
        <w:t xml:space="preserve"> De modo tal que el presente recurso de revisión se </w:t>
      </w:r>
      <w:r w:rsidRPr="006611A3">
        <w:rPr>
          <w:rFonts w:ascii="Palatino Linotype" w:eastAsia="Palatino Linotype" w:hAnsi="Palatino Linotype" w:cs="Palatino Linotype"/>
        </w:rPr>
        <w:t>abocará</w:t>
      </w:r>
      <w:r w:rsidRPr="006611A3">
        <w:rPr>
          <w:rFonts w:ascii="Palatino Linotype" w:eastAsia="Palatino Linotype" w:hAnsi="Palatino Linotype" w:cs="Palatino Linotype"/>
          <w:color w:val="000000"/>
        </w:rPr>
        <w:t xml:space="preserve"> en determinar si el Sujeto Obligado con su respuesta ciertamente actualiza la causal de procedencia</w:t>
      </w:r>
      <w:r w:rsidRPr="006611A3">
        <w:rPr>
          <w:rFonts w:ascii="Palatino Linotype" w:eastAsia="Palatino Linotype" w:hAnsi="Palatino Linotype" w:cs="Palatino Linotype"/>
          <w:b/>
          <w:color w:val="000000"/>
        </w:rPr>
        <w:t xml:space="preserve"> </w:t>
      </w:r>
      <w:r w:rsidRPr="006611A3">
        <w:rPr>
          <w:rFonts w:ascii="Palatino Linotype" w:eastAsia="Palatino Linotype" w:hAnsi="Palatino Linotype" w:cs="Palatino Linotype"/>
          <w:color w:val="000000"/>
        </w:rPr>
        <w:t xml:space="preserve">señalada. </w:t>
      </w:r>
    </w:p>
    <w:p w:rsidR="0026182F" w:rsidRPr="006611A3" w:rsidRDefault="0026182F" w:rsidP="0026182F">
      <w:pPr>
        <w:spacing w:line="360" w:lineRule="auto"/>
        <w:ind w:right="-787"/>
        <w:rPr>
          <w:rFonts w:ascii="Palatino Linotype" w:eastAsia="Palatino Linotype" w:hAnsi="Palatino Linotype" w:cs="Palatino Linotype"/>
        </w:rPr>
      </w:pPr>
    </w:p>
    <w:p w:rsidR="0026182F" w:rsidRPr="006611A3" w:rsidRDefault="0026182F" w:rsidP="0026182F">
      <w:pPr>
        <w:pStyle w:val="Ttulo2"/>
        <w:rPr>
          <w:rFonts w:ascii="Palatino Linotype" w:eastAsia="Palatino Linotype" w:hAnsi="Palatino Linotype" w:cs="Palatino Linotype"/>
          <w:b/>
          <w:color w:val="000000"/>
          <w:sz w:val="24"/>
          <w:szCs w:val="24"/>
        </w:rPr>
      </w:pPr>
      <w:bookmarkStart w:id="5" w:name="_heading=h.1t3h5sf" w:colFirst="0" w:colLast="0"/>
      <w:bookmarkEnd w:id="5"/>
      <w:r w:rsidRPr="006611A3">
        <w:rPr>
          <w:rFonts w:ascii="Palatino Linotype" w:eastAsia="Palatino Linotype" w:hAnsi="Palatino Linotype" w:cs="Palatino Linotype"/>
          <w:b/>
          <w:color w:val="000000"/>
          <w:sz w:val="24"/>
          <w:szCs w:val="24"/>
        </w:rPr>
        <w:t>CUARTO. Del estudio y resolución del asunto.</w:t>
      </w:r>
    </w:p>
    <w:p w:rsidR="0026182F" w:rsidRPr="006611A3" w:rsidRDefault="0026182F" w:rsidP="00873612">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6182F" w:rsidRPr="006611A3" w:rsidRDefault="0026182F" w:rsidP="0026182F">
      <w:pPr>
        <w:spacing w:line="360" w:lineRule="auto"/>
        <w:ind w:right="-787"/>
        <w:jc w:val="both"/>
        <w:rPr>
          <w:rFonts w:ascii="Palatino Linotype" w:eastAsia="Palatino Linotype" w:hAnsi="Palatino Linotype" w:cs="Palatino Linotype"/>
        </w:rPr>
      </w:pPr>
    </w:p>
    <w:p w:rsidR="0026182F" w:rsidRPr="006611A3" w:rsidRDefault="0026182F" w:rsidP="00873612">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6182F" w:rsidRPr="006611A3" w:rsidRDefault="0026182F" w:rsidP="0026182F">
      <w:pPr>
        <w:pBdr>
          <w:top w:val="nil"/>
          <w:left w:val="nil"/>
          <w:bottom w:val="nil"/>
          <w:right w:val="nil"/>
          <w:between w:val="nil"/>
        </w:pBdr>
        <w:spacing w:line="360" w:lineRule="auto"/>
        <w:ind w:left="720" w:right="-787"/>
        <w:rPr>
          <w:rFonts w:ascii="Palatino Linotype" w:eastAsia="Palatino Linotype" w:hAnsi="Palatino Linotype" w:cs="Palatino Linotype"/>
          <w:color w:val="000000"/>
        </w:rPr>
      </w:pPr>
    </w:p>
    <w:p w:rsidR="0026182F" w:rsidRPr="006611A3" w:rsidRDefault="0026182F" w:rsidP="00873612">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w:t>
      </w:r>
      <w:r w:rsidRPr="006611A3">
        <w:rPr>
          <w:rFonts w:ascii="Palatino Linotype" w:eastAsia="Palatino Linotype" w:hAnsi="Palatino Linotype" w:cs="Palatino Linotype"/>
        </w:rPr>
        <w:lastRenderedPageBreak/>
        <w:t>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26182F" w:rsidRPr="006611A3" w:rsidRDefault="0026182F" w:rsidP="0026182F">
      <w:pPr>
        <w:spacing w:line="360" w:lineRule="auto"/>
        <w:ind w:right="-787"/>
        <w:jc w:val="both"/>
        <w:rPr>
          <w:rFonts w:ascii="Palatino Linotype" w:eastAsia="Palatino Linotype" w:hAnsi="Palatino Linotype" w:cs="Palatino Linotype"/>
        </w:rPr>
      </w:pPr>
    </w:p>
    <w:p w:rsidR="0026182F" w:rsidRPr="006611A3" w:rsidRDefault="0026182F" w:rsidP="0026182F">
      <w:pPr>
        <w:numPr>
          <w:ilvl w:val="0"/>
          <w:numId w:val="1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6611A3">
        <w:rPr>
          <w:rFonts w:ascii="Palatino Linotype" w:eastAsia="Palatino Linotype" w:hAnsi="Palatino Linotype" w:cs="Palatino Linotype"/>
          <w:b/>
          <w:color w:val="000000"/>
        </w:rPr>
        <w:t>Del Sujeto Obligado.</w:t>
      </w:r>
      <w:r w:rsidR="007F2116" w:rsidRPr="006611A3">
        <w:rPr>
          <w:rFonts w:ascii="Palatino Linotype" w:eastAsia="Palatino Linotype" w:hAnsi="Palatino Linotype" w:cs="Palatino Linotype"/>
          <w:b/>
          <w:color w:val="000000"/>
        </w:rPr>
        <w:t xml:space="preserve"> </w:t>
      </w:r>
    </w:p>
    <w:p w:rsidR="0026182F" w:rsidRPr="006611A3" w:rsidRDefault="0036713B" w:rsidP="00873612">
      <w:pPr>
        <w:numPr>
          <w:ilvl w:val="0"/>
          <w:numId w:val="1"/>
        </w:numPr>
        <w:spacing w:line="360" w:lineRule="auto"/>
        <w:ind w:left="0" w:right="-879" w:firstLine="0"/>
        <w:jc w:val="both"/>
      </w:pPr>
      <w:r w:rsidRPr="006611A3">
        <w:rPr>
          <w:rFonts w:ascii="Palatino Linotype" w:eastAsia="Palatino Linotype" w:hAnsi="Palatino Linotype" w:cs="Palatino Linotype"/>
        </w:rPr>
        <w:t>La Administración Pública Municipal Descentralizada del Municipio de Ixtapaluca, se integra por los siguientes Organismos</w:t>
      </w:r>
      <w:r w:rsidR="0026182F" w:rsidRPr="006611A3">
        <w:rPr>
          <w:rFonts w:ascii="Palatino Linotype" w:eastAsia="Palatino Linotype" w:hAnsi="Palatino Linotype" w:cs="Palatino Linotype"/>
        </w:rPr>
        <w:t xml:space="preserve">, de conformidad con el artículo </w:t>
      </w:r>
      <w:r w:rsidRPr="006611A3">
        <w:rPr>
          <w:rFonts w:ascii="Palatino Linotype" w:eastAsia="Palatino Linotype" w:hAnsi="Palatino Linotype" w:cs="Palatino Linotype"/>
        </w:rPr>
        <w:t>76</w:t>
      </w:r>
      <w:r w:rsidR="0026182F" w:rsidRPr="006611A3">
        <w:rPr>
          <w:rFonts w:ascii="Palatino Linotype" w:eastAsia="Palatino Linotype" w:hAnsi="Palatino Linotype" w:cs="Palatino Linotype"/>
        </w:rPr>
        <w:t>, del Bando Municipal 2025:</w:t>
      </w:r>
    </w:p>
    <w:p w:rsidR="0026182F" w:rsidRPr="006611A3" w:rsidRDefault="0026182F" w:rsidP="0026182F">
      <w:pPr>
        <w:ind w:left="1134" w:right="-220"/>
        <w:jc w:val="center"/>
        <w:rPr>
          <w:rFonts w:ascii="Palatino Linotype" w:eastAsia="Palatino Linotype" w:hAnsi="Palatino Linotype" w:cs="Palatino Linotype"/>
          <w:b/>
          <w:i/>
        </w:rPr>
      </w:pPr>
      <w:r w:rsidRPr="006611A3">
        <w:rPr>
          <w:rFonts w:ascii="Palatino Linotype" w:eastAsia="Palatino Linotype" w:hAnsi="Palatino Linotype" w:cs="Palatino Linotype"/>
          <w:b/>
          <w:i/>
        </w:rPr>
        <w:t>Bando Municipal 2025</w:t>
      </w:r>
    </w:p>
    <w:p w:rsidR="0026182F" w:rsidRPr="006611A3" w:rsidRDefault="0026182F" w:rsidP="0026182F">
      <w:pPr>
        <w:ind w:left="1134" w:right="-220"/>
        <w:jc w:val="center"/>
        <w:rPr>
          <w:rFonts w:ascii="Palatino Linotype" w:eastAsia="Palatino Linotype" w:hAnsi="Palatino Linotype" w:cs="Palatino Linotype"/>
          <w:b/>
          <w:i/>
        </w:rPr>
      </w:pPr>
    </w:p>
    <w:p w:rsidR="0036713B" w:rsidRPr="006611A3" w:rsidRDefault="0036713B" w:rsidP="00FB27FE">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 xml:space="preserve">ARTÍCULO 76.- La Administración Pública Municipal Descentralizada del Municipio de Ixtapaluca, se integra por los siguientes Organismos: </w:t>
      </w:r>
    </w:p>
    <w:p w:rsidR="0036713B" w:rsidRPr="006611A3" w:rsidRDefault="0036713B" w:rsidP="00FB27FE">
      <w:pPr>
        <w:ind w:left="708" w:right="62"/>
        <w:jc w:val="both"/>
        <w:rPr>
          <w:rFonts w:ascii="Palatino Linotype" w:eastAsia="Palatino Linotype" w:hAnsi="Palatino Linotype" w:cs="Palatino Linotype"/>
          <w:i/>
        </w:rPr>
      </w:pPr>
    </w:p>
    <w:p w:rsidR="0036713B" w:rsidRPr="006611A3" w:rsidRDefault="0036713B" w:rsidP="00FB27FE">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b/>
          <w:i/>
        </w:rPr>
        <w:t>I. El Organismo Público Descentralizado denominado “Sistema Municipal para el Desarrollo Integral de la Familia.”, denominado “DIF”</w:t>
      </w:r>
      <w:r w:rsidRPr="006611A3">
        <w:rPr>
          <w:rFonts w:ascii="Palatino Linotype" w:eastAsia="Palatino Linotype" w:hAnsi="Palatino Linotype" w:cs="Palatino Linotype"/>
          <w:i/>
        </w:rPr>
        <w:t xml:space="preserve">. Cuya administración recae en la Junta de Gobierno, su Presidenta y su Director o Directora General; </w:t>
      </w:r>
    </w:p>
    <w:p w:rsidR="0036713B" w:rsidRPr="006611A3" w:rsidRDefault="0036713B" w:rsidP="00FB27FE">
      <w:pPr>
        <w:ind w:left="708" w:right="62"/>
        <w:jc w:val="both"/>
        <w:rPr>
          <w:rFonts w:ascii="Palatino Linotype" w:eastAsia="Palatino Linotype" w:hAnsi="Palatino Linotype" w:cs="Palatino Linotype"/>
          <w:i/>
        </w:rPr>
      </w:pPr>
    </w:p>
    <w:p w:rsidR="0036713B" w:rsidRPr="006611A3" w:rsidRDefault="0036713B" w:rsidP="00FB27FE">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 xml:space="preserve">II. El Organismo Público Descentralizado para la Prestación de los Servicios de Agua Potable, Alcantarillado y Saneamiento del Municipio de Ixtapaluca, denominado por sus siglas, “OPDAPAS”; cuya administración estará a cargo de un Consejo Directivo y un Director o Directora General; </w:t>
      </w:r>
    </w:p>
    <w:p w:rsidR="0036713B" w:rsidRPr="006611A3" w:rsidRDefault="0036713B" w:rsidP="00FB27FE">
      <w:pPr>
        <w:ind w:left="708" w:right="62"/>
        <w:jc w:val="both"/>
        <w:rPr>
          <w:rFonts w:ascii="Palatino Linotype" w:eastAsia="Palatino Linotype" w:hAnsi="Palatino Linotype" w:cs="Palatino Linotype"/>
          <w:i/>
        </w:rPr>
      </w:pPr>
    </w:p>
    <w:p w:rsidR="0036713B" w:rsidRPr="006611A3" w:rsidRDefault="0036713B" w:rsidP="00FB27FE">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 xml:space="preserve">III. Organismo Descentralizado “Instituto Municipal de Cultura Física y Deporte de Ixtapaluca”, denominado por sus siglas “IMCUFIDEI”, cuya administración recae en el Consejo Municipal del Deporte y su Director o Directora; y </w:t>
      </w:r>
    </w:p>
    <w:p w:rsidR="0036713B" w:rsidRPr="006611A3" w:rsidRDefault="0036713B" w:rsidP="00FB27FE">
      <w:pPr>
        <w:ind w:left="708" w:right="62"/>
        <w:jc w:val="both"/>
        <w:rPr>
          <w:rFonts w:ascii="Palatino Linotype" w:eastAsia="Palatino Linotype" w:hAnsi="Palatino Linotype" w:cs="Palatino Linotype"/>
          <w:i/>
        </w:rPr>
      </w:pPr>
    </w:p>
    <w:p w:rsidR="00FB27FE" w:rsidRPr="006611A3" w:rsidRDefault="0036713B" w:rsidP="00FB27FE">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IV. Los demás Organismos que determine crear el Ayuntamiento por acuerdo del Cabildo.</w:t>
      </w:r>
    </w:p>
    <w:p w:rsidR="00FB27FE" w:rsidRPr="006611A3" w:rsidRDefault="00FB27FE" w:rsidP="00FB27FE">
      <w:pPr>
        <w:ind w:left="708" w:right="62"/>
        <w:jc w:val="both"/>
        <w:rPr>
          <w:rFonts w:ascii="Palatino Linotype" w:eastAsia="Palatino Linotype" w:hAnsi="Palatino Linotype" w:cs="Palatino Linotype"/>
          <w:i/>
        </w:rPr>
      </w:pPr>
    </w:p>
    <w:p w:rsidR="0026182F" w:rsidRPr="006611A3" w:rsidRDefault="00DA477F" w:rsidP="002A724F">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lastRenderedPageBreak/>
        <w:t xml:space="preserve">Con la finalidad de respetar, promover, proteger y asegurar el goce de los derechos humanos de todas las personas con discapacidad, el Gobierno Municipal a través del </w:t>
      </w:r>
      <w:r w:rsidRPr="006611A3">
        <w:rPr>
          <w:rFonts w:ascii="Palatino Linotype" w:eastAsia="Palatino Linotype" w:hAnsi="Palatino Linotype" w:cs="Palatino Linotype"/>
          <w:b/>
        </w:rPr>
        <w:t>“Sistema Municipal para el Desarrollo Integral de la Familia”</w:t>
      </w:r>
      <w:r w:rsidRPr="006611A3">
        <w:rPr>
          <w:rFonts w:ascii="Palatino Linotype" w:eastAsia="Palatino Linotype" w:hAnsi="Palatino Linotype" w:cs="Palatino Linotype"/>
        </w:rPr>
        <w:t xml:space="preserve"> y sus dependencias; participarán plenamente dentro de su competencia, en el cumplimiento de las acciones relativas a las personas en situación de discapacidad, contenidas en el Título Quinto de la Ley para la Inclusión de las Personas en Situación de Discapacidad del Estado de México.</w:t>
      </w:r>
      <w:r w:rsidR="0026182F" w:rsidRPr="006611A3">
        <w:rPr>
          <w:rFonts w:ascii="Palatino Linotype" w:eastAsia="Palatino Linotype" w:hAnsi="Palatino Linotype" w:cs="Palatino Linotype"/>
        </w:rPr>
        <w:t xml:space="preserve"> de conformidad con lo establecido en </w:t>
      </w:r>
      <w:r w:rsidRPr="006611A3">
        <w:rPr>
          <w:rFonts w:ascii="Palatino Linotype" w:eastAsia="Palatino Linotype" w:hAnsi="Palatino Linotype" w:cs="Palatino Linotype"/>
        </w:rPr>
        <w:t>el</w:t>
      </w:r>
      <w:r w:rsidR="0026182F" w:rsidRPr="006611A3">
        <w:rPr>
          <w:rFonts w:ascii="Palatino Linotype" w:eastAsia="Palatino Linotype" w:hAnsi="Palatino Linotype" w:cs="Palatino Linotype"/>
        </w:rPr>
        <w:t xml:space="preserve"> artículo </w:t>
      </w:r>
      <w:r w:rsidRPr="006611A3">
        <w:rPr>
          <w:rFonts w:ascii="Palatino Linotype" w:eastAsia="Palatino Linotype" w:hAnsi="Palatino Linotype" w:cs="Palatino Linotype"/>
        </w:rPr>
        <w:t>102</w:t>
      </w:r>
      <w:r w:rsidR="0026182F" w:rsidRPr="006611A3">
        <w:rPr>
          <w:rFonts w:ascii="Palatino Linotype" w:eastAsia="Palatino Linotype" w:hAnsi="Palatino Linotype" w:cs="Palatino Linotype"/>
        </w:rPr>
        <w:t>, del Bando Municipal 2025.</w:t>
      </w:r>
    </w:p>
    <w:p w:rsidR="001E0B17" w:rsidRPr="006611A3" w:rsidRDefault="001E0B17" w:rsidP="001E0B17">
      <w:pPr>
        <w:spacing w:line="360" w:lineRule="auto"/>
        <w:ind w:right="-879"/>
        <w:jc w:val="both"/>
        <w:rPr>
          <w:rFonts w:ascii="Palatino Linotype" w:eastAsia="Palatino Linotype" w:hAnsi="Palatino Linotype" w:cs="Palatino Linotype"/>
        </w:rPr>
      </w:pPr>
    </w:p>
    <w:p w:rsidR="001E0B17" w:rsidRPr="006611A3" w:rsidRDefault="001E0B17" w:rsidP="001E0B17">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El </w:t>
      </w:r>
      <w:r w:rsidRPr="006611A3">
        <w:rPr>
          <w:rFonts w:ascii="Palatino Linotype" w:eastAsia="Palatino Linotype" w:hAnsi="Palatino Linotype" w:cs="Palatino Linotype"/>
          <w:b/>
        </w:rPr>
        <w:t xml:space="preserve">Sistema Municipal para el Desarrollo Integral de la Familia, </w:t>
      </w:r>
      <w:r w:rsidRPr="006611A3">
        <w:rPr>
          <w:rFonts w:ascii="Palatino Linotype" w:eastAsia="Palatino Linotype" w:hAnsi="Palatino Linotype" w:cs="Palatino Linotype"/>
        </w:rPr>
        <w:t>de acuerdo a su Manual de Organización, planifica el proceso de sus tareas y define los puestos y responsabilidades de las personas que lo integran; a través de la estructura organizacional siguiente:</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I. Presidencia.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a) Oficialía de Partes</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II. Dirección.</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III. Contraloría Interna. Se integra por:</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a) Autoridad Resolutora.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b) Autoridad Investigadora.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c) Autoridad Substanciadora.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IV. Tesorería. Se integra por:</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a) Coordinación General de Contabilidad.</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b) Contador General.</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c) Coordinación de Archivo.</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d) Jefatura de Patrimonio.</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e) Jefatura de Procuración de Fondos.</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f) Jefatura de Recursos Humanos.</w:t>
      </w:r>
    </w:p>
    <w:p w:rsidR="001E0B17" w:rsidRPr="006611A3" w:rsidRDefault="001E0B17" w:rsidP="001E0B17">
      <w:pPr>
        <w:ind w:left="708" w:right="62"/>
        <w:jc w:val="both"/>
        <w:rPr>
          <w:rFonts w:ascii="Palatino Linotype" w:eastAsia="Palatino Linotype" w:hAnsi="Palatino Linotype" w:cs="Palatino Linotype"/>
          <w:i/>
        </w:rPr>
      </w:pP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g) Jefatura de Servicios Generales y Almacén.</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V. Unidad de Transparencia y Acceso a la Información.</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VI. Unidad de Información, Planeación, Programación y Evaluación. Se integra por:</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lastRenderedPageBreak/>
        <w:t>a) Coordinación de Presupuesto.</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VII. Unidad Jurídica.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VIII. Procuraduría de Protección de Niñas, Niños y Adolescentes.</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IX. Coordinación de Trabajo Social.</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 Coordinación de Discapacidad.</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XI. Coordinación de Centros de Desarrollo Infantil y Estancias Infantiles.</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XII. Coordinación del Adulto Mayor.</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XIII. Coordinación de Psicología.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XIV. Coordinación de Centros de Desarrollo Comunitario.</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XV. Coordinación de Nutricionales.</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XVI. Coordinación de Horta-DIF.</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XVII. Coordinación de Atención Médica. Se integra por:</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a) Jefatura de Farmacias.</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b) Jefatura de Prevención de Enfermedades de la Mujer y la Pareja.</w:t>
      </w:r>
    </w:p>
    <w:p w:rsidR="001E0B17" w:rsidRPr="006611A3" w:rsidRDefault="001E0B17" w:rsidP="001E0B17">
      <w:pPr>
        <w:ind w:left="708" w:right="62"/>
        <w:jc w:val="both"/>
        <w:rPr>
          <w:rFonts w:ascii="Palatino Linotype" w:eastAsia="Palatino Linotype" w:hAnsi="Palatino Linotype" w:cs="Palatino Linotype"/>
          <w:i/>
        </w:rPr>
      </w:pPr>
      <w:r w:rsidRPr="006611A3">
        <w:rPr>
          <w:rFonts w:ascii="Palatino Linotype" w:eastAsia="Palatino Linotype" w:hAnsi="Palatino Linotype" w:cs="Palatino Linotype"/>
          <w:i/>
        </w:rPr>
        <w:t>XVIII. Coordinación de Comunicación Social.</w:t>
      </w:r>
    </w:p>
    <w:p w:rsidR="0026182F" w:rsidRPr="006611A3" w:rsidRDefault="0026182F" w:rsidP="0026182F">
      <w:pPr>
        <w:spacing w:line="360" w:lineRule="auto"/>
        <w:ind w:right="-787"/>
        <w:jc w:val="both"/>
        <w:rPr>
          <w:rFonts w:ascii="Palatino Linotype" w:eastAsia="Palatino Linotype" w:hAnsi="Palatino Linotype" w:cs="Palatino Linotype"/>
          <w:color w:val="000000"/>
        </w:rPr>
      </w:pPr>
    </w:p>
    <w:p w:rsidR="001E0B17" w:rsidRPr="006611A3" w:rsidRDefault="001E0B17" w:rsidP="001E0B17">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La </w:t>
      </w:r>
      <w:r w:rsidRPr="006611A3">
        <w:rPr>
          <w:rFonts w:ascii="Palatino Linotype" w:eastAsia="Palatino Linotype" w:hAnsi="Palatino Linotype" w:cs="Palatino Linotype"/>
        </w:rPr>
        <w:t>Unidad</w:t>
      </w:r>
      <w:r w:rsidRPr="006611A3">
        <w:rPr>
          <w:rFonts w:ascii="Palatino Linotype" w:eastAsia="Palatino Linotype" w:hAnsi="Palatino Linotype" w:cs="Palatino Linotype"/>
          <w:color w:val="000000"/>
        </w:rPr>
        <w:t xml:space="preserve"> de Transparencia y Acceso a la Información del Sujeto Obligado, tiene como objetivo analizar y proveer la información pública a la ciudadanía de manera escrita, verbal y/o a través delos portales SAIMEX (Sistema de Acceso a la Información Mexiquense) e IPOMEX (Información Pública de Oficio Mexiquense), de los documentos que los sujetos obligados generen, adquieran, transformen o conserven, mientras esta información no sea confidencial o reservada, y tiene dentro de sus funciones la de Recibir, tramitar y dar respuesta a las solicitudes de acceso a la información.</w:t>
      </w:r>
    </w:p>
    <w:p w:rsidR="001E0B17" w:rsidRPr="006611A3" w:rsidRDefault="001E0B17" w:rsidP="001E0B17">
      <w:pPr>
        <w:spacing w:line="360" w:lineRule="auto"/>
        <w:ind w:right="-879"/>
        <w:jc w:val="both"/>
        <w:rPr>
          <w:rFonts w:ascii="Palatino Linotype" w:eastAsia="Palatino Linotype" w:hAnsi="Palatino Linotype" w:cs="Palatino Linotype"/>
          <w:color w:val="000000"/>
        </w:rPr>
      </w:pPr>
    </w:p>
    <w:p w:rsidR="0026182F" w:rsidRPr="006611A3" w:rsidRDefault="0026182F" w:rsidP="00BC0531">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color w:val="000000"/>
        </w:rPr>
        <w:t xml:space="preserve">Es de </w:t>
      </w:r>
      <w:r w:rsidRPr="006611A3">
        <w:rPr>
          <w:rFonts w:ascii="Palatino Linotype" w:eastAsia="Palatino Linotype" w:hAnsi="Palatino Linotype" w:cs="Palatino Linotype"/>
        </w:rPr>
        <w:t>subrayar</w:t>
      </w:r>
      <w:r w:rsidRPr="006611A3">
        <w:rPr>
          <w:rFonts w:ascii="Palatino Linotype" w:eastAsia="Palatino Linotype" w:hAnsi="Palatino Linotype" w:cs="Palatino Linotype"/>
          <w:color w:val="000000"/>
        </w:rPr>
        <w:t xml:space="preserve"> que el derecho de acceso a la información pública, consiste en que la información </w:t>
      </w:r>
      <w:r w:rsidRPr="006611A3">
        <w:rPr>
          <w:rFonts w:ascii="Palatino Linotype" w:eastAsia="Palatino Linotype" w:hAnsi="Palatino Linotype" w:cs="Palatino Linotype"/>
        </w:rPr>
        <w:t>solicitada</w:t>
      </w:r>
      <w:r w:rsidRPr="006611A3">
        <w:rPr>
          <w:rFonts w:ascii="Palatino Linotype" w:eastAsia="Palatino Linotype" w:hAnsi="Palatino Linotype" w:cs="Palatino Linotype"/>
          <w:color w:val="000000"/>
        </w:rPr>
        <w:t xml:space="preserve">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w:t>
      </w:r>
      <w:r w:rsidRPr="006611A3">
        <w:rPr>
          <w:rFonts w:ascii="Palatino Linotype" w:eastAsia="Palatino Linotype" w:hAnsi="Palatino Linotype" w:cs="Palatino Linotype"/>
          <w:color w:val="000000"/>
        </w:rPr>
        <w:lastRenderedPageBreak/>
        <w:t xml:space="preserve">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6182F" w:rsidRPr="006611A3" w:rsidRDefault="0026182F" w:rsidP="0026182F">
      <w:pPr>
        <w:ind w:left="1134" w:right="-220"/>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i/>
          <w:color w:val="000000"/>
        </w:rPr>
        <w:t>“</w:t>
      </w:r>
      <w:r w:rsidRPr="006611A3">
        <w:rPr>
          <w:rFonts w:ascii="Palatino Linotype" w:eastAsia="Palatino Linotype" w:hAnsi="Palatino Linotype" w:cs="Palatino Linotype"/>
          <w:b/>
          <w:i/>
          <w:color w:val="000000"/>
        </w:rPr>
        <w:t xml:space="preserve">Artículo 3. </w:t>
      </w:r>
      <w:r w:rsidRPr="006611A3">
        <w:rPr>
          <w:rFonts w:ascii="Palatino Linotype" w:eastAsia="Palatino Linotype" w:hAnsi="Palatino Linotype" w:cs="Palatino Linotype"/>
          <w:i/>
          <w:color w:val="000000"/>
        </w:rPr>
        <w:t>Para los efectos de la presente Ley se entenderá por:</w:t>
      </w:r>
    </w:p>
    <w:p w:rsidR="0026182F" w:rsidRPr="006611A3" w:rsidRDefault="0026182F" w:rsidP="0026182F">
      <w:pPr>
        <w:ind w:left="1134" w:right="-220"/>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i/>
          <w:color w:val="000000"/>
        </w:rPr>
        <w:t>(…)</w:t>
      </w:r>
    </w:p>
    <w:p w:rsidR="0026182F" w:rsidRPr="006611A3" w:rsidRDefault="0026182F" w:rsidP="0026182F">
      <w:pPr>
        <w:ind w:left="1134" w:right="-220"/>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b/>
          <w:i/>
          <w:color w:val="000000"/>
        </w:rPr>
        <w:t>XI. Documento:</w:t>
      </w:r>
      <w:r w:rsidRPr="006611A3">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182F" w:rsidRPr="006611A3" w:rsidRDefault="0026182F" w:rsidP="0026182F">
      <w:pPr>
        <w:spacing w:line="360" w:lineRule="auto"/>
        <w:ind w:left="1134" w:right="-220"/>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i/>
          <w:color w:val="000000"/>
        </w:rPr>
        <w:t>(…)”</w:t>
      </w:r>
    </w:p>
    <w:p w:rsidR="0026182F" w:rsidRPr="006611A3" w:rsidRDefault="0026182F" w:rsidP="0026182F">
      <w:pPr>
        <w:ind w:right="-787"/>
        <w:jc w:val="both"/>
        <w:rPr>
          <w:rFonts w:ascii="Palatino Linotype" w:eastAsia="Palatino Linotype" w:hAnsi="Palatino Linotype" w:cs="Palatino Linotype"/>
        </w:rPr>
      </w:pPr>
    </w:p>
    <w:p w:rsidR="0026182F" w:rsidRPr="006611A3" w:rsidRDefault="0026182F" w:rsidP="0063100F">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color w:val="000000"/>
        </w:rPr>
        <w:t xml:space="preserve">Siendo aplicable el Criterio de interpretación en el orden administrativo número 0002-11, emitido por </w:t>
      </w:r>
      <w:r w:rsidRPr="006611A3">
        <w:rPr>
          <w:rFonts w:ascii="Palatino Linotype" w:eastAsia="Palatino Linotype" w:hAnsi="Palatino Linotype" w:cs="Palatino Linotype"/>
        </w:rPr>
        <w:t>Acuerdo</w:t>
      </w:r>
      <w:r w:rsidRPr="006611A3">
        <w:rPr>
          <w:rFonts w:ascii="Palatino Linotype" w:eastAsia="Palatino Linotype" w:hAnsi="Palatino Linotype" w:cs="Palatino Linotype"/>
          <w:color w:val="000000"/>
        </w:rPr>
        <w:t xml:space="preserve">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26182F" w:rsidRPr="006611A3" w:rsidRDefault="0026182F" w:rsidP="0026182F">
      <w:pPr>
        <w:ind w:left="850" w:right="-220"/>
        <w:jc w:val="both"/>
        <w:rPr>
          <w:rFonts w:ascii="Palatino Linotype" w:eastAsia="Palatino Linotype" w:hAnsi="Palatino Linotype" w:cs="Palatino Linotype"/>
          <w:b/>
          <w:i/>
        </w:rPr>
      </w:pPr>
      <w:r w:rsidRPr="006611A3">
        <w:rPr>
          <w:rFonts w:ascii="Palatino Linotype" w:eastAsia="Palatino Linotype" w:hAnsi="Palatino Linotype" w:cs="Palatino Linotype"/>
          <w:b/>
        </w:rPr>
        <w:t>“</w:t>
      </w:r>
      <w:r w:rsidRPr="006611A3">
        <w:rPr>
          <w:rFonts w:ascii="Palatino Linotype" w:eastAsia="Palatino Linotype" w:hAnsi="Palatino Linotype" w:cs="Palatino Linotype"/>
          <w:b/>
          <w:i/>
        </w:rPr>
        <w:t>CRITERIO 0002-11</w:t>
      </w:r>
    </w:p>
    <w:p w:rsidR="0026182F" w:rsidRPr="006611A3" w:rsidRDefault="0026182F" w:rsidP="0026182F">
      <w:pPr>
        <w:ind w:left="850" w:right="-220"/>
        <w:jc w:val="both"/>
        <w:rPr>
          <w:rFonts w:ascii="Palatino Linotype" w:eastAsia="Palatino Linotype" w:hAnsi="Palatino Linotype" w:cs="Palatino Linotype"/>
          <w:i/>
        </w:rPr>
      </w:pPr>
      <w:r w:rsidRPr="006611A3">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6611A3">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6182F" w:rsidRPr="006611A3" w:rsidRDefault="0026182F" w:rsidP="0026182F">
      <w:pPr>
        <w:ind w:left="850" w:right="-220"/>
        <w:jc w:val="both"/>
        <w:rPr>
          <w:rFonts w:ascii="Palatino Linotype" w:eastAsia="Palatino Linotype" w:hAnsi="Palatino Linotype" w:cs="Palatino Linotype"/>
          <w:i/>
        </w:rPr>
      </w:pPr>
      <w:r w:rsidRPr="006611A3">
        <w:rPr>
          <w:rFonts w:ascii="Palatino Linotype" w:eastAsia="Palatino Linotype" w:hAnsi="Palatino Linotype" w:cs="Palatino Linotype"/>
          <w:i/>
        </w:rPr>
        <w:t>En consecuencia el acceso a la información se refiere a que se cumplan cualquiera de los siguientes tres supuestos:</w:t>
      </w:r>
    </w:p>
    <w:p w:rsidR="0026182F" w:rsidRPr="006611A3" w:rsidRDefault="0026182F" w:rsidP="0026182F">
      <w:pPr>
        <w:ind w:left="850" w:right="-220"/>
        <w:jc w:val="both"/>
        <w:rPr>
          <w:rFonts w:ascii="Palatino Linotype" w:eastAsia="Palatino Linotype" w:hAnsi="Palatino Linotype" w:cs="Palatino Linotype"/>
          <w:b/>
          <w:i/>
        </w:rPr>
      </w:pPr>
      <w:r w:rsidRPr="006611A3">
        <w:rPr>
          <w:rFonts w:ascii="Palatino Linotype" w:eastAsia="Palatino Linotype" w:hAnsi="Palatino Linotype" w:cs="Palatino Linotype"/>
          <w:b/>
          <w:i/>
        </w:rPr>
        <w:lastRenderedPageBreak/>
        <w:t xml:space="preserve">1) </w:t>
      </w:r>
      <w:r w:rsidRPr="006611A3">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26182F" w:rsidRPr="006611A3" w:rsidRDefault="0026182F" w:rsidP="0026182F">
      <w:pPr>
        <w:ind w:left="850" w:right="-220"/>
        <w:jc w:val="both"/>
        <w:rPr>
          <w:rFonts w:ascii="Palatino Linotype" w:eastAsia="Palatino Linotype" w:hAnsi="Palatino Linotype" w:cs="Palatino Linotype"/>
          <w:i/>
        </w:rPr>
      </w:pPr>
      <w:r w:rsidRPr="006611A3">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26182F" w:rsidRPr="006611A3" w:rsidRDefault="0026182F" w:rsidP="0026182F">
      <w:pPr>
        <w:ind w:left="850" w:right="-220"/>
        <w:jc w:val="both"/>
        <w:rPr>
          <w:rFonts w:ascii="Palatino Linotype" w:eastAsia="Palatino Linotype" w:hAnsi="Palatino Linotype" w:cs="Palatino Linotype"/>
          <w:i/>
        </w:rPr>
      </w:pPr>
      <w:r w:rsidRPr="006611A3">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26182F" w:rsidRPr="006611A3" w:rsidRDefault="0026182F" w:rsidP="0026182F">
      <w:pPr>
        <w:tabs>
          <w:tab w:val="left" w:pos="851"/>
        </w:tabs>
        <w:spacing w:line="360" w:lineRule="auto"/>
        <w:ind w:left="850" w:right="-220"/>
        <w:rPr>
          <w:rFonts w:ascii="Palatino Linotype" w:eastAsia="Palatino Linotype" w:hAnsi="Palatino Linotype" w:cs="Palatino Linotype"/>
        </w:rPr>
      </w:pPr>
      <w:r w:rsidRPr="006611A3">
        <w:rPr>
          <w:rFonts w:ascii="Palatino Linotype" w:eastAsia="Palatino Linotype" w:hAnsi="Palatino Linotype" w:cs="Palatino Linotype"/>
        </w:rPr>
        <w:t>(Énfasis Añadido)</w:t>
      </w:r>
    </w:p>
    <w:p w:rsidR="0026182F" w:rsidRPr="006611A3" w:rsidRDefault="0026182F" w:rsidP="0026182F">
      <w:pPr>
        <w:pBdr>
          <w:top w:val="nil"/>
          <w:left w:val="nil"/>
          <w:bottom w:val="nil"/>
          <w:right w:val="nil"/>
          <w:between w:val="nil"/>
        </w:pBdr>
        <w:ind w:right="-787"/>
        <w:jc w:val="both"/>
        <w:rPr>
          <w:rFonts w:ascii="Palatino Linotype" w:eastAsia="Palatino Linotype" w:hAnsi="Palatino Linotype" w:cs="Palatino Linotype"/>
          <w:color w:val="000000"/>
        </w:rPr>
      </w:pPr>
    </w:p>
    <w:p w:rsidR="0026182F" w:rsidRPr="006611A3" w:rsidRDefault="0026182F" w:rsidP="0063100F">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color w:val="000000"/>
        </w:rPr>
        <w:t xml:space="preserve">Por su parte </w:t>
      </w:r>
      <w:r w:rsidRPr="006611A3">
        <w:rPr>
          <w:rFonts w:ascii="Palatino Linotype" w:eastAsia="Palatino Linotype" w:hAnsi="Palatino Linotype" w:cs="Palatino Linotype"/>
        </w:rPr>
        <w:t>los</w:t>
      </w:r>
      <w:r w:rsidRPr="006611A3">
        <w:rPr>
          <w:rFonts w:ascii="Palatino Linotype" w:eastAsia="Palatino Linotype" w:hAnsi="Palatino Linotype" w:cs="Palatino Linotype"/>
          <w:color w:val="000000"/>
        </w:rPr>
        <w:t xml:space="preserve"> artículos 160 y 166, de la Ley local en la materia, que se reproduce de la siguiente forma:</w:t>
      </w:r>
    </w:p>
    <w:p w:rsidR="0026182F" w:rsidRPr="006611A3" w:rsidRDefault="0026182F" w:rsidP="0026182F">
      <w:pPr>
        <w:ind w:left="566" w:right="-220"/>
        <w:jc w:val="both"/>
        <w:rPr>
          <w:rFonts w:ascii="Palatino Linotype" w:eastAsia="Palatino Linotype" w:hAnsi="Palatino Linotype" w:cs="Palatino Linotype"/>
          <w:i/>
        </w:rPr>
      </w:pPr>
      <w:r w:rsidRPr="006611A3">
        <w:rPr>
          <w:rFonts w:ascii="Palatino Linotype" w:eastAsia="Palatino Linotype" w:hAnsi="Palatino Linotype" w:cs="Palatino Linotype"/>
          <w:i/>
        </w:rPr>
        <w:t>“</w:t>
      </w:r>
      <w:r w:rsidRPr="006611A3">
        <w:rPr>
          <w:rFonts w:ascii="Palatino Linotype" w:eastAsia="Palatino Linotype" w:hAnsi="Palatino Linotype" w:cs="Palatino Linotype"/>
          <w:b/>
          <w:i/>
        </w:rPr>
        <w:t>Artículo 160.</w:t>
      </w:r>
      <w:r w:rsidRPr="006611A3">
        <w:rPr>
          <w:rFonts w:ascii="Palatino Linotype" w:eastAsia="Palatino Linotype" w:hAnsi="Palatino Linotype" w:cs="Palatino Linotype"/>
          <w:i/>
        </w:rPr>
        <w:t xml:space="preserve"> </w:t>
      </w:r>
      <w:r w:rsidRPr="006611A3">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6611A3">
        <w:rPr>
          <w:rFonts w:ascii="Palatino Linotype" w:eastAsia="Palatino Linotype" w:hAnsi="Palatino Linotype" w:cs="Palatino Linotype"/>
          <w:i/>
        </w:rPr>
        <w:t>.</w:t>
      </w:r>
    </w:p>
    <w:p w:rsidR="0026182F" w:rsidRPr="006611A3" w:rsidRDefault="0026182F" w:rsidP="0026182F">
      <w:pPr>
        <w:ind w:left="566" w:right="-220"/>
        <w:jc w:val="both"/>
        <w:rPr>
          <w:rFonts w:ascii="Palatino Linotype" w:eastAsia="Palatino Linotype" w:hAnsi="Palatino Linotype" w:cs="Palatino Linotype"/>
          <w:i/>
        </w:rPr>
      </w:pPr>
    </w:p>
    <w:p w:rsidR="0026182F" w:rsidRPr="006611A3" w:rsidRDefault="0026182F" w:rsidP="0026182F">
      <w:pPr>
        <w:ind w:left="566" w:right="-220"/>
        <w:jc w:val="both"/>
        <w:rPr>
          <w:rFonts w:ascii="Palatino Linotype" w:eastAsia="Palatino Linotype" w:hAnsi="Palatino Linotype" w:cs="Palatino Linotype"/>
          <w:i/>
        </w:rPr>
      </w:pPr>
      <w:r w:rsidRPr="006611A3">
        <w:rPr>
          <w:rFonts w:ascii="Palatino Linotype" w:eastAsia="Palatino Linotype" w:hAnsi="Palatino Linotype" w:cs="Palatino Linotype"/>
          <w:i/>
        </w:rPr>
        <w:t>En caso que la información solicitada consista en bases de datos se deberá privilegiar la entrega de la misma en formatos abiertos.</w:t>
      </w:r>
    </w:p>
    <w:p w:rsidR="0026182F" w:rsidRPr="006611A3" w:rsidRDefault="0026182F" w:rsidP="0026182F">
      <w:pPr>
        <w:ind w:left="566" w:right="-220"/>
        <w:jc w:val="both"/>
        <w:rPr>
          <w:rFonts w:ascii="Palatino Linotype" w:eastAsia="Palatino Linotype" w:hAnsi="Palatino Linotype" w:cs="Palatino Linotype"/>
          <w:i/>
          <w:u w:val="single"/>
        </w:rPr>
      </w:pPr>
      <w:r w:rsidRPr="006611A3">
        <w:rPr>
          <w:rFonts w:ascii="Palatino Linotype" w:eastAsia="Palatino Linotype" w:hAnsi="Palatino Linotype" w:cs="Palatino Linotype"/>
          <w:b/>
          <w:i/>
        </w:rPr>
        <w:t>Artículo 166.</w:t>
      </w:r>
      <w:r w:rsidRPr="006611A3">
        <w:rPr>
          <w:rFonts w:ascii="Palatino Linotype" w:eastAsia="Palatino Linotype" w:hAnsi="Palatino Linotype" w:cs="Palatino Linotype"/>
          <w:i/>
        </w:rPr>
        <w:t xml:space="preserve"> </w:t>
      </w:r>
      <w:r w:rsidRPr="006611A3">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26182F" w:rsidRPr="006611A3" w:rsidRDefault="0026182F" w:rsidP="0026182F">
      <w:pPr>
        <w:spacing w:line="360" w:lineRule="auto"/>
        <w:ind w:left="566" w:right="-220"/>
        <w:jc w:val="both"/>
        <w:rPr>
          <w:rFonts w:ascii="Palatino Linotype" w:eastAsia="Palatino Linotype" w:hAnsi="Palatino Linotype" w:cs="Palatino Linotype"/>
        </w:rPr>
      </w:pPr>
      <w:r w:rsidRPr="006611A3">
        <w:rPr>
          <w:rFonts w:ascii="Palatino Linotype" w:eastAsia="Palatino Linotype" w:hAnsi="Palatino Linotype" w:cs="Palatino Linotype"/>
        </w:rPr>
        <w:t>(Énfasis añadido)</w:t>
      </w:r>
    </w:p>
    <w:p w:rsidR="0026182F" w:rsidRPr="006611A3" w:rsidRDefault="0026182F" w:rsidP="0026182F">
      <w:pPr>
        <w:ind w:right="-787"/>
        <w:jc w:val="both"/>
        <w:rPr>
          <w:rFonts w:ascii="Palatino Linotype" w:eastAsia="Palatino Linotype" w:hAnsi="Palatino Linotype" w:cs="Palatino Linotype"/>
        </w:rPr>
      </w:pPr>
    </w:p>
    <w:p w:rsidR="0026182F" w:rsidRPr="006611A3" w:rsidRDefault="0026182F" w:rsidP="0063100F">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color w:val="000000"/>
        </w:rPr>
        <w:t xml:space="preserve">Así que la obligación de los Sujetos Obligados de dar acceso a la información pública que generen, </w:t>
      </w:r>
      <w:r w:rsidRPr="006611A3">
        <w:rPr>
          <w:rFonts w:ascii="Palatino Linotype" w:eastAsia="Palatino Linotype" w:hAnsi="Palatino Linotype" w:cs="Palatino Linotype"/>
        </w:rPr>
        <w:t>administren</w:t>
      </w:r>
      <w:r w:rsidRPr="006611A3">
        <w:rPr>
          <w:rFonts w:ascii="Palatino Linotype" w:eastAsia="Palatino Linotype" w:hAnsi="Palatino Linotype" w:cs="Palatino Linotype"/>
          <w:color w:val="000000"/>
        </w:rPr>
        <w:t xml:space="preserve"> o posean, se tendrá por cumplida cuando el solicitante tenga a su disposición la información requerida, o cuando realice la consulta de la misma en el lugar que ésta se localice, siempre y cuando así resultare procedente.</w:t>
      </w:r>
    </w:p>
    <w:p w:rsidR="0026182F" w:rsidRPr="006611A3" w:rsidRDefault="0026182F" w:rsidP="0026182F">
      <w:pPr>
        <w:spacing w:line="360" w:lineRule="auto"/>
        <w:ind w:right="-787"/>
        <w:jc w:val="both"/>
        <w:rPr>
          <w:color w:val="000000"/>
        </w:rPr>
      </w:pPr>
    </w:p>
    <w:p w:rsidR="0026182F" w:rsidRPr="006611A3" w:rsidRDefault="0026182F" w:rsidP="00CB40C1">
      <w:pPr>
        <w:numPr>
          <w:ilvl w:val="0"/>
          <w:numId w:val="1"/>
        </w:numPr>
        <w:spacing w:line="360" w:lineRule="auto"/>
        <w:ind w:left="0" w:right="-879" w:firstLine="0"/>
        <w:jc w:val="both"/>
        <w:rPr>
          <w:rFonts w:ascii="Palatino Linotype" w:eastAsia="Palatino Linotype" w:hAnsi="Palatino Linotype" w:cs="Palatino Linotype"/>
          <w:i/>
        </w:rPr>
      </w:pPr>
      <w:r w:rsidRPr="006611A3">
        <w:rPr>
          <w:rFonts w:ascii="Palatino Linotype" w:eastAsia="Palatino Linotype" w:hAnsi="Palatino Linotype" w:cs="Palatino Linotype"/>
        </w:rPr>
        <w:lastRenderedPageBreak/>
        <w:t xml:space="preserve">De lo anterior,  es de recordar que el particular requirió </w:t>
      </w:r>
      <w:r w:rsidR="001E0B17" w:rsidRPr="006611A3">
        <w:rPr>
          <w:rFonts w:ascii="Palatino Linotype" w:eastAsia="Palatino Linotype" w:hAnsi="Palatino Linotype" w:cs="Palatino Linotype"/>
          <w:i/>
          <w:u w:val="single"/>
        </w:rPr>
        <w:t>copia en versión pública del convenio, acuerdo, acta o instrumento jurídico de coordinación celebrado entre el DIF Municipal de Ixtapaluca y la Beneficencia Pública del Estado de México o Federal, que justifique legalmente la entrega de “300 lentes para personas en situación de vulnerabilidad”, así como anexos, minutas, oficios de solicitud y cualquier documento soporte que acredite dicha coordinación institucional</w:t>
      </w:r>
      <w:r w:rsidRPr="006611A3">
        <w:rPr>
          <w:rFonts w:ascii="Palatino Linotype" w:eastAsia="Palatino Linotype" w:hAnsi="Palatino Linotype" w:cs="Palatino Linotype"/>
        </w:rPr>
        <w:t>, en consecuencia</w:t>
      </w:r>
      <w:r w:rsidR="0006580E"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rPr>
        <w:t>el Sujeto Obligado</w:t>
      </w:r>
      <w:r w:rsidR="0063100F" w:rsidRPr="006611A3">
        <w:rPr>
          <w:rFonts w:ascii="Palatino Linotype" w:eastAsia="Palatino Linotype" w:hAnsi="Palatino Linotype" w:cs="Palatino Linotype"/>
        </w:rPr>
        <w:t xml:space="preserve"> en cumplimiento a la Resolución del Recurso de Revisión </w:t>
      </w:r>
      <w:r w:rsidR="001E0B17" w:rsidRPr="006611A3">
        <w:rPr>
          <w:rFonts w:ascii="Palatino Linotype" w:eastAsia="Palatino Linotype" w:hAnsi="Palatino Linotype" w:cs="Palatino Linotype"/>
          <w:b/>
        </w:rPr>
        <w:t>00888/INFOEM/IP/RR/2026</w:t>
      </w:r>
      <w:r w:rsidR="0063100F"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rPr>
        <w:t>otorgó respuesta a través</w:t>
      </w:r>
      <w:r w:rsidR="0006580E" w:rsidRPr="006611A3">
        <w:rPr>
          <w:rFonts w:ascii="Palatino Linotype" w:eastAsia="Palatino Linotype" w:hAnsi="Palatino Linotype" w:cs="Palatino Linotype"/>
        </w:rPr>
        <w:t xml:space="preserve"> </w:t>
      </w:r>
      <w:r w:rsidR="001E0B17" w:rsidRPr="006611A3">
        <w:rPr>
          <w:rFonts w:ascii="Palatino Linotype" w:eastAsia="Palatino Linotype" w:hAnsi="Palatino Linotype" w:cs="Palatino Linotype"/>
        </w:rPr>
        <w:t>de la Unidad de Transparencia y Acceso a la Información Pública</w:t>
      </w:r>
      <w:r w:rsidR="0006580E" w:rsidRPr="006611A3">
        <w:rPr>
          <w:rFonts w:ascii="Palatino Linotype" w:eastAsia="Palatino Linotype" w:hAnsi="Palatino Linotype" w:cs="Palatino Linotype"/>
        </w:rPr>
        <w:t xml:space="preserve">, refiriendo que </w:t>
      </w:r>
      <w:r w:rsidR="001E0B17" w:rsidRPr="006611A3">
        <w:rPr>
          <w:rFonts w:ascii="Palatino Linotype" w:eastAsia="Palatino Linotype" w:hAnsi="Palatino Linotype" w:cs="Palatino Linotype"/>
          <w:b/>
          <w:i/>
        </w:rPr>
        <w:t xml:space="preserve">toda vez que usted ha optado por la modalidad de "copias simples" para la obtención de la documentación, se le comunica que </w:t>
      </w:r>
      <w:r w:rsidR="001E0B17" w:rsidRPr="006611A3">
        <w:rPr>
          <w:rFonts w:ascii="Palatino Linotype" w:eastAsia="Palatino Linotype" w:hAnsi="Palatino Linotype" w:cs="Palatino Linotype"/>
          <w:b/>
          <w:i/>
          <w:u w:val="single"/>
        </w:rPr>
        <w:t>la reproducción de la misma genera el pago de derechos</w:t>
      </w:r>
      <w:r w:rsidR="001E0B17" w:rsidRPr="006611A3">
        <w:rPr>
          <w:rFonts w:ascii="Palatino Linotype" w:eastAsia="Palatino Linotype" w:hAnsi="Palatino Linotype" w:cs="Palatino Linotype"/>
          <w:b/>
          <w:i/>
        </w:rPr>
        <w:t xml:space="preserve"> a favor de la hacienda pública municipal</w:t>
      </w:r>
      <w:r w:rsidR="0006580E" w:rsidRPr="006611A3">
        <w:rPr>
          <w:rFonts w:ascii="Palatino Linotype" w:eastAsia="Palatino Linotype" w:hAnsi="Palatino Linotype" w:cs="Palatino Linotype"/>
          <w:i/>
        </w:rPr>
        <w:t>.</w:t>
      </w:r>
      <w:r w:rsidR="00CB40C1" w:rsidRPr="006611A3">
        <w:rPr>
          <w:rFonts w:ascii="Palatino Linotype" w:eastAsia="Palatino Linotype" w:hAnsi="Palatino Linotype" w:cs="Palatino Linotype"/>
          <w:i/>
        </w:rPr>
        <w:t xml:space="preserve"> </w:t>
      </w:r>
      <w:r w:rsidRPr="006611A3">
        <w:rPr>
          <w:rFonts w:ascii="Palatino Linotype" w:eastAsia="Palatino Linotype" w:hAnsi="Palatino Linotype" w:cs="Palatino Linotype"/>
        </w:rPr>
        <w:t xml:space="preserve">En consecuencia el particular se dolió por </w:t>
      </w:r>
      <w:r w:rsidR="001E0B17" w:rsidRPr="006611A3">
        <w:rPr>
          <w:rFonts w:ascii="Palatino Linotype" w:eastAsia="Palatino Linotype" w:hAnsi="Palatino Linotype" w:cs="Palatino Linotype"/>
        </w:rPr>
        <w:t>los costos de la entrega de la información</w:t>
      </w:r>
      <w:r w:rsidRPr="006611A3">
        <w:rPr>
          <w:rFonts w:ascii="Palatino Linotype" w:eastAsia="Palatino Linotype" w:hAnsi="Palatino Linotype" w:cs="Palatino Linotype"/>
        </w:rPr>
        <w:t xml:space="preserve">, </w:t>
      </w:r>
      <w:r w:rsidR="001E0B17" w:rsidRPr="006611A3">
        <w:rPr>
          <w:rFonts w:ascii="Palatino Linotype" w:eastAsia="Palatino Linotype" w:hAnsi="Palatino Linotype" w:cs="Palatino Linotype"/>
        </w:rPr>
        <w:t>posteriormente</w:t>
      </w:r>
      <w:r w:rsidR="00CB40C1" w:rsidRPr="006611A3">
        <w:rPr>
          <w:rFonts w:ascii="Palatino Linotype" w:eastAsia="Palatino Linotype" w:hAnsi="Palatino Linotype" w:cs="Palatino Linotype"/>
        </w:rPr>
        <w:t xml:space="preserve"> las partes fueron omisas en rendir manifestaciones que a su derecho conviniera o asistirá.</w:t>
      </w:r>
    </w:p>
    <w:p w:rsidR="00A70910" w:rsidRPr="006611A3" w:rsidRDefault="00A70910" w:rsidP="00A70910">
      <w:pPr>
        <w:spacing w:line="360" w:lineRule="auto"/>
        <w:ind w:right="-879"/>
        <w:jc w:val="both"/>
        <w:rPr>
          <w:rFonts w:ascii="Palatino Linotype" w:eastAsia="Palatino Linotype" w:hAnsi="Palatino Linotype" w:cs="Palatino Linotype"/>
          <w:i/>
        </w:rPr>
      </w:pPr>
    </w:p>
    <w:p w:rsidR="00A70910" w:rsidRPr="006611A3" w:rsidRDefault="00A70910" w:rsidP="00A70910">
      <w:pPr>
        <w:numPr>
          <w:ilvl w:val="0"/>
          <w:numId w:val="16"/>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b/>
          <w:color w:val="000000"/>
        </w:rPr>
        <w:t xml:space="preserve">De la naturaleza de la información solicitada. </w:t>
      </w:r>
    </w:p>
    <w:p w:rsidR="00A70910" w:rsidRPr="006611A3" w:rsidRDefault="00A70910" w:rsidP="00A70910">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Se </w:t>
      </w:r>
      <w:r w:rsidRPr="006611A3">
        <w:rPr>
          <w:rFonts w:ascii="Palatino Linotype" w:eastAsia="Palatino Linotype" w:hAnsi="Palatino Linotype" w:cs="Palatino Linotype"/>
          <w:color w:val="000000"/>
        </w:rPr>
        <w:t>precisa</w:t>
      </w:r>
      <w:r w:rsidRPr="006611A3">
        <w:rPr>
          <w:rFonts w:ascii="Palatino Linotype" w:eastAsia="Palatino Linotype" w:hAnsi="Palatino Linotype" w:cs="Palatino Linotype"/>
        </w:rPr>
        <w:t xml:space="preserve"> que se obvia el análisis de la competencia por parte del </w:t>
      </w:r>
      <w:r w:rsidRPr="006611A3">
        <w:rPr>
          <w:rFonts w:ascii="Palatino Linotype" w:eastAsia="Palatino Linotype" w:hAnsi="Palatino Linotype" w:cs="Palatino Linotype"/>
          <w:b/>
        </w:rPr>
        <w:t>SUJETO OBLIGADO</w:t>
      </w:r>
      <w:r w:rsidRPr="006611A3">
        <w:rPr>
          <w:rFonts w:ascii="Palatino Linotype" w:eastAsia="Palatino Linotype" w:hAnsi="Palatino Linotype" w:cs="Palatino Linotype"/>
        </w:rPr>
        <w:t xml:space="preserve">, para generar, administrar o poseer la información solicitada, dado que éste ha asumido la misma, en razón que en cumplimiento a la Resolución del Recurso de Revisión </w:t>
      </w:r>
      <w:r w:rsidRPr="006611A3">
        <w:rPr>
          <w:rFonts w:ascii="Palatino Linotype" w:eastAsia="Palatino Linotype" w:hAnsi="Palatino Linotype" w:cs="Palatino Linotype"/>
          <w:b/>
        </w:rPr>
        <w:t>00888/INFOEM/IP/RR/2026</w:t>
      </w:r>
      <w:r w:rsidRPr="006611A3">
        <w:rPr>
          <w:rFonts w:ascii="Palatino Linotype" w:eastAsia="Palatino Linotype" w:hAnsi="Palatino Linotype" w:cs="Palatino Linotype"/>
        </w:rPr>
        <w:t xml:space="preserve">, otorgó respuesta admitiendo contar con dicha información, tan es así que se </w:t>
      </w:r>
      <w:r w:rsidRPr="006611A3">
        <w:rPr>
          <w:rFonts w:ascii="Palatino Linotype" w:eastAsia="Palatino Linotype" w:hAnsi="Palatino Linotype" w:cs="Palatino Linotype"/>
          <w:b/>
          <w:i/>
        </w:rPr>
        <w:t xml:space="preserve">le comunicó que </w:t>
      </w:r>
      <w:r w:rsidRPr="006611A3">
        <w:rPr>
          <w:rFonts w:ascii="Palatino Linotype" w:eastAsia="Palatino Linotype" w:hAnsi="Palatino Linotype" w:cs="Palatino Linotype"/>
          <w:b/>
          <w:i/>
          <w:u w:val="single"/>
        </w:rPr>
        <w:t>la reproducción de la misma genera el pago de derechos</w:t>
      </w:r>
      <w:r w:rsidRPr="006611A3">
        <w:rPr>
          <w:rFonts w:ascii="Palatino Linotype" w:eastAsia="Palatino Linotype" w:hAnsi="Palatino Linotype" w:cs="Palatino Linotype"/>
          <w:b/>
          <w:i/>
        </w:rPr>
        <w:t xml:space="preserve"> a favor de la hacienda pública municipal; para proceder con la entrega, la unidad de transparencia queda a la espera de que el interesado manifieste su voluntad de cubrir los costos mencionados. </w:t>
      </w:r>
      <w:r w:rsidRPr="006611A3">
        <w:rPr>
          <w:rFonts w:ascii="Palatino Linotype" w:eastAsia="Palatino Linotype" w:hAnsi="Palatino Linotype" w:cs="Palatino Linotype"/>
          <w:b/>
          <w:i/>
          <w:u w:val="single"/>
        </w:rPr>
        <w:t>una vez recibida dicha aceptación, se realizará el conteo total de las fojas que integran el expediente de coordinación</w:t>
      </w:r>
      <w:r w:rsidRPr="006611A3">
        <w:rPr>
          <w:rFonts w:ascii="Palatino Linotype" w:eastAsia="Palatino Linotype" w:hAnsi="Palatino Linotype" w:cs="Palatino Linotype"/>
          <w:b/>
          <w:i/>
        </w:rPr>
        <w:t xml:space="preserve"> para emitir la hoja de referencia de pago.</w:t>
      </w:r>
    </w:p>
    <w:p w:rsidR="00A70910" w:rsidRPr="006611A3" w:rsidRDefault="00A70910" w:rsidP="008571C6">
      <w:pPr>
        <w:numPr>
          <w:ilvl w:val="0"/>
          <w:numId w:val="1"/>
        </w:numPr>
        <w:spacing w:line="360" w:lineRule="auto"/>
        <w:ind w:left="0" w:right="-879" w:firstLine="0"/>
        <w:jc w:val="both"/>
      </w:pPr>
      <w:bookmarkStart w:id="6" w:name="_heading=h.2s8eyo1" w:colFirst="0" w:colLast="0"/>
      <w:bookmarkEnd w:id="6"/>
      <w:r w:rsidRPr="006611A3">
        <w:rPr>
          <w:rFonts w:ascii="Palatino Linotype" w:eastAsia="Palatino Linotype" w:hAnsi="Palatino Linotype" w:cs="Palatino Linotype"/>
        </w:rPr>
        <w:lastRenderedPageBreak/>
        <w:t xml:space="preserve">En efecto, el hecho de que </w:t>
      </w:r>
      <w:r w:rsidRPr="006611A3">
        <w:rPr>
          <w:rFonts w:ascii="Palatino Linotype" w:eastAsia="Palatino Linotype" w:hAnsi="Palatino Linotype" w:cs="Palatino Linotype"/>
          <w:b/>
        </w:rPr>
        <w:t>EL SUJETO OBLIGADO</w:t>
      </w:r>
      <w:r w:rsidRPr="006611A3">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A70910" w:rsidRPr="006611A3" w:rsidRDefault="00A70910" w:rsidP="00A70910">
      <w:pPr>
        <w:tabs>
          <w:tab w:val="left" w:pos="8505"/>
        </w:tabs>
        <w:ind w:left="709" w:right="-858"/>
        <w:jc w:val="both"/>
        <w:rPr>
          <w:rFonts w:ascii="Palatino Linotype" w:eastAsia="Palatino Linotype" w:hAnsi="Palatino Linotype" w:cs="Palatino Linotype"/>
          <w:i/>
        </w:rPr>
      </w:pPr>
      <w:r w:rsidRPr="006611A3">
        <w:rPr>
          <w:rFonts w:ascii="Palatino Linotype" w:eastAsia="Palatino Linotype" w:hAnsi="Palatino Linotype" w:cs="Palatino Linotype"/>
          <w:i/>
        </w:rPr>
        <w:t>“</w:t>
      </w:r>
      <w:r w:rsidRPr="006611A3">
        <w:rPr>
          <w:rFonts w:ascii="Palatino Linotype" w:eastAsia="Palatino Linotype" w:hAnsi="Palatino Linotype" w:cs="Palatino Linotype"/>
          <w:b/>
          <w:i/>
        </w:rPr>
        <w:t>Artículo 12.</w:t>
      </w:r>
      <w:r w:rsidRPr="006611A3">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A70910" w:rsidRPr="006611A3" w:rsidRDefault="00A70910" w:rsidP="00A70910">
      <w:pPr>
        <w:tabs>
          <w:tab w:val="left" w:pos="8505"/>
        </w:tabs>
        <w:ind w:left="709" w:right="-858"/>
        <w:jc w:val="both"/>
        <w:rPr>
          <w:rFonts w:ascii="Palatino Linotype" w:eastAsia="Palatino Linotype" w:hAnsi="Palatino Linotype" w:cs="Palatino Linotype"/>
          <w:i/>
        </w:rPr>
      </w:pPr>
    </w:p>
    <w:p w:rsidR="00A70910" w:rsidRPr="006611A3" w:rsidRDefault="00A70910" w:rsidP="00A70910">
      <w:pPr>
        <w:tabs>
          <w:tab w:val="left" w:pos="8505"/>
        </w:tabs>
        <w:ind w:left="709" w:right="-858"/>
        <w:jc w:val="both"/>
        <w:rPr>
          <w:rFonts w:ascii="Palatino Linotype" w:eastAsia="Palatino Linotype" w:hAnsi="Palatino Linotype" w:cs="Palatino Linotype"/>
          <w:i/>
        </w:rPr>
      </w:pPr>
      <w:r w:rsidRPr="006611A3">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70910" w:rsidRPr="006611A3" w:rsidRDefault="00A70910" w:rsidP="00A70910">
      <w:pPr>
        <w:tabs>
          <w:tab w:val="left" w:pos="8505"/>
        </w:tabs>
        <w:ind w:left="709" w:right="-858"/>
        <w:jc w:val="both"/>
        <w:rPr>
          <w:rFonts w:ascii="Palatino Linotype" w:eastAsia="Palatino Linotype" w:hAnsi="Palatino Linotype" w:cs="Palatino Linotype"/>
          <w:i/>
        </w:rPr>
      </w:pPr>
    </w:p>
    <w:p w:rsidR="00A70910" w:rsidRPr="006611A3" w:rsidRDefault="00A70910" w:rsidP="00A70910">
      <w:pPr>
        <w:pBdr>
          <w:top w:val="nil"/>
          <w:left w:val="nil"/>
          <w:bottom w:val="nil"/>
          <w:right w:val="nil"/>
          <w:between w:val="nil"/>
        </w:pBdr>
        <w:ind w:left="-566" w:right="-787"/>
        <w:rPr>
          <w:rFonts w:ascii="Palatino Linotype" w:eastAsia="Palatino Linotype" w:hAnsi="Palatino Linotype" w:cs="Palatino Linotype"/>
          <w:color w:val="000000"/>
        </w:rPr>
      </w:pPr>
    </w:p>
    <w:p w:rsidR="00A70910" w:rsidRPr="006611A3" w:rsidRDefault="00A70910" w:rsidP="008571C6">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rPr>
        <w:t xml:space="preserve">Así, el estudio de </w:t>
      </w:r>
      <w:r w:rsidRPr="006611A3">
        <w:rPr>
          <w:rFonts w:ascii="Palatino Linotype" w:eastAsia="Palatino Linotype" w:hAnsi="Palatino Linotype" w:cs="Palatino Linotype"/>
          <w:color w:val="000000"/>
        </w:rPr>
        <w:t>la</w:t>
      </w:r>
      <w:r w:rsidRPr="006611A3">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6611A3">
        <w:rPr>
          <w:rFonts w:ascii="Palatino Linotype" w:eastAsia="Palatino Linotype" w:hAnsi="Palatino Linotype" w:cs="Palatino Linotype"/>
          <w:b/>
        </w:rPr>
        <w:t>EL SUJETO OBLIGADO</w:t>
      </w:r>
      <w:r w:rsidRPr="006611A3">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A70910" w:rsidRPr="006611A3" w:rsidRDefault="00A70910" w:rsidP="00A70910">
      <w:pPr>
        <w:spacing w:line="360" w:lineRule="auto"/>
        <w:ind w:right="-787"/>
        <w:jc w:val="both"/>
        <w:rPr>
          <w:rFonts w:ascii="Palatino Linotype" w:eastAsia="Palatino Linotype" w:hAnsi="Palatino Linotype" w:cs="Palatino Linotype"/>
          <w:color w:val="000000"/>
        </w:rPr>
      </w:pPr>
    </w:p>
    <w:p w:rsidR="00A70910" w:rsidRPr="006611A3" w:rsidRDefault="00A70910" w:rsidP="00A70910">
      <w:pPr>
        <w:numPr>
          <w:ilvl w:val="0"/>
          <w:numId w:val="1"/>
        </w:numPr>
        <w:spacing w:line="360" w:lineRule="auto"/>
        <w:ind w:left="0" w:right="-879" w:firstLine="0"/>
        <w:jc w:val="both"/>
        <w:rPr>
          <w:rFonts w:ascii="Palatino Linotype" w:eastAsia="Palatino Linotype" w:hAnsi="Palatino Linotype" w:cs="Palatino Linotype"/>
          <w:i/>
        </w:rPr>
      </w:pPr>
      <w:r w:rsidRPr="006611A3">
        <w:rPr>
          <w:rFonts w:ascii="Palatino Linotype" w:eastAsia="Palatino Linotype" w:hAnsi="Palatino Linotype" w:cs="Palatino Linotype"/>
          <w:color w:val="000000"/>
        </w:rPr>
        <w:t>Ahora bien,</w:t>
      </w:r>
      <w:r w:rsidR="008571C6" w:rsidRPr="006611A3">
        <w:rPr>
          <w:rFonts w:ascii="Palatino Linotype" w:eastAsia="Palatino Linotype" w:hAnsi="Palatino Linotype" w:cs="Palatino Linotype"/>
          <w:color w:val="000000"/>
        </w:rPr>
        <w:t xml:space="preserve"> es de resaltar que </w:t>
      </w:r>
      <w:r w:rsidR="00682563" w:rsidRPr="006611A3">
        <w:rPr>
          <w:rFonts w:ascii="Palatino Linotype" w:eastAsia="Palatino Linotype" w:hAnsi="Palatino Linotype" w:cs="Palatino Linotype"/>
          <w:color w:val="000000"/>
        </w:rPr>
        <w:t xml:space="preserve">si bien el particular refirió en su solicitud la palabra </w:t>
      </w:r>
      <w:r w:rsidR="00682563" w:rsidRPr="006611A3">
        <w:rPr>
          <w:rFonts w:ascii="Palatino Linotype" w:eastAsia="Palatino Linotype" w:hAnsi="Palatino Linotype" w:cs="Palatino Linotype"/>
          <w:b/>
          <w:i/>
          <w:color w:val="000000"/>
        </w:rPr>
        <w:t>copia en versión pública</w:t>
      </w:r>
      <w:r w:rsidR="00682563" w:rsidRPr="006611A3">
        <w:rPr>
          <w:rFonts w:ascii="Palatino Linotype" w:eastAsia="Palatino Linotype" w:hAnsi="Palatino Linotype" w:cs="Palatino Linotype"/>
          <w:b/>
          <w:color w:val="000000"/>
        </w:rPr>
        <w:t xml:space="preserve">, </w:t>
      </w:r>
      <w:r w:rsidR="00682563" w:rsidRPr="006611A3">
        <w:rPr>
          <w:rFonts w:ascii="Palatino Linotype" w:eastAsia="Palatino Linotype" w:hAnsi="Palatino Linotype" w:cs="Palatino Linotype"/>
          <w:color w:val="000000"/>
        </w:rPr>
        <w:t xml:space="preserve">precisó como </w:t>
      </w:r>
      <w:r w:rsidR="00682563" w:rsidRPr="006611A3">
        <w:rPr>
          <w:rFonts w:ascii="Palatino Linotype" w:eastAsia="Palatino Linotype" w:hAnsi="Palatino Linotype" w:cs="Palatino Linotype"/>
          <w:b/>
          <w:color w:val="000000"/>
        </w:rPr>
        <w:t>modalidad de entrega a través del SAIMEX</w:t>
      </w:r>
      <w:r w:rsidR="00682563" w:rsidRPr="006611A3">
        <w:rPr>
          <w:rFonts w:ascii="Palatino Linotype" w:eastAsia="Palatino Linotype" w:hAnsi="Palatino Linotype" w:cs="Palatino Linotype"/>
          <w:color w:val="000000"/>
        </w:rPr>
        <w:t>, tal como se muestra en la imagen siguiente:</w:t>
      </w:r>
    </w:p>
    <w:p w:rsidR="00682563" w:rsidRPr="006611A3" w:rsidRDefault="00682563" w:rsidP="00682563">
      <w:pPr>
        <w:spacing w:line="360" w:lineRule="auto"/>
        <w:ind w:right="-879"/>
        <w:jc w:val="both"/>
        <w:rPr>
          <w:rFonts w:ascii="Palatino Linotype" w:eastAsia="Palatino Linotype" w:hAnsi="Palatino Linotype" w:cs="Palatino Linotype"/>
          <w:i/>
        </w:rPr>
      </w:pPr>
      <w:r w:rsidRPr="006611A3">
        <w:rPr>
          <w:rFonts w:ascii="Palatino Linotype" w:eastAsia="Palatino Linotype" w:hAnsi="Palatino Linotype" w:cs="Palatino Linotype"/>
          <w:i/>
          <w:noProof/>
        </w:rPr>
        <w:lastRenderedPageBreak/>
        <w:drawing>
          <wp:inline distT="0" distB="0" distL="0" distR="0" wp14:anchorId="32C241D7" wp14:editId="039B4E4C">
            <wp:extent cx="5487166" cy="1495634"/>
            <wp:effectExtent l="0" t="0" r="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87166" cy="1495634"/>
                    </a:xfrm>
                    <a:prstGeom prst="rect">
                      <a:avLst/>
                    </a:prstGeom>
                  </pic:spPr>
                </pic:pic>
              </a:graphicData>
            </a:graphic>
          </wp:inline>
        </w:drawing>
      </w:r>
    </w:p>
    <w:p w:rsidR="00682563" w:rsidRPr="006611A3" w:rsidRDefault="00682563" w:rsidP="00682563">
      <w:pPr>
        <w:spacing w:line="360" w:lineRule="auto"/>
        <w:ind w:right="-879"/>
        <w:jc w:val="both"/>
        <w:rPr>
          <w:rFonts w:ascii="Palatino Linotype" w:eastAsia="Palatino Linotype" w:hAnsi="Palatino Linotype" w:cs="Palatino Linotype"/>
        </w:rPr>
      </w:pPr>
    </w:p>
    <w:p w:rsidR="00682563" w:rsidRPr="006611A3" w:rsidRDefault="00682563" w:rsidP="00682563">
      <w:pPr>
        <w:numPr>
          <w:ilvl w:val="0"/>
          <w:numId w:val="1"/>
        </w:numPr>
        <w:spacing w:line="360" w:lineRule="auto"/>
        <w:ind w:left="0" w:right="-879" w:firstLine="0"/>
        <w:jc w:val="both"/>
        <w:rPr>
          <w:rFonts w:ascii="Palatino Linotype" w:hAnsi="Palatino Linotype"/>
          <w:color w:val="000000"/>
        </w:rPr>
      </w:pPr>
      <w:r w:rsidRPr="006611A3">
        <w:rPr>
          <w:rFonts w:ascii="Palatino Linotype" w:eastAsia="Palatino Linotype" w:hAnsi="Palatino Linotype" w:cs="Palatino Linotype"/>
          <w:color w:val="000000"/>
        </w:rPr>
        <w:t>Por</w:t>
      </w:r>
      <w:r w:rsidRPr="006611A3">
        <w:rPr>
          <w:rFonts w:ascii="Palatino Linotype" w:eastAsia="Palatino Linotype" w:hAnsi="Palatino Linotype" w:cs="Palatino Linotype"/>
        </w:rPr>
        <w:t xml:space="preserve"> lo que conviene destacar que </w:t>
      </w:r>
      <w:r w:rsidRPr="006611A3">
        <w:rPr>
          <w:rFonts w:ascii="Palatino Linotype" w:hAnsi="Palatino Linotype"/>
          <w:b/>
          <w:bCs/>
          <w:color w:val="000000"/>
        </w:rPr>
        <w:t>la gratuidad de la información solicitada a través del derecho de acceso a la información pública</w:t>
      </w:r>
      <w:r w:rsidRPr="006611A3">
        <w:rPr>
          <w:rFonts w:ascii="Palatino Linotype" w:hAnsi="Palatino Linotype"/>
          <w:bCs/>
          <w:color w:val="000000"/>
        </w:rPr>
        <w:t>, d</w:t>
      </w:r>
      <w:r w:rsidRPr="006611A3">
        <w:rPr>
          <w:rFonts w:ascii="Palatino Linotype" w:eastAsia="Palatino Linotype" w:hAnsi="Palatino Linotype" w:cs="Palatino Linotype"/>
          <w:color w:val="000000"/>
        </w:rPr>
        <w:t>e acuerdo a la fracción II, artículo 2 de la Ley de Transparencia Local, enfatiza que uno sus objetivos, es proveer lo necesario para garantizar a toda persona el derecho de acceso a la información pública, a través de procedimientos sencillos, expeditos, oportunos y </w:t>
      </w:r>
      <w:r w:rsidRPr="006611A3">
        <w:rPr>
          <w:rFonts w:ascii="Palatino Linotype" w:eastAsia="Palatino Linotype" w:hAnsi="Palatino Linotype" w:cs="Palatino Linotype"/>
          <w:b/>
          <w:color w:val="000000"/>
        </w:rPr>
        <w:t>gratuitos</w:t>
      </w:r>
      <w:r w:rsidRPr="006611A3">
        <w:rPr>
          <w:rFonts w:ascii="Palatino Linotype" w:eastAsia="Palatino Linotype" w:hAnsi="Palatino Linotype" w:cs="Palatino Linotype"/>
          <w:color w:val="000000"/>
        </w:rPr>
        <w:t>, determinando las bases mínimas sobre las cuales se regirán los mismos; así, con ello contribuir a la mejora de procedimientos y mecanismos que permitan transparentar la gestión pública, a través de la difusión de la información que obra en poder de los Sujetos Obligados, ya que, el Derecho de Acceso a la información pública por disposición del artículo 4 de la Ley en la materia, es la prerrogativa de las personas para buscar, difundir, investigar, recabar, recibir y solicitar información pública.</w:t>
      </w:r>
    </w:p>
    <w:p w:rsidR="00682563" w:rsidRPr="006611A3" w:rsidRDefault="00682563" w:rsidP="00682563">
      <w:pPr>
        <w:shd w:val="clear" w:color="auto" w:fill="FFFFFF"/>
        <w:spacing w:line="360" w:lineRule="atLeast"/>
        <w:jc w:val="both"/>
        <w:rPr>
          <w:color w:val="000000"/>
        </w:rPr>
      </w:pPr>
      <w:r w:rsidRPr="006611A3">
        <w:rPr>
          <w:rFonts w:ascii="Palatino Linotype" w:hAnsi="Palatino Linotype"/>
          <w:color w:val="000000"/>
        </w:rPr>
        <w:t> </w:t>
      </w:r>
    </w:p>
    <w:p w:rsidR="00682563" w:rsidRPr="006611A3" w:rsidRDefault="00682563" w:rsidP="00682563">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Así, es </w:t>
      </w:r>
      <w:r w:rsidRPr="006611A3">
        <w:rPr>
          <w:rFonts w:ascii="Palatino Linotype" w:eastAsia="Palatino Linotype" w:hAnsi="Palatino Linotype" w:cs="Palatino Linotype"/>
        </w:rPr>
        <w:t>importante</w:t>
      </w:r>
      <w:r w:rsidRPr="006611A3">
        <w:rPr>
          <w:rFonts w:ascii="Palatino Linotype" w:eastAsia="Palatino Linotype" w:hAnsi="Palatino Linotype" w:cs="Palatino Linotype"/>
          <w:color w:val="000000"/>
        </w:rPr>
        <w:t xml:space="preserve"> garantizar que la entrega de la información sea oportuna, como lo establece el artículo 11 de la Ley de Transparencia Local:</w:t>
      </w:r>
    </w:p>
    <w:p w:rsidR="00682563" w:rsidRPr="006611A3" w:rsidRDefault="00682563" w:rsidP="006611A3">
      <w:pPr>
        <w:shd w:val="clear" w:color="auto" w:fill="FFFFFF"/>
        <w:rPr>
          <w:rFonts w:ascii="Palatino Linotype" w:eastAsia="Palatino Linotype" w:hAnsi="Palatino Linotype" w:cs="Palatino Linotype"/>
          <w:i/>
          <w:color w:val="000000"/>
        </w:rPr>
      </w:pPr>
      <w:r w:rsidRPr="006611A3">
        <w:rPr>
          <w:rFonts w:ascii="Palatino Linotype" w:hAnsi="Palatino Linotype"/>
          <w:color w:val="000000"/>
        </w:rPr>
        <w:t> </w:t>
      </w:r>
      <w:r w:rsidRPr="006611A3">
        <w:rPr>
          <w:rFonts w:ascii="Palatino Linotype" w:eastAsia="Palatino Linotype" w:hAnsi="Palatino Linotype" w:cs="Palatino Linotype"/>
          <w:b/>
          <w:i/>
          <w:color w:val="000000"/>
        </w:rPr>
        <w:t>Artículo 11</w:t>
      </w:r>
      <w:r w:rsidRPr="006611A3">
        <w:rPr>
          <w:rFonts w:ascii="Palatino Linotype" w:eastAsia="Palatino Linotype" w:hAnsi="Palatino Linotype" w:cs="Palatino Linotype"/>
          <w:i/>
          <w:color w:val="000000"/>
        </w:rPr>
        <w:t xml:space="preserve">. En la generación, publicación y entrega de información se deberá garantizar que ésta sea accesible, actualizada, completa, congruente, confiable, verificable, veraz, integral, oportuna y expedita, sujeta a un claro régimen de excepciones que deberá estar definido y ser además legítima y estrictamente </w:t>
      </w:r>
      <w:r w:rsidRPr="006611A3">
        <w:rPr>
          <w:rFonts w:ascii="Palatino Linotype" w:eastAsia="Palatino Linotype" w:hAnsi="Palatino Linotype" w:cs="Palatino Linotype"/>
          <w:i/>
        </w:rPr>
        <w:t>necesaria</w:t>
      </w:r>
      <w:r w:rsidRPr="006611A3">
        <w:rPr>
          <w:rFonts w:ascii="Palatino Linotype" w:eastAsia="Palatino Linotype" w:hAnsi="Palatino Linotype" w:cs="Palatino Linotype"/>
          <w:i/>
          <w:color w:val="000000"/>
        </w:rPr>
        <w:t xml:space="preserve"> en una sociedad democrática, por lo que atenderá las necesidades del derecho de acceso a la información de toda persona.</w:t>
      </w:r>
    </w:p>
    <w:p w:rsidR="00682563" w:rsidRPr="006611A3" w:rsidRDefault="00682563" w:rsidP="00682563">
      <w:pPr>
        <w:pBdr>
          <w:top w:val="nil"/>
          <w:left w:val="nil"/>
          <w:bottom w:val="nil"/>
          <w:right w:val="nil"/>
          <w:between w:val="nil"/>
        </w:pBdr>
        <w:tabs>
          <w:tab w:val="left" w:pos="851"/>
        </w:tabs>
        <w:ind w:left="567" w:right="-222"/>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i/>
          <w:color w:val="000000"/>
        </w:rPr>
        <w:t>…”</w:t>
      </w:r>
    </w:p>
    <w:p w:rsidR="00682563" w:rsidRPr="006611A3" w:rsidRDefault="00682563" w:rsidP="00682563">
      <w:pPr>
        <w:shd w:val="clear" w:color="auto" w:fill="FFFFFF"/>
        <w:spacing w:line="360" w:lineRule="atLeast"/>
        <w:jc w:val="both"/>
        <w:rPr>
          <w:color w:val="000000"/>
        </w:rPr>
      </w:pPr>
      <w:r w:rsidRPr="006611A3">
        <w:rPr>
          <w:rFonts w:ascii="Palatino Linotype" w:hAnsi="Palatino Linotype"/>
          <w:color w:val="000000"/>
        </w:rPr>
        <w:t> </w:t>
      </w:r>
    </w:p>
    <w:p w:rsidR="00682563" w:rsidRPr="006611A3" w:rsidRDefault="00682563" w:rsidP="00682563">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lastRenderedPageBreak/>
        <w:t>Ley de Transparencia y Acceso a la Información Pública del Estado de México y Municipios, establece que uno de los principios por lo que se rige el acceso a la información pública consiste en la gratuidad del procedimiento:</w:t>
      </w:r>
    </w:p>
    <w:p w:rsidR="00682563" w:rsidRPr="006611A3" w:rsidRDefault="00682563" w:rsidP="006611A3">
      <w:pPr>
        <w:tabs>
          <w:tab w:val="left" w:pos="8505"/>
        </w:tabs>
        <w:ind w:left="709" w:right="-858"/>
        <w:jc w:val="both"/>
        <w:rPr>
          <w:rFonts w:ascii="Palatino Linotype" w:eastAsia="Palatino Linotype" w:hAnsi="Palatino Linotype" w:cs="Palatino Linotype"/>
          <w:i/>
          <w:color w:val="000000"/>
        </w:rPr>
      </w:pPr>
      <w:r w:rsidRPr="006611A3">
        <w:rPr>
          <w:rFonts w:ascii="Palatino Linotype" w:hAnsi="Palatino Linotype"/>
          <w:i/>
          <w:iCs/>
          <w:color w:val="000000"/>
        </w:rPr>
        <w:t> </w:t>
      </w:r>
      <w:r w:rsidRPr="006611A3">
        <w:rPr>
          <w:rFonts w:ascii="Palatino Linotype" w:eastAsia="Palatino Linotype" w:hAnsi="Palatino Linotype" w:cs="Palatino Linotype"/>
          <w:i/>
          <w:color w:val="000000"/>
        </w:rPr>
        <w:t>“</w:t>
      </w:r>
      <w:r w:rsidRPr="006611A3">
        <w:rPr>
          <w:rFonts w:ascii="Palatino Linotype" w:eastAsia="Palatino Linotype" w:hAnsi="Palatino Linotype" w:cs="Palatino Linotype"/>
          <w:b/>
          <w:i/>
          <w:color w:val="000000"/>
        </w:rPr>
        <w:t>Artículo 173</w:t>
      </w:r>
      <w:r w:rsidRPr="006611A3">
        <w:rPr>
          <w:rFonts w:ascii="Palatino Linotype" w:eastAsia="Palatino Linotype" w:hAnsi="Palatino Linotype" w:cs="Palatino Linotype"/>
          <w:i/>
          <w:color w:val="000000"/>
        </w:rPr>
        <w:t>. Sin perjuicio de lo anteriormente establecido, el procedimiento de acceso a la información se rige por los siguientes principios:</w:t>
      </w:r>
    </w:p>
    <w:p w:rsidR="00682563" w:rsidRPr="006611A3" w:rsidRDefault="00682563" w:rsidP="00682563">
      <w:pPr>
        <w:pBdr>
          <w:top w:val="nil"/>
          <w:left w:val="nil"/>
          <w:bottom w:val="nil"/>
          <w:right w:val="nil"/>
          <w:between w:val="nil"/>
        </w:pBdr>
        <w:tabs>
          <w:tab w:val="left" w:pos="851"/>
        </w:tabs>
        <w:ind w:left="567" w:right="-222"/>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i/>
          <w:color w:val="000000"/>
        </w:rPr>
        <w:t>I. Simplicidad y rapidez;</w:t>
      </w:r>
    </w:p>
    <w:p w:rsidR="00682563" w:rsidRPr="006611A3" w:rsidRDefault="00682563" w:rsidP="00682563">
      <w:pPr>
        <w:pBdr>
          <w:top w:val="nil"/>
          <w:left w:val="nil"/>
          <w:bottom w:val="nil"/>
          <w:right w:val="nil"/>
          <w:between w:val="nil"/>
        </w:pBdr>
        <w:tabs>
          <w:tab w:val="left" w:pos="851"/>
        </w:tabs>
        <w:ind w:left="567" w:right="-222"/>
        <w:jc w:val="both"/>
        <w:rPr>
          <w:rFonts w:ascii="Palatino Linotype" w:eastAsia="Palatino Linotype" w:hAnsi="Palatino Linotype" w:cs="Palatino Linotype"/>
          <w:b/>
          <w:i/>
          <w:color w:val="000000"/>
        </w:rPr>
      </w:pPr>
      <w:r w:rsidRPr="006611A3">
        <w:rPr>
          <w:rFonts w:ascii="Palatino Linotype" w:eastAsia="Palatino Linotype" w:hAnsi="Palatino Linotype" w:cs="Palatino Linotype"/>
          <w:b/>
          <w:i/>
          <w:color w:val="000000"/>
        </w:rPr>
        <w:t>II. Gratuidad del procedimiento; y</w:t>
      </w:r>
    </w:p>
    <w:p w:rsidR="00682563" w:rsidRPr="006611A3" w:rsidRDefault="00682563" w:rsidP="00682563">
      <w:pPr>
        <w:pBdr>
          <w:top w:val="nil"/>
          <w:left w:val="nil"/>
          <w:bottom w:val="nil"/>
          <w:right w:val="nil"/>
          <w:between w:val="nil"/>
        </w:pBdr>
        <w:tabs>
          <w:tab w:val="left" w:pos="851"/>
        </w:tabs>
        <w:ind w:left="567" w:right="-222"/>
        <w:jc w:val="both"/>
        <w:rPr>
          <w:rFonts w:ascii="Palatino Linotype" w:eastAsia="Palatino Linotype" w:hAnsi="Palatino Linotype" w:cs="Palatino Linotype"/>
          <w:i/>
          <w:color w:val="000000"/>
        </w:rPr>
      </w:pPr>
      <w:r w:rsidRPr="006611A3">
        <w:rPr>
          <w:rFonts w:ascii="Palatino Linotype" w:eastAsia="Palatino Linotype" w:hAnsi="Palatino Linotype" w:cs="Palatino Linotype"/>
          <w:i/>
          <w:color w:val="000000"/>
        </w:rPr>
        <w:t>III. Auxilio y orientación a los particulares.”</w:t>
      </w:r>
    </w:p>
    <w:p w:rsidR="00682563" w:rsidRPr="006611A3" w:rsidRDefault="00682563" w:rsidP="00682563">
      <w:pPr>
        <w:tabs>
          <w:tab w:val="left" w:pos="8505"/>
        </w:tabs>
        <w:ind w:left="709" w:right="-858"/>
        <w:jc w:val="both"/>
        <w:rPr>
          <w:color w:val="000000"/>
        </w:rPr>
      </w:pPr>
      <w:r w:rsidRPr="006611A3">
        <w:rPr>
          <w:rFonts w:ascii="Palatino Linotype" w:hAnsi="Palatino Linotype"/>
          <w:i/>
          <w:iCs/>
          <w:color w:val="000000"/>
        </w:rPr>
        <w:t> </w:t>
      </w:r>
    </w:p>
    <w:p w:rsidR="00682563" w:rsidRPr="006611A3" w:rsidRDefault="00682563" w:rsidP="00682563">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Asimismo, el artículo 17 y 150  de  la Ley de Transparencia Local establece que la búsqueda y el acceso a la información pública deberá ser gratuita:</w:t>
      </w:r>
    </w:p>
    <w:p w:rsidR="00682563" w:rsidRPr="006611A3" w:rsidRDefault="00682563" w:rsidP="006611A3">
      <w:pPr>
        <w:tabs>
          <w:tab w:val="left" w:pos="8505"/>
        </w:tabs>
        <w:ind w:left="709" w:right="-858"/>
        <w:jc w:val="both"/>
        <w:rPr>
          <w:color w:val="000000"/>
        </w:rPr>
      </w:pPr>
      <w:r w:rsidRPr="006611A3">
        <w:rPr>
          <w:rFonts w:ascii="Palatino Linotype" w:hAnsi="Palatino Linotype"/>
          <w:color w:val="000000"/>
        </w:rPr>
        <w:t> </w:t>
      </w:r>
      <w:r w:rsidRPr="006611A3">
        <w:rPr>
          <w:rFonts w:ascii="Palatino Linotype" w:hAnsi="Palatino Linotype"/>
          <w:i/>
          <w:iCs/>
          <w:color w:val="000000"/>
        </w:rPr>
        <w:t>“</w:t>
      </w:r>
      <w:r w:rsidRPr="006611A3">
        <w:rPr>
          <w:rFonts w:ascii="Palatino Linotype" w:hAnsi="Palatino Linotype"/>
          <w:b/>
          <w:bCs/>
          <w:i/>
          <w:iCs/>
          <w:color w:val="000000"/>
        </w:rPr>
        <w:t>Artículo 17</w:t>
      </w:r>
      <w:r w:rsidRPr="006611A3">
        <w:rPr>
          <w:rFonts w:ascii="Palatino Linotype" w:hAnsi="Palatino Linotype"/>
          <w:i/>
          <w:iCs/>
          <w:color w:val="000000"/>
        </w:rPr>
        <w:t xml:space="preserve">. La búsqueda y acceso a la información es gratuita y solo se cubrirán los gastos de reproducción, o por la modalidad de entrega solicitada, así como por el envío, que en su caso se genere, de conformidad con los derechos, productos y aprovechamientos establecidos en la legislación aplicable, sin que exceda de </w:t>
      </w:r>
      <w:r w:rsidRPr="006611A3">
        <w:rPr>
          <w:rFonts w:ascii="Palatino Linotype" w:eastAsia="Palatino Linotype" w:hAnsi="Palatino Linotype" w:cs="Palatino Linotype"/>
          <w:i/>
          <w:color w:val="000000"/>
        </w:rPr>
        <w:t>los</w:t>
      </w:r>
      <w:r w:rsidRPr="006611A3">
        <w:rPr>
          <w:rFonts w:ascii="Palatino Linotype" w:hAnsi="Palatino Linotype"/>
          <w:i/>
          <w:iCs/>
          <w:color w:val="000000"/>
        </w:rPr>
        <w:t xml:space="preserve"> límites establecidos en la presente Ley.”</w:t>
      </w:r>
    </w:p>
    <w:p w:rsidR="00682563" w:rsidRPr="006611A3" w:rsidRDefault="00682563" w:rsidP="00682563">
      <w:pPr>
        <w:tabs>
          <w:tab w:val="left" w:pos="8505"/>
        </w:tabs>
        <w:ind w:left="567" w:right="-858"/>
        <w:jc w:val="both"/>
        <w:rPr>
          <w:color w:val="000000"/>
        </w:rPr>
      </w:pPr>
      <w:r w:rsidRPr="006611A3">
        <w:rPr>
          <w:rFonts w:ascii="Palatino Linotype" w:hAnsi="Palatino Linotype"/>
          <w:i/>
          <w:iCs/>
          <w:color w:val="000000"/>
        </w:rPr>
        <w:t> </w:t>
      </w:r>
    </w:p>
    <w:p w:rsidR="00682563" w:rsidRPr="006611A3" w:rsidRDefault="00682563" w:rsidP="00682563">
      <w:pPr>
        <w:tabs>
          <w:tab w:val="left" w:pos="8505"/>
        </w:tabs>
        <w:ind w:left="567" w:right="-858"/>
        <w:jc w:val="both"/>
        <w:rPr>
          <w:color w:val="000000"/>
        </w:rPr>
      </w:pPr>
      <w:r w:rsidRPr="006611A3">
        <w:rPr>
          <w:rFonts w:ascii="Palatino Linotype" w:hAnsi="Palatino Linotype"/>
          <w:b/>
          <w:bCs/>
          <w:i/>
          <w:iCs/>
          <w:color w:val="000000"/>
        </w:rPr>
        <w:t>“Artículo 150.</w:t>
      </w:r>
      <w:r w:rsidRPr="006611A3">
        <w:rPr>
          <w:rFonts w:ascii="Palatino Linotype" w:hAnsi="Palatino Linotype"/>
          <w:i/>
          <w:iCs/>
          <w:color w:val="000000"/>
        </w:rPr>
        <w:t xml:space="preserve"> El procedimiento de acceso a la información es la garantía primaria del derecho en cuestión y se rige por </w:t>
      </w:r>
      <w:r w:rsidRPr="006611A3">
        <w:rPr>
          <w:color w:val="000000"/>
        </w:rPr>
        <w:t>los</w:t>
      </w:r>
      <w:r w:rsidRPr="006611A3">
        <w:rPr>
          <w:rFonts w:ascii="Palatino Linotype" w:hAnsi="Palatino Linotype"/>
          <w:i/>
          <w:iCs/>
          <w:color w:val="000000"/>
        </w:rPr>
        <w:t xml:space="preserve">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682563" w:rsidRPr="006611A3" w:rsidRDefault="00682563" w:rsidP="00682563">
      <w:pPr>
        <w:tabs>
          <w:tab w:val="left" w:pos="8505"/>
        </w:tabs>
        <w:ind w:left="709" w:right="-858"/>
        <w:jc w:val="both"/>
        <w:rPr>
          <w:color w:val="000000"/>
        </w:rPr>
      </w:pPr>
      <w:r w:rsidRPr="006611A3">
        <w:rPr>
          <w:rFonts w:ascii="Palatino Linotype" w:hAnsi="Palatino Linotype"/>
          <w:color w:val="000000"/>
        </w:rPr>
        <w:t> </w:t>
      </w:r>
    </w:p>
    <w:p w:rsidR="00682563" w:rsidRPr="006611A3" w:rsidRDefault="00682563" w:rsidP="00117972">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Con fundamento en los preceptos legales señalados, </w:t>
      </w:r>
      <w:r w:rsidRPr="006611A3">
        <w:rPr>
          <w:rFonts w:ascii="Palatino Linotype" w:eastAsia="Palatino Linotype" w:hAnsi="Palatino Linotype" w:cs="Palatino Linotype"/>
          <w:b/>
          <w:color w:val="000000"/>
        </w:rPr>
        <w:t>la gratuidad es un principio</w:t>
      </w:r>
      <w:r w:rsidRPr="006611A3">
        <w:rPr>
          <w:rFonts w:ascii="Palatino Linotype" w:eastAsia="Palatino Linotype" w:hAnsi="Palatino Linotype" w:cs="Palatino Linotype"/>
          <w:color w:val="000000"/>
        </w:rPr>
        <w:t xml:space="preserve"> bajo el cual se rige el derecho de acceso a la información, razón por la cual, la información solicitada por el particular, debe ser entregada vía SAIMEX, sin que esto le genere algún costo.</w:t>
      </w:r>
    </w:p>
    <w:p w:rsidR="00682563" w:rsidRPr="006611A3" w:rsidRDefault="00682563" w:rsidP="00682563">
      <w:pPr>
        <w:shd w:val="clear" w:color="auto" w:fill="FFFFFF"/>
        <w:spacing w:line="360" w:lineRule="atLeast"/>
        <w:jc w:val="both"/>
        <w:rPr>
          <w:color w:val="000000"/>
        </w:rPr>
      </w:pPr>
      <w:r w:rsidRPr="006611A3">
        <w:rPr>
          <w:rFonts w:ascii="Palatino Linotype" w:hAnsi="Palatino Linotype"/>
          <w:color w:val="000000"/>
        </w:rPr>
        <w:t> </w:t>
      </w:r>
    </w:p>
    <w:p w:rsidR="00682563" w:rsidRPr="006611A3" w:rsidRDefault="00682563" w:rsidP="00117972">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Es importante destacar, que el artículo 174 y 175 establecen el cobro de derechos para la entrega de la información con el objeto de que se cubran los costos de los materiales utilizados en la reproducción de la información, el costo por él envió de la misma o el pago por la certificación; sin embargo, en el caso particular no se estima que se actualice ninguno de esos </w:t>
      </w:r>
      <w:r w:rsidRPr="006611A3">
        <w:rPr>
          <w:rFonts w:ascii="Palatino Linotype" w:eastAsia="Palatino Linotype" w:hAnsi="Palatino Linotype" w:cs="Palatino Linotype"/>
          <w:color w:val="000000"/>
        </w:rPr>
        <w:lastRenderedPageBreak/>
        <w:t xml:space="preserve">supuestos y no debe perderse de vista que la parte solicitante requirió la información a través del SAIMEX, por lo que ello </w:t>
      </w:r>
      <w:r w:rsidRPr="006611A3">
        <w:rPr>
          <w:rFonts w:ascii="Palatino Linotype" w:eastAsia="Palatino Linotype" w:hAnsi="Palatino Linotype" w:cs="Palatino Linotype"/>
          <w:b/>
          <w:color w:val="000000"/>
        </w:rPr>
        <w:t>únicamente implica la digitalización o escaneo de la información a entregar, lo cual no conlleva la utilización de materiales que generen un costo para el Sujeto Obligado</w:t>
      </w:r>
      <w:r w:rsidRPr="006611A3">
        <w:rPr>
          <w:rFonts w:ascii="Palatino Linotype" w:eastAsia="Palatino Linotype" w:hAnsi="Palatino Linotype" w:cs="Palatino Linotype"/>
          <w:color w:val="000000"/>
        </w:rPr>
        <w:t>, como es el caso por ejemplo de la emisión de copias; así tampoco se genera un gasto por él envió de la información, pues no necesita recurso alguno, más que un equipo de cómputo con acceso a internet y un digitalizador de documentos.</w:t>
      </w:r>
    </w:p>
    <w:p w:rsidR="00682563" w:rsidRPr="006611A3" w:rsidRDefault="00682563" w:rsidP="00682563">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682563" w:rsidRPr="006611A3" w:rsidRDefault="00682563" w:rsidP="00117972">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Por lo anteriormente expuesto, este Órgano Garante determina que </w:t>
      </w:r>
      <w:r w:rsidRPr="006611A3">
        <w:rPr>
          <w:rFonts w:ascii="Palatino Linotype" w:eastAsia="Palatino Linotype" w:hAnsi="Palatino Linotype" w:cs="Palatino Linotype"/>
          <w:b/>
          <w:color w:val="000000"/>
        </w:rPr>
        <w:t>la digitalización de documentación para la entrega de la información no genera costo alguno</w:t>
      </w:r>
      <w:r w:rsidRPr="006611A3">
        <w:rPr>
          <w:rFonts w:ascii="Palatino Linotype" w:eastAsia="Palatino Linotype" w:hAnsi="Palatino Linotype" w:cs="Palatino Linotype"/>
          <w:color w:val="000000"/>
        </w:rPr>
        <w:t>.</w:t>
      </w:r>
    </w:p>
    <w:p w:rsidR="0026182F" w:rsidRPr="006611A3" w:rsidRDefault="0026182F" w:rsidP="0026182F">
      <w:pPr>
        <w:pBdr>
          <w:top w:val="nil"/>
          <w:left w:val="nil"/>
          <w:bottom w:val="nil"/>
          <w:right w:val="nil"/>
          <w:between w:val="nil"/>
        </w:pBdr>
        <w:ind w:right="851"/>
        <w:jc w:val="both"/>
        <w:rPr>
          <w:rFonts w:ascii="Palatino Linotype" w:eastAsia="Palatino Linotype" w:hAnsi="Palatino Linotype" w:cs="Palatino Linotype"/>
          <w:i/>
        </w:rPr>
      </w:pPr>
    </w:p>
    <w:p w:rsidR="0026182F" w:rsidRPr="006611A3" w:rsidRDefault="009D6775" w:rsidP="00EE2817">
      <w:pPr>
        <w:numPr>
          <w:ilvl w:val="0"/>
          <w:numId w:val="1"/>
        </w:numPr>
        <w:spacing w:line="360" w:lineRule="auto"/>
        <w:ind w:left="0" w:right="-879" w:firstLine="0"/>
        <w:jc w:val="both"/>
        <w:rPr>
          <w:rFonts w:ascii="Palatino Linotype" w:hAnsi="Palatino Linotype"/>
          <w:b/>
          <w:i/>
        </w:rPr>
      </w:pPr>
      <w:r w:rsidRPr="006611A3">
        <w:rPr>
          <w:rFonts w:ascii="Palatino Linotype" w:eastAsia="Palatino Linotype" w:hAnsi="Palatino Linotype" w:cs="Palatino Linotype"/>
          <w:color w:val="000000"/>
        </w:rPr>
        <w:t>En atención a lo antes razonado</w:t>
      </w:r>
      <w:r w:rsidR="0026182F" w:rsidRPr="006611A3">
        <w:rPr>
          <w:rFonts w:ascii="Palatino Linotype" w:eastAsia="Palatino Linotype" w:hAnsi="Palatino Linotype" w:cs="Palatino Linotype"/>
          <w:color w:val="000000"/>
        </w:rPr>
        <w:t>, este Organismo Garante, estima procedente</w:t>
      </w:r>
      <w:r w:rsidR="0026182F" w:rsidRPr="006611A3">
        <w:rPr>
          <w:rFonts w:ascii="Palatino Linotype" w:eastAsia="Palatino Linotype" w:hAnsi="Palatino Linotype" w:cs="Palatino Linotype"/>
          <w:b/>
          <w:color w:val="000000"/>
        </w:rPr>
        <w:t xml:space="preserve"> REVOCAR</w:t>
      </w:r>
      <w:r w:rsidR="0026182F" w:rsidRPr="006611A3">
        <w:rPr>
          <w:rFonts w:ascii="Palatino Linotype" w:eastAsia="Palatino Linotype" w:hAnsi="Palatino Linotype" w:cs="Palatino Linotype"/>
          <w:color w:val="000000"/>
        </w:rPr>
        <w:t xml:space="preserve"> la respuesta emitida y </w:t>
      </w:r>
      <w:r w:rsidR="0026182F" w:rsidRPr="006611A3">
        <w:rPr>
          <w:rFonts w:ascii="Palatino Linotype" w:eastAsia="Palatino Linotype" w:hAnsi="Palatino Linotype" w:cs="Palatino Linotype"/>
          <w:b/>
          <w:color w:val="000000"/>
        </w:rPr>
        <w:t>ORDENAR</w:t>
      </w:r>
      <w:r w:rsidR="00657D58" w:rsidRPr="006611A3">
        <w:rPr>
          <w:rFonts w:ascii="Palatino Linotype" w:eastAsia="Palatino Linotype" w:hAnsi="Palatino Linotype" w:cs="Palatino Linotype"/>
          <w:color w:val="000000"/>
        </w:rPr>
        <w:t xml:space="preserve"> </w:t>
      </w:r>
      <w:r w:rsidR="0026182F" w:rsidRPr="006611A3">
        <w:rPr>
          <w:rFonts w:ascii="Palatino Linotype" w:eastAsia="Palatino Linotype" w:hAnsi="Palatino Linotype" w:cs="Palatino Linotype"/>
          <w:color w:val="000000"/>
        </w:rPr>
        <w:t>de ser procedente en versión pública</w:t>
      </w:r>
      <w:r w:rsidR="0026182F" w:rsidRPr="006611A3">
        <w:rPr>
          <w:rFonts w:ascii="Palatino Linotype" w:eastAsia="Palatino Linotype" w:hAnsi="Palatino Linotype" w:cs="Palatino Linotype"/>
          <w:b/>
          <w:color w:val="000000"/>
        </w:rPr>
        <w:t xml:space="preserve">, </w:t>
      </w:r>
      <w:r w:rsidR="0026182F" w:rsidRPr="006611A3">
        <w:rPr>
          <w:rFonts w:ascii="Palatino Linotype" w:eastAsia="Palatino Linotype" w:hAnsi="Palatino Linotype" w:cs="Palatino Linotype"/>
          <w:color w:val="000000"/>
        </w:rPr>
        <w:t xml:space="preserve">se haga entrega </w:t>
      </w:r>
      <w:r w:rsidR="0026182F" w:rsidRPr="006611A3">
        <w:rPr>
          <w:rFonts w:ascii="Palatino Linotype" w:hAnsi="Palatino Linotype"/>
        </w:rPr>
        <w:t xml:space="preserve">de la información siguiente: </w:t>
      </w:r>
      <w:r w:rsidR="003F57C3" w:rsidRPr="006611A3">
        <w:rPr>
          <w:rFonts w:ascii="Palatino Linotype" w:hAnsi="Palatino Linotype"/>
          <w:b/>
        </w:rPr>
        <w:t xml:space="preserve">el </w:t>
      </w:r>
      <w:r w:rsidR="00657D58" w:rsidRPr="006611A3">
        <w:rPr>
          <w:rFonts w:ascii="Palatino Linotype" w:hAnsi="Palatino Linotype"/>
          <w:b/>
        </w:rPr>
        <w:t xml:space="preserve">convenio, acuerdo, acta o instrumento jurídico de coordinación celebrado entre el </w:t>
      </w:r>
      <w:r w:rsidR="00657D58" w:rsidRPr="006611A3">
        <w:rPr>
          <w:rFonts w:ascii="Palatino Linotype" w:eastAsia="Palatino Linotype" w:hAnsi="Palatino Linotype" w:cs="Palatino Linotype"/>
          <w:b/>
          <w:bCs/>
        </w:rPr>
        <w:t>Sistema Municipal Para el Desarrollo Integral de la Familia de Ixtapaluca</w:t>
      </w:r>
      <w:r w:rsidR="00657D58" w:rsidRPr="006611A3">
        <w:rPr>
          <w:rFonts w:ascii="Palatino Linotype" w:hAnsi="Palatino Linotype"/>
          <w:b/>
        </w:rPr>
        <w:t xml:space="preserve"> y la Beneficencia Pública del Estado de México o Federal, </w:t>
      </w:r>
      <w:r w:rsidR="00CA44A8" w:rsidRPr="006611A3">
        <w:rPr>
          <w:rFonts w:ascii="Palatino Linotype" w:hAnsi="Palatino Linotype"/>
          <w:b/>
        </w:rPr>
        <w:t>relacionado con</w:t>
      </w:r>
      <w:r w:rsidR="00657D58" w:rsidRPr="006611A3">
        <w:rPr>
          <w:rFonts w:ascii="Palatino Linotype" w:hAnsi="Palatino Linotype"/>
          <w:b/>
        </w:rPr>
        <w:t xml:space="preserve"> la entrega de “300 lentes para personas en situación de vulnerabilidad”, así como anexos, minutas, oficios de solicitud y cualquier documento soporte que acredite dicha coordinación institucional.</w:t>
      </w:r>
    </w:p>
    <w:p w:rsidR="00EE2817" w:rsidRPr="006611A3" w:rsidRDefault="00EE2817" w:rsidP="00EE2817">
      <w:pPr>
        <w:spacing w:line="360" w:lineRule="auto"/>
        <w:ind w:right="-879"/>
        <w:jc w:val="both"/>
        <w:rPr>
          <w:rFonts w:ascii="Palatino Linotype" w:hAnsi="Palatino Linotype"/>
          <w:b/>
          <w:i/>
        </w:rPr>
      </w:pPr>
    </w:p>
    <w:p w:rsidR="0026182F" w:rsidRPr="006611A3" w:rsidRDefault="00186028" w:rsidP="00484222">
      <w:pPr>
        <w:numPr>
          <w:ilvl w:val="0"/>
          <w:numId w:val="1"/>
        </w:numPr>
        <w:spacing w:line="360" w:lineRule="auto"/>
        <w:ind w:left="0" w:right="-879" w:firstLine="0"/>
        <w:jc w:val="both"/>
        <w:rPr>
          <w:color w:val="000000"/>
        </w:rPr>
      </w:pPr>
      <w:r w:rsidRPr="006611A3">
        <w:rPr>
          <w:rFonts w:ascii="Palatino Linotype" w:eastAsia="Palatino Linotype" w:hAnsi="Palatino Linotype" w:cs="Palatino Linotype"/>
          <w:color w:val="000000"/>
        </w:rPr>
        <w:t>Aunado a lo anterior</w:t>
      </w:r>
      <w:r w:rsidR="0026182F" w:rsidRPr="006611A3">
        <w:rPr>
          <w:rFonts w:ascii="Palatino Linotype" w:eastAsia="Palatino Linotype" w:hAnsi="Palatino Linotype" w:cs="Palatino Linotype"/>
          <w:color w:val="000000"/>
        </w:rPr>
        <w:t xml:space="preserve">, no pasa desapercibido para este Órgano Garante, que la información que se ordena entregar puede contener información susceptible de clasificarse; para lo cual, el </w:t>
      </w:r>
      <w:r w:rsidR="0026182F" w:rsidRPr="006611A3">
        <w:rPr>
          <w:rFonts w:ascii="Palatino Linotype" w:eastAsia="Palatino Linotype" w:hAnsi="Palatino Linotype" w:cs="Palatino Linotype"/>
          <w:b/>
          <w:color w:val="000000"/>
        </w:rPr>
        <w:t>SUJETO OBLIGADO</w:t>
      </w:r>
      <w:r w:rsidR="0026182F" w:rsidRPr="006611A3">
        <w:rPr>
          <w:rFonts w:ascii="Palatino Linotype" w:eastAsia="Palatino Linotype" w:hAnsi="Palatino Linotype" w:cs="Palatino Linotype"/>
          <w:color w:val="000000"/>
        </w:rPr>
        <w:t xml:space="preserve"> deberá atender al siguiente Considerando.</w:t>
      </w:r>
    </w:p>
    <w:p w:rsidR="0026182F" w:rsidRPr="006611A3" w:rsidRDefault="0026182F" w:rsidP="0026182F">
      <w:pPr>
        <w:spacing w:line="360" w:lineRule="auto"/>
        <w:ind w:right="-858"/>
        <w:jc w:val="both"/>
        <w:rPr>
          <w:rFonts w:ascii="Palatino Linotype" w:eastAsia="Palatino Linotype" w:hAnsi="Palatino Linotype" w:cs="Palatino Linotype"/>
          <w:b/>
          <w:color w:val="000000"/>
        </w:rPr>
      </w:pPr>
    </w:p>
    <w:p w:rsidR="0026182F" w:rsidRPr="006611A3" w:rsidRDefault="0026182F" w:rsidP="0026182F">
      <w:pPr>
        <w:keepNext/>
        <w:keepLines/>
        <w:spacing w:after="160" w:line="360" w:lineRule="auto"/>
        <w:rPr>
          <w:rFonts w:ascii="Palatino Linotype" w:eastAsia="Palatino Linotype" w:hAnsi="Palatino Linotype" w:cs="Palatino Linotype"/>
          <w:b/>
          <w:color w:val="000000"/>
        </w:rPr>
      </w:pPr>
      <w:r w:rsidRPr="006611A3">
        <w:rPr>
          <w:rFonts w:ascii="Palatino Linotype" w:eastAsia="Palatino Linotype" w:hAnsi="Palatino Linotype" w:cs="Palatino Linotype"/>
          <w:b/>
          <w:color w:val="000000"/>
        </w:rPr>
        <w:lastRenderedPageBreak/>
        <w:t>QUINTO. De la versión pública.</w:t>
      </w:r>
    </w:p>
    <w:p w:rsidR="0026182F" w:rsidRPr="006611A3" w:rsidRDefault="0026182F" w:rsidP="0026182F">
      <w:pPr>
        <w:keepNext/>
        <w:keepLines/>
        <w:numPr>
          <w:ilvl w:val="0"/>
          <w:numId w:val="13"/>
        </w:numPr>
        <w:tabs>
          <w:tab w:val="left" w:pos="284"/>
        </w:tabs>
        <w:spacing w:after="160" w:line="360" w:lineRule="auto"/>
        <w:rPr>
          <w:rFonts w:ascii="Palatino Linotype" w:eastAsia="Palatino Linotype" w:hAnsi="Palatino Linotype" w:cs="Palatino Linotype"/>
          <w:b/>
          <w:color w:val="000000"/>
        </w:rPr>
      </w:pPr>
      <w:r w:rsidRPr="006611A3">
        <w:rPr>
          <w:rFonts w:ascii="Palatino Linotype" w:eastAsia="Palatino Linotype" w:hAnsi="Palatino Linotype" w:cs="Palatino Linotype"/>
          <w:b/>
          <w:color w:val="000000"/>
        </w:rPr>
        <w:t xml:space="preserve">Nociones generales. </w:t>
      </w:r>
    </w:p>
    <w:p w:rsidR="0026182F" w:rsidRPr="006611A3" w:rsidRDefault="0026182F" w:rsidP="00484222">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Debe destacarse </w:t>
      </w:r>
      <w:r w:rsidRPr="006611A3">
        <w:rPr>
          <w:rFonts w:ascii="Palatino Linotype" w:eastAsia="Palatino Linotype" w:hAnsi="Palatino Linotype" w:cs="Palatino Linotype"/>
        </w:rPr>
        <w:t>que</w:t>
      </w:r>
      <w:r w:rsidRPr="006611A3">
        <w:rPr>
          <w:rFonts w:ascii="Palatino Linotype" w:eastAsia="Palatino Linotype" w:hAnsi="Palatino Linotype" w:cs="Palatino Linotype"/>
          <w:color w:val="000000"/>
        </w:rPr>
        <w:t>, debido a la naturaleza de la información solicitada</w:t>
      </w:r>
      <w:r w:rsidRPr="006611A3">
        <w:rPr>
          <w:rFonts w:ascii="Palatino Linotype" w:eastAsia="Palatino Linotype" w:hAnsi="Palatino Linotype" w:cs="Palatino Linotype"/>
          <w:b/>
          <w:color w:val="000000"/>
        </w:rPr>
        <w:t xml:space="preserve">, </w:t>
      </w:r>
      <w:r w:rsidRPr="006611A3">
        <w:rPr>
          <w:rFonts w:ascii="Palatino Linotype" w:eastAsia="Palatino Linotype" w:hAnsi="Palatino Linotype" w:cs="Palatino Linotype"/>
          <w:color w:val="000000"/>
        </w:rPr>
        <w:t xml:space="preserve">eventualmente pudieran obrar datos personales susceptibles de protegerse, el </w:t>
      </w:r>
      <w:r w:rsidRPr="006611A3">
        <w:rPr>
          <w:rFonts w:ascii="Palatino Linotype" w:eastAsia="Palatino Linotype" w:hAnsi="Palatino Linotype" w:cs="Palatino Linotype"/>
          <w:b/>
          <w:color w:val="000000"/>
        </w:rPr>
        <w:t xml:space="preserve">SUJETO OBLIGADO </w:t>
      </w:r>
      <w:r w:rsidRPr="006611A3">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26182F" w:rsidRPr="006611A3" w:rsidRDefault="0026182F" w:rsidP="0026182F">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color w:val="000000"/>
        </w:rPr>
      </w:pPr>
    </w:p>
    <w:p w:rsidR="0026182F" w:rsidRPr="006611A3" w:rsidRDefault="0026182F" w:rsidP="00484222">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No pasa desapercibido para este Órgano Garante que los Sujetos Obligados</w:t>
      </w:r>
      <w:r w:rsidRPr="006611A3">
        <w:rPr>
          <w:rFonts w:ascii="Palatino Linotype" w:eastAsia="Palatino Linotype" w:hAnsi="Palatino Linotype" w:cs="Palatino Linotype"/>
          <w:b/>
          <w:color w:val="000000"/>
        </w:rPr>
        <w:t xml:space="preserve"> </w:t>
      </w:r>
      <w:r w:rsidRPr="006611A3">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26182F" w:rsidRPr="006611A3" w:rsidRDefault="0026182F" w:rsidP="0026182F">
      <w:pPr>
        <w:tabs>
          <w:tab w:val="left" w:pos="284"/>
        </w:tabs>
        <w:spacing w:after="160" w:line="360" w:lineRule="auto"/>
        <w:ind w:right="49"/>
        <w:jc w:val="both"/>
        <w:rPr>
          <w:rFonts w:ascii="Palatino Linotype" w:eastAsia="Palatino Linotype" w:hAnsi="Palatino Linotype" w:cs="Palatino Linotype"/>
          <w:color w:val="000000"/>
        </w:rPr>
      </w:pPr>
    </w:p>
    <w:tbl>
      <w:tblPr>
        <w:tblW w:w="977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7513"/>
      </w:tblGrid>
      <w:tr w:rsidR="00CA44A8" w:rsidRPr="006611A3" w:rsidTr="0013004D">
        <w:tc>
          <w:tcPr>
            <w:tcW w:w="2263" w:type="dxa"/>
          </w:tcPr>
          <w:p w:rsidR="00CA44A8" w:rsidRPr="006611A3" w:rsidRDefault="00CA44A8" w:rsidP="0013004D">
            <w:pPr>
              <w:tabs>
                <w:tab w:val="left" w:pos="284"/>
              </w:tabs>
              <w:spacing w:line="360" w:lineRule="auto"/>
              <w:rPr>
                <w:rFonts w:ascii="Palatino Linotype" w:eastAsia="Palatino Linotype" w:hAnsi="Palatino Linotype" w:cs="Palatino Linotype"/>
                <w:b/>
                <w:bCs/>
              </w:rPr>
            </w:pPr>
            <w:r w:rsidRPr="006611A3">
              <w:rPr>
                <w:rFonts w:ascii="Palatino Linotype" w:eastAsia="Palatino Linotype" w:hAnsi="Palatino Linotype" w:cs="Palatino Linotype"/>
                <w:b/>
                <w:bCs/>
              </w:rPr>
              <w:t>a) Requisitos previos.</w:t>
            </w:r>
          </w:p>
        </w:tc>
        <w:tc>
          <w:tcPr>
            <w:tcW w:w="7513" w:type="dxa"/>
          </w:tcPr>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Además, se debe señalar el procedimiento, de los tres que establecen el artículo 132 de la Ley Estatal.</w:t>
            </w:r>
          </w:p>
          <w:p w:rsidR="00CA44A8" w:rsidRPr="006611A3" w:rsidRDefault="00CA44A8" w:rsidP="0013004D">
            <w:pPr>
              <w:tabs>
                <w:tab w:val="left" w:pos="284"/>
              </w:tabs>
              <w:spacing w:line="276" w:lineRule="auto"/>
              <w:jc w:val="both"/>
              <w:rPr>
                <w:rFonts w:ascii="Palatino Linotype" w:eastAsia="Palatino Linotype" w:hAnsi="Palatino Linotype" w:cs="Palatino Linotype"/>
              </w:rPr>
            </w:pPr>
            <w:r w:rsidRPr="006611A3">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6611A3">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6611A3">
              <w:rPr>
                <w:rFonts w:ascii="Palatino Linotype" w:eastAsia="Palatino Linotype" w:hAnsi="Palatino Linotype" w:cs="Palatino Linotype"/>
                <w:color w:val="000000"/>
              </w:rPr>
              <w:t xml:space="preserve"> individualizar su análisis y tampoco se puede hacer un acuerdo por cada dato que se vaya a </w:t>
            </w:r>
            <w:r w:rsidRPr="006611A3">
              <w:rPr>
                <w:rFonts w:ascii="Palatino Linotype" w:eastAsia="Palatino Linotype" w:hAnsi="Palatino Linotype" w:cs="Palatino Linotype"/>
                <w:color w:val="000000"/>
              </w:rPr>
              <w:lastRenderedPageBreak/>
              <w:t>clasificar dentro de un documento con diez datos, por ejemplo, susceptibles de ser clasificados.</w:t>
            </w:r>
          </w:p>
        </w:tc>
      </w:tr>
      <w:tr w:rsidR="00CA44A8" w:rsidRPr="006611A3" w:rsidTr="0013004D">
        <w:tc>
          <w:tcPr>
            <w:tcW w:w="2263" w:type="dxa"/>
            <w:shd w:val="clear" w:color="auto" w:fill="F2F2F2"/>
          </w:tcPr>
          <w:p w:rsidR="00CA44A8" w:rsidRPr="006611A3" w:rsidRDefault="00CA44A8" w:rsidP="0013004D">
            <w:pPr>
              <w:tabs>
                <w:tab w:val="left" w:pos="284"/>
              </w:tabs>
              <w:spacing w:line="360" w:lineRule="auto"/>
              <w:rPr>
                <w:rFonts w:ascii="Palatino Linotype" w:eastAsia="Palatino Linotype" w:hAnsi="Palatino Linotype" w:cs="Palatino Linotype"/>
                <w:b/>
                <w:bCs/>
              </w:rPr>
            </w:pPr>
            <w:r w:rsidRPr="006611A3">
              <w:rPr>
                <w:rFonts w:ascii="Palatino Linotype" w:eastAsia="Palatino Linotype" w:hAnsi="Palatino Linotype" w:cs="Palatino Linotype"/>
                <w:b/>
                <w:bCs/>
              </w:rPr>
              <w:lastRenderedPageBreak/>
              <w:t>b) Supuestos de clasificación.</w:t>
            </w:r>
          </w:p>
        </w:tc>
        <w:tc>
          <w:tcPr>
            <w:tcW w:w="7513" w:type="dxa"/>
            <w:shd w:val="clear" w:color="auto" w:fill="F2F2F2"/>
          </w:tcPr>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CA44A8" w:rsidRPr="006611A3" w:rsidRDefault="00CA44A8" w:rsidP="0013004D">
            <w:pPr>
              <w:tabs>
                <w:tab w:val="left" w:pos="284"/>
              </w:tabs>
              <w:spacing w:line="276" w:lineRule="auto"/>
              <w:jc w:val="both"/>
              <w:rPr>
                <w:rFonts w:ascii="Palatino Linotype" w:eastAsia="Palatino Linotype" w:hAnsi="Palatino Linotype" w:cs="Palatino Linotype"/>
              </w:rPr>
            </w:pPr>
            <w:r w:rsidRPr="006611A3">
              <w:rPr>
                <w:rFonts w:ascii="Palatino Linotype" w:eastAsia="Palatino Linotype" w:hAnsi="Palatino Linotype" w:cs="Palatino Linotype"/>
                <w:color w:val="000000"/>
              </w:rPr>
              <w:t xml:space="preserve">El </w:t>
            </w:r>
            <w:r w:rsidRPr="006611A3">
              <w:rPr>
                <w:rFonts w:ascii="Palatino Linotype" w:eastAsia="Palatino Linotype" w:hAnsi="Palatino Linotype" w:cs="Palatino Linotype"/>
                <w:b/>
                <w:bCs/>
                <w:color w:val="000000"/>
              </w:rPr>
              <w:t>Sujeto Obligado</w:t>
            </w:r>
            <w:r w:rsidRPr="006611A3">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A44A8" w:rsidRPr="006611A3" w:rsidTr="0013004D">
        <w:tc>
          <w:tcPr>
            <w:tcW w:w="2263" w:type="dxa"/>
          </w:tcPr>
          <w:p w:rsidR="00CA44A8" w:rsidRPr="006611A3" w:rsidRDefault="00CA44A8" w:rsidP="0013004D">
            <w:pPr>
              <w:tabs>
                <w:tab w:val="left" w:pos="284"/>
              </w:tabs>
              <w:spacing w:line="360" w:lineRule="auto"/>
              <w:rPr>
                <w:rFonts w:ascii="Palatino Linotype" w:eastAsia="Palatino Linotype" w:hAnsi="Palatino Linotype" w:cs="Palatino Linotype"/>
                <w:b/>
                <w:bCs/>
              </w:rPr>
            </w:pPr>
            <w:r w:rsidRPr="006611A3">
              <w:rPr>
                <w:rFonts w:ascii="Palatino Linotype" w:eastAsia="Palatino Linotype" w:hAnsi="Palatino Linotype" w:cs="Palatino Linotype"/>
                <w:b/>
                <w:bCs/>
              </w:rPr>
              <w:t>c) Formalidades para emitir el acuerdo de clasificación.</w:t>
            </w:r>
          </w:p>
        </w:tc>
        <w:tc>
          <w:tcPr>
            <w:tcW w:w="7513" w:type="dxa"/>
          </w:tcPr>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Es necesario que </w:t>
            </w:r>
            <w:r w:rsidRPr="006611A3">
              <w:rPr>
                <w:rFonts w:ascii="Palatino Linotype" w:eastAsia="Palatino Linotype" w:hAnsi="Palatino Linotype" w:cs="Palatino Linotype"/>
                <w:b/>
                <w:bCs/>
                <w:color w:val="000000"/>
                <w:u w:val="single"/>
              </w:rPr>
              <w:t>el acto reúna con los requisitos elementales</w:t>
            </w:r>
            <w:r w:rsidRPr="006611A3">
              <w:rPr>
                <w:rFonts w:ascii="Palatino Linotype" w:eastAsia="Palatino Linotype" w:hAnsi="Palatino Linotype" w:cs="Palatino Linotype"/>
                <w:color w:val="000000"/>
              </w:rPr>
              <w:t>, entre ellos, que la autoridad que va a emitir el acto de autoridad sea la legalmente facultada para ello.</w:t>
            </w:r>
          </w:p>
          <w:p w:rsidR="00CA44A8" w:rsidRPr="006611A3" w:rsidRDefault="00CA44A8" w:rsidP="0013004D">
            <w:pPr>
              <w:tabs>
                <w:tab w:val="left" w:pos="284"/>
              </w:tabs>
              <w:spacing w:line="276" w:lineRule="auto"/>
              <w:jc w:val="both"/>
              <w:rPr>
                <w:rFonts w:ascii="Palatino Linotype" w:eastAsia="Palatino Linotype" w:hAnsi="Palatino Linotype" w:cs="Palatino Linotype"/>
              </w:rPr>
            </w:pPr>
            <w:r w:rsidRPr="006611A3">
              <w:rPr>
                <w:rFonts w:ascii="Palatino Linotype" w:eastAsia="Palatino Linotype" w:hAnsi="Palatino Linotype" w:cs="Palatino Linotype"/>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sidRPr="006611A3">
              <w:rPr>
                <w:rFonts w:ascii="Palatino Linotype" w:eastAsia="Palatino Linotype" w:hAnsi="Palatino Linotype" w:cs="Palatino Linotype"/>
              </w:rPr>
              <w:t>El área</w:t>
            </w:r>
            <w:r w:rsidRPr="006611A3">
              <w:rPr>
                <w:rFonts w:ascii="Palatino Linotype" w:eastAsia="Palatino Linotype" w:hAnsi="Palatino Linotype" w:cs="Palatino Linotype"/>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CA44A8" w:rsidRPr="006611A3" w:rsidTr="0013004D">
        <w:tc>
          <w:tcPr>
            <w:tcW w:w="2263" w:type="dxa"/>
            <w:shd w:val="clear" w:color="auto" w:fill="F2F2F2"/>
          </w:tcPr>
          <w:p w:rsidR="00CA44A8" w:rsidRPr="006611A3" w:rsidRDefault="00CA44A8" w:rsidP="0013004D">
            <w:pPr>
              <w:tabs>
                <w:tab w:val="left" w:pos="284"/>
              </w:tabs>
              <w:spacing w:line="360" w:lineRule="auto"/>
              <w:rPr>
                <w:rFonts w:ascii="Palatino Linotype" w:eastAsia="Palatino Linotype" w:hAnsi="Palatino Linotype" w:cs="Palatino Linotype"/>
                <w:b/>
                <w:bCs/>
              </w:rPr>
            </w:pPr>
          </w:p>
          <w:p w:rsidR="00CA44A8" w:rsidRPr="006611A3" w:rsidRDefault="00CA44A8" w:rsidP="0013004D">
            <w:pPr>
              <w:tabs>
                <w:tab w:val="left" w:pos="284"/>
              </w:tabs>
              <w:spacing w:line="360" w:lineRule="auto"/>
              <w:jc w:val="both"/>
              <w:rPr>
                <w:rFonts w:ascii="Palatino Linotype" w:eastAsia="Palatino Linotype" w:hAnsi="Palatino Linotype" w:cs="Palatino Linotype"/>
                <w:b/>
                <w:bCs/>
              </w:rPr>
            </w:pPr>
            <w:r w:rsidRPr="006611A3">
              <w:rPr>
                <w:rFonts w:ascii="Palatino Linotype" w:eastAsia="Palatino Linotype" w:hAnsi="Palatino Linotype" w:cs="Palatino Linotype"/>
                <w:b/>
                <w:bCs/>
                <w:color w:val="000000"/>
              </w:rPr>
              <w:t xml:space="preserve">d) Requisitos de fondo del acuerdo de clasificación. </w:t>
            </w:r>
          </w:p>
        </w:tc>
        <w:tc>
          <w:tcPr>
            <w:tcW w:w="7513" w:type="dxa"/>
            <w:shd w:val="clear" w:color="auto" w:fill="F2F2F2"/>
          </w:tcPr>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6611A3">
              <w:rPr>
                <w:rFonts w:ascii="Palatino Linotype" w:eastAsia="Palatino Linotype" w:hAnsi="Palatino Linotype" w:cs="Palatino Linotype"/>
                <w:b/>
                <w:bCs/>
                <w:color w:val="000000"/>
              </w:rPr>
              <w:t>Sujetos Obligados</w:t>
            </w:r>
            <w:r w:rsidRPr="006611A3">
              <w:rPr>
                <w:rFonts w:ascii="Palatino Linotype" w:eastAsia="Palatino Linotype" w:hAnsi="Palatino Linotype" w:cs="Palatino Linotype"/>
                <w:color w:val="000000"/>
              </w:rPr>
              <w:t xml:space="preserve">, por lo que deberán fundar y motivar debidamente la clasificación. </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De lo anterior, se desprende que para una correcta </w:t>
            </w:r>
            <w:r w:rsidRPr="006611A3">
              <w:rPr>
                <w:rFonts w:ascii="Palatino Linotype" w:eastAsia="Palatino Linotype" w:hAnsi="Palatino Linotype" w:cs="Palatino Linotype"/>
                <w:b/>
                <w:bCs/>
                <w:color w:val="000000"/>
              </w:rPr>
              <w:t>clasificación total o parcial</w:t>
            </w:r>
            <w:r w:rsidRPr="006611A3">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Ahora bien, </w:t>
            </w:r>
            <w:r w:rsidRPr="006611A3">
              <w:rPr>
                <w:rFonts w:ascii="Palatino Linotype" w:eastAsia="Palatino Linotype" w:hAnsi="Palatino Linotype" w:cs="Palatino Linotype"/>
                <w:b/>
                <w:bCs/>
                <w:color w:val="000000"/>
                <w:u w:val="single"/>
              </w:rPr>
              <w:t>para cada caso además de fundar y motivar</w:t>
            </w:r>
            <w:r w:rsidRPr="006611A3">
              <w:rPr>
                <w:rFonts w:ascii="Palatino Linotype" w:eastAsia="Palatino Linotype" w:hAnsi="Palatino Linotype" w:cs="Palatino Linotype"/>
                <w:color w:val="000000"/>
              </w:rPr>
              <w:t xml:space="preserve">, se debe identificar con claridad </w:t>
            </w:r>
            <w:r w:rsidRPr="006611A3">
              <w:rPr>
                <w:rFonts w:ascii="Palatino Linotype" w:eastAsia="Palatino Linotype" w:hAnsi="Palatino Linotype" w:cs="Palatino Linotype"/>
              </w:rPr>
              <w:t>qué</w:t>
            </w:r>
            <w:r w:rsidRPr="006611A3">
              <w:rPr>
                <w:rFonts w:ascii="Palatino Linotype" w:eastAsia="Palatino Linotype" w:hAnsi="Palatino Linotype" w:cs="Palatino Linotype"/>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A44A8" w:rsidRPr="006611A3" w:rsidTr="0013004D">
        <w:tc>
          <w:tcPr>
            <w:tcW w:w="2263" w:type="dxa"/>
          </w:tcPr>
          <w:p w:rsidR="00CA44A8" w:rsidRPr="006611A3" w:rsidRDefault="00CA44A8" w:rsidP="0013004D">
            <w:pPr>
              <w:tabs>
                <w:tab w:val="left" w:pos="284"/>
              </w:tabs>
              <w:spacing w:line="360" w:lineRule="auto"/>
              <w:jc w:val="both"/>
              <w:rPr>
                <w:rFonts w:ascii="Palatino Linotype" w:eastAsia="Palatino Linotype" w:hAnsi="Palatino Linotype" w:cs="Palatino Linotype"/>
                <w:b/>
                <w:bCs/>
              </w:rPr>
            </w:pPr>
            <w:r w:rsidRPr="006611A3">
              <w:rPr>
                <w:rFonts w:ascii="Palatino Linotype" w:eastAsia="Palatino Linotype" w:hAnsi="Palatino Linotype" w:cs="Palatino Linotype"/>
                <w:b/>
                <w:bCs/>
              </w:rPr>
              <w:lastRenderedPageBreak/>
              <w:t xml:space="preserve">e) Condiciones especiales de la clasificación de la información como confidencial. </w:t>
            </w:r>
          </w:p>
        </w:tc>
        <w:tc>
          <w:tcPr>
            <w:tcW w:w="7513" w:type="dxa"/>
          </w:tcPr>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Los artículos 148 de la Ley Estatal establece que aun tratándose de datos personales, se podrán proporcionar, incluso sin solicitar el consentimiento de su titular. </w:t>
            </w:r>
          </w:p>
          <w:p w:rsidR="00CA44A8" w:rsidRPr="006611A3" w:rsidRDefault="00CA44A8" w:rsidP="0013004D">
            <w:pPr>
              <w:tabs>
                <w:tab w:val="left" w:pos="284"/>
              </w:tabs>
              <w:spacing w:line="276" w:lineRule="auto"/>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CA44A8" w:rsidRPr="006611A3" w:rsidRDefault="00CA44A8" w:rsidP="0013004D">
            <w:pPr>
              <w:tabs>
                <w:tab w:val="left" w:pos="284"/>
              </w:tabs>
              <w:spacing w:line="276" w:lineRule="auto"/>
              <w:rPr>
                <w:rFonts w:ascii="Palatino Linotype" w:eastAsia="Palatino Linotype" w:hAnsi="Palatino Linotype" w:cs="Palatino Linotype"/>
              </w:rPr>
            </w:pPr>
            <w:r w:rsidRPr="006611A3">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6182F" w:rsidRPr="006611A3" w:rsidRDefault="0026182F" w:rsidP="0026182F">
      <w:pPr>
        <w:tabs>
          <w:tab w:val="left" w:pos="284"/>
        </w:tabs>
        <w:spacing w:line="360" w:lineRule="auto"/>
        <w:rPr>
          <w:rFonts w:ascii="Palatino Linotype" w:eastAsia="Palatino Linotype" w:hAnsi="Palatino Linotype" w:cs="Palatino Linotype"/>
          <w:color w:val="000000"/>
        </w:rPr>
      </w:pPr>
    </w:p>
    <w:p w:rsidR="0026182F" w:rsidRPr="006611A3" w:rsidRDefault="0026182F" w:rsidP="0026182F">
      <w:pPr>
        <w:rPr>
          <w:rFonts w:ascii="Palatino Linotype" w:eastAsia="Palatino Linotype" w:hAnsi="Palatino Linotype" w:cs="Palatino Linotype"/>
        </w:rPr>
      </w:pPr>
    </w:p>
    <w:p w:rsidR="009933F8" w:rsidRPr="006611A3" w:rsidRDefault="009933F8" w:rsidP="009933F8">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En </w:t>
      </w:r>
      <w:r w:rsidRPr="006611A3">
        <w:rPr>
          <w:rFonts w:ascii="Palatino Linotype" w:eastAsia="Palatino Linotype" w:hAnsi="Palatino Linotype" w:cs="Palatino Linotype"/>
          <w:color w:val="000000"/>
        </w:rPr>
        <w:t>ese</w:t>
      </w:r>
      <w:r w:rsidRPr="006611A3">
        <w:rPr>
          <w:rFonts w:ascii="Palatino Linotype" w:eastAsia="Palatino Linotype" w:hAnsi="Palatino Linotype" w:cs="Palatino Linotype"/>
        </w:rPr>
        <w:t xml:space="preserve"> </w:t>
      </w:r>
      <w:r w:rsidRPr="006611A3">
        <w:rPr>
          <w:rFonts w:ascii="Palatino Linotype" w:eastAsia="Palatino Linotype" w:hAnsi="Palatino Linotype" w:cs="Palatino Linotype"/>
          <w:color w:val="000000" w:themeColor="text1"/>
        </w:rPr>
        <w:t>sentido</w:t>
      </w:r>
      <w:r w:rsidRPr="006611A3">
        <w:rPr>
          <w:rFonts w:ascii="Palatino Linotype" w:eastAsia="Palatino Linotype" w:hAnsi="Palatino Linotype" w:cs="Palatino Linotype"/>
        </w:rPr>
        <w:t xml:space="preserve">, el </w:t>
      </w:r>
      <w:r w:rsidRPr="006611A3">
        <w:rPr>
          <w:rFonts w:ascii="Palatino Linotype" w:eastAsia="Palatino Linotype" w:hAnsi="Palatino Linotype" w:cs="Palatino Linotype"/>
          <w:b/>
        </w:rPr>
        <w:t>SUJETO OBLIGADO</w:t>
      </w:r>
      <w:r w:rsidRPr="006611A3">
        <w:rPr>
          <w:rFonts w:ascii="Palatino Linotype" w:eastAsia="Palatino Linotype" w:hAnsi="Palatino Linotype" w:cs="Palatino Linotype"/>
        </w:rPr>
        <w:t xml:space="preserve"> deberá de emitir el Acuerdo del Comité de Transparencia, </w:t>
      </w:r>
      <w:r w:rsidRPr="006611A3">
        <w:rPr>
          <w:rFonts w:ascii="Palatino Linotype" w:hAnsi="Palatino Linotype"/>
          <w:color w:val="000000"/>
        </w:rPr>
        <w:t>mediante</w:t>
      </w:r>
      <w:r w:rsidRPr="006611A3">
        <w:rPr>
          <w:rFonts w:ascii="Palatino Linotype" w:eastAsia="Palatino Linotype" w:hAnsi="Palatino Linotype" w:cs="Palatino Linotype"/>
        </w:rPr>
        <w:t xml:space="preserve"> el cual de manera fundada y motivada establezca las razones que llevaron al Sujeto </w:t>
      </w:r>
      <w:r w:rsidRPr="006611A3">
        <w:rPr>
          <w:rFonts w:ascii="Palatino Linotype" w:eastAsia="Palatino Linotype" w:hAnsi="Palatino Linotype" w:cs="Palatino Linotype"/>
          <w:color w:val="000000"/>
        </w:rPr>
        <w:t>Obligado</w:t>
      </w:r>
      <w:r w:rsidRPr="006611A3">
        <w:rPr>
          <w:rFonts w:ascii="Palatino Linotype" w:eastAsia="Palatino Linotype" w:hAnsi="Palatino Linotype" w:cs="Palatino Linotype"/>
        </w:rPr>
        <w:t xml:space="preserve"> a testar, suprimir o eliminar datos de dicho soporte documental, ya que no hacerlo, se </w:t>
      </w:r>
      <w:r w:rsidRPr="006611A3">
        <w:rPr>
          <w:rFonts w:ascii="Palatino Linotype" w:eastAsia="Palatino Linotype" w:hAnsi="Palatino Linotype" w:cs="Palatino Linotype"/>
          <w:color w:val="000000"/>
        </w:rPr>
        <w:t>reitera</w:t>
      </w:r>
      <w:r w:rsidRPr="006611A3">
        <w:rPr>
          <w:rFonts w:ascii="Palatino Linotype" w:eastAsia="Palatino Linotype" w:hAnsi="Palatino Linotype" w:cs="Palatino Linotype"/>
        </w:rPr>
        <w:t xml:space="preserve"> que lo entregado no tendría un sustento jurídico ni resultaría ser una versión pública, sino más bien una documentación ilegible, incompleta o tachada; ya que el no justificar las causas o </w:t>
      </w:r>
      <w:r w:rsidRPr="006611A3">
        <w:rPr>
          <w:rFonts w:ascii="Palatino Linotype" w:eastAsia="Palatino Linotype" w:hAnsi="Palatino Linotype" w:cs="Palatino Linotype"/>
          <w:color w:val="000000"/>
        </w:rPr>
        <w:t>motivos</w:t>
      </w:r>
      <w:r w:rsidRPr="006611A3">
        <w:rPr>
          <w:rFonts w:ascii="Palatino Linotype" w:eastAsia="Palatino Linotype" w:hAnsi="Palatino Linotype" w:cs="Palatino Linotype"/>
        </w:rPr>
        <w:t xml:space="preserve"> por las que no se aprecian determinados datos -ya sea porque se testan o suprimen- deja al solicitante en estado de incertidumbre, al no conocer o comprender porque no aparecen en la documentación respectiva.</w:t>
      </w:r>
    </w:p>
    <w:p w:rsidR="009933F8" w:rsidRPr="006611A3" w:rsidRDefault="009933F8" w:rsidP="009933F8">
      <w:pPr>
        <w:tabs>
          <w:tab w:val="left" w:pos="284"/>
        </w:tabs>
        <w:spacing w:line="360" w:lineRule="auto"/>
        <w:ind w:right="276"/>
        <w:jc w:val="both"/>
        <w:rPr>
          <w:rFonts w:ascii="Palatino Linotype" w:eastAsia="Palatino Linotype" w:hAnsi="Palatino Linotype" w:cs="Palatino Linotype"/>
          <w:color w:val="000000"/>
        </w:rPr>
      </w:pPr>
    </w:p>
    <w:p w:rsidR="009933F8" w:rsidRPr="006611A3" w:rsidRDefault="009933F8" w:rsidP="009933F8">
      <w:pPr>
        <w:numPr>
          <w:ilvl w:val="0"/>
          <w:numId w:val="1"/>
        </w:numPr>
        <w:spacing w:line="360" w:lineRule="auto"/>
        <w:ind w:left="0" w:right="-879" w:firstLine="0"/>
        <w:jc w:val="both"/>
        <w:rPr>
          <w:rFonts w:ascii="Palatino Linotype" w:eastAsia="Palatino Linotype" w:hAnsi="Palatino Linotype" w:cs="Palatino Linotype"/>
          <w:color w:val="000000"/>
        </w:rPr>
      </w:pPr>
      <w:r w:rsidRPr="006611A3">
        <w:rPr>
          <w:rFonts w:ascii="Palatino Linotype" w:eastAsia="Palatino Linotype" w:hAnsi="Palatino Linotype" w:cs="Palatino Linotype"/>
        </w:rPr>
        <w:t xml:space="preserve">Derivado de lo establecido en párrafos anteriores, si el </w:t>
      </w:r>
      <w:r w:rsidRPr="006611A3">
        <w:rPr>
          <w:rFonts w:ascii="Palatino Linotype" w:eastAsia="Palatino Linotype" w:hAnsi="Palatino Linotype" w:cs="Palatino Linotype"/>
          <w:b/>
        </w:rPr>
        <w:t>SUJETO OBLIGADO</w:t>
      </w:r>
      <w:r w:rsidRPr="006611A3">
        <w:rPr>
          <w:rFonts w:ascii="Palatino Linotype" w:eastAsia="Palatino Linotype" w:hAnsi="Palatino Linotype" w:cs="Palatino Linotype"/>
        </w:rPr>
        <w:t xml:space="preserve"> incumple con estas formalidades y entrega la información sin proteger los datos personales o testando </w:t>
      </w:r>
      <w:r w:rsidRPr="006611A3">
        <w:rPr>
          <w:rFonts w:ascii="Palatino Linotype" w:eastAsia="Palatino Linotype" w:hAnsi="Palatino Linotype" w:cs="Palatino Linotype"/>
          <w:color w:val="000000"/>
        </w:rPr>
        <w:t>datos</w:t>
      </w:r>
      <w:r w:rsidRPr="006611A3">
        <w:rPr>
          <w:rFonts w:ascii="Palatino Linotype" w:eastAsia="Palatino Linotype" w:hAnsi="Palatino Linotype" w:cs="Palatino Linotype"/>
        </w:rPr>
        <w:t xml:space="preserve"> considerados como públicos incumple con lo que estipulan las disposiciones legales </w:t>
      </w:r>
      <w:r w:rsidRPr="006611A3">
        <w:rPr>
          <w:rFonts w:ascii="Palatino Linotype" w:eastAsia="Palatino Linotype" w:hAnsi="Palatino Linotype" w:cs="Palatino Linotype"/>
        </w:rPr>
        <w:lastRenderedPageBreak/>
        <w:t xml:space="preserve">establecidas, </w:t>
      </w:r>
      <w:r w:rsidRPr="006611A3">
        <w:rPr>
          <w:rFonts w:ascii="Palatino Linotype" w:eastAsia="Palatino Linotype" w:hAnsi="Palatino Linotype" w:cs="Palatino Linotype"/>
          <w:color w:val="000000"/>
        </w:rPr>
        <w:t>asimismo</w:t>
      </w:r>
      <w:r w:rsidRPr="006611A3">
        <w:rPr>
          <w:rFonts w:ascii="Palatino Linotype" w:eastAsia="Palatino Linotype" w:hAnsi="Palatino Linotype" w:cs="Palatino Linotype"/>
        </w:rPr>
        <w:t xml:space="preserve"> que si entrega un documento testado sin el debido acuerdo de clasificación.</w:t>
      </w:r>
    </w:p>
    <w:p w:rsidR="009933F8" w:rsidRPr="006611A3" w:rsidRDefault="009933F8" w:rsidP="009933F8">
      <w:pPr>
        <w:spacing w:line="360" w:lineRule="auto"/>
        <w:jc w:val="both"/>
        <w:rPr>
          <w:color w:val="000000"/>
        </w:rPr>
      </w:pPr>
    </w:p>
    <w:p w:rsidR="009933F8" w:rsidRPr="006611A3" w:rsidRDefault="009933F8" w:rsidP="009933F8">
      <w:pPr>
        <w:numPr>
          <w:ilvl w:val="0"/>
          <w:numId w:val="1"/>
        </w:numPr>
        <w:spacing w:line="360" w:lineRule="auto"/>
        <w:ind w:left="0" w:right="-879" w:firstLine="0"/>
        <w:jc w:val="both"/>
        <w:rPr>
          <w:rFonts w:ascii="Palatino Linotype" w:eastAsia="Palatino Linotype" w:hAnsi="Palatino Linotype" w:cs="Palatino Linotype"/>
        </w:rPr>
      </w:pPr>
      <w:r w:rsidRPr="006611A3">
        <w:rPr>
          <w:rFonts w:ascii="Palatino Linotype" w:eastAsia="Palatino Linotype" w:hAnsi="Palatino Linotype" w:cs="Palatino Linotype"/>
        </w:rPr>
        <w:t xml:space="preserve">Por lo expuesto, y con fundamento en lo prescrito en los artículos </w:t>
      </w:r>
      <w:r w:rsidRPr="006611A3">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6611A3">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26182F" w:rsidRPr="006611A3" w:rsidRDefault="0026182F" w:rsidP="0026182F">
      <w:pPr>
        <w:ind w:right="278"/>
        <w:rPr>
          <w:rFonts w:ascii="Palatino Linotype" w:eastAsia="Palatino Linotype" w:hAnsi="Palatino Linotype" w:cs="Palatino Linotype"/>
        </w:rPr>
      </w:pPr>
    </w:p>
    <w:p w:rsidR="0026182F" w:rsidRPr="006611A3" w:rsidRDefault="0026182F" w:rsidP="0026182F">
      <w:pPr>
        <w:spacing w:line="360" w:lineRule="auto"/>
        <w:ind w:right="276"/>
        <w:jc w:val="center"/>
        <w:rPr>
          <w:rFonts w:ascii="Palatino Linotype" w:eastAsia="Palatino Linotype" w:hAnsi="Palatino Linotype" w:cs="Palatino Linotype"/>
          <w:b/>
        </w:rPr>
      </w:pPr>
      <w:r w:rsidRPr="006611A3">
        <w:rPr>
          <w:rFonts w:ascii="Palatino Linotype" w:eastAsia="Palatino Linotype" w:hAnsi="Palatino Linotype" w:cs="Palatino Linotype"/>
          <w:b/>
        </w:rPr>
        <w:t>R E S U E L V E</w:t>
      </w:r>
    </w:p>
    <w:p w:rsidR="0026182F" w:rsidRPr="006611A3" w:rsidRDefault="0026182F" w:rsidP="0026182F">
      <w:pPr>
        <w:spacing w:line="360" w:lineRule="auto"/>
        <w:ind w:right="-787"/>
        <w:jc w:val="center"/>
        <w:rPr>
          <w:rFonts w:ascii="Palatino Linotype" w:eastAsia="Palatino Linotype" w:hAnsi="Palatino Linotype" w:cs="Palatino Linotype"/>
          <w:b/>
        </w:rPr>
      </w:pPr>
    </w:p>
    <w:p w:rsidR="0026182F" w:rsidRPr="006611A3" w:rsidRDefault="0026182F" w:rsidP="0026182F">
      <w:pPr>
        <w:spacing w:line="360" w:lineRule="auto"/>
        <w:ind w:right="-716"/>
        <w:jc w:val="both"/>
        <w:rPr>
          <w:rFonts w:ascii="Palatino Linotype" w:eastAsia="Palatino Linotype" w:hAnsi="Palatino Linotype" w:cs="Palatino Linotype"/>
        </w:rPr>
      </w:pPr>
      <w:r w:rsidRPr="006611A3">
        <w:rPr>
          <w:rFonts w:ascii="Palatino Linotype" w:eastAsia="Palatino Linotype" w:hAnsi="Palatino Linotype" w:cs="Palatino Linotype"/>
          <w:b/>
        </w:rPr>
        <w:t xml:space="preserve">PRIMERO. </w:t>
      </w:r>
      <w:r w:rsidRPr="006611A3">
        <w:rPr>
          <w:rFonts w:ascii="Palatino Linotype" w:eastAsia="Palatino Linotype" w:hAnsi="Palatino Linotype" w:cs="Palatino Linotype"/>
        </w:rPr>
        <w:t xml:space="preserve">Resultan </w:t>
      </w:r>
      <w:r w:rsidRPr="006611A3">
        <w:rPr>
          <w:rFonts w:ascii="Palatino Linotype" w:eastAsia="Palatino Linotype" w:hAnsi="Palatino Linotype" w:cs="Palatino Linotype"/>
          <w:b/>
        </w:rPr>
        <w:t>FUNDADAS</w:t>
      </w:r>
      <w:r w:rsidRPr="006611A3">
        <w:rPr>
          <w:rFonts w:ascii="Palatino Linotype" w:eastAsia="Palatino Linotype" w:hAnsi="Palatino Linotype" w:cs="Palatino Linotype"/>
        </w:rPr>
        <w:t xml:space="preserve"> las</w:t>
      </w:r>
      <w:r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rPr>
        <w:t>razones o motivos de inconformidad hechos valer en el Recurso de Revisión</w:t>
      </w:r>
      <w:r w:rsidRPr="006611A3">
        <w:rPr>
          <w:rFonts w:ascii="Palatino Linotype" w:eastAsia="Palatino Linotype" w:hAnsi="Palatino Linotype" w:cs="Palatino Linotype"/>
          <w:b/>
        </w:rPr>
        <w:t> </w:t>
      </w:r>
      <w:r w:rsidR="002850D7" w:rsidRPr="006611A3">
        <w:rPr>
          <w:rFonts w:ascii="Palatino Linotype" w:eastAsia="Palatino Linotype" w:hAnsi="Palatino Linotype" w:cs="Palatino Linotype"/>
          <w:b/>
          <w:color w:val="000000"/>
        </w:rPr>
        <w:t xml:space="preserve">00888/INFOEM/ICR-123/IP/RR/2026 </w:t>
      </w:r>
      <w:r w:rsidRPr="006611A3">
        <w:rPr>
          <w:rFonts w:ascii="Palatino Linotype" w:eastAsia="Palatino Linotype" w:hAnsi="Palatino Linotype" w:cs="Palatino Linotype"/>
        </w:rPr>
        <w:t xml:space="preserve">en términos del </w:t>
      </w:r>
      <w:r w:rsidRPr="006611A3">
        <w:rPr>
          <w:rFonts w:ascii="Palatino Linotype" w:eastAsia="Palatino Linotype" w:hAnsi="Palatino Linotype" w:cs="Palatino Linotype"/>
          <w:b/>
        </w:rPr>
        <w:t xml:space="preserve">Considerando CUARTO </w:t>
      </w:r>
      <w:r w:rsidRPr="006611A3">
        <w:rPr>
          <w:rFonts w:ascii="Palatino Linotype" w:eastAsia="Palatino Linotype" w:hAnsi="Palatino Linotype" w:cs="Palatino Linotype"/>
        </w:rPr>
        <w:t>de la presente resolución.</w:t>
      </w:r>
    </w:p>
    <w:p w:rsidR="0026182F" w:rsidRPr="006611A3" w:rsidRDefault="0026182F" w:rsidP="0026182F">
      <w:pPr>
        <w:spacing w:line="360" w:lineRule="auto"/>
        <w:ind w:right="-716"/>
        <w:jc w:val="both"/>
        <w:rPr>
          <w:rFonts w:ascii="Palatino Linotype" w:eastAsia="Palatino Linotype" w:hAnsi="Palatino Linotype" w:cs="Palatino Linotype"/>
          <w:b/>
        </w:rPr>
      </w:pPr>
    </w:p>
    <w:p w:rsidR="0026182F" w:rsidRPr="006611A3" w:rsidRDefault="0026182F" w:rsidP="0026182F">
      <w:pPr>
        <w:spacing w:line="360" w:lineRule="auto"/>
        <w:ind w:right="-716"/>
        <w:jc w:val="both"/>
        <w:rPr>
          <w:rFonts w:ascii="Palatino Linotype" w:eastAsia="Palatino Linotype" w:hAnsi="Palatino Linotype" w:cs="Palatino Linotype"/>
        </w:rPr>
      </w:pPr>
      <w:bookmarkStart w:id="7" w:name="_heading=h.17dp8vu" w:colFirst="0" w:colLast="0"/>
      <w:bookmarkEnd w:id="7"/>
      <w:r w:rsidRPr="006611A3">
        <w:rPr>
          <w:rFonts w:ascii="Palatino Linotype" w:eastAsia="Palatino Linotype" w:hAnsi="Palatino Linotype" w:cs="Palatino Linotype"/>
          <w:b/>
        </w:rPr>
        <w:t>SEGUNDO.</w:t>
      </w:r>
      <w:r w:rsidRPr="006611A3">
        <w:rPr>
          <w:rFonts w:ascii="Palatino Linotype" w:eastAsia="Palatino Linotype" w:hAnsi="Palatino Linotype" w:cs="Palatino Linotype"/>
          <w:color w:val="2F5496"/>
        </w:rPr>
        <w:t xml:space="preserve"> </w:t>
      </w:r>
      <w:r w:rsidRPr="006611A3">
        <w:rPr>
          <w:rFonts w:ascii="Palatino Linotype" w:eastAsia="Palatino Linotype" w:hAnsi="Palatino Linotype" w:cs="Palatino Linotype"/>
          <w:color w:val="000000"/>
        </w:rPr>
        <w:t xml:space="preserve">Se </w:t>
      </w:r>
      <w:r w:rsidRPr="006611A3">
        <w:rPr>
          <w:rFonts w:ascii="Palatino Linotype" w:eastAsia="Palatino Linotype" w:hAnsi="Palatino Linotype" w:cs="Palatino Linotype"/>
          <w:b/>
          <w:color w:val="000000"/>
        </w:rPr>
        <w:t xml:space="preserve">REVOCA </w:t>
      </w:r>
      <w:r w:rsidRPr="006611A3">
        <w:rPr>
          <w:rFonts w:ascii="Palatino Linotype" w:eastAsia="Palatino Linotype" w:hAnsi="Palatino Linotype" w:cs="Palatino Linotype"/>
          <w:color w:val="000000"/>
        </w:rPr>
        <w:t xml:space="preserve">la respuesta emitida por el </w:t>
      </w:r>
      <w:r w:rsidR="002850D7" w:rsidRPr="006611A3">
        <w:rPr>
          <w:rFonts w:ascii="Palatino Linotype" w:eastAsia="Palatino Linotype" w:hAnsi="Palatino Linotype" w:cs="Palatino Linotype"/>
          <w:b/>
          <w:bCs/>
        </w:rPr>
        <w:t>Sistema Municipal Para el Desarrollo Integral de la Familia de Ixtapaluca,</w:t>
      </w:r>
      <w:r w:rsidR="002850D7" w:rsidRPr="006611A3">
        <w:rPr>
          <w:rFonts w:ascii="Palatino Linotype" w:eastAsia="Palatino Linotype" w:hAnsi="Palatino Linotype" w:cs="Palatino Linotype"/>
          <w:b/>
        </w:rPr>
        <w:t xml:space="preserve"> </w:t>
      </w:r>
      <w:r w:rsidRPr="006611A3">
        <w:rPr>
          <w:rFonts w:ascii="Palatino Linotype" w:eastAsia="Palatino Linotype" w:hAnsi="Palatino Linotype" w:cs="Palatino Linotype"/>
          <w:color w:val="000000"/>
        </w:rPr>
        <w:t xml:space="preserve">y se </w:t>
      </w:r>
      <w:r w:rsidRPr="006611A3">
        <w:rPr>
          <w:rFonts w:ascii="Palatino Linotype" w:eastAsia="Palatino Linotype" w:hAnsi="Palatino Linotype" w:cs="Palatino Linotype"/>
          <w:b/>
          <w:color w:val="000000"/>
        </w:rPr>
        <w:t>ORDENA</w:t>
      </w:r>
      <w:r w:rsidRPr="006611A3">
        <w:rPr>
          <w:rFonts w:ascii="Palatino Linotype" w:eastAsia="Palatino Linotype" w:hAnsi="Palatino Linotype" w:cs="Palatino Linotype"/>
          <w:color w:val="000000"/>
        </w:rPr>
        <w:t xml:space="preserve"> entregar, vía Sistema de Acceso a la Información Mexiquense </w:t>
      </w:r>
      <w:r w:rsidR="007D08D1" w:rsidRPr="006611A3">
        <w:rPr>
          <w:rFonts w:ascii="Palatino Linotype" w:eastAsia="Palatino Linotype" w:hAnsi="Palatino Linotype" w:cs="Palatino Linotype"/>
          <w:b/>
          <w:color w:val="000000"/>
        </w:rPr>
        <w:t>(SAIMEX)</w:t>
      </w:r>
      <w:r w:rsidRPr="006611A3">
        <w:rPr>
          <w:rFonts w:ascii="Palatino Linotype" w:eastAsia="Palatino Linotype" w:hAnsi="Palatino Linotype" w:cs="Palatino Linotype"/>
        </w:rPr>
        <w:t xml:space="preserve">, </w:t>
      </w:r>
      <w:r w:rsidR="007D08D1" w:rsidRPr="006611A3">
        <w:rPr>
          <w:rFonts w:ascii="Palatino Linotype" w:eastAsia="Palatino Linotype" w:hAnsi="Palatino Linotype" w:cs="Palatino Linotype"/>
        </w:rPr>
        <w:t>de</w:t>
      </w:r>
      <w:r w:rsidRPr="006611A3">
        <w:rPr>
          <w:rFonts w:ascii="Palatino Linotype" w:eastAsia="Palatino Linotype" w:hAnsi="Palatino Linotype" w:cs="Palatino Linotype"/>
        </w:rPr>
        <w:t xml:space="preserve"> ser procedente en versión pública, la siguiente información:</w:t>
      </w:r>
    </w:p>
    <w:p w:rsidR="007D08D1" w:rsidRPr="006611A3" w:rsidRDefault="007D08D1" w:rsidP="0026182F">
      <w:pPr>
        <w:spacing w:line="360" w:lineRule="auto"/>
        <w:ind w:right="-716"/>
        <w:jc w:val="both"/>
        <w:rPr>
          <w:rFonts w:ascii="Palatino Linotype" w:eastAsia="Palatino Linotype" w:hAnsi="Palatino Linotype" w:cs="Palatino Linotype"/>
        </w:rPr>
      </w:pPr>
    </w:p>
    <w:p w:rsidR="0026182F" w:rsidRPr="006611A3" w:rsidRDefault="007D08D1" w:rsidP="007D08D1">
      <w:pPr>
        <w:pStyle w:val="Prrafodelista"/>
        <w:numPr>
          <w:ilvl w:val="0"/>
          <w:numId w:val="32"/>
        </w:numPr>
        <w:spacing w:line="360" w:lineRule="auto"/>
        <w:ind w:left="851" w:right="113"/>
        <w:jc w:val="both"/>
        <w:rPr>
          <w:rFonts w:ascii="Palatino Linotype" w:eastAsia="Palatino Linotype" w:hAnsi="Palatino Linotype" w:cs="Palatino Linotype"/>
          <w:b/>
          <w:sz w:val="24"/>
        </w:rPr>
      </w:pPr>
      <w:r w:rsidRPr="006611A3">
        <w:rPr>
          <w:rFonts w:ascii="Palatino Linotype" w:eastAsia="Palatino Linotype" w:hAnsi="Palatino Linotype" w:cs="Palatino Linotype"/>
          <w:b/>
          <w:color w:val="000000"/>
          <w:sz w:val="24"/>
        </w:rPr>
        <w:t xml:space="preserve">Convenio, acuerdo, acta o instrumento jurídico de coordinación celebrado entre el </w:t>
      </w:r>
      <w:r w:rsidRPr="006611A3">
        <w:rPr>
          <w:rFonts w:ascii="Palatino Linotype" w:eastAsia="Palatino Linotype" w:hAnsi="Palatino Linotype" w:cs="Palatino Linotype"/>
          <w:b/>
          <w:bCs/>
          <w:color w:val="000000"/>
          <w:sz w:val="24"/>
        </w:rPr>
        <w:t xml:space="preserve">Sistema Municipal </w:t>
      </w:r>
      <w:r w:rsidR="00F50BA0" w:rsidRPr="006611A3">
        <w:rPr>
          <w:rFonts w:ascii="Palatino Linotype" w:eastAsia="Palatino Linotype" w:hAnsi="Palatino Linotype" w:cs="Palatino Linotype"/>
          <w:b/>
          <w:bCs/>
          <w:color w:val="000000"/>
          <w:sz w:val="24"/>
        </w:rPr>
        <w:t>p</w:t>
      </w:r>
      <w:r w:rsidRPr="006611A3">
        <w:rPr>
          <w:rFonts w:ascii="Palatino Linotype" w:eastAsia="Palatino Linotype" w:hAnsi="Palatino Linotype" w:cs="Palatino Linotype"/>
          <w:b/>
          <w:bCs/>
          <w:color w:val="000000"/>
          <w:sz w:val="24"/>
        </w:rPr>
        <w:t>ara el Desarrollo Integral de la Familia de Ixtapaluca</w:t>
      </w:r>
      <w:r w:rsidRPr="006611A3">
        <w:rPr>
          <w:rFonts w:ascii="Palatino Linotype" w:eastAsia="Palatino Linotype" w:hAnsi="Palatino Linotype" w:cs="Palatino Linotype"/>
          <w:b/>
          <w:color w:val="000000"/>
          <w:sz w:val="24"/>
        </w:rPr>
        <w:t xml:space="preserve"> y la Beneficencia Pública del Estado de México o Federal, relacionado con la entrega de “300 lentes para personas en situación de vulnerabilidad”, así como anexos, minutas, oficios de solicitud y</w:t>
      </w:r>
      <w:r w:rsidR="00F50BA0" w:rsidRPr="006611A3">
        <w:rPr>
          <w:rFonts w:ascii="Palatino Linotype" w:eastAsia="Palatino Linotype" w:hAnsi="Palatino Linotype" w:cs="Palatino Linotype"/>
          <w:b/>
          <w:color w:val="000000"/>
          <w:sz w:val="24"/>
        </w:rPr>
        <w:t>/o</w:t>
      </w:r>
      <w:r w:rsidRPr="006611A3">
        <w:rPr>
          <w:rFonts w:ascii="Palatino Linotype" w:eastAsia="Palatino Linotype" w:hAnsi="Palatino Linotype" w:cs="Palatino Linotype"/>
          <w:b/>
          <w:color w:val="000000"/>
          <w:sz w:val="24"/>
        </w:rPr>
        <w:t xml:space="preserve"> </w:t>
      </w:r>
      <w:r w:rsidRPr="006611A3">
        <w:rPr>
          <w:rFonts w:ascii="Palatino Linotype" w:eastAsia="Palatino Linotype" w:hAnsi="Palatino Linotype" w:cs="Palatino Linotype"/>
          <w:b/>
          <w:color w:val="000000"/>
          <w:sz w:val="24"/>
        </w:rPr>
        <w:lastRenderedPageBreak/>
        <w:t>cualquier documento soporte que acredite dicha coordinación institucional.</w:t>
      </w:r>
    </w:p>
    <w:p w:rsidR="007D08D1" w:rsidRPr="006611A3" w:rsidRDefault="007D08D1" w:rsidP="007D08D1">
      <w:pPr>
        <w:pStyle w:val="Prrafodelista"/>
        <w:spacing w:line="360" w:lineRule="auto"/>
        <w:ind w:left="851" w:right="-714"/>
        <w:jc w:val="both"/>
        <w:rPr>
          <w:rFonts w:ascii="Palatino Linotype" w:eastAsia="Palatino Linotype" w:hAnsi="Palatino Linotype" w:cs="Palatino Linotype"/>
          <w:b/>
          <w:sz w:val="24"/>
        </w:rPr>
      </w:pPr>
    </w:p>
    <w:p w:rsidR="0026182F" w:rsidRPr="006611A3" w:rsidRDefault="0026182F" w:rsidP="0026182F">
      <w:pPr>
        <w:pStyle w:val="Prrafodelista"/>
        <w:tabs>
          <w:tab w:val="left" w:pos="8080"/>
        </w:tabs>
        <w:spacing w:line="360" w:lineRule="auto"/>
        <w:ind w:left="993" w:right="49"/>
        <w:jc w:val="both"/>
        <w:rPr>
          <w:rFonts w:ascii="Palatino Linotype" w:hAnsi="Palatino Linotype" w:cs="Arial"/>
          <w:b/>
          <w:sz w:val="24"/>
        </w:rPr>
      </w:pPr>
      <w:r w:rsidRPr="006611A3">
        <w:rPr>
          <w:rFonts w:ascii="Palatino Linotype" w:hAnsi="Palatino Linotype" w:cs="Arial"/>
          <w:sz w:val="24"/>
        </w:rPr>
        <w:t xml:space="preserve">Para efectos de lo anterior; en su caso,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6611A3">
        <w:rPr>
          <w:rFonts w:ascii="Palatino Linotype" w:hAnsi="Palatino Linotype" w:cs="Arial"/>
          <w:b/>
          <w:sz w:val="24"/>
        </w:rPr>
        <w:t>RECURRENTE.</w:t>
      </w:r>
    </w:p>
    <w:p w:rsidR="0026182F" w:rsidRPr="006611A3" w:rsidRDefault="0026182F" w:rsidP="0026182F">
      <w:pPr>
        <w:spacing w:line="360" w:lineRule="auto"/>
        <w:ind w:right="-714"/>
        <w:jc w:val="both"/>
        <w:rPr>
          <w:rFonts w:ascii="Palatino Linotype" w:eastAsia="Palatino Linotype" w:hAnsi="Palatino Linotype" w:cs="Palatino Linotype"/>
          <w:b/>
        </w:rPr>
      </w:pPr>
    </w:p>
    <w:p w:rsidR="0026182F" w:rsidRPr="006611A3" w:rsidRDefault="0026182F" w:rsidP="0026182F">
      <w:pPr>
        <w:tabs>
          <w:tab w:val="left" w:pos="8080"/>
        </w:tabs>
        <w:spacing w:line="360" w:lineRule="auto"/>
        <w:ind w:right="-716"/>
        <w:jc w:val="both"/>
        <w:rPr>
          <w:rFonts w:ascii="Palatino Linotype" w:eastAsia="Palatino Linotype" w:hAnsi="Palatino Linotype" w:cs="Palatino Linotype"/>
          <w:color w:val="222222"/>
        </w:rPr>
      </w:pPr>
      <w:r w:rsidRPr="006611A3">
        <w:rPr>
          <w:rFonts w:ascii="Palatino Linotype" w:eastAsia="Palatino Linotype" w:hAnsi="Palatino Linotype" w:cs="Palatino Linotype"/>
          <w:b/>
        </w:rPr>
        <w:t xml:space="preserve">TERCERO. Notifíquese </w:t>
      </w:r>
      <w:r w:rsidRPr="006611A3">
        <w:rPr>
          <w:rFonts w:ascii="Palatino Linotype" w:eastAsia="Palatino Linotype" w:hAnsi="Palatino Linotype" w:cs="Palatino Linotype"/>
        </w:rPr>
        <w:t xml:space="preserve">vía </w:t>
      </w:r>
      <w:r w:rsidRPr="006611A3">
        <w:rPr>
          <w:rFonts w:ascii="Palatino Linotype" w:eastAsia="Palatino Linotype" w:hAnsi="Palatino Linotype" w:cs="Palatino Linotype"/>
          <w:b/>
        </w:rPr>
        <w:t xml:space="preserve">SAIMEX </w:t>
      </w:r>
      <w:r w:rsidRPr="006611A3">
        <w:rPr>
          <w:rFonts w:ascii="Palatino Linotype" w:eastAsia="Palatino Linotype" w:hAnsi="Palatino Linotype" w:cs="Palatino Linotype"/>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w:t>
      </w:r>
      <w:r w:rsidRPr="006611A3">
        <w:rPr>
          <w:rFonts w:ascii="Palatino Linotype" w:eastAsia="Palatino Linotype" w:hAnsi="Palatino Linotype" w:cs="Palatino Linotype"/>
          <w:b/>
        </w:rPr>
        <w:t>plazo de diez días hábiles</w:t>
      </w:r>
      <w:r w:rsidRPr="006611A3">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6182F" w:rsidRPr="006611A3" w:rsidRDefault="0026182F" w:rsidP="0026182F">
      <w:pPr>
        <w:spacing w:line="360" w:lineRule="auto"/>
        <w:ind w:right="-858"/>
        <w:jc w:val="both"/>
        <w:rPr>
          <w:rFonts w:ascii="Palatino Linotype" w:eastAsia="Palatino Linotype" w:hAnsi="Palatino Linotype" w:cs="Palatino Linotype"/>
          <w:b/>
        </w:rPr>
      </w:pPr>
    </w:p>
    <w:p w:rsidR="0026182F" w:rsidRPr="006611A3" w:rsidRDefault="003F200A" w:rsidP="0026182F">
      <w:pPr>
        <w:spacing w:line="360" w:lineRule="auto"/>
        <w:ind w:right="-858"/>
        <w:jc w:val="both"/>
        <w:rPr>
          <w:rFonts w:ascii="Palatino Linotype" w:eastAsia="Palatino Linotype" w:hAnsi="Palatino Linotype" w:cs="Palatino Linotype"/>
        </w:rPr>
      </w:pPr>
      <w:r w:rsidRPr="006611A3">
        <w:rPr>
          <w:rFonts w:ascii="Palatino Linotype" w:eastAsia="Palatino Linotype" w:hAnsi="Palatino Linotype" w:cs="Palatino Linotype"/>
          <w:b/>
        </w:rPr>
        <w:t>CUARTO</w:t>
      </w:r>
      <w:r w:rsidR="0026182F" w:rsidRPr="006611A3">
        <w:rPr>
          <w:rFonts w:ascii="Palatino Linotype" w:eastAsia="Palatino Linotype" w:hAnsi="Palatino Linotype" w:cs="Palatino Linotype"/>
          <w:b/>
        </w:rPr>
        <w:t>. NOTIFÍQUESE</w:t>
      </w:r>
      <w:r w:rsidR="0026182F" w:rsidRPr="006611A3">
        <w:rPr>
          <w:rFonts w:ascii="Palatino Linotype" w:eastAsia="Palatino Linotype" w:hAnsi="Palatino Linotype" w:cs="Palatino Linotype"/>
        </w:rPr>
        <w:t xml:space="preserve"> la presente resolución a la parte </w:t>
      </w:r>
      <w:r w:rsidR="0026182F" w:rsidRPr="006611A3">
        <w:rPr>
          <w:rFonts w:ascii="Palatino Linotype" w:eastAsia="Palatino Linotype" w:hAnsi="Palatino Linotype" w:cs="Palatino Linotype"/>
          <w:b/>
        </w:rPr>
        <w:t>Recurrente</w:t>
      </w:r>
      <w:r w:rsidR="0026182F" w:rsidRPr="006611A3">
        <w:rPr>
          <w:rFonts w:ascii="Palatino Linotype" w:eastAsia="Palatino Linotype" w:hAnsi="Palatino Linotype" w:cs="Palatino Linotype"/>
        </w:rPr>
        <w:t xml:space="preserve"> a través del Sistema de Acceso a la Información Mexiquense </w:t>
      </w:r>
      <w:r w:rsidR="0026182F" w:rsidRPr="006611A3">
        <w:rPr>
          <w:rFonts w:ascii="Palatino Linotype" w:eastAsia="Palatino Linotype" w:hAnsi="Palatino Linotype" w:cs="Palatino Linotype"/>
          <w:b/>
        </w:rPr>
        <w:t>(SAIMEX)</w:t>
      </w:r>
      <w:r w:rsidR="0026182F" w:rsidRPr="006611A3">
        <w:rPr>
          <w:rFonts w:ascii="Palatino Linotype" w:eastAsia="Palatino Linotype" w:hAnsi="Palatino Linotype" w:cs="Palatino Linotype"/>
        </w:rPr>
        <w:t xml:space="preserve"> y hágase de su conocimiento que, en caso de considerar que la misma le causa algún perjuicio, podrá promover el Juicio de Amparo en </w:t>
      </w:r>
      <w:r w:rsidR="0026182F" w:rsidRPr="006611A3">
        <w:rPr>
          <w:rFonts w:ascii="Palatino Linotype" w:eastAsia="Palatino Linotype" w:hAnsi="Palatino Linotype" w:cs="Palatino Linotype"/>
        </w:rPr>
        <w:lastRenderedPageBreak/>
        <w:t>los términos de las leyes aplicables, de acuerdo con lo estipulado por el artículo 196 de la Ley de Transparencia y Acceso a la Información Pública del Estado de México y Municipios.</w:t>
      </w:r>
    </w:p>
    <w:p w:rsidR="00BD7A3B" w:rsidRPr="006611A3" w:rsidRDefault="00BD7A3B">
      <w:pPr>
        <w:shd w:val="clear" w:color="auto" w:fill="FFFFFF"/>
        <w:spacing w:line="360" w:lineRule="auto"/>
        <w:jc w:val="both"/>
        <w:rPr>
          <w:rFonts w:ascii="Palatino Linotype" w:eastAsia="Palatino Linotype" w:hAnsi="Palatino Linotype" w:cs="Palatino Linotype"/>
        </w:rPr>
      </w:pPr>
    </w:p>
    <w:p w:rsidR="0097238A" w:rsidRPr="006611A3" w:rsidRDefault="0097238A" w:rsidP="0097238A">
      <w:pPr>
        <w:spacing w:before="240" w:after="240" w:line="360" w:lineRule="auto"/>
        <w:ind w:right="-737" w:firstLine="1"/>
        <w:jc w:val="both"/>
        <w:rPr>
          <w:rFonts w:ascii="Palatino Linotype" w:hAnsi="Palatino Linotype"/>
        </w:rPr>
      </w:pPr>
      <w:bookmarkStart w:id="8" w:name="_Hlk99014733"/>
      <w:r w:rsidRPr="006611A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6611A3">
        <w:rPr>
          <w:rFonts w:ascii="Palatino Linotype" w:hAnsi="Palatino Linotype" w:cs="Palatino Linotype"/>
          <w:color w:val="000000" w:themeColor="text1"/>
        </w:rPr>
        <w:t>ALEXIS TAPIA RAMÍREZ.</w:t>
      </w:r>
    </w:p>
    <w:bookmarkEnd w:id="8"/>
    <w:p w:rsidR="00BD7A3B" w:rsidRPr="006611A3" w:rsidRDefault="00BD7A3B"/>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p w:rsidR="00255468" w:rsidRPr="006611A3" w:rsidRDefault="00255468"/>
    <w:sectPr w:rsidR="00255468" w:rsidRPr="006611A3">
      <w:headerReference w:type="even" r:id="rId10"/>
      <w:headerReference w:type="default" r:id="rId11"/>
      <w:footerReference w:type="default" r:id="rId12"/>
      <w:headerReference w:type="first" r:id="rId13"/>
      <w:footerReference w:type="first" r:id="rId14"/>
      <w:pgSz w:w="12240" w:h="15840"/>
      <w:pgMar w:top="80" w:right="160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2BF0" w:rsidRDefault="00902BF0">
      <w:r>
        <w:separator/>
      </w:r>
    </w:p>
  </w:endnote>
  <w:endnote w:type="continuationSeparator" w:id="0">
    <w:p w:rsidR="00902BF0" w:rsidRDefault="00902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907" w:rsidRPr="006611A3" w:rsidRDefault="00F1090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6611A3">
      <w:rPr>
        <w:rFonts w:ascii="Palatino Linotype" w:hAnsi="Palatino Linotype"/>
        <w:color w:val="000000"/>
        <w:sz w:val="22"/>
      </w:rPr>
      <w:t xml:space="preserve">Página </w:t>
    </w:r>
    <w:r w:rsidRPr="006611A3">
      <w:rPr>
        <w:rFonts w:ascii="Palatino Linotype" w:hAnsi="Palatino Linotype"/>
        <w:b/>
        <w:color w:val="000000"/>
        <w:sz w:val="22"/>
      </w:rPr>
      <w:fldChar w:fldCharType="begin"/>
    </w:r>
    <w:r w:rsidRPr="006611A3">
      <w:rPr>
        <w:rFonts w:ascii="Palatino Linotype" w:hAnsi="Palatino Linotype"/>
        <w:b/>
        <w:color w:val="000000"/>
        <w:sz w:val="22"/>
      </w:rPr>
      <w:instrText>PAGE</w:instrText>
    </w:r>
    <w:r w:rsidRPr="006611A3">
      <w:rPr>
        <w:rFonts w:ascii="Palatino Linotype" w:hAnsi="Palatino Linotype"/>
        <w:b/>
        <w:color w:val="000000"/>
        <w:sz w:val="22"/>
      </w:rPr>
      <w:fldChar w:fldCharType="separate"/>
    </w:r>
    <w:r w:rsidR="00A203CC">
      <w:rPr>
        <w:rFonts w:ascii="Palatino Linotype" w:hAnsi="Palatino Linotype"/>
        <w:b/>
        <w:noProof/>
        <w:color w:val="000000"/>
        <w:sz w:val="22"/>
      </w:rPr>
      <w:t>21</w:t>
    </w:r>
    <w:r w:rsidRPr="006611A3">
      <w:rPr>
        <w:rFonts w:ascii="Palatino Linotype" w:hAnsi="Palatino Linotype"/>
        <w:b/>
        <w:color w:val="000000"/>
        <w:sz w:val="22"/>
      </w:rPr>
      <w:fldChar w:fldCharType="end"/>
    </w:r>
    <w:r w:rsidRPr="006611A3">
      <w:rPr>
        <w:rFonts w:ascii="Palatino Linotype" w:hAnsi="Palatino Linotype"/>
        <w:color w:val="000000"/>
        <w:sz w:val="22"/>
      </w:rPr>
      <w:t xml:space="preserve"> de </w:t>
    </w:r>
    <w:r w:rsidRPr="006611A3">
      <w:rPr>
        <w:rFonts w:ascii="Palatino Linotype" w:hAnsi="Palatino Linotype"/>
        <w:b/>
        <w:color w:val="000000"/>
        <w:sz w:val="22"/>
      </w:rPr>
      <w:fldChar w:fldCharType="begin"/>
    </w:r>
    <w:r w:rsidRPr="006611A3">
      <w:rPr>
        <w:rFonts w:ascii="Palatino Linotype" w:hAnsi="Palatino Linotype"/>
        <w:b/>
        <w:color w:val="000000"/>
        <w:sz w:val="22"/>
      </w:rPr>
      <w:instrText>NUMPAGES</w:instrText>
    </w:r>
    <w:r w:rsidRPr="006611A3">
      <w:rPr>
        <w:rFonts w:ascii="Palatino Linotype" w:hAnsi="Palatino Linotype"/>
        <w:b/>
        <w:color w:val="000000"/>
        <w:sz w:val="22"/>
      </w:rPr>
      <w:fldChar w:fldCharType="separate"/>
    </w:r>
    <w:r w:rsidR="00A203CC">
      <w:rPr>
        <w:rFonts w:ascii="Palatino Linotype" w:hAnsi="Palatino Linotype"/>
        <w:b/>
        <w:noProof/>
        <w:color w:val="000000"/>
        <w:sz w:val="22"/>
      </w:rPr>
      <w:t>27</w:t>
    </w:r>
    <w:r w:rsidRPr="006611A3">
      <w:rPr>
        <w:rFonts w:ascii="Palatino Linotype" w:hAnsi="Palatino Linotype"/>
        <w:b/>
        <w:color w:val="000000"/>
        <w:sz w:val="22"/>
      </w:rPr>
      <w:fldChar w:fldCharType="end"/>
    </w:r>
  </w:p>
  <w:p w:rsidR="00F10907" w:rsidRDefault="00F10907">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907" w:rsidRPr="006611A3" w:rsidRDefault="00F10907">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6611A3">
      <w:rPr>
        <w:rFonts w:ascii="Palatino Linotype" w:hAnsi="Palatino Linotype"/>
        <w:color w:val="000000"/>
        <w:sz w:val="22"/>
      </w:rPr>
      <w:t xml:space="preserve">Página </w:t>
    </w:r>
    <w:r w:rsidRPr="006611A3">
      <w:rPr>
        <w:rFonts w:ascii="Palatino Linotype" w:hAnsi="Palatino Linotype"/>
        <w:b/>
        <w:color w:val="000000"/>
        <w:sz w:val="22"/>
      </w:rPr>
      <w:fldChar w:fldCharType="begin"/>
    </w:r>
    <w:r w:rsidRPr="006611A3">
      <w:rPr>
        <w:rFonts w:ascii="Palatino Linotype" w:hAnsi="Palatino Linotype"/>
        <w:b/>
        <w:color w:val="000000"/>
        <w:sz w:val="22"/>
      </w:rPr>
      <w:instrText>PAGE</w:instrText>
    </w:r>
    <w:r w:rsidRPr="006611A3">
      <w:rPr>
        <w:rFonts w:ascii="Palatino Linotype" w:hAnsi="Palatino Linotype"/>
        <w:b/>
        <w:color w:val="000000"/>
        <w:sz w:val="22"/>
      </w:rPr>
      <w:fldChar w:fldCharType="separate"/>
    </w:r>
    <w:r w:rsidR="00A203CC">
      <w:rPr>
        <w:rFonts w:ascii="Palatino Linotype" w:hAnsi="Palatino Linotype"/>
        <w:b/>
        <w:noProof/>
        <w:color w:val="000000"/>
        <w:sz w:val="22"/>
      </w:rPr>
      <w:t>1</w:t>
    </w:r>
    <w:r w:rsidRPr="006611A3">
      <w:rPr>
        <w:rFonts w:ascii="Palatino Linotype" w:hAnsi="Palatino Linotype"/>
        <w:b/>
        <w:color w:val="000000"/>
        <w:sz w:val="22"/>
      </w:rPr>
      <w:fldChar w:fldCharType="end"/>
    </w:r>
    <w:r w:rsidRPr="006611A3">
      <w:rPr>
        <w:rFonts w:ascii="Palatino Linotype" w:hAnsi="Palatino Linotype"/>
        <w:color w:val="000000"/>
        <w:sz w:val="22"/>
      </w:rPr>
      <w:t xml:space="preserve"> de </w:t>
    </w:r>
    <w:r w:rsidRPr="006611A3">
      <w:rPr>
        <w:rFonts w:ascii="Palatino Linotype" w:hAnsi="Palatino Linotype"/>
        <w:b/>
        <w:color w:val="000000"/>
        <w:sz w:val="22"/>
      </w:rPr>
      <w:fldChar w:fldCharType="begin"/>
    </w:r>
    <w:r w:rsidRPr="006611A3">
      <w:rPr>
        <w:rFonts w:ascii="Palatino Linotype" w:hAnsi="Palatino Linotype"/>
        <w:b/>
        <w:color w:val="000000"/>
        <w:sz w:val="22"/>
      </w:rPr>
      <w:instrText>NUMPAGES</w:instrText>
    </w:r>
    <w:r w:rsidRPr="006611A3">
      <w:rPr>
        <w:rFonts w:ascii="Palatino Linotype" w:hAnsi="Palatino Linotype"/>
        <w:b/>
        <w:color w:val="000000"/>
        <w:sz w:val="22"/>
      </w:rPr>
      <w:fldChar w:fldCharType="separate"/>
    </w:r>
    <w:r w:rsidR="00A203CC">
      <w:rPr>
        <w:rFonts w:ascii="Palatino Linotype" w:hAnsi="Palatino Linotype"/>
        <w:b/>
        <w:noProof/>
        <w:color w:val="000000"/>
        <w:sz w:val="22"/>
      </w:rPr>
      <w:t>27</w:t>
    </w:r>
    <w:r w:rsidRPr="006611A3">
      <w:rPr>
        <w:rFonts w:ascii="Palatino Linotype" w:hAnsi="Palatino Linotype"/>
        <w:b/>
        <w:color w:val="000000"/>
        <w:sz w:val="22"/>
      </w:rPr>
      <w:fldChar w:fldCharType="end"/>
    </w:r>
  </w:p>
  <w:p w:rsidR="00F10907" w:rsidRDefault="00F10907">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2BF0" w:rsidRDefault="00902BF0">
      <w:r>
        <w:separator/>
      </w:r>
    </w:p>
  </w:footnote>
  <w:footnote w:type="continuationSeparator" w:id="0">
    <w:p w:rsidR="00902BF0" w:rsidRDefault="00902B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0907" w:rsidRDefault="00902BF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348" w:type="dxa"/>
      <w:tblInd w:w="0" w:type="dxa"/>
      <w:tblLayout w:type="fixed"/>
      <w:tblLook w:val="0400" w:firstRow="0" w:lastRow="0" w:firstColumn="0" w:lastColumn="0" w:noHBand="0" w:noVBand="1"/>
    </w:tblPr>
    <w:tblGrid>
      <w:gridCol w:w="2268"/>
      <w:gridCol w:w="8080"/>
    </w:tblGrid>
    <w:tr w:rsidR="00F10907" w:rsidTr="006611A3">
      <w:trPr>
        <w:trHeight w:val="1435"/>
      </w:trPr>
      <w:tc>
        <w:tcPr>
          <w:tcW w:w="2268" w:type="dxa"/>
          <w:shd w:val="clear" w:color="auto" w:fill="auto"/>
        </w:tcPr>
        <w:p w:rsidR="00F10907" w:rsidRDefault="00F10907">
          <w:pPr>
            <w:tabs>
              <w:tab w:val="right" w:pos="4273"/>
            </w:tabs>
            <w:rPr>
              <w:rFonts w:ascii="Garamond" w:eastAsia="Garamond" w:hAnsi="Garamond" w:cs="Garamond"/>
              <w:sz w:val="16"/>
              <w:szCs w:val="16"/>
            </w:rPr>
          </w:pPr>
        </w:p>
      </w:tc>
      <w:tc>
        <w:tcPr>
          <w:tcW w:w="8080" w:type="dxa"/>
          <w:shd w:val="clear" w:color="auto" w:fill="auto"/>
        </w:tcPr>
        <w:tbl>
          <w:tblPr>
            <w:tblStyle w:val="a3"/>
            <w:tblW w:w="8067" w:type="dxa"/>
            <w:tblInd w:w="594" w:type="dxa"/>
            <w:tblLayout w:type="fixed"/>
            <w:tblLook w:val="0400" w:firstRow="0" w:lastRow="0" w:firstColumn="0" w:lastColumn="0" w:noHBand="0" w:noVBand="1"/>
          </w:tblPr>
          <w:tblGrid>
            <w:gridCol w:w="2822"/>
            <w:gridCol w:w="5245"/>
          </w:tblGrid>
          <w:tr w:rsidR="00F10907" w:rsidTr="006611A3">
            <w:trPr>
              <w:trHeight w:val="144"/>
            </w:trPr>
            <w:tc>
              <w:tcPr>
                <w:tcW w:w="2822" w:type="dxa"/>
                <w:shd w:val="clear" w:color="auto" w:fill="auto"/>
              </w:tcPr>
              <w:p w:rsidR="00F10907" w:rsidRPr="006611A3" w:rsidRDefault="00F10907" w:rsidP="00DD4EFA">
                <w:pPr>
                  <w:tabs>
                    <w:tab w:val="right" w:pos="8838"/>
                  </w:tabs>
                  <w:ind w:left="-264" w:right="-105" w:firstLine="19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Recurso de Revisión:</w:t>
                </w:r>
              </w:p>
            </w:tc>
            <w:tc>
              <w:tcPr>
                <w:tcW w:w="5245" w:type="dxa"/>
                <w:shd w:val="clear" w:color="auto" w:fill="auto"/>
              </w:tcPr>
              <w:p w:rsidR="00F10907" w:rsidRPr="006611A3" w:rsidRDefault="00F10907" w:rsidP="00DD4EFA">
                <w:pPr>
                  <w:tabs>
                    <w:tab w:val="right" w:pos="8838"/>
                  </w:tabs>
                  <w:ind w:left="-74" w:right="-105"/>
                  <w:jc w:val="both"/>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00888/INFOEM/ICR-123/IP/RR/2026</w:t>
                </w:r>
              </w:p>
            </w:tc>
          </w:tr>
          <w:tr w:rsidR="00F10907" w:rsidTr="006611A3">
            <w:trPr>
              <w:trHeight w:val="283"/>
            </w:trPr>
            <w:tc>
              <w:tcPr>
                <w:tcW w:w="2822" w:type="dxa"/>
                <w:shd w:val="clear" w:color="auto" w:fill="auto"/>
              </w:tcPr>
              <w:p w:rsidR="00F10907" w:rsidRPr="006611A3" w:rsidRDefault="00F10907" w:rsidP="00DD4EFA">
                <w:pPr>
                  <w:tabs>
                    <w:tab w:val="right" w:pos="8838"/>
                  </w:tabs>
                  <w:ind w:left="-74" w:right="-10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Sujeto Obligado:</w:t>
                </w:r>
              </w:p>
            </w:tc>
            <w:tc>
              <w:tcPr>
                <w:tcW w:w="5245" w:type="dxa"/>
                <w:shd w:val="clear" w:color="auto" w:fill="auto"/>
              </w:tcPr>
              <w:p w:rsidR="00F10907" w:rsidRPr="006611A3" w:rsidRDefault="00F10907" w:rsidP="00DD4EFA">
                <w:pPr>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Sistema Municipal Para el Desarrollo Integral de la Familia de Ixtapaluca</w:t>
                </w:r>
              </w:p>
            </w:tc>
          </w:tr>
          <w:tr w:rsidR="00F10907" w:rsidTr="006611A3">
            <w:trPr>
              <w:trHeight w:val="283"/>
            </w:trPr>
            <w:tc>
              <w:tcPr>
                <w:tcW w:w="2822" w:type="dxa"/>
                <w:shd w:val="clear" w:color="auto" w:fill="auto"/>
              </w:tcPr>
              <w:p w:rsidR="00F10907" w:rsidRPr="006611A3" w:rsidRDefault="00F10907" w:rsidP="00DD4EFA">
                <w:pPr>
                  <w:tabs>
                    <w:tab w:val="right" w:pos="8838"/>
                  </w:tabs>
                  <w:ind w:left="-74" w:right="-10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Comisionada ponente:</w:t>
                </w:r>
              </w:p>
            </w:tc>
            <w:tc>
              <w:tcPr>
                <w:tcW w:w="5245" w:type="dxa"/>
                <w:shd w:val="clear" w:color="auto" w:fill="auto"/>
              </w:tcPr>
              <w:p w:rsidR="00F10907" w:rsidRPr="006611A3" w:rsidRDefault="00F10907" w:rsidP="00DD4EFA">
                <w:pPr>
                  <w:tabs>
                    <w:tab w:val="right" w:pos="8838"/>
                  </w:tabs>
                  <w:ind w:left="-74" w:right="-105"/>
                  <w:jc w:val="both"/>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María del Rosario Mejía Ayala</w:t>
                </w:r>
              </w:p>
              <w:p w:rsidR="00F10907" w:rsidRPr="006611A3" w:rsidRDefault="00F10907" w:rsidP="00DD4EFA">
                <w:pPr>
                  <w:tabs>
                    <w:tab w:val="right" w:pos="8838"/>
                  </w:tabs>
                  <w:ind w:left="-74" w:right="-105"/>
                  <w:jc w:val="both"/>
                  <w:rPr>
                    <w:rFonts w:ascii="Palatino Linotype" w:eastAsia="Palatino Linotype" w:hAnsi="Palatino Linotype" w:cs="Palatino Linotype"/>
                    <w:b/>
                    <w:szCs w:val="22"/>
                  </w:rPr>
                </w:pPr>
              </w:p>
            </w:tc>
          </w:tr>
        </w:tbl>
        <w:p w:rsidR="00F10907" w:rsidRDefault="00F10907">
          <w:pPr>
            <w:tabs>
              <w:tab w:val="right" w:pos="8838"/>
            </w:tabs>
            <w:ind w:left="-28"/>
            <w:jc w:val="both"/>
            <w:rPr>
              <w:rFonts w:ascii="Arial" w:eastAsia="Arial" w:hAnsi="Arial" w:cs="Arial"/>
              <w:b/>
              <w:sz w:val="22"/>
              <w:szCs w:val="22"/>
            </w:rPr>
          </w:pPr>
        </w:p>
      </w:tc>
    </w:tr>
  </w:tbl>
  <w:p w:rsidR="00F10907" w:rsidRDefault="00902BF0">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20.5pt;width:589.8pt;height:768pt;z-index:-251659776;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632" w:type="dxa"/>
      <w:tblInd w:w="0" w:type="dxa"/>
      <w:tblLayout w:type="fixed"/>
      <w:tblLook w:val="0400" w:firstRow="0" w:lastRow="0" w:firstColumn="0" w:lastColumn="0" w:noHBand="0" w:noVBand="1"/>
    </w:tblPr>
    <w:tblGrid>
      <w:gridCol w:w="2268"/>
      <w:gridCol w:w="8364"/>
    </w:tblGrid>
    <w:tr w:rsidR="00F10907" w:rsidTr="006611A3">
      <w:trPr>
        <w:trHeight w:val="1435"/>
      </w:trPr>
      <w:tc>
        <w:tcPr>
          <w:tcW w:w="2268" w:type="dxa"/>
          <w:shd w:val="clear" w:color="auto" w:fill="auto"/>
        </w:tcPr>
        <w:p w:rsidR="00F10907" w:rsidRDefault="00F10907">
          <w:pPr>
            <w:tabs>
              <w:tab w:val="right" w:pos="4273"/>
            </w:tabs>
            <w:rPr>
              <w:rFonts w:ascii="Garamond" w:eastAsia="Garamond" w:hAnsi="Garamond" w:cs="Garamond"/>
              <w:sz w:val="22"/>
              <w:szCs w:val="22"/>
            </w:rPr>
          </w:pPr>
        </w:p>
      </w:tc>
      <w:tc>
        <w:tcPr>
          <w:tcW w:w="8364" w:type="dxa"/>
          <w:shd w:val="clear" w:color="auto" w:fill="auto"/>
        </w:tcPr>
        <w:tbl>
          <w:tblPr>
            <w:tblStyle w:val="a3"/>
            <w:tblW w:w="8067" w:type="dxa"/>
            <w:tblInd w:w="311" w:type="dxa"/>
            <w:tblLayout w:type="fixed"/>
            <w:tblLook w:val="0400" w:firstRow="0" w:lastRow="0" w:firstColumn="0" w:lastColumn="0" w:noHBand="0" w:noVBand="1"/>
          </w:tblPr>
          <w:tblGrid>
            <w:gridCol w:w="2964"/>
            <w:gridCol w:w="5103"/>
          </w:tblGrid>
          <w:tr w:rsidR="00F10907" w:rsidTr="006611A3">
            <w:trPr>
              <w:trHeight w:val="144"/>
            </w:trPr>
            <w:tc>
              <w:tcPr>
                <w:tcW w:w="2964" w:type="dxa"/>
                <w:shd w:val="clear" w:color="auto" w:fill="auto"/>
              </w:tcPr>
              <w:p w:rsidR="00F10907" w:rsidRPr="006611A3" w:rsidRDefault="00F10907">
                <w:pPr>
                  <w:tabs>
                    <w:tab w:val="right" w:pos="8838"/>
                  </w:tabs>
                  <w:ind w:left="-264" w:right="-105" w:firstLine="19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Recurso de Revisión:</w:t>
                </w:r>
              </w:p>
            </w:tc>
            <w:tc>
              <w:tcPr>
                <w:tcW w:w="5103" w:type="dxa"/>
                <w:shd w:val="clear" w:color="auto" w:fill="auto"/>
              </w:tcPr>
              <w:p w:rsidR="00F10907" w:rsidRPr="006611A3" w:rsidRDefault="00F10907">
                <w:pPr>
                  <w:tabs>
                    <w:tab w:val="right" w:pos="8838"/>
                  </w:tabs>
                  <w:ind w:left="-74" w:right="-105"/>
                  <w:jc w:val="both"/>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00888/INFOEM/ICR-123/IP/RR/2026</w:t>
                </w:r>
              </w:p>
            </w:tc>
          </w:tr>
          <w:tr w:rsidR="00F10907" w:rsidTr="006611A3">
            <w:trPr>
              <w:trHeight w:val="144"/>
            </w:trPr>
            <w:tc>
              <w:tcPr>
                <w:tcW w:w="2964" w:type="dxa"/>
                <w:shd w:val="clear" w:color="auto" w:fill="auto"/>
              </w:tcPr>
              <w:p w:rsidR="00F10907" w:rsidRPr="006611A3" w:rsidRDefault="00F10907">
                <w:pPr>
                  <w:tabs>
                    <w:tab w:val="right" w:pos="8838"/>
                  </w:tabs>
                  <w:ind w:left="-74" w:right="-10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Recurrente:</w:t>
                </w:r>
              </w:p>
            </w:tc>
            <w:tc>
              <w:tcPr>
                <w:tcW w:w="5103" w:type="dxa"/>
                <w:shd w:val="clear" w:color="auto" w:fill="auto"/>
              </w:tcPr>
              <w:p w:rsidR="00F10907" w:rsidRPr="006611A3" w:rsidRDefault="00A203CC">
                <w:pPr>
                  <w:tabs>
                    <w:tab w:val="left" w:pos="3122"/>
                    <w:tab w:val="right" w:pos="8838"/>
                  </w:tabs>
                  <w:ind w:left="-74" w:right="-105"/>
                  <w:jc w:val="both"/>
                  <w:rPr>
                    <w:rFonts w:ascii="Palatino Linotype" w:eastAsia="Palatino Linotype" w:hAnsi="Palatino Linotype" w:cs="Palatino Linotype"/>
                    <w:b/>
                    <w:szCs w:val="22"/>
                  </w:rPr>
                </w:pPr>
                <w:r>
                  <w:rPr>
                    <w:rFonts w:ascii="Palatino Linotype" w:eastAsia="Palatino Linotype" w:hAnsi="Palatino Linotype" w:cs="Palatino Linotype"/>
                    <w:b/>
                    <w:szCs w:val="22"/>
                  </w:rPr>
                  <w:t>XXXX</w:t>
                </w:r>
              </w:p>
            </w:tc>
          </w:tr>
          <w:tr w:rsidR="00F10907" w:rsidTr="006611A3">
            <w:trPr>
              <w:trHeight w:val="283"/>
            </w:trPr>
            <w:tc>
              <w:tcPr>
                <w:tcW w:w="2964" w:type="dxa"/>
                <w:shd w:val="clear" w:color="auto" w:fill="auto"/>
              </w:tcPr>
              <w:p w:rsidR="00F10907" w:rsidRPr="006611A3" w:rsidRDefault="00F10907">
                <w:pPr>
                  <w:tabs>
                    <w:tab w:val="right" w:pos="8838"/>
                  </w:tabs>
                  <w:ind w:left="-74" w:right="-10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Sujeto Obligado:</w:t>
                </w:r>
              </w:p>
            </w:tc>
            <w:tc>
              <w:tcPr>
                <w:tcW w:w="5103" w:type="dxa"/>
                <w:shd w:val="clear" w:color="auto" w:fill="auto"/>
              </w:tcPr>
              <w:p w:rsidR="00F10907" w:rsidRPr="006611A3" w:rsidRDefault="00F10907">
                <w:pPr>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Sistema Municipal Para el Desarrollo Integral de la Familia de Ixtapaluca</w:t>
                </w:r>
              </w:p>
            </w:tc>
          </w:tr>
          <w:tr w:rsidR="00F10907" w:rsidTr="006611A3">
            <w:trPr>
              <w:trHeight w:val="283"/>
            </w:trPr>
            <w:tc>
              <w:tcPr>
                <w:tcW w:w="2964" w:type="dxa"/>
                <w:shd w:val="clear" w:color="auto" w:fill="auto"/>
              </w:tcPr>
              <w:p w:rsidR="00F10907" w:rsidRPr="006611A3" w:rsidRDefault="00F10907">
                <w:pPr>
                  <w:tabs>
                    <w:tab w:val="right" w:pos="8838"/>
                  </w:tabs>
                  <w:ind w:left="-74" w:right="-105"/>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Comisionada ponente:</w:t>
                </w:r>
              </w:p>
            </w:tc>
            <w:tc>
              <w:tcPr>
                <w:tcW w:w="5103" w:type="dxa"/>
                <w:shd w:val="clear" w:color="auto" w:fill="auto"/>
              </w:tcPr>
              <w:p w:rsidR="00F10907" w:rsidRPr="006611A3" w:rsidRDefault="00F10907">
                <w:pPr>
                  <w:tabs>
                    <w:tab w:val="right" w:pos="8838"/>
                  </w:tabs>
                  <w:ind w:left="-74" w:right="-105"/>
                  <w:jc w:val="both"/>
                  <w:rPr>
                    <w:rFonts w:ascii="Palatino Linotype" w:eastAsia="Palatino Linotype" w:hAnsi="Palatino Linotype" w:cs="Palatino Linotype"/>
                    <w:b/>
                    <w:szCs w:val="22"/>
                  </w:rPr>
                </w:pPr>
                <w:r w:rsidRPr="006611A3">
                  <w:rPr>
                    <w:rFonts w:ascii="Palatino Linotype" w:eastAsia="Palatino Linotype" w:hAnsi="Palatino Linotype" w:cs="Palatino Linotype"/>
                    <w:b/>
                    <w:szCs w:val="22"/>
                  </w:rPr>
                  <w:t>María del Rosario Mejía Ayala</w:t>
                </w:r>
              </w:p>
              <w:p w:rsidR="00F10907" w:rsidRPr="006611A3" w:rsidRDefault="00F10907">
                <w:pPr>
                  <w:tabs>
                    <w:tab w:val="right" w:pos="8838"/>
                  </w:tabs>
                  <w:ind w:left="-74" w:right="-105"/>
                  <w:jc w:val="both"/>
                  <w:rPr>
                    <w:rFonts w:ascii="Palatino Linotype" w:eastAsia="Palatino Linotype" w:hAnsi="Palatino Linotype" w:cs="Palatino Linotype"/>
                    <w:b/>
                    <w:szCs w:val="22"/>
                  </w:rPr>
                </w:pPr>
              </w:p>
            </w:tc>
          </w:tr>
        </w:tbl>
        <w:p w:rsidR="00F10907" w:rsidRDefault="00F10907">
          <w:pPr>
            <w:tabs>
              <w:tab w:val="right" w:pos="8838"/>
            </w:tabs>
            <w:ind w:left="-28"/>
            <w:jc w:val="both"/>
            <w:rPr>
              <w:rFonts w:ascii="Arial" w:eastAsia="Arial" w:hAnsi="Arial" w:cs="Arial"/>
              <w:b/>
              <w:sz w:val="22"/>
              <w:szCs w:val="22"/>
            </w:rPr>
          </w:pPr>
        </w:p>
      </w:tc>
    </w:tr>
  </w:tbl>
  <w:p w:rsidR="00F10907" w:rsidRDefault="00902BF0">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17.6pt;width:589.8pt;height:768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72FDB"/>
    <w:multiLevelType w:val="hybridMultilevel"/>
    <w:tmpl w:val="DFB4B8D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3E80D90"/>
    <w:multiLevelType w:val="hybridMultilevel"/>
    <w:tmpl w:val="519E7226"/>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 w15:restartNumberingAfterBreak="0">
    <w:nsid w:val="061E5DD7"/>
    <w:multiLevelType w:val="hybridMultilevel"/>
    <w:tmpl w:val="F2261E94"/>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 w15:restartNumberingAfterBreak="0">
    <w:nsid w:val="09470C43"/>
    <w:multiLevelType w:val="hybridMultilevel"/>
    <w:tmpl w:val="C50610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AC67244"/>
    <w:multiLevelType w:val="hybridMultilevel"/>
    <w:tmpl w:val="63901B02"/>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6"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D616C2F"/>
    <w:multiLevelType w:val="hybridMultilevel"/>
    <w:tmpl w:val="81E6E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8CF0253"/>
    <w:multiLevelType w:val="hybridMultilevel"/>
    <w:tmpl w:val="162AB43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9"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80E4D5C"/>
    <w:multiLevelType w:val="hybridMultilevel"/>
    <w:tmpl w:val="63901B02"/>
    <w:lvl w:ilvl="0" w:tplc="080A0011">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2" w15:restartNumberingAfterBreak="0">
    <w:nsid w:val="305F5C3E"/>
    <w:multiLevelType w:val="multilevel"/>
    <w:tmpl w:val="DFC2BB34"/>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3" w15:restartNumberingAfterBreak="0">
    <w:nsid w:val="349A428F"/>
    <w:multiLevelType w:val="multilevel"/>
    <w:tmpl w:val="5EA68B02"/>
    <w:lvl w:ilvl="0">
      <w:start w:val="1"/>
      <w:numFmt w:val="decimal"/>
      <w:lvlText w:val="%1."/>
      <w:lvlJc w:val="left"/>
      <w:pPr>
        <w:ind w:left="1495" w:hanging="360"/>
      </w:pPr>
      <w:rPr>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77505AA"/>
    <w:multiLevelType w:val="multilevel"/>
    <w:tmpl w:val="D0807262"/>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6" w15:restartNumberingAfterBreak="0">
    <w:nsid w:val="4DDB0696"/>
    <w:multiLevelType w:val="multilevel"/>
    <w:tmpl w:val="93F0CB9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7" w15:restartNumberingAfterBreak="0">
    <w:nsid w:val="4E6118AF"/>
    <w:multiLevelType w:val="multilevel"/>
    <w:tmpl w:val="457E642C"/>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816292"/>
    <w:multiLevelType w:val="hybridMultilevel"/>
    <w:tmpl w:val="AEEC1782"/>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0" w15:restartNumberingAfterBreak="0">
    <w:nsid w:val="54AE63F6"/>
    <w:multiLevelType w:val="multilevel"/>
    <w:tmpl w:val="363E5CA0"/>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1" w15:restartNumberingAfterBreak="0">
    <w:nsid w:val="573D15D8"/>
    <w:multiLevelType w:val="multilevel"/>
    <w:tmpl w:val="4664B7AC"/>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22" w15:restartNumberingAfterBreak="0">
    <w:nsid w:val="59303E02"/>
    <w:multiLevelType w:val="multilevel"/>
    <w:tmpl w:val="28F24F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461474"/>
    <w:multiLevelType w:val="hybridMultilevel"/>
    <w:tmpl w:val="F8A46D1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4" w15:restartNumberingAfterBreak="0">
    <w:nsid w:val="5DBE099A"/>
    <w:multiLevelType w:val="multilevel"/>
    <w:tmpl w:val="FD4250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5E064666"/>
    <w:multiLevelType w:val="hybridMultilevel"/>
    <w:tmpl w:val="A45CD730"/>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E7B5996"/>
    <w:multiLevelType w:val="multilevel"/>
    <w:tmpl w:val="197AB0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F5E35BB"/>
    <w:multiLevelType w:val="multilevel"/>
    <w:tmpl w:val="02B2ACA0"/>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8" w15:restartNumberingAfterBreak="0">
    <w:nsid w:val="701C328D"/>
    <w:multiLevelType w:val="hybridMultilevel"/>
    <w:tmpl w:val="3174BFCA"/>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11">
      <w:start w:val="1"/>
      <w:numFmt w:val="decimal"/>
      <w:lvlText w:val="%3)"/>
      <w:lvlJc w:val="left"/>
      <w:pPr>
        <w:ind w:left="2160" w:hanging="360"/>
      </w:pPr>
      <w:rPr>
        <w:rFont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3282746"/>
    <w:multiLevelType w:val="multilevel"/>
    <w:tmpl w:val="E2101D9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1" w15:restartNumberingAfterBreak="0">
    <w:nsid w:val="7C435A25"/>
    <w:multiLevelType w:val="multilevel"/>
    <w:tmpl w:val="ED407232"/>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FAF3AF7"/>
    <w:multiLevelType w:val="multilevel"/>
    <w:tmpl w:val="8D768C9C"/>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2"/>
  </w:num>
  <w:num w:numId="2">
    <w:abstractNumId w:val="30"/>
  </w:num>
  <w:num w:numId="3">
    <w:abstractNumId w:val="15"/>
  </w:num>
  <w:num w:numId="4">
    <w:abstractNumId w:val="22"/>
  </w:num>
  <w:num w:numId="5">
    <w:abstractNumId w:val="21"/>
  </w:num>
  <w:num w:numId="6">
    <w:abstractNumId w:val="26"/>
  </w:num>
  <w:num w:numId="7">
    <w:abstractNumId w:val="17"/>
  </w:num>
  <w:num w:numId="8">
    <w:abstractNumId w:val="6"/>
  </w:num>
  <w:num w:numId="9">
    <w:abstractNumId w:val="9"/>
  </w:num>
  <w:num w:numId="10">
    <w:abstractNumId w:val="18"/>
  </w:num>
  <w:num w:numId="11">
    <w:abstractNumId w:val="31"/>
  </w:num>
  <w:num w:numId="12">
    <w:abstractNumId w:val="16"/>
  </w:num>
  <w:num w:numId="13">
    <w:abstractNumId w:val="14"/>
  </w:num>
  <w:num w:numId="14">
    <w:abstractNumId w:val="20"/>
  </w:num>
  <w:num w:numId="15">
    <w:abstractNumId w:val="24"/>
  </w:num>
  <w:num w:numId="16">
    <w:abstractNumId w:val="10"/>
  </w:num>
  <w:num w:numId="17">
    <w:abstractNumId w:val="3"/>
  </w:num>
  <w:num w:numId="18">
    <w:abstractNumId w:val="19"/>
  </w:num>
  <w:num w:numId="19">
    <w:abstractNumId w:val="7"/>
  </w:num>
  <w:num w:numId="20">
    <w:abstractNumId w:val="4"/>
  </w:num>
  <w:num w:numId="21">
    <w:abstractNumId w:val="0"/>
  </w:num>
  <w:num w:numId="22">
    <w:abstractNumId w:val="25"/>
  </w:num>
  <w:num w:numId="23">
    <w:abstractNumId w:val="8"/>
  </w:num>
  <w:num w:numId="24">
    <w:abstractNumId w:val="2"/>
  </w:num>
  <w:num w:numId="25">
    <w:abstractNumId w:val="27"/>
  </w:num>
  <w:num w:numId="26">
    <w:abstractNumId w:val="29"/>
  </w:num>
  <w:num w:numId="27">
    <w:abstractNumId w:val="28"/>
  </w:num>
  <w:num w:numId="28">
    <w:abstractNumId w:val="11"/>
  </w:num>
  <w:num w:numId="29">
    <w:abstractNumId w:val="12"/>
  </w:num>
  <w:num w:numId="30">
    <w:abstractNumId w:val="13"/>
  </w:num>
  <w:num w:numId="31">
    <w:abstractNumId w:val="1"/>
  </w:num>
  <w:num w:numId="32">
    <w:abstractNumId w:val="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A3B"/>
    <w:rsid w:val="000054FF"/>
    <w:rsid w:val="000269BD"/>
    <w:rsid w:val="0006580E"/>
    <w:rsid w:val="00074A53"/>
    <w:rsid w:val="000779F4"/>
    <w:rsid w:val="00095B4E"/>
    <w:rsid w:val="000A6FB9"/>
    <w:rsid w:val="000D1629"/>
    <w:rsid w:val="000F513D"/>
    <w:rsid w:val="001113E4"/>
    <w:rsid w:val="00114726"/>
    <w:rsid w:val="00117972"/>
    <w:rsid w:val="0015759C"/>
    <w:rsid w:val="00163674"/>
    <w:rsid w:val="00186028"/>
    <w:rsid w:val="001C5BAA"/>
    <w:rsid w:val="001E0B17"/>
    <w:rsid w:val="001E6B89"/>
    <w:rsid w:val="001F1CF6"/>
    <w:rsid w:val="00205A99"/>
    <w:rsid w:val="00217826"/>
    <w:rsid w:val="00255468"/>
    <w:rsid w:val="0026182F"/>
    <w:rsid w:val="00266369"/>
    <w:rsid w:val="00267C1E"/>
    <w:rsid w:val="002850D7"/>
    <w:rsid w:val="00286FEC"/>
    <w:rsid w:val="002905ED"/>
    <w:rsid w:val="002933C6"/>
    <w:rsid w:val="002A724F"/>
    <w:rsid w:val="002D56A9"/>
    <w:rsid w:val="002E6D92"/>
    <w:rsid w:val="002F1C1F"/>
    <w:rsid w:val="00320D87"/>
    <w:rsid w:val="00337418"/>
    <w:rsid w:val="003543DC"/>
    <w:rsid w:val="0036713B"/>
    <w:rsid w:val="003F200A"/>
    <w:rsid w:val="003F57C3"/>
    <w:rsid w:val="00403172"/>
    <w:rsid w:val="00441001"/>
    <w:rsid w:val="004550C1"/>
    <w:rsid w:val="0046188F"/>
    <w:rsid w:val="004800E7"/>
    <w:rsid w:val="00484222"/>
    <w:rsid w:val="004A4C3F"/>
    <w:rsid w:val="005106BB"/>
    <w:rsid w:val="005503B8"/>
    <w:rsid w:val="005D730B"/>
    <w:rsid w:val="005F7127"/>
    <w:rsid w:val="0063100F"/>
    <w:rsid w:val="0065227E"/>
    <w:rsid w:val="00657A52"/>
    <w:rsid w:val="00657D58"/>
    <w:rsid w:val="006611A3"/>
    <w:rsid w:val="00682563"/>
    <w:rsid w:val="006A756C"/>
    <w:rsid w:val="006F6294"/>
    <w:rsid w:val="0070233E"/>
    <w:rsid w:val="00705F3C"/>
    <w:rsid w:val="007102D7"/>
    <w:rsid w:val="0073252C"/>
    <w:rsid w:val="0075568A"/>
    <w:rsid w:val="00757BBA"/>
    <w:rsid w:val="00795B50"/>
    <w:rsid w:val="007A7D1B"/>
    <w:rsid w:val="007D08D1"/>
    <w:rsid w:val="007F2116"/>
    <w:rsid w:val="00802E74"/>
    <w:rsid w:val="008258B9"/>
    <w:rsid w:val="00856535"/>
    <w:rsid w:val="008571C6"/>
    <w:rsid w:val="00873612"/>
    <w:rsid w:val="0088282D"/>
    <w:rsid w:val="00885634"/>
    <w:rsid w:val="008878F8"/>
    <w:rsid w:val="008C14D1"/>
    <w:rsid w:val="008E0F58"/>
    <w:rsid w:val="008F754B"/>
    <w:rsid w:val="00902BF0"/>
    <w:rsid w:val="009063A7"/>
    <w:rsid w:val="0094143E"/>
    <w:rsid w:val="0097238A"/>
    <w:rsid w:val="00977CAF"/>
    <w:rsid w:val="009863E0"/>
    <w:rsid w:val="00986423"/>
    <w:rsid w:val="009933F8"/>
    <w:rsid w:val="009A3C89"/>
    <w:rsid w:val="009D5151"/>
    <w:rsid w:val="009D6775"/>
    <w:rsid w:val="00A203CC"/>
    <w:rsid w:val="00A70910"/>
    <w:rsid w:val="00A87744"/>
    <w:rsid w:val="00AC308C"/>
    <w:rsid w:val="00AE0866"/>
    <w:rsid w:val="00B67735"/>
    <w:rsid w:val="00B750C7"/>
    <w:rsid w:val="00B77E1D"/>
    <w:rsid w:val="00B85A30"/>
    <w:rsid w:val="00B8732F"/>
    <w:rsid w:val="00BB4905"/>
    <w:rsid w:val="00BC0531"/>
    <w:rsid w:val="00BD7A3B"/>
    <w:rsid w:val="00BF2467"/>
    <w:rsid w:val="00BF6120"/>
    <w:rsid w:val="00C36119"/>
    <w:rsid w:val="00C519CB"/>
    <w:rsid w:val="00C80687"/>
    <w:rsid w:val="00C93FDA"/>
    <w:rsid w:val="00CA44A8"/>
    <w:rsid w:val="00CB40C1"/>
    <w:rsid w:val="00CD6B01"/>
    <w:rsid w:val="00D05690"/>
    <w:rsid w:val="00D50CF9"/>
    <w:rsid w:val="00D57B94"/>
    <w:rsid w:val="00D71E18"/>
    <w:rsid w:val="00D7704E"/>
    <w:rsid w:val="00D96753"/>
    <w:rsid w:val="00DA238D"/>
    <w:rsid w:val="00DA477F"/>
    <w:rsid w:val="00DD063E"/>
    <w:rsid w:val="00DD4EFA"/>
    <w:rsid w:val="00DF6448"/>
    <w:rsid w:val="00E375E7"/>
    <w:rsid w:val="00E47FD1"/>
    <w:rsid w:val="00E82FD0"/>
    <w:rsid w:val="00E84CF7"/>
    <w:rsid w:val="00ED2E3E"/>
    <w:rsid w:val="00EE2817"/>
    <w:rsid w:val="00F10907"/>
    <w:rsid w:val="00F353F4"/>
    <w:rsid w:val="00F50BA0"/>
    <w:rsid w:val="00F55DB7"/>
    <w:rsid w:val="00FB27FE"/>
    <w:rsid w:val="00FD28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89F2F56-AE21-4F47-9E69-0AD302EB7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650"/>
  </w:style>
  <w:style w:type="paragraph" w:styleId="Ttulo1">
    <w:name w:val="heading 1"/>
    <w:basedOn w:val="Normal"/>
    <w:next w:val="Normal"/>
    <w:link w:val="Ttulo1Car"/>
    <w:uiPriority w:val="9"/>
    <w:qFormat/>
    <w:rsid w:val="005B665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A7426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B6650"/>
    <w:pPr>
      <w:keepNext/>
      <w:keepLines/>
      <w:spacing w:before="40"/>
      <w:outlineLvl w:val="2"/>
    </w:pPr>
    <w:rPr>
      <w:rFonts w:asciiTheme="majorHAnsi" w:eastAsiaTheme="majorEastAsia" w:hAnsiTheme="majorHAnsi" w:cstheme="majorBidi"/>
      <w:color w:val="1F4D78" w:themeColor="accent1" w:themeShade="7F"/>
      <w:lang w:val="es-ES_tradnl" w:eastAsia="es-ES"/>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B6650"/>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uiPriority w:val="9"/>
    <w:rsid w:val="00A7426F"/>
    <w:rPr>
      <w:rFonts w:asciiTheme="majorHAnsi" w:eastAsiaTheme="majorEastAsia" w:hAnsiTheme="majorHAnsi" w:cstheme="majorBidi"/>
      <w:color w:val="2E74B5" w:themeColor="accent1" w:themeShade="BF"/>
      <w:sz w:val="26"/>
      <w:szCs w:val="26"/>
      <w:lang w:eastAsia="es-MX"/>
    </w:rPr>
  </w:style>
  <w:style w:type="character" w:customStyle="1" w:styleId="Ttulo3Car">
    <w:name w:val="Título 3 Car"/>
    <w:basedOn w:val="Fuentedeprrafopredeter"/>
    <w:link w:val="Ttulo3"/>
    <w:uiPriority w:val="9"/>
    <w:rsid w:val="005B6650"/>
    <w:rPr>
      <w:rFonts w:asciiTheme="majorHAnsi" w:eastAsiaTheme="majorEastAsia" w:hAnsiTheme="majorHAnsi" w:cstheme="majorBidi"/>
      <w:color w:val="1F4D78" w:themeColor="accent1" w:themeShade="7F"/>
      <w:sz w:val="24"/>
      <w:szCs w:val="24"/>
      <w:lang w:val="es-ES_tradnl" w:eastAsia="es-ES"/>
    </w:rPr>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5B6650"/>
    <w:pPr>
      <w:tabs>
        <w:tab w:val="center" w:pos="4419"/>
        <w:tab w:val="right" w:pos="8838"/>
      </w:tabs>
    </w:pPr>
  </w:style>
  <w:style w:type="character" w:customStyle="1" w:styleId="EncabezadoCar">
    <w:name w:val="Encabezado Car"/>
    <w:basedOn w:val="Fuentedeprrafopredeter"/>
    <w:link w:val="Encabezado"/>
    <w:uiPriority w:val="99"/>
    <w:rsid w:val="005B6650"/>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5B6650"/>
    <w:pPr>
      <w:tabs>
        <w:tab w:val="center" w:pos="4419"/>
        <w:tab w:val="right" w:pos="8838"/>
      </w:tabs>
    </w:pPr>
  </w:style>
  <w:style w:type="character" w:customStyle="1" w:styleId="PiedepginaCar">
    <w:name w:val="Pie de página Car"/>
    <w:basedOn w:val="Fuentedeprrafopredeter"/>
    <w:link w:val="Piedepgina"/>
    <w:uiPriority w:val="99"/>
    <w:rsid w:val="005B6650"/>
    <w:rPr>
      <w:rFonts w:ascii="Times New Roman" w:eastAsia="Times New Roman" w:hAnsi="Times New Roman" w:cs="Times New Roman"/>
      <w:sz w:val="24"/>
      <w:szCs w:val="24"/>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B6650"/>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rsid w:val="005B6650"/>
    <w:rPr>
      <w:rFonts w:ascii="Century Gothic" w:eastAsia="Times New Roman" w:hAnsi="Century Gothic" w:cs="Times New Roman"/>
      <w:szCs w:val="24"/>
      <w:lang w:eastAsia="es-MX"/>
    </w:rPr>
  </w:style>
  <w:style w:type="character" w:styleId="Hipervnculo">
    <w:name w:val="Hyperlink"/>
    <w:aliases w:val="Hipervínculo1,Hipervínculo11,Hipervínculo12,Hipervínculo13,Hipervínculo14,Hipervínculo15"/>
    <w:uiPriority w:val="99"/>
    <w:unhideWhenUsed/>
    <w:qFormat/>
    <w:rsid w:val="005B6650"/>
    <w:rPr>
      <w:color w:val="0563C1"/>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B6650"/>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B6650"/>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5B6650"/>
    <w:rPr>
      <w:vertAlign w:val="superscript"/>
    </w:rPr>
  </w:style>
  <w:style w:type="table" w:styleId="Tablaconcuadrcula">
    <w:name w:val="Table Grid"/>
    <w:basedOn w:val="Tablanormal"/>
    <w:uiPriority w:val="59"/>
    <w:rsid w:val="00170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3">
    <w:name w:val="Grid Table 4 Accent 3"/>
    <w:basedOn w:val="Tablanormal"/>
    <w:uiPriority w:val="49"/>
    <w:rsid w:val="006F68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2">
    <w:name w:val="List Bullet 2"/>
    <w:basedOn w:val="Normal"/>
    <w:uiPriority w:val="99"/>
    <w:unhideWhenUsed/>
    <w:qFormat/>
    <w:rsid w:val="00A7426F"/>
    <w:pPr>
      <w:numPr>
        <w:numId w:val="7"/>
      </w:numPr>
      <w:contextualSpacing/>
    </w:pPr>
    <w:rPr>
      <w:sz w:val="20"/>
      <w:szCs w:val="20"/>
      <w:lang w:eastAsia="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character" w:customStyle="1" w:styleId="SinespaciadoCar">
    <w:name w:val="Sin espaciado Car"/>
    <w:aliases w:val="Francesa Car,INAI Car"/>
    <w:link w:val="Sinespaciado"/>
    <w:uiPriority w:val="1"/>
    <w:locked/>
    <w:rsid w:val="0026182F"/>
  </w:style>
  <w:style w:type="paragraph" w:styleId="Sinespaciado">
    <w:name w:val="No Spacing"/>
    <w:aliases w:val="Francesa,INAI"/>
    <w:link w:val="SinespaciadoCar"/>
    <w:uiPriority w:val="1"/>
    <w:qFormat/>
    <w:rsid w:val="0026182F"/>
  </w:style>
  <w:style w:type="paragraph" w:styleId="NormalWeb">
    <w:name w:val="Normal (Web)"/>
    <w:basedOn w:val="Normal"/>
    <w:uiPriority w:val="99"/>
    <w:rsid w:val="0026182F"/>
    <w:pPr>
      <w:spacing w:before="100" w:beforeAutospacing="1" w:after="100" w:afterAutospacing="1"/>
    </w:pPr>
    <w:rPr>
      <w:lang w:val="es-ES"/>
    </w:rPr>
  </w:style>
  <w:style w:type="paragraph" w:customStyle="1" w:styleId="Default">
    <w:name w:val="Default"/>
    <w:rsid w:val="0026182F"/>
    <w:pPr>
      <w:autoSpaceDE w:val="0"/>
      <w:autoSpaceDN w:val="0"/>
      <w:adjustRightInd w:val="0"/>
    </w:pPr>
    <w:rPr>
      <w:rFonts w:ascii="Arial" w:eastAsiaTheme="minorHAnsi" w:hAnsi="Arial" w:cs="Arial"/>
      <w:color w:val="000000"/>
      <w:lang w:eastAsia="en-US"/>
    </w:rPr>
  </w:style>
  <w:style w:type="character" w:customStyle="1" w:styleId="object">
    <w:name w:val="object"/>
    <w:basedOn w:val="Fuentedeprrafopredeter"/>
    <w:rsid w:val="0026182F"/>
  </w:style>
  <w:style w:type="character" w:customStyle="1" w:styleId="vkekvd">
    <w:name w:val="vkekvd"/>
    <w:basedOn w:val="Fuentedeprrafopredeter"/>
    <w:rsid w:val="0026182F"/>
  </w:style>
  <w:style w:type="character" w:customStyle="1" w:styleId="ifmvxd">
    <w:name w:val="ifmvxd"/>
    <w:basedOn w:val="Fuentedeprrafopredeter"/>
    <w:rsid w:val="0026182F"/>
  </w:style>
  <w:style w:type="character" w:customStyle="1" w:styleId="ijm6od">
    <w:name w:val="ijm6od"/>
    <w:basedOn w:val="Fuentedeprrafopredeter"/>
    <w:rsid w:val="0026182F"/>
  </w:style>
  <w:style w:type="character" w:styleId="Textoennegrita">
    <w:name w:val="Strong"/>
    <w:basedOn w:val="Fuentedeprrafopredeter"/>
    <w:uiPriority w:val="22"/>
    <w:qFormat/>
    <w:rsid w:val="0026182F"/>
    <w:rPr>
      <w:b/>
      <w:bCs/>
    </w:rPr>
  </w:style>
  <w:style w:type="character" w:customStyle="1" w:styleId="t286pc">
    <w:name w:val="t286pc"/>
    <w:basedOn w:val="Fuentedeprrafopredeter"/>
    <w:rsid w:val="002618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5068805">
      <w:bodyDiv w:val="1"/>
      <w:marLeft w:val="0"/>
      <w:marRight w:val="0"/>
      <w:marTop w:val="0"/>
      <w:marBottom w:val="0"/>
      <w:divBdr>
        <w:top w:val="none" w:sz="0" w:space="0" w:color="auto"/>
        <w:left w:val="none" w:sz="0" w:space="0" w:color="auto"/>
        <w:bottom w:val="none" w:sz="0" w:space="0" w:color="auto"/>
        <w:right w:val="none" w:sz="0" w:space="0" w:color="auto"/>
      </w:divBdr>
      <w:divsChild>
        <w:div w:id="1007365147">
          <w:marLeft w:val="0"/>
          <w:marRight w:val="0"/>
          <w:marTop w:val="120"/>
          <w:marBottom w:val="0"/>
          <w:divBdr>
            <w:top w:val="none" w:sz="0" w:space="0" w:color="auto"/>
            <w:left w:val="none" w:sz="0" w:space="0" w:color="auto"/>
            <w:bottom w:val="none" w:sz="0" w:space="0" w:color="auto"/>
            <w:right w:val="none" w:sz="0" w:space="0" w:color="auto"/>
          </w:divBdr>
          <w:divsChild>
            <w:div w:id="1024482549">
              <w:marLeft w:val="0"/>
              <w:marRight w:val="0"/>
              <w:marTop w:val="0"/>
              <w:marBottom w:val="0"/>
              <w:divBdr>
                <w:top w:val="none" w:sz="0" w:space="0" w:color="auto"/>
                <w:left w:val="none" w:sz="0" w:space="0" w:color="auto"/>
                <w:bottom w:val="none" w:sz="0" w:space="0" w:color="auto"/>
                <w:right w:val="none" w:sz="0" w:space="0" w:color="auto"/>
              </w:divBdr>
            </w:div>
          </w:divsChild>
        </w:div>
        <w:div w:id="735124703">
          <w:marLeft w:val="0"/>
          <w:marRight w:val="0"/>
          <w:marTop w:val="120"/>
          <w:marBottom w:val="0"/>
          <w:divBdr>
            <w:top w:val="none" w:sz="0" w:space="0" w:color="auto"/>
            <w:left w:val="none" w:sz="0" w:space="0" w:color="auto"/>
            <w:bottom w:val="none" w:sz="0" w:space="0" w:color="auto"/>
            <w:right w:val="none" w:sz="0" w:space="0" w:color="auto"/>
          </w:divBdr>
          <w:divsChild>
            <w:div w:id="16856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6135">
      <w:bodyDiv w:val="1"/>
      <w:marLeft w:val="0"/>
      <w:marRight w:val="0"/>
      <w:marTop w:val="0"/>
      <w:marBottom w:val="0"/>
      <w:divBdr>
        <w:top w:val="none" w:sz="0" w:space="0" w:color="auto"/>
        <w:left w:val="none" w:sz="0" w:space="0" w:color="auto"/>
        <w:bottom w:val="none" w:sz="0" w:space="0" w:color="auto"/>
        <w:right w:val="none" w:sz="0" w:space="0" w:color="auto"/>
      </w:divBdr>
      <w:divsChild>
        <w:div w:id="493423743">
          <w:marLeft w:val="0"/>
          <w:marRight w:val="0"/>
          <w:marTop w:val="120"/>
          <w:marBottom w:val="0"/>
          <w:divBdr>
            <w:top w:val="none" w:sz="0" w:space="0" w:color="auto"/>
            <w:left w:val="none" w:sz="0" w:space="0" w:color="auto"/>
            <w:bottom w:val="none" w:sz="0" w:space="0" w:color="auto"/>
            <w:right w:val="none" w:sz="0" w:space="0" w:color="auto"/>
          </w:divBdr>
          <w:divsChild>
            <w:div w:id="619651622">
              <w:marLeft w:val="0"/>
              <w:marRight w:val="0"/>
              <w:marTop w:val="0"/>
              <w:marBottom w:val="0"/>
              <w:divBdr>
                <w:top w:val="none" w:sz="0" w:space="0" w:color="auto"/>
                <w:left w:val="none" w:sz="0" w:space="0" w:color="auto"/>
                <w:bottom w:val="none" w:sz="0" w:space="0" w:color="auto"/>
                <w:right w:val="none" w:sz="0" w:space="0" w:color="auto"/>
              </w:divBdr>
            </w:div>
          </w:divsChild>
        </w:div>
        <w:div w:id="260727532">
          <w:marLeft w:val="0"/>
          <w:marRight w:val="0"/>
          <w:marTop w:val="120"/>
          <w:marBottom w:val="0"/>
          <w:divBdr>
            <w:top w:val="none" w:sz="0" w:space="0" w:color="auto"/>
            <w:left w:val="none" w:sz="0" w:space="0" w:color="auto"/>
            <w:bottom w:val="none" w:sz="0" w:space="0" w:color="auto"/>
            <w:right w:val="none" w:sz="0" w:space="0" w:color="auto"/>
          </w:divBdr>
          <w:divsChild>
            <w:div w:id="194164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95070">
      <w:bodyDiv w:val="1"/>
      <w:marLeft w:val="0"/>
      <w:marRight w:val="0"/>
      <w:marTop w:val="0"/>
      <w:marBottom w:val="0"/>
      <w:divBdr>
        <w:top w:val="none" w:sz="0" w:space="0" w:color="auto"/>
        <w:left w:val="none" w:sz="0" w:space="0" w:color="auto"/>
        <w:bottom w:val="none" w:sz="0" w:space="0" w:color="auto"/>
        <w:right w:val="none" w:sz="0" w:space="0" w:color="auto"/>
      </w:divBdr>
    </w:div>
    <w:div w:id="2048677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2q3Wvzv/MUlEPCKdgglX68ctYA==">CgMxLjAyDmguZGJ3eDZsaTdpbmgxMg5oLnJ0OWVjMmtubTJuaDIOaC50MmJ2d3V1ZHA2NncyCWguMmV0OTJwMDIIaC50eWpjd3QyCWguM2R5NnZrbTIJaC4xdDNoNXNmMgloLjJzOGV5bzEyCWguMTdkcDh2dTgAciExZ0MzOTU1bk83REpfYjBUNDNMaE5Vc25ZcmpUT21UUkI=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27</Pages>
  <Words>6855</Words>
  <Characters>37706</Characters>
  <Application>Microsoft Office Word</Application>
  <DocSecurity>0</DocSecurity>
  <Lines>314</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INFOEM549</dc:creator>
  <cp:lastModifiedBy>Cuenta Microsoft</cp:lastModifiedBy>
  <cp:revision>54</cp:revision>
  <cp:lastPrinted>2026-05-14T17:33:00Z</cp:lastPrinted>
  <dcterms:created xsi:type="dcterms:W3CDTF">2026-05-06T23:37:00Z</dcterms:created>
  <dcterms:modified xsi:type="dcterms:W3CDTF">2026-05-18T23:55:00Z</dcterms:modified>
</cp:coreProperties>
</file>