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3A4" w:rsidRDefault="000140E2">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color w:val="000000"/>
        </w:rPr>
        <w:t>veinte (20) de mayo de dos mil veintiséis</w:t>
      </w:r>
      <w:r>
        <w:rPr>
          <w:rFonts w:ascii="Palatino Linotype" w:eastAsia="Palatino Linotype" w:hAnsi="Palatino Linotype" w:cs="Palatino Linotype"/>
          <w:color w:val="000000"/>
        </w:rPr>
        <w:t>.</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bookmarkStart w:id="0" w:name="_heading=h.gjdgxs" w:colFirst="0" w:colLast="0"/>
      <w:bookmarkEnd w:id="0"/>
      <w:r>
        <w:rPr>
          <w:rFonts w:ascii="Palatino Linotype" w:eastAsia="Palatino Linotype" w:hAnsi="Palatino Linotype" w:cs="Palatino Linotype"/>
          <w:color w:val="000000"/>
        </w:rPr>
        <w:t xml:space="preserve">VISTO el expediente electrónico formado con motivo   del Recursos de Revisión </w:t>
      </w:r>
      <w:r>
        <w:rPr>
          <w:rFonts w:ascii="Palatino Linotype" w:eastAsia="Palatino Linotype" w:hAnsi="Palatino Linotype" w:cs="Palatino Linotype"/>
          <w:b/>
          <w:bCs/>
          <w:color w:val="000000"/>
        </w:rPr>
        <w:t xml:space="preserve">11143/INFOEM/IP/RR/2025 </w:t>
      </w:r>
      <w:r>
        <w:rPr>
          <w:rFonts w:ascii="Palatino Linotype" w:eastAsia="Palatino Linotype" w:hAnsi="Palatino Linotype" w:cs="Palatino Linotype"/>
          <w:color w:val="000000"/>
        </w:rPr>
        <w:t xml:space="preserve">promovido por </w:t>
      </w:r>
      <w:r w:rsidR="000F0D2E">
        <w:rPr>
          <w:rFonts w:ascii="Palatino Linotype" w:eastAsia="Palatino Linotype" w:hAnsi="Palatino Linotype" w:cs="Palatino Linotype"/>
          <w:b/>
          <w:bCs/>
        </w:rPr>
        <w:t>XXXX</w:t>
      </w:r>
      <w:r>
        <w:rPr>
          <w:rFonts w:ascii="Palatino Linotype" w:eastAsia="Palatino Linotype" w:hAnsi="Palatino Linotype" w:cs="Palatino Linotype"/>
          <w:color w:val="000000"/>
        </w:rPr>
        <w:t xml:space="preserve">, a través del Sistema de Acceso a la Información,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Atizapán de Zaragoza</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5C03A4" w:rsidRDefault="005C03A4">
      <w:pPr>
        <w:spacing w:line="360" w:lineRule="auto"/>
        <w:ind w:right="-1701"/>
        <w:rPr>
          <w:rFonts w:ascii="Palatino Linotype" w:eastAsia="Palatino Linotype" w:hAnsi="Palatino Linotype" w:cs="Palatino Linotype"/>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quince de agosto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la solicitud de información pública registrada con el número </w:t>
      </w:r>
      <w:r>
        <w:rPr>
          <w:rFonts w:ascii="Palatino Linotype" w:eastAsia="Palatino Linotype" w:hAnsi="Palatino Linotype" w:cs="Palatino Linotype"/>
          <w:b/>
          <w:bCs/>
          <w:color w:val="000000"/>
        </w:rPr>
        <w:t xml:space="preserve">00481/ATIZARA/IP/2025,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5C03A4" w:rsidRDefault="005C03A4">
      <w:pPr>
        <w:ind w:right="-1701"/>
        <w:jc w:val="both"/>
        <w:rPr>
          <w:rFonts w:ascii="Palatino Linotype" w:eastAsia="Palatino Linotype" w:hAnsi="Palatino Linotype" w:cs="Palatino Linotype"/>
          <w:i/>
          <w:iCs/>
        </w:rPr>
      </w:pP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“Director de Desarrollo urbano Presente Solicito atentamente se me envien todos los cambios de uso del suel</w:t>
      </w:r>
      <w:bookmarkStart w:id="1" w:name="_GoBack"/>
      <w:r>
        <w:rPr>
          <w:rFonts w:ascii="Palatino Linotype" w:eastAsia="Palatino Linotype" w:hAnsi="Palatino Linotype" w:cs="Palatino Linotype"/>
          <w:i/>
          <w:iCs/>
          <w:color w:val="000000"/>
        </w:rPr>
        <w:t>o</w:t>
      </w:r>
      <w:bookmarkEnd w:id="1"/>
      <w:r>
        <w:rPr>
          <w:rFonts w:ascii="Palatino Linotype" w:eastAsia="Palatino Linotype" w:hAnsi="Palatino Linotype" w:cs="Palatino Linotype"/>
          <w:i/>
          <w:iCs/>
          <w:color w:val="000000"/>
        </w:rPr>
        <w:t xml:space="preserve"> incluyendo todos sus anexos que fueron autorizados en el coplademun en el año 2022, 2023, 2024 y 2025 incluyendo las versiones estenograficas de las sesiones de coplademun que se llevaron a cabo en esos años.”</w:t>
      </w:r>
    </w:p>
    <w:p w:rsidR="005C03A4" w:rsidRDefault="005C03A4">
      <w:pPr>
        <w:pBdr>
          <w:top w:val="nil"/>
          <w:left w:val="nil"/>
          <w:bottom w:val="nil"/>
          <w:right w:val="nil"/>
          <w:between w:val="nil"/>
        </w:pBdr>
        <w:spacing w:line="360" w:lineRule="auto"/>
        <w:ind w:left="1134" w:right="-1701"/>
        <w:jc w:val="both"/>
        <w:rPr>
          <w:rFonts w:ascii="Palatino Linotype" w:eastAsia="Palatino Linotype" w:hAnsi="Palatino Linotype" w:cs="Palatino Linotype"/>
          <w:i/>
          <w:iCs/>
        </w:rPr>
      </w:pPr>
    </w:p>
    <w:p w:rsidR="005C03A4" w:rsidRDefault="005C03A4">
      <w:pPr>
        <w:pBdr>
          <w:top w:val="nil"/>
          <w:left w:val="nil"/>
          <w:bottom w:val="nil"/>
          <w:right w:val="nil"/>
          <w:between w:val="nil"/>
        </w:pBdr>
        <w:spacing w:line="360" w:lineRule="auto"/>
        <w:ind w:left="1134" w:right="-1701"/>
        <w:jc w:val="both"/>
        <w:rPr>
          <w:rFonts w:ascii="Palatino Linotype" w:eastAsia="Palatino Linotype" w:hAnsi="Palatino Linotype" w:cs="Palatino Linotype"/>
          <w:i/>
          <w:iCs/>
        </w:rPr>
      </w:pPr>
    </w:p>
    <w:p w:rsidR="005C03A4" w:rsidRDefault="000140E2">
      <w:pPr>
        <w:numPr>
          <w:ilvl w:val="0"/>
          <w:numId w:val="3"/>
        </w:numPr>
        <w:pBdr>
          <w:top w:val="nil"/>
          <w:left w:val="nil"/>
          <w:bottom w:val="nil"/>
          <w:right w:val="nil"/>
          <w:between w:val="nil"/>
        </w:pBdr>
        <w:spacing w:line="360" w:lineRule="auto"/>
        <w:ind w:left="709" w:right="-170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w:t>
      </w:r>
      <w:r>
        <w:rPr>
          <w:rFonts w:ascii="Palatino Linotype" w:eastAsia="Palatino Linotype" w:hAnsi="Palatino Linotype" w:cs="Palatino Linotype"/>
          <w:color w:val="000000"/>
        </w:rPr>
        <w:t>: Sistema de Acceso a la Información</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 xml:space="preserve">dieciocho de agosto de dos mil veinticinco,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gir</w:t>
      </w:r>
      <w:r>
        <w:rPr>
          <w:rFonts w:ascii="Palatino Linotype" w:eastAsia="Palatino Linotype" w:hAnsi="Palatino Linotype" w:cs="Palatino Linotype"/>
        </w:rPr>
        <w:t>ó</w:t>
      </w:r>
      <w:r>
        <w:rPr>
          <w:rFonts w:ascii="Palatino Linotype" w:eastAsia="Palatino Linotype" w:hAnsi="Palatino Linotype" w:cs="Palatino Linotype"/>
          <w:color w:val="000000"/>
        </w:rPr>
        <w:t xml:space="preserve"> el requerimiento para que fuera atendida la solicitud de información </w:t>
      </w:r>
      <w:r>
        <w:rPr>
          <w:rFonts w:ascii="Palatino Linotype" w:eastAsia="Palatino Linotype" w:hAnsi="Palatino Linotype" w:cs="Palatino Linotype"/>
          <w:b/>
          <w:bCs/>
          <w:color w:val="000000"/>
        </w:rPr>
        <w:t xml:space="preserve">00481/ATIZARA/IP/2025.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cinco de septiembre de dos mil veinticinco,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emitió el acuerdo de prórroga para que fuera atendida la solicitud de información </w:t>
      </w:r>
      <w:r>
        <w:rPr>
          <w:rFonts w:ascii="Palatino Linotype" w:eastAsia="Palatino Linotype" w:hAnsi="Palatino Linotype" w:cs="Palatino Linotype"/>
          <w:b/>
          <w:bCs/>
          <w:color w:val="000000"/>
        </w:rPr>
        <w:t>00481/ATIZARA/IP/2025.</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diecisiete de septiembre de dos mil veinticinco, el 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un archivo electrónico en formato pdf, cuyo contenido grosso modo es el siguiente.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SOL. 0481-ATIZ-RESP..pdf: </w:t>
      </w:r>
      <w:r>
        <w:rPr>
          <w:rFonts w:ascii="Palatino Linotype" w:eastAsia="Palatino Linotype" w:hAnsi="Palatino Linotype" w:cs="Palatino Linotype"/>
          <w:i/>
          <w:iCs/>
          <w:color w:val="000000"/>
        </w:rPr>
        <w:t xml:space="preserve">oficio del Director de Ordenamiento Territorial y Desarrollo Urbano, mediante el cual informa que respecto a los años 2022, 2023 y 2025, no existe registro de integración del COPLADEMUN, respecto del año 2024 si re realizaron votaciones para el cambio de uso de suelo, misma que se pone a disposición en consulta directa, toda vez que la información sobre pasa las capacidades técnica del sistema.  </w:t>
      </w:r>
    </w:p>
    <w:p w:rsidR="005C03A4" w:rsidRDefault="005C03A4">
      <w:pPr>
        <w:pBdr>
          <w:top w:val="nil"/>
          <w:left w:val="nil"/>
          <w:bottom w:val="nil"/>
          <w:right w:val="nil"/>
          <w:between w:val="nil"/>
        </w:pBdr>
        <w:ind w:right="-1701"/>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septiembre de dos mil veinticinco</w:t>
      </w:r>
      <w:r>
        <w:rPr>
          <w:rFonts w:ascii="Palatino Linotype" w:eastAsia="Palatino Linotype" w:hAnsi="Palatino Linotype" w:cs="Palatino Linotype"/>
          <w:color w:val="000000"/>
        </w:rPr>
        <w:t xml:space="preserve">, el solicitante interpuso recurso de revisión en contra de la respuestas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5C03A4" w:rsidRDefault="005C03A4">
      <w:pPr>
        <w:pBdr>
          <w:top w:val="nil"/>
          <w:left w:val="nil"/>
          <w:bottom w:val="nil"/>
          <w:right w:val="nil"/>
          <w:between w:val="nil"/>
        </w:pBdr>
        <w:ind w:left="1134" w:right="-1701"/>
        <w:jc w:val="both"/>
        <w:rPr>
          <w:rFonts w:ascii="Palatino Linotype" w:eastAsia="Palatino Linotype" w:hAnsi="Palatino Linotype" w:cs="Palatino Linotype"/>
          <w:b/>
          <w:bCs/>
          <w:color w:val="000000"/>
        </w:rPr>
      </w:pPr>
      <w:bookmarkStart w:id="2" w:name="_heading=h.1fob9te" w:colFirst="0" w:colLast="0"/>
      <w:bookmarkEnd w:id="2"/>
    </w:p>
    <w:p w:rsidR="005C03A4" w:rsidRDefault="000140E2">
      <w:pPr>
        <w:numPr>
          <w:ilvl w:val="0"/>
          <w:numId w:val="2"/>
        </w:numPr>
        <w:pBdr>
          <w:top w:val="nil"/>
          <w:left w:val="nil"/>
          <w:bottom w:val="nil"/>
          <w:right w:val="nil"/>
          <w:between w:val="nil"/>
        </w:pBdr>
        <w:ind w:left="708" w:right="-11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de la solicitud de información numero 00481/ATIZARA/IP/2025 contenida en el oficio DOTYDU/2837/2025”</w:t>
      </w:r>
    </w:p>
    <w:p w:rsidR="005C03A4" w:rsidRDefault="005C03A4">
      <w:pPr>
        <w:pBdr>
          <w:top w:val="nil"/>
          <w:left w:val="nil"/>
          <w:bottom w:val="nil"/>
          <w:right w:val="nil"/>
          <w:between w:val="nil"/>
        </w:pBdr>
        <w:ind w:left="708" w:right="-1134" w:hanging="360"/>
        <w:jc w:val="both"/>
        <w:rPr>
          <w:rFonts w:ascii="Palatino Linotype" w:eastAsia="Palatino Linotype" w:hAnsi="Palatino Linotype" w:cs="Palatino Linotype"/>
          <w:color w:val="000000"/>
        </w:rPr>
      </w:pPr>
    </w:p>
    <w:p w:rsidR="005C03A4" w:rsidRDefault="000140E2">
      <w:pPr>
        <w:numPr>
          <w:ilvl w:val="0"/>
          <w:numId w:val="1"/>
        </w:numPr>
        <w:pBdr>
          <w:top w:val="nil"/>
          <w:left w:val="nil"/>
          <w:bottom w:val="nil"/>
          <w:right w:val="nil"/>
          <w:between w:val="nil"/>
        </w:pBdr>
        <w:ind w:left="708" w:right="-1134"/>
        <w:jc w:val="both"/>
        <w:rPr>
          <w:rFonts w:ascii="Palatino Linotype" w:eastAsia="Palatino Linotype" w:hAnsi="Palatino Linotype" w:cs="Palatino Linotype"/>
          <w:color w:val="000000"/>
        </w:rPr>
      </w:pPr>
      <w:bookmarkStart w:id="3" w:name="_heading=h.3znysh7" w:colFirst="0" w:colLast="0"/>
      <w:bookmarkEnd w:id="3"/>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 xml:space="preserve">“La respuesta del Sujeto Obligado vulnera mi derecho de acceso a la información por las siguientes razones: PRIMERO.- Para los años 2022, 2023 y 2025, la Dirección de Desarrollo Urbano y Ordenamiento Territorial afirma que "no existe registro de integración ni conformación de la COPLADEMUN". Sin embargo, la Ley de Transparencia del Estado de México y Municipios es clara al establecer que una declaración de inexistencia de información debe ser confirmada por el Comité de Transparencia del Sujeto Obligrado. La respuesta proporcionada es un simple oficio de un </w:t>
      </w:r>
      <w:r>
        <w:rPr>
          <w:rFonts w:ascii="Palatino Linotype" w:eastAsia="Palatino Linotype" w:hAnsi="Palatino Linotype" w:cs="Palatino Linotype"/>
          <w:i/>
          <w:iCs/>
          <w:color w:val="000000"/>
        </w:rPr>
        <w:lastRenderedPageBreak/>
        <w:t>Director de área y no se acompaña del Acta del Comité de Transparencia que valide y fundamente dicha inexistencia. Por lo tanto, esta parte de la respuesta carece de todo sustento y validez legal. SEGUNDO.- Para la información del año 2024, la autoridad confirma su existencia pero se niega a entregarla electrónicamente, argumentando que "sobrepasa las capacidades técnicas administrativas y humanas" y forzando la consulta directa en sus oficinas. Este argumento es inaceptable ya que la autoridad invoca el artículo 158 de la Ley de manera genérica, sin detallar ni demostrar por qué la digitalización y envío de los expedientes de una sola sesión del COPLADEMUN excede sus capacidades. No determina ni cuantifica el volumen de la información ni explica la supuesta imposibilidad técnica, lo que convierte su justificación en una afirmación sin sustento. Además, forzarme a acudir físicamente a sus oficinas en Atizapán de Zaragoza impone barreras y costos de tiempo y traslado, lo cual contraviene los principios de máxima accesibilidad, prontitud y gratuidad que rigen el derecho a la información. Asi mismo, la autoridad omite considerar soluciones tecnológicas sencillas y gratuitas para el envío de archivos de gran tamaño, como enlaces de descarga desde servicios en la nube, demostrando una nula voluntad de facilitar el acceso. Por lo anteriormente expuesto y fundado, solicito a este Instituto de Transparencia, Acceso a la Información Pública y Protección de Datos Personales del Estado de México y Municipios: Primero. Tenerme como presentado en tiempo y forma el presente recurso de revisión. Segundo, Renovar en su totalidad la respuesta del Sujeto Obligado contenida en el oficio DOTYDU/2837/2025. Tercero. Obligar al Municipio de Atizapán de Zaragoza que entregue la información del año 2024 en formato digital y a través de un medio electrónico que no requiera mi presencia física. Cuarto- Respecto a los años 2022, 2023 y 2025, ordenar al Sujeto Obligado que realice una nueva búsqueda y, en caso de insistir en la inexistencia, presente el Acta de Sesión de su Comité de Transparencia donde se confirme, funde y motive debidamente dicha determinación..”</w:t>
      </w:r>
    </w:p>
    <w:p w:rsidR="005C03A4" w:rsidRDefault="005C03A4">
      <w:pPr>
        <w:ind w:right="-1701"/>
        <w:jc w:val="both"/>
        <w:rPr>
          <w:rFonts w:ascii="Palatino Linotype" w:eastAsia="Palatino Linotype" w:hAnsi="Palatino Linotype" w:cs="Palatino Linotype"/>
          <w:b/>
          <w:bCs/>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momento de interponer el recurso de revisión el entonces </w:t>
      </w:r>
      <w:r>
        <w:rPr>
          <w:rFonts w:ascii="Palatino Linotype" w:eastAsia="Palatino Linotype" w:hAnsi="Palatino Linotype" w:cs="Palatino Linotype"/>
          <w:b/>
          <w:bCs/>
          <w:color w:val="000000"/>
        </w:rPr>
        <w:t>SOLICITANTE a</w:t>
      </w:r>
      <w:r>
        <w:rPr>
          <w:rFonts w:ascii="Palatino Linotype" w:eastAsia="Palatino Linotype" w:hAnsi="Palatino Linotype" w:cs="Palatino Linotype"/>
          <w:color w:val="000000"/>
        </w:rPr>
        <w:t xml:space="preserve">nexo el archivo electrónico </w:t>
      </w:r>
      <w:r>
        <w:rPr>
          <w:rFonts w:ascii="Palatino Linotype" w:eastAsia="Palatino Linotype" w:hAnsi="Palatino Linotype" w:cs="Palatino Linotype"/>
          <w:b/>
          <w:bCs/>
          <w:color w:val="000000"/>
        </w:rPr>
        <w:t xml:space="preserve">SOL. 0481-ATIZ-RESP..pdf, </w:t>
      </w:r>
      <w:r>
        <w:rPr>
          <w:rFonts w:ascii="Palatino Linotype" w:eastAsia="Palatino Linotype" w:hAnsi="Palatino Linotype" w:cs="Palatino Linotype"/>
          <w:color w:val="000000"/>
        </w:rPr>
        <w:t xml:space="preserve">que consiste en la respuesta proporcionada por el </w:t>
      </w:r>
      <w:r>
        <w:rPr>
          <w:rFonts w:ascii="Palatino Linotype" w:eastAsia="Palatino Linotype" w:hAnsi="Palatino Linotype" w:cs="Palatino Linotype"/>
          <w:b/>
          <w:bCs/>
          <w:color w:val="000000"/>
        </w:rPr>
        <w:t xml:space="preserve">SUJETO OBLIGADO.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Consecutivamente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w:t>
      </w:r>
      <w:r>
        <w:rPr>
          <w:rFonts w:ascii="Palatino Linotype" w:eastAsia="Palatino Linotype" w:hAnsi="Palatino Linotype" w:cs="Palatino Linotype"/>
          <w:color w:val="000000"/>
        </w:rPr>
        <w:lastRenderedPageBreak/>
        <w:t xml:space="preserve">el recurso fue turnado a la ponencia de la </w:t>
      </w:r>
      <w:r>
        <w:rPr>
          <w:rFonts w:ascii="Palatino Linotype" w:eastAsia="Palatino Linotype" w:hAnsi="Palatino Linotype" w:cs="Palatino Linotype"/>
          <w:b/>
          <w:bCs/>
          <w:color w:val="000000"/>
        </w:rPr>
        <w:t>Comisionada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María del Rosario Mejía Ayala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con el objeto de su análisis.</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del </w:t>
      </w:r>
      <w:r>
        <w:rPr>
          <w:rFonts w:ascii="Palatino Linotype" w:eastAsia="Palatino Linotype" w:hAnsi="Palatino Linotype" w:cs="Palatino Linotype"/>
          <w:b/>
          <w:bCs/>
          <w:color w:val="000000"/>
        </w:rPr>
        <w:t xml:space="preserve">veintinueve de septiembre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tal y como se observa en el expediente electrónico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ocho de octubre de dos mil veinticinco,  </w:t>
      </w:r>
      <w:r>
        <w:rPr>
          <w:rFonts w:ascii="Palatino Linotype" w:eastAsia="Palatino Linotype" w:hAnsi="Palatino Linotype" w:cs="Palatino Linotype"/>
        </w:rPr>
        <w:t>agregó</w:t>
      </w:r>
      <w:r>
        <w:rPr>
          <w:rFonts w:ascii="Palatino Linotype" w:eastAsia="Palatino Linotype" w:hAnsi="Palatino Linotype" w:cs="Palatino Linotype"/>
          <w:color w:val="000000"/>
        </w:rPr>
        <w:t xml:space="preserve"> dos archivos electrónicos formato pdf, cuyo contenido grosso modo es el siguiente.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[Untitled]_2025100814005633.pdf: </w:t>
      </w:r>
      <w:r>
        <w:rPr>
          <w:rFonts w:ascii="Palatino Linotype" w:eastAsia="Palatino Linotype" w:hAnsi="Palatino Linotype" w:cs="Palatino Linotype"/>
          <w:i/>
          <w:iCs/>
          <w:color w:val="000000"/>
        </w:rPr>
        <w:t xml:space="preserve">oficio del Titular de la Unidad de Transparencia, mediante el cual solicita al Director General de Ordenamiento Territorial y Desarrollo Urbano, emita las manifestaciones que a su derecho convenga.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b/>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[Untitled]_2025100814012346.pdf: </w:t>
      </w:r>
      <w:r>
        <w:rPr>
          <w:rFonts w:ascii="Palatino Linotype" w:eastAsia="Palatino Linotype" w:hAnsi="Palatino Linotype" w:cs="Palatino Linotype"/>
          <w:i/>
          <w:iCs/>
          <w:color w:val="000000"/>
        </w:rPr>
        <w:t xml:space="preserve">oficio del Director de Ordenamiento Territorial y Desarrollo Urbano, mediante el cual ratifica su respuesta inicial. </w:t>
      </w:r>
    </w:p>
    <w:p w:rsidR="005C03A4" w:rsidRDefault="005C03A4">
      <w:pPr>
        <w:pBdr>
          <w:top w:val="nil"/>
          <w:left w:val="nil"/>
          <w:bottom w:val="nil"/>
          <w:right w:val="nil"/>
          <w:between w:val="nil"/>
        </w:pBdr>
        <w:ind w:left="708" w:right="-1701"/>
        <w:rPr>
          <w:rFonts w:ascii="Palatino Linotype" w:eastAsia="Palatino Linotype" w:hAnsi="Palatino Linotype" w:cs="Palatino Linotype"/>
          <w:i/>
          <w:iCs/>
        </w:rPr>
      </w:pPr>
    </w:p>
    <w:p w:rsidR="005C03A4" w:rsidRDefault="005C03A4">
      <w:pPr>
        <w:pBdr>
          <w:top w:val="nil"/>
          <w:left w:val="nil"/>
          <w:bottom w:val="nil"/>
          <w:right w:val="nil"/>
          <w:between w:val="nil"/>
        </w:pBdr>
        <w:ind w:left="708" w:right="-1701"/>
        <w:rPr>
          <w:rFonts w:ascii="Palatino Linotype" w:eastAsia="Palatino Linotype" w:hAnsi="Palatino Linotype" w:cs="Palatino Linotype"/>
          <w:i/>
          <w:iCs/>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dejó</w:t>
      </w:r>
      <w:r>
        <w:rPr>
          <w:rFonts w:ascii="Palatino Linotype" w:eastAsia="Palatino Linotype" w:hAnsi="Palatino Linotype" w:cs="Palatino Linotype"/>
          <w:color w:val="000000"/>
        </w:rPr>
        <w:t xml:space="preserve"> de realizar manifestaciones que a su derecho conviniera.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once de mayo de dos mil veintiséis</w:t>
      </w:r>
      <w:r>
        <w:rPr>
          <w:rFonts w:ascii="Palatino Linotype" w:eastAsia="Palatino Linotype" w:hAnsi="Palatino Linotype" w:cs="Palatino Linotype"/>
          <w:color w:val="000000"/>
        </w:rPr>
        <w:t xml:space="preserve">, la Comisionada Ponente notificó el </w:t>
      </w:r>
      <w:r>
        <w:rPr>
          <w:rFonts w:ascii="Palatino Linotype" w:eastAsia="Palatino Linotype" w:hAnsi="Palatino Linotype" w:cs="Palatino Linotype"/>
          <w:b/>
          <w:bCs/>
          <w:color w:val="000000"/>
        </w:rPr>
        <w:t>acuerdo de ampliación</w:t>
      </w:r>
      <w:r>
        <w:rPr>
          <w:rFonts w:ascii="Palatino Linotype" w:eastAsia="Palatino Linotype" w:hAnsi="Palatino Linotype" w:cs="Palatino Linotype"/>
          <w:color w:val="000000"/>
        </w:rPr>
        <w:t xml:space="preserve"> de plazo para emitir resolución.</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bookmarkStart w:id="4" w:name="_heading=h.2et92p0" w:colFirst="0" w:colLast="0"/>
      <w:bookmarkEnd w:id="4"/>
      <w:r>
        <w:rPr>
          <w:rFonts w:ascii="Palatino Linotype" w:eastAsia="Palatino Linotype" w:hAnsi="Palatino Linotype" w:cs="Palatino Linotype"/>
          <w:color w:val="000000"/>
        </w:rPr>
        <w:lastRenderedPageBreak/>
        <w:t>Finalmente, la Comisionada Ponente mediante acuerdo de fecha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highlight w:val="white"/>
        </w:rPr>
        <w:t xml:space="preserve"> veinte de mayo de dos mil veintiséis</w:t>
      </w:r>
      <w:r>
        <w:rPr>
          <w:rFonts w:ascii="Palatino Linotype" w:eastAsia="Palatino Linotype" w:hAnsi="Palatino Linotype" w:cs="Palatino Linotype"/>
          <w:color w:val="000000"/>
          <w:highlight w:val="white"/>
        </w:rPr>
        <w:t>, decretó el cierre de instrucción d</w:t>
      </w:r>
      <w:r>
        <w:rPr>
          <w:rFonts w:ascii="Palatino Linotype" w:eastAsia="Palatino Linotype" w:hAnsi="Palatino Linotype" w:cs="Palatino Linotype"/>
          <w:color w:val="000000"/>
        </w:rPr>
        <w:t xml:space="preserve">e los expedientes, por lo que no habiendo más que hacer constar, y </w:t>
      </w:r>
    </w:p>
    <w:p w:rsidR="005C03A4" w:rsidRDefault="005C03A4">
      <w:pPr>
        <w:spacing w:line="360" w:lineRule="auto"/>
        <w:ind w:right="-1701"/>
        <w:rPr>
          <w:rFonts w:ascii="Palatino Linotype" w:eastAsia="Palatino Linotype" w:hAnsi="Palatino Linotype" w:cs="Palatino Linotype"/>
          <w:b/>
          <w:bCs/>
          <w:color w:val="000000"/>
        </w:rPr>
      </w:pPr>
      <w:bookmarkStart w:id="5" w:name="_heading=h.162m1m3fkzl6" w:colFirst="0" w:colLast="0"/>
      <w:bookmarkEnd w:id="5"/>
    </w:p>
    <w:p w:rsidR="005C03A4" w:rsidRDefault="000140E2">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 O N S I D E R A N D O </w:t>
      </w:r>
    </w:p>
    <w:p w:rsidR="005C03A4" w:rsidRDefault="000140E2">
      <w:pPr>
        <w:pStyle w:val="Ttulo2"/>
        <w:spacing w:before="0" w:line="360" w:lineRule="auto"/>
        <w:ind w:right="-1701"/>
        <w:rPr>
          <w:rFonts w:ascii="Palatino Linotype" w:eastAsia="Palatino Linotype" w:hAnsi="Palatino Linotype" w:cs="Palatino Linotype"/>
          <w:b/>
          <w:bCs/>
          <w:color w:val="000000"/>
          <w:sz w:val="24"/>
          <w:szCs w:val="24"/>
        </w:rPr>
      </w:pPr>
      <w:bookmarkStart w:id="6" w:name="_heading=h.tyjcwt" w:colFirst="0" w:colLast="0"/>
      <w:bookmarkEnd w:id="6"/>
      <w:r>
        <w:rPr>
          <w:rFonts w:ascii="Palatino Linotype" w:eastAsia="Palatino Linotype" w:hAnsi="Palatino Linotype" w:cs="Palatino Linotype"/>
          <w:b/>
          <w:bCs/>
          <w:color w:val="000000"/>
          <w:sz w:val="24"/>
          <w:szCs w:val="24"/>
        </w:rPr>
        <w:t>PRIMERO. De la competencia</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bookmarkStart w:id="7" w:name="_heading=h.3dy6vkm" w:colFirst="0" w:colLast="0"/>
      <w:bookmarkEnd w:id="7"/>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C03A4" w:rsidRDefault="005C03A4">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b/>
          <w:bCs/>
          <w:color w:val="000000"/>
        </w:rPr>
      </w:pPr>
    </w:p>
    <w:p w:rsidR="005C03A4" w:rsidRDefault="000140E2">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b/>
          <w:bCs/>
          <w:color w:val="000000"/>
        </w:rPr>
      </w:pPr>
      <w:bookmarkStart w:id="8" w:name="_heading=h.1t3h5sf" w:colFirst="0" w:colLast="0"/>
      <w:bookmarkEnd w:id="8"/>
      <w:r>
        <w:rPr>
          <w:rFonts w:ascii="Palatino Linotype" w:eastAsia="Palatino Linotype" w:hAnsi="Palatino Linotype" w:cs="Palatino Linotype"/>
          <w:b/>
          <w:bCs/>
          <w:color w:val="000000"/>
        </w:rPr>
        <w:t>SEGUNDO. De la oportunidad y procedencia.</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9" w:name="_heading=h.4d34og8" w:colFirst="0" w:colLast="0"/>
      <w:bookmarkEnd w:id="9"/>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diecisiete de septiembre de dos mil veinticinco</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dieciocho de septiembre al ocho de octubre de dos mil veinticinco</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día </w:t>
      </w:r>
      <w:r>
        <w:rPr>
          <w:rFonts w:ascii="Palatino Linotype" w:eastAsia="Palatino Linotype" w:hAnsi="Palatino Linotype" w:cs="Palatino Linotype"/>
          <w:b/>
          <w:bCs/>
          <w:color w:val="000000"/>
        </w:rPr>
        <w:lastRenderedPageBreak/>
        <w:t>veintiocho de septiembre de dos mil veinticinco</w:t>
      </w:r>
      <w:r>
        <w:rPr>
          <w:rFonts w:ascii="Palatino Linotype" w:eastAsia="Palatino Linotype" w:hAnsi="Palatino Linotype" w:cs="Palatino Linotype"/>
          <w:color w:val="000000"/>
        </w:rPr>
        <w:t>; es decir dentro del lapso legalmente establecido para tal efecto.</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es de suma importancia señalar que la parte recurrente no proporciona un nombre completo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5C03A4" w:rsidRDefault="005C03A4">
      <w:pPr>
        <w:pBdr>
          <w:top w:val="nil"/>
          <w:left w:val="nil"/>
          <w:bottom w:val="nil"/>
          <w:right w:val="nil"/>
          <w:between w:val="nil"/>
        </w:pBdr>
        <w:ind w:right="-1701"/>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C03A4" w:rsidRDefault="000140E2">
      <w:pPr>
        <w:pBdr>
          <w:top w:val="nil"/>
          <w:left w:val="nil"/>
          <w:bottom w:val="nil"/>
          <w:right w:val="nil"/>
          <w:between w:val="nil"/>
        </w:pBdr>
        <w:spacing w:after="12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éstos.”(Sic)</w:t>
      </w:r>
    </w:p>
    <w:p w:rsidR="005C03A4" w:rsidRDefault="005C03A4">
      <w:pPr>
        <w:pBdr>
          <w:top w:val="nil"/>
          <w:left w:val="nil"/>
          <w:bottom w:val="nil"/>
          <w:right w:val="nil"/>
          <w:between w:val="nil"/>
        </w:pBdr>
        <w:ind w:left="360" w:right="-1701" w:hanging="76"/>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5C03A4" w:rsidRDefault="005C03A4">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5C03A4" w:rsidRDefault="005C03A4">
      <w:pPr>
        <w:pBdr>
          <w:top w:val="nil"/>
          <w:left w:val="nil"/>
          <w:bottom w:val="nil"/>
          <w:right w:val="nil"/>
          <w:between w:val="nil"/>
        </w:pBdr>
        <w:ind w:left="360" w:right="-1701" w:hanging="76"/>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otra parte, del contenido del artículo 1 de la Constitución Política de los Estados Unidos mexicanos, se destaca lo siguiente: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5C03A4" w:rsidRDefault="005C03A4">
      <w:pPr>
        <w:pBdr>
          <w:top w:val="nil"/>
          <w:left w:val="nil"/>
          <w:bottom w:val="nil"/>
          <w:right w:val="nil"/>
          <w:between w:val="nil"/>
        </w:pBdr>
        <w:ind w:left="360" w:right="-1701" w:firstLine="66"/>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color w:val="000000"/>
        </w:rPr>
        <w:t>derecho fundamental exime a quien lo ejerce</w:t>
      </w:r>
      <w:r>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4C3816" w:rsidRDefault="004C3816" w:rsidP="004C3816">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“Acceso a información gubernamental. No debe condicionarse a que el solicitante acredite su personalidad, demuestre interés alguno o justifique su utilización. De conformidad con lo dispuesto en los artículos 6º., apartado A, fracción III de la Constitución Política de los </w:t>
      </w:r>
      <w:r>
        <w:rPr>
          <w:rFonts w:ascii="Palatino Linotype" w:eastAsia="Palatino Linotype" w:hAnsi="Palatino Linotype" w:cs="Palatino Linotype"/>
          <w:i/>
          <w:iCs/>
          <w:color w:val="000000"/>
        </w:rPr>
        <w:lastRenderedPageBreak/>
        <w:t>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rsidR="005C03A4" w:rsidRDefault="005C03A4">
      <w:pPr>
        <w:pBdr>
          <w:top w:val="nil"/>
          <w:left w:val="nil"/>
          <w:bottom w:val="nil"/>
          <w:right w:val="nil"/>
          <w:between w:val="nil"/>
        </w:pBdr>
        <w:ind w:left="360" w:right="-1701" w:hanging="76"/>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pStyle w:val="Ttulo1"/>
        <w:spacing w:before="0" w:line="360" w:lineRule="auto"/>
        <w:ind w:right="-1701"/>
        <w:rPr>
          <w:rFonts w:ascii="Palatino Linotype" w:eastAsia="Palatino Linotype" w:hAnsi="Palatino Linotype" w:cs="Palatino Linotype"/>
          <w:b/>
          <w:bCs/>
          <w:color w:val="000000"/>
          <w:sz w:val="24"/>
          <w:szCs w:val="24"/>
        </w:rPr>
      </w:pPr>
      <w:bookmarkStart w:id="10" w:name="_heading=h.2s8eyo1" w:colFirst="0" w:colLast="0"/>
      <w:bookmarkEnd w:id="10"/>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5C03A4" w:rsidRDefault="000140E2">
      <w:pP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Los cambios de uso del suelo incluyendo todos sus anexos que fueron autorizados en el COPLADEMUN en el año 2022, 2023, 2024 y 2025. </w:t>
      </w:r>
    </w:p>
    <w:p w:rsidR="005C03A4" w:rsidRDefault="005C03A4">
      <w:pPr>
        <w:ind w:left="1134" w:right="-1701"/>
        <w:jc w:val="both"/>
        <w:rPr>
          <w:rFonts w:ascii="Palatino Linotype" w:eastAsia="Palatino Linotype" w:hAnsi="Palatino Linotype" w:cs="Palatino Linotype"/>
          <w:i/>
          <w:iCs/>
          <w:color w:val="000000"/>
        </w:rPr>
      </w:pPr>
    </w:p>
    <w:p w:rsidR="005C03A4" w:rsidRDefault="000140E2">
      <w:pP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2.- Las versiones estenográficas de las sesiones de COPLADEMUN que se llevaron a cabo en esos años.</w:t>
      </w:r>
    </w:p>
    <w:p w:rsidR="005C03A4" w:rsidRDefault="005C03A4">
      <w:pPr>
        <w:ind w:left="1134" w:right="-1701"/>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referida en el párrafo cuatro de la presente resolución.</w:t>
      </w:r>
      <w:r>
        <w:rPr>
          <w:rFonts w:ascii="Palatino Linotype" w:eastAsia="Palatino Linotype" w:hAnsi="Palatino Linotype" w:cs="Palatino Linotype"/>
          <w:i/>
          <w:iCs/>
          <w:color w:val="000000"/>
        </w:rPr>
        <w:t xml:space="preserve">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w:t>
      </w:r>
      <w:r>
        <w:rPr>
          <w:rFonts w:ascii="Palatino Linotype" w:eastAsia="Palatino Linotype" w:hAnsi="Palatino Linotype" w:cs="Palatino Linotype"/>
          <w:b/>
          <w:bCs/>
          <w:color w:val="000000"/>
        </w:rPr>
        <w:lastRenderedPageBreak/>
        <w:t xml:space="preserve">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la negativa de información por parte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los presentes recursos de revisión se </w:t>
      </w:r>
      <w:r>
        <w:rPr>
          <w:rFonts w:ascii="Palatino Linotype" w:eastAsia="Palatino Linotype" w:hAnsi="Palatino Linotype" w:cs="Palatino Linotype"/>
        </w:rPr>
        <w:t>abocaron</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C03A4" w:rsidRDefault="005C03A4">
      <w:pPr>
        <w:pBdr>
          <w:top w:val="nil"/>
          <w:left w:val="nil"/>
          <w:bottom w:val="nil"/>
          <w:right w:val="nil"/>
          <w:between w:val="nil"/>
        </w:pBdr>
        <w:spacing w:line="360" w:lineRule="auto"/>
        <w:ind w:left="709" w:right="-1701"/>
        <w:rPr>
          <w:rFonts w:ascii="Palatino Linotype" w:eastAsia="Palatino Linotype" w:hAnsi="Palatino Linotype" w:cs="Palatino Linotype"/>
          <w:color w:val="000000"/>
        </w:rPr>
      </w:pPr>
    </w:p>
    <w:p w:rsidR="005C03A4" w:rsidRDefault="000140E2">
      <w:pPr>
        <w:keepNext/>
        <w:keepLines/>
        <w:spacing w:line="360" w:lineRule="auto"/>
        <w:ind w:right="-170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estudio.</w:t>
      </w:r>
    </w:p>
    <w:p w:rsidR="005C03A4" w:rsidRDefault="000140E2">
      <w:pPr>
        <w:keepNext/>
        <w:keepLines/>
        <w:numPr>
          <w:ilvl w:val="0"/>
          <w:numId w:val="5"/>
        </w:numPr>
        <w:spacing w:after="240" w:line="360" w:lineRule="auto"/>
        <w:ind w:left="786" w:right="-1701"/>
        <w:rPr>
          <w:rFonts w:ascii="Palatino Linotype" w:eastAsia="Palatino Linotype" w:hAnsi="Palatino Linotype" w:cs="Palatino Linotype"/>
          <w:b/>
          <w:bCs/>
          <w:color w:val="000000"/>
        </w:rPr>
      </w:pPr>
      <w:bookmarkStart w:id="11" w:name="_heading=h.17dp8vu" w:colFirst="0" w:colLast="0"/>
      <w:bookmarkEnd w:id="11"/>
      <w:r>
        <w:rPr>
          <w:rFonts w:ascii="Palatino Linotype" w:eastAsia="Palatino Linotype" w:hAnsi="Palatino Linotype" w:cs="Palatino Linotype"/>
          <w:b/>
          <w:bCs/>
          <w:color w:val="000000"/>
        </w:rPr>
        <w:t>Del derecho de acceso a la información.</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C03A4" w:rsidRDefault="000140E2">
      <w:pPr>
        <w:numPr>
          <w:ilvl w:val="0"/>
          <w:numId w:val="4"/>
        </w:numPr>
        <w:spacing w:before="240"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 xml:space="preserve">en posesión de cualquier autoridad, entidad, </w:t>
      </w:r>
      <w:r>
        <w:rPr>
          <w:rFonts w:ascii="Palatino Linotype" w:eastAsia="Palatino Linotype" w:hAnsi="Palatino Linotype" w:cs="Palatino Linotype"/>
          <w:i/>
          <w:iCs/>
          <w:color w:val="000000"/>
        </w:rPr>
        <w:lastRenderedPageBreak/>
        <w:t>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C03A4" w:rsidRDefault="000140E2">
      <w:pPr>
        <w:ind w:left="1134" w:right="-170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5C03A4" w:rsidRDefault="005C03A4">
      <w:pPr>
        <w:ind w:right="-1701"/>
        <w:jc w:val="both"/>
        <w:rPr>
          <w:rFonts w:ascii="Palatino Linotype" w:eastAsia="Palatino Linotype" w:hAnsi="Palatino Linotype" w:cs="Palatino Linotype"/>
          <w:b/>
          <w:bCs/>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C03A4" w:rsidRDefault="000140E2">
      <w:pPr>
        <w:spacing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5C03A4" w:rsidRDefault="000140E2">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5C03A4" w:rsidRDefault="000140E2">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publicidad. Los sujetos obligados deberán documentar todo acto que derive del ejercicio de sus </w:t>
      </w:r>
      <w:r>
        <w:rPr>
          <w:rFonts w:ascii="Palatino Linotype" w:eastAsia="Palatino Linotype" w:hAnsi="Palatino Linotype" w:cs="Palatino Linotype"/>
          <w:b/>
          <w:bCs/>
          <w:i/>
          <w:iCs/>
        </w:rPr>
        <w:lastRenderedPageBreak/>
        <w:t>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C03A4" w:rsidRDefault="005C03A4">
      <w:pPr>
        <w:pBdr>
          <w:top w:val="nil"/>
          <w:left w:val="nil"/>
          <w:bottom w:val="nil"/>
          <w:right w:val="nil"/>
          <w:between w:val="nil"/>
        </w:pBdr>
        <w:tabs>
          <w:tab w:val="left" w:pos="567"/>
        </w:tabs>
        <w:spacing w:before="240" w:after="240"/>
        <w:ind w:left="1134" w:right="-1701"/>
        <w:jc w:val="both"/>
        <w:rPr>
          <w:rFonts w:ascii="Palatino Linotype" w:eastAsia="Palatino Linotype" w:hAnsi="Palatino Linotype" w:cs="Palatino Linotype"/>
          <w:b/>
          <w:bCs/>
          <w:i/>
          <w:iCs/>
          <w:color w:val="000000"/>
        </w:rPr>
      </w:pPr>
    </w:p>
    <w:p w:rsidR="005C03A4" w:rsidRDefault="000140E2">
      <w:pPr>
        <w:spacing w:before="240" w:after="240"/>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5C03A4" w:rsidRDefault="000140E2">
      <w:pPr>
        <w:spacing w:before="240" w:after="240"/>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5C03A4" w:rsidRDefault="005C03A4">
      <w:pPr>
        <w:tabs>
          <w:tab w:val="left" w:pos="567"/>
        </w:tabs>
        <w:spacing w:before="240" w:after="240"/>
        <w:ind w:right="-1701"/>
        <w:jc w:val="both"/>
        <w:rPr>
          <w:rFonts w:ascii="Palatino Linotype" w:eastAsia="Palatino Linotype" w:hAnsi="Palatino Linotype" w:cs="Palatino Linotype"/>
          <w:b/>
          <w:bCs/>
          <w:i/>
          <w:iCs/>
        </w:rPr>
      </w:pPr>
    </w:p>
    <w:p w:rsidR="005C03A4" w:rsidRDefault="000140E2">
      <w:pPr>
        <w:numPr>
          <w:ilvl w:val="0"/>
          <w:numId w:val="4"/>
        </w:numPr>
        <w:spacing w:before="240"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bookmarkStart w:id="12" w:name="_heading=h.3rdcrjn" w:colFirst="0" w:colLast="0"/>
      <w:bookmarkEnd w:id="12"/>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pStyle w:val="Ttulo1"/>
        <w:spacing w:before="0" w:after="240" w:line="360" w:lineRule="auto"/>
        <w:ind w:right="-1701"/>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II. De la información solicitada y la respuesta del SUJETO OBLIGADO</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porque no se entrega la información solicitada por parte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situación que será el motivo de análisis del presente recurso de revisión</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es importante recordar la información que fue solicitada por el </w:t>
      </w:r>
      <w:r>
        <w:rPr>
          <w:rFonts w:ascii="Palatino Linotype" w:eastAsia="Palatino Linotype" w:hAnsi="Palatino Linotype" w:cs="Palatino Linotype"/>
          <w:b/>
          <w:bCs/>
        </w:rPr>
        <w:t xml:space="preserve">RECURRENTE y si con la información remitida fue colmado el derecho de acceso a la información, </w:t>
      </w:r>
      <w:r>
        <w:rPr>
          <w:rFonts w:ascii="Palatino Linotype" w:eastAsia="Palatino Linotype" w:hAnsi="Palatino Linotype" w:cs="Palatino Linotype"/>
        </w:rPr>
        <w:t xml:space="preserve">mediante el siguiente cuadro de análisis. </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tbl>
      <w:tblPr>
        <w:tblStyle w:val="a"/>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6"/>
        <w:gridCol w:w="2823"/>
        <w:gridCol w:w="2125"/>
        <w:gridCol w:w="1919"/>
      </w:tblGrid>
      <w:tr w:rsidR="005C03A4">
        <w:tc>
          <w:tcPr>
            <w:tcW w:w="3056" w:type="dxa"/>
          </w:tcPr>
          <w:p w:rsidR="005C03A4" w:rsidRDefault="000140E2">
            <w:pPr>
              <w:ind w:right="15"/>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Información solicitada</w:t>
            </w:r>
          </w:p>
        </w:tc>
        <w:tc>
          <w:tcPr>
            <w:tcW w:w="2823" w:type="dxa"/>
          </w:tcPr>
          <w:p w:rsidR="005C03A4" w:rsidRDefault="000140E2">
            <w:pPr>
              <w:ind w:right="15"/>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Respuesta inicial</w:t>
            </w:r>
          </w:p>
        </w:tc>
        <w:tc>
          <w:tcPr>
            <w:tcW w:w="2125" w:type="dxa"/>
          </w:tcPr>
          <w:p w:rsidR="005C03A4" w:rsidRDefault="000140E2">
            <w:pPr>
              <w:ind w:right="15"/>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manifestaciones</w:t>
            </w:r>
          </w:p>
        </w:tc>
        <w:tc>
          <w:tcPr>
            <w:tcW w:w="1919" w:type="dxa"/>
          </w:tcPr>
          <w:p w:rsidR="005C03A4" w:rsidRDefault="000140E2">
            <w:pPr>
              <w:ind w:right="15"/>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w:t>
            </w:r>
          </w:p>
        </w:tc>
      </w:tr>
      <w:tr w:rsidR="005C03A4">
        <w:trPr>
          <w:trHeight w:val="409"/>
        </w:trPr>
        <w:tc>
          <w:tcPr>
            <w:tcW w:w="3056"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Los cambios de uso del suelo incluyendo todos sus anexos que fueron autorizados en el COPLADEMUN en el año 2022, 2023, 2024 y 2025. </w:t>
            </w:r>
          </w:p>
          <w:p w:rsidR="005C03A4" w:rsidRDefault="005C03A4">
            <w:pPr>
              <w:ind w:right="15"/>
              <w:jc w:val="both"/>
              <w:rPr>
                <w:rFonts w:ascii="Palatino Linotype" w:eastAsia="Palatino Linotype" w:hAnsi="Palatino Linotype" w:cs="Palatino Linotype"/>
                <w:i/>
                <w:iCs/>
              </w:rPr>
            </w:pPr>
          </w:p>
        </w:tc>
        <w:tc>
          <w:tcPr>
            <w:tcW w:w="2823"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SOL. 0481-ATIZ-RESP..pdf: </w:t>
            </w:r>
            <w:r>
              <w:rPr>
                <w:rFonts w:ascii="Palatino Linotype" w:eastAsia="Palatino Linotype" w:hAnsi="Palatino Linotype" w:cs="Palatino Linotype"/>
                <w:i/>
                <w:iCs/>
              </w:rPr>
              <w:t xml:space="preserve">oficio del Director de Ordenamiento Territorial y Desarrollo Urbano, mediante el cual informa que respecto a los años 2022, 2023 y 2025, no existe registro de integración del COPLADEMUN, respecto del año 2024 si re realizaron votaciones para el cambio de uso de suelo, misma que se pone a disposición en consulta directa, toda vez que la información sobre pasa las capacidades técnica del sistema.  </w:t>
            </w:r>
          </w:p>
          <w:p w:rsidR="005C03A4" w:rsidRDefault="005C03A4">
            <w:pPr>
              <w:ind w:right="15"/>
              <w:jc w:val="both"/>
              <w:rPr>
                <w:rFonts w:ascii="Palatino Linotype" w:eastAsia="Palatino Linotype" w:hAnsi="Palatino Linotype" w:cs="Palatino Linotype"/>
                <w:i/>
                <w:iCs/>
              </w:rPr>
            </w:pPr>
          </w:p>
        </w:tc>
        <w:tc>
          <w:tcPr>
            <w:tcW w:w="2125"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Ratifica respuesta inicial</w:t>
            </w:r>
          </w:p>
        </w:tc>
        <w:tc>
          <w:tcPr>
            <w:tcW w:w="1919"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toda vez que de acuerdo con la Ley de Planeación del Estado de México y Municipios el COPLADEMUN se tiene que instalar tres meses después del inicio de la administración. </w:t>
            </w:r>
          </w:p>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Así mismo, no colma, toda vez que las hojas reportadas en el requerimiento de información adicional no sobre pasa las capacidades técnicas del sistema SAIMEX. </w:t>
            </w:r>
          </w:p>
        </w:tc>
      </w:tr>
      <w:tr w:rsidR="005C03A4">
        <w:tc>
          <w:tcPr>
            <w:tcW w:w="3056"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2.- Las versiones estenográficas de las sesiones de COPLADEMUN que se llevaron a cabo en esos años.</w:t>
            </w:r>
          </w:p>
        </w:tc>
        <w:tc>
          <w:tcPr>
            <w:tcW w:w="2823" w:type="dxa"/>
          </w:tcPr>
          <w:p w:rsidR="005C03A4" w:rsidRDefault="000140E2">
            <w:pPr>
              <w:pBdr>
                <w:top w:val="nil"/>
                <w:left w:val="nil"/>
                <w:bottom w:val="nil"/>
                <w:right w:val="nil"/>
                <w:between w:val="nil"/>
              </w:pBd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hay pronunciamiento </w:t>
            </w:r>
          </w:p>
        </w:tc>
        <w:tc>
          <w:tcPr>
            <w:tcW w:w="2125"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hay pronunciamiento </w:t>
            </w:r>
          </w:p>
        </w:tc>
        <w:tc>
          <w:tcPr>
            <w:tcW w:w="1919" w:type="dxa"/>
          </w:tcPr>
          <w:p w:rsidR="005C03A4" w:rsidRDefault="000140E2">
            <w:pPr>
              <w:ind w:right="15"/>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colma </w:t>
            </w:r>
          </w:p>
        </w:tc>
      </w:tr>
    </w:tbl>
    <w:p w:rsidR="005C03A4" w:rsidRDefault="005C03A4">
      <w:pPr>
        <w:ind w:right="-1701"/>
        <w:jc w:val="both"/>
        <w:rPr>
          <w:rFonts w:ascii="Palatino Linotype" w:eastAsia="Palatino Linotype" w:hAnsi="Palatino Linotype" w:cs="Palatino Linotype"/>
          <w:i/>
          <w:iCs/>
          <w:color w:val="000000"/>
        </w:rPr>
      </w:pPr>
    </w:p>
    <w:p w:rsidR="005C03A4" w:rsidRDefault="005C03A4">
      <w:pPr>
        <w:ind w:right="-1701"/>
        <w:jc w:val="both"/>
        <w:rPr>
          <w:rFonts w:ascii="Palatino Linotype" w:eastAsia="Palatino Linotype" w:hAnsi="Palatino Linotype" w:cs="Palatino Linotype"/>
          <w:i/>
          <w:iCs/>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la tabla anterior, se tiene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no </w:t>
      </w:r>
      <w:r>
        <w:rPr>
          <w:rFonts w:ascii="Palatino Linotype" w:eastAsia="Palatino Linotype" w:hAnsi="Palatino Linotype" w:cs="Palatino Linotype"/>
        </w:rPr>
        <w:t>colmó</w:t>
      </w:r>
      <w:r>
        <w:rPr>
          <w:rFonts w:ascii="Palatino Linotype" w:eastAsia="Palatino Linotype" w:hAnsi="Palatino Linotype" w:cs="Palatino Linotype"/>
          <w:color w:val="000000"/>
        </w:rPr>
        <w:t xml:space="preserve">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toda vez que no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la información solicitada, situación por la cual se hace el siguiente </w:t>
      </w:r>
      <w:r>
        <w:rPr>
          <w:rFonts w:ascii="Palatino Linotype" w:eastAsia="Palatino Linotype" w:hAnsi="Palatino Linotype" w:cs="Palatino Linotype"/>
        </w:rPr>
        <w:t>análisis</w:t>
      </w:r>
      <w:r>
        <w:rPr>
          <w:rFonts w:ascii="Palatino Linotype" w:eastAsia="Palatino Linotype" w:hAnsi="Palatino Linotype" w:cs="Palatino Linotype"/>
          <w:color w:val="000000"/>
        </w:rPr>
        <w:t xml:space="preserve">.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primer punto se debe de analizar que dio atención a la solicitud de información la Dirección de Ordenamiento Territorial  y Desarrollo Urbano, quien de acuerdo con el Bando Municipal tiene las siguientes funciones.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51.-</w:t>
      </w:r>
      <w:r>
        <w:rPr>
          <w:rFonts w:ascii="Palatino Linotype" w:eastAsia="Palatino Linotype" w:hAnsi="Palatino Linotype" w:cs="Palatino Linotype"/>
          <w:i/>
          <w:iCs/>
          <w:color w:val="000000"/>
        </w:rPr>
        <w:t xml:space="preserve"> La Dirección de Ordenamiento Territorial y Desarrollo Urbano tendrá a su cargo planear, formular, ejecutar, conducir y vigilar las políticas públicas municipales en materia de asentamientos humanos, ordenamiento territorial, desarrollo urbano e imagen urbana, que permitan aprovechar las potencialidades del Municipio y promuevan la inclusión, la competitividad, la sostenibilidad, la resiliencia urbana, el desarrollo social y regional.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En el ámbito de su competencia, tendrá a su cargo vigilar el cumplimiento de las Leyes, Códigos, Reglamentos, planes, programas y demás disposiciones administrativas aplicables en dicha materia, asimismo, estará facultada para expedir las autorizaciones, permisos, licencias, constancias, dictámenes y demás trámites relacionados, en materia de utilización y aprovechamiento del suelo con fines urbanos, de las construcciones privadas que se realicen en el territorio municipal, garantizando que éstas, satisfagan condiciones de seguridad, habitabilidad, funcionalidad, calidad, higiene, sustentabilidad y de integración armónica al contexto urbano y natural y de las obras subterráneas o aéreas en la vía pública; los anuncios publicitarios que requieran de elementos estructurales; estaciones repetidoras y antenas para radiotelecomunicaciones.</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se tiene que la solicitud de información 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al área habilitada, sin embargo la misma no </w:t>
      </w:r>
      <w:r>
        <w:rPr>
          <w:rFonts w:ascii="Palatino Linotype" w:eastAsia="Palatino Linotype" w:hAnsi="Palatino Linotype" w:cs="Palatino Linotype"/>
        </w:rPr>
        <w:t>colmó</w:t>
      </w:r>
      <w:r>
        <w:rPr>
          <w:rFonts w:ascii="Palatino Linotype" w:eastAsia="Palatino Linotype" w:hAnsi="Palatino Linotype" w:cs="Palatino Linotype"/>
          <w:color w:val="000000"/>
        </w:rPr>
        <w:t xml:space="preserve"> el derecho de acceso a la información del </w:t>
      </w:r>
      <w:r>
        <w:rPr>
          <w:rFonts w:ascii="Palatino Linotype" w:eastAsia="Palatino Linotype" w:hAnsi="Palatino Linotype" w:cs="Palatino Linotype"/>
          <w:b/>
          <w:bCs/>
          <w:color w:val="000000"/>
        </w:rPr>
        <w:t xml:space="preserve">RECURRENTE.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en cuanto a los años 2022, 2023 y 2025 de los cuales informa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que no se puede entregar información, toda vez que </w:t>
      </w:r>
      <w:r>
        <w:rPr>
          <w:rFonts w:ascii="Palatino Linotype" w:eastAsia="Palatino Linotype" w:hAnsi="Palatino Linotype" w:cs="Palatino Linotype"/>
          <w:i/>
          <w:iCs/>
          <w:color w:val="000000"/>
        </w:rPr>
        <w:t xml:space="preserve">no </w:t>
      </w:r>
      <w:r>
        <w:rPr>
          <w:rFonts w:ascii="Palatino Linotype" w:eastAsia="Palatino Linotype" w:hAnsi="Palatino Linotype" w:cs="Palatino Linotype"/>
          <w:color w:val="000000"/>
        </w:rPr>
        <w:t xml:space="preserve">existe registro de integración del COPLADEMUN, se hace el siguiente </w:t>
      </w:r>
      <w:r>
        <w:rPr>
          <w:rFonts w:ascii="Palatino Linotype" w:eastAsia="Palatino Linotype" w:hAnsi="Palatino Linotype" w:cs="Palatino Linotype"/>
        </w:rPr>
        <w:t>análisis</w:t>
      </w:r>
      <w:r>
        <w:rPr>
          <w:rFonts w:ascii="Palatino Linotype" w:eastAsia="Palatino Linotype" w:hAnsi="Palatino Linotype" w:cs="Palatino Linotype"/>
          <w:color w:val="000000"/>
        </w:rPr>
        <w:t xml:space="preserve">. </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se debe de analizar que el artículo 22 de la Ley de Planeación del Estado de México y Municipios, regula lo siguiente.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22.-</w:t>
      </w:r>
      <w:r>
        <w:rPr>
          <w:rFonts w:ascii="Palatino Linotype" w:eastAsia="Palatino Linotype" w:hAnsi="Palatino Linotype" w:cs="Palatino Linotype"/>
          <w:i/>
          <w:iCs/>
          <w:color w:val="000000"/>
        </w:rPr>
        <w:t xml:space="preserve"> Los planes de desarrollo se formularán, aprobarán y publicarán dentro de un plazo de seis meses para el Ejecutivo del Estado </w:t>
      </w:r>
      <w:r>
        <w:rPr>
          <w:rFonts w:ascii="Palatino Linotype" w:eastAsia="Palatino Linotype" w:hAnsi="Palatino Linotype" w:cs="Palatino Linotype"/>
          <w:b/>
          <w:bCs/>
          <w:i/>
          <w:iCs/>
          <w:color w:val="000000"/>
        </w:rPr>
        <w:t>y tres meses para los ayuntamientos, contados a partir del inicio del período constitucional de gobierno y en su elaboración se tomarán en cuenta las opiniones y aportaciones de los diversos grupos de la sociedad;</w:t>
      </w:r>
      <w:r>
        <w:rPr>
          <w:rFonts w:ascii="Palatino Linotype" w:eastAsia="Palatino Linotype" w:hAnsi="Palatino Linotype" w:cs="Palatino Linotype"/>
          <w:i/>
          <w:iCs/>
          <w:color w:val="000000"/>
        </w:rPr>
        <w:t xml:space="preserve"> así como el Plan de Desarrollo precedente y contener por lo menos un diagnóstico de la situación actual en ejes centrales, temas prioritarios, objetivos, estrategias e indicadores de desempeño, de igual manera habrá de considerarse el siguiente período constitucional de gobierno, a fin de asegurar la continuidad y consecución de aquellos que por su importancia adquieran el carácter estratégico de largo plazo. Su vigencia se </w:t>
      </w:r>
      <w:r>
        <w:rPr>
          <w:rFonts w:ascii="Palatino Linotype" w:eastAsia="Palatino Linotype" w:hAnsi="Palatino Linotype" w:cs="Palatino Linotype"/>
          <w:i/>
          <w:iCs/>
        </w:rPr>
        <w:t>circunscribe</w:t>
      </w:r>
      <w:r>
        <w:rPr>
          <w:rFonts w:ascii="Palatino Linotype" w:eastAsia="Palatino Linotype" w:hAnsi="Palatino Linotype" w:cs="Palatino Linotype"/>
          <w:i/>
          <w:iCs/>
          <w:color w:val="000000"/>
        </w:rPr>
        <w:t xml:space="preserve"> al período constitucional o hasta la publicación del plan de desarrollo del siguiente período constitucional de gobierno.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Por lo que respecta al Plan de Desarrollo del Estado de México, antes de su aprobación, el titular del Ejecutivo Estatal lo remitirá a la Legislatura para su examen y opinión. De igual forma la Legislatura formulará las observaciones que estime convenientes durante la ejecución del plan.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Aprobados los planes de desarrollo, se publicarán en el periódico oficial “Gaceta del Gobierno” del Estado de México y en la “Gaceta Municipal”, según corresponda y se divulgarán a la población en general; su cumplimiento será obligatorio para las Dependencias y Entidades Públicas, lo mismo que los programas que de ellos se deriven, una vez aprobados.</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tiene que el COPLADEMUN debe de quedar instalado para el caso de los ayuntamientos tres meses posteriores al inicio de la administración, situación por la cual se desestima lo referido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al informar que para el caso de los años 2022, 2023 y 2025 no existe de integración del COPLADEMUN. </w:t>
      </w: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Lo anterior, tiene reforzamiento con el artículo 51 de la Ley de Planeación del Estado de México y Municipios, que regula lo siguiente.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51.- </w:t>
      </w:r>
      <w:r>
        <w:rPr>
          <w:rFonts w:ascii="Palatino Linotype" w:eastAsia="Palatino Linotype" w:hAnsi="Palatino Linotype" w:cs="Palatino Linotype"/>
          <w:i/>
          <w:iCs/>
          <w:color w:val="000000"/>
        </w:rPr>
        <w:t xml:space="preserve">Se constituirán en cada ayuntamiento comités de planeación para el desarrollo municipal “COPLADEMUN”, los cuales tendrán las siguientes atribuciones: </w:t>
      </w:r>
    </w:p>
    <w:p w:rsidR="005C03A4" w:rsidRDefault="000140E2">
      <w:pPr>
        <w:numPr>
          <w:ilvl w:val="0"/>
          <w:numId w:val="8"/>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Participar en la coordinación de las unidades administrativas o personas servidoras públicas municipales con las Dependencias y Entidades Públicas estatales y federales, en las acciones derivadas de las estrategias estatal y municipales de desarrollo;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Participar en la elaboración de los programas que deriven de los planes municipales de desarrollo;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Las demás que le atribuyan las leyes, reglamentos, decretos y acuerdos sobre la materia.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acuerdo con la Ley Orgánica Municipal del Estado de México, los órganos, dependencias o servidores públicos que determinen los ayuntamientos y que integren la Comisión de Planeación para el Desarrollo Municipal dentro del Sistema de Planeación Democrática y para los efectos de esta Ley de Planeación del Estado de México y Municipios, se entenderá, que también integrarán el Comité de Planeación para el Desarrollo Municipal, “COPLADEMUN” en el ayuntamiento, y deberán convocar a las reuniones de dicho Comité.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acuerdos de los comités de planeación para el desarrollo municipal deberán hacerse del conocimiento de las unidades administrativas o servidores públicos involucrados para que procedan a su cumplimiento.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El Comité de Planeación para el Desarrollo Municipal “COPLADEMUN”, deberá estar constituido previo a la aprobación de Plan de Desarrollo Municipal y se deberá informar al Comité de Planeación para el Desarrollo del Estado de México de su instalación.</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Por su parte el Reglamento del Libro Quinto del Código Administrativo del Estado de México, sobre las licencias de uso de suelo y su autorización, señala lo siguiente:</w:t>
      </w:r>
    </w:p>
    <w:p w:rsidR="005C03A4" w:rsidRDefault="000140E2">
      <w:pPr>
        <w:tabs>
          <w:tab w:val="left" w:pos="4962"/>
        </w:tabs>
        <w:ind w:left="1134" w:right="-170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LOS CAMBIOS DE USO DEL SUELO, DEL COEFICIENTE DE OCUPACIÓN DEL SUELO, DEL COEFICIENTE DE UTILIZACIÓN DEL SUELO Y DEL CAMBIO DE ALTURA DE EDIFICACIONES</w:t>
      </w:r>
    </w:p>
    <w:p w:rsidR="005C03A4" w:rsidRDefault="005C03A4">
      <w:pPr>
        <w:tabs>
          <w:tab w:val="left" w:pos="4962"/>
        </w:tabs>
        <w:ind w:left="1134" w:right="-1701"/>
        <w:jc w:val="both"/>
        <w:rPr>
          <w:rFonts w:ascii="Palatino Linotype" w:eastAsia="Palatino Linotype" w:hAnsi="Palatino Linotype" w:cs="Palatino Linotype"/>
          <w:b/>
          <w:bCs/>
          <w:i/>
          <w:iCs/>
        </w:rPr>
      </w:pPr>
    </w:p>
    <w:p w:rsidR="005C03A4" w:rsidRDefault="000140E2">
      <w:pPr>
        <w:tabs>
          <w:tab w:val="left" w:pos="4962"/>
        </w:tabs>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DEL PROCEDIMIENTO DE AUTORIZACIÓN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146. </w:t>
      </w:r>
      <w:r>
        <w:rPr>
          <w:rFonts w:ascii="Palatino Linotype" w:eastAsia="Palatino Linotype" w:hAnsi="Palatino Linotype" w:cs="Palatino Linotype"/>
          <w:i/>
          <w:iCs/>
          <w:u w:val="single"/>
        </w:rPr>
        <w:t>El interesado en obtener autorización de cambio de uso del suelo</w:t>
      </w:r>
      <w:r>
        <w:rPr>
          <w:rFonts w:ascii="Palatino Linotype" w:eastAsia="Palatino Linotype" w:hAnsi="Palatino Linotype" w:cs="Palatino Linotype"/>
          <w:i/>
          <w:iCs/>
        </w:rPr>
        <w:t>, de coeficiente de ocupación del suelo, coeficiente de utilización del suelo o el cambio de altura de edificaciones deberá:</w:t>
      </w:r>
    </w:p>
    <w:p w:rsidR="005C03A4" w:rsidRDefault="005C03A4">
      <w:pPr>
        <w:tabs>
          <w:tab w:val="left" w:pos="4962"/>
        </w:tabs>
        <w:ind w:left="1134" w:right="-1701"/>
        <w:jc w:val="both"/>
        <w:rPr>
          <w:rFonts w:ascii="Palatino Linotype" w:eastAsia="Palatino Linotype" w:hAnsi="Palatino Linotype" w:cs="Palatino Linotype"/>
          <w:i/>
          <w:iCs/>
        </w:rPr>
      </w:pP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Presentar a la autoridad municipal solicitud de cambio de uso del suelo, del coeficiente de ocupación del suelo, coeficiente de utilización del suelo o el cambio de altura de edificaciones, acompañando los documentos siguientes: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a I)… </w:t>
      </w:r>
    </w:p>
    <w:p w:rsidR="005C03A4" w:rsidRDefault="000140E2">
      <w:pPr>
        <w:tabs>
          <w:tab w:val="left" w:pos="4962"/>
        </w:tabs>
        <w:ind w:left="1134" w:right="-1701"/>
        <w:jc w:val="both"/>
        <w:rPr>
          <w:rFonts w:ascii="Palatino Linotype" w:eastAsia="Palatino Linotype" w:hAnsi="Palatino Linotype" w:cs="Palatino Linotype"/>
          <w:i/>
          <w:iCs/>
          <w:u w:val="single"/>
        </w:rPr>
      </w:pPr>
      <w:r>
        <w:rPr>
          <w:rFonts w:ascii="Palatino Linotype" w:eastAsia="Palatino Linotype" w:hAnsi="Palatino Linotype" w:cs="Palatino Linotype"/>
          <w:i/>
          <w:iCs/>
          <w:u w:val="single"/>
        </w:rPr>
        <w:t xml:space="preserve">II. Recibida la solicitud con la documentación a que se refiere la fracción anterior, dentro de los cinco días siguientes </w:t>
      </w:r>
      <w:r>
        <w:rPr>
          <w:rFonts w:ascii="Palatino Linotype" w:eastAsia="Palatino Linotype" w:hAnsi="Palatino Linotype" w:cs="Palatino Linotype"/>
          <w:b/>
          <w:bCs/>
          <w:i/>
          <w:iCs/>
          <w:u w:val="single"/>
        </w:rPr>
        <w:t>la dependencia municipal de desarrollo urbano expedirá la autorización de cambio de uso del suelo</w:t>
      </w:r>
      <w:r>
        <w:rPr>
          <w:rFonts w:ascii="Palatino Linotype" w:eastAsia="Palatino Linotype" w:hAnsi="Palatino Linotype" w:cs="Palatino Linotype"/>
          <w:i/>
          <w:iCs/>
          <w:u w:val="single"/>
        </w:rPr>
        <w:t>, del coeficiente de ocupación del suelo, del coeficiente de utilización del suelo o el cambio de altura de edificaciones, o en su caso denegará la solicitud, y</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III…</w:t>
      </w:r>
    </w:p>
    <w:p w:rsidR="005C03A4" w:rsidRDefault="005C03A4">
      <w:pPr>
        <w:tabs>
          <w:tab w:val="left" w:pos="4962"/>
        </w:tabs>
        <w:ind w:left="1134" w:right="-1701"/>
        <w:jc w:val="both"/>
        <w:rPr>
          <w:rFonts w:ascii="Palatino Linotype" w:eastAsia="Palatino Linotype" w:hAnsi="Palatino Linotype" w:cs="Palatino Linotype"/>
          <w:i/>
          <w:iCs/>
        </w:rPr>
      </w:pPr>
    </w:p>
    <w:p w:rsidR="005C03A4" w:rsidRDefault="000140E2">
      <w:pPr>
        <w:tabs>
          <w:tab w:val="left" w:pos="4962"/>
        </w:tabs>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DEL CONTENIDO DE LA AUTORIZACIÓN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147. </w:t>
      </w:r>
      <w:r>
        <w:rPr>
          <w:rFonts w:ascii="Palatino Linotype" w:eastAsia="Palatino Linotype" w:hAnsi="Palatino Linotype" w:cs="Palatino Linotype"/>
          <w:i/>
          <w:iCs/>
          <w:u w:val="single"/>
        </w:rPr>
        <w:t>La autorización de cambio de uso del suelo</w:t>
      </w:r>
      <w:r>
        <w:rPr>
          <w:rFonts w:ascii="Palatino Linotype" w:eastAsia="Palatino Linotype" w:hAnsi="Palatino Linotype" w:cs="Palatino Linotype"/>
          <w:i/>
          <w:iCs/>
        </w:rPr>
        <w:t xml:space="preserve">, del coeficiente de ocupación del suelo o del coeficiente de utilización del suelo o el cambio de la altura de edificaciones, </w:t>
      </w:r>
      <w:r>
        <w:rPr>
          <w:rFonts w:ascii="Palatino Linotype" w:eastAsia="Palatino Linotype" w:hAnsi="Palatino Linotype" w:cs="Palatino Linotype"/>
          <w:i/>
          <w:iCs/>
          <w:u w:val="single"/>
        </w:rPr>
        <w:t>deberá contener</w:t>
      </w:r>
      <w:r>
        <w:rPr>
          <w:rFonts w:ascii="Palatino Linotype" w:eastAsia="Palatino Linotype" w:hAnsi="Palatino Linotype" w:cs="Palatino Linotype"/>
          <w:i/>
          <w:iCs/>
        </w:rPr>
        <w:t xml:space="preserve">: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Referencia a la solicitud;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Fundamento jurídico;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Motivación;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Nombre del Titular de la autorización;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Ubicación y superficie del inmueble objeto del cambio;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Referencia a: </w:t>
      </w:r>
    </w:p>
    <w:p w:rsidR="005C03A4" w:rsidRDefault="000140E2">
      <w:pPr>
        <w:tabs>
          <w:tab w:val="left" w:pos="4962"/>
        </w:tabs>
        <w:ind w:left="1134" w:right="-1701"/>
        <w:jc w:val="both"/>
      </w:pPr>
      <w:r>
        <w:rPr>
          <w:rFonts w:ascii="Palatino Linotype" w:eastAsia="Palatino Linotype" w:hAnsi="Palatino Linotype" w:cs="Palatino Linotype"/>
          <w:i/>
          <w:iCs/>
        </w:rPr>
        <w:t xml:space="preserve"> A) Acreditaciones de la personalidad del Titular, su Representante Legal y el de propiedad del inmueble sobre el cual versará la autorización;</w:t>
      </w:r>
      <w:r>
        <w:t xml:space="preserve">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Anteproyecto del desarrollo y su memoria descriptiva;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Tratándose de usos del suelo previstos en el artículo 5.35 del Código, la referencia a la respectiva Evaluación de Impacto Estatal.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La determinación que se autoriza el cambio solicitado;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normatividad para el aprovechamiento y ocupación del suelo, número de niveles, altura máxima de las edificaciones, si las hubiera, accesos viales, número obligatorio de cajones de estacionamiento privados y para el público, en su caso;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Cuando corresponda, las restricciones federales, estatales y municipales;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X. Señalamiento del monto de los derechos correspondientes;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Vigencia de un año;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Lugar y fecha de expedición, y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Firma de quien lo autoriza. </w:t>
      </w:r>
    </w:p>
    <w:p w:rsidR="005C03A4" w:rsidRDefault="000140E2">
      <w:pPr>
        <w:tabs>
          <w:tab w:val="left" w:pos="4962"/>
        </w:tabs>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La autorización de cambio de uso del suelo, del coeficiente de ocupación del suelo o del coeficiente de utilización del suelo, el cambio de la altura de edificaciones, produce los mismos efectos que la licencia de uso del suelo y tendrá la vigencia que se señala el artículo 5.56 fracción IV del Código.</w:t>
      </w:r>
    </w:p>
    <w:p w:rsidR="005C03A4" w:rsidRDefault="005C03A4">
      <w:pPr>
        <w:tabs>
          <w:tab w:val="left" w:pos="4962"/>
        </w:tabs>
        <w:ind w:left="1134" w:right="-1701"/>
        <w:jc w:val="both"/>
        <w:rPr>
          <w:rFonts w:ascii="Palatino Linotype" w:eastAsia="Palatino Linotype" w:hAnsi="Palatino Linotype" w:cs="Palatino Linotype"/>
          <w:i/>
          <w:iCs/>
        </w:rPr>
      </w:pPr>
    </w:p>
    <w:p w:rsidR="005C03A4" w:rsidRDefault="000140E2">
      <w:pPr>
        <w:tabs>
          <w:tab w:val="left" w:pos="4962"/>
        </w:tabs>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EMISIÓN DE LA AUTORIZACIÓN </w:t>
      </w:r>
    </w:p>
    <w:p w:rsidR="005C03A4" w:rsidRDefault="000140E2">
      <w:pPr>
        <w:tabs>
          <w:tab w:val="left" w:pos="4962"/>
        </w:tabs>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148. Cumplidos los requisitos anteriores y previa comprobación del pago de los derechos, el municipio emitirá la autorización en un plazo de cinco días hábiles, contados a partir de la recepción de la solicitud acompañada de los documentos a que se refiere el artículo anterior.</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se tiene que para colmar el derecho de acceso a la información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deberá de remitir los cambio de uso de suelo con sus anexos que hubieran sido aprobados en el COPLADEMUN de los años 2022, 2023 y 2025.</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Sin embargo, de ser el caso que de los años 2022, 2023 y 2025, no se hubieran aprobado cambios de uso de suelo en las sesiones del COPLADEMUN, </w:t>
      </w:r>
      <w:r>
        <w:rPr>
          <w:rFonts w:ascii="Palatino Linotype" w:eastAsia="Palatino Linotype" w:hAnsi="Palatino Linotype" w:cs="Palatino Linotype"/>
        </w:rPr>
        <w:t>bastará</w:t>
      </w:r>
      <w:r>
        <w:rPr>
          <w:rFonts w:ascii="Palatino Linotype" w:eastAsia="Palatino Linotype" w:hAnsi="Palatino Linotype" w:cs="Palatino Linotype"/>
          <w:color w:val="000000"/>
        </w:rPr>
        <w:t xml:space="preserve"> con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lo haga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toda vez que de acuerdo con sus funciones no está el aprobar el cambio de uso de suelo, tal y como lo regula el artículo 51 de la Ley de Planeación Para el Estado de México y Municipios. </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en cuanto al año 2024, se tiene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acepta contar con la información solicitada, toda vez que informa que </w:t>
      </w:r>
      <w:r>
        <w:rPr>
          <w:rFonts w:ascii="Palatino Linotype" w:eastAsia="Palatino Linotype" w:hAnsi="Palatino Linotype" w:cs="Palatino Linotype"/>
        </w:rPr>
        <w:t>proporcionará</w:t>
      </w:r>
      <w:r>
        <w:rPr>
          <w:rFonts w:ascii="Palatino Linotype" w:eastAsia="Palatino Linotype" w:hAnsi="Palatino Linotype" w:cs="Palatino Linotype"/>
          <w:color w:val="000000"/>
        </w:rPr>
        <w:t xml:space="preserve"> la información en consulta directa al rebasar las capacidades administrativas y humanas.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informado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se giró un requerimiento de información adicional el </w:t>
      </w:r>
      <w:r>
        <w:rPr>
          <w:rFonts w:ascii="Palatino Linotype" w:eastAsia="Palatino Linotype" w:hAnsi="Palatino Linotype" w:cs="Palatino Linotype"/>
          <w:b/>
          <w:bCs/>
          <w:color w:val="000000"/>
        </w:rPr>
        <w:t xml:space="preserve">veinte de abril de dos mil veinticinco </w:t>
      </w:r>
      <w:r>
        <w:rPr>
          <w:rFonts w:ascii="Palatino Linotype" w:eastAsia="Palatino Linotype" w:hAnsi="Palatino Linotype" w:cs="Palatino Linotype"/>
          <w:color w:val="000000"/>
        </w:rPr>
        <w:t xml:space="preserve">para que se </w:t>
      </w:r>
      <w:r>
        <w:rPr>
          <w:rFonts w:ascii="Palatino Linotype" w:eastAsia="Palatino Linotype" w:hAnsi="Palatino Linotype" w:cs="Palatino Linotype"/>
        </w:rPr>
        <w:t>informará</w:t>
      </w:r>
      <w:r>
        <w:rPr>
          <w:rFonts w:ascii="Palatino Linotype" w:eastAsia="Palatino Linotype" w:hAnsi="Palatino Linotype" w:cs="Palatino Linotype"/>
          <w:color w:val="000000"/>
        </w:rPr>
        <w:t xml:space="preserve"> sobre la cantidad de hojas que integra la información y que contiene la misma. </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el </w:t>
      </w:r>
      <w:r>
        <w:rPr>
          <w:rFonts w:ascii="Palatino Linotype" w:eastAsia="Palatino Linotype" w:hAnsi="Palatino Linotype" w:cs="Palatino Linotype"/>
          <w:b/>
          <w:bCs/>
          <w:color w:val="000000"/>
        </w:rPr>
        <w:t xml:space="preserve">veintitrés de abril de dos mil veinticinco,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atendió el requerimiento de información adicional mediante tres archivos electrónicos en formato pdf cuyo contenido grosso modo es el siguiente.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 [Untitled]_2026042314312653.pdf: </w:t>
      </w:r>
      <w:r>
        <w:rPr>
          <w:rFonts w:ascii="Palatino Linotype" w:eastAsia="Palatino Linotype" w:hAnsi="Palatino Linotype" w:cs="Palatino Linotype"/>
          <w:i/>
          <w:iCs/>
          <w:color w:val="000000"/>
        </w:rPr>
        <w:t xml:space="preserve">oficio de la Dirección de Ordenamiento Territorial, mediante el cual informa que la cantidad de fojas del año 2024 de la información solicitada es de 3,240 hojas.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 [Untitled]_2026042314332064.pdf: </w:t>
      </w:r>
      <w:r>
        <w:rPr>
          <w:rFonts w:ascii="Palatino Linotype" w:eastAsia="Palatino Linotype" w:hAnsi="Palatino Linotype" w:cs="Palatino Linotype"/>
          <w:i/>
          <w:iCs/>
          <w:color w:val="000000"/>
        </w:rPr>
        <w:t xml:space="preserve">oficio del Titular de la Unidad de Transparencia, mediante al cual refiere que se anexa la respuesta de la Dirección de Ordenamiento Territorial. </w:t>
      </w:r>
    </w:p>
    <w:p w:rsidR="005C03A4" w:rsidRDefault="000140E2">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[Untitled]_2026042314320543.pdf: </w:t>
      </w:r>
      <w:r>
        <w:rPr>
          <w:rFonts w:ascii="Palatino Linotype" w:eastAsia="Palatino Linotype" w:hAnsi="Palatino Linotype" w:cs="Palatino Linotype"/>
          <w:i/>
          <w:iCs/>
          <w:color w:val="000000"/>
        </w:rPr>
        <w:t>oficio del Titular de la Unidad de Transparencia, mediante el cual solicita que atienda el requerimiento de información adicional.</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requerimiento de información adicional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la información se integra por los siguientes documentos. </w:t>
      </w:r>
    </w:p>
    <w:p w:rsidR="005C03A4" w:rsidRDefault="000140E2">
      <w:pPr>
        <w:pBdr>
          <w:top w:val="nil"/>
          <w:left w:val="nil"/>
          <w:bottom w:val="nil"/>
          <w:right w:val="nil"/>
          <w:between w:val="nil"/>
        </w:pBdr>
        <w:spacing w:line="360" w:lineRule="auto"/>
        <w:ind w:right="-1701"/>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lastRenderedPageBreak/>
        <w:drawing>
          <wp:inline distT="0" distB="0" distL="0" distR="0">
            <wp:extent cx="2742677" cy="315599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742677" cy="3155999"/>
                    </a:xfrm>
                    <a:prstGeom prst="rect">
                      <a:avLst/>
                    </a:prstGeom>
                    <a:ln/>
                  </pic:spPr>
                </pic:pic>
              </a:graphicData>
            </a:graphic>
          </wp:inline>
        </w:drawing>
      </w:r>
    </w:p>
    <w:p w:rsidR="005C03A4" w:rsidRDefault="005C03A4">
      <w:pPr>
        <w:pBdr>
          <w:top w:val="nil"/>
          <w:left w:val="nil"/>
          <w:bottom w:val="nil"/>
          <w:right w:val="nil"/>
          <w:between w:val="nil"/>
        </w:pBdr>
        <w:spacing w:line="360" w:lineRule="auto"/>
        <w:ind w:right="-1701"/>
        <w:jc w:val="center"/>
        <w:rPr>
          <w:rFonts w:ascii="Palatino Linotype" w:eastAsia="Palatino Linotype" w:hAnsi="Palatino Linotype" w:cs="Palatino Linotype"/>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tiene que no se puede tener por validado el cambio de modalidad a consulta directa, toda vez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no aporta más elementos que precisen que se rebasan las capacidades humanas y administrativas, así como tampoco la cantidad de fojas rebasa las capacidades técnicas del sistema SAIMEX.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se tiene que señalar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 de dar cumplimientos al artículo 164 de la Ley de Transparencia y Acceso a la Información Pública del Estado de México y Municipios, que regula el acceso a la información solicitada se dará en la modalidad de entrega elegidos por el </w:t>
      </w:r>
      <w:r>
        <w:rPr>
          <w:rFonts w:ascii="Palatino Linotype" w:eastAsia="Palatino Linotype" w:hAnsi="Palatino Linotype" w:cs="Palatino Linotype"/>
          <w:b/>
          <w:bCs/>
          <w:color w:val="000000"/>
        </w:rPr>
        <w:t xml:space="preserve">solicitante. </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Seguidamente, La Ley de Transparencia y Acceso a la Información Pública del Estado de México y Municipios establece en los artículos 155 fracción V, 158 y 164 lo siguiente:</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Artículo 155. Para presentar una solicitud por escrito, no se podrán exigir mayores requisitos que los siguientes:</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IV. …</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5C03A4" w:rsidRDefault="000140E2">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todo caso, se facilitará su copia simple o certificada, así como su reproducción por cualquier medio disponible en las instalaciones del sujeto obligado o que, en su caso, aporte el solicitante</w:t>
      </w:r>
    </w:p>
    <w:p w:rsidR="005C03A4" w:rsidRDefault="005C03A4">
      <w:pPr>
        <w:pBdr>
          <w:top w:val="nil"/>
          <w:left w:val="nil"/>
          <w:bottom w:val="nil"/>
          <w:right w:val="nil"/>
          <w:between w:val="nil"/>
        </w:pBdr>
        <w:tabs>
          <w:tab w:val="left" w:pos="851"/>
        </w:tabs>
        <w:spacing w:before="240" w:after="240"/>
        <w:ind w:left="1134" w:right="-1701"/>
        <w:jc w:val="both"/>
        <w:rPr>
          <w:rFonts w:ascii="Palatino Linotype" w:eastAsia="Palatino Linotype" w:hAnsi="Palatino Linotype" w:cs="Palatino Linotype"/>
          <w:i/>
          <w:iCs/>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normatividad en materia establece q</w:t>
      </w:r>
      <w:r>
        <w:rPr>
          <w:rFonts w:ascii="Palatino Linotype" w:eastAsia="Palatino Linotype" w:hAnsi="Palatino Linotype" w:cs="Palatino Linotype"/>
          <w:b/>
          <w:bCs/>
          <w:color w:val="000000"/>
        </w:rPr>
        <w:t xml:space="preserve">ue se privilegiará la modalidad de entrega elegida por el Recurrente </w:t>
      </w:r>
      <w:r>
        <w:rPr>
          <w:rFonts w:ascii="Palatino Linotype" w:eastAsia="Palatino Linotype" w:hAnsi="Palatino Linotype" w:cs="Palatino Linotype"/>
          <w:color w:val="000000"/>
        </w:rPr>
        <w:t>y será excepcional un cambio de modalidad cuando la información sobrepase las capacidades técnicas administrativas y humanas, dicho cambio será debidamente fundado y motivado.</w:t>
      </w:r>
    </w:p>
    <w:p w:rsidR="005C03A4" w:rsidRDefault="005C03A4">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artículo 158 referido anteriormente, se tiene que, excepcionalmente, en el caso de que la información solicitada implique un análisis, estudio o procesamiento de documentos, </w:t>
      </w:r>
      <w:r>
        <w:rPr>
          <w:rFonts w:ascii="Palatino Linotype" w:eastAsia="Palatino Linotype" w:hAnsi="Palatino Linotype" w:cs="Palatino Linotype"/>
          <w:color w:val="000000"/>
        </w:rPr>
        <w:lastRenderedPageBreak/>
        <w:t xml:space="preserve">cuya entrega o reproducción sobrepase las capacidades técnicas administrativas y humanas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éste podrá poner a disposición los documentos vía </w:t>
      </w:r>
      <w:r>
        <w:rPr>
          <w:rFonts w:ascii="Palatino Linotype" w:eastAsia="Palatino Linotype" w:hAnsi="Palatino Linotype" w:cs="Palatino Linotype"/>
          <w:i/>
          <w:iCs/>
          <w:color w:val="000000"/>
        </w:rPr>
        <w:t>In Situ</w:t>
      </w:r>
      <w:r>
        <w:rPr>
          <w:rFonts w:ascii="Palatino Linotype" w:eastAsia="Palatino Linotype" w:hAnsi="Palatino Linotype" w:cs="Palatino Linotype"/>
          <w:color w:val="000000"/>
        </w:rPr>
        <w:t xml:space="preserve"> o Consulta Directa, </w:t>
      </w:r>
      <w:r>
        <w:rPr>
          <w:rFonts w:ascii="Palatino Linotype" w:eastAsia="Palatino Linotype" w:hAnsi="Palatino Linotype" w:cs="Palatino Linotype"/>
          <w:b/>
          <w:bCs/>
          <w:color w:val="000000"/>
        </w:rPr>
        <w:t>siempre y cuando se funden y motiven las razones que justifiquen la imposibilidad de entregar la información en la modalidad originalmente solicitada</w:t>
      </w:r>
      <w:r>
        <w:rPr>
          <w:rFonts w:ascii="Palatino Linotype" w:eastAsia="Palatino Linotype" w:hAnsi="Palatino Linotype" w:cs="Palatino Linotype"/>
          <w:color w:val="000000"/>
        </w:rPr>
        <w:t xml:space="preserve">. </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derivan tres hipótesis que en conjunto, y de manera fundada y motivada, validan el cambio de modalidad de entrega de la información y las cuales son, que las documentales a proporcionar </w:t>
      </w:r>
      <w:r>
        <w:rPr>
          <w:rFonts w:ascii="Palatino Linotype" w:eastAsia="Palatino Linotype" w:hAnsi="Palatino Linotype" w:cs="Palatino Linotype"/>
          <w:b/>
          <w:bCs/>
          <w:color w:val="000000"/>
        </w:rPr>
        <w:t>sobrepasen las capacidades técnicas, administrativas y humanas del SUJETO OBLIGADO</w:t>
      </w:r>
      <w:r>
        <w:rPr>
          <w:rFonts w:ascii="Palatino Linotype" w:eastAsia="Palatino Linotype" w:hAnsi="Palatino Linotype" w:cs="Palatino Linotype"/>
          <w:color w:val="000000"/>
        </w:rPr>
        <w:t xml:space="preserve">. </w:t>
      </w:r>
    </w:p>
    <w:p w:rsidR="005C03A4" w:rsidRDefault="005C03A4">
      <w:pPr>
        <w:pBdr>
          <w:top w:val="nil"/>
          <w:left w:val="nil"/>
          <w:bottom w:val="nil"/>
          <w:right w:val="nil"/>
          <w:between w:val="nil"/>
        </w:pBdr>
        <w:tabs>
          <w:tab w:val="left" w:pos="0"/>
        </w:tabs>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ello, cabe mencionar lo que se entiende por “</w:t>
      </w:r>
      <w:r>
        <w:rPr>
          <w:rFonts w:ascii="Palatino Linotype" w:eastAsia="Palatino Linotype" w:hAnsi="Palatino Linotype" w:cs="Palatino Linotype"/>
          <w:b/>
          <w:bCs/>
          <w:color w:val="000000"/>
        </w:rPr>
        <w:t>capacidad</w:t>
      </w:r>
      <w:r>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5C03A4" w:rsidRDefault="005C03A4">
      <w:pPr>
        <w:pBdr>
          <w:top w:val="nil"/>
          <w:left w:val="nil"/>
          <w:bottom w:val="nil"/>
          <w:right w:val="nil"/>
          <w:between w:val="nil"/>
        </w:pBdr>
        <w:tabs>
          <w:tab w:val="left" w:pos="0"/>
        </w:tabs>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rsidR="005C03A4" w:rsidRDefault="005C03A4">
      <w:pPr>
        <w:pBdr>
          <w:top w:val="nil"/>
          <w:left w:val="nil"/>
          <w:bottom w:val="nil"/>
          <w:right w:val="nil"/>
          <w:between w:val="nil"/>
        </w:pBdr>
        <w:ind w:right="-1701"/>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presente caso, la respuesta emitida por el Sujeto Obligado fue el cambio de modalidad a consulta directa, </w:t>
      </w:r>
      <w:r>
        <w:rPr>
          <w:rFonts w:ascii="Palatino Linotype" w:eastAsia="Palatino Linotype" w:hAnsi="Palatino Linotype" w:cs="Palatino Linotype"/>
          <w:b/>
          <w:bCs/>
          <w:i/>
          <w:iCs/>
          <w:color w:val="000000"/>
        </w:rPr>
        <w:t xml:space="preserve">señalando para ello que la cantidad de recursos humanos y </w:t>
      </w:r>
      <w:r>
        <w:rPr>
          <w:rFonts w:ascii="Palatino Linotype" w:eastAsia="Palatino Linotype" w:hAnsi="Palatino Linotype" w:cs="Palatino Linotype"/>
          <w:b/>
          <w:bCs/>
          <w:i/>
          <w:iCs/>
          <w:color w:val="000000"/>
        </w:rPr>
        <w:lastRenderedPageBreak/>
        <w:t>materiales con los que cuenta son insuficien</w:t>
      </w:r>
      <w:r>
        <w:rPr>
          <w:rFonts w:ascii="Palatino Linotype" w:eastAsia="Palatino Linotype" w:hAnsi="Palatino Linotype" w:cs="Palatino Linotype"/>
          <w:b/>
          <w:bCs/>
          <w:color w:val="000000"/>
        </w:rPr>
        <w:t>tes</w:t>
      </w:r>
      <w:r>
        <w:rPr>
          <w:rFonts w:ascii="Palatino Linotype" w:eastAsia="Palatino Linotype" w:hAnsi="Palatino Linotype" w:cs="Palatino Linotype"/>
          <w:color w:val="000000"/>
        </w:rPr>
        <w:t>, sin embargo, como ya fue señalado en párrafos anteriores, el Sujeto Obligado no fundo y motivo el cambio de modalidad.</w:t>
      </w:r>
    </w:p>
    <w:p w:rsidR="005C03A4" w:rsidRDefault="005C03A4">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w:t>
      </w:r>
      <w:r>
        <w:rPr>
          <w:rFonts w:ascii="Palatino Linotype" w:eastAsia="Palatino Linotype" w:hAnsi="Palatino Linotype" w:cs="Palatino Linotype"/>
        </w:rPr>
        <w:t>línea</w:t>
      </w:r>
      <w:r>
        <w:rPr>
          <w:rFonts w:ascii="Palatino Linotype" w:eastAsia="Palatino Linotype" w:hAnsi="Palatino Linotype" w:cs="Palatino Linotype"/>
          <w:color w:val="000000"/>
        </w:rPr>
        <w:t>, se advierte que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no acreditó la imposibilidad, establecida en el artículo 158 de la Ley de Transparencia y Acceso a la Información Pública del Estado de México y Municipios, para validar el cambio de modalidad a Consulta Directa; además de que el cambio no fue aprobado por el Comité de Transparencia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situación por la cual no se puede tener por validado el cambio de modalidad a consulta directa.</w:t>
      </w:r>
    </w:p>
    <w:p w:rsidR="005C03A4" w:rsidRDefault="005C03A4">
      <w:pPr>
        <w:pBdr>
          <w:top w:val="nil"/>
          <w:left w:val="nil"/>
          <w:bottom w:val="nil"/>
          <w:right w:val="nil"/>
          <w:between w:val="nil"/>
        </w:pBdr>
        <w:spacing w:line="360" w:lineRule="auto"/>
        <w:ind w:right="-1701"/>
        <w:jc w:val="center"/>
        <w:rPr>
          <w:rFonts w:ascii="Palatino Linotype" w:eastAsia="Palatino Linotype" w:hAnsi="Palatino Linotype" w:cs="Palatino Linotype"/>
          <w:color w:val="000000"/>
        </w:rPr>
      </w:pPr>
    </w:p>
    <w:p w:rsidR="005C03A4" w:rsidRDefault="000140E2">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Finalmente, en cuanto al punto dos de la solicitud de información consistente en </w:t>
      </w:r>
      <w:r>
        <w:rPr>
          <w:rFonts w:ascii="Palatino Linotype" w:eastAsia="Palatino Linotype" w:hAnsi="Palatino Linotype" w:cs="Palatino Linotype"/>
          <w:b/>
          <w:bCs/>
          <w:i/>
          <w:iCs/>
          <w:color w:val="000000"/>
        </w:rPr>
        <w:t xml:space="preserve">“Las versiones estenográficas de las sesiones de COPLADEMUN que se llevaron a cabo en esos años.”, </w:t>
      </w:r>
      <w:r>
        <w:rPr>
          <w:rFonts w:ascii="Palatino Linotype" w:eastAsia="Palatino Linotype" w:hAnsi="Palatino Linotype" w:cs="Palatino Linotype"/>
          <w:color w:val="000000"/>
        </w:rPr>
        <w:t xml:space="preserve">se debe de analizar que la Ley de Planeación del Estado de México y Municipios, no regula que se deban de realizar actas estenográficas, misma situación sucede con el Reglamento Interno de la Dirección General de Ordenamiento Territorial y Desarrollo Urbano, situación por la cual las </w:t>
      </w:r>
      <w:r>
        <w:rPr>
          <w:rFonts w:ascii="Palatino Linotype" w:eastAsia="Palatino Linotype" w:hAnsi="Palatino Linotype" w:cs="Palatino Linotype"/>
          <w:b/>
          <w:bCs/>
          <w:color w:val="000000"/>
        </w:rPr>
        <w:t xml:space="preserve">actas estenográficas </w:t>
      </w:r>
      <w:r>
        <w:rPr>
          <w:rFonts w:ascii="Palatino Linotype" w:eastAsia="Palatino Linotype" w:hAnsi="Palatino Linotype" w:cs="Palatino Linotype"/>
          <w:color w:val="000000"/>
        </w:rPr>
        <w:t xml:space="preserve">deberán de ser ordenadas con salvedad, para el caso que no se hubieran generado por no ser obligatorias bastará con que se haga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de conformidad con el artículo 19 párrafo segundo de la Ley de Transparencia y Acceso a la Información Pública del Estado de México y Municipios.</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se deben de analizar los datos que pueden ser contenidos en los cambios de uso de suelos y que deban de ser clasificados como confidenciales de acuerdo con el artículo </w:t>
      </w:r>
      <w:r>
        <w:rPr>
          <w:rFonts w:ascii="Palatino Linotype" w:eastAsia="Palatino Linotype" w:hAnsi="Palatino Linotype" w:cs="Palatino Linotype"/>
        </w:rPr>
        <w:lastRenderedPageBreak/>
        <w:t xml:space="preserve">143 fracción de la Ley de Transparencia y Acceso a la Información Pública del Estado de México y Municipios. </w:t>
      </w:r>
    </w:p>
    <w:p w:rsidR="005C03A4" w:rsidRDefault="005C03A4">
      <w:pPr>
        <w:ind w:right="-1701"/>
        <w:rPr>
          <w:rFonts w:ascii="Palatino Linotype" w:eastAsia="Palatino Linotype" w:hAnsi="Palatino Linotype" w:cs="Palatino Linotype"/>
        </w:rPr>
      </w:pPr>
    </w:p>
    <w:p w:rsidR="005C03A4" w:rsidRDefault="000140E2">
      <w:pPr>
        <w:numPr>
          <w:ilvl w:val="0"/>
          <w:numId w:val="7"/>
        </w:num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Clave catastral </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El diccionario de Datos catastrales Escala 1:1000 del Instituto Nacional de Estadística y Geografía (INEGI), contempla en su glosario la definición de clave catastral, la cual, es la siguiente:</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Clave catastral: </w:t>
      </w:r>
      <w:r>
        <w:rPr>
          <w:rFonts w:ascii="Palatino Linotype" w:eastAsia="Palatino Linotype" w:hAnsi="Palatino Linotype" w:cs="Palatino Linotype"/>
          <w:i/>
          <w:iCs/>
        </w:rPr>
        <w:t>El código que identifica al predio de forma única para su localización geográfica, mismo que es asignado a cada uno de ellos en el momento de su inscripción en el padrón catastral por las Unidades del estado con atribuciones catastrales”</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Así mismo, dicho diccionario estipula dos tipos de Claves catastrales, siendo estas la Estándar y la Original, cuyo diccionario de datos catastrales Escala 1:1000 del INEGI, las define como</w:t>
      </w:r>
    </w:p>
    <w:p w:rsidR="005C03A4" w:rsidRDefault="000140E2">
      <w:pPr>
        <w:ind w:left="1134" w:right="-170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CLAVE CATASTRAL ESTÁNDAR: </w:t>
      </w:r>
      <w:r>
        <w:rPr>
          <w:rFonts w:ascii="Palatino Linotype" w:eastAsia="Palatino Linotype" w:hAnsi="Palatino Linotype" w:cs="Palatino Linotype"/>
          <w:i/>
          <w:iCs/>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rsidR="005C03A4" w:rsidRDefault="005C03A4">
      <w:pPr>
        <w:ind w:left="1134" w:right="-1701"/>
        <w:jc w:val="both"/>
        <w:rPr>
          <w:rFonts w:ascii="Palatino Linotype" w:eastAsia="Palatino Linotype" w:hAnsi="Palatino Linotype" w:cs="Palatino Linotype"/>
          <w:i/>
          <w:iCs/>
        </w:rPr>
      </w:pPr>
    </w:p>
    <w:p w:rsidR="005C03A4" w:rsidRDefault="000140E2">
      <w:pPr>
        <w:ind w:left="1134" w:right="-170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CLAVE CATASTRAL ORIGINAL: </w:t>
      </w:r>
      <w:r>
        <w:rPr>
          <w:rFonts w:ascii="Palatino Linotype" w:eastAsia="Palatino Linotype" w:hAnsi="Palatino Linotype" w:cs="Palatino Linotype"/>
          <w:i/>
          <w:iCs/>
        </w:rPr>
        <w:t>Código que identifica al objeto espacial el cual es asignado, por el Catastro Estatal, Municipal o por el registro Agrario Nacional”</w:t>
      </w:r>
      <w:r>
        <w:rPr>
          <w:rFonts w:ascii="Palatino Linotype" w:eastAsia="Palatino Linotype" w:hAnsi="Palatino Linotype" w:cs="Palatino Linotype"/>
          <w:b/>
          <w:bCs/>
          <w:i/>
          <w:iCs/>
        </w:rPr>
        <w:t xml:space="preserve"> </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Pr>
          <w:rFonts w:ascii="Palatino Linotype" w:eastAsia="Palatino Linotype" w:hAnsi="Palatino Linotype" w:cs="Palatino Linotype"/>
          <w:b/>
          <w:bCs/>
        </w:rPr>
        <w:t>procede a clasificar dicho dato como confidencial.</w:t>
      </w:r>
    </w:p>
    <w:p w:rsidR="005C03A4" w:rsidRDefault="005C03A4">
      <w:pPr>
        <w:ind w:right="-1701"/>
        <w:rPr>
          <w:rFonts w:ascii="Palatino Linotype" w:eastAsia="Palatino Linotype" w:hAnsi="Palatino Linotype" w:cs="Palatino Linotype"/>
        </w:rPr>
      </w:pP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Registro Federal de Contribuyentes</w:t>
      </w:r>
      <w:r>
        <w:rPr>
          <w:rFonts w:ascii="Palatino Linotype" w:eastAsia="Palatino Linotype" w:hAnsi="Palatino Linotype" w:cs="Palatino Linotype"/>
          <w:color w:val="000000"/>
        </w:rPr>
        <w:t xml:space="preserve"> (RFC)</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Las</w:t>
      </w:r>
      <w:r>
        <w:rPr>
          <w:rFonts w:ascii="Palatino Linotype" w:eastAsia="Palatino Linotype" w:hAnsi="Palatino Linotype" w:cs="Palatino Linotype"/>
          <w:color w:val="000000"/>
        </w:rPr>
        <w:t xml:space="preserve">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Ahora</w:t>
      </w:r>
      <w:r>
        <w:rPr>
          <w:rFonts w:ascii="Palatino Linotype" w:eastAsia="Palatino Linotype" w:hAnsi="Palatino Linotype" w:cs="Palatino Linotype"/>
          <w:color w:val="000000"/>
        </w:rPr>
        <w:t xml:space="preserve"> bien, la clave del Registro Federal de Contribuyentes es el medio de control que tiene la Secretaría de Hacienda y Crédito Público, a través del Servicio de Administración </w:t>
      </w:r>
      <w:r>
        <w:rPr>
          <w:rFonts w:ascii="Palatino Linotype" w:eastAsia="Palatino Linotype" w:hAnsi="Palatino Linotype" w:cs="Palatino Linotype"/>
          <w:color w:val="000000"/>
        </w:rPr>
        <w:lastRenderedPageBreak/>
        <w:t>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Conforme</w:t>
      </w:r>
      <w:r>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Lo</w:t>
      </w:r>
      <w:r>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rsidR="005C03A4" w:rsidRDefault="000140E2">
      <w:pP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5C03A4" w:rsidRDefault="005C03A4">
      <w:pPr>
        <w:ind w:left="1134"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5C03A4" w:rsidRDefault="005C03A4">
      <w:pPr>
        <w:spacing w:line="360" w:lineRule="auto"/>
        <w:ind w:right="-1701"/>
        <w:jc w:val="both"/>
        <w:rPr>
          <w:rFonts w:ascii="Palatino Linotype" w:eastAsia="Palatino Linotype" w:hAnsi="Palatino Linotype" w:cs="Palatino Linotype"/>
          <w:color w:val="000000"/>
        </w:rPr>
      </w:pPr>
    </w:p>
    <w:p w:rsidR="004C3816" w:rsidRDefault="004C3816">
      <w:pPr>
        <w:spacing w:line="360" w:lineRule="auto"/>
        <w:ind w:right="-1701"/>
        <w:jc w:val="both"/>
        <w:rPr>
          <w:rFonts w:ascii="Palatino Linotype" w:eastAsia="Palatino Linotype" w:hAnsi="Palatino Linotype" w:cs="Palatino Linotype"/>
          <w:color w:val="000000"/>
        </w:rPr>
      </w:pPr>
    </w:p>
    <w:p w:rsidR="005C03A4" w:rsidRDefault="000140E2">
      <w:pPr>
        <w:spacing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Clave única de Registro de Población –CURP-</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Acorde con lo anterior, el artículo 22 del Reglamento Interior de la Secretaría de </w:t>
      </w:r>
      <w:r>
        <w:rPr>
          <w:rFonts w:ascii="Palatino Linotype" w:eastAsia="Palatino Linotype" w:hAnsi="Palatino Linotype" w:cs="Palatino Linotype"/>
        </w:rPr>
        <w:t>Gobernación</w:t>
      </w:r>
      <w:r>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5C03A4" w:rsidRDefault="005C03A4">
      <w:pPr>
        <w:spacing w:line="360" w:lineRule="auto"/>
        <w:ind w:right="-1701"/>
        <w:jc w:val="both"/>
        <w:rPr>
          <w:rFonts w:ascii="Palatino Linotype" w:eastAsia="Palatino Linotype" w:hAnsi="Palatino Linotype" w:cs="Palatino Linotype"/>
          <w:b/>
          <w:bCs/>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conformidad con lo precisado por la propia Secretaría de Gobernación en la dirección </w:t>
      </w:r>
      <w:hyperlink r:id="rId9">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del interesado </w:t>
      </w:r>
      <w:r>
        <w:rPr>
          <w:rFonts w:ascii="Palatino Linotype" w:eastAsia="Palatino Linotype" w:hAnsi="Palatino Linotype" w:cs="Palatino Linotype"/>
          <w:color w:val="000000"/>
        </w:rPr>
        <w:t>(acta de nacimiento, carta de naturalización o documento migratorio) de la siguiente forma:</w:t>
      </w: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al nombre de pila.</w:t>
      </w: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 • La fecha de nacimiento.</w:t>
      </w: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sexo.</w:t>
      </w: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rsidR="005C03A4" w:rsidRDefault="000140E2">
      <w:pPr>
        <w:spacing w:line="360" w:lineRule="auto"/>
        <w:ind w:right="-170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dos últimos elementos de la CURP evitan la duplicidad de la </w:t>
      </w:r>
      <w:r>
        <w:rPr>
          <w:rFonts w:ascii="Palatino Linotype" w:eastAsia="Palatino Linotype" w:hAnsi="Palatino Linotype" w:cs="Palatino Linotype"/>
        </w:rPr>
        <w:t>clave</w:t>
      </w:r>
      <w:r>
        <w:rPr>
          <w:rFonts w:ascii="Palatino Linotype" w:eastAsia="Palatino Linotype" w:hAnsi="Palatino Linotype" w:cs="Palatino Linotype"/>
          <w:color w:val="000000"/>
        </w:rPr>
        <w:t xml:space="preserve"> y garantizan su correcta integración.</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Como</w:t>
      </w:r>
      <w:r>
        <w:rPr>
          <w:rFonts w:ascii="Palatino Linotype" w:eastAsia="Palatino Linotype" w:hAnsi="Palatino Linotype" w:cs="Palatino Linotype"/>
          <w:color w:val="000000"/>
        </w:rPr>
        <w:t xml:space="preserve">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 aplicable en la especie, como argumento orientador, el Criterio 3/10, emitido por el INAI.</w:t>
      </w:r>
    </w:p>
    <w:p w:rsidR="005C03A4" w:rsidRDefault="000140E2">
      <w:pPr>
        <w:ind w:left="1134" w:right="-170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5C03A4" w:rsidRDefault="005C03A4">
      <w:pPr>
        <w:ind w:left="1134"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acuerdo con lo anterior, la clave CURP, es un dato personal confidencial, en términos del artículo 143, fracción I, de la Ley de Transparencia y Acceso a la Información Pública del Estado de México y Municipios.</w:t>
      </w:r>
    </w:p>
    <w:p w:rsidR="005C03A4" w:rsidRDefault="005C03A4">
      <w:pPr>
        <w:pBdr>
          <w:top w:val="nil"/>
          <w:left w:val="nil"/>
          <w:bottom w:val="nil"/>
          <w:right w:val="nil"/>
          <w:between w:val="nil"/>
        </w:pBdr>
        <w:ind w:left="720" w:right="-1701"/>
        <w:rPr>
          <w:rFonts w:ascii="Palatino Linotype" w:eastAsia="Palatino Linotype" w:hAnsi="Palatino Linotype" w:cs="Palatino Linotype"/>
          <w:color w:val="000000"/>
        </w:rPr>
      </w:pPr>
    </w:p>
    <w:p w:rsidR="005C03A4" w:rsidRDefault="005C03A4">
      <w:pPr>
        <w:ind w:right="-1701"/>
        <w:rPr>
          <w:rFonts w:ascii="Palatino Linotype" w:eastAsia="Palatino Linotype" w:hAnsi="Palatino Linotype" w:cs="Palatino Linotype"/>
          <w:color w:val="000000"/>
        </w:rPr>
      </w:pPr>
    </w:p>
    <w:p w:rsidR="005C03A4" w:rsidRDefault="000140E2">
      <w:pPr>
        <w:spacing w:line="360" w:lineRule="auto"/>
        <w:ind w:right="-170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de particulares</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5C03A4" w:rsidRDefault="005C03A4">
      <w:pPr>
        <w:pBdr>
          <w:top w:val="nil"/>
          <w:left w:val="nil"/>
          <w:bottom w:val="nil"/>
          <w:right w:val="nil"/>
          <w:between w:val="nil"/>
        </w:pBdr>
        <w:ind w:right="-1701"/>
        <w:rPr>
          <w:rFonts w:ascii="Palatino Linotype" w:eastAsia="Palatino Linotype" w:hAnsi="Palatino Linotype" w:cs="Palatino Linotype"/>
          <w:color w:val="000000"/>
        </w:rPr>
      </w:pPr>
    </w:p>
    <w:p w:rsidR="005C03A4" w:rsidRDefault="000140E2">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Teléfono y celular particular.</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tales consideraciones, si se localizan dichos datos personales en la información entregada, esta es susceptible de ser clasificada como confidencial, con fundamento en el artículo 143, fracción I de la Ley de Transparencia y Acceso a la Información Pública.</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keepNext/>
        <w:keepLines/>
        <w:spacing w:after="160" w:line="360" w:lineRule="auto"/>
        <w:ind w:right="-170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5C03A4" w:rsidRDefault="000140E2">
      <w:pPr>
        <w:keepNext/>
        <w:keepLines/>
        <w:numPr>
          <w:ilvl w:val="0"/>
          <w:numId w:val="6"/>
        </w:numPr>
        <w:tabs>
          <w:tab w:val="left" w:pos="284"/>
        </w:tabs>
        <w:spacing w:after="160" w:line="360" w:lineRule="auto"/>
        <w:ind w:left="0" w:right="-1701"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C03A4" w:rsidRDefault="005C03A4">
      <w:pPr>
        <w:tabs>
          <w:tab w:val="left" w:pos="0"/>
          <w:tab w:val="left" w:pos="284"/>
        </w:tabs>
        <w:spacing w:line="360" w:lineRule="auto"/>
        <w:ind w:right="-1701"/>
        <w:jc w:val="both"/>
        <w:rPr>
          <w:rFonts w:ascii="Palatino Linotype" w:eastAsia="Palatino Linotype" w:hAnsi="Palatino Linotype" w:cs="Palatino Linotype"/>
          <w:highlight w:val="yellow"/>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C03A4" w:rsidRDefault="005C03A4">
      <w:pPr>
        <w:tabs>
          <w:tab w:val="left" w:pos="284"/>
        </w:tabs>
        <w:spacing w:after="160" w:line="360" w:lineRule="auto"/>
        <w:ind w:right="-1701"/>
        <w:jc w:val="both"/>
        <w:rPr>
          <w:rFonts w:ascii="Palatino Linotype" w:eastAsia="Palatino Linotype" w:hAnsi="Palatino Linotype" w:cs="Palatino Linotype"/>
          <w:color w:val="000000"/>
        </w:rPr>
      </w:pPr>
    </w:p>
    <w:tbl>
      <w:tblPr>
        <w:tblStyle w:val="a0"/>
        <w:tblW w:w="976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50"/>
        <w:gridCol w:w="6915"/>
      </w:tblGrid>
      <w:tr w:rsidR="005C03A4">
        <w:tc>
          <w:tcPr>
            <w:tcW w:w="2850" w:type="dxa"/>
          </w:tcPr>
          <w:p w:rsidR="005C03A4" w:rsidRDefault="000140E2">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915" w:type="dxa"/>
          </w:tcPr>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5C03A4" w:rsidRDefault="000140E2">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C03A4">
        <w:tc>
          <w:tcPr>
            <w:tcW w:w="2850" w:type="dxa"/>
          </w:tcPr>
          <w:p w:rsidR="005C03A4" w:rsidRDefault="000140E2">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915" w:type="dxa"/>
          </w:tcPr>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rsidR="005C03A4" w:rsidRDefault="000140E2">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C03A4">
        <w:tc>
          <w:tcPr>
            <w:tcW w:w="2850" w:type="dxa"/>
          </w:tcPr>
          <w:p w:rsidR="005C03A4" w:rsidRDefault="000140E2">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915" w:type="dxa"/>
          </w:tcPr>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5C03A4" w:rsidRDefault="000140E2">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w:t>
            </w:r>
            <w:r>
              <w:rPr>
                <w:rFonts w:ascii="Palatino Linotype" w:eastAsia="Palatino Linotype" w:hAnsi="Palatino Linotype" w:cs="Palatino Linotype"/>
                <w:color w:val="000000"/>
              </w:rPr>
              <w:lastRenderedPageBreak/>
              <w:t>de áreas y que son sujetas a control, en primera instancia, por el Comité de Transparencia.</w:t>
            </w:r>
          </w:p>
        </w:tc>
      </w:tr>
      <w:tr w:rsidR="005C03A4">
        <w:tc>
          <w:tcPr>
            <w:tcW w:w="2850" w:type="dxa"/>
          </w:tcPr>
          <w:p w:rsidR="005C03A4" w:rsidRDefault="005C03A4">
            <w:pPr>
              <w:tabs>
                <w:tab w:val="left" w:pos="284"/>
              </w:tabs>
              <w:spacing w:line="360" w:lineRule="auto"/>
              <w:ind w:right="13"/>
              <w:rPr>
                <w:rFonts w:ascii="Palatino Linotype" w:eastAsia="Palatino Linotype" w:hAnsi="Palatino Linotype" w:cs="Palatino Linotype"/>
              </w:rPr>
            </w:pPr>
          </w:p>
          <w:p w:rsidR="005C03A4" w:rsidRDefault="000140E2">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915" w:type="dxa"/>
          </w:tcPr>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w:t>
            </w:r>
            <w:r>
              <w:rPr>
                <w:rFonts w:ascii="Palatino Linotype" w:eastAsia="Palatino Linotype" w:hAnsi="Palatino Linotype" w:cs="Palatino Linotype"/>
                <w:color w:val="000000"/>
              </w:rPr>
              <w:lastRenderedPageBreak/>
              <w:t>impugnar la decisión, permitiéndole una real y auténtica defensa.</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bookmarkStart w:id="14" w:name="_heading=h.ep8635obzkg8" w:colFirst="0" w:colLast="0"/>
            <w:bookmarkEnd w:id="14"/>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C03A4">
        <w:tc>
          <w:tcPr>
            <w:tcW w:w="2850" w:type="dxa"/>
          </w:tcPr>
          <w:p w:rsidR="005C03A4" w:rsidRDefault="000140E2">
            <w:pPr>
              <w:tabs>
                <w:tab w:val="left" w:pos="284"/>
              </w:tabs>
              <w:spacing w:line="360" w:lineRule="auto"/>
              <w:ind w:right="1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915" w:type="dxa"/>
          </w:tcPr>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C03A4" w:rsidRDefault="000140E2">
            <w:pPr>
              <w:tabs>
                <w:tab w:val="left" w:pos="284"/>
              </w:tabs>
              <w:spacing w:line="360" w:lineRule="auto"/>
              <w:ind w:right="1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C03A4" w:rsidRDefault="000140E2">
            <w:pPr>
              <w:tabs>
                <w:tab w:val="left" w:pos="284"/>
              </w:tabs>
              <w:spacing w:line="360" w:lineRule="auto"/>
              <w:ind w:right="13"/>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C03A4" w:rsidRDefault="005C03A4">
      <w:pPr>
        <w:tabs>
          <w:tab w:val="left" w:pos="284"/>
        </w:tabs>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5C03A4" w:rsidRDefault="005C03A4">
      <w:pPr>
        <w:spacing w:line="360" w:lineRule="auto"/>
        <w:ind w:right="-1701"/>
        <w:jc w:val="both"/>
        <w:rPr>
          <w:rFonts w:ascii="Palatino Linotype" w:eastAsia="Palatino Linotype" w:hAnsi="Palatino Linotype" w:cs="Palatino Linotype"/>
          <w:color w:val="000000"/>
        </w:rPr>
      </w:pPr>
    </w:p>
    <w:p w:rsidR="005C03A4" w:rsidRDefault="000140E2">
      <w:pPr>
        <w:numPr>
          <w:ilvl w:val="0"/>
          <w:numId w:val="4"/>
        </w:numPr>
        <w:spacing w:line="360" w:lineRule="auto"/>
        <w:ind w:left="0" w:right="-170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anteriormente expuesto, este Órgano Garante considera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 xml:space="preserve">REVOCAR </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pStyle w:val="Ttulo1"/>
        <w:spacing w:before="0" w:line="360" w:lineRule="auto"/>
        <w:ind w:right="-170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5C03A4" w:rsidRDefault="000140E2">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los Recursos de Revisión </w:t>
      </w:r>
      <w:r>
        <w:rPr>
          <w:rFonts w:ascii="Palatino Linotype" w:eastAsia="Palatino Linotype" w:hAnsi="Palatino Linotype" w:cs="Palatino Linotype"/>
          <w:b/>
          <w:bCs/>
        </w:rPr>
        <w:t xml:space="preserve">11143/INFOEM/IP/RR/2025,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5C03A4" w:rsidRDefault="000140E2">
      <w:pPr>
        <w:spacing w:line="360" w:lineRule="auto"/>
        <w:ind w:right="-1701"/>
        <w:jc w:val="both"/>
        <w:rPr>
          <w:rFonts w:ascii="Palatino Linotype" w:eastAsia="Palatino Linotype" w:hAnsi="Palatino Linotype" w:cs="Palatino Linotype"/>
        </w:rPr>
      </w:pPr>
      <w:bookmarkStart w:id="15" w:name="_heading=h.1ksv4uv" w:colFirst="0" w:colLast="0"/>
      <w:bookmarkEnd w:id="15"/>
      <w:r>
        <w:rPr>
          <w:rFonts w:ascii="Palatino Linotype" w:eastAsia="Palatino Linotype" w:hAnsi="Palatino Linotype" w:cs="Palatino Linotype"/>
          <w:b/>
          <w:bCs/>
        </w:rPr>
        <w:lastRenderedPageBreak/>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Atizapán de Zaragoza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w:t>
      </w:r>
      <w:r>
        <w:rPr>
          <w:rFonts w:ascii="Palatino Linotype" w:eastAsia="Palatino Linotype" w:hAnsi="Palatino Linotype" w:cs="Palatino Linotype"/>
        </w:rPr>
        <w:t xml:space="preserve"> en versión pública:</w:t>
      </w:r>
    </w:p>
    <w:p w:rsidR="005C03A4" w:rsidRDefault="005C03A4">
      <w:pPr>
        <w:ind w:right="-1701"/>
        <w:jc w:val="both"/>
        <w:rPr>
          <w:rFonts w:ascii="Palatino Linotype" w:eastAsia="Palatino Linotype" w:hAnsi="Palatino Linotype" w:cs="Palatino Linotype"/>
          <w:b/>
          <w:bCs/>
        </w:rPr>
      </w:pPr>
    </w:p>
    <w:p w:rsidR="005C03A4" w:rsidRDefault="000140E2">
      <w:pPr>
        <w:ind w:left="1134" w:right="-1701"/>
        <w:jc w:val="both"/>
        <w:rPr>
          <w:rFonts w:ascii="Palatino Linotype" w:eastAsia="Palatino Linotype" w:hAnsi="Palatino Linotype" w:cs="Palatino Linotype"/>
          <w:b/>
          <w:bCs/>
          <w:i/>
          <w:iCs/>
          <w:color w:val="000000"/>
        </w:rPr>
      </w:pPr>
      <w:bookmarkStart w:id="16" w:name="_heading=h.lnxbz9" w:colFirst="0" w:colLast="0"/>
      <w:bookmarkEnd w:id="16"/>
      <w:r>
        <w:rPr>
          <w:rFonts w:ascii="Palatino Linotype" w:eastAsia="Palatino Linotype" w:hAnsi="Palatino Linotype" w:cs="Palatino Linotype"/>
          <w:b/>
          <w:bCs/>
          <w:i/>
          <w:iCs/>
          <w:color w:val="000000"/>
        </w:rPr>
        <w:t xml:space="preserve">1.-  Los cambios de uso del suelo y sus anexos que fueron autorizados en el COPLADEMUN en el año 2024; </w:t>
      </w:r>
    </w:p>
    <w:p w:rsidR="005C03A4" w:rsidRDefault="005C03A4">
      <w:pPr>
        <w:ind w:left="1134" w:right="-1701"/>
        <w:jc w:val="both"/>
        <w:rPr>
          <w:rFonts w:ascii="Palatino Linotype" w:eastAsia="Palatino Linotype" w:hAnsi="Palatino Linotype" w:cs="Palatino Linotype"/>
          <w:b/>
          <w:bCs/>
          <w:i/>
          <w:iCs/>
          <w:color w:val="000000"/>
        </w:rPr>
      </w:pPr>
    </w:p>
    <w:p w:rsidR="005C03A4" w:rsidRDefault="000140E2">
      <w:pPr>
        <w:ind w:left="1134" w:right="-170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 Los cambios de uso de suelo y sus anexos que fueron autorizados en el año 2022, 2023 y 2025; </w:t>
      </w:r>
    </w:p>
    <w:p w:rsidR="005C03A4" w:rsidRDefault="005C03A4">
      <w:pPr>
        <w:ind w:left="1134" w:right="-1701"/>
        <w:jc w:val="both"/>
        <w:rPr>
          <w:rFonts w:ascii="Palatino Linotype" w:eastAsia="Palatino Linotype" w:hAnsi="Palatino Linotype" w:cs="Palatino Linotype"/>
          <w:b/>
          <w:bCs/>
          <w:i/>
          <w:iCs/>
          <w:color w:val="000000"/>
        </w:rPr>
      </w:pPr>
    </w:p>
    <w:p w:rsidR="005C03A4" w:rsidRDefault="000140E2">
      <w:pPr>
        <w:ind w:left="1134" w:right="-170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3.- Las versiones estenográficas de las sesiones de COPLADEMUN que se llevaron a cabo en el año 2022, 2023, 2024 y 2025. </w:t>
      </w:r>
    </w:p>
    <w:p w:rsidR="005C03A4" w:rsidRDefault="005C03A4">
      <w:pPr>
        <w:ind w:left="1134" w:right="-1701"/>
        <w:jc w:val="both"/>
        <w:rPr>
          <w:rFonts w:ascii="Palatino Linotype" w:eastAsia="Palatino Linotype" w:hAnsi="Palatino Linotype" w:cs="Palatino Linotype"/>
          <w:b/>
          <w:bCs/>
        </w:rPr>
      </w:pPr>
    </w:p>
    <w:p w:rsidR="005C03A4" w:rsidRDefault="000140E2">
      <w:pPr>
        <w:tabs>
          <w:tab w:val="left" w:pos="8080"/>
        </w:tabs>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w:t>
      </w:r>
      <w:r>
        <w:rPr>
          <w:rFonts w:ascii="Palatino Linotype" w:eastAsia="Palatino Linotype" w:hAnsi="Palatino Linotype" w:cs="Palatino Linotype"/>
          <w:b/>
          <w:bCs/>
        </w:rPr>
        <w:t>y documentos susceptibles de clasificarse en su totalidad</w:t>
      </w:r>
      <w:r>
        <w:rPr>
          <w:rFonts w:ascii="Palatino Linotype" w:eastAsia="Palatino Linotype" w:hAnsi="Palatino Linotype" w:cs="Palatino Linotype"/>
        </w:rPr>
        <w:t xml:space="preserve"> que se supriman o eliminen dentro del soporte documental respectivo objeto de las versiones públicas que se formulen y se ponga a disposición de la parte recurrente.</w:t>
      </w:r>
    </w:p>
    <w:p w:rsidR="005C03A4" w:rsidRDefault="005C03A4">
      <w:pPr>
        <w:tabs>
          <w:tab w:val="left" w:pos="8080"/>
        </w:tabs>
        <w:spacing w:line="360" w:lineRule="auto"/>
        <w:ind w:right="-1701"/>
        <w:jc w:val="both"/>
        <w:rPr>
          <w:rFonts w:ascii="Palatino Linotype" w:eastAsia="Palatino Linotype" w:hAnsi="Palatino Linotype" w:cs="Palatino Linotype"/>
        </w:rPr>
      </w:pPr>
    </w:p>
    <w:p w:rsidR="005C03A4" w:rsidRDefault="000140E2">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rPr>
        <w:t xml:space="preserve">De ser el caso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cuente con la información ordenada en el numeral  dos y tres por no haber generado la información,  bastará con se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5C03A4" w:rsidRDefault="005C03A4">
      <w:pPr>
        <w:ind w:right="-1701"/>
      </w:pPr>
    </w:p>
    <w:p w:rsidR="005C03A4" w:rsidRDefault="005C03A4">
      <w:pPr>
        <w:tabs>
          <w:tab w:val="left" w:pos="8080"/>
        </w:tabs>
        <w:spacing w:line="360" w:lineRule="auto"/>
        <w:ind w:right="-1701"/>
        <w:jc w:val="both"/>
        <w:rPr>
          <w:rFonts w:ascii="Palatino Linotype" w:eastAsia="Palatino Linotype" w:hAnsi="Palatino Linotype" w:cs="Palatino Linotype"/>
        </w:rPr>
      </w:pPr>
    </w:p>
    <w:p w:rsidR="005C03A4" w:rsidRDefault="000140E2">
      <w:pPr>
        <w:tabs>
          <w:tab w:val="left" w:pos="8080"/>
        </w:tabs>
        <w:spacing w:line="360" w:lineRule="auto"/>
        <w:ind w:right="-1701"/>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w:t>
      </w:r>
      <w:r>
        <w:rPr>
          <w:rFonts w:ascii="Palatino Linotype" w:eastAsia="Palatino Linotype" w:hAnsi="Palatino Linotype" w:cs="Palatino Linotype"/>
          <w:color w:val="222222"/>
        </w:rPr>
        <w:lastRenderedPageBreak/>
        <w:t xml:space="preserve">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C03A4" w:rsidRDefault="005C03A4">
      <w:pPr>
        <w:tabs>
          <w:tab w:val="left" w:pos="8080"/>
        </w:tabs>
        <w:spacing w:line="360" w:lineRule="auto"/>
        <w:ind w:right="-1701"/>
        <w:jc w:val="both"/>
        <w:rPr>
          <w:rFonts w:ascii="Palatino Linotype" w:eastAsia="Palatino Linotype" w:hAnsi="Palatino Linotype" w:cs="Palatino Linotype"/>
          <w:color w:val="222222"/>
        </w:rPr>
      </w:pPr>
    </w:p>
    <w:p w:rsidR="005C03A4" w:rsidRDefault="000140E2">
      <w:pPr>
        <w:spacing w:line="360" w:lineRule="auto"/>
        <w:ind w:right="-170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5C03A4" w:rsidRDefault="005C03A4">
      <w:pPr>
        <w:spacing w:line="360" w:lineRule="auto"/>
        <w:ind w:right="-1701"/>
        <w:jc w:val="both"/>
        <w:rPr>
          <w:rFonts w:ascii="Palatino Linotype" w:eastAsia="Palatino Linotype" w:hAnsi="Palatino Linotype" w:cs="Palatino Linotype"/>
        </w:rPr>
      </w:pPr>
    </w:p>
    <w:p w:rsidR="005C03A4" w:rsidRDefault="000140E2">
      <w:pPr>
        <w:shd w:val="clear" w:color="auto" w:fill="FFFFFF"/>
        <w:spacing w:line="360" w:lineRule="auto"/>
        <w:ind w:right="-1701"/>
        <w:jc w:val="both"/>
        <w:rPr>
          <w:rFonts w:ascii="Palatino Linotype" w:eastAsia="Palatino Linotype" w:hAnsi="Palatino Linotype" w:cs="Palatino Linotype"/>
        </w:rPr>
      </w:pPr>
      <w:bookmarkStart w:id="17" w:name="_heading=h.2jxsxqh" w:colFirst="0" w:colLast="0"/>
      <w:bookmarkEnd w:id="17"/>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5C03A4" w:rsidRDefault="005C03A4">
      <w:pPr>
        <w:shd w:val="clear" w:color="auto" w:fill="FFFFFF"/>
        <w:spacing w:line="360" w:lineRule="auto"/>
        <w:ind w:right="-1701"/>
        <w:jc w:val="both"/>
        <w:rPr>
          <w:rFonts w:ascii="Palatino Linotype" w:eastAsia="Palatino Linotype" w:hAnsi="Palatino Linotype" w:cs="Palatino Linotype"/>
        </w:rPr>
      </w:pPr>
    </w:p>
    <w:p w:rsidR="005C03A4" w:rsidRPr="00A64F66" w:rsidRDefault="000140E2">
      <w:pPr>
        <w:shd w:val="clear" w:color="auto" w:fill="FFFFFF"/>
        <w:spacing w:line="360" w:lineRule="auto"/>
        <w:ind w:right="-1701"/>
        <w:jc w:val="both"/>
        <w:rPr>
          <w:rFonts w:ascii="Palatino Linotype" w:eastAsia="Palatino Linotype" w:hAnsi="Palatino Linotype" w:cs="Palatino Linotype"/>
        </w:rPr>
      </w:pPr>
      <w:r w:rsidRPr="00A64F66">
        <w:rPr>
          <w:rFonts w:ascii="Palatino Linotype" w:eastAsia="Palatino Linotype" w:hAnsi="Palatino Linotype" w:cs="Palatino Linotype"/>
          <w:b/>
          <w:bCs/>
        </w:rPr>
        <w:t>SEXTO.</w:t>
      </w:r>
      <w:r w:rsidRPr="00A64F66">
        <w:rPr>
          <w:rFonts w:ascii="Palatino Linotype" w:eastAsia="Palatino Linotype" w:hAnsi="Palatino Linotype" w:cs="Palatino Linotype"/>
        </w:rPr>
        <w:t xml:space="preserve"> </w:t>
      </w:r>
      <w:r w:rsidR="00A64F66" w:rsidRPr="00A64F66">
        <w:rPr>
          <w:rFonts w:ascii="Palatino Linotype" w:eastAsia="Palatino Linotype" w:hAnsi="Palatino Linotype" w:cs="Palatino Linotype"/>
        </w:rPr>
        <w:t xml:space="preserve">Se hace del conocimiento del </w:t>
      </w:r>
      <w:r w:rsidR="00A64F66" w:rsidRPr="00A64F66">
        <w:rPr>
          <w:rFonts w:ascii="Palatino Linotype" w:eastAsia="Palatino Linotype" w:hAnsi="Palatino Linotype" w:cs="Palatino Linotype"/>
          <w:b/>
          <w:bCs/>
        </w:rPr>
        <w:t>RECURRENTE</w:t>
      </w:r>
      <w:r w:rsidR="00A64F66" w:rsidRPr="00A64F66">
        <w:rPr>
          <w:rFonts w:ascii="Palatino Linotype" w:eastAsia="Palatino Linotype" w:hAnsi="Palatino Linotype" w:cs="Palatino Linotype"/>
          <w:color w:val="222222"/>
        </w:rPr>
        <w:t xml:space="preserve"> </w:t>
      </w:r>
      <w:r w:rsidR="00A64F66" w:rsidRPr="00A64F66">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C03A4" w:rsidRDefault="005C03A4">
      <w:pPr>
        <w:shd w:val="clear" w:color="auto" w:fill="FFFFFF"/>
        <w:spacing w:line="360" w:lineRule="auto"/>
        <w:ind w:right="-1701"/>
        <w:jc w:val="both"/>
        <w:rPr>
          <w:rFonts w:ascii="Palatino Linotype" w:eastAsia="Palatino Linotype" w:hAnsi="Palatino Linotype" w:cs="Palatino Linotype"/>
        </w:rPr>
      </w:pPr>
    </w:p>
    <w:p w:rsidR="00A64F66" w:rsidRPr="003E2295" w:rsidRDefault="00A64F66" w:rsidP="00A64F66">
      <w:pPr>
        <w:spacing w:before="240" w:after="240" w:line="360" w:lineRule="auto"/>
        <w:ind w:right="-1708" w:firstLine="1"/>
        <w:jc w:val="both"/>
        <w:rPr>
          <w:rFonts w:ascii="Palatino Linotype" w:hAnsi="Palatino Linotype"/>
        </w:rPr>
      </w:pPr>
      <w:bookmarkStart w:id="1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3E2295">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8"/>
    <w:p w:rsidR="005C03A4" w:rsidRDefault="005C03A4" w:rsidP="00A64F66">
      <w:pPr>
        <w:spacing w:before="240" w:after="240" w:line="360" w:lineRule="auto"/>
        <w:ind w:right="-1708"/>
        <w:jc w:val="both"/>
        <w:rPr>
          <w:rFonts w:ascii="Palatino Linotype" w:eastAsia="Palatino Linotype" w:hAnsi="Palatino Linotype" w:cs="Palatino Linotype"/>
        </w:rPr>
      </w:pPr>
    </w:p>
    <w:p w:rsidR="005C03A4" w:rsidRDefault="005C03A4" w:rsidP="00A64F66">
      <w:pPr>
        <w:spacing w:before="240" w:after="240" w:line="360" w:lineRule="auto"/>
        <w:ind w:right="-1708"/>
        <w:jc w:val="both"/>
        <w:rPr>
          <w:rFonts w:ascii="Palatino Linotype" w:eastAsia="Palatino Linotype" w:hAnsi="Palatino Linotype" w:cs="Palatino Linotype"/>
        </w:rPr>
      </w:pPr>
    </w:p>
    <w:p w:rsidR="005C03A4" w:rsidRDefault="005C03A4">
      <w:pPr>
        <w:spacing w:line="360" w:lineRule="auto"/>
        <w:ind w:right="-1701"/>
        <w:jc w:val="both"/>
        <w:rPr>
          <w:rFonts w:ascii="Palatino Linotype" w:eastAsia="Palatino Linotype" w:hAnsi="Palatino Linotype" w:cs="Palatino Linotype"/>
        </w:rPr>
      </w:pPr>
    </w:p>
    <w:p w:rsidR="005C03A4" w:rsidRDefault="005C03A4">
      <w:pPr>
        <w:keepNext/>
        <w:keepLines/>
        <w:spacing w:after="240" w:line="360" w:lineRule="auto"/>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rPr>
          <w:rFonts w:ascii="Palatino Linotype" w:eastAsia="Palatino Linotype" w:hAnsi="Palatino Linotype" w:cs="Palatino Linotype"/>
        </w:rPr>
      </w:pPr>
    </w:p>
    <w:p w:rsidR="005C03A4" w:rsidRDefault="005C03A4">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p w:rsidR="004C3816" w:rsidRDefault="004C3816">
      <w:pPr>
        <w:ind w:right="-1701"/>
      </w:pPr>
    </w:p>
    <w:p w:rsidR="004C3816" w:rsidRDefault="004C3816">
      <w:pPr>
        <w:ind w:right="-1701"/>
      </w:pPr>
    </w:p>
    <w:p w:rsidR="004C3816" w:rsidRDefault="004C3816">
      <w:pPr>
        <w:ind w:right="-1701"/>
      </w:pPr>
    </w:p>
    <w:p w:rsidR="004C3816" w:rsidRDefault="004C3816">
      <w:pPr>
        <w:ind w:right="-1701"/>
      </w:pPr>
    </w:p>
    <w:p w:rsidR="004C3816" w:rsidRDefault="004C3816">
      <w:pPr>
        <w:ind w:right="-1701"/>
      </w:pPr>
    </w:p>
    <w:p w:rsidR="004C3816" w:rsidRDefault="004C3816">
      <w:pPr>
        <w:ind w:right="-1701"/>
      </w:pPr>
    </w:p>
    <w:p w:rsidR="004C3816" w:rsidRDefault="004C3816">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p w:rsidR="002D3A03" w:rsidRDefault="002D3A03">
      <w:pPr>
        <w:ind w:right="-1701"/>
      </w:pPr>
    </w:p>
    <w:sectPr w:rsidR="002D3A03">
      <w:headerReference w:type="default" r:id="rId10"/>
      <w:footerReference w:type="default" r:id="rId11"/>
      <w:headerReference w:type="first" r:id="rId12"/>
      <w:footerReference w:type="first" r:id="rId13"/>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0B" w:rsidRDefault="0050410B">
      <w:r>
        <w:separator/>
      </w:r>
    </w:p>
  </w:endnote>
  <w:endnote w:type="continuationSeparator" w:id="0">
    <w:p w:rsidR="0050410B" w:rsidRDefault="0050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1638990-0EEF-4516-BE21-353547D56D4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7EECE1CC-68CE-411A-A9C6-26FC487A1A9A}"/>
    <w:embedBold r:id="rId3" w:fontKey="{12E087FB-D0FC-4236-9FBA-2544D69322E2}"/>
    <w:embedItalic r:id="rId4" w:fontKey="{F1D15BEF-9BB9-408F-9FDA-543A25AD704E}"/>
    <w:embedBoldItalic r:id="rId5" w:fontKey="{5A8C925A-372F-47C9-A298-8FB8D6AFE783}"/>
  </w:font>
  <w:font w:name="Calibri">
    <w:panose1 w:val="020F0502020204030204"/>
    <w:charset w:val="00"/>
    <w:family w:val="swiss"/>
    <w:pitch w:val="variable"/>
    <w:sig w:usb0="E4002EFF" w:usb1="C200247B" w:usb2="00000009" w:usb3="00000000" w:csb0="000001FF" w:csb1="00000000"/>
    <w:embedRegular r:id="rId6" w:fontKey="{2D241F2B-89BB-4421-B0B7-3916932775F1}"/>
  </w:font>
  <w:font w:name="Georgia">
    <w:panose1 w:val="02040502050405020303"/>
    <w:charset w:val="00"/>
    <w:family w:val="roman"/>
    <w:pitch w:val="variable"/>
    <w:sig w:usb0="00000287" w:usb1="00000000" w:usb2="00000000" w:usb3="00000000" w:csb0="0000009F" w:csb1="00000000"/>
    <w:embedItalic r:id="rId7" w:fontKey="{06F41974-2979-4B40-BFBA-8DA90F3EFF0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98067AFB-800B-415F-B75C-7DCA661A79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3A4" w:rsidRPr="004C3816" w:rsidRDefault="000140E2">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4C3816">
      <w:rPr>
        <w:rFonts w:ascii="Palatino Linotype" w:eastAsia="Arial" w:hAnsi="Palatino Linotype" w:cs="Arial"/>
        <w:b/>
        <w:bCs/>
        <w:color w:val="000000"/>
        <w:sz w:val="22"/>
        <w:szCs w:val="20"/>
      </w:rPr>
      <w:t xml:space="preserve">Página </w:t>
    </w:r>
    <w:r w:rsidRPr="004C3816">
      <w:rPr>
        <w:rFonts w:ascii="Palatino Linotype" w:eastAsia="Arial" w:hAnsi="Palatino Linotype" w:cs="Arial"/>
        <w:b/>
        <w:bCs/>
        <w:color w:val="000000"/>
        <w:sz w:val="22"/>
        <w:szCs w:val="20"/>
      </w:rPr>
      <w:fldChar w:fldCharType="begin"/>
    </w:r>
    <w:r w:rsidRPr="004C3816">
      <w:rPr>
        <w:rFonts w:ascii="Palatino Linotype" w:eastAsia="Arial" w:hAnsi="Palatino Linotype" w:cs="Arial"/>
        <w:b/>
        <w:bCs/>
        <w:color w:val="000000"/>
        <w:sz w:val="22"/>
        <w:szCs w:val="20"/>
      </w:rPr>
      <w:instrText>PAGE</w:instrText>
    </w:r>
    <w:r w:rsidRPr="004C3816">
      <w:rPr>
        <w:rFonts w:ascii="Palatino Linotype" w:eastAsia="Arial" w:hAnsi="Palatino Linotype" w:cs="Arial"/>
        <w:b/>
        <w:bCs/>
        <w:color w:val="000000"/>
        <w:sz w:val="22"/>
        <w:szCs w:val="20"/>
      </w:rPr>
      <w:fldChar w:fldCharType="separate"/>
    </w:r>
    <w:r w:rsidR="000F0D2E">
      <w:rPr>
        <w:rFonts w:ascii="Palatino Linotype" w:eastAsia="Arial" w:hAnsi="Palatino Linotype" w:cs="Arial"/>
        <w:b/>
        <w:bCs/>
        <w:noProof/>
        <w:color w:val="000000"/>
        <w:sz w:val="22"/>
        <w:szCs w:val="20"/>
      </w:rPr>
      <w:t>9</w:t>
    </w:r>
    <w:r w:rsidRPr="004C3816">
      <w:rPr>
        <w:rFonts w:ascii="Palatino Linotype" w:eastAsia="Arial" w:hAnsi="Palatino Linotype" w:cs="Arial"/>
        <w:b/>
        <w:bCs/>
        <w:color w:val="000000"/>
        <w:sz w:val="22"/>
        <w:szCs w:val="20"/>
      </w:rPr>
      <w:fldChar w:fldCharType="end"/>
    </w:r>
    <w:r w:rsidRPr="004C3816">
      <w:rPr>
        <w:rFonts w:ascii="Palatino Linotype" w:eastAsia="Arial" w:hAnsi="Palatino Linotype" w:cs="Arial"/>
        <w:color w:val="000000"/>
        <w:sz w:val="22"/>
        <w:szCs w:val="20"/>
      </w:rPr>
      <w:t xml:space="preserve"> de </w:t>
    </w:r>
    <w:r w:rsidRPr="004C3816">
      <w:rPr>
        <w:rFonts w:ascii="Palatino Linotype" w:eastAsia="Arial" w:hAnsi="Palatino Linotype" w:cs="Arial"/>
        <w:b/>
        <w:bCs/>
        <w:color w:val="000000"/>
        <w:sz w:val="22"/>
        <w:szCs w:val="20"/>
      </w:rPr>
      <w:fldChar w:fldCharType="begin"/>
    </w:r>
    <w:r w:rsidRPr="004C3816">
      <w:rPr>
        <w:rFonts w:ascii="Palatino Linotype" w:eastAsia="Arial" w:hAnsi="Palatino Linotype" w:cs="Arial"/>
        <w:b/>
        <w:bCs/>
        <w:color w:val="000000"/>
        <w:sz w:val="22"/>
        <w:szCs w:val="20"/>
      </w:rPr>
      <w:instrText>NUMPAGES</w:instrText>
    </w:r>
    <w:r w:rsidRPr="004C3816">
      <w:rPr>
        <w:rFonts w:ascii="Palatino Linotype" w:eastAsia="Arial" w:hAnsi="Palatino Linotype" w:cs="Arial"/>
        <w:b/>
        <w:bCs/>
        <w:color w:val="000000"/>
        <w:sz w:val="22"/>
        <w:szCs w:val="20"/>
      </w:rPr>
      <w:fldChar w:fldCharType="separate"/>
    </w:r>
    <w:r w:rsidR="000F0D2E">
      <w:rPr>
        <w:rFonts w:ascii="Palatino Linotype" w:eastAsia="Arial" w:hAnsi="Palatino Linotype" w:cs="Arial"/>
        <w:b/>
        <w:bCs/>
        <w:noProof/>
        <w:color w:val="000000"/>
        <w:sz w:val="22"/>
        <w:szCs w:val="20"/>
      </w:rPr>
      <w:t>41</w:t>
    </w:r>
    <w:r w:rsidRPr="004C3816">
      <w:rPr>
        <w:rFonts w:ascii="Palatino Linotype" w:eastAsia="Arial" w:hAnsi="Palatino Linotype" w:cs="Arial"/>
        <w:b/>
        <w:bCs/>
        <w:color w:val="000000"/>
        <w:sz w:val="22"/>
        <w:szCs w:val="20"/>
      </w:rPr>
      <w:fldChar w:fldCharType="end"/>
    </w:r>
  </w:p>
  <w:p w:rsidR="005C03A4" w:rsidRDefault="005C03A4">
    <w:pPr>
      <w:pBdr>
        <w:top w:val="nil"/>
        <w:left w:val="nil"/>
        <w:bottom w:val="nil"/>
        <w:right w:val="nil"/>
        <w:between w:val="nil"/>
      </w:pBdr>
      <w:tabs>
        <w:tab w:val="center" w:pos="4252"/>
        <w:tab w:val="right" w:pos="8504"/>
      </w:tabs>
      <w:rPr>
        <w:color w:val="000000"/>
      </w:rPr>
    </w:pPr>
  </w:p>
  <w:p w:rsidR="005C03A4" w:rsidRDefault="005C03A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3A4" w:rsidRDefault="000140E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F0D2E">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F0D2E">
      <w:rPr>
        <w:rFonts w:ascii="Palatino Linotype" w:eastAsia="Palatino Linotype" w:hAnsi="Palatino Linotype" w:cs="Palatino Linotype"/>
        <w:b/>
        <w:bCs/>
        <w:noProof/>
        <w:color w:val="000000"/>
        <w:sz w:val="22"/>
        <w:szCs w:val="22"/>
      </w:rPr>
      <w:t>41</w:t>
    </w:r>
    <w:r>
      <w:rPr>
        <w:rFonts w:ascii="Palatino Linotype" w:eastAsia="Palatino Linotype" w:hAnsi="Palatino Linotype" w:cs="Palatino Linotype"/>
        <w:b/>
        <w:bCs/>
        <w:color w:val="000000"/>
        <w:sz w:val="22"/>
        <w:szCs w:val="22"/>
      </w:rPr>
      <w:fldChar w:fldCharType="end"/>
    </w:r>
  </w:p>
  <w:p w:rsidR="005C03A4" w:rsidRDefault="005C03A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0B" w:rsidRDefault="0050410B">
      <w:r>
        <w:separator/>
      </w:r>
    </w:p>
  </w:footnote>
  <w:footnote w:type="continuationSeparator" w:id="0">
    <w:p w:rsidR="0050410B" w:rsidRDefault="0050410B">
      <w:r>
        <w:continuationSeparator/>
      </w:r>
    </w:p>
  </w:footnote>
  <w:footnote w:id="1">
    <w:p w:rsidR="005C03A4" w:rsidRDefault="000140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C03A4" w:rsidRDefault="000140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C03A4" w:rsidRDefault="000140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5C03A4" w:rsidRDefault="000140E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305" w:type="dxa"/>
      <w:tblInd w:w="2835" w:type="dxa"/>
      <w:tblLayout w:type="fixed"/>
      <w:tblLook w:val="0400" w:firstRow="0" w:lastRow="0" w:firstColumn="0" w:lastColumn="0" w:noHBand="0" w:noVBand="1"/>
    </w:tblPr>
    <w:tblGrid>
      <w:gridCol w:w="2799"/>
      <w:gridCol w:w="4506"/>
    </w:tblGrid>
    <w:tr w:rsidR="005C03A4" w:rsidTr="004C3816">
      <w:tc>
        <w:tcPr>
          <w:tcW w:w="2799" w:type="dxa"/>
          <w:vAlign w:val="center"/>
        </w:tcPr>
        <w:p w:rsidR="005C03A4" w:rsidRDefault="000140E2">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06" w:type="dxa"/>
          <w:vAlign w:val="center"/>
        </w:tcPr>
        <w:p w:rsidR="005C03A4" w:rsidRDefault="000140E2">
          <w:pPr>
            <w:ind w:right="-1093"/>
            <w:jc w:val="both"/>
            <w:rPr>
              <w:rFonts w:ascii="Palatino Linotype" w:eastAsia="Palatino Linotype" w:hAnsi="Palatino Linotype" w:cs="Palatino Linotype"/>
            </w:rPr>
          </w:pPr>
          <w:r>
            <w:rPr>
              <w:rFonts w:ascii="Palatino Linotype" w:eastAsia="Palatino Linotype" w:hAnsi="Palatino Linotype" w:cs="Palatino Linotype"/>
            </w:rPr>
            <w:t xml:space="preserve">11143/INFOEM/IP/RR/2025 </w:t>
          </w:r>
        </w:p>
      </w:tc>
    </w:tr>
    <w:tr w:rsidR="005C03A4" w:rsidTr="004C3816">
      <w:trPr>
        <w:trHeight w:val="228"/>
      </w:trPr>
      <w:tc>
        <w:tcPr>
          <w:tcW w:w="2799" w:type="dxa"/>
          <w:vAlign w:val="center"/>
        </w:tcPr>
        <w:p w:rsidR="005C03A4" w:rsidRDefault="000140E2">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06" w:type="dxa"/>
          <w:vAlign w:val="center"/>
        </w:tcPr>
        <w:p w:rsidR="005C03A4" w:rsidRDefault="000140E2">
          <w:pPr>
            <w:ind w:right="-1095"/>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Atizapán de Zaragoza</w:t>
          </w:r>
        </w:p>
      </w:tc>
    </w:tr>
    <w:tr w:rsidR="005C03A4" w:rsidTr="004C3816">
      <w:tc>
        <w:tcPr>
          <w:tcW w:w="2799" w:type="dxa"/>
          <w:vAlign w:val="center"/>
        </w:tcPr>
        <w:p w:rsidR="005C03A4" w:rsidRDefault="000140E2">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06" w:type="dxa"/>
          <w:vAlign w:val="center"/>
        </w:tcPr>
        <w:p w:rsidR="005C03A4" w:rsidRDefault="000140E2">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5C03A4" w:rsidRDefault="000140E2">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-1213483</wp:posOffset>
          </wp:positionH>
          <wp:positionV relativeFrom="paragraph">
            <wp:posOffset>-1219833</wp:posOffset>
          </wp:positionV>
          <wp:extent cx="7813085" cy="10170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54" w:type="dxa"/>
      <w:tblInd w:w="2694" w:type="dxa"/>
      <w:tblLayout w:type="fixed"/>
      <w:tblLook w:val="0400" w:firstRow="0" w:lastRow="0" w:firstColumn="0" w:lastColumn="0" w:noHBand="0" w:noVBand="1"/>
    </w:tblPr>
    <w:tblGrid>
      <w:gridCol w:w="2977"/>
      <w:gridCol w:w="4677"/>
    </w:tblGrid>
    <w:tr w:rsidR="005C03A4" w:rsidTr="004C3816">
      <w:trPr>
        <w:trHeight w:val="308"/>
      </w:trPr>
      <w:tc>
        <w:tcPr>
          <w:tcW w:w="2977" w:type="dxa"/>
          <w:vAlign w:val="center"/>
        </w:tcPr>
        <w:p w:rsidR="005C03A4" w:rsidRDefault="000140E2" w:rsidP="000F0D2E">
          <w:pPr>
            <w:ind w:hanging="425"/>
            <w:jc w:val="right"/>
            <w:rPr>
              <w:rFonts w:ascii="Palatino Linotype" w:eastAsia="Palatino Linotype" w:hAnsi="Palatino Linotype" w:cs="Palatino Linotype"/>
              <w:b/>
              <w:bCs/>
            </w:rPr>
          </w:pPr>
          <w:r>
            <w:rPr>
              <w:rFonts w:ascii="Calibri" w:eastAsia="Calibri" w:hAnsi="Calibri" w:cs="Calibri"/>
              <w:color w:val="000000"/>
            </w:rPr>
            <w:t xml:space="preserve">   </w:t>
          </w:r>
          <w:r w:rsidR="004C3816">
            <w:rPr>
              <w:rFonts w:ascii="Calibri" w:eastAsia="Calibri" w:hAnsi="Calibri" w:cs="Calibri"/>
              <w:color w:val="000000"/>
            </w:rPr>
            <w:t xml:space="preserve">            </w:t>
          </w:r>
          <w:r>
            <w:rPr>
              <w:rFonts w:ascii="Palatino Linotype" w:eastAsia="Palatino Linotype" w:hAnsi="Palatino Linotype" w:cs="Palatino Linotype"/>
              <w:b/>
              <w:bCs/>
            </w:rPr>
            <w:t>Recurso de Revisión:</w:t>
          </w:r>
        </w:p>
      </w:tc>
      <w:tc>
        <w:tcPr>
          <w:tcW w:w="4677" w:type="dxa"/>
          <w:vAlign w:val="center"/>
        </w:tcPr>
        <w:p w:rsidR="005C03A4" w:rsidRDefault="000140E2" w:rsidP="000F0D2E">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11143/INFOEM/IP/RR/2025</w:t>
          </w:r>
        </w:p>
      </w:tc>
    </w:tr>
    <w:tr w:rsidR="005C03A4" w:rsidTr="004C3816">
      <w:trPr>
        <w:trHeight w:val="308"/>
      </w:trPr>
      <w:tc>
        <w:tcPr>
          <w:tcW w:w="2977" w:type="dxa"/>
          <w:vAlign w:val="center"/>
        </w:tcPr>
        <w:p w:rsidR="005C03A4" w:rsidRDefault="000140E2" w:rsidP="000F0D2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77" w:type="dxa"/>
        </w:tcPr>
        <w:p w:rsidR="005C03A4" w:rsidRDefault="000140E2" w:rsidP="000F0D2E">
          <w:pPr>
            <w:pBdr>
              <w:top w:val="nil"/>
              <w:left w:val="nil"/>
              <w:bottom w:val="nil"/>
              <w:right w:val="nil"/>
              <w:between w:val="nil"/>
            </w:pBdr>
            <w:tabs>
              <w:tab w:val="center" w:pos="4419"/>
              <w:tab w:val="right" w:pos="8838"/>
              <w:tab w:val="left" w:pos="521"/>
            </w:tabs>
            <w:ind w:right="-510"/>
            <w:rPr>
              <w:rFonts w:ascii="Palatino Linotype" w:eastAsia="Palatino Linotype" w:hAnsi="Palatino Linotype" w:cs="Palatino Linotype"/>
              <w:highlight w:val="green"/>
            </w:rPr>
          </w:pPr>
          <w:r>
            <w:rPr>
              <w:rFonts w:ascii="Palatino Linotype" w:eastAsia="Palatino Linotype" w:hAnsi="Palatino Linotype" w:cs="Palatino Linotype"/>
            </w:rPr>
            <w:t> </w:t>
          </w:r>
          <w:r w:rsidR="000F0D2E">
            <w:rPr>
              <w:rFonts w:ascii="Palatino Linotype" w:eastAsia="Palatino Linotype" w:hAnsi="Palatino Linotype" w:cs="Palatino Linotype"/>
            </w:rPr>
            <w:t>XXXX</w:t>
          </w:r>
        </w:p>
      </w:tc>
    </w:tr>
    <w:tr w:rsidR="005C03A4" w:rsidTr="004C3816">
      <w:trPr>
        <w:trHeight w:val="617"/>
      </w:trPr>
      <w:tc>
        <w:tcPr>
          <w:tcW w:w="2977" w:type="dxa"/>
          <w:vAlign w:val="center"/>
        </w:tcPr>
        <w:p w:rsidR="005C03A4" w:rsidRDefault="000140E2" w:rsidP="000F0D2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77" w:type="dxa"/>
          <w:vAlign w:val="center"/>
        </w:tcPr>
        <w:p w:rsidR="005C03A4" w:rsidRDefault="000140E2" w:rsidP="000F0D2E">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Atizapán de Zaragoza</w:t>
          </w:r>
        </w:p>
      </w:tc>
    </w:tr>
    <w:tr w:rsidR="005C03A4" w:rsidTr="004C3816">
      <w:trPr>
        <w:trHeight w:val="314"/>
      </w:trPr>
      <w:tc>
        <w:tcPr>
          <w:tcW w:w="2977" w:type="dxa"/>
          <w:vAlign w:val="center"/>
        </w:tcPr>
        <w:p w:rsidR="005C03A4" w:rsidRDefault="000140E2" w:rsidP="000F0D2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77" w:type="dxa"/>
          <w:vAlign w:val="center"/>
        </w:tcPr>
        <w:p w:rsidR="005C03A4" w:rsidRDefault="000140E2" w:rsidP="000F0D2E">
          <w:pPr>
            <w:pBdr>
              <w:top w:val="nil"/>
              <w:left w:val="nil"/>
              <w:bottom w:val="nil"/>
              <w:right w:val="nil"/>
              <w:between w:val="nil"/>
            </w:pBdr>
            <w:tabs>
              <w:tab w:val="center" w:pos="4419"/>
              <w:tab w:val="right" w:pos="8838"/>
            </w:tabs>
            <w:ind w:right="-51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5C03A4" w:rsidRDefault="004C3816">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page">
            <wp:align>left</wp:align>
          </wp:positionH>
          <wp:positionV relativeFrom="paragraph">
            <wp:posOffset>-1482042</wp:posOffset>
          </wp:positionV>
          <wp:extent cx="7813085" cy="10170000"/>
          <wp:effectExtent l="0" t="0" r="0" b="317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B7961"/>
    <w:multiLevelType w:val="multilevel"/>
    <w:tmpl w:val="C3448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AD24EF"/>
    <w:multiLevelType w:val="multilevel"/>
    <w:tmpl w:val="38823C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A63642C"/>
    <w:multiLevelType w:val="multilevel"/>
    <w:tmpl w:val="92EAAD1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47E01249"/>
    <w:multiLevelType w:val="multilevel"/>
    <w:tmpl w:val="71A4239E"/>
    <w:lvl w:ilvl="0">
      <w:start w:val="1"/>
      <w:numFmt w:val="decimal"/>
      <w:lvlText w:val="%1."/>
      <w:lvlJc w:val="left"/>
      <w:pPr>
        <w:ind w:left="928"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A51849"/>
    <w:multiLevelType w:val="multilevel"/>
    <w:tmpl w:val="B494367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6D940B0B"/>
    <w:multiLevelType w:val="multilevel"/>
    <w:tmpl w:val="A5B002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 w15:restartNumberingAfterBreak="0">
    <w:nsid w:val="77990A51"/>
    <w:multiLevelType w:val="multilevel"/>
    <w:tmpl w:val="E014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90916AF"/>
    <w:multiLevelType w:val="multilevel"/>
    <w:tmpl w:val="DD66442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4"/>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A4"/>
    <w:rsid w:val="000140E2"/>
    <w:rsid w:val="000F0D2E"/>
    <w:rsid w:val="00291AC5"/>
    <w:rsid w:val="002D3A03"/>
    <w:rsid w:val="004C3816"/>
    <w:rsid w:val="00502E78"/>
    <w:rsid w:val="0050410B"/>
    <w:rsid w:val="005C03A4"/>
    <w:rsid w:val="007A70B4"/>
    <w:rsid w:val="00A64F66"/>
    <w:rsid w:val="00A87E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0AAE0D-85C6-4C1B-8D11-6C5C366B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A64F66"/>
    <w:pPr>
      <w:tabs>
        <w:tab w:val="center" w:pos="4419"/>
        <w:tab w:val="right" w:pos="8838"/>
      </w:tabs>
    </w:pPr>
  </w:style>
  <w:style w:type="character" w:customStyle="1" w:styleId="EncabezadoCar">
    <w:name w:val="Encabezado Car"/>
    <w:basedOn w:val="Fuentedeprrafopredeter"/>
    <w:link w:val="Encabezado"/>
    <w:uiPriority w:val="99"/>
    <w:rsid w:val="00A64F66"/>
  </w:style>
  <w:style w:type="paragraph" w:styleId="Piedepgina">
    <w:name w:val="footer"/>
    <w:basedOn w:val="Normal"/>
    <w:link w:val="PiedepginaCar"/>
    <w:uiPriority w:val="99"/>
    <w:unhideWhenUsed/>
    <w:rsid w:val="00A64F66"/>
    <w:pPr>
      <w:tabs>
        <w:tab w:val="center" w:pos="4419"/>
        <w:tab w:val="right" w:pos="8838"/>
      </w:tabs>
    </w:pPr>
  </w:style>
  <w:style w:type="character" w:customStyle="1" w:styleId="PiedepginaCar">
    <w:name w:val="Pie de página Car"/>
    <w:basedOn w:val="Fuentedeprrafopredeter"/>
    <w:link w:val="Piedepgina"/>
    <w:uiPriority w:val="99"/>
    <w:rsid w:val="00A64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ultas.curp.gob.mx/CurpSP/html/informacionecurpPS.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olN8w2RzbfcG/jqZ2dWImy0xA==">CgMxLjAyCGguZ2pkZ3hzMgloLjFmb2I5dGUyCWguM3pueXNoNzIJaC4yZXQ5MnAwMg5oLjE2Mm0xbTNma3psNjIIaC50eWpjd3QyCWguM2R5NnZrbTIJaC4xdDNoNXNmMgloLjRkMzRvZzgyCWguMnM4ZXlvMTIJaC4xN2RwOHZ1MgloLjNyZGNyam4yCWguMjZpbjFyZzIOaC5lcDg2MzVvYnprZzgyCWguMWtzdjR1djIIaC5sbnhiejkyCWguMmp4c3hxaDgAciExRFR4MWtJTkN0X3NyaFBwOFNHVjVRNTdWUkdzVGhnY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9825</Words>
  <Characters>54040</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2026-05-21T23:20:00Z</cp:lastPrinted>
  <dcterms:created xsi:type="dcterms:W3CDTF">2026-05-20T21:38:00Z</dcterms:created>
  <dcterms:modified xsi:type="dcterms:W3CDTF">2026-05-28T23:42:00Z</dcterms:modified>
</cp:coreProperties>
</file>