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9FB4D" w14:textId="361C120E" w:rsidR="001F28C7" w:rsidRDefault="00D917E0">
      <w:pPr>
        <w:tabs>
          <w:tab w:val="left" w:pos="3465"/>
        </w:tabs>
        <w:spacing w:line="360" w:lineRule="auto"/>
        <w:jc w:val="both"/>
        <w:rPr>
          <w:rFonts w:ascii="Palatino Linotype" w:eastAsia="Palatino Linotype" w:hAnsi="Palatino Linotype" w:cs="Palatino Linotype"/>
        </w:rPr>
      </w:pPr>
      <w:bookmarkStart w:id="0" w:name="_GoBack"/>
      <w:r>
        <w:rPr>
          <w:rFonts w:ascii="Palatino Linotype" w:eastAsia="Palatino Linotype" w:hAnsi="Palatino Linotype" w:cs="Palatino Linotype"/>
        </w:rPr>
        <w:t>R</w:t>
      </w:r>
      <w:bookmarkEnd w:id="0"/>
      <w:r>
        <w:rPr>
          <w:rFonts w:ascii="Palatino Linotype" w:eastAsia="Palatino Linotype" w:hAnsi="Palatino Linotype" w:cs="Palatino Linotype"/>
        </w:rPr>
        <w:t>esolución del Pleno del Instituto de Transparencia, Acceso a la Información Pública y Protección de Datos Personales del Estado de México y Municipios, con domicilio en Metepec, Estado</w:t>
      </w:r>
      <w:r w:rsidR="002567F7">
        <w:rPr>
          <w:rFonts w:ascii="Palatino Linotype" w:eastAsia="Palatino Linotype" w:hAnsi="Palatino Linotype" w:cs="Palatino Linotype"/>
        </w:rPr>
        <w:t xml:space="preserve"> de México; </w:t>
      </w:r>
      <w:r w:rsidR="002567F7" w:rsidRPr="00EA2D09">
        <w:rPr>
          <w:rFonts w:ascii="Palatino Linotype" w:eastAsia="Palatino Linotype" w:hAnsi="Palatino Linotype" w:cs="Palatino Linotype"/>
          <w:b/>
        </w:rPr>
        <w:t>de fecha cinco</w:t>
      </w:r>
      <w:r w:rsidR="00EA2D09" w:rsidRPr="00EA2D09">
        <w:rPr>
          <w:rFonts w:ascii="Palatino Linotype" w:eastAsia="Palatino Linotype" w:hAnsi="Palatino Linotype" w:cs="Palatino Linotype"/>
          <w:b/>
        </w:rPr>
        <w:t xml:space="preserve"> (05)</w:t>
      </w:r>
      <w:r w:rsidRPr="00EA2D09">
        <w:rPr>
          <w:rFonts w:ascii="Palatino Linotype" w:eastAsia="Palatino Linotype" w:hAnsi="Palatino Linotype" w:cs="Palatino Linotype"/>
          <w:b/>
        </w:rPr>
        <w:t xml:space="preserve"> de febrero de dos mil veintiséis</w:t>
      </w:r>
      <w:r>
        <w:rPr>
          <w:rFonts w:ascii="Palatino Linotype" w:eastAsia="Palatino Linotype" w:hAnsi="Palatino Linotype" w:cs="Palatino Linotype"/>
        </w:rPr>
        <w:t>.</w:t>
      </w:r>
    </w:p>
    <w:p w14:paraId="6D9A803A" w14:textId="77777777" w:rsidR="001F28C7" w:rsidRDefault="001F28C7">
      <w:pPr>
        <w:tabs>
          <w:tab w:val="left" w:pos="3465"/>
        </w:tabs>
        <w:spacing w:line="360" w:lineRule="auto"/>
        <w:jc w:val="both"/>
        <w:rPr>
          <w:rFonts w:ascii="Palatino Linotype" w:eastAsia="Palatino Linotype" w:hAnsi="Palatino Linotype" w:cs="Palatino Linotype"/>
        </w:rPr>
      </w:pPr>
    </w:p>
    <w:p w14:paraId="5B36274E" w14:textId="77777777" w:rsidR="001F28C7" w:rsidRDefault="00D917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bCs/>
        </w:rPr>
        <w:t xml:space="preserve">05213/INFOEM/IP/RR/2025, </w:t>
      </w:r>
      <w:r>
        <w:rPr>
          <w:rFonts w:ascii="Palatino Linotype" w:eastAsia="Palatino Linotype" w:hAnsi="Palatino Linotype" w:cs="Palatino Linotype"/>
        </w:rPr>
        <w:t>promovido por</w:t>
      </w:r>
      <w:r>
        <w:rPr>
          <w:rFonts w:ascii="Palatino Linotype" w:eastAsia="Palatino Linotype" w:hAnsi="Palatino Linotype" w:cs="Palatino Linotype"/>
          <w:b/>
          <w:bCs/>
        </w:rPr>
        <w:t xml:space="preserve"> </w:t>
      </w:r>
      <w:r w:rsidRPr="00EA2D09">
        <w:rPr>
          <w:rFonts w:ascii="Palatino Linotype" w:eastAsia="Palatino Linotype" w:hAnsi="Palatino Linotype" w:cs="Palatino Linotype"/>
          <w:b/>
        </w:rPr>
        <w:t xml:space="preserve">una persona que no proporcionó datos de identificación, </w:t>
      </w:r>
      <w:r>
        <w:rPr>
          <w:rFonts w:ascii="Palatino Linotype" w:eastAsia="Palatino Linotype" w:hAnsi="Palatino Linotype" w:cs="Palatino Linotype"/>
        </w:rPr>
        <w:t xml:space="preserve">a quien en lo sucesivo se le identificará como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bCs/>
        </w:rPr>
        <w:t xml:space="preserve">Ayuntamiento de Toluca, </w:t>
      </w:r>
      <w:r>
        <w:rPr>
          <w:rFonts w:ascii="Palatino Linotype" w:eastAsia="Palatino Linotype" w:hAnsi="Palatino Linotype" w:cs="Palatino Linotype"/>
        </w:rPr>
        <w:t>en adelante el</w:t>
      </w:r>
      <w:r>
        <w:rPr>
          <w:rFonts w:ascii="Palatino Linotype" w:eastAsia="Palatino Linotype" w:hAnsi="Palatino Linotype" w:cs="Palatino Linotype"/>
          <w:b/>
          <w:bCs/>
        </w:rPr>
        <w:t xml:space="preserve"> SUJETO OBLIGADO</w:t>
      </w:r>
      <w:r>
        <w:rPr>
          <w:rFonts w:ascii="Palatino Linotype" w:eastAsia="Palatino Linotype" w:hAnsi="Palatino Linotype" w:cs="Palatino Linotype"/>
        </w:rPr>
        <w:t>, se procede a dictar la presente Resolución, con base en los siguientes:</w:t>
      </w:r>
    </w:p>
    <w:p w14:paraId="478ECD74" w14:textId="77777777" w:rsidR="001F28C7" w:rsidRDefault="001F28C7">
      <w:pPr>
        <w:spacing w:line="360" w:lineRule="auto"/>
        <w:jc w:val="both"/>
        <w:rPr>
          <w:rFonts w:ascii="Palatino Linotype" w:eastAsia="Palatino Linotype" w:hAnsi="Palatino Linotype" w:cs="Palatino Linotype"/>
          <w:b/>
          <w:bCs/>
        </w:rPr>
      </w:pPr>
    </w:p>
    <w:p w14:paraId="4C6CA71E" w14:textId="77777777" w:rsidR="001F28C7" w:rsidRDefault="00D917E0">
      <w:pPr>
        <w:pStyle w:val="Ttulo1"/>
        <w:spacing w:before="0" w:line="360" w:lineRule="auto"/>
        <w:jc w:val="center"/>
        <w:rPr>
          <w:rFonts w:ascii="Palatino Linotype" w:eastAsia="Palatino Linotype" w:hAnsi="Palatino Linotype" w:cs="Palatino Linotype"/>
          <w:b/>
          <w:bCs/>
          <w:color w:val="000000"/>
          <w:sz w:val="24"/>
          <w:szCs w:val="24"/>
        </w:rPr>
      </w:pPr>
      <w:bookmarkStart w:id="1" w:name="_heading=h.gjdgxs" w:colFirst="0" w:colLast="0"/>
      <w:bookmarkEnd w:id="1"/>
      <w:r>
        <w:rPr>
          <w:rFonts w:ascii="Palatino Linotype" w:eastAsia="Palatino Linotype" w:hAnsi="Palatino Linotype" w:cs="Palatino Linotype"/>
          <w:b/>
          <w:bCs/>
          <w:color w:val="000000"/>
          <w:sz w:val="24"/>
          <w:szCs w:val="24"/>
        </w:rPr>
        <w:t>A N T E C E D E N T E S</w:t>
      </w:r>
    </w:p>
    <w:p w14:paraId="7F540AC7" w14:textId="77777777" w:rsidR="001F28C7" w:rsidRDefault="001F28C7">
      <w:pPr>
        <w:spacing w:line="360" w:lineRule="auto"/>
        <w:rPr>
          <w:rFonts w:ascii="Palatino Linotype" w:eastAsia="Palatino Linotype" w:hAnsi="Palatino Linotype" w:cs="Palatino Linotype"/>
        </w:rPr>
      </w:pPr>
    </w:p>
    <w:p w14:paraId="562E6F2D" w14:textId="77777777" w:rsidR="001F28C7" w:rsidRDefault="00D917E0">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bCs/>
          <w:color w:val="000000"/>
        </w:rPr>
        <w:t xml:space="preserve"> catorce de marzo dos mil veinticinco,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vía Sistema de Acceso a la Información Mexiquense (SAIMEX), la Solicitud de Información Pública registrada con el número</w:t>
      </w:r>
      <w:r>
        <w:rPr>
          <w:rFonts w:ascii="Palatino Linotype" w:eastAsia="Palatino Linotype" w:hAnsi="Palatino Linotype" w:cs="Palatino Linotype"/>
          <w:b/>
          <w:bCs/>
          <w:color w:val="000000"/>
        </w:rPr>
        <w:t xml:space="preserve">  01593/TOLUCA/IP/2025; </w:t>
      </w:r>
      <w:r>
        <w:rPr>
          <w:rFonts w:ascii="Palatino Linotype" w:eastAsia="Palatino Linotype" w:hAnsi="Palatino Linotype" w:cs="Palatino Linotype"/>
        </w:rPr>
        <w:t xml:space="preserve">en la que </w:t>
      </w:r>
      <w:r>
        <w:rPr>
          <w:rFonts w:ascii="Palatino Linotype" w:eastAsia="Palatino Linotype" w:hAnsi="Palatino Linotype" w:cs="Palatino Linotype"/>
          <w:color w:val="000000"/>
        </w:rPr>
        <w:t>se solicitó la siguiente información:</w:t>
      </w:r>
    </w:p>
    <w:p w14:paraId="4E6BE6FD" w14:textId="77777777" w:rsidR="001F28C7" w:rsidRDefault="001F28C7">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1C89695B" w14:textId="77777777" w:rsidR="001F28C7" w:rsidRDefault="00D917E0">
      <w:pPr>
        <w:pBdr>
          <w:top w:val="nil"/>
          <w:left w:val="nil"/>
          <w:bottom w:val="nil"/>
          <w:right w:val="nil"/>
          <w:between w:val="nil"/>
        </w:pBdr>
        <w:spacing w:line="360" w:lineRule="auto"/>
        <w:ind w:left="426" w:right="4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 plantilla de personal sindicalizados con los oficios o documentos que acrediten que se solicita su sindicalizacion fecha de sindicalizacion, su fecha de alta del servidor público en el municipio, su gafete y la autorización para sindicalizados y más las autorizaciones de los sindicalizados on un sueldo mayor a 30 mil pesos mensuales y su fecha de alta en el Ayuntamiento y fecha de sindicalizacion”</w:t>
      </w:r>
    </w:p>
    <w:p w14:paraId="6DED7548" w14:textId="77777777" w:rsidR="00EA2D09" w:rsidRDefault="00EA2D09">
      <w:pPr>
        <w:pBdr>
          <w:top w:val="nil"/>
          <w:left w:val="nil"/>
          <w:bottom w:val="nil"/>
          <w:right w:val="nil"/>
          <w:between w:val="nil"/>
        </w:pBdr>
        <w:spacing w:line="360" w:lineRule="auto"/>
        <w:ind w:left="426" w:right="476"/>
        <w:jc w:val="both"/>
        <w:rPr>
          <w:rFonts w:ascii="Palatino Linotype" w:eastAsia="Palatino Linotype" w:hAnsi="Palatino Linotype" w:cs="Palatino Linotype"/>
          <w:i/>
          <w:iCs/>
          <w:color w:val="000000"/>
        </w:rPr>
      </w:pPr>
    </w:p>
    <w:p w14:paraId="5E9B7BAF" w14:textId="77777777" w:rsidR="001F28C7" w:rsidRDefault="00D917E0" w:rsidP="00EA2D09">
      <w:pPr>
        <w:numPr>
          <w:ilvl w:val="0"/>
          <w:numId w:val="5"/>
        </w:numPr>
        <w:pBdr>
          <w:top w:val="nil"/>
          <w:left w:val="nil"/>
          <w:bottom w:val="nil"/>
          <w:right w:val="nil"/>
          <w:between w:val="nil"/>
        </w:pBdr>
        <w:spacing w:line="360" w:lineRule="auto"/>
        <w:ind w:left="0" w:right="34"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lastRenderedPageBreak/>
        <w:t xml:space="preserve">Se eligió como modalidad de entrega: </w:t>
      </w:r>
      <w:r>
        <w:rPr>
          <w:rFonts w:ascii="Palatino Linotype" w:eastAsia="Palatino Linotype" w:hAnsi="Palatino Linotype" w:cs="Palatino Linotype"/>
          <w:b/>
          <w:bCs/>
          <w:color w:val="000000"/>
        </w:rPr>
        <w:t>SAIMEX</w:t>
      </w:r>
    </w:p>
    <w:p w14:paraId="0DE4C830" w14:textId="77777777" w:rsidR="001F28C7" w:rsidRDefault="001F28C7">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color w:val="000000"/>
        </w:rPr>
      </w:pPr>
    </w:p>
    <w:p w14:paraId="1CE08439" w14:textId="77777777" w:rsidR="001F28C7" w:rsidRDefault="00D917E0">
      <w:pPr>
        <w:numPr>
          <w:ilvl w:val="0"/>
          <w:numId w:val="4"/>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siete de abril de </w:t>
      </w:r>
      <w:r>
        <w:rPr>
          <w:rFonts w:ascii="Palatino Linotype" w:eastAsia="Palatino Linotype" w:hAnsi="Palatino Linotype" w:cs="Palatino Linotype"/>
          <w:color w:val="000000"/>
        </w:rPr>
        <w:t>dos</w:t>
      </w:r>
      <w:r>
        <w:rPr>
          <w:rFonts w:ascii="Palatino Linotype" w:eastAsia="Palatino Linotype" w:hAnsi="Palatino Linotype" w:cs="Palatino Linotype"/>
          <w:b/>
          <w:bCs/>
          <w:color w:val="000000"/>
        </w:rPr>
        <w:t xml:space="preserve"> mil veinticinco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dio respuesta a través de un archivo denominado </w:t>
      </w:r>
      <w:r>
        <w:rPr>
          <w:rFonts w:ascii="Palatino Linotype" w:eastAsia="Palatino Linotype" w:hAnsi="Palatino Linotype" w:cs="Palatino Linotype"/>
          <w:b/>
          <w:bCs/>
          <w:i/>
          <w:iCs/>
          <w:color w:val="000000"/>
        </w:rPr>
        <w:t>R. 01593. 2025.pdf</w:t>
      </w:r>
      <w:r>
        <w:rPr>
          <w:rFonts w:ascii="Palatino Linotype" w:eastAsia="Palatino Linotype" w:hAnsi="Palatino Linotype" w:cs="Palatino Linotype"/>
          <w:color w:val="000000"/>
        </w:rPr>
        <w:t>, cuyo contenido corresponde a un oficio signado por el Titular de la Unidad de Transparencia, por medio del cual informa que la Dirección General de Administración y Servidora Pública Habilitada, refiere que la Dirección de Recursos Materiales, después de haber realizado una búsqueda exhaustiva y razonable en los archivos que obran en la Dirección y sus departamentos, a la fecha en que se emite la respuesta, no se localizó información de la solicitada.</w:t>
      </w:r>
    </w:p>
    <w:p w14:paraId="6C3D4DAE" w14:textId="77777777" w:rsidR="001F28C7" w:rsidRDefault="001F28C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06D9F74A" w14:textId="77777777" w:rsidR="001F28C7" w:rsidRDefault="00D917E0">
      <w:pPr>
        <w:numPr>
          <w:ilvl w:val="0"/>
          <w:numId w:val="4"/>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con la respuesta el </w:t>
      </w:r>
      <w:r>
        <w:rPr>
          <w:rFonts w:ascii="Palatino Linotype" w:eastAsia="Palatino Linotype" w:hAnsi="Palatino Linotype" w:cs="Palatino Linotype"/>
          <w:b/>
          <w:bCs/>
          <w:color w:val="000000"/>
        </w:rPr>
        <w:t>siete de mayo del año en curso</w:t>
      </w:r>
      <w:r>
        <w:rPr>
          <w:rFonts w:ascii="Palatino Linotype" w:eastAsia="Palatino Linotype" w:hAnsi="Palatino Linotype" w:cs="Palatino Linotype"/>
          <w:color w:val="000000"/>
        </w:rPr>
        <w:t>, interpuso el recurso de revisión en contra de la respuesta, manifestando las siguientes razones o motivos de inconformidad:</w:t>
      </w:r>
    </w:p>
    <w:p w14:paraId="72F074B9" w14:textId="77777777" w:rsidR="001F28C7" w:rsidRDefault="001F28C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0DBAC8CF" w14:textId="1EF21D6E" w:rsidR="001F28C7" w:rsidRDefault="00EA2D09" w:rsidP="00EA2D09">
      <w:pPr>
        <w:numPr>
          <w:ilvl w:val="0"/>
          <w:numId w:val="5"/>
        </w:numPr>
        <w:pBdr>
          <w:top w:val="nil"/>
          <w:left w:val="nil"/>
          <w:bottom w:val="nil"/>
          <w:right w:val="nil"/>
          <w:between w:val="nil"/>
        </w:pBdr>
        <w:spacing w:line="360" w:lineRule="auto"/>
        <w:ind w:left="0" w:right="426" w:firstLine="0"/>
        <w:jc w:val="both"/>
        <w:rPr>
          <w:rFonts w:ascii="Palatino Linotype" w:eastAsia="Palatino Linotype" w:hAnsi="Palatino Linotype" w:cs="Palatino Linotype"/>
          <w:i/>
          <w:iCs/>
          <w:color w:val="000000"/>
        </w:rPr>
      </w:pPr>
      <w:bookmarkStart w:id="2" w:name="_heading=h.30j0zll" w:colFirst="0" w:colLast="0"/>
      <w:bookmarkEnd w:id="2"/>
      <w:r w:rsidRPr="00EA2D09">
        <w:rPr>
          <w:rFonts w:ascii="Palatino Linotype" w:eastAsia="Palatino Linotype" w:hAnsi="Palatino Linotype" w:cs="Palatino Linotype"/>
          <w:b/>
          <w:bCs/>
          <w:color w:val="000000"/>
        </w:rPr>
        <w:t>ACTO IMPUGNADO</w:t>
      </w:r>
      <w:r w:rsidR="00D917E0">
        <w:rPr>
          <w:rFonts w:ascii="Palatino Linotype" w:eastAsia="Palatino Linotype" w:hAnsi="Palatino Linotype" w:cs="Palatino Linotype"/>
          <w:b/>
          <w:bCs/>
          <w:color w:val="000000"/>
        </w:rPr>
        <w:t xml:space="preserve">: </w:t>
      </w:r>
      <w:r w:rsidR="00D917E0">
        <w:rPr>
          <w:rFonts w:ascii="Palatino Linotype" w:eastAsia="Palatino Linotype" w:hAnsi="Palatino Linotype" w:cs="Palatino Linotype"/>
          <w:i/>
          <w:iCs/>
          <w:color w:val="000000"/>
        </w:rPr>
        <w:t>“La respuesta negativa”</w:t>
      </w:r>
    </w:p>
    <w:p w14:paraId="51B65A61" w14:textId="77777777" w:rsidR="001F28C7" w:rsidRDefault="001F28C7" w:rsidP="00EA2D09">
      <w:pPr>
        <w:pBdr>
          <w:top w:val="nil"/>
          <w:left w:val="nil"/>
          <w:bottom w:val="nil"/>
          <w:right w:val="nil"/>
          <w:between w:val="nil"/>
        </w:pBdr>
        <w:spacing w:line="360" w:lineRule="auto"/>
        <w:ind w:right="426"/>
        <w:jc w:val="both"/>
        <w:rPr>
          <w:rFonts w:ascii="Palatino Linotype" w:eastAsia="Palatino Linotype" w:hAnsi="Palatino Linotype" w:cs="Palatino Linotype"/>
          <w:i/>
          <w:iCs/>
          <w:color w:val="000000"/>
        </w:rPr>
      </w:pPr>
    </w:p>
    <w:p w14:paraId="5BB62962" w14:textId="4D305C6D" w:rsidR="001F28C7" w:rsidRDefault="00EA2D09" w:rsidP="00EA2D09">
      <w:pPr>
        <w:numPr>
          <w:ilvl w:val="0"/>
          <w:numId w:val="5"/>
        </w:numPr>
        <w:pBdr>
          <w:top w:val="nil"/>
          <w:left w:val="nil"/>
          <w:bottom w:val="nil"/>
          <w:right w:val="nil"/>
          <w:between w:val="nil"/>
        </w:pBdr>
        <w:spacing w:line="360" w:lineRule="auto"/>
        <w:ind w:left="0" w:right="426"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color w:val="000000"/>
        </w:rPr>
        <w:t>RAZONES O MOTIVOS DE INCONFORMIDAD</w:t>
      </w:r>
      <w:r w:rsidR="00D917E0">
        <w:rPr>
          <w:rFonts w:ascii="Palatino Linotype" w:eastAsia="Palatino Linotype" w:hAnsi="Palatino Linotype" w:cs="Palatino Linotype"/>
          <w:b/>
          <w:bCs/>
          <w:color w:val="000000"/>
        </w:rPr>
        <w:t>:</w:t>
      </w:r>
      <w:r w:rsidR="00D917E0">
        <w:rPr>
          <w:rFonts w:ascii="Palatino Linotype" w:eastAsia="Palatino Linotype" w:hAnsi="Palatino Linotype" w:cs="Palatino Linotype"/>
          <w:i/>
          <w:iCs/>
          <w:color w:val="000000"/>
        </w:rPr>
        <w:t xml:space="preserve"> “Niega la información que tenemos evidencia que si existe lo están negando” </w:t>
      </w:r>
    </w:p>
    <w:p w14:paraId="765E6EE3"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p>
    <w:p w14:paraId="1FD0F5F3" w14:textId="01B89124" w:rsidR="001F28C7" w:rsidRDefault="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D917E0">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fecha </w:t>
      </w:r>
      <w:r w:rsidR="00D917E0">
        <w:rPr>
          <w:rFonts w:ascii="Palatino Linotype" w:eastAsia="Palatino Linotype" w:hAnsi="Palatino Linotype" w:cs="Palatino Linotype"/>
          <w:b/>
          <w:bCs/>
          <w:color w:val="000000"/>
        </w:rPr>
        <w:t>doce de mayo de dos mil veinticinco</w:t>
      </w:r>
      <w:r w:rsidR="00D917E0">
        <w:rPr>
          <w:rFonts w:ascii="Palatino Linotype" w:eastAsia="Palatino Linotype" w:hAnsi="Palatino Linotype" w:cs="Palatino Linotype"/>
          <w:color w:val="000000"/>
        </w:rPr>
        <w:t xml:space="preserve">, puso a disposición de las partes el expediente electrónico vía </w:t>
      </w:r>
      <w:r w:rsidR="00D917E0">
        <w:rPr>
          <w:rFonts w:ascii="Palatino Linotype" w:eastAsia="Palatino Linotype" w:hAnsi="Palatino Linotype" w:cs="Palatino Linotype"/>
          <w:b/>
          <w:bCs/>
          <w:color w:val="000000"/>
        </w:rPr>
        <w:t xml:space="preserve">SAIMEX </w:t>
      </w:r>
      <w:r w:rsidR="00D917E0">
        <w:rPr>
          <w:rFonts w:ascii="Palatino Linotype" w:eastAsia="Palatino Linotype" w:hAnsi="Palatino Linotype" w:cs="Palatino Linotype"/>
          <w:color w:val="000000"/>
        </w:rPr>
        <w:t xml:space="preserve">a efecto de que en un plazo máximo de siete días </w:t>
      </w:r>
      <w:r w:rsidR="00D917E0">
        <w:rPr>
          <w:rFonts w:ascii="Palatino Linotype" w:eastAsia="Palatino Linotype" w:hAnsi="Palatino Linotype" w:cs="Palatino Linotype"/>
        </w:rPr>
        <w:t>manifestara</w:t>
      </w:r>
      <w:r w:rsidR="00D917E0">
        <w:rPr>
          <w:rFonts w:ascii="Palatino Linotype" w:eastAsia="Palatino Linotype" w:hAnsi="Palatino Linotype" w:cs="Palatino Linotype"/>
          <w:color w:val="000000"/>
        </w:rPr>
        <w:t xml:space="preserve"> lo que a su derecho conviniera, </w:t>
      </w:r>
      <w:r w:rsidR="00D917E0">
        <w:rPr>
          <w:rFonts w:ascii="Palatino Linotype" w:eastAsia="Palatino Linotype" w:hAnsi="Palatino Linotype" w:cs="Palatino Linotype"/>
        </w:rPr>
        <w:lastRenderedPageBreak/>
        <w:t>ofreciera</w:t>
      </w:r>
      <w:r w:rsidR="00D917E0">
        <w:rPr>
          <w:rFonts w:ascii="Palatino Linotype" w:eastAsia="Palatino Linotype" w:hAnsi="Palatino Linotype" w:cs="Palatino Linotype"/>
          <w:color w:val="000000"/>
        </w:rPr>
        <w:t xml:space="preserve"> pruebas y alegatos según corresponda a los casos concretos, y el </w:t>
      </w:r>
      <w:r w:rsidR="00D917E0">
        <w:rPr>
          <w:rFonts w:ascii="Palatino Linotype" w:eastAsia="Palatino Linotype" w:hAnsi="Palatino Linotype" w:cs="Palatino Linotype"/>
          <w:b/>
          <w:bCs/>
          <w:color w:val="000000"/>
        </w:rPr>
        <w:t>SUJETO OBLIGADO</w:t>
      </w:r>
      <w:r w:rsidR="00D917E0">
        <w:rPr>
          <w:rFonts w:ascii="Palatino Linotype" w:eastAsia="Palatino Linotype" w:hAnsi="Palatino Linotype" w:cs="Palatino Linotype"/>
          <w:color w:val="000000"/>
        </w:rPr>
        <w:t xml:space="preserve"> presentará el Informe Justificado procedente.</w:t>
      </w:r>
    </w:p>
    <w:p w14:paraId="2E782BF1" w14:textId="77777777" w:rsidR="001F28C7" w:rsidRDefault="001F28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33A8D06" w14:textId="77777777" w:rsidR="001F28C7" w:rsidRDefault="00D917E0">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 xml:space="preserve">fue omiso en realizar manifestaciones que a su derecho conviniera y asistiera. Por su parte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en fecha </w:t>
      </w:r>
      <w:r>
        <w:rPr>
          <w:rFonts w:ascii="Palatino Linotype" w:eastAsia="Palatino Linotype" w:hAnsi="Palatino Linotype" w:cs="Palatino Linotype"/>
          <w:b/>
          <w:bCs/>
          <w:color w:val="000000"/>
        </w:rPr>
        <w:t>veintiuno de mayo del año en curso</w:t>
      </w:r>
      <w:r>
        <w:rPr>
          <w:rFonts w:ascii="Palatino Linotype" w:eastAsia="Palatino Linotype" w:hAnsi="Palatino Linotype" w:cs="Palatino Linotype"/>
          <w:color w:val="000000"/>
        </w:rPr>
        <w:t xml:space="preserve">, rindió informe justificado a través del archivo denominado </w:t>
      </w:r>
      <w:r>
        <w:rPr>
          <w:rFonts w:ascii="Palatino Linotype" w:eastAsia="Palatino Linotype" w:hAnsi="Palatino Linotype" w:cs="Palatino Linotype"/>
          <w:i/>
          <w:iCs/>
          <w:color w:val="000000"/>
        </w:rPr>
        <w:t>Ratificación 05213.pdf</w:t>
      </w:r>
      <w:r>
        <w:rPr>
          <w:rFonts w:ascii="Palatino Linotype" w:eastAsia="Palatino Linotype" w:hAnsi="Palatino Linotype" w:cs="Palatino Linotype"/>
          <w:color w:val="000000"/>
        </w:rPr>
        <w:t>, cuyo contenido corresponde a un escrito suscrito por el Titular de la Unidad de Transparencia, en donde se ratifica la respuesta emitida por la Dirección General de Administración del 07 de abril de 2025 a la solicitud 01593/TOLUCA/IP/2025, relacionada con el Recurso de Revisión 05213/INFOEM/IP/RR/2025.</w:t>
      </w:r>
    </w:p>
    <w:p w14:paraId="0840FC2B" w14:textId="77777777" w:rsidR="001F28C7" w:rsidRDefault="001F28C7">
      <w:pPr>
        <w:spacing w:line="360" w:lineRule="auto"/>
        <w:jc w:val="center"/>
        <w:rPr>
          <w:rFonts w:ascii="Palatino Linotype" w:eastAsia="Palatino Linotype" w:hAnsi="Palatino Linotype" w:cs="Palatino Linotype"/>
          <w:color w:val="000000"/>
        </w:rPr>
      </w:pPr>
    </w:p>
    <w:p w14:paraId="4016C10F" w14:textId="20A4C734" w:rsidR="001F28C7" w:rsidRDefault="00D917E0">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3" w:name="_heading=h.1fob9te" w:colFirst="0" w:colLast="0"/>
      <w:bookmarkEnd w:id="3"/>
      <w:r>
        <w:rPr>
          <w:rFonts w:ascii="Palatino Linotype" w:eastAsia="Palatino Linotype" w:hAnsi="Palatino Linotype" w:cs="Palatino Linotype"/>
          <w:color w:val="000000"/>
        </w:rPr>
        <w:t xml:space="preserve">Seguidamente, mediante Acuerdo de fecha </w:t>
      </w:r>
      <w:r>
        <w:rPr>
          <w:rFonts w:ascii="Palatino Linotype" w:eastAsia="Palatino Linotype" w:hAnsi="Palatino Linotype" w:cs="Palatino Linotype"/>
          <w:b/>
          <w:bCs/>
          <w:color w:val="000000"/>
        </w:rPr>
        <w:t xml:space="preserve">veintisiete de enero de dos mil veintiséis, </w:t>
      </w:r>
      <w:r>
        <w:rPr>
          <w:rFonts w:ascii="Palatino Linotype" w:eastAsia="Palatino Linotype" w:hAnsi="Palatino Linotype" w:cs="Palatino Linotype"/>
          <w:color w:val="000000"/>
        </w:rPr>
        <w:t>se amplió el termino para resolver, consecutivamente se decretó el cierre de instrucción mediante Acuerdo de día dos de febrero del año en curso , por lo que no habiendo más que hacer constar, y</w:t>
      </w:r>
    </w:p>
    <w:p w14:paraId="43F92235"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b/>
          <w:bCs/>
          <w:color w:val="000000"/>
        </w:rPr>
      </w:pPr>
    </w:p>
    <w:p w14:paraId="47A22937" w14:textId="77777777" w:rsidR="001F28C7" w:rsidRDefault="00D917E0">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 O N S I D E R A N D O</w:t>
      </w:r>
    </w:p>
    <w:p w14:paraId="3313F447" w14:textId="77777777" w:rsidR="001F28C7" w:rsidRDefault="001F28C7">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14:paraId="1F8F24B5" w14:textId="77777777" w:rsidR="001F28C7" w:rsidRDefault="00D917E0">
      <w:pPr>
        <w:pStyle w:val="Ttulo2"/>
        <w:spacing w:before="0" w:line="360" w:lineRule="auto"/>
        <w:rPr>
          <w:rFonts w:ascii="Palatino Linotype" w:eastAsia="Palatino Linotype" w:hAnsi="Palatino Linotype" w:cs="Palatino Linotype"/>
          <w:b/>
          <w:bCs/>
          <w:color w:val="000000"/>
          <w:sz w:val="24"/>
          <w:szCs w:val="24"/>
        </w:rPr>
      </w:pPr>
      <w:bookmarkStart w:id="4" w:name="_heading=h.3znysh7" w:colFirst="0" w:colLast="0"/>
      <w:bookmarkEnd w:id="4"/>
      <w:r>
        <w:rPr>
          <w:rFonts w:ascii="Palatino Linotype" w:eastAsia="Palatino Linotype" w:hAnsi="Palatino Linotype" w:cs="Palatino Linotype"/>
          <w:b/>
          <w:bCs/>
          <w:color w:val="000000"/>
          <w:sz w:val="24"/>
          <w:szCs w:val="24"/>
        </w:rPr>
        <w:t>PRIMERO. De la competencia</w:t>
      </w:r>
    </w:p>
    <w:p w14:paraId="342F8496" w14:textId="77777777" w:rsidR="001F28C7" w:rsidRDefault="00D917E0">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w:t>
      </w:r>
      <w:r>
        <w:rPr>
          <w:rFonts w:ascii="Palatino Linotype" w:eastAsia="Palatino Linotype" w:hAnsi="Palatino Linotype" w:cs="Palatino Linotype"/>
        </w:rPr>
        <w:t>r</w:t>
      </w:r>
      <w:r>
        <w:rPr>
          <w:rFonts w:ascii="Palatino Linotype" w:eastAsia="Palatino Linotype" w:hAnsi="Palatino Linotype" w:cs="Palatino Linotype"/>
          <w:color w:val="000000"/>
        </w:rPr>
        <w:t xml:space="preserve">rafos trigésimo séptimo, trigésimo octavo y trigésimo noveno fracciones IV y V de la Constitución Política del Estado Libre y Soberano de México; ordinal 2, fracción II, 13, 29, 36, fracciones I y II, 176, </w:t>
      </w:r>
      <w:r>
        <w:rPr>
          <w:rFonts w:ascii="Palatino Linotype" w:eastAsia="Palatino Linotype" w:hAnsi="Palatino Linotype" w:cs="Palatino Linotype"/>
          <w:color w:val="000000"/>
        </w:rPr>
        <w:lastRenderedPageBreak/>
        <w:t>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DFE4C14" w14:textId="77777777" w:rsidR="001F28C7" w:rsidRDefault="001F28C7">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14:paraId="3FB97016" w14:textId="77777777" w:rsidR="001F28C7" w:rsidRDefault="00D917E0">
      <w:pPr>
        <w:pStyle w:val="Ttulo2"/>
        <w:spacing w:before="0" w:line="360" w:lineRule="auto"/>
        <w:rPr>
          <w:rFonts w:ascii="Palatino Linotype" w:eastAsia="Palatino Linotype" w:hAnsi="Palatino Linotype" w:cs="Palatino Linotype"/>
          <w:b/>
          <w:bCs/>
          <w:color w:val="000000"/>
          <w:sz w:val="24"/>
          <w:szCs w:val="24"/>
        </w:rPr>
      </w:pPr>
      <w:bookmarkStart w:id="5" w:name="_heading=h.2et92p0" w:colFirst="0" w:colLast="0"/>
      <w:bookmarkEnd w:id="5"/>
      <w:r>
        <w:rPr>
          <w:rFonts w:ascii="Palatino Linotype" w:eastAsia="Palatino Linotype" w:hAnsi="Palatino Linotype" w:cs="Palatino Linotype"/>
          <w:b/>
          <w:bCs/>
          <w:color w:val="000000"/>
          <w:sz w:val="24"/>
          <w:szCs w:val="24"/>
        </w:rPr>
        <w:t>SEGUNDO. De la oportunidad y procedencia.</w:t>
      </w:r>
    </w:p>
    <w:p w14:paraId="539DB766" w14:textId="77777777" w:rsidR="001F28C7" w:rsidRDefault="00D917E0">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Este Órgano Garante considera que el medio de impugnación reúne los requisitos de procedencia </w:t>
      </w:r>
      <w:r>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64919F8A" w14:textId="77777777" w:rsidR="001F28C7" w:rsidRDefault="001F28C7">
      <w:pPr>
        <w:pBdr>
          <w:top w:val="nil"/>
          <w:left w:val="nil"/>
          <w:bottom w:val="nil"/>
          <w:right w:val="nil"/>
          <w:between w:val="nil"/>
        </w:pBdr>
        <w:spacing w:line="360" w:lineRule="auto"/>
        <w:jc w:val="both"/>
        <w:rPr>
          <w:rFonts w:ascii="Palatino Linotype" w:eastAsia="Palatino Linotype" w:hAnsi="Palatino Linotype" w:cs="Palatino Linotype"/>
        </w:rPr>
      </w:pPr>
    </w:p>
    <w:p w14:paraId="41A26905" w14:textId="77777777" w:rsidR="001F28C7" w:rsidRDefault="00D917E0">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es de suma importancia señalar que la parte recurrente no proporciona un nombre o datos de </w:t>
      </w:r>
      <w:r>
        <w:rPr>
          <w:rFonts w:ascii="Palatino Linotype" w:eastAsia="Palatino Linotype" w:hAnsi="Palatino Linotype" w:cs="Palatino Linotype"/>
          <w:color w:val="000000"/>
        </w:rPr>
        <w:t>identificación</w:t>
      </w:r>
      <w:r>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AE1D89" w14:textId="77777777" w:rsidR="001F28C7" w:rsidRDefault="00D917E0">
      <w:pPr>
        <w:spacing w:line="360" w:lineRule="auto"/>
        <w:ind w:left="567" w:right="426"/>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Las solicitudes anónimas</w:t>
      </w:r>
      <w:r>
        <w:rPr>
          <w:rFonts w:ascii="Palatino Linotype" w:eastAsia="Palatino Linotype" w:hAnsi="Palatino Linotype" w:cs="Palatino Linotype"/>
          <w:i/>
          <w:iCs/>
        </w:rPr>
        <w:t xml:space="preserve">, con nombre incompleto o seudónimo </w:t>
      </w:r>
      <w:r>
        <w:rPr>
          <w:rFonts w:ascii="Palatino Linotype" w:eastAsia="Palatino Linotype" w:hAnsi="Palatino Linotype" w:cs="Palatino Linotype"/>
          <w:b/>
          <w:bCs/>
          <w:i/>
          <w:iCs/>
        </w:rPr>
        <w:t>serán procedentes para su trámite por parte del sujeto obligado ante quien se presente</w:t>
      </w:r>
      <w:r>
        <w:rPr>
          <w:rFonts w:ascii="Palatino Linotype" w:eastAsia="Palatino Linotype" w:hAnsi="Palatino Linotype" w:cs="Palatino Linotype"/>
          <w:i/>
          <w:iCs/>
        </w:rPr>
        <w:t>. No podrá requerirse información adicional con motivo del nombre proporcionado por el solicitante."</w:t>
      </w:r>
    </w:p>
    <w:p w14:paraId="0AAFDBC7" w14:textId="77777777" w:rsidR="001F28C7" w:rsidRDefault="001F28C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78F0DF4" w14:textId="77777777" w:rsidR="001F28C7" w:rsidRDefault="00D917E0">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Consecuencia de lo anterior, este Órgano Garante advierte que el escrito contiene las </w:t>
      </w:r>
      <w:r>
        <w:rPr>
          <w:rFonts w:ascii="Palatino Linotype" w:eastAsia="Palatino Linotype" w:hAnsi="Palatino Linotype" w:cs="Palatino Linotype"/>
        </w:rPr>
        <w:t>formalidades</w:t>
      </w:r>
      <w:r>
        <w:rPr>
          <w:rFonts w:ascii="Palatino Linotype" w:eastAsia="Palatino Linotype" w:hAnsi="Palatino Linotype" w:cs="Palatino Linotype"/>
          <w:color w:val="000000"/>
        </w:rPr>
        <w:t xml:space="preserve"> previstas por el artículo 180 último párrafo de la Ley de </w:t>
      </w:r>
      <w:r>
        <w:rPr>
          <w:rFonts w:ascii="Palatino Linotype" w:eastAsia="Palatino Linotype" w:hAnsi="Palatino Linotype" w:cs="Palatino Linotype"/>
        </w:rPr>
        <w:t>Transparencia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color w:val="000000"/>
        </w:rPr>
        <w:lastRenderedPageBreak/>
        <w:t xml:space="preserve">Acceso a la </w:t>
      </w:r>
      <w:r>
        <w:rPr>
          <w:rFonts w:ascii="Palatino Linotype" w:eastAsia="Palatino Linotype" w:hAnsi="Palatino Linotype" w:cs="Palatino Linotype"/>
        </w:rPr>
        <w:t>Información</w:t>
      </w:r>
      <w:r>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14:paraId="66170701" w14:textId="77777777" w:rsidR="001F28C7" w:rsidRDefault="001F28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C74A880" w14:textId="77777777" w:rsidR="001F28C7" w:rsidRDefault="00D917E0">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w:t>
      </w:r>
    </w:p>
    <w:p w14:paraId="420CAFF7" w14:textId="77777777" w:rsidR="00EA2D09" w:rsidRDefault="00EA2D09" w:rsidP="00EA2D09">
      <w:pPr>
        <w:pStyle w:val="Prrafodelista"/>
        <w:rPr>
          <w:rFonts w:ascii="Palatino Linotype" w:eastAsia="Palatino Linotype" w:hAnsi="Palatino Linotype" w:cs="Palatino Linotype"/>
        </w:rPr>
      </w:pPr>
    </w:p>
    <w:p w14:paraId="6C7AE76A" w14:textId="77777777" w:rsidR="00EA2D09" w:rsidRDefault="00EA2D09" w:rsidP="00EA2D09">
      <w:pPr>
        <w:pBdr>
          <w:top w:val="nil"/>
          <w:left w:val="nil"/>
          <w:bottom w:val="nil"/>
          <w:right w:val="nil"/>
          <w:between w:val="nil"/>
        </w:pBdr>
        <w:spacing w:line="360" w:lineRule="auto"/>
        <w:jc w:val="both"/>
        <w:rPr>
          <w:rFonts w:ascii="Palatino Linotype" w:eastAsia="Palatino Linotype" w:hAnsi="Palatino Linotype" w:cs="Palatino Linotype"/>
        </w:rPr>
      </w:pPr>
    </w:p>
    <w:p w14:paraId="427108FF" w14:textId="77777777" w:rsidR="001F28C7" w:rsidRDefault="00D917E0">
      <w:pPr>
        <w:pStyle w:val="Ttulo1"/>
        <w:spacing w:before="0" w:line="360" w:lineRule="auto"/>
        <w:rPr>
          <w:rFonts w:ascii="Palatino Linotype" w:eastAsia="Palatino Linotype" w:hAnsi="Palatino Linotype" w:cs="Palatino Linotype"/>
          <w:b/>
          <w:bCs/>
          <w:color w:val="000000"/>
          <w:sz w:val="24"/>
          <w:szCs w:val="24"/>
        </w:rPr>
      </w:pPr>
      <w:bookmarkStart w:id="6" w:name="_heading=h.tyjcwt" w:colFirst="0" w:colLast="0"/>
      <w:bookmarkEnd w:id="6"/>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p>
    <w:p w14:paraId="269F12E6" w14:textId="77777777" w:rsidR="001F28C7" w:rsidRDefault="00D917E0">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desagrega:</w:t>
      </w:r>
    </w:p>
    <w:p w14:paraId="31033491" w14:textId="77777777" w:rsidR="001F28C7" w:rsidRDefault="00D917E0">
      <w:pPr>
        <w:numPr>
          <w:ilvl w:val="0"/>
          <w:numId w:val="6"/>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Plantilla de personal sindicalizado con los oficios o documentos que acrediten que se solicita su sindicalización, fecha de sindicalización,  fecha de alta del servidor público en el Ayuntamiento, sus gafetes y la autorización para sindicalizados; y</w:t>
      </w:r>
    </w:p>
    <w:p w14:paraId="3965C19B" w14:textId="77777777" w:rsidR="001F28C7" w:rsidRDefault="00D917E0">
      <w:pPr>
        <w:numPr>
          <w:ilvl w:val="0"/>
          <w:numId w:val="6"/>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Las autorizaciones de los sindicalizados con un sueldo mayor a 30 mil pesos mensuales y fecha de alta en el Ayuntamiento y fecha de sindicalización.</w:t>
      </w:r>
    </w:p>
    <w:p w14:paraId="0FC12B15" w14:textId="77777777" w:rsidR="001F28C7" w:rsidRDefault="001F28C7">
      <w:pPr>
        <w:spacing w:line="360" w:lineRule="auto"/>
        <w:jc w:val="both"/>
        <w:rPr>
          <w:rFonts w:ascii="Palatino Linotype" w:eastAsia="Palatino Linotype" w:hAnsi="Palatino Linotype" w:cs="Palatino Linotype"/>
          <w:color w:val="000000"/>
        </w:rPr>
      </w:pPr>
    </w:p>
    <w:p w14:paraId="009E7AF5"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remitió la información ya descrita en el párrafo 2. Inconforme con la misma, se interpuso recurso de revisión en contra de la negativa a la entrega de la información.</w:t>
      </w:r>
    </w:p>
    <w:p w14:paraId="5ADFB091" w14:textId="77777777" w:rsidR="001F28C7" w:rsidRDefault="001F28C7">
      <w:pPr>
        <w:tabs>
          <w:tab w:val="left" w:pos="933"/>
        </w:tabs>
        <w:spacing w:line="360" w:lineRule="auto"/>
        <w:jc w:val="both"/>
        <w:rPr>
          <w:rFonts w:ascii="Palatino Linotype" w:eastAsia="Palatino Linotype" w:hAnsi="Palatino Linotype" w:cs="Palatino Linotype"/>
        </w:rPr>
      </w:pPr>
    </w:p>
    <w:p w14:paraId="528580EB"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dichas condiciones la </w:t>
      </w:r>
      <w:r>
        <w:rPr>
          <w:rFonts w:ascii="Palatino Linotype" w:eastAsia="Palatino Linotype" w:hAnsi="Palatino Linotype" w:cs="Palatino Linotype"/>
          <w:i/>
          <w:iCs/>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Pr>
          <w:rFonts w:ascii="Palatino Linotype" w:eastAsia="Palatino Linotype" w:hAnsi="Palatino Linotype" w:cs="Palatino Linotype"/>
          <w:b/>
          <w:bCs/>
        </w:rPr>
        <w:t xml:space="preserve">fracción I </w:t>
      </w:r>
      <w:r>
        <w:rPr>
          <w:rFonts w:ascii="Palatino Linotype" w:eastAsia="Palatino Linotype" w:hAnsi="Palatino Linotype" w:cs="Palatino Linotype"/>
        </w:rPr>
        <w:t xml:space="preserve">de la </w:t>
      </w:r>
      <w:r>
        <w:rPr>
          <w:rFonts w:ascii="Palatino Linotype" w:eastAsia="Palatino Linotype" w:hAnsi="Palatino Linotype" w:cs="Palatino Linotype"/>
          <w:b/>
          <w:bCs/>
        </w:rPr>
        <w:t>Ley de Transparencia y Acceso a la Información Pública del Estado de México y Municipios</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fracción que determina la hipótesis jurídica relativa a la entrega de la información incompleta; contexto del cual se dolió </w:t>
      </w:r>
      <w:r>
        <w:rPr>
          <w:rFonts w:ascii="Palatino Linotype" w:eastAsia="Palatino Linotype" w:hAnsi="Palatino Linotype" w:cs="Palatino Linotype"/>
          <w:b/>
          <w:bCs/>
        </w:rPr>
        <w:t xml:space="preserve">EL RECURRENTE </w:t>
      </w:r>
      <w:r>
        <w:rPr>
          <w:rFonts w:ascii="Palatino Linotype" w:eastAsia="Palatino Linotype" w:hAnsi="Palatino Linotype" w:cs="Palatino Linotype"/>
        </w:rPr>
        <w:t>al momento de interponer su inconformidad.</w:t>
      </w:r>
    </w:p>
    <w:p w14:paraId="66AF9F4B" w14:textId="77777777" w:rsidR="001F28C7" w:rsidRDefault="001F28C7">
      <w:pPr>
        <w:spacing w:line="360" w:lineRule="auto"/>
        <w:rPr>
          <w:rFonts w:ascii="Palatino Linotype" w:eastAsia="Palatino Linotype" w:hAnsi="Palatino Linotype" w:cs="Palatino Linotype"/>
        </w:rPr>
      </w:pPr>
    </w:p>
    <w:p w14:paraId="7A7EFDF9"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bCs/>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antes señalada. </w:t>
      </w:r>
    </w:p>
    <w:p w14:paraId="74E231B7" w14:textId="77777777" w:rsidR="001F28C7" w:rsidRDefault="001F28C7">
      <w:pPr>
        <w:spacing w:line="360" w:lineRule="auto"/>
        <w:rPr>
          <w:rFonts w:ascii="Palatino Linotype" w:eastAsia="Palatino Linotype" w:hAnsi="Palatino Linotype" w:cs="Palatino Linotype"/>
        </w:rPr>
      </w:pPr>
    </w:p>
    <w:p w14:paraId="249A27DA" w14:textId="77777777" w:rsidR="001F28C7" w:rsidRDefault="00D917E0">
      <w:pPr>
        <w:pStyle w:val="Ttulo2"/>
        <w:spacing w:before="0" w:line="360" w:lineRule="auto"/>
        <w:rPr>
          <w:rFonts w:ascii="Palatino Linotype" w:eastAsia="Palatino Linotype" w:hAnsi="Palatino Linotype" w:cs="Palatino Linotype"/>
          <w:b/>
          <w:bCs/>
          <w:color w:val="000000"/>
          <w:sz w:val="24"/>
          <w:szCs w:val="24"/>
        </w:rPr>
      </w:pPr>
      <w:bookmarkStart w:id="7" w:name="_heading=h.3dy6vkm" w:colFirst="0" w:colLast="0"/>
      <w:bookmarkEnd w:id="7"/>
      <w:r>
        <w:rPr>
          <w:rFonts w:ascii="Palatino Linotype" w:eastAsia="Palatino Linotype" w:hAnsi="Palatino Linotype" w:cs="Palatino Linotype"/>
          <w:b/>
          <w:bCs/>
          <w:color w:val="000000"/>
          <w:sz w:val="24"/>
          <w:szCs w:val="24"/>
        </w:rPr>
        <w:t>CUARTO. Del estudio y resolución del asunto.</w:t>
      </w:r>
    </w:p>
    <w:p w14:paraId="5E9F782B"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w:t>
      </w:r>
      <w:r>
        <w:rPr>
          <w:rFonts w:ascii="Palatino Linotype" w:eastAsia="Palatino Linotype" w:hAnsi="Palatino Linotype" w:cs="Palatino Linotype"/>
          <w:color w:val="000000"/>
        </w:rPr>
        <w:t>determina</w:t>
      </w:r>
      <w:r>
        <w:rPr>
          <w:rFonts w:ascii="Palatino Linotype" w:eastAsia="Palatino Linotype" w:hAnsi="Palatino Linotype" w:cs="Palatino Linotype"/>
        </w:rPr>
        <w:t>,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26D1EDA7" w14:textId="77777777" w:rsidR="001F28C7" w:rsidRDefault="001F28C7">
      <w:pPr>
        <w:spacing w:line="360" w:lineRule="auto"/>
        <w:ind w:right="-929"/>
        <w:jc w:val="both"/>
        <w:rPr>
          <w:rFonts w:ascii="Palatino Linotype" w:eastAsia="Palatino Linotype" w:hAnsi="Palatino Linotype" w:cs="Palatino Linotype"/>
        </w:rPr>
      </w:pPr>
    </w:p>
    <w:p w14:paraId="5E96E5F3"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relevante mencionar que el artículo 19 del ordenamiento local de la materia señala que se presume que la información debe existir si se refiere a las facultades, </w:t>
      </w:r>
      <w:r>
        <w:rPr>
          <w:rFonts w:ascii="Palatino Linotype" w:eastAsia="Palatino Linotype" w:hAnsi="Palatino Linotype" w:cs="Palatino Linotype"/>
        </w:rPr>
        <w:lastRenderedPageBreak/>
        <w:t>competencias y funciones que los ordenamientos jurídicos aplicables otorgan a los sujetos obligados y en caso de que dichas facultades no se hayan ejercido, se deberá motivar la respuesta en función de las causas que motivaron tal circunstancia.</w:t>
      </w:r>
    </w:p>
    <w:p w14:paraId="5E0083A7"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4C7787B"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0365E639"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73DBC85"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Una vez sentado lo anterior, resulta oportuno traer a contexto la respuesta inicial en donde se informa que a la fecha en que se emite la misma no se localizó información de la solicitada. Contexto que resulta improcedente para tener por colmada la solicitud de información, en razón de lo siguiente.</w:t>
      </w:r>
    </w:p>
    <w:p w14:paraId="167633C7"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FAD1DB4"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 la solicitud de información no cuenta con un lapso temporal </w:t>
      </w:r>
      <w:r>
        <w:rPr>
          <w:rFonts w:ascii="Palatino Linotype" w:eastAsia="Palatino Linotype" w:hAnsi="Palatino Linotype" w:cs="Palatino Linotype"/>
        </w:rPr>
        <w:t>específico</w:t>
      </w:r>
      <w:r>
        <w:rPr>
          <w:rFonts w:ascii="Palatino Linotype" w:eastAsia="Palatino Linotype" w:hAnsi="Palatino Linotype" w:cs="Palatino Linotype"/>
          <w:color w:val="000000"/>
        </w:rPr>
        <w:t xml:space="preserve"> del cual se deba realizar la búsqueda conforme a los intereses del solicitante; luego entonces por cuanto hace a la plantilla de personal sindicalizado con independencia de que a la fecha en que se responde no haya existido personal de reciente sindicalización, necesariamente </w:t>
      </w:r>
      <w:r>
        <w:rPr>
          <w:rFonts w:ascii="Palatino Linotype" w:eastAsia="Palatino Linotype" w:hAnsi="Palatino Linotype" w:cs="Palatino Linotype"/>
          <w:color w:val="000000"/>
        </w:rPr>
        <w:lastRenderedPageBreak/>
        <w:t>cuenta con una plantilla de personal sindicalizado, toda vez que es un tipo de empleados con los que cuenta el Ayuntamiento de Toluca, conforme a lo dispuesto en los diversos 11.6 y 11.28 del Código Reglamentario Municipal de Toluca, a saber:</w:t>
      </w:r>
    </w:p>
    <w:p w14:paraId="61457FD6" w14:textId="77777777" w:rsidR="001F28C7" w:rsidRDefault="00D917E0">
      <w:pPr>
        <w:spacing w:line="360" w:lineRule="auto"/>
        <w:ind w:left="567"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“Artículo 11.6. </w:t>
      </w:r>
      <w:r>
        <w:rPr>
          <w:rFonts w:ascii="Palatino Linotype" w:eastAsia="Palatino Linotype" w:hAnsi="Palatino Linotype" w:cs="Palatino Linotype"/>
          <w:b/>
          <w:bCs/>
          <w:i/>
          <w:iCs/>
          <w:color w:val="000000"/>
        </w:rPr>
        <w:t>Los tipos de empleados</w:t>
      </w:r>
      <w:r>
        <w:rPr>
          <w:rFonts w:ascii="Palatino Linotype" w:eastAsia="Palatino Linotype" w:hAnsi="Palatino Linotype" w:cs="Palatino Linotype"/>
          <w:i/>
          <w:iCs/>
          <w:color w:val="000000"/>
        </w:rPr>
        <w:t xml:space="preserve"> en los que se dividen las y los servidores públicos del Ayuntamiento son: </w:t>
      </w:r>
    </w:p>
    <w:p w14:paraId="42463146" w14:textId="77777777" w:rsidR="001F28C7" w:rsidRDefault="00D917E0">
      <w:pPr>
        <w:spacing w:line="360" w:lineRule="auto"/>
        <w:ind w:left="567" w:right="426"/>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I. Sindicalizados SUTEYM;</w:t>
      </w:r>
    </w:p>
    <w:p w14:paraId="19DD1FED" w14:textId="77777777" w:rsidR="001F28C7" w:rsidRDefault="00D917E0">
      <w:pPr>
        <w:spacing w:line="360" w:lineRule="auto"/>
        <w:ind w:left="567"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 De Confianza;</w:t>
      </w:r>
    </w:p>
    <w:p w14:paraId="531E843D" w14:textId="77777777" w:rsidR="001F28C7" w:rsidRDefault="00D917E0">
      <w:pPr>
        <w:spacing w:line="360" w:lineRule="auto"/>
        <w:ind w:left="567"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III. Generales. </w:t>
      </w:r>
    </w:p>
    <w:p w14:paraId="54C3FA64" w14:textId="77777777" w:rsidR="001F28C7" w:rsidRDefault="00D917E0">
      <w:pPr>
        <w:spacing w:line="360" w:lineRule="auto"/>
        <w:ind w:left="567"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Las y los Servidores Públicos Generales prestan sus servicios en funciones operativas o de carácter manual, material, administrativo, técnico, profesional o de apoyo, realizando funciones asignadas por sus superiores o determinadas en los manuales de organización y de procedimientos. De acuerdo a la duración de su relación de trabajo, pueden ser: por tiempo u obra determinada o por tiempo indeterminado. </w:t>
      </w:r>
    </w:p>
    <w:p w14:paraId="7D69AD2F" w14:textId="77777777" w:rsidR="001F28C7" w:rsidRDefault="00D917E0">
      <w:pPr>
        <w:spacing w:line="360" w:lineRule="auto"/>
        <w:ind w:left="567"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Servidor público sindicalizado es aquel que se encuentra agremiado a cualquier organización sindical legalmente constituida y con vigencia de sus derechos</w:t>
      </w:r>
      <w:r>
        <w:rPr>
          <w:rFonts w:ascii="Palatino Linotype" w:eastAsia="Palatino Linotype" w:hAnsi="Palatino Linotype" w:cs="Palatino Linotype"/>
          <w:i/>
          <w:iCs/>
          <w:color w:val="000000"/>
        </w:rPr>
        <w:t xml:space="preserve">. </w:t>
      </w:r>
    </w:p>
    <w:p w14:paraId="5A25E2A0" w14:textId="77777777" w:rsidR="001F28C7" w:rsidRDefault="00D917E0">
      <w:pPr>
        <w:spacing w:line="360" w:lineRule="auto"/>
        <w:ind w:left="567"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Servidor público de confianza es aquel cuyo nombramiento proviene del titular de la institución pública.”</w:t>
      </w:r>
    </w:p>
    <w:p w14:paraId="7A740C62" w14:textId="77777777" w:rsidR="001F28C7" w:rsidRDefault="001F28C7">
      <w:pPr>
        <w:spacing w:line="360" w:lineRule="auto"/>
        <w:ind w:left="567" w:right="426"/>
        <w:jc w:val="both"/>
        <w:rPr>
          <w:rFonts w:ascii="Palatino Linotype" w:eastAsia="Palatino Linotype" w:hAnsi="Palatino Linotype" w:cs="Palatino Linotype"/>
          <w:i/>
          <w:iCs/>
          <w:color w:val="000000"/>
        </w:rPr>
      </w:pPr>
    </w:p>
    <w:p w14:paraId="510BF9E5" w14:textId="77777777" w:rsidR="001F28C7" w:rsidRDefault="00D917E0">
      <w:pPr>
        <w:spacing w:line="360" w:lineRule="auto"/>
        <w:ind w:left="567"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“Artículo 11.28. Las y los </w:t>
      </w:r>
      <w:r>
        <w:rPr>
          <w:rFonts w:ascii="Palatino Linotype" w:eastAsia="Palatino Linotype" w:hAnsi="Palatino Linotype" w:cs="Palatino Linotype"/>
          <w:b/>
          <w:bCs/>
          <w:i/>
          <w:iCs/>
          <w:color w:val="000000"/>
        </w:rPr>
        <w:t>servidores públicos generales tendrán derecho a solicitar a través de los Sindicatos, su afiliación al mismo</w:t>
      </w:r>
      <w:r>
        <w:rPr>
          <w:rFonts w:ascii="Palatino Linotype" w:eastAsia="Palatino Linotype" w:hAnsi="Palatino Linotype" w:cs="Palatino Linotype"/>
          <w:i/>
          <w:iCs/>
          <w:color w:val="000000"/>
        </w:rPr>
        <w:t>.”</w:t>
      </w:r>
    </w:p>
    <w:p w14:paraId="537EAE6A" w14:textId="77777777" w:rsidR="001F28C7" w:rsidRDefault="00D917E0">
      <w:pPr>
        <w:spacing w:line="360" w:lineRule="auto"/>
        <w:ind w:left="567" w:righ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Énfasis añadido</w:t>
      </w:r>
    </w:p>
    <w:p w14:paraId="3DF60BBF" w14:textId="77777777" w:rsidR="001F28C7" w:rsidRDefault="001F28C7">
      <w:pPr>
        <w:spacing w:line="360" w:lineRule="auto"/>
        <w:ind w:left="567" w:right="426"/>
        <w:jc w:val="both"/>
        <w:rPr>
          <w:rFonts w:ascii="Palatino Linotype" w:eastAsia="Palatino Linotype" w:hAnsi="Palatino Linotype" w:cs="Palatino Linotype"/>
        </w:rPr>
      </w:pPr>
    </w:p>
    <w:p w14:paraId="232D862A"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esa tesitura, </w:t>
      </w:r>
      <w:r>
        <w:rPr>
          <w:rFonts w:ascii="Palatino Linotype" w:eastAsia="Palatino Linotype" w:hAnsi="Palatino Linotype" w:cs="Palatino Linotype"/>
        </w:rPr>
        <w:t xml:space="preserve">el Glosario de Términos Laborales, emitido por la Secretaría </w:t>
      </w:r>
      <w:r>
        <w:rPr>
          <w:rFonts w:ascii="Palatino Linotype" w:eastAsia="Palatino Linotype" w:hAnsi="Palatino Linotype" w:cs="Palatino Linotype"/>
          <w:color w:val="000000"/>
        </w:rPr>
        <w:t>del</w:t>
      </w:r>
      <w:r>
        <w:rPr>
          <w:rFonts w:ascii="Palatino Linotype" w:eastAsia="Palatino Linotype" w:hAnsi="Palatino Linotype" w:cs="Palatino Linotype"/>
        </w:rPr>
        <w:t xml:space="preserve"> Trabajo y Previsión Social, establece que la afiliación sindical (sindicalización) es el proceso </w:t>
      </w:r>
      <w:r>
        <w:rPr>
          <w:rFonts w:ascii="Palatino Linotype" w:eastAsia="Palatino Linotype" w:hAnsi="Palatino Linotype" w:cs="Palatino Linotype"/>
        </w:rPr>
        <w:lastRenderedPageBreak/>
        <w:t>de incorporación de un trabajador remunerado a un sindicado, el cual tiene la capacidad de negociar las condiciones laborales del trabajador frente al patrón.</w:t>
      </w:r>
    </w:p>
    <w:p w14:paraId="2480C2B1" w14:textId="77777777" w:rsidR="001F28C7" w:rsidRDefault="001F28C7">
      <w:pPr>
        <w:widowControl w:val="0"/>
        <w:spacing w:line="360" w:lineRule="auto"/>
        <w:jc w:val="both"/>
        <w:rPr>
          <w:rFonts w:ascii="Palatino Linotype" w:eastAsia="Palatino Linotype" w:hAnsi="Palatino Linotype" w:cs="Palatino Linotype"/>
        </w:rPr>
      </w:pPr>
    </w:p>
    <w:p w14:paraId="7AB9B413"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87 de la Ley del Trabajo de los Servidores Públicos del </w:t>
      </w:r>
      <w:r>
        <w:rPr>
          <w:rFonts w:ascii="Palatino Linotype" w:eastAsia="Palatino Linotype" w:hAnsi="Palatino Linotype" w:cs="Palatino Linotype"/>
          <w:color w:val="000000"/>
        </w:rPr>
        <w:t>Estado</w:t>
      </w:r>
      <w:r>
        <w:rPr>
          <w:rFonts w:ascii="Palatino Linotype" w:eastAsia="Palatino Linotype" w:hAnsi="Palatino Linotype" w:cs="Palatino Linotype"/>
        </w:rPr>
        <w:t xml:space="preserve"> y Municipios, establece que los servidores públicos generales tendrán derecho a afiliarse al sindicato correspondiente.</w:t>
      </w:r>
    </w:p>
    <w:p w14:paraId="413E2A73" w14:textId="77777777" w:rsidR="001F28C7" w:rsidRDefault="001F28C7">
      <w:pPr>
        <w:widowControl w:val="0"/>
        <w:spacing w:line="360" w:lineRule="auto"/>
        <w:jc w:val="both"/>
        <w:rPr>
          <w:rFonts w:ascii="Palatino Linotype" w:eastAsia="Palatino Linotype" w:hAnsi="Palatino Linotype" w:cs="Palatino Linotype"/>
        </w:rPr>
      </w:pPr>
    </w:p>
    <w:p w14:paraId="08EF46D6"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Sobre este punto, el artículo 108 de la Constitución Política de los Estados Unidos </w:t>
      </w:r>
      <w:r>
        <w:rPr>
          <w:rFonts w:ascii="Palatino Linotype" w:eastAsia="Palatino Linotype" w:hAnsi="Palatino Linotype" w:cs="Palatino Linotype"/>
        </w:rPr>
        <w:t>Mexicanos</w:t>
      </w:r>
      <w:r>
        <w:rPr>
          <w:rFonts w:ascii="Palatino Linotype" w:eastAsia="Palatino Linotype" w:hAnsi="Palatino Linotype" w:cs="Palatino Linotype"/>
          <w:color w:val="000000"/>
        </w:rPr>
        <w:t>, con relación al diverso 130 de la Constitución Política del Estado Libre y Soberano de México, establecen que se considera como servidor público a toda persona que desempeñe un empleo, cargo o comisión en alguno de los poderes del Estado, organismos autónomos, en los municipios y organismos auxiliares, así como los titulares o quienes hagan sus veces en empresas de participación estatal o municipal, sociedades o asociaciones asimiladas a éstas y en los fideicomisos públicos.</w:t>
      </w:r>
    </w:p>
    <w:p w14:paraId="5E7D370A" w14:textId="77777777" w:rsidR="001F28C7" w:rsidRDefault="001F28C7">
      <w:pPr>
        <w:spacing w:line="360" w:lineRule="auto"/>
        <w:jc w:val="both"/>
        <w:rPr>
          <w:rFonts w:ascii="Palatino Linotype" w:eastAsia="Palatino Linotype" w:hAnsi="Palatino Linotype" w:cs="Palatino Linotype"/>
          <w:color w:val="000000"/>
        </w:rPr>
      </w:pPr>
    </w:p>
    <w:p w14:paraId="04B5566D"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artículo 4°, fracción VI, de la Ley del Trabajo de los Servidores Públicos del Estado y Municipios, establece que </w:t>
      </w:r>
      <w:r>
        <w:rPr>
          <w:rFonts w:ascii="Palatino Linotype" w:eastAsia="Palatino Linotype" w:hAnsi="Palatino Linotype" w:cs="Palatino Linotype"/>
          <w:b/>
          <w:bCs/>
          <w:color w:val="000000"/>
        </w:rPr>
        <w:t>un servidor público</w:t>
      </w:r>
      <w:r>
        <w:rPr>
          <w:rFonts w:ascii="Palatino Linotype" w:eastAsia="Palatino Linotype" w:hAnsi="Palatino Linotype" w:cs="Palatino Linotype"/>
          <w:color w:val="000000"/>
        </w:rPr>
        <w:t xml:space="preserve"> es toda persona física que preste a una institución pública un trabajo personal subordinado de carácter material o intelectual, o de ambos géneros, mediante el pago de un sueldo.</w:t>
      </w:r>
    </w:p>
    <w:p w14:paraId="3BC13444" w14:textId="77777777" w:rsidR="001F28C7" w:rsidRDefault="001F28C7">
      <w:pPr>
        <w:spacing w:line="360" w:lineRule="auto"/>
        <w:ind w:left="502"/>
        <w:jc w:val="both"/>
        <w:rPr>
          <w:rFonts w:ascii="Palatino Linotype" w:eastAsia="Palatino Linotype" w:hAnsi="Palatino Linotype" w:cs="Palatino Linotype"/>
        </w:rPr>
      </w:pPr>
    </w:p>
    <w:p w14:paraId="7DFEF608"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conforme a los artículos 356 de la Ley Federal del Trabajo y 138 de la Ley del Trabajo de los Servidores Públicos del Estado de México y Municipios, un sindicato es una asociación de </w:t>
      </w:r>
      <w:r>
        <w:rPr>
          <w:rFonts w:ascii="Palatino Linotype" w:eastAsia="Palatino Linotype" w:hAnsi="Palatino Linotype" w:cs="Palatino Linotype"/>
          <w:b/>
          <w:bCs/>
          <w:color w:val="000000"/>
        </w:rPr>
        <w:t>servidores públicos</w:t>
      </w:r>
      <w:r>
        <w:rPr>
          <w:rFonts w:ascii="Palatino Linotype" w:eastAsia="Palatino Linotype" w:hAnsi="Palatino Linotype" w:cs="Palatino Linotype"/>
          <w:color w:val="000000"/>
        </w:rPr>
        <w:t xml:space="preserve"> generales, constituida para el estudio, mejoramiento y defensa de sus intereses comunes.</w:t>
      </w:r>
    </w:p>
    <w:p w14:paraId="3D50D43A"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ese contexto, el citado Código Reglamentario del Ayuntamiento establece que la Dirección General de Administración y servidor público habilitado que emitió la respuesta inicial, tiene entre sus facultades la de implementar un catálogo de puestos, como se desprende de su artículo 11.10, a saber:</w:t>
      </w:r>
    </w:p>
    <w:p w14:paraId="21AFEFDD" w14:textId="77777777" w:rsidR="001F28C7" w:rsidRDefault="00D917E0">
      <w:pPr>
        <w:spacing w:line="360" w:lineRule="auto"/>
        <w:ind w:left="567"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11.10. La Dirección General de Administración, es la responsable de proponer al Ayuntamiento, para su estudio, análisis e implementación en la administración pública municipal, los documentos denominados “Catálogo General de Puestos de las y los Servidores Públicos del Ayuntamiento de Toluca” que contenga los puestos existentes dentro del Ayuntamiento, conforme al Organigrama de la Administración Municipal autorizado, y el “Tabulador de sueldos de los servidores públicos del Ayuntamiento de Toluca”.</w:t>
      </w:r>
    </w:p>
    <w:p w14:paraId="7591A2BC" w14:textId="77777777" w:rsidR="001F28C7" w:rsidRDefault="001F28C7">
      <w:pPr>
        <w:spacing w:line="360" w:lineRule="auto"/>
        <w:jc w:val="both"/>
        <w:rPr>
          <w:rFonts w:ascii="Palatino Linotype" w:eastAsia="Palatino Linotype" w:hAnsi="Palatino Linotype" w:cs="Palatino Linotype"/>
          <w:color w:val="000000"/>
        </w:rPr>
      </w:pPr>
    </w:p>
    <w:p w14:paraId="6F1D0200"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esa tesitura, el Manual de Organización Dirección General de Administración, dispone al caso concreto lo siguiente:</w:t>
      </w:r>
    </w:p>
    <w:p w14:paraId="026D35E2" w14:textId="77777777" w:rsidR="001F28C7" w:rsidRDefault="00D917E0">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3.40. La o el titular de la Dirección General de Administración, tiene las siguientes atribuciones:</w:t>
      </w:r>
    </w:p>
    <w:p w14:paraId="32B8D9B2" w14:textId="77777777" w:rsidR="001F28C7" w:rsidRDefault="00D917E0">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 Coordinar y dirigir los sistemas de reclutamiento, selección, contratación e inducción y desarrollo de personal;</w:t>
      </w:r>
    </w:p>
    <w:p w14:paraId="78845D27" w14:textId="77777777" w:rsidR="001F28C7" w:rsidRDefault="00D917E0">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08F689B2" w14:textId="77777777" w:rsidR="001F28C7" w:rsidRDefault="00D917E0">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III. Autorizar las altas, bajas, cambios, permisos, licencias, comisiones del personal, entre otras, para su trámite y efectos;</w:t>
      </w:r>
    </w:p>
    <w:p w14:paraId="750D341F" w14:textId="77777777" w:rsidR="001F28C7" w:rsidRDefault="00D917E0">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16958DE3" w14:textId="77777777" w:rsidR="001F28C7" w:rsidRDefault="00D917E0">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VI. Vigilar y verificar el cumplimiento de las cláusulas establecidas en los convenios sindicales, para mantener y fortalecer las relaciones con las instituciones, y a su vez </w:t>
      </w:r>
      <w:r>
        <w:rPr>
          <w:rFonts w:ascii="Palatino Linotype" w:eastAsia="Palatino Linotype" w:hAnsi="Palatino Linotype" w:cs="Palatino Linotype"/>
          <w:i/>
          <w:iCs/>
          <w:color w:val="000000"/>
        </w:rPr>
        <w:lastRenderedPageBreak/>
        <w:t>buscar el beneficio en cuanto a las prestaciones y condiciones laborales de los trabajadores agremiados;</w:t>
      </w:r>
    </w:p>
    <w:p w14:paraId="0271046D" w14:textId="77777777" w:rsidR="001F28C7" w:rsidRDefault="001F28C7">
      <w:pPr>
        <w:spacing w:line="360" w:lineRule="auto"/>
        <w:ind w:left="567" w:right="567"/>
        <w:jc w:val="both"/>
        <w:rPr>
          <w:rFonts w:ascii="Palatino Linotype" w:eastAsia="Palatino Linotype" w:hAnsi="Palatino Linotype" w:cs="Palatino Linotype"/>
          <w:i/>
          <w:iCs/>
          <w:color w:val="000000"/>
        </w:rPr>
      </w:pPr>
    </w:p>
    <w:p w14:paraId="44C37D99" w14:textId="77777777" w:rsidR="001F28C7" w:rsidRDefault="00D917E0">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3.41.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p>
    <w:p w14:paraId="1AB632AD" w14:textId="77777777" w:rsidR="001F28C7" w:rsidRDefault="001F28C7">
      <w:pPr>
        <w:spacing w:line="360" w:lineRule="auto"/>
        <w:jc w:val="both"/>
        <w:rPr>
          <w:rFonts w:ascii="Palatino Linotype" w:eastAsia="Palatino Linotype" w:hAnsi="Palatino Linotype" w:cs="Palatino Linotype"/>
          <w:color w:val="000000"/>
        </w:rPr>
      </w:pPr>
    </w:p>
    <w:p w14:paraId="5AC2C407"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contexto, es que conviene traer a colación las facultades y atribuciones de la Dirección de Recursos Humanos, contenidas en el mismo Manual de Organización, a saber:</w:t>
      </w:r>
    </w:p>
    <w:p w14:paraId="4BF6F03A" w14:textId="77777777" w:rsidR="001F28C7" w:rsidRDefault="00D917E0">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3.42. La o el titular de la Dirección de Recursos Humanos cuenta con las siguientes atribuciones:</w:t>
      </w:r>
    </w:p>
    <w:p w14:paraId="5B6AB643" w14:textId="77777777" w:rsidR="001F28C7" w:rsidRDefault="00D917E0">
      <w:pPr>
        <w:spacing w:line="360" w:lineRule="auto"/>
        <w:ind w:lef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27DF1656" w14:textId="77777777" w:rsidR="001F28C7" w:rsidRDefault="00D917E0">
      <w:pPr>
        <w:spacing w:line="360" w:lineRule="auto"/>
        <w:ind w:lef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V. Registrar las altas, reingresos, bajas, cambios de categoría y adscripción, permisos y licencias por incapacidad, entre otras, del personal, y su correcta aplicación;+</w:t>
      </w:r>
    </w:p>
    <w:p w14:paraId="3468AD98" w14:textId="77777777" w:rsidR="001F28C7" w:rsidRDefault="00D917E0">
      <w:pPr>
        <w:spacing w:line="360" w:lineRule="auto"/>
        <w:ind w:lef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2ED87D95" w14:textId="77777777" w:rsidR="001F28C7" w:rsidRDefault="00D917E0">
      <w:pPr>
        <w:spacing w:line="360" w:lineRule="auto"/>
        <w:ind w:lef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VIII. </w:t>
      </w:r>
      <w:r>
        <w:rPr>
          <w:rFonts w:ascii="Palatino Linotype" w:eastAsia="Palatino Linotype" w:hAnsi="Palatino Linotype" w:cs="Palatino Linotype"/>
          <w:b/>
          <w:bCs/>
          <w:i/>
          <w:iCs/>
          <w:color w:val="000000"/>
        </w:rPr>
        <w:t>Verificar el cumplimento de las cláusulas establecidas en los convenios sindicales suscritos con el gobierno municipal, así como de las condiciones generales de trabajo del personal sindicalizado</w:t>
      </w:r>
      <w:r>
        <w:rPr>
          <w:rFonts w:ascii="Palatino Linotype" w:eastAsia="Palatino Linotype" w:hAnsi="Palatino Linotype" w:cs="Palatino Linotype"/>
          <w:i/>
          <w:iCs/>
          <w:color w:val="000000"/>
        </w:rPr>
        <w:t>; y</w:t>
      </w:r>
    </w:p>
    <w:p w14:paraId="42567D0B" w14:textId="77777777" w:rsidR="001F28C7" w:rsidRDefault="00D917E0">
      <w:pP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IX. Las demás que le asignen otros ordenamientos, el presidente municipal y la o el Director General de Administración.” </w:t>
      </w:r>
      <w:r>
        <w:rPr>
          <w:rFonts w:ascii="Palatino Linotype" w:eastAsia="Palatino Linotype" w:hAnsi="Palatino Linotype" w:cs="Palatino Linotype"/>
          <w:color w:val="000000"/>
        </w:rPr>
        <w:t>Énfasis añadido</w:t>
      </w:r>
    </w:p>
    <w:p w14:paraId="0B07E684" w14:textId="77777777" w:rsidR="001F28C7" w:rsidRDefault="001F28C7">
      <w:pPr>
        <w:spacing w:line="360" w:lineRule="auto"/>
        <w:jc w:val="both"/>
        <w:rPr>
          <w:rFonts w:ascii="Palatino Linotype" w:eastAsia="Palatino Linotype" w:hAnsi="Palatino Linotype" w:cs="Palatino Linotype"/>
          <w:color w:val="000000"/>
        </w:rPr>
      </w:pPr>
    </w:p>
    <w:p w14:paraId="49230F6C"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fracción VIII, se desprende que deberá dar observancia a las cláusulas que se firmen en los convenios sindicales, suscritos por el gobierno municipal. Al respecto, de una </w:t>
      </w:r>
      <w:r>
        <w:rPr>
          <w:rFonts w:ascii="Palatino Linotype" w:eastAsia="Palatino Linotype" w:hAnsi="Palatino Linotype" w:cs="Palatino Linotype"/>
          <w:color w:val="000000"/>
        </w:rPr>
        <w:lastRenderedPageBreak/>
        <w:t xml:space="preserve">búsqueda de indicios del último convenio suscrito, </w:t>
      </w:r>
      <w:r>
        <w:rPr>
          <w:rFonts w:ascii="Palatino Linotype" w:eastAsia="Palatino Linotype" w:hAnsi="Palatino Linotype" w:cs="Palatino Linotype"/>
          <w:color w:val="000000"/>
          <w:u w:val="single"/>
        </w:rPr>
        <w:t>previo a la fecha de la solicitud de información</w:t>
      </w:r>
      <w:r>
        <w:rPr>
          <w:rFonts w:ascii="Palatino Linotype" w:eastAsia="Palatino Linotype" w:hAnsi="Palatino Linotype" w:cs="Palatino Linotype"/>
          <w:color w:val="000000"/>
        </w:rPr>
        <w:t>, se obtuvo una nota periodística y una publicación realizada por el propio Sindicato Único de Trabajadores del Estado y Municipios:</w:t>
      </w:r>
    </w:p>
    <w:p w14:paraId="61138849" w14:textId="77777777" w:rsidR="001F28C7" w:rsidRDefault="00D917E0">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3CA1E843" wp14:editId="2A58170D">
            <wp:extent cx="5362102" cy="257027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62102" cy="2570278"/>
                    </a:xfrm>
                    <a:prstGeom prst="rect">
                      <a:avLst/>
                    </a:prstGeom>
                    <a:ln/>
                  </pic:spPr>
                </pic:pic>
              </a:graphicData>
            </a:graphic>
          </wp:inline>
        </w:drawing>
      </w:r>
    </w:p>
    <w:p w14:paraId="4560417E" w14:textId="77777777" w:rsidR="001F28C7" w:rsidRDefault="00D917E0">
      <w:pPr>
        <w:spacing w:line="360" w:lineRule="auto"/>
        <w:jc w:val="center"/>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http://www.suteym.org.mx/firmamos-los-convenios-de-sueldos-y-prestaciones-2024-con-el-gobierno-municipal-de-toluca/</w:t>
      </w:r>
    </w:p>
    <w:p w14:paraId="18BD6AF9" w14:textId="77777777" w:rsidR="001F28C7" w:rsidRDefault="00D917E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107916DB" wp14:editId="106E8DD4">
            <wp:extent cx="5671185" cy="290068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71185" cy="2900680"/>
                    </a:xfrm>
                    <a:prstGeom prst="rect">
                      <a:avLst/>
                    </a:prstGeom>
                    <a:ln/>
                  </pic:spPr>
                </pic:pic>
              </a:graphicData>
            </a:graphic>
          </wp:inline>
        </w:drawing>
      </w:r>
    </w:p>
    <w:p w14:paraId="35BD9106" w14:textId="77777777" w:rsidR="001F28C7" w:rsidRDefault="00D917E0">
      <w:pPr>
        <w:spacing w:line="360" w:lineRule="auto"/>
        <w:jc w:val="center"/>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https://oem.com.mx/elsoldetoluca/local/ayuntamiento-de-toluca-y-suteym-firman-convenio-de-sueldos-y-prestaciones-2024-13028466</w:t>
      </w:r>
    </w:p>
    <w:p w14:paraId="4471605B" w14:textId="77777777" w:rsidR="001F28C7" w:rsidRDefault="001F28C7">
      <w:pPr>
        <w:spacing w:line="360" w:lineRule="auto"/>
        <w:jc w:val="center"/>
        <w:rPr>
          <w:rFonts w:ascii="Palatino Linotype" w:eastAsia="Palatino Linotype" w:hAnsi="Palatino Linotype" w:cs="Palatino Linotype"/>
          <w:i/>
          <w:iCs/>
          <w:color w:val="000000"/>
        </w:rPr>
      </w:pPr>
    </w:p>
    <w:p w14:paraId="4C8A6058"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Como se aprecia, al existir firma de convenios de sueldos y prestaciones, resulta innegable que el Ayuntamiento cuenta con </w:t>
      </w:r>
      <w:r>
        <w:rPr>
          <w:rFonts w:ascii="Palatino Linotype" w:eastAsia="Palatino Linotype" w:hAnsi="Palatino Linotype" w:cs="Palatino Linotype"/>
        </w:rPr>
        <w:t>personal</w:t>
      </w:r>
      <w:r>
        <w:rPr>
          <w:rFonts w:ascii="Palatino Linotype" w:eastAsia="Palatino Linotype" w:hAnsi="Palatino Linotype" w:cs="Palatino Linotype"/>
          <w:color w:val="000000"/>
        </w:rPr>
        <w:t xml:space="preserve"> sindicalizado. Lo anterior resulta así por ser un hecho notorio que el propio Sindicato hizo de carácter público, lo que detenta un </w:t>
      </w:r>
      <w:r>
        <w:rPr>
          <w:rFonts w:ascii="Palatino Linotype" w:eastAsia="Palatino Linotype" w:hAnsi="Palatino Linotype" w:cs="Palatino Linotype"/>
        </w:rPr>
        <w:t xml:space="preserve">valor. </w:t>
      </w:r>
    </w:p>
    <w:p w14:paraId="739EEF46" w14:textId="77777777" w:rsidR="001F28C7" w:rsidRDefault="001F28C7">
      <w:pPr>
        <w:spacing w:line="360" w:lineRule="auto"/>
        <w:jc w:val="both"/>
        <w:rPr>
          <w:rFonts w:ascii="Palatino Linotype" w:eastAsia="Palatino Linotype" w:hAnsi="Palatino Linotype" w:cs="Palatino Linotype"/>
        </w:rPr>
      </w:pPr>
    </w:p>
    <w:p w14:paraId="334E526E"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Cabe traer a colación por analogía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rFonts w:ascii="Palatino Linotype" w:eastAsia="Palatino Linotype" w:hAnsi="Palatino Linotype" w:cs="Palatino Linotype"/>
          <w:b/>
          <w:bCs/>
          <w:i/>
          <w:iCs/>
        </w:rPr>
        <w:t>“NOTAS PERIODISTICAS, EL CONOCIMIENTO QUE DE ELLAS SE OBTIENE NO CONSTITUYE ‘UN HECHO PUBLICO Y NOTORIO’”</w:t>
      </w:r>
      <w:r>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forma parte de la cultura propia de un círculo social determinado, en el tiempo de su realización.</w:t>
      </w:r>
    </w:p>
    <w:p w14:paraId="5EBD257E"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9544352"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Conforme a lo anterior, se puede advertir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cuenta con una nómina se puede referir la relación de trabajadores con las percepciones monetarias de cada uno, el recibo individual las prestaciones y deducciones de un trabajador y el listado general de los servidores públicos de una institución o dependencia, en el cual se asientan </w:t>
      </w:r>
      <w:r>
        <w:rPr>
          <w:rFonts w:ascii="Palatino Linotype" w:eastAsia="Palatino Linotype" w:hAnsi="Palatino Linotype" w:cs="Palatino Linotype"/>
          <w:color w:val="000000"/>
        </w:rPr>
        <w:lastRenderedPageBreak/>
        <w:t xml:space="preserve">las percepciones brutas, deducciones y alcance neto de las mismas, por lo que resulta dable ordenar dicha información previa búsqueda exhaustiva y razonable; no pasando desapercibido que este Instituto no cuenta con certeza de que entre los trabajadores sindicalizados existan trabajadores con salarios superiores a los treinta mil pesos netos, por lo que de ser el caso que no se localice soporte documental al respecto, bastará con que así lo haga del conocimiento del ahora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 xml:space="preserve">al momento de dar cumplimiento al presente proveído. </w:t>
      </w:r>
    </w:p>
    <w:p w14:paraId="50A74D85" w14:textId="77777777" w:rsidR="001F28C7" w:rsidRDefault="001F28C7">
      <w:pPr>
        <w:spacing w:line="360" w:lineRule="auto"/>
        <w:ind w:right="-93"/>
        <w:jc w:val="both"/>
        <w:rPr>
          <w:rFonts w:ascii="Palatino Linotype" w:eastAsia="Palatino Linotype" w:hAnsi="Palatino Linotype" w:cs="Palatino Linotype"/>
          <w:b/>
          <w:bCs/>
          <w:color w:val="000000"/>
        </w:rPr>
      </w:pPr>
    </w:p>
    <w:p w14:paraId="3D55D204"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Ahora bien, respecto </w:t>
      </w:r>
      <w:r>
        <w:rPr>
          <w:rFonts w:ascii="Palatino Linotype" w:eastAsia="Palatino Linotype" w:hAnsi="Palatino Linotype" w:cs="Palatino Linotype"/>
        </w:rPr>
        <w:t xml:space="preserve">fecha de alta en el Ayuntamiento de los </w:t>
      </w:r>
      <w:r>
        <w:rPr>
          <w:rFonts w:ascii="Palatino Linotype" w:eastAsia="Palatino Linotype" w:hAnsi="Palatino Linotype" w:cs="Palatino Linotype"/>
          <w:color w:val="000000"/>
        </w:rPr>
        <w:t>servidores</w:t>
      </w:r>
      <w:r>
        <w:rPr>
          <w:rFonts w:ascii="Palatino Linotype" w:eastAsia="Palatino Linotype" w:hAnsi="Palatino Linotype" w:cs="Palatino Linotype"/>
        </w:rPr>
        <w:t xml:space="preserve"> públicos sindicalizados; al respecto, es necesario traer a colación la Guía Técnica 9 “La Administración del Personal Municipal” que establece que son servidores públicos, son todas aquellas personas que prestan su trabajo al servicio del municipio, conformado por las autoridades, funcionarios (Directores y Jefes de Departamento) y empleados (puestos administrativos y técnicos).</w:t>
      </w:r>
    </w:p>
    <w:p w14:paraId="2066B01B" w14:textId="77777777" w:rsidR="001F28C7" w:rsidRDefault="001F28C7">
      <w:pPr>
        <w:pBdr>
          <w:top w:val="nil"/>
          <w:left w:val="nil"/>
          <w:bottom w:val="nil"/>
          <w:right w:val="nil"/>
          <w:between w:val="nil"/>
        </w:pBdr>
        <w:spacing w:line="360" w:lineRule="auto"/>
        <w:ind w:left="502"/>
        <w:jc w:val="both"/>
        <w:rPr>
          <w:rFonts w:ascii="Palatino Linotype" w:eastAsia="Palatino Linotype" w:hAnsi="Palatino Linotype" w:cs="Palatino Linotype"/>
          <w:color w:val="000000"/>
        </w:rPr>
      </w:pPr>
    </w:p>
    <w:p w14:paraId="1E7ECEAF"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artículo 70, fracción VII, de la Ley General de Transparencia y Acceso a la Información </w:t>
      </w:r>
      <w:r>
        <w:rPr>
          <w:rFonts w:ascii="Palatino Linotype" w:eastAsia="Palatino Linotype" w:hAnsi="Palatino Linotype" w:cs="Palatino Linotype"/>
          <w:color w:val="000000"/>
        </w:rPr>
        <w:t>Pública</w:t>
      </w:r>
      <w:r>
        <w:rPr>
          <w:rFonts w:ascii="Palatino Linotype" w:eastAsia="Palatino Linotype" w:hAnsi="Palatino Linotype" w:cs="Palatino Linotype"/>
        </w:rPr>
        <w:t xml:space="preserve"> y el diverso 92, fracción VII, de la Ley de Transparencia y Acceso a la Información Pública del Estado de México y Municipios, establece como obligación común de transparencia, el Directorio de servidores públicos, el cual contiene diversos datos, entre los cuales se encuentra el nombre, cargo, área de adscripción y fecha de alta. </w:t>
      </w:r>
    </w:p>
    <w:p w14:paraId="01CBBF02" w14:textId="77777777" w:rsidR="001F28C7" w:rsidRDefault="001F28C7">
      <w:pPr>
        <w:pBdr>
          <w:top w:val="nil"/>
          <w:left w:val="nil"/>
          <w:bottom w:val="nil"/>
          <w:right w:val="nil"/>
          <w:between w:val="nil"/>
        </w:pBdr>
        <w:spacing w:line="360" w:lineRule="auto"/>
        <w:ind w:left="502"/>
        <w:jc w:val="both"/>
        <w:rPr>
          <w:rFonts w:ascii="Palatino Linotype" w:eastAsia="Palatino Linotype" w:hAnsi="Palatino Linotype" w:cs="Palatino Linotype"/>
          <w:color w:val="000000"/>
        </w:rPr>
      </w:pPr>
    </w:p>
    <w:p w14:paraId="006B6262"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respecto de las </w:t>
      </w:r>
      <w:r>
        <w:rPr>
          <w:rFonts w:ascii="Palatino Linotype" w:eastAsia="Palatino Linotype" w:hAnsi="Palatino Linotype" w:cs="Palatino Linotype"/>
          <w:i/>
          <w:iCs/>
        </w:rPr>
        <w:t>autorizaciones</w:t>
      </w:r>
      <w:r>
        <w:rPr>
          <w:rFonts w:ascii="Palatino Linotype" w:eastAsia="Palatino Linotype" w:hAnsi="Palatino Linotype" w:cs="Palatino Linotype"/>
        </w:rPr>
        <w:t xml:space="preserve"> solicitadas, corresponde a un contexto que resulta ambiguo al no lograrse determinar si el particular refiere aquellas licencias otorgadas al personal sindicalizado para poder ocupar cargos de confianza, antes de poder </w:t>
      </w:r>
      <w:r>
        <w:rPr>
          <w:rFonts w:ascii="Palatino Linotype" w:eastAsia="Palatino Linotype" w:hAnsi="Palatino Linotype" w:cs="Palatino Linotype"/>
        </w:rPr>
        <w:lastRenderedPageBreak/>
        <w:t>ocupar dicho cargo; o bien al oficio de liberación de plaza; al respecto se colige corresponden a estos últimos derivado de la redacción empleada en la solicitud de información.</w:t>
      </w:r>
    </w:p>
    <w:p w14:paraId="32A9F4FD"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D285EE7"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Luego entonces, el referido oficio de liberación corresponde aquel que el SUTEYM entrega al personal que se integra al Sindicato y que formalizan la asignación definitiva de una plaza sindicalizada a un nuevo servidor público, acreditándolo, estos oficios son entregados directamente al servidor público y se integran el inicio del expediente laboral sindical y reconocen la titularidad del trabajador.</w:t>
      </w:r>
    </w:p>
    <w:p w14:paraId="50CD982D"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A53C6D1"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no existe un marco normativo que prevea para el Ayuntamiento integrarlo a su expediente laboral. Al respecto es necesario traer a contexto lo establecido en el numeral 47, de la Ley del Trabajo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2DC4BE4E" w14:textId="77777777" w:rsidR="001F28C7" w:rsidRDefault="00D917E0">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47</w:t>
      </w:r>
      <w:r>
        <w:rPr>
          <w:rFonts w:ascii="Palatino Linotype" w:eastAsia="Palatino Linotype" w:hAnsi="Palatino Linotype" w:cs="Palatino Linotype"/>
          <w:i/>
          <w:iCs/>
        </w:rPr>
        <w:t>. Para ingresar al servicio público se requiere:</w:t>
      </w:r>
    </w:p>
    <w:p w14:paraId="6FC58323"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 xml:space="preserve">I. Presentar una solicitud utilizando la forma oficial que se autorice por la institución pública o dependencia correspondiente; </w:t>
      </w:r>
    </w:p>
    <w:p w14:paraId="0744B687"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 xml:space="preserve">II. Ser de nacionalidad mexicana, con la excepción prevista en el artículo 17 de la presente ley; </w:t>
      </w:r>
    </w:p>
    <w:p w14:paraId="721B003A"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 xml:space="preserve">III. Estar en pleno ejercicio de sus derechos civiles y políticos, en su caso; </w:t>
      </w:r>
    </w:p>
    <w:p w14:paraId="10E4B133"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 xml:space="preserve">IV. Acreditar, cuando proceda, el cumplimiento de la Ley del Servicio Militar Nacional; </w:t>
      </w:r>
    </w:p>
    <w:p w14:paraId="306EBC62"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 xml:space="preserve">V. Derogada. </w:t>
      </w:r>
    </w:p>
    <w:p w14:paraId="233DC0B0"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lastRenderedPageBreak/>
        <w:t xml:space="preserve">VI. No haber sido separado anteriormente del servicio por las causas previstas en el artículo 93, de la presente ley; </w:t>
      </w:r>
    </w:p>
    <w:p w14:paraId="1315E58D"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 xml:space="preserve">VII. Tener buena salud, lo que se comprobará con los certificados médicos correspondientes, en la forma en que se establezca en cada institución pública; </w:t>
      </w:r>
    </w:p>
    <w:p w14:paraId="4A13FBE2"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 xml:space="preserve">VIII. Cumplir con los requisitos que se establezcan para los diferentes puestos; </w:t>
      </w:r>
    </w:p>
    <w:p w14:paraId="7BB2E6A3"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 xml:space="preserve">IX. Acreditar por medio de los exámenes correspondientes los conocimientos y aptitudes necesarios para el desempeño del puesto; y </w:t>
      </w:r>
    </w:p>
    <w:p w14:paraId="1946FDBE"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X. No estar inhabilitado para el ejercicio del servicio público.</w:t>
      </w:r>
    </w:p>
    <w:p w14:paraId="538125AF"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 xml:space="preserve">XI. Presentar certificado expedido por la Unidad del Registro de Deudores Alimentarios Morosos en el que conste, si se encuentra inscrito o no en el mismo. </w:t>
      </w:r>
    </w:p>
    <w:p w14:paraId="1C8F853D" w14:textId="77777777" w:rsidR="001F28C7" w:rsidRDefault="00D917E0">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u w:val="single"/>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8F746C2" w14:textId="77777777" w:rsidR="001F28C7" w:rsidRDefault="00D917E0">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w:t>
      </w:r>
    </w:p>
    <w:p w14:paraId="516252E6" w14:textId="77777777" w:rsidR="001F28C7" w:rsidRDefault="001F28C7">
      <w:pPr>
        <w:pBdr>
          <w:top w:val="nil"/>
          <w:left w:val="nil"/>
          <w:bottom w:val="nil"/>
          <w:right w:val="nil"/>
          <w:between w:val="nil"/>
        </w:pBdr>
        <w:spacing w:line="360" w:lineRule="auto"/>
        <w:rPr>
          <w:rFonts w:ascii="Palatino Linotype" w:eastAsia="Palatino Linotype" w:hAnsi="Palatino Linotype" w:cs="Palatino Linotype"/>
          <w:color w:val="000000"/>
        </w:rPr>
      </w:pPr>
    </w:p>
    <w:p w14:paraId="441313E7"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anteriormente expuesto es dable señalar lo que establece el artículo 98 fracción XVII, de la Ley anteriormente mencionada que a la letra dice: </w:t>
      </w:r>
    </w:p>
    <w:p w14:paraId="39E8431C" w14:textId="77777777" w:rsidR="001F28C7" w:rsidRDefault="00D917E0">
      <w:pPr>
        <w:spacing w:line="360" w:lineRule="auto"/>
        <w:ind w:left="851" w:right="850"/>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98.</w:t>
      </w:r>
      <w:r>
        <w:rPr>
          <w:rFonts w:ascii="Palatino Linotype" w:eastAsia="Palatino Linotype" w:hAnsi="Palatino Linotype" w:cs="Palatino Linotype"/>
          <w:i/>
          <w:iCs/>
        </w:rPr>
        <w:t xml:space="preserve"> Son obligaciones de las instituciones públicas:</w:t>
      </w:r>
    </w:p>
    <w:p w14:paraId="1E63584C" w14:textId="77777777" w:rsidR="001F28C7" w:rsidRDefault="00D917E0">
      <w:pPr>
        <w:spacing w:line="360" w:lineRule="auto"/>
        <w:ind w:left="851" w:right="85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XVII. </w:t>
      </w:r>
      <w:r>
        <w:rPr>
          <w:rFonts w:ascii="Palatino Linotype" w:eastAsia="Palatino Linotype" w:hAnsi="Palatino Linotype" w:cs="Palatino Linotype"/>
          <w:b/>
          <w:bCs/>
          <w:i/>
          <w:iCs/>
          <w:u w:val="single"/>
        </w:rPr>
        <w:t>Integrar los expedientes de los servidores públicos</w:t>
      </w:r>
      <w:r>
        <w:rPr>
          <w:rFonts w:ascii="Palatino Linotype" w:eastAsia="Palatino Linotype" w:hAnsi="Palatino Linotype" w:cs="Palatino Linotype"/>
          <w:i/>
          <w:iCs/>
        </w:rPr>
        <w:t xml:space="preserve"> y proporcionar las constancias que éstos soliciten para el trámite de los asuntos de su interés en los términos que señalen los ordenamientos respectivos.</w:t>
      </w:r>
    </w:p>
    <w:p w14:paraId="643F2E41" w14:textId="77777777" w:rsidR="001F28C7" w:rsidRDefault="001F28C7">
      <w:pPr>
        <w:spacing w:line="360" w:lineRule="auto"/>
        <w:ind w:right="851"/>
        <w:jc w:val="both"/>
        <w:rPr>
          <w:rFonts w:ascii="Palatino Linotype" w:eastAsia="Palatino Linotype" w:hAnsi="Palatino Linotype" w:cs="Palatino Linotype"/>
        </w:rPr>
      </w:pPr>
    </w:p>
    <w:p w14:paraId="66DE5ADD"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las cosas, de la normatividad anteriormente referida, se puede observar que las instituciones públicas tienen la obligación de integrar los expedientes laborales de cada servidor público, dentro de los cuales puede constar la solicitud de empleo,</w:t>
      </w:r>
    </w:p>
    <w:p w14:paraId="7B50B5A9"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highlight w:val="yellow"/>
        </w:rPr>
      </w:pPr>
    </w:p>
    <w:p w14:paraId="62560B61"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Finalmente respecto a los oficios,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generada, obtenida, adquirida, transformada o en posesión de los sujetos obligados es pública y accesible a cualquier persona.</w:t>
      </w:r>
    </w:p>
    <w:p w14:paraId="19FF732A" w14:textId="77777777" w:rsidR="001F28C7" w:rsidRDefault="001F28C7">
      <w:pPr>
        <w:widowControl w:val="0"/>
        <w:pBdr>
          <w:top w:val="nil"/>
          <w:left w:val="nil"/>
          <w:bottom w:val="nil"/>
          <w:right w:val="nil"/>
          <w:between w:val="nil"/>
        </w:pBdr>
        <w:spacing w:line="360" w:lineRule="auto"/>
        <w:ind w:left="502"/>
        <w:jc w:val="both"/>
        <w:rPr>
          <w:rFonts w:ascii="Palatino Linotype" w:eastAsia="Palatino Linotype" w:hAnsi="Palatino Linotype" w:cs="Palatino Linotype"/>
          <w:color w:val="000000"/>
        </w:rPr>
      </w:pPr>
    </w:p>
    <w:p w14:paraId="77F1CD73"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1263A1A7" w14:textId="77777777" w:rsidR="001F28C7" w:rsidRDefault="001F28C7">
      <w:pPr>
        <w:widowControl w:val="0"/>
        <w:pBdr>
          <w:top w:val="nil"/>
          <w:left w:val="nil"/>
          <w:bottom w:val="nil"/>
          <w:right w:val="nil"/>
          <w:between w:val="nil"/>
        </w:pBdr>
        <w:spacing w:line="360" w:lineRule="auto"/>
        <w:ind w:left="502"/>
        <w:jc w:val="both"/>
        <w:rPr>
          <w:rFonts w:ascii="Palatino Linotype" w:eastAsia="Palatino Linotype" w:hAnsi="Palatino Linotype" w:cs="Palatino Linotype"/>
          <w:color w:val="000000"/>
        </w:rPr>
      </w:pPr>
    </w:p>
    <w:p w14:paraId="133D344D"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2E0C1D07" w14:textId="77777777" w:rsidR="001F28C7" w:rsidRDefault="001F28C7">
      <w:pPr>
        <w:widowControl w:val="0"/>
        <w:pBdr>
          <w:top w:val="nil"/>
          <w:left w:val="nil"/>
          <w:bottom w:val="nil"/>
          <w:right w:val="nil"/>
          <w:between w:val="nil"/>
        </w:pBdr>
        <w:spacing w:line="360" w:lineRule="auto"/>
        <w:ind w:left="502"/>
        <w:jc w:val="both"/>
        <w:rPr>
          <w:rFonts w:ascii="Palatino Linotype" w:eastAsia="Palatino Linotype" w:hAnsi="Palatino Linotype" w:cs="Palatino Linotype"/>
          <w:color w:val="000000"/>
        </w:rPr>
      </w:pPr>
    </w:p>
    <w:p w14:paraId="21C27215"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3B9F4F9E" w14:textId="77777777" w:rsidR="001F28C7" w:rsidRDefault="001F28C7">
      <w:pPr>
        <w:widowControl w:val="0"/>
        <w:pBdr>
          <w:top w:val="nil"/>
          <w:left w:val="nil"/>
          <w:bottom w:val="nil"/>
          <w:right w:val="nil"/>
          <w:between w:val="nil"/>
        </w:pBdr>
        <w:spacing w:line="360" w:lineRule="auto"/>
        <w:ind w:left="502"/>
        <w:jc w:val="both"/>
        <w:rPr>
          <w:rFonts w:ascii="Palatino Linotype" w:eastAsia="Palatino Linotype" w:hAnsi="Palatino Linotype" w:cs="Palatino Linotype"/>
          <w:color w:val="000000"/>
        </w:rPr>
      </w:pPr>
    </w:p>
    <w:p w14:paraId="69BE3EE1"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se desprenden los requisitos que se deben colmar e integrarse al expediente laboral, por lo que de ser el caso que obren los oficios de liberación de plaza, en los expedientes del personal sindicalizado, bastará que así lo haga del conocimiento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 xml:space="preserve">al ahora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al momento de dar cumplimiento a la presente Resolución en términos del artículo 19 párrafo segundo de la Ley de la Materia.</w:t>
      </w:r>
    </w:p>
    <w:p w14:paraId="427F3FD0" w14:textId="77777777" w:rsidR="001F28C7" w:rsidRDefault="001F28C7">
      <w:pPr>
        <w:spacing w:line="360" w:lineRule="auto"/>
        <w:ind w:left="502"/>
        <w:jc w:val="both"/>
        <w:rPr>
          <w:rFonts w:ascii="Palatino Linotype" w:eastAsia="Palatino Linotype" w:hAnsi="Palatino Linotype" w:cs="Palatino Linotype"/>
          <w:color w:val="000000"/>
        </w:rPr>
      </w:pPr>
    </w:p>
    <w:p w14:paraId="26BFF4FE"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Para efecto de lo anterior deberá realizarse el</w:t>
      </w:r>
      <w:r>
        <w:rPr>
          <w:rFonts w:ascii="Palatino Linotype" w:eastAsia="Palatino Linotype" w:hAnsi="Palatino Linotype" w:cs="Palatino Linotype"/>
          <w:b/>
          <w:bCs/>
        </w:rPr>
        <w:t xml:space="preserve"> procedimiento de búsqueda que deben seguir los Sujetos Obligados para localizar la información</w:t>
      </w:r>
      <w:r>
        <w:rPr>
          <w:rFonts w:ascii="Palatino Linotype" w:eastAsia="Palatino Linotype" w:hAnsi="Palatino Linotype" w:cs="Palatino Linotype"/>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2D26735D"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7248E61" w14:textId="1534CF50" w:rsidR="001F28C7" w:rsidRPr="00EA2D09" w:rsidRDefault="00D917E0" w:rsidP="00EA2D09">
      <w:pPr>
        <w:pStyle w:val="Prrafodelista"/>
        <w:numPr>
          <w:ilvl w:val="0"/>
          <w:numId w:val="4"/>
        </w:numPr>
        <w:pBdr>
          <w:top w:val="nil"/>
          <w:left w:val="nil"/>
          <w:bottom w:val="nil"/>
          <w:right w:val="nil"/>
          <w:between w:val="nil"/>
        </w:pBdr>
        <w:tabs>
          <w:tab w:val="left" w:pos="709"/>
        </w:tabs>
        <w:spacing w:line="360" w:lineRule="auto"/>
        <w:ind w:left="0" w:right="51" w:firstLine="0"/>
        <w:jc w:val="both"/>
        <w:rPr>
          <w:rFonts w:ascii="Palatino Linotype" w:eastAsia="Palatino Linotype" w:hAnsi="Palatino Linotype" w:cs="Palatino Linotype"/>
          <w:color w:val="000000"/>
        </w:rPr>
      </w:pPr>
      <w:r w:rsidRPr="00EA2D09">
        <w:rPr>
          <w:rFonts w:ascii="Palatino Linotype" w:eastAsia="Palatino Linotype" w:hAnsi="Palatino Linotype" w:cs="Palatino Linotype"/>
          <w:color w:val="000000"/>
        </w:rPr>
        <w:t xml:space="preserve">Apuntado lo anterior, por cuanto hace al requerimiento consistente en los “Gafetes” es necesario precisar que la Constitución Política del Estado Libre y soberano de México en </w:t>
      </w:r>
      <w:r w:rsidRPr="00EA2D09">
        <w:rPr>
          <w:rFonts w:ascii="Palatino Linotype" w:eastAsia="Palatino Linotype" w:hAnsi="Palatino Linotype" w:cs="Palatino Linotype"/>
          <w:color w:val="000000"/>
        </w:rPr>
        <w:lastRenderedPageBreak/>
        <w:t xml:space="preserve">su diverso 130 establece que  se considera como servidor público a toda persona que desempeñe empleo, cargo o comisión en los municipios como a continuación se observa: </w:t>
      </w:r>
    </w:p>
    <w:p w14:paraId="3B6FD1C8" w14:textId="77777777" w:rsidR="001F28C7" w:rsidRDefault="00D917E0">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Artículo 130.</w:t>
      </w:r>
      <w:r>
        <w:rPr>
          <w:rFonts w:ascii="Palatino Linotype" w:eastAsia="Palatino Linotype" w:hAnsi="Palatino Linotype" w:cs="Palatino Linotype"/>
          <w:i/>
          <w:iCs/>
          <w:color w:val="000000"/>
        </w:rPr>
        <w:t xml:space="preserve"> Para los efectos de las responsabilidades a que alude este título, se considera </w:t>
      </w:r>
      <w:r>
        <w:rPr>
          <w:rFonts w:ascii="Palatino Linotype" w:eastAsia="Palatino Linotype" w:hAnsi="Palatino Linotype" w:cs="Palatino Linotype"/>
          <w:b/>
          <w:bCs/>
          <w:i/>
          <w:iCs/>
          <w:color w:val="000000"/>
        </w:rPr>
        <w:t>como servidor público a toda persona que desempeñe un empleo, cargo o comisión en alguno de los poderes del Estado, organismos autónomos, en los municipios y organismos auxiliares</w:t>
      </w:r>
      <w:r>
        <w:rPr>
          <w:rFonts w:ascii="Palatino Linotype" w:eastAsia="Palatino Linotype" w:hAnsi="Palatino Linotype" w:cs="Palatino Linotype"/>
          <w:i/>
          <w:iCs/>
          <w:color w:val="000000"/>
        </w:rPr>
        <w:t>, así como los titulares o quienes hagan sus veces en empresas de participación estatal o municipal, sociedades o asociaciones asimiladas a éstas y en los fideicomisos públicos. Por lo que toca a las y los demás trabajadores del sector auxiliar, su calidad de servidores públicos estará determinada por los ordenamientos legales respectivos. Las y los servidores públicos a que se refiere el presente artículo estarán obligados a presentar, bajo protesta de decir verdad, su declaración patrimonial, de intereses ante las autoridades competentes y constancia de presentación de la declaración fiscal y en los términos que determine la ley.</w:t>
      </w:r>
    </w:p>
    <w:p w14:paraId="4BCFA8A4" w14:textId="77777777" w:rsidR="001F28C7" w:rsidRDefault="00D917E0">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w:t>
      </w:r>
    </w:p>
    <w:p w14:paraId="78858440" w14:textId="77777777" w:rsidR="001F28C7" w:rsidRDefault="001F28C7">
      <w:pPr>
        <w:pBdr>
          <w:top w:val="nil"/>
          <w:left w:val="nil"/>
          <w:bottom w:val="nil"/>
          <w:right w:val="nil"/>
          <w:between w:val="nil"/>
        </w:pBdr>
        <w:tabs>
          <w:tab w:val="left" w:pos="709"/>
        </w:tabs>
        <w:spacing w:line="360" w:lineRule="auto"/>
        <w:ind w:right="51"/>
        <w:jc w:val="both"/>
        <w:rPr>
          <w:rFonts w:ascii="Palatino Linotype" w:eastAsia="Palatino Linotype" w:hAnsi="Palatino Linotype" w:cs="Palatino Linotype"/>
          <w:color w:val="000000"/>
        </w:rPr>
      </w:pPr>
    </w:p>
    <w:p w14:paraId="352F81F0" w14:textId="77777777" w:rsidR="001F28C7" w:rsidRDefault="00D917E0" w:rsidP="00EA2D09">
      <w:pPr>
        <w:numPr>
          <w:ilvl w:val="0"/>
          <w:numId w:val="4"/>
        </w:numPr>
        <w:pBdr>
          <w:top w:val="nil"/>
          <w:left w:val="nil"/>
          <w:bottom w:val="nil"/>
          <w:right w:val="nil"/>
          <w:between w:val="nil"/>
        </w:pBdr>
        <w:tabs>
          <w:tab w:val="left" w:pos="709"/>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contexto, la Ley del Trabajo de los Servidores Públicos del Estado y Municipios señala en su diverso 98 fracciones VII y XVII que comprende una obligación de las instituciones públicas proporcionar a los servidores públicos los elementos necesario para el cumplimiento de sus atribuciones, así como proporcionar las constancias que estos soliciten, como a continuación se observa: </w:t>
      </w:r>
    </w:p>
    <w:p w14:paraId="4CBB26D6" w14:textId="77777777" w:rsidR="001F28C7" w:rsidRDefault="00D917E0">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ARTÍCULO 98</w:t>
      </w:r>
      <w:r>
        <w:rPr>
          <w:rFonts w:ascii="Palatino Linotype" w:eastAsia="Palatino Linotype" w:hAnsi="Palatino Linotype" w:cs="Palatino Linotype"/>
          <w:i/>
          <w:iCs/>
          <w:color w:val="000000"/>
        </w:rPr>
        <w:t>. Son obligaciones de las instituciones públicas:</w:t>
      </w:r>
    </w:p>
    <w:p w14:paraId="42CDCB44" w14:textId="77777777" w:rsidR="001F28C7" w:rsidRDefault="00D917E0">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6BFBBC47" w14:textId="77777777" w:rsidR="001F28C7" w:rsidRDefault="00D917E0">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lastRenderedPageBreak/>
        <w:t>VII. Proporcionar a los servidores públicos, los útiles, equipo y materiales necesarios para el cumplimiento de sus funciones, así como los reglamentos a observar;</w:t>
      </w:r>
    </w:p>
    <w:p w14:paraId="3372E20F" w14:textId="77777777" w:rsidR="001F28C7" w:rsidRDefault="001F28C7">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i/>
          <w:iCs/>
          <w:color w:val="000000"/>
        </w:rPr>
      </w:pPr>
    </w:p>
    <w:p w14:paraId="59573370" w14:textId="77777777" w:rsidR="001F28C7" w:rsidRDefault="00D917E0">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015D2F4D" w14:textId="77777777" w:rsidR="001F28C7" w:rsidRDefault="00D917E0">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XVII. Integrar los expedientes de los servidores públicos y proporcionar las constancias que éstos soliciten para el trámite de los asuntos de su interés en los términos que señalen los ordenamientos respectivos.</w:t>
      </w:r>
    </w:p>
    <w:p w14:paraId="6EEC47C1" w14:textId="77777777" w:rsidR="001F28C7" w:rsidRDefault="001F28C7">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i/>
          <w:iCs/>
          <w:color w:val="000000"/>
        </w:rPr>
      </w:pPr>
    </w:p>
    <w:p w14:paraId="7989AC73" w14:textId="77777777" w:rsidR="001F28C7" w:rsidRDefault="00D917E0">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31A9AE64" w14:textId="77777777" w:rsidR="001F28C7" w:rsidRDefault="00D917E0">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(Énfasis añadido) </w:t>
      </w:r>
    </w:p>
    <w:p w14:paraId="5593FA7C" w14:textId="77777777" w:rsidR="001F28C7" w:rsidRDefault="001F28C7">
      <w:pPr>
        <w:pBdr>
          <w:top w:val="nil"/>
          <w:left w:val="nil"/>
          <w:bottom w:val="nil"/>
          <w:right w:val="nil"/>
          <w:between w:val="nil"/>
        </w:pBdr>
        <w:tabs>
          <w:tab w:val="left" w:pos="709"/>
        </w:tabs>
        <w:spacing w:line="360" w:lineRule="auto"/>
        <w:ind w:left="567" w:right="616"/>
        <w:jc w:val="both"/>
        <w:rPr>
          <w:rFonts w:ascii="Palatino Linotype" w:eastAsia="Palatino Linotype" w:hAnsi="Palatino Linotype" w:cs="Palatino Linotype"/>
          <w:color w:val="000000"/>
        </w:rPr>
      </w:pPr>
    </w:p>
    <w:p w14:paraId="28FD3DD1" w14:textId="77777777" w:rsidR="001F28C7" w:rsidRDefault="00D917E0" w:rsidP="00EA2D09">
      <w:pPr>
        <w:numPr>
          <w:ilvl w:val="0"/>
          <w:numId w:val="4"/>
        </w:numPr>
        <w:pBdr>
          <w:top w:val="nil"/>
          <w:left w:val="nil"/>
          <w:bottom w:val="nil"/>
          <w:right w:val="nil"/>
          <w:between w:val="nil"/>
        </w:pBdr>
        <w:tabs>
          <w:tab w:val="left" w:pos="709"/>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mismo contexto, por cuanto hace a la Ley de Responsabilidades Administrativas del Estado de México y Municipios, el diverso 7 señala que todo servidor público en el desempeño de su cargo deberá de observar los principios de rendición de cuentas y eficiencia que rigen  el servicio público, como a continuación se observa:  </w:t>
      </w:r>
    </w:p>
    <w:p w14:paraId="16393B71" w14:textId="77777777" w:rsidR="001F28C7" w:rsidRDefault="00D917E0">
      <w:pPr>
        <w:tabs>
          <w:tab w:val="left" w:pos="709"/>
        </w:tabs>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7.</w:t>
      </w:r>
      <w:r>
        <w:rPr>
          <w:rFonts w:ascii="Palatino Linotype" w:eastAsia="Palatino Linotype" w:hAnsi="Palatino Linotype" w:cs="Palatino Linotype"/>
          <w:i/>
          <w:iCs/>
        </w:rPr>
        <w:t xml:space="preserve"> Todo servidor público sin perjuicio de sus derechos y obligaciones laborales deberá observar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2CAA2097" w14:textId="77777777" w:rsidR="001F28C7" w:rsidRDefault="001F28C7">
      <w:pPr>
        <w:tabs>
          <w:tab w:val="left" w:pos="709"/>
        </w:tabs>
        <w:spacing w:line="360" w:lineRule="auto"/>
        <w:ind w:left="567" w:right="616"/>
        <w:jc w:val="both"/>
        <w:rPr>
          <w:rFonts w:ascii="Palatino Linotype" w:eastAsia="Palatino Linotype" w:hAnsi="Palatino Linotype" w:cs="Palatino Linotype"/>
          <w:i/>
          <w:iCs/>
        </w:rPr>
      </w:pPr>
    </w:p>
    <w:p w14:paraId="15B0FFB9" w14:textId="77777777" w:rsidR="001F28C7" w:rsidRDefault="00D917E0">
      <w:pPr>
        <w:tabs>
          <w:tab w:val="left" w:pos="709"/>
        </w:tabs>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I. Actuar conforme a lo que las leyes, reglamentos y demás disposiciones jurídicas les atribuyen a su empleo, cargo o comisión, por lo que deben conocer y cumplir las disposiciones que regulan el ejercicio de sus funciones, facultades y atribuciones.</w:t>
      </w:r>
    </w:p>
    <w:p w14:paraId="424F1EE5" w14:textId="77777777" w:rsidR="001F28C7" w:rsidRDefault="001F28C7">
      <w:pPr>
        <w:tabs>
          <w:tab w:val="left" w:pos="709"/>
        </w:tabs>
        <w:spacing w:line="360" w:lineRule="auto"/>
        <w:ind w:left="567" w:right="616"/>
        <w:jc w:val="both"/>
        <w:rPr>
          <w:rFonts w:ascii="Palatino Linotype" w:eastAsia="Palatino Linotype" w:hAnsi="Palatino Linotype" w:cs="Palatino Linotype"/>
          <w:i/>
          <w:iCs/>
        </w:rPr>
      </w:pPr>
    </w:p>
    <w:p w14:paraId="706103FE" w14:textId="77777777" w:rsidR="001F28C7" w:rsidRDefault="00D917E0">
      <w:pPr>
        <w:tabs>
          <w:tab w:val="left" w:pos="709"/>
        </w:tabs>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II. Conducirse con rectitud sin utilizar su empleo, cargo o comisión para obtener o pretender obtener algún beneficio, provecho o ventaja personal o a favor de terceros, ni buscar o aceptar compensaciones, prestaciones, dádivas, obsequios o regalos de cualquier persona u organización.</w:t>
      </w:r>
    </w:p>
    <w:p w14:paraId="54E30814" w14:textId="77777777" w:rsidR="001F28C7" w:rsidRDefault="00D917E0">
      <w:pPr>
        <w:tabs>
          <w:tab w:val="left" w:pos="709"/>
        </w:tabs>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III. Satisfacer el interés superior de las necesidades colectivas por encima de intereses particulares, personales o ajenos al interés general y bienestar de la población. </w:t>
      </w:r>
    </w:p>
    <w:p w14:paraId="24B9DB2F" w14:textId="77777777" w:rsidR="001F28C7" w:rsidRDefault="00D917E0">
      <w:pPr>
        <w:tabs>
          <w:tab w:val="left" w:pos="709"/>
        </w:tabs>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IV. Dar a las personas en general el mismo trato, por lo que no concederán privilegios o preferencias a organizaciones o personas, ni permitirán que influencias, intereses o prejuicios indebidos afecten su compromiso para tomar decisiones o ejercer sus funciones de manera objetiva. </w:t>
      </w:r>
    </w:p>
    <w:p w14:paraId="091A4D7B" w14:textId="77777777" w:rsidR="001F28C7" w:rsidRDefault="00D917E0">
      <w:pPr>
        <w:tabs>
          <w:tab w:val="left" w:pos="709"/>
        </w:tabs>
        <w:spacing w:line="360" w:lineRule="auto"/>
        <w:ind w:left="567" w:right="616"/>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V. Actuar conforme a una cultura de servicio orientada al logro de resultados, procurando en todo momento un mejor desempeño de sus funciones a fin de alcanzar las metas institucionales según sus responsabilidades. </w:t>
      </w:r>
    </w:p>
    <w:p w14:paraId="511B0C06" w14:textId="77777777" w:rsidR="001F28C7" w:rsidRDefault="00D917E0">
      <w:pPr>
        <w:tabs>
          <w:tab w:val="left" w:pos="709"/>
        </w:tabs>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 Administrar los recursos públicos que estén bajo su responsabilidad, sujetándose a los principios de eficiencia, eficacia, economía, transparencia y honradez para satisfacer los objetivos a los que estén destinados. </w:t>
      </w:r>
    </w:p>
    <w:p w14:paraId="15A91FB1" w14:textId="77777777" w:rsidR="001F28C7" w:rsidRDefault="00D917E0">
      <w:pPr>
        <w:tabs>
          <w:tab w:val="left" w:pos="709"/>
        </w:tabs>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VII. Promover, respetar, proteger y garantizar los derechos humanos establecidos en la Constituciones Federal y Local, así como en los Tratados Internacionales ratificados por el Estado Mexicano. </w:t>
      </w:r>
    </w:p>
    <w:p w14:paraId="14319727" w14:textId="77777777" w:rsidR="001F28C7" w:rsidRDefault="00D917E0">
      <w:pPr>
        <w:tabs>
          <w:tab w:val="left" w:pos="709"/>
        </w:tabs>
        <w:spacing w:line="360" w:lineRule="auto"/>
        <w:ind w:left="567" w:right="616"/>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 xml:space="preserve">VIII. Corresponder a la confianza que la sociedad les ha conferido, tendrán una vocación absoluta de servicio a la sociedad y preservarán el interés superior de las necesidades colectivas por encima de intereses particulares, personales o ajenos al interés general. </w:t>
      </w:r>
    </w:p>
    <w:p w14:paraId="4D808271" w14:textId="77777777" w:rsidR="001F28C7" w:rsidRDefault="00D917E0">
      <w:pPr>
        <w:tabs>
          <w:tab w:val="left" w:pos="709"/>
        </w:tabs>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IX. Evitar y dar cuenta de los intereses que puedan entrar en conflicto con el desempeño responsable y objetivo de sus facultades y obligaciones. </w:t>
      </w:r>
    </w:p>
    <w:p w14:paraId="561909A2" w14:textId="77777777" w:rsidR="001F28C7" w:rsidRDefault="00D917E0">
      <w:pPr>
        <w:tabs>
          <w:tab w:val="left" w:pos="709"/>
        </w:tabs>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X. Abstenerse de realizar cualquier trato o promesa privada que comprometa al Estado de México.” </w:t>
      </w:r>
    </w:p>
    <w:p w14:paraId="19936ADD" w14:textId="77777777" w:rsidR="001F28C7" w:rsidRDefault="001F28C7">
      <w:pPr>
        <w:tabs>
          <w:tab w:val="left" w:pos="709"/>
        </w:tabs>
        <w:spacing w:line="360" w:lineRule="auto"/>
        <w:ind w:right="616"/>
        <w:jc w:val="both"/>
        <w:rPr>
          <w:rFonts w:ascii="Palatino Linotype" w:eastAsia="Palatino Linotype" w:hAnsi="Palatino Linotype" w:cs="Palatino Linotype"/>
          <w:i/>
          <w:iCs/>
        </w:rPr>
      </w:pPr>
    </w:p>
    <w:p w14:paraId="4777600D" w14:textId="77777777" w:rsidR="001F28C7" w:rsidRDefault="00D917E0" w:rsidP="00EA2D09">
      <w:pPr>
        <w:numPr>
          <w:ilvl w:val="0"/>
          <w:numId w:val="4"/>
        </w:numPr>
        <w:pBdr>
          <w:top w:val="nil"/>
          <w:left w:val="nil"/>
          <w:bottom w:val="nil"/>
          <w:right w:val="nil"/>
          <w:between w:val="nil"/>
        </w:pBdr>
        <w:tabs>
          <w:tab w:val="left" w:pos="709"/>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y para tal efecto, la Dirección General de Administración, de conformidad con lo que establece el Código Reglamentario del Municipio de Toluca en su diverso 11.82, tiene como objetivo brindar apoyo administrativo a los servidores públicos que conforman la Administración Pública Municipal para el cumplimiento de sus obligaciones dentro de los cuales se puede destacar el de emitir gafetes que los acrediten, como a continuación se observa: </w:t>
      </w:r>
    </w:p>
    <w:p w14:paraId="7DF51E0B" w14:textId="513ABAED" w:rsidR="001F28C7" w:rsidRDefault="00D917E0">
      <w:pPr>
        <w:pBdr>
          <w:top w:val="nil"/>
          <w:left w:val="nil"/>
          <w:bottom w:val="nil"/>
          <w:right w:val="nil"/>
          <w:between w:val="nil"/>
        </w:pBdr>
        <w:spacing w:line="360" w:lineRule="auto"/>
        <w:ind w:left="720" w:right="567" w:hanging="152"/>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“Artículo 11.82. Son obligaciones de las y los servidores públicos: </w:t>
      </w:r>
    </w:p>
    <w:p w14:paraId="3F8E97AA" w14:textId="77777777" w:rsidR="001F28C7" w:rsidRDefault="00D917E0">
      <w:pPr>
        <w:pBdr>
          <w:top w:val="nil"/>
          <w:left w:val="nil"/>
          <w:bottom w:val="nil"/>
          <w:right w:val="nil"/>
          <w:between w:val="nil"/>
        </w:pBdr>
        <w:spacing w:line="360" w:lineRule="auto"/>
        <w:ind w:left="851" w:right="567" w:hanging="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5C5D1E69" w14:textId="77777777" w:rsidR="001F28C7" w:rsidRDefault="00D917E0">
      <w:pPr>
        <w:pBdr>
          <w:top w:val="nil"/>
          <w:left w:val="nil"/>
          <w:bottom w:val="nil"/>
          <w:right w:val="nil"/>
          <w:between w:val="nil"/>
        </w:pBdr>
        <w:spacing w:line="360" w:lineRule="auto"/>
        <w:ind w:left="720" w:right="567" w:hanging="152"/>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XII. Portar en lugar visible, durante la jornada laboral, el gafete/credencial expedido por la Dirección General de Administración; </w:t>
      </w:r>
    </w:p>
    <w:p w14:paraId="7B64912F" w14:textId="77777777" w:rsidR="001F28C7" w:rsidRDefault="00D917E0">
      <w:pPr>
        <w:pBdr>
          <w:top w:val="nil"/>
          <w:left w:val="nil"/>
          <w:bottom w:val="nil"/>
          <w:right w:val="nil"/>
          <w:between w:val="nil"/>
        </w:pBdr>
        <w:spacing w:line="360" w:lineRule="auto"/>
        <w:ind w:left="709" w:right="567" w:hanging="152"/>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w:t>
      </w:r>
    </w:p>
    <w:p w14:paraId="5C22BF9E" w14:textId="77777777" w:rsidR="001F28C7" w:rsidRDefault="001F28C7">
      <w:pPr>
        <w:spacing w:line="360" w:lineRule="auto"/>
        <w:jc w:val="both"/>
        <w:rPr>
          <w:rFonts w:ascii="Palatino Linotype" w:eastAsia="Palatino Linotype" w:hAnsi="Palatino Linotype" w:cs="Palatino Linotype"/>
          <w:color w:val="000000"/>
        </w:rPr>
      </w:pPr>
    </w:p>
    <w:p w14:paraId="3C1E00DE" w14:textId="77777777" w:rsidR="001F28C7" w:rsidRDefault="00D917E0">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Como resultado de lo anterior, este Órgano Garante advierte que existen elementos </w:t>
      </w:r>
      <w:r>
        <w:rPr>
          <w:rFonts w:ascii="Palatino Linotype" w:eastAsia="Palatino Linotype" w:hAnsi="Palatino Linotype" w:cs="Palatino Linotype"/>
          <w:color w:val="000000"/>
        </w:rPr>
        <w:t>para</w:t>
      </w:r>
      <w:r>
        <w:rPr>
          <w:rFonts w:ascii="Palatino Linotype" w:eastAsia="Palatino Linotype" w:hAnsi="Palatino Linotype" w:cs="Palatino Linotype"/>
        </w:rPr>
        <w:t xml:space="preserve"> determinar que el Ayuntamiento de Toluc</w:t>
      </w:r>
      <w:r>
        <w:rPr>
          <w:rFonts w:ascii="Palatino Linotype" w:eastAsia="Palatino Linotype" w:hAnsi="Palatino Linotype" w:cs="Palatino Linotype"/>
          <w:b/>
          <w:bCs/>
        </w:rPr>
        <w:t xml:space="preserve">a </w:t>
      </w:r>
      <w:r>
        <w:rPr>
          <w:rFonts w:ascii="Palatino Linotype" w:eastAsia="Palatino Linotype" w:hAnsi="Palatino Linotype" w:cs="Palatino Linotype"/>
        </w:rPr>
        <w:t xml:space="preserve">cuenta con competencia para generar, poseer o administrar con la información solicitada, razón por la cual, es dable ordenar la </w:t>
      </w:r>
      <w:r>
        <w:rPr>
          <w:rFonts w:ascii="Palatino Linotype" w:eastAsia="Palatino Linotype" w:hAnsi="Palatino Linotype" w:cs="Palatino Linotype"/>
        </w:rPr>
        <w:lastRenderedPageBreak/>
        <w:t xml:space="preserve">entrega de los documentos donde consten los gafetes de identificación del personal sindicalizado al catorce de marzo de 2024, fecha en que se interpuso la solicitud de acceso a la información. </w:t>
      </w:r>
    </w:p>
    <w:p w14:paraId="661410C6" w14:textId="77777777" w:rsidR="001F28C7" w:rsidRDefault="001F28C7">
      <w:pPr>
        <w:spacing w:line="360" w:lineRule="auto"/>
        <w:ind w:left="502"/>
        <w:jc w:val="both"/>
        <w:rPr>
          <w:rFonts w:ascii="Palatino Linotype" w:eastAsia="Palatino Linotype" w:hAnsi="Palatino Linotype" w:cs="Palatino Linotype"/>
        </w:rPr>
      </w:pPr>
    </w:p>
    <w:p w14:paraId="2AD46AC0"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la determinación anterior quedará por colmado el derecho de acceso a la información del ahora Recurrente; toda vez que el Derecho que tutela este Órgano Garante </w:t>
      </w:r>
      <w:r>
        <w:rPr>
          <w:rFonts w:ascii="Palatino Linotype" w:eastAsia="Palatino Linotype" w:hAnsi="Palatino Linotype" w:cs="Palatino Linotype"/>
        </w:rPr>
        <w:t>corresponde</w:t>
      </w:r>
      <w:r>
        <w:rPr>
          <w:rFonts w:ascii="Palatino Linotype" w:eastAsia="Palatino Linotype" w:hAnsi="Palatino Linotype" w:cs="Palatino Linotype"/>
          <w:color w:val="000000"/>
        </w:rPr>
        <w:t xml:space="preserve"> a la  </w:t>
      </w:r>
      <w:r>
        <w:rPr>
          <w:rFonts w:ascii="Palatino Linotype" w:eastAsia="Palatino Linotype" w:hAnsi="Palatino Linotype" w:cs="Palatino Linotype"/>
          <w:i/>
          <w:iCs/>
          <w:color w:val="000000"/>
        </w:rPr>
        <w:t>igualdad de oportunidades para recibir, buscar e impartir información</w:t>
      </w:r>
      <w:r>
        <w:rPr>
          <w:rFonts w:ascii="Palatino Linotype" w:eastAsia="Palatino Linotype" w:hAnsi="Palatino Linotype" w:cs="Palatino Linotype"/>
          <w:i/>
          <w:iCs/>
          <w:color w:val="000000"/>
          <w:vertAlign w:val="superscript"/>
        </w:rPr>
        <w:footnoteReference w:id="1"/>
      </w:r>
      <w:r>
        <w:rPr>
          <w:rFonts w:ascii="Palatino Linotype" w:eastAsia="Palatino Linotype" w:hAnsi="Palatino Linotype" w:cs="Palatino Linotype"/>
          <w:i/>
          <w:iCs/>
          <w:color w:val="000000"/>
        </w:rPr>
        <w:t xml:space="preserve"> en posesión de cualquier autoridad, entidad, órgano y organismo de los </w:t>
      </w:r>
      <w:r>
        <w:rPr>
          <w:rFonts w:ascii="Palatino Linotype" w:eastAsia="Palatino Linotype" w:hAnsi="Palatino Linotype" w:cs="Palatino Linotype"/>
          <w:color w:val="000000"/>
        </w:rPr>
        <w:t>poderes</w:t>
      </w:r>
      <w:r>
        <w:rPr>
          <w:rFonts w:ascii="Palatino Linotype" w:eastAsia="Palatino Linotype" w:hAnsi="Palatino Linotype" w:cs="Palatino Linotype"/>
          <w:i/>
          <w:iCs/>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color w:val="000000"/>
          <w:vertAlign w:val="superscript"/>
        </w:rPr>
        <w:footnoteReference w:id="2"/>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rPr>
        <w:t xml:space="preserve">que se constituye como una herramienta fundamental para </w:t>
      </w:r>
      <w:r>
        <w:rPr>
          <w:rFonts w:ascii="Palatino Linotype" w:eastAsia="Palatino Linotype" w:hAnsi="Palatino Linotype" w:cs="Palatino Linotype"/>
          <w:i/>
          <w:iCs/>
          <w:color w:val="000000"/>
        </w:rPr>
        <w:t>ejercer control democrático de las gestiones estatales, de forma tal que puedan cuestionar, indagar y considerar si se está dando un adecuado cumplimiento de las funciones públicas,</w:t>
      </w:r>
      <w:r>
        <w:rPr>
          <w:rFonts w:ascii="Palatino Linotype" w:eastAsia="Palatino Linotype" w:hAnsi="Palatino Linotype" w:cs="Palatino Linotype"/>
          <w:i/>
          <w:iCs/>
          <w:color w:val="000000"/>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iCs/>
          <w:color w:val="000000"/>
        </w:rPr>
        <w:t xml:space="preserve"> la transparencia de las actividades estatales y</w:t>
      </w:r>
      <w:r>
        <w:rPr>
          <w:rFonts w:ascii="Palatino Linotype" w:eastAsia="Palatino Linotype" w:hAnsi="Palatino Linotype" w:cs="Palatino Linotype"/>
          <w:color w:val="000000"/>
        </w:rPr>
        <w:t xml:space="preserve"> promoviendo</w:t>
      </w:r>
      <w:r>
        <w:rPr>
          <w:rFonts w:ascii="Palatino Linotype" w:eastAsia="Palatino Linotype" w:hAnsi="Palatino Linotype" w:cs="Palatino Linotype"/>
          <w:i/>
          <w:iCs/>
          <w:color w:val="000000"/>
        </w:rPr>
        <w:t xml:space="preserve"> la responsabilidad de los funcionarios sobre su gestión pública</w:t>
      </w:r>
      <w:r>
        <w:rPr>
          <w:rFonts w:ascii="Palatino Linotype" w:eastAsia="Palatino Linotype" w:hAnsi="Palatino Linotype" w:cs="Palatino Linotype"/>
          <w:i/>
          <w:iCs/>
          <w:color w:val="000000"/>
          <w:vertAlign w:val="superscript"/>
        </w:rPr>
        <w:footnoteReference w:id="4"/>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rPr>
        <w:t>que permite</w:t>
      </w:r>
      <w:r>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Pr>
          <w:rFonts w:ascii="Palatino Linotype" w:eastAsia="Palatino Linotype" w:hAnsi="Palatino Linotype" w:cs="Palatino Linotype"/>
          <w:i/>
          <w:iCs/>
          <w:color w:val="000000"/>
          <w:vertAlign w:val="superscript"/>
        </w:rPr>
        <w:footnoteReference w:id="5"/>
      </w:r>
      <w:r>
        <w:rPr>
          <w:rFonts w:ascii="Palatino Linotype" w:eastAsia="Palatino Linotype" w:hAnsi="Palatino Linotype" w:cs="Palatino Linotype"/>
          <w:color w:val="000000"/>
        </w:rPr>
        <w:t xml:space="preserve"> ”</w:t>
      </w:r>
    </w:p>
    <w:p w14:paraId="32101407" w14:textId="77777777" w:rsidR="001F28C7" w:rsidRDefault="001F28C7">
      <w:pPr>
        <w:spacing w:line="360" w:lineRule="auto"/>
        <w:jc w:val="both"/>
        <w:rPr>
          <w:rFonts w:ascii="Palatino Linotype" w:eastAsia="Palatino Linotype" w:hAnsi="Palatino Linotype" w:cs="Palatino Linotype"/>
          <w:color w:val="000000"/>
        </w:rPr>
      </w:pPr>
    </w:p>
    <w:p w14:paraId="2DDD26F0" w14:textId="77777777" w:rsidR="001F28C7" w:rsidRDefault="00D917E0">
      <w:pPr>
        <w:numPr>
          <w:ilvl w:val="0"/>
          <w:numId w:val="4"/>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lastRenderedPageBreak/>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93C26D9" w14:textId="77777777" w:rsidR="001F28C7" w:rsidRDefault="00D917E0">
      <w:pPr>
        <w:spacing w:line="360" w:lineRule="auto"/>
        <w:ind w:left="426" w:right="474"/>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“CRITERIO 0002-11</w:t>
      </w:r>
    </w:p>
    <w:p w14:paraId="73AB362F" w14:textId="77777777" w:rsidR="001F28C7" w:rsidRDefault="00D917E0">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INFORMACIÓN PÚBLICA, CONCEPTO DE, EN MATERIA DE TRANSPARENCIA. INTERPRETACIÓN TEMÁTICA DE LOS ARTÍCULOS 2, FRACCIÓN V, XV, Y XVI, 3, 4,11 Y 41.</w:t>
      </w:r>
      <w:r>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4AA3BC" w14:textId="77777777" w:rsidR="001F28C7" w:rsidRDefault="00D917E0">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En consecuencia el acceso a la información se refiere a que se cumplan cualquiera de los siguientes tres supuestos:</w:t>
      </w:r>
    </w:p>
    <w:p w14:paraId="6C78241C" w14:textId="77777777" w:rsidR="001F28C7" w:rsidRDefault="00D917E0">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Que se trate de información registrada en cualquier soporte documental, que en ejercicio de las atribuciones conferidas, sea generada por los Sujetos Obligados;</w:t>
      </w:r>
    </w:p>
    <w:p w14:paraId="580E2495" w14:textId="77777777" w:rsidR="001F28C7" w:rsidRDefault="00D917E0">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14:paraId="319E3CE0" w14:textId="77777777" w:rsidR="001F28C7" w:rsidRDefault="00D917E0">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Que se trate de información registrada en cualquier soporte documental, que en ejercicio de las atribuciones conferidas, se encuentre en posesión de los Sujetos Obligados.”</w:t>
      </w:r>
    </w:p>
    <w:p w14:paraId="1E922190" w14:textId="77777777" w:rsidR="001F28C7" w:rsidRDefault="001F28C7">
      <w:pPr>
        <w:spacing w:line="360" w:lineRule="auto"/>
        <w:ind w:left="567" w:right="567"/>
        <w:jc w:val="both"/>
        <w:rPr>
          <w:rFonts w:ascii="Palatino Linotype" w:eastAsia="Palatino Linotype" w:hAnsi="Palatino Linotype" w:cs="Palatino Linotype"/>
          <w:i/>
          <w:iCs/>
          <w:color w:val="000000"/>
        </w:rPr>
      </w:pPr>
    </w:p>
    <w:p w14:paraId="671E5007"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derecho de acceso a la información encuentra su materia elemental en los documentos, y la Ley de Transparencia local  nos brinda el siguiente concepto, para darnos un mejor panorama:</w:t>
      </w:r>
    </w:p>
    <w:p w14:paraId="0759BD14" w14:textId="77777777" w:rsidR="001F28C7" w:rsidRDefault="00D917E0">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XI. Documento: </w:t>
      </w:r>
      <w:r>
        <w:rPr>
          <w:rFonts w:ascii="Palatino Linotype" w:eastAsia="Palatino Linotype" w:hAnsi="Palatino Linotype" w:cs="Palatino Linotype"/>
          <w:i/>
          <w:iCs/>
          <w:color w:val="000000"/>
        </w:rPr>
        <w:t xml:space="preserve">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bCs/>
          <w:i/>
          <w:iCs/>
          <w:color w:val="000000"/>
        </w:rPr>
        <w:t>cualquier otro registro</w:t>
      </w:r>
      <w:r>
        <w:rPr>
          <w:rFonts w:ascii="Palatino Linotype" w:eastAsia="Palatino Linotype" w:hAnsi="Palatino Linotype" w:cs="Palatino Linotype"/>
          <w:i/>
          <w:iCs/>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8B761F7" w14:textId="77777777" w:rsidR="001F28C7" w:rsidRDefault="001F28C7">
      <w:pPr>
        <w:spacing w:line="360" w:lineRule="auto"/>
        <w:ind w:left="567" w:right="567"/>
        <w:jc w:val="both"/>
        <w:rPr>
          <w:rFonts w:ascii="Palatino Linotype" w:eastAsia="Palatino Linotype" w:hAnsi="Palatino Linotype" w:cs="Palatino Linotype"/>
          <w:i/>
          <w:iCs/>
          <w:color w:val="000000"/>
        </w:rPr>
      </w:pPr>
    </w:p>
    <w:p w14:paraId="4E35EEF6"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todos los actos de autoridad que realicen los Sujetos Obligados </w:t>
      </w:r>
      <w:r>
        <w:rPr>
          <w:rFonts w:ascii="Palatino Linotype" w:eastAsia="Palatino Linotype" w:hAnsi="Palatino Linotype" w:cs="Palatino Linotype"/>
          <w:b/>
          <w:bCs/>
          <w:color w:val="000000"/>
        </w:rPr>
        <w:t xml:space="preserve">deben estar </w:t>
      </w:r>
      <w:r>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14:paraId="061D2FFB" w14:textId="77777777" w:rsidR="001F28C7" w:rsidRDefault="001F28C7">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14:paraId="28C67724"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14:paraId="78C71D22" w14:textId="77777777" w:rsidR="001F28C7" w:rsidRDefault="00D917E0">
      <w:pPr>
        <w:spacing w:line="360" w:lineRule="auto"/>
        <w:ind w:left="426"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“Artículo 4. </w:t>
      </w:r>
      <w:r>
        <w:rPr>
          <w:rFonts w:ascii="Palatino Linotype" w:eastAsia="Palatino Linotype" w:hAnsi="Palatino Linotype" w:cs="Palatino Linotype"/>
          <w:i/>
          <w:iCs/>
          <w:color w:val="000000"/>
        </w:rPr>
        <w:t>El derecho humano de acceso a la información pública es la prerrogativa de las personas para buscar, difundir, investigar, recabar, recibir y solicitar información pública, sin necesidad de acreditar personalidad ni interés jurídico.</w:t>
      </w:r>
    </w:p>
    <w:p w14:paraId="09B5AAA0" w14:textId="77777777" w:rsidR="001F28C7" w:rsidRDefault="00D917E0">
      <w:pPr>
        <w:spacing w:line="360" w:lineRule="auto"/>
        <w:ind w:left="426"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Toda la información</w:t>
      </w:r>
      <w:r>
        <w:rPr>
          <w:rFonts w:ascii="Palatino Linotype" w:eastAsia="Palatino Linotype" w:hAnsi="Palatino Linotype" w:cs="Palatino Linotype"/>
          <w:i/>
          <w:iCs/>
          <w:color w:val="000000"/>
        </w:rPr>
        <w:t xml:space="preserve"> generada, obtenida, adquirida, transformada, administrada o </w:t>
      </w:r>
      <w:r>
        <w:rPr>
          <w:rFonts w:ascii="Palatino Linotype" w:eastAsia="Palatino Linotype" w:hAnsi="Palatino Linotype" w:cs="Palatino Linotype"/>
          <w:b/>
          <w:bCs/>
          <w:i/>
          <w:iCs/>
          <w:color w:val="000000"/>
        </w:rPr>
        <w:t>en posesión de los sujetos obligados es pública</w:t>
      </w:r>
      <w:r>
        <w:rPr>
          <w:rFonts w:ascii="Palatino Linotype" w:eastAsia="Palatino Linotype" w:hAnsi="Palatino Linotype" w:cs="Palatino Linotype"/>
          <w:i/>
          <w:iCs/>
          <w:color w:val="000000"/>
        </w:rPr>
        <w:t xml:space="preserve"> y accesible de manera permanente a </w:t>
      </w:r>
      <w:r>
        <w:rPr>
          <w:rFonts w:ascii="Palatino Linotype" w:eastAsia="Palatino Linotype" w:hAnsi="Palatino Linotype" w:cs="Palatino Linotype"/>
          <w:i/>
          <w:iCs/>
          <w:color w:val="000000"/>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95F669D" w14:textId="77777777" w:rsidR="001F28C7" w:rsidRDefault="00D917E0">
      <w:pPr>
        <w:spacing w:line="360" w:lineRule="auto"/>
        <w:ind w:left="426"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Los sujetos obligados deben poner en práctica, políticas y programas de acceso a la información que se apeguen a criterios de publicidad, veracidad, oportunidad, precisión y suficiencia en beneficio de los solicitantes.”</w:t>
      </w:r>
    </w:p>
    <w:p w14:paraId="7BF04822" w14:textId="77777777" w:rsidR="001F28C7" w:rsidRDefault="001F28C7">
      <w:pPr>
        <w:spacing w:line="360" w:lineRule="auto"/>
        <w:ind w:left="567" w:right="567"/>
        <w:jc w:val="both"/>
        <w:rPr>
          <w:rFonts w:ascii="Palatino Linotype" w:eastAsia="Palatino Linotype" w:hAnsi="Palatino Linotype" w:cs="Palatino Linotype"/>
          <w:i/>
          <w:iCs/>
          <w:color w:val="000000"/>
        </w:rPr>
      </w:pPr>
    </w:p>
    <w:p w14:paraId="4C0C3BE8"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C63215B" w14:textId="77777777" w:rsidR="001F28C7" w:rsidRDefault="001F28C7">
      <w:pPr>
        <w:spacing w:line="360" w:lineRule="auto"/>
        <w:jc w:val="both"/>
        <w:rPr>
          <w:rFonts w:ascii="Palatino Linotype" w:eastAsia="Palatino Linotype" w:hAnsi="Palatino Linotype" w:cs="Palatino Linotype"/>
          <w:color w:val="000000"/>
        </w:rPr>
      </w:pPr>
    </w:p>
    <w:p w14:paraId="52034D04" w14:textId="77777777" w:rsidR="001F28C7" w:rsidRDefault="00D917E0">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5664BF4" w14:textId="77777777" w:rsidR="001F28C7" w:rsidRDefault="00D917E0">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ACCESO A LA INFORMACIÓN. IMPLICACIÓN DEL PRINCIPIO DE MÁXIMA PUBLICIDAD EN EL DERECHO FUNDAMENTAL RELATIVO.</w:t>
      </w:r>
      <w:r>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w:t>
      </w:r>
      <w:r>
        <w:rPr>
          <w:rFonts w:ascii="Palatino Linotype" w:eastAsia="Palatino Linotype" w:hAnsi="Palatino Linotype" w:cs="Palatino Linotype"/>
          <w:i/>
          <w:iCs/>
          <w:color w:val="000000"/>
        </w:rPr>
        <w:lastRenderedPageBreak/>
        <w:t>la legislación secundaria y justificados bajo determinadas circunstancias, se podrá clasificar como confidencial o reservada, esto es, considerarla con una calidad diversa. “</w:t>
      </w:r>
    </w:p>
    <w:p w14:paraId="307CA3A3" w14:textId="77777777" w:rsidR="001F28C7" w:rsidRDefault="001F28C7">
      <w:pPr>
        <w:pBdr>
          <w:top w:val="nil"/>
          <w:left w:val="nil"/>
          <w:bottom w:val="nil"/>
          <w:right w:val="nil"/>
          <w:between w:val="nil"/>
        </w:pBdr>
        <w:tabs>
          <w:tab w:val="left" w:pos="851"/>
        </w:tabs>
        <w:spacing w:line="360" w:lineRule="auto"/>
        <w:ind w:right="476"/>
        <w:jc w:val="both"/>
        <w:rPr>
          <w:rFonts w:ascii="Palatino Linotype" w:eastAsia="Palatino Linotype" w:hAnsi="Palatino Linotype" w:cs="Palatino Linotype"/>
          <w:color w:val="000000"/>
        </w:rPr>
      </w:pPr>
    </w:p>
    <w:p w14:paraId="389E6F72" w14:textId="77777777" w:rsidR="001F28C7" w:rsidRDefault="00D917E0">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QUINTO. De la versión pública.</w:t>
      </w:r>
    </w:p>
    <w:p w14:paraId="312629FA" w14:textId="2433592E" w:rsidR="001F28C7" w:rsidRPr="00EA2D09" w:rsidRDefault="00D917E0" w:rsidP="00EA2D09">
      <w:pPr>
        <w:pStyle w:val="Prrafodelista"/>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A2D09">
        <w:rPr>
          <w:rFonts w:ascii="Palatino Linotype" w:eastAsia="Palatino Linotype" w:hAnsi="Palatino Linotype" w:cs="Palatino Linotype"/>
          <w:color w:val="000000"/>
        </w:rPr>
        <w:t xml:space="preserve">Finalmente, debe señalarse que dada la propia y especial naturaleza de lo solicitado, eminentemente contiene múltiples datos personales que deberán ser protegidos como ya quedó asentado en el Considerando anterior del presente proveído. Para dar cumplimiento a la presente resolución, contengan datos que deban ser clasificados, el </w:t>
      </w:r>
      <w:r w:rsidRPr="00EA2D09">
        <w:rPr>
          <w:rFonts w:ascii="Palatino Linotype" w:eastAsia="Palatino Linotype" w:hAnsi="Palatino Linotype" w:cs="Palatino Linotype"/>
          <w:b/>
          <w:bCs/>
          <w:color w:val="000000"/>
        </w:rPr>
        <w:t>SUJETO OBLIGADO</w:t>
      </w:r>
      <w:r w:rsidRPr="00EA2D09">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20253330" w14:textId="77777777" w:rsidR="001F28C7" w:rsidRDefault="001F28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E298A55"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4247F936" w14:textId="77777777" w:rsidR="001F28C7" w:rsidRDefault="00D917E0">
      <w:pPr>
        <w:spacing w:line="360" w:lineRule="auto"/>
        <w:ind w:left="993" w:right="1041"/>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 “Artículo 3. Para los efectos de la presente Ley se entenderá por:</w:t>
      </w:r>
    </w:p>
    <w:p w14:paraId="5E30597E"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IX. Datos personales:</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La información concerniente a una persona, identificada o identificable</w:t>
      </w:r>
      <w:r>
        <w:rPr>
          <w:rFonts w:ascii="Palatino Linotype" w:eastAsia="Palatino Linotype" w:hAnsi="Palatino Linotype" w:cs="Palatino Linotype"/>
          <w:i/>
          <w:iCs/>
        </w:rPr>
        <w:t xml:space="preserve"> según lo dispuesto por la Ley de Protección de Datos Personales del Estado de México;</w:t>
      </w:r>
    </w:p>
    <w:p w14:paraId="7FE61E8C"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XX. Información clasificada:</w:t>
      </w:r>
      <w:r>
        <w:rPr>
          <w:rFonts w:ascii="Palatino Linotype" w:eastAsia="Palatino Linotype" w:hAnsi="Palatino Linotype" w:cs="Palatino Linotype"/>
          <w:i/>
          <w:iCs/>
        </w:rPr>
        <w:t xml:space="preserve"> Aquella considerada por la presente Ley como reservada o confidencial;</w:t>
      </w:r>
    </w:p>
    <w:p w14:paraId="3A2ED0A7"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XXXII. Protección de Datos Personales:</w:t>
      </w:r>
      <w:r>
        <w:rPr>
          <w:rFonts w:ascii="Palatino Linotype" w:eastAsia="Palatino Linotype" w:hAnsi="Palatino Linotype" w:cs="Palatino Linotype"/>
          <w:i/>
          <w:iCs/>
        </w:rPr>
        <w:t xml:space="preserve"> Derecho humano que tutela la privacidad de datos personales en poder de los sujetos obligados y sujetos particulares;</w:t>
      </w:r>
    </w:p>
    <w:p w14:paraId="310770CF"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XLV. Versión pública</w:t>
      </w:r>
      <w:r>
        <w:rPr>
          <w:rFonts w:ascii="Palatino Linotype" w:eastAsia="Palatino Linotype" w:hAnsi="Palatino Linotype" w:cs="Palatino Linotype"/>
          <w:i/>
          <w:iCs/>
        </w:rPr>
        <w:t>: Documento en el que se elimine, suprime o borra la información clasificada como reservada o confidencial para permitir su acceso.”</w:t>
      </w:r>
    </w:p>
    <w:p w14:paraId="057F7C63" w14:textId="77777777" w:rsidR="001F28C7" w:rsidRDefault="001F28C7">
      <w:pPr>
        <w:spacing w:line="360" w:lineRule="auto"/>
        <w:ind w:left="993" w:right="1041"/>
        <w:jc w:val="both"/>
        <w:rPr>
          <w:rFonts w:ascii="Palatino Linotype" w:eastAsia="Palatino Linotype" w:hAnsi="Palatino Linotype" w:cs="Palatino Linotype"/>
          <w:i/>
          <w:iCs/>
        </w:rPr>
      </w:pPr>
    </w:p>
    <w:p w14:paraId="06D38483"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6.</w:t>
      </w:r>
      <w:r>
        <w:rPr>
          <w:rFonts w:ascii="Palatino Linotype" w:eastAsia="Palatino Linotype" w:hAnsi="Palatino Linotype" w:cs="Palatino Linotype"/>
          <w:i/>
          <w:iC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B8F3EF2" w14:textId="77777777" w:rsidR="001F28C7" w:rsidRDefault="001F28C7">
      <w:pPr>
        <w:spacing w:line="360" w:lineRule="auto"/>
        <w:ind w:left="993" w:right="1041"/>
        <w:jc w:val="both"/>
        <w:rPr>
          <w:rFonts w:ascii="Palatino Linotype" w:eastAsia="Palatino Linotype" w:hAnsi="Palatino Linotype" w:cs="Palatino Linotype"/>
          <w:i/>
          <w:iCs/>
        </w:rPr>
      </w:pPr>
    </w:p>
    <w:p w14:paraId="416ED44F"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 </w:t>
      </w:r>
      <w:r>
        <w:rPr>
          <w:rFonts w:ascii="Palatino Linotype" w:eastAsia="Palatino Linotype" w:hAnsi="Palatino Linotype" w:cs="Palatino Linotype"/>
          <w:b/>
          <w:bCs/>
          <w:i/>
          <w:iCs/>
        </w:rPr>
        <w:t>Artículo 49.</w:t>
      </w:r>
      <w:r>
        <w:rPr>
          <w:rFonts w:ascii="Palatino Linotype" w:eastAsia="Palatino Linotype" w:hAnsi="Palatino Linotype" w:cs="Palatino Linotype"/>
          <w:i/>
          <w:iCs/>
        </w:rPr>
        <w:t> Los Comités de Transparencia tendrán las siguientes atribuciones:</w:t>
      </w:r>
    </w:p>
    <w:p w14:paraId="53D3A10E"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78D6856D"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VIII</w:t>
      </w:r>
      <w:r>
        <w:rPr>
          <w:rFonts w:ascii="Palatino Linotype" w:eastAsia="Palatino Linotype" w:hAnsi="Palatino Linotype" w:cs="Palatino Linotype"/>
          <w:i/>
          <w:iCs/>
        </w:rPr>
        <w:t>. Aprobar, modificar o revocar la clasificación de la información;</w:t>
      </w:r>
    </w:p>
    <w:p w14:paraId="58C9A3A7"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4A981DA7"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91. </w:t>
      </w:r>
      <w:r>
        <w:rPr>
          <w:rFonts w:ascii="Palatino Linotype" w:eastAsia="Palatino Linotype" w:hAnsi="Palatino Linotype" w:cs="Palatino Linotype"/>
          <w:i/>
          <w:iCs/>
        </w:rPr>
        <w:t>El acceso a la información pública será restringido excepcionalmente, cuando ésta sea clasificada como reservada o confidencial.</w:t>
      </w:r>
    </w:p>
    <w:p w14:paraId="48B65D4B" w14:textId="77777777" w:rsidR="001F28C7" w:rsidRDefault="001F28C7">
      <w:pPr>
        <w:spacing w:line="360" w:lineRule="auto"/>
        <w:ind w:left="993" w:right="1041"/>
        <w:jc w:val="both"/>
        <w:rPr>
          <w:rFonts w:ascii="Palatino Linotype" w:eastAsia="Palatino Linotype" w:hAnsi="Palatino Linotype" w:cs="Palatino Linotype"/>
          <w:i/>
          <w:iCs/>
        </w:rPr>
      </w:pPr>
    </w:p>
    <w:p w14:paraId="1725E6FB" w14:textId="77777777" w:rsidR="001F28C7" w:rsidRDefault="00D917E0">
      <w:pPr>
        <w:spacing w:line="360" w:lineRule="auto"/>
        <w:ind w:left="993" w:right="1041"/>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“Artículo 137.</w:t>
      </w:r>
      <w:r>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41AF1C5" w14:textId="77777777" w:rsidR="001F28C7" w:rsidRDefault="001F28C7">
      <w:pPr>
        <w:spacing w:line="360" w:lineRule="auto"/>
        <w:ind w:left="993" w:right="1041"/>
        <w:jc w:val="both"/>
        <w:rPr>
          <w:rFonts w:ascii="Palatino Linotype" w:eastAsia="Palatino Linotype" w:hAnsi="Palatino Linotype" w:cs="Palatino Linotype"/>
          <w:b/>
          <w:bCs/>
          <w:i/>
          <w:iCs/>
        </w:rPr>
      </w:pPr>
    </w:p>
    <w:p w14:paraId="38B9CA17"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143</w:t>
      </w:r>
      <w:r>
        <w:rPr>
          <w:rFonts w:ascii="Palatino Linotype" w:eastAsia="Palatino Linotype" w:hAnsi="Palatino Linotype" w:cs="Palatino Linotype"/>
          <w:i/>
          <w:iCs/>
        </w:rPr>
        <w:t>. Para los efectos de esta Ley se considera información confidencial, la clasificada como tal, de manera permanente, por su naturaleza, cuando:</w:t>
      </w:r>
    </w:p>
    <w:p w14:paraId="4A8A9EAF"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I.</w:t>
      </w:r>
      <w:r>
        <w:rPr>
          <w:rFonts w:ascii="Palatino Linotype" w:eastAsia="Palatino Linotype" w:hAnsi="Palatino Linotype" w:cs="Palatino Linotype"/>
          <w:i/>
          <w:iCs/>
        </w:rPr>
        <w:t xml:space="preserve"> Se refiera a la información privada y los datos personales concernientes a una persona física o jurídica colectiva identificada o identificable;</w:t>
      </w:r>
    </w:p>
    <w:p w14:paraId="42F6809B"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14:paraId="05B09CC5"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14:paraId="095E5D1D" w14:textId="77777777" w:rsidR="00EA2D09" w:rsidRDefault="00EA2D09">
      <w:pPr>
        <w:spacing w:line="360" w:lineRule="auto"/>
        <w:ind w:left="993" w:right="1041"/>
        <w:jc w:val="both"/>
        <w:rPr>
          <w:rFonts w:ascii="Palatino Linotype" w:eastAsia="Palatino Linotype" w:hAnsi="Palatino Linotype" w:cs="Palatino Linotype"/>
          <w:i/>
          <w:iCs/>
        </w:rPr>
      </w:pPr>
    </w:p>
    <w:p w14:paraId="637AD89A"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w:t>
      </w:r>
      <w:r>
        <w:rPr>
          <w:rFonts w:ascii="Palatino Linotype" w:eastAsia="Palatino Linotype" w:hAnsi="Palatino Linotype" w:cs="Palatino Linotype"/>
          <w:color w:val="000000"/>
        </w:rPr>
        <w:lastRenderedPageBreak/>
        <w:t>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AD47E22" w14:textId="77777777" w:rsidR="001F28C7" w:rsidRDefault="001F28C7">
      <w:pPr>
        <w:spacing w:line="360" w:lineRule="auto"/>
        <w:ind w:right="51"/>
        <w:jc w:val="both"/>
        <w:rPr>
          <w:rFonts w:ascii="Palatino Linotype" w:eastAsia="Palatino Linotype" w:hAnsi="Palatino Linotype" w:cs="Palatino Linotype"/>
        </w:rPr>
      </w:pPr>
    </w:p>
    <w:p w14:paraId="44F7D7A9"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3194B3A" w14:textId="77777777" w:rsidR="001F28C7" w:rsidRDefault="001F28C7">
      <w:pPr>
        <w:spacing w:line="360" w:lineRule="auto"/>
        <w:ind w:right="50"/>
        <w:jc w:val="both"/>
        <w:rPr>
          <w:rFonts w:ascii="Palatino Linotype" w:eastAsia="Palatino Linotype" w:hAnsi="Palatino Linotype" w:cs="Palatino Linotype"/>
        </w:rPr>
      </w:pPr>
    </w:p>
    <w:p w14:paraId="2C67F24C"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AC71BC3" w14:textId="77777777" w:rsidR="001F28C7" w:rsidRDefault="00D917E0">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49.</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Los Comités de Transparencia</w:t>
      </w:r>
      <w:r>
        <w:rPr>
          <w:rFonts w:ascii="Palatino Linotype" w:eastAsia="Palatino Linotype" w:hAnsi="Palatino Linotype" w:cs="Palatino Linotype"/>
          <w:i/>
          <w:iCs/>
        </w:rPr>
        <w:t xml:space="preserve"> tendrán las siguientes atribuciones:</w:t>
      </w:r>
    </w:p>
    <w:p w14:paraId="3380CCA0" w14:textId="77777777" w:rsidR="001F28C7" w:rsidRDefault="00D917E0">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VIII. Aprobar, modificar o revocar la clasificación de la información</w:t>
      </w:r>
      <w:r>
        <w:rPr>
          <w:rFonts w:ascii="Palatino Linotype" w:eastAsia="Palatino Linotype" w:hAnsi="Palatino Linotype" w:cs="Palatino Linotype"/>
          <w:i/>
          <w:iCs/>
        </w:rPr>
        <w:t>…”</w:t>
      </w:r>
    </w:p>
    <w:p w14:paraId="6F36E639" w14:textId="77777777" w:rsidR="001F28C7" w:rsidRDefault="00D917E0">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53.</w:t>
      </w:r>
      <w:r>
        <w:rPr>
          <w:rFonts w:ascii="Palatino Linotype" w:eastAsia="Palatino Linotype" w:hAnsi="Palatino Linotype" w:cs="Palatino Linotype"/>
          <w:i/>
          <w:iCs/>
        </w:rPr>
        <w:t xml:space="preserve"> Las </w:t>
      </w:r>
      <w:r>
        <w:rPr>
          <w:rFonts w:ascii="Palatino Linotype" w:eastAsia="Palatino Linotype" w:hAnsi="Palatino Linotype" w:cs="Palatino Linotype"/>
          <w:b/>
          <w:bCs/>
          <w:i/>
          <w:iCs/>
        </w:rPr>
        <w:t>Unidades de Transparencia</w:t>
      </w:r>
      <w:r>
        <w:rPr>
          <w:rFonts w:ascii="Palatino Linotype" w:eastAsia="Palatino Linotype" w:hAnsi="Palatino Linotype" w:cs="Palatino Linotype"/>
          <w:i/>
          <w:iCs/>
        </w:rPr>
        <w:t xml:space="preserve"> tendrán las siguientes </w:t>
      </w:r>
      <w:r>
        <w:rPr>
          <w:rFonts w:ascii="Palatino Linotype" w:eastAsia="Palatino Linotype" w:hAnsi="Palatino Linotype" w:cs="Palatino Linotype"/>
          <w:b/>
          <w:bCs/>
          <w:i/>
          <w:iCs/>
        </w:rPr>
        <w:t>funciones</w:t>
      </w:r>
      <w:r>
        <w:rPr>
          <w:rFonts w:ascii="Palatino Linotype" w:eastAsia="Palatino Linotype" w:hAnsi="Palatino Linotype" w:cs="Palatino Linotype"/>
          <w:i/>
          <w:iCs/>
        </w:rPr>
        <w:t>:</w:t>
      </w:r>
    </w:p>
    <w:p w14:paraId="282AF937" w14:textId="77777777" w:rsidR="001F28C7" w:rsidRDefault="00D917E0">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X. Presentar ante el Comité, el proyecto de clasificación de información</w:t>
      </w:r>
      <w:r>
        <w:rPr>
          <w:rFonts w:ascii="Palatino Linotype" w:eastAsia="Palatino Linotype" w:hAnsi="Palatino Linotype" w:cs="Palatino Linotype"/>
          <w:i/>
          <w:iCs/>
        </w:rPr>
        <w:t xml:space="preserve">…” </w:t>
      </w:r>
    </w:p>
    <w:p w14:paraId="13A78B06" w14:textId="77777777" w:rsidR="001F28C7" w:rsidRDefault="00D917E0">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59.</w:t>
      </w:r>
      <w:r>
        <w:rPr>
          <w:rFonts w:ascii="Palatino Linotype" w:eastAsia="Palatino Linotype" w:hAnsi="Palatino Linotype" w:cs="Palatino Linotype"/>
          <w:i/>
          <w:iCs/>
        </w:rPr>
        <w:t xml:space="preserve"> Los </w:t>
      </w:r>
      <w:r>
        <w:rPr>
          <w:rFonts w:ascii="Palatino Linotype" w:eastAsia="Palatino Linotype" w:hAnsi="Palatino Linotype" w:cs="Palatino Linotype"/>
          <w:b/>
          <w:bCs/>
          <w:i/>
          <w:iCs/>
        </w:rPr>
        <w:t>servidores públicos habilitados</w:t>
      </w:r>
      <w:r>
        <w:rPr>
          <w:rFonts w:ascii="Palatino Linotype" w:eastAsia="Palatino Linotype" w:hAnsi="Palatino Linotype" w:cs="Palatino Linotype"/>
          <w:i/>
          <w:iCs/>
        </w:rPr>
        <w:t xml:space="preserve"> tendrán las </w:t>
      </w:r>
      <w:r>
        <w:rPr>
          <w:rFonts w:ascii="Palatino Linotype" w:eastAsia="Palatino Linotype" w:hAnsi="Palatino Linotype" w:cs="Palatino Linotype"/>
          <w:b/>
          <w:bCs/>
          <w:i/>
          <w:iCs/>
        </w:rPr>
        <w:t>funciones</w:t>
      </w:r>
      <w:r>
        <w:rPr>
          <w:rFonts w:ascii="Palatino Linotype" w:eastAsia="Palatino Linotype" w:hAnsi="Palatino Linotype" w:cs="Palatino Linotype"/>
          <w:i/>
          <w:iCs/>
        </w:rPr>
        <w:t xml:space="preserve"> siguientes:</w:t>
      </w:r>
    </w:p>
    <w:p w14:paraId="1D8D2911" w14:textId="77777777" w:rsidR="001F28C7" w:rsidRDefault="00D917E0">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V. Integrar y presentar al responsable de la Unidad de Transparencia la propuesta de clasificación de información</w:t>
      </w:r>
      <w:r>
        <w:rPr>
          <w:rFonts w:ascii="Palatino Linotype" w:eastAsia="Palatino Linotype" w:hAnsi="Palatino Linotype" w:cs="Palatino Linotype"/>
          <w:i/>
          <w:iCs/>
        </w:rPr>
        <w:t>, la cual tendrá los fundamentos y argumentos en que se basa dicha propuesta…”</w:t>
      </w:r>
    </w:p>
    <w:p w14:paraId="4B6D3A61" w14:textId="77777777" w:rsidR="001F28C7" w:rsidRDefault="001F28C7">
      <w:pPr>
        <w:spacing w:line="360" w:lineRule="auto"/>
        <w:ind w:left="851" w:right="1043"/>
        <w:jc w:val="both"/>
        <w:rPr>
          <w:rFonts w:ascii="Palatino Linotype" w:eastAsia="Palatino Linotype" w:hAnsi="Palatino Linotype" w:cs="Palatino Linotype"/>
          <w:i/>
          <w:iCs/>
        </w:rPr>
      </w:pPr>
    </w:p>
    <w:p w14:paraId="386586D6"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9F2934A" w14:textId="77777777" w:rsidR="001F28C7" w:rsidRDefault="001F28C7">
      <w:pPr>
        <w:spacing w:line="360" w:lineRule="auto"/>
        <w:jc w:val="both"/>
        <w:rPr>
          <w:rFonts w:ascii="Palatino Linotype" w:eastAsia="Palatino Linotype" w:hAnsi="Palatino Linotype" w:cs="Palatino Linotype"/>
        </w:rPr>
      </w:pPr>
    </w:p>
    <w:p w14:paraId="5A0945AA"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lo cual, a su vez en el caso de información de carácter confidencial, se debe atender a lo que señala el artículo 149 de la Ley de Transparencia Local vigente, que se lee como sigue:</w:t>
      </w:r>
    </w:p>
    <w:p w14:paraId="30C2650C" w14:textId="77777777" w:rsidR="001F28C7" w:rsidRDefault="00D917E0">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149.</w:t>
      </w:r>
      <w:r>
        <w:rPr>
          <w:rFonts w:ascii="Palatino Linotype" w:eastAsia="Palatino Linotype" w:hAnsi="Palatino Linotype" w:cs="Palatino Linotype"/>
          <w:i/>
          <w:iCs/>
        </w:rPr>
        <w:t xml:space="preserve"> El </w:t>
      </w:r>
      <w:r>
        <w:rPr>
          <w:rFonts w:ascii="Palatino Linotype" w:eastAsia="Palatino Linotype" w:hAnsi="Palatino Linotype" w:cs="Palatino Linotype"/>
          <w:b/>
          <w:bCs/>
          <w:i/>
          <w:iCs/>
        </w:rPr>
        <w:t>acuerdo que clasifique la información como confidencial</w:t>
      </w:r>
      <w:r>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14:paraId="4387F959"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2759BCE" w14:textId="77777777" w:rsidR="001F28C7" w:rsidRDefault="001F28C7">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14:paraId="04E70AD3"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bCs/>
          <w:color w:val="000000"/>
        </w:rPr>
        <w:t>Registro Federal de Contribuyentes</w:t>
      </w:r>
      <w:r>
        <w:rPr>
          <w:rFonts w:ascii="Palatino Linotype" w:eastAsia="Palatino Linotype" w:hAnsi="Palatino Linotype" w:cs="Palatino Linotype"/>
          <w:color w:val="000000"/>
        </w:rPr>
        <w:t xml:space="preserve"> (RFC), la </w:t>
      </w:r>
      <w:r>
        <w:rPr>
          <w:rFonts w:ascii="Palatino Linotype" w:eastAsia="Palatino Linotype" w:hAnsi="Palatino Linotype" w:cs="Palatino Linotype"/>
          <w:b/>
          <w:bCs/>
          <w:color w:val="000000"/>
        </w:rPr>
        <w:t>Clave Única de Registro de Población</w:t>
      </w:r>
      <w:r>
        <w:rPr>
          <w:rFonts w:ascii="Palatino Linotype" w:eastAsia="Palatino Linotype" w:hAnsi="Palatino Linotype" w:cs="Palatino Linotype"/>
          <w:color w:val="000000"/>
        </w:rPr>
        <w:t xml:space="preserve"> (CURP), la </w:t>
      </w:r>
      <w:r>
        <w:rPr>
          <w:rFonts w:ascii="Palatino Linotype" w:eastAsia="Palatino Linotype" w:hAnsi="Palatino Linotype" w:cs="Palatino Linotype"/>
          <w:b/>
          <w:bCs/>
          <w:color w:val="000000"/>
        </w:rPr>
        <w:t>Clave de cualquier tipo de seguridad social</w:t>
      </w:r>
      <w:r>
        <w:rPr>
          <w:rFonts w:ascii="Palatino Linotype" w:eastAsia="Palatino Linotype" w:hAnsi="Palatino Linotype" w:cs="Palatino Linotype"/>
          <w:color w:val="000000"/>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2E970417"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284AC1C"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al </w:t>
      </w:r>
      <w:r>
        <w:rPr>
          <w:rFonts w:ascii="Palatino Linotype" w:eastAsia="Palatino Linotype" w:hAnsi="Palatino Linotype" w:cs="Palatino Linotype"/>
          <w:b/>
          <w:bCs/>
          <w:color w:val="000000"/>
        </w:rPr>
        <w:t>Registro Federal de Contribuyentes (RFC),</w:t>
      </w:r>
      <w:r>
        <w:rPr>
          <w:rFonts w:ascii="Palatino Linotype" w:eastAsia="Palatino Linotype" w:hAnsi="Palatino Linotype" w:cs="Palatino Linotype"/>
          <w:color w:val="000000"/>
        </w:rPr>
        <w:t xml:space="preserve"> de las personas físicas, constituye un dato personal, pues se genera con caracteres alfanuméricos a partir del nombre y la fecha de nacimiento de cada persona, y finalmente la homoclave, por lo que </w:t>
      </w:r>
      <w:r>
        <w:rPr>
          <w:rFonts w:ascii="Palatino Linotype" w:eastAsia="Palatino Linotype" w:hAnsi="Palatino Linotype" w:cs="Palatino Linotype"/>
          <w:color w:val="000000"/>
        </w:rPr>
        <w:lastRenderedPageBreak/>
        <w:t>para su obtención es necesario acreditar ante la autoridad fiscal previamente la identidad de la persona, su fecha de nacimiento, entre otros aspectos.</w:t>
      </w:r>
    </w:p>
    <w:p w14:paraId="66CBB27E"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F8B8396"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643D5FB" w14:textId="77777777" w:rsidR="001F28C7" w:rsidRDefault="001F28C7">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14:paraId="4374B269"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compartido por el entonces Instituto Federal de Acceso a la Información Pública y Protección de Datos Personales (IFAI) a través del Criterio </w:t>
      </w:r>
      <w:r>
        <w:rPr>
          <w:rFonts w:ascii="Palatino Linotype" w:eastAsia="Palatino Linotype" w:hAnsi="Palatino Linotype" w:cs="Palatino Linotype"/>
          <w:color w:val="000000"/>
          <w:highlight w:val="white"/>
        </w:rPr>
        <w:t xml:space="preserve">19/17, </w:t>
      </w:r>
      <w:r>
        <w:rPr>
          <w:rFonts w:ascii="Palatino Linotype" w:eastAsia="Palatino Linotype" w:hAnsi="Palatino Linotype" w:cs="Palatino Linotype"/>
          <w:color w:val="000000"/>
        </w:rPr>
        <w:t>el cual es del tenor literal siguiente:</w:t>
      </w:r>
    </w:p>
    <w:p w14:paraId="6EED30C5" w14:textId="77777777" w:rsidR="001F28C7" w:rsidRDefault="00D917E0">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b/>
          <w:bCs/>
          <w:i/>
          <w:iCs/>
        </w:rPr>
        <w:t>“Registro Federal de Contribuyentes (RFC) de personas físicas</w:t>
      </w:r>
      <w:r>
        <w:rPr>
          <w:rFonts w:ascii="Palatino Linotype" w:eastAsia="Palatino Linotype" w:hAnsi="Palatino Linotype" w:cs="Palatino Linotype"/>
          <w:i/>
          <w:iCs/>
        </w:rPr>
        <w:t>. El RFC es una clave de carácter fiscal, única e irrepetible, que permite identificar al titular, su edad y fecha de nacimiento, por lo que es un dato personal de carácter confidencial.”</w:t>
      </w:r>
    </w:p>
    <w:p w14:paraId="1C74F279" w14:textId="77777777" w:rsidR="001F28C7" w:rsidRDefault="001F28C7">
      <w:pPr>
        <w:spacing w:line="360" w:lineRule="auto"/>
        <w:ind w:left="851" w:right="900"/>
        <w:jc w:val="both"/>
        <w:rPr>
          <w:rFonts w:ascii="Palatino Linotype" w:eastAsia="Palatino Linotype" w:hAnsi="Palatino Linotype" w:cs="Palatino Linotype"/>
          <w:i/>
          <w:iCs/>
        </w:rPr>
      </w:pPr>
    </w:p>
    <w:p w14:paraId="4D86DE01"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EFF916A"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igual manera la </w:t>
      </w:r>
      <w:r>
        <w:rPr>
          <w:rFonts w:ascii="Palatino Linotype" w:eastAsia="Palatino Linotype" w:hAnsi="Palatino Linotype" w:cs="Palatino Linotype"/>
          <w:b/>
          <w:bCs/>
          <w:color w:val="000000"/>
        </w:rPr>
        <w:t>Clave Única de Registro de Población (CURP)</w:t>
      </w:r>
      <w:r>
        <w:rPr>
          <w:rFonts w:ascii="Palatino Linotype" w:eastAsia="Palatino Linotype" w:hAnsi="Palatino Linotype" w:cs="Palatino Linotype"/>
          <w:color w:val="000000"/>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D7A837F"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0137FDF"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Argumento que es compartido por el Instituto </w:t>
      </w:r>
      <w:r>
        <w:rPr>
          <w:rFonts w:ascii="Palatino Linotype" w:eastAsia="Palatino Linotype" w:hAnsi="Palatino Linotype" w:cs="Palatino Linotype"/>
          <w:color w:val="000000"/>
          <w:highlight w:val="white"/>
        </w:rPr>
        <w:t xml:space="preserve">Nacional de Transparencia, Acceso a la </w:t>
      </w:r>
      <w:r>
        <w:rPr>
          <w:rFonts w:ascii="Palatino Linotype" w:eastAsia="Palatino Linotype" w:hAnsi="Palatino Linotype" w:cs="Palatino Linotype"/>
          <w:color w:val="000000"/>
        </w:rPr>
        <w:t>Información</w:t>
      </w:r>
      <w:r>
        <w:rPr>
          <w:rFonts w:ascii="Palatino Linotype" w:eastAsia="Palatino Linotype" w:hAnsi="Palatino Linotype" w:cs="Palatino Linotype"/>
          <w:color w:val="000000"/>
          <w:highlight w:val="white"/>
        </w:rPr>
        <w:t xml:space="preserve"> y Protección de Datos Personales, INAI</w:t>
      </w:r>
      <w:r>
        <w:rPr>
          <w:rFonts w:ascii="Palatino Linotype" w:eastAsia="Palatino Linotype" w:hAnsi="Palatino Linotype" w:cs="Palatino Linotype"/>
          <w:b/>
          <w:bCs/>
          <w:color w:val="000000"/>
        </w:rPr>
        <w:t xml:space="preserve">, conforme al </w:t>
      </w:r>
      <w:r>
        <w:rPr>
          <w:rFonts w:ascii="Palatino Linotype" w:eastAsia="Palatino Linotype" w:hAnsi="Palatino Linotype" w:cs="Palatino Linotype"/>
          <w:color w:val="000000"/>
        </w:rPr>
        <w:t>criterio 18/17, el cual refiere:</w:t>
      </w:r>
    </w:p>
    <w:p w14:paraId="4B43291B" w14:textId="77777777" w:rsidR="001F28C7" w:rsidRDefault="00D917E0">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“Clave Única de Registro de Población (CURP). </w:t>
      </w:r>
      <w:r>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A8CBB23" w14:textId="77777777" w:rsidR="001F28C7" w:rsidRDefault="001F28C7">
      <w:pPr>
        <w:spacing w:line="360" w:lineRule="auto"/>
        <w:ind w:left="851" w:right="851"/>
        <w:jc w:val="both"/>
        <w:rPr>
          <w:rFonts w:ascii="Palatino Linotype" w:eastAsia="Palatino Linotype" w:hAnsi="Palatino Linotype" w:cs="Palatino Linotype"/>
          <w:i/>
          <w:iCs/>
        </w:rPr>
      </w:pPr>
    </w:p>
    <w:p w14:paraId="33F40EBF"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 la </w:t>
      </w:r>
      <w:r>
        <w:rPr>
          <w:rFonts w:ascii="Palatino Linotype" w:eastAsia="Palatino Linotype" w:hAnsi="Palatino Linotype" w:cs="Palatino Linotype"/>
          <w:b/>
          <w:bCs/>
          <w:color w:val="000000"/>
        </w:rPr>
        <w:t xml:space="preserve">Clave de cualquier tipo de seguridad social (ISSEMyM, u otros), </w:t>
      </w:r>
      <w:r>
        <w:rPr>
          <w:rFonts w:ascii="Palatino Linotype" w:eastAsia="Palatino Linotype" w:hAnsi="Palatino Linotype" w:cs="Palatino Linotype"/>
          <w:color w:val="000000"/>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w:t>
      </w:r>
      <w:r>
        <w:rPr>
          <w:rFonts w:ascii="Palatino Linotype" w:eastAsia="Palatino Linotype" w:hAnsi="Palatino Linotype" w:cs="Palatino Linotype"/>
          <w:color w:val="000000"/>
        </w:rPr>
        <w:lastRenderedPageBreak/>
        <w:t>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4E697D8" w14:textId="77777777" w:rsidR="001F28C7" w:rsidRDefault="001F28C7">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14:paraId="0D5C06E0"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u w:val="single"/>
        </w:rPr>
      </w:pPr>
      <w:r>
        <w:rPr>
          <w:rFonts w:ascii="Palatino Linotype" w:eastAsia="Palatino Linotype" w:hAnsi="Palatino Linotype" w:cs="Palatino Linotype"/>
          <w:color w:val="000000"/>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Pr>
          <w:rFonts w:ascii="Palatino Linotype" w:eastAsia="Palatino Linotype" w:hAnsi="Palatino Linotype" w:cs="Palatino Linotype"/>
          <w:color w:val="000000"/>
          <w:u w:val="single"/>
        </w:rPr>
        <w:t>se le asigna una clave para hacer identificable al trabajador con el objetivo de poder proporcionar los servicios que brinda el ISSEMYM.</w:t>
      </w:r>
    </w:p>
    <w:p w14:paraId="1E8064D7" w14:textId="77777777" w:rsidR="001F28C7" w:rsidRDefault="001F28C7">
      <w:pPr>
        <w:spacing w:line="360" w:lineRule="auto"/>
        <w:jc w:val="both"/>
        <w:rPr>
          <w:rFonts w:ascii="Palatino Linotype" w:eastAsia="Palatino Linotype" w:hAnsi="Palatino Linotype" w:cs="Palatino Linotype"/>
        </w:rPr>
      </w:pPr>
    </w:p>
    <w:p w14:paraId="3EA95F0D"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02B0527D" w14:textId="77777777" w:rsidR="001F28C7" w:rsidRDefault="001F28C7">
      <w:pPr>
        <w:spacing w:line="360" w:lineRule="auto"/>
        <w:jc w:val="both"/>
        <w:rPr>
          <w:rFonts w:ascii="Palatino Linotype" w:eastAsia="Palatino Linotype" w:hAnsi="Palatino Linotype" w:cs="Palatino Linotype"/>
        </w:rPr>
      </w:pPr>
    </w:p>
    <w:p w14:paraId="415933F1"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w:t>
      </w:r>
      <w:r>
        <w:rPr>
          <w:rFonts w:ascii="Palatino Linotype" w:eastAsia="Palatino Linotype" w:hAnsi="Palatino Linotype" w:cs="Palatino Linotype"/>
          <w:color w:val="000000"/>
        </w:rPr>
        <w:lastRenderedPageBreak/>
        <w:t>elaboren, toda vez que actualiza el supuesto de confidencialidad del artículo 143, fracción I de la Ley de Transparencia y Acceso a la Información Pública del Estado de México y Municipios.</w:t>
      </w:r>
    </w:p>
    <w:p w14:paraId="162A76AD"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6179852"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Respecto de los </w:t>
      </w:r>
      <w:r>
        <w:rPr>
          <w:rFonts w:ascii="Palatino Linotype" w:eastAsia="Palatino Linotype" w:hAnsi="Palatino Linotype" w:cs="Palatino Linotype"/>
          <w:b/>
          <w:bCs/>
          <w:color w:val="000000"/>
        </w:rPr>
        <w:t>préstamos o descuentos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de carácter personal</w:t>
      </w:r>
      <w:r>
        <w:rPr>
          <w:rFonts w:ascii="Palatino Linotype" w:eastAsia="Palatino Linotype" w:hAnsi="Palatino Linotype" w:cs="Palatino Linotype"/>
          <w:color w:val="000000"/>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23B7AF4"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EE88B2D"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artículo 84 de la Ley del Trabajo de los Servidores Públicos del Estado y Municipios, señala:</w:t>
      </w:r>
    </w:p>
    <w:p w14:paraId="7A302173"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ARTICULO 84. Sólo podrán hacerse retenciones, descuentos o deducciones al sueldo de los servidores públicos por concepto de:</w:t>
      </w:r>
    </w:p>
    <w:p w14:paraId="23804366"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t>I. Gravámenes fiscales relacionados con el sueldo;</w:t>
      </w:r>
    </w:p>
    <w:p w14:paraId="0AA65508"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b/>
          <w:bCs/>
          <w:i/>
          <w:iCs/>
        </w:rPr>
        <w:t>II. Deudas contraídas con las instituciones públicas o dependencias</w:t>
      </w:r>
      <w:r>
        <w:rPr>
          <w:rFonts w:ascii="Palatino Linotype" w:eastAsia="Palatino Linotype" w:hAnsi="Palatino Linotype" w:cs="Palatino Linotype"/>
          <w:i/>
          <w:iCs/>
        </w:rPr>
        <w:t xml:space="preserve"> por concepto de anticipos de sueldo, pagos hechos con exceso, errores o pérdidas debidamente comprobados;</w:t>
      </w:r>
    </w:p>
    <w:p w14:paraId="2A18D77E"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b/>
          <w:bCs/>
          <w:i/>
          <w:iCs/>
        </w:rPr>
        <w:t>III. Cuotas sindicales</w:t>
      </w:r>
      <w:r>
        <w:rPr>
          <w:rFonts w:ascii="Palatino Linotype" w:eastAsia="Palatino Linotype" w:hAnsi="Palatino Linotype" w:cs="Palatino Linotype"/>
          <w:i/>
          <w:iCs/>
        </w:rPr>
        <w:t>;</w:t>
      </w:r>
    </w:p>
    <w:p w14:paraId="160FD079"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t>IV. Cuotas de aportación a fondos para la constitución de cooperativas y de cajas de ahorro, siempre que el servidor público hubiese manifestado previamente, de manera expresa, su conformidad;</w:t>
      </w:r>
    </w:p>
    <w:p w14:paraId="77BD614F"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lastRenderedPageBreak/>
        <w:t>V. Descuentos ordenados por el Instituto de Seguridad Social del Estado de México y Municipios, con motivo de cuotas y obligaciones contraídas con éste por los servidores públicos;</w:t>
      </w:r>
    </w:p>
    <w:p w14:paraId="374B0C1C"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b/>
          <w:bCs/>
          <w:i/>
          <w:iCs/>
        </w:rPr>
        <w:t>VI. Obligaciones a cargo del servidor público con las que haya consentido</w:t>
      </w:r>
      <w:r>
        <w:rPr>
          <w:rFonts w:ascii="Palatino Linotype" w:eastAsia="Palatino Linotype" w:hAnsi="Palatino Linotype" w:cs="Palatino Linotype"/>
          <w:i/>
          <w:iCs/>
        </w:rPr>
        <w:t>, derivadas de la adquisición o del uso de habitaciones consideradas como de interés social;</w:t>
      </w:r>
    </w:p>
    <w:p w14:paraId="551C641D"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t>VII. Faltas de puntualidad o de asistencia injustificadas;</w:t>
      </w:r>
    </w:p>
    <w:p w14:paraId="3D39937D"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b/>
          <w:bCs/>
          <w:i/>
          <w:iCs/>
        </w:rPr>
        <w:t>VIII. Pensiones alimenticias ordenadas por la autoridad judicial;</w:t>
      </w:r>
      <w:r>
        <w:rPr>
          <w:rFonts w:ascii="Palatino Linotype" w:eastAsia="Palatino Linotype" w:hAnsi="Palatino Linotype" w:cs="Palatino Linotype"/>
          <w:i/>
          <w:iCs/>
        </w:rPr>
        <w:t xml:space="preserve"> o</w:t>
      </w:r>
    </w:p>
    <w:p w14:paraId="64DBEBEA"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b/>
          <w:bCs/>
          <w:i/>
          <w:iCs/>
        </w:rPr>
        <w:t>IX. Cualquier otro convenido con instituciones de servicios y aceptado por el servidor público.</w:t>
      </w:r>
    </w:p>
    <w:p w14:paraId="63F6511D"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7B92AEF5" w14:textId="77777777" w:rsidR="001F28C7" w:rsidRDefault="00D917E0">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14:paraId="454EDCA6" w14:textId="77777777" w:rsidR="001F28C7" w:rsidRDefault="001F28C7">
      <w:pPr>
        <w:spacing w:line="360" w:lineRule="auto"/>
        <w:ind w:left="851" w:right="902"/>
        <w:jc w:val="both"/>
        <w:rPr>
          <w:rFonts w:ascii="Palatino Linotype" w:eastAsia="Palatino Linotype" w:hAnsi="Palatino Linotype" w:cs="Palatino Linotype"/>
        </w:rPr>
      </w:pPr>
    </w:p>
    <w:p w14:paraId="7D7398A7"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bCs/>
          <w:color w:val="000000"/>
        </w:rPr>
        <w:t>únicamente inciden en su vida privada</w:t>
      </w:r>
      <w:r>
        <w:rPr>
          <w:rFonts w:ascii="Palatino Linotype" w:eastAsia="Palatino Linotype" w:hAnsi="Palatino Linotype" w:cs="Palatino Linotype"/>
          <w:color w:val="000000"/>
        </w:rPr>
        <w:t xml:space="preserve">. De este modo, descuentos por pensiones alimenticias o créditos adquiridos con instituciones privadas o </w:t>
      </w:r>
      <w:r>
        <w:rPr>
          <w:rFonts w:ascii="Palatino Linotype" w:eastAsia="Palatino Linotype" w:hAnsi="Palatino Linotype" w:cs="Palatino Linotype"/>
          <w:color w:val="000000"/>
        </w:rPr>
        <w:lastRenderedPageBreak/>
        <w:t>públicas pero que fueron contraídas en forma individual, son información que debe clasificarse como confidencial</w:t>
      </w:r>
      <w:r w:rsidR="00CA1638">
        <w:rPr>
          <w:rFonts w:ascii="Palatino Linotype" w:eastAsia="Palatino Linotype" w:hAnsi="Palatino Linotype" w:cs="Palatino Linotype"/>
          <w:color w:val="000000"/>
        </w:rPr>
        <w:t>.</w:t>
      </w:r>
    </w:p>
    <w:p w14:paraId="56B44264" w14:textId="77777777" w:rsidR="00CA1638" w:rsidRDefault="00CA1638" w:rsidP="00CA163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C63DCC1" w14:textId="77777777" w:rsidR="00CA1638" w:rsidRPr="00665F95" w:rsidRDefault="00CA1638"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665F95">
        <w:rPr>
          <w:rFonts w:ascii="Palatino Linotype" w:eastAsia="Palatino Linotype" w:hAnsi="Palatino Linotype" w:cs="Palatino Linotype"/>
          <w:color w:val="000000"/>
        </w:rPr>
        <w:t>Por</w:t>
      </w:r>
      <w:r w:rsidRPr="00665F95">
        <w:rPr>
          <w:rFonts w:ascii="Palatino Linotype" w:eastAsia="Palatino Linotype" w:hAnsi="Palatino Linotype" w:cs="Palatino Linotype"/>
        </w:rPr>
        <w:t xml:space="preserve"> cuanto hace a la </w:t>
      </w:r>
      <w:r w:rsidRPr="00665F95">
        <w:rPr>
          <w:rFonts w:ascii="Palatino Linotype" w:eastAsia="Palatino Linotype" w:hAnsi="Palatino Linotype" w:cs="Palatino Linotype"/>
          <w:b/>
        </w:rPr>
        <w:t xml:space="preserve">fotografía </w:t>
      </w:r>
      <w:r w:rsidRPr="00665F95">
        <w:rPr>
          <w:rFonts w:ascii="Palatino Linotype" w:eastAsia="Palatino Linotype" w:hAnsi="Palatino Linotype" w:cs="Palatino Linotype"/>
        </w:rPr>
        <w:t>que eventualmente obre en gafetes, 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7E18BD90" w14:textId="77777777" w:rsidR="00CA1638" w:rsidRPr="00665F95" w:rsidRDefault="00CA1638" w:rsidP="00CA1638">
      <w:pPr>
        <w:tabs>
          <w:tab w:val="left" w:pos="4962"/>
        </w:tabs>
        <w:spacing w:line="360" w:lineRule="auto"/>
        <w:jc w:val="both"/>
        <w:rPr>
          <w:rFonts w:ascii="Palatino Linotype" w:eastAsia="Palatino Linotype" w:hAnsi="Palatino Linotype" w:cs="Palatino Linotype"/>
        </w:rPr>
      </w:pPr>
    </w:p>
    <w:p w14:paraId="162D3B45" w14:textId="77777777" w:rsidR="00CA1638" w:rsidRPr="00665F95" w:rsidRDefault="00CA1638"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665F95">
        <w:rPr>
          <w:rFonts w:ascii="Palatino Linotype" w:eastAsia="Palatino Linotype" w:hAnsi="Palatino Linotype" w:cs="Palatino Linotype"/>
        </w:rPr>
        <w:t xml:space="preserve">Sin </w:t>
      </w:r>
      <w:r w:rsidRPr="00665F95">
        <w:rPr>
          <w:rFonts w:ascii="Palatino Linotype" w:eastAsia="Palatino Linotype" w:hAnsi="Palatino Linotype" w:cs="Palatino Linotype"/>
          <w:color w:val="000000"/>
        </w:rPr>
        <w:t>embargo</w:t>
      </w:r>
      <w:r w:rsidRPr="00665F95">
        <w:rPr>
          <w:rFonts w:ascii="Palatino Linotype" w:eastAsia="Palatino Linotype" w:hAnsi="Palatino Linotype" w:cs="Palatino Linotype"/>
        </w:rPr>
        <w:t>,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60478694" w14:textId="77777777" w:rsidR="00CA1638" w:rsidRPr="00665F95" w:rsidRDefault="00CA1638" w:rsidP="00CA1638">
      <w:pPr>
        <w:tabs>
          <w:tab w:val="left" w:pos="4962"/>
        </w:tabs>
        <w:spacing w:line="360" w:lineRule="auto"/>
        <w:jc w:val="both"/>
        <w:rPr>
          <w:rFonts w:ascii="Palatino Linotype" w:eastAsia="Palatino Linotype" w:hAnsi="Palatino Linotype" w:cs="Palatino Linotype"/>
        </w:rPr>
      </w:pPr>
    </w:p>
    <w:p w14:paraId="3302C4AB" w14:textId="77777777" w:rsidR="00CA1638" w:rsidRPr="00665F95" w:rsidRDefault="00CA1638"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665F95">
        <w:rPr>
          <w:rFonts w:ascii="Palatino Linotype" w:eastAsia="Palatino Linotype" w:hAnsi="Palatino Linotype" w:cs="Palatino Linotype"/>
        </w:rPr>
        <w:t>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14:paraId="7DF6B698" w14:textId="77777777" w:rsidR="00CA1638" w:rsidRPr="00665F95" w:rsidRDefault="00CA1638"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665F95">
        <w:rPr>
          <w:rFonts w:ascii="Palatino Linotype" w:eastAsia="Palatino Linotype" w:hAnsi="Palatino Linotype" w:cs="Palatino Linotype"/>
        </w:rPr>
        <w:lastRenderedPageBreak/>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7CC7D861" w14:textId="77777777" w:rsidR="00CA1638" w:rsidRPr="00665F95" w:rsidRDefault="00CA1638" w:rsidP="00CA1638">
      <w:pPr>
        <w:tabs>
          <w:tab w:val="left" w:pos="4962"/>
        </w:tabs>
        <w:spacing w:line="360" w:lineRule="auto"/>
        <w:jc w:val="both"/>
        <w:rPr>
          <w:rFonts w:ascii="Palatino Linotype" w:eastAsia="Palatino Linotype" w:hAnsi="Palatino Linotype" w:cs="Palatino Linotype"/>
        </w:rPr>
      </w:pPr>
    </w:p>
    <w:p w14:paraId="19C5087D" w14:textId="77777777" w:rsidR="00CA1638" w:rsidRPr="00665F95" w:rsidRDefault="00CA1638"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665F95">
        <w:rPr>
          <w:rFonts w:ascii="Palatino Linotype" w:eastAsia="Palatino Linotype" w:hAnsi="Palatino Linotype" w:cs="Palatino Linotype"/>
        </w:rPr>
        <w:t xml:space="preserve">Al respecto, se destaca que la versión pública que elabore el </w:t>
      </w:r>
      <w:r w:rsidRPr="00665F95">
        <w:rPr>
          <w:rFonts w:ascii="Palatino Linotype" w:eastAsia="Palatino Linotype" w:hAnsi="Palatino Linotype" w:cs="Palatino Linotype"/>
          <w:b/>
        </w:rPr>
        <w:t>Sujeto Obligado</w:t>
      </w:r>
      <w:r w:rsidRPr="00665F95">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65F95">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665F95">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49BFDD30"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609567C2"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i/>
        </w:rPr>
        <w:t>“</w:t>
      </w:r>
      <w:r w:rsidRPr="00665F95">
        <w:rPr>
          <w:rFonts w:ascii="Palatino Linotype" w:eastAsia="Palatino Linotype" w:hAnsi="Palatino Linotype" w:cs="Palatino Linotype"/>
          <w:b/>
          <w:i/>
        </w:rPr>
        <w:t>Segundo.-</w:t>
      </w:r>
      <w:r w:rsidRPr="00665F95">
        <w:rPr>
          <w:rFonts w:ascii="Palatino Linotype" w:eastAsia="Palatino Linotype" w:hAnsi="Palatino Linotype" w:cs="Palatino Linotype"/>
          <w:i/>
        </w:rPr>
        <w:t xml:space="preserve"> Para efectos de los presentes Lineamientos Generales, se entenderá por:</w:t>
      </w:r>
    </w:p>
    <w:p w14:paraId="5EBA57D7"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t>XVIII.</w:t>
      </w:r>
      <w:r w:rsidRPr="00665F95">
        <w:rPr>
          <w:rFonts w:ascii="Palatino Linotype" w:eastAsia="Palatino Linotype" w:hAnsi="Palatino Linotype" w:cs="Palatino Linotype"/>
          <w:i/>
        </w:rPr>
        <w:t xml:space="preserve"> </w:t>
      </w:r>
      <w:r w:rsidRPr="00665F95">
        <w:rPr>
          <w:rFonts w:ascii="Palatino Linotype" w:eastAsia="Palatino Linotype" w:hAnsi="Palatino Linotype" w:cs="Palatino Linotype"/>
          <w:b/>
          <w:i/>
        </w:rPr>
        <w:t>Versión pública:</w:t>
      </w:r>
      <w:r w:rsidRPr="00665F95">
        <w:rPr>
          <w:rFonts w:ascii="Palatino Linotype" w:eastAsia="Palatino Linotype" w:hAnsi="Palatino Linotype" w:cs="Palatino Linotype"/>
          <w:i/>
        </w:rPr>
        <w:t xml:space="preserve"> El documento a partir del que se otorga acceso a la información, en el que se testan partes o secciones clasificadas, indicando el contenido </w:t>
      </w:r>
      <w:r w:rsidRPr="00665F95">
        <w:rPr>
          <w:rFonts w:ascii="Palatino Linotype" w:eastAsia="Palatino Linotype" w:hAnsi="Palatino Linotype" w:cs="Palatino Linotype"/>
          <w:i/>
        </w:rPr>
        <w:lastRenderedPageBreak/>
        <w:t xml:space="preserve">de éstas de manera genérica, </w:t>
      </w:r>
      <w:r w:rsidRPr="00665F95">
        <w:rPr>
          <w:rFonts w:ascii="Palatino Linotype" w:eastAsia="Palatino Linotype" w:hAnsi="Palatino Linotype" w:cs="Palatino Linotype"/>
          <w:b/>
          <w:i/>
          <w:u w:val="single"/>
        </w:rPr>
        <w:t>fundando y motivando la</w:t>
      </w:r>
      <w:r w:rsidRPr="00665F95">
        <w:rPr>
          <w:rFonts w:ascii="Palatino Linotype" w:eastAsia="Palatino Linotype" w:hAnsi="Palatino Linotype" w:cs="Palatino Linotype"/>
          <w:i/>
        </w:rPr>
        <w:t xml:space="preserve"> reserva o </w:t>
      </w:r>
      <w:r w:rsidRPr="00665F95">
        <w:rPr>
          <w:rFonts w:ascii="Palatino Linotype" w:eastAsia="Palatino Linotype" w:hAnsi="Palatino Linotype" w:cs="Palatino Linotype"/>
          <w:b/>
          <w:i/>
          <w:u w:val="single"/>
        </w:rPr>
        <w:t>confidencialidad</w:t>
      </w:r>
      <w:r w:rsidRPr="00665F95">
        <w:rPr>
          <w:rFonts w:ascii="Palatino Linotype" w:eastAsia="Palatino Linotype" w:hAnsi="Palatino Linotype" w:cs="Palatino Linotype"/>
          <w:i/>
        </w:rPr>
        <w:t>, a través de la resolución que para tal efecto emita el Comité de Transparencia.</w:t>
      </w:r>
    </w:p>
    <w:p w14:paraId="2DC8AF32"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t>Cuarto.</w:t>
      </w:r>
      <w:r w:rsidRPr="00665F95">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6F5CDB6"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1EE1699B"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t>Quinto.</w:t>
      </w:r>
      <w:r w:rsidRPr="00665F95">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89D1269"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t>…</w:t>
      </w:r>
    </w:p>
    <w:p w14:paraId="4CD81B56"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t>Séptimo.</w:t>
      </w:r>
      <w:r w:rsidRPr="00665F95">
        <w:rPr>
          <w:rFonts w:ascii="Palatino Linotype" w:eastAsia="Palatino Linotype" w:hAnsi="Palatino Linotype" w:cs="Palatino Linotype"/>
          <w:i/>
        </w:rPr>
        <w:t xml:space="preserve"> La clasificación de la información se llevará a cabo en el momento en que:</w:t>
      </w:r>
    </w:p>
    <w:p w14:paraId="199DA03D"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t>I.</w:t>
      </w:r>
      <w:r w:rsidRPr="00665F95">
        <w:rPr>
          <w:rFonts w:ascii="Palatino Linotype" w:eastAsia="Palatino Linotype" w:hAnsi="Palatino Linotype" w:cs="Palatino Linotype"/>
          <w:i/>
        </w:rPr>
        <w:t xml:space="preserve"> Se reciba una solicitud de acceso a la información;</w:t>
      </w:r>
    </w:p>
    <w:p w14:paraId="4F191083"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b/>
          <w:i/>
        </w:rPr>
        <w:t>II.</w:t>
      </w:r>
      <w:r w:rsidRPr="00665F95">
        <w:rPr>
          <w:rFonts w:ascii="Palatino Linotype" w:eastAsia="Palatino Linotype" w:hAnsi="Palatino Linotype" w:cs="Palatino Linotype"/>
          <w:i/>
        </w:rPr>
        <w:t xml:space="preserve"> Se  determine mediante resolución del Comité de Transparencia, el órgano garante </w:t>
      </w:r>
    </w:p>
    <w:p w14:paraId="0F9B4EF4"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i/>
        </w:rPr>
        <w:t>competente, o en cumplimiento a una sentencia del Poder Judicial; o</w:t>
      </w:r>
    </w:p>
    <w:p w14:paraId="5430A68E"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lastRenderedPageBreak/>
        <w:t>III.</w:t>
      </w:r>
      <w:r w:rsidRPr="00665F95">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9726D1A"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65D05E47"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t>Octavo.</w:t>
      </w:r>
      <w:r w:rsidRPr="00665F95">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5BDAFD9"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590FDA71"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03C0D3F"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t>Noveno.</w:t>
      </w:r>
      <w:r w:rsidRPr="00665F95">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AD50ED1"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t>Décimo.</w:t>
      </w:r>
      <w:r w:rsidRPr="00665F95">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w:t>
      </w:r>
      <w:r w:rsidRPr="00665F95">
        <w:rPr>
          <w:rFonts w:ascii="Palatino Linotype" w:eastAsia="Palatino Linotype" w:hAnsi="Palatino Linotype" w:cs="Palatino Linotype"/>
          <w:i/>
        </w:rPr>
        <w:lastRenderedPageBreak/>
        <w:t>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AA6351A"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655003BB"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b/>
          <w:i/>
        </w:rPr>
        <w:t>Décimo primero.</w:t>
      </w:r>
      <w:r w:rsidRPr="00665F95">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9ABFC3E"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i/>
        </w:rPr>
        <w:t>[…]</w:t>
      </w:r>
    </w:p>
    <w:p w14:paraId="65F8B229" w14:textId="77777777" w:rsidR="00CA1638" w:rsidRPr="00665F95" w:rsidRDefault="00CA1638" w:rsidP="00CA1638">
      <w:pPr>
        <w:pBdr>
          <w:top w:val="nil"/>
          <w:left w:val="nil"/>
          <w:bottom w:val="nil"/>
          <w:right w:val="nil"/>
          <w:between w:val="nil"/>
        </w:pBdr>
        <w:spacing w:line="360" w:lineRule="auto"/>
        <w:ind w:left="851" w:right="616"/>
        <w:jc w:val="center"/>
        <w:rPr>
          <w:rFonts w:ascii="Palatino Linotype" w:eastAsia="Palatino Linotype" w:hAnsi="Palatino Linotype" w:cs="Palatino Linotype"/>
        </w:rPr>
      </w:pPr>
      <w:r w:rsidRPr="00665F95">
        <w:rPr>
          <w:rFonts w:ascii="Palatino Linotype" w:eastAsia="Palatino Linotype" w:hAnsi="Palatino Linotype" w:cs="Palatino Linotype"/>
          <w:b/>
          <w:i/>
        </w:rPr>
        <w:t>CAPÍTULO VIII</w:t>
      </w:r>
    </w:p>
    <w:p w14:paraId="10D7AE5B" w14:textId="77777777" w:rsidR="00CA1638" w:rsidRPr="00665F95" w:rsidRDefault="00CA1638" w:rsidP="00CA1638">
      <w:pPr>
        <w:pBdr>
          <w:top w:val="nil"/>
          <w:left w:val="nil"/>
          <w:bottom w:val="nil"/>
          <w:right w:val="nil"/>
          <w:between w:val="nil"/>
        </w:pBdr>
        <w:spacing w:line="360" w:lineRule="auto"/>
        <w:ind w:left="851" w:right="616"/>
        <w:jc w:val="center"/>
        <w:rPr>
          <w:rFonts w:ascii="Palatino Linotype" w:eastAsia="Palatino Linotype" w:hAnsi="Palatino Linotype" w:cs="Palatino Linotype"/>
          <w:b/>
          <w:i/>
        </w:rPr>
      </w:pPr>
      <w:r w:rsidRPr="00665F95">
        <w:rPr>
          <w:rFonts w:ascii="Palatino Linotype" w:eastAsia="Palatino Linotype" w:hAnsi="Palatino Linotype" w:cs="Palatino Linotype"/>
          <w:b/>
          <w:i/>
        </w:rPr>
        <w:t>DE LOS ELEMENTOS PARA LA CLASIFICACIÓN</w:t>
      </w:r>
    </w:p>
    <w:p w14:paraId="3D489C45"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b/>
          <w:i/>
        </w:rPr>
        <w:t>Quincuagésimo</w:t>
      </w:r>
      <w:r w:rsidRPr="00665F95">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59FDA49"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b/>
          <w:i/>
        </w:rPr>
        <w:t>Quincuagésimo primero</w:t>
      </w:r>
      <w:r w:rsidRPr="00665F95">
        <w:rPr>
          <w:rFonts w:ascii="Palatino Linotype" w:eastAsia="Palatino Linotype" w:hAnsi="Palatino Linotype" w:cs="Palatino Linotype"/>
          <w:i/>
        </w:rPr>
        <w:t>. Toda acta del Comité de Transparencia deberá contener:</w:t>
      </w:r>
    </w:p>
    <w:p w14:paraId="0085E67C"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 xml:space="preserve">I. El número de sesión y fecha; </w:t>
      </w:r>
    </w:p>
    <w:p w14:paraId="2BE7CCDC"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II. El nombre del área que solicitó la clasificación de información;</w:t>
      </w:r>
    </w:p>
    <w:p w14:paraId="76AAD508"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III. La fundamentación legal y motivación correspondiente;</w:t>
      </w:r>
    </w:p>
    <w:p w14:paraId="12BB99B2"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IV. La resolución o resoluciones aprobadas; y</w:t>
      </w:r>
    </w:p>
    <w:p w14:paraId="4203EE3F"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 xml:space="preserve">V. La rúbrica o firma digital de cada integrante del Comité de Transparencia. </w:t>
      </w:r>
    </w:p>
    <w:p w14:paraId="2BD7C3A6"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lastRenderedPageBreak/>
        <w:t>Las resoluciones del Comité en las que se haya determinado confirmar o modificar la clasificación de información pública como reservada, deberán incluir, cuando menos:</w:t>
      </w:r>
    </w:p>
    <w:p w14:paraId="0F798C34"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I. Los motivos y razonamientos que sustenten la confirmación o modificación de la prueba de daño;</w:t>
      </w:r>
    </w:p>
    <w:p w14:paraId="450452A6"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II. Descripción de las partes o secciones reservadas, en caso de clasificación parcial;</w:t>
      </w:r>
    </w:p>
    <w:p w14:paraId="51E38724"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III. El periodo por el que mantendrá su clasificación y fecha de expiración; y</w:t>
      </w:r>
    </w:p>
    <w:p w14:paraId="20C44BF1"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IV. El nombre del titular y área encargada de realizar la versión pública del documento, en su caso.</w:t>
      </w:r>
    </w:p>
    <w:p w14:paraId="25A22A8E"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5947406F"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1D7FBAAB"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b/>
          <w:i/>
        </w:rPr>
        <w:t>Quincuagésimo segundo</w:t>
      </w:r>
      <w:r w:rsidRPr="00665F95">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828EB84"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64E00609"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I. Fijar la fecha en que se elaboró la versión pública y la fecha en la cual el Comité de Transparencia confirmó dicha versión;</w:t>
      </w:r>
    </w:p>
    <w:p w14:paraId="0154745F"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lastRenderedPageBreak/>
        <w:t>II. Señalar dentro del documento el tipo de información confidencial que fue testada en cada caso específico, de conformidad con el lineamiento trigésimo octavo; y</w:t>
      </w:r>
    </w:p>
    <w:p w14:paraId="2000FF9C"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III. Señalar las personas o instancias autorizadas a acceder a la información clasificada.</w:t>
      </w:r>
    </w:p>
    <w:p w14:paraId="615AC5C2"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726190C2"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b/>
          <w:i/>
        </w:rPr>
        <w:t>…</w:t>
      </w:r>
    </w:p>
    <w:p w14:paraId="23FB4C94"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AB58508" w14:textId="77777777" w:rsidR="00CA1638" w:rsidRPr="00665F95" w:rsidRDefault="00CA1638" w:rsidP="00CA1638">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665F95">
        <w:rPr>
          <w:rFonts w:ascii="Palatino Linotype" w:eastAsia="Palatino Linotype" w:hAnsi="Palatino Linotype" w:cs="Palatino Linotype"/>
          <w:i/>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20BD77BF" w14:textId="77777777" w:rsidR="00CA1638" w:rsidRPr="00665F95" w:rsidRDefault="00CA1638" w:rsidP="00CA1638">
      <w:pPr>
        <w:spacing w:line="360" w:lineRule="auto"/>
        <w:jc w:val="both"/>
        <w:rPr>
          <w:rFonts w:ascii="Palatino Linotype" w:eastAsia="Palatino Linotype" w:hAnsi="Palatino Linotype" w:cs="Palatino Linotype"/>
        </w:rPr>
      </w:pPr>
    </w:p>
    <w:p w14:paraId="1FA7AD56" w14:textId="77777777" w:rsidR="00CA1638" w:rsidRPr="00665F95" w:rsidRDefault="00CA1638"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665F95">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EB172A3" w14:textId="77777777" w:rsidR="00CA1638" w:rsidRPr="00665F95" w:rsidRDefault="00CA1638" w:rsidP="00CA163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887D278" w14:textId="77777777" w:rsidR="00CA1638" w:rsidRPr="00665F95" w:rsidRDefault="00CA1638"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665F95">
        <w:rPr>
          <w:rFonts w:ascii="Palatino Linotype" w:eastAsia="Palatino Linotype" w:hAnsi="Palatino Linotype" w:cs="Palatino Linotype"/>
          <w:color w:val="000000"/>
        </w:rPr>
        <w:lastRenderedPageBreak/>
        <w:t xml:space="preserve">Por otro lado, en caso que llegara a contar con </w:t>
      </w:r>
      <w:r w:rsidRPr="00665F95">
        <w:rPr>
          <w:rFonts w:ascii="Palatino Linotype" w:eastAsia="Palatino Linotype" w:hAnsi="Palatino Linotype" w:cs="Palatino Linotype"/>
          <w:b/>
        </w:rPr>
        <w:t>número de empleado</w:t>
      </w:r>
      <w:r w:rsidRPr="00665F95">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0DA23E28" w14:textId="77777777" w:rsidR="00CA1638" w:rsidRPr="00665F95" w:rsidRDefault="00CA1638" w:rsidP="00CA1638">
      <w:pPr>
        <w:spacing w:line="360" w:lineRule="auto"/>
        <w:jc w:val="both"/>
        <w:rPr>
          <w:rFonts w:ascii="Palatino Linotype" w:eastAsia="Palatino Linotype" w:hAnsi="Palatino Linotype" w:cs="Palatino Linotype"/>
        </w:rPr>
      </w:pPr>
    </w:p>
    <w:p w14:paraId="2437420D" w14:textId="77777777" w:rsidR="00CA1638" w:rsidRPr="00665F95" w:rsidRDefault="00CA1638"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665F95">
        <w:rPr>
          <w:rFonts w:ascii="Palatino Linotype" w:eastAsia="Palatino Linotype" w:hAnsi="Palatino Linotype" w:cs="Palatino Linotype"/>
        </w:rPr>
        <w:t xml:space="preserve">Bajo esos argumentos, se entendería que la información relativa al número de </w:t>
      </w:r>
      <w:r w:rsidRPr="00665F95">
        <w:rPr>
          <w:rFonts w:ascii="Palatino Linotype" w:eastAsia="Palatino Linotype" w:hAnsi="Palatino Linotype" w:cs="Palatino Linotype"/>
          <w:color w:val="000000"/>
        </w:rPr>
        <w:t>empleado</w:t>
      </w:r>
      <w:r w:rsidRPr="00665F95">
        <w:rPr>
          <w:rFonts w:ascii="Palatino Linotype" w:eastAsia="Palatino Linotype" w:hAnsi="Palatino Linotype" w:cs="Palatino Linotype"/>
        </w:rPr>
        <w:t xml:space="preserve"> c</w:t>
      </w:r>
      <w:r w:rsidRPr="00665F95">
        <w:rPr>
          <w:rFonts w:ascii="Palatino Linotype" w:eastAsia="Palatino Linotype" w:hAnsi="Palatino Linotype" w:cs="Palatino Linotype"/>
          <w:color w:val="000000"/>
        </w:rPr>
        <w:t>onstituye información confidencial al tratarse de un número de identificación</w:t>
      </w:r>
      <w:r w:rsidRPr="00665F95">
        <w:rPr>
          <w:rFonts w:ascii="Palatino Linotype" w:eastAsia="Palatino Linotype" w:hAnsi="Palatino Linotype" w:cs="Palatino Linotype"/>
        </w:rPr>
        <w:t xml:space="preserve"> personal a través del cual se puede consultar la situación laboral personal.</w:t>
      </w:r>
    </w:p>
    <w:p w14:paraId="76EDA511" w14:textId="77777777" w:rsidR="00CA1638" w:rsidRPr="00665F95" w:rsidRDefault="00CA1638" w:rsidP="00CA1638">
      <w:pPr>
        <w:spacing w:line="360" w:lineRule="auto"/>
        <w:jc w:val="both"/>
        <w:rPr>
          <w:rFonts w:ascii="Palatino Linotype" w:eastAsia="Palatino Linotype" w:hAnsi="Palatino Linotype" w:cs="Palatino Linotype"/>
        </w:rPr>
      </w:pPr>
    </w:p>
    <w:p w14:paraId="15E26DCC" w14:textId="77777777" w:rsidR="00CA1638" w:rsidRPr="00665F95" w:rsidRDefault="00CA1638"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665F95">
        <w:rPr>
          <w:rFonts w:ascii="Palatino Linotype" w:eastAsia="Palatino Linotype" w:hAnsi="Palatino Linotype" w:cs="Palatino Linotype"/>
        </w:rPr>
        <w:t>El entonces Instituto Nacional de Transparencia, Acceso a la Información, y Protección de Datos Personales, INAI  se pronunció sobre la publicidad del número de empleado, a través del criterio orientador con clave de control SO/006/2019, que indica lo siguiente:</w:t>
      </w:r>
    </w:p>
    <w:p w14:paraId="126571A6" w14:textId="77777777" w:rsidR="00CA1638" w:rsidRPr="00665F95" w:rsidRDefault="00CA1638" w:rsidP="00CA1638">
      <w:pPr>
        <w:tabs>
          <w:tab w:val="left" w:pos="7655"/>
        </w:tabs>
        <w:spacing w:line="360" w:lineRule="auto"/>
        <w:ind w:left="851" w:right="616"/>
        <w:jc w:val="both"/>
        <w:rPr>
          <w:rFonts w:ascii="Palatino Linotype" w:eastAsia="Palatino Linotype" w:hAnsi="Palatino Linotype" w:cs="Palatino Linotype"/>
          <w:i/>
        </w:rPr>
      </w:pPr>
      <w:r w:rsidRPr="00665F95">
        <w:rPr>
          <w:rFonts w:ascii="Palatino Linotype" w:eastAsia="Palatino Linotype" w:hAnsi="Palatino Linotype" w:cs="Palatino Linotype"/>
          <w:b/>
          <w:i/>
        </w:rPr>
        <w:t xml:space="preserve">“Número de empleado. </w:t>
      </w:r>
      <w:r w:rsidRPr="00665F95">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8C5B635" w14:textId="77777777" w:rsidR="00CA1638" w:rsidRPr="00665F95" w:rsidRDefault="00CA1638" w:rsidP="00CA1638">
      <w:pPr>
        <w:spacing w:line="360" w:lineRule="auto"/>
        <w:jc w:val="both"/>
        <w:rPr>
          <w:rFonts w:ascii="Palatino Linotype" w:eastAsia="Palatino Linotype" w:hAnsi="Palatino Linotype" w:cs="Palatino Linotype"/>
        </w:rPr>
      </w:pPr>
    </w:p>
    <w:p w14:paraId="33EC0558" w14:textId="77777777" w:rsidR="00CA1638" w:rsidRDefault="00CA1638"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665F95">
        <w:rPr>
          <w:rFonts w:ascii="Palatino Linotype" w:eastAsia="Palatino Linotype" w:hAnsi="Palatino Linotype" w:cs="Palatino Linotype"/>
        </w:rPr>
        <w:t xml:space="preserve">Del Criterio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w:t>
      </w:r>
      <w:r w:rsidRPr="00665F95">
        <w:rPr>
          <w:rFonts w:ascii="Palatino Linotype" w:eastAsia="Palatino Linotype" w:hAnsi="Palatino Linotype" w:cs="Palatino Linotype"/>
        </w:rPr>
        <w:lastRenderedPageBreak/>
        <w:t xml:space="preserve">personales o cuando su conformación no revele los mismos, por consiguiente, en el caso concreto, el </w:t>
      </w:r>
      <w:r w:rsidRPr="00665F95">
        <w:rPr>
          <w:rFonts w:ascii="Palatino Linotype" w:eastAsia="Palatino Linotype" w:hAnsi="Palatino Linotype" w:cs="Palatino Linotype"/>
          <w:b/>
        </w:rPr>
        <w:t>Sujeto Obligado</w:t>
      </w:r>
      <w:r w:rsidRPr="00665F95">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0426D251" w14:textId="77777777" w:rsidR="00EA2D09" w:rsidRPr="00665F95" w:rsidRDefault="00EA2D09" w:rsidP="00EA2D09">
      <w:pPr>
        <w:pBdr>
          <w:top w:val="nil"/>
          <w:left w:val="nil"/>
          <w:bottom w:val="nil"/>
          <w:right w:val="nil"/>
          <w:between w:val="nil"/>
        </w:pBdr>
        <w:spacing w:line="360" w:lineRule="auto"/>
        <w:jc w:val="both"/>
        <w:rPr>
          <w:rFonts w:ascii="Palatino Linotype" w:eastAsia="Palatino Linotype" w:hAnsi="Palatino Linotype" w:cs="Palatino Linotype"/>
        </w:rPr>
      </w:pPr>
    </w:p>
    <w:p w14:paraId="0095BEA4"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base en lo expuesto, se insiste que los datos mencionados, que como se ha dicho, deben ser clasificados como confidenciales por tratarse de información privada, toda </w:t>
      </w:r>
      <w:r w:rsidRPr="00CA1638">
        <w:rPr>
          <w:rFonts w:ascii="Palatino Linotype" w:eastAsia="Palatino Linotype" w:hAnsi="Palatino Linotype" w:cs="Palatino Linotype"/>
        </w:rPr>
        <w:t>vez</w:t>
      </w:r>
      <w:r>
        <w:rPr>
          <w:rFonts w:ascii="Palatino Linotype" w:eastAsia="Palatino Linotype" w:hAnsi="Palatino Linotype" w:cs="Palatino Linotype"/>
          <w:color w:val="000000"/>
        </w:rPr>
        <w:t xml:space="preserve">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0BBF3980"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20DA583"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Sirven de sustento a lo anterior, las tesis jurisprudenciales </w:t>
      </w:r>
      <w:r>
        <w:rPr>
          <w:rFonts w:ascii="Palatino Linotype" w:eastAsia="Palatino Linotype" w:hAnsi="Palatino Linotype" w:cs="Palatino Linotype"/>
          <w:i/>
          <w:iCs/>
          <w:color w:val="000000"/>
        </w:rPr>
        <w:t xml:space="preserve">P. LX/2000 </w:t>
      </w:r>
      <w:r>
        <w:rPr>
          <w:rFonts w:ascii="Palatino Linotype" w:eastAsia="Palatino Linotype" w:hAnsi="Palatino Linotype" w:cs="Palatino Linotype"/>
          <w:color w:val="000000"/>
        </w:rPr>
        <w:t xml:space="preserve">y </w:t>
      </w:r>
      <w:r>
        <w:rPr>
          <w:rFonts w:ascii="Palatino Linotype" w:eastAsia="Palatino Linotype" w:hAnsi="Palatino Linotype" w:cs="Palatino Linotype"/>
          <w:i/>
          <w:iCs/>
          <w:color w:val="000000"/>
        </w:rPr>
        <w:t>2a. XLIII/2008</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emitidas por el Peno y la Segunda Sala de la Suprema Corte de Justicia de la Nación, respectivamente, que son del tenor literal siguiente:</w:t>
      </w:r>
    </w:p>
    <w:p w14:paraId="209378E8" w14:textId="77777777" w:rsidR="001F28C7" w:rsidRDefault="00D917E0">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w:t>
      </w:r>
      <w:r>
        <w:rPr>
          <w:rFonts w:ascii="Palatino Linotype" w:eastAsia="Palatino Linotype" w:hAnsi="Palatino Linotype" w:cs="Palatino Linotype"/>
          <w:i/>
          <w:iCs/>
        </w:rPr>
        <w:lastRenderedPageBreak/>
        <w:t xml:space="preserve">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Pr>
          <w:rFonts w:ascii="Palatino Linotype" w:eastAsia="Palatino Linotype" w:hAnsi="Palatino Linotype" w:cs="Palatino Linotype"/>
          <w:i/>
          <w:iCs/>
        </w:rPr>
        <w:t>.”</w:t>
      </w:r>
    </w:p>
    <w:p w14:paraId="54922410" w14:textId="77777777" w:rsidR="001F28C7" w:rsidRDefault="001F28C7">
      <w:pPr>
        <w:spacing w:line="360" w:lineRule="auto"/>
        <w:ind w:left="851" w:right="851"/>
        <w:jc w:val="both"/>
        <w:rPr>
          <w:rFonts w:ascii="Palatino Linotype" w:eastAsia="Palatino Linotype" w:hAnsi="Palatino Linotype" w:cs="Palatino Linotype"/>
          <w:i/>
          <w:iCs/>
        </w:rPr>
      </w:pPr>
    </w:p>
    <w:p w14:paraId="057E541B" w14:textId="77777777" w:rsidR="001F28C7" w:rsidRDefault="00D917E0">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w:t>
      </w:r>
      <w:r>
        <w:rPr>
          <w:rFonts w:ascii="Palatino Linotype" w:eastAsia="Palatino Linotype" w:hAnsi="Palatino Linotype" w:cs="Palatino Linotype"/>
          <w:i/>
          <w:iCs/>
        </w:rPr>
        <w:lastRenderedPageBreak/>
        <w:t xml:space="preserve">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bCs/>
          <w:i/>
          <w:iC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5A6D3E90" w14:textId="77777777" w:rsidR="001F28C7" w:rsidRDefault="001F28C7">
      <w:pPr>
        <w:spacing w:line="360" w:lineRule="auto"/>
        <w:ind w:left="851" w:right="851"/>
        <w:jc w:val="both"/>
        <w:rPr>
          <w:rFonts w:ascii="Palatino Linotype" w:eastAsia="Palatino Linotype" w:hAnsi="Palatino Linotype" w:cs="Palatino Linotype"/>
          <w:i/>
          <w:iCs/>
        </w:rPr>
      </w:pPr>
    </w:p>
    <w:p w14:paraId="2C060157"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También,</w:t>
      </w:r>
      <w:r>
        <w:rPr>
          <w:rFonts w:ascii="Palatino Linotype" w:eastAsia="Palatino Linotype" w:hAnsi="Palatino Linotype" w:cs="Palatino Linotype"/>
          <w:b/>
          <w:bCs/>
          <w:color w:val="000000"/>
        </w:rPr>
        <w:t xml:space="preserve"> el número de cuenta bancario</w:t>
      </w:r>
      <w:r>
        <w:rPr>
          <w:rFonts w:ascii="Palatino Linotype" w:eastAsia="Palatino Linotype" w:hAnsi="Palatino Linotype" w:cs="Palatino Linotype"/>
          <w:color w:val="000000"/>
        </w:rPr>
        <w:t>, en el Criterio 10/17 emitido por el Pleno del Instituto Nacional de Transparencia, Acceso a la Información y Protección de Datos Personales  se establece lo siguiente:</w:t>
      </w:r>
    </w:p>
    <w:p w14:paraId="7D6E3713" w14:textId="77777777" w:rsidR="001F28C7" w:rsidRDefault="00D917E0">
      <w:pPr>
        <w:shd w:val="clear" w:color="auto" w:fill="FFFFFF"/>
        <w:spacing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bCs/>
          <w:i/>
          <w:iCs/>
        </w:rPr>
        <w:t>Cuentas bancarias y/o CLABE interbancaria de personas físicas y morales privadas.</w:t>
      </w:r>
      <w:r>
        <w:rPr>
          <w:rFonts w:ascii="Palatino Linotype" w:eastAsia="Palatino Linotype" w:hAnsi="Palatino Linotype" w:cs="Palatino Linotype"/>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w:t>
      </w:r>
      <w:r>
        <w:rPr>
          <w:rFonts w:ascii="Palatino Linotype" w:eastAsia="Palatino Linotype" w:hAnsi="Palatino Linotype" w:cs="Palatino Linotype"/>
          <w:i/>
          <w:iCs/>
        </w:rPr>
        <w:lastRenderedPageBreak/>
        <w:t>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rPr>
        <w:t>.”</w:t>
      </w:r>
    </w:p>
    <w:p w14:paraId="0843D741" w14:textId="77777777" w:rsidR="001F28C7" w:rsidRDefault="001F28C7">
      <w:pPr>
        <w:spacing w:line="360" w:lineRule="auto"/>
        <w:jc w:val="both"/>
        <w:rPr>
          <w:rFonts w:ascii="Palatino Linotype" w:eastAsia="Palatino Linotype" w:hAnsi="Palatino Linotype" w:cs="Palatino Linotype"/>
        </w:rPr>
      </w:pPr>
    </w:p>
    <w:p w14:paraId="2DA59C20"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Esta cuenta es de uso personal y no guarda relación </w:t>
      </w:r>
      <w:r>
        <w:rPr>
          <w:rFonts w:ascii="Palatino Linotype" w:eastAsia="Palatino Linotype" w:hAnsi="Palatino Linotype" w:cs="Palatino Linotype"/>
        </w:rPr>
        <w:t>con el</w:t>
      </w:r>
      <w:r>
        <w:rPr>
          <w:rFonts w:ascii="Palatino Linotype" w:eastAsia="Palatino Linotype" w:hAnsi="Palatino Linotype" w:cs="Palatino Linotype"/>
          <w:color w:val="000000"/>
        </w:rPr>
        <w:t xml:space="preserve">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4563445A" w14:textId="77777777" w:rsidR="001F28C7" w:rsidRDefault="001F28C7">
      <w:pPr>
        <w:spacing w:line="360" w:lineRule="auto"/>
        <w:ind w:right="-93"/>
        <w:jc w:val="both"/>
        <w:rPr>
          <w:rFonts w:ascii="Palatino Linotype" w:eastAsia="Palatino Linotype" w:hAnsi="Palatino Linotype" w:cs="Palatino Linotype"/>
        </w:rPr>
      </w:pPr>
    </w:p>
    <w:p w14:paraId="0C420A8A"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Código de barras bidimensional (QR)</w:t>
      </w:r>
      <w:r>
        <w:rPr>
          <w:rFonts w:ascii="Palatino Linotype" w:eastAsia="Palatino Linotype" w:hAnsi="Palatino Linotype" w:cs="Palatino Linotype"/>
          <w:color w:val="000000"/>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iCs/>
          <w:color w:val="000000"/>
        </w:rPr>
        <w:t>QR Code (Quick Response Code)</w:t>
      </w:r>
      <w:r>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0">
        <w:r>
          <w:rPr>
            <w:rFonts w:ascii="Palatino Linotype" w:eastAsia="Palatino Linotype" w:hAnsi="Palatino Linotype" w:cs="Palatino Linotype"/>
            <w:color w:val="0000FF"/>
            <w:u w:val="single"/>
          </w:rPr>
          <w:t>http://dof.gob.mx/nota_detalle.php?codigo=5492254&amp;fecha=28/07/2017</w:t>
        </w:r>
      </w:hyperlink>
      <w:r>
        <w:rPr>
          <w:rFonts w:ascii="Palatino Linotype" w:eastAsia="Palatino Linotype" w:hAnsi="Palatino Linotype" w:cs="Palatino Linotype"/>
          <w:color w:val="000000"/>
        </w:rPr>
        <w:t xml:space="preserve">. Incluso con la captura de dicho código, a través de la aplicación móvil del Servicio de Administración </w:t>
      </w:r>
      <w:r>
        <w:rPr>
          <w:rFonts w:ascii="Palatino Linotype" w:eastAsia="Palatino Linotype" w:hAnsi="Palatino Linotype" w:cs="Palatino Linotype"/>
          <w:color w:val="000000"/>
        </w:rPr>
        <w:lastRenderedPageBreak/>
        <w:t xml:space="preserve">Tributaria, permite el acceso al Registro Federal de Contribuyentes, como del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como de la persona física o moral correspondiente.</w:t>
      </w:r>
    </w:p>
    <w:p w14:paraId="5C9AFB71" w14:textId="77777777" w:rsidR="001F28C7" w:rsidRDefault="001F28C7">
      <w:pPr>
        <w:spacing w:line="360" w:lineRule="auto"/>
        <w:ind w:right="-93"/>
        <w:jc w:val="both"/>
        <w:rPr>
          <w:rFonts w:ascii="Palatino Linotype" w:eastAsia="Palatino Linotype" w:hAnsi="Palatino Linotype" w:cs="Palatino Linotype"/>
        </w:rPr>
      </w:pPr>
    </w:p>
    <w:p w14:paraId="40ACF771"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tales circunstancias, se considera que se actualiza la causal de clasificación prevista </w:t>
      </w:r>
      <w:r>
        <w:rPr>
          <w:rFonts w:ascii="Palatino Linotype" w:eastAsia="Palatino Linotype" w:hAnsi="Palatino Linotype" w:cs="Palatino Linotype"/>
          <w:color w:val="222222"/>
        </w:rPr>
        <w:t>en</w:t>
      </w:r>
      <w:r>
        <w:rPr>
          <w:rFonts w:ascii="Palatino Linotype" w:eastAsia="Palatino Linotype" w:hAnsi="Palatino Linotype" w:cs="Palatino Linotype"/>
          <w:color w:val="000000"/>
        </w:rPr>
        <w:t xml:space="preserve"> el artículo 143, fracción I de la Ley de la materia, toda vez que el Registro Federal de Contribuyentes corresponde a los servidores públicos, pues como se señaló en párrafos anteriores el mismo hace identificable o identificada al mismo.</w:t>
      </w:r>
    </w:p>
    <w:p w14:paraId="469D7847"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21C078C"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Por otra parte y respecto a</w:t>
      </w:r>
      <w:r>
        <w:rPr>
          <w:rFonts w:ascii="Palatino Linotype" w:eastAsia="Palatino Linotype" w:hAnsi="Palatino Linotype" w:cs="Palatino Linotype"/>
          <w:b/>
          <w:bCs/>
          <w:color w:val="222222"/>
        </w:rPr>
        <w:t xml:space="preserve"> la clave de seguridad social y en su caso clave o número del servidor público –trabajador-,</w:t>
      </w:r>
      <w:r>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285A51D7" w14:textId="77777777" w:rsidR="001F28C7" w:rsidRDefault="00D917E0">
      <w:pPr>
        <w:shd w:val="clear" w:color="auto" w:fill="FFFFFF"/>
        <w:spacing w:line="360" w:lineRule="auto"/>
        <w:ind w:left="567" w:right="900"/>
        <w:jc w:val="both"/>
        <w:rPr>
          <w:rFonts w:ascii="Palatino Linotype" w:eastAsia="Palatino Linotype" w:hAnsi="Palatino Linotype" w:cs="Palatino Linotype"/>
          <w:color w:val="222222"/>
        </w:rPr>
      </w:pPr>
      <w:r>
        <w:rPr>
          <w:rFonts w:ascii="Palatino Linotype" w:eastAsia="Palatino Linotype" w:hAnsi="Palatino Linotype" w:cs="Palatino Linotype"/>
          <w:b/>
          <w:bCs/>
          <w:i/>
          <w:iCs/>
          <w:color w:val="222222"/>
        </w:rPr>
        <w:t>“El número de ficha de identificación única de los trabajadores es información de carácter confidencial.</w:t>
      </w:r>
      <w:r>
        <w:rPr>
          <w:rFonts w:ascii="Palatino Linotype" w:eastAsia="Palatino Linotype" w:hAnsi="Palatino Linotype" w:cs="Palatino Linotype"/>
          <w:i/>
          <w:iCs/>
          <w:color w:val="222222"/>
        </w:rPr>
        <w:t> </w:t>
      </w:r>
      <w:r>
        <w:rPr>
          <w:rFonts w:ascii="Palatino Linotype" w:eastAsia="Palatino Linotype" w:hAnsi="Palatino Linotype" w:cs="Palatino Linotype"/>
          <w:i/>
          <w:iCs/>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iCs/>
          <w:color w:val="222222"/>
        </w:rPr>
        <w:t>, </w:t>
      </w:r>
      <w:r>
        <w:rPr>
          <w:rFonts w:ascii="Palatino Linotype" w:eastAsia="Palatino Linotype" w:hAnsi="Palatino Linotype" w:cs="Palatino Linotype"/>
          <w:i/>
          <w:iCs/>
          <w:color w:val="222222"/>
          <w:u w:val="single"/>
        </w:rPr>
        <w:t>dicha información es susceptible de clasificarse con el carácter de confidencial</w:t>
      </w:r>
      <w:r>
        <w:rPr>
          <w:rFonts w:ascii="Palatino Linotype" w:eastAsia="Palatino Linotype" w:hAnsi="Palatino Linotype" w:cs="Palatino Linotype"/>
          <w:i/>
          <w:iCs/>
          <w:color w:val="222222"/>
        </w:rPr>
        <w:t xml:space="preserve">, en términos de lo establecido en el artículo 18, fracción II de la Ley Federal de Transparencia y Acceso a la Información Pública Gubernamental, </w:t>
      </w:r>
      <w:r>
        <w:rPr>
          <w:rFonts w:ascii="Palatino Linotype" w:eastAsia="Palatino Linotype" w:hAnsi="Palatino Linotype" w:cs="Palatino Linotype"/>
          <w:i/>
          <w:iCs/>
          <w:color w:val="222222"/>
        </w:rPr>
        <w:lastRenderedPageBreak/>
        <w:t xml:space="preserve">en virtud de que a través de la misma es posible conocer información personal de su titular.” </w:t>
      </w:r>
    </w:p>
    <w:p w14:paraId="2C025FA0" w14:textId="77777777" w:rsidR="001F28C7" w:rsidRDefault="001F28C7">
      <w:pPr>
        <w:spacing w:line="360" w:lineRule="auto"/>
        <w:ind w:right="-93"/>
        <w:jc w:val="both"/>
        <w:rPr>
          <w:rFonts w:ascii="Palatino Linotype" w:eastAsia="Palatino Linotype" w:hAnsi="Palatino Linotype" w:cs="Palatino Linotype"/>
        </w:rPr>
      </w:pPr>
    </w:p>
    <w:p w14:paraId="721B51A4"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w:t>
      </w:r>
      <w:r>
        <w:rPr>
          <w:rFonts w:ascii="Palatino Linotype" w:eastAsia="Palatino Linotype" w:hAnsi="Palatino Linotype" w:cs="Palatino Linotype"/>
          <w:color w:val="222222"/>
        </w:rPr>
        <w:t>respecto</w:t>
      </w:r>
      <w:r>
        <w:rPr>
          <w:rFonts w:ascii="Palatino Linotype" w:eastAsia="Palatino Linotype" w:hAnsi="Palatino Linotype" w:cs="Palatino Linotype"/>
          <w:color w:val="000000"/>
        </w:rPr>
        <w:t xml:space="preserve">, es de señalar que </w:t>
      </w:r>
      <w:r>
        <w:rPr>
          <w:rFonts w:ascii="Palatino Linotype" w:eastAsia="Palatino Linotype" w:hAnsi="Palatino Linotype" w:cs="Palatino Linotype"/>
          <w:b/>
          <w:bCs/>
          <w:color w:val="000000"/>
        </w:rPr>
        <w:t xml:space="preserve">la firma </w:t>
      </w:r>
      <w:r>
        <w:rPr>
          <w:rFonts w:ascii="Palatino Linotype" w:eastAsia="Palatino Linotype" w:hAnsi="Palatino Linotype" w:cs="Palatino Linotype"/>
          <w:color w:val="000000"/>
        </w:rPr>
        <w:t xml:space="preserve">es considerada un dato personal, al tratarse de información gráfica a través de la cual su titular exterioriza su voluntad en actos públicos y privados. </w:t>
      </w:r>
    </w:p>
    <w:p w14:paraId="1D17FC96" w14:textId="77777777" w:rsidR="001F28C7" w:rsidRDefault="001F28C7">
      <w:pPr>
        <w:spacing w:line="360" w:lineRule="auto"/>
        <w:ind w:right="-93"/>
        <w:jc w:val="both"/>
        <w:rPr>
          <w:rFonts w:ascii="Palatino Linotype" w:eastAsia="Palatino Linotype" w:hAnsi="Palatino Linotype" w:cs="Palatino Linotype"/>
        </w:rPr>
      </w:pPr>
    </w:p>
    <w:p w14:paraId="3C41D1A5"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este Instituto, considera que entregar la firmas del servidor público, en este caso si abona a la transparencia, dado que con esta se acredita que fue emitida por autoridad competente en uso de las facultades que le otorga la legislación; por lo que, guarda cierto interés público dar a conocer la firma, dado que le da validez al documento.</w:t>
      </w:r>
    </w:p>
    <w:p w14:paraId="441487E6" w14:textId="77777777" w:rsidR="001F28C7" w:rsidRDefault="001F28C7">
      <w:pPr>
        <w:spacing w:line="360" w:lineRule="auto"/>
        <w:ind w:right="-93"/>
        <w:jc w:val="both"/>
        <w:rPr>
          <w:rFonts w:ascii="Palatino Linotype" w:eastAsia="Palatino Linotype" w:hAnsi="Palatino Linotype" w:cs="Palatino Linotype"/>
        </w:rPr>
      </w:pPr>
    </w:p>
    <w:p w14:paraId="62AE5E0A"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565A9D84" w14:textId="77777777" w:rsidR="001F28C7" w:rsidRDefault="001F28C7">
      <w:pPr>
        <w:spacing w:line="360" w:lineRule="auto"/>
        <w:ind w:right="-93"/>
        <w:jc w:val="both"/>
        <w:rPr>
          <w:rFonts w:ascii="Palatino Linotype" w:eastAsia="Palatino Linotype" w:hAnsi="Palatino Linotype" w:cs="Palatino Linotype"/>
        </w:rPr>
      </w:pPr>
    </w:p>
    <w:p w14:paraId="6D59C2C4"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sustento a lo anterior el Criterio de Interpretación 02/19 emitido por el Instituto Nacional de Transparencia, Acceso a la Información y Protección de Datos Personales, cuyo rubro y texto establecen lo siguiente:</w:t>
      </w:r>
    </w:p>
    <w:p w14:paraId="20CCE26D" w14:textId="77777777" w:rsidR="001F28C7" w:rsidRDefault="00D917E0">
      <w:pPr>
        <w:spacing w:line="360" w:lineRule="auto"/>
        <w:ind w:left="1134" w:right="104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FIRMA Y RÚBRICA DE SERVIDORES PÚBLICOS.</w:t>
      </w:r>
      <w:r>
        <w:rPr>
          <w:rFonts w:ascii="Palatino Linotype" w:eastAsia="Palatino Linotype" w:hAnsi="Palatino Linotype" w:cs="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6BA7549"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rPr>
        <w:lastRenderedPageBreak/>
        <w:t xml:space="preserve">Al respecto, se destaca que la versión pública que elabore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w:t>
      </w:r>
      <w:r>
        <w:rPr>
          <w:rFonts w:ascii="Palatino Linotype" w:eastAsia="Palatino Linotype" w:hAnsi="Palatino Linotype" w:cs="Palatino Linotype"/>
        </w:rPr>
        <w:t>sustentará</w:t>
      </w:r>
      <w:r>
        <w:rPr>
          <w:rFonts w:ascii="Palatino Linotype" w:eastAsia="Palatino Linotype" w:hAnsi="Palatino Linotype" w:cs="Palatino Linotype"/>
          <w:color w:val="000000"/>
        </w:rPr>
        <w:t xml:space="preserve"> la clasificación de datos y con ello la "versión pública" de los documentos materia de las solicitudes</w:t>
      </w:r>
      <w:r>
        <w:rPr>
          <w:rFonts w:ascii="Palatino Linotype" w:eastAsia="Palatino Linotype" w:hAnsi="Palatino Linotype" w:cs="Palatino Linotype"/>
          <w:color w:val="000000"/>
          <w:highlight w:val="white"/>
        </w:rPr>
        <w:t>.</w:t>
      </w:r>
    </w:p>
    <w:p w14:paraId="1A32697B" w14:textId="77777777" w:rsidR="001F28C7" w:rsidRDefault="001F28C7">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highlight w:val="white"/>
        </w:rPr>
      </w:pPr>
    </w:p>
    <w:p w14:paraId="1B05661B"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Efectivamente, cuando se clasifica información como confidencial o reservada es importante someterlo al Comité de Transparencia, quien debe confirmar, modificar o revocar la clasificación.</w:t>
      </w:r>
    </w:p>
    <w:p w14:paraId="392AEC28"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EB285E9"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bCs/>
          <w:color w:val="000000"/>
        </w:rPr>
        <w:t>RECURRENTE.</w:t>
      </w:r>
    </w:p>
    <w:p w14:paraId="52605991"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5558E252"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DEF4B0A"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01EA402" w14:textId="77777777" w:rsidR="001F28C7" w:rsidRDefault="001F28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286D7B6"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Entorno a lo que aquí nos interesa, los Lineamientos Quincuagésimo sexto, Quincuagésimo séptimo y Quincuagésimo octavo, establecen lo siguiente:</w:t>
      </w:r>
    </w:p>
    <w:p w14:paraId="6A0E4C0A" w14:textId="77777777" w:rsidR="001F28C7" w:rsidRDefault="00D917E0">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“Quincuagésimo sexto</w:t>
      </w:r>
      <w:r>
        <w:rPr>
          <w:rFonts w:ascii="Palatino Linotype" w:eastAsia="Palatino Linotype" w:hAnsi="Palatino Linotype" w:cs="Palatino Linotype"/>
          <w:b/>
          <w:bCs/>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187FD31" w14:textId="77777777" w:rsidR="001F28C7" w:rsidRDefault="00D917E0">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Quincuagésimo séptimo. Se considera, en principio, como información pública y no podrá omitirse de las versiones públicas la siguiente: </w:t>
      </w:r>
    </w:p>
    <w:p w14:paraId="19090750" w14:textId="77777777" w:rsidR="001F28C7" w:rsidRDefault="00D917E0">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 xml:space="preserve">I. La relativa a las Obligaciones de Transparencia que contempla el Título V de la Ley General y las demás disposiciones legales aplicables; </w:t>
      </w:r>
    </w:p>
    <w:p w14:paraId="0A6A389F" w14:textId="77777777" w:rsidR="001F28C7" w:rsidRDefault="00D917E0">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El nombre de los servidores públicos en los documentos, y sus firmas autógrafas, cuando sean utilizados en el ejercicio de las facultades conferidas para el desempeño del servicio público, y </w:t>
      </w:r>
    </w:p>
    <w:p w14:paraId="280AD3DA" w14:textId="77777777" w:rsidR="001F28C7" w:rsidRDefault="00D917E0">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III. La información que documente decisiones y los actos de autoridad concluidos de los sujetos obligados, así como el ejercicio de las facultades o actividades de los servidores públicos, de manera que se pueda valorar el desempeño de los mismos.</w:t>
      </w:r>
    </w:p>
    <w:p w14:paraId="426E0C7D" w14:textId="77777777" w:rsidR="001F28C7" w:rsidRDefault="00D917E0">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14:paraId="12E1FD64" w14:textId="77777777" w:rsidR="001F28C7" w:rsidRDefault="00D917E0">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Quincuagésimo octavo. Los sujetos obligados garantizarán que los sistemas o medios empleados para eliminar la información en las versiones públicas no permitan la recuperación o visualización de la misma.”</w:t>
      </w:r>
    </w:p>
    <w:p w14:paraId="02C2A0FA" w14:textId="77777777" w:rsidR="001F28C7" w:rsidRDefault="001F28C7">
      <w:pPr>
        <w:spacing w:line="360" w:lineRule="auto"/>
        <w:ind w:left="851" w:right="902"/>
        <w:jc w:val="both"/>
        <w:rPr>
          <w:rFonts w:ascii="Palatino Linotype" w:eastAsia="Palatino Linotype" w:hAnsi="Palatino Linotype" w:cs="Palatino Linotype"/>
          <w:i/>
          <w:iCs/>
        </w:rPr>
      </w:pPr>
    </w:p>
    <w:p w14:paraId="7FA63A68"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w:t>
      </w:r>
      <w:r>
        <w:rPr>
          <w:rFonts w:ascii="Palatino Linotype" w:eastAsia="Palatino Linotype" w:hAnsi="Palatino Linotype" w:cs="Palatino Linotype"/>
          <w:b/>
          <w:bCs/>
          <w:color w:val="000000"/>
        </w:rPr>
        <w:t xml:space="preserve">la entrega de documentos en su versión pública debe </w:t>
      </w:r>
      <w:r>
        <w:rPr>
          <w:rFonts w:ascii="Palatino Linotype" w:eastAsia="Palatino Linotype" w:hAnsi="Palatino Linotype" w:cs="Palatino Linotype"/>
          <w:color w:val="000000"/>
        </w:rPr>
        <w:t>acompañarse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necesariamente</w:t>
      </w:r>
      <w:r>
        <w:rPr>
          <w:rFonts w:ascii="Palatino Linotype" w:eastAsia="Palatino Linotype" w:hAnsi="Palatino Linotype" w:cs="Palatino Linotype"/>
          <w:b/>
          <w:bCs/>
          <w:color w:val="000000"/>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color w:val="000000"/>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CA364CD"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Los sujetos obligados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35EFC44" w14:textId="77777777" w:rsidR="001F28C7" w:rsidRDefault="001F28C7">
      <w:pPr>
        <w:tabs>
          <w:tab w:val="left" w:pos="284"/>
        </w:tabs>
        <w:spacing w:line="360" w:lineRule="auto"/>
        <w:ind w:right="49"/>
        <w:jc w:val="both"/>
        <w:rPr>
          <w:rFonts w:ascii="Palatino Linotype" w:eastAsia="Palatino Linotype" w:hAnsi="Palatino Linotype" w:cs="Palatino Linotype"/>
          <w:color w:val="000000"/>
        </w:rPr>
      </w:pPr>
    </w:p>
    <w:tbl>
      <w:tblPr>
        <w:tblStyle w:val="a2"/>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945"/>
      </w:tblGrid>
      <w:tr w:rsidR="001F28C7" w14:paraId="59911545" w14:textId="77777777" w:rsidTr="00EA2D09">
        <w:tc>
          <w:tcPr>
            <w:tcW w:w="2689" w:type="dxa"/>
          </w:tcPr>
          <w:p w14:paraId="7E0096D7" w14:textId="77777777" w:rsidR="001F28C7" w:rsidRDefault="00D917E0">
            <w:pPr>
              <w:tabs>
                <w:tab w:val="left" w:pos="284"/>
              </w:tabs>
              <w:rPr>
                <w:rFonts w:ascii="Palatino Linotype" w:eastAsia="Palatino Linotype" w:hAnsi="Palatino Linotype" w:cs="Palatino Linotype"/>
              </w:rPr>
            </w:pPr>
            <w:r>
              <w:rPr>
                <w:rFonts w:ascii="Palatino Linotype" w:eastAsia="Palatino Linotype" w:hAnsi="Palatino Linotype" w:cs="Palatino Linotype"/>
              </w:rPr>
              <w:t>a) Requisitos previos.</w:t>
            </w:r>
          </w:p>
        </w:tc>
        <w:tc>
          <w:tcPr>
            <w:tcW w:w="6945" w:type="dxa"/>
          </w:tcPr>
          <w:p w14:paraId="77A7A3A6"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53E06B8"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6794C4F1"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51543461" w14:textId="77777777" w:rsidR="001F28C7" w:rsidRDefault="00D917E0">
            <w:pPr>
              <w:tabs>
                <w:tab w:val="left" w:pos="284"/>
              </w:tabs>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u w:val="single"/>
              </w:rPr>
              <w:t>no se puede hacer un acuerdo para clasificar de manera general todos los documentos de un expediente o área, sin</w:t>
            </w:r>
            <w:r>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14:paraId="266A5D7C" w14:textId="77777777" w:rsidR="001F28C7" w:rsidRDefault="001F28C7">
            <w:pPr>
              <w:tabs>
                <w:tab w:val="left" w:pos="284"/>
              </w:tabs>
              <w:jc w:val="both"/>
              <w:rPr>
                <w:rFonts w:ascii="Palatino Linotype" w:eastAsia="Palatino Linotype" w:hAnsi="Palatino Linotype" w:cs="Palatino Linotype"/>
              </w:rPr>
            </w:pPr>
          </w:p>
        </w:tc>
      </w:tr>
      <w:tr w:rsidR="001F28C7" w14:paraId="1272F9FD" w14:textId="77777777" w:rsidTr="00EA2D09">
        <w:tc>
          <w:tcPr>
            <w:tcW w:w="2689" w:type="dxa"/>
          </w:tcPr>
          <w:p w14:paraId="2DE9CCE3" w14:textId="77777777" w:rsidR="001F28C7" w:rsidRDefault="00D917E0">
            <w:pPr>
              <w:tabs>
                <w:tab w:val="left" w:pos="284"/>
              </w:tabs>
              <w:rPr>
                <w:rFonts w:ascii="Palatino Linotype" w:eastAsia="Palatino Linotype" w:hAnsi="Palatino Linotype" w:cs="Palatino Linotype"/>
              </w:rPr>
            </w:pPr>
            <w:r>
              <w:rPr>
                <w:rFonts w:ascii="Palatino Linotype" w:eastAsia="Palatino Linotype" w:hAnsi="Palatino Linotype" w:cs="Palatino Linotype"/>
              </w:rPr>
              <w:t>b) Supuestos de clasificación.</w:t>
            </w:r>
          </w:p>
        </w:tc>
        <w:tc>
          <w:tcPr>
            <w:tcW w:w="6945" w:type="dxa"/>
          </w:tcPr>
          <w:p w14:paraId="7D65EB9D"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4A0CED5B"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w:t>
            </w:r>
            <w:r>
              <w:rPr>
                <w:rFonts w:ascii="Palatino Linotype" w:eastAsia="Palatino Linotype" w:hAnsi="Palatino Linotype" w:cs="Palatino Linotype"/>
                <w:color w:val="000000"/>
              </w:rPr>
              <w:lastRenderedPageBreak/>
              <w:t>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CFA97B2" w14:textId="77777777" w:rsidR="001F28C7" w:rsidRDefault="00D917E0">
            <w:pPr>
              <w:tabs>
                <w:tab w:val="left" w:pos="284"/>
              </w:tabs>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649A671F" w14:textId="77777777" w:rsidR="001F28C7" w:rsidRDefault="001F28C7">
            <w:pPr>
              <w:tabs>
                <w:tab w:val="left" w:pos="284"/>
              </w:tabs>
              <w:jc w:val="both"/>
              <w:rPr>
                <w:rFonts w:ascii="Palatino Linotype" w:eastAsia="Palatino Linotype" w:hAnsi="Palatino Linotype" w:cs="Palatino Linotype"/>
              </w:rPr>
            </w:pPr>
          </w:p>
        </w:tc>
      </w:tr>
      <w:tr w:rsidR="001F28C7" w14:paraId="1BF22588" w14:textId="77777777" w:rsidTr="00EA2D09">
        <w:tc>
          <w:tcPr>
            <w:tcW w:w="2689" w:type="dxa"/>
          </w:tcPr>
          <w:p w14:paraId="5FED1DB3" w14:textId="77777777" w:rsidR="001F28C7" w:rsidRDefault="00D917E0">
            <w:pPr>
              <w:tabs>
                <w:tab w:val="left" w:pos="284"/>
              </w:tabs>
              <w:rPr>
                <w:rFonts w:ascii="Palatino Linotype" w:eastAsia="Palatino Linotype" w:hAnsi="Palatino Linotype" w:cs="Palatino Linotype"/>
              </w:rPr>
            </w:pPr>
            <w:r>
              <w:rPr>
                <w:rFonts w:ascii="Palatino Linotype" w:eastAsia="Palatino Linotype" w:hAnsi="Palatino Linotype" w:cs="Palatino Linotype"/>
              </w:rPr>
              <w:lastRenderedPageBreak/>
              <w:t>c) Formalidades para emitir el acuerdo de clasificación.</w:t>
            </w:r>
          </w:p>
        </w:tc>
        <w:tc>
          <w:tcPr>
            <w:tcW w:w="6945" w:type="dxa"/>
          </w:tcPr>
          <w:p w14:paraId="26993E1C"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5FF08918"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necesario que </w:t>
            </w:r>
            <w:r>
              <w:rPr>
                <w:rFonts w:ascii="Palatino Linotype" w:eastAsia="Palatino Linotype" w:hAnsi="Palatino Linotype" w:cs="Palatino Linotype"/>
                <w:b/>
                <w:bCs/>
                <w:color w:val="000000"/>
                <w:u w:val="single"/>
              </w:rPr>
              <w:t>el acto reúna con los requisitos elementales</w:t>
            </w:r>
            <w:r>
              <w:rPr>
                <w:rFonts w:ascii="Palatino Linotype" w:eastAsia="Palatino Linotype" w:hAnsi="Palatino Linotype" w:cs="Palatino Linotype"/>
                <w:color w:val="000000"/>
              </w:rPr>
              <w:t>, entre ellos, que la autoridad que va a emitir el acto de autoridad sea la legalmente facultada para ello.</w:t>
            </w:r>
          </w:p>
          <w:p w14:paraId="29C83E27" w14:textId="77777777" w:rsidR="001F28C7" w:rsidRDefault="00D917E0">
            <w:pPr>
              <w:tabs>
                <w:tab w:val="left" w:pos="284"/>
              </w:tabs>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2052F3F" w14:textId="77777777" w:rsidR="001F28C7" w:rsidRDefault="001F28C7">
            <w:pPr>
              <w:tabs>
                <w:tab w:val="left" w:pos="284"/>
              </w:tabs>
              <w:jc w:val="both"/>
              <w:rPr>
                <w:rFonts w:ascii="Palatino Linotype" w:eastAsia="Palatino Linotype" w:hAnsi="Palatino Linotype" w:cs="Palatino Linotype"/>
              </w:rPr>
            </w:pPr>
          </w:p>
        </w:tc>
      </w:tr>
      <w:tr w:rsidR="001F28C7" w14:paraId="6F2F177A" w14:textId="77777777" w:rsidTr="00EA2D09">
        <w:tc>
          <w:tcPr>
            <w:tcW w:w="2689" w:type="dxa"/>
          </w:tcPr>
          <w:p w14:paraId="33969B3D" w14:textId="77777777" w:rsidR="001F28C7" w:rsidRDefault="001F28C7">
            <w:pPr>
              <w:tabs>
                <w:tab w:val="left" w:pos="284"/>
              </w:tabs>
              <w:rPr>
                <w:rFonts w:ascii="Palatino Linotype" w:eastAsia="Palatino Linotype" w:hAnsi="Palatino Linotype" w:cs="Palatino Linotype"/>
              </w:rPr>
            </w:pPr>
          </w:p>
          <w:p w14:paraId="33CE52EB" w14:textId="77777777" w:rsidR="001F28C7" w:rsidRDefault="00D917E0">
            <w:pPr>
              <w:tabs>
                <w:tab w:val="left" w:pos="284"/>
              </w:tabs>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 Requisitos de fondo del acuerdo de clasificación. </w:t>
            </w:r>
          </w:p>
        </w:tc>
        <w:tc>
          <w:tcPr>
            <w:tcW w:w="6945" w:type="dxa"/>
          </w:tcPr>
          <w:p w14:paraId="0D4FE075"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rPr>
              <w:lastRenderedPageBreak/>
              <w:t>Sujetos Obligados</w:t>
            </w:r>
            <w:r>
              <w:rPr>
                <w:rFonts w:ascii="Palatino Linotype" w:eastAsia="Palatino Linotype" w:hAnsi="Palatino Linotype" w:cs="Palatino Linotype"/>
                <w:color w:val="000000"/>
              </w:rPr>
              <w:t xml:space="preserve">, por lo que deberán fundar y motivar debidamente la clasificación. </w:t>
            </w:r>
          </w:p>
          <w:p w14:paraId="4C62AF3C"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desprende que para una correcta </w:t>
            </w:r>
            <w:r>
              <w:rPr>
                <w:rFonts w:ascii="Palatino Linotype" w:eastAsia="Palatino Linotype" w:hAnsi="Palatino Linotype" w:cs="Palatino Linotype"/>
                <w:b/>
                <w:bCs/>
                <w:color w:val="000000"/>
              </w:rPr>
              <w:t>clasificación total o parcial</w:t>
            </w:r>
            <w:r>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0E97C9F"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85EA1DA"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0173E39E"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w:t>
            </w:r>
            <w:r>
              <w:rPr>
                <w:rFonts w:ascii="Palatino Linotype" w:eastAsia="Palatino Linotype" w:hAnsi="Palatino Linotype" w:cs="Palatino Linotype"/>
                <w:b/>
                <w:bCs/>
                <w:color w:val="000000"/>
                <w:u w:val="single"/>
              </w:rPr>
              <w:t>para cada caso además de fundar y motivar</w:t>
            </w:r>
            <w:r>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55EFE4F3" w14:textId="77777777" w:rsidR="001F28C7" w:rsidRDefault="001F28C7">
            <w:pPr>
              <w:tabs>
                <w:tab w:val="left" w:pos="284"/>
              </w:tabs>
              <w:ind w:right="49"/>
              <w:jc w:val="both"/>
              <w:rPr>
                <w:rFonts w:ascii="Palatino Linotype" w:eastAsia="Palatino Linotype" w:hAnsi="Palatino Linotype" w:cs="Palatino Linotype"/>
                <w:color w:val="000000"/>
              </w:rPr>
            </w:pPr>
          </w:p>
        </w:tc>
      </w:tr>
      <w:tr w:rsidR="001F28C7" w14:paraId="17A8A793" w14:textId="77777777" w:rsidTr="00EA2D09">
        <w:tc>
          <w:tcPr>
            <w:tcW w:w="2689" w:type="dxa"/>
          </w:tcPr>
          <w:p w14:paraId="7CA4A52B" w14:textId="77777777" w:rsidR="001F28C7" w:rsidRDefault="00D917E0">
            <w:pPr>
              <w:tabs>
                <w:tab w:val="left" w:pos="284"/>
              </w:tabs>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 Condiciones especiales de la clasificación de la información como confidencial. </w:t>
            </w:r>
          </w:p>
        </w:tc>
        <w:tc>
          <w:tcPr>
            <w:tcW w:w="6945" w:type="dxa"/>
          </w:tcPr>
          <w:p w14:paraId="53615A95"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58DCD8A0" w14:textId="77777777" w:rsidR="001F28C7" w:rsidRDefault="00D917E0">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B6F4B71" w14:textId="77777777" w:rsidR="001F28C7" w:rsidRDefault="00D917E0">
            <w:pPr>
              <w:tabs>
                <w:tab w:val="left" w:pos="284"/>
              </w:tabs>
              <w:rPr>
                <w:rFonts w:ascii="Palatino Linotype" w:eastAsia="Palatino Linotype" w:hAnsi="Palatino Linotype" w:cs="Palatino Linotype"/>
                <w:color w:val="000000"/>
              </w:rPr>
            </w:pPr>
            <w:r>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14:paraId="67ADF54E" w14:textId="77777777" w:rsidR="001F28C7" w:rsidRDefault="001F28C7">
            <w:pPr>
              <w:tabs>
                <w:tab w:val="left" w:pos="284"/>
              </w:tabs>
              <w:rPr>
                <w:rFonts w:ascii="Palatino Linotype" w:eastAsia="Palatino Linotype" w:hAnsi="Palatino Linotype" w:cs="Palatino Linotype"/>
              </w:rPr>
            </w:pPr>
          </w:p>
        </w:tc>
      </w:tr>
    </w:tbl>
    <w:p w14:paraId="3C317E01" w14:textId="77777777" w:rsidR="001F28C7" w:rsidRDefault="001F28C7">
      <w:pPr>
        <w:tabs>
          <w:tab w:val="left" w:pos="284"/>
        </w:tabs>
        <w:spacing w:line="360" w:lineRule="auto"/>
        <w:rPr>
          <w:rFonts w:ascii="Palatino Linotype" w:eastAsia="Palatino Linotype" w:hAnsi="Palatino Linotype" w:cs="Palatino Linotype"/>
          <w:color w:val="000000"/>
        </w:rPr>
      </w:pPr>
    </w:p>
    <w:p w14:paraId="51BBD0C4" w14:textId="77777777" w:rsidR="001F28C7" w:rsidRDefault="00D917E0" w:rsidP="00EA2D09">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D44D854" w14:textId="77777777" w:rsidR="001F28C7" w:rsidRDefault="001F28C7">
      <w:pPr>
        <w:pBdr>
          <w:top w:val="nil"/>
          <w:left w:val="nil"/>
          <w:bottom w:val="nil"/>
          <w:right w:val="nil"/>
          <w:between w:val="nil"/>
        </w:pBdr>
        <w:tabs>
          <w:tab w:val="left" w:pos="851"/>
        </w:tabs>
        <w:spacing w:line="360" w:lineRule="auto"/>
        <w:ind w:right="476"/>
        <w:jc w:val="both"/>
        <w:rPr>
          <w:rFonts w:ascii="Palatino Linotype" w:eastAsia="Palatino Linotype" w:hAnsi="Palatino Linotype" w:cs="Palatino Linotype"/>
          <w:i/>
          <w:iCs/>
          <w:color w:val="000000"/>
        </w:rPr>
      </w:pPr>
    </w:p>
    <w:p w14:paraId="452BE249" w14:textId="77777777" w:rsidR="001F28C7" w:rsidRDefault="00D917E0">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Por lo </w:t>
      </w:r>
      <w:r>
        <w:rPr>
          <w:rFonts w:ascii="Palatino Linotype" w:eastAsia="Palatino Linotype" w:hAnsi="Palatino Linotype" w:cs="Palatino Linotype"/>
        </w:rPr>
        <w:t>anteriormente</w:t>
      </w:r>
      <w:r>
        <w:rPr>
          <w:rFonts w:ascii="Palatino Linotype" w:eastAsia="Palatino Linotype" w:hAnsi="Palatino Linotype" w:cs="Palatino Linotype"/>
          <w:color w:val="222222"/>
        </w:rPr>
        <w:t xml:space="preserve"> expuesto y fundado, este </w:t>
      </w:r>
      <w:r>
        <w:rPr>
          <w:rFonts w:ascii="Palatino Linotype" w:eastAsia="Palatino Linotype" w:hAnsi="Palatino Linotype" w:cs="Palatino Linotype"/>
          <w:b/>
          <w:bCs/>
          <w:color w:val="222222"/>
        </w:rPr>
        <w:t>ÓRGANO GARANTE</w:t>
      </w:r>
      <w:r>
        <w:rPr>
          <w:rFonts w:ascii="Palatino Linotype" w:eastAsia="Palatino Linotype" w:hAnsi="Palatino Linotype" w:cs="Palatino Linotype"/>
          <w:color w:val="222222"/>
        </w:rPr>
        <w:t xml:space="preserve"> emite los </w:t>
      </w:r>
      <w:r>
        <w:rPr>
          <w:rFonts w:ascii="Palatino Linotype" w:eastAsia="Palatino Linotype" w:hAnsi="Palatino Linotype" w:cs="Palatino Linotype"/>
        </w:rPr>
        <w:t>siguientes</w:t>
      </w:r>
      <w:r>
        <w:rPr>
          <w:rFonts w:ascii="Palatino Linotype" w:eastAsia="Palatino Linotype" w:hAnsi="Palatino Linotype" w:cs="Palatino Linotype"/>
          <w:color w:val="222222"/>
        </w:rPr>
        <w:t>:</w:t>
      </w:r>
    </w:p>
    <w:p w14:paraId="3F94E735" w14:textId="77777777" w:rsidR="001F28C7" w:rsidRDefault="00D917E0">
      <w:pPr>
        <w:keepNext/>
        <w:keepLines/>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 E S O L U T I V O S</w:t>
      </w:r>
    </w:p>
    <w:p w14:paraId="4E76AA2E" w14:textId="77777777" w:rsidR="001F28C7" w:rsidRDefault="00D917E0">
      <w:pPr>
        <w:spacing w:line="360" w:lineRule="auto"/>
        <w:ind w:right="-929"/>
        <w:jc w:val="both"/>
        <w:rPr>
          <w:rFonts w:ascii="Palatino Linotype" w:eastAsia="Palatino Linotype" w:hAnsi="Palatino Linotype" w:cs="Palatino Linotype"/>
          <w:b/>
          <w:bCs/>
        </w:rPr>
      </w:pPr>
      <w:r>
        <w:rPr>
          <w:rFonts w:ascii="Palatino Linotype" w:eastAsia="Palatino Linotype" w:hAnsi="Palatino Linotype" w:cs="Palatino Linotype"/>
          <w:b/>
          <w:bCs/>
        </w:rPr>
        <w:tab/>
      </w:r>
    </w:p>
    <w:p w14:paraId="396B7CF4" w14:textId="77777777" w:rsidR="001F28C7" w:rsidRDefault="00D917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Resultan fundadas las razones o motivos de inconformidad hechos valer en el Recurso de Revisión </w:t>
      </w:r>
      <w:r>
        <w:rPr>
          <w:rFonts w:ascii="Palatino Linotype" w:eastAsia="Palatino Linotype" w:hAnsi="Palatino Linotype" w:cs="Palatino Linotype"/>
          <w:b/>
          <w:bCs/>
        </w:rPr>
        <w:t xml:space="preserve">05213/INFOEM/IP/RR/2025,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bCs/>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Cuarto y Quinto </w:t>
      </w:r>
      <w:r>
        <w:rPr>
          <w:rFonts w:ascii="Palatino Linotype" w:eastAsia="Palatino Linotype" w:hAnsi="Palatino Linotype" w:cs="Palatino Linotype"/>
        </w:rPr>
        <w:t>de la presente Resolución.</w:t>
      </w:r>
    </w:p>
    <w:p w14:paraId="6BA5791A" w14:textId="77777777" w:rsidR="001F28C7" w:rsidRDefault="001F28C7">
      <w:pPr>
        <w:spacing w:line="360" w:lineRule="auto"/>
        <w:jc w:val="both"/>
        <w:rPr>
          <w:rFonts w:ascii="Palatino Linotype" w:eastAsia="Palatino Linotype" w:hAnsi="Palatino Linotype" w:cs="Palatino Linotype"/>
        </w:rPr>
      </w:pPr>
    </w:p>
    <w:p w14:paraId="4623B9D4" w14:textId="77777777" w:rsidR="001F28C7" w:rsidRDefault="00D917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bCs/>
          <w:color w:val="000000"/>
        </w:rPr>
        <w:t xml:space="preserve">REVOCA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bCs/>
          <w:color w:val="000000"/>
        </w:rPr>
        <w:t>Ayuntamiento de Toluca</w:t>
      </w:r>
      <w:r>
        <w:rPr>
          <w:rFonts w:ascii="Palatino Linotype" w:eastAsia="Palatino Linotype" w:hAnsi="Palatino Linotype" w:cs="Palatino Linotype"/>
          <w:b/>
          <w:bCs/>
        </w:rPr>
        <w:t>;</w:t>
      </w:r>
      <w:r>
        <w:rPr>
          <w:rFonts w:ascii="Palatino Linotype" w:eastAsia="Palatino Linotype" w:hAnsi="Palatino Linotype" w:cs="Palatino Linotype"/>
        </w:rPr>
        <w:t xml:space="preserve"> por lo que</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b/>
          <w:bCs/>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previa búsqueda exhaustiva y razonable, la siguiente información en versión pública</w:t>
      </w:r>
      <w:r>
        <w:rPr>
          <w:rFonts w:ascii="Palatino Linotype" w:eastAsia="Palatino Linotype" w:hAnsi="Palatino Linotype" w:cs="Palatino Linotype"/>
        </w:rPr>
        <w:t>:</w:t>
      </w:r>
    </w:p>
    <w:p w14:paraId="639CDCB2" w14:textId="77777777" w:rsidR="001F28C7" w:rsidRDefault="001F28C7">
      <w:pPr>
        <w:spacing w:line="360" w:lineRule="auto"/>
        <w:jc w:val="both"/>
        <w:rPr>
          <w:rFonts w:ascii="Palatino Linotype" w:eastAsia="Palatino Linotype" w:hAnsi="Palatino Linotype" w:cs="Palatino Linotype"/>
        </w:rPr>
      </w:pPr>
    </w:p>
    <w:p w14:paraId="13CB7AF9" w14:textId="77777777" w:rsidR="001F28C7" w:rsidRDefault="00D917E0">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Plantilla de personal sindicalizado y, el soporte documental en que conste o se advierta su fecha de sindicalización, al 14 de marzo de 2025;</w:t>
      </w:r>
    </w:p>
    <w:p w14:paraId="003961ED" w14:textId="77777777" w:rsidR="001F28C7" w:rsidRDefault="00D917E0">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Los oficios o documentos a través de los cuales se solicitó su afiliación a un sindicato, del personal sindicalizado al 14 de marzo de 2025;</w:t>
      </w:r>
    </w:p>
    <w:p w14:paraId="346E6ECE" w14:textId="77777777" w:rsidR="001F28C7" w:rsidRDefault="00D917E0">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Fecha de alta en el Ayuntamiento, de los servidores públicos sindicalizados al 14 de marzo de 2025;</w:t>
      </w:r>
    </w:p>
    <w:p w14:paraId="0B9DA70A" w14:textId="77777777" w:rsidR="001F28C7" w:rsidRDefault="00D917E0">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Gafetes de identificación de los servidores públicos sindicalizados al 14 de marzo de 2025;</w:t>
      </w:r>
    </w:p>
    <w:p w14:paraId="3A1DD019" w14:textId="77777777" w:rsidR="001F28C7" w:rsidRDefault="00D917E0">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Oficios de liberación de plaza de los servidores públicos sindicalizados al 14 de marzo de 2025; y</w:t>
      </w:r>
    </w:p>
    <w:p w14:paraId="24C52208" w14:textId="77777777" w:rsidR="001F28C7" w:rsidRDefault="00D917E0">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bookmarkStart w:id="8" w:name="_heading=h.kdxiit2nwr5a" w:colFirst="0" w:colLast="0"/>
      <w:bookmarkEnd w:id="8"/>
      <w:r>
        <w:rPr>
          <w:rFonts w:ascii="Palatino Linotype" w:eastAsia="Palatino Linotype" w:hAnsi="Palatino Linotype" w:cs="Palatino Linotype"/>
          <w:b/>
          <w:bCs/>
          <w:color w:val="000000"/>
        </w:rPr>
        <w:t>De los servidores públicos sindicalizados al 14 de marzo de 2025 con percepciones iguales o superiores a los $30,000 (treinta mil pesos) netos mensuales: los oficios de liberación de plaza y el documento en que conste o se advierta la fecha de alta en el Ayuntamiento.</w:t>
      </w:r>
    </w:p>
    <w:p w14:paraId="39B7434E" w14:textId="77777777" w:rsidR="001F28C7" w:rsidRDefault="001F28C7">
      <w:pPr>
        <w:pBdr>
          <w:top w:val="nil"/>
          <w:left w:val="nil"/>
          <w:bottom w:val="nil"/>
          <w:right w:val="nil"/>
          <w:between w:val="nil"/>
        </w:pBdr>
        <w:spacing w:line="360" w:lineRule="auto"/>
        <w:ind w:left="778" w:right="709"/>
        <w:jc w:val="both"/>
        <w:rPr>
          <w:rFonts w:ascii="Palatino Linotype" w:eastAsia="Palatino Linotype" w:hAnsi="Palatino Linotype" w:cs="Palatino Linotype"/>
          <w:b/>
          <w:bCs/>
          <w:color w:val="000000"/>
        </w:rPr>
      </w:pPr>
    </w:p>
    <w:p w14:paraId="469DDC3B" w14:textId="77777777" w:rsidR="001F28C7" w:rsidRDefault="00D917E0">
      <w:pP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Pr>
          <w:rFonts w:ascii="Palatino Linotype" w:eastAsia="Palatino Linotype" w:hAnsi="Palatino Linotype" w:cs="Palatino Linotype"/>
        </w:rPr>
        <w:lastRenderedPageBreak/>
        <w:t>documental respectivo objeto de las versiones públicas que se formulen y se ponga a disposición de la parte Recurrente.</w:t>
      </w:r>
    </w:p>
    <w:p w14:paraId="3116958E" w14:textId="77777777" w:rsidR="001F28C7" w:rsidRDefault="001F28C7">
      <w:pPr>
        <w:spacing w:line="360" w:lineRule="auto"/>
        <w:jc w:val="both"/>
        <w:rPr>
          <w:rFonts w:ascii="Palatino Linotype" w:eastAsia="Palatino Linotype" w:hAnsi="Palatino Linotype" w:cs="Palatino Linotype"/>
          <w:color w:val="000000"/>
        </w:rPr>
      </w:pPr>
    </w:p>
    <w:p w14:paraId="4A74456C" w14:textId="77777777" w:rsidR="001F28C7" w:rsidRDefault="00D917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Para el caso de no contar con lo ordenado en el </w:t>
      </w:r>
      <w:r>
        <w:rPr>
          <w:rFonts w:ascii="Palatino Linotype" w:eastAsia="Palatino Linotype" w:hAnsi="Palatino Linotype" w:cs="Palatino Linotype"/>
          <w:b/>
          <w:bCs/>
          <w:color w:val="000000"/>
        </w:rPr>
        <w:t xml:space="preserve">incisos b), e) </w:t>
      </w:r>
      <w:r>
        <w:rPr>
          <w:rFonts w:ascii="Palatino Linotype" w:eastAsia="Palatino Linotype" w:hAnsi="Palatino Linotype" w:cs="Palatino Linotype"/>
          <w:color w:val="000000"/>
        </w:rPr>
        <w:t>y,</w:t>
      </w:r>
      <w:r>
        <w:rPr>
          <w:rFonts w:ascii="Palatino Linotype" w:eastAsia="Palatino Linotype" w:hAnsi="Palatino Linotype" w:cs="Palatino Linotype"/>
          <w:b/>
          <w:bCs/>
          <w:color w:val="000000"/>
        </w:rPr>
        <w:t xml:space="preserve"> f),</w:t>
      </w:r>
      <w:r>
        <w:rPr>
          <w:rFonts w:ascii="Palatino Linotype" w:eastAsia="Palatino Linotype" w:hAnsi="Palatino Linotype" w:cs="Palatino Linotype"/>
          <w:color w:val="000000"/>
        </w:rPr>
        <w:t xml:space="preserve"> bastará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lo haga del conocimiento de la parte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al momento de dar cumplimiento a la presente Resolución en términos del artículo 19 párrafo segundo de la</w:t>
      </w:r>
      <w:r>
        <w:rPr>
          <w:rFonts w:ascii="Palatino Linotype" w:eastAsia="Palatino Linotype" w:hAnsi="Palatino Linotype" w:cs="Palatino Linotype"/>
        </w:rPr>
        <w:t xml:space="preserve"> Ley de Transparencia y Acceso a la Información Pública del Estado de México y Municipios.</w:t>
      </w:r>
    </w:p>
    <w:p w14:paraId="69981C18" w14:textId="77777777" w:rsidR="001F28C7" w:rsidRDefault="001F28C7">
      <w:pPr>
        <w:spacing w:line="360" w:lineRule="auto"/>
        <w:jc w:val="both"/>
        <w:rPr>
          <w:rFonts w:ascii="Palatino Linotype" w:eastAsia="Palatino Linotype" w:hAnsi="Palatino Linotype" w:cs="Palatino Linotype"/>
        </w:rPr>
      </w:pPr>
    </w:p>
    <w:p w14:paraId="0B7AB916" w14:textId="77777777" w:rsidR="001F28C7" w:rsidRDefault="00D917E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bCs/>
        </w:rPr>
        <w:t xml:space="preserve">TERCERO. Notifíquese </w:t>
      </w:r>
      <w:r>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rPr>
        <w:t>dé cumplimiento a lo ordenado dentro del 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E1B37D6" w14:textId="77777777" w:rsidR="001F28C7" w:rsidRDefault="001F28C7">
      <w:pPr>
        <w:spacing w:line="360" w:lineRule="auto"/>
        <w:ind w:right="51"/>
        <w:jc w:val="both"/>
        <w:rPr>
          <w:rFonts w:ascii="Palatino Linotype" w:eastAsia="Palatino Linotype" w:hAnsi="Palatino Linotype" w:cs="Palatino Linotype"/>
        </w:rPr>
      </w:pPr>
    </w:p>
    <w:p w14:paraId="753A0B71" w14:textId="77777777" w:rsidR="001F28C7" w:rsidRDefault="00D917E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bCs/>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4ED5F43F" w14:textId="77777777" w:rsidR="001F28C7" w:rsidRDefault="001F28C7">
      <w:pPr>
        <w:spacing w:line="360" w:lineRule="auto"/>
        <w:ind w:right="51"/>
        <w:jc w:val="both"/>
        <w:rPr>
          <w:rFonts w:ascii="Palatino Linotype" w:eastAsia="Palatino Linotype" w:hAnsi="Palatino Linotype" w:cs="Palatino Linotype"/>
        </w:rPr>
      </w:pPr>
    </w:p>
    <w:p w14:paraId="0107FB05" w14:textId="77777777" w:rsidR="001F28C7" w:rsidRDefault="00D917E0">
      <w:pPr>
        <w:tabs>
          <w:tab w:val="left" w:pos="8080"/>
        </w:tabs>
        <w:spacing w:line="360" w:lineRule="auto"/>
        <w:ind w:right="51"/>
        <w:jc w:val="both"/>
        <w:rPr>
          <w:rFonts w:ascii="Palatino Linotype" w:eastAsia="Palatino Linotype" w:hAnsi="Palatino Linotype" w:cs="Palatino Linotype"/>
        </w:rPr>
      </w:pPr>
      <w:bookmarkStart w:id="9" w:name="_heading=h.lnxbz9" w:colFirst="0" w:colLast="0"/>
      <w:bookmarkEnd w:id="9"/>
      <w:r>
        <w:rPr>
          <w:rFonts w:ascii="Palatino Linotype" w:eastAsia="Palatino Linotype" w:hAnsi="Palatino Linotype" w:cs="Palatino Linotype"/>
          <w:b/>
          <w:bCs/>
        </w:rPr>
        <w:lastRenderedPageBreak/>
        <w:t xml:space="preserve">QUINTO. </w:t>
      </w:r>
      <w:r>
        <w:rPr>
          <w:rFonts w:ascii="Palatino Linotype" w:eastAsia="Palatino Linotype" w:hAnsi="Palatino Linotype" w:cs="Palatino Linotype"/>
        </w:rPr>
        <w:t xml:space="preserve">Notifíquese al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la presente Resolución, vía </w:t>
      </w:r>
      <w:r>
        <w:rPr>
          <w:rFonts w:ascii="Palatino Linotype" w:eastAsia="Palatino Linotype" w:hAnsi="Palatino Linotype" w:cs="Palatino Linotype"/>
          <w:b/>
          <w:bCs/>
        </w:rPr>
        <w:t>SAIMEX</w:t>
      </w:r>
      <w:r>
        <w:rPr>
          <w:rFonts w:ascii="Palatino Linotype" w:eastAsia="Palatino Linotype" w:hAnsi="Palatino Linotype" w:cs="Palatino Linotype"/>
        </w:rPr>
        <w:t>.</w:t>
      </w:r>
    </w:p>
    <w:p w14:paraId="2A359209" w14:textId="77777777" w:rsidR="001F28C7" w:rsidRDefault="001F28C7">
      <w:pPr>
        <w:tabs>
          <w:tab w:val="left" w:pos="8080"/>
        </w:tabs>
        <w:spacing w:line="360" w:lineRule="auto"/>
        <w:ind w:right="51"/>
        <w:jc w:val="both"/>
        <w:rPr>
          <w:rFonts w:ascii="Palatino Linotype" w:eastAsia="Palatino Linotype" w:hAnsi="Palatino Linotype" w:cs="Palatino Linotype"/>
        </w:rPr>
      </w:pPr>
    </w:p>
    <w:p w14:paraId="643024FB" w14:textId="77777777" w:rsidR="001F28C7" w:rsidRDefault="00D917E0">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bCs/>
        </w:rPr>
        <w:t xml:space="preserve">SEXTO. </w:t>
      </w:r>
      <w:r>
        <w:rPr>
          <w:rFonts w:ascii="Palatino Linotype" w:eastAsia="Palatino Linotype" w:hAnsi="Palatino Linotype" w:cs="Palatino Linotype"/>
        </w:rPr>
        <w:t>Se hace del conocimiento del</w:t>
      </w:r>
      <w:r>
        <w:rPr>
          <w:rFonts w:ascii="Palatino Linotype" w:eastAsia="Palatino Linotype" w:hAnsi="Palatino Linotype" w:cs="Palatino Linotype"/>
          <w:b/>
          <w:bCs/>
        </w:rPr>
        <w:t xml:space="preserve"> RECURRENTE </w:t>
      </w:r>
      <w:r>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2607A1FD" w14:textId="77777777" w:rsidR="001F28C7" w:rsidRDefault="001F28C7">
      <w:pPr>
        <w:spacing w:line="360" w:lineRule="auto"/>
        <w:jc w:val="both"/>
        <w:rPr>
          <w:rFonts w:ascii="Palatino Linotype" w:eastAsia="Palatino Linotype" w:hAnsi="Palatino Linotype" w:cs="Palatino Linotype"/>
          <w:color w:val="000000"/>
        </w:rPr>
      </w:pPr>
    </w:p>
    <w:p w14:paraId="61CFBA44" w14:textId="14D4CB47" w:rsidR="002567F7" w:rsidRPr="00C16EB4" w:rsidRDefault="002567F7" w:rsidP="002567F7">
      <w:pPr>
        <w:spacing w:before="240" w:after="240" w:line="360" w:lineRule="auto"/>
        <w:ind w:firstLine="1"/>
        <w:jc w:val="both"/>
        <w:rPr>
          <w:rFonts w:ascii="Palatino Linotype" w:hAnsi="Palatino Linotype"/>
        </w:rPr>
      </w:pPr>
      <w:bookmarkStart w:id="10" w:name="_Hlk99014733"/>
      <w:r w:rsidRPr="00C16EB4">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C16EB4" w:rsidRPr="00C16EB4">
        <w:rPr>
          <w:rFonts w:ascii="Palatino Linotype" w:hAnsi="Palatino Linotype" w:cs="Palatino Linotype"/>
        </w:rPr>
        <w:t xml:space="preserve"> EMITIENDO VOTO PARTICULAR</w:t>
      </w:r>
      <w:r w:rsidRPr="00C16EB4">
        <w:rPr>
          <w:rFonts w:ascii="Palatino Linotype" w:hAnsi="Palatino Linotype" w:cs="Palatino Linotype"/>
        </w:rPr>
        <w:t>, LUIS GUSTAVO PARRA NORIEGA Y GUADALUPE RAMÍREZ PEÑA</w:t>
      </w:r>
      <w:r w:rsidR="00C16EB4" w:rsidRPr="00C16EB4">
        <w:rPr>
          <w:rFonts w:ascii="Palatino Linotype" w:hAnsi="Palatino Linotype" w:cs="Palatino Linotype"/>
        </w:rPr>
        <w:t xml:space="preserve"> EMITIENDO VOTO PARTICULAR</w:t>
      </w:r>
      <w:r w:rsidRPr="00C16EB4">
        <w:rPr>
          <w:rFonts w:ascii="Palatino Linotype" w:hAnsi="Palatino Linotype" w:cs="Palatino Linotype"/>
        </w:rPr>
        <w:t xml:space="preserve">; EN LA CUARTA SESIÓN ORDINARIA, CELEBRADA EL CINCO (05) DE FEBRERO DE DOS MIL VEINTISÉIS, ANTE EL SECRETARIO TÉCNICO DEL PLENO </w:t>
      </w:r>
      <w:r w:rsidRPr="00C16EB4">
        <w:rPr>
          <w:rFonts w:ascii="Palatino Linotype" w:hAnsi="Palatino Linotype" w:cs="Palatino Linotype"/>
          <w:color w:val="000000" w:themeColor="text1"/>
        </w:rPr>
        <w:t>ALEXIS TAPIA RAMÍREZ.</w:t>
      </w:r>
    </w:p>
    <w:bookmarkEnd w:id="10"/>
    <w:p w14:paraId="3DC769B8" w14:textId="77777777" w:rsidR="001F28C7" w:rsidRDefault="001F28C7">
      <w:pPr>
        <w:spacing w:line="360" w:lineRule="auto"/>
        <w:jc w:val="both"/>
        <w:rPr>
          <w:rFonts w:ascii="Palatino Linotype" w:eastAsia="Palatino Linotype" w:hAnsi="Palatino Linotype" w:cs="Palatino Linotype"/>
        </w:rPr>
      </w:pPr>
    </w:p>
    <w:p w14:paraId="262F97C1" w14:textId="77777777" w:rsidR="001F28C7" w:rsidRDefault="001F28C7">
      <w:pPr>
        <w:spacing w:line="360" w:lineRule="auto"/>
        <w:jc w:val="both"/>
        <w:rPr>
          <w:rFonts w:ascii="Palatino Linotype" w:eastAsia="Palatino Linotype" w:hAnsi="Palatino Linotype" w:cs="Palatino Linotype"/>
        </w:rPr>
      </w:pPr>
    </w:p>
    <w:p w14:paraId="0ADD8DC6" w14:textId="77777777" w:rsidR="001F28C7" w:rsidRDefault="001F28C7">
      <w:pPr>
        <w:spacing w:line="360" w:lineRule="auto"/>
        <w:jc w:val="both"/>
        <w:rPr>
          <w:rFonts w:ascii="Palatino Linotype" w:eastAsia="Palatino Linotype" w:hAnsi="Palatino Linotype" w:cs="Palatino Linotype"/>
        </w:rPr>
      </w:pPr>
    </w:p>
    <w:p w14:paraId="7094A36B" w14:textId="77777777" w:rsidR="001F28C7" w:rsidRDefault="001F28C7">
      <w:pPr>
        <w:spacing w:line="360" w:lineRule="auto"/>
        <w:jc w:val="both"/>
        <w:rPr>
          <w:rFonts w:ascii="Palatino Linotype" w:eastAsia="Palatino Linotype" w:hAnsi="Palatino Linotype" w:cs="Palatino Linotype"/>
        </w:rPr>
      </w:pPr>
    </w:p>
    <w:p w14:paraId="114E2C72" w14:textId="77777777" w:rsidR="001F28C7" w:rsidRDefault="001F28C7">
      <w:pPr>
        <w:spacing w:line="360" w:lineRule="auto"/>
        <w:jc w:val="both"/>
        <w:rPr>
          <w:rFonts w:ascii="Palatino Linotype" w:eastAsia="Palatino Linotype" w:hAnsi="Palatino Linotype" w:cs="Palatino Linotype"/>
        </w:rPr>
      </w:pPr>
    </w:p>
    <w:p w14:paraId="7F0BCC87" w14:textId="77777777" w:rsidR="001F28C7" w:rsidRDefault="001F28C7">
      <w:pPr>
        <w:spacing w:line="360" w:lineRule="auto"/>
        <w:jc w:val="both"/>
        <w:rPr>
          <w:rFonts w:ascii="Palatino Linotype" w:eastAsia="Palatino Linotype" w:hAnsi="Palatino Linotype" w:cs="Palatino Linotype"/>
        </w:rPr>
      </w:pPr>
    </w:p>
    <w:p w14:paraId="02B26350" w14:textId="77777777" w:rsidR="001F28C7" w:rsidRDefault="001F28C7">
      <w:pPr>
        <w:spacing w:line="360" w:lineRule="auto"/>
        <w:rPr>
          <w:rFonts w:ascii="Palatino Linotype" w:eastAsia="Palatino Linotype" w:hAnsi="Palatino Linotype" w:cs="Palatino Linotype"/>
        </w:rPr>
      </w:pPr>
    </w:p>
    <w:p w14:paraId="1098A8BE" w14:textId="77777777" w:rsidR="001F28C7" w:rsidRDefault="001F28C7">
      <w:pPr>
        <w:spacing w:line="360" w:lineRule="auto"/>
        <w:rPr>
          <w:rFonts w:ascii="Palatino Linotype" w:eastAsia="Palatino Linotype" w:hAnsi="Palatino Linotype" w:cs="Palatino Linotype"/>
        </w:rPr>
      </w:pPr>
    </w:p>
    <w:p w14:paraId="4B8E28BD" w14:textId="77777777" w:rsidR="001F28C7" w:rsidRDefault="001F28C7">
      <w:pPr>
        <w:spacing w:line="360" w:lineRule="auto"/>
        <w:rPr>
          <w:rFonts w:ascii="Palatino Linotype" w:eastAsia="Palatino Linotype" w:hAnsi="Palatino Linotype" w:cs="Palatino Linotype"/>
        </w:rPr>
      </w:pPr>
    </w:p>
    <w:p w14:paraId="27BDAF7B" w14:textId="77777777" w:rsidR="001F28C7" w:rsidRDefault="001F28C7">
      <w:pPr>
        <w:spacing w:line="360" w:lineRule="auto"/>
        <w:rPr>
          <w:rFonts w:ascii="Palatino Linotype" w:eastAsia="Palatino Linotype" w:hAnsi="Palatino Linotype" w:cs="Palatino Linotype"/>
        </w:rPr>
      </w:pPr>
    </w:p>
    <w:p w14:paraId="3301CCD6" w14:textId="77777777" w:rsidR="001F28C7" w:rsidRDefault="001F28C7">
      <w:pPr>
        <w:spacing w:line="360" w:lineRule="auto"/>
        <w:rPr>
          <w:rFonts w:ascii="Palatino Linotype" w:eastAsia="Palatino Linotype" w:hAnsi="Palatino Linotype" w:cs="Palatino Linotype"/>
        </w:rPr>
      </w:pPr>
    </w:p>
    <w:p w14:paraId="671C0EB3" w14:textId="77777777" w:rsidR="001F28C7" w:rsidRDefault="001F28C7">
      <w:pPr>
        <w:spacing w:line="360" w:lineRule="auto"/>
        <w:rPr>
          <w:rFonts w:ascii="Palatino Linotype" w:eastAsia="Palatino Linotype" w:hAnsi="Palatino Linotype" w:cs="Palatino Linotype"/>
        </w:rPr>
      </w:pPr>
    </w:p>
    <w:p w14:paraId="3A6CC484" w14:textId="77777777" w:rsidR="001F28C7" w:rsidRDefault="001F28C7">
      <w:pPr>
        <w:spacing w:line="360" w:lineRule="auto"/>
        <w:rPr>
          <w:rFonts w:ascii="Palatino Linotype" w:eastAsia="Palatino Linotype" w:hAnsi="Palatino Linotype" w:cs="Palatino Linotype"/>
        </w:rPr>
      </w:pPr>
    </w:p>
    <w:p w14:paraId="79BBCD79" w14:textId="77777777" w:rsidR="001F28C7" w:rsidRDefault="00D917E0">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34C68CC6" w14:textId="77777777" w:rsidR="001F28C7" w:rsidRDefault="001F28C7">
      <w:pPr>
        <w:tabs>
          <w:tab w:val="left" w:pos="3374"/>
        </w:tabs>
        <w:spacing w:line="360" w:lineRule="auto"/>
        <w:rPr>
          <w:rFonts w:ascii="Palatino Linotype" w:eastAsia="Palatino Linotype" w:hAnsi="Palatino Linotype" w:cs="Palatino Linotype"/>
        </w:rPr>
      </w:pPr>
    </w:p>
    <w:p w14:paraId="40135E79" w14:textId="77777777" w:rsidR="001F28C7" w:rsidRDefault="001F28C7">
      <w:pPr>
        <w:tabs>
          <w:tab w:val="left" w:pos="3374"/>
        </w:tabs>
        <w:spacing w:line="360" w:lineRule="auto"/>
        <w:rPr>
          <w:rFonts w:ascii="Palatino Linotype" w:eastAsia="Palatino Linotype" w:hAnsi="Palatino Linotype" w:cs="Palatino Linotype"/>
        </w:rPr>
      </w:pPr>
    </w:p>
    <w:p w14:paraId="421C19EE" w14:textId="77777777" w:rsidR="001F28C7" w:rsidRDefault="001F28C7">
      <w:pPr>
        <w:tabs>
          <w:tab w:val="left" w:pos="3374"/>
        </w:tabs>
        <w:spacing w:line="360" w:lineRule="auto"/>
        <w:rPr>
          <w:rFonts w:ascii="Palatino Linotype" w:eastAsia="Palatino Linotype" w:hAnsi="Palatino Linotype" w:cs="Palatino Linotype"/>
        </w:rPr>
      </w:pPr>
    </w:p>
    <w:p w14:paraId="4B1B8E5C" w14:textId="77777777" w:rsidR="001F28C7" w:rsidRDefault="001F28C7">
      <w:pPr>
        <w:tabs>
          <w:tab w:val="left" w:pos="3374"/>
        </w:tabs>
        <w:spacing w:line="360" w:lineRule="auto"/>
        <w:rPr>
          <w:rFonts w:ascii="Palatino Linotype" w:eastAsia="Palatino Linotype" w:hAnsi="Palatino Linotype" w:cs="Palatino Linotype"/>
        </w:rPr>
      </w:pPr>
    </w:p>
    <w:p w14:paraId="7B314386" w14:textId="77777777" w:rsidR="001F28C7" w:rsidRDefault="001F28C7">
      <w:pPr>
        <w:tabs>
          <w:tab w:val="left" w:pos="3374"/>
        </w:tabs>
        <w:spacing w:line="360" w:lineRule="auto"/>
        <w:rPr>
          <w:rFonts w:ascii="Palatino Linotype" w:eastAsia="Palatino Linotype" w:hAnsi="Palatino Linotype" w:cs="Palatino Linotype"/>
        </w:rPr>
      </w:pPr>
    </w:p>
    <w:p w14:paraId="2BF85F4C" w14:textId="77777777" w:rsidR="001F28C7" w:rsidRDefault="001F28C7">
      <w:pPr>
        <w:tabs>
          <w:tab w:val="left" w:pos="3374"/>
        </w:tabs>
        <w:spacing w:line="360" w:lineRule="auto"/>
        <w:rPr>
          <w:rFonts w:ascii="Palatino Linotype" w:eastAsia="Palatino Linotype" w:hAnsi="Palatino Linotype" w:cs="Palatino Linotype"/>
        </w:rPr>
      </w:pPr>
    </w:p>
    <w:p w14:paraId="3EAE37DD" w14:textId="77777777" w:rsidR="001F28C7" w:rsidRDefault="001F28C7">
      <w:pPr>
        <w:spacing w:line="360" w:lineRule="auto"/>
        <w:rPr>
          <w:rFonts w:ascii="Palatino Linotype" w:eastAsia="Palatino Linotype" w:hAnsi="Palatino Linotype" w:cs="Palatino Linotype"/>
        </w:rPr>
      </w:pPr>
    </w:p>
    <w:sectPr w:rsidR="001F28C7" w:rsidSect="00EA2D09">
      <w:headerReference w:type="even" r:id="rId11"/>
      <w:headerReference w:type="default" r:id="rId12"/>
      <w:footerReference w:type="default" r:id="rId13"/>
      <w:headerReference w:type="first" r:id="rId14"/>
      <w:footerReference w:type="first" r:id="rId15"/>
      <w:pgSz w:w="12240" w:h="15840"/>
      <w:pgMar w:top="2269"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4380C" w14:textId="77777777" w:rsidR="00055B40" w:rsidRDefault="00055B40">
      <w:r>
        <w:separator/>
      </w:r>
    </w:p>
  </w:endnote>
  <w:endnote w:type="continuationSeparator" w:id="0">
    <w:p w14:paraId="3482A765" w14:textId="77777777" w:rsidR="00055B40" w:rsidRDefault="0005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140DE8D3-B6ED-41C3-80C2-D20EB45ACEB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24A3FE7-BEB4-41A5-96A5-31123D79EE9B}"/>
    <w:embedBold r:id="rId3" w:fontKey="{53BB1F7A-B5BD-4B99-9C3D-4175A79D6890}"/>
    <w:embedItalic r:id="rId4" w:fontKey="{3003FAC4-028D-49A0-9EDD-72F1A0CF78D0}"/>
    <w:embedBoldItalic r:id="rId5" w:fontKey="{8DA49150-4F19-4158-98F7-7749E580F60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559DD6A-C3CA-4D63-A812-88718D5A6E01}"/>
    <w:embedBold r:id="rId7" w:fontKey="{7FB22934-5338-45BF-8D34-850061051B11}"/>
  </w:font>
  <w:font w:name="Calibri Light">
    <w:panose1 w:val="020F0302020204030204"/>
    <w:charset w:val="00"/>
    <w:family w:val="swiss"/>
    <w:pitch w:val="variable"/>
    <w:sig w:usb0="E4002EFF" w:usb1="C200247B" w:usb2="00000009" w:usb3="00000000" w:csb0="000001FF" w:csb1="00000000"/>
    <w:embedRegular r:id="rId8" w:fontKey="{244004E7-2B9D-44D2-8B81-72CCFD62BAA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C6275798-558A-43FF-A66C-396E9876F4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13D3F" w14:textId="77777777" w:rsidR="001F28C7" w:rsidRPr="00EA2D09" w:rsidRDefault="00D917E0">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EA2D09">
      <w:rPr>
        <w:rFonts w:ascii="Palatino Linotype" w:eastAsia="Palatino Linotype" w:hAnsi="Palatino Linotype" w:cs="Palatino Linotype"/>
        <w:b/>
        <w:color w:val="000000"/>
        <w:sz w:val="22"/>
        <w:szCs w:val="20"/>
      </w:rPr>
      <w:t xml:space="preserve">Página </w:t>
    </w:r>
    <w:r w:rsidRPr="00EA2D09">
      <w:rPr>
        <w:rFonts w:ascii="Palatino Linotype" w:eastAsia="Palatino Linotype" w:hAnsi="Palatino Linotype" w:cs="Palatino Linotype"/>
        <w:b/>
        <w:color w:val="000000"/>
        <w:sz w:val="22"/>
        <w:szCs w:val="20"/>
      </w:rPr>
      <w:fldChar w:fldCharType="begin"/>
    </w:r>
    <w:r w:rsidRPr="00EA2D09">
      <w:rPr>
        <w:rFonts w:ascii="Palatino Linotype" w:eastAsia="Palatino Linotype" w:hAnsi="Palatino Linotype" w:cs="Palatino Linotype"/>
        <w:b/>
        <w:color w:val="000000"/>
        <w:sz w:val="22"/>
        <w:szCs w:val="20"/>
      </w:rPr>
      <w:instrText>PAGE</w:instrText>
    </w:r>
    <w:r w:rsidRPr="00EA2D09">
      <w:rPr>
        <w:rFonts w:ascii="Palatino Linotype" w:eastAsia="Palatino Linotype" w:hAnsi="Palatino Linotype" w:cs="Palatino Linotype"/>
        <w:b/>
        <w:color w:val="000000"/>
        <w:sz w:val="22"/>
        <w:szCs w:val="20"/>
      </w:rPr>
      <w:fldChar w:fldCharType="separate"/>
    </w:r>
    <w:r w:rsidR="00EA2D09">
      <w:rPr>
        <w:rFonts w:ascii="Palatino Linotype" w:eastAsia="Palatino Linotype" w:hAnsi="Palatino Linotype" w:cs="Palatino Linotype"/>
        <w:b/>
        <w:noProof/>
        <w:color w:val="000000"/>
        <w:sz w:val="22"/>
        <w:szCs w:val="20"/>
      </w:rPr>
      <w:t>21</w:t>
    </w:r>
    <w:r w:rsidRPr="00EA2D09">
      <w:rPr>
        <w:rFonts w:ascii="Palatino Linotype" w:eastAsia="Palatino Linotype" w:hAnsi="Palatino Linotype" w:cs="Palatino Linotype"/>
        <w:b/>
        <w:color w:val="000000"/>
        <w:sz w:val="22"/>
        <w:szCs w:val="20"/>
      </w:rPr>
      <w:fldChar w:fldCharType="end"/>
    </w:r>
    <w:r w:rsidRPr="00EA2D09">
      <w:rPr>
        <w:rFonts w:ascii="Palatino Linotype" w:eastAsia="Palatino Linotype" w:hAnsi="Palatino Linotype" w:cs="Palatino Linotype"/>
        <w:b/>
        <w:color w:val="000000"/>
        <w:sz w:val="22"/>
        <w:szCs w:val="20"/>
      </w:rPr>
      <w:t xml:space="preserve"> de </w:t>
    </w:r>
    <w:r w:rsidRPr="00EA2D09">
      <w:rPr>
        <w:rFonts w:ascii="Palatino Linotype" w:eastAsia="Palatino Linotype" w:hAnsi="Palatino Linotype" w:cs="Palatino Linotype"/>
        <w:b/>
        <w:color w:val="000000"/>
        <w:sz w:val="22"/>
        <w:szCs w:val="20"/>
      </w:rPr>
      <w:fldChar w:fldCharType="begin"/>
    </w:r>
    <w:r w:rsidRPr="00EA2D09">
      <w:rPr>
        <w:rFonts w:ascii="Palatino Linotype" w:eastAsia="Palatino Linotype" w:hAnsi="Palatino Linotype" w:cs="Palatino Linotype"/>
        <w:b/>
        <w:color w:val="000000"/>
        <w:sz w:val="22"/>
        <w:szCs w:val="20"/>
      </w:rPr>
      <w:instrText>NUMPAGES</w:instrText>
    </w:r>
    <w:r w:rsidRPr="00EA2D09">
      <w:rPr>
        <w:rFonts w:ascii="Palatino Linotype" w:eastAsia="Palatino Linotype" w:hAnsi="Palatino Linotype" w:cs="Palatino Linotype"/>
        <w:b/>
        <w:color w:val="000000"/>
        <w:sz w:val="22"/>
        <w:szCs w:val="20"/>
      </w:rPr>
      <w:fldChar w:fldCharType="separate"/>
    </w:r>
    <w:r w:rsidR="00EA2D09">
      <w:rPr>
        <w:rFonts w:ascii="Palatino Linotype" w:eastAsia="Palatino Linotype" w:hAnsi="Palatino Linotype" w:cs="Palatino Linotype"/>
        <w:b/>
        <w:noProof/>
        <w:color w:val="000000"/>
        <w:sz w:val="22"/>
        <w:szCs w:val="20"/>
      </w:rPr>
      <w:t>63</w:t>
    </w:r>
    <w:r w:rsidRPr="00EA2D09">
      <w:rPr>
        <w:rFonts w:ascii="Palatino Linotype" w:eastAsia="Palatino Linotype" w:hAnsi="Palatino Linotype" w:cs="Palatino Linotype"/>
        <w:b/>
        <w:color w:val="000000"/>
        <w:sz w:val="22"/>
        <w:szCs w:val="20"/>
      </w:rPr>
      <w:fldChar w:fldCharType="end"/>
    </w:r>
  </w:p>
  <w:p w14:paraId="63876184" w14:textId="77777777" w:rsidR="001F28C7" w:rsidRDefault="001F28C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DAC1E" w14:textId="77777777" w:rsidR="001F28C7" w:rsidRPr="00EA2D09" w:rsidRDefault="00D917E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EA2D09">
      <w:rPr>
        <w:rFonts w:ascii="Palatino Linotype" w:eastAsia="Palatino Linotype" w:hAnsi="Palatino Linotype" w:cs="Palatino Linotype"/>
        <w:color w:val="000000"/>
        <w:sz w:val="22"/>
        <w:szCs w:val="20"/>
      </w:rPr>
      <w:t xml:space="preserve">Página </w:t>
    </w:r>
    <w:r w:rsidRPr="00EA2D09">
      <w:rPr>
        <w:rFonts w:ascii="Palatino Linotype" w:eastAsia="Palatino Linotype" w:hAnsi="Palatino Linotype" w:cs="Palatino Linotype"/>
        <w:color w:val="000000"/>
        <w:sz w:val="22"/>
        <w:szCs w:val="20"/>
      </w:rPr>
      <w:fldChar w:fldCharType="begin"/>
    </w:r>
    <w:r w:rsidRPr="00EA2D09">
      <w:rPr>
        <w:rFonts w:ascii="Palatino Linotype" w:eastAsia="Palatino Linotype" w:hAnsi="Palatino Linotype" w:cs="Palatino Linotype"/>
        <w:color w:val="000000"/>
        <w:sz w:val="22"/>
        <w:szCs w:val="20"/>
      </w:rPr>
      <w:instrText>PAGE</w:instrText>
    </w:r>
    <w:r w:rsidRPr="00EA2D09">
      <w:rPr>
        <w:rFonts w:ascii="Palatino Linotype" w:eastAsia="Palatino Linotype" w:hAnsi="Palatino Linotype" w:cs="Palatino Linotype"/>
        <w:color w:val="000000"/>
        <w:sz w:val="22"/>
        <w:szCs w:val="20"/>
      </w:rPr>
      <w:fldChar w:fldCharType="separate"/>
    </w:r>
    <w:r w:rsidR="00EA2D09">
      <w:rPr>
        <w:rFonts w:ascii="Palatino Linotype" w:eastAsia="Palatino Linotype" w:hAnsi="Palatino Linotype" w:cs="Palatino Linotype"/>
        <w:noProof/>
        <w:color w:val="000000"/>
        <w:sz w:val="22"/>
        <w:szCs w:val="20"/>
      </w:rPr>
      <w:t>1</w:t>
    </w:r>
    <w:r w:rsidRPr="00EA2D09">
      <w:rPr>
        <w:rFonts w:ascii="Palatino Linotype" w:eastAsia="Palatino Linotype" w:hAnsi="Palatino Linotype" w:cs="Palatino Linotype"/>
        <w:color w:val="000000"/>
        <w:sz w:val="22"/>
        <w:szCs w:val="20"/>
      </w:rPr>
      <w:fldChar w:fldCharType="end"/>
    </w:r>
    <w:r w:rsidRPr="00EA2D09">
      <w:rPr>
        <w:rFonts w:ascii="Palatino Linotype" w:eastAsia="Palatino Linotype" w:hAnsi="Palatino Linotype" w:cs="Palatino Linotype"/>
        <w:color w:val="000000"/>
        <w:sz w:val="22"/>
        <w:szCs w:val="20"/>
      </w:rPr>
      <w:t xml:space="preserve"> de </w:t>
    </w:r>
    <w:r w:rsidRPr="00EA2D09">
      <w:rPr>
        <w:rFonts w:ascii="Palatino Linotype" w:eastAsia="Palatino Linotype" w:hAnsi="Palatino Linotype" w:cs="Palatino Linotype"/>
        <w:color w:val="000000"/>
        <w:sz w:val="22"/>
        <w:szCs w:val="20"/>
      </w:rPr>
      <w:fldChar w:fldCharType="begin"/>
    </w:r>
    <w:r w:rsidRPr="00EA2D09">
      <w:rPr>
        <w:rFonts w:ascii="Palatino Linotype" w:eastAsia="Palatino Linotype" w:hAnsi="Palatino Linotype" w:cs="Palatino Linotype"/>
        <w:color w:val="000000"/>
        <w:sz w:val="22"/>
        <w:szCs w:val="20"/>
      </w:rPr>
      <w:instrText>NUMPAGES</w:instrText>
    </w:r>
    <w:r w:rsidRPr="00EA2D09">
      <w:rPr>
        <w:rFonts w:ascii="Palatino Linotype" w:eastAsia="Palatino Linotype" w:hAnsi="Palatino Linotype" w:cs="Palatino Linotype"/>
        <w:color w:val="000000"/>
        <w:sz w:val="22"/>
        <w:szCs w:val="20"/>
      </w:rPr>
      <w:fldChar w:fldCharType="separate"/>
    </w:r>
    <w:r w:rsidR="00EA2D09">
      <w:rPr>
        <w:rFonts w:ascii="Palatino Linotype" w:eastAsia="Palatino Linotype" w:hAnsi="Palatino Linotype" w:cs="Palatino Linotype"/>
        <w:noProof/>
        <w:color w:val="000000"/>
        <w:sz w:val="22"/>
        <w:szCs w:val="20"/>
      </w:rPr>
      <w:t>63</w:t>
    </w:r>
    <w:r w:rsidRPr="00EA2D09">
      <w:rPr>
        <w:rFonts w:ascii="Palatino Linotype" w:eastAsia="Palatino Linotype" w:hAnsi="Palatino Linotype" w:cs="Palatino Linotype"/>
        <w:color w:val="000000"/>
        <w:sz w:val="22"/>
        <w:szCs w:val="20"/>
      </w:rPr>
      <w:fldChar w:fldCharType="end"/>
    </w:r>
  </w:p>
  <w:p w14:paraId="13009966" w14:textId="77777777" w:rsidR="001F28C7" w:rsidRDefault="001F28C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45D10" w14:textId="77777777" w:rsidR="00055B40" w:rsidRDefault="00055B40">
      <w:r>
        <w:separator/>
      </w:r>
    </w:p>
  </w:footnote>
  <w:footnote w:type="continuationSeparator" w:id="0">
    <w:p w14:paraId="01FA5BE0" w14:textId="77777777" w:rsidR="00055B40" w:rsidRDefault="00055B40">
      <w:r>
        <w:continuationSeparator/>
      </w:r>
    </w:p>
  </w:footnote>
  <w:footnote w:id="1">
    <w:p w14:paraId="00A22AA9" w14:textId="77777777" w:rsidR="001F28C7" w:rsidRDefault="00D917E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684B3516" w14:textId="77777777" w:rsidR="001F28C7" w:rsidRDefault="00D917E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284086D4" w14:textId="77777777" w:rsidR="001F28C7" w:rsidRDefault="00D917E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14:paraId="4E813F4B" w14:textId="77777777" w:rsidR="001F28C7" w:rsidRDefault="00D917E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14:paraId="4F65F6A3" w14:textId="77777777" w:rsidR="001F28C7" w:rsidRDefault="00D917E0">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14:paraId="15B3B59E" w14:textId="77777777" w:rsidR="001F28C7" w:rsidRDefault="00D917E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14:paraId="2A4B1F2E" w14:textId="77777777" w:rsidR="001F28C7" w:rsidRDefault="00D917E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EF7E4B4" w14:textId="77777777" w:rsidR="001F28C7" w:rsidRDefault="00D917E0">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340B6" w14:textId="77777777" w:rsidR="001F28C7" w:rsidRDefault="00055B40">
    <w:pPr>
      <w:pBdr>
        <w:top w:val="nil"/>
        <w:left w:val="nil"/>
        <w:bottom w:val="nil"/>
        <w:right w:val="nil"/>
        <w:between w:val="nil"/>
      </w:pBdr>
      <w:tabs>
        <w:tab w:val="center" w:pos="4419"/>
        <w:tab w:val="right" w:pos="8838"/>
      </w:tabs>
      <w:rPr>
        <w:color w:val="000000"/>
      </w:rPr>
    </w:pPr>
    <w:r>
      <w:rPr>
        <w:color w:val="000000"/>
      </w:rPr>
      <w:pict w14:anchorId="5E866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519" w:type="dxa"/>
      <w:tblInd w:w="3402" w:type="dxa"/>
      <w:tblLayout w:type="fixed"/>
      <w:tblLook w:val="0400" w:firstRow="0" w:lastRow="0" w:firstColumn="0" w:lastColumn="0" w:noHBand="0" w:noVBand="1"/>
    </w:tblPr>
    <w:tblGrid>
      <w:gridCol w:w="2976"/>
      <w:gridCol w:w="3543"/>
    </w:tblGrid>
    <w:tr w:rsidR="001F28C7" w14:paraId="0C0F8C3F" w14:textId="77777777" w:rsidTr="00EA2D09">
      <w:trPr>
        <w:trHeight w:val="227"/>
      </w:trPr>
      <w:tc>
        <w:tcPr>
          <w:tcW w:w="2976" w:type="dxa"/>
          <w:vAlign w:val="center"/>
        </w:tcPr>
        <w:p w14:paraId="37F5ABC0" w14:textId="66CF8BCB" w:rsidR="001F28C7" w:rsidRPr="00EA2D09" w:rsidRDefault="00D917E0" w:rsidP="00EA2D09">
          <w:pPr>
            <w:ind w:right="34"/>
            <w:jc w:val="right"/>
            <w:rPr>
              <w:rFonts w:ascii="Palatino Linotype" w:eastAsia="Palatino Linotype" w:hAnsi="Palatino Linotype" w:cs="Palatino Linotype"/>
              <w:b/>
              <w:bCs/>
              <w:szCs w:val="22"/>
            </w:rPr>
          </w:pPr>
          <w:r w:rsidRPr="00EA2D09">
            <w:rPr>
              <w:rFonts w:ascii="Palatino Linotype" w:eastAsia="Palatino Linotype" w:hAnsi="Palatino Linotype" w:cs="Palatino Linotype"/>
              <w:b/>
              <w:bCs/>
              <w:szCs w:val="22"/>
            </w:rPr>
            <w:t>Recurso de Revisión:</w:t>
          </w:r>
        </w:p>
      </w:tc>
      <w:tc>
        <w:tcPr>
          <w:tcW w:w="3543" w:type="dxa"/>
          <w:vAlign w:val="center"/>
        </w:tcPr>
        <w:p w14:paraId="66CAC5B5" w14:textId="77777777" w:rsidR="001F28C7" w:rsidRPr="00EA2D09" w:rsidRDefault="00D917E0" w:rsidP="00EA2D09">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EA2D09">
            <w:rPr>
              <w:rFonts w:ascii="Palatino Linotype" w:eastAsia="Palatino Linotype" w:hAnsi="Palatino Linotype" w:cs="Palatino Linotype"/>
              <w:color w:val="000000"/>
              <w:szCs w:val="22"/>
            </w:rPr>
            <w:t>05213/INFOEM/IP/RR/2025</w:t>
          </w:r>
        </w:p>
      </w:tc>
    </w:tr>
    <w:tr w:rsidR="001F28C7" w14:paraId="5A989507" w14:textId="77777777" w:rsidTr="00EA2D09">
      <w:trPr>
        <w:trHeight w:val="242"/>
      </w:trPr>
      <w:tc>
        <w:tcPr>
          <w:tcW w:w="2976" w:type="dxa"/>
          <w:vAlign w:val="center"/>
        </w:tcPr>
        <w:p w14:paraId="4B83F80C" w14:textId="77777777" w:rsidR="001F28C7" w:rsidRPr="00EA2D09" w:rsidRDefault="00D917E0" w:rsidP="00EA2D09">
          <w:pPr>
            <w:ind w:right="34"/>
            <w:jc w:val="right"/>
            <w:rPr>
              <w:rFonts w:ascii="Palatino Linotype" w:eastAsia="Palatino Linotype" w:hAnsi="Palatino Linotype" w:cs="Palatino Linotype"/>
              <w:b/>
              <w:bCs/>
              <w:szCs w:val="22"/>
            </w:rPr>
          </w:pPr>
          <w:r w:rsidRPr="00EA2D09">
            <w:rPr>
              <w:rFonts w:ascii="Palatino Linotype" w:eastAsia="Palatino Linotype" w:hAnsi="Palatino Linotype" w:cs="Palatino Linotype"/>
              <w:b/>
              <w:bCs/>
              <w:szCs w:val="22"/>
            </w:rPr>
            <w:t>Sujeto Obligado:</w:t>
          </w:r>
        </w:p>
      </w:tc>
      <w:tc>
        <w:tcPr>
          <w:tcW w:w="3543" w:type="dxa"/>
          <w:vAlign w:val="center"/>
        </w:tcPr>
        <w:p w14:paraId="20CFAFD0" w14:textId="77777777" w:rsidR="001F28C7" w:rsidRPr="00EA2D09" w:rsidRDefault="00D917E0" w:rsidP="00EA2D09">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EA2D09">
            <w:rPr>
              <w:rFonts w:ascii="Palatino Linotype" w:eastAsia="Palatino Linotype" w:hAnsi="Palatino Linotype" w:cs="Palatino Linotype"/>
              <w:color w:val="000000"/>
              <w:szCs w:val="22"/>
            </w:rPr>
            <w:t>Ayuntamiento de Toluca</w:t>
          </w:r>
        </w:p>
      </w:tc>
    </w:tr>
    <w:tr w:rsidR="001F28C7" w14:paraId="2EB3947D" w14:textId="77777777" w:rsidTr="00EA2D09">
      <w:trPr>
        <w:trHeight w:val="342"/>
      </w:trPr>
      <w:tc>
        <w:tcPr>
          <w:tcW w:w="2976" w:type="dxa"/>
          <w:vAlign w:val="center"/>
        </w:tcPr>
        <w:p w14:paraId="2A9A1EE9" w14:textId="77777777" w:rsidR="001F28C7" w:rsidRPr="00EA2D09" w:rsidRDefault="00D917E0" w:rsidP="00EA2D09">
          <w:pPr>
            <w:ind w:right="34"/>
            <w:jc w:val="right"/>
            <w:rPr>
              <w:rFonts w:ascii="Palatino Linotype" w:eastAsia="Palatino Linotype" w:hAnsi="Palatino Linotype" w:cs="Palatino Linotype"/>
              <w:b/>
              <w:bCs/>
              <w:szCs w:val="22"/>
            </w:rPr>
          </w:pPr>
          <w:r w:rsidRPr="00EA2D09">
            <w:rPr>
              <w:rFonts w:ascii="Palatino Linotype" w:eastAsia="Palatino Linotype" w:hAnsi="Palatino Linotype" w:cs="Palatino Linotype"/>
              <w:b/>
              <w:bCs/>
              <w:szCs w:val="22"/>
            </w:rPr>
            <w:t>Comisionada Ponente:</w:t>
          </w:r>
        </w:p>
      </w:tc>
      <w:tc>
        <w:tcPr>
          <w:tcW w:w="3543" w:type="dxa"/>
          <w:vAlign w:val="center"/>
        </w:tcPr>
        <w:p w14:paraId="75A0A3AA" w14:textId="77777777" w:rsidR="001F28C7" w:rsidRPr="00EA2D09" w:rsidRDefault="00D917E0" w:rsidP="00EA2D09">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EA2D09">
            <w:rPr>
              <w:rFonts w:ascii="Palatino Linotype" w:eastAsia="Palatino Linotype" w:hAnsi="Palatino Linotype" w:cs="Palatino Linotype"/>
              <w:color w:val="000000"/>
              <w:szCs w:val="22"/>
            </w:rPr>
            <w:t>María del Rosario Mejía Ayala</w:t>
          </w:r>
        </w:p>
      </w:tc>
    </w:tr>
  </w:tbl>
  <w:p w14:paraId="3A545042" w14:textId="4332CA6E" w:rsidR="001F28C7" w:rsidRDefault="00EA2D09">
    <w:pPr>
      <w:pBdr>
        <w:top w:val="nil"/>
        <w:left w:val="nil"/>
        <w:bottom w:val="nil"/>
        <w:right w:val="nil"/>
        <w:between w:val="nil"/>
      </w:pBdr>
      <w:tabs>
        <w:tab w:val="center" w:pos="4419"/>
        <w:tab w:val="right" w:pos="8838"/>
        <w:tab w:val="left" w:pos="6005"/>
      </w:tabs>
      <w:rPr>
        <w:color w:val="000000"/>
        <w:sz w:val="14"/>
        <w:szCs w:val="14"/>
      </w:rPr>
    </w:pPr>
    <w:r w:rsidRPr="00EA2D09">
      <w:rPr>
        <w:color w:val="000000"/>
        <w:szCs w:val="14"/>
      </w:rPr>
      <w:pict w14:anchorId="6490B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0.95pt;margin-top:-113.45pt;width:609.4pt;height:793.75pt;z-index:-251659776;mso-position-horizontal-relative:margin;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6660" w:type="dxa"/>
      <w:tblInd w:w="3402" w:type="dxa"/>
      <w:tblLayout w:type="fixed"/>
      <w:tblLook w:val="0400" w:firstRow="0" w:lastRow="0" w:firstColumn="0" w:lastColumn="0" w:noHBand="0" w:noVBand="1"/>
    </w:tblPr>
    <w:tblGrid>
      <w:gridCol w:w="2977"/>
      <w:gridCol w:w="3683"/>
    </w:tblGrid>
    <w:tr w:rsidR="001F28C7" w14:paraId="24192DF0" w14:textId="77777777" w:rsidTr="00EA2D09">
      <w:trPr>
        <w:trHeight w:val="227"/>
      </w:trPr>
      <w:tc>
        <w:tcPr>
          <w:tcW w:w="2977" w:type="dxa"/>
          <w:vAlign w:val="center"/>
        </w:tcPr>
        <w:p w14:paraId="1319ACF7" w14:textId="608A58DA" w:rsidR="001F28C7" w:rsidRPr="00EA2D09" w:rsidRDefault="00D917E0">
          <w:pPr>
            <w:jc w:val="right"/>
            <w:rPr>
              <w:rFonts w:ascii="Palatino Linotype" w:eastAsia="Palatino Linotype" w:hAnsi="Palatino Linotype" w:cs="Palatino Linotype"/>
              <w:b/>
              <w:bCs/>
              <w:szCs w:val="22"/>
            </w:rPr>
          </w:pPr>
          <w:r w:rsidRPr="00EA2D09">
            <w:rPr>
              <w:rFonts w:ascii="Palatino Linotype" w:eastAsia="Palatino Linotype" w:hAnsi="Palatino Linotype" w:cs="Palatino Linotype"/>
              <w:b/>
              <w:bCs/>
              <w:szCs w:val="22"/>
            </w:rPr>
            <w:t>Recurso de Revisión:</w:t>
          </w:r>
        </w:p>
      </w:tc>
      <w:tc>
        <w:tcPr>
          <w:tcW w:w="3683" w:type="dxa"/>
          <w:vAlign w:val="center"/>
        </w:tcPr>
        <w:p w14:paraId="5B0D30E2" w14:textId="77777777" w:rsidR="001F28C7" w:rsidRPr="00EA2D09" w:rsidRDefault="00D917E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EA2D09">
            <w:rPr>
              <w:rFonts w:ascii="Palatino Linotype" w:eastAsia="Palatino Linotype" w:hAnsi="Palatino Linotype" w:cs="Palatino Linotype"/>
              <w:color w:val="000000"/>
              <w:szCs w:val="22"/>
            </w:rPr>
            <w:t>05213/INFOEM/IP/RR/2025</w:t>
          </w:r>
        </w:p>
      </w:tc>
    </w:tr>
    <w:tr w:rsidR="001F28C7" w14:paraId="715B5B9A" w14:textId="77777777" w:rsidTr="00EA2D09">
      <w:trPr>
        <w:trHeight w:val="242"/>
      </w:trPr>
      <w:tc>
        <w:tcPr>
          <w:tcW w:w="2977" w:type="dxa"/>
          <w:vAlign w:val="center"/>
        </w:tcPr>
        <w:p w14:paraId="75040FE0" w14:textId="77777777" w:rsidR="001F28C7" w:rsidRPr="00EA2D09" w:rsidRDefault="00D917E0">
          <w:pPr>
            <w:jc w:val="right"/>
            <w:rPr>
              <w:rFonts w:ascii="Palatino Linotype" w:eastAsia="Palatino Linotype" w:hAnsi="Palatino Linotype" w:cs="Palatino Linotype"/>
              <w:b/>
              <w:bCs/>
              <w:szCs w:val="22"/>
            </w:rPr>
          </w:pPr>
          <w:r w:rsidRPr="00EA2D09">
            <w:rPr>
              <w:rFonts w:ascii="Palatino Linotype" w:eastAsia="Palatino Linotype" w:hAnsi="Palatino Linotype" w:cs="Palatino Linotype"/>
              <w:b/>
              <w:bCs/>
              <w:szCs w:val="22"/>
            </w:rPr>
            <w:t>Recurrente:</w:t>
          </w:r>
        </w:p>
      </w:tc>
      <w:tc>
        <w:tcPr>
          <w:tcW w:w="3683" w:type="dxa"/>
        </w:tcPr>
        <w:p w14:paraId="37E1ED5A" w14:textId="77777777" w:rsidR="001F28C7" w:rsidRPr="00EA2D09" w:rsidRDefault="001F28C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Cs w:val="22"/>
              <w:highlight w:val="green"/>
            </w:rPr>
          </w:pPr>
        </w:p>
      </w:tc>
    </w:tr>
    <w:tr w:rsidR="001F28C7" w14:paraId="68B91B57" w14:textId="77777777" w:rsidTr="00EA2D09">
      <w:trPr>
        <w:trHeight w:val="342"/>
      </w:trPr>
      <w:tc>
        <w:tcPr>
          <w:tcW w:w="2977" w:type="dxa"/>
          <w:vAlign w:val="center"/>
        </w:tcPr>
        <w:p w14:paraId="58D60ED7" w14:textId="77777777" w:rsidR="001F28C7" w:rsidRPr="00EA2D09" w:rsidRDefault="00D917E0">
          <w:pPr>
            <w:jc w:val="right"/>
            <w:rPr>
              <w:rFonts w:ascii="Palatino Linotype" w:eastAsia="Palatino Linotype" w:hAnsi="Palatino Linotype" w:cs="Palatino Linotype"/>
              <w:b/>
              <w:bCs/>
              <w:szCs w:val="22"/>
            </w:rPr>
          </w:pPr>
          <w:r w:rsidRPr="00EA2D09">
            <w:rPr>
              <w:rFonts w:ascii="Palatino Linotype" w:eastAsia="Palatino Linotype" w:hAnsi="Palatino Linotype" w:cs="Palatino Linotype"/>
              <w:b/>
              <w:bCs/>
              <w:szCs w:val="22"/>
            </w:rPr>
            <w:t>Sujeto Obligado:</w:t>
          </w:r>
        </w:p>
      </w:tc>
      <w:tc>
        <w:tcPr>
          <w:tcW w:w="3683" w:type="dxa"/>
          <w:vAlign w:val="center"/>
        </w:tcPr>
        <w:p w14:paraId="27043D87" w14:textId="77777777" w:rsidR="001F28C7" w:rsidRPr="00EA2D09" w:rsidRDefault="00D917E0">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EA2D09">
            <w:rPr>
              <w:rFonts w:ascii="Palatino Linotype" w:eastAsia="Palatino Linotype" w:hAnsi="Palatino Linotype" w:cs="Palatino Linotype"/>
              <w:color w:val="000000"/>
              <w:szCs w:val="22"/>
            </w:rPr>
            <w:t>Ayuntamiento de Toluca</w:t>
          </w:r>
        </w:p>
      </w:tc>
    </w:tr>
    <w:tr w:rsidR="001F28C7" w14:paraId="42FD938A" w14:textId="77777777" w:rsidTr="00EA2D09">
      <w:trPr>
        <w:trHeight w:val="342"/>
      </w:trPr>
      <w:tc>
        <w:tcPr>
          <w:tcW w:w="2977" w:type="dxa"/>
          <w:vAlign w:val="center"/>
        </w:tcPr>
        <w:p w14:paraId="205AB465" w14:textId="77777777" w:rsidR="001F28C7" w:rsidRPr="00EA2D09" w:rsidRDefault="00D917E0">
          <w:pPr>
            <w:jc w:val="right"/>
            <w:rPr>
              <w:rFonts w:ascii="Palatino Linotype" w:eastAsia="Palatino Linotype" w:hAnsi="Palatino Linotype" w:cs="Palatino Linotype"/>
              <w:b/>
              <w:bCs/>
              <w:szCs w:val="22"/>
            </w:rPr>
          </w:pPr>
          <w:r w:rsidRPr="00EA2D09">
            <w:rPr>
              <w:rFonts w:ascii="Palatino Linotype" w:eastAsia="Palatino Linotype" w:hAnsi="Palatino Linotype" w:cs="Palatino Linotype"/>
              <w:b/>
              <w:bCs/>
              <w:szCs w:val="22"/>
            </w:rPr>
            <w:t>Comisionada Ponente:</w:t>
          </w:r>
        </w:p>
      </w:tc>
      <w:tc>
        <w:tcPr>
          <w:tcW w:w="3683" w:type="dxa"/>
          <w:vAlign w:val="center"/>
        </w:tcPr>
        <w:p w14:paraId="52C74DB9" w14:textId="77777777" w:rsidR="001F28C7" w:rsidRPr="00EA2D09" w:rsidRDefault="00D917E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EA2D09">
            <w:rPr>
              <w:rFonts w:ascii="Palatino Linotype" w:eastAsia="Palatino Linotype" w:hAnsi="Palatino Linotype" w:cs="Palatino Linotype"/>
              <w:color w:val="000000"/>
              <w:szCs w:val="22"/>
            </w:rPr>
            <w:t>María del Rosario Mejía Ayala</w:t>
          </w:r>
        </w:p>
      </w:tc>
    </w:tr>
  </w:tbl>
  <w:p w14:paraId="1511ED1A" w14:textId="367F8068" w:rsidR="001F28C7" w:rsidRDefault="00EA2D09">
    <w:pPr>
      <w:pBdr>
        <w:top w:val="nil"/>
        <w:left w:val="nil"/>
        <w:bottom w:val="nil"/>
        <w:right w:val="nil"/>
        <w:between w:val="nil"/>
      </w:pBdr>
      <w:tabs>
        <w:tab w:val="center" w:pos="4419"/>
        <w:tab w:val="right" w:pos="8838"/>
      </w:tabs>
      <w:rPr>
        <w:color w:val="000000"/>
        <w:sz w:val="16"/>
        <w:szCs w:val="16"/>
      </w:rPr>
    </w:pPr>
    <w:r w:rsidRPr="00EA2D09">
      <w:rPr>
        <w:color w:val="000000"/>
        <w:szCs w:val="16"/>
      </w:rPr>
      <w:pict w14:anchorId="1EF6E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7.15pt;margin-top:-121pt;width:609.4pt;height:793.75pt;z-index:-251658752;mso-position-horizontal-relative:margin;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9C1CC4"/>
    <w:multiLevelType w:val="multilevel"/>
    <w:tmpl w:val="8268722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15:restartNumberingAfterBreak="0">
    <w:nsid w:val="325223AF"/>
    <w:multiLevelType w:val="multilevel"/>
    <w:tmpl w:val="4086CFB2"/>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5660D1"/>
    <w:multiLevelType w:val="multilevel"/>
    <w:tmpl w:val="F35A7EE4"/>
    <w:lvl w:ilvl="0">
      <w:start w:val="10"/>
      <w:numFmt w:val="decimal"/>
      <w:lvlText w:val="%1."/>
      <w:lvlJc w:val="left"/>
      <w:pPr>
        <w:ind w:left="360" w:hanging="360"/>
      </w:pPr>
      <w:rPr>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BA6096"/>
    <w:multiLevelType w:val="multilevel"/>
    <w:tmpl w:val="5FC09F44"/>
    <w:lvl w:ilvl="0">
      <w:start w:val="24"/>
      <w:numFmt w:val="decimal"/>
      <w:lvlText w:val="%1."/>
      <w:lvlJc w:val="left"/>
      <w:pPr>
        <w:ind w:left="786"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660970"/>
    <w:multiLevelType w:val="multilevel"/>
    <w:tmpl w:val="73283640"/>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FBF155B"/>
    <w:multiLevelType w:val="multilevel"/>
    <w:tmpl w:val="D97267CC"/>
    <w:lvl w:ilvl="0">
      <w:start w:val="1"/>
      <w:numFmt w:val="lowerLetter"/>
      <w:lvlText w:val="%1)"/>
      <w:lvlJc w:val="left"/>
      <w:pPr>
        <w:ind w:left="778"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404BE6"/>
    <w:multiLevelType w:val="hybridMultilevel"/>
    <w:tmpl w:val="6F406B72"/>
    <w:lvl w:ilvl="0" w:tplc="DD988D8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3B10F9B"/>
    <w:multiLevelType w:val="multilevel"/>
    <w:tmpl w:val="B44C69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5"/>
  </w:num>
  <w:num w:numId="2">
    <w:abstractNumId w:val="3"/>
  </w:num>
  <w:num w:numId="3">
    <w:abstractNumId w:val="2"/>
  </w:num>
  <w:num w:numId="4">
    <w:abstractNumId w:val="1"/>
  </w:num>
  <w:num w:numId="5">
    <w:abstractNumId w:val="0"/>
  </w:num>
  <w:num w:numId="6">
    <w:abstractNumId w:val="7"/>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8C7"/>
    <w:rsid w:val="00055B40"/>
    <w:rsid w:val="000A4E5F"/>
    <w:rsid w:val="001F28C7"/>
    <w:rsid w:val="002567F7"/>
    <w:rsid w:val="004677E6"/>
    <w:rsid w:val="00665F95"/>
    <w:rsid w:val="006C6D7D"/>
    <w:rsid w:val="006D6401"/>
    <w:rsid w:val="006E293F"/>
    <w:rsid w:val="00703B59"/>
    <w:rsid w:val="00726C8A"/>
    <w:rsid w:val="00767834"/>
    <w:rsid w:val="00796920"/>
    <w:rsid w:val="007E7B9E"/>
    <w:rsid w:val="00910653"/>
    <w:rsid w:val="009D032C"/>
    <w:rsid w:val="00C16EB4"/>
    <w:rsid w:val="00CA1638"/>
    <w:rsid w:val="00D917E0"/>
    <w:rsid w:val="00EA2D09"/>
    <w:rsid w:val="00EE3AFD"/>
    <w:rsid w:val="00FA6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ADCD4B"/>
  <w15:docId w15:val="{12985C41-37F5-4A2A-AE0F-77DAE421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table" w:customStyle="1" w:styleId="a">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Default">
    <w:name w:val="Default"/>
    <w:qFormat/>
    <w:rsid w:val="00D1478B"/>
    <w:pPr>
      <w:autoSpaceDE w:val="0"/>
      <w:autoSpaceDN w:val="0"/>
      <w:adjustRightInd w:val="0"/>
    </w:pPr>
    <w:rPr>
      <w:rFonts w:ascii="Arial" w:eastAsiaTheme="minorHAnsi" w:hAnsi="Arial" w:cs="Arial"/>
      <w:color w:val="000000"/>
      <w:lang w:val="es-MX" w:eastAsia="en-US"/>
    </w:rPr>
  </w:style>
  <w:style w:type="paragraph" w:styleId="Sinespaciado">
    <w:name w:val="No Spacing"/>
    <w:aliases w:val="Francesa,INAI"/>
    <w:link w:val="SinespaciadoCar"/>
    <w:uiPriority w:val="1"/>
    <w:qFormat/>
    <w:rsid w:val="00293D4F"/>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qFormat/>
    <w:locked/>
    <w:rsid w:val="00293D4F"/>
    <w:rPr>
      <w:rFonts w:asciiTheme="minorHAnsi" w:eastAsiaTheme="minorHAnsi" w:hAnsiTheme="minorHAnsi" w:cstheme="minorBidi"/>
      <w:sz w:val="22"/>
      <w:szCs w:val="22"/>
      <w:lang w:val="es-MX" w:eastAsia="en-US"/>
    </w:rPr>
  </w:style>
  <w:style w:type="paragraph" w:styleId="NormalWeb">
    <w:name w:val="Normal (Web)"/>
    <w:basedOn w:val="Normal"/>
    <w:uiPriority w:val="99"/>
    <w:unhideWhenUsed/>
    <w:rsid w:val="00012B2E"/>
    <w:pPr>
      <w:spacing w:before="100" w:beforeAutospacing="1" w:after="100" w:afterAutospacing="1"/>
    </w:pPr>
    <w:rPr>
      <w:rFonts w:ascii="Times New Roman" w:eastAsia="Times New Roman" w:hAnsi="Times New Roman" w:cs="Times New Roman"/>
      <w:lang w:val="es-MX"/>
    </w:rPr>
  </w:style>
  <w:style w:type="paragraph" w:customStyle="1" w:styleId="m5907675151158779931gmail-msolistparagraph">
    <w:name w:val="m_5907675151158779931gmail-msolistparagraph"/>
    <w:basedOn w:val="Normal"/>
    <w:rsid w:val="00BF46D9"/>
    <w:pPr>
      <w:spacing w:before="100" w:beforeAutospacing="1" w:after="100" w:afterAutospacing="1"/>
    </w:pPr>
    <w:rPr>
      <w:rFonts w:ascii="Times New Roman" w:eastAsia="Times New Roman" w:hAnsi="Times New Roman" w:cs="Times New Roman"/>
      <w:lang w:val="es-MX"/>
    </w:rPr>
  </w:style>
  <w:style w:type="paragraph" w:styleId="Listaconvietas2">
    <w:name w:val="List Bullet 2"/>
    <w:basedOn w:val="Normal"/>
    <w:uiPriority w:val="99"/>
    <w:unhideWhenUsed/>
    <w:rsid w:val="00C45B65"/>
    <w:pPr>
      <w:numPr>
        <w:numId w:val="7"/>
      </w:numPr>
      <w:contextualSpacing/>
    </w:pPr>
    <w:rPr>
      <w:rFonts w:ascii="Times New Roman" w:eastAsia="Times New Roman" w:hAnsi="Times New Roman" w:cs="Times New Roman"/>
      <w:sz w:val="20"/>
      <w:szCs w:val="20"/>
      <w:lang w:val="es-MX"/>
    </w:rPr>
  </w:style>
  <w:style w:type="numbering" w:customStyle="1" w:styleId="Estiloimportado22">
    <w:name w:val="Estilo importado 22"/>
    <w:rsid w:val="003C3C97"/>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dof.gob.mx/nota_detalle.php?codigo=5492254&amp;fecha=28/07/20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CkAiDNC2WL4UJnp3feDlI87HXA==">CgMxLjAyCGguZ2pkZ3hzMgloLjMwajB6bGwyCWguMWZvYjl0ZTIJaC4zem55c2g3MgloLjJldDkycDAyCGgudHlqY3d0MgloLjNkeTZ2a20yDmgua2R4aWl0Mm53cjVhMghoLmxueGJ6OTgAciExaWxQWUphMG5aSUNCSVhKQ1dDUDVYYVYwNF9uTW1neVY=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63</Pages>
  <Words>14786</Words>
  <Characters>81329</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95924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8</cp:revision>
  <cp:lastPrinted>2026-02-09T17:25:00Z</cp:lastPrinted>
  <dcterms:created xsi:type="dcterms:W3CDTF">2026-02-03T23:43:00Z</dcterms:created>
  <dcterms:modified xsi:type="dcterms:W3CDTF">2026-02-09T23:14:00Z</dcterms:modified>
</cp:coreProperties>
</file>