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5057" w:rsidRPr="005A369B" w:rsidRDefault="00605057" w:rsidP="00605057">
      <w:pPr>
        <w:pBdr>
          <w:top w:val="nil"/>
          <w:left w:val="nil"/>
          <w:bottom w:val="nil"/>
          <w:right w:val="nil"/>
          <w:between w:val="nil"/>
        </w:pBdr>
        <w:spacing w:line="360" w:lineRule="auto"/>
        <w:jc w:val="both"/>
        <w:rPr>
          <w:rFonts w:ascii="Palatino Linotype" w:eastAsia="Palatino Linotype" w:hAnsi="Palatino Linotype" w:cs="Palatino Linotype"/>
          <w:color w:val="000000"/>
        </w:rPr>
      </w:pPr>
      <w:bookmarkStart w:id="0" w:name="_GoBack"/>
      <w:bookmarkEnd w:id="0"/>
      <w:r w:rsidRPr="005A369B">
        <w:rPr>
          <w:rFonts w:ascii="Palatino Linotype" w:eastAsia="Palatino Linotype" w:hAnsi="Palatino Linotype" w:cs="Palatino Linotype"/>
          <w:color w:val="000000"/>
        </w:rPr>
        <w:t xml:space="preserve">Resolución del Pleno del Instituto de Transparencia, Acceso a la Información Pública y Protección de Datos Personales del Estado de México y Municipios, con domicilio en Metepec, Estado de México; </w:t>
      </w:r>
      <w:r w:rsidRPr="005A369B">
        <w:rPr>
          <w:rFonts w:ascii="Palatino Linotype" w:eastAsia="Palatino Linotype" w:hAnsi="Palatino Linotype" w:cs="Palatino Linotype"/>
          <w:b/>
          <w:color w:val="000000"/>
        </w:rPr>
        <w:t xml:space="preserve">de fecha </w:t>
      </w:r>
      <w:r w:rsidR="00846A03" w:rsidRPr="005A369B">
        <w:rPr>
          <w:rFonts w:ascii="Palatino Linotype" w:eastAsia="Palatino Linotype" w:hAnsi="Palatino Linotype" w:cs="Palatino Linotype"/>
          <w:b/>
          <w:color w:val="000000"/>
        </w:rPr>
        <w:t>tres</w:t>
      </w:r>
      <w:r w:rsidR="0044093F">
        <w:rPr>
          <w:rFonts w:ascii="Palatino Linotype" w:eastAsia="Palatino Linotype" w:hAnsi="Palatino Linotype" w:cs="Palatino Linotype"/>
          <w:b/>
          <w:color w:val="000000"/>
        </w:rPr>
        <w:t xml:space="preserve"> (03)</w:t>
      </w:r>
      <w:r w:rsidR="00846A03" w:rsidRPr="005A369B">
        <w:rPr>
          <w:rFonts w:ascii="Palatino Linotype" w:eastAsia="Palatino Linotype" w:hAnsi="Palatino Linotype" w:cs="Palatino Linotype"/>
          <w:b/>
          <w:color w:val="000000"/>
        </w:rPr>
        <w:t xml:space="preserve"> de junio </w:t>
      </w:r>
      <w:r w:rsidRPr="005A369B">
        <w:rPr>
          <w:rFonts w:ascii="Palatino Linotype" w:eastAsia="Palatino Linotype" w:hAnsi="Palatino Linotype" w:cs="Palatino Linotype"/>
          <w:b/>
          <w:color w:val="000000"/>
        </w:rPr>
        <w:t>de dos mil veintiséis.</w:t>
      </w:r>
    </w:p>
    <w:p w:rsidR="00605057" w:rsidRPr="005A369B" w:rsidRDefault="00605057" w:rsidP="00605057">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605057" w:rsidRPr="005A369B" w:rsidRDefault="00605057" w:rsidP="00605057">
      <w:pPr>
        <w:pBdr>
          <w:top w:val="nil"/>
          <w:left w:val="nil"/>
          <w:bottom w:val="nil"/>
          <w:right w:val="nil"/>
          <w:between w:val="nil"/>
        </w:pBdr>
        <w:spacing w:line="360" w:lineRule="auto"/>
        <w:jc w:val="both"/>
        <w:rPr>
          <w:rFonts w:ascii="Palatino Linotype" w:eastAsia="Palatino Linotype" w:hAnsi="Palatino Linotype" w:cs="Palatino Linotype"/>
          <w:color w:val="000000"/>
        </w:rPr>
      </w:pPr>
      <w:bookmarkStart w:id="1" w:name="_heading=h.gjdgxs" w:colFirst="0" w:colLast="0"/>
      <w:bookmarkEnd w:id="1"/>
      <w:r w:rsidRPr="005A369B">
        <w:rPr>
          <w:rFonts w:ascii="Palatino Linotype" w:eastAsia="Palatino Linotype" w:hAnsi="Palatino Linotype" w:cs="Palatino Linotype"/>
          <w:b/>
          <w:bCs/>
          <w:color w:val="000000"/>
        </w:rPr>
        <w:t>VISTO</w:t>
      </w:r>
      <w:r w:rsidRPr="005A369B">
        <w:rPr>
          <w:rFonts w:ascii="Palatino Linotype" w:eastAsia="Palatino Linotype" w:hAnsi="Palatino Linotype" w:cs="Palatino Linotype"/>
          <w:color w:val="000000"/>
        </w:rPr>
        <w:t xml:space="preserve"> el expediente electrónico formado con motivo   del Recursos de Revisión </w:t>
      </w:r>
      <w:r w:rsidR="00AF7A66" w:rsidRPr="005A369B">
        <w:rPr>
          <w:rFonts w:ascii="Palatino Linotype" w:eastAsia="Palatino Linotype" w:hAnsi="Palatino Linotype" w:cs="Palatino Linotype"/>
          <w:b/>
          <w:bCs/>
          <w:color w:val="000000"/>
        </w:rPr>
        <w:t xml:space="preserve">12398/INFOEM/IP/RR/2025 </w:t>
      </w:r>
      <w:r w:rsidRPr="005A369B">
        <w:rPr>
          <w:rFonts w:ascii="Palatino Linotype" w:eastAsia="Palatino Linotype" w:hAnsi="Palatino Linotype" w:cs="Palatino Linotype"/>
          <w:color w:val="000000"/>
        </w:rPr>
        <w:t xml:space="preserve">promovido por </w:t>
      </w:r>
      <w:r w:rsidR="00C776CE">
        <w:rPr>
          <w:rFonts w:ascii="Palatino Linotype" w:eastAsia="Palatino Linotype" w:hAnsi="Palatino Linotype" w:cs="Palatino Linotype"/>
          <w:b/>
          <w:bCs/>
          <w:szCs w:val="22"/>
        </w:rPr>
        <w:t>XXXX</w:t>
      </w:r>
      <w:r w:rsidRPr="005A369B">
        <w:rPr>
          <w:rFonts w:ascii="Palatino Linotype" w:eastAsia="Palatino Linotype" w:hAnsi="Palatino Linotype" w:cs="Palatino Linotype"/>
          <w:color w:val="000000"/>
        </w:rPr>
        <w:t xml:space="preserve">, a través del Sistema de Acceso a la Información Mexiquense (SAIMEX), a quien en lo sucesivo se le identificará como </w:t>
      </w:r>
      <w:r w:rsidRPr="005A369B">
        <w:rPr>
          <w:rFonts w:ascii="Palatino Linotype" w:eastAsia="Palatino Linotype" w:hAnsi="Palatino Linotype" w:cs="Palatino Linotype"/>
          <w:b/>
          <w:bCs/>
          <w:color w:val="000000"/>
        </w:rPr>
        <w:t>EL RECURRENTE</w:t>
      </w:r>
      <w:r w:rsidRPr="005A369B">
        <w:rPr>
          <w:rFonts w:ascii="Palatino Linotype" w:eastAsia="Palatino Linotype" w:hAnsi="Palatino Linotype" w:cs="Palatino Linotype"/>
          <w:color w:val="000000"/>
        </w:rPr>
        <w:t>, en co</w:t>
      </w:r>
      <w:r w:rsidR="006A2720">
        <w:rPr>
          <w:rFonts w:ascii="Palatino Linotype" w:eastAsia="Palatino Linotype" w:hAnsi="Palatino Linotype" w:cs="Palatino Linotype"/>
          <w:color w:val="000000"/>
        </w:rPr>
        <w:t>ntra de la respuesta</w:t>
      </w:r>
      <w:r w:rsidRPr="005A369B">
        <w:rPr>
          <w:rFonts w:ascii="Palatino Linotype" w:eastAsia="Palatino Linotype" w:hAnsi="Palatino Linotype" w:cs="Palatino Linotype"/>
          <w:color w:val="000000"/>
        </w:rPr>
        <w:t xml:space="preserve"> del </w:t>
      </w:r>
      <w:r w:rsidRPr="005A369B">
        <w:rPr>
          <w:rFonts w:ascii="Palatino Linotype" w:eastAsia="Palatino Linotype" w:hAnsi="Palatino Linotype" w:cs="Palatino Linotype"/>
          <w:b/>
          <w:bCs/>
          <w:color w:val="000000"/>
        </w:rPr>
        <w:t>Ayuntamiento de Tepotzotlán</w:t>
      </w:r>
      <w:r w:rsidRPr="005A369B">
        <w:rPr>
          <w:rFonts w:ascii="Palatino Linotype" w:eastAsia="Palatino Linotype" w:hAnsi="Palatino Linotype" w:cs="Palatino Linotype"/>
          <w:color w:val="000000"/>
        </w:rPr>
        <w:t xml:space="preserve"> en </w:t>
      </w:r>
      <w:r w:rsidRPr="005A369B">
        <w:rPr>
          <w:rFonts w:ascii="Palatino Linotype" w:eastAsia="Palatino Linotype" w:hAnsi="Palatino Linotype" w:cs="Palatino Linotype"/>
        </w:rPr>
        <w:t>adelante</w:t>
      </w:r>
      <w:r w:rsidRPr="005A369B">
        <w:rPr>
          <w:rFonts w:ascii="Palatino Linotype" w:eastAsia="Palatino Linotype" w:hAnsi="Palatino Linotype" w:cs="Palatino Linotype"/>
          <w:color w:val="000000"/>
        </w:rPr>
        <w:t xml:space="preserve"> </w:t>
      </w:r>
      <w:r w:rsidRPr="005A369B">
        <w:rPr>
          <w:rFonts w:ascii="Palatino Linotype" w:eastAsia="Palatino Linotype" w:hAnsi="Palatino Linotype" w:cs="Palatino Linotype"/>
          <w:b/>
          <w:bCs/>
          <w:color w:val="000000"/>
        </w:rPr>
        <w:t>EL SUJETO OBLIGADO</w:t>
      </w:r>
      <w:r w:rsidRPr="005A369B">
        <w:rPr>
          <w:rFonts w:ascii="Palatino Linotype" w:eastAsia="Palatino Linotype" w:hAnsi="Palatino Linotype" w:cs="Palatino Linotype"/>
          <w:color w:val="000000"/>
        </w:rPr>
        <w:t>, se procede a dictar la presente resolución, con base en los siguientes:</w:t>
      </w:r>
    </w:p>
    <w:p w:rsidR="00605057" w:rsidRPr="005A369B" w:rsidRDefault="00605057" w:rsidP="00605057">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605057" w:rsidRPr="005A369B" w:rsidRDefault="00605057" w:rsidP="00605057">
      <w:pPr>
        <w:pBdr>
          <w:top w:val="nil"/>
          <w:left w:val="nil"/>
          <w:bottom w:val="nil"/>
          <w:right w:val="nil"/>
          <w:between w:val="nil"/>
        </w:pBdr>
        <w:spacing w:line="360" w:lineRule="auto"/>
        <w:jc w:val="center"/>
        <w:rPr>
          <w:rFonts w:ascii="Palatino Linotype" w:eastAsia="Palatino Linotype" w:hAnsi="Palatino Linotype" w:cs="Palatino Linotype"/>
          <w:b/>
          <w:bCs/>
          <w:color w:val="000000"/>
        </w:rPr>
      </w:pPr>
      <w:r w:rsidRPr="005A369B">
        <w:rPr>
          <w:rFonts w:ascii="Palatino Linotype" w:eastAsia="Palatino Linotype" w:hAnsi="Palatino Linotype" w:cs="Palatino Linotype"/>
          <w:b/>
          <w:bCs/>
          <w:color w:val="000000"/>
        </w:rPr>
        <w:t>A N T E C E D E N T E S</w:t>
      </w:r>
    </w:p>
    <w:p w:rsidR="00605057" w:rsidRPr="005A369B" w:rsidRDefault="00605057" w:rsidP="00605057">
      <w:pPr>
        <w:spacing w:line="360" w:lineRule="auto"/>
        <w:rPr>
          <w:rFonts w:ascii="Palatino Linotype" w:eastAsia="Palatino Linotype" w:hAnsi="Palatino Linotype" w:cs="Palatino Linotype"/>
        </w:rPr>
      </w:pPr>
    </w:p>
    <w:p w:rsidR="00605057" w:rsidRPr="005A369B" w:rsidRDefault="00605057" w:rsidP="00605057">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5A369B">
        <w:rPr>
          <w:rFonts w:ascii="Palatino Linotype" w:eastAsia="Palatino Linotype" w:hAnsi="Palatino Linotype" w:cs="Palatino Linotype"/>
          <w:color w:val="000000"/>
        </w:rPr>
        <w:t xml:space="preserve">El </w:t>
      </w:r>
      <w:r w:rsidR="00AF7A66" w:rsidRPr="005A369B">
        <w:rPr>
          <w:rFonts w:ascii="Palatino Linotype" w:eastAsia="Palatino Linotype" w:hAnsi="Palatino Linotype" w:cs="Palatino Linotype"/>
          <w:b/>
          <w:bCs/>
          <w:color w:val="000000"/>
        </w:rPr>
        <w:t>ocho de octubre</w:t>
      </w:r>
      <w:r w:rsidRPr="005A369B">
        <w:rPr>
          <w:rFonts w:ascii="Palatino Linotype" w:eastAsia="Palatino Linotype" w:hAnsi="Palatino Linotype" w:cs="Palatino Linotype"/>
          <w:b/>
          <w:bCs/>
          <w:color w:val="000000"/>
        </w:rPr>
        <w:t xml:space="preserve"> de dos mil veinticinco, </w:t>
      </w:r>
      <w:r w:rsidRPr="005A369B">
        <w:rPr>
          <w:rFonts w:ascii="Palatino Linotype" w:eastAsia="Palatino Linotype" w:hAnsi="Palatino Linotype" w:cs="Palatino Linotype"/>
          <w:color w:val="000000"/>
        </w:rPr>
        <w:t xml:space="preserve">el </w:t>
      </w:r>
      <w:r w:rsidRPr="005A369B">
        <w:rPr>
          <w:rFonts w:ascii="Palatino Linotype" w:eastAsia="Palatino Linotype" w:hAnsi="Palatino Linotype" w:cs="Palatino Linotype"/>
          <w:b/>
          <w:bCs/>
          <w:color w:val="000000"/>
        </w:rPr>
        <w:t>RECURRENTE</w:t>
      </w:r>
      <w:r w:rsidRPr="005A369B">
        <w:rPr>
          <w:rFonts w:ascii="Palatino Linotype" w:eastAsia="Palatino Linotype" w:hAnsi="Palatino Linotype" w:cs="Palatino Linotype"/>
          <w:color w:val="000000"/>
        </w:rPr>
        <w:t xml:space="preserve"> </w:t>
      </w:r>
      <w:r w:rsidRPr="005A369B">
        <w:rPr>
          <w:rFonts w:ascii="Palatino Linotype" w:eastAsia="Palatino Linotype" w:hAnsi="Palatino Linotype" w:cs="Palatino Linotype"/>
        </w:rPr>
        <w:t>ingresó</w:t>
      </w:r>
      <w:r w:rsidRPr="005A369B">
        <w:rPr>
          <w:rFonts w:ascii="Palatino Linotype" w:eastAsia="Palatino Linotype" w:hAnsi="Palatino Linotype" w:cs="Palatino Linotype"/>
          <w:color w:val="000000"/>
        </w:rPr>
        <w:t xml:space="preserve"> la solicitud de información, el Sistema de Acceso a la Información</w:t>
      </w:r>
      <w:r w:rsidRPr="005A369B">
        <w:rPr>
          <w:rFonts w:ascii="Palatino Linotype" w:eastAsia="Palatino Linotype" w:hAnsi="Palatino Linotype" w:cs="Palatino Linotype"/>
          <w:b/>
          <w:bCs/>
          <w:color w:val="000000"/>
        </w:rPr>
        <w:t xml:space="preserve"> , </w:t>
      </w:r>
      <w:r w:rsidRPr="005A369B">
        <w:rPr>
          <w:rFonts w:ascii="Palatino Linotype" w:eastAsia="Palatino Linotype" w:hAnsi="Palatino Linotype" w:cs="Palatino Linotype"/>
          <w:color w:val="000000"/>
        </w:rPr>
        <w:t xml:space="preserve">quedando  registrada con el número </w:t>
      </w:r>
      <w:r w:rsidR="001E6437" w:rsidRPr="005A369B">
        <w:rPr>
          <w:rFonts w:ascii="Palatino Linotype" w:eastAsia="Palatino Linotype" w:hAnsi="Palatino Linotype" w:cs="Palatino Linotype"/>
          <w:b/>
          <w:bCs/>
          <w:color w:val="000000"/>
        </w:rPr>
        <w:t>00614/TEPOTZOT/IP/2025</w:t>
      </w:r>
      <w:r w:rsidRPr="005A369B">
        <w:rPr>
          <w:rFonts w:ascii="Palatino Linotype" w:eastAsia="Palatino Linotype" w:hAnsi="Palatino Linotype" w:cs="Palatino Linotype"/>
          <w:b/>
          <w:bCs/>
          <w:color w:val="000000"/>
        </w:rPr>
        <w:t xml:space="preserve">, </w:t>
      </w:r>
      <w:r w:rsidRPr="005A369B">
        <w:rPr>
          <w:rFonts w:ascii="Palatino Linotype" w:eastAsia="Palatino Linotype" w:hAnsi="Palatino Linotype" w:cs="Palatino Linotype"/>
        </w:rPr>
        <w:t xml:space="preserve">en la que </w:t>
      </w:r>
      <w:r w:rsidRPr="005A369B">
        <w:rPr>
          <w:rFonts w:ascii="Palatino Linotype" w:eastAsia="Palatino Linotype" w:hAnsi="Palatino Linotype" w:cs="Palatino Linotype"/>
          <w:color w:val="000000"/>
        </w:rPr>
        <w:t>se solicitó la siguiente información:</w:t>
      </w:r>
    </w:p>
    <w:p w:rsidR="00605057" w:rsidRPr="005A369B" w:rsidRDefault="00605057" w:rsidP="00605057">
      <w:pPr>
        <w:jc w:val="both"/>
        <w:rPr>
          <w:rFonts w:ascii="Palatino Linotype" w:eastAsia="Palatino Linotype" w:hAnsi="Palatino Linotype" w:cs="Palatino Linotype"/>
          <w:i/>
          <w:iCs/>
        </w:rPr>
      </w:pPr>
    </w:p>
    <w:p w:rsidR="00605057" w:rsidRPr="005A369B" w:rsidRDefault="00605057" w:rsidP="00605057">
      <w:pPr>
        <w:pBdr>
          <w:top w:val="nil"/>
          <w:left w:val="nil"/>
          <w:bottom w:val="nil"/>
          <w:right w:val="nil"/>
          <w:between w:val="nil"/>
        </w:pBdr>
        <w:ind w:left="1134" w:right="1134"/>
        <w:jc w:val="both"/>
        <w:rPr>
          <w:rFonts w:ascii="Palatino Linotype" w:eastAsia="Palatino Linotype" w:hAnsi="Palatino Linotype" w:cs="Palatino Linotype"/>
          <w:i/>
          <w:iCs/>
          <w:color w:val="000000"/>
        </w:rPr>
      </w:pPr>
      <w:r w:rsidRPr="005A369B">
        <w:rPr>
          <w:rFonts w:ascii="Palatino Linotype" w:eastAsia="Palatino Linotype" w:hAnsi="Palatino Linotype" w:cs="Palatino Linotype"/>
          <w:i/>
          <w:iCs/>
          <w:color w:val="000000"/>
        </w:rPr>
        <w:t xml:space="preserve">1. </w:t>
      </w:r>
      <w:r w:rsidR="001E6437" w:rsidRPr="005A369B">
        <w:rPr>
          <w:rFonts w:ascii="Palatino Linotype" w:eastAsia="Palatino Linotype" w:hAnsi="Palatino Linotype" w:cs="Palatino Linotype"/>
          <w:i/>
          <w:iCs/>
          <w:color w:val="000000"/>
        </w:rPr>
        <w:t>Solicito me sea informado el motivo por el cual se demolieron y reconstruyeron en febrero de 2025 los cabezales de los apoyos 2, 3 y 4 del paso inferior vehicular tepotztolan, ubicado sobre la carretera mexico-queretaro. Asi mismo solicito el nombre de todas las empresas constructoras y supervisoras que han estado involucradas en las diferentes etapas de construcción con sus numeros de contrato, periodos de ejecucion, montos de contrato, objetos del contrato, asi como, sus convenios con montos, plazos y numeros de convenio.</w:t>
      </w:r>
      <w:r w:rsidRPr="005A369B">
        <w:rPr>
          <w:rFonts w:ascii="Palatino Linotype" w:eastAsia="Palatino Linotype" w:hAnsi="Palatino Linotype" w:cs="Palatino Linotype"/>
          <w:i/>
          <w:iCs/>
          <w:color w:val="000000"/>
        </w:rPr>
        <w:t>”(Sic)</w:t>
      </w:r>
    </w:p>
    <w:p w:rsidR="00605057" w:rsidRPr="005A369B" w:rsidRDefault="00605057" w:rsidP="00605057">
      <w:pPr>
        <w:pBdr>
          <w:top w:val="nil"/>
          <w:left w:val="nil"/>
          <w:bottom w:val="nil"/>
          <w:right w:val="nil"/>
          <w:between w:val="nil"/>
        </w:pBdr>
        <w:spacing w:line="360" w:lineRule="auto"/>
        <w:ind w:left="1134" w:right="1134"/>
        <w:jc w:val="both"/>
        <w:rPr>
          <w:rFonts w:ascii="Palatino Linotype" w:eastAsia="Palatino Linotype" w:hAnsi="Palatino Linotype" w:cs="Palatino Linotype"/>
          <w:i/>
          <w:iCs/>
        </w:rPr>
      </w:pPr>
    </w:p>
    <w:p w:rsidR="00605057" w:rsidRPr="005A369B" w:rsidRDefault="00605057" w:rsidP="00605057">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5A369B">
        <w:rPr>
          <w:rFonts w:ascii="Palatino Linotype" w:eastAsia="Palatino Linotype" w:hAnsi="Palatino Linotype" w:cs="Palatino Linotype"/>
          <w:b/>
          <w:bCs/>
          <w:color w:val="000000"/>
        </w:rPr>
        <w:t>Modalidad de entrega</w:t>
      </w:r>
      <w:r w:rsidRPr="005A369B">
        <w:rPr>
          <w:rFonts w:ascii="Palatino Linotype" w:eastAsia="Palatino Linotype" w:hAnsi="Palatino Linotype" w:cs="Palatino Linotype"/>
          <w:color w:val="000000"/>
        </w:rPr>
        <w:t>: Sistema de Acceso a la Información (SAIMEX)</w:t>
      </w:r>
    </w:p>
    <w:p w:rsidR="001E6437" w:rsidRPr="005A369B" w:rsidRDefault="001E6437" w:rsidP="001E6437">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5A369B">
        <w:rPr>
          <w:rFonts w:ascii="Palatino Linotype" w:eastAsia="Palatino Linotype" w:hAnsi="Palatino Linotype" w:cs="Palatino Linotype"/>
          <w:color w:val="000000"/>
        </w:rPr>
        <w:lastRenderedPageBreak/>
        <w:t xml:space="preserve">El </w:t>
      </w:r>
      <w:r w:rsidR="00B7310F" w:rsidRPr="005A369B">
        <w:rPr>
          <w:rFonts w:ascii="Palatino Linotype" w:eastAsia="Palatino Linotype" w:hAnsi="Palatino Linotype" w:cs="Palatino Linotype"/>
          <w:b/>
          <w:bCs/>
          <w:color w:val="000000"/>
        </w:rPr>
        <w:t xml:space="preserve">veintiocho </w:t>
      </w:r>
      <w:r w:rsidRPr="005A369B">
        <w:rPr>
          <w:rFonts w:ascii="Palatino Linotype" w:eastAsia="Palatino Linotype" w:hAnsi="Palatino Linotype" w:cs="Palatino Linotype"/>
          <w:b/>
          <w:bCs/>
          <w:color w:val="000000"/>
        </w:rPr>
        <w:t xml:space="preserve">de dos mil veintiséis, </w:t>
      </w:r>
      <w:r w:rsidRPr="005A369B">
        <w:rPr>
          <w:rFonts w:ascii="Palatino Linotype" w:eastAsia="Palatino Linotype" w:hAnsi="Palatino Linotype" w:cs="Palatino Linotype"/>
          <w:color w:val="000000"/>
        </w:rPr>
        <w:t xml:space="preserve">el </w:t>
      </w:r>
      <w:r w:rsidRPr="005A369B">
        <w:rPr>
          <w:rFonts w:ascii="Palatino Linotype" w:eastAsia="Palatino Linotype" w:hAnsi="Palatino Linotype" w:cs="Palatino Linotype"/>
          <w:b/>
          <w:bCs/>
          <w:color w:val="000000"/>
        </w:rPr>
        <w:t xml:space="preserve">SUJETO OBLIGADO </w:t>
      </w:r>
      <w:r w:rsidRPr="005A369B">
        <w:rPr>
          <w:rFonts w:ascii="Palatino Linotype" w:eastAsia="Palatino Linotype" w:hAnsi="Palatino Linotype" w:cs="Palatino Linotype"/>
        </w:rPr>
        <w:t>giró</w:t>
      </w:r>
      <w:r w:rsidRPr="005A369B">
        <w:rPr>
          <w:rFonts w:ascii="Palatino Linotype" w:eastAsia="Palatino Linotype" w:hAnsi="Palatino Linotype" w:cs="Palatino Linotype"/>
          <w:color w:val="000000"/>
        </w:rPr>
        <w:t xml:space="preserve"> el requerimiento para que fuera atendida la solicitud de información </w:t>
      </w:r>
      <w:r w:rsidR="00B7310F" w:rsidRPr="005A369B">
        <w:rPr>
          <w:rFonts w:ascii="Palatino Linotype" w:eastAsia="Palatino Linotype" w:hAnsi="Palatino Linotype" w:cs="Palatino Linotype"/>
          <w:b/>
          <w:bCs/>
          <w:color w:val="000000"/>
        </w:rPr>
        <w:t>00614/TEPOTZOT/IP/2025</w:t>
      </w:r>
      <w:r w:rsidRPr="005A369B">
        <w:rPr>
          <w:rFonts w:ascii="Palatino Linotype" w:eastAsia="Palatino Linotype" w:hAnsi="Palatino Linotype" w:cs="Palatino Linotype"/>
          <w:b/>
          <w:bCs/>
          <w:color w:val="000000"/>
        </w:rPr>
        <w:t xml:space="preserve">. </w:t>
      </w:r>
    </w:p>
    <w:p w:rsidR="001E6437" w:rsidRPr="005A369B" w:rsidRDefault="001E6437" w:rsidP="001E6437">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color w:val="000000"/>
        </w:rPr>
      </w:pPr>
    </w:p>
    <w:p w:rsidR="001E6437" w:rsidRPr="005A369B" w:rsidRDefault="001E6437" w:rsidP="001E6437">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5A369B">
        <w:rPr>
          <w:rFonts w:ascii="Palatino Linotype" w:eastAsia="Palatino Linotype" w:hAnsi="Palatino Linotype" w:cs="Palatino Linotype"/>
          <w:color w:val="000000"/>
        </w:rPr>
        <w:t xml:space="preserve">Como se observa del tablero del Sistema de Acceso a la Información el </w:t>
      </w:r>
      <w:r w:rsidRPr="005A369B">
        <w:rPr>
          <w:rFonts w:ascii="Palatino Linotype" w:eastAsia="Palatino Linotype" w:hAnsi="Palatino Linotype" w:cs="Palatino Linotype"/>
          <w:b/>
          <w:bCs/>
          <w:color w:val="000000"/>
        </w:rPr>
        <w:t xml:space="preserve">SUJETO OBLIGADO fue omiso en rendir respuesta a la solicitud de información </w:t>
      </w:r>
      <w:r w:rsidR="00B7310F" w:rsidRPr="005A369B">
        <w:rPr>
          <w:rFonts w:ascii="Palatino Linotype" w:eastAsia="Palatino Linotype" w:hAnsi="Palatino Linotype" w:cs="Palatino Linotype"/>
          <w:b/>
          <w:bCs/>
          <w:color w:val="000000"/>
        </w:rPr>
        <w:t>00614/TEPOTZOT/IP/2025</w:t>
      </w:r>
      <w:r w:rsidRPr="005A369B">
        <w:rPr>
          <w:rFonts w:ascii="Palatino Linotype" w:eastAsia="Palatino Linotype" w:hAnsi="Palatino Linotype" w:cs="Palatino Linotype"/>
          <w:color w:val="000000"/>
        </w:rPr>
        <w:t xml:space="preserve">. </w:t>
      </w:r>
    </w:p>
    <w:p w:rsidR="001E6437" w:rsidRPr="005A369B" w:rsidRDefault="001E6437" w:rsidP="001E6437">
      <w:pPr>
        <w:pBdr>
          <w:top w:val="nil"/>
          <w:left w:val="nil"/>
          <w:bottom w:val="nil"/>
          <w:right w:val="nil"/>
          <w:between w:val="nil"/>
        </w:pBdr>
        <w:spacing w:line="360" w:lineRule="auto"/>
        <w:ind w:right="-787"/>
        <w:jc w:val="both"/>
        <w:rPr>
          <w:rFonts w:ascii="Palatino Linotype" w:eastAsia="Palatino Linotype" w:hAnsi="Palatino Linotype" w:cs="Palatino Linotype"/>
          <w:i/>
          <w:iCs/>
          <w:color w:val="000000"/>
        </w:rPr>
      </w:pPr>
    </w:p>
    <w:p w:rsidR="001E6437" w:rsidRPr="005A369B" w:rsidRDefault="001E6437" w:rsidP="001E6437">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5A369B">
        <w:rPr>
          <w:rFonts w:ascii="Palatino Linotype" w:eastAsia="Palatino Linotype" w:hAnsi="Palatino Linotype" w:cs="Palatino Linotype"/>
          <w:color w:val="000000"/>
        </w:rPr>
        <w:t xml:space="preserve">De lo anterior, ante la falta de respuesta del </w:t>
      </w:r>
      <w:r w:rsidRPr="005A369B">
        <w:rPr>
          <w:rFonts w:ascii="Palatino Linotype" w:eastAsia="Palatino Linotype" w:hAnsi="Palatino Linotype" w:cs="Palatino Linotype"/>
          <w:b/>
          <w:bCs/>
          <w:color w:val="000000"/>
        </w:rPr>
        <w:t xml:space="preserve">SUJETO OBLIGADO </w:t>
      </w:r>
      <w:r w:rsidRPr="005A369B">
        <w:rPr>
          <w:rFonts w:ascii="Palatino Linotype" w:eastAsia="Palatino Linotype" w:hAnsi="Palatino Linotype" w:cs="Palatino Linotype"/>
          <w:color w:val="000000"/>
        </w:rPr>
        <w:t xml:space="preserve">el entonces </w:t>
      </w:r>
      <w:r w:rsidRPr="005A369B">
        <w:rPr>
          <w:rFonts w:ascii="Palatino Linotype" w:eastAsia="Palatino Linotype" w:hAnsi="Palatino Linotype" w:cs="Palatino Linotype"/>
          <w:b/>
          <w:bCs/>
          <w:color w:val="000000"/>
        </w:rPr>
        <w:t xml:space="preserve">SOLICITANTE </w:t>
      </w:r>
      <w:r w:rsidRPr="005A369B">
        <w:rPr>
          <w:rFonts w:ascii="Palatino Linotype" w:eastAsia="Palatino Linotype" w:hAnsi="Palatino Linotype" w:cs="Palatino Linotype"/>
          <w:color w:val="000000"/>
        </w:rPr>
        <w:t>interpuso el recurso de revisión, y, señaló como:</w:t>
      </w:r>
    </w:p>
    <w:p w:rsidR="001E6437" w:rsidRPr="005A369B" w:rsidRDefault="001E6437" w:rsidP="001E6437">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color w:val="000000"/>
        </w:rPr>
      </w:pPr>
    </w:p>
    <w:p w:rsidR="001E6437" w:rsidRPr="005A369B" w:rsidRDefault="001E6437" w:rsidP="00B7310F">
      <w:pPr>
        <w:numPr>
          <w:ilvl w:val="0"/>
          <w:numId w:val="15"/>
        </w:numPr>
        <w:pBdr>
          <w:top w:val="nil"/>
          <w:left w:val="nil"/>
          <w:bottom w:val="nil"/>
          <w:right w:val="nil"/>
          <w:between w:val="nil"/>
        </w:pBdr>
        <w:ind w:left="1134" w:right="1843" w:firstLine="0"/>
        <w:jc w:val="both"/>
        <w:rPr>
          <w:rFonts w:ascii="Palatino Linotype" w:eastAsia="Palatino Linotype" w:hAnsi="Palatino Linotype" w:cs="Palatino Linotype"/>
          <w:color w:val="000000"/>
        </w:rPr>
      </w:pPr>
      <w:r w:rsidRPr="005A369B">
        <w:rPr>
          <w:rFonts w:ascii="Palatino Linotype" w:eastAsia="Palatino Linotype" w:hAnsi="Palatino Linotype" w:cs="Palatino Linotype"/>
          <w:b/>
          <w:bCs/>
          <w:color w:val="000000"/>
        </w:rPr>
        <w:t xml:space="preserve">Acto impugnado: </w:t>
      </w:r>
      <w:r w:rsidRPr="005A369B">
        <w:rPr>
          <w:rFonts w:ascii="Palatino Linotype" w:eastAsia="Palatino Linotype" w:hAnsi="Palatino Linotype" w:cs="Palatino Linotype"/>
          <w:i/>
          <w:iCs/>
          <w:color w:val="000000"/>
        </w:rPr>
        <w:t>“</w:t>
      </w:r>
      <w:r w:rsidR="00B7310F" w:rsidRPr="005A369B">
        <w:rPr>
          <w:rFonts w:ascii="Palatino Linotype" w:eastAsia="Palatino Linotype" w:hAnsi="Palatino Linotype" w:cs="Palatino Linotype"/>
          <w:i/>
          <w:iCs/>
          <w:color w:val="000000"/>
        </w:rPr>
        <w:t>LA FALTA DE RESPUESTA DEL SUJETO OBLIGADO, EN ESTE CASO EL AYUNTAMIENTO DE TEPOTZOTLÁN, A LA SOLICITUD DE INFORMACION CON FOLIO 00614/TEPOTZOT/IP/2025</w:t>
      </w:r>
      <w:r w:rsidRPr="005A369B">
        <w:rPr>
          <w:rFonts w:ascii="Palatino Linotype" w:eastAsia="Palatino Linotype" w:hAnsi="Palatino Linotype" w:cs="Palatino Linotype"/>
          <w:i/>
          <w:iCs/>
          <w:color w:val="000000"/>
        </w:rPr>
        <w:t>.” (Sic)</w:t>
      </w:r>
    </w:p>
    <w:p w:rsidR="001E6437" w:rsidRPr="005A369B" w:rsidRDefault="001E6437" w:rsidP="00B7310F">
      <w:pPr>
        <w:pBdr>
          <w:top w:val="nil"/>
          <w:left w:val="nil"/>
          <w:bottom w:val="nil"/>
          <w:right w:val="nil"/>
          <w:between w:val="nil"/>
        </w:pBdr>
        <w:ind w:left="1134" w:right="1843"/>
        <w:jc w:val="both"/>
        <w:rPr>
          <w:rFonts w:ascii="Palatino Linotype" w:eastAsia="Palatino Linotype" w:hAnsi="Palatino Linotype" w:cs="Palatino Linotype"/>
          <w:i/>
          <w:iCs/>
          <w:color w:val="000000"/>
        </w:rPr>
      </w:pPr>
    </w:p>
    <w:p w:rsidR="001E6437" w:rsidRPr="005A369B" w:rsidRDefault="001E6437" w:rsidP="00B7310F">
      <w:pPr>
        <w:numPr>
          <w:ilvl w:val="0"/>
          <w:numId w:val="14"/>
        </w:numPr>
        <w:pBdr>
          <w:top w:val="nil"/>
          <w:left w:val="nil"/>
          <w:bottom w:val="nil"/>
          <w:right w:val="nil"/>
          <w:between w:val="nil"/>
        </w:pBdr>
        <w:ind w:left="1134" w:right="1843" w:firstLine="0"/>
        <w:jc w:val="both"/>
        <w:rPr>
          <w:rFonts w:ascii="Palatino Linotype" w:hAnsi="Palatino Linotype"/>
        </w:rPr>
      </w:pPr>
      <w:r w:rsidRPr="005A369B">
        <w:rPr>
          <w:rFonts w:ascii="Palatino Linotype" w:eastAsia="Palatino Linotype" w:hAnsi="Palatino Linotype" w:cs="Palatino Linotype"/>
          <w:b/>
          <w:bCs/>
          <w:color w:val="000000"/>
        </w:rPr>
        <w:t>Razones o Motivos de Inconformidad:</w:t>
      </w:r>
      <w:r w:rsidRPr="005A369B">
        <w:rPr>
          <w:rFonts w:ascii="Palatino Linotype" w:eastAsia="Palatino Linotype" w:hAnsi="Palatino Linotype" w:cs="Palatino Linotype"/>
          <w:b/>
          <w:bCs/>
          <w:i/>
          <w:iCs/>
          <w:color w:val="2F5496"/>
        </w:rPr>
        <w:t xml:space="preserve"> </w:t>
      </w:r>
      <w:r w:rsidRPr="005A369B">
        <w:rPr>
          <w:rFonts w:ascii="Palatino Linotype" w:eastAsia="Verdana" w:hAnsi="Palatino Linotype" w:cs="Verdana"/>
          <w:color w:val="000000"/>
        </w:rPr>
        <w:t>“</w:t>
      </w:r>
      <w:r w:rsidR="00B7310F" w:rsidRPr="005A369B">
        <w:rPr>
          <w:rFonts w:ascii="Palatino Linotype" w:eastAsia="Palatino Linotype" w:hAnsi="Palatino Linotype" w:cs="Palatino Linotype"/>
          <w:i/>
          <w:iCs/>
          <w:color w:val="000000"/>
        </w:rPr>
        <w:t>MANIFIESTO MI INCONFORMIDAD DEBIDO A QUE EL SUJETO OBLIGADO, EL AYUNTAMIENTO DE TEPOTZOTLÁN, NO EMITIÓ RESPUESTA A MI SOLICITUD DE INFORMACIÓN CON FOLIO 00614/TEPOTZOT/IP/2025, PRESENTADA EL DÍA 08 DE OCTUBRE DE 2025. HA TRANSCURRIDO EL PLAZO LEGAL PREVISTO SIN QUE SE ME HAYA NOTIFICADO RESPUESTA ALGUNA, LO QUE CONSTITUYE UNA FALTA DE ATENCIÓN A MI DERECHO DE ACCESO A LA INFORMACIÓN PÚBLICA.</w:t>
      </w:r>
      <w:r w:rsidRPr="005A369B">
        <w:rPr>
          <w:rFonts w:ascii="Palatino Linotype" w:eastAsia="Palatino Linotype" w:hAnsi="Palatino Linotype" w:cs="Palatino Linotype"/>
          <w:i/>
          <w:iCs/>
          <w:color w:val="000000"/>
        </w:rPr>
        <w:t>." (Sic)</w:t>
      </w:r>
    </w:p>
    <w:p w:rsidR="001E6437" w:rsidRPr="005A369B" w:rsidRDefault="001E6437" w:rsidP="00B7310F">
      <w:pPr>
        <w:spacing w:line="360" w:lineRule="auto"/>
        <w:ind w:left="1134" w:right="1843"/>
        <w:rPr>
          <w:rFonts w:ascii="Palatino Linotype" w:eastAsia="Palatino Linotype" w:hAnsi="Palatino Linotype" w:cs="Palatino Linotype"/>
          <w:i/>
          <w:iCs/>
          <w:color w:val="000000"/>
        </w:rPr>
      </w:pPr>
    </w:p>
    <w:p w:rsidR="00B7310F" w:rsidRPr="005A369B" w:rsidRDefault="00B7310F" w:rsidP="00B7310F">
      <w:pPr>
        <w:numPr>
          <w:ilvl w:val="0"/>
          <w:numId w:val="3"/>
        </w:numPr>
        <w:pBdr>
          <w:top w:val="nil"/>
          <w:left w:val="nil"/>
          <w:bottom w:val="nil"/>
          <w:right w:val="nil"/>
          <w:between w:val="nil"/>
        </w:pBdr>
        <w:spacing w:line="360" w:lineRule="auto"/>
        <w:ind w:left="0" w:firstLine="0"/>
        <w:jc w:val="both"/>
        <w:rPr>
          <w:rFonts w:ascii="Palatino Linotype" w:hAnsi="Palatino Linotype"/>
          <w:color w:val="000000"/>
        </w:rPr>
      </w:pPr>
      <w:r w:rsidRPr="005A369B">
        <w:rPr>
          <w:rFonts w:ascii="Palatino Linotype" w:hAnsi="Palatino Linotype"/>
          <w:color w:val="000000"/>
        </w:rPr>
        <w:t xml:space="preserve">Al momento de interponer el recurso de revisión, el entonces </w:t>
      </w:r>
      <w:r w:rsidRPr="005A369B">
        <w:rPr>
          <w:rFonts w:ascii="Palatino Linotype" w:hAnsi="Palatino Linotype"/>
          <w:b/>
          <w:color w:val="000000"/>
        </w:rPr>
        <w:t xml:space="preserve">SOLICITANTE </w:t>
      </w:r>
      <w:r w:rsidRPr="005A369B">
        <w:rPr>
          <w:rFonts w:ascii="Palatino Linotype" w:hAnsi="Palatino Linotype"/>
          <w:color w:val="000000"/>
        </w:rPr>
        <w:t xml:space="preserve">anexo el documento </w:t>
      </w:r>
      <w:hyperlink r:id="rId7" w:tgtFrame="_blank" w:history="1">
        <w:r w:rsidRPr="005A369B">
          <w:rPr>
            <w:rStyle w:val="Hipervnculo"/>
            <w:rFonts w:ascii="Palatino Linotype" w:hAnsi="Palatino Linotype"/>
            <w:b/>
            <w:bCs/>
            <w:color w:val="000000" w:themeColor="text1"/>
            <w:u w:val="none"/>
          </w:rPr>
          <w:t>00614-TEPOTZOT-IP-2025.pdf</w:t>
        </w:r>
      </w:hyperlink>
      <w:r w:rsidRPr="005A369B">
        <w:rPr>
          <w:rFonts w:ascii="Palatino Linotype" w:hAnsi="Palatino Linotype"/>
          <w:color w:val="000000" w:themeColor="text1"/>
        </w:rPr>
        <w:t xml:space="preserve">, que contiene la solicitud de información. </w:t>
      </w:r>
    </w:p>
    <w:p w:rsidR="001E6437" w:rsidRPr="005A369B" w:rsidRDefault="001E6437" w:rsidP="001E6437">
      <w:pPr>
        <w:numPr>
          <w:ilvl w:val="0"/>
          <w:numId w:val="3"/>
        </w:numPr>
        <w:pBdr>
          <w:top w:val="nil"/>
          <w:left w:val="nil"/>
          <w:bottom w:val="nil"/>
          <w:right w:val="nil"/>
          <w:between w:val="nil"/>
        </w:pBdr>
        <w:spacing w:line="360" w:lineRule="auto"/>
        <w:ind w:left="0" w:firstLine="0"/>
        <w:jc w:val="both"/>
        <w:rPr>
          <w:rFonts w:ascii="Palatino Linotype" w:hAnsi="Palatino Linotype"/>
          <w:color w:val="000000"/>
        </w:rPr>
      </w:pPr>
      <w:r w:rsidRPr="005A369B">
        <w:rPr>
          <w:rFonts w:ascii="Palatino Linotype" w:eastAsia="Palatino Linotype" w:hAnsi="Palatino Linotype" w:cs="Palatino Linotype"/>
          <w:color w:val="000000"/>
        </w:rPr>
        <w:lastRenderedPageBreak/>
        <w:t xml:space="preserve">La Comisionada Ponente con fundamento en lo dispuesto por el artículo 185 fracción II de la ley de la materia, a través del acuerdo de admisión de fecha </w:t>
      </w:r>
      <w:r w:rsidR="00CB2F0A" w:rsidRPr="005A369B">
        <w:rPr>
          <w:rFonts w:ascii="Palatino Linotype" w:eastAsia="Palatino Linotype" w:hAnsi="Palatino Linotype" w:cs="Palatino Linotype"/>
          <w:b/>
          <w:bCs/>
          <w:color w:val="000000"/>
        </w:rPr>
        <w:t>cinco de noviembre de dos mil veinticinco</w:t>
      </w:r>
      <w:r w:rsidRPr="005A369B">
        <w:rPr>
          <w:rFonts w:ascii="Palatino Linotype" w:eastAsia="Palatino Linotype" w:hAnsi="Palatino Linotype" w:cs="Palatino Linotype"/>
          <w:color w:val="000000"/>
        </w:rPr>
        <w:t xml:space="preserve">, puso a disposición de las partes el expediente electrónico vía </w:t>
      </w:r>
      <w:r w:rsidRPr="005A369B">
        <w:rPr>
          <w:rFonts w:ascii="Palatino Linotype" w:eastAsia="Palatino Linotype" w:hAnsi="Palatino Linotype" w:cs="Palatino Linotype"/>
          <w:b/>
          <w:bCs/>
          <w:color w:val="000000"/>
        </w:rPr>
        <w:t xml:space="preserve">SAIMEX </w:t>
      </w:r>
      <w:r w:rsidRPr="005A369B">
        <w:rPr>
          <w:rFonts w:ascii="Palatino Linotype" w:eastAsia="Palatino Linotype" w:hAnsi="Palatino Linotype" w:cs="Palatino Linotype"/>
          <w:color w:val="000000"/>
        </w:rPr>
        <w:t xml:space="preserve">a efecto de que en un plazo máximo de siete días </w:t>
      </w:r>
      <w:r w:rsidRPr="005A369B">
        <w:rPr>
          <w:rFonts w:ascii="Palatino Linotype" w:eastAsia="Palatino Linotype" w:hAnsi="Palatino Linotype" w:cs="Palatino Linotype"/>
        </w:rPr>
        <w:t>manifestara</w:t>
      </w:r>
      <w:r w:rsidRPr="005A369B">
        <w:rPr>
          <w:rFonts w:ascii="Palatino Linotype" w:eastAsia="Palatino Linotype" w:hAnsi="Palatino Linotype" w:cs="Palatino Linotype"/>
          <w:color w:val="000000"/>
        </w:rPr>
        <w:t xml:space="preserve"> lo que a su derecho conviniera, </w:t>
      </w:r>
      <w:r w:rsidRPr="005A369B">
        <w:rPr>
          <w:rFonts w:ascii="Palatino Linotype" w:eastAsia="Palatino Linotype" w:hAnsi="Palatino Linotype" w:cs="Palatino Linotype"/>
        </w:rPr>
        <w:t>ofreciera</w:t>
      </w:r>
      <w:r w:rsidRPr="005A369B">
        <w:rPr>
          <w:rFonts w:ascii="Palatino Linotype" w:eastAsia="Palatino Linotype" w:hAnsi="Palatino Linotype" w:cs="Palatino Linotype"/>
          <w:color w:val="000000"/>
        </w:rPr>
        <w:t xml:space="preserve"> pruebas y alegatos según corresponda a los casos concretos, y el </w:t>
      </w:r>
      <w:r w:rsidRPr="005A369B">
        <w:rPr>
          <w:rFonts w:ascii="Palatino Linotype" w:eastAsia="Palatino Linotype" w:hAnsi="Palatino Linotype" w:cs="Palatino Linotype"/>
          <w:b/>
          <w:bCs/>
          <w:color w:val="000000"/>
        </w:rPr>
        <w:t>SUJETO OBLIGADO</w:t>
      </w:r>
      <w:r w:rsidRPr="005A369B">
        <w:rPr>
          <w:rFonts w:ascii="Palatino Linotype" w:eastAsia="Palatino Linotype" w:hAnsi="Palatino Linotype" w:cs="Palatino Linotype"/>
          <w:color w:val="000000"/>
        </w:rPr>
        <w:t xml:space="preserve"> presentará el Informe Justificado procedente.</w:t>
      </w:r>
    </w:p>
    <w:p w:rsidR="001E6437" w:rsidRPr="005A369B" w:rsidRDefault="001E6437" w:rsidP="001E6437">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rsidR="001E6437" w:rsidRPr="005A369B" w:rsidRDefault="001E6437" w:rsidP="001E6437">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5A369B">
        <w:rPr>
          <w:rFonts w:ascii="Palatino Linotype" w:eastAsia="Palatino Linotype" w:hAnsi="Palatino Linotype" w:cs="Palatino Linotype"/>
          <w:color w:val="000000"/>
        </w:rPr>
        <w:t>De lo anterior,</w:t>
      </w:r>
      <w:r w:rsidRPr="005A369B">
        <w:rPr>
          <w:rFonts w:ascii="Palatino Linotype" w:eastAsia="Palatino Linotype" w:hAnsi="Palatino Linotype" w:cs="Palatino Linotype"/>
          <w:b/>
          <w:bCs/>
          <w:color w:val="000000"/>
        </w:rPr>
        <w:t xml:space="preserve"> </w:t>
      </w:r>
      <w:r w:rsidRPr="005A369B">
        <w:rPr>
          <w:rFonts w:ascii="Palatino Linotype" w:eastAsia="Palatino Linotype" w:hAnsi="Palatino Linotype" w:cs="Palatino Linotype"/>
          <w:color w:val="000000"/>
        </w:rPr>
        <w:t xml:space="preserve">el </w:t>
      </w:r>
      <w:r w:rsidR="00213306" w:rsidRPr="005A369B">
        <w:rPr>
          <w:rFonts w:ascii="Palatino Linotype" w:eastAsia="Palatino Linotype" w:hAnsi="Palatino Linotype" w:cs="Palatino Linotype"/>
          <w:b/>
          <w:bCs/>
          <w:color w:val="000000"/>
        </w:rPr>
        <w:t>seis de noviembre de dos mil veinticinco</w:t>
      </w:r>
      <w:r w:rsidRPr="005A369B">
        <w:rPr>
          <w:rFonts w:ascii="Palatino Linotype" w:eastAsia="Palatino Linotype" w:hAnsi="Palatino Linotype" w:cs="Palatino Linotype"/>
          <w:b/>
          <w:bCs/>
          <w:color w:val="000000"/>
        </w:rPr>
        <w:t xml:space="preserve">, </w:t>
      </w:r>
      <w:r w:rsidRPr="005A369B">
        <w:rPr>
          <w:rFonts w:ascii="Palatino Linotype" w:eastAsia="Palatino Linotype" w:hAnsi="Palatino Linotype" w:cs="Palatino Linotype"/>
          <w:color w:val="000000"/>
        </w:rPr>
        <w:t xml:space="preserve">el </w:t>
      </w:r>
      <w:r w:rsidRPr="005A369B">
        <w:rPr>
          <w:rFonts w:ascii="Palatino Linotype" w:eastAsia="Palatino Linotype" w:hAnsi="Palatino Linotype" w:cs="Palatino Linotype"/>
          <w:b/>
          <w:bCs/>
          <w:color w:val="000000"/>
        </w:rPr>
        <w:t xml:space="preserve">RECURRENTE </w:t>
      </w:r>
      <w:r w:rsidRPr="005A369B">
        <w:rPr>
          <w:rFonts w:ascii="Palatino Linotype" w:eastAsia="Palatino Linotype" w:hAnsi="Palatino Linotype" w:cs="Palatino Linotype"/>
        </w:rPr>
        <w:t>entregó</w:t>
      </w:r>
      <w:r w:rsidRPr="005A369B">
        <w:rPr>
          <w:rFonts w:ascii="Palatino Linotype" w:eastAsia="Palatino Linotype" w:hAnsi="Palatino Linotype" w:cs="Palatino Linotype"/>
          <w:color w:val="000000"/>
        </w:rPr>
        <w:t xml:space="preserve"> </w:t>
      </w:r>
      <w:r w:rsidR="00213306" w:rsidRPr="005A369B">
        <w:rPr>
          <w:rFonts w:ascii="Palatino Linotype" w:eastAsia="Palatino Linotype" w:hAnsi="Palatino Linotype" w:cs="Palatino Linotype"/>
          <w:color w:val="000000"/>
        </w:rPr>
        <w:t>un archivo electrónico</w:t>
      </w:r>
      <w:r w:rsidRPr="005A369B">
        <w:rPr>
          <w:rFonts w:ascii="Palatino Linotype" w:eastAsia="Palatino Linotype" w:hAnsi="Palatino Linotype" w:cs="Palatino Linotype"/>
          <w:color w:val="000000"/>
        </w:rPr>
        <w:t xml:space="preserve"> en formato en pdf, cuyo contenido grosso modo es el siguiente.</w:t>
      </w:r>
    </w:p>
    <w:p w:rsidR="001E6437" w:rsidRPr="005A369B" w:rsidRDefault="00213306" w:rsidP="00213306">
      <w:pPr>
        <w:ind w:left="1134" w:right="1843"/>
        <w:jc w:val="both"/>
        <w:rPr>
          <w:rFonts w:ascii="Palatino Linotype" w:eastAsia="Palatino Linotype" w:hAnsi="Palatino Linotype" w:cs="Palatino Linotype"/>
          <w:bCs/>
          <w:i/>
          <w:iCs/>
          <w:color w:val="000000"/>
        </w:rPr>
      </w:pPr>
      <w:r w:rsidRPr="005A369B">
        <w:rPr>
          <w:rFonts w:ascii="Palatino Linotype" w:eastAsia="Palatino Linotype" w:hAnsi="Palatino Linotype" w:cs="Palatino Linotype"/>
          <w:b/>
          <w:bCs/>
          <w:i/>
          <w:iCs/>
          <w:color w:val="000000"/>
        </w:rPr>
        <w:t xml:space="preserve">DOP-2213-2025.pdf: </w:t>
      </w:r>
      <w:r w:rsidRPr="005A369B">
        <w:rPr>
          <w:rFonts w:ascii="Palatino Linotype" w:eastAsia="Palatino Linotype" w:hAnsi="Palatino Linotype" w:cs="Palatino Linotype"/>
          <w:bCs/>
          <w:i/>
          <w:iCs/>
          <w:color w:val="000000"/>
        </w:rPr>
        <w:t xml:space="preserve">oficio del Director de Obras Públicas, mediante el cual informa que después de una búsqueda exhaustiva y minuciosa no se encontró información con las referencias proporcionadas en la solicitud de información. </w:t>
      </w:r>
    </w:p>
    <w:p w:rsidR="00213306" w:rsidRPr="005A369B" w:rsidRDefault="00213306" w:rsidP="00213306">
      <w:pPr>
        <w:ind w:left="1134" w:right="1843"/>
        <w:jc w:val="both"/>
        <w:rPr>
          <w:rFonts w:ascii="Palatino Linotype" w:eastAsia="Palatino Linotype" w:hAnsi="Palatino Linotype" w:cs="Palatino Linotype"/>
          <w:i/>
          <w:iCs/>
          <w:color w:val="000000"/>
        </w:rPr>
      </w:pPr>
    </w:p>
    <w:p w:rsidR="001E6437" w:rsidRPr="005A369B" w:rsidRDefault="001E6437" w:rsidP="001E6437">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5A369B">
        <w:rPr>
          <w:rFonts w:ascii="Palatino Linotype" w:eastAsia="Palatino Linotype" w:hAnsi="Palatino Linotype" w:cs="Palatino Linotype"/>
          <w:color w:val="000000"/>
        </w:rPr>
        <w:t xml:space="preserve">Por su parte el </w:t>
      </w:r>
      <w:r w:rsidRPr="005A369B">
        <w:rPr>
          <w:rFonts w:ascii="Palatino Linotype" w:eastAsia="Palatino Linotype" w:hAnsi="Palatino Linotype" w:cs="Palatino Linotype"/>
          <w:b/>
          <w:bCs/>
          <w:color w:val="000000"/>
        </w:rPr>
        <w:t xml:space="preserve">RECURRENTE </w:t>
      </w:r>
      <w:r w:rsidRPr="005A369B">
        <w:rPr>
          <w:rFonts w:ascii="Palatino Linotype" w:eastAsia="Palatino Linotype" w:hAnsi="Palatino Linotype" w:cs="Palatino Linotype"/>
        </w:rPr>
        <w:t>dejó</w:t>
      </w:r>
      <w:r w:rsidRPr="005A369B">
        <w:rPr>
          <w:rFonts w:ascii="Palatino Linotype" w:eastAsia="Palatino Linotype" w:hAnsi="Palatino Linotype" w:cs="Palatino Linotype"/>
          <w:color w:val="000000"/>
        </w:rPr>
        <w:t xml:space="preserve"> de realizar manifestaciones que a su derecho conviniera y asistiera. </w:t>
      </w:r>
    </w:p>
    <w:p w:rsidR="001E6437" w:rsidRPr="005A369B" w:rsidRDefault="001E6437" w:rsidP="001E6437">
      <w:pPr>
        <w:ind w:right="-787"/>
        <w:rPr>
          <w:rFonts w:ascii="Palatino Linotype" w:eastAsia="Palatino Linotype" w:hAnsi="Palatino Linotype" w:cs="Palatino Linotype"/>
          <w:color w:val="000000"/>
          <w:highlight w:val="white"/>
        </w:rPr>
      </w:pPr>
      <w:bookmarkStart w:id="2" w:name="_heading=h.3znysh7" w:colFirst="0" w:colLast="0"/>
      <w:bookmarkEnd w:id="2"/>
    </w:p>
    <w:p w:rsidR="001E6437" w:rsidRPr="005A369B" w:rsidRDefault="001E6437" w:rsidP="001E6437">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5A369B">
        <w:rPr>
          <w:rFonts w:ascii="Palatino Linotype" w:eastAsia="Palatino Linotype" w:hAnsi="Palatino Linotype" w:cs="Palatino Linotype"/>
          <w:color w:val="000000"/>
        </w:rPr>
        <w:t xml:space="preserve">El </w:t>
      </w:r>
      <w:r w:rsidR="00431EE3" w:rsidRPr="005A369B">
        <w:rPr>
          <w:rFonts w:ascii="Palatino Linotype" w:eastAsia="Palatino Linotype" w:hAnsi="Palatino Linotype" w:cs="Palatino Linotype"/>
          <w:b/>
          <w:bCs/>
          <w:color w:val="000000"/>
        </w:rPr>
        <w:t xml:space="preserve">veintiocho </w:t>
      </w:r>
      <w:r w:rsidRPr="005A369B">
        <w:rPr>
          <w:rFonts w:ascii="Palatino Linotype" w:eastAsia="Palatino Linotype" w:hAnsi="Palatino Linotype" w:cs="Palatino Linotype"/>
          <w:b/>
          <w:bCs/>
          <w:color w:val="000000"/>
        </w:rPr>
        <w:t>de mayo de dos mil veintiséis</w:t>
      </w:r>
      <w:r w:rsidRPr="005A369B">
        <w:rPr>
          <w:rFonts w:ascii="Palatino Linotype" w:eastAsia="Palatino Linotype" w:hAnsi="Palatino Linotype" w:cs="Palatino Linotype"/>
          <w:color w:val="000000"/>
        </w:rPr>
        <w:t>, la Comisionada Ponente notificó el acuerdo de ampliación para emitir resolución, en términos del artículo 181 párrafo tercero de la Ley de Transparencia y Acceso a la Información Pública del Estado de México y Municipios</w:t>
      </w:r>
      <w:r w:rsidRPr="005A369B">
        <w:rPr>
          <w:rFonts w:ascii="Palatino Linotype" w:eastAsia="Palatino Linotype" w:hAnsi="Palatino Linotype" w:cs="Palatino Linotype"/>
        </w:rPr>
        <w:t>.</w:t>
      </w:r>
    </w:p>
    <w:p w:rsidR="001E6437" w:rsidRPr="005A369B" w:rsidRDefault="001E6437" w:rsidP="001E6437">
      <w:pPr>
        <w:pBdr>
          <w:top w:val="nil"/>
          <w:left w:val="nil"/>
          <w:bottom w:val="nil"/>
          <w:right w:val="nil"/>
          <w:between w:val="nil"/>
        </w:pBdr>
        <w:spacing w:line="360" w:lineRule="auto"/>
        <w:ind w:right="-787"/>
        <w:jc w:val="both"/>
        <w:rPr>
          <w:rFonts w:ascii="Palatino Linotype" w:eastAsia="Palatino Linotype" w:hAnsi="Palatino Linotype" w:cs="Palatino Linotype"/>
          <w:b/>
          <w:bCs/>
          <w:color w:val="000000"/>
        </w:rPr>
      </w:pPr>
    </w:p>
    <w:p w:rsidR="001E6437" w:rsidRPr="005A369B" w:rsidRDefault="001E6437" w:rsidP="001E6437">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b/>
          <w:bCs/>
          <w:color w:val="000000"/>
        </w:rPr>
      </w:pPr>
      <w:r w:rsidRPr="005A369B">
        <w:rPr>
          <w:rFonts w:ascii="Palatino Linotype" w:eastAsia="Palatino Linotype" w:hAnsi="Palatino Linotype" w:cs="Palatino Linotype"/>
          <w:color w:val="000000"/>
          <w:highlight w:val="white"/>
        </w:rPr>
        <w:t xml:space="preserve">Seguidamente, mediante acuerdo de fecha </w:t>
      </w:r>
      <w:r w:rsidR="00431EE3" w:rsidRPr="005A369B">
        <w:rPr>
          <w:rFonts w:ascii="Palatino Linotype" w:eastAsia="Palatino Linotype" w:hAnsi="Palatino Linotype" w:cs="Palatino Linotype"/>
          <w:b/>
          <w:bCs/>
          <w:color w:val="000000"/>
          <w:highlight w:val="white"/>
        </w:rPr>
        <w:t xml:space="preserve">tres de junio </w:t>
      </w:r>
      <w:r w:rsidRPr="005A369B">
        <w:rPr>
          <w:rFonts w:ascii="Palatino Linotype" w:eastAsia="Palatino Linotype" w:hAnsi="Palatino Linotype" w:cs="Palatino Linotype"/>
          <w:b/>
          <w:bCs/>
          <w:color w:val="000000"/>
          <w:highlight w:val="white"/>
        </w:rPr>
        <w:t xml:space="preserve">de dos mil veintiséis, </w:t>
      </w:r>
      <w:r w:rsidRPr="005A369B">
        <w:rPr>
          <w:rFonts w:ascii="Palatino Linotype" w:eastAsia="Palatino Linotype" w:hAnsi="Palatino Linotype" w:cs="Palatino Linotype"/>
          <w:color w:val="000000"/>
          <w:highlight w:val="white"/>
        </w:rPr>
        <w:t xml:space="preserve"> se decretó el cierre de instrucción, por lo que no habiendo más que hacer constar,</w:t>
      </w:r>
      <w:r w:rsidR="00C776CE">
        <w:rPr>
          <w:rFonts w:ascii="Palatino Linotype" w:eastAsia="Palatino Linotype" w:hAnsi="Palatino Linotype" w:cs="Palatino Linotype"/>
          <w:color w:val="000000"/>
        </w:rPr>
        <w:t xml:space="preserve"> -----------------</w:t>
      </w:r>
    </w:p>
    <w:p w:rsidR="001E6437" w:rsidRPr="005A369B" w:rsidRDefault="001E6437" w:rsidP="001E6437">
      <w:pPr>
        <w:pBdr>
          <w:top w:val="nil"/>
          <w:left w:val="nil"/>
          <w:bottom w:val="nil"/>
          <w:right w:val="nil"/>
          <w:between w:val="nil"/>
        </w:pBdr>
        <w:spacing w:line="360" w:lineRule="auto"/>
        <w:ind w:right="-787"/>
        <w:jc w:val="center"/>
        <w:rPr>
          <w:rFonts w:ascii="Palatino Linotype" w:eastAsia="Palatino Linotype" w:hAnsi="Palatino Linotype" w:cs="Palatino Linotype"/>
          <w:b/>
          <w:bCs/>
          <w:color w:val="000000"/>
        </w:rPr>
      </w:pPr>
    </w:p>
    <w:p w:rsidR="001E6437" w:rsidRPr="005A369B" w:rsidRDefault="001E6437" w:rsidP="001E6437">
      <w:pPr>
        <w:pBdr>
          <w:top w:val="nil"/>
          <w:left w:val="nil"/>
          <w:bottom w:val="nil"/>
          <w:right w:val="nil"/>
          <w:between w:val="nil"/>
        </w:pBdr>
        <w:spacing w:line="360" w:lineRule="auto"/>
        <w:ind w:right="-787"/>
        <w:jc w:val="center"/>
        <w:rPr>
          <w:rFonts w:ascii="Palatino Linotype" w:eastAsia="Palatino Linotype" w:hAnsi="Palatino Linotype" w:cs="Palatino Linotype"/>
          <w:b/>
          <w:bCs/>
          <w:color w:val="000000"/>
        </w:rPr>
      </w:pPr>
      <w:r w:rsidRPr="005A369B">
        <w:rPr>
          <w:rFonts w:ascii="Palatino Linotype" w:eastAsia="Palatino Linotype" w:hAnsi="Palatino Linotype" w:cs="Palatino Linotype"/>
          <w:b/>
          <w:bCs/>
          <w:color w:val="000000"/>
        </w:rPr>
        <w:lastRenderedPageBreak/>
        <w:t>C O N S I D E R A N D O</w:t>
      </w:r>
    </w:p>
    <w:p w:rsidR="001E6437" w:rsidRPr="005A369B" w:rsidRDefault="001E6437" w:rsidP="001E6437">
      <w:pPr>
        <w:pBdr>
          <w:top w:val="nil"/>
          <w:left w:val="nil"/>
          <w:bottom w:val="nil"/>
          <w:right w:val="nil"/>
          <w:between w:val="nil"/>
        </w:pBdr>
        <w:spacing w:line="360" w:lineRule="auto"/>
        <w:ind w:right="-787"/>
        <w:jc w:val="center"/>
        <w:rPr>
          <w:rFonts w:ascii="Palatino Linotype" w:eastAsia="Palatino Linotype" w:hAnsi="Palatino Linotype" w:cs="Palatino Linotype"/>
          <w:b/>
          <w:bCs/>
          <w:color w:val="000000"/>
        </w:rPr>
      </w:pPr>
    </w:p>
    <w:p w:rsidR="001E6437" w:rsidRPr="005A369B" w:rsidRDefault="001E6437" w:rsidP="001E6437">
      <w:pPr>
        <w:pStyle w:val="Ttulo2"/>
        <w:spacing w:before="0" w:line="360" w:lineRule="auto"/>
        <w:ind w:right="-787"/>
        <w:rPr>
          <w:rFonts w:ascii="Palatino Linotype" w:eastAsia="Palatino Linotype" w:hAnsi="Palatino Linotype" w:cs="Palatino Linotype"/>
          <w:b/>
          <w:bCs/>
          <w:color w:val="000000"/>
          <w:sz w:val="24"/>
          <w:szCs w:val="24"/>
        </w:rPr>
      </w:pPr>
      <w:bookmarkStart w:id="3" w:name="_heading=h.2et92p0" w:colFirst="0" w:colLast="0"/>
      <w:bookmarkEnd w:id="3"/>
      <w:r w:rsidRPr="005A369B">
        <w:rPr>
          <w:rFonts w:ascii="Palatino Linotype" w:eastAsia="Palatino Linotype" w:hAnsi="Palatino Linotype" w:cs="Palatino Linotype"/>
          <w:b/>
          <w:bCs/>
          <w:color w:val="000000"/>
          <w:sz w:val="24"/>
          <w:szCs w:val="24"/>
        </w:rPr>
        <w:t>PRIMERO. De la competencia</w:t>
      </w:r>
    </w:p>
    <w:p w:rsidR="001E6437" w:rsidRPr="005A369B" w:rsidRDefault="001E6437" w:rsidP="001E6437">
      <w:pPr>
        <w:numPr>
          <w:ilvl w:val="0"/>
          <w:numId w:val="3"/>
        </w:numPr>
        <w:pBdr>
          <w:top w:val="nil"/>
          <w:left w:val="nil"/>
          <w:bottom w:val="nil"/>
          <w:right w:val="nil"/>
          <w:between w:val="nil"/>
        </w:pBdr>
        <w:spacing w:line="360" w:lineRule="auto"/>
        <w:ind w:left="0" w:firstLine="0"/>
        <w:jc w:val="both"/>
        <w:rPr>
          <w:rFonts w:ascii="Palatino Linotype" w:hAnsi="Palatino Linotype"/>
          <w:color w:val="000000"/>
        </w:rPr>
      </w:pPr>
      <w:r w:rsidRPr="005A369B">
        <w:rPr>
          <w:rFonts w:ascii="Palatino Linotype" w:eastAsia="Palatino Linotype" w:hAnsi="Palatino Linotype" w:cs="Palatino Linotype"/>
          <w:color w:val="000000"/>
        </w:rPr>
        <w:t xml:space="preserve">Este Instituto de Transparencia, Acceso a la Información Pública y Protección de Datos Personales del Estado de México y Municipios es competente para conocer y resolver el presente </w:t>
      </w:r>
      <w:r w:rsidRPr="005A369B">
        <w:rPr>
          <w:rFonts w:ascii="Palatino Linotype" w:eastAsia="Palatino Linotype" w:hAnsi="Palatino Linotype" w:cs="Palatino Linotype"/>
          <w:color w:val="000000"/>
          <w:highlight w:val="white"/>
        </w:rPr>
        <w:t>Recurso</w:t>
      </w:r>
      <w:r w:rsidRPr="005A369B">
        <w:rPr>
          <w:rFonts w:ascii="Palatino Linotype" w:eastAsia="Palatino Linotype" w:hAnsi="Palatino Linotype" w:cs="Palatino Linotype"/>
          <w:color w:val="000000"/>
        </w:rPr>
        <w:t xml:space="preserve">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rsidR="001E6437" w:rsidRPr="005A369B" w:rsidRDefault="001E6437" w:rsidP="001E6437">
      <w:pPr>
        <w:pBdr>
          <w:top w:val="nil"/>
          <w:left w:val="nil"/>
          <w:bottom w:val="nil"/>
          <w:right w:val="nil"/>
          <w:between w:val="nil"/>
        </w:pBdr>
        <w:spacing w:line="360" w:lineRule="auto"/>
        <w:ind w:right="-787"/>
        <w:jc w:val="both"/>
        <w:rPr>
          <w:rFonts w:ascii="Palatino Linotype" w:eastAsia="Palatino Linotype" w:hAnsi="Palatino Linotype" w:cs="Palatino Linotype"/>
          <w:b/>
          <w:bCs/>
          <w:color w:val="000000"/>
        </w:rPr>
      </w:pPr>
    </w:p>
    <w:p w:rsidR="001E6437" w:rsidRPr="005A369B" w:rsidRDefault="001E6437" w:rsidP="001E6437">
      <w:pPr>
        <w:pStyle w:val="Ttulo2"/>
        <w:spacing w:before="0" w:line="360" w:lineRule="auto"/>
        <w:ind w:right="-787"/>
        <w:rPr>
          <w:rFonts w:ascii="Palatino Linotype" w:eastAsia="Palatino Linotype" w:hAnsi="Palatino Linotype" w:cs="Palatino Linotype"/>
          <w:b/>
          <w:bCs/>
          <w:color w:val="000000"/>
          <w:sz w:val="24"/>
          <w:szCs w:val="24"/>
        </w:rPr>
      </w:pPr>
      <w:bookmarkStart w:id="4" w:name="_heading=h.tyjcwt" w:colFirst="0" w:colLast="0"/>
      <w:bookmarkEnd w:id="4"/>
      <w:r w:rsidRPr="005A369B">
        <w:rPr>
          <w:rFonts w:ascii="Palatino Linotype" w:eastAsia="Palatino Linotype" w:hAnsi="Palatino Linotype" w:cs="Palatino Linotype"/>
          <w:b/>
          <w:bCs/>
          <w:color w:val="000000"/>
          <w:sz w:val="24"/>
          <w:szCs w:val="24"/>
        </w:rPr>
        <w:t>SEGUNDO. De la oportunidad y procedencia.</w:t>
      </w:r>
    </w:p>
    <w:p w:rsidR="001E6437" w:rsidRPr="005A369B" w:rsidRDefault="001E6437" w:rsidP="001E6437">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5A369B">
        <w:rPr>
          <w:rFonts w:ascii="Palatino Linotype" w:eastAsia="Palatino Linotype" w:hAnsi="Palatino Linotype" w:cs="Palatino Linotype"/>
        </w:rPr>
        <w:t xml:space="preserve">Es de precisar, que la Ley de Transparencia y Acceso a la Información Pública del Estado de México y Municipios, en el artículo 178 describe la procedencia del recurso de revisión, asimismo señala que el plazo del </w:t>
      </w:r>
      <w:r w:rsidRPr="005A369B">
        <w:rPr>
          <w:rFonts w:ascii="Palatino Linotype" w:eastAsia="Palatino Linotype" w:hAnsi="Palatino Linotype" w:cs="Palatino Linotype"/>
          <w:b/>
          <w:bCs/>
        </w:rPr>
        <w:t>SUJETO OBLIGADO</w:t>
      </w:r>
      <w:r w:rsidRPr="005A369B">
        <w:rPr>
          <w:rFonts w:ascii="Palatino Linotype" w:eastAsia="Palatino Linotype" w:hAnsi="Palatino Linotype" w:cs="Palatino Linotype"/>
        </w:rPr>
        <w:t xml:space="preserve"> para entregar la respuesta a una solicitud de información pública, es de quince días hábiles posteriores a la presentación de ésta; por lo que, transcurrido este término, cuando no entregue la respuesta a la solicitud dentro del plazo previsto en la Ley, la solicitud se entenderá negada y el solicitante podrá interponer el recurso de revisión previsto en el ordenamiento en cita.  </w:t>
      </w:r>
    </w:p>
    <w:p w:rsidR="001E6437" w:rsidRPr="005A369B" w:rsidRDefault="001E6437" w:rsidP="001E6437">
      <w:pPr>
        <w:tabs>
          <w:tab w:val="left" w:pos="284"/>
        </w:tabs>
        <w:spacing w:line="360" w:lineRule="auto"/>
        <w:ind w:right="-787"/>
        <w:jc w:val="both"/>
        <w:rPr>
          <w:rFonts w:ascii="Palatino Linotype" w:eastAsia="Palatino Linotype" w:hAnsi="Palatino Linotype" w:cs="Palatino Linotype"/>
          <w:color w:val="000000"/>
        </w:rPr>
      </w:pPr>
    </w:p>
    <w:p w:rsidR="001E6437" w:rsidRPr="005A369B" w:rsidRDefault="001E6437" w:rsidP="001E6437">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5A369B">
        <w:rPr>
          <w:rFonts w:ascii="Palatino Linotype" w:eastAsia="Palatino Linotype" w:hAnsi="Palatino Linotype" w:cs="Palatino Linotype"/>
        </w:rPr>
        <w:lastRenderedPageBreak/>
        <w:t xml:space="preserve">Por ende, se constituye la figura jurídica de la </w:t>
      </w:r>
      <w:r w:rsidRPr="005A369B">
        <w:rPr>
          <w:rFonts w:ascii="Palatino Linotype" w:eastAsia="Palatino Linotype" w:hAnsi="Palatino Linotype" w:cs="Palatino Linotype"/>
          <w:i/>
          <w:iCs/>
        </w:rPr>
        <w:t>negativa ficta</w:t>
      </w:r>
      <w:r w:rsidRPr="005A369B">
        <w:rPr>
          <w:rFonts w:ascii="Palatino Linotype" w:eastAsia="Palatino Linotype" w:hAnsi="Palatino Linotype" w:cs="Palatino Linotype"/>
        </w:rPr>
        <w:t xml:space="preserve">, cuya esencia es atribuir un efecto negativo al silencio de la autoridad administrativa frente a las instancias y solicitudes que hagan los particulares, lo cual encuentra sustento en lo que establece el artículo </w:t>
      </w:r>
      <w:r w:rsidRPr="005A369B">
        <w:rPr>
          <w:rFonts w:ascii="Palatino Linotype" w:eastAsia="Palatino Linotype" w:hAnsi="Palatino Linotype" w:cs="Palatino Linotype"/>
          <w:b/>
          <w:bCs/>
        </w:rPr>
        <w:t>178</w:t>
      </w:r>
      <w:r w:rsidRPr="005A369B">
        <w:rPr>
          <w:rFonts w:ascii="Palatino Linotype" w:eastAsia="Palatino Linotype" w:hAnsi="Palatino Linotype" w:cs="Palatino Linotype"/>
        </w:rPr>
        <w:t xml:space="preserve"> segundo párrafo de </w:t>
      </w:r>
      <w:r w:rsidRPr="005A369B">
        <w:rPr>
          <w:rFonts w:ascii="Palatino Linotype" w:eastAsia="Palatino Linotype" w:hAnsi="Palatino Linotype" w:cs="Palatino Linotype"/>
          <w:b/>
          <w:bCs/>
        </w:rPr>
        <w:t>Ley de Transparencia y Acceso a la Información Pública del Estado de México y Municipios</w:t>
      </w:r>
      <w:r w:rsidRPr="005A369B">
        <w:rPr>
          <w:rFonts w:ascii="Palatino Linotype" w:eastAsia="Palatino Linotype" w:hAnsi="Palatino Linotype" w:cs="Palatino Linotype"/>
          <w:color w:val="000000"/>
          <w:highlight w:val="white"/>
        </w:rPr>
        <w:t xml:space="preserve">, que dispone; ante la falta de respuesta del </w:t>
      </w:r>
      <w:r w:rsidRPr="005A369B">
        <w:rPr>
          <w:rFonts w:ascii="Palatino Linotype" w:eastAsia="Palatino Linotype" w:hAnsi="Palatino Linotype" w:cs="Palatino Linotype"/>
          <w:b/>
          <w:bCs/>
          <w:color w:val="000000"/>
          <w:highlight w:val="white"/>
        </w:rPr>
        <w:t>SUJETO OBLIGADO,</w:t>
      </w:r>
      <w:r w:rsidRPr="005A369B">
        <w:rPr>
          <w:rFonts w:ascii="Palatino Linotype" w:eastAsia="Palatino Linotype" w:hAnsi="Palatino Linotype" w:cs="Palatino Linotype"/>
          <w:color w:val="000000"/>
          <w:highlight w:val="white"/>
        </w:rPr>
        <w:t xml:space="preserve"> dentro de los plazos establecidos en esta Ley, a una solicitud de acceso a la información pública, el recurso </w:t>
      </w:r>
      <w:r w:rsidRPr="005A369B">
        <w:rPr>
          <w:rFonts w:ascii="Palatino Linotype" w:eastAsia="Palatino Linotype" w:hAnsi="Palatino Linotype" w:cs="Palatino Linotype"/>
          <w:b/>
          <w:bCs/>
          <w:color w:val="000000"/>
          <w:highlight w:val="white"/>
        </w:rPr>
        <w:t xml:space="preserve">podrá ser interpuesto en cualquier momento. </w:t>
      </w:r>
    </w:p>
    <w:p w:rsidR="001E6437" w:rsidRPr="005A369B" w:rsidRDefault="001E6437" w:rsidP="001E6437">
      <w:pPr>
        <w:tabs>
          <w:tab w:val="left" w:pos="284"/>
        </w:tabs>
        <w:spacing w:line="360" w:lineRule="auto"/>
        <w:ind w:right="-787"/>
        <w:jc w:val="both"/>
        <w:rPr>
          <w:rFonts w:ascii="Palatino Linotype" w:eastAsia="Palatino Linotype" w:hAnsi="Palatino Linotype" w:cs="Palatino Linotype"/>
          <w:color w:val="000000"/>
        </w:rPr>
      </w:pPr>
    </w:p>
    <w:p w:rsidR="001E6437" w:rsidRPr="005A369B" w:rsidRDefault="001E6437" w:rsidP="001E6437">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5A369B">
        <w:rPr>
          <w:rFonts w:ascii="Palatino Linotype" w:eastAsia="Palatino Linotype" w:hAnsi="Palatino Linotype" w:cs="Palatino Linotype"/>
        </w:rPr>
        <w:t xml:space="preserve">Por lo que, tratándose de la </w:t>
      </w:r>
      <w:r w:rsidRPr="005A369B">
        <w:rPr>
          <w:rFonts w:ascii="Palatino Linotype" w:eastAsia="Palatino Linotype" w:hAnsi="Palatino Linotype" w:cs="Palatino Linotype"/>
          <w:i/>
          <w:iCs/>
        </w:rPr>
        <w:t>negativa ficta</w:t>
      </w:r>
      <w:r w:rsidRPr="005A369B">
        <w:rPr>
          <w:rFonts w:ascii="Palatino Linotype" w:eastAsia="Palatino Linotype" w:hAnsi="Palatino Linotype" w:cs="Palatino Linotype"/>
        </w:rPr>
        <w:t xml:space="preserve"> no existe respuesta que se haga del conocimiento al particular, a partir de la cual pueda computarse el plazo legal establecido, por tal motivo es pertinente señalar que no existe plazo para la interposición del recurso de revisión, sirviendo de apoyo a lo anterior lo que dispone el Criterio de Interpretación en el orden administrativo número 001-15, emitido por el Pleno del Instituto de Transparencia y Acceso a la Información Pública del Estado de México y Municipios, en la Sexta Sesión Ordinaria, y publicada en el Periódico Oficial “Gaceta del Gobierno” el veintitrés de abril de dos mil quince, relativo a la interposición del recurso de revisión en cualquier tiempo cuando exista </w:t>
      </w:r>
      <w:r w:rsidRPr="005A369B">
        <w:rPr>
          <w:rFonts w:ascii="Palatino Linotype" w:eastAsia="Palatino Linotype" w:hAnsi="Palatino Linotype" w:cs="Palatino Linotype"/>
          <w:i/>
          <w:iCs/>
        </w:rPr>
        <w:t>negativa ficta</w:t>
      </w:r>
      <w:r w:rsidRPr="005A369B">
        <w:rPr>
          <w:rFonts w:ascii="Palatino Linotype" w:eastAsia="Palatino Linotype" w:hAnsi="Palatino Linotype" w:cs="Palatino Linotype"/>
        </w:rPr>
        <w:t>, que señala:</w:t>
      </w:r>
    </w:p>
    <w:p w:rsidR="001E6437" w:rsidRPr="005A369B" w:rsidRDefault="001E6437" w:rsidP="00371D12">
      <w:pPr>
        <w:tabs>
          <w:tab w:val="left" w:pos="284"/>
          <w:tab w:val="left" w:pos="7655"/>
          <w:tab w:val="left" w:pos="7938"/>
        </w:tabs>
        <w:spacing w:after="240"/>
        <w:ind w:left="1134" w:right="1843"/>
        <w:jc w:val="center"/>
        <w:rPr>
          <w:rFonts w:ascii="Palatino Linotype" w:eastAsia="Palatino Linotype" w:hAnsi="Palatino Linotype" w:cs="Palatino Linotype"/>
          <w:b/>
          <w:bCs/>
        </w:rPr>
      </w:pPr>
      <w:r w:rsidRPr="005A369B">
        <w:rPr>
          <w:rFonts w:ascii="Palatino Linotype" w:eastAsia="Palatino Linotype" w:hAnsi="Palatino Linotype" w:cs="Palatino Linotype"/>
          <w:b/>
          <w:bCs/>
        </w:rPr>
        <w:t>Criterio 0001-15</w:t>
      </w:r>
    </w:p>
    <w:p w:rsidR="001E6437" w:rsidRPr="005A369B" w:rsidRDefault="001E6437" w:rsidP="00371D12">
      <w:pPr>
        <w:tabs>
          <w:tab w:val="left" w:pos="284"/>
          <w:tab w:val="left" w:pos="7655"/>
          <w:tab w:val="left" w:pos="7938"/>
        </w:tabs>
        <w:spacing w:before="240" w:after="240"/>
        <w:ind w:left="1134" w:right="1843"/>
        <w:jc w:val="both"/>
        <w:rPr>
          <w:rFonts w:ascii="Palatino Linotype" w:eastAsia="Palatino Linotype" w:hAnsi="Palatino Linotype" w:cs="Palatino Linotype"/>
          <w:i/>
          <w:iCs/>
        </w:rPr>
      </w:pPr>
      <w:r w:rsidRPr="005A369B">
        <w:rPr>
          <w:rFonts w:ascii="Palatino Linotype" w:eastAsia="Palatino Linotype" w:hAnsi="Palatino Linotype" w:cs="Palatino Linotype"/>
          <w:b/>
          <w:bCs/>
          <w:i/>
          <w:iCs/>
        </w:rPr>
        <w:t>NEGATIVA FICTA. PLAZO PARA INTERPONER EL RECURSO DE REVISIÓN TRATÁNDOSE DE.</w:t>
      </w:r>
      <w:r w:rsidRPr="005A369B">
        <w:rPr>
          <w:rFonts w:ascii="Palatino Linotype" w:eastAsia="Palatino Linotype" w:hAnsi="Palatino Linotype" w:cs="Palatino Linotype"/>
          <w:i/>
          <w:iCs/>
        </w:rPr>
        <w:t xml:space="preserve"> El artículo 48, párrafo tercero de la Ley de Transparencia y Acceso a la Información Pública del Estado de México y Municipios establece que, cuando no se entregue la respuesta a la solicitud dentro del plazo de 15 días establecidos en el artículo 46 de la Ley de la materia, se entenderá por negada la solicitud y podrá interponerse el recurso correspondiente. Por su parte, el artículo 72 del mismo ordenamiento legal establece el plazo </w:t>
      </w:r>
      <w:r w:rsidRPr="005A369B">
        <w:rPr>
          <w:rFonts w:ascii="Palatino Linotype" w:eastAsia="Palatino Linotype" w:hAnsi="Palatino Linotype" w:cs="Palatino Linotype"/>
          <w:i/>
          <w:iCs/>
        </w:rPr>
        <w:lastRenderedPageBreak/>
        <w:t>de 15 días para interponer el recurso de revisión a partir del día siguiente al que tuvo conocimiento de la respuesta recaída a su solicitud, sin que se establezca excepción alguna tratándose de una falta de respuesta del sujeto obligado. Así, entonces, resulta evidente que, al no emitirse respuesta dentro del plazo establecido, se genera la ficción legal de una respuesta en sentido negativo; en el entendido de que el plazo para impugnar esa negativa podrá ser en cualquier tiempo y hasta en tanto no se dicte resolución expresa; es decir, mientras no haya respuesta por parte del Sujeto Obligado, momento a partir del cual deberá computarse el plazo previsto en el artículo 72 de la citada Ley.</w:t>
      </w:r>
    </w:p>
    <w:p w:rsidR="001E6437" w:rsidRPr="005A369B" w:rsidRDefault="001E6437" w:rsidP="001E6437">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5A369B">
        <w:rPr>
          <w:rFonts w:ascii="Palatino Linotype" w:eastAsia="Palatino Linotype" w:hAnsi="Palatino Linotype" w:cs="Palatino Linotype"/>
          <w:color w:val="000000"/>
        </w:rPr>
        <w:t xml:space="preserve">Lo anterior, se explica porque la </w:t>
      </w:r>
      <w:r w:rsidRPr="005A369B">
        <w:rPr>
          <w:rFonts w:ascii="Palatino Linotype" w:eastAsia="Palatino Linotype" w:hAnsi="Palatino Linotype" w:cs="Palatino Linotype"/>
          <w:b/>
          <w:bCs/>
          <w:color w:val="000000"/>
          <w:u w:val="single"/>
        </w:rPr>
        <w:t>posible ausencia</w:t>
      </w:r>
      <w:r w:rsidRPr="005A369B">
        <w:rPr>
          <w:rFonts w:ascii="Palatino Linotype" w:eastAsia="Palatino Linotype" w:hAnsi="Palatino Linotype" w:cs="Palatino Linotype"/>
          <w:color w:val="000000"/>
        </w:rPr>
        <w:t xml:space="preserve"> de una respuesta en la solicitud constituye un acto que vulnera el derecho de manera continua y actualizable cada día en tanto, no se emita la respuesta a la que esté impuesto el </w:t>
      </w:r>
      <w:r w:rsidRPr="005A369B">
        <w:rPr>
          <w:rFonts w:ascii="Palatino Linotype" w:eastAsia="Palatino Linotype" w:hAnsi="Palatino Linotype" w:cs="Palatino Linotype"/>
          <w:b/>
          <w:bCs/>
          <w:color w:val="000000"/>
        </w:rPr>
        <w:t>SUJETO OBLIGADO</w:t>
      </w:r>
      <w:r w:rsidRPr="005A369B">
        <w:rPr>
          <w:rFonts w:ascii="Palatino Linotype" w:eastAsia="Palatino Linotype" w:hAnsi="Palatino Linotype" w:cs="Palatino Linotype"/>
          <w:color w:val="000000"/>
        </w:rPr>
        <w:t>.</w:t>
      </w:r>
    </w:p>
    <w:p w:rsidR="001E6437" w:rsidRPr="005A369B" w:rsidRDefault="001E6437" w:rsidP="001E6437">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rsidR="001E6437" w:rsidRPr="005A369B" w:rsidRDefault="001E6437" w:rsidP="001E6437">
      <w:pPr>
        <w:numPr>
          <w:ilvl w:val="0"/>
          <w:numId w:val="3"/>
        </w:numPr>
        <w:pBdr>
          <w:top w:val="nil"/>
          <w:left w:val="nil"/>
          <w:bottom w:val="nil"/>
          <w:right w:val="nil"/>
          <w:between w:val="nil"/>
        </w:pBdr>
        <w:spacing w:line="360" w:lineRule="auto"/>
        <w:ind w:left="0" w:firstLine="0"/>
        <w:jc w:val="both"/>
        <w:rPr>
          <w:rFonts w:ascii="Palatino Linotype" w:hAnsi="Palatino Linotype"/>
          <w:color w:val="000000"/>
        </w:rPr>
      </w:pPr>
      <w:r w:rsidRPr="005A369B">
        <w:rPr>
          <w:rFonts w:ascii="Palatino Linotype" w:eastAsia="Palatino Linotype" w:hAnsi="Palatino Linotype" w:cs="Palatino Linotype"/>
          <w:color w:val="000000"/>
        </w:rPr>
        <w:t>Por otro lado, es de suma importancia señalar que la parte recurrente no proporciona un nombre o datos de identificación como se advierte en el detalle de seguimiento del SAIMEX, no obstante lo anterior, no proporcionar el nombre completo no es motivo para archivar la solicitud de acceso a la información pública como concluida, conforme a lo previsto en el artículo 155, penúltimo párrafo de la Ley de Transparencia y Acceso a la Información Pública del Estado de México y Municipios que establece lo siguiente:</w:t>
      </w:r>
    </w:p>
    <w:p w:rsidR="001E6437" w:rsidRDefault="001E6437" w:rsidP="00371D12">
      <w:pPr>
        <w:ind w:left="1134" w:right="1843"/>
        <w:jc w:val="both"/>
        <w:rPr>
          <w:rFonts w:ascii="Palatino Linotype" w:eastAsia="Palatino Linotype" w:hAnsi="Palatino Linotype" w:cs="Palatino Linotype"/>
          <w:i/>
          <w:iCs/>
        </w:rPr>
      </w:pPr>
      <w:r w:rsidRPr="005A369B">
        <w:rPr>
          <w:rFonts w:ascii="Palatino Linotype" w:eastAsia="Palatino Linotype" w:hAnsi="Palatino Linotype" w:cs="Palatino Linotype"/>
          <w:i/>
          <w:iCs/>
        </w:rPr>
        <w:t>"</w:t>
      </w:r>
      <w:r w:rsidRPr="005A369B">
        <w:rPr>
          <w:rFonts w:ascii="Palatino Linotype" w:eastAsia="Palatino Linotype" w:hAnsi="Palatino Linotype" w:cs="Palatino Linotype"/>
          <w:b/>
          <w:bCs/>
          <w:i/>
          <w:iCs/>
        </w:rPr>
        <w:t>Las solicitudes anónimas</w:t>
      </w:r>
      <w:r w:rsidRPr="005A369B">
        <w:rPr>
          <w:rFonts w:ascii="Palatino Linotype" w:eastAsia="Palatino Linotype" w:hAnsi="Palatino Linotype" w:cs="Palatino Linotype"/>
          <w:i/>
          <w:iCs/>
        </w:rPr>
        <w:t xml:space="preserve">, con nombre incompleto o seudónimo </w:t>
      </w:r>
      <w:r w:rsidRPr="005A369B">
        <w:rPr>
          <w:rFonts w:ascii="Palatino Linotype" w:eastAsia="Palatino Linotype" w:hAnsi="Palatino Linotype" w:cs="Palatino Linotype"/>
          <w:b/>
          <w:bCs/>
          <w:i/>
          <w:iCs/>
        </w:rPr>
        <w:t>serán procedentes para su trámite por parte del sujeto obligado ante quien se presente</w:t>
      </w:r>
      <w:r w:rsidRPr="005A369B">
        <w:rPr>
          <w:rFonts w:ascii="Palatino Linotype" w:eastAsia="Palatino Linotype" w:hAnsi="Palatino Linotype" w:cs="Palatino Linotype"/>
          <w:i/>
          <w:iCs/>
        </w:rPr>
        <w:t>. No podrá requerirse información adicional con motivo del nombre proporcionado por el solicitante."</w:t>
      </w:r>
    </w:p>
    <w:p w:rsidR="00C776CE" w:rsidRPr="005A369B" w:rsidRDefault="00C776CE" w:rsidP="00371D12">
      <w:pPr>
        <w:ind w:left="1134" w:right="1843"/>
        <w:jc w:val="both"/>
        <w:rPr>
          <w:rFonts w:ascii="Palatino Linotype" w:eastAsia="Palatino Linotype" w:hAnsi="Palatino Linotype" w:cs="Palatino Linotype"/>
          <w:i/>
          <w:iCs/>
        </w:rPr>
      </w:pPr>
    </w:p>
    <w:p w:rsidR="001E6437" w:rsidRPr="005A369B" w:rsidRDefault="001E6437" w:rsidP="001E6437">
      <w:pPr>
        <w:numPr>
          <w:ilvl w:val="0"/>
          <w:numId w:val="3"/>
        </w:numPr>
        <w:pBdr>
          <w:top w:val="nil"/>
          <w:left w:val="nil"/>
          <w:bottom w:val="nil"/>
          <w:right w:val="nil"/>
          <w:between w:val="nil"/>
        </w:pBdr>
        <w:spacing w:line="360" w:lineRule="auto"/>
        <w:ind w:left="0" w:firstLine="0"/>
        <w:jc w:val="both"/>
        <w:rPr>
          <w:rFonts w:ascii="Palatino Linotype" w:hAnsi="Palatino Linotype"/>
          <w:color w:val="000000"/>
        </w:rPr>
      </w:pPr>
      <w:r w:rsidRPr="005A369B">
        <w:rPr>
          <w:rFonts w:ascii="Palatino Linotype" w:eastAsia="Palatino Linotype" w:hAnsi="Palatino Linotype" w:cs="Palatino Linotype"/>
          <w:color w:val="000000"/>
        </w:rPr>
        <w:t>Robusteciendo lo anterior se encuentra lo dispuesto en el artículo 6, Apartado A, fracciones III de la Constitución Política de los Estados Unidos Mexicanos que establece:</w:t>
      </w:r>
    </w:p>
    <w:p w:rsidR="001E6437" w:rsidRPr="005A369B" w:rsidRDefault="001E6437" w:rsidP="00371D12">
      <w:pPr>
        <w:ind w:left="1134" w:right="1843"/>
        <w:jc w:val="both"/>
        <w:rPr>
          <w:rFonts w:ascii="Palatino Linotype" w:eastAsia="Palatino Linotype" w:hAnsi="Palatino Linotype" w:cs="Palatino Linotype"/>
          <w:i/>
          <w:iCs/>
        </w:rPr>
      </w:pPr>
      <w:r w:rsidRPr="005A369B">
        <w:rPr>
          <w:rFonts w:ascii="Palatino Linotype" w:eastAsia="Palatino Linotype" w:hAnsi="Palatino Linotype" w:cs="Palatino Linotype"/>
          <w:i/>
          <w:iCs/>
        </w:rPr>
        <w:lastRenderedPageBreak/>
        <w:t>"</w:t>
      </w:r>
      <w:r w:rsidRPr="005A369B">
        <w:rPr>
          <w:rFonts w:ascii="Palatino Linotype" w:eastAsia="Palatino Linotype" w:hAnsi="Palatino Linotype" w:cs="Palatino Linotype"/>
          <w:b/>
          <w:bCs/>
          <w:i/>
          <w:iCs/>
        </w:rPr>
        <w:t>Artículo 6.-</w:t>
      </w:r>
      <w:r w:rsidRPr="005A369B">
        <w:rPr>
          <w:rFonts w:ascii="Palatino Linotype" w:eastAsia="Palatino Linotype" w:hAnsi="Palatino Linotype" w:cs="Palatino Linotype"/>
          <w:i/>
          <w:iCs/>
        </w:rPr>
        <w:t xml:space="preserve">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p w:rsidR="001E6437" w:rsidRPr="005A369B" w:rsidRDefault="001E6437" w:rsidP="00371D12">
      <w:pPr>
        <w:ind w:left="1134" w:right="1843"/>
        <w:jc w:val="both"/>
        <w:rPr>
          <w:rFonts w:ascii="Palatino Linotype" w:eastAsia="Palatino Linotype" w:hAnsi="Palatino Linotype" w:cs="Palatino Linotype"/>
          <w:i/>
          <w:iCs/>
        </w:rPr>
      </w:pPr>
      <w:r w:rsidRPr="005A369B">
        <w:rPr>
          <w:rFonts w:ascii="Palatino Linotype" w:eastAsia="Palatino Linotype" w:hAnsi="Palatino Linotype" w:cs="Palatino Linotype"/>
          <w:i/>
          <w:iCs/>
        </w:rPr>
        <w:t>Para efectos de lo dispuesto en el presente artículo se observará lo siguiente:</w:t>
      </w:r>
    </w:p>
    <w:p w:rsidR="001E6437" w:rsidRPr="005A369B" w:rsidRDefault="001E6437" w:rsidP="00371D12">
      <w:pPr>
        <w:ind w:left="1134" w:right="1843"/>
        <w:jc w:val="both"/>
        <w:rPr>
          <w:rFonts w:ascii="Palatino Linotype" w:eastAsia="Palatino Linotype" w:hAnsi="Palatino Linotype" w:cs="Palatino Linotype"/>
          <w:i/>
          <w:iCs/>
        </w:rPr>
      </w:pPr>
    </w:p>
    <w:p w:rsidR="001E6437" w:rsidRPr="005A369B" w:rsidRDefault="001E6437" w:rsidP="00371D12">
      <w:pPr>
        <w:ind w:left="1134" w:right="1843"/>
        <w:jc w:val="both"/>
        <w:rPr>
          <w:rFonts w:ascii="Palatino Linotype" w:eastAsia="Palatino Linotype" w:hAnsi="Palatino Linotype" w:cs="Palatino Linotype"/>
          <w:i/>
          <w:iCs/>
        </w:rPr>
      </w:pPr>
      <w:r w:rsidRPr="005A369B">
        <w:rPr>
          <w:rFonts w:ascii="Palatino Linotype" w:eastAsia="Palatino Linotype" w:hAnsi="Palatino Linotype" w:cs="Palatino Linotype"/>
          <w:i/>
          <w:iCs/>
        </w:rPr>
        <w:t>A. Para el ejercicio del derecho de acceso a la información, la Federación, los Estados y el Distrito Federal, en el ámbito de sus respectivas competencias, se regirán por los siguientes principios y bases:</w:t>
      </w:r>
    </w:p>
    <w:p w:rsidR="001E6437" w:rsidRPr="005A369B" w:rsidRDefault="001E6437" w:rsidP="00371D12">
      <w:pPr>
        <w:ind w:left="1134" w:right="1843"/>
        <w:jc w:val="both"/>
        <w:rPr>
          <w:rFonts w:ascii="Palatino Linotype" w:eastAsia="Palatino Linotype" w:hAnsi="Palatino Linotype" w:cs="Palatino Linotype"/>
          <w:i/>
          <w:iCs/>
        </w:rPr>
      </w:pPr>
    </w:p>
    <w:p w:rsidR="001E6437" w:rsidRPr="005A369B" w:rsidRDefault="001E6437" w:rsidP="00371D12">
      <w:pPr>
        <w:ind w:left="1134" w:right="1843"/>
        <w:jc w:val="both"/>
        <w:rPr>
          <w:rFonts w:ascii="Palatino Linotype" w:eastAsia="Palatino Linotype" w:hAnsi="Palatino Linotype" w:cs="Palatino Linotype"/>
          <w:i/>
          <w:iCs/>
        </w:rPr>
      </w:pPr>
      <w:r w:rsidRPr="005A369B">
        <w:rPr>
          <w:rFonts w:ascii="Palatino Linotype" w:eastAsia="Palatino Linotype" w:hAnsi="Palatino Linotype" w:cs="Palatino Linotype"/>
          <w:i/>
          <w:iCs/>
        </w:rPr>
        <w:t xml:space="preserve">III. Toda persona, sin necesidad de acreditar interés alguno o justificar su utilización, tendrá acceso gratuito a la información pública, a sus datos personales o a la rectificación de éstos.” </w:t>
      </w:r>
      <w:r w:rsidRPr="005A369B">
        <w:rPr>
          <w:rFonts w:ascii="Palatino Linotype" w:eastAsia="Palatino Linotype" w:hAnsi="Palatino Linotype" w:cs="Palatino Linotype"/>
        </w:rPr>
        <w:t>(Sic)</w:t>
      </w:r>
    </w:p>
    <w:p w:rsidR="001E6437" w:rsidRPr="005A369B" w:rsidRDefault="001E6437" w:rsidP="001E6437">
      <w:pPr>
        <w:spacing w:line="360" w:lineRule="auto"/>
        <w:ind w:left="567" w:right="-787"/>
        <w:jc w:val="both"/>
        <w:rPr>
          <w:rFonts w:ascii="Palatino Linotype" w:eastAsia="Palatino Linotype" w:hAnsi="Palatino Linotype" w:cs="Palatino Linotype"/>
          <w:i/>
          <w:iCs/>
        </w:rPr>
      </w:pPr>
    </w:p>
    <w:p w:rsidR="001E6437" w:rsidRPr="005A369B" w:rsidRDefault="001E6437" w:rsidP="001E6437">
      <w:pPr>
        <w:numPr>
          <w:ilvl w:val="0"/>
          <w:numId w:val="3"/>
        </w:numPr>
        <w:pBdr>
          <w:top w:val="nil"/>
          <w:left w:val="nil"/>
          <w:bottom w:val="nil"/>
          <w:right w:val="nil"/>
          <w:between w:val="nil"/>
        </w:pBdr>
        <w:spacing w:line="360" w:lineRule="auto"/>
        <w:ind w:left="0" w:firstLine="0"/>
        <w:jc w:val="both"/>
        <w:rPr>
          <w:rFonts w:ascii="Palatino Linotype" w:hAnsi="Palatino Linotype"/>
          <w:color w:val="000000"/>
        </w:rPr>
      </w:pPr>
      <w:r w:rsidRPr="005A369B">
        <w:rPr>
          <w:rFonts w:ascii="Palatino Linotype" w:eastAsia="Palatino Linotype" w:hAnsi="Palatino Linotype" w:cs="Palatino Linotype"/>
          <w:color w:val="000000"/>
        </w:rPr>
        <w:t>Así como el artículo 5 fracción III, párrafo vigésimo noveno, trigésimo y trigésimo primero, de la Constitución Política del Estado Libre y Soberano de México, que determina lo siguiente:</w:t>
      </w:r>
    </w:p>
    <w:p w:rsidR="001E6437" w:rsidRPr="005A369B" w:rsidRDefault="001E6437" w:rsidP="00371D12">
      <w:pPr>
        <w:ind w:left="1134" w:right="1843"/>
        <w:jc w:val="both"/>
        <w:rPr>
          <w:rFonts w:ascii="Palatino Linotype" w:eastAsia="Palatino Linotype" w:hAnsi="Palatino Linotype" w:cs="Palatino Linotype"/>
          <w:i/>
          <w:iCs/>
        </w:rPr>
      </w:pPr>
      <w:r w:rsidRPr="005A369B">
        <w:rPr>
          <w:rFonts w:ascii="Palatino Linotype" w:eastAsia="Palatino Linotype" w:hAnsi="Palatino Linotype" w:cs="Palatino Linotype"/>
          <w:i/>
          <w:iCs/>
        </w:rPr>
        <w:t>"</w:t>
      </w:r>
      <w:r w:rsidRPr="005A369B">
        <w:rPr>
          <w:rFonts w:ascii="Palatino Linotype" w:eastAsia="Palatino Linotype" w:hAnsi="Palatino Linotype" w:cs="Palatino Linotype"/>
          <w:b/>
          <w:bCs/>
          <w:i/>
          <w:iCs/>
        </w:rPr>
        <w:t>Artículo 5.-</w:t>
      </w:r>
      <w:r w:rsidRPr="005A369B">
        <w:rPr>
          <w:rFonts w:ascii="Palatino Linotype" w:eastAsia="Palatino Linotype" w:hAnsi="Palatino Linotype" w:cs="Palatino Linotype"/>
          <w:i/>
          <w:iCs/>
        </w:rPr>
        <w:t xml:space="preserve">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establece”.(Sic)</w:t>
      </w:r>
    </w:p>
    <w:p w:rsidR="001E6437" w:rsidRPr="005A369B" w:rsidRDefault="001E6437" w:rsidP="00371D12">
      <w:pPr>
        <w:ind w:left="1134" w:right="1843"/>
        <w:jc w:val="both"/>
        <w:rPr>
          <w:rFonts w:ascii="Palatino Linotype" w:eastAsia="Palatino Linotype" w:hAnsi="Palatino Linotype" w:cs="Palatino Linotype"/>
          <w:i/>
          <w:iCs/>
        </w:rPr>
      </w:pPr>
      <w:r w:rsidRPr="005A369B">
        <w:rPr>
          <w:rFonts w:ascii="Palatino Linotype" w:eastAsia="Palatino Linotype" w:hAnsi="Palatino Linotype" w:cs="Palatino Linotype"/>
          <w:i/>
          <w:iCs/>
        </w:rPr>
        <w:t>…</w:t>
      </w:r>
    </w:p>
    <w:p w:rsidR="001E6437" w:rsidRPr="005A369B" w:rsidRDefault="001E6437" w:rsidP="00371D12">
      <w:pPr>
        <w:ind w:left="1134" w:right="1843"/>
        <w:jc w:val="both"/>
        <w:rPr>
          <w:rFonts w:ascii="Palatino Linotype" w:eastAsia="Palatino Linotype" w:hAnsi="Palatino Linotype" w:cs="Palatino Linotype"/>
          <w:i/>
          <w:iCs/>
        </w:rPr>
      </w:pPr>
      <w:r w:rsidRPr="005A369B">
        <w:rPr>
          <w:rFonts w:ascii="Palatino Linotype" w:eastAsia="Palatino Linotype" w:hAnsi="Palatino Linotype" w:cs="Palatino Linotype"/>
          <w:i/>
          <w:iCs/>
        </w:rPr>
        <w:t>Toda persona en el Estado de México, tiene derecho al libre acceso a la información plural y oportuna, así como a buscar recibir y difundir información e ideas de toda índole por cualquier medio de expresión.</w:t>
      </w:r>
    </w:p>
    <w:p w:rsidR="001E6437" w:rsidRPr="005A369B" w:rsidRDefault="001E6437" w:rsidP="00371D12">
      <w:pPr>
        <w:ind w:left="1134" w:right="1843"/>
        <w:jc w:val="both"/>
        <w:rPr>
          <w:rFonts w:ascii="Palatino Linotype" w:eastAsia="Palatino Linotype" w:hAnsi="Palatino Linotype" w:cs="Palatino Linotype"/>
          <w:i/>
          <w:iCs/>
        </w:rPr>
      </w:pPr>
      <w:r w:rsidRPr="005A369B">
        <w:rPr>
          <w:rFonts w:ascii="Palatino Linotype" w:eastAsia="Palatino Linotype" w:hAnsi="Palatino Linotype" w:cs="Palatino Linotype"/>
          <w:i/>
          <w:iCs/>
        </w:rPr>
        <w:t>...</w:t>
      </w:r>
    </w:p>
    <w:p w:rsidR="001E6437" w:rsidRPr="005A369B" w:rsidRDefault="001E6437" w:rsidP="00371D12">
      <w:pPr>
        <w:ind w:left="1134" w:right="1843"/>
        <w:jc w:val="both"/>
        <w:rPr>
          <w:rFonts w:ascii="Palatino Linotype" w:eastAsia="Palatino Linotype" w:hAnsi="Palatino Linotype" w:cs="Palatino Linotype"/>
          <w:i/>
          <w:iCs/>
        </w:rPr>
      </w:pPr>
      <w:r w:rsidRPr="005A369B">
        <w:rPr>
          <w:rFonts w:ascii="Palatino Linotype" w:eastAsia="Palatino Linotype" w:hAnsi="Palatino Linotype" w:cs="Palatino Linotype"/>
          <w:i/>
          <w:iCs/>
        </w:rPr>
        <w:lastRenderedPageBreak/>
        <w:t>El derecho a la información será garantizado por el Estado. La ley establecerá las previsiones que permitan asegurar la protección, el respeto y la difusión de este derecho.</w:t>
      </w:r>
    </w:p>
    <w:p w:rsidR="001E6437" w:rsidRPr="005A369B" w:rsidRDefault="001E6437" w:rsidP="00371D12">
      <w:pPr>
        <w:ind w:left="1134" w:right="1843"/>
        <w:jc w:val="both"/>
        <w:rPr>
          <w:rFonts w:ascii="Palatino Linotype" w:eastAsia="Palatino Linotype" w:hAnsi="Palatino Linotype" w:cs="Palatino Linotype"/>
          <w:i/>
          <w:iCs/>
        </w:rPr>
      </w:pPr>
      <w:r w:rsidRPr="005A369B">
        <w:rPr>
          <w:rFonts w:ascii="Palatino Linotype" w:eastAsia="Palatino Linotype" w:hAnsi="Palatino Linotype" w:cs="Palatino Linotype"/>
          <w:i/>
          <w:iCs/>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Este derecho se regirá por los principios y bases siguientes:</w:t>
      </w:r>
    </w:p>
    <w:p w:rsidR="001E6437" w:rsidRPr="005A369B" w:rsidRDefault="001E6437" w:rsidP="00371D12">
      <w:pPr>
        <w:ind w:left="1134" w:right="1843"/>
        <w:jc w:val="both"/>
        <w:rPr>
          <w:rFonts w:ascii="Palatino Linotype" w:eastAsia="Palatino Linotype" w:hAnsi="Palatino Linotype" w:cs="Palatino Linotype"/>
          <w:i/>
          <w:iCs/>
        </w:rPr>
      </w:pPr>
      <w:r w:rsidRPr="005A369B">
        <w:rPr>
          <w:rFonts w:ascii="Palatino Linotype" w:eastAsia="Palatino Linotype" w:hAnsi="Palatino Linotype" w:cs="Palatino Linotype"/>
          <w:i/>
          <w:iCs/>
        </w:rPr>
        <w:t>III. Toda persona, sin necesidad de acreditar interés alguno o justificar su utilización, tendrá acceso gratuito a la información pública, a sus datos personales o a la rectificación de éstos;</w:t>
      </w:r>
    </w:p>
    <w:p w:rsidR="001E6437" w:rsidRPr="005A369B" w:rsidRDefault="001E6437" w:rsidP="00371D12">
      <w:pPr>
        <w:ind w:left="1134" w:right="1843"/>
        <w:jc w:val="both"/>
        <w:rPr>
          <w:rFonts w:ascii="Palatino Linotype" w:eastAsia="Palatino Linotype" w:hAnsi="Palatino Linotype" w:cs="Palatino Linotype"/>
          <w:i/>
          <w:iCs/>
        </w:rPr>
      </w:pPr>
      <w:r w:rsidRPr="005A369B">
        <w:rPr>
          <w:rFonts w:ascii="Palatino Linotype" w:eastAsia="Palatino Linotype" w:hAnsi="Palatino Linotype" w:cs="Palatino Linotype"/>
          <w:i/>
          <w:iCs/>
        </w:rPr>
        <w:t>...</w:t>
      </w:r>
    </w:p>
    <w:p w:rsidR="001E6437" w:rsidRPr="005A369B" w:rsidRDefault="001E6437" w:rsidP="00371D12">
      <w:pPr>
        <w:ind w:left="1134" w:right="1843"/>
        <w:jc w:val="both"/>
        <w:rPr>
          <w:rFonts w:ascii="Palatino Linotype" w:eastAsia="Palatino Linotype" w:hAnsi="Palatino Linotype" w:cs="Palatino Linotype"/>
          <w:i/>
          <w:iCs/>
        </w:rPr>
      </w:pPr>
      <w:r w:rsidRPr="005A369B">
        <w:rPr>
          <w:rFonts w:ascii="Palatino Linotype" w:eastAsia="Palatino Linotype" w:hAnsi="Palatino Linotype" w:cs="Palatino Linotype"/>
          <w:i/>
          <w:iCs/>
        </w:rPr>
        <w:t xml:space="preserve">VIII.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w:t>
      </w:r>
      <w:r w:rsidRPr="005A369B">
        <w:rPr>
          <w:rFonts w:ascii="Palatino Linotype" w:eastAsia="Palatino Linotype" w:hAnsi="Palatino Linotype" w:cs="Palatino Linotype"/>
        </w:rPr>
        <w:t>(Sic)</w:t>
      </w:r>
    </w:p>
    <w:p w:rsidR="001E6437" w:rsidRPr="005A369B" w:rsidRDefault="001E6437" w:rsidP="001E6437">
      <w:pPr>
        <w:spacing w:line="360" w:lineRule="auto"/>
        <w:ind w:left="426" w:right="-787"/>
        <w:jc w:val="both"/>
        <w:rPr>
          <w:rFonts w:ascii="Palatino Linotype" w:eastAsia="Palatino Linotype" w:hAnsi="Palatino Linotype" w:cs="Palatino Linotype"/>
          <w:i/>
          <w:iCs/>
        </w:rPr>
      </w:pPr>
    </w:p>
    <w:p w:rsidR="001E6437" w:rsidRPr="005A369B" w:rsidRDefault="001E6437" w:rsidP="001E6437">
      <w:pPr>
        <w:numPr>
          <w:ilvl w:val="0"/>
          <w:numId w:val="3"/>
        </w:numPr>
        <w:pBdr>
          <w:top w:val="nil"/>
          <w:left w:val="nil"/>
          <w:bottom w:val="nil"/>
          <w:right w:val="nil"/>
          <w:between w:val="nil"/>
        </w:pBdr>
        <w:spacing w:line="360" w:lineRule="auto"/>
        <w:ind w:left="0" w:firstLine="0"/>
        <w:jc w:val="both"/>
        <w:rPr>
          <w:rFonts w:ascii="Palatino Linotype" w:hAnsi="Palatino Linotype"/>
          <w:color w:val="000000"/>
        </w:rPr>
      </w:pPr>
      <w:r w:rsidRPr="005A369B">
        <w:rPr>
          <w:rFonts w:ascii="Palatino Linotype" w:eastAsia="Palatino Linotype" w:hAnsi="Palatino Linotype" w:cs="Palatino Linotype"/>
          <w:color w:val="000000"/>
        </w:rPr>
        <w:t>Por otra parte, del contenido del artículo 1 de la Constitución Política de los Estados Unidos mexicanos, se destaca lo siguiente:</w:t>
      </w:r>
    </w:p>
    <w:p w:rsidR="001E6437" w:rsidRPr="005A369B" w:rsidRDefault="001E6437" w:rsidP="00371D12">
      <w:pPr>
        <w:ind w:left="1134" w:right="1843"/>
        <w:jc w:val="both"/>
        <w:rPr>
          <w:rFonts w:ascii="Palatino Linotype" w:eastAsia="Palatino Linotype" w:hAnsi="Palatino Linotype" w:cs="Palatino Linotype"/>
          <w:i/>
          <w:iCs/>
        </w:rPr>
      </w:pPr>
      <w:r w:rsidRPr="005A369B">
        <w:rPr>
          <w:rFonts w:ascii="Palatino Linotype" w:eastAsia="Palatino Linotype" w:hAnsi="Palatino Linotype" w:cs="Palatino Linotype"/>
          <w:i/>
          <w:iCs/>
        </w:rPr>
        <w:t>"</w:t>
      </w:r>
      <w:r w:rsidRPr="005A369B">
        <w:rPr>
          <w:rFonts w:ascii="Palatino Linotype" w:eastAsia="Palatino Linotype" w:hAnsi="Palatino Linotype" w:cs="Palatino Linotype"/>
          <w:b/>
          <w:bCs/>
          <w:i/>
          <w:iCs/>
        </w:rPr>
        <w:t>Artículo 1</w:t>
      </w:r>
      <w:r w:rsidRPr="005A369B">
        <w:rPr>
          <w:rFonts w:ascii="Palatino Linotype" w:eastAsia="Palatino Linotype" w:hAnsi="Palatino Linotype" w:cs="Palatino Linotype"/>
          <w:i/>
          <w:iCs/>
        </w:rPr>
        <w:t>.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rsidR="001E6437" w:rsidRPr="005A369B" w:rsidRDefault="001E6437" w:rsidP="00371D12">
      <w:pPr>
        <w:ind w:left="1134" w:right="1843"/>
        <w:jc w:val="both"/>
        <w:rPr>
          <w:rFonts w:ascii="Palatino Linotype" w:eastAsia="Palatino Linotype" w:hAnsi="Palatino Linotype" w:cs="Palatino Linotype"/>
          <w:i/>
          <w:iCs/>
        </w:rPr>
      </w:pPr>
      <w:r w:rsidRPr="005A369B">
        <w:rPr>
          <w:rFonts w:ascii="Palatino Linotype" w:eastAsia="Palatino Linotype" w:hAnsi="Palatino Linotype" w:cs="Palatino Linotype"/>
          <w:i/>
          <w:iCs/>
        </w:rPr>
        <w:t xml:space="preserve">Las normas relativas a los derechos humanos se interpretarán de conformidad con esta Constitución y con los tratados internacionales </w:t>
      </w:r>
      <w:r w:rsidRPr="005A369B">
        <w:rPr>
          <w:rFonts w:ascii="Palatino Linotype" w:eastAsia="Palatino Linotype" w:hAnsi="Palatino Linotype" w:cs="Palatino Linotype"/>
          <w:i/>
          <w:iCs/>
        </w:rPr>
        <w:lastRenderedPageBreak/>
        <w:t>de la materia favoreciendo en todo tiempo a las personas la protección más amplia.</w:t>
      </w:r>
    </w:p>
    <w:p w:rsidR="001E6437" w:rsidRPr="005A369B" w:rsidRDefault="001E6437" w:rsidP="00371D12">
      <w:pPr>
        <w:ind w:left="1134" w:right="1843"/>
        <w:jc w:val="both"/>
        <w:rPr>
          <w:rFonts w:ascii="Palatino Linotype" w:eastAsia="Palatino Linotype" w:hAnsi="Palatino Linotype" w:cs="Palatino Linotype"/>
          <w:i/>
          <w:iCs/>
        </w:rPr>
      </w:pPr>
      <w:r w:rsidRPr="005A369B">
        <w:rPr>
          <w:rFonts w:ascii="Palatino Linotype" w:eastAsia="Palatino Linotype" w:hAnsi="Palatino Linotype" w:cs="Palatino Linotype"/>
          <w:i/>
          <w:iCs/>
        </w:rPr>
        <w:t>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ley."(Sic)</w:t>
      </w:r>
    </w:p>
    <w:p w:rsidR="001E6437" w:rsidRPr="005A369B" w:rsidRDefault="001E6437" w:rsidP="001E6437">
      <w:pPr>
        <w:ind w:left="426" w:right="-787"/>
        <w:jc w:val="both"/>
        <w:rPr>
          <w:rFonts w:ascii="Palatino Linotype" w:eastAsia="Palatino Linotype" w:hAnsi="Palatino Linotype" w:cs="Palatino Linotype"/>
          <w:i/>
          <w:iCs/>
        </w:rPr>
      </w:pPr>
    </w:p>
    <w:p w:rsidR="001E6437" w:rsidRPr="005A369B" w:rsidRDefault="001E6437" w:rsidP="001E6437">
      <w:pPr>
        <w:numPr>
          <w:ilvl w:val="0"/>
          <w:numId w:val="3"/>
        </w:numPr>
        <w:pBdr>
          <w:top w:val="nil"/>
          <w:left w:val="nil"/>
          <w:bottom w:val="nil"/>
          <w:right w:val="nil"/>
          <w:between w:val="nil"/>
        </w:pBdr>
        <w:spacing w:line="360" w:lineRule="auto"/>
        <w:ind w:left="0" w:firstLine="0"/>
        <w:jc w:val="both"/>
        <w:rPr>
          <w:rFonts w:ascii="Palatino Linotype" w:hAnsi="Palatino Linotype"/>
        </w:rPr>
      </w:pPr>
      <w:r w:rsidRPr="005A369B">
        <w:rPr>
          <w:rFonts w:ascii="Palatino Linotype" w:eastAsia="Palatino Linotype" w:hAnsi="Palatino Linotype" w:cs="Palatino Linotype"/>
          <w:color w:val="000000"/>
        </w:rPr>
        <w:t>Esto</w:t>
      </w:r>
      <w:r w:rsidRPr="005A369B">
        <w:rPr>
          <w:rFonts w:ascii="Palatino Linotype" w:eastAsia="Palatino Linotype" w:hAnsi="Palatino Linotype" w:cs="Palatino Linotype"/>
        </w:rPr>
        <w:t xml:space="preserve"> es, que el derecho humano de acceso a la información pública, se aprecia que toda persona, sin necesidad de acreditar interés alguno o justificar su interposición, deberá tener acceso a la información pública, es decir, dicho </w:t>
      </w:r>
      <w:r w:rsidRPr="005A369B">
        <w:rPr>
          <w:rFonts w:ascii="Palatino Linotype" w:eastAsia="Palatino Linotype" w:hAnsi="Palatino Linotype" w:cs="Palatino Linotype"/>
          <w:i/>
          <w:iCs/>
        </w:rPr>
        <w:t>derecho fundamental exime a quien lo ejerce</w:t>
      </w:r>
      <w:r w:rsidRPr="005A369B">
        <w:rPr>
          <w:rFonts w:ascii="Palatino Linotype" w:eastAsia="Palatino Linotype" w:hAnsi="Palatino Linotype" w:cs="Palatino Linotype"/>
        </w:rPr>
        <w:t>, de acreditar su legitimación en la causa o su interés en el asunto, lo que permite la posibilidad de que, incluso, la solicitud de acceso a la información pueda ser anónima o no contener un nombre que identifique al solicitante o que permita tener certeza sobre su identidad.</w:t>
      </w:r>
    </w:p>
    <w:p w:rsidR="001E6437" w:rsidRPr="005A369B" w:rsidRDefault="001E6437" w:rsidP="001E6437">
      <w:pPr>
        <w:spacing w:line="360" w:lineRule="auto"/>
        <w:ind w:right="-787"/>
        <w:jc w:val="both"/>
        <w:rPr>
          <w:rFonts w:ascii="Palatino Linotype" w:eastAsia="Palatino Linotype" w:hAnsi="Palatino Linotype" w:cs="Palatino Linotype"/>
        </w:rPr>
      </w:pPr>
    </w:p>
    <w:p w:rsidR="001E6437" w:rsidRPr="005A369B" w:rsidRDefault="001E6437" w:rsidP="001E6437">
      <w:pPr>
        <w:numPr>
          <w:ilvl w:val="0"/>
          <w:numId w:val="3"/>
        </w:numPr>
        <w:pBdr>
          <w:top w:val="nil"/>
          <w:left w:val="nil"/>
          <w:bottom w:val="nil"/>
          <w:right w:val="nil"/>
          <w:between w:val="nil"/>
        </w:pBdr>
        <w:spacing w:line="360" w:lineRule="auto"/>
        <w:ind w:left="0" w:firstLine="0"/>
        <w:jc w:val="both"/>
        <w:rPr>
          <w:rFonts w:ascii="Palatino Linotype" w:hAnsi="Palatino Linotype"/>
        </w:rPr>
      </w:pPr>
      <w:r w:rsidRPr="005A369B">
        <w:rPr>
          <w:rFonts w:ascii="Palatino Linotype" w:eastAsia="Palatino Linotype" w:hAnsi="Palatino Linotype" w:cs="Palatino Linotype"/>
        </w:rPr>
        <w:t xml:space="preserve">En </w:t>
      </w:r>
      <w:r w:rsidRPr="005A369B">
        <w:rPr>
          <w:rFonts w:ascii="Palatino Linotype" w:eastAsia="Palatino Linotype" w:hAnsi="Palatino Linotype" w:cs="Palatino Linotype"/>
          <w:color w:val="000000"/>
        </w:rPr>
        <w:t>consecuencia</w:t>
      </w:r>
      <w:r w:rsidRPr="005A369B">
        <w:rPr>
          <w:rFonts w:ascii="Palatino Linotype" w:eastAsia="Palatino Linotype" w:hAnsi="Palatino Linotype" w:cs="Palatino Linotype"/>
        </w:rPr>
        <w:t xml:space="preserve">, dado lo expuesto y fundado con anterioridad, se estima que el requisito relativo al nombre del </w:t>
      </w:r>
      <w:r w:rsidRPr="005A369B">
        <w:rPr>
          <w:rFonts w:ascii="Palatino Linotype" w:eastAsia="Palatino Linotype" w:hAnsi="Palatino Linotype" w:cs="Palatino Linotype"/>
          <w:b/>
          <w:bCs/>
        </w:rPr>
        <w:t>RECURRENTE</w:t>
      </w:r>
      <w:r w:rsidRPr="005A369B">
        <w:rPr>
          <w:rFonts w:ascii="Palatino Linotype" w:eastAsia="Palatino Linotype" w:hAnsi="Palatino Linotype" w:cs="Palatino Linotype"/>
        </w:rPr>
        <w:t xml:space="preserve"> no constituye un presupuesto indispensable de procedencia del Recurso de Revisión, en términos de los artículos 25 de la Convención Americana de Derechos Humanos, 1, párrafos segundo y tercero, 6 apartado A fracción III de la Constitución Política de los Estados Unidos Mexicanos y 5 párrafo vigésimo noveno, trigésimo y trigésimo primero de la Constitución Política del Estado Libre y Soberano de México, debido a que el acceso a la información pública es un derecho humano que no requiere legitimación en la causa, si no que únicamente basta con que se encuentre legitimado en el procedimiento de Recurso de Revisión, circunstancia que se acredita en las constancias </w:t>
      </w:r>
      <w:r w:rsidRPr="005A369B">
        <w:rPr>
          <w:rFonts w:ascii="Palatino Linotype" w:eastAsia="Palatino Linotype" w:hAnsi="Palatino Linotype" w:cs="Palatino Linotype"/>
        </w:rPr>
        <w:lastRenderedPageBreak/>
        <w:t>electrónicas de los expedientes en revisión, de las que se desprende que la parte recurrente, es la misma que realizó la solicitud de acceso a la información pública que ahora se impugna.</w:t>
      </w:r>
    </w:p>
    <w:p w:rsidR="001E6437" w:rsidRPr="005A369B" w:rsidRDefault="001E6437" w:rsidP="001E6437">
      <w:pPr>
        <w:spacing w:line="360" w:lineRule="auto"/>
        <w:ind w:right="-787"/>
        <w:jc w:val="both"/>
        <w:rPr>
          <w:rFonts w:ascii="Palatino Linotype" w:eastAsia="Palatino Linotype" w:hAnsi="Palatino Linotype" w:cs="Palatino Linotype"/>
        </w:rPr>
      </w:pPr>
    </w:p>
    <w:p w:rsidR="001E6437" w:rsidRPr="005A369B" w:rsidRDefault="001E6437" w:rsidP="001E6437">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b/>
          <w:bCs/>
        </w:rPr>
      </w:pPr>
      <w:r w:rsidRPr="005A369B">
        <w:rPr>
          <w:rFonts w:ascii="Palatino Linotype" w:eastAsia="Palatino Linotype" w:hAnsi="Palatino Linotype" w:cs="Palatino Linotype"/>
          <w:color w:val="000000"/>
        </w:rPr>
        <w:t>Expuesto</w:t>
      </w:r>
      <w:r w:rsidRPr="005A369B">
        <w:rPr>
          <w:rFonts w:ascii="Palatino Linotype" w:eastAsia="Palatino Linotype" w:hAnsi="Palatino Linotype" w:cs="Palatino Linotype"/>
        </w:rPr>
        <w:t xml:space="preserve"> lo anterior,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rsidR="00605057" w:rsidRPr="005A369B" w:rsidRDefault="00605057" w:rsidP="00605057">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605057" w:rsidRPr="005A369B" w:rsidRDefault="00605057" w:rsidP="00605057">
      <w:pPr>
        <w:pStyle w:val="Ttulo1"/>
        <w:spacing w:before="0" w:line="360" w:lineRule="auto"/>
        <w:rPr>
          <w:rFonts w:ascii="Palatino Linotype" w:eastAsia="Palatino Linotype" w:hAnsi="Palatino Linotype" w:cs="Palatino Linotype"/>
          <w:b/>
          <w:bCs/>
          <w:color w:val="000000"/>
          <w:sz w:val="24"/>
          <w:szCs w:val="24"/>
        </w:rPr>
      </w:pPr>
      <w:bookmarkStart w:id="5" w:name="_heading=h.2s8eyo1" w:colFirst="0" w:colLast="0"/>
      <w:bookmarkEnd w:id="5"/>
      <w:r w:rsidRPr="005A369B">
        <w:rPr>
          <w:rFonts w:ascii="Palatino Linotype" w:eastAsia="Palatino Linotype" w:hAnsi="Palatino Linotype" w:cs="Palatino Linotype"/>
          <w:b/>
          <w:bCs/>
          <w:color w:val="000000"/>
          <w:sz w:val="24"/>
          <w:szCs w:val="24"/>
        </w:rPr>
        <w:t xml:space="preserve">TERCERO. Del planteamiento de la </w:t>
      </w:r>
      <w:r w:rsidRPr="005A369B">
        <w:rPr>
          <w:rFonts w:ascii="Palatino Linotype" w:eastAsia="Palatino Linotype" w:hAnsi="Palatino Linotype" w:cs="Palatino Linotype"/>
          <w:b/>
          <w:bCs/>
          <w:i/>
          <w:iCs/>
          <w:color w:val="000000"/>
          <w:sz w:val="24"/>
          <w:szCs w:val="24"/>
        </w:rPr>
        <w:t>Litis</w:t>
      </w:r>
      <w:r w:rsidRPr="005A369B">
        <w:rPr>
          <w:rFonts w:ascii="Palatino Linotype" w:eastAsia="Palatino Linotype" w:hAnsi="Palatino Linotype" w:cs="Palatino Linotype"/>
          <w:b/>
          <w:bCs/>
          <w:color w:val="000000"/>
          <w:sz w:val="24"/>
          <w:szCs w:val="24"/>
        </w:rPr>
        <w:t>.</w:t>
      </w:r>
    </w:p>
    <w:p w:rsidR="00605057" w:rsidRPr="005A369B" w:rsidRDefault="00605057" w:rsidP="001E6437">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b/>
          <w:bCs/>
          <w:iCs/>
          <w:color w:val="000000"/>
        </w:rPr>
      </w:pPr>
      <w:r w:rsidRPr="005A369B">
        <w:rPr>
          <w:rFonts w:ascii="Palatino Linotype" w:eastAsia="Palatino Linotype" w:hAnsi="Palatino Linotype" w:cs="Palatino Linotype"/>
          <w:iCs/>
          <w:color w:val="000000"/>
        </w:rPr>
        <w:t xml:space="preserve">De </w:t>
      </w:r>
      <w:r w:rsidRPr="005A369B">
        <w:rPr>
          <w:rFonts w:ascii="Palatino Linotype" w:eastAsia="Palatino Linotype" w:hAnsi="Palatino Linotype" w:cs="Palatino Linotype"/>
          <w:color w:val="000000"/>
        </w:rPr>
        <w:t>las</w:t>
      </w:r>
      <w:r w:rsidRPr="005A369B">
        <w:rPr>
          <w:rFonts w:ascii="Palatino Linotype" w:eastAsia="Palatino Linotype" w:hAnsi="Palatino Linotype" w:cs="Palatino Linotype"/>
          <w:iCs/>
          <w:color w:val="000000"/>
        </w:rPr>
        <w:t xml:space="preserve"> constancias en el expediente al rubro indicado, se desprende que el particular solicitó la información que a continuación se desagrega:</w:t>
      </w:r>
    </w:p>
    <w:p w:rsidR="00371D12" w:rsidRPr="005A369B" w:rsidRDefault="00371D12" w:rsidP="00371D12">
      <w:pPr>
        <w:pBdr>
          <w:top w:val="nil"/>
          <w:left w:val="nil"/>
          <w:bottom w:val="nil"/>
          <w:right w:val="nil"/>
          <w:between w:val="nil"/>
        </w:pBdr>
        <w:ind w:left="1134" w:right="1843"/>
        <w:jc w:val="both"/>
        <w:rPr>
          <w:rFonts w:ascii="Palatino Linotype" w:eastAsia="Palatino Linotype" w:hAnsi="Palatino Linotype" w:cs="Palatino Linotype"/>
          <w:i/>
          <w:iCs/>
        </w:rPr>
      </w:pPr>
      <w:r w:rsidRPr="005A369B">
        <w:rPr>
          <w:rFonts w:ascii="Palatino Linotype" w:eastAsia="Palatino Linotype" w:hAnsi="Palatino Linotype" w:cs="Palatino Linotype"/>
          <w:i/>
          <w:iCs/>
        </w:rPr>
        <w:t xml:space="preserve">1.- Motivo por el cual se demolieron y reconstruyeron en febrero de 2025 los cabezales de los apoyos 2, 3 y 4 del paso inferior vehicular Tepotzotlán, ubicado sobre la carretera Mexico-Queretaro. </w:t>
      </w:r>
    </w:p>
    <w:p w:rsidR="00371D12" w:rsidRPr="005A369B" w:rsidRDefault="00371D12" w:rsidP="00371D12">
      <w:pPr>
        <w:pBdr>
          <w:top w:val="nil"/>
          <w:left w:val="nil"/>
          <w:bottom w:val="nil"/>
          <w:right w:val="nil"/>
          <w:between w:val="nil"/>
        </w:pBdr>
        <w:ind w:left="1134" w:right="1843"/>
        <w:jc w:val="both"/>
        <w:rPr>
          <w:rFonts w:ascii="Palatino Linotype" w:eastAsia="Palatino Linotype" w:hAnsi="Palatino Linotype" w:cs="Palatino Linotype"/>
          <w:i/>
          <w:iCs/>
        </w:rPr>
      </w:pPr>
    </w:p>
    <w:p w:rsidR="00371D12" w:rsidRPr="005A369B" w:rsidRDefault="00371D12" w:rsidP="00371D12">
      <w:pPr>
        <w:pBdr>
          <w:top w:val="nil"/>
          <w:left w:val="nil"/>
          <w:bottom w:val="nil"/>
          <w:right w:val="nil"/>
          <w:between w:val="nil"/>
        </w:pBdr>
        <w:ind w:left="1134" w:right="1843"/>
        <w:jc w:val="both"/>
        <w:rPr>
          <w:rFonts w:ascii="Palatino Linotype" w:eastAsia="Palatino Linotype" w:hAnsi="Palatino Linotype" w:cs="Palatino Linotype"/>
          <w:i/>
          <w:iCs/>
        </w:rPr>
      </w:pPr>
    </w:p>
    <w:p w:rsidR="00605057" w:rsidRPr="005A369B" w:rsidRDefault="00371D12" w:rsidP="00371D12">
      <w:pPr>
        <w:pBdr>
          <w:top w:val="nil"/>
          <w:left w:val="nil"/>
          <w:bottom w:val="nil"/>
          <w:right w:val="nil"/>
          <w:between w:val="nil"/>
        </w:pBdr>
        <w:ind w:left="1134" w:right="1843"/>
        <w:jc w:val="both"/>
        <w:rPr>
          <w:rFonts w:ascii="Palatino Linotype" w:eastAsia="Palatino Linotype" w:hAnsi="Palatino Linotype" w:cs="Palatino Linotype"/>
          <w:i/>
          <w:iCs/>
        </w:rPr>
      </w:pPr>
      <w:r w:rsidRPr="005A369B">
        <w:rPr>
          <w:rFonts w:ascii="Palatino Linotype" w:eastAsia="Palatino Linotype" w:hAnsi="Palatino Linotype" w:cs="Palatino Linotype"/>
          <w:i/>
          <w:iCs/>
        </w:rPr>
        <w:t>2.- Nombre de todas las empresas constructoras y supervisoras que han estado involucradas en las diferentes etapas de construcción con sus números de contrato, periodos de ejecución, montos de contrato, objetos del contrato, así como, sus convenios con montos, plazos y números de convenio.</w:t>
      </w:r>
    </w:p>
    <w:p w:rsidR="00371D12" w:rsidRPr="005A369B" w:rsidRDefault="00371D12" w:rsidP="00371D12">
      <w:pPr>
        <w:pBdr>
          <w:top w:val="nil"/>
          <w:left w:val="nil"/>
          <w:bottom w:val="nil"/>
          <w:right w:val="nil"/>
          <w:between w:val="nil"/>
        </w:pBdr>
        <w:ind w:left="1134" w:right="1843"/>
        <w:jc w:val="both"/>
        <w:rPr>
          <w:rFonts w:ascii="Palatino Linotype" w:eastAsia="Palatino Linotype" w:hAnsi="Palatino Linotype" w:cs="Palatino Linotype"/>
          <w:i/>
          <w:iCs/>
        </w:rPr>
      </w:pPr>
    </w:p>
    <w:p w:rsidR="00605057" w:rsidRPr="005A369B" w:rsidRDefault="00605057" w:rsidP="001E6437">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5A369B">
        <w:rPr>
          <w:rFonts w:ascii="Palatino Linotype" w:eastAsia="Palatino Linotype" w:hAnsi="Palatino Linotype" w:cs="Palatino Linotype"/>
          <w:color w:val="000000"/>
        </w:rPr>
        <w:t>En respuesta,</w:t>
      </w:r>
      <w:r w:rsidRPr="005A369B">
        <w:rPr>
          <w:rFonts w:ascii="Palatino Linotype" w:eastAsia="Palatino Linotype" w:hAnsi="Palatino Linotype" w:cs="Palatino Linotype"/>
          <w:i/>
          <w:iCs/>
          <w:color w:val="000000"/>
        </w:rPr>
        <w:t xml:space="preserve"> </w:t>
      </w:r>
      <w:r w:rsidRPr="005A369B">
        <w:rPr>
          <w:rFonts w:ascii="Palatino Linotype" w:eastAsia="Palatino Linotype" w:hAnsi="Palatino Linotype" w:cs="Palatino Linotype"/>
          <w:color w:val="000000"/>
        </w:rPr>
        <w:t>el</w:t>
      </w:r>
      <w:r w:rsidRPr="005A369B">
        <w:rPr>
          <w:rFonts w:ascii="Palatino Linotype" w:eastAsia="Palatino Linotype" w:hAnsi="Palatino Linotype" w:cs="Palatino Linotype"/>
          <w:i/>
          <w:iCs/>
          <w:color w:val="000000"/>
        </w:rPr>
        <w:t xml:space="preserve"> </w:t>
      </w:r>
      <w:r w:rsidRPr="005A369B">
        <w:rPr>
          <w:rFonts w:ascii="Palatino Linotype" w:eastAsia="Palatino Linotype" w:hAnsi="Palatino Linotype" w:cs="Palatino Linotype"/>
          <w:b/>
          <w:bCs/>
          <w:color w:val="000000"/>
        </w:rPr>
        <w:t>SUJETO</w:t>
      </w:r>
      <w:r w:rsidRPr="005A369B">
        <w:rPr>
          <w:rFonts w:ascii="Palatino Linotype" w:eastAsia="Palatino Linotype" w:hAnsi="Palatino Linotype" w:cs="Palatino Linotype"/>
          <w:b/>
          <w:bCs/>
          <w:i/>
          <w:iCs/>
          <w:color w:val="000000"/>
        </w:rPr>
        <w:t xml:space="preserve"> </w:t>
      </w:r>
      <w:r w:rsidRPr="005A369B">
        <w:rPr>
          <w:rFonts w:ascii="Palatino Linotype" w:eastAsia="Palatino Linotype" w:hAnsi="Palatino Linotype" w:cs="Palatino Linotype"/>
          <w:b/>
          <w:bCs/>
          <w:color w:val="000000"/>
        </w:rPr>
        <w:t xml:space="preserve">OBLIGADO </w:t>
      </w:r>
      <w:r w:rsidRPr="005A369B">
        <w:rPr>
          <w:rFonts w:ascii="Palatino Linotype" w:eastAsia="Palatino Linotype" w:hAnsi="Palatino Linotype" w:cs="Palatino Linotype"/>
          <w:color w:val="000000"/>
        </w:rPr>
        <w:t>por medio del Titular de la Unidad de Transparencia, adjuntó un oficio de  Dirección de Administración a fin entregar liga en formato cerrado donde consultar la información así como oficio de Dirección de la Mujer donde entrega documento ad hoc con un listado de vehículos.</w:t>
      </w:r>
      <w:r w:rsidRPr="005A369B">
        <w:rPr>
          <w:rFonts w:ascii="Palatino Linotype" w:eastAsia="Palatino Linotype" w:hAnsi="Palatino Linotype" w:cs="Palatino Linotype"/>
          <w:b/>
          <w:bCs/>
          <w:i/>
          <w:iCs/>
          <w:color w:val="000000"/>
        </w:rPr>
        <w:t xml:space="preserve"> </w:t>
      </w:r>
      <w:r w:rsidRPr="005A369B">
        <w:rPr>
          <w:rFonts w:ascii="Palatino Linotype" w:eastAsia="Palatino Linotype" w:hAnsi="Palatino Linotype" w:cs="Palatino Linotype"/>
          <w:color w:val="000000"/>
        </w:rPr>
        <w:t xml:space="preserve">Inconforme con la respuesta, </w:t>
      </w:r>
      <w:r w:rsidRPr="005A369B">
        <w:rPr>
          <w:rFonts w:ascii="Palatino Linotype" w:eastAsia="Palatino Linotype" w:hAnsi="Palatino Linotype" w:cs="Palatino Linotype"/>
          <w:color w:val="000000"/>
        </w:rPr>
        <w:lastRenderedPageBreak/>
        <w:t>se interpuso recurso de revisión alegando de manera general  la negativa a la entrega de la información por el Sujeto Obligado.</w:t>
      </w:r>
    </w:p>
    <w:p w:rsidR="00605057" w:rsidRPr="005A369B" w:rsidRDefault="00605057" w:rsidP="00605057">
      <w:pPr>
        <w:pBdr>
          <w:top w:val="nil"/>
          <w:left w:val="nil"/>
          <w:bottom w:val="nil"/>
          <w:right w:val="nil"/>
          <w:between w:val="nil"/>
        </w:pBdr>
        <w:spacing w:line="360" w:lineRule="auto"/>
        <w:jc w:val="both"/>
        <w:rPr>
          <w:rFonts w:ascii="Palatino Linotype" w:eastAsia="Palatino Linotype" w:hAnsi="Palatino Linotype" w:cs="Palatino Linotype"/>
          <w:i/>
          <w:iCs/>
          <w:color w:val="000000"/>
        </w:rPr>
      </w:pPr>
    </w:p>
    <w:p w:rsidR="00605057" w:rsidRPr="005A369B" w:rsidRDefault="00605057" w:rsidP="001E6437">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5A369B">
        <w:rPr>
          <w:rFonts w:ascii="Palatino Linotype" w:eastAsia="Palatino Linotype" w:hAnsi="Palatino Linotype" w:cs="Palatino Linotype"/>
        </w:rPr>
        <w:t xml:space="preserve">En </w:t>
      </w:r>
      <w:r w:rsidRPr="005A369B">
        <w:rPr>
          <w:rFonts w:ascii="Palatino Linotype" w:eastAsia="Palatino Linotype" w:hAnsi="Palatino Linotype" w:cs="Palatino Linotype"/>
          <w:color w:val="000000"/>
        </w:rPr>
        <w:t>dichas</w:t>
      </w:r>
      <w:r w:rsidRPr="005A369B">
        <w:rPr>
          <w:rFonts w:ascii="Palatino Linotype" w:eastAsia="Palatino Linotype" w:hAnsi="Palatino Linotype" w:cs="Palatino Linotype"/>
        </w:rPr>
        <w:t xml:space="preserve"> condiciones, la </w:t>
      </w:r>
      <w:r w:rsidRPr="005A369B">
        <w:rPr>
          <w:rFonts w:ascii="Palatino Linotype" w:eastAsia="Palatino Linotype" w:hAnsi="Palatino Linotype" w:cs="Palatino Linotype"/>
          <w:i/>
          <w:iCs/>
        </w:rPr>
        <w:t>Litis</w:t>
      </w:r>
      <w:r w:rsidRPr="005A369B">
        <w:rPr>
          <w:rFonts w:ascii="Palatino Linotype" w:eastAsia="Palatino Linotype" w:hAnsi="Palatino Linotype" w:cs="Palatino Linotype"/>
        </w:rPr>
        <w:t xml:space="preserve"> a resolver en el presente recurso de revisión se circunscribe a determinar si se actualizan la causal de procedencia prevista en el artículo 179, fracción </w:t>
      </w:r>
      <w:r w:rsidR="00C942CF" w:rsidRPr="005A369B">
        <w:rPr>
          <w:rFonts w:ascii="Palatino Linotype" w:eastAsia="Palatino Linotype" w:hAnsi="Palatino Linotype" w:cs="Palatino Linotype"/>
          <w:b/>
        </w:rPr>
        <w:t>VI</w:t>
      </w:r>
      <w:r w:rsidRPr="005A369B">
        <w:rPr>
          <w:rFonts w:ascii="Palatino Linotype" w:eastAsia="Palatino Linotype" w:hAnsi="Palatino Linotype" w:cs="Palatino Linotype"/>
          <w:b/>
          <w:bCs/>
        </w:rPr>
        <w:t>I</w:t>
      </w:r>
      <w:r w:rsidRPr="005A369B">
        <w:rPr>
          <w:rFonts w:ascii="Palatino Linotype" w:eastAsia="Palatino Linotype" w:hAnsi="Palatino Linotype" w:cs="Palatino Linotype"/>
        </w:rPr>
        <w:t xml:space="preserve"> de la </w:t>
      </w:r>
      <w:r w:rsidRPr="005A369B">
        <w:rPr>
          <w:rFonts w:ascii="Palatino Linotype" w:eastAsia="Palatino Linotype" w:hAnsi="Palatino Linotype" w:cs="Palatino Linotype"/>
          <w:b/>
          <w:bCs/>
        </w:rPr>
        <w:t xml:space="preserve">Ley de Transparencia y Acceso a la </w:t>
      </w:r>
      <w:r w:rsidRPr="005A369B">
        <w:rPr>
          <w:rFonts w:ascii="Palatino Linotype" w:eastAsia="Palatino Linotype" w:hAnsi="Palatino Linotype" w:cs="Palatino Linotype"/>
        </w:rPr>
        <w:t>Información</w:t>
      </w:r>
      <w:r w:rsidRPr="005A369B">
        <w:rPr>
          <w:rFonts w:ascii="Palatino Linotype" w:eastAsia="Palatino Linotype" w:hAnsi="Palatino Linotype" w:cs="Palatino Linotype"/>
          <w:b/>
          <w:bCs/>
        </w:rPr>
        <w:t xml:space="preserve"> Pública del Estado de México y Municipios</w:t>
      </w:r>
      <w:r w:rsidRPr="005A369B">
        <w:rPr>
          <w:rFonts w:ascii="Palatino Linotype" w:eastAsia="Palatino Linotype" w:hAnsi="Palatino Linotype" w:cs="Palatino Linotype"/>
        </w:rPr>
        <w:t xml:space="preserve">; </w:t>
      </w:r>
      <w:r w:rsidRPr="005A369B">
        <w:rPr>
          <w:rFonts w:ascii="Palatino Linotype" w:eastAsia="Palatino Linotype" w:hAnsi="Palatino Linotype" w:cs="Palatino Linotype"/>
          <w:color w:val="000000"/>
        </w:rPr>
        <w:t>fracción que determina la h</w:t>
      </w:r>
      <w:r w:rsidR="00C942CF" w:rsidRPr="005A369B">
        <w:rPr>
          <w:rFonts w:ascii="Palatino Linotype" w:eastAsia="Palatino Linotype" w:hAnsi="Palatino Linotype" w:cs="Palatino Linotype"/>
          <w:color w:val="000000"/>
        </w:rPr>
        <w:t>ipótesis jurídica relativa a la falta de respuesta a una solicitud de acceso a la información</w:t>
      </w:r>
      <w:r w:rsidRPr="005A369B">
        <w:rPr>
          <w:rFonts w:ascii="Palatino Linotype" w:eastAsia="Palatino Linotype" w:hAnsi="Palatino Linotype" w:cs="Palatino Linotype"/>
          <w:color w:val="000000"/>
        </w:rPr>
        <w:t xml:space="preserve">; </w:t>
      </w:r>
      <w:r w:rsidRPr="005A369B">
        <w:rPr>
          <w:rFonts w:ascii="Palatino Linotype" w:eastAsia="Palatino Linotype" w:hAnsi="Palatino Linotype" w:cs="Palatino Linotype"/>
        </w:rPr>
        <w:t xml:space="preserve">contexto del cual se dolió el </w:t>
      </w:r>
      <w:r w:rsidRPr="005A369B">
        <w:rPr>
          <w:rFonts w:ascii="Palatino Linotype" w:eastAsia="Palatino Linotype" w:hAnsi="Palatino Linotype" w:cs="Palatino Linotype"/>
          <w:b/>
          <w:bCs/>
        </w:rPr>
        <w:t>RECURRENTE</w:t>
      </w:r>
      <w:r w:rsidRPr="005A369B">
        <w:rPr>
          <w:rFonts w:ascii="Palatino Linotype" w:eastAsia="Palatino Linotype" w:hAnsi="Palatino Linotype" w:cs="Palatino Linotype"/>
        </w:rPr>
        <w:t xml:space="preserve"> al momento de interponer su recurso de revisión</w:t>
      </w:r>
      <w:r w:rsidRPr="005A369B">
        <w:rPr>
          <w:rFonts w:ascii="Palatino Linotype" w:eastAsia="Palatino Linotype" w:hAnsi="Palatino Linotype" w:cs="Palatino Linotype"/>
          <w:color w:val="000000"/>
        </w:rPr>
        <w:t>.</w:t>
      </w:r>
    </w:p>
    <w:p w:rsidR="00605057" w:rsidRPr="005A369B" w:rsidRDefault="00605057" w:rsidP="00605057">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605057" w:rsidRPr="005A369B" w:rsidRDefault="00605057" w:rsidP="001E6437">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5A369B">
        <w:rPr>
          <w:rFonts w:ascii="Palatino Linotype" w:eastAsia="Palatino Linotype" w:hAnsi="Palatino Linotype" w:cs="Palatino Linotype"/>
          <w:color w:val="000000"/>
        </w:rPr>
        <w:t xml:space="preserve">De modo tal que el presente recurso de revisión se </w:t>
      </w:r>
      <w:r w:rsidRPr="005A369B">
        <w:rPr>
          <w:rFonts w:ascii="Palatino Linotype" w:eastAsia="Palatino Linotype" w:hAnsi="Palatino Linotype" w:cs="Palatino Linotype"/>
        </w:rPr>
        <w:t>abocará</w:t>
      </w:r>
      <w:r w:rsidRPr="005A369B">
        <w:rPr>
          <w:rFonts w:ascii="Palatino Linotype" w:eastAsia="Palatino Linotype" w:hAnsi="Palatino Linotype" w:cs="Palatino Linotype"/>
          <w:color w:val="000000"/>
        </w:rPr>
        <w:t xml:space="preserve"> en determinar si el </w:t>
      </w:r>
      <w:r w:rsidRPr="005A369B">
        <w:rPr>
          <w:rFonts w:ascii="Palatino Linotype" w:eastAsia="Palatino Linotype" w:hAnsi="Palatino Linotype" w:cs="Palatino Linotype"/>
          <w:b/>
          <w:bCs/>
          <w:color w:val="000000"/>
        </w:rPr>
        <w:t>SUJETO OBLIGADO</w:t>
      </w:r>
      <w:r w:rsidRPr="005A369B">
        <w:rPr>
          <w:rFonts w:ascii="Palatino Linotype" w:eastAsia="Palatino Linotype" w:hAnsi="Palatino Linotype" w:cs="Palatino Linotype"/>
          <w:color w:val="000000"/>
        </w:rPr>
        <w:t xml:space="preserve"> con su respuesta ciertamente actualiza la causal de procedencia</w:t>
      </w:r>
      <w:r w:rsidRPr="005A369B">
        <w:rPr>
          <w:rFonts w:ascii="Palatino Linotype" w:eastAsia="Palatino Linotype" w:hAnsi="Palatino Linotype" w:cs="Palatino Linotype"/>
          <w:b/>
          <w:bCs/>
          <w:color w:val="000000"/>
        </w:rPr>
        <w:t xml:space="preserve"> </w:t>
      </w:r>
      <w:r w:rsidRPr="005A369B">
        <w:rPr>
          <w:rFonts w:ascii="Palatino Linotype" w:eastAsia="Palatino Linotype" w:hAnsi="Palatino Linotype" w:cs="Palatino Linotype"/>
          <w:color w:val="000000"/>
        </w:rPr>
        <w:t>antes señalada; asimismo, determinar si se vulnera el derecho de acceso a la información del particular por la inobservancia a los principios contenidos en el artículo 11 de la Ley de Transparencia y Acceso a la Información Pública del Estado de México y Municipios, los cuales señala entre otros, que en la generación y entrega de información se deberá garantizar que sea oportuna, expedita, completa e integral.</w:t>
      </w:r>
    </w:p>
    <w:p w:rsidR="00605057" w:rsidRPr="005A369B" w:rsidRDefault="00605057" w:rsidP="00605057">
      <w:pPr>
        <w:pBdr>
          <w:top w:val="nil"/>
          <w:left w:val="nil"/>
          <w:bottom w:val="nil"/>
          <w:right w:val="nil"/>
          <w:between w:val="nil"/>
        </w:pBdr>
        <w:spacing w:line="360" w:lineRule="auto"/>
        <w:ind w:left="709"/>
        <w:rPr>
          <w:rFonts w:ascii="Palatino Linotype" w:eastAsia="Palatino Linotype" w:hAnsi="Palatino Linotype" w:cs="Palatino Linotype"/>
          <w:color w:val="000000"/>
        </w:rPr>
      </w:pPr>
    </w:p>
    <w:p w:rsidR="00605057" w:rsidRPr="005A369B" w:rsidRDefault="00605057" w:rsidP="00605057">
      <w:pPr>
        <w:keepNext/>
        <w:keepLines/>
        <w:spacing w:line="360" w:lineRule="auto"/>
        <w:rPr>
          <w:rFonts w:ascii="Palatino Linotype" w:eastAsia="Palatino Linotype" w:hAnsi="Palatino Linotype" w:cs="Palatino Linotype"/>
          <w:b/>
          <w:bCs/>
          <w:color w:val="000000"/>
        </w:rPr>
      </w:pPr>
      <w:r w:rsidRPr="005A369B">
        <w:rPr>
          <w:rFonts w:ascii="Palatino Linotype" w:eastAsia="Palatino Linotype" w:hAnsi="Palatino Linotype" w:cs="Palatino Linotype"/>
          <w:b/>
          <w:bCs/>
          <w:color w:val="000000"/>
        </w:rPr>
        <w:t>CUARTO. Del estudio y resolución del estudio.</w:t>
      </w:r>
    </w:p>
    <w:p w:rsidR="00605057" w:rsidRPr="005A369B" w:rsidRDefault="00605057" w:rsidP="00605057">
      <w:pPr>
        <w:keepNext/>
        <w:keepLines/>
        <w:numPr>
          <w:ilvl w:val="0"/>
          <w:numId w:val="7"/>
        </w:numPr>
        <w:spacing w:after="240" w:line="360" w:lineRule="auto"/>
        <w:ind w:left="786"/>
        <w:rPr>
          <w:rFonts w:ascii="Palatino Linotype" w:eastAsia="Palatino Linotype" w:hAnsi="Palatino Linotype" w:cs="Palatino Linotype"/>
          <w:b/>
          <w:bCs/>
          <w:color w:val="000000"/>
        </w:rPr>
      </w:pPr>
      <w:bookmarkStart w:id="6" w:name="_heading=h.17dp8vu" w:colFirst="0" w:colLast="0"/>
      <w:bookmarkEnd w:id="6"/>
      <w:r w:rsidRPr="005A369B">
        <w:rPr>
          <w:rFonts w:ascii="Palatino Linotype" w:eastAsia="Palatino Linotype" w:hAnsi="Palatino Linotype" w:cs="Palatino Linotype"/>
          <w:b/>
          <w:bCs/>
          <w:color w:val="000000"/>
        </w:rPr>
        <w:t>Del derecho de acceso a la información.</w:t>
      </w:r>
    </w:p>
    <w:p w:rsidR="00605057" w:rsidRDefault="00605057" w:rsidP="001E6437">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5A369B">
        <w:rPr>
          <w:rFonts w:ascii="Palatino Linotype" w:eastAsia="Palatino Linotype" w:hAnsi="Palatino Linotype" w:cs="Palatino Linotype"/>
          <w:color w:val="000000"/>
        </w:rPr>
        <w:t xml:space="preserve">El Derecho de Acceso a la Información Pública, es un derecho humano reconocido en el Pacto de Derechos Civiles y Políticos en su artículo 19.2; en la Convención Americana sobre </w:t>
      </w:r>
      <w:r w:rsidRPr="005A369B">
        <w:rPr>
          <w:rFonts w:ascii="Palatino Linotype" w:eastAsia="Palatino Linotype" w:hAnsi="Palatino Linotype" w:cs="Palatino Linotype"/>
          <w:color w:val="000000"/>
        </w:rPr>
        <w:lastRenderedPageBreak/>
        <w:t xml:space="preserve">Derechos Humanos en su artículo 13.1; en el artículo sexto de la Constitución Política de los Estados Unidos Mexicanos y en el artículo quinto de la Particular del Estado de México. </w:t>
      </w:r>
    </w:p>
    <w:p w:rsidR="0044093F" w:rsidRPr="005A369B" w:rsidRDefault="0044093F" w:rsidP="0044093F">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605057" w:rsidRPr="005A369B" w:rsidRDefault="00605057" w:rsidP="001E6437">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5A369B">
        <w:rPr>
          <w:rFonts w:ascii="Palatino Linotype" w:eastAsia="Palatino Linotype" w:hAnsi="Palatino Linotype" w:cs="Palatino Linotype"/>
          <w:color w:val="000000"/>
        </w:rPr>
        <w:t>Definiendo</w:t>
      </w:r>
      <w:r w:rsidRPr="005A369B">
        <w:rPr>
          <w:rFonts w:ascii="Palatino Linotype" w:eastAsia="Palatino Linotype" w:hAnsi="Palatino Linotype" w:cs="Palatino Linotype"/>
        </w:rPr>
        <w:t xml:space="preserve"> el Derecho de Acceso a la Información Pública como: </w:t>
      </w:r>
      <w:r w:rsidRPr="005A369B">
        <w:rPr>
          <w:rFonts w:ascii="Palatino Linotype" w:eastAsia="Palatino Linotype" w:hAnsi="Palatino Linotype" w:cs="Palatino Linotype"/>
          <w:i/>
          <w:iCs/>
          <w:color w:val="000000"/>
        </w:rPr>
        <w:t>La igualdad de oportunidades para recibir, buscar e impartir información</w:t>
      </w:r>
      <w:r w:rsidRPr="005A369B">
        <w:rPr>
          <w:rFonts w:ascii="Palatino Linotype" w:eastAsia="Palatino Linotype" w:hAnsi="Palatino Linotype" w:cs="Palatino Linotype"/>
          <w:i/>
          <w:iCs/>
          <w:vertAlign w:val="superscript"/>
        </w:rPr>
        <w:footnoteReference w:id="1"/>
      </w:r>
      <w:r w:rsidRPr="005A369B">
        <w:rPr>
          <w:rFonts w:ascii="Palatino Linotype" w:eastAsia="Palatino Linotype" w:hAnsi="Palatino Linotype" w:cs="Palatino Linotype"/>
          <w:i/>
          <w:iCs/>
          <w:color w:val="000000"/>
        </w:rPr>
        <w:t>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w:t>
      </w:r>
      <w:r w:rsidRPr="005A369B">
        <w:rPr>
          <w:rFonts w:ascii="Palatino Linotype" w:eastAsia="Palatino Linotype" w:hAnsi="Palatino Linotype" w:cs="Palatino Linotype"/>
          <w:i/>
          <w:iCs/>
          <w:vertAlign w:val="superscript"/>
        </w:rPr>
        <w:footnoteReference w:id="2"/>
      </w:r>
      <w:r w:rsidRPr="005A369B">
        <w:rPr>
          <w:rFonts w:ascii="Palatino Linotype" w:eastAsia="Palatino Linotype" w:hAnsi="Palatino Linotype" w:cs="Palatino Linotype"/>
          <w:color w:val="000000"/>
        </w:rPr>
        <w:t>que se constituye como una herramienta fundamental para ejercer</w:t>
      </w:r>
      <w:r w:rsidRPr="005A369B">
        <w:rPr>
          <w:rFonts w:ascii="Palatino Linotype" w:eastAsia="Palatino Linotype" w:hAnsi="Palatino Linotype" w:cs="Palatino Linotype"/>
          <w:i/>
          <w:iCs/>
          <w:color w:val="000000"/>
        </w:rPr>
        <w:t xml:space="preserve"> el control democrático de las gestiones estatales, de forma tal que puedan cuestionar, indagar y considerar si se está dando un adecuado cumplimiento a las funciones públicas,</w:t>
      </w:r>
      <w:r w:rsidRPr="005A369B">
        <w:rPr>
          <w:rFonts w:ascii="Palatino Linotype" w:eastAsia="Palatino Linotype" w:hAnsi="Palatino Linotype" w:cs="Palatino Linotype"/>
          <w:i/>
          <w:iCs/>
          <w:vertAlign w:val="superscript"/>
        </w:rPr>
        <w:footnoteReference w:id="3"/>
      </w:r>
      <w:r w:rsidRPr="005A369B">
        <w:rPr>
          <w:rFonts w:ascii="Palatino Linotype" w:eastAsia="Palatino Linotype" w:hAnsi="Palatino Linotype" w:cs="Palatino Linotype"/>
          <w:color w:val="000000"/>
        </w:rPr>
        <w:t>fomentando</w:t>
      </w:r>
      <w:r w:rsidRPr="005A369B">
        <w:rPr>
          <w:rFonts w:ascii="Palatino Linotype" w:eastAsia="Palatino Linotype" w:hAnsi="Palatino Linotype" w:cs="Palatino Linotype"/>
          <w:i/>
          <w:iCs/>
          <w:color w:val="000000"/>
        </w:rPr>
        <w:t xml:space="preserve"> la transparencia de las actividades estatales y </w:t>
      </w:r>
      <w:r w:rsidRPr="005A369B">
        <w:rPr>
          <w:rFonts w:ascii="Palatino Linotype" w:eastAsia="Palatino Linotype" w:hAnsi="Palatino Linotype" w:cs="Palatino Linotype"/>
          <w:color w:val="000000"/>
        </w:rPr>
        <w:t>promoviendo</w:t>
      </w:r>
      <w:r w:rsidRPr="005A369B">
        <w:rPr>
          <w:rFonts w:ascii="Palatino Linotype" w:eastAsia="Palatino Linotype" w:hAnsi="Palatino Linotype" w:cs="Palatino Linotype"/>
          <w:i/>
          <w:iCs/>
          <w:color w:val="000000"/>
        </w:rPr>
        <w:t xml:space="preserve"> la responsabilidad de los funcionarios sobre su gestión pública,</w:t>
      </w:r>
      <w:r w:rsidRPr="005A369B">
        <w:rPr>
          <w:rFonts w:ascii="Palatino Linotype" w:eastAsia="Palatino Linotype" w:hAnsi="Palatino Linotype" w:cs="Palatino Linotype"/>
          <w:i/>
          <w:iCs/>
          <w:vertAlign w:val="superscript"/>
        </w:rPr>
        <w:footnoteReference w:id="4"/>
      </w:r>
      <w:r w:rsidRPr="005A369B">
        <w:rPr>
          <w:rFonts w:ascii="Palatino Linotype" w:eastAsia="Palatino Linotype" w:hAnsi="Palatino Linotype" w:cs="Palatino Linotype"/>
          <w:color w:val="000000"/>
        </w:rPr>
        <w:t>que permite</w:t>
      </w:r>
      <w:r w:rsidRPr="005A369B">
        <w:rPr>
          <w:rFonts w:ascii="Palatino Linotype" w:eastAsia="Palatino Linotype" w:hAnsi="Palatino Linotype" w:cs="Palatino Linotype"/>
          <w:i/>
          <w:iCs/>
          <w:color w:val="000000"/>
        </w:rPr>
        <w:t xml:space="preserve"> saber qué están haciendo los gobiernos por sus pueblos, sin lo cual la verdad languidecería y la participación en el gobierno permanecería fragmentada.</w:t>
      </w:r>
    </w:p>
    <w:p w:rsidR="00605057" w:rsidRPr="005A369B" w:rsidRDefault="00605057" w:rsidP="00605057">
      <w:pPr>
        <w:spacing w:line="360" w:lineRule="auto"/>
        <w:jc w:val="both"/>
        <w:rPr>
          <w:rFonts w:ascii="Palatino Linotype" w:eastAsia="Palatino Linotype" w:hAnsi="Palatino Linotype" w:cs="Palatino Linotype"/>
        </w:rPr>
      </w:pPr>
    </w:p>
    <w:p w:rsidR="00605057" w:rsidRPr="005A369B" w:rsidRDefault="00605057" w:rsidP="001E6437">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5A369B">
        <w:rPr>
          <w:rFonts w:ascii="Palatino Linotype" w:eastAsia="Palatino Linotype" w:hAnsi="Palatino Linotype" w:cs="Palatino Linotype"/>
          <w:color w:val="000000"/>
        </w:rPr>
        <w:t>En</w:t>
      </w:r>
      <w:r w:rsidRPr="005A369B">
        <w:rPr>
          <w:rFonts w:ascii="Palatino Linotype" w:eastAsia="Palatino Linotype" w:hAnsi="Palatino Linotype" w:cs="Palatino Linotype"/>
        </w:rPr>
        <w:t xml:space="preserve"> México, además de los derechos, están reconocidas las garantías para su protección, en ese sentido el párrafo tercero de artículo primero de la Constitución Política de los Estados Unidos Mexicanos dispone lo siguiente:</w:t>
      </w:r>
    </w:p>
    <w:p w:rsidR="00605057" w:rsidRPr="005A369B" w:rsidRDefault="00605057" w:rsidP="00B14669">
      <w:pPr>
        <w:ind w:left="1134" w:right="1843"/>
        <w:jc w:val="both"/>
        <w:rPr>
          <w:rFonts w:ascii="Palatino Linotype" w:eastAsia="Palatino Linotype" w:hAnsi="Palatino Linotype" w:cs="Palatino Linotype"/>
          <w:i/>
          <w:iCs/>
        </w:rPr>
      </w:pPr>
      <w:r w:rsidRPr="005A369B">
        <w:rPr>
          <w:rFonts w:ascii="Palatino Linotype" w:eastAsia="Palatino Linotype" w:hAnsi="Palatino Linotype" w:cs="Palatino Linotype"/>
          <w:i/>
          <w:iCs/>
        </w:rPr>
        <w:t>“</w:t>
      </w:r>
      <w:r w:rsidRPr="005A369B">
        <w:rPr>
          <w:rFonts w:ascii="Palatino Linotype" w:eastAsia="Palatino Linotype" w:hAnsi="Palatino Linotype" w:cs="Palatino Linotype"/>
          <w:b/>
          <w:bCs/>
          <w:i/>
          <w:iCs/>
        </w:rPr>
        <w:t>Artículo 1.-</w:t>
      </w:r>
      <w:r w:rsidRPr="005A369B">
        <w:rPr>
          <w:rFonts w:ascii="Palatino Linotype" w:eastAsia="Palatino Linotype" w:hAnsi="Palatino Linotype" w:cs="Palatino Linotype"/>
          <w:i/>
          <w:iCs/>
        </w:rPr>
        <w:t xml:space="preserve"> </w:t>
      </w:r>
    </w:p>
    <w:p w:rsidR="00605057" w:rsidRPr="005A369B" w:rsidRDefault="00605057" w:rsidP="00B14669">
      <w:pPr>
        <w:ind w:left="1134" w:right="1843"/>
        <w:jc w:val="both"/>
        <w:rPr>
          <w:rFonts w:ascii="Palatino Linotype" w:eastAsia="Palatino Linotype" w:hAnsi="Palatino Linotype" w:cs="Palatino Linotype"/>
          <w:i/>
          <w:iCs/>
        </w:rPr>
      </w:pPr>
      <w:r w:rsidRPr="005A369B">
        <w:rPr>
          <w:rFonts w:ascii="Palatino Linotype" w:eastAsia="Palatino Linotype" w:hAnsi="Palatino Linotype" w:cs="Palatino Linotype"/>
          <w:i/>
          <w:iCs/>
        </w:rPr>
        <w:t>(…)</w:t>
      </w:r>
    </w:p>
    <w:p w:rsidR="00605057" w:rsidRPr="005A369B" w:rsidRDefault="00605057" w:rsidP="00B14669">
      <w:pPr>
        <w:ind w:left="1134" w:right="1843"/>
        <w:jc w:val="both"/>
        <w:rPr>
          <w:rFonts w:ascii="Palatino Linotype" w:eastAsia="Palatino Linotype" w:hAnsi="Palatino Linotype" w:cs="Palatino Linotype"/>
          <w:i/>
          <w:iCs/>
        </w:rPr>
      </w:pPr>
      <w:r w:rsidRPr="005A369B">
        <w:rPr>
          <w:rFonts w:ascii="Palatino Linotype" w:eastAsia="Palatino Linotype" w:hAnsi="Palatino Linotype" w:cs="Palatino Linotype"/>
          <w:i/>
          <w:iCs/>
        </w:rPr>
        <w:lastRenderedPageBreak/>
        <w:t>Todas las</w:t>
      </w:r>
      <w:r w:rsidRPr="005A369B">
        <w:rPr>
          <w:rFonts w:ascii="Palatino Linotype" w:eastAsia="Palatino Linotype" w:hAnsi="Palatino Linotype" w:cs="Palatino Linotype"/>
        </w:rPr>
        <w:t xml:space="preserve"> </w:t>
      </w:r>
      <w:r w:rsidRPr="005A369B">
        <w:rPr>
          <w:rFonts w:ascii="Palatino Linotype" w:eastAsia="Palatino Linotype" w:hAnsi="Palatino Linotype" w:cs="Palatino Linotype"/>
          <w:i/>
          <w:iCs/>
        </w:rPr>
        <w:t>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rsidR="00605057" w:rsidRPr="005A369B" w:rsidRDefault="00605057" w:rsidP="00B14669">
      <w:pPr>
        <w:ind w:left="1134" w:right="1843"/>
        <w:jc w:val="both"/>
        <w:rPr>
          <w:rFonts w:ascii="Palatino Linotype" w:eastAsia="Palatino Linotype" w:hAnsi="Palatino Linotype" w:cs="Palatino Linotype"/>
        </w:rPr>
      </w:pPr>
      <w:r w:rsidRPr="005A369B">
        <w:rPr>
          <w:rFonts w:ascii="Palatino Linotype" w:eastAsia="Palatino Linotype" w:hAnsi="Palatino Linotype" w:cs="Palatino Linotype"/>
          <w:i/>
          <w:iCs/>
        </w:rPr>
        <w:t>(…)</w:t>
      </w:r>
      <w:r w:rsidRPr="005A369B">
        <w:rPr>
          <w:rFonts w:ascii="Palatino Linotype" w:eastAsia="Palatino Linotype" w:hAnsi="Palatino Linotype" w:cs="Palatino Linotype"/>
        </w:rPr>
        <w:t>”.</w:t>
      </w:r>
    </w:p>
    <w:p w:rsidR="00605057" w:rsidRPr="005A369B" w:rsidRDefault="00605057" w:rsidP="00605057">
      <w:pPr>
        <w:jc w:val="both"/>
        <w:rPr>
          <w:rFonts w:ascii="Palatino Linotype" w:eastAsia="Palatino Linotype" w:hAnsi="Palatino Linotype" w:cs="Palatino Linotype"/>
          <w:b/>
          <w:bCs/>
        </w:rPr>
      </w:pPr>
    </w:p>
    <w:p w:rsidR="00605057" w:rsidRPr="005A369B" w:rsidRDefault="00605057" w:rsidP="002B77B6">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5A369B">
        <w:rPr>
          <w:rFonts w:ascii="Palatino Linotype" w:eastAsia="Palatino Linotype" w:hAnsi="Palatino Linotype" w:cs="Palatino Linotype"/>
        </w:rPr>
        <w:t xml:space="preserve">Por lo anterior, se deduce que el Derecho de Acceso a la Información Pública es un Derecho </w:t>
      </w:r>
      <w:r w:rsidRPr="005A369B">
        <w:rPr>
          <w:rFonts w:ascii="Palatino Linotype" w:eastAsia="Palatino Linotype" w:hAnsi="Palatino Linotype" w:cs="Palatino Linotype"/>
          <w:color w:val="000000"/>
        </w:rPr>
        <w:t>Humano</w:t>
      </w:r>
      <w:r w:rsidRPr="005A369B">
        <w:rPr>
          <w:rFonts w:ascii="Palatino Linotype" w:eastAsia="Palatino Linotype" w:hAnsi="Palatino Linotype" w:cs="Palatino Linotype"/>
        </w:rPr>
        <w:t xml:space="preserve"> de Fuente Internacional y Constitucionalmente reconocido. Además del derecho, también se reconocen garantías para su protección, lo que vincula con el mandato del párrafo tercero del mismo artículo.</w:t>
      </w:r>
    </w:p>
    <w:p w:rsidR="00605057" w:rsidRPr="005A369B" w:rsidRDefault="00605057" w:rsidP="00605057">
      <w:pPr>
        <w:spacing w:line="360" w:lineRule="auto"/>
        <w:jc w:val="both"/>
        <w:rPr>
          <w:rFonts w:ascii="Palatino Linotype" w:eastAsia="Palatino Linotype" w:hAnsi="Palatino Linotype" w:cs="Palatino Linotype"/>
        </w:rPr>
      </w:pPr>
    </w:p>
    <w:p w:rsidR="00605057" w:rsidRPr="005A369B" w:rsidRDefault="00605057" w:rsidP="002B77B6">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5A369B">
        <w:rPr>
          <w:rFonts w:ascii="Palatino Linotype" w:eastAsia="Palatino Linotype" w:hAnsi="Palatino Linotype" w:cs="Palatino Linotype"/>
        </w:rPr>
        <w:t xml:space="preserve">Así, conforme a la Constitución Política de las Estado Unidos Mexicanos y la Constitución Política del Estado Libre y Soberano de México respectivamente, el </w:t>
      </w:r>
      <w:r w:rsidRPr="005A369B">
        <w:rPr>
          <w:rFonts w:ascii="Palatino Linotype" w:eastAsia="Palatino Linotype" w:hAnsi="Palatino Linotype" w:cs="Palatino Linotype"/>
          <w:color w:val="000000"/>
        </w:rPr>
        <w:t>cumplimiento</w:t>
      </w:r>
      <w:r w:rsidRPr="005A369B">
        <w:rPr>
          <w:rFonts w:ascii="Palatino Linotype" w:eastAsia="Palatino Linotype" w:hAnsi="Palatino Linotype" w:cs="Palatino Linotype"/>
        </w:rPr>
        <w:t xml:space="preserve"> de las garantías primarias, entendidas como obligaciones inmediatamente relacionadas con el Derecho de Acceso a la Información Pública, permiten que todas las autoridades, en el ámbito de sus atribuciones lo respeten, protejan y garanticen.</w:t>
      </w:r>
    </w:p>
    <w:p w:rsidR="00605057" w:rsidRPr="005A369B" w:rsidRDefault="00605057" w:rsidP="00B14669">
      <w:pPr>
        <w:spacing w:after="240"/>
        <w:ind w:left="1134" w:right="1843"/>
        <w:jc w:val="both"/>
        <w:rPr>
          <w:rFonts w:ascii="Palatino Linotype" w:eastAsia="Palatino Linotype" w:hAnsi="Palatino Linotype" w:cs="Palatino Linotype"/>
          <w:b/>
          <w:bCs/>
          <w:i/>
          <w:iCs/>
        </w:rPr>
      </w:pPr>
      <w:r w:rsidRPr="005A369B">
        <w:rPr>
          <w:rFonts w:ascii="Palatino Linotype" w:eastAsia="Palatino Linotype" w:hAnsi="Palatino Linotype" w:cs="Palatino Linotype"/>
          <w:b/>
          <w:bCs/>
          <w:i/>
          <w:iCs/>
        </w:rPr>
        <w:t>Constitución Política de los Estados Unidos Mexicanos</w:t>
      </w:r>
    </w:p>
    <w:p w:rsidR="00605057" w:rsidRPr="005A369B" w:rsidRDefault="00605057" w:rsidP="00B14669">
      <w:pPr>
        <w:spacing w:before="240" w:after="240"/>
        <w:ind w:left="1134" w:right="1843"/>
        <w:jc w:val="both"/>
        <w:rPr>
          <w:rFonts w:ascii="Palatino Linotype" w:eastAsia="Palatino Linotype" w:hAnsi="Palatino Linotype" w:cs="Palatino Linotype"/>
          <w:b/>
          <w:bCs/>
          <w:i/>
          <w:iCs/>
        </w:rPr>
      </w:pPr>
      <w:r w:rsidRPr="005A369B">
        <w:rPr>
          <w:rFonts w:ascii="Palatino Linotype" w:eastAsia="Palatino Linotype" w:hAnsi="Palatino Linotype" w:cs="Palatino Linotype"/>
          <w:b/>
          <w:bCs/>
          <w:i/>
          <w:iCs/>
        </w:rPr>
        <w:t>“Artículo 6.</w:t>
      </w:r>
    </w:p>
    <w:p w:rsidR="00605057" w:rsidRPr="005A369B" w:rsidRDefault="00605057" w:rsidP="00B14669">
      <w:pPr>
        <w:spacing w:before="240" w:after="240"/>
        <w:ind w:left="1134" w:right="1843"/>
        <w:jc w:val="both"/>
        <w:rPr>
          <w:rFonts w:ascii="Palatino Linotype" w:eastAsia="Palatino Linotype" w:hAnsi="Palatino Linotype" w:cs="Palatino Linotype"/>
          <w:i/>
          <w:iCs/>
        </w:rPr>
      </w:pPr>
      <w:r w:rsidRPr="005A369B">
        <w:rPr>
          <w:rFonts w:ascii="Palatino Linotype" w:eastAsia="Palatino Linotype" w:hAnsi="Palatino Linotype" w:cs="Palatino Linotype"/>
          <w:i/>
          <w:iCs/>
        </w:rPr>
        <w:t>(…)</w:t>
      </w:r>
    </w:p>
    <w:p w:rsidR="00605057" w:rsidRPr="005A369B" w:rsidRDefault="00605057" w:rsidP="00B14669">
      <w:pPr>
        <w:spacing w:before="240" w:after="240"/>
        <w:ind w:left="1134" w:right="1843"/>
        <w:jc w:val="both"/>
        <w:rPr>
          <w:rFonts w:ascii="Palatino Linotype" w:eastAsia="Palatino Linotype" w:hAnsi="Palatino Linotype" w:cs="Palatino Linotype"/>
          <w:i/>
          <w:iCs/>
        </w:rPr>
      </w:pPr>
      <w:r w:rsidRPr="005A369B">
        <w:rPr>
          <w:rFonts w:ascii="Palatino Linotype" w:eastAsia="Palatino Linotype" w:hAnsi="Palatino Linotype" w:cs="Palatino Linotype"/>
          <w:i/>
          <w:iCs/>
        </w:rPr>
        <w:t>Para efectos de lo dispuesto en el presente artículo se observará lo siguiente:</w:t>
      </w:r>
    </w:p>
    <w:p w:rsidR="00605057" w:rsidRPr="005A369B" w:rsidRDefault="00605057" w:rsidP="00B14669">
      <w:pPr>
        <w:spacing w:before="240" w:after="240"/>
        <w:ind w:left="1134" w:right="1843"/>
        <w:jc w:val="both"/>
        <w:rPr>
          <w:rFonts w:ascii="Palatino Linotype" w:eastAsia="Palatino Linotype" w:hAnsi="Palatino Linotype" w:cs="Palatino Linotype"/>
          <w:b/>
          <w:bCs/>
          <w:i/>
          <w:iCs/>
        </w:rPr>
      </w:pPr>
      <w:r w:rsidRPr="005A369B">
        <w:rPr>
          <w:rFonts w:ascii="Palatino Linotype" w:eastAsia="Palatino Linotype" w:hAnsi="Palatino Linotype" w:cs="Palatino Linotype"/>
          <w:b/>
          <w:bCs/>
          <w:i/>
          <w:iCs/>
        </w:rPr>
        <w:t>A</w:t>
      </w:r>
      <w:r w:rsidRPr="005A369B">
        <w:rPr>
          <w:rFonts w:ascii="Palatino Linotype" w:eastAsia="Palatino Linotype" w:hAnsi="Palatino Linotype" w:cs="Palatino Linotype"/>
          <w:i/>
          <w:iCs/>
        </w:rPr>
        <w:t xml:space="preserve">. </w:t>
      </w:r>
      <w:r w:rsidRPr="005A369B">
        <w:rPr>
          <w:rFonts w:ascii="Palatino Linotype" w:eastAsia="Palatino Linotype" w:hAnsi="Palatino Linotype" w:cs="Palatino Linotype"/>
          <w:b/>
          <w:bCs/>
          <w:i/>
          <w:iCs/>
        </w:rPr>
        <w:t>Para el ejercicio del derecho de acceso a la información</w:t>
      </w:r>
      <w:r w:rsidRPr="005A369B">
        <w:rPr>
          <w:rFonts w:ascii="Palatino Linotype" w:eastAsia="Palatino Linotype" w:hAnsi="Palatino Linotype" w:cs="Palatino Linotype"/>
          <w:i/>
          <w:iCs/>
        </w:rPr>
        <w:t xml:space="preserve">, la Federación y </w:t>
      </w:r>
      <w:r w:rsidRPr="005A369B">
        <w:rPr>
          <w:rFonts w:ascii="Palatino Linotype" w:eastAsia="Palatino Linotype" w:hAnsi="Palatino Linotype" w:cs="Palatino Linotype"/>
          <w:b/>
          <w:bCs/>
          <w:i/>
          <w:iCs/>
        </w:rPr>
        <w:t>las entidades federativas, en el ámbito de sus respectivas competencias, se regirán por los siguientes principios y bases:</w:t>
      </w:r>
    </w:p>
    <w:p w:rsidR="00605057" w:rsidRPr="005A369B" w:rsidRDefault="00605057" w:rsidP="00B14669">
      <w:pPr>
        <w:spacing w:before="240" w:after="240"/>
        <w:ind w:left="1134" w:right="1843"/>
        <w:jc w:val="both"/>
        <w:rPr>
          <w:rFonts w:ascii="Palatino Linotype" w:eastAsia="Palatino Linotype" w:hAnsi="Palatino Linotype" w:cs="Palatino Linotype"/>
          <w:i/>
          <w:iCs/>
        </w:rPr>
      </w:pPr>
      <w:r w:rsidRPr="005A369B">
        <w:rPr>
          <w:rFonts w:ascii="Palatino Linotype" w:eastAsia="Palatino Linotype" w:hAnsi="Palatino Linotype" w:cs="Palatino Linotype"/>
          <w:b/>
          <w:bCs/>
          <w:i/>
          <w:iCs/>
        </w:rPr>
        <w:lastRenderedPageBreak/>
        <w:t xml:space="preserve">I. </w:t>
      </w:r>
      <w:r w:rsidRPr="005A369B">
        <w:rPr>
          <w:rFonts w:ascii="Palatino Linotype" w:eastAsia="Palatino Linotype" w:hAnsi="Palatino Linotype" w:cs="Palatino Linotype"/>
          <w:b/>
          <w:bCs/>
          <w:i/>
          <w:iCs/>
        </w:rPr>
        <w:tab/>
        <w:t>Toda la información en posesión de cualquier</w:t>
      </w:r>
      <w:r w:rsidRPr="005A369B">
        <w:rPr>
          <w:rFonts w:ascii="Palatino Linotype" w:eastAsia="Palatino Linotype" w:hAnsi="Palatino Linotype" w:cs="Palatino Linotype"/>
          <w:i/>
          <w:iCs/>
        </w:rPr>
        <w:t xml:space="preserve"> </w:t>
      </w:r>
      <w:r w:rsidRPr="005A369B">
        <w:rPr>
          <w:rFonts w:ascii="Palatino Linotype" w:eastAsia="Palatino Linotype" w:hAnsi="Palatino Linotype" w:cs="Palatino Linotype"/>
          <w:b/>
          <w:bCs/>
          <w:i/>
          <w:iCs/>
        </w:rPr>
        <w:t>autoridad</w:t>
      </w:r>
      <w:r w:rsidRPr="005A369B">
        <w:rPr>
          <w:rFonts w:ascii="Palatino Linotype" w:eastAsia="Palatino Linotype" w:hAnsi="Palatino Linotype" w:cs="Palatino Linotype"/>
          <w:i/>
          <w:iCs/>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5A369B">
        <w:rPr>
          <w:rFonts w:ascii="Palatino Linotype" w:eastAsia="Palatino Linotype" w:hAnsi="Palatino Linotype" w:cs="Palatino Linotype"/>
          <w:b/>
          <w:bCs/>
          <w:i/>
          <w:iCs/>
        </w:rPr>
        <w:t>municipal</w:t>
      </w:r>
      <w:r w:rsidRPr="005A369B">
        <w:rPr>
          <w:rFonts w:ascii="Palatino Linotype" w:eastAsia="Palatino Linotype" w:hAnsi="Palatino Linotype" w:cs="Palatino Linotype"/>
          <w:i/>
          <w:iCs/>
        </w:rPr>
        <w:t xml:space="preserve">, </w:t>
      </w:r>
      <w:r w:rsidRPr="005A369B">
        <w:rPr>
          <w:rFonts w:ascii="Palatino Linotype" w:eastAsia="Palatino Linotype" w:hAnsi="Palatino Linotype" w:cs="Palatino Linotype"/>
          <w:b/>
          <w:bCs/>
          <w:i/>
          <w:iCs/>
        </w:rPr>
        <w:t>es pública</w:t>
      </w:r>
      <w:r w:rsidRPr="005A369B">
        <w:rPr>
          <w:rFonts w:ascii="Palatino Linotype" w:eastAsia="Palatino Linotype" w:hAnsi="Palatino Linotype" w:cs="Palatino Linotype"/>
          <w:i/>
          <w:iCs/>
        </w:rPr>
        <w:t xml:space="preserve"> y sólo podrá ser reservada temporalmente por razones de interés público y seguridad nacional, en los términos que fijen las leyes. </w:t>
      </w:r>
      <w:r w:rsidRPr="005A369B">
        <w:rPr>
          <w:rFonts w:ascii="Palatino Linotype" w:eastAsia="Palatino Linotype" w:hAnsi="Palatino Linotype" w:cs="Palatino Linotype"/>
          <w:b/>
          <w:bCs/>
          <w:i/>
          <w:iCs/>
        </w:rPr>
        <w:t>En la interpretación de este derecho deberá prevalecer el principio de máxima publicidad. Los sujetos obligados deberán documentar todo acto que derive del ejercicio de sus facultades, competencias o funciones</w:t>
      </w:r>
      <w:r w:rsidRPr="005A369B">
        <w:rPr>
          <w:rFonts w:ascii="Palatino Linotype" w:eastAsia="Palatino Linotype" w:hAnsi="Palatino Linotype" w:cs="Palatino Linotype"/>
          <w:i/>
          <w:iCs/>
        </w:rPr>
        <w:t>, la ley determinará los supuestos específicos bajo los cuales procederá la declaración de inexistencia de la información.”</w:t>
      </w:r>
    </w:p>
    <w:p w:rsidR="00605057" w:rsidRPr="005A369B" w:rsidRDefault="00605057" w:rsidP="00B14669">
      <w:pPr>
        <w:pBdr>
          <w:top w:val="nil"/>
          <w:left w:val="nil"/>
          <w:bottom w:val="nil"/>
          <w:right w:val="nil"/>
          <w:between w:val="nil"/>
        </w:pBdr>
        <w:tabs>
          <w:tab w:val="left" w:pos="567"/>
        </w:tabs>
        <w:spacing w:before="240" w:after="240"/>
        <w:ind w:left="1134" w:right="1843"/>
        <w:jc w:val="both"/>
        <w:rPr>
          <w:rFonts w:ascii="Palatino Linotype" w:eastAsia="Palatino Linotype" w:hAnsi="Palatino Linotype" w:cs="Palatino Linotype"/>
          <w:b/>
          <w:bCs/>
          <w:i/>
          <w:iCs/>
          <w:color w:val="000000"/>
        </w:rPr>
      </w:pPr>
    </w:p>
    <w:p w:rsidR="00605057" w:rsidRPr="005A369B" w:rsidRDefault="00605057" w:rsidP="00B14669">
      <w:pPr>
        <w:spacing w:before="240" w:after="240"/>
        <w:ind w:left="1134" w:right="1843"/>
        <w:jc w:val="both"/>
        <w:rPr>
          <w:rFonts w:ascii="Palatino Linotype" w:eastAsia="Palatino Linotype" w:hAnsi="Palatino Linotype" w:cs="Palatino Linotype"/>
          <w:b/>
          <w:bCs/>
          <w:i/>
          <w:iCs/>
        </w:rPr>
      </w:pPr>
      <w:r w:rsidRPr="005A369B">
        <w:rPr>
          <w:rFonts w:ascii="Palatino Linotype" w:eastAsia="Palatino Linotype" w:hAnsi="Palatino Linotype" w:cs="Palatino Linotype"/>
          <w:b/>
          <w:bCs/>
          <w:i/>
          <w:iCs/>
        </w:rPr>
        <w:t>Constitución Política del Estado Libre y Soberano de México</w:t>
      </w:r>
    </w:p>
    <w:p w:rsidR="00605057" w:rsidRPr="005A369B" w:rsidRDefault="00605057" w:rsidP="00B14669">
      <w:pPr>
        <w:spacing w:before="240" w:after="240"/>
        <w:ind w:left="1134" w:right="1843"/>
        <w:jc w:val="both"/>
        <w:rPr>
          <w:rFonts w:ascii="Palatino Linotype" w:eastAsia="Palatino Linotype" w:hAnsi="Palatino Linotype" w:cs="Palatino Linotype"/>
          <w:i/>
          <w:iCs/>
        </w:rPr>
      </w:pPr>
      <w:r w:rsidRPr="005A369B">
        <w:rPr>
          <w:rFonts w:ascii="Palatino Linotype" w:eastAsia="Palatino Linotype" w:hAnsi="Palatino Linotype" w:cs="Palatino Linotype"/>
          <w:b/>
          <w:bCs/>
          <w:i/>
          <w:iCs/>
        </w:rPr>
        <w:t>“Artículo 5</w:t>
      </w:r>
      <w:r w:rsidRPr="005A369B">
        <w:rPr>
          <w:rFonts w:ascii="Palatino Linotype" w:eastAsia="Palatino Linotype" w:hAnsi="Palatino Linotype" w:cs="Palatino Linotype"/>
          <w:i/>
          <w:iCs/>
        </w:rPr>
        <w:t xml:space="preserve">.- </w:t>
      </w:r>
    </w:p>
    <w:p w:rsidR="00605057" w:rsidRPr="005A369B" w:rsidRDefault="00605057" w:rsidP="00B14669">
      <w:pPr>
        <w:spacing w:before="240" w:after="240"/>
        <w:ind w:left="1134" w:right="1843"/>
        <w:jc w:val="both"/>
        <w:rPr>
          <w:rFonts w:ascii="Palatino Linotype" w:eastAsia="Palatino Linotype" w:hAnsi="Palatino Linotype" w:cs="Palatino Linotype"/>
          <w:i/>
          <w:iCs/>
        </w:rPr>
      </w:pPr>
      <w:r w:rsidRPr="005A369B">
        <w:rPr>
          <w:rFonts w:ascii="Palatino Linotype" w:eastAsia="Palatino Linotype" w:hAnsi="Palatino Linotype" w:cs="Palatino Linotype"/>
          <w:i/>
          <w:iCs/>
        </w:rPr>
        <w:t>(…)</w:t>
      </w:r>
    </w:p>
    <w:p w:rsidR="00605057" w:rsidRPr="005A369B" w:rsidRDefault="00605057" w:rsidP="00B14669">
      <w:pPr>
        <w:spacing w:before="240" w:after="240"/>
        <w:ind w:left="1134" w:right="1843"/>
        <w:jc w:val="both"/>
        <w:rPr>
          <w:rFonts w:ascii="Palatino Linotype" w:eastAsia="Palatino Linotype" w:hAnsi="Palatino Linotype" w:cs="Palatino Linotype"/>
          <w:i/>
          <w:iCs/>
        </w:rPr>
      </w:pPr>
      <w:r w:rsidRPr="005A369B">
        <w:rPr>
          <w:rFonts w:ascii="Palatino Linotype" w:eastAsia="Palatino Linotype" w:hAnsi="Palatino Linotype" w:cs="Palatino Linotype"/>
          <w:b/>
          <w:bCs/>
          <w:i/>
          <w:iCs/>
        </w:rPr>
        <w:t>El derecho a la información será garantizado por el Estado. La ley establecerá las previsiones que permitan asegurar la protección, el respeto y la difusión de este derecho</w:t>
      </w:r>
      <w:r w:rsidRPr="005A369B">
        <w:rPr>
          <w:rFonts w:ascii="Palatino Linotype" w:eastAsia="Palatino Linotype" w:hAnsi="Palatino Linotype" w:cs="Palatino Linotype"/>
          <w:i/>
          <w:iCs/>
        </w:rPr>
        <w:t>.</w:t>
      </w:r>
    </w:p>
    <w:p w:rsidR="00605057" w:rsidRPr="005A369B" w:rsidRDefault="00605057" w:rsidP="00B14669">
      <w:pPr>
        <w:spacing w:before="240" w:after="240"/>
        <w:ind w:left="1134" w:right="1843"/>
        <w:jc w:val="both"/>
        <w:rPr>
          <w:rFonts w:ascii="Palatino Linotype" w:eastAsia="Palatino Linotype" w:hAnsi="Palatino Linotype" w:cs="Palatino Linotype"/>
          <w:i/>
          <w:iCs/>
        </w:rPr>
      </w:pPr>
      <w:r w:rsidRPr="005A369B">
        <w:rPr>
          <w:rFonts w:ascii="Palatino Linotype" w:eastAsia="Palatino Linotype" w:hAnsi="Palatino Linotype" w:cs="Palatino Linotype"/>
          <w:i/>
          <w:iCs/>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rsidR="00605057" w:rsidRPr="005A369B" w:rsidRDefault="00605057" w:rsidP="00B14669">
      <w:pPr>
        <w:spacing w:before="240" w:after="240"/>
        <w:ind w:left="1134" w:right="1843"/>
        <w:jc w:val="both"/>
        <w:rPr>
          <w:rFonts w:ascii="Palatino Linotype" w:eastAsia="Palatino Linotype" w:hAnsi="Palatino Linotype" w:cs="Palatino Linotype"/>
          <w:i/>
          <w:iCs/>
        </w:rPr>
      </w:pPr>
      <w:r w:rsidRPr="005A369B">
        <w:rPr>
          <w:rFonts w:ascii="Palatino Linotype" w:eastAsia="Palatino Linotype" w:hAnsi="Palatino Linotype" w:cs="Palatino Linotype"/>
          <w:b/>
          <w:bCs/>
          <w:i/>
          <w:iCs/>
        </w:rPr>
        <w:t>Este derecho se regirá por los principios y bases siguientes</w:t>
      </w:r>
      <w:r w:rsidRPr="005A369B">
        <w:rPr>
          <w:rFonts w:ascii="Palatino Linotype" w:eastAsia="Palatino Linotype" w:hAnsi="Palatino Linotype" w:cs="Palatino Linotype"/>
          <w:i/>
          <w:iCs/>
        </w:rPr>
        <w:t>:</w:t>
      </w:r>
    </w:p>
    <w:p w:rsidR="00605057" w:rsidRPr="005A369B" w:rsidRDefault="00605057" w:rsidP="00B14669">
      <w:pPr>
        <w:spacing w:before="240" w:after="240"/>
        <w:ind w:left="1134" w:right="1843"/>
        <w:jc w:val="both"/>
        <w:rPr>
          <w:rFonts w:ascii="Palatino Linotype" w:eastAsia="Palatino Linotype" w:hAnsi="Palatino Linotype" w:cs="Palatino Linotype"/>
          <w:i/>
          <w:iCs/>
        </w:rPr>
      </w:pPr>
      <w:r w:rsidRPr="005A369B">
        <w:rPr>
          <w:rFonts w:ascii="Palatino Linotype" w:eastAsia="Palatino Linotype" w:hAnsi="Palatino Linotype" w:cs="Palatino Linotype"/>
          <w:b/>
          <w:bCs/>
          <w:i/>
          <w:iCs/>
        </w:rPr>
        <w:t>I. Toda la información en posesión de cualquier autoridad, entidad, órgano y organismos de los</w:t>
      </w:r>
      <w:r w:rsidRPr="005A369B">
        <w:rPr>
          <w:rFonts w:ascii="Palatino Linotype" w:eastAsia="Palatino Linotype" w:hAnsi="Palatino Linotype" w:cs="Palatino Linotype"/>
          <w:i/>
          <w:iCs/>
        </w:rPr>
        <w:t xml:space="preserve"> Poderes Ejecutivo, Legislativo y Judicial, órganos autónomos, partidos políticos, fideicomisos y fondos </w:t>
      </w:r>
      <w:r w:rsidRPr="005A369B">
        <w:rPr>
          <w:rFonts w:ascii="Palatino Linotype" w:eastAsia="Palatino Linotype" w:hAnsi="Palatino Linotype" w:cs="Palatino Linotype"/>
          <w:i/>
          <w:iCs/>
        </w:rPr>
        <w:lastRenderedPageBreak/>
        <w:t xml:space="preserve">públicos estatales y </w:t>
      </w:r>
      <w:r w:rsidRPr="005A369B">
        <w:rPr>
          <w:rFonts w:ascii="Palatino Linotype" w:eastAsia="Palatino Linotype" w:hAnsi="Palatino Linotype" w:cs="Palatino Linotype"/>
          <w:b/>
          <w:bCs/>
          <w:i/>
          <w:iCs/>
        </w:rPr>
        <w:t>municipales</w:t>
      </w:r>
      <w:r w:rsidRPr="005A369B">
        <w:rPr>
          <w:rFonts w:ascii="Palatino Linotype" w:eastAsia="Palatino Linotype" w:hAnsi="Palatino Linotype" w:cs="Palatino Linotype"/>
          <w:i/>
          <w:iCs/>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5A369B">
        <w:rPr>
          <w:rFonts w:ascii="Palatino Linotype" w:eastAsia="Palatino Linotype" w:hAnsi="Palatino Linotype" w:cs="Palatino Linotype"/>
          <w:b/>
          <w:bCs/>
          <w:i/>
          <w:iCs/>
        </w:rPr>
        <w:t>es pública</w:t>
      </w:r>
      <w:r w:rsidRPr="005A369B">
        <w:rPr>
          <w:rFonts w:ascii="Palatino Linotype" w:eastAsia="Palatino Linotype" w:hAnsi="Palatino Linotype" w:cs="Palatino Linotype"/>
          <w:i/>
          <w:iCs/>
        </w:rPr>
        <w:t xml:space="preserve"> y sólo podrá ser reservada temporalmente por razones previstas en la Constitución Política de los Estados Unidos Mexicanos de interés público y seguridad, en los términos que fijen las leyes. </w:t>
      </w:r>
      <w:r w:rsidRPr="005A369B">
        <w:rPr>
          <w:rFonts w:ascii="Palatino Linotype" w:eastAsia="Palatino Linotype" w:hAnsi="Palatino Linotype" w:cs="Palatino Linotype"/>
          <w:b/>
          <w:bCs/>
          <w:i/>
          <w:iCs/>
        </w:rPr>
        <w:t>En la interpretación de este derecho deberá prevalecer el principio de máxima publicidad</w:t>
      </w:r>
      <w:r w:rsidRPr="005A369B">
        <w:rPr>
          <w:rFonts w:ascii="Palatino Linotype" w:eastAsia="Palatino Linotype" w:hAnsi="Palatino Linotype" w:cs="Palatino Linotype"/>
          <w:i/>
          <w:iCs/>
        </w:rPr>
        <w:t xml:space="preserve">. </w:t>
      </w:r>
      <w:r w:rsidRPr="005A369B">
        <w:rPr>
          <w:rFonts w:ascii="Palatino Linotype" w:eastAsia="Palatino Linotype" w:hAnsi="Palatino Linotype" w:cs="Palatino Linotype"/>
          <w:b/>
          <w:bCs/>
          <w:i/>
          <w:iCs/>
        </w:rPr>
        <w:t>Los sujetos obligados deberán documentar todo acto que derive del ejercicio de sus facultades, competencias o funciones</w:t>
      </w:r>
      <w:r w:rsidRPr="005A369B">
        <w:rPr>
          <w:rFonts w:ascii="Palatino Linotype" w:eastAsia="Palatino Linotype" w:hAnsi="Palatino Linotype" w:cs="Palatino Linotype"/>
          <w:i/>
          <w:iCs/>
        </w:rPr>
        <w:t>, la ley determinará los supuestos específicos bajo los cuales procederá la declaración de i</w:t>
      </w:r>
      <w:r w:rsidR="00B7310F" w:rsidRPr="005A369B">
        <w:rPr>
          <w:rFonts w:ascii="Palatino Linotype" w:eastAsia="Palatino Linotype" w:hAnsi="Palatino Linotype" w:cs="Palatino Linotype"/>
          <w:i/>
          <w:iCs/>
        </w:rPr>
        <w:t>nexistencia de la información.”</w:t>
      </w:r>
    </w:p>
    <w:p w:rsidR="00605057" w:rsidRPr="005A369B" w:rsidRDefault="00605057" w:rsidP="002B77B6">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5A369B">
        <w:rPr>
          <w:rFonts w:ascii="Palatino Linotype" w:eastAsia="Palatino Linotype" w:hAnsi="Palatino Linotype" w:cs="Palatino Linotype"/>
        </w:rPr>
        <w:t xml:space="preserve">Según el artículo 150 de la Ley de Transparencia del Estado, la solicitud es la garantía primaria </w:t>
      </w:r>
      <w:r w:rsidRPr="005A369B">
        <w:rPr>
          <w:rFonts w:ascii="Palatino Linotype" w:eastAsia="Palatino Linotype" w:hAnsi="Palatino Linotype" w:cs="Palatino Linotype"/>
          <w:color w:val="000000"/>
        </w:rPr>
        <w:t>del</w:t>
      </w:r>
      <w:r w:rsidRPr="005A369B">
        <w:rPr>
          <w:rFonts w:ascii="Palatino Linotype" w:eastAsia="Palatino Linotype" w:hAnsi="Palatino Linotype" w:cs="Palatino Linotype"/>
        </w:rPr>
        <w:t xml:space="preserve"> Derecho de Acceso a la Información, además, establece que se regirá </w:t>
      </w:r>
      <w:r w:rsidRPr="005A369B">
        <w:rPr>
          <w:rFonts w:ascii="Palatino Linotype" w:eastAsia="Palatino Linotype" w:hAnsi="Palatino Linotype" w:cs="Palatino Linotype"/>
          <w:i/>
          <w:iCs/>
        </w:rPr>
        <w:t>por los principios de simplicidad, rapidez gratuidad del procedimiento, auxilio y orientación a los particulares</w:t>
      </w:r>
      <w:r w:rsidRPr="005A369B">
        <w:rPr>
          <w:rFonts w:ascii="Palatino Linotype" w:eastAsia="Palatino Linotype" w:hAnsi="Palatino Linotype" w:cs="Palatino Linotype"/>
        </w:rPr>
        <w:t>, contemplando el derecho de las personas con discapacidad y hablantes de lengua indígena.</w:t>
      </w:r>
    </w:p>
    <w:p w:rsidR="00605057" w:rsidRPr="005A369B" w:rsidRDefault="00605057" w:rsidP="00605057">
      <w:pPr>
        <w:spacing w:before="240" w:line="360" w:lineRule="auto"/>
        <w:jc w:val="both"/>
        <w:rPr>
          <w:rFonts w:ascii="Palatino Linotype" w:eastAsia="Palatino Linotype" w:hAnsi="Palatino Linotype" w:cs="Palatino Linotype"/>
        </w:rPr>
      </w:pPr>
    </w:p>
    <w:p w:rsidR="00605057" w:rsidRPr="005A369B" w:rsidRDefault="00605057" w:rsidP="002B77B6">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5A369B">
        <w:rPr>
          <w:rFonts w:ascii="Palatino Linotype" w:eastAsia="Palatino Linotype" w:hAnsi="Palatino Linotype" w:cs="Palatino Linotype"/>
          <w:color w:val="000000"/>
        </w:rPr>
        <w:t>El</w:t>
      </w:r>
      <w:r w:rsidRPr="005A369B">
        <w:rPr>
          <w:rFonts w:ascii="Palatino Linotype" w:eastAsia="Palatino Linotype" w:hAnsi="Palatino Linotype" w:cs="Palatino Linotype"/>
        </w:rPr>
        <w:t xml:space="preserve"> Derecho de Acceso a la Información se garantiza y respeta oportunamente, y según lo que dispone la Ley, las </w:t>
      </w:r>
      <w:r w:rsidRPr="005A369B">
        <w:rPr>
          <w:rFonts w:ascii="Palatino Linotype" w:eastAsia="Palatino Linotype" w:hAnsi="Palatino Linotype" w:cs="Palatino Linotype"/>
          <w:i/>
          <w:iCs/>
        </w:rPr>
        <w:t>solicitudes de acceso a la información</w:t>
      </w:r>
      <w:r w:rsidRPr="005A369B">
        <w:rPr>
          <w:rFonts w:ascii="Palatino Linotype" w:eastAsia="Palatino Linotype" w:hAnsi="Palatino Linotype" w:cs="Palatino Linotype"/>
        </w:rPr>
        <w:t>.</w:t>
      </w:r>
    </w:p>
    <w:p w:rsidR="00605057" w:rsidRPr="005A369B" w:rsidRDefault="00605057" w:rsidP="00605057">
      <w:pPr>
        <w:spacing w:line="360" w:lineRule="auto"/>
        <w:jc w:val="both"/>
        <w:rPr>
          <w:rFonts w:ascii="Palatino Linotype" w:eastAsia="Palatino Linotype" w:hAnsi="Palatino Linotype" w:cs="Palatino Linotype"/>
        </w:rPr>
      </w:pPr>
    </w:p>
    <w:p w:rsidR="00605057" w:rsidRPr="005A369B" w:rsidRDefault="00605057" w:rsidP="002B77B6">
      <w:pPr>
        <w:numPr>
          <w:ilvl w:val="0"/>
          <w:numId w:val="3"/>
        </w:numPr>
        <w:pBdr>
          <w:top w:val="nil"/>
          <w:left w:val="nil"/>
          <w:bottom w:val="nil"/>
          <w:right w:val="nil"/>
          <w:between w:val="nil"/>
        </w:pBdr>
        <w:spacing w:line="360" w:lineRule="auto"/>
        <w:ind w:left="0" w:firstLine="0"/>
        <w:jc w:val="both"/>
        <w:rPr>
          <w:rFonts w:ascii="Palatino Linotype" w:hAnsi="Palatino Linotype"/>
        </w:rPr>
      </w:pPr>
      <w:r w:rsidRPr="005A369B">
        <w:rPr>
          <w:rFonts w:ascii="Palatino Linotype" w:eastAsia="Palatino Linotype" w:hAnsi="Palatino Linotype" w:cs="Palatino Linotype"/>
        </w:rPr>
        <w:t xml:space="preserve">Así entonces, se procede analizar, en primer lugar, si el </w:t>
      </w:r>
      <w:r w:rsidRPr="005A369B">
        <w:rPr>
          <w:rFonts w:ascii="Palatino Linotype" w:eastAsia="Palatino Linotype" w:hAnsi="Palatino Linotype" w:cs="Palatino Linotype"/>
          <w:b/>
          <w:bCs/>
        </w:rPr>
        <w:t>SUJETO OBLIGADO</w:t>
      </w:r>
      <w:r w:rsidRPr="005A369B">
        <w:rPr>
          <w:rFonts w:ascii="Palatino Linotype" w:eastAsia="Palatino Linotype" w:hAnsi="Palatino Linotype" w:cs="Palatino Linotype"/>
        </w:rPr>
        <w:t xml:space="preserve"> al atender la solicitud de acceso a la información, satisfizo la garantía primaria del derecho según lo dispuesto por el artículo 150 de la Ley de Transparencia y Acceso a la Información Pública del Estado de México y Municipios y en segundo término si cumplió con su deber de respetar y garantizar el derecho, entregando la información solicitada.</w:t>
      </w:r>
    </w:p>
    <w:p w:rsidR="00605057" w:rsidRPr="005A369B" w:rsidRDefault="00605057" w:rsidP="00605057">
      <w:pPr>
        <w:pBdr>
          <w:top w:val="nil"/>
          <w:left w:val="nil"/>
          <w:bottom w:val="nil"/>
          <w:right w:val="nil"/>
          <w:between w:val="nil"/>
        </w:pBdr>
        <w:spacing w:line="360" w:lineRule="auto"/>
        <w:jc w:val="both"/>
        <w:rPr>
          <w:rFonts w:ascii="Palatino Linotype" w:eastAsia="Palatino Linotype" w:hAnsi="Palatino Linotype" w:cs="Palatino Linotype"/>
        </w:rPr>
      </w:pPr>
    </w:p>
    <w:p w:rsidR="00605057" w:rsidRPr="005A369B" w:rsidRDefault="00605057" w:rsidP="00605057">
      <w:pPr>
        <w:pStyle w:val="Ttulo1"/>
        <w:spacing w:before="0" w:after="240" w:line="360" w:lineRule="auto"/>
        <w:rPr>
          <w:rFonts w:ascii="Palatino Linotype" w:eastAsia="Palatino Linotype" w:hAnsi="Palatino Linotype" w:cs="Palatino Linotype"/>
          <w:b/>
          <w:bCs/>
          <w:color w:val="000000"/>
          <w:sz w:val="24"/>
          <w:szCs w:val="24"/>
        </w:rPr>
      </w:pPr>
      <w:bookmarkStart w:id="7" w:name="_heading=h.26in1rg" w:colFirst="0" w:colLast="0"/>
      <w:bookmarkEnd w:id="7"/>
      <w:r w:rsidRPr="005A369B">
        <w:rPr>
          <w:rFonts w:ascii="Palatino Linotype" w:eastAsia="Palatino Linotype" w:hAnsi="Palatino Linotype" w:cs="Palatino Linotype"/>
          <w:b/>
          <w:bCs/>
          <w:color w:val="000000"/>
          <w:sz w:val="24"/>
          <w:szCs w:val="24"/>
        </w:rPr>
        <w:lastRenderedPageBreak/>
        <w:t>II. De la información solicitada y la respuesta del SUJETO OBLIGADO</w:t>
      </w:r>
    </w:p>
    <w:p w:rsidR="00605057" w:rsidRPr="005A369B" w:rsidRDefault="00605057" w:rsidP="002B77B6">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5A369B">
        <w:rPr>
          <w:rFonts w:ascii="Palatino Linotype" w:eastAsia="Palatino Linotype" w:hAnsi="Palatino Linotype" w:cs="Palatino Linotype"/>
          <w:color w:val="000000"/>
        </w:rPr>
        <w:t xml:space="preserve">Acotada la </w:t>
      </w:r>
      <w:r w:rsidRPr="005A369B">
        <w:rPr>
          <w:rFonts w:ascii="Palatino Linotype" w:eastAsia="Palatino Linotype" w:hAnsi="Palatino Linotype" w:cs="Palatino Linotype"/>
          <w:i/>
          <w:iCs/>
          <w:color w:val="000000"/>
        </w:rPr>
        <w:t>Litis</w:t>
      </w:r>
      <w:r w:rsidRPr="005A369B">
        <w:rPr>
          <w:rFonts w:ascii="Palatino Linotype" w:eastAsia="Palatino Linotype" w:hAnsi="Palatino Linotype" w:cs="Palatino Linotype"/>
          <w:color w:val="000000"/>
        </w:rPr>
        <w:t xml:space="preserve"> del presente asunto, primeramente es menester precisar que del escrito de inconformidad, se observa que el particular se duele por la </w:t>
      </w:r>
      <w:r w:rsidR="00027B9C" w:rsidRPr="005A369B">
        <w:rPr>
          <w:rFonts w:ascii="Palatino Linotype" w:eastAsia="Palatino Linotype" w:hAnsi="Palatino Linotype" w:cs="Palatino Linotype"/>
          <w:color w:val="000000"/>
        </w:rPr>
        <w:t xml:space="preserve">falta de respuesta por parte del </w:t>
      </w:r>
      <w:r w:rsidR="00027B9C" w:rsidRPr="005A369B">
        <w:rPr>
          <w:rFonts w:ascii="Palatino Linotype" w:eastAsia="Palatino Linotype" w:hAnsi="Palatino Linotype" w:cs="Palatino Linotype"/>
          <w:b/>
          <w:color w:val="000000"/>
        </w:rPr>
        <w:t xml:space="preserve">SUJETO OBLIGADO, </w:t>
      </w:r>
      <w:r w:rsidR="00027B9C" w:rsidRPr="005A369B">
        <w:rPr>
          <w:rFonts w:ascii="Palatino Linotype" w:eastAsia="Palatino Linotype" w:hAnsi="Palatino Linotype" w:cs="Palatino Linotype"/>
          <w:color w:val="000000"/>
        </w:rPr>
        <w:t xml:space="preserve">situación por la cual se hace el siguiente análisis. </w:t>
      </w:r>
    </w:p>
    <w:p w:rsidR="00605057" w:rsidRPr="005A369B" w:rsidRDefault="00605057" w:rsidP="00605057">
      <w:pPr>
        <w:spacing w:line="360" w:lineRule="auto"/>
        <w:jc w:val="both"/>
        <w:rPr>
          <w:rFonts w:ascii="Palatino Linotype" w:eastAsia="Palatino Linotype" w:hAnsi="Palatino Linotype" w:cs="Palatino Linotype"/>
        </w:rPr>
      </w:pPr>
    </w:p>
    <w:p w:rsidR="0033574A" w:rsidRPr="005A369B" w:rsidRDefault="00605057" w:rsidP="0033574A">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5A369B">
        <w:rPr>
          <w:rFonts w:ascii="Palatino Linotype" w:eastAsia="Palatino Linotype" w:hAnsi="Palatino Linotype" w:cs="Palatino Linotype"/>
        </w:rPr>
        <w:t xml:space="preserve">En ese </w:t>
      </w:r>
      <w:r w:rsidRPr="005A369B">
        <w:rPr>
          <w:rFonts w:ascii="Palatino Linotype" w:eastAsia="Palatino Linotype" w:hAnsi="Palatino Linotype" w:cs="Palatino Linotype"/>
          <w:color w:val="000000"/>
        </w:rPr>
        <w:t>sentido</w:t>
      </w:r>
      <w:r w:rsidRPr="005A369B">
        <w:rPr>
          <w:rFonts w:ascii="Palatino Linotype" w:eastAsia="Palatino Linotype" w:hAnsi="Palatino Linotype" w:cs="Palatino Linotype"/>
        </w:rPr>
        <w:t xml:space="preserve">, es importante recordar la información que fue solicitada por el </w:t>
      </w:r>
      <w:r w:rsidRPr="005A369B">
        <w:rPr>
          <w:rFonts w:ascii="Palatino Linotype" w:eastAsia="Palatino Linotype" w:hAnsi="Palatino Linotype" w:cs="Palatino Linotype"/>
          <w:b/>
          <w:bCs/>
        </w:rPr>
        <w:t xml:space="preserve">RECURRENTE </w:t>
      </w:r>
      <w:r w:rsidR="0033574A" w:rsidRPr="005A369B">
        <w:rPr>
          <w:rFonts w:ascii="Palatino Linotype" w:eastAsia="Palatino Linotype" w:hAnsi="Palatino Linotype" w:cs="Palatino Linotype"/>
          <w:b/>
          <w:bCs/>
        </w:rPr>
        <w:t xml:space="preserve">y </w:t>
      </w:r>
      <w:r w:rsidR="0033574A" w:rsidRPr="005A369B">
        <w:rPr>
          <w:rFonts w:ascii="Palatino Linotype" w:eastAsia="Palatino Linotype" w:hAnsi="Palatino Linotype" w:cs="Palatino Linotype"/>
          <w:bCs/>
        </w:rPr>
        <w:t xml:space="preserve">su respuesta proporcionada en la etapa de manifestaciones. </w:t>
      </w:r>
    </w:p>
    <w:tbl>
      <w:tblPr>
        <w:tblStyle w:val="Tablaconcuadrcula"/>
        <w:tblW w:w="0" w:type="auto"/>
        <w:jc w:val="center"/>
        <w:tblLook w:val="04A0" w:firstRow="1" w:lastRow="0" w:firstColumn="1" w:lastColumn="0" w:noHBand="0" w:noVBand="1"/>
      </w:tblPr>
      <w:tblGrid>
        <w:gridCol w:w="2207"/>
        <w:gridCol w:w="2207"/>
        <w:gridCol w:w="2207"/>
        <w:gridCol w:w="2207"/>
      </w:tblGrid>
      <w:tr w:rsidR="0033574A" w:rsidRPr="005A369B" w:rsidTr="0033574A">
        <w:trPr>
          <w:jc w:val="center"/>
        </w:trPr>
        <w:tc>
          <w:tcPr>
            <w:tcW w:w="2207" w:type="dxa"/>
          </w:tcPr>
          <w:p w:rsidR="0033574A" w:rsidRPr="005A369B" w:rsidRDefault="0033574A" w:rsidP="0044093F">
            <w:pPr>
              <w:jc w:val="center"/>
              <w:rPr>
                <w:rFonts w:ascii="Palatino Linotype" w:hAnsi="Palatino Linotype" w:cs="Arial"/>
                <w:b/>
                <w:i/>
              </w:rPr>
            </w:pPr>
            <w:r w:rsidRPr="005A369B">
              <w:rPr>
                <w:rFonts w:ascii="Palatino Linotype" w:hAnsi="Palatino Linotype" w:cs="Arial"/>
                <w:b/>
                <w:i/>
              </w:rPr>
              <w:t>Información solicitada</w:t>
            </w:r>
          </w:p>
        </w:tc>
        <w:tc>
          <w:tcPr>
            <w:tcW w:w="2207" w:type="dxa"/>
          </w:tcPr>
          <w:p w:rsidR="0033574A" w:rsidRPr="005A369B" w:rsidRDefault="0033574A" w:rsidP="0044093F">
            <w:pPr>
              <w:jc w:val="center"/>
              <w:rPr>
                <w:rFonts w:ascii="Palatino Linotype" w:hAnsi="Palatino Linotype" w:cs="Arial"/>
                <w:b/>
                <w:i/>
              </w:rPr>
            </w:pPr>
            <w:r w:rsidRPr="005A369B">
              <w:rPr>
                <w:rFonts w:ascii="Palatino Linotype" w:hAnsi="Palatino Linotype" w:cs="Arial"/>
                <w:b/>
                <w:i/>
              </w:rPr>
              <w:t>Respuesta inicial</w:t>
            </w:r>
          </w:p>
        </w:tc>
        <w:tc>
          <w:tcPr>
            <w:tcW w:w="2207" w:type="dxa"/>
          </w:tcPr>
          <w:p w:rsidR="0033574A" w:rsidRPr="005A369B" w:rsidRDefault="0033574A" w:rsidP="0044093F">
            <w:pPr>
              <w:jc w:val="center"/>
              <w:rPr>
                <w:rFonts w:ascii="Palatino Linotype" w:hAnsi="Palatino Linotype" w:cs="Arial"/>
                <w:b/>
                <w:i/>
              </w:rPr>
            </w:pPr>
            <w:r w:rsidRPr="005A369B">
              <w:rPr>
                <w:rFonts w:ascii="Palatino Linotype" w:hAnsi="Palatino Linotype" w:cs="Arial"/>
                <w:b/>
                <w:i/>
              </w:rPr>
              <w:t>Manifestaciones</w:t>
            </w:r>
          </w:p>
        </w:tc>
        <w:tc>
          <w:tcPr>
            <w:tcW w:w="2207" w:type="dxa"/>
          </w:tcPr>
          <w:p w:rsidR="0033574A" w:rsidRPr="005A369B" w:rsidRDefault="0033574A" w:rsidP="0044093F">
            <w:pPr>
              <w:jc w:val="center"/>
              <w:rPr>
                <w:rFonts w:ascii="Palatino Linotype" w:hAnsi="Palatino Linotype" w:cs="Arial"/>
                <w:b/>
                <w:i/>
              </w:rPr>
            </w:pPr>
            <w:r w:rsidRPr="005A369B">
              <w:rPr>
                <w:rFonts w:ascii="Palatino Linotype" w:hAnsi="Palatino Linotype" w:cs="Arial"/>
                <w:b/>
                <w:i/>
              </w:rPr>
              <w:t>Colma</w:t>
            </w:r>
          </w:p>
        </w:tc>
      </w:tr>
      <w:tr w:rsidR="0033574A" w:rsidRPr="005A369B" w:rsidTr="0033574A">
        <w:trPr>
          <w:jc w:val="center"/>
        </w:trPr>
        <w:tc>
          <w:tcPr>
            <w:tcW w:w="2207" w:type="dxa"/>
          </w:tcPr>
          <w:p w:rsidR="0033574A" w:rsidRPr="005A369B" w:rsidRDefault="0033574A" w:rsidP="00DF1994">
            <w:pPr>
              <w:jc w:val="both"/>
              <w:rPr>
                <w:rFonts w:ascii="Palatino Linotype" w:hAnsi="Palatino Linotype" w:cs="Arial"/>
                <w:b/>
                <w:i/>
                <w:iCs/>
              </w:rPr>
            </w:pPr>
            <w:r w:rsidRPr="005A369B">
              <w:rPr>
                <w:rFonts w:ascii="Palatino Linotype" w:eastAsia="Palatino Linotype" w:hAnsi="Palatino Linotype" w:cs="Arial"/>
                <w:b/>
                <w:i/>
                <w:iCs/>
              </w:rPr>
              <w:t>1.- M</w:t>
            </w:r>
            <w:r w:rsidRPr="005A369B">
              <w:rPr>
                <w:rFonts w:ascii="Palatino Linotype" w:hAnsi="Palatino Linotype" w:cs="Arial"/>
                <w:b/>
                <w:i/>
                <w:iCs/>
              </w:rPr>
              <w:t xml:space="preserve">otivo por el cual se demolieron y reconstruyeron en febrero de 2025 los cabezales de los apoyos 2, 3 y 4 del paso inferior vehicular </w:t>
            </w:r>
            <w:r w:rsidRPr="005A369B">
              <w:rPr>
                <w:rFonts w:ascii="Palatino Linotype" w:eastAsia="Palatino Linotype" w:hAnsi="Palatino Linotype" w:cs="Arial"/>
                <w:b/>
                <w:i/>
                <w:iCs/>
              </w:rPr>
              <w:t>Tepotzotlán, ubicado sobre la carretera Mexico-Q</w:t>
            </w:r>
            <w:r w:rsidRPr="005A369B">
              <w:rPr>
                <w:rFonts w:ascii="Palatino Linotype" w:hAnsi="Palatino Linotype" w:cs="Arial"/>
                <w:b/>
                <w:i/>
                <w:iCs/>
              </w:rPr>
              <w:t xml:space="preserve">ueretaro. </w:t>
            </w:r>
          </w:p>
        </w:tc>
        <w:tc>
          <w:tcPr>
            <w:tcW w:w="2207" w:type="dxa"/>
          </w:tcPr>
          <w:p w:rsidR="0033574A" w:rsidRPr="005A369B" w:rsidRDefault="0033574A" w:rsidP="00DF1994">
            <w:pPr>
              <w:jc w:val="both"/>
              <w:rPr>
                <w:rFonts w:ascii="Palatino Linotype" w:hAnsi="Palatino Linotype" w:cs="Arial"/>
                <w:i/>
              </w:rPr>
            </w:pPr>
            <w:r w:rsidRPr="005A369B">
              <w:rPr>
                <w:rFonts w:ascii="Palatino Linotype" w:hAnsi="Palatino Linotype" w:cs="Arial"/>
                <w:i/>
              </w:rPr>
              <w:t>No hubo respuesta inicial</w:t>
            </w:r>
          </w:p>
        </w:tc>
        <w:tc>
          <w:tcPr>
            <w:tcW w:w="2207" w:type="dxa"/>
          </w:tcPr>
          <w:p w:rsidR="0033574A" w:rsidRPr="005A369B" w:rsidRDefault="0033574A" w:rsidP="00DF1994">
            <w:pPr>
              <w:ind w:right="-3"/>
              <w:jc w:val="both"/>
              <w:rPr>
                <w:rFonts w:ascii="Palatino Linotype" w:eastAsia="Palatino Linotype" w:hAnsi="Palatino Linotype" w:cs="Palatino Linotype"/>
                <w:bCs/>
                <w:i/>
                <w:iCs/>
                <w:color w:val="000000"/>
              </w:rPr>
            </w:pPr>
            <w:r w:rsidRPr="005A369B">
              <w:rPr>
                <w:rFonts w:ascii="Palatino Linotype" w:eastAsia="Palatino Linotype" w:hAnsi="Palatino Linotype" w:cs="Palatino Linotype"/>
                <w:b/>
                <w:bCs/>
                <w:i/>
                <w:iCs/>
                <w:color w:val="000000"/>
              </w:rPr>
              <w:t xml:space="preserve">DOP-2213-2025.pdf: </w:t>
            </w:r>
            <w:r w:rsidRPr="005A369B">
              <w:rPr>
                <w:rFonts w:ascii="Palatino Linotype" w:eastAsia="Palatino Linotype" w:hAnsi="Palatino Linotype" w:cs="Palatino Linotype"/>
                <w:bCs/>
                <w:i/>
                <w:iCs/>
                <w:color w:val="000000"/>
              </w:rPr>
              <w:t xml:space="preserve">oficio del Director de Obras Públicas, mediante el cual informa que después de una búsqueda exhaustiva y minuciosa no se encontró información con las referencias proporcionadas en la solicitud de información. </w:t>
            </w:r>
          </w:p>
        </w:tc>
        <w:tc>
          <w:tcPr>
            <w:tcW w:w="2207" w:type="dxa"/>
          </w:tcPr>
          <w:p w:rsidR="0033574A" w:rsidRPr="005A369B" w:rsidRDefault="0033574A" w:rsidP="00DF1994">
            <w:pPr>
              <w:jc w:val="both"/>
              <w:rPr>
                <w:rFonts w:ascii="Palatino Linotype" w:hAnsi="Palatino Linotype" w:cs="Arial"/>
                <w:b/>
                <w:i/>
              </w:rPr>
            </w:pPr>
            <w:r w:rsidRPr="005A369B">
              <w:rPr>
                <w:rFonts w:ascii="Palatino Linotype" w:hAnsi="Palatino Linotype" w:cs="Arial"/>
                <w:i/>
              </w:rPr>
              <w:t xml:space="preserve">Se tiene como derecho de petición, toda vez que el </w:t>
            </w:r>
            <w:r w:rsidRPr="005A369B">
              <w:rPr>
                <w:rFonts w:ascii="Palatino Linotype" w:hAnsi="Palatino Linotype" w:cs="Arial"/>
                <w:b/>
                <w:i/>
              </w:rPr>
              <w:t xml:space="preserve">RECURRENTE </w:t>
            </w:r>
            <w:r w:rsidRPr="005A369B">
              <w:rPr>
                <w:rFonts w:ascii="Palatino Linotype" w:hAnsi="Palatino Linotype" w:cs="Arial"/>
                <w:i/>
              </w:rPr>
              <w:t xml:space="preserve">pretende acceder a un motivo expuesto por los servidores públicos y no ha documentos generados o administrados por el </w:t>
            </w:r>
            <w:r w:rsidRPr="005A369B">
              <w:rPr>
                <w:rFonts w:ascii="Palatino Linotype" w:hAnsi="Palatino Linotype" w:cs="Arial"/>
                <w:b/>
                <w:i/>
              </w:rPr>
              <w:t xml:space="preserve">SUJETO OBLIGADO. </w:t>
            </w:r>
          </w:p>
        </w:tc>
      </w:tr>
      <w:tr w:rsidR="0033574A" w:rsidRPr="005A369B" w:rsidTr="0033574A">
        <w:trPr>
          <w:jc w:val="center"/>
        </w:trPr>
        <w:tc>
          <w:tcPr>
            <w:tcW w:w="2207" w:type="dxa"/>
          </w:tcPr>
          <w:p w:rsidR="0033574A" w:rsidRPr="005A369B" w:rsidRDefault="0033574A" w:rsidP="00DF1994">
            <w:pPr>
              <w:jc w:val="both"/>
              <w:rPr>
                <w:rFonts w:ascii="Palatino Linotype" w:hAnsi="Palatino Linotype" w:cs="Arial"/>
                <w:b/>
                <w:i/>
                <w:iCs/>
              </w:rPr>
            </w:pPr>
            <w:r w:rsidRPr="005A369B">
              <w:rPr>
                <w:rFonts w:ascii="Palatino Linotype" w:eastAsia="Palatino Linotype" w:hAnsi="Palatino Linotype" w:cs="Arial"/>
                <w:b/>
                <w:i/>
                <w:iCs/>
              </w:rPr>
              <w:t>2.- N</w:t>
            </w:r>
            <w:r w:rsidRPr="005A369B">
              <w:rPr>
                <w:rFonts w:ascii="Palatino Linotype" w:hAnsi="Palatino Linotype" w:cs="Arial"/>
                <w:b/>
                <w:i/>
                <w:iCs/>
              </w:rPr>
              <w:t xml:space="preserve">ombre de todas las empresas constructoras y supervisoras que han estado involucradas en </w:t>
            </w:r>
            <w:r w:rsidRPr="005A369B">
              <w:rPr>
                <w:rFonts w:ascii="Palatino Linotype" w:hAnsi="Palatino Linotype" w:cs="Arial"/>
                <w:b/>
                <w:i/>
                <w:iCs/>
              </w:rPr>
              <w:lastRenderedPageBreak/>
              <w:t xml:space="preserve">las diferentes etapas de construcción con sus </w:t>
            </w:r>
            <w:r w:rsidRPr="005A369B">
              <w:rPr>
                <w:rFonts w:ascii="Palatino Linotype" w:eastAsia="Palatino Linotype" w:hAnsi="Palatino Linotype" w:cs="Arial"/>
                <w:b/>
                <w:i/>
                <w:iCs/>
              </w:rPr>
              <w:t>números</w:t>
            </w:r>
            <w:r w:rsidRPr="005A369B">
              <w:rPr>
                <w:rFonts w:ascii="Palatino Linotype" w:hAnsi="Palatino Linotype" w:cs="Arial"/>
                <w:b/>
                <w:i/>
                <w:iCs/>
              </w:rPr>
              <w:t xml:space="preserve"> de contrato, periodos de </w:t>
            </w:r>
            <w:r w:rsidRPr="005A369B">
              <w:rPr>
                <w:rFonts w:ascii="Palatino Linotype" w:eastAsia="Palatino Linotype" w:hAnsi="Palatino Linotype" w:cs="Arial"/>
                <w:b/>
                <w:i/>
                <w:iCs/>
              </w:rPr>
              <w:t>ejecución</w:t>
            </w:r>
            <w:r w:rsidRPr="005A369B">
              <w:rPr>
                <w:rFonts w:ascii="Palatino Linotype" w:hAnsi="Palatino Linotype" w:cs="Arial"/>
                <w:b/>
                <w:i/>
                <w:iCs/>
              </w:rPr>
              <w:t xml:space="preserve">, montos de contrato, objetos del contrato, </w:t>
            </w:r>
            <w:r w:rsidRPr="005A369B">
              <w:rPr>
                <w:rFonts w:ascii="Palatino Linotype" w:eastAsia="Palatino Linotype" w:hAnsi="Palatino Linotype" w:cs="Arial"/>
                <w:b/>
                <w:i/>
                <w:iCs/>
              </w:rPr>
              <w:t>así</w:t>
            </w:r>
            <w:r w:rsidRPr="005A369B">
              <w:rPr>
                <w:rFonts w:ascii="Palatino Linotype" w:hAnsi="Palatino Linotype" w:cs="Arial"/>
                <w:b/>
                <w:i/>
                <w:iCs/>
              </w:rPr>
              <w:t xml:space="preserve"> como, sus convenios con montos, plazos y </w:t>
            </w:r>
            <w:r w:rsidRPr="005A369B">
              <w:rPr>
                <w:rFonts w:ascii="Palatino Linotype" w:eastAsia="Palatino Linotype" w:hAnsi="Palatino Linotype" w:cs="Arial"/>
                <w:b/>
                <w:i/>
                <w:iCs/>
              </w:rPr>
              <w:t>números</w:t>
            </w:r>
            <w:r w:rsidRPr="005A369B">
              <w:rPr>
                <w:rFonts w:ascii="Palatino Linotype" w:hAnsi="Palatino Linotype" w:cs="Arial"/>
                <w:b/>
                <w:i/>
                <w:iCs/>
              </w:rPr>
              <w:t xml:space="preserve"> de convenio.</w:t>
            </w:r>
          </w:p>
        </w:tc>
        <w:tc>
          <w:tcPr>
            <w:tcW w:w="2207" w:type="dxa"/>
          </w:tcPr>
          <w:p w:rsidR="0033574A" w:rsidRPr="005A369B" w:rsidRDefault="0033574A" w:rsidP="00DF1994">
            <w:pPr>
              <w:jc w:val="both"/>
              <w:rPr>
                <w:rFonts w:ascii="Palatino Linotype" w:hAnsi="Palatino Linotype" w:cs="Arial"/>
                <w:i/>
              </w:rPr>
            </w:pPr>
            <w:r w:rsidRPr="005A369B">
              <w:rPr>
                <w:rFonts w:ascii="Palatino Linotype" w:hAnsi="Palatino Linotype" w:cs="Arial"/>
                <w:i/>
              </w:rPr>
              <w:lastRenderedPageBreak/>
              <w:t>No hubo respuesta inicial</w:t>
            </w:r>
          </w:p>
        </w:tc>
        <w:tc>
          <w:tcPr>
            <w:tcW w:w="2207" w:type="dxa"/>
          </w:tcPr>
          <w:p w:rsidR="0033574A" w:rsidRPr="005A369B" w:rsidRDefault="0033574A" w:rsidP="00DF1994">
            <w:pPr>
              <w:jc w:val="both"/>
              <w:rPr>
                <w:rFonts w:ascii="Palatino Linotype" w:eastAsia="Palatino Linotype" w:hAnsi="Palatino Linotype" w:cs="Palatino Linotype"/>
                <w:bCs/>
                <w:i/>
                <w:iCs/>
                <w:color w:val="000000"/>
              </w:rPr>
            </w:pPr>
            <w:r w:rsidRPr="005A369B">
              <w:rPr>
                <w:rFonts w:ascii="Palatino Linotype" w:eastAsia="Palatino Linotype" w:hAnsi="Palatino Linotype" w:cs="Palatino Linotype"/>
                <w:b/>
                <w:bCs/>
                <w:i/>
                <w:iCs/>
                <w:color w:val="000000"/>
              </w:rPr>
              <w:t xml:space="preserve">DOP-2213-2025.pdf: </w:t>
            </w:r>
            <w:r w:rsidRPr="005A369B">
              <w:rPr>
                <w:rFonts w:ascii="Palatino Linotype" w:eastAsia="Palatino Linotype" w:hAnsi="Palatino Linotype" w:cs="Palatino Linotype"/>
                <w:bCs/>
                <w:i/>
                <w:iCs/>
                <w:color w:val="000000"/>
              </w:rPr>
              <w:t xml:space="preserve">oficio del Director de Obras Públicas, mediante el cual informa que después de una búsqueda exhaustiva </w:t>
            </w:r>
            <w:r w:rsidRPr="005A369B">
              <w:rPr>
                <w:rFonts w:ascii="Palatino Linotype" w:eastAsia="Palatino Linotype" w:hAnsi="Palatino Linotype" w:cs="Palatino Linotype"/>
                <w:bCs/>
                <w:i/>
                <w:iCs/>
                <w:color w:val="000000"/>
              </w:rPr>
              <w:lastRenderedPageBreak/>
              <w:t xml:space="preserve">y minuciosa no se encontró información con las referencias proporcionadas en la solicitud de información. </w:t>
            </w:r>
          </w:p>
          <w:p w:rsidR="0033574A" w:rsidRPr="005A369B" w:rsidRDefault="0033574A" w:rsidP="00DF1994">
            <w:pPr>
              <w:jc w:val="both"/>
              <w:rPr>
                <w:rFonts w:ascii="Palatino Linotype" w:hAnsi="Palatino Linotype" w:cs="Arial"/>
                <w:i/>
              </w:rPr>
            </w:pPr>
          </w:p>
        </w:tc>
        <w:tc>
          <w:tcPr>
            <w:tcW w:w="2207" w:type="dxa"/>
          </w:tcPr>
          <w:p w:rsidR="0033574A" w:rsidRPr="005A369B" w:rsidRDefault="0033574A" w:rsidP="00DF1994">
            <w:pPr>
              <w:jc w:val="both"/>
              <w:rPr>
                <w:rFonts w:ascii="Palatino Linotype" w:hAnsi="Palatino Linotype" w:cs="Arial"/>
                <w:i/>
              </w:rPr>
            </w:pPr>
            <w:r w:rsidRPr="005A369B">
              <w:rPr>
                <w:rFonts w:ascii="Palatino Linotype" w:hAnsi="Palatino Linotype" w:cs="Arial"/>
                <w:i/>
              </w:rPr>
              <w:lastRenderedPageBreak/>
              <w:t xml:space="preserve">No colma, toda vez que la obra referida en la solicitud de información si existe. </w:t>
            </w:r>
          </w:p>
        </w:tc>
      </w:tr>
    </w:tbl>
    <w:p w:rsidR="0033574A" w:rsidRPr="005A369B" w:rsidRDefault="0033574A" w:rsidP="0033574A">
      <w:pPr>
        <w:pBdr>
          <w:top w:val="nil"/>
          <w:left w:val="nil"/>
          <w:bottom w:val="nil"/>
          <w:right w:val="nil"/>
          <w:between w:val="nil"/>
        </w:pBdr>
        <w:ind w:right="1843"/>
        <w:jc w:val="both"/>
        <w:rPr>
          <w:rFonts w:ascii="Palatino Linotype" w:eastAsia="Palatino Linotype" w:hAnsi="Palatino Linotype" w:cs="Palatino Linotype"/>
        </w:rPr>
      </w:pPr>
    </w:p>
    <w:p w:rsidR="00605057" w:rsidRPr="005A369B" w:rsidRDefault="00605057" w:rsidP="0033574A">
      <w:pPr>
        <w:pBdr>
          <w:top w:val="nil"/>
          <w:left w:val="nil"/>
          <w:bottom w:val="nil"/>
          <w:right w:val="nil"/>
          <w:between w:val="nil"/>
        </w:pBdr>
        <w:rPr>
          <w:rFonts w:ascii="Palatino Linotype" w:eastAsia="Palatino Linotype" w:hAnsi="Palatino Linotype" w:cs="Palatino Linotype"/>
          <w:color w:val="000000"/>
        </w:rPr>
      </w:pPr>
    </w:p>
    <w:p w:rsidR="0033574A" w:rsidRPr="005A369B" w:rsidRDefault="0033574A" w:rsidP="0056322A">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5A369B">
        <w:rPr>
          <w:rFonts w:ascii="Palatino Linotype" w:eastAsia="Palatino Linotype" w:hAnsi="Palatino Linotype" w:cs="Palatino Linotype"/>
          <w:color w:val="000000"/>
        </w:rPr>
        <w:t xml:space="preserve">De lo anterior, se tiene que el </w:t>
      </w:r>
      <w:r w:rsidRPr="005A369B">
        <w:rPr>
          <w:rFonts w:ascii="Palatino Linotype" w:eastAsia="Palatino Linotype" w:hAnsi="Palatino Linotype" w:cs="Palatino Linotype"/>
          <w:b/>
          <w:color w:val="000000"/>
        </w:rPr>
        <w:t xml:space="preserve">SUJETO OBLIGADO </w:t>
      </w:r>
      <w:r w:rsidRPr="005A369B">
        <w:rPr>
          <w:rFonts w:ascii="Palatino Linotype" w:eastAsia="Palatino Linotype" w:hAnsi="Palatino Linotype" w:cs="Palatino Linotype"/>
          <w:color w:val="000000"/>
        </w:rPr>
        <w:t xml:space="preserve">no colmo el derecho de acceso a la información del </w:t>
      </w:r>
      <w:r w:rsidRPr="005A369B">
        <w:rPr>
          <w:rFonts w:ascii="Palatino Linotype" w:eastAsia="Palatino Linotype" w:hAnsi="Palatino Linotype" w:cs="Palatino Linotype"/>
          <w:b/>
          <w:color w:val="000000"/>
        </w:rPr>
        <w:t xml:space="preserve">RECURRENTE, </w:t>
      </w:r>
      <w:r w:rsidRPr="005A369B">
        <w:rPr>
          <w:rFonts w:ascii="Palatino Linotype" w:eastAsia="Palatino Linotype" w:hAnsi="Palatino Linotype" w:cs="Palatino Linotype"/>
          <w:color w:val="000000"/>
        </w:rPr>
        <w:t xml:space="preserve">situación por la cual se hace el siguiente análisis. </w:t>
      </w:r>
    </w:p>
    <w:p w:rsidR="0033574A" w:rsidRPr="005A369B" w:rsidRDefault="0033574A" w:rsidP="0033574A">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A57745" w:rsidRPr="005A369B" w:rsidRDefault="00F853F3" w:rsidP="0056322A">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5A369B">
        <w:rPr>
          <w:rFonts w:ascii="Palatino Linotype" w:eastAsia="Palatino Linotype" w:hAnsi="Palatino Linotype" w:cs="Palatino Linotype"/>
          <w:color w:val="000000"/>
        </w:rPr>
        <w:t>En cuanto al punto número uno de la solicitud de información consistente en “</w:t>
      </w:r>
      <w:r w:rsidRPr="005A369B">
        <w:rPr>
          <w:rFonts w:ascii="Palatino Linotype" w:eastAsia="Palatino Linotype" w:hAnsi="Palatino Linotype" w:cs="Arial"/>
          <w:b/>
          <w:i/>
          <w:iCs/>
        </w:rPr>
        <w:t>M</w:t>
      </w:r>
      <w:r w:rsidRPr="005A369B">
        <w:rPr>
          <w:rFonts w:ascii="Palatino Linotype" w:hAnsi="Palatino Linotype" w:cs="Arial"/>
          <w:b/>
          <w:i/>
          <w:iCs/>
        </w:rPr>
        <w:t xml:space="preserve">otivo por el cual se demolieron y reconstruyeron en febrero de 2025 los cabezales de los apoyos 2, 3 y 4 del paso inferior vehicular </w:t>
      </w:r>
      <w:r w:rsidRPr="005A369B">
        <w:rPr>
          <w:rFonts w:ascii="Palatino Linotype" w:eastAsia="Palatino Linotype" w:hAnsi="Palatino Linotype" w:cs="Arial"/>
          <w:b/>
          <w:i/>
          <w:iCs/>
        </w:rPr>
        <w:t>Tepotzotlán, ubicado sobre la carretera Mexico-Q</w:t>
      </w:r>
      <w:r w:rsidRPr="005A369B">
        <w:rPr>
          <w:rFonts w:ascii="Palatino Linotype" w:hAnsi="Palatino Linotype" w:cs="Arial"/>
          <w:b/>
          <w:i/>
          <w:iCs/>
        </w:rPr>
        <w:t xml:space="preserve">ueretaro.”, </w:t>
      </w:r>
      <w:r w:rsidRPr="005A369B">
        <w:rPr>
          <w:rFonts w:ascii="Palatino Linotype" w:hAnsi="Palatino Linotype" w:cs="Arial"/>
          <w:iCs/>
        </w:rPr>
        <w:t xml:space="preserve">se debe de precisar que es considerado un derecho de petición y no un derecho de acceso a la información pública, situación por la cual se analiza lo siguiente. </w:t>
      </w:r>
    </w:p>
    <w:p w:rsidR="00F853F3" w:rsidRPr="005A369B" w:rsidRDefault="00F853F3" w:rsidP="00F853F3">
      <w:pPr>
        <w:pStyle w:val="Prrafodelista"/>
        <w:rPr>
          <w:rFonts w:ascii="Palatino Linotype" w:eastAsia="Palatino Linotype" w:hAnsi="Palatino Linotype" w:cs="Palatino Linotype"/>
          <w:color w:val="000000"/>
        </w:rPr>
      </w:pPr>
    </w:p>
    <w:p w:rsidR="00DF1994" w:rsidRPr="005A369B" w:rsidRDefault="00DF1994" w:rsidP="00DF1994">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lang w:val="es-ES"/>
        </w:rPr>
      </w:pPr>
      <w:r w:rsidRPr="005A369B">
        <w:rPr>
          <w:rFonts w:ascii="Palatino Linotype" w:eastAsia="Palatino Linotype" w:hAnsi="Palatino Linotype" w:cs="Palatino Linotype"/>
          <w:color w:val="000000"/>
          <w:lang w:val="es-ES"/>
        </w:rPr>
        <w:t>En ese sentido, es importante diferenciar lo que se entiende por derecho de petición y por derecho de acceso a la información pública.</w:t>
      </w:r>
    </w:p>
    <w:p w:rsidR="0044093F" w:rsidRDefault="0044093F" w:rsidP="00DF1994">
      <w:pPr>
        <w:spacing w:before="240" w:after="240" w:line="360" w:lineRule="auto"/>
        <w:ind w:right="-91"/>
        <w:jc w:val="both"/>
        <w:rPr>
          <w:rFonts w:ascii="Palatino Linotype" w:eastAsia="Palatino Linotype" w:hAnsi="Palatino Linotype" w:cs="Palatino Linotype"/>
          <w:b/>
          <w:lang w:val="es-ES"/>
        </w:rPr>
      </w:pPr>
    </w:p>
    <w:p w:rsidR="00DF1994" w:rsidRPr="005A369B" w:rsidRDefault="00DF1994" w:rsidP="00DF1994">
      <w:pPr>
        <w:spacing w:before="240" w:after="240" w:line="360" w:lineRule="auto"/>
        <w:ind w:right="-91"/>
        <w:jc w:val="both"/>
        <w:rPr>
          <w:rFonts w:ascii="Palatino Linotype" w:eastAsia="Palatino Linotype" w:hAnsi="Palatino Linotype" w:cs="Palatino Linotype"/>
          <w:b/>
          <w:lang w:val="es-ES"/>
        </w:rPr>
      </w:pPr>
      <w:r w:rsidRPr="005A369B">
        <w:rPr>
          <w:rFonts w:ascii="Palatino Linotype" w:eastAsia="Palatino Linotype" w:hAnsi="Palatino Linotype" w:cs="Palatino Linotype"/>
          <w:b/>
          <w:lang w:val="es-ES"/>
        </w:rPr>
        <w:lastRenderedPageBreak/>
        <w:t>Derecho de Petición:</w:t>
      </w:r>
    </w:p>
    <w:p w:rsidR="00DF1994" w:rsidRPr="005A369B" w:rsidRDefault="00DF1994" w:rsidP="005A369B">
      <w:pPr>
        <w:spacing w:before="240" w:after="240"/>
        <w:ind w:left="1134" w:right="1843"/>
        <w:jc w:val="both"/>
        <w:rPr>
          <w:rFonts w:ascii="Palatino Linotype" w:eastAsia="Palatino Linotype" w:hAnsi="Palatino Linotype" w:cs="Palatino Linotype"/>
          <w:lang w:val="es-ES"/>
        </w:rPr>
      </w:pPr>
      <w:r w:rsidRPr="005A369B">
        <w:rPr>
          <w:rFonts w:ascii="Palatino Linotype" w:eastAsia="Palatino Linotype" w:hAnsi="Palatino Linotype" w:cs="Palatino Linotype"/>
          <w:lang w:val="es-ES"/>
        </w:rPr>
        <w:t>El Doctor Ignacio Burgoa Orihuela refiere que derecho de petición: "...</w:t>
      </w:r>
      <w:r w:rsidRPr="005A369B">
        <w:rPr>
          <w:rFonts w:ascii="Palatino Linotype" w:eastAsia="Palatino Linotype" w:hAnsi="Palatino Linotype" w:cs="Palatino Linotype"/>
          <w:i/>
          <w:lang w:val="es-ES"/>
        </w:rPr>
        <w:t>es un Derecho Público subjetivo individual de la Garantía Respectiva Consagrada en al Artículo 8 de la Ley Fundamental. En tal virtud, la persona tiene la facultad de acudir a cualquier autoridad, formulando una solicitud o instancia escrito de cualquier índole, la cual adopta, especialmente, el carácter de simple petición administrativa, acción o recurso, etc.</w:t>
      </w:r>
      <w:r w:rsidRPr="005A369B">
        <w:rPr>
          <w:rFonts w:ascii="Palatino Linotype" w:eastAsia="Palatino Linotype" w:hAnsi="Palatino Linotype" w:cs="Palatino Linotype"/>
          <w:lang w:val="es-ES"/>
        </w:rPr>
        <w:t>"</w:t>
      </w:r>
      <w:r w:rsidRPr="005A369B">
        <w:rPr>
          <w:rFonts w:ascii="Palatino Linotype" w:eastAsia="Palatino Linotype" w:hAnsi="Palatino Linotype" w:cs="Palatino Linotype"/>
          <w:vertAlign w:val="superscript"/>
          <w:lang w:val="es-ES"/>
        </w:rPr>
        <w:footnoteReference w:id="5"/>
      </w:r>
      <w:r w:rsidRPr="005A369B">
        <w:rPr>
          <w:rFonts w:ascii="Palatino Linotype" w:eastAsia="Palatino Linotype" w:hAnsi="Palatino Linotype" w:cs="Palatino Linotype"/>
          <w:lang w:val="es-ES"/>
        </w:rPr>
        <w:t>(Sic)</w:t>
      </w:r>
    </w:p>
    <w:p w:rsidR="00DF1994" w:rsidRPr="005A369B" w:rsidRDefault="00DF1994" w:rsidP="005A369B">
      <w:pPr>
        <w:pBdr>
          <w:top w:val="nil"/>
          <w:left w:val="nil"/>
          <w:bottom w:val="nil"/>
          <w:right w:val="nil"/>
          <w:between w:val="nil"/>
        </w:pBdr>
        <w:spacing w:before="240" w:after="360"/>
        <w:ind w:left="1134" w:right="1843"/>
        <w:jc w:val="both"/>
        <w:rPr>
          <w:rFonts w:ascii="Palatino Linotype" w:eastAsia="Palatino Linotype" w:hAnsi="Palatino Linotype" w:cs="Palatino Linotype"/>
          <w:i/>
          <w:color w:val="000000"/>
          <w:lang w:val="es-ES"/>
        </w:rPr>
      </w:pPr>
      <w:r w:rsidRPr="005A369B">
        <w:rPr>
          <w:rFonts w:ascii="Palatino Linotype" w:eastAsia="Palatino Linotype" w:hAnsi="Palatino Linotype" w:cs="Palatino Linotype"/>
          <w:color w:val="000000"/>
          <w:lang w:val="es-ES"/>
        </w:rPr>
        <w:t xml:space="preserve">Por su parte, David Cienfuegos Salgado, concibe al derecho de petición como </w:t>
      </w:r>
      <w:r w:rsidRPr="005A369B">
        <w:rPr>
          <w:rFonts w:ascii="Palatino Linotype" w:eastAsia="Palatino Linotype" w:hAnsi="Palatino Linotype" w:cs="Palatino Linotype"/>
          <w:i/>
          <w:color w:val="000000"/>
          <w:lang w:val="es-ES"/>
        </w:rPr>
        <w:t>“el derecho de toda persona a ser escuchado por quienes ejercen el poder público.</w:t>
      </w:r>
      <w:r w:rsidRPr="005A369B">
        <w:rPr>
          <w:rFonts w:ascii="Palatino Linotype" w:eastAsia="Palatino Linotype" w:hAnsi="Palatino Linotype" w:cs="Palatino Linotype"/>
          <w:i/>
          <w:color w:val="000000"/>
          <w:vertAlign w:val="superscript"/>
          <w:lang w:val="es-ES"/>
        </w:rPr>
        <w:t xml:space="preserve"> </w:t>
      </w:r>
      <w:r w:rsidRPr="005A369B">
        <w:rPr>
          <w:rFonts w:ascii="Palatino Linotype" w:eastAsia="Palatino Linotype" w:hAnsi="Palatino Linotype" w:cs="Palatino Linotype"/>
          <w:i/>
          <w:color w:val="000000"/>
          <w:vertAlign w:val="superscript"/>
          <w:lang w:val="es-ES"/>
        </w:rPr>
        <w:footnoteReference w:id="6"/>
      </w:r>
      <w:r w:rsidRPr="005A369B">
        <w:rPr>
          <w:rFonts w:ascii="Palatino Linotype" w:eastAsia="Palatino Linotype" w:hAnsi="Palatino Linotype" w:cs="Palatino Linotype"/>
          <w:i/>
          <w:color w:val="000000"/>
          <w:lang w:val="es-ES"/>
        </w:rPr>
        <w:t xml:space="preserve">” (Sic) </w:t>
      </w:r>
    </w:p>
    <w:p w:rsidR="00DF1994" w:rsidRPr="005A369B" w:rsidRDefault="00DF1994" w:rsidP="00DF1994">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lang w:val="es-ES"/>
        </w:rPr>
      </w:pPr>
      <w:r w:rsidRPr="005A369B">
        <w:rPr>
          <w:rFonts w:ascii="Palatino Linotype" w:eastAsia="Palatino Linotype" w:hAnsi="Palatino Linotype" w:cs="Palatino Linotype"/>
          <w:color w:val="000000"/>
          <w:lang w:val="es-ES"/>
        </w:rPr>
        <w:t>De la misma manera, Migue Carbonell en su libro “Los derechos fundamentales” refiere que el derecho de petición se ha entendido de dos distintitas maneras, a saber: como un derecho fundamental de participación política ya que permite a los particulares trasladar a las autoridades sus inquietudes, quejas, sugerencias y requerimientos en cualquier materia o asunto; y como una forma específica de la libertad de expresión, en tanto que permite expresarse frente a las autoridades. De igual manera que el derecho de petición se traduce en la obligación de todos los funcionarios y autoridades de permitir a los ciudadanos de dirigirse a ellos en demanda de lo que deseen expresar o solicitar y responder de dicha demanda por escrito, de forma congruente y en un plazo breve.</w:t>
      </w:r>
      <w:r w:rsidRPr="005A369B">
        <w:rPr>
          <w:rFonts w:ascii="Palatino Linotype" w:eastAsia="Palatino Linotype" w:hAnsi="Palatino Linotype" w:cs="Palatino Linotype"/>
          <w:color w:val="000000"/>
          <w:lang w:val="es-ES"/>
        </w:rPr>
        <w:footnoteReference w:id="7"/>
      </w:r>
    </w:p>
    <w:p w:rsidR="00DF1994" w:rsidRPr="005A369B" w:rsidRDefault="00DF1994" w:rsidP="00DF1994">
      <w:pPr>
        <w:spacing w:line="360" w:lineRule="auto"/>
        <w:ind w:right="-91"/>
        <w:jc w:val="both"/>
        <w:rPr>
          <w:rFonts w:ascii="Palatino Linotype" w:eastAsia="Palatino Linotype" w:hAnsi="Palatino Linotype" w:cs="Palatino Linotype"/>
          <w:b/>
          <w:lang w:val="es-ES"/>
        </w:rPr>
      </w:pPr>
    </w:p>
    <w:p w:rsidR="00DF1994" w:rsidRPr="005A369B" w:rsidRDefault="00DF1994" w:rsidP="00DF1994">
      <w:pPr>
        <w:spacing w:line="360" w:lineRule="auto"/>
        <w:ind w:right="-91"/>
        <w:jc w:val="both"/>
        <w:rPr>
          <w:rFonts w:ascii="Palatino Linotype" w:eastAsia="Palatino Linotype" w:hAnsi="Palatino Linotype" w:cs="Palatino Linotype"/>
          <w:b/>
          <w:lang w:val="es-ES"/>
        </w:rPr>
      </w:pPr>
      <w:r w:rsidRPr="005A369B">
        <w:rPr>
          <w:rFonts w:ascii="Palatino Linotype" w:eastAsia="Palatino Linotype" w:hAnsi="Palatino Linotype" w:cs="Palatino Linotype"/>
          <w:b/>
          <w:lang w:val="es-ES"/>
        </w:rPr>
        <w:lastRenderedPageBreak/>
        <w:t>Derecho de Acceso a la Información Pública:</w:t>
      </w:r>
    </w:p>
    <w:p w:rsidR="00DF1994" w:rsidRPr="005A369B" w:rsidRDefault="00DF1994" w:rsidP="00DF1994">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lang w:val="es-ES"/>
        </w:rPr>
      </w:pPr>
      <w:r w:rsidRPr="005A369B">
        <w:rPr>
          <w:rFonts w:ascii="Palatino Linotype" w:eastAsia="Palatino Linotype" w:hAnsi="Palatino Linotype" w:cs="Palatino Linotype"/>
          <w:color w:val="000000"/>
          <w:lang w:val="es-ES"/>
        </w:rPr>
        <w:t>Asimismo, el autor anteriormente citado, indica que el derecho de acceso a la información pública es el derecho de conocer la información de carácter público que se genera o está en posesión de los órganos del poder público o de los sujetos que utilizan o se benefician con recursos provenientes del Estado, es el derecho que tienen los ciudadanos para acceder a documentos y datos que obren en el poder del gobierno.</w:t>
      </w:r>
    </w:p>
    <w:p w:rsidR="00DF1994" w:rsidRPr="005A369B" w:rsidRDefault="00DF1994" w:rsidP="00DF1994">
      <w:pPr>
        <w:spacing w:line="360" w:lineRule="auto"/>
        <w:contextualSpacing/>
        <w:jc w:val="both"/>
        <w:rPr>
          <w:rFonts w:ascii="Palatino Linotype" w:eastAsia="Palatino Linotype" w:hAnsi="Palatino Linotype" w:cs="Palatino Linotype"/>
          <w:color w:val="000000"/>
          <w:lang w:val="es-ES"/>
        </w:rPr>
      </w:pPr>
    </w:p>
    <w:p w:rsidR="00DF1994" w:rsidRPr="005A369B" w:rsidRDefault="00DF1994" w:rsidP="00DF1994">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lang w:val="es-ES"/>
        </w:rPr>
      </w:pPr>
      <w:r w:rsidRPr="005A369B">
        <w:rPr>
          <w:rFonts w:ascii="Palatino Linotype" w:hAnsi="Palatino Linotype" w:cs="Arial"/>
        </w:rPr>
        <w:t>Por</w:t>
      </w:r>
      <w:r w:rsidRPr="005A369B">
        <w:rPr>
          <w:rFonts w:ascii="Palatino Linotype" w:eastAsia="Palatino Linotype" w:hAnsi="Palatino Linotype" w:cs="Palatino Linotype"/>
          <w:color w:val="000000"/>
          <w:lang w:val="es-ES"/>
        </w:rPr>
        <w:t xml:space="preserve"> su parte Ernesto Villanueva define al derecho de acceso a la información pública como la prerrogativa de la persona para acceder a datos, registros y todo tipo de informaciones en poder de las entidades públicas y empresas privadas que ejercen gasto público o cumplen funciones de autoridad, con las excepciones taxativas que establezca la ley en una sociedad democrática.</w:t>
      </w:r>
      <w:r w:rsidRPr="005A369B">
        <w:rPr>
          <w:rFonts w:ascii="Palatino Linotype" w:eastAsia="Palatino Linotype" w:hAnsi="Palatino Linotype" w:cs="Palatino Linotype"/>
          <w:color w:val="000000"/>
          <w:lang w:val="es-ES"/>
        </w:rPr>
        <w:footnoteReference w:id="8"/>
      </w:r>
    </w:p>
    <w:p w:rsidR="00DF1994" w:rsidRPr="005A369B" w:rsidRDefault="00DF1994" w:rsidP="00DF1994">
      <w:pPr>
        <w:spacing w:line="360" w:lineRule="auto"/>
        <w:contextualSpacing/>
        <w:jc w:val="both"/>
        <w:rPr>
          <w:rFonts w:ascii="Palatino Linotype" w:eastAsia="Palatino Linotype" w:hAnsi="Palatino Linotype" w:cs="Palatino Linotype"/>
          <w:color w:val="000000"/>
          <w:lang w:val="es-ES"/>
        </w:rPr>
      </w:pPr>
    </w:p>
    <w:p w:rsidR="00DF1994" w:rsidRPr="005A369B" w:rsidRDefault="00DF1994" w:rsidP="00DF1994">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lang w:val="es-ES"/>
        </w:rPr>
      </w:pPr>
      <w:r w:rsidRPr="005A369B">
        <w:rPr>
          <w:rFonts w:ascii="Palatino Linotype" w:hAnsi="Palatino Linotype" w:cs="Arial"/>
        </w:rPr>
        <w:t>Del</w:t>
      </w:r>
      <w:r w:rsidRPr="005A369B">
        <w:rPr>
          <w:rFonts w:ascii="Palatino Linotype" w:eastAsia="Palatino Linotype" w:hAnsi="Palatino Linotype" w:cs="Palatino Linotype"/>
          <w:color w:val="000000"/>
          <w:lang w:val="es-ES"/>
        </w:rPr>
        <w:t xml:space="preserve"> mismo modo, para diferenciar el derecho de petición del derecho de acceso a la información pública, resulta conveniente citar a José Guadalupe Robles, quien conceptualiza el derecho a la información como "un derecho fundamental tanto de carácter individual como colectivo, cuyas limitaciones deben estar establecidas en la ley, así corno una garantía de que la información sea tramitada con claridad y objetividad, por cuanto a que es un ben jurídico que coadyuva al desarrollo de las personas y a la formación de opinión pública de calidad para poder participar y luego influir en la vida pública.”</w:t>
      </w:r>
      <w:r w:rsidRPr="005A369B">
        <w:rPr>
          <w:rFonts w:ascii="Palatino Linotype" w:eastAsia="Palatino Linotype" w:hAnsi="Palatino Linotype" w:cs="Palatino Linotype"/>
          <w:color w:val="000000"/>
          <w:lang w:val="es-ES"/>
        </w:rPr>
        <w:footnoteReference w:id="9"/>
      </w:r>
    </w:p>
    <w:p w:rsidR="00DF1994" w:rsidRPr="005A369B" w:rsidRDefault="00DF1994" w:rsidP="00DF1994">
      <w:pPr>
        <w:spacing w:line="360" w:lineRule="auto"/>
        <w:contextualSpacing/>
        <w:jc w:val="both"/>
        <w:rPr>
          <w:rFonts w:ascii="Palatino Linotype" w:eastAsia="Palatino Linotype" w:hAnsi="Palatino Linotype" w:cs="Palatino Linotype"/>
          <w:color w:val="000000"/>
          <w:lang w:val="es-ES"/>
        </w:rPr>
      </w:pPr>
    </w:p>
    <w:p w:rsidR="00DF1994" w:rsidRPr="005A369B" w:rsidRDefault="00DF1994" w:rsidP="00DF1994">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lang w:val="es-ES"/>
        </w:rPr>
      </w:pPr>
      <w:r w:rsidRPr="005A369B">
        <w:rPr>
          <w:rFonts w:ascii="Palatino Linotype" w:eastAsia="Palatino Linotype" w:hAnsi="Palatino Linotype" w:cs="Palatino Linotype"/>
          <w:color w:val="000000"/>
          <w:lang w:val="es-ES"/>
        </w:rPr>
        <w:lastRenderedPageBreak/>
        <w:t>De ahí que, para entender los alcances de la información pública se considera importante citar el criterio de interpretación en el orden administrativo número 0002-11, emitido por Acuerdo del Pleno de este Instituto de Transparencia y Acceso a la Información Pública del Estado de México y Municipios, publicado en el Periódico Oficial del Gobierno del Estado Libre y Soberano de México “Gaceta del Gobierno” el diecinueve de octubre de dos mil once, cuyo rubro y texto dispone:</w:t>
      </w:r>
    </w:p>
    <w:p w:rsidR="00DF1994" w:rsidRPr="005A369B" w:rsidRDefault="00DF1994" w:rsidP="005A369B">
      <w:pPr>
        <w:ind w:left="1134" w:right="1843"/>
        <w:jc w:val="both"/>
        <w:rPr>
          <w:rFonts w:ascii="Palatino Linotype" w:eastAsia="Palatino Linotype" w:hAnsi="Palatino Linotype" w:cs="Palatino Linotype"/>
          <w:b/>
          <w:i/>
          <w:lang w:val="es-ES"/>
        </w:rPr>
      </w:pPr>
      <w:r w:rsidRPr="005A369B">
        <w:rPr>
          <w:rFonts w:ascii="Palatino Linotype" w:eastAsia="Palatino Linotype" w:hAnsi="Palatino Linotype" w:cs="Palatino Linotype"/>
          <w:b/>
          <w:i/>
          <w:lang w:val="es-ES"/>
        </w:rPr>
        <w:t>“CRITERIO 0002-11</w:t>
      </w:r>
    </w:p>
    <w:p w:rsidR="00DF1994" w:rsidRPr="005A369B" w:rsidRDefault="00DF1994" w:rsidP="005A369B">
      <w:pPr>
        <w:ind w:left="1134" w:right="1843"/>
        <w:jc w:val="both"/>
        <w:rPr>
          <w:rFonts w:ascii="Palatino Linotype" w:eastAsia="Palatino Linotype" w:hAnsi="Palatino Linotype" w:cs="Palatino Linotype"/>
          <w:i/>
          <w:lang w:val="es-ES"/>
        </w:rPr>
      </w:pPr>
      <w:r w:rsidRPr="005A369B">
        <w:rPr>
          <w:rFonts w:ascii="Palatino Linotype" w:eastAsia="Palatino Linotype" w:hAnsi="Palatino Linotype" w:cs="Palatino Linotype"/>
          <w:b/>
          <w:i/>
          <w:lang w:val="es-ES"/>
        </w:rPr>
        <w:t>INFORMACIÓN PÚBLICA, CONCEPTO DE, EN MATERIA DE TRANSPARENCIA. INTERPRETACIÓN TEMÁTICA DE LOS ARTÍCULOS 2, FRACCIÓN V, XV, Y XVI, 32, 4,11 Y 41.</w:t>
      </w:r>
      <w:r w:rsidRPr="005A369B">
        <w:rPr>
          <w:rFonts w:ascii="Palatino Linotype" w:eastAsia="Palatino Linotype" w:hAnsi="Palatino Linotype" w:cs="Palatino Linotype"/>
          <w:i/>
          <w:lang w:val="es-ES"/>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rsidR="00DF1994" w:rsidRPr="005A369B" w:rsidRDefault="00DF1994" w:rsidP="005A369B">
      <w:pPr>
        <w:ind w:left="1134" w:right="1843"/>
        <w:jc w:val="both"/>
        <w:rPr>
          <w:rFonts w:ascii="Palatino Linotype" w:eastAsia="Palatino Linotype" w:hAnsi="Palatino Linotype" w:cs="Palatino Linotype"/>
          <w:i/>
          <w:lang w:val="es-ES"/>
        </w:rPr>
      </w:pPr>
      <w:r w:rsidRPr="005A369B">
        <w:rPr>
          <w:rFonts w:ascii="Palatino Linotype" w:eastAsia="Palatino Linotype" w:hAnsi="Palatino Linotype" w:cs="Palatino Linotype"/>
          <w:i/>
          <w:lang w:val="es-ES"/>
        </w:rPr>
        <w:t>En consecuencia el acceso a la información se refiere a que se cumplan cualquiera de los siguientes tres supuestos:</w:t>
      </w:r>
    </w:p>
    <w:p w:rsidR="00DF1994" w:rsidRPr="005A369B" w:rsidRDefault="00DF1994" w:rsidP="005A369B">
      <w:pPr>
        <w:ind w:left="1134" w:right="1843"/>
        <w:jc w:val="both"/>
        <w:rPr>
          <w:rFonts w:ascii="Palatino Linotype" w:eastAsia="Palatino Linotype" w:hAnsi="Palatino Linotype" w:cs="Palatino Linotype"/>
          <w:i/>
          <w:lang w:val="es-ES"/>
        </w:rPr>
      </w:pPr>
      <w:r w:rsidRPr="005A369B">
        <w:rPr>
          <w:rFonts w:ascii="Palatino Linotype" w:eastAsia="Palatino Linotype" w:hAnsi="Palatino Linotype" w:cs="Palatino Linotype"/>
          <w:i/>
          <w:lang w:val="es-ES"/>
        </w:rPr>
        <w:t>Que se trate de información registrada en cualquier soporte documental, que en ejercicio de las atribuciones conferidas, sea generada por los Sujetos Obligados;</w:t>
      </w:r>
    </w:p>
    <w:p w:rsidR="00DF1994" w:rsidRPr="005A369B" w:rsidRDefault="00DF1994" w:rsidP="005A369B">
      <w:pPr>
        <w:ind w:left="1134" w:right="1843"/>
        <w:jc w:val="both"/>
        <w:rPr>
          <w:rFonts w:ascii="Palatino Linotype" w:eastAsia="Palatino Linotype" w:hAnsi="Palatino Linotype" w:cs="Palatino Linotype"/>
          <w:i/>
          <w:lang w:val="es-ES"/>
        </w:rPr>
      </w:pPr>
      <w:r w:rsidRPr="005A369B">
        <w:rPr>
          <w:rFonts w:ascii="Palatino Linotype" w:eastAsia="Palatino Linotype" w:hAnsi="Palatino Linotype" w:cs="Palatino Linotype"/>
          <w:i/>
          <w:lang w:val="es-ES"/>
        </w:rPr>
        <w:t>Que se trate de información registrada en cualquier soporte documental, que en ejercicio de las atribuciones conferidas, sea administrada por los Sujetos Obligados, y</w:t>
      </w:r>
    </w:p>
    <w:p w:rsidR="00DF1994" w:rsidRPr="005A369B" w:rsidRDefault="00DF1994" w:rsidP="005A369B">
      <w:pPr>
        <w:ind w:left="1134" w:right="1843"/>
        <w:jc w:val="both"/>
        <w:rPr>
          <w:rFonts w:ascii="Palatino Linotype" w:eastAsia="Palatino Linotype" w:hAnsi="Palatino Linotype" w:cs="Palatino Linotype"/>
          <w:i/>
          <w:lang w:val="es-ES"/>
        </w:rPr>
      </w:pPr>
      <w:r w:rsidRPr="005A369B">
        <w:rPr>
          <w:rFonts w:ascii="Palatino Linotype" w:eastAsia="Palatino Linotype" w:hAnsi="Palatino Linotype" w:cs="Palatino Linotype"/>
          <w:i/>
          <w:lang w:val="es-ES"/>
        </w:rPr>
        <w:t>Que se trate de información registrada en cualquier soporte documental, que en ejercicio de las atribuciones conferidas, se encuentre en posesión de los Sujetos Obligados.”(Sic)</w:t>
      </w:r>
    </w:p>
    <w:p w:rsidR="00DF1994" w:rsidRDefault="00DF1994" w:rsidP="00DF1994">
      <w:pPr>
        <w:ind w:left="1134" w:right="900"/>
        <w:jc w:val="both"/>
        <w:rPr>
          <w:rFonts w:ascii="Palatino Linotype" w:eastAsia="Palatino Linotype" w:hAnsi="Palatino Linotype" w:cs="Palatino Linotype"/>
          <w:i/>
          <w:color w:val="000000"/>
          <w:lang w:val="es-ES"/>
        </w:rPr>
      </w:pPr>
    </w:p>
    <w:p w:rsidR="0044093F" w:rsidRPr="005A369B" w:rsidRDefault="0044093F" w:rsidP="00DF1994">
      <w:pPr>
        <w:ind w:left="1134" w:right="900"/>
        <w:jc w:val="both"/>
        <w:rPr>
          <w:rFonts w:ascii="Palatino Linotype" w:eastAsia="Palatino Linotype" w:hAnsi="Palatino Linotype" w:cs="Palatino Linotype"/>
          <w:i/>
          <w:color w:val="000000"/>
          <w:lang w:val="es-ES"/>
        </w:rPr>
      </w:pPr>
    </w:p>
    <w:p w:rsidR="00DF1994" w:rsidRPr="005A369B" w:rsidRDefault="00DF1994" w:rsidP="00DF1994">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lang w:val="es-ES"/>
        </w:rPr>
      </w:pPr>
      <w:r w:rsidRPr="005A369B">
        <w:rPr>
          <w:rFonts w:ascii="Palatino Linotype" w:eastAsia="Palatino Linotype" w:hAnsi="Palatino Linotype" w:cs="Palatino Linotype"/>
          <w:color w:val="000000"/>
          <w:lang w:val="es-ES"/>
        </w:rPr>
        <w:t xml:space="preserve">De </w:t>
      </w:r>
      <w:r w:rsidRPr="005A369B">
        <w:rPr>
          <w:rFonts w:ascii="Palatino Linotype" w:hAnsi="Palatino Linotype" w:cs="Arial"/>
        </w:rPr>
        <w:t>lo</w:t>
      </w:r>
      <w:r w:rsidRPr="005A369B">
        <w:rPr>
          <w:rFonts w:ascii="Palatino Linotype" w:eastAsia="Palatino Linotype" w:hAnsi="Palatino Linotype" w:cs="Palatino Linotype"/>
          <w:color w:val="000000"/>
          <w:lang w:val="es-ES"/>
        </w:rPr>
        <w:t xml:space="preserve"> anterior se puede concluir que la distinción entre el derecho de petición y el derecho de acceso a la información, principalmente, es que la pretensión del peticionario </w:t>
      </w:r>
      <w:r w:rsidRPr="005A369B">
        <w:rPr>
          <w:rFonts w:ascii="Palatino Linotype" w:eastAsia="Palatino Linotype" w:hAnsi="Palatino Linotype" w:cs="Palatino Linotype"/>
          <w:color w:val="000000"/>
          <w:lang w:val="es-ES"/>
        </w:rPr>
        <w:lastRenderedPageBreak/>
        <w:t>consiste generalmente en obligar a la autoridad responsable a que actúe en el sentido de contestar lo solicitado, mientras que en el derecho de acceso a la información pública la pretensión radica en que se permita el acceso a datos y todo tipo de documentación que tenga el carácter de información pública, que sea generada, administrada o se encuentre en posesión de los considerados Sujetos Obligados por la Ley de la Materia.</w:t>
      </w:r>
    </w:p>
    <w:p w:rsidR="00DF1994" w:rsidRPr="005A369B" w:rsidRDefault="00DF1994" w:rsidP="00DF1994">
      <w:pPr>
        <w:rPr>
          <w:rFonts w:ascii="Palatino Linotype" w:hAnsi="Palatino Linotype" w:cs="Arial"/>
        </w:rPr>
      </w:pPr>
    </w:p>
    <w:p w:rsidR="00F853F3" w:rsidRPr="005A369B" w:rsidRDefault="00DF1994" w:rsidP="00F853F3">
      <w:pPr>
        <w:numPr>
          <w:ilvl w:val="0"/>
          <w:numId w:val="3"/>
        </w:numPr>
        <w:pBdr>
          <w:top w:val="nil"/>
          <w:left w:val="nil"/>
          <w:bottom w:val="nil"/>
          <w:right w:val="nil"/>
          <w:between w:val="nil"/>
        </w:pBdr>
        <w:spacing w:line="360" w:lineRule="auto"/>
        <w:ind w:left="0" w:firstLine="0"/>
        <w:jc w:val="both"/>
        <w:rPr>
          <w:rFonts w:ascii="Palatino Linotype" w:hAnsi="Palatino Linotype" w:cs="Arial"/>
        </w:rPr>
      </w:pPr>
      <w:r w:rsidRPr="005A369B">
        <w:rPr>
          <w:rFonts w:ascii="Palatino Linotype" w:hAnsi="Palatino Linotype" w:cs="Arial"/>
        </w:rPr>
        <w:t xml:space="preserve">En ese sentido,  se determina que el punto de la solicitud de información consiste en querer utilizar </w:t>
      </w:r>
      <w:r w:rsidRPr="005A369B">
        <w:rPr>
          <w:rFonts w:ascii="Palatino Linotype" w:eastAsia="Palatino Linotype" w:hAnsi="Palatino Linotype" w:cs="Palatino Linotype"/>
          <w:color w:val="000000"/>
          <w:lang w:val="es-ES"/>
        </w:rPr>
        <w:t>el</w:t>
      </w:r>
      <w:r w:rsidRPr="005A369B">
        <w:rPr>
          <w:rFonts w:ascii="Palatino Linotype" w:hAnsi="Palatino Linotype" w:cs="Arial"/>
        </w:rPr>
        <w:t xml:space="preserve"> derecho de petición y no el derecho de acceso a la información, toda vez que el </w:t>
      </w:r>
      <w:r w:rsidRPr="005A369B">
        <w:rPr>
          <w:rFonts w:ascii="Palatino Linotype" w:hAnsi="Palatino Linotype" w:cs="Arial"/>
          <w:b/>
        </w:rPr>
        <w:t xml:space="preserve">RECURRENTE </w:t>
      </w:r>
      <w:r w:rsidRPr="005A369B">
        <w:rPr>
          <w:rFonts w:ascii="Palatino Linotype" w:hAnsi="Palatino Linotype" w:cs="Arial"/>
        </w:rPr>
        <w:t xml:space="preserve">pretende acceder al </w:t>
      </w:r>
      <w:r w:rsidR="005A369B">
        <w:rPr>
          <w:rFonts w:ascii="Palatino Linotype" w:hAnsi="Palatino Linotype" w:cs="Arial"/>
        </w:rPr>
        <w:t>motivo</w:t>
      </w:r>
      <w:r w:rsidR="005A369B" w:rsidRPr="005A369B">
        <w:rPr>
          <w:rFonts w:ascii="Palatino Linotype" w:hAnsi="Palatino Linotype" w:cs="Arial"/>
          <w:iCs/>
        </w:rPr>
        <w:t xml:space="preserve"> por el cual se demolieron y reconstruyeron en febrero de 2025 los cabezales de los apoyos</w:t>
      </w:r>
      <w:r w:rsidRPr="005A369B">
        <w:rPr>
          <w:rFonts w:ascii="Palatino Linotype" w:hAnsi="Palatino Linotype" w:cs="Arial"/>
        </w:rPr>
        <w:t xml:space="preserve">, situación que no puede ser colmada toda vez que con un pronunciamiento o respuesta a interrogantes no puede ser colmado el derecho de acceso a la información. </w:t>
      </w:r>
    </w:p>
    <w:p w:rsidR="00A57745" w:rsidRPr="005A369B" w:rsidRDefault="00A57745" w:rsidP="00A57745">
      <w:pPr>
        <w:pStyle w:val="Prrafodelista"/>
        <w:rPr>
          <w:rFonts w:ascii="Palatino Linotype" w:eastAsia="Palatino Linotype" w:hAnsi="Palatino Linotype" w:cs="Palatino Linotype"/>
          <w:color w:val="000000"/>
        </w:rPr>
      </w:pPr>
    </w:p>
    <w:p w:rsidR="00E14484" w:rsidRPr="0044093F" w:rsidRDefault="00E14484" w:rsidP="0056322A">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44093F">
        <w:rPr>
          <w:rFonts w:ascii="Palatino Linotype" w:eastAsia="Palatino Linotype" w:hAnsi="Palatino Linotype" w:cs="Palatino Linotype"/>
          <w:color w:val="000000"/>
        </w:rPr>
        <w:t xml:space="preserve">Finalmente, se tiene que de acuerdo con el artículo 18.59 del Código Administrativo del Estado de México, no considera que deban exponer motivos para realizar demoliciones. </w:t>
      </w:r>
    </w:p>
    <w:p w:rsidR="00E14484" w:rsidRPr="0044093F" w:rsidRDefault="00E14484" w:rsidP="00E14484">
      <w:pPr>
        <w:pBdr>
          <w:top w:val="nil"/>
          <w:left w:val="nil"/>
          <w:bottom w:val="nil"/>
          <w:right w:val="nil"/>
          <w:between w:val="nil"/>
        </w:pBdr>
        <w:ind w:left="1134" w:right="1843"/>
        <w:jc w:val="both"/>
        <w:rPr>
          <w:rFonts w:ascii="Palatino Linotype" w:eastAsia="Palatino Linotype" w:hAnsi="Palatino Linotype" w:cs="Palatino Linotype"/>
          <w:i/>
          <w:color w:val="000000"/>
        </w:rPr>
      </w:pPr>
      <w:r w:rsidRPr="0044093F">
        <w:rPr>
          <w:rFonts w:ascii="Palatino Linotype" w:eastAsia="Palatino Linotype" w:hAnsi="Palatino Linotype" w:cs="Palatino Linotype"/>
          <w:b/>
          <w:i/>
          <w:color w:val="000000"/>
        </w:rPr>
        <w:t>Artículo 18.59.-</w:t>
      </w:r>
      <w:r w:rsidRPr="0044093F">
        <w:rPr>
          <w:rFonts w:ascii="Palatino Linotype" w:eastAsia="Palatino Linotype" w:hAnsi="Palatino Linotype" w:cs="Palatino Linotype"/>
          <w:i/>
          <w:color w:val="000000"/>
        </w:rPr>
        <w:t xml:space="preserve"> Previo al inicio de la demolición y durante su ejecución, se deben proveer todas las medidas de seguridad que determine en cada caso la autoridad municipal en la licencia respectiva, de acuerdo a lo establecido en la normatividad aplicable. </w:t>
      </w:r>
    </w:p>
    <w:p w:rsidR="00E14484" w:rsidRPr="0044093F" w:rsidRDefault="00E14484" w:rsidP="00E14484">
      <w:pPr>
        <w:pBdr>
          <w:top w:val="nil"/>
          <w:left w:val="nil"/>
          <w:bottom w:val="nil"/>
          <w:right w:val="nil"/>
          <w:between w:val="nil"/>
        </w:pBdr>
        <w:ind w:left="1134" w:right="1843"/>
        <w:jc w:val="both"/>
        <w:rPr>
          <w:rFonts w:ascii="Palatino Linotype" w:eastAsia="Palatino Linotype" w:hAnsi="Palatino Linotype" w:cs="Palatino Linotype"/>
          <w:i/>
          <w:color w:val="000000"/>
        </w:rPr>
      </w:pPr>
      <w:r w:rsidRPr="0044093F">
        <w:rPr>
          <w:rFonts w:ascii="Palatino Linotype" w:eastAsia="Palatino Linotype" w:hAnsi="Palatino Linotype" w:cs="Palatino Linotype"/>
          <w:i/>
          <w:color w:val="000000"/>
        </w:rPr>
        <w:t xml:space="preserve">Cuando la demolición tenga que hacerse en forma parcial, ésta comprenderá también la parte que resulte afectada por la continuidad estructural. </w:t>
      </w:r>
    </w:p>
    <w:p w:rsidR="00E14484" w:rsidRPr="00E14484" w:rsidRDefault="00E14484" w:rsidP="00E14484">
      <w:pPr>
        <w:pBdr>
          <w:top w:val="nil"/>
          <w:left w:val="nil"/>
          <w:bottom w:val="nil"/>
          <w:right w:val="nil"/>
          <w:between w:val="nil"/>
        </w:pBdr>
        <w:ind w:left="1134" w:right="1843"/>
        <w:jc w:val="both"/>
        <w:rPr>
          <w:rFonts w:ascii="Palatino Linotype" w:eastAsia="Palatino Linotype" w:hAnsi="Palatino Linotype" w:cs="Palatino Linotype"/>
          <w:i/>
          <w:color w:val="000000"/>
        </w:rPr>
      </w:pPr>
      <w:r w:rsidRPr="0044093F">
        <w:rPr>
          <w:rFonts w:ascii="Palatino Linotype" w:eastAsia="Palatino Linotype" w:hAnsi="Palatino Linotype" w:cs="Palatino Linotype"/>
          <w:i/>
          <w:color w:val="000000"/>
        </w:rPr>
        <w:t>Los materiales, desechos y escombros provenientes de una demolición deben ser retirados en su totalidad en un plazo no mayor de 30 días hábiles contados a partir del término de la demolición y bajo las condiciones que establezcan las autoridades correspondientes en materia de vialidad, transporte y sitio de disposición final.</w:t>
      </w:r>
    </w:p>
    <w:p w:rsidR="00605057" w:rsidRPr="005A369B" w:rsidRDefault="005A369B" w:rsidP="0056322A">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Ahora bien, en cuanto al punto dos de la solicitud de información consistente en “</w:t>
      </w:r>
      <w:r w:rsidR="00067B6D" w:rsidRPr="009F0898">
        <w:rPr>
          <w:rFonts w:ascii="Palatino Linotype" w:eastAsia="Palatino Linotype" w:hAnsi="Palatino Linotype" w:cs="Arial"/>
          <w:b/>
          <w:i/>
          <w:iCs/>
        </w:rPr>
        <w:t>N</w:t>
      </w:r>
      <w:r w:rsidR="00067B6D" w:rsidRPr="009F0898">
        <w:rPr>
          <w:rFonts w:ascii="Palatino Linotype" w:hAnsi="Palatino Linotype" w:cs="Arial"/>
          <w:b/>
          <w:i/>
          <w:iCs/>
        </w:rPr>
        <w:t xml:space="preserve">ombre de todas las empresas constructoras y supervisoras que han estado involucradas en las diferentes etapas de construcción con sus </w:t>
      </w:r>
      <w:r w:rsidR="00067B6D" w:rsidRPr="009F0898">
        <w:rPr>
          <w:rFonts w:ascii="Palatino Linotype" w:eastAsia="Palatino Linotype" w:hAnsi="Palatino Linotype" w:cs="Arial"/>
          <w:b/>
          <w:i/>
          <w:iCs/>
        </w:rPr>
        <w:t>números</w:t>
      </w:r>
      <w:r w:rsidR="00067B6D" w:rsidRPr="009F0898">
        <w:rPr>
          <w:rFonts w:ascii="Palatino Linotype" w:hAnsi="Palatino Linotype" w:cs="Arial"/>
          <w:b/>
          <w:i/>
          <w:iCs/>
        </w:rPr>
        <w:t xml:space="preserve"> de contrato, periodos de </w:t>
      </w:r>
      <w:r w:rsidR="00067B6D" w:rsidRPr="009F0898">
        <w:rPr>
          <w:rFonts w:ascii="Palatino Linotype" w:eastAsia="Palatino Linotype" w:hAnsi="Palatino Linotype" w:cs="Arial"/>
          <w:b/>
          <w:i/>
          <w:iCs/>
        </w:rPr>
        <w:t>ejecución</w:t>
      </w:r>
      <w:r w:rsidR="00067B6D" w:rsidRPr="009F0898">
        <w:rPr>
          <w:rFonts w:ascii="Palatino Linotype" w:hAnsi="Palatino Linotype" w:cs="Arial"/>
          <w:b/>
          <w:i/>
          <w:iCs/>
        </w:rPr>
        <w:t xml:space="preserve">, montos de contrato, objetos del contrato, </w:t>
      </w:r>
      <w:r w:rsidR="00067B6D" w:rsidRPr="009F0898">
        <w:rPr>
          <w:rFonts w:ascii="Palatino Linotype" w:eastAsia="Palatino Linotype" w:hAnsi="Palatino Linotype" w:cs="Arial"/>
          <w:b/>
          <w:i/>
          <w:iCs/>
        </w:rPr>
        <w:t>así</w:t>
      </w:r>
      <w:r w:rsidR="00067B6D" w:rsidRPr="009F0898">
        <w:rPr>
          <w:rFonts w:ascii="Palatino Linotype" w:hAnsi="Palatino Linotype" w:cs="Arial"/>
          <w:b/>
          <w:i/>
          <w:iCs/>
        </w:rPr>
        <w:t xml:space="preserve"> como, sus convenios con montos, plazos y </w:t>
      </w:r>
      <w:r w:rsidR="00067B6D" w:rsidRPr="009F0898">
        <w:rPr>
          <w:rFonts w:ascii="Palatino Linotype" w:eastAsia="Palatino Linotype" w:hAnsi="Palatino Linotype" w:cs="Arial"/>
          <w:b/>
          <w:i/>
          <w:iCs/>
        </w:rPr>
        <w:t>números</w:t>
      </w:r>
      <w:r w:rsidR="00067B6D" w:rsidRPr="009F0898">
        <w:rPr>
          <w:rFonts w:ascii="Palatino Linotype" w:hAnsi="Palatino Linotype" w:cs="Arial"/>
          <w:b/>
          <w:i/>
          <w:iCs/>
        </w:rPr>
        <w:t xml:space="preserve"> de convenio.</w:t>
      </w:r>
      <w:r w:rsidR="00067B6D">
        <w:rPr>
          <w:rFonts w:ascii="Palatino Linotype" w:hAnsi="Palatino Linotype" w:cs="Arial"/>
          <w:b/>
          <w:i/>
          <w:iCs/>
        </w:rPr>
        <w:t xml:space="preserve">”, </w:t>
      </w:r>
      <w:r w:rsidR="00067B6D">
        <w:rPr>
          <w:rFonts w:ascii="Palatino Linotype" w:eastAsia="Palatino Linotype" w:hAnsi="Palatino Linotype" w:cs="Palatino Linotype"/>
          <w:color w:val="000000"/>
        </w:rPr>
        <w:t xml:space="preserve">se debe de precisar que dio </w:t>
      </w:r>
      <w:r w:rsidR="00605057" w:rsidRPr="005A369B">
        <w:rPr>
          <w:rFonts w:ascii="Palatino Linotype" w:eastAsia="Palatino Linotype" w:hAnsi="Palatino Linotype" w:cs="Palatino Linotype"/>
          <w:color w:val="000000"/>
        </w:rPr>
        <w:t>atención a la</w:t>
      </w:r>
      <w:r w:rsidR="00067B6D">
        <w:rPr>
          <w:rFonts w:ascii="Palatino Linotype" w:eastAsia="Palatino Linotype" w:hAnsi="Palatino Linotype" w:cs="Palatino Linotype"/>
          <w:color w:val="000000"/>
        </w:rPr>
        <w:t xml:space="preserve"> solicitud de información la </w:t>
      </w:r>
      <w:r w:rsidR="00605057" w:rsidRPr="005A369B">
        <w:rPr>
          <w:rFonts w:ascii="Palatino Linotype" w:eastAsia="Palatino Linotype" w:hAnsi="Palatino Linotype" w:cs="Palatino Linotype"/>
          <w:color w:val="000000"/>
        </w:rPr>
        <w:t xml:space="preserve"> Dirección de Obras Públicas, cuyo objetivo, de conformidad con el artículo 51 del Bando Municipal de Tepotzotlán consiste en la coordinación de las obras públicas previa autorización del Ayuntamiento que consiste en funciones de planeación, presupuestación, programación y ejecución.</w:t>
      </w:r>
    </w:p>
    <w:p w:rsidR="00605057" w:rsidRPr="005A369B" w:rsidRDefault="00605057" w:rsidP="00605057">
      <w:pPr>
        <w:spacing w:before="240" w:after="240"/>
        <w:jc w:val="both"/>
        <w:rPr>
          <w:rFonts w:ascii="Palatino Linotype" w:eastAsia="Palatino Linotype" w:hAnsi="Palatino Linotype" w:cs="Palatino Linotype"/>
        </w:rPr>
      </w:pPr>
    </w:p>
    <w:p w:rsidR="00605057" w:rsidRPr="005A369B" w:rsidRDefault="00605057" w:rsidP="0056322A">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5A369B">
        <w:rPr>
          <w:rFonts w:ascii="Palatino Linotype" w:eastAsia="Palatino Linotype" w:hAnsi="Palatino Linotype" w:cs="Palatino Linotype"/>
          <w:color w:val="000000"/>
        </w:rPr>
        <w:t xml:space="preserve">Mientras que el artículo 96 Bis de la Ley Orgánica Municipal del Estado de México confiere </w:t>
      </w:r>
      <w:r w:rsidRPr="005A369B">
        <w:rPr>
          <w:rFonts w:ascii="Palatino Linotype" w:eastAsia="Palatino Linotype" w:hAnsi="Palatino Linotype" w:cs="Palatino Linotype"/>
          <w:color w:val="000000"/>
          <w:lang w:val="es-ES"/>
        </w:rPr>
        <w:t>al</w:t>
      </w:r>
      <w:r w:rsidRPr="005A369B">
        <w:rPr>
          <w:rFonts w:ascii="Palatino Linotype" w:eastAsia="Palatino Linotype" w:hAnsi="Palatino Linotype" w:cs="Palatino Linotype"/>
          <w:color w:val="000000"/>
        </w:rPr>
        <w:t xml:space="preserve"> titular de la Dirección de Obras Públicas las siguientes atribuciones en su parte conducente:</w:t>
      </w:r>
    </w:p>
    <w:p w:rsidR="00605057" w:rsidRPr="005A369B" w:rsidRDefault="00605057" w:rsidP="00605057">
      <w:pPr>
        <w:pBdr>
          <w:top w:val="nil"/>
          <w:left w:val="nil"/>
          <w:bottom w:val="nil"/>
          <w:right w:val="nil"/>
          <w:between w:val="nil"/>
        </w:pBdr>
        <w:spacing w:before="240" w:after="240"/>
        <w:ind w:left="1134" w:right="1134"/>
        <w:jc w:val="both"/>
        <w:rPr>
          <w:rFonts w:ascii="Palatino Linotype" w:eastAsia="Palatino Linotype" w:hAnsi="Palatino Linotype" w:cs="Palatino Linotype"/>
          <w:i/>
          <w:iCs/>
        </w:rPr>
      </w:pPr>
      <w:r w:rsidRPr="005A369B">
        <w:rPr>
          <w:rFonts w:ascii="Palatino Linotype" w:eastAsia="Palatino Linotype" w:hAnsi="Palatino Linotype" w:cs="Palatino Linotype"/>
          <w:i/>
          <w:iCs/>
        </w:rPr>
        <w:t xml:space="preserve">- Realizar la programación y ejecución de las obras públicas y servicios relacionados, que por orden expresa del Ayuntamiento requieran prioridad; </w:t>
      </w:r>
    </w:p>
    <w:p w:rsidR="00605057" w:rsidRPr="00067B6D" w:rsidRDefault="00605057" w:rsidP="00605057">
      <w:pPr>
        <w:pBdr>
          <w:top w:val="nil"/>
          <w:left w:val="nil"/>
          <w:bottom w:val="nil"/>
          <w:right w:val="nil"/>
          <w:between w:val="nil"/>
        </w:pBdr>
        <w:spacing w:before="240" w:after="240"/>
        <w:ind w:left="1134" w:right="1134"/>
        <w:jc w:val="both"/>
        <w:rPr>
          <w:rFonts w:ascii="Palatino Linotype" w:eastAsia="Palatino Linotype" w:hAnsi="Palatino Linotype" w:cs="Palatino Linotype"/>
          <w:b/>
          <w:i/>
          <w:iCs/>
        </w:rPr>
      </w:pPr>
      <w:r w:rsidRPr="00067B6D">
        <w:rPr>
          <w:rFonts w:ascii="Palatino Linotype" w:eastAsia="Palatino Linotype" w:hAnsi="Palatino Linotype" w:cs="Palatino Linotype"/>
          <w:b/>
          <w:i/>
          <w:iCs/>
        </w:rPr>
        <w:t>- Planear y coordinar los proyectos de obras públicas y servicios relacionados con las mismas que autorice el Ayuntamiento, una vez que se cumplan los requisitos de licitación y otros que determine la ley de la materia;</w:t>
      </w:r>
    </w:p>
    <w:p w:rsidR="00605057" w:rsidRPr="00067B6D" w:rsidRDefault="00605057" w:rsidP="00605057">
      <w:pPr>
        <w:pBdr>
          <w:top w:val="nil"/>
          <w:left w:val="nil"/>
          <w:bottom w:val="nil"/>
          <w:right w:val="nil"/>
          <w:between w:val="nil"/>
        </w:pBdr>
        <w:spacing w:before="240" w:after="240"/>
        <w:ind w:left="1134" w:right="1134"/>
        <w:jc w:val="both"/>
        <w:rPr>
          <w:rFonts w:ascii="Palatino Linotype" w:eastAsia="Palatino Linotype" w:hAnsi="Palatino Linotype" w:cs="Palatino Linotype"/>
          <w:b/>
          <w:i/>
          <w:iCs/>
        </w:rPr>
      </w:pPr>
      <w:r w:rsidRPr="00067B6D">
        <w:rPr>
          <w:rFonts w:ascii="Palatino Linotype" w:eastAsia="Palatino Linotype" w:hAnsi="Palatino Linotype" w:cs="Palatino Linotype"/>
          <w:b/>
          <w:i/>
          <w:iCs/>
        </w:rPr>
        <w:t>- Proyectar las obras públicas y servicios relacionados, que realice el Municipio, incluyendo la conservación y mantenimiento de edificios, monumentos, calles, parques y jardines;</w:t>
      </w:r>
    </w:p>
    <w:p w:rsidR="00605057" w:rsidRPr="00067B6D" w:rsidRDefault="00605057" w:rsidP="00605057">
      <w:pPr>
        <w:pBdr>
          <w:top w:val="nil"/>
          <w:left w:val="nil"/>
          <w:bottom w:val="nil"/>
          <w:right w:val="nil"/>
          <w:between w:val="nil"/>
        </w:pBdr>
        <w:spacing w:before="240" w:after="240"/>
        <w:ind w:left="1134" w:right="1134"/>
        <w:jc w:val="both"/>
        <w:rPr>
          <w:rFonts w:ascii="Palatino Linotype" w:eastAsia="Palatino Linotype" w:hAnsi="Palatino Linotype" w:cs="Palatino Linotype"/>
          <w:b/>
          <w:i/>
          <w:iCs/>
        </w:rPr>
      </w:pPr>
      <w:r w:rsidRPr="00067B6D">
        <w:rPr>
          <w:rFonts w:ascii="Palatino Linotype" w:eastAsia="Palatino Linotype" w:hAnsi="Palatino Linotype" w:cs="Palatino Linotype"/>
          <w:b/>
          <w:i/>
          <w:iCs/>
        </w:rPr>
        <w:lastRenderedPageBreak/>
        <w:t xml:space="preserve">- Construir y ejecutar todas aquellas obras públicas y servicios relacionados, que aumenten y mantengan la infraestructura municipal y que estén consideradas en el programa respectivo; </w:t>
      </w:r>
    </w:p>
    <w:p w:rsidR="00605057" w:rsidRPr="005A369B" w:rsidRDefault="00605057" w:rsidP="00605057">
      <w:pPr>
        <w:pBdr>
          <w:top w:val="nil"/>
          <w:left w:val="nil"/>
          <w:bottom w:val="nil"/>
          <w:right w:val="nil"/>
          <w:between w:val="nil"/>
        </w:pBdr>
        <w:spacing w:before="240" w:after="240"/>
        <w:ind w:left="1134" w:right="1134"/>
        <w:jc w:val="both"/>
        <w:rPr>
          <w:rFonts w:ascii="Palatino Linotype" w:eastAsia="Palatino Linotype" w:hAnsi="Palatino Linotype" w:cs="Palatino Linotype"/>
          <w:i/>
          <w:iCs/>
        </w:rPr>
      </w:pPr>
      <w:r w:rsidRPr="005A369B">
        <w:rPr>
          <w:rFonts w:ascii="Palatino Linotype" w:eastAsia="Palatino Linotype" w:hAnsi="Palatino Linotype" w:cs="Palatino Linotype"/>
          <w:i/>
          <w:iCs/>
        </w:rPr>
        <w:t xml:space="preserve">- Determinar y cuantificar los materiales y trabajos necesarios para programas de construcción y mantenimiento de obras públicas y servicios relacionados; </w:t>
      </w:r>
    </w:p>
    <w:p w:rsidR="00605057" w:rsidRPr="005A369B" w:rsidRDefault="00605057" w:rsidP="00605057">
      <w:pPr>
        <w:pBdr>
          <w:top w:val="nil"/>
          <w:left w:val="nil"/>
          <w:bottom w:val="nil"/>
          <w:right w:val="nil"/>
          <w:between w:val="nil"/>
        </w:pBdr>
        <w:spacing w:before="240" w:after="240"/>
        <w:ind w:left="1134" w:right="1134"/>
        <w:jc w:val="both"/>
        <w:rPr>
          <w:rFonts w:ascii="Palatino Linotype" w:eastAsia="Palatino Linotype" w:hAnsi="Palatino Linotype" w:cs="Palatino Linotype"/>
          <w:i/>
          <w:iCs/>
        </w:rPr>
      </w:pPr>
      <w:r w:rsidRPr="005A369B">
        <w:rPr>
          <w:rFonts w:ascii="Palatino Linotype" w:eastAsia="Palatino Linotype" w:hAnsi="Palatino Linotype" w:cs="Palatino Linotype"/>
          <w:i/>
          <w:iCs/>
        </w:rPr>
        <w:t>- Vigilar que se cumplan y lleven a cabo los programas de construcción y mantenimiento de obras públicas y servicios relacionados;</w:t>
      </w:r>
    </w:p>
    <w:p w:rsidR="00605057" w:rsidRPr="005A369B" w:rsidRDefault="00605057" w:rsidP="00605057">
      <w:pPr>
        <w:pBdr>
          <w:top w:val="nil"/>
          <w:left w:val="nil"/>
          <w:bottom w:val="nil"/>
          <w:right w:val="nil"/>
          <w:between w:val="nil"/>
        </w:pBdr>
        <w:spacing w:before="240" w:after="240"/>
        <w:ind w:left="1134" w:right="1134"/>
        <w:jc w:val="both"/>
        <w:rPr>
          <w:rFonts w:ascii="Palatino Linotype" w:eastAsia="Palatino Linotype" w:hAnsi="Palatino Linotype" w:cs="Palatino Linotype"/>
          <w:i/>
          <w:iCs/>
        </w:rPr>
      </w:pPr>
      <w:r w:rsidRPr="005A369B">
        <w:rPr>
          <w:rFonts w:ascii="Palatino Linotype" w:eastAsia="Palatino Linotype" w:hAnsi="Palatino Linotype" w:cs="Palatino Linotype"/>
          <w:i/>
          <w:iCs/>
        </w:rPr>
        <w:t>- Vigilar la construcción en las obras por contrato y por administración que hayan sido adjudicadas a los contratistas;</w:t>
      </w:r>
    </w:p>
    <w:p w:rsidR="00605057" w:rsidRPr="005A369B" w:rsidRDefault="00605057" w:rsidP="00605057">
      <w:pPr>
        <w:pBdr>
          <w:top w:val="nil"/>
          <w:left w:val="nil"/>
          <w:bottom w:val="nil"/>
          <w:right w:val="nil"/>
          <w:between w:val="nil"/>
        </w:pBdr>
        <w:spacing w:before="240" w:after="240"/>
        <w:ind w:left="1134" w:right="1134"/>
        <w:jc w:val="both"/>
        <w:rPr>
          <w:rFonts w:ascii="Palatino Linotype" w:eastAsia="Palatino Linotype" w:hAnsi="Palatino Linotype" w:cs="Palatino Linotype"/>
          <w:i/>
          <w:iCs/>
        </w:rPr>
      </w:pPr>
      <w:r w:rsidRPr="005A369B">
        <w:rPr>
          <w:rFonts w:ascii="Palatino Linotype" w:eastAsia="Palatino Linotype" w:hAnsi="Palatino Linotype" w:cs="Palatino Linotype"/>
        </w:rPr>
        <w:t xml:space="preserve">- </w:t>
      </w:r>
      <w:r w:rsidRPr="005A369B">
        <w:rPr>
          <w:rFonts w:ascii="Palatino Linotype" w:eastAsia="Palatino Linotype" w:hAnsi="Palatino Linotype" w:cs="Palatino Linotype"/>
          <w:b/>
          <w:bCs/>
          <w:i/>
          <w:iCs/>
        </w:rPr>
        <w:t xml:space="preserve">Administrar y ejercer, en el ámbito de su competencia, </w:t>
      </w:r>
      <w:r w:rsidRPr="005A369B">
        <w:rPr>
          <w:rFonts w:ascii="Palatino Linotype" w:eastAsia="Palatino Linotype" w:hAnsi="Palatino Linotype" w:cs="Palatino Linotype"/>
          <w:b/>
          <w:bCs/>
          <w:i/>
          <w:iCs/>
          <w:u w:val="single"/>
        </w:rPr>
        <w:t>de manera coordinada con el Tesorero municipal,</w:t>
      </w:r>
      <w:r w:rsidRPr="005A369B">
        <w:rPr>
          <w:rFonts w:ascii="Palatino Linotype" w:eastAsia="Palatino Linotype" w:hAnsi="Palatino Linotype" w:cs="Palatino Linotype"/>
          <w:b/>
          <w:bCs/>
          <w:i/>
          <w:iCs/>
        </w:rPr>
        <w:t xml:space="preserve"> los recursos públicos destinados a la planeación, programación, presupuestación, adjudicación, contratación, ejecución y control de la obra pública,</w:t>
      </w:r>
      <w:r w:rsidRPr="005A369B">
        <w:rPr>
          <w:rFonts w:ascii="Palatino Linotype" w:eastAsia="Palatino Linotype" w:hAnsi="Palatino Linotype" w:cs="Palatino Linotype"/>
          <w:i/>
          <w:iCs/>
        </w:rPr>
        <w:t xml:space="preserve"> conforme a las disposiciones legales aplicables y en congruencia con los planes, programas, especificaciones técnicas, controles y procedimientos administrativos aprobados;</w:t>
      </w:r>
    </w:p>
    <w:p w:rsidR="00605057" w:rsidRPr="005A369B" w:rsidRDefault="00605057" w:rsidP="00605057">
      <w:pPr>
        <w:pBdr>
          <w:top w:val="nil"/>
          <w:left w:val="nil"/>
          <w:bottom w:val="nil"/>
          <w:right w:val="nil"/>
          <w:between w:val="nil"/>
        </w:pBdr>
        <w:spacing w:before="240" w:after="240"/>
        <w:ind w:left="1134" w:right="1134"/>
        <w:jc w:val="both"/>
        <w:rPr>
          <w:rFonts w:ascii="Palatino Linotype" w:eastAsia="Palatino Linotype" w:hAnsi="Palatino Linotype" w:cs="Palatino Linotype"/>
          <w:i/>
          <w:iCs/>
        </w:rPr>
      </w:pPr>
      <w:r w:rsidRPr="005A369B">
        <w:rPr>
          <w:rFonts w:ascii="Palatino Linotype" w:eastAsia="Palatino Linotype" w:hAnsi="Palatino Linotype" w:cs="Palatino Linotype"/>
          <w:i/>
          <w:iCs/>
        </w:rPr>
        <w:t>- Verificar que las obras públicas y los servicios relacionados con la misma, hayan sido programadas, presupuestadas, ejecutadas, adquiridas y contratadas en estricto apego a las disposiciones legales aplicables;</w:t>
      </w:r>
    </w:p>
    <w:p w:rsidR="00605057" w:rsidRDefault="00605057" w:rsidP="00B7310F">
      <w:pPr>
        <w:spacing w:before="240" w:after="240"/>
        <w:ind w:left="1134" w:right="1134"/>
        <w:jc w:val="both"/>
        <w:rPr>
          <w:rFonts w:ascii="Palatino Linotype" w:eastAsia="Palatino Linotype" w:hAnsi="Palatino Linotype" w:cs="Palatino Linotype"/>
          <w:i/>
          <w:iCs/>
        </w:rPr>
      </w:pPr>
      <w:r w:rsidRPr="005A369B">
        <w:rPr>
          <w:rFonts w:ascii="Palatino Linotype" w:eastAsia="Palatino Linotype" w:hAnsi="Palatino Linotype" w:cs="Palatino Linotype"/>
          <w:i/>
          <w:iCs/>
        </w:rPr>
        <w:t xml:space="preserve">- </w:t>
      </w:r>
      <w:r w:rsidRPr="005A369B">
        <w:rPr>
          <w:rFonts w:ascii="Palatino Linotype" w:eastAsia="Palatino Linotype" w:hAnsi="Palatino Linotype" w:cs="Palatino Linotype"/>
          <w:b/>
          <w:bCs/>
          <w:i/>
          <w:iCs/>
        </w:rPr>
        <w:t>Autorizar para su pago</w:t>
      </w:r>
      <w:r w:rsidRPr="005A369B">
        <w:rPr>
          <w:rFonts w:ascii="Palatino Linotype" w:eastAsia="Palatino Linotype" w:hAnsi="Palatino Linotype" w:cs="Palatino Linotype"/>
          <w:i/>
          <w:iCs/>
        </w:rPr>
        <w:t xml:space="preserve">, previa validación del avance y calidad de las obras, </w:t>
      </w:r>
      <w:r w:rsidRPr="005A369B">
        <w:rPr>
          <w:rFonts w:ascii="Palatino Linotype" w:eastAsia="Palatino Linotype" w:hAnsi="Palatino Linotype" w:cs="Palatino Linotype"/>
          <w:b/>
          <w:bCs/>
          <w:i/>
          <w:iCs/>
        </w:rPr>
        <w:t>los presupuestos y estimaciones que presenten los contratistas</w:t>
      </w:r>
      <w:r w:rsidRPr="005A369B">
        <w:rPr>
          <w:rFonts w:ascii="Palatino Linotype" w:eastAsia="Palatino Linotype" w:hAnsi="Palatino Linotype" w:cs="Palatino Linotype"/>
          <w:i/>
          <w:iCs/>
        </w:rPr>
        <w:t xml:space="preserve"> de obras públicas municipales</w:t>
      </w:r>
    </w:p>
    <w:p w:rsidR="0044093F" w:rsidRPr="005A369B" w:rsidRDefault="0044093F" w:rsidP="00B7310F">
      <w:pPr>
        <w:spacing w:before="240" w:after="240"/>
        <w:ind w:left="1134" w:right="1134"/>
        <w:jc w:val="both"/>
        <w:rPr>
          <w:rFonts w:ascii="Palatino Linotype" w:eastAsia="Palatino Linotype" w:hAnsi="Palatino Linotype" w:cs="Palatino Linotype"/>
          <w:i/>
          <w:iCs/>
        </w:rPr>
      </w:pPr>
    </w:p>
    <w:p w:rsidR="00067B6D" w:rsidRDefault="00605057" w:rsidP="009C2633">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5A369B">
        <w:rPr>
          <w:rFonts w:ascii="Palatino Linotype" w:eastAsia="Palatino Linotype" w:hAnsi="Palatino Linotype" w:cs="Palatino Linotype"/>
          <w:color w:val="000000"/>
        </w:rPr>
        <w:t xml:space="preserve">De lo anterior se advierte que si bien la Dirección de Obras Públicas </w:t>
      </w:r>
      <w:r w:rsidR="00067B6D">
        <w:rPr>
          <w:rFonts w:ascii="Palatino Linotype" w:eastAsia="Palatino Linotype" w:hAnsi="Palatino Linotype" w:cs="Palatino Linotype"/>
          <w:color w:val="000000"/>
        </w:rPr>
        <w:t xml:space="preserve">atendió la solicitud de información, también lo es que no proporciono la información solicitada, situación por la cual se analiza lo siguiente. </w:t>
      </w:r>
    </w:p>
    <w:p w:rsidR="009C2633" w:rsidRPr="005A369B" w:rsidRDefault="009C2633" w:rsidP="009C2633">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605057" w:rsidRPr="005A369B" w:rsidRDefault="00067B6D" w:rsidP="0056322A">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En esa línea</w:t>
      </w:r>
      <w:r w:rsidR="00605057" w:rsidRPr="005A369B">
        <w:rPr>
          <w:rFonts w:ascii="Palatino Linotype" w:eastAsia="Palatino Linotype" w:hAnsi="Palatino Linotype" w:cs="Palatino Linotype"/>
          <w:color w:val="000000"/>
        </w:rPr>
        <w:t xml:space="preserve">, es oportuno hacer alusión al Libro Décimo Segundo. De la obra pública, del </w:t>
      </w:r>
      <w:r w:rsidR="00605057" w:rsidRPr="005A369B">
        <w:rPr>
          <w:rFonts w:ascii="Palatino Linotype" w:eastAsia="Palatino Linotype" w:hAnsi="Palatino Linotype" w:cs="Palatino Linotype"/>
          <w:color w:val="000000"/>
          <w:lang w:val="es-ES"/>
        </w:rPr>
        <w:t>Código</w:t>
      </w:r>
      <w:r w:rsidR="00605057" w:rsidRPr="005A369B">
        <w:rPr>
          <w:rFonts w:ascii="Palatino Linotype" w:eastAsia="Palatino Linotype" w:hAnsi="Palatino Linotype" w:cs="Palatino Linotype"/>
          <w:color w:val="000000"/>
        </w:rPr>
        <w:t xml:space="preserve"> Administrativo del Estado de México, el cual, de conformidad con el artículo 12.1, regular los actos relativos a la planeación, programación, presupuestación, adjudicación, contratación, ejecución y control de la obra pública, así como los servicios relacionados con la misma que, por sí o por conducto de terceros, realicen las secretarías y unidades administrativas del Poder Ejecutivo del Estado; la Fiscalía General de Justicia; los ayuntamientos de los municipios del Estado; los organismos auxiliares y fideicomisos públicos del Estado y municipios; y los tribunales administrativos.</w:t>
      </w:r>
    </w:p>
    <w:p w:rsidR="0056322A" w:rsidRPr="005A369B" w:rsidRDefault="0056322A" w:rsidP="0056322A">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605057" w:rsidRPr="005A369B" w:rsidRDefault="00605057" w:rsidP="0056322A">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5A369B">
        <w:rPr>
          <w:rFonts w:ascii="Palatino Linotype" w:eastAsia="Palatino Linotype" w:hAnsi="Palatino Linotype" w:cs="Palatino Linotype"/>
          <w:color w:val="000000"/>
        </w:rPr>
        <w:t xml:space="preserve">En este tenor, de acuerdo con el artículo 12.4 del Libro Décimo Segundo del referido Código, se considera obra pública todo trabajo que tenga por objeto principal </w:t>
      </w:r>
      <w:r w:rsidRPr="005A369B">
        <w:rPr>
          <w:rFonts w:ascii="Palatino Linotype" w:eastAsia="Palatino Linotype" w:hAnsi="Palatino Linotype" w:cs="Palatino Linotype"/>
          <w:i/>
          <w:iCs/>
          <w:color w:val="000000"/>
        </w:rPr>
        <w:t>construir, instalar, ampliar, adecuar, remodelar, restaurar, conservar, mantener, modificar o demoler bienes inmuebles propiedad del Estado, de sus dependencias y entidades y de los municipios y sus organismos con cargo a recursos públicos estatales o municipales</w:t>
      </w:r>
      <w:r w:rsidRPr="005A369B">
        <w:rPr>
          <w:rFonts w:ascii="Palatino Linotype" w:eastAsia="Palatino Linotype" w:hAnsi="Palatino Linotype" w:cs="Palatino Linotype"/>
          <w:b/>
          <w:bCs/>
          <w:color w:val="000000"/>
        </w:rPr>
        <w:t xml:space="preserve">, </w:t>
      </w:r>
      <w:r w:rsidRPr="005A369B">
        <w:rPr>
          <w:rFonts w:ascii="Palatino Linotype" w:eastAsia="Palatino Linotype" w:hAnsi="Palatino Linotype" w:cs="Palatino Linotype"/>
          <w:color w:val="000000"/>
        </w:rPr>
        <w:t xml:space="preserve">quedando comprendidos dentro de la obra pública: </w:t>
      </w:r>
    </w:p>
    <w:p w:rsidR="00605057" w:rsidRPr="005A369B" w:rsidRDefault="00605057" w:rsidP="00605057">
      <w:pPr>
        <w:spacing w:before="240" w:after="240"/>
        <w:ind w:left="1134" w:right="1134"/>
        <w:jc w:val="both"/>
        <w:rPr>
          <w:rFonts w:ascii="Palatino Linotype" w:eastAsia="Palatino Linotype" w:hAnsi="Palatino Linotype" w:cs="Palatino Linotype"/>
          <w:i/>
          <w:iCs/>
        </w:rPr>
      </w:pPr>
      <w:r w:rsidRPr="005A369B">
        <w:rPr>
          <w:rFonts w:ascii="Palatino Linotype" w:eastAsia="Palatino Linotype" w:hAnsi="Palatino Linotype" w:cs="Palatino Linotype"/>
          <w:i/>
          <w:iCs/>
        </w:rPr>
        <w:t xml:space="preserve">I. El mantenimiento, restauración, desmantelamiento o remoción de bienes muebles incorporados o adheridos a un inmueble; </w:t>
      </w:r>
    </w:p>
    <w:p w:rsidR="00605057" w:rsidRPr="005A369B" w:rsidRDefault="00605057" w:rsidP="00605057">
      <w:pPr>
        <w:spacing w:before="240" w:after="240"/>
        <w:ind w:left="1134" w:right="1134"/>
        <w:jc w:val="both"/>
        <w:rPr>
          <w:rFonts w:ascii="Palatino Linotype" w:eastAsia="Palatino Linotype" w:hAnsi="Palatino Linotype" w:cs="Palatino Linotype"/>
          <w:i/>
          <w:iCs/>
        </w:rPr>
      </w:pPr>
      <w:r w:rsidRPr="005A369B">
        <w:rPr>
          <w:rFonts w:ascii="Palatino Linotype" w:eastAsia="Palatino Linotype" w:hAnsi="Palatino Linotype" w:cs="Palatino Linotype"/>
          <w:i/>
          <w:iCs/>
        </w:rPr>
        <w:t xml:space="preserve">II. Los proyectos integrales o comúnmente denominados llave en mano, en los cuales el contratista se obliga desde el diseño de la obra hasta su terminación total, incluyéndose, cuando se requiera, la transferencia de tecnología; </w:t>
      </w:r>
    </w:p>
    <w:p w:rsidR="00605057" w:rsidRPr="005A369B" w:rsidRDefault="00605057" w:rsidP="00605057">
      <w:pPr>
        <w:spacing w:before="240" w:after="240"/>
        <w:ind w:left="1134" w:right="1134"/>
        <w:jc w:val="both"/>
        <w:rPr>
          <w:rFonts w:ascii="Palatino Linotype" w:eastAsia="Palatino Linotype" w:hAnsi="Palatino Linotype" w:cs="Palatino Linotype"/>
          <w:i/>
          <w:iCs/>
        </w:rPr>
      </w:pPr>
      <w:r w:rsidRPr="005A369B">
        <w:rPr>
          <w:rFonts w:ascii="Palatino Linotype" w:eastAsia="Palatino Linotype" w:hAnsi="Palatino Linotype" w:cs="Palatino Linotype"/>
          <w:i/>
          <w:iCs/>
        </w:rPr>
        <w:t xml:space="preserve">III. Los trabajos de exploración, localización y perforación; mejoramiento del suelo y/o subsuelo; desmontes y extracción y aquellos similares que tengan por objeto la explotación y desarrollo de los recursos naturales que se encuentran en el suelo y/o subsuelo; </w:t>
      </w:r>
    </w:p>
    <w:p w:rsidR="00605057" w:rsidRPr="005A369B" w:rsidRDefault="00605057" w:rsidP="00605057">
      <w:pPr>
        <w:spacing w:before="240" w:after="240"/>
        <w:ind w:left="1134" w:right="1134"/>
        <w:jc w:val="both"/>
        <w:rPr>
          <w:rFonts w:ascii="Palatino Linotype" w:eastAsia="Palatino Linotype" w:hAnsi="Palatino Linotype" w:cs="Palatino Linotype"/>
          <w:i/>
          <w:iCs/>
        </w:rPr>
      </w:pPr>
      <w:r w:rsidRPr="005A369B">
        <w:rPr>
          <w:rFonts w:ascii="Palatino Linotype" w:eastAsia="Palatino Linotype" w:hAnsi="Palatino Linotype" w:cs="Palatino Linotype"/>
          <w:i/>
          <w:iCs/>
        </w:rPr>
        <w:lastRenderedPageBreak/>
        <w:t xml:space="preserve">IV. Los trabajos de infraestructura agropecuaria e hidro - agrícola: </w:t>
      </w:r>
    </w:p>
    <w:p w:rsidR="00605057" w:rsidRPr="005A369B" w:rsidRDefault="00605057" w:rsidP="00605057">
      <w:pPr>
        <w:spacing w:before="240" w:after="240"/>
        <w:ind w:left="1134" w:right="1134"/>
        <w:jc w:val="both"/>
        <w:rPr>
          <w:rFonts w:ascii="Palatino Linotype" w:eastAsia="Palatino Linotype" w:hAnsi="Palatino Linotype" w:cs="Palatino Linotype"/>
          <w:i/>
          <w:iCs/>
        </w:rPr>
      </w:pPr>
      <w:r w:rsidRPr="005A369B">
        <w:rPr>
          <w:rFonts w:ascii="Palatino Linotype" w:eastAsia="Palatino Linotype" w:hAnsi="Palatino Linotype" w:cs="Palatino Linotype"/>
          <w:i/>
          <w:iCs/>
        </w:rPr>
        <w:t xml:space="preserve">V. La instalación, montaje, colocación y/o aplicación, incluyendo las pruebas de operación de bienes muebles que deban incorporarse, adherirse o destinarse a un inmueble, siempre que dichos muebles sean proporcionados por la convocante al contratista o bien, cuando su adquisición esté incluida en los trabajos que se contraten y su precio sea menor al de estos últimos; </w:t>
      </w:r>
    </w:p>
    <w:p w:rsidR="00605057" w:rsidRPr="005A369B" w:rsidRDefault="00605057" w:rsidP="00DB6262">
      <w:pPr>
        <w:spacing w:before="240" w:after="240"/>
        <w:ind w:left="1134" w:right="1134"/>
        <w:jc w:val="both"/>
        <w:rPr>
          <w:rFonts w:ascii="Palatino Linotype" w:eastAsia="Palatino Linotype" w:hAnsi="Palatino Linotype" w:cs="Palatino Linotype"/>
          <w:i/>
          <w:iCs/>
        </w:rPr>
      </w:pPr>
      <w:r w:rsidRPr="005A369B">
        <w:rPr>
          <w:rFonts w:ascii="Palatino Linotype" w:eastAsia="Palatino Linotype" w:hAnsi="Palatino Linotype" w:cs="Palatino Linotype"/>
          <w:i/>
          <w:iCs/>
        </w:rPr>
        <w:t>VI. Los demás que tengan por objeto principal alguno de los conceptos a que se refiere el párrafo primero de este artículo, excluyéndose expresamente los trabajos regulados por el</w:t>
      </w:r>
      <w:r w:rsidR="00DB6262">
        <w:rPr>
          <w:rFonts w:ascii="Palatino Linotype" w:eastAsia="Palatino Linotype" w:hAnsi="Palatino Linotype" w:cs="Palatino Linotype"/>
          <w:i/>
          <w:iCs/>
        </w:rPr>
        <w:t xml:space="preserve"> Libro Décimo Sexto del Código.</w:t>
      </w:r>
    </w:p>
    <w:p w:rsidR="00605057" w:rsidRPr="005A369B" w:rsidRDefault="00605057" w:rsidP="0056322A">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5A369B">
        <w:rPr>
          <w:rFonts w:ascii="Palatino Linotype" w:eastAsia="Palatino Linotype" w:hAnsi="Palatino Linotype" w:cs="Palatino Linotype"/>
          <w:color w:val="000000"/>
        </w:rPr>
        <w:t>Así también del artículo 12.5 del Libro Décimo Segundo se señala que son</w:t>
      </w:r>
      <w:r w:rsidRPr="005A369B">
        <w:rPr>
          <w:rFonts w:ascii="Palatino Linotype" w:eastAsia="Palatino Linotype" w:hAnsi="Palatino Linotype" w:cs="Palatino Linotype"/>
          <w:b/>
          <w:bCs/>
          <w:color w:val="000000"/>
        </w:rPr>
        <w:t xml:space="preserve"> </w:t>
      </w:r>
      <w:r w:rsidRPr="005A369B">
        <w:rPr>
          <w:rFonts w:ascii="Palatino Linotype" w:eastAsia="Palatino Linotype" w:hAnsi="Palatino Linotype" w:cs="Palatino Linotype"/>
          <w:color w:val="000000"/>
        </w:rPr>
        <w:t xml:space="preserve">servicios relacionados con la obra pública, </w:t>
      </w:r>
      <w:r w:rsidRPr="005A369B">
        <w:rPr>
          <w:rFonts w:ascii="Palatino Linotype" w:eastAsia="Palatino Linotype" w:hAnsi="Palatino Linotype" w:cs="Palatino Linotype"/>
          <w:i/>
          <w:iCs/>
          <w:color w:val="000000"/>
        </w:rPr>
        <w:t>los trabajos que tengan por objeto concebir, diseñar y calcular los elementos que integran un proyecto de obra pública; las investigaciones, estudios, asesorías y consultorías</w:t>
      </w:r>
      <w:r w:rsidRPr="005A369B">
        <w:rPr>
          <w:rFonts w:ascii="Palatino Linotype" w:eastAsia="Palatino Linotype" w:hAnsi="Palatino Linotype" w:cs="Palatino Linotype"/>
          <w:color w:val="000000"/>
        </w:rPr>
        <w:t xml:space="preserve"> que se vinculen con los actos que regula el Libro Décimo Segundo; la dirección y supervisión de la ejecución de las obras y los estudios que tengan por objeto principal rehabilitar, corregir o incrementar la eficiencia de las instalaciones con excepción de los trabajos regulados por el Libro Décimo Sexto del Código, quedando comprendidos dentro de los servicios relacionados con la obra pública:</w:t>
      </w:r>
    </w:p>
    <w:p w:rsidR="00605057" w:rsidRPr="005A369B" w:rsidRDefault="00605057" w:rsidP="002702E6">
      <w:pPr>
        <w:spacing w:before="240" w:after="240"/>
        <w:ind w:left="1134" w:right="1843"/>
        <w:jc w:val="both"/>
        <w:rPr>
          <w:rFonts w:ascii="Palatino Linotype" w:eastAsia="Palatino Linotype" w:hAnsi="Palatino Linotype" w:cs="Palatino Linotype"/>
          <w:i/>
          <w:iCs/>
        </w:rPr>
      </w:pPr>
      <w:r w:rsidRPr="005A369B">
        <w:rPr>
          <w:rFonts w:ascii="Palatino Linotype" w:eastAsia="Palatino Linotype" w:hAnsi="Palatino Linotype" w:cs="Palatino Linotype"/>
          <w:b/>
          <w:bCs/>
          <w:i/>
          <w:iCs/>
        </w:rPr>
        <w:t>I.</w:t>
      </w:r>
      <w:r w:rsidRPr="005A369B">
        <w:rPr>
          <w:rFonts w:ascii="Palatino Linotype" w:eastAsia="Palatino Linotype" w:hAnsi="Palatino Linotype" w:cs="Palatino Linotype"/>
          <w:i/>
          <w:iCs/>
        </w:rPr>
        <w:t xml:space="preserve"> La planeación, incluyendo los trabajos que tengan por objeto concebir, diseñar, proyectar y calcular los elementos que integran un proyecto de ingeniería básica, estructural de instalaciones, de infraestructura, industrial, electromecánica y de cualquier otra especialidad de la ingeniería que se requiera para integrar un proyecto ejecutivo de obra pública; </w:t>
      </w:r>
    </w:p>
    <w:p w:rsidR="00605057" w:rsidRPr="005A369B" w:rsidRDefault="00605057" w:rsidP="002702E6">
      <w:pPr>
        <w:spacing w:before="240" w:after="240"/>
        <w:ind w:left="1134" w:right="1843"/>
        <w:jc w:val="both"/>
        <w:rPr>
          <w:rFonts w:ascii="Palatino Linotype" w:eastAsia="Palatino Linotype" w:hAnsi="Palatino Linotype" w:cs="Palatino Linotype"/>
          <w:i/>
          <w:iCs/>
        </w:rPr>
      </w:pPr>
      <w:r w:rsidRPr="005A369B">
        <w:rPr>
          <w:rFonts w:ascii="Palatino Linotype" w:eastAsia="Palatino Linotype" w:hAnsi="Palatino Linotype" w:cs="Palatino Linotype"/>
          <w:b/>
          <w:bCs/>
          <w:i/>
          <w:iCs/>
        </w:rPr>
        <w:t>II.</w:t>
      </w:r>
      <w:r w:rsidRPr="005A369B">
        <w:rPr>
          <w:rFonts w:ascii="Palatino Linotype" w:eastAsia="Palatino Linotype" w:hAnsi="Palatino Linotype" w:cs="Palatino Linotype"/>
          <w:i/>
          <w:iCs/>
        </w:rPr>
        <w:t xml:space="preserve"> La planeación, incluyendo los trabajos que tengan por objeto concebir, diseñar, proyectar y calcular los elementos que integran un proyecto urbanístico, arquitectónico, de diseño gráfico o artístico y de cualquier otra especialidad del diseño, la arquitectura y el urbanismo, </w:t>
      </w:r>
      <w:r w:rsidRPr="005A369B">
        <w:rPr>
          <w:rFonts w:ascii="Palatino Linotype" w:eastAsia="Palatino Linotype" w:hAnsi="Palatino Linotype" w:cs="Palatino Linotype"/>
          <w:i/>
          <w:iCs/>
        </w:rPr>
        <w:lastRenderedPageBreak/>
        <w:t xml:space="preserve">que se requiera para integrar un proyecto ejecutivo de obra pública, así como los estudios inherentes al desarrollo urbano en el Estado; </w:t>
      </w:r>
    </w:p>
    <w:p w:rsidR="00605057" w:rsidRPr="005A369B" w:rsidRDefault="00605057" w:rsidP="002702E6">
      <w:pPr>
        <w:spacing w:before="240" w:after="240"/>
        <w:ind w:left="1134" w:right="1843"/>
        <w:jc w:val="both"/>
        <w:rPr>
          <w:rFonts w:ascii="Palatino Linotype" w:eastAsia="Palatino Linotype" w:hAnsi="Palatino Linotype" w:cs="Palatino Linotype"/>
          <w:i/>
          <w:iCs/>
        </w:rPr>
      </w:pPr>
      <w:r w:rsidRPr="005A369B">
        <w:rPr>
          <w:rFonts w:ascii="Palatino Linotype" w:eastAsia="Palatino Linotype" w:hAnsi="Palatino Linotype" w:cs="Palatino Linotype"/>
          <w:b/>
          <w:bCs/>
          <w:i/>
          <w:iCs/>
        </w:rPr>
        <w:t>III</w:t>
      </w:r>
      <w:r w:rsidRPr="005A369B">
        <w:rPr>
          <w:rFonts w:ascii="Palatino Linotype" w:eastAsia="Palatino Linotype" w:hAnsi="Palatino Linotype" w:cs="Palatino Linotype"/>
          <w:i/>
          <w:iCs/>
        </w:rPr>
        <w:t xml:space="preserve">. Los estudios técnicos de agrología y desarrollo pecuario, hidrología, mecánica de suelos, sismología, topografía, geología, geodesia, geofísica, geotermia, meteorología, aerofotogrametría, ambientales, ecológicos y de ingeniería de tránsito; </w:t>
      </w:r>
    </w:p>
    <w:p w:rsidR="00605057" w:rsidRPr="005A369B" w:rsidRDefault="00605057" w:rsidP="002702E6">
      <w:pPr>
        <w:spacing w:before="240" w:after="240"/>
        <w:ind w:left="1134" w:right="1843"/>
        <w:jc w:val="both"/>
        <w:rPr>
          <w:rFonts w:ascii="Palatino Linotype" w:eastAsia="Palatino Linotype" w:hAnsi="Palatino Linotype" w:cs="Palatino Linotype"/>
          <w:i/>
          <w:iCs/>
        </w:rPr>
      </w:pPr>
      <w:r w:rsidRPr="005A369B">
        <w:rPr>
          <w:rFonts w:ascii="Palatino Linotype" w:eastAsia="Palatino Linotype" w:hAnsi="Palatino Linotype" w:cs="Palatino Linotype"/>
          <w:b/>
          <w:bCs/>
          <w:i/>
          <w:iCs/>
        </w:rPr>
        <w:t>IV</w:t>
      </w:r>
      <w:r w:rsidRPr="005A369B">
        <w:rPr>
          <w:rFonts w:ascii="Palatino Linotype" w:eastAsia="Palatino Linotype" w:hAnsi="Palatino Linotype" w:cs="Palatino Linotype"/>
          <w:i/>
          <w:iCs/>
        </w:rPr>
        <w:t xml:space="preserve">. Los estudios económicos y de planeación de preinversión, factibilidad técnico económica, ecológica o social, de evaluación, adaptación, tenencia de la tierra, financieros, de desarrollo y restitución de la eficiencia de las instalaciones; </w:t>
      </w:r>
    </w:p>
    <w:p w:rsidR="00605057" w:rsidRPr="005A369B" w:rsidRDefault="00605057" w:rsidP="002702E6">
      <w:pPr>
        <w:spacing w:before="240" w:after="240"/>
        <w:ind w:left="1134" w:right="1843"/>
        <w:jc w:val="both"/>
        <w:rPr>
          <w:rFonts w:ascii="Palatino Linotype" w:eastAsia="Palatino Linotype" w:hAnsi="Palatino Linotype" w:cs="Palatino Linotype"/>
          <w:i/>
          <w:iCs/>
        </w:rPr>
      </w:pPr>
      <w:r w:rsidRPr="005A369B">
        <w:rPr>
          <w:rFonts w:ascii="Palatino Linotype" w:eastAsia="Palatino Linotype" w:hAnsi="Palatino Linotype" w:cs="Palatino Linotype"/>
          <w:b/>
          <w:bCs/>
          <w:i/>
          <w:iCs/>
        </w:rPr>
        <w:t>V.</w:t>
      </w:r>
      <w:r w:rsidRPr="005A369B">
        <w:rPr>
          <w:rFonts w:ascii="Palatino Linotype" w:eastAsia="Palatino Linotype" w:hAnsi="Palatino Linotype" w:cs="Palatino Linotype"/>
          <w:i/>
          <w:iCs/>
        </w:rPr>
        <w:t xml:space="preserve"> Los trabajos de coordinación, supervisión y control de obra; de laboratorio de análisis y control de calidad; de laboratorio de geotecnia, de resistencia de materiales y radiografías industriales; de preparación de especificaciones de construcción, presupuestación o la elaboración de cualquier otro documento o trabajo para la adjudicación del contrato de obra correspondiente; </w:t>
      </w:r>
    </w:p>
    <w:p w:rsidR="00605057" w:rsidRPr="005A369B" w:rsidRDefault="00605057" w:rsidP="002702E6">
      <w:pPr>
        <w:spacing w:before="240" w:after="240"/>
        <w:ind w:left="1134" w:right="1843"/>
        <w:jc w:val="both"/>
        <w:rPr>
          <w:rFonts w:ascii="Palatino Linotype" w:eastAsia="Palatino Linotype" w:hAnsi="Palatino Linotype" w:cs="Palatino Linotype"/>
          <w:i/>
          <w:iCs/>
        </w:rPr>
      </w:pPr>
      <w:r w:rsidRPr="005A369B">
        <w:rPr>
          <w:rFonts w:ascii="Palatino Linotype" w:eastAsia="Palatino Linotype" w:hAnsi="Palatino Linotype" w:cs="Palatino Linotype"/>
          <w:b/>
          <w:bCs/>
          <w:i/>
          <w:iCs/>
        </w:rPr>
        <w:t>VI.</w:t>
      </w:r>
      <w:r w:rsidRPr="005A369B">
        <w:rPr>
          <w:rFonts w:ascii="Palatino Linotype" w:eastAsia="Palatino Linotype" w:hAnsi="Palatino Linotype" w:cs="Palatino Linotype"/>
          <w:i/>
          <w:iCs/>
        </w:rPr>
        <w:t xml:space="preserve"> Los trabajos de organización, informática, comunicaciones, cibernética y sistemas aplicados a las materias que regulan este Libro; </w:t>
      </w:r>
    </w:p>
    <w:p w:rsidR="00605057" w:rsidRPr="005A369B" w:rsidRDefault="00605057" w:rsidP="002702E6">
      <w:pPr>
        <w:spacing w:before="240" w:after="240"/>
        <w:ind w:left="1134" w:right="1843"/>
        <w:jc w:val="both"/>
        <w:rPr>
          <w:rFonts w:ascii="Palatino Linotype" w:eastAsia="Palatino Linotype" w:hAnsi="Palatino Linotype" w:cs="Palatino Linotype"/>
          <w:i/>
          <w:iCs/>
        </w:rPr>
      </w:pPr>
      <w:r w:rsidRPr="005A369B">
        <w:rPr>
          <w:rFonts w:ascii="Palatino Linotype" w:eastAsia="Palatino Linotype" w:hAnsi="Palatino Linotype" w:cs="Palatino Linotype"/>
          <w:b/>
          <w:bCs/>
          <w:i/>
          <w:iCs/>
        </w:rPr>
        <w:t>VII.</w:t>
      </w:r>
      <w:r w:rsidRPr="005A369B">
        <w:rPr>
          <w:rFonts w:ascii="Palatino Linotype" w:eastAsia="Palatino Linotype" w:hAnsi="Palatino Linotype" w:cs="Palatino Linotype"/>
          <w:i/>
          <w:iCs/>
        </w:rPr>
        <w:t xml:space="preserve"> Los dictámenes, peritajes, avalúos y auditorías técnico normativas, y estudios aplicables a la obra pública; </w:t>
      </w:r>
    </w:p>
    <w:p w:rsidR="00605057" w:rsidRPr="005A369B" w:rsidRDefault="00605057" w:rsidP="002702E6">
      <w:pPr>
        <w:spacing w:before="240" w:after="240"/>
        <w:ind w:left="1134" w:right="1843"/>
        <w:jc w:val="both"/>
        <w:rPr>
          <w:rFonts w:ascii="Palatino Linotype" w:eastAsia="Palatino Linotype" w:hAnsi="Palatino Linotype" w:cs="Palatino Linotype"/>
          <w:i/>
          <w:iCs/>
        </w:rPr>
      </w:pPr>
      <w:r w:rsidRPr="005A369B">
        <w:rPr>
          <w:rFonts w:ascii="Palatino Linotype" w:eastAsia="Palatino Linotype" w:hAnsi="Palatino Linotype" w:cs="Palatino Linotype"/>
          <w:b/>
          <w:bCs/>
          <w:i/>
          <w:iCs/>
        </w:rPr>
        <w:t>VIII.</w:t>
      </w:r>
      <w:r w:rsidRPr="005A369B">
        <w:rPr>
          <w:rFonts w:ascii="Palatino Linotype" w:eastAsia="Palatino Linotype" w:hAnsi="Palatino Linotype" w:cs="Palatino Linotype"/>
          <w:i/>
          <w:iCs/>
        </w:rPr>
        <w:t xml:space="preserve"> Los estudios que tengan por objeto rehabilitar, corregir, sustituir o incrementar la eficiencia de las instalaciones en un bien inmueble; </w:t>
      </w:r>
    </w:p>
    <w:p w:rsidR="00605057" w:rsidRPr="005A369B" w:rsidRDefault="00605057" w:rsidP="002702E6">
      <w:pPr>
        <w:spacing w:before="240" w:after="240"/>
        <w:ind w:left="1134" w:right="1843"/>
        <w:jc w:val="both"/>
        <w:rPr>
          <w:rFonts w:ascii="Palatino Linotype" w:eastAsia="Palatino Linotype" w:hAnsi="Palatino Linotype" w:cs="Palatino Linotype"/>
          <w:i/>
          <w:iCs/>
        </w:rPr>
      </w:pPr>
      <w:r w:rsidRPr="005A369B">
        <w:rPr>
          <w:rFonts w:ascii="Palatino Linotype" w:eastAsia="Palatino Linotype" w:hAnsi="Palatino Linotype" w:cs="Palatino Linotype"/>
          <w:b/>
          <w:bCs/>
          <w:i/>
          <w:iCs/>
        </w:rPr>
        <w:t>IX.</w:t>
      </w:r>
      <w:r w:rsidRPr="005A369B">
        <w:rPr>
          <w:rFonts w:ascii="Palatino Linotype" w:eastAsia="Palatino Linotype" w:hAnsi="Palatino Linotype" w:cs="Palatino Linotype"/>
          <w:i/>
          <w:iCs/>
        </w:rPr>
        <w:t xml:space="preserve"> Los estudios de apoyo tecnológico, incluyendo los de desarrollo y transferencia de tecnología, entre otros; </w:t>
      </w:r>
    </w:p>
    <w:p w:rsidR="00605057" w:rsidRDefault="00605057" w:rsidP="002702E6">
      <w:pPr>
        <w:spacing w:before="240" w:after="240"/>
        <w:ind w:left="1134" w:right="1843"/>
        <w:jc w:val="both"/>
        <w:rPr>
          <w:rFonts w:ascii="Palatino Linotype" w:eastAsia="Palatino Linotype" w:hAnsi="Palatino Linotype" w:cs="Palatino Linotype"/>
          <w:i/>
          <w:iCs/>
        </w:rPr>
      </w:pPr>
      <w:r w:rsidRPr="005A369B">
        <w:rPr>
          <w:rFonts w:ascii="Palatino Linotype" w:eastAsia="Palatino Linotype" w:hAnsi="Palatino Linotype" w:cs="Palatino Linotype"/>
          <w:b/>
          <w:bCs/>
          <w:i/>
          <w:iCs/>
        </w:rPr>
        <w:t>X.</w:t>
      </w:r>
      <w:r w:rsidRPr="005A369B">
        <w:rPr>
          <w:rFonts w:ascii="Palatino Linotype" w:eastAsia="Palatino Linotype" w:hAnsi="Palatino Linotype" w:cs="Palatino Linotype"/>
          <w:i/>
          <w:iCs/>
        </w:rPr>
        <w:t xml:space="preserve"> Los demás que tengan por objeto alguno de los conceptos a que se refiere el pá</w:t>
      </w:r>
      <w:r w:rsidR="002702E6">
        <w:rPr>
          <w:rFonts w:ascii="Palatino Linotype" w:eastAsia="Palatino Linotype" w:hAnsi="Palatino Linotype" w:cs="Palatino Linotype"/>
          <w:i/>
          <w:iCs/>
        </w:rPr>
        <w:t>rrafo primero de este artículo.</w:t>
      </w:r>
    </w:p>
    <w:p w:rsidR="0044093F" w:rsidRPr="005A369B" w:rsidRDefault="0044093F" w:rsidP="002702E6">
      <w:pPr>
        <w:spacing w:before="240" w:after="240"/>
        <w:ind w:left="1134" w:right="1843"/>
        <w:jc w:val="both"/>
        <w:rPr>
          <w:rFonts w:ascii="Palatino Linotype" w:eastAsia="Palatino Linotype" w:hAnsi="Palatino Linotype" w:cs="Palatino Linotype"/>
          <w:i/>
          <w:iCs/>
        </w:rPr>
      </w:pPr>
    </w:p>
    <w:p w:rsidR="00605057" w:rsidRDefault="00605057" w:rsidP="0056322A">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5A369B">
        <w:rPr>
          <w:rFonts w:ascii="Palatino Linotype" w:eastAsia="Palatino Linotype" w:hAnsi="Palatino Linotype" w:cs="Palatino Linotype"/>
          <w:color w:val="000000"/>
        </w:rPr>
        <w:lastRenderedPageBreak/>
        <w:t>Por otra parte el artículo 12.12 del Libro Décimo Segundo, señala que en la planeación de la obra pública o de los servicios relacionados con la misma, las dependencias, entidades y ayuntamientos en lo que les corresponda, deberán, entre otras previsiones, considerar la disponibilidad de recursos financieros.</w:t>
      </w:r>
    </w:p>
    <w:p w:rsidR="002702E6" w:rsidRPr="005A369B" w:rsidRDefault="002702E6" w:rsidP="002702E6">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605057" w:rsidRPr="005A369B" w:rsidRDefault="00605057" w:rsidP="0056322A">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5A369B">
        <w:rPr>
          <w:rFonts w:ascii="Palatino Linotype" w:eastAsia="Palatino Linotype" w:hAnsi="Palatino Linotype" w:cs="Palatino Linotype"/>
          <w:color w:val="000000"/>
        </w:rPr>
        <w:t>Por cuanto hace al procedimiento de adjudicación, el Capítulo Tercero del Libro Décimo Segundo del Código Administrativo del Estado de México, dispone lo siguiente:</w:t>
      </w:r>
    </w:p>
    <w:p w:rsidR="00605057" w:rsidRPr="005A369B" w:rsidRDefault="00605057" w:rsidP="00605057">
      <w:pPr>
        <w:spacing w:before="120" w:after="120"/>
        <w:ind w:left="1134" w:right="1134"/>
        <w:jc w:val="both"/>
        <w:rPr>
          <w:rFonts w:ascii="Palatino Linotype" w:eastAsia="Palatino Linotype" w:hAnsi="Palatino Linotype" w:cs="Palatino Linotype"/>
          <w:i/>
          <w:iCs/>
        </w:rPr>
      </w:pPr>
      <w:r w:rsidRPr="005A369B">
        <w:rPr>
          <w:rFonts w:ascii="Palatino Linotype" w:eastAsia="Palatino Linotype" w:hAnsi="Palatino Linotype" w:cs="Palatino Linotype"/>
          <w:b/>
          <w:bCs/>
          <w:i/>
          <w:iCs/>
        </w:rPr>
        <w:t>“Artículo 12.20</w:t>
      </w:r>
      <w:r w:rsidRPr="005A369B">
        <w:rPr>
          <w:rFonts w:ascii="Palatino Linotype" w:eastAsia="Palatino Linotype" w:hAnsi="Palatino Linotype" w:cs="Palatino Linotype"/>
          <w:i/>
          <w:iCs/>
        </w:rPr>
        <w:t xml:space="preserve">.- Los contratos a que se refiere este Libro, </w:t>
      </w:r>
      <w:r w:rsidRPr="005A369B">
        <w:rPr>
          <w:rFonts w:ascii="Palatino Linotype" w:eastAsia="Palatino Linotype" w:hAnsi="Palatino Linotype" w:cs="Palatino Linotype"/>
          <w:b/>
          <w:bCs/>
          <w:i/>
          <w:iCs/>
        </w:rPr>
        <w:t xml:space="preserve">se adjudicarán a través de </w:t>
      </w:r>
      <w:r w:rsidRPr="005A369B">
        <w:rPr>
          <w:rFonts w:ascii="Palatino Linotype" w:eastAsia="Palatino Linotype" w:hAnsi="Palatino Linotype" w:cs="Palatino Linotype"/>
          <w:b/>
          <w:bCs/>
          <w:i/>
          <w:iCs/>
          <w:u w:val="single"/>
        </w:rPr>
        <w:t>licitaciones públicas</w:t>
      </w:r>
      <w:r w:rsidRPr="005A369B">
        <w:rPr>
          <w:rFonts w:ascii="Palatino Linotype" w:eastAsia="Palatino Linotype" w:hAnsi="Palatino Linotype" w:cs="Palatino Linotype"/>
          <w:b/>
          <w:bCs/>
          <w:i/>
          <w:iCs/>
        </w:rPr>
        <w:t>, mediante convocatoria pública.</w:t>
      </w:r>
      <w:r w:rsidRPr="005A369B">
        <w:rPr>
          <w:rFonts w:ascii="Palatino Linotype" w:eastAsia="Palatino Linotype" w:hAnsi="Palatino Linotype" w:cs="Palatino Linotype"/>
          <w:i/>
          <w:iCs/>
        </w:rPr>
        <w:t xml:space="preserve"> </w:t>
      </w:r>
    </w:p>
    <w:p w:rsidR="00605057" w:rsidRPr="005A369B" w:rsidRDefault="00605057" w:rsidP="00605057">
      <w:pPr>
        <w:spacing w:before="120" w:after="120"/>
        <w:ind w:left="1134" w:right="1134"/>
        <w:jc w:val="both"/>
        <w:rPr>
          <w:rFonts w:ascii="Palatino Linotype" w:eastAsia="Palatino Linotype" w:hAnsi="Palatino Linotype" w:cs="Palatino Linotype"/>
          <w:i/>
          <w:iCs/>
        </w:rPr>
      </w:pPr>
      <w:r w:rsidRPr="005A369B">
        <w:rPr>
          <w:rFonts w:ascii="Palatino Linotype" w:eastAsia="Palatino Linotype" w:hAnsi="Palatino Linotype" w:cs="Palatino Linotype"/>
          <w:b/>
          <w:bCs/>
          <w:i/>
          <w:iCs/>
        </w:rPr>
        <w:t>Artículo 12.21</w:t>
      </w:r>
      <w:r w:rsidRPr="005A369B">
        <w:rPr>
          <w:rFonts w:ascii="Palatino Linotype" w:eastAsia="Palatino Linotype" w:hAnsi="Palatino Linotype" w:cs="Palatino Linotype"/>
          <w:i/>
          <w:iCs/>
        </w:rPr>
        <w:t xml:space="preserve">.- Las dependencias, entidades y ayuntamientos podrán adjudicar contratos para la ejecución de obra pública o servicios relacionados con la misma. </w:t>
      </w:r>
      <w:r w:rsidRPr="005A369B">
        <w:rPr>
          <w:rFonts w:ascii="Palatino Linotype" w:eastAsia="Palatino Linotype" w:hAnsi="Palatino Linotype" w:cs="Palatino Linotype"/>
          <w:b/>
          <w:bCs/>
          <w:i/>
          <w:iCs/>
        </w:rPr>
        <w:t>mediante las excepciones al procedimiento de licitación</w:t>
      </w:r>
      <w:r w:rsidRPr="005A369B">
        <w:rPr>
          <w:rFonts w:ascii="Palatino Linotype" w:eastAsia="Palatino Linotype" w:hAnsi="Palatino Linotype" w:cs="Palatino Linotype"/>
          <w:i/>
          <w:iCs/>
        </w:rPr>
        <w:t xml:space="preserve"> siguientes: </w:t>
      </w:r>
    </w:p>
    <w:p w:rsidR="00605057" w:rsidRPr="005A369B" w:rsidRDefault="00605057" w:rsidP="00605057">
      <w:pPr>
        <w:spacing w:before="120" w:after="120"/>
        <w:ind w:left="1134" w:right="1134"/>
        <w:jc w:val="both"/>
        <w:rPr>
          <w:rFonts w:ascii="Palatino Linotype" w:eastAsia="Palatino Linotype" w:hAnsi="Palatino Linotype" w:cs="Palatino Linotype"/>
          <w:i/>
          <w:iCs/>
        </w:rPr>
      </w:pPr>
      <w:r w:rsidRPr="005A369B">
        <w:rPr>
          <w:rFonts w:ascii="Palatino Linotype" w:eastAsia="Palatino Linotype" w:hAnsi="Palatino Linotype" w:cs="Palatino Linotype"/>
          <w:b/>
          <w:bCs/>
          <w:i/>
          <w:iCs/>
        </w:rPr>
        <w:t>I</w:t>
      </w:r>
      <w:r w:rsidRPr="005A369B">
        <w:rPr>
          <w:rFonts w:ascii="Palatino Linotype" w:eastAsia="Palatino Linotype" w:hAnsi="Palatino Linotype" w:cs="Palatino Linotype"/>
          <w:i/>
          <w:iCs/>
        </w:rPr>
        <w:t xml:space="preserve">. </w:t>
      </w:r>
      <w:r w:rsidRPr="005A369B">
        <w:rPr>
          <w:rFonts w:ascii="Palatino Linotype" w:eastAsia="Palatino Linotype" w:hAnsi="Palatino Linotype" w:cs="Palatino Linotype"/>
          <w:b/>
          <w:bCs/>
          <w:i/>
          <w:iCs/>
        </w:rPr>
        <w:t>Invitación restringida</w:t>
      </w:r>
      <w:r w:rsidRPr="005A369B">
        <w:rPr>
          <w:rFonts w:ascii="Palatino Linotype" w:eastAsia="Palatino Linotype" w:hAnsi="Palatino Linotype" w:cs="Palatino Linotype"/>
          <w:i/>
          <w:iCs/>
        </w:rPr>
        <w:t xml:space="preserve">; </w:t>
      </w:r>
    </w:p>
    <w:p w:rsidR="00605057" w:rsidRDefault="00605057" w:rsidP="00605057">
      <w:pPr>
        <w:spacing w:before="120" w:after="120"/>
        <w:ind w:left="1134" w:right="1134"/>
        <w:jc w:val="both"/>
        <w:rPr>
          <w:rFonts w:ascii="Palatino Linotype" w:eastAsia="Palatino Linotype" w:hAnsi="Palatino Linotype" w:cs="Palatino Linotype"/>
          <w:b/>
          <w:bCs/>
          <w:i/>
          <w:iCs/>
        </w:rPr>
      </w:pPr>
      <w:r w:rsidRPr="005A369B">
        <w:rPr>
          <w:rFonts w:ascii="Palatino Linotype" w:eastAsia="Palatino Linotype" w:hAnsi="Palatino Linotype" w:cs="Palatino Linotype"/>
          <w:b/>
          <w:bCs/>
          <w:i/>
          <w:iCs/>
        </w:rPr>
        <w:t>II</w:t>
      </w:r>
      <w:r w:rsidRPr="005A369B">
        <w:rPr>
          <w:rFonts w:ascii="Palatino Linotype" w:eastAsia="Palatino Linotype" w:hAnsi="Palatino Linotype" w:cs="Palatino Linotype"/>
          <w:i/>
          <w:iCs/>
        </w:rPr>
        <w:t xml:space="preserve">. </w:t>
      </w:r>
      <w:r w:rsidRPr="005A369B">
        <w:rPr>
          <w:rFonts w:ascii="Palatino Linotype" w:eastAsia="Palatino Linotype" w:hAnsi="Palatino Linotype" w:cs="Palatino Linotype"/>
          <w:b/>
          <w:bCs/>
          <w:i/>
          <w:iCs/>
        </w:rPr>
        <w:t>Adjudicación directa.”</w:t>
      </w:r>
    </w:p>
    <w:p w:rsidR="0044093F" w:rsidRPr="005A369B" w:rsidRDefault="0044093F" w:rsidP="00605057">
      <w:pPr>
        <w:spacing w:before="120" w:after="120"/>
        <w:ind w:left="1134" w:right="1134"/>
        <w:jc w:val="both"/>
        <w:rPr>
          <w:rFonts w:ascii="Palatino Linotype" w:eastAsia="Palatino Linotype" w:hAnsi="Palatino Linotype" w:cs="Palatino Linotype"/>
          <w:i/>
          <w:iCs/>
        </w:rPr>
      </w:pPr>
    </w:p>
    <w:p w:rsidR="00605057" w:rsidRPr="005A369B" w:rsidRDefault="00605057" w:rsidP="0056322A">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5A369B">
        <w:rPr>
          <w:rFonts w:ascii="Palatino Linotype" w:eastAsia="Palatino Linotype" w:hAnsi="Palatino Linotype" w:cs="Palatino Linotype"/>
        </w:rPr>
        <w:t>Como se advierte, la normativa contempla como modalidades para la adjudicación de contratos de obra pública y servicios relacionados con la misma la licitación pública, y de manera excepcional a través de invitación restringida y adjudicación directa, cuyas formalidades se encuentran previstas en el Reglamento del Libro Décimo Segundo del Código Administrativo del Estado de México, disponiendo lo siguiente:</w:t>
      </w:r>
    </w:p>
    <w:p w:rsidR="00605057" w:rsidRPr="005A369B" w:rsidRDefault="00605057" w:rsidP="002702E6">
      <w:pPr>
        <w:spacing w:before="120" w:after="120"/>
        <w:ind w:left="1134" w:right="1843"/>
        <w:jc w:val="both"/>
        <w:rPr>
          <w:rFonts w:ascii="Palatino Linotype" w:eastAsia="Palatino Linotype" w:hAnsi="Palatino Linotype" w:cs="Palatino Linotype"/>
          <w:i/>
          <w:iCs/>
        </w:rPr>
      </w:pPr>
      <w:r w:rsidRPr="005A369B">
        <w:rPr>
          <w:rFonts w:ascii="Palatino Linotype" w:eastAsia="Palatino Linotype" w:hAnsi="Palatino Linotype" w:cs="Palatino Linotype"/>
          <w:i/>
          <w:iCs/>
        </w:rPr>
        <w:t>“</w:t>
      </w:r>
      <w:r w:rsidRPr="005A369B">
        <w:rPr>
          <w:rFonts w:ascii="Palatino Linotype" w:eastAsia="Palatino Linotype" w:hAnsi="Palatino Linotype" w:cs="Palatino Linotype"/>
          <w:b/>
          <w:bCs/>
          <w:i/>
          <w:iCs/>
        </w:rPr>
        <w:t>Artículo 26</w:t>
      </w:r>
      <w:r w:rsidRPr="005A369B">
        <w:rPr>
          <w:rFonts w:ascii="Palatino Linotype" w:eastAsia="Palatino Linotype" w:hAnsi="Palatino Linotype" w:cs="Palatino Linotype"/>
          <w:i/>
          <w:iCs/>
        </w:rPr>
        <w:t xml:space="preserve">.- La licitación pública es el procedimiento de adjudicación de una obra pública o de un servicio por convocatoria pública. Tiene por objeto asegurar la participación abierta de todos los interesados en igualdad de condiciones y la selección fundamentada y transparente de </w:t>
      </w:r>
      <w:r w:rsidRPr="005A369B">
        <w:rPr>
          <w:rFonts w:ascii="Palatino Linotype" w:eastAsia="Palatino Linotype" w:hAnsi="Palatino Linotype" w:cs="Palatino Linotype"/>
          <w:i/>
          <w:iCs/>
        </w:rPr>
        <w:lastRenderedPageBreak/>
        <w:t>la propuesta más conveniente para las dependencias, entidades y ayuntamientos.</w:t>
      </w:r>
    </w:p>
    <w:p w:rsidR="00605057" w:rsidRPr="005A369B" w:rsidRDefault="00605057" w:rsidP="002702E6">
      <w:pPr>
        <w:spacing w:before="120" w:after="120"/>
        <w:ind w:left="1134" w:right="1843"/>
        <w:jc w:val="both"/>
        <w:rPr>
          <w:rFonts w:ascii="Palatino Linotype" w:eastAsia="Palatino Linotype" w:hAnsi="Palatino Linotype" w:cs="Palatino Linotype"/>
          <w:b/>
          <w:bCs/>
          <w:i/>
          <w:iCs/>
        </w:rPr>
      </w:pPr>
      <w:r w:rsidRPr="005A369B">
        <w:rPr>
          <w:rFonts w:ascii="Palatino Linotype" w:eastAsia="Palatino Linotype" w:hAnsi="Palatino Linotype" w:cs="Palatino Linotype"/>
          <w:b/>
          <w:bCs/>
          <w:i/>
          <w:iCs/>
        </w:rPr>
        <w:t>...</w:t>
      </w:r>
    </w:p>
    <w:p w:rsidR="00605057" w:rsidRPr="005A369B" w:rsidRDefault="00605057" w:rsidP="002702E6">
      <w:pPr>
        <w:spacing w:before="120" w:after="120"/>
        <w:ind w:left="1134" w:right="1843"/>
        <w:jc w:val="both"/>
        <w:rPr>
          <w:rFonts w:ascii="Palatino Linotype" w:eastAsia="Palatino Linotype" w:hAnsi="Palatino Linotype" w:cs="Palatino Linotype"/>
          <w:i/>
          <w:iCs/>
        </w:rPr>
      </w:pPr>
      <w:r w:rsidRPr="005A369B">
        <w:rPr>
          <w:rFonts w:ascii="Palatino Linotype" w:eastAsia="Palatino Linotype" w:hAnsi="Palatino Linotype" w:cs="Palatino Linotype"/>
          <w:b/>
          <w:bCs/>
          <w:i/>
          <w:iCs/>
        </w:rPr>
        <w:t>Artículo 28.-</w:t>
      </w:r>
      <w:r w:rsidRPr="005A369B">
        <w:rPr>
          <w:rFonts w:ascii="Palatino Linotype" w:eastAsia="Palatino Linotype" w:hAnsi="Palatino Linotype" w:cs="Palatino Linotype"/>
          <w:i/>
          <w:iCs/>
        </w:rPr>
        <w:t xml:space="preserve"> Las dependencias y entidades podrán convocar a licitación pública, adjudicar y contratar obra pública y servicios sólo cuando la Secretaría del Ramo se los haya autorizado por contar con elementos propios y organización necesarios para realizarlas. Esta autorización deberá estar publicada en la Gaceta del Gobierno del Estado de México.</w:t>
      </w:r>
    </w:p>
    <w:p w:rsidR="00605057" w:rsidRPr="005A369B" w:rsidRDefault="00605057" w:rsidP="002702E6">
      <w:pPr>
        <w:spacing w:before="120" w:after="120"/>
        <w:ind w:left="1134" w:right="1843"/>
        <w:jc w:val="both"/>
        <w:rPr>
          <w:rFonts w:ascii="Palatino Linotype" w:eastAsia="Palatino Linotype" w:hAnsi="Palatino Linotype" w:cs="Palatino Linotype"/>
          <w:i/>
          <w:iCs/>
        </w:rPr>
      </w:pPr>
      <w:r w:rsidRPr="005A369B">
        <w:rPr>
          <w:rFonts w:ascii="Palatino Linotype" w:eastAsia="Palatino Linotype" w:hAnsi="Palatino Linotype" w:cs="Palatino Linotype"/>
          <w:i/>
          <w:iCs/>
        </w:rPr>
        <w:t>Los ayuntamientos, que realicen obras o servicios con cargo parcial o total a recursos estatales, deberán solicitar la autorización preferentemente al inicio de su periodo de gestión, la que deberá estar publicada en la Gaceta del Gobierno del Estado de México.</w:t>
      </w:r>
    </w:p>
    <w:p w:rsidR="00605057" w:rsidRPr="005A369B" w:rsidRDefault="00605057" w:rsidP="002702E6">
      <w:pPr>
        <w:spacing w:before="120" w:after="120"/>
        <w:ind w:left="1134" w:right="1843"/>
        <w:jc w:val="both"/>
        <w:rPr>
          <w:rFonts w:ascii="Palatino Linotype" w:eastAsia="Palatino Linotype" w:hAnsi="Palatino Linotype" w:cs="Palatino Linotype"/>
          <w:i/>
          <w:iCs/>
        </w:rPr>
      </w:pPr>
      <w:r w:rsidRPr="005A369B">
        <w:rPr>
          <w:rFonts w:ascii="Palatino Linotype" w:eastAsia="Palatino Linotype" w:hAnsi="Palatino Linotype" w:cs="Palatino Linotype"/>
          <w:i/>
          <w:iCs/>
        </w:rPr>
        <w:t>...</w:t>
      </w:r>
    </w:p>
    <w:p w:rsidR="00605057" w:rsidRPr="005A369B" w:rsidRDefault="00605057" w:rsidP="002702E6">
      <w:pPr>
        <w:spacing w:before="120" w:after="120"/>
        <w:ind w:left="1134" w:right="1843"/>
        <w:jc w:val="both"/>
        <w:rPr>
          <w:rFonts w:ascii="Palatino Linotype" w:eastAsia="Palatino Linotype" w:hAnsi="Palatino Linotype" w:cs="Palatino Linotype"/>
          <w:i/>
          <w:iCs/>
        </w:rPr>
      </w:pPr>
      <w:r w:rsidRPr="005A369B">
        <w:rPr>
          <w:rFonts w:ascii="Palatino Linotype" w:eastAsia="Palatino Linotype" w:hAnsi="Palatino Linotype" w:cs="Palatino Linotype"/>
          <w:b/>
          <w:bCs/>
          <w:i/>
          <w:iCs/>
        </w:rPr>
        <w:t>Artículo 30</w:t>
      </w:r>
      <w:r w:rsidRPr="005A369B">
        <w:rPr>
          <w:rFonts w:ascii="Palatino Linotype" w:eastAsia="Palatino Linotype" w:hAnsi="Palatino Linotype" w:cs="Palatino Linotype"/>
          <w:i/>
          <w:iCs/>
        </w:rPr>
        <w:t xml:space="preserve">.- El procedimiento de licitación pública </w:t>
      </w:r>
      <w:r w:rsidRPr="005A369B">
        <w:rPr>
          <w:rFonts w:ascii="Palatino Linotype" w:eastAsia="Palatino Linotype" w:hAnsi="Palatino Linotype" w:cs="Palatino Linotype"/>
          <w:b/>
          <w:bCs/>
          <w:i/>
          <w:iCs/>
        </w:rPr>
        <w:t>inicia con la publicación de la convocatoria</w:t>
      </w:r>
      <w:r w:rsidRPr="005A369B">
        <w:rPr>
          <w:rFonts w:ascii="Palatino Linotype" w:eastAsia="Palatino Linotype" w:hAnsi="Palatino Linotype" w:cs="Palatino Linotype"/>
          <w:i/>
          <w:iCs/>
        </w:rPr>
        <w:t xml:space="preserve"> y concluye con el fallo y adjudicación. Cubrirá las etapas siguientes: </w:t>
      </w:r>
    </w:p>
    <w:p w:rsidR="00605057" w:rsidRPr="005A369B" w:rsidRDefault="00605057" w:rsidP="002702E6">
      <w:pPr>
        <w:spacing w:before="120" w:after="120"/>
        <w:ind w:left="1134" w:right="1843"/>
        <w:jc w:val="both"/>
        <w:rPr>
          <w:rFonts w:ascii="Palatino Linotype" w:eastAsia="Palatino Linotype" w:hAnsi="Palatino Linotype" w:cs="Palatino Linotype"/>
          <w:i/>
          <w:iCs/>
        </w:rPr>
      </w:pPr>
      <w:r w:rsidRPr="005A369B">
        <w:rPr>
          <w:rFonts w:ascii="Palatino Linotype" w:eastAsia="Palatino Linotype" w:hAnsi="Palatino Linotype" w:cs="Palatino Linotype"/>
          <w:b/>
          <w:bCs/>
          <w:i/>
          <w:iCs/>
        </w:rPr>
        <w:t>I.</w:t>
      </w:r>
      <w:r w:rsidRPr="005A369B">
        <w:rPr>
          <w:rFonts w:ascii="Palatino Linotype" w:eastAsia="Palatino Linotype" w:hAnsi="Palatino Linotype" w:cs="Palatino Linotype"/>
          <w:i/>
          <w:iCs/>
        </w:rPr>
        <w:t xml:space="preserve"> La formulación de las bases de licitación; </w:t>
      </w:r>
    </w:p>
    <w:p w:rsidR="00605057" w:rsidRPr="005A369B" w:rsidRDefault="00605057" w:rsidP="002702E6">
      <w:pPr>
        <w:spacing w:before="120" w:after="120"/>
        <w:ind w:left="1134" w:right="1843"/>
        <w:jc w:val="both"/>
        <w:rPr>
          <w:rFonts w:ascii="Palatino Linotype" w:eastAsia="Palatino Linotype" w:hAnsi="Palatino Linotype" w:cs="Palatino Linotype"/>
          <w:i/>
          <w:iCs/>
        </w:rPr>
      </w:pPr>
      <w:r w:rsidRPr="005A369B">
        <w:rPr>
          <w:rFonts w:ascii="Palatino Linotype" w:eastAsia="Palatino Linotype" w:hAnsi="Palatino Linotype" w:cs="Palatino Linotype"/>
          <w:b/>
          <w:bCs/>
          <w:i/>
          <w:iCs/>
        </w:rPr>
        <w:t>II</w:t>
      </w:r>
      <w:r w:rsidRPr="005A369B">
        <w:rPr>
          <w:rFonts w:ascii="Palatino Linotype" w:eastAsia="Palatino Linotype" w:hAnsi="Palatino Linotype" w:cs="Palatino Linotype"/>
          <w:i/>
          <w:iCs/>
        </w:rPr>
        <w:t xml:space="preserve">. La publicación de la convocatoria; </w:t>
      </w:r>
    </w:p>
    <w:p w:rsidR="00605057" w:rsidRPr="005A369B" w:rsidRDefault="00605057" w:rsidP="002702E6">
      <w:pPr>
        <w:spacing w:before="120" w:after="120"/>
        <w:ind w:left="1134" w:right="1843"/>
        <w:jc w:val="both"/>
        <w:rPr>
          <w:rFonts w:ascii="Palatino Linotype" w:eastAsia="Palatino Linotype" w:hAnsi="Palatino Linotype" w:cs="Palatino Linotype"/>
          <w:i/>
          <w:iCs/>
        </w:rPr>
      </w:pPr>
      <w:r w:rsidRPr="005A369B">
        <w:rPr>
          <w:rFonts w:ascii="Palatino Linotype" w:eastAsia="Palatino Linotype" w:hAnsi="Palatino Linotype" w:cs="Palatino Linotype"/>
          <w:b/>
          <w:bCs/>
          <w:i/>
          <w:iCs/>
        </w:rPr>
        <w:t>III.</w:t>
      </w:r>
      <w:r w:rsidRPr="005A369B">
        <w:rPr>
          <w:rFonts w:ascii="Palatino Linotype" w:eastAsia="Palatino Linotype" w:hAnsi="Palatino Linotype" w:cs="Palatino Linotype"/>
          <w:i/>
          <w:iCs/>
        </w:rPr>
        <w:t xml:space="preserve"> La venta de las bases de licitación; </w:t>
      </w:r>
    </w:p>
    <w:p w:rsidR="00605057" w:rsidRPr="005A369B" w:rsidRDefault="00605057" w:rsidP="002702E6">
      <w:pPr>
        <w:spacing w:before="120" w:after="120"/>
        <w:ind w:left="1134" w:right="1843"/>
        <w:jc w:val="both"/>
        <w:rPr>
          <w:rFonts w:ascii="Palatino Linotype" w:eastAsia="Palatino Linotype" w:hAnsi="Palatino Linotype" w:cs="Palatino Linotype"/>
          <w:i/>
          <w:iCs/>
        </w:rPr>
      </w:pPr>
      <w:r w:rsidRPr="005A369B">
        <w:rPr>
          <w:rFonts w:ascii="Palatino Linotype" w:eastAsia="Palatino Linotype" w:hAnsi="Palatino Linotype" w:cs="Palatino Linotype"/>
          <w:b/>
          <w:bCs/>
          <w:i/>
          <w:iCs/>
        </w:rPr>
        <w:t>IV</w:t>
      </w:r>
      <w:r w:rsidRPr="005A369B">
        <w:rPr>
          <w:rFonts w:ascii="Palatino Linotype" w:eastAsia="Palatino Linotype" w:hAnsi="Palatino Linotype" w:cs="Palatino Linotype"/>
          <w:i/>
          <w:iCs/>
        </w:rPr>
        <w:t xml:space="preserve">. La visita al sitio donde se realizarán los trabajos; </w:t>
      </w:r>
    </w:p>
    <w:p w:rsidR="00605057" w:rsidRPr="005A369B" w:rsidRDefault="00605057" w:rsidP="002702E6">
      <w:pPr>
        <w:spacing w:before="120" w:after="120"/>
        <w:ind w:left="1134" w:right="1843"/>
        <w:jc w:val="both"/>
        <w:rPr>
          <w:rFonts w:ascii="Palatino Linotype" w:eastAsia="Palatino Linotype" w:hAnsi="Palatino Linotype" w:cs="Palatino Linotype"/>
          <w:b/>
          <w:bCs/>
          <w:i/>
          <w:iCs/>
        </w:rPr>
      </w:pPr>
      <w:r w:rsidRPr="005A369B">
        <w:rPr>
          <w:rFonts w:ascii="Palatino Linotype" w:eastAsia="Palatino Linotype" w:hAnsi="Palatino Linotype" w:cs="Palatino Linotype"/>
          <w:b/>
          <w:bCs/>
          <w:i/>
          <w:iCs/>
        </w:rPr>
        <w:t>V</w:t>
      </w:r>
      <w:r w:rsidRPr="005A369B">
        <w:rPr>
          <w:rFonts w:ascii="Palatino Linotype" w:eastAsia="Palatino Linotype" w:hAnsi="Palatino Linotype" w:cs="Palatino Linotype"/>
          <w:i/>
          <w:iCs/>
        </w:rPr>
        <w:t>. Las juntas de aclaraciones;</w:t>
      </w:r>
    </w:p>
    <w:p w:rsidR="00605057" w:rsidRPr="005A369B" w:rsidRDefault="00605057" w:rsidP="002702E6">
      <w:pPr>
        <w:spacing w:before="120" w:after="120"/>
        <w:ind w:left="1134" w:right="1843"/>
        <w:jc w:val="both"/>
        <w:rPr>
          <w:rFonts w:ascii="Palatino Linotype" w:eastAsia="Palatino Linotype" w:hAnsi="Palatino Linotype" w:cs="Palatino Linotype"/>
          <w:i/>
          <w:iCs/>
        </w:rPr>
      </w:pPr>
      <w:r w:rsidRPr="005A369B">
        <w:rPr>
          <w:rFonts w:ascii="Palatino Linotype" w:eastAsia="Palatino Linotype" w:hAnsi="Palatino Linotype" w:cs="Palatino Linotype"/>
          <w:b/>
          <w:bCs/>
          <w:i/>
          <w:iCs/>
        </w:rPr>
        <w:t>VI.</w:t>
      </w:r>
      <w:r w:rsidRPr="005A369B">
        <w:rPr>
          <w:rFonts w:ascii="Palatino Linotype" w:eastAsia="Palatino Linotype" w:hAnsi="Palatino Linotype" w:cs="Palatino Linotype"/>
          <w:i/>
          <w:iCs/>
        </w:rPr>
        <w:t xml:space="preserve"> La presentación y apertura de propuestas; </w:t>
      </w:r>
    </w:p>
    <w:p w:rsidR="00605057" w:rsidRPr="005A369B" w:rsidRDefault="00605057" w:rsidP="002702E6">
      <w:pPr>
        <w:spacing w:before="120" w:after="120"/>
        <w:ind w:left="1134" w:right="1843"/>
        <w:jc w:val="both"/>
        <w:rPr>
          <w:rFonts w:ascii="Palatino Linotype" w:eastAsia="Palatino Linotype" w:hAnsi="Palatino Linotype" w:cs="Palatino Linotype"/>
          <w:i/>
          <w:iCs/>
        </w:rPr>
      </w:pPr>
      <w:r w:rsidRPr="005A369B">
        <w:rPr>
          <w:rFonts w:ascii="Palatino Linotype" w:eastAsia="Palatino Linotype" w:hAnsi="Palatino Linotype" w:cs="Palatino Linotype"/>
          <w:b/>
          <w:bCs/>
          <w:i/>
          <w:iCs/>
        </w:rPr>
        <w:t>VII.</w:t>
      </w:r>
      <w:r w:rsidRPr="005A369B">
        <w:rPr>
          <w:rFonts w:ascii="Palatino Linotype" w:eastAsia="Palatino Linotype" w:hAnsi="Palatino Linotype" w:cs="Palatino Linotype"/>
          <w:i/>
          <w:iCs/>
        </w:rPr>
        <w:t xml:space="preserve"> La evaluación de propuestas; y </w:t>
      </w:r>
    </w:p>
    <w:p w:rsidR="00605057" w:rsidRPr="005A369B" w:rsidRDefault="00605057" w:rsidP="002702E6">
      <w:pPr>
        <w:spacing w:before="120" w:after="120"/>
        <w:ind w:left="1134" w:right="1843"/>
        <w:jc w:val="both"/>
        <w:rPr>
          <w:rFonts w:ascii="Palatino Linotype" w:eastAsia="Palatino Linotype" w:hAnsi="Palatino Linotype" w:cs="Palatino Linotype"/>
          <w:i/>
          <w:iCs/>
        </w:rPr>
      </w:pPr>
      <w:r w:rsidRPr="005A369B">
        <w:rPr>
          <w:rFonts w:ascii="Palatino Linotype" w:eastAsia="Palatino Linotype" w:hAnsi="Palatino Linotype" w:cs="Palatino Linotype"/>
          <w:b/>
          <w:bCs/>
          <w:i/>
          <w:iCs/>
        </w:rPr>
        <w:t>VIII.</w:t>
      </w:r>
      <w:r w:rsidRPr="005A369B">
        <w:rPr>
          <w:rFonts w:ascii="Palatino Linotype" w:eastAsia="Palatino Linotype" w:hAnsi="Palatino Linotype" w:cs="Palatino Linotype"/>
          <w:i/>
          <w:iCs/>
        </w:rPr>
        <w:t xml:space="preserve"> El fallo y adjudicación.</w:t>
      </w:r>
    </w:p>
    <w:p w:rsidR="00605057" w:rsidRPr="005A369B" w:rsidRDefault="00605057" w:rsidP="002702E6">
      <w:pPr>
        <w:spacing w:before="120" w:after="120"/>
        <w:ind w:left="1134" w:right="1843"/>
        <w:jc w:val="both"/>
        <w:rPr>
          <w:rFonts w:ascii="Palatino Linotype" w:eastAsia="Palatino Linotype" w:hAnsi="Palatino Linotype" w:cs="Palatino Linotype"/>
          <w:i/>
          <w:iCs/>
        </w:rPr>
      </w:pPr>
      <w:r w:rsidRPr="005A369B">
        <w:rPr>
          <w:rFonts w:ascii="Palatino Linotype" w:eastAsia="Palatino Linotype" w:hAnsi="Palatino Linotype" w:cs="Palatino Linotype"/>
          <w:i/>
          <w:iCs/>
        </w:rPr>
        <w:t>...</w:t>
      </w:r>
    </w:p>
    <w:p w:rsidR="00605057" w:rsidRPr="005A369B" w:rsidRDefault="00605057" w:rsidP="002702E6">
      <w:pPr>
        <w:spacing w:before="120" w:after="120"/>
        <w:ind w:left="1134" w:right="1843"/>
        <w:jc w:val="both"/>
        <w:rPr>
          <w:rFonts w:ascii="Palatino Linotype" w:eastAsia="Palatino Linotype" w:hAnsi="Palatino Linotype" w:cs="Palatino Linotype"/>
          <w:i/>
          <w:iCs/>
        </w:rPr>
      </w:pPr>
      <w:r w:rsidRPr="005A369B">
        <w:rPr>
          <w:rFonts w:ascii="Palatino Linotype" w:eastAsia="Palatino Linotype" w:hAnsi="Palatino Linotype" w:cs="Palatino Linotype"/>
          <w:b/>
          <w:bCs/>
          <w:i/>
          <w:iCs/>
        </w:rPr>
        <w:t>Artículo 45.-</w:t>
      </w:r>
      <w:r w:rsidRPr="005A369B">
        <w:rPr>
          <w:rFonts w:ascii="Palatino Linotype" w:eastAsia="Palatino Linotype" w:hAnsi="Palatino Linotype" w:cs="Palatino Linotype"/>
          <w:i/>
          <w:iCs/>
        </w:rPr>
        <w:t xml:space="preserve"> El convocante deberá requerir a los licitantes que integren los siguientes documentos de carácter legal y administrativo en sus propuestas: </w:t>
      </w:r>
    </w:p>
    <w:p w:rsidR="00605057" w:rsidRPr="005A369B" w:rsidRDefault="00605057" w:rsidP="002702E6">
      <w:pPr>
        <w:spacing w:before="120" w:after="120"/>
        <w:ind w:left="1134" w:right="1843"/>
        <w:jc w:val="both"/>
        <w:rPr>
          <w:rFonts w:ascii="Palatino Linotype" w:eastAsia="Palatino Linotype" w:hAnsi="Palatino Linotype" w:cs="Palatino Linotype"/>
          <w:i/>
          <w:iCs/>
        </w:rPr>
      </w:pPr>
      <w:r w:rsidRPr="005A369B">
        <w:rPr>
          <w:rFonts w:ascii="Palatino Linotype" w:eastAsia="Palatino Linotype" w:hAnsi="Palatino Linotype" w:cs="Palatino Linotype"/>
          <w:b/>
          <w:bCs/>
          <w:i/>
          <w:iCs/>
        </w:rPr>
        <w:lastRenderedPageBreak/>
        <w:t>I.</w:t>
      </w:r>
      <w:r w:rsidRPr="005A369B">
        <w:rPr>
          <w:rFonts w:ascii="Palatino Linotype" w:eastAsia="Palatino Linotype" w:hAnsi="Palatino Linotype" w:cs="Palatino Linotype"/>
          <w:i/>
          <w:iCs/>
        </w:rPr>
        <w:t xml:space="preserve"> Escrito en el que manifieste su domicilio en el Estado de México para oír y recibir notificaciones y los documentos correspondientes al procedimiento de licitación. En el domicilio señalado se podrán realizar las notificaciones, inclusive las de carácter personal, que surtirán todos sus efectos legales mientras no se señale otro distinto en el propio Estado; </w:t>
      </w:r>
    </w:p>
    <w:p w:rsidR="00605057" w:rsidRPr="005A369B" w:rsidRDefault="00605057" w:rsidP="002702E6">
      <w:pPr>
        <w:spacing w:before="120" w:after="120"/>
        <w:ind w:left="1134" w:right="1843"/>
        <w:jc w:val="both"/>
        <w:rPr>
          <w:rFonts w:ascii="Palatino Linotype" w:eastAsia="Palatino Linotype" w:hAnsi="Palatino Linotype" w:cs="Palatino Linotype"/>
          <w:i/>
          <w:iCs/>
        </w:rPr>
      </w:pPr>
      <w:r w:rsidRPr="005A369B">
        <w:rPr>
          <w:rFonts w:ascii="Palatino Linotype" w:eastAsia="Palatino Linotype" w:hAnsi="Palatino Linotype" w:cs="Palatino Linotype"/>
          <w:b/>
          <w:bCs/>
          <w:i/>
          <w:iCs/>
        </w:rPr>
        <w:t>II.</w:t>
      </w:r>
      <w:r w:rsidRPr="005A369B">
        <w:rPr>
          <w:rFonts w:ascii="Palatino Linotype" w:eastAsia="Palatino Linotype" w:hAnsi="Palatino Linotype" w:cs="Palatino Linotype"/>
          <w:i/>
          <w:iCs/>
        </w:rPr>
        <w:t xml:space="preserve"> Escrito en el que manifieste no encontrarse en ninguno de los supuestos del artículo 12.48 del Libro; </w:t>
      </w:r>
    </w:p>
    <w:p w:rsidR="00605057" w:rsidRPr="005A369B" w:rsidRDefault="00605057" w:rsidP="002702E6">
      <w:pPr>
        <w:spacing w:before="120" w:after="120"/>
        <w:ind w:left="1134" w:right="1843"/>
        <w:jc w:val="both"/>
        <w:rPr>
          <w:rFonts w:ascii="Palatino Linotype" w:eastAsia="Palatino Linotype" w:hAnsi="Palatino Linotype" w:cs="Palatino Linotype"/>
          <w:i/>
          <w:iCs/>
        </w:rPr>
      </w:pPr>
      <w:r w:rsidRPr="005A369B">
        <w:rPr>
          <w:rFonts w:ascii="Palatino Linotype" w:eastAsia="Palatino Linotype" w:hAnsi="Palatino Linotype" w:cs="Palatino Linotype"/>
          <w:b/>
          <w:bCs/>
          <w:i/>
          <w:iCs/>
        </w:rPr>
        <w:t>III.</w:t>
      </w:r>
      <w:r w:rsidRPr="005A369B">
        <w:rPr>
          <w:rFonts w:ascii="Palatino Linotype" w:eastAsia="Palatino Linotype" w:hAnsi="Palatino Linotype" w:cs="Palatino Linotype"/>
          <w:i/>
          <w:iCs/>
        </w:rPr>
        <w:t xml:space="preserve"> Declaración fiscal anual o estados financieros dictaminados por contador público certificado independiente, que corresponda al último ejercicio fiscal. Si el procedimiento de licitación se realiza durante el primer trimestre del año, se podrán presentar los estados financieros dictaminados por contador público certificado independiente o la declaración fiscal anual correspondientes al penúltimo ejercicio fiscal, en ambos casos, la última declaración fiscal provisional. Con la documentación financiera y fiscal se acreditará el capital contable requerido por el convocante. </w:t>
      </w:r>
    </w:p>
    <w:p w:rsidR="00605057" w:rsidRPr="005A369B" w:rsidRDefault="00605057" w:rsidP="002702E6">
      <w:pPr>
        <w:spacing w:before="120" w:after="120"/>
        <w:ind w:left="1134" w:right="1843"/>
        <w:jc w:val="both"/>
        <w:rPr>
          <w:rFonts w:ascii="Palatino Linotype" w:eastAsia="Palatino Linotype" w:hAnsi="Palatino Linotype" w:cs="Palatino Linotype"/>
          <w:i/>
          <w:iCs/>
        </w:rPr>
      </w:pPr>
      <w:r w:rsidRPr="005A369B">
        <w:rPr>
          <w:rFonts w:ascii="Palatino Linotype" w:eastAsia="Palatino Linotype" w:hAnsi="Palatino Linotype" w:cs="Palatino Linotype"/>
          <w:b/>
          <w:bCs/>
          <w:i/>
          <w:iCs/>
        </w:rPr>
        <w:t xml:space="preserve">IV. </w:t>
      </w:r>
      <w:r w:rsidRPr="005A369B">
        <w:rPr>
          <w:rFonts w:ascii="Palatino Linotype" w:eastAsia="Palatino Linotype" w:hAnsi="Palatino Linotype" w:cs="Palatino Linotype"/>
          <w:i/>
          <w:iCs/>
        </w:rPr>
        <w:t>Las empresas de reciente creación deberán presentar la documentación financiera y fiscal más actualizada a la fecha de presentación de la propuesta;</w:t>
      </w:r>
    </w:p>
    <w:p w:rsidR="00605057" w:rsidRPr="005A369B" w:rsidRDefault="00605057" w:rsidP="002702E6">
      <w:pPr>
        <w:spacing w:before="120" w:after="120"/>
        <w:ind w:left="1134" w:right="1843"/>
        <w:jc w:val="both"/>
        <w:rPr>
          <w:rFonts w:ascii="Palatino Linotype" w:eastAsia="Palatino Linotype" w:hAnsi="Palatino Linotype" w:cs="Palatino Linotype"/>
          <w:i/>
          <w:iCs/>
        </w:rPr>
      </w:pPr>
      <w:r w:rsidRPr="005A369B">
        <w:rPr>
          <w:rFonts w:ascii="Palatino Linotype" w:eastAsia="Palatino Linotype" w:hAnsi="Palatino Linotype" w:cs="Palatino Linotype"/>
          <w:b/>
          <w:bCs/>
          <w:i/>
          <w:iCs/>
        </w:rPr>
        <w:t>V.</w:t>
      </w:r>
      <w:r w:rsidRPr="005A369B">
        <w:rPr>
          <w:rFonts w:ascii="Palatino Linotype" w:eastAsia="Palatino Linotype" w:hAnsi="Palatino Linotype" w:cs="Palatino Linotype"/>
          <w:i/>
          <w:iCs/>
        </w:rPr>
        <w:t xml:space="preserve"> Identificación oficial vigente con fotografía, tratándose de personas físicas; </w:t>
      </w:r>
    </w:p>
    <w:p w:rsidR="00605057" w:rsidRPr="005A369B" w:rsidRDefault="00605057" w:rsidP="002702E6">
      <w:pPr>
        <w:spacing w:before="120" w:after="120"/>
        <w:ind w:left="1134" w:right="1843"/>
        <w:jc w:val="both"/>
        <w:rPr>
          <w:rFonts w:ascii="Palatino Linotype" w:eastAsia="Palatino Linotype" w:hAnsi="Palatino Linotype" w:cs="Palatino Linotype"/>
          <w:i/>
          <w:iCs/>
        </w:rPr>
      </w:pPr>
      <w:r w:rsidRPr="005A369B">
        <w:rPr>
          <w:rFonts w:ascii="Palatino Linotype" w:eastAsia="Palatino Linotype" w:hAnsi="Palatino Linotype" w:cs="Palatino Linotype"/>
          <w:b/>
          <w:bCs/>
          <w:i/>
          <w:iCs/>
        </w:rPr>
        <w:t>VI.</w:t>
      </w:r>
      <w:r w:rsidRPr="005A369B">
        <w:rPr>
          <w:rFonts w:ascii="Palatino Linotype" w:eastAsia="Palatino Linotype" w:hAnsi="Palatino Linotype" w:cs="Palatino Linotype"/>
          <w:i/>
          <w:iCs/>
        </w:rPr>
        <w:t xml:space="preserve"> Manifestación escrita de la persona jurídica en que señale que su representante cuenta con facultades suficientes para comprometerla. Éste contendrá los datos siguientes: </w:t>
      </w:r>
    </w:p>
    <w:p w:rsidR="00605057" w:rsidRPr="005A369B" w:rsidRDefault="00605057" w:rsidP="002702E6">
      <w:pPr>
        <w:spacing w:before="120" w:after="120"/>
        <w:ind w:left="1134" w:right="1843"/>
        <w:jc w:val="both"/>
        <w:rPr>
          <w:rFonts w:ascii="Palatino Linotype" w:eastAsia="Palatino Linotype" w:hAnsi="Palatino Linotype" w:cs="Palatino Linotype"/>
          <w:i/>
          <w:iCs/>
        </w:rPr>
      </w:pPr>
      <w:r w:rsidRPr="005A369B">
        <w:rPr>
          <w:rFonts w:ascii="Palatino Linotype" w:eastAsia="Palatino Linotype" w:hAnsi="Palatino Linotype" w:cs="Palatino Linotype"/>
          <w:b/>
          <w:bCs/>
          <w:i/>
          <w:iCs/>
        </w:rPr>
        <w:t>a.</w:t>
      </w:r>
      <w:r w:rsidRPr="005A369B">
        <w:rPr>
          <w:rFonts w:ascii="Palatino Linotype" w:eastAsia="Palatino Linotype" w:hAnsi="Palatino Linotype" w:cs="Palatino Linotype"/>
          <w:i/>
          <w:iCs/>
        </w:rPr>
        <w:t xml:space="preserve"> De la persona jurídica: denominación o razón social, clave del registro federal de contribuyentes; nombre, número y circunscripción territorial del notario público o fedatario que protocolizó las escrituras públicas en las que consta el acta constitutiva y, en su caso, sus reformas o modificaciones; número y fecha de las mismas; descripción del objeto social, nombres de los accionistas; capital social; y los datos de inscripción en el Registro Público de Comercio, y </w:t>
      </w:r>
    </w:p>
    <w:p w:rsidR="00605057" w:rsidRPr="005A369B" w:rsidRDefault="00605057" w:rsidP="002702E6">
      <w:pPr>
        <w:spacing w:before="120" w:after="120"/>
        <w:ind w:left="1134" w:right="1843"/>
        <w:jc w:val="both"/>
        <w:rPr>
          <w:rFonts w:ascii="Palatino Linotype" w:eastAsia="Palatino Linotype" w:hAnsi="Palatino Linotype" w:cs="Palatino Linotype"/>
          <w:i/>
          <w:iCs/>
        </w:rPr>
      </w:pPr>
      <w:r w:rsidRPr="005A369B">
        <w:rPr>
          <w:rFonts w:ascii="Palatino Linotype" w:eastAsia="Palatino Linotype" w:hAnsi="Palatino Linotype" w:cs="Palatino Linotype"/>
          <w:b/>
          <w:bCs/>
          <w:i/>
          <w:iCs/>
        </w:rPr>
        <w:lastRenderedPageBreak/>
        <w:t>b.</w:t>
      </w:r>
      <w:r w:rsidRPr="005A369B">
        <w:rPr>
          <w:rFonts w:ascii="Palatino Linotype" w:eastAsia="Palatino Linotype" w:hAnsi="Palatino Linotype" w:cs="Palatino Linotype"/>
          <w:i/>
          <w:iCs/>
        </w:rPr>
        <w:t xml:space="preserve"> Del representante: nombre del apoderado; nombre, número y circunscripción territorial del notario público o fedatario que protocolizó los instrumentos notariales; y número y fecha de éstos, en los que se asientan las facultades para suscribir la propuesta. </w:t>
      </w:r>
    </w:p>
    <w:p w:rsidR="00605057" w:rsidRPr="005A369B" w:rsidRDefault="00605057" w:rsidP="002702E6">
      <w:pPr>
        <w:spacing w:before="120" w:after="120"/>
        <w:ind w:left="1134" w:right="1843"/>
        <w:jc w:val="both"/>
        <w:rPr>
          <w:rFonts w:ascii="Palatino Linotype" w:eastAsia="Palatino Linotype" w:hAnsi="Palatino Linotype" w:cs="Palatino Linotype"/>
          <w:i/>
          <w:iCs/>
        </w:rPr>
      </w:pPr>
      <w:r w:rsidRPr="005A369B">
        <w:rPr>
          <w:rFonts w:ascii="Palatino Linotype" w:eastAsia="Palatino Linotype" w:hAnsi="Palatino Linotype" w:cs="Palatino Linotype"/>
          <w:i/>
          <w:iCs/>
        </w:rPr>
        <w:t xml:space="preserve">Los interesados que decidan agruparse para presentar una propuesta, acreditarán en forma individual los requisitos señalados, además de entregar una copia del convenio correspondiente en el que se precise la parte o partes de la obra que será responsabilidad de cada uno. El representante común presentará los documentos de los integrantes de la agrupación y los del convenio. </w:t>
      </w:r>
    </w:p>
    <w:p w:rsidR="00605057" w:rsidRPr="005A369B" w:rsidRDefault="00605057" w:rsidP="002702E6">
      <w:pPr>
        <w:spacing w:before="120" w:after="120"/>
        <w:ind w:left="1134" w:right="1843"/>
        <w:jc w:val="both"/>
        <w:rPr>
          <w:rFonts w:ascii="Palatino Linotype" w:eastAsia="Palatino Linotype" w:hAnsi="Palatino Linotype" w:cs="Palatino Linotype"/>
          <w:i/>
          <w:iCs/>
        </w:rPr>
      </w:pPr>
      <w:r w:rsidRPr="005A369B">
        <w:rPr>
          <w:rFonts w:ascii="Palatino Linotype" w:eastAsia="Palatino Linotype" w:hAnsi="Palatino Linotype" w:cs="Palatino Linotype"/>
          <w:b/>
          <w:bCs/>
          <w:i/>
          <w:iCs/>
        </w:rPr>
        <w:t>VII.</w:t>
      </w:r>
      <w:r w:rsidRPr="005A369B">
        <w:rPr>
          <w:rFonts w:ascii="Palatino Linotype" w:eastAsia="Palatino Linotype" w:hAnsi="Palatino Linotype" w:cs="Palatino Linotype"/>
          <w:i/>
          <w:iCs/>
        </w:rPr>
        <w:t xml:space="preserve"> Documento en el que se comprometa a realizar la obra por el importe que señala, cumpliendo los requisitos determinados por el convocante;</w:t>
      </w:r>
    </w:p>
    <w:p w:rsidR="00605057" w:rsidRPr="005A369B" w:rsidRDefault="00605057" w:rsidP="002702E6">
      <w:pPr>
        <w:spacing w:before="120" w:after="120"/>
        <w:ind w:left="1134" w:right="1843"/>
        <w:jc w:val="both"/>
        <w:rPr>
          <w:rFonts w:ascii="Palatino Linotype" w:eastAsia="Palatino Linotype" w:hAnsi="Palatino Linotype" w:cs="Palatino Linotype"/>
          <w:i/>
          <w:iCs/>
        </w:rPr>
      </w:pPr>
      <w:r w:rsidRPr="005A369B">
        <w:rPr>
          <w:rFonts w:ascii="Palatino Linotype" w:eastAsia="Palatino Linotype" w:hAnsi="Palatino Linotype" w:cs="Palatino Linotype"/>
          <w:b/>
          <w:bCs/>
          <w:i/>
          <w:iCs/>
        </w:rPr>
        <w:t>VIII.</w:t>
      </w:r>
      <w:r w:rsidRPr="005A369B">
        <w:rPr>
          <w:rFonts w:ascii="Palatino Linotype" w:eastAsia="Palatino Linotype" w:hAnsi="Palatino Linotype" w:cs="Palatino Linotype"/>
          <w:i/>
          <w:iCs/>
        </w:rPr>
        <w:t xml:space="preserve"> La garantía de seriedad de la propuesta: cheque cruzado o para depósito en cuenta, los que deberán ser expedidos a favor de: </w:t>
      </w:r>
    </w:p>
    <w:p w:rsidR="00605057" w:rsidRPr="005A369B" w:rsidRDefault="00605057" w:rsidP="002702E6">
      <w:pPr>
        <w:spacing w:before="120" w:after="120"/>
        <w:ind w:left="1134" w:right="1843"/>
        <w:jc w:val="both"/>
        <w:rPr>
          <w:rFonts w:ascii="Palatino Linotype" w:eastAsia="Palatino Linotype" w:hAnsi="Palatino Linotype" w:cs="Palatino Linotype"/>
          <w:i/>
          <w:iCs/>
        </w:rPr>
      </w:pPr>
      <w:r w:rsidRPr="005A369B">
        <w:rPr>
          <w:rFonts w:ascii="Palatino Linotype" w:eastAsia="Palatino Linotype" w:hAnsi="Palatino Linotype" w:cs="Palatino Linotype"/>
          <w:b/>
          <w:bCs/>
          <w:i/>
          <w:iCs/>
        </w:rPr>
        <w:t>a.</w:t>
      </w:r>
      <w:r w:rsidRPr="005A369B">
        <w:rPr>
          <w:rFonts w:ascii="Palatino Linotype" w:eastAsia="Palatino Linotype" w:hAnsi="Palatino Linotype" w:cs="Palatino Linotype"/>
          <w:i/>
          <w:iCs/>
        </w:rPr>
        <w:t xml:space="preserve"> En el caso de las dependencias al Gobierno del Estado de México; </w:t>
      </w:r>
    </w:p>
    <w:p w:rsidR="00605057" w:rsidRPr="005A369B" w:rsidRDefault="00605057" w:rsidP="002702E6">
      <w:pPr>
        <w:spacing w:before="120" w:after="120"/>
        <w:ind w:left="1134" w:right="1843"/>
        <w:jc w:val="both"/>
        <w:rPr>
          <w:rFonts w:ascii="Palatino Linotype" w:eastAsia="Palatino Linotype" w:hAnsi="Palatino Linotype" w:cs="Palatino Linotype"/>
          <w:i/>
          <w:iCs/>
        </w:rPr>
      </w:pPr>
      <w:r w:rsidRPr="005A369B">
        <w:rPr>
          <w:rFonts w:ascii="Palatino Linotype" w:eastAsia="Palatino Linotype" w:hAnsi="Palatino Linotype" w:cs="Palatino Linotype"/>
          <w:b/>
          <w:bCs/>
          <w:i/>
          <w:iCs/>
        </w:rPr>
        <w:t>b</w:t>
      </w:r>
      <w:r w:rsidRPr="005A369B">
        <w:rPr>
          <w:rFonts w:ascii="Palatino Linotype" w:eastAsia="Palatino Linotype" w:hAnsi="Palatino Linotype" w:cs="Palatino Linotype"/>
          <w:i/>
          <w:iCs/>
        </w:rPr>
        <w:t xml:space="preserve">. En el caso de las entidades a ellas mismas; y </w:t>
      </w:r>
    </w:p>
    <w:p w:rsidR="00605057" w:rsidRPr="005A369B" w:rsidRDefault="00605057" w:rsidP="002702E6">
      <w:pPr>
        <w:spacing w:before="120" w:after="120"/>
        <w:ind w:left="1134" w:right="1843"/>
        <w:jc w:val="both"/>
        <w:rPr>
          <w:rFonts w:ascii="Palatino Linotype" w:eastAsia="Palatino Linotype" w:hAnsi="Palatino Linotype" w:cs="Palatino Linotype"/>
          <w:i/>
          <w:iCs/>
        </w:rPr>
      </w:pPr>
      <w:r w:rsidRPr="005A369B">
        <w:rPr>
          <w:rFonts w:ascii="Palatino Linotype" w:eastAsia="Palatino Linotype" w:hAnsi="Palatino Linotype" w:cs="Palatino Linotype"/>
          <w:b/>
          <w:bCs/>
          <w:i/>
          <w:iCs/>
        </w:rPr>
        <w:t>c.</w:t>
      </w:r>
      <w:r w:rsidRPr="005A369B">
        <w:rPr>
          <w:rFonts w:ascii="Palatino Linotype" w:eastAsia="Palatino Linotype" w:hAnsi="Palatino Linotype" w:cs="Palatino Linotype"/>
          <w:i/>
          <w:iCs/>
        </w:rPr>
        <w:t xml:space="preserve"> En el caso de los ayuntamientos a la Tesorería Municipal. </w:t>
      </w:r>
    </w:p>
    <w:p w:rsidR="00605057" w:rsidRPr="005A369B" w:rsidRDefault="00605057" w:rsidP="002702E6">
      <w:pPr>
        <w:spacing w:before="120" w:after="120"/>
        <w:ind w:left="1134" w:right="1843"/>
        <w:jc w:val="both"/>
        <w:rPr>
          <w:rFonts w:ascii="Palatino Linotype" w:eastAsia="Palatino Linotype" w:hAnsi="Palatino Linotype" w:cs="Palatino Linotype"/>
          <w:i/>
          <w:iCs/>
        </w:rPr>
      </w:pPr>
      <w:r w:rsidRPr="005A369B">
        <w:rPr>
          <w:rFonts w:ascii="Palatino Linotype" w:eastAsia="Palatino Linotype" w:hAnsi="Palatino Linotype" w:cs="Palatino Linotype"/>
          <w:b/>
          <w:bCs/>
          <w:i/>
          <w:iCs/>
        </w:rPr>
        <w:t>IX.</w:t>
      </w:r>
      <w:r w:rsidRPr="005A369B">
        <w:rPr>
          <w:rFonts w:ascii="Palatino Linotype" w:eastAsia="Palatino Linotype" w:hAnsi="Palatino Linotype" w:cs="Palatino Linotype"/>
          <w:i/>
          <w:iCs/>
        </w:rPr>
        <w:t xml:space="preserve"> Copia del recibo de compra u obtención de las bases. </w:t>
      </w:r>
    </w:p>
    <w:p w:rsidR="00605057" w:rsidRPr="005A369B" w:rsidRDefault="00605057" w:rsidP="002702E6">
      <w:pPr>
        <w:spacing w:before="120" w:after="120"/>
        <w:ind w:left="1134" w:right="1843"/>
        <w:jc w:val="both"/>
        <w:rPr>
          <w:rFonts w:ascii="Palatino Linotype" w:eastAsia="Palatino Linotype" w:hAnsi="Palatino Linotype" w:cs="Palatino Linotype"/>
          <w:i/>
          <w:iCs/>
        </w:rPr>
      </w:pPr>
      <w:r w:rsidRPr="005A369B">
        <w:rPr>
          <w:rFonts w:ascii="Palatino Linotype" w:eastAsia="Palatino Linotype" w:hAnsi="Palatino Linotype" w:cs="Palatino Linotype"/>
          <w:b/>
          <w:bCs/>
          <w:i/>
          <w:iCs/>
        </w:rPr>
        <w:t>Artículo 46</w:t>
      </w:r>
      <w:r w:rsidRPr="005A369B">
        <w:rPr>
          <w:rFonts w:ascii="Palatino Linotype" w:eastAsia="Palatino Linotype" w:hAnsi="Palatino Linotype" w:cs="Palatino Linotype"/>
          <w:i/>
          <w:iCs/>
        </w:rPr>
        <w:t xml:space="preserve">.- Atendiendo a las características, complejidad y magnitud de los trabajos, el convocante podrá requerir al licitante que en su propuesta incluya la documentación relacionada con su experiencia profesional: </w:t>
      </w:r>
    </w:p>
    <w:p w:rsidR="00605057" w:rsidRPr="005A369B" w:rsidRDefault="00605057" w:rsidP="002702E6">
      <w:pPr>
        <w:spacing w:before="120" w:after="120"/>
        <w:ind w:left="1134" w:right="1843"/>
        <w:jc w:val="both"/>
        <w:rPr>
          <w:rFonts w:ascii="Palatino Linotype" w:eastAsia="Palatino Linotype" w:hAnsi="Palatino Linotype" w:cs="Palatino Linotype"/>
          <w:i/>
          <w:iCs/>
        </w:rPr>
      </w:pPr>
      <w:r w:rsidRPr="005A369B">
        <w:rPr>
          <w:rFonts w:ascii="Palatino Linotype" w:eastAsia="Palatino Linotype" w:hAnsi="Palatino Linotype" w:cs="Palatino Linotype"/>
          <w:b/>
          <w:bCs/>
          <w:i/>
          <w:iCs/>
        </w:rPr>
        <w:t>I.</w:t>
      </w:r>
      <w:r w:rsidRPr="005A369B">
        <w:rPr>
          <w:rFonts w:ascii="Palatino Linotype" w:eastAsia="Palatino Linotype" w:hAnsi="Palatino Linotype" w:cs="Palatino Linotype"/>
          <w:i/>
          <w:iCs/>
        </w:rPr>
        <w:t xml:space="preserve"> Manifestación de conocer los proyectos arquitectónicos y de ingeniería; las normas técnicas y de calidad de los materiales; las especificaciones generales y particulares de construcción contenidas en la licitación; y las leyes y reglamentos aplicables; </w:t>
      </w:r>
    </w:p>
    <w:p w:rsidR="00605057" w:rsidRPr="005A369B" w:rsidRDefault="00605057" w:rsidP="002702E6">
      <w:pPr>
        <w:spacing w:before="120" w:after="120"/>
        <w:ind w:left="1134" w:right="1843"/>
        <w:jc w:val="both"/>
        <w:rPr>
          <w:rFonts w:ascii="Palatino Linotype" w:eastAsia="Palatino Linotype" w:hAnsi="Palatino Linotype" w:cs="Palatino Linotype"/>
          <w:i/>
          <w:iCs/>
        </w:rPr>
      </w:pPr>
      <w:r w:rsidRPr="005A369B">
        <w:rPr>
          <w:rFonts w:ascii="Palatino Linotype" w:eastAsia="Palatino Linotype" w:hAnsi="Palatino Linotype" w:cs="Palatino Linotype"/>
          <w:b/>
          <w:bCs/>
          <w:i/>
          <w:iCs/>
        </w:rPr>
        <w:t>II.</w:t>
      </w:r>
      <w:r w:rsidRPr="005A369B">
        <w:rPr>
          <w:rFonts w:ascii="Palatino Linotype" w:eastAsia="Palatino Linotype" w:hAnsi="Palatino Linotype" w:cs="Palatino Linotype"/>
          <w:i/>
          <w:iCs/>
        </w:rPr>
        <w:t xml:space="preserve"> Descripción de la planeación de los trabajos, especialmente del procedimiento constructivo. El convocante señalará las condicionantes técnicas que procedan conforme a los proyectos; </w:t>
      </w:r>
    </w:p>
    <w:p w:rsidR="00605057" w:rsidRPr="005A369B" w:rsidRDefault="00605057" w:rsidP="002702E6">
      <w:pPr>
        <w:spacing w:before="120" w:after="120"/>
        <w:ind w:left="1134" w:right="1843"/>
        <w:jc w:val="both"/>
        <w:rPr>
          <w:rFonts w:ascii="Palatino Linotype" w:eastAsia="Palatino Linotype" w:hAnsi="Palatino Linotype" w:cs="Palatino Linotype"/>
          <w:i/>
          <w:iCs/>
        </w:rPr>
      </w:pPr>
      <w:r w:rsidRPr="005A369B">
        <w:rPr>
          <w:rFonts w:ascii="Palatino Linotype" w:eastAsia="Palatino Linotype" w:hAnsi="Palatino Linotype" w:cs="Palatino Linotype"/>
          <w:b/>
          <w:bCs/>
          <w:i/>
          <w:iCs/>
        </w:rPr>
        <w:lastRenderedPageBreak/>
        <w:t>III.</w:t>
      </w:r>
      <w:r w:rsidRPr="005A369B">
        <w:rPr>
          <w:rFonts w:ascii="Palatino Linotype" w:eastAsia="Palatino Linotype" w:hAnsi="Palatino Linotype" w:cs="Palatino Linotype"/>
          <w:i/>
          <w:iCs/>
        </w:rPr>
        <w:t xml:space="preserve"> Relación comprobable de los trabajos realizados por el licitante y su personal, que acrediten la experiencia y la capacidad técnica solicitadas, con el nombre del contratante; la descripción de las obras y su participación en ellas; los importes totales, ejercidos y por ejercer; y las fechas de inicio y terminación previstas; </w:t>
      </w:r>
    </w:p>
    <w:p w:rsidR="00605057" w:rsidRPr="005A369B" w:rsidRDefault="00605057" w:rsidP="002702E6">
      <w:pPr>
        <w:spacing w:before="120" w:after="120"/>
        <w:ind w:left="1134" w:right="1843"/>
        <w:jc w:val="both"/>
        <w:rPr>
          <w:rFonts w:ascii="Palatino Linotype" w:eastAsia="Palatino Linotype" w:hAnsi="Palatino Linotype" w:cs="Palatino Linotype"/>
          <w:i/>
          <w:iCs/>
        </w:rPr>
      </w:pPr>
      <w:r w:rsidRPr="005A369B">
        <w:rPr>
          <w:rFonts w:ascii="Palatino Linotype" w:eastAsia="Palatino Linotype" w:hAnsi="Palatino Linotype" w:cs="Palatino Linotype"/>
          <w:b/>
          <w:bCs/>
          <w:i/>
          <w:iCs/>
        </w:rPr>
        <w:t>IV</w:t>
      </w:r>
      <w:r w:rsidRPr="005A369B">
        <w:rPr>
          <w:rFonts w:ascii="Palatino Linotype" w:eastAsia="Palatino Linotype" w:hAnsi="Palatino Linotype" w:cs="Palatino Linotype"/>
          <w:i/>
          <w:iCs/>
        </w:rPr>
        <w:t xml:space="preserve">. Currículos de los profesionales al servicio del licitante con experiencia en obras de características técnicas y magnitud similares; identificando a los que se encargarán de la ejecución y administración de la obra; </w:t>
      </w:r>
    </w:p>
    <w:p w:rsidR="00605057" w:rsidRPr="005A369B" w:rsidRDefault="00605057" w:rsidP="002702E6">
      <w:pPr>
        <w:spacing w:before="120" w:after="120"/>
        <w:ind w:left="1134" w:right="1843"/>
        <w:jc w:val="both"/>
        <w:rPr>
          <w:rFonts w:ascii="Palatino Linotype" w:eastAsia="Palatino Linotype" w:hAnsi="Palatino Linotype" w:cs="Palatino Linotype"/>
          <w:i/>
          <w:iCs/>
        </w:rPr>
      </w:pPr>
      <w:r w:rsidRPr="005A369B">
        <w:rPr>
          <w:rFonts w:ascii="Palatino Linotype" w:eastAsia="Palatino Linotype" w:hAnsi="Palatino Linotype" w:cs="Palatino Linotype"/>
          <w:b/>
          <w:bCs/>
          <w:i/>
          <w:iCs/>
        </w:rPr>
        <w:t>V</w:t>
      </w:r>
      <w:r w:rsidRPr="005A369B">
        <w:rPr>
          <w:rFonts w:ascii="Palatino Linotype" w:eastAsia="Palatino Linotype" w:hAnsi="Palatino Linotype" w:cs="Palatino Linotype"/>
          <w:i/>
          <w:iCs/>
        </w:rPr>
        <w:t xml:space="preserve">. Así mismo el documento que certifique los conocimientos y habilidades de los profesionales responsables de formular precios unitarios y de la superintendencia de construcción. </w:t>
      </w:r>
    </w:p>
    <w:p w:rsidR="00605057" w:rsidRPr="005A369B" w:rsidRDefault="00605057" w:rsidP="002702E6">
      <w:pPr>
        <w:spacing w:before="120" w:after="120"/>
        <w:ind w:left="1134" w:right="1843"/>
        <w:jc w:val="both"/>
        <w:rPr>
          <w:rFonts w:ascii="Palatino Linotype" w:eastAsia="Palatino Linotype" w:hAnsi="Palatino Linotype" w:cs="Palatino Linotype"/>
          <w:i/>
          <w:iCs/>
        </w:rPr>
      </w:pPr>
      <w:r w:rsidRPr="005A369B">
        <w:rPr>
          <w:rFonts w:ascii="Palatino Linotype" w:eastAsia="Palatino Linotype" w:hAnsi="Palatino Linotype" w:cs="Palatino Linotype"/>
          <w:b/>
          <w:bCs/>
          <w:i/>
          <w:iCs/>
        </w:rPr>
        <w:t>VI.</w:t>
      </w:r>
      <w:r w:rsidRPr="005A369B">
        <w:rPr>
          <w:rFonts w:ascii="Palatino Linotype" w:eastAsia="Palatino Linotype" w:hAnsi="Palatino Linotype" w:cs="Palatino Linotype"/>
          <w:i/>
          <w:iCs/>
        </w:rPr>
        <w:t xml:space="preserve"> En su caso, escrito en el que señale la parte de los trabajos que subcontratará y la información necesaria que acredite la experiencia y capacidad técnica y económica del o los subcontratistas;</w:t>
      </w:r>
    </w:p>
    <w:p w:rsidR="00605057" w:rsidRPr="005A369B" w:rsidRDefault="00605057" w:rsidP="002702E6">
      <w:pPr>
        <w:spacing w:before="120" w:after="120"/>
        <w:ind w:left="1134" w:right="1843"/>
        <w:jc w:val="both"/>
        <w:rPr>
          <w:rFonts w:ascii="Palatino Linotype" w:eastAsia="Palatino Linotype" w:hAnsi="Palatino Linotype" w:cs="Palatino Linotype"/>
          <w:i/>
          <w:iCs/>
        </w:rPr>
      </w:pPr>
      <w:r w:rsidRPr="005A369B">
        <w:rPr>
          <w:rFonts w:ascii="Palatino Linotype" w:eastAsia="Palatino Linotype" w:hAnsi="Palatino Linotype" w:cs="Palatino Linotype"/>
          <w:b/>
          <w:bCs/>
          <w:i/>
          <w:iCs/>
        </w:rPr>
        <w:t>VII.</w:t>
      </w:r>
      <w:r w:rsidRPr="005A369B">
        <w:rPr>
          <w:rFonts w:ascii="Palatino Linotype" w:eastAsia="Palatino Linotype" w:hAnsi="Palatino Linotype" w:cs="Palatino Linotype"/>
          <w:i/>
          <w:iCs/>
        </w:rPr>
        <w:t xml:space="preserve"> En su caso, manifestación de conocer y haber considerado en su propuesta los materiales y equipos de instalación permanente que le proporcionará el convocante y el programa de suministro correspondiente; </w:t>
      </w:r>
    </w:p>
    <w:p w:rsidR="00605057" w:rsidRPr="005A369B" w:rsidRDefault="00605057" w:rsidP="002702E6">
      <w:pPr>
        <w:spacing w:before="120" w:after="120"/>
        <w:ind w:left="1134" w:right="1843"/>
        <w:jc w:val="both"/>
        <w:rPr>
          <w:rFonts w:ascii="Palatino Linotype" w:eastAsia="Palatino Linotype" w:hAnsi="Palatino Linotype" w:cs="Palatino Linotype"/>
          <w:i/>
          <w:iCs/>
        </w:rPr>
      </w:pPr>
      <w:r w:rsidRPr="005A369B">
        <w:rPr>
          <w:rFonts w:ascii="Palatino Linotype" w:eastAsia="Palatino Linotype" w:hAnsi="Palatino Linotype" w:cs="Palatino Linotype"/>
          <w:b/>
          <w:bCs/>
          <w:i/>
          <w:iCs/>
        </w:rPr>
        <w:t>VIII.</w:t>
      </w:r>
      <w:r w:rsidRPr="005A369B">
        <w:rPr>
          <w:rFonts w:ascii="Palatino Linotype" w:eastAsia="Palatino Linotype" w:hAnsi="Palatino Linotype" w:cs="Palatino Linotype"/>
          <w:i/>
          <w:iCs/>
        </w:rPr>
        <w:t xml:space="preserve"> Constancia expedida por el convocante de haber visitado el sitio de los trabajos y manifestación escrita de conocer sus condiciones ambientales; IX. Manifestación de haber considerado las modificaciones que, en su caso, se hayan efectuado a las bases de licitación; </w:t>
      </w:r>
    </w:p>
    <w:p w:rsidR="00605057" w:rsidRPr="005A369B" w:rsidRDefault="00605057" w:rsidP="002702E6">
      <w:pPr>
        <w:spacing w:before="120" w:after="120"/>
        <w:ind w:left="1134" w:right="1843"/>
        <w:jc w:val="both"/>
        <w:rPr>
          <w:rFonts w:ascii="Palatino Linotype" w:eastAsia="Palatino Linotype" w:hAnsi="Palatino Linotype" w:cs="Palatino Linotype"/>
          <w:i/>
          <w:iCs/>
        </w:rPr>
      </w:pPr>
      <w:r w:rsidRPr="005A369B">
        <w:rPr>
          <w:rFonts w:ascii="Palatino Linotype" w:eastAsia="Palatino Linotype" w:hAnsi="Palatino Linotype" w:cs="Palatino Linotype"/>
          <w:b/>
          <w:bCs/>
          <w:i/>
          <w:iCs/>
        </w:rPr>
        <w:t>X</w:t>
      </w:r>
      <w:r w:rsidRPr="005A369B">
        <w:rPr>
          <w:rFonts w:ascii="Palatino Linotype" w:eastAsia="Palatino Linotype" w:hAnsi="Palatino Linotype" w:cs="Palatino Linotype"/>
          <w:i/>
          <w:iCs/>
        </w:rPr>
        <w:t xml:space="preserve">. Manifestación de que los precios consignados en su propuesta no se cotizan en condiciones de prácticas desleales de comercio internacional en su modalidad de discriminación de precios o de subsidios, en el caso de que se requiriesen materiales, maquinaria y equipo de instalación permanente de origen extranjero; </w:t>
      </w:r>
    </w:p>
    <w:p w:rsidR="00605057" w:rsidRPr="005A369B" w:rsidRDefault="00605057" w:rsidP="002702E6">
      <w:pPr>
        <w:spacing w:before="120" w:after="120"/>
        <w:ind w:left="1134" w:right="1843"/>
        <w:jc w:val="both"/>
        <w:rPr>
          <w:rFonts w:ascii="Palatino Linotype" w:eastAsia="Palatino Linotype" w:hAnsi="Palatino Linotype" w:cs="Palatino Linotype"/>
          <w:i/>
          <w:iCs/>
        </w:rPr>
      </w:pPr>
      <w:r w:rsidRPr="005A369B">
        <w:rPr>
          <w:rFonts w:ascii="Palatino Linotype" w:eastAsia="Palatino Linotype" w:hAnsi="Palatino Linotype" w:cs="Palatino Linotype"/>
          <w:b/>
          <w:bCs/>
          <w:i/>
          <w:iCs/>
        </w:rPr>
        <w:t>XI.</w:t>
      </w:r>
      <w:r w:rsidRPr="005A369B">
        <w:rPr>
          <w:rFonts w:ascii="Palatino Linotype" w:eastAsia="Palatino Linotype" w:hAnsi="Palatino Linotype" w:cs="Palatino Linotype"/>
          <w:i/>
          <w:iCs/>
        </w:rPr>
        <w:t xml:space="preserve"> Manifestación escrita de que conoce y aplicará, en su caso, las distintas disposiciones en materia de protección ambiental y ecológica; </w:t>
      </w:r>
    </w:p>
    <w:p w:rsidR="00605057" w:rsidRPr="005A369B" w:rsidRDefault="00605057" w:rsidP="002702E6">
      <w:pPr>
        <w:spacing w:before="120" w:after="120"/>
        <w:ind w:left="1134" w:right="1843"/>
        <w:jc w:val="both"/>
        <w:rPr>
          <w:rFonts w:ascii="Palatino Linotype" w:eastAsia="Palatino Linotype" w:hAnsi="Palatino Linotype" w:cs="Palatino Linotype"/>
          <w:i/>
          <w:iCs/>
        </w:rPr>
      </w:pPr>
      <w:r w:rsidRPr="005A369B">
        <w:rPr>
          <w:rFonts w:ascii="Palatino Linotype" w:eastAsia="Palatino Linotype" w:hAnsi="Palatino Linotype" w:cs="Palatino Linotype"/>
          <w:b/>
          <w:bCs/>
          <w:i/>
          <w:iCs/>
        </w:rPr>
        <w:t>XII.</w:t>
      </w:r>
      <w:r w:rsidRPr="005A369B">
        <w:rPr>
          <w:rFonts w:ascii="Palatino Linotype" w:eastAsia="Palatino Linotype" w:hAnsi="Palatino Linotype" w:cs="Palatino Linotype"/>
          <w:i/>
          <w:iCs/>
        </w:rPr>
        <w:t xml:space="preserve"> Relación de maquinaria y equipo de construcción, indicando si son de su propiedad o en arrendamiento, con o sin opción a compra; modelo </w:t>
      </w:r>
      <w:r w:rsidRPr="005A369B">
        <w:rPr>
          <w:rFonts w:ascii="Palatino Linotype" w:eastAsia="Palatino Linotype" w:hAnsi="Palatino Linotype" w:cs="Palatino Linotype"/>
          <w:i/>
          <w:iCs/>
        </w:rPr>
        <w:lastRenderedPageBreak/>
        <w:t xml:space="preserve">y usos actuales; su ubicación física; la fecha en que se dispondrá de ellos en el sitio de la obra. Para la maquinaria o equipo de construcción en arrendamiento, deberá presentar carta compromiso de arrendamiento y disponibilidad en el caso de que resultare ganador; </w:t>
      </w:r>
    </w:p>
    <w:p w:rsidR="00605057" w:rsidRPr="005A369B" w:rsidRDefault="00605057" w:rsidP="002702E6">
      <w:pPr>
        <w:spacing w:before="120" w:after="120"/>
        <w:ind w:left="1134" w:right="1843"/>
        <w:jc w:val="both"/>
        <w:rPr>
          <w:rFonts w:ascii="Palatino Linotype" w:eastAsia="Palatino Linotype" w:hAnsi="Palatino Linotype" w:cs="Palatino Linotype"/>
          <w:i/>
          <w:iCs/>
        </w:rPr>
      </w:pPr>
      <w:r w:rsidRPr="005A369B">
        <w:rPr>
          <w:rFonts w:ascii="Palatino Linotype" w:eastAsia="Palatino Linotype" w:hAnsi="Palatino Linotype" w:cs="Palatino Linotype"/>
          <w:b/>
          <w:bCs/>
          <w:i/>
          <w:iCs/>
        </w:rPr>
        <w:t>XIII</w:t>
      </w:r>
      <w:r w:rsidRPr="005A369B">
        <w:rPr>
          <w:rFonts w:ascii="Palatino Linotype" w:eastAsia="Palatino Linotype" w:hAnsi="Palatino Linotype" w:cs="Palatino Linotype"/>
          <w:i/>
          <w:iCs/>
        </w:rPr>
        <w:t>. Manifestación de conocer el contenido del modelo del contrato y su conformidad de ajustarse a sus términos.</w:t>
      </w:r>
    </w:p>
    <w:p w:rsidR="00605057" w:rsidRPr="005A369B" w:rsidRDefault="00605057" w:rsidP="002702E6">
      <w:pPr>
        <w:spacing w:before="120" w:after="120"/>
        <w:ind w:left="1134" w:right="1843"/>
        <w:jc w:val="both"/>
        <w:rPr>
          <w:rFonts w:ascii="Palatino Linotype" w:eastAsia="Palatino Linotype" w:hAnsi="Palatino Linotype" w:cs="Palatino Linotype"/>
          <w:i/>
          <w:iCs/>
        </w:rPr>
      </w:pPr>
      <w:r w:rsidRPr="005A369B">
        <w:rPr>
          <w:rFonts w:ascii="Palatino Linotype" w:eastAsia="Palatino Linotype" w:hAnsi="Palatino Linotype" w:cs="Palatino Linotype"/>
          <w:i/>
          <w:iCs/>
        </w:rPr>
        <w:t>...</w:t>
      </w:r>
    </w:p>
    <w:p w:rsidR="00605057" w:rsidRPr="005A369B" w:rsidRDefault="00605057" w:rsidP="002702E6">
      <w:pPr>
        <w:spacing w:before="120" w:after="120"/>
        <w:ind w:left="1134" w:right="1843"/>
        <w:jc w:val="both"/>
        <w:rPr>
          <w:rFonts w:ascii="Palatino Linotype" w:eastAsia="Palatino Linotype" w:hAnsi="Palatino Linotype" w:cs="Palatino Linotype"/>
          <w:i/>
          <w:iCs/>
        </w:rPr>
      </w:pPr>
      <w:r w:rsidRPr="005A369B">
        <w:rPr>
          <w:rFonts w:ascii="Palatino Linotype" w:eastAsia="Palatino Linotype" w:hAnsi="Palatino Linotype" w:cs="Palatino Linotype"/>
          <w:b/>
          <w:bCs/>
          <w:i/>
          <w:iCs/>
        </w:rPr>
        <w:t>Artículo 49</w:t>
      </w:r>
      <w:r w:rsidRPr="005A369B">
        <w:rPr>
          <w:rFonts w:ascii="Palatino Linotype" w:eastAsia="Palatino Linotype" w:hAnsi="Palatino Linotype" w:cs="Palatino Linotype"/>
          <w:i/>
          <w:iCs/>
        </w:rPr>
        <w:t>.- Los licitantes son los únicos responsables de que sus propuestas sean entregadas en tiempo y forma en el acto de presentación y apertura de propuestas. Todos los documentos de la propuesta deberán estar foliados y firmados por el licitante o su representante legal, se entregarán en un sobre cerrado que contendrá:</w:t>
      </w:r>
    </w:p>
    <w:p w:rsidR="00605057" w:rsidRPr="005A369B" w:rsidRDefault="00605057" w:rsidP="002702E6">
      <w:pPr>
        <w:spacing w:before="120" w:after="120"/>
        <w:ind w:left="1134" w:right="1843"/>
        <w:jc w:val="both"/>
        <w:rPr>
          <w:rFonts w:ascii="Palatino Linotype" w:eastAsia="Palatino Linotype" w:hAnsi="Palatino Linotype" w:cs="Palatino Linotype"/>
          <w:i/>
          <w:iCs/>
        </w:rPr>
      </w:pPr>
      <w:r w:rsidRPr="005A369B">
        <w:rPr>
          <w:rFonts w:ascii="Palatino Linotype" w:eastAsia="Palatino Linotype" w:hAnsi="Palatino Linotype" w:cs="Palatino Linotype"/>
          <w:b/>
          <w:bCs/>
          <w:i/>
          <w:iCs/>
        </w:rPr>
        <w:t>I.</w:t>
      </w:r>
      <w:r w:rsidRPr="005A369B">
        <w:rPr>
          <w:rFonts w:ascii="Palatino Linotype" w:eastAsia="Palatino Linotype" w:hAnsi="Palatino Linotype" w:cs="Palatino Linotype"/>
          <w:i/>
          <w:iCs/>
        </w:rPr>
        <w:t xml:space="preserve"> La documentación legal y administrativa; </w:t>
      </w:r>
    </w:p>
    <w:p w:rsidR="00605057" w:rsidRPr="005A369B" w:rsidRDefault="00605057" w:rsidP="002702E6">
      <w:pPr>
        <w:spacing w:before="120" w:after="120"/>
        <w:ind w:left="1134" w:right="1843"/>
        <w:jc w:val="both"/>
        <w:rPr>
          <w:rFonts w:ascii="Palatino Linotype" w:eastAsia="Palatino Linotype" w:hAnsi="Palatino Linotype" w:cs="Palatino Linotype"/>
          <w:i/>
          <w:iCs/>
        </w:rPr>
      </w:pPr>
      <w:r w:rsidRPr="005A369B">
        <w:rPr>
          <w:rFonts w:ascii="Palatino Linotype" w:eastAsia="Palatino Linotype" w:hAnsi="Palatino Linotype" w:cs="Palatino Linotype"/>
          <w:b/>
          <w:bCs/>
          <w:i/>
          <w:iCs/>
        </w:rPr>
        <w:t>II.</w:t>
      </w:r>
      <w:r w:rsidRPr="005A369B">
        <w:rPr>
          <w:rFonts w:ascii="Palatino Linotype" w:eastAsia="Palatino Linotype" w:hAnsi="Palatino Linotype" w:cs="Palatino Linotype"/>
          <w:i/>
          <w:iCs/>
        </w:rPr>
        <w:t xml:space="preserve"> La propuesta y económica. </w:t>
      </w:r>
    </w:p>
    <w:p w:rsidR="00605057" w:rsidRPr="005A369B" w:rsidRDefault="00605057" w:rsidP="002702E6">
      <w:pPr>
        <w:spacing w:before="120" w:after="120"/>
        <w:ind w:left="1134" w:right="1843"/>
        <w:jc w:val="both"/>
        <w:rPr>
          <w:rFonts w:ascii="Palatino Linotype" w:eastAsia="Palatino Linotype" w:hAnsi="Palatino Linotype" w:cs="Palatino Linotype"/>
          <w:i/>
          <w:iCs/>
        </w:rPr>
      </w:pPr>
      <w:r w:rsidRPr="005A369B">
        <w:rPr>
          <w:rFonts w:ascii="Palatino Linotype" w:eastAsia="Palatino Linotype" w:hAnsi="Palatino Linotype" w:cs="Palatino Linotype"/>
          <w:i/>
          <w:iCs/>
        </w:rPr>
        <w:t>El licitante deberá identificar los sobres con el nombre de la dependencia, entidad o ayuntamiento; número y denominación de la licitación, la fecha, nombre o razón social del licitante y el contenido del sob</w:t>
      </w:r>
      <w:r w:rsidR="002702E6">
        <w:rPr>
          <w:rFonts w:ascii="Palatino Linotype" w:eastAsia="Palatino Linotype" w:hAnsi="Palatino Linotype" w:cs="Palatino Linotype"/>
          <w:i/>
          <w:iCs/>
        </w:rPr>
        <w:t>re.</w:t>
      </w:r>
    </w:p>
    <w:p w:rsidR="00605057" w:rsidRPr="005A369B" w:rsidRDefault="00605057" w:rsidP="002702E6">
      <w:pPr>
        <w:spacing w:before="120" w:after="120"/>
        <w:ind w:left="1134" w:right="1843"/>
        <w:jc w:val="both"/>
        <w:rPr>
          <w:rFonts w:ascii="Palatino Linotype" w:eastAsia="Palatino Linotype" w:hAnsi="Palatino Linotype" w:cs="Palatino Linotype"/>
          <w:i/>
          <w:iCs/>
        </w:rPr>
      </w:pPr>
      <w:r w:rsidRPr="005A369B">
        <w:rPr>
          <w:rFonts w:ascii="Palatino Linotype" w:eastAsia="Palatino Linotype" w:hAnsi="Palatino Linotype" w:cs="Palatino Linotype"/>
          <w:i/>
          <w:iCs/>
        </w:rPr>
        <w:t>...</w:t>
      </w:r>
    </w:p>
    <w:p w:rsidR="00605057" w:rsidRPr="005A369B" w:rsidRDefault="00605057" w:rsidP="002702E6">
      <w:pPr>
        <w:spacing w:before="120" w:after="120"/>
        <w:ind w:left="1134" w:right="1843"/>
        <w:jc w:val="both"/>
        <w:rPr>
          <w:rFonts w:ascii="Palatino Linotype" w:eastAsia="Palatino Linotype" w:hAnsi="Palatino Linotype" w:cs="Palatino Linotype"/>
          <w:i/>
          <w:iCs/>
        </w:rPr>
      </w:pPr>
      <w:r w:rsidRPr="005A369B">
        <w:rPr>
          <w:rFonts w:ascii="Palatino Linotype" w:eastAsia="Palatino Linotype" w:hAnsi="Palatino Linotype" w:cs="Palatino Linotype"/>
          <w:b/>
          <w:bCs/>
          <w:i/>
          <w:iCs/>
        </w:rPr>
        <w:t>Artículo 69</w:t>
      </w:r>
      <w:r w:rsidRPr="005A369B">
        <w:rPr>
          <w:rFonts w:ascii="Palatino Linotype" w:eastAsia="Palatino Linotype" w:hAnsi="Palatino Linotype" w:cs="Palatino Linotype"/>
          <w:i/>
          <w:iCs/>
        </w:rPr>
        <w:t xml:space="preserve">.- Cuando las dependencias, entidades y ayuntamientos determinen optar por las modalidades de invitación restringida o adjudicación directa, deberán respaldar su determinación en un estudio que fundamente su conveniencia por ofrecer mejores condiciones para el Estado de México, tomando en cuenta los siguientes criterios: </w:t>
      </w:r>
    </w:p>
    <w:p w:rsidR="00605057" w:rsidRPr="005A369B" w:rsidRDefault="00605057" w:rsidP="002702E6">
      <w:pPr>
        <w:spacing w:before="120" w:after="120"/>
        <w:ind w:left="1134" w:right="1843"/>
        <w:jc w:val="both"/>
        <w:rPr>
          <w:rFonts w:ascii="Palatino Linotype" w:eastAsia="Palatino Linotype" w:hAnsi="Palatino Linotype" w:cs="Palatino Linotype"/>
          <w:i/>
          <w:iCs/>
        </w:rPr>
      </w:pPr>
      <w:r w:rsidRPr="005A369B">
        <w:rPr>
          <w:rFonts w:ascii="Palatino Linotype" w:eastAsia="Palatino Linotype" w:hAnsi="Palatino Linotype" w:cs="Palatino Linotype"/>
          <w:b/>
          <w:bCs/>
          <w:i/>
          <w:iCs/>
        </w:rPr>
        <w:t xml:space="preserve">I. </w:t>
      </w:r>
      <w:r w:rsidRPr="005A369B">
        <w:rPr>
          <w:rFonts w:ascii="Palatino Linotype" w:eastAsia="Palatino Linotype" w:hAnsi="Palatino Linotype" w:cs="Palatino Linotype"/>
          <w:i/>
          <w:iCs/>
        </w:rPr>
        <w:t xml:space="preserve">Economía, que signifique un menor costo de la obra o servicio; </w:t>
      </w:r>
    </w:p>
    <w:p w:rsidR="00605057" w:rsidRPr="005A369B" w:rsidRDefault="00605057" w:rsidP="002702E6">
      <w:pPr>
        <w:spacing w:before="120" w:after="120"/>
        <w:ind w:left="1134" w:right="1843"/>
        <w:jc w:val="both"/>
        <w:rPr>
          <w:rFonts w:ascii="Palatino Linotype" w:eastAsia="Palatino Linotype" w:hAnsi="Palatino Linotype" w:cs="Palatino Linotype"/>
          <w:i/>
          <w:iCs/>
        </w:rPr>
      </w:pPr>
      <w:r w:rsidRPr="005A369B">
        <w:rPr>
          <w:rFonts w:ascii="Palatino Linotype" w:eastAsia="Palatino Linotype" w:hAnsi="Palatino Linotype" w:cs="Palatino Linotype"/>
          <w:b/>
          <w:bCs/>
          <w:i/>
          <w:iCs/>
        </w:rPr>
        <w:t>II</w:t>
      </w:r>
      <w:r w:rsidRPr="005A369B">
        <w:rPr>
          <w:rFonts w:ascii="Palatino Linotype" w:eastAsia="Palatino Linotype" w:hAnsi="Palatino Linotype" w:cs="Palatino Linotype"/>
          <w:i/>
          <w:iCs/>
        </w:rPr>
        <w:t xml:space="preserve">. Oportunidad, que permita satisfacer la necesidad que se atiende con la obra pública o servicio en el menor lapso posible; </w:t>
      </w:r>
    </w:p>
    <w:p w:rsidR="00605057" w:rsidRPr="005A369B" w:rsidRDefault="00605057" w:rsidP="002702E6">
      <w:pPr>
        <w:spacing w:before="120" w:after="120"/>
        <w:ind w:left="1134" w:right="1843"/>
        <w:jc w:val="both"/>
        <w:rPr>
          <w:rFonts w:ascii="Palatino Linotype" w:eastAsia="Palatino Linotype" w:hAnsi="Palatino Linotype" w:cs="Palatino Linotype"/>
          <w:i/>
          <w:iCs/>
        </w:rPr>
      </w:pPr>
      <w:r w:rsidRPr="005A369B">
        <w:rPr>
          <w:rFonts w:ascii="Palatino Linotype" w:eastAsia="Palatino Linotype" w:hAnsi="Palatino Linotype" w:cs="Palatino Linotype"/>
          <w:b/>
          <w:bCs/>
          <w:i/>
          <w:iCs/>
        </w:rPr>
        <w:t>III.</w:t>
      </w:r>
      <w:r w:rsidRPr="005A369B">
        <w:rPr>
          <w:rFonts w:ascii="Palatino Linotype" w:eastAsia="Palatino Linotype" w:hAnsi="Palatino Linotype" w:cs="Palatino Linotype"/>
          <w:i/>
          <w:iCs/>
        </w:rPr>
        <w:t xml:space="preserve"> Eficacia, que la obra o servicio satisfaga la necesidad que la origina; </w:t>
      </w:r>
    </w:p>
    <w:p w:rsidR="00605057" w:rsidRPr="005A369B" w:rsidRDefault="00605057" w:rsidP="002702E6">
      <w:pPr>
        <w:spacing w:before="120" w:after="120"/>
        <w:ind w:left="1134" w:right="1843"/>
        <w:jc w:val="both"/>
        <w:rPr>
          <w:rFonts w:ascii="Palatino Linotype" w:eastAsia="Palatino Linotype" w:hAnsi="Palatino Linotype" w:cs="Palatino Linotype"/>
          <w:i/>
          <w:iCs/>
        </w:rPr>
      </w:pPr>
      <w:r w:rsidRPr="005A369B">
        <w:rPr>
          <w:rFonts w:ascii="Palatino Linotype" w:eastAsia="Palatino Linotype" w:hAnsi="Palatino Linotype" w:cs="Palatino Linotype"/>
          <w:b/>
          <w:bCs/>
          <w:i/>
          <w:iCs/>
        </w:rPr>
        <w:t>IV</w:t>
      </w:r>
      <w:r w:rsidRPr="005A369B">
        <w:rPr>
          <w:rFonts w:ascii="Palatino Linotype" w:eastAsia="Palatino Linotype" w:hAnsi="Palatino Linotype" w:cs="Palatino Linotype"/>
          <w:i/>
          <w:iCs/>
        </w:rPr>
        <w:t xml:space="preserve">. Eficiencia, que se dé el máximo aprovechamiento de los recursos que la dependencia, entidad o ayuntamiento asigne a la obra o servicio; </w:t>
      </w:r>
    </w:p>
    <w:p w:rsidR="00605057" w:rsidRPr="005A369B" w:rsidRDefault="00605057" w:rsidP="002702E6">
      <w:pPr>
        <w:spacing w:before="120" w:after="120"/>
        <w:ind w:left="1134" w:right="1843"/>
        <w:jc w:val="both"/>
        <w:rPr>
          <w:rFonts w:ascii="Palatino Linotype" w:eastAsia="Palatino Linotype" w:hAnsi="Palatino Linotype" w:cs="Palatino Linotype"/>
          <w:i/>
          <w:iCs/>
        </w:rPr>
      </w:pPr>
      <w:r w:rsidRPr="005A369B">
        <w:rPr>
          <w:rFonts w:ascii="Palatino Linotype" w:eastAsia="Palatino Linotype" w:hAnsi="Palatino Linotype" w:cs="Palatino Linotype"/>
          <w:b/>
          <w:bCs/>
          <w:i/>
          <w:iCs/>
        </w:rPr>
        <w:lastRenderedPageBreak/>
        <w:t>V</w:t>
      </w:r>
      <w:r w:rsidRPr="005A369B">
        <w:rPr>
          <w:rFonts w:ascii="Palatino Linotype" w:eastAsia="Palatino Linotype" w:hAnsi="Palatino Linotype" w:cs="Palatino Linotype"/>
          <w:i/>
          <w:iCs/>
        </w:rPr>
        <w:t xml:space="preserve">. Imparcialidad, que la adjudicación de la obra o servicio se realice sin favorecer a ninguno de los interesados; </w:t>
      </w:r>
    </w:p>
    <w:p w:rsidR="00605057" w:rsidRPr="005A369B" w:rsidRDefault="00605057" w:rsidP="002702E6">
      <w:pPr>
        <w:spacing w:before="120" w:after="120"/>
        <w:ind w:left="1134" w:right="1843"/>
        <w:jc w:val="both"/>
        <w:rPr>
          <w:rFonts w:ascii="Palatino Linotype" w:eastAsia="Palatino Linotype" w:hAnsi="Palatino Linotype" w:cs="Palatino Linotype"/>
          <w:i/>
          <w:iCs/>
        </w:rPr>
      </w:pPr>
      <w:r w:rsidRPr="005A369B">
        <w:rPr>
          <w:rFonts w:ascii="Palatino Linotype" w:eastAsia="Palatino Linotype" w:hAnsi="Palatino Linotype" w:cs="Palatino Linotype"/>
          <w:b/>
          <w:bCs/>
          <w:i/>
          <w:iCs/>
        </w:rPr>
        <w:t>VI</w:t>
      </w:r>
      <w:r w:rsidRPr="005A369B">
        <w:rPr>
          <w:rFonts w:ascii="Palatino Linotype" w:eastAsia="Palatino Linotype" w:hAnsi="Palatino Linotype" w:cs="Palatino Linotype"/>
          <w:i/>
          <w:iCs/>
        </w:rPr>
        <w:t xml:space="preserve">. Honradez, que garantice una justa prestación para las partes involucradas; </w:t>
      </w:r>
    </w:p>
    <w:p w:rsidR="00605057" w:rsidRPr="005A369B" w:rsidRDefault="00605057" w:rsidP="002702E6">
      <w:pPr>
        <w:spacing w:before="120" w:after="120"/>
        <w:ind w:left="1134" w:right="1843"/>
        <w:jc w:val="both"/>
        <w:rPr>
          <w:rFonts w:ascii="Palatino Linotype" w:eastAsia="Palatino Linotype" w:hAnsi="Palatino Linotype" w:cs="Palatino Linotype"/>
          <w:i/>
          <w:iCs/>
        </w:rPr>
      </w:pPr>
      <w:r w:rsidRPr="005A369B">
        <w:rPr>
          <w:rFonts w:ascii="Palatino Linotype" w:eastAsia="Palatino Linotype" w:hAnsi="Palatino Linotype" w:cs="Palatino Linotype"/>
          <w:b/>
          <w:bCs/>
          <w:i/>
          <w:iCs/>
        </w:rPr>
        <w:t>VII</w:t>
      </w:r>
      <w:r w:rsidRPr="005A369B">
        <w:rPr>
          <w:rFonts w:ascii="Palatino Linotype" w:eastAsia="Palatino Linotype" w:hAnsi="Palatino Linotype" w:cs="Palatino Linotype"/>
          <w:i/>
          <w:iCs/>
        </w:rPr>
        <w:t>. Transparencia, que se respeten escrupulosamente en la adjudicación de la obra o servicio los procedimientos establecidos en el Libro y en este Reglamento.</w:t>
      </w:r>
    </w:p>
    <w:p w:rsidR="00605057" w:rsidRPr="005A369B" w:rsidRDefault="00605057" w:rsidP="002702E6">
      <w:pPr>
        <w:spacing w:before="120" w:after="120"/>
        <w:ind w:left="1134" w:right="1843"/>
        <w:jc w:val="both"/>
        <w:rPr>
          <w:rFonts w:ascii="Palatino Linotype" w:eastAsia="Palatino Linotype" w:hAnsi="Palatino Linotype" w:cs="Palatino Linotype"/>
          <w:b/>
          <w:bCs/>
          <w:i/>
          <w:iCs/>
        </w:rPr>
      </w:pPr>
      <w:r w:rsidRPr="005A369B">
        <w:rPr>
          <w:rFonts w:ascii="Palatino Linotype" w:eastAsia="Palatino Linotype" w:hAnsi="Palatino Linotype" w:cs="Palatino Linotype"/>
          <w:b/>
          <w:bCs/>
          <w:i/>
          <w:iCs/>
        </w:rPr>
        <w:t>...</w:t>
      </w:r>
    </w:p>
    <w:p w:rsidR="00605057" w:rsidRPr="005A369B" w:rsidRDefault="00605057" w:rsidP="002702E6">
      <w:pPr>
        <w:spacing w:before="120" w:after="120"/>
        <w:ind w:left="1134" w:right="1843"/>
        <w:jc w:val="both"/>
        <w:rPr>
          <w:rFonts w:ascii="Palatino Linotype" w:eastAsia="Palatino Linotype" w:hAnsi="Palatino Linotype" w:cs="Palatino Linotype"/>
          <w:i/>
          <w:iCs/>
        </w:rPr>
      </w:pPr>
      <w:r w:rsidRPr="005A369B">
        <w:rPr>
          <w:rFonts w:ascii="Palatino Linotype" w:eastAsia="Palatino Linotype" w:hAnsi="Palatino Linotype" w:cs="Palatino Linotype"/>
          <w:b/>
          <w:bCs/>
          <w:i/>
          <w:iCs/>
        </w:rPr>
        <w:t>Artículo 85</w:t>
      </w:r>
      <w:r w:rsidRPr="005A369B">
        <w:rPr>
          <w:rFonts w:ascii="Palatino Linotype" w:eastAsia="Palatino Linotype" w:hAnsi="Palatino Linotype" w:cs="Palatino Linotype"/>
          <w:i/>
          <w:iCs/>
        </w:rPr>
        <w:t xml:space="preserve">.- En caso de declararse desierto un procedimiento de licitación, la dependencia, entidad o ayuntamiento que cuente con Comité Interno de Obra Pública solicitará el dictamen de procedencia del procedimiento de invitación restringida a ese órgano colegiado; para ello, la unidad ejecutora de obra pública integrará y presentará el caso, que contendrá: </w:t>
      </w:r>
    </w:p>
    <w:p w:rsidR="00605057" w:rsidRPr="005A369B" w:rsidRDefault="00605057" w:rsidP="002702E6">
      <w:pPr>
        <w:spacing w:before="120" w:after="120"/>
        <w:ind w:left="1134" w:right="1843"/>
        <w:jc w:val="both"/>
        <w:rPr>
          <w:rFonts w:ascii="Palatino Linotype" w:eastAsia="Palatino Linotype" w:hAnsi="Palatino Linotype" w:cs="Palatino Linotype"/>
          <w:i/>
          <w:iCs/>
        </w:rPr>
      </w:pPr>
      <w:r w:rsidRPr="005A369B">
        <w:rPr>
          <w:rFonts w:ascii="Palatino Linotype" w:eastAsia="Palatino Linotype" w:hAnsi="Palatino Linotype" w:cs="Palatino Linotype"/>
          <w:b/>
          <w:bCs/>
          <w:i/>
          <w:iCs/>
        </w:rPr>
        <w:t>I.</w:t>
      </w:r>
      <w:r w:rsidRPr="005A369B">
        <w:rPr>
          <w:rFonts w:ascii="Palatino Linotype" w:eastAsia="Palatino Linotype" w:hAnsi="Palatino Linotype" w:cs="Palatino Linotype"/>
          <w:i/>
          <w:iCs/>
        </w:rPr>
        <w:t xml:space="preserve"> La descripción general de la obra o servicio; </w:t>
      </w:r>
    </w:p>
    <w:p w:rsidR="00605057" w:rsidRPr="005A369B" w:rsidRDefault="00605057" w:rsidP="002702E6">
      <w:pPr>
        <w:spacing w:before="120" w:after="120"/>
        <w:ind w:left="1134" w:right="1843"/>
        <w:jc w:val="both"/>
        <w:rPr>
          <w:rFonts w:ascii="Palatino Linotype" w:eastAsia="Palatino Linotype" w:hAnsi="Palatino Linotype" w:cs="Palatino Linotype"/>
          <w:i/>
          <w:iCs/>
        </w:rPr>
      </w:pPr>
      <w:r w:rsidRPr="005A369B">
        <w:rPr>
          <w:rFonts w:ascii="Palatino Linotype" w:eastAsia="Palatino Linotype" w:hAnsi="Palatino Linotype" w:cs="Palatino Linotype"/>
          <w:b/>
          <w:bCs/>
          <w:i/>
          <w:iCs/>
        </w:rPr>
        <w:t>II</w:t>
      </w:r>
      <w:r w:rsidRPr="005A369B">
        <w:rPr>
          <w:rFonts w:ascii="Palatino Linotype" w:eastAsia="Palatino Linotype" w:hAnsi="Palatino Linotype" w:cs="Palatino Linotype"/>
          <w:i/>
          <w:iCs/>
        </w:rPr>
        <w:t xml:space="preserve">. El informe del procedimiento de licitación pública que fue declarado desierto; </w:t>
      </w:r>
    </w:p>
    <w:p w:rsidR="00605057" w:rsidRPr="005A369B" w:rsidRDefault="00605057" w:rsidP="002702E6">
      <w:pPr>
        <w:spacing w:before="120" w:after="120"/>
        <w:ind w:left="1134" w:right="1843"/>
        <w:jc w:val="both"/>
        <w:rPr>
          <w:rFonts w:ascii="Palatino Linotype" w:eastAsia="Palatino Linotype" w:hAnsi="Palatino Linotype" w:cs="Palatino Linotype"/>
          <w:i/>
          <w:iCs/>
        </w:rPr>
      </w:pPr>
      <w:r w:rsidRPr="005A369B">
        <w:rPr>
          <w:rFonts w:ascii="Palatino Linotype" w:eastAsia="Palatino Linotype" w:hAnsi="Palatino Linotype" w:cs="Palatino Linotype"/>
          <w:b/>
          <w:bCs/>
          <w:i/>
          <w:iCs/>
        </w:rPr>
        <w:t>II</w:t>
      </w:r>
      <w:r w:rsidRPr="005A369B">
        <w:rPr>
          <w:rFonts w:ascii="Palatino Linotype" w:eastAsia="Palatino Linotype" w:hAnsi="Palatino Linotype" w:cs="Palatino Linotype"/>
          <w:i/>
          <w:iCs/>
        </w:rPr>
        <w:t xml:space="preserve">I. La fecha probable de inicio de los trabajos y el plazo de ejecución de los mismos; </w:t>
      </w:r>
    </w:p>
    <w:p w:rsidR="00605057" w:rsidRPr="005A369B" w:rsidRDefault="00605057" w:rsidP="002702E6">
      <w:pPr>
        <w:spacing w:before="120" w:after="120"/>
        <w:ind w:left="1134" w:right="1843"/>
        <w:jc w:val="both"/>
        <w:rPr>
          <w:rFonts w:ascii="Palatino Linotype" w:eastAsia="Palatino Linotype" w:hAnsi="Palatino Linotype" w:cs="Palatino Linotype"/>
          <w:i/>
          <w:iCs/>
        </w:rPr>
      </w:pPr>
      <w:r w:rsidRPr="005A369B">
        <w:rPr>
          <w:rFonts w:ascii="Palatino Linotype" w:eastAsia="Palatino Linotype" w:hAnsi="Palatino Linotype" w:cs="Palatino Linotype"/>
          <w:b/>
          <w:bCs/>
          <w:i/>
          <w:iCs/>
        </w:rPr>
        <w:t>IV</w:t>
      </w:r>
      <w:r w:rsidRPr="005A369B">
        <w:rPr>
          <w:rFonts w:ascii="Palatino Linotype" w:eastAsia="Palatino Linotype" w:hAnsi="Palatino Linotype" w:cs="Palatino Linotype"/>
          <w:i/>
          <w:iCs/>
        </w:rPr>
        <w:t xml:space="preserve">. El presupuesto base; </w:t>
      </w:r>
    </w:p>
    <w:p w:rsidR="00605057" w:rsidRPr="005A369B" w:rsidRDefault="00605057" w:rsidP="002702E6">
      <w:pPr>
        <w:spacing w:before="120" w:after="120"/>
        <w:ind w:left="1134" w:right="1843"/>
        <w:jc w:val="both"/>
        <w:rPr>
          <w:rFonts w:ascii="Palatino Linotype" w:eastAsia="Palatino Linotype" w:hAnsi="Palatino Linotype" w:cs="Palatino Linotype"/>
          <w:i/>
          <w:iCs/>
        </w:rPr>
      </w:pPr>
      <w:r w:rsidRPr="005A369B">
        <w:rPr>
          <w:rFonts w:ascii="Palatino Linotype" w:eastAsia="Palatino Linotype" w:hAnsi="Palatino Linotype" w:cs="Palatino Linotype"/>
          <w:b/>
          <w:bCs/>
          <w:i/>
          <w:iCs/>
        </w:rPr>
        <w:t>V</w:t>
      </w:r>
      <w:r w:rsidRPr="005A369B">
        <w:rPr>
          <w:rFonts w:ascii="Palatino Linotype" w:eastAsia="Palatino Linotype" w:hAnsi="Palatino Linotype" w:cs="Palatino Linotype"/>
          <w:i/>
          <w:iCs/>
        </w:rPr>
        <w:t>. La autorización presupuestal;</w:t>
      </w:r>
    </w:p>
    <w:p w:rsidR="00605057" w:rsidRPr="005A369B" w:rsidRDefault="00605057" w:rsidP="002702E6">
      <w:pPr>
        <w:spacing w:before="120" w:after="120"/>
        <w:ind w:left="1134" w:right="1843"/>
        <w:jc w:val="both"/>
        <w:rPr>
          <w:rFonts w:ascii="Palatino Linotype" w:eastAsia="Palatino Linotype" w:hAnsi="Palatino Linotype" w:cs="Palatino Linotype"/>
          <w:i/>
          <w:iCs/>
        </w:rPr>
      </w:pPr>
      <w:r w:rsidRPr="005A369B">
        <w:rPr>
          <w:rFonts w:ascii="Palatino Linotype" w:eastAsia="Palatino Linotype" w:hAnsi="Palatino Linotype" w:cs="Palatino Linotype"/>
          <w:b/>
          <w:bCs/>
          <w:i/>
          <w:iCs/>
        </w:rPr>
        <w:t>VI</w:t>
      </w:r>
      <w:r w:rsidRPr="005A369B">
        <w:rPr>
          <w:rFonts w:ascii="Palatino Linotype" w:eastAsia="Palatino Linotype" w:hAnsi="Palatino Linotype" w:cs="Palatino Linotype"/>
          <w:i/>
          <w:iCs/>
        </w:rPr>
        <w:t xml:space="preserve">. El nombre y firma del titular del área responsable de la ejecución de los trabajos; y </w:t>
      </w:r>
    </w:p>
    <w:p w:rsidR="00605057" w:rsidRPr="005A369B" w:rsidRDefault="00605057" w:rsidP="002702E6">
      <w:pPr>
        <w:spacing w:before="120" w:after="120"/>
        <w:ind w:left="1134" w:right="1843"/>
        <w:jc w:val="both"/>
        <w:rPr>
          <w:rFonts w:ascii="Palatino Linotype" w:eastAsia="Palatino Linotype" w:hAnsi="Palatino Linotype" w:cs="Palatino Linotype"/>
          <w:i/>
          <w:iCs/>
        </w:rPr>
      </w:pPr>
      <w:r w:rsidRPr="005A369B">
        <w:rPr>
          <w:rFonts w:ascii="Palatino Linotype" w:eastAsia="Palatino Linotype" w:hAnsi="Palatino Linotype" w:cs="Palatino Linotype"/>
          <w:b/>
          <w:bCs/>
          <w:i/>
          <w:iCs/>
        </w:rPr>
        <w:t>VII</w:t>
      </w:r>
      <w:r w:rsidRPr="005A369B">
        <w:rPr>
          <w:rFonts w:ascii="Palatino Linotype" w:eastAsia="Palatino Linotype" w:hAnsi="Palatino Linotype" w:cs="Palatino Linotype"/>
          <w:i/>
          <w:iCs/>
        </w:rPr>
        <w:t xml:space="preserve">. El formato de caso para el dictamen de procedencia de excepción. </w:t>
      </w:r>
    </w:p>
    <w:p w:rsidR="00605057" w:rsidRPr="005A369B" w:rsidRDefault="00605057" w:rsidP="002702E6">
      <w:pPr>
        <w:spacing w:before="120" w:after="120"/>
        <w:ind w:left="1134" w:right="1843"/>
        <w:jc w:val="both"/>
        <w:rPr>
          <w:rFonts w:ascii="Palatino Linotype" w:eastAsia="Palatino Linotype" w:hAnsi="Palatino Linotype" w:cs="Palatino Linotype"/>
          <w:i/>
          <w:iCs/>
        </w:rPr>
      </w:pPr>
      <w:r w:rsidRPr="005A369B">
        <w:rPr>
          <w:rFonts w:ascii="Palatino Linotype" w:eastAsia="Palatino Linotype" w:hAnsi="Palatino Linotype" w:cs="Palatino Linotype"/>
          <w:i/>
          <w:iCs/>
        </w:rPr>
        <w:t xml:space="preserve">Cuando la dependencia, entidad o ayuntamiento no cuente con Comité Interno de Obra Pública, la unidad ejecutora de obra pública deberá integrar el caso que someterá a la autorización del titular. </w:t>
      </w:r>
    </w:p>
    <w:p w:rsidR="00605057" w:rsidRPr="005A369B" w:rsidRDefault="00605057" w:rsidP="002702E6">
      <w:pPr>
        <w:spacing w:before="120" w:after="120"/>
        <w:ind w:left="1134" w:right="1843"/>
        <w:jc w:val="both"/>
        <w:rPr>
          <w:rFonts w:ascii="Palatino Linotype" w:eastAsia="Palatino Linotype" w:hAnsi="Palatino Linotype" w:cs="Palatino Linotype"/>
          <w:i/>
          <w:iCs/>
        </w:rPr>
      </w:pPr>
      <w:r w:rsidRPr="005A369B">
        <w:rPr>
          <w:rFonts w:ascii="Palatino Linotype" w:eastAsia="Palatino Linotype" w:hAnsi="Palatino Linotype" w:cs="Palatino Linotype"/>
          <w:i/>
          <w:iCs/>
        </w:rPr>
        <w:t xml:space="preserve">En ambos procedimientos, el titular de la dependencia, entidad o ayuntamiento emitirá un acuerdo en el que autorice el procedimiento de invitación restringida por excepción a la licitación pública. En este </w:t>
      </w:r>
      <w:r w:rsidRPr="005A369B">
        <w:rPr>
          <w:rFonts w:ascii="Palatino Linotype" w:eastAsia="Palatino Linotype" w:hAnsi="Palatino Linotype" w:cs="Palatino Linotype"/>
          <w:i/>
          <w:iCs/>
        </w:rPr>
        <w:lastRenderedPageBreak/>
        <w:t xml:space="preserve">acuerdo, se determinarán los plazos en que se realizarán cada una de las etapas. </w:t>
      </w:r>
    </w:p>
    <w:p w:rsidR="00605057" w:rsidRPr="005A369B" w:rsidRDefault="00605057" w:rsidP="002702E6">
      <w:pPr>
        <w:spacing w:before="120" w:after="120"/>
        <w:ind w:left="1134" w:right="1843"/>
        <w:jc w:val="both"/>
        <w:rPr>
          <w:rFonts w:ascii="Palatino Linotype" w:eastAsia="Palatino Linotype" w:hAnsi="Palatino Linotype" w:cs="Palatino Linotype"/>
          <w:i/>
          <w:iCs/>
        </w:rPr>
      </w:pPr>
      <w:r w:rsidRPr="005A369B">
        <w:rPr>
          <w:rFonts w:ascii="Palatino Linotype" w:eastAsia="Palatino Linotype" w:hAnsi="Palatino Linotype" w:cs="Palatino Linotype"/>
          <w:b/>
          <w:bCs/>
          <w:i/>
          <w:iCs/>
        </w:rPr>
        <w:t>Articulo 86.-</w:t>
      </w:r>
      <w:r w:rsidRPr="005A369B">
        <w:rPr>
          <w:rFonts w:ascii="Palatino Linotype" w:eastAsia="Palatino Linotype" w:hAnsi="Palatino Linotype" w:cs="Palatino Linotype"/>
          <w:i/>
          <w:iCs/>
        </w:rPr>
        <w:t xml:space="preserve"> En función de las características de los trabajos a realizar y a sus requerimientos de ejecución, las dependencias, entidades o ayuntamientos determinarán las características de experiencia, capacidad técnica y solvencia que deben reunir las personas que se invitarán al procedimiento de adjudicación.</w:t>
      </w:r>
    </w:p>
    <w:p w:rsidR="00605057" w:rsidRPr="005A369B" w:rsidRDefault="00605057" w:rsidP="002702E6">
      <w:pPr>
        <w:spacing w:before="120" w:after="120"/>
        <w:ind w:left="1134" w:right="1843"/>
        <w:jc w:val="both"/>
        <w:rPr>
          <w:rFonts w:ascii="Palatino Linotype" w:eastAsia="Palatino Linotype" w:hAnsi="Palatino Linotype" w:cs="Palatino Linotype"/>
          <w:i/>
          <w:iCs/>
        </w:rPr>
      </w:pPr>
      <w:r w:rsidRPr="005A369B">
        <w:rPr>
          <w:rFonts w:ascii="Palatino Linotype" w:eastAsia="Palatino Linotype" w:hAnsi="Palatino Linotype" w:cs="Palatino Linotype"/>
          <w:i/>
          <w:iCs/>
        </w:rPr>
        <w:t xml:space="preserve">Las dependencias, entidades y ayuntamientos seleccionarán del catálogo de contratistas, que opere la Secretaría del Ramo, a cuando menos tres personas que serán invitadas a presentar propuestas; asimismo, formularán los oficios de invitación que contendrán: </w:t>
      </w:r>
    </w:p>
    <w:p w:rsidR="00605057" w:rsidRPr="005A369B" w:rsidRDefault="00605057" w:rsidP="002702E6">
      <w:pPr>
        <w:spacing w:before="120" w:after="120"/>
        <w:ind w:left="1134" w:right="1843"/>
        <w:jc w:val="both"/>
        <w:rPr>
          <w:rFonts w:ascii="Palatino Linotype" w:eastAsia="Palatino Linotype" w:hAnsi="Palatino Linotype" w:cs="Palatino Linotype"/>
          <w:i/>
          <w:iCs/>
        </w:rPr>
      </w:pPr>
      <w:r w:rsidRPr="005A369B">
        <w:rPr>
          <w:rFonts w:ascii="Palatino Linotype" w:eastAsia="Palatino Linotype" w:hAnsi="Palatino Linotype" w:cs="Palatino Linotype"/>
          <w:b/>
          <w:bCs/>
          <w:i/>
          <w:iCs/>
        </w:rPr>
        <w:t>I</w:t>
      </w:r>
      <w:r w:rsidRPr="005A369B">
        <w:rPr>
          <w:rFonts w:ascii="Palatino Linotype" w:eastAsia="Palatino Linotype" w:hAnsi="Palatino Linotype" w:cs="Palatino Linotype"/>
          <w:i/>
          <w:iCs/>
        </w:rPr>
        <w:t xml:space="preserve">. El nombre del convocante; </w:t>
      </w:r>
    </w:p>
    <w:p w:rsidR="00605057" w:rsidRPr="005A369B" w:rsidRDefault="00605057" w:rsidP="002702E6">
      <w:pPr>
        <w:spacing w:before="120" w:after="120"/>
        <w:ind w:left="1134" w:right="1843"/>
        <w:jc w:val="both"/>
        <w:rPr>
          <w:rFonts w:ascii="Palatino Linotype" w:eastAsia="Palatino Linotype" w:hAnsi="Palatino Linotype" w:cs="Palatino Linotype"/>
          <w:i/>
          <w:iCs/>
        </w:rPr>
      </w:pPr>
      <w:r w:rsidRPr="005A369B">
        <w:rPr>
          <w:rFonts w:ascii="Palatino Linotype" w:eastAsia="Palatino Linotype" w:hAnsi="Palatino Linotype" w:cs="Palatino Linotype"/>
          <w:b/>
          <w:bCs/>
          <w:i/>
          <w:iCs/>
        </w:rPr>
        <w:t>II.</w:t>
      </w:r>
      <w:r w:rsidRPr="005A369B">
        <w:rPr>
          <w:rFonts w:ascii="Palatino Linotype" w:eastAsia="Palatino Linotype" w:hAnsi="Palatino Linotype" w:cs="Palatino Linotype"/>
          <w:i/>
          <w:iCs/>
        </w:rPr>
        <w:t xml:space="preserve"> El nombre y la ubicación de la obra o servicio; </w:t>
      </w:r>
    </w:p>
    <w:p w:rsidR="00605057" w:rsidRPr="005A369B" w:rsidRDefault="00605057" w:rsidP="002702E6">
      <w:pPr>
        <w:spacing w:before="120" w:after="120"/>
        <w:ind w:left="1134" w:right="1843"/>
        <w:jc w:val="both"/>
        <w:rPr>
          <w:rFonts w:ascii="Palatino Linotype" w:eastAsia="Palatino Linotype" w:hAnsi="Palatino Linotype" w:cs="Palatino Linotype"/>
          <w:i/>
          <w:iCs/>
        </w:rPr>
      </w:pPr>
      <w:r w:rsidRPr="005A369B">
        <w:rPr>
          <w:rFonts w:ascii="Palatino Linotype" w:eastAsia="Palatino Linotype" w:hAnsi="Palatino Linotype" w:cs="Palatino Linotype"/>
          <w:b/>
          <w:bCs/>
          <w:i/>
          <w:iCs/>
        </w:rPr>
        <w:t>III.</w:t>
      </w:r>
      <w:r w:rsidRPr="005A369B">
        <w:rPr>
          <w:rFonts w:ascii="Palatino Linotype" w:eastAsia="Palatino Linotype" w:hAnsi="Palatino Linotype" w:cs="Palatino Linotype"/>
          <w:i/>
          <w:iCs/>
        </w:rPr>
        <w:t xml:space="preserve"> El nombre y domicilio del invitado y la referencia a su clave de registro en el catálogo de contratistas; </w:t>
      </w:r>
    </w:p>
    <w:p w:rsidR="00605057" w:rsidRPr="005A369B" w:rsidRDefault="00605057" w:rsidP="002702E6">
      <w:pPr>
        <w:spacing w:before="120" w:after="120"/>
        <w:ind w:left="1134" w:right="1843"/>
        <w:jc w:val="both"/>
        <w:rPr>
          <w:rFonts w:ascii="Palatino Linotype" w:eastAsia="Palatino Linotype" w:hAnsi="Palatino Linotype" w:cs="Palatino Linotype"/>
          <w:i/>
          <w:iCs/>
        </w:rPr>
      </w:pPr>
      <w:r w:rsidRPr="005A369B">
        <w:rPr>
          <w:rFonts w:ascii="Palatino Linotype" w:eastAsia="Palatino Linotype" w:hAnsi="Palatino Linotype" w:cs="Palatino Linotype"/>
          <w:b/>
          <w:bCs/>
          <w:i/>
          <w:iCs/>
        </w:rPr>
        <w:t>IV</w:t>
      </w:r>
      <w:r w:rsidRPr="005A369B">
        <w:rPr>
          <w:rFonts w:ascii="Palatino Linotype" w:eastAsia="Palatino Linotype" w:hAnsi="Palatino Linotype" w:cs="Palatino Linotype"/>
          <w:i/>
          <w:iCs/>
        </w:rPr>
        <w:t xml:space="preserve">. La invitación expresa y el señalamiento de las fechas previstas para las etapas del procedimiento; </w:t>
      </w:r>
    </w:p>
    <w:p w:rsidR="00605057" w:rsidRPr="005A369B" w:rsidRDefault="00605057" w:rsidP="002702E6">
      <w:pPr>
        <w:spacing w:before="120" w:after="120"/>
        <w:ind w:left="1134" w:right="1843"/>
        <w:jc w:val="both"/>
        <w:rPr>
          <w:rFonts w:ascii="Palatino Linotype" w:eastAsia="Palatino Linotype" w:hAnsi="Palatino Linotype" w:cs="Palatino Linotype"/>
          <w:i/>
          <w:iCs/>
        </w:rPr>
      </w:pPr>
      <w:r w:rsidRPr="005A369B">
        <w:rPr>
          <w:rFonts w:ascii="Palatino Linotype" w:eastAsia="Palatino Linotype" w:hAnsi="Palatino Linotype" w:cs="Palatino Linotype"/>
          <w:b/>
          <w:bCs/>
          <w:i/>
          <w:iCs/>
        </w:rPr>
        <w:t>V</w:t>
      </w:r>
      <w:r w:rsidRPr="005A369B">
        <w:rPr>
          <w:rFonts w:ascii="Palatino Linotype" w:eastAsia="Palatino Linotype" w:hAnsi="Palatino Linotype" w:cs="Palatino Linotype"/>
          <w:i/>
          <w:iCs/>
        </w:rPr>
        <w:t xml:space="preserve">. La indicación de que se anexan las bases de la invitación; </w:t>
      </w:r>
    </w:p>
    <w:p w:rsidR="00605057" w:rsidRPr="005A369B" w:rsidRDefault="00605057" w:rsidP="002702E6">
      <w:pPr>
        <w:spacing w:before="120" w:after="120"/>
        <w:ind w:left="1134" w:right="1843"/>
        <w:jc w:val="both"/>
        <w:rPr>
          <w:rFonts w:ascii="Palatino Linotype" w:eastAsia="Palatino Linotype" w:hAnsi="Palatino Linotype" w:cs="Palatino Linotype"/>
          <w:i/>
          <w:iCs/>
        </w:rPr>
      </w:pPr>
      <w:r w:rsidRPr="005A369B">
        <w:rPr>
          <w:rFonts w:ascii="Palatino Linotype" w:eastAsia="Palatino Linotype" w:hAnsi="Palatino Linotype" w:cs="Palatino Linotype"/>
          <w:b/>
          <w:bCs/>
          <w:i/>
          <w:iCs/>
        </w:rPr>
        <w:t>VI</w:t>
      </w:r>
      <w:r w:rsidRPr="005A369B">
        <w:rPr>
          <w:rFonts w:ascii="Palatino Linotype" w:eastAsia="Palatino Linotype" w:hAnsi="Palatino Linotype" w:cs="Palatino Linotype"/>
          <w:i/>
          <w:iCs/>
        </w:rPr>
        <w:t xml:space="preserve">. Nombre y firma del servidor público responsable del proceso; </w:t>
      </w:r>
    </w:p>
    <w:p w:rsidR="00605057" w:rsidRPr="005A369B" w:rsidRDefault="00605057" w:rsidP="002702E6">
      <w:pPr>
        <w:spacing w:before="120" w:after="120"/>
        <w:ind w:left="1134" w:right="1843"/>
        <w:jc w:val="both"/>
        <w:rPr>
          <w:rFonts w:ascii="Palatino Linotype" w:eastAsia="Palatino Linotype" w:hAnsi="Palatino Linotype" w:cs="Palatino Linotype"/>
          <w:i/>
          <w:iCs/>
        </w:rPr>
      </w:pPr>
      <w:r w:rsidRPr="005A369B">
        <w:rPr>
          <w:rFonts w:ascii="Palatino Linotype" w:eastAsia="Palatino Linotype" w:hAnsi="Palatino Linotype" w:cs="Palatino Linotype"/>
          <w:b/>
          <w:bCs/>
          <w:i/>
          <w:iCs/>
        </w:rPr>
        <w:t>VII</w:t>
      </w:r>
      <w:r w:rsidRPr="005A369B">
        <w:rPr>
          <w:rFonts w:ascii="Palatino Linotype" w:eastAsia="Palatino Linotype" w:hAnsi="Palatino Linotype" w:cs="Palatino Linotype"/>
          <w:i/>
          <w:iCs/>
        </w:rPr>
        <w:t xml:space="preserve">. El origen de los recursos para la realización de la obra o servicio; y </w:t>
      </w:r>
    </w:p>
    <w:p w:rsidR="00605057" w:rsidRPr="005A369B" w:rsidRDefault="00605057" w:rsidP="002702E6">
      <w:pPr>
        <w:spacing w:before="120" w:after="120"/>
        <w:ind w:left="1134" w:right="1843"/>
        <w:jc w:val="both"/>
        <w:rPr>
          <w:rFonts w:ascii="Palatino Linotype" w:eastAsia="Palatino Linotype" w:hAnsi="Palatino Linotype" w:cs="Palatino Linotype"/>
          <w:i/>
          <w:iCs/>
        </w:rPr>
      </w:pPr>
      <w:r w:rsidRPr="005A369B">
        <w:rPr>
          <w:rFonts w:ascii="Palatino Linotype" w:eastAsia="Palatino Linotype" w:hAnsi="Palatino Linotype" w:cs="Palatino Linotype"/>
          <w:b/>
          <w:bCs/>
          <w:i/>
          <w:iCs/>
        </w:rPr>
        <w:t>VIII.</w:t>
      </w:r>
      <w:r w:rsidRPr="005A369B">
        <w:rPr>
          <w:rFonts w:ascii="Palatino Linotype" w:eastAsia="Palatino Linotype" w:hAnsi="Palatino Linotype" w:cs="Palatino Linotype"/>
          <w:i/>
          <w:iCs/>
        </w:rPr>
        <w:t xml:space="preserve"> El plazo de ejecución de los trabajos, indicando la fecha estimada de inicio de los mismos. </w:t>
      </w:r>
    </w:p>
    <w:p w:rsidR="00605057" w:rsidRPr="005A369B" w:rsidRDefault="00605057" w:rsidP="002702E6">
      <w:pPr>
        <w:spacing w:before="120" w:after="120"/>
        <w:ind w:left="1134" w:right="1843"/>
        <w:jc w:val="both"/>
        <w:rPr>
          <w:rFonts w:ascii="Palatino Linotype" w:eastAsia="Palatino Linotype" w:hAnsi="Palatino Linotype" w:cs="Palatino Linotype"/>
          <w:i/>
          <w:iCs/>
        </w:rPr>
      </w:pPr>
      <w:r w:rsidRPr="005A369B">
        <w:rPr>
          <w:rFonts w:ascii="Palatino Linotype" w:eastAsia="Palatino Linotype" w:hAnsi="Palatino Linotype" w:cs="Palatino Linotype"/>
          <w:b/>
          <w:bCs/>
          <w:i/>
          <w:iCs/>
        </w:rPr>
        <w:t>Articulo 87.-</w:t>
      </w:r>
      <w:r w:rsidRPr="005A369B">
        <w:rPr>
          <w:rFonts w:ascii="Palatino Linotype" w:eastAsia="Palatino Linotype" w:hAnsi="Palatino Linotype" w:cs="Palatino Linotype"/>
          <w:i/>
          <w:iCs/>
        </w:rPr>
        <w:t xml:space="preserve"> </w:t>
      </w:r>
      <w:r w:rsidRPr="005A369B">
        <w:rPr>
          <w:rFonts w:ascii="Palatino Linotype" w:eastAsia="Palatino Linotype" w:hAnsi="Palatino Linotype" w:cs="Palatino Linotype"/>
          <w:b/>
          <w:bCs/>
          <w:i/>
          <w:iCs/>
        </w:rPr>
        <w:t>El procedimiento de invitación restringida seguirá los mismos pasos que el de licitación pública salvo la publicación de la convocatoria</w:t>
      </w:r>
      <w:r w:rsidRPr="005A369B">
        <w:rPr>
          <w:rFonts w:ascii="Palatino Linotype" w:eastAsia="Palatino Linotype" w:hAnsi="Palatino Linotype" w:cs="Palatino Linotype"/>
          <w:i/>
          <w:iCs/>
        </w:rPr>
        <w:t>, misma que se sustituye por la invitación señalada en el artículo anterior.</w:t>
      </w:r>
    </w:p>
    <w:p w:rsidR="00605057" w:rsidRPr="005A369B" w:rsidRDefault="00605057" w:rsidP="002702E6">
      <w:pPr>
        <w:spacing w:before="120" w:after="120"/>
        <w:ind w:left="1134" w:right="1843"/>
        <w:jc w:val="both"/>
        <w:rPr>
          <w:rFonts w:ascii="Palatino Linotype" w:eastAsia="Palatino Linotype" w:hAnsi="Palatino Linotype" w:cs="Palatino Linotype"/>
          <w:i/>
          <w:iCs/>
        </w:rPr>
      </w:pPr>
      <w:r w:rsidRPr="005A369B">
        <w:rPr>
          <w:rFonts w:ascii="Palatino Linotype" w:eastAsia="Palatino Linotype" w:hAnsi="Palatino Linotype" w:cs="Palatino Linotype"/>
          <w:b/>
          <w:bCs/>
          <w:i/>
          <w:iCs/>
        </w:rPr>
        <w:t>Artículo 88.-</w:t>
      </w:r>
      <w:r w:rsidRPr="005A369B">
        <w:rPr>
          <w:rFonts w:ascii="Palatino Linotype" w:eastAsia="Palatino Linotype" w:hAnsi="Palatino Linotype" w:cs="Palatino Linotype"/>
          <w:i/>
          <w:iCs/>
        </w:rPr>
        <w:t xml:space="preserve"> Si la dependencia, entidad o ayuntamiento necesita llevar a cabo un procedimiento de adjudicación directa, salvo que las obras o servicios a contratar no rebasen los montos establecidos por el Presupuesto de Egresos del Gobierno del Estado de México del ejercicio </w:t>
      </w:r>
      <w:r w:rsidRPr="005A369B">
        <w:rPr>
          <w:rFonts w:ascii="Palatino Linotype" w:eastAsia="Palatino Linotype" w:hAnsi="Palatino Linotype" w:cs="Palatino Linotype"/>
          <w:i/>
          <w:iCs/>
        </w:rPr>
        <w:lastRenderedPageBreak/>
        <w:t xml:space="preserve">correspondiente y cuenta con Comité Interno de Obra Pública, se solicitará a ese órgano colegiado el dictamen de procedencia del procedimiento de adjudicación directa; para ello, la unidad ejecutora de obra pública o servicio integrará y presentará el caso conforme se señalo en el procedimiento de invitación restringida. </w:t>
      </w:r>
    </w:p>
    <w:p w:rsidR="00605057" w:rsidRPr="005A369B" w:rsidRDefault="00605057" w:rsidP="002702E6">
      <w:pPr>
        <w:spacing w:before="120" w:after="120"/>
        <w:ind w:left="1134" w:right="1843"/>
        <w:jc w:val="both"/>
        <w:rPr>
          <w:rFonts w:ascii="Palatino Linotype" w:eastAsia="Palatino Linotype" w:hAnsi="Palatino Linotype" w:cs="Palatino Linotype"/>
          <w:i/>
          <w:iCs/>
        </w:rPr>
      </w:pPr>
      <w:r w:rsidRPr="005A369B">
        <w:rPr>
          <w:rFonts w:ascii="Palatino Linotype" w:eastAsia="Palatino Linotype" w:hAnsi="Palatino Linotype" w:cs="Palatino Linotype"/>
          <w:i/>
          <w:iCs/>
        </w:rPr>
        <w:t xml:space="preserve">Cuando la dependencia, entidad o ayuntamiento no cuente con Comité Interno de Obra Pública, la unidad ejecutora de obra pública deberá integrar el caso que someterá a la autorización del titular. </w:t>
      </w:r>
    </w:p>
    <w:p w:rsidR="00605057" w:rsidRPr="005A369B" w:rsidRDefault="00605057" w:rsidP="002702E6">
      <w:pPr>
        <w:spacing w:before="120" w:after="120"/>
        <w:ind w:left="1134" w:right="1843"/>
        <w:jc w:val="both"/>
        <w:rPr>
          <w:rFonts w:ascii="Palatino Linotype" w:eastAsia="Palatino Linotype" w:hAnsi="Palatino Linotype" w:cs="Palatino Linotype"/>
          <w:i/>
          <w:iCs/>
        </w:rPr>
      </w:pPr>
      <w:r w:rsidRPr="005A369B">
        <w:rPr>
          <w:rFonts w:ascii="Palatino Linotype" w:eastAsia="Palatino Linotype" w:hAnsi="Palatino Linotype" w:cs="Palatino Linotype"/>
          <w:b/>
          <w:bCs/>
          <w:i/>
          <w:iCs/>
        </w:rPr>
        <w:t>Artículo 89.</w:t>
      </w:r>
      <w:r w:rsidRPr="005A369B">
        <w:rPr>
          <w:rFonts w:ascii="Palatino Linotype" w:eastAsia="Palatino Linotype" w:hAnsi="Palatino Linotype" w:cs="Palatino Linotype"/>
          <w:i/>
          <w:iCs/>
        </w:rPr>
        <w:t>- El titular de la dependencia, entidad o ayuntamiento emitirá un acuerdo en el que autorice el procedimiento de adjudicación directa.</w:t>
      </w:r>
    </w:p>
    <w:p w:rsidR="00605057" w:rsidRPr="005A369B" w:rsidRDefault="00605057" w:rsidP="002702E6">
      <w:pPr>
        <w:spacing w:before="120" w:after="120"/>
        <w:ind w:left="1134" w:right="1843"/>
        <w:jc w:val="both"/>
        <w:rPr>
          <w:rFonts w:ascii="Palatino Linotype" w:eastAsia="Palatino Linotype" w:hAnsi="Palatino Linotype" w:cs="Palatino Linotype"/>
          <w:i/>
          <w:iCs/>
        </w:rPr>
      </w:pPr>
      <w:r w:rsidRPr="005A369B">
        <w:rPr>
          <w:rFonts w:ascii="Palatino Linotype" w:eastAsia="Palatino Linotype" w:hAnsi="Palatino Linotype" w:cs="Palatino Linotype"/>
          <w:i/>
          <w:iCs/>
        </w:rPr>
        <w:t>...</w:t>
      </w:r>
    </w:p>
    <w:p w:rsidR="00605057" w:rsidRDefault="00605057" w:rsidP="002702E6">
      <w:pPr>
        <w:spacing w:before="120" w:after="120"/>
        <w:ind w:left="1134" w:right="1843"/>
        <w:jc w:val="both"/>
        <w:rPr>
          <w:rFonts w:ascii="Palatino Linotype" w:eastAsia="Palatino Linotype" w:hAnsi="Palatino Linotype" w:cs="Palatino Linotype"/>
          <w:i/>
          <w:iCs/>
        </w:rPr>
      </w:pPr>
      <w:r w:rsidRPr="005A369B">
        <w:rPr>
          <w:rFonts w:ascii="Palatino Linotype" w:eastAsia="Palatino Linotype" w:hAnsi="Palatino Linotype" w:cs="Palatino Linotype"/>
          <w:b/>
          <w:bCs/>
          <w:i/>
          <w:iCs/>
        </w:rPr>
        <w:t>Articulo 91</w:t>
      </w:r>
      <w:r w:rsidRPr="005A369B">
        <w:rPr>
          <w:rFonts w:ascii="Palatino Linotype" w:eastAsia="Palatino Linotype" w:hAnsi="Palatino Linotype" w:cs="Palatino Linotype"/>
          <w:i/>
          <w:iCs/>
        </w:rPr>
        <w:t>.- El convocante recibirá de la persona invitada la documentación de su propuesta para su evaluación la revisará y, en su caso, procederá a formula</w:t>
      </w:r>
      <w:r w:rsidR="002702E6">
        <w:rPr>
          <w:rFonts w:ascii="Palatino Linotype" w:eastAsia="Palatino Linotype" w:hAnsi="Palatino Linotype" w:cs="Palatino Linotype"/>
          <w:i/>
          <w:iCs/>
        </w:rPr>
        <w:t>r el contrato correspondiente.”</w:t>
      </w:r>
    </w:p>
    <w:p w:rsidR="006312CC" w:rsidRPr="005A369B" w:rsidRDefault="006312CC" w:rsidP="002702E6">
      <w:pPr>
        <w:spacing w:before="120" w:after="120"/>
        <w:ind w:left="1134" w:right="1843"/>
        <w:jc w:val="both"/>
        <w:rPr>
          <w:rFonts w:ascii="Palatino Linotype" w:eastAsia="Palatino Linotype" w:hAnsi="Palatino Linotype" w:cs="Palatino Linotype"/>
          <w:i/>
          <w:iCs/>
        </w:rPr>
      </w:pPr>
    </w:p>
    <w:p w:rsidR="00605057" w:rsidRPr="005A369B" w:rsidRDefault="00605057" w:rsidP="0056322A">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2702E6">
        <w:rPr>
          <w:rFonts w:ascii="Palatino Linotype" w:eastAsia="Palatino Linotype" w:hAnsi="Palatino Linotype" w:cs="Palatino Linotype"/>
          <w:b/>
          <w:color w:val="000000"/>
          <w:u w:val="single"/>
        </w:rPr>
        <w:t>Relativo al procedimiento de contratación</w:t>
      </w:r>
      <w:r w:rsidRPr="005A369B">
        <w:rPr>
          <w:rFonts w:ascii="Palatino Linotype" w:eastAsia="Palatino Linotype" w:hAnsi="Palatino Linotype" w:cs="Palatino Linotype"/>
          <w:color w:val="000000"/>
        </w:rPr>
        <w:t xml:space="preserve">, el artículo 12.38 del Libro Décimo Segundo del Código Administrativo de la entidad, dispone que la adjudicación de la obra o servicios relacionados con la misma obligará a la dependencia, entidad o ayuntamiento y a la persona en que hubiere recaído, a suscribir el contrato respectivo dentro de los diez días hábiles siguientes al de la notificación del fallo, </w:t>
      </w:r>
      <w:r w:rsidRPr="002702E6">
        <w:rPr>
          <w:rFonts w:ascii="Palatino Linotype" w:eastAsia="Palatino Linotype" w:hAnsi="Palatino Linotype" w:cs="Palatino Linotype"/>
          <w:b/>
          <w:color w:val="000000"/>
        </w:rPr>
        <w:t>por lo que los contratos de obra pública y servicios relacionados con la misma,</w:t>
      </w:r>
      <w:r w:rsidRPr="005A369B">
        <w:rPr>
          <w:rFonts w:ascii="Palatino Linotype" w:eastAsia="Palatino Linotype" w:hAnsi="Palatino Linotype" w:cs="Palatino Linotype"/>
          <w:color w:val="000000"/>
        </w:rPr>
        <w:t xml:space="preserve"> deben contener, como mínimo los requisitos que establece el artículo 104 del Reglamento del Libro Décimo Segundo del Código Administrativo, a saber:</w:t>
      </w:r>
    </w:p>
    <w:p w:rsidR="00605057" w:rsidRPr="005A369B" w:rsidRDefault="00605057" w:rsidP="00605057">
      <w:pPr>
        <w:spacing w:before="240" w:after="240"/>
        <w:ind w:left="1134" w:right="1134"/>
        <w:jc w:val="both"/>
        <w:rPr>
          <w:rFonts w:ascii="Palatino Linotype" w:eastAsia="Palatino Linotype" w:hAnsi="Palatino Linotype" w:cs="Palatino Linotype"/>
          <w:i/>
          <w:iCs/>
        </w:rPr>
      </w:pPr>
      <w:r w:rsidRPr="005A369B">
        <w:rPr>
          <w:rFonts w:ascii="Palatino Linotype" w:eastAsia="Palatino Linotype" w:hAnsi="Palatino Linotype" w:cs="Palatino Linotype"/>
          <w:b/>
          <w:bCs/>
          <w:i/>
          <w:iCs/>
        </w:rPr>
        <w:t>I</w:t>
      </w:r>
      <w:r w:rsidRPr="005A369B">
        <w:rPr>
          <w:rFonts w:ascii="Palatino Linotype" w:eastAsia="Palatino Linotype" w:hAnsi="Palatino Linotype" w:cs="Palatino Linotype"/>
          <w:i/>
          <w:iCs/>
        </w:rPr>
        <w:t xml:space="preserve">. </w:t>
      </w:r>
      <w:r w:rsidRPr="005A369B">
        <w:rPr>
          <w:rFonts w:ascii="Palatino Linotype" w:eastAsia="Palatino Linotype" w:hAnsi="Palatino Linotype" w:cs="Palatino Linotype"/>
          <w:b/>
          <w:bCs/>
          <w:i/>
          <w:iCs/>
        </w:rPr>
        <w:t>La autorización presupuestal</w:t>
      </w:r>
      <w:r w:rsidRPr="005A369B">
        <w:rPr>
          <w:rFonts w:ascii="Palatino Linotype" w:eastAsia="Palatino Linotype" w:hAnsi="Palatino Linotype" w:cs="Palatino Linotype"/>
          <w:i/>
          <w:iCs/>
        </w:rPr>
        <w:t xml:space="preserve"> para cubrir el compromiso derivado del contrato y sus anexos; </w:t>
      </w:r>
    </w:p>
    <w:p w:rsidR="00605057" w:rsidRPr="005A369B" w:rsidRDefault="00605057" w:rsidP="00605057">
      <w:pPr>
        <w:spacing w:before="240" w:after="240"/>
        <w:ind w:left="1134" w:right="1134"/>
        <w:jc w:val="both"/>
        <w:rPr>
          <w:rFonts w:ascii="Palatino Linotype" w:eastAsia="Palatino Linotype" w:hAnsi="Palatino Linotype" w:cs="Palatino Linotype"/>
          <w:i/>
          <w:iCs/>
        </w:rPr>
      </w:pPr>
      <w:r w:rsidRPr="005A369B">
        <w:rPr>
          <w:rFonts w:ascii="Palatino Linotype" w:eastAsia="Palatino Linotype" w:hAnsi="Palatino Linotype" w:cs="Palatino Linotype"/>
          <w:b/>
          <w:bCs/>
          <w:i/>
          <w:iCs/>
        </w:rPr>
        <w:t>II</w:t>
      </w:r>
      <w:r w:rsidRPr="005A369B">
        <w:rPr>
          <w:rFonts w:ascii="Palatino Linotype" w:eastAsia="Palatino Linotype" w:hAnsi="Palatino Linotype" w:cs="Palatino Linotype"/>
          <w:i/>
          <w:iCs/>
        </w:rPr>
        <w:t>. La indicación del procedimiento conforme al cual se adjudicó el contrato;</w:t>
      </w:r>
    </w:p>
    <w:p w:rsidR="00605057" w:rsidRPr="005A369B" w:rsidRDefault="00605057" w:rsidP="00605057">
      <w:pPr>
        <w:spacing w:before="240" w:after="240"/>
        <w:ind w:left="1134" w:right="1134"/>
        <w:jc w:val="both"/>
        <w:rPr>
          <w:rFonts w:ascii="Palatino Linotype" w:eastAsia="Palatino Linotype" w:hAnsi="Palatino Linotype" w:cs="Palatino Linotype"/>
          <w:i/>
          <w:iCs/>
        </w:rPr>
      </w:pPr>
      <w:r w:rsidRPr="005A369B">
        <w:rPr>
          <w:rFonts w:ascii="Palatino Linotype" w:eastAsia="Palatino Linotype" w:hAnsi="Palatino Linotype" w:cs="Palatino Linotype"/>
          <w:b/>
          <w:bCs/>
          <w:i/>
          <w:iCs/>
        </w:rPr>
        <w:lastRenderedPageBreak/>
        <w:t>III.</w:t>
      </w:r>
      <w:r w:rsidRPr="005A369B">
        <w:rPr>
          <w:rFonts w:ascii="Palatino Linotype" w:eastAsia="Palatino Linotype" w:hAnsi="Palatino Linotype" w:cs="Palatino Linotype"/>
          <w:i/>
          <w:iCs/>
        </w:rPr>
        <w:t xml:space="preserve"> La descripción pormenorizada de los trabajos que se deban ejecutar, debiendo acompañar los proyectos, planos, especificaciones, programas y presupuestos como parte integrante del contrato en el caso de las obras; tratándose de servicios, los términos de referencia; </w:t>
      </w:r>
    </w:p>
    <w:p w:rsidR="00605057" w:rsidRPr="005A369B" w:rsidRDefault="00605057" w:rsidP="00605057">
      <w:pPr>
        <w:spacing w:before="240" w:after="240"/>
        <w:ind w:left="1134" w:right="1134"/>
        <w:jc w:val="both"/>
        <w:rPr>
          <w:rFonts w:ascii="Palatino Linotype" w:eastAsia="Palatino Linotype" w:hAnsi="Palatino Linotype" w:cs="Palatino Linotype"/>
          <w:i/>
          <w:iCs/>
        </w:rPr>
      </w:pPr>
      <w:r w:rsidRPr="005A369B">
        <w:rPr>
          <w:rFonts w:ascii="Palatino Linotype" w:eastAsia="Palatino Linotype" w:hAnsi="Palatino Linotype" w:cs="Palatino Linotype"/>
          <w:b/>
          <w:bCs/>
          <w:i/>
          <w:iCs/>
        </w:rPr>
        <w:t>IV</w:t>
      </w:r>
      <w:r w:rsidRPr="005A369B">
        <w:rPr>
          <w:rFonts w:ascii="Palatino Linotype" w:eastAsia="Palatino Linotype" w:hAnsi="Palatino Linotype" w:cs="Palatino Linotype"/>
          <w:i/>
          <w:iCs/>
        </w:rPr>
        <w:t xml:space="preserve">. </w:t>
      </w:r>
      <w:r w:rsidRPr="005A369B">
        <w:rPr>
          <w:rFonts w:ascii="Palatino Linotype" w:eastAsia="Palatino Linotype" w:hAnsi="Palatino Linotype" w:cs="Palatino Linotype"/>
          <w:b/>
          <w:bCs/>
          <w:i/>
          <w:iCs/>
        </w:rPr>
        <w:t>El precio a pagar por los trabajos objeto del contrato</w:t>
      </w:r>
      <w:r w:rsidRPr="005A369B">
        <w:rPr>
          <w:rFonts w:ascii="Palatino Linotype" w:eastAsia="Palatino Linotype" w:hAnsi="Palatino Linotype" w:cs="Palatino Linotype"/>
          <w:i/>
          <w:iCs/>
        </w:rPr>
        <w:t xml:space="preserve">. En el caso de contratos mixtos, la parte y el monto que se cubrirá sobre la base de precios unitarios y la correspondiente a precio alzado; </w:t>
      </w:r>
    </w:p>
    <w:p w:rsidR="00605057" w:rsidRPr="005A369B" w:rsidRDefault="00605057" w:rsidP="00605057">
      <w:pPr>
        <w:spacing w:before="240" w:after="240"/>
        <w:ind w:left="1134" w:right="1134"/>
        <w:jc w:val="both"/>
        <w:rPr>
          <w:rFonts w:ascii="Palatino Linotype" w:eastAsia="Palatino Linotype" w:hAnsi="Palatino Linotype" w:cs="Palatino Linotype"/>
          <w:i/>
          <w:iCs/>
        </w:rPr>
      </w:pPr>
      <w:r w:rsidRPr="005A369B">
        <w:rPr>
          <w:rFonts w:ascii="Palatino Linotype" w:eastAsia="Palatino Linotype" w:hAnsi="Palatino Linotype" w:cs="Palatino Linotype"/>
          <w:b/>
          <w:bCs/>
          <w:i/>
          <w:iCs/>
        </w:rPr>
        <w:t>V</w:t>
      </w:r>
      <w:r w:rsidRPr="005A369B">
        <w:rPr>
          <w:rFonts w:ascii="Palatino Linotype" w:eastAsia="Palatino Linotype" w:hAnsi="Palatino Linotype" w:cs="Palatino Linotype"/>
          <w:i/>
          <w:iCs/>
        </w:rPr>
        <w:t xml:space="preserve">. </w:t>
      </w:r>
      <w:r w:rsidRPr="005A369B">
        <w:rPr>
          <w:rFonts w:ascii="Palatino Linotype" w:eastAsia="Palatino Linotype" w:hAnsi="Palatino Linotype" w:cs="Palatino Linotype"/>
          <w:b/>
          <w:bCs/>
          <w:i/>
          <w:iCs/>
        </w:rPr>
        <w:t>El plazo de ejecución de los trabajos</w:t>
      </w:r>
      <w:r w:rsidRPr="005A369B">
        <w:rPr>
          <w:rFonts w:ascii="Palatino Linotype" w:eastAsia="Palatino Linotype" w:hAnsi="Palatino Linotype" w:cs="Palatino Linotype"/>
          <w:i/>
          <w:iCs/>
        </w:rPr>
        <w:t xml:space="preserve"> determinado en días naturales, indicando la fecha de inicio y término de los mismos, así como el plazo para la recepción física de los trabajos y la elaboración del finiquito, los cuales deben ser establecidos de acuerdo con las características, complejidad y magnitud de los trabajos; </w:t>
      </w:r>
    </w:p>
    <w:p w:rsidR="00605057" w:rsidRPr="005A369B" w:rsidRDefault="00605057" w:rsidP="00605057">
      <w:pPr>
        <w:spacing w:before="240" w:after="240"/>
        <w:ind w:left="1134" w:right="1134"/>
        <w:jc w:val="both"/>
        <w:rPr>
          <w:rFonts w:ascii="Palatino Linotype" w:eastAsia="Palatino Linotype" w:hAnsi="Palatino Linotype" w:cs="Palatino Linotype"/>
          <w:i/>
          <w:iCs/>
        </w:rPr>
      </w:pPr>
      <w:r w:rsidRPr="005A369B">
        <w:rPr>
          <w:rFonts w:ascii="Palatino Linotype" w:eastAsia="Palatino Linotype" w:hAnsi="Palatino Linotype" w:cs="Palatino Linotype"/>
          <w:b/>
          <w:bCs/>
          <w:i/>
          <w:iCs/>
        </w:rPr>
        <w:t>VI</w:t>
      </w:r>
      <w:r w:rsidRPr="005A369B">
        <w:rPr>
          <w:rFonts w:ascii="Palatino Linotype" w:eastAsia="Palatino Linotype" w:hAnsi="Palatino Linotype" w:cs="Palatino Linotype"/>
          <w:i/>
          <w:iCs/>
        </w:rPr>
        <w:t xml:space="preserve">. Porcentajes, número y fechas de las exhibiciones y amortización de los anticipos que se otorguen; </w:t>
      </w:r>
    </w:p>
    <w:p w:rsidR="00605057" w:rsidRPr="005A369B" w:rsidRDefault="00605057" w:rsidP="00605057">
      <w:pPr>
        <w:spacing w:before="240" w:after="240"/>
        <w:ind w:left="1134" w:right="1134"/>
        <w:jc w:val="both"/>
        <w:rPr>
          <w:rFonts w:ascii="Palatino Linotype" w:eastAsia="Palatino Linotype" w:hAnsi="Palatino Linotype" w:cs="Palatino Linotype"/>
          <w:b/>
          <w:bCs/>
          <w:i/>
          <w:iCs/>
        </w:rPr>
      </w:pPr>
      <w:r w:rsidRPr="005A369B">
        <w:rPr>
          <w:rFonts w:ascii="Palatino Linotype" w:eastAsia="Palatino Linotype" w:hAnsi="Palatino Linotype" w:cs="Palatino Linotype"/>
          <w:b/>
          <w:bCs/>
          <w:i/>
          <w:iCs/>
        </w:rPr>
        <w:t>VII. Forma y términos de garantizar la correcta inversión de los anticipos y el cumplimiento del contrato;</w:t>
      </w:r>
    </w:p>
    <w:p w:rsidR="00605057" w:rsidRPr="005A369B" w:rsidRDefault="00605057" w:rsidP="00605057">
      <w:pPr>
        <w:spacing w:before="240" w:after="240"/>
        <w:ind w:left="1134" w:right="1134"/>
        <w:jc w:val="both"/>
        <w:rPr>
          <w:rFonts w:ascii="Palatino Linotype" w:eastAsia="Palatino Linotype" w:hAnsi="Palatino Linotype" w:cs="Palatino Linotype"/>
          <w:i/>
          <w:iCs/>
        </w:rPr>
      </w:pPr>
      <w:r w:rsidRPr="005A369B">
        <w:rPr>
          <w:rFonts w:ascii="Palatino Linotype" w:eastAsia="Palatino Linotype" w:hAnsi="Palatino Linotype" w:cs="Palatino Linotype"/>
          <w:b/>
          <w:bCs/>
          <w:i/>
          <w:iCs/>
        </w:rPr>
        <w:t>VIII</w:t>
      </w:r>
      <w:r w:rsidRPr="005A369B">
        <w:rPr>
          <w:rFonts w:ascii="Palatino Linotype" w:eastAsia="Palatino Linotype" w:hAnsi="Palatino Linotype" w:cs="Palatino Linotype"/>
          <w:i/>
          <w:iCs/>
        </w:rPr>
        <w:t xml:space="preserve">. Plazos, forma y lugar de pago de las estimaciones de trabajos ejecutados y, cuando corresponda, de los ajustes de costos; </w:t>
      </w:r>
    </w:p>
    <w:p w:rsidR="00605057" w:rsidRPr="005A369B" w:rsidRDefault="00605057" w:rsidP="00605057">
      <w:pPr>
        <w:spacing w:before="240" w:after="240"/>
        <w:ind w:left="1134" w:right="1134"/>
        <w:jc w:val="both"/>
        <w:rPr>
          <w:rFonts w:ascii="Palatino Linotype" w:eastAsia="Palatino Linotype" w:hAnsi="Palatino Linotype" w:cs="Palatino Linotype"/>
          <w:i/>
          <w:iCs/>
        </w:rPr>
      </w:pPr>
      <w:r w:rsidRPr="005A369B">
        <w:rPr>
          <w:rFonts w:ascii="Palatino Linotype" w:eastAsia="Palatino Linotype" w:hAnsi="Palatino Linotype" w:cs="Palatino Linotype"/>
          <w:b/>
          <w:bCs/>
          <w:i/>
          <w:iCs/>
        </w:rPr>
        <w:t>IX.</w:t>
      </w:r>
      <w:r w:rsidRPr="005A369B">
        <w:rPr>
          <w:rFonts w:ascii="Palatino Linotype" w:eastAsia="Palatino Linotype" w:hAnsi="Palatino Linotype" w:cs="Palatino Linotype"/>
          <w:i/>
          <w:iCs/>
        </w:rPr>
        <w:t xml:space="preserve"> Penas convencionales por atraso en la ejecución de los trabajos por causas imputables a los contratistas, determinadas únicamente en función del incumplimiento al programa convenido, las que en ningún caso podrán ser superiores, en su conjunto, </w:t>
      </w:r>
      <w:r w:rsidRPr="005A369B">
        <w:rPr>
          <w:rFonts w:ascii="Palatino Linotype" w:eastAsia="Palatino Linotype" w:hAnsi="Palatino Linotype" w:cs="Palatino Linotype"/>
          <w:b/>
          <w:bCs/>
          <w:i/>
          <w:iCs/>
          <w:u w:val="single"/>
        </w:rPr>
        <w:t>al monto de la garantía de cumplimiento</w:t>
      </w:r>
      <w:r w:rsidRPr="005A369B">
        <w:rPr>
          <w:rFonts w:ascii="Palatino Linotype" w:eastAsia="Palatino Linotype" w:hAnsi="Palatino Linotype" w:cs="Palatino Linotype"/>
          <w:i/>
          <w:iCs/>
        </w:rPr>
        <w:t xml:space="preserve">. El contratante deberá establecer los términos, forma y porcentajes para aplicar las penas convencionales; </w:t>
      </w:r>
    </w:p>
    <w:p w:rsidR="00605057" w:rsidRPr="005A369B" w:rsidRDefault="00605057" w:rsidP="00605057">
      <w:pPr>
        <w:spacing w:before="240" w:after="240"/>
        <w:ind w:left="1134" w:right="1134"/>
        <w:jc w:val="both"/>
        <w:rPr>
          <w:rFonts w:ascii="Palatino Linotype" w:eastAsia="Palatino Linotype" w:hAnsi="Palatino Linotype" w:cs="Palatino Linotype"/>
          <w:i/>
          <w:iCs/>
        </w:rPr>
      </w:pPr>
      <w:r w:rsidRPr="005A369B">
        <w:rPr>
          <w:rFonts w:ascii="Palatino Linotype" w:eastAsia="Palatino Linotype" w:hAnsi="Palatino Linotype" w:cs="Palatino Linotype"/>
          <w:b/>
          <w:bCs/>
          <w:i/>
          <w:iCs/>
        </w:rPr>
        <w:t>X</w:t>
      </w:r>
      <w:r w:rsidRPr="005A369B">
        <w:rPr>
          <w:rFonts w:ascii="Palatino Linotype" w:eastAsia="Palatino Linotype" w:hAnsi="Palatino Linotype" w:cs="Palatino Linotype"/>
          <w:i/>
          <w:iCs/>
        </w:rPr>
        <w:t xml:space="preserve">. Términos en que el contratista, en su caso, reintegrará las cantidades que hubiere recibido en exceso por la contratación o durante la ejecución de los trabajos, para lo cual se utilizará el procedimiento que se establezca; </w:t>
      </w:r>
    </w:p>
    <w:p w:rsidR="00605057" w:rsidRPr="005A369B" w:rsidRDefault="00605057" w:rsidP="00605057">
      <w:pPr>
        <w:spacing w:before="240" w:after="240"/>
        <w:ind w:left="1134" w:right="1134"/>
        <w:jc w:val="both"/>
        <w:rPr>
          <w:rFonts w:ascii="Palatino Linotype" w:eastAsia="Palatino Linotype" w:hAnsi="Palatino Linotype" w:cs="Palatino Linotype"/>
          <w:i/>
          <w:iCs/>
        </w:rPr>
      </w:pPr>
      <w:r w:rsidRPr="005A369B">
        <w:rPr>
          <w:rFonts w:ascii="Palatino Linotype" w:eastAsia="Palatino Linotype" w:hAnsi="Palatino Linotype" w:cs="Palatino Linotype"/>
          <w:b/>
          <w:bCs/>
          <w:i/>
          <w:iCs/>
        </w:rPr>
        <w:lastRenderedPageBreak/>
        <w:t>XI</w:t>
      </w:r>
      <w:r w:rsidRPr="005A369B">
        <w:rPr>
          <w:rFonts w:ascii="Palatino Linotype" w:eastAsia="Palatino Linotype" w:hAnsi="Palatino Linotype" w:cs="Palatino Linotype"/>
          <w:i/>
          <w:iCs/>
        </w:rPr>
        <w:t xml:space="preserve">. Procedimiento de ajuste de costos que deberá ser el determinado desde las bases de la licitación por el convocante, el cual deberá regir durante la vigencia del contrato; </w:t>
      </w:r>
    </w:p>
    <w:p w:rsidR="00605057" w:rsidRPr="005A369B" w:rsidRDefault="00605057" w:rsidP="00605057">
      <w:pPr>
        <w:spacing w:before="240" w:after="240"/>
        <w:ind w:left="1134" w:right="1134"/>
        <w:jc w:val="both"/>
        <w:rPr>
          <w:rFonts w:ascii="Palatino Linotype" w:eastAsia="Palatino Linotype" w:hAnsi="Palatino Linotype" w:cs="Palatino Linotype"/>
          <w:i/>
          <w:iCs/>
        </w:rPr>
      </w:pPr>
      <w:r w:rsidRPr="005A369B">
        <w:rPr>
          <w:rFonts w:ascii="Palatino Linotype" w:eastAsia="Palatino Linotype" w:hAnsi="Palatino Linotype" w:cs="Palatino Linotype"/>
          <w:b/>
          <w:bCs/>
          <w:i/>
          <w:iCs/>
        </w:rPr>
        <w:t>XII</w:t>
      </w:r>
      <w:r w:rsidRPr="005A369B">
        <w:rPr>
          <w:rFonts w:ascii="Palatino Linotype" w:eastAsia="Palatino Linotype" w:hAnsi="Palatino Linotype" w:cs="Palatino Linotype"/>
          <w:i/>
          <w:iCs/>
        </w:rPr>
        <w:t xml:space="preserve">. Causales y procedimiento mediante los cuales el contratante podrá dar por rescindido el contrato en los términos de este Reglamento; </w:t>
      </w:r>
    </w:p>
    <w:p w:rsidR="00605057" w:rsidRPr="005A369B" w:rsidRDefault="00605057" w:rsidP="00605057">
      <w:pPr>
        <w:spacing w:before="240" w:after="240"/>
        <w:ind w:left="1134" w:right="1134"/>
        <w:jc w:val="both"/>
        <w:rPr>
          <w:rFonts w:ascii="Palatino Linotype" w:eastAsia="Palatino Linotype" w:hAnsi="Palatino Linotype" w:cs="Palatino Linotype"/>
          <w:i/>
          <w:iCs/>
        </w:rPr>
      </w:pPr>
      <w:r w:rsidRPr="005A369B">
        <w:rPr>
          <w:rFonts w:ascii="Palatino Linotype" w:eastAsia="Palatino Linotype" w:hAnsi="Palatino Linotype" w:cs="Palatino Linotype"/>
          <w:b/>
          <w:bCs/>
          <w:i/>
          <w:iCs/>
        </w:rPr>
        <w:t xml:space="preserve">XIII. </w:t>
      </w:r>
      <w:r w:rsidRPr="005A369B">
        <w:rPr>
          <w:rFonts w:ascii="Palatino Linotype" w:eastAsia="Palatino Linotype" w:hAnsi="Palatino Linotype" w:cs="Palatino Linotype"/>
          <w:i/>
          <w:iCs/>
        </w:rPr>
        <w:t>Los procedimientos mediante los cuales las partes resolverán, entre sí, las discrepancias futuras y previsibles sobre problemas específicos de carácter técnico y administrativo;</w:t>
      </w:r>
    </w:p>
    <w:p w:rsidR="00605057" w:rsidRPr="005A369B" w:rsidRDefault="00605057" w:rsidP="00605057">
      <w:pPr>
        <w:spacing w:before="240" w:after="240"/>
        <w:ind w:left="1134" w:right="1134"/>
        <w:jc w:val="both"/>
        <w:rPr>
          <w:rFonts w:ascii="Palatino Linotype" w:eastAsia="Palatino Linotype" w:hAnsi="Palatino Linotype" w:cs="Palatino Linotype"/>
          <w:i/>
          <w:iCs/>
        </w:rPr>
      </w:pPr>
      <w:r w:rsidRPr="005A369B">
        <w:rPr>
          <w:rFonts w:ascii="Palatino Linotype" w:eastAsia="Palatino Linotype" w:hAnsi="Palatino Linotype" w:cs="Palatino Linotype"/>
          <w:b/>
          <w:bCs/>
          <w:i/>
          <w:iCs/>
        </w:rPr>
        <w:t>XIV</w:t>
      </w:r>
      <w:r w:rsidRPr="005A369B">
        <w:rPr>
          <w:rFonts w:ascii="Palatino Linotype" w:eastAsia="Palatino Linotype" w:hAnsi="Palatino Linotype" w:cs="Palatino Linotype"/>
          <w:i/>
          <w:iCs/>
        </w:rPr>
        <w:t xml:space="preserve">. Señalamiento del domicilio en el Estado para oír y recibir notificaciones; y </w:t>
      </w:r>
    </w:p>
    <w:p w:rsidR="00605057" w:rsidRPr="005A369B" w:rsidRDefault="00605057" w:rsidP="00605057">
      <w:pPr>
        <w:spacing w:before="240" w:after="240"/>
        <w:ind w:left="1134" w:right="1134"/>
        <w:jc w:val="both"/>
        <w:rPr>
          <w:rFonts w:ascii="Palatino Linotype" w:eastAsia="Palatino Linotype" w:hAnsi="Palatino Linotype" w:cs="Palatino Linotype"/>
          <w:i/>
          <w:iCs/>
        </w:rPr>
      </w:pPr>
      <w:r w:rsidRPr="005A369B">
        <w:rPr>
          <w:rFonts w:ascii="Palatino Linotype" w:eastAsia="Palatino Linotype" w:hAnsi="Palatino Linotype" w:cs="Palatino Linotype"/>
          <w:b/>
          <w:bCs/>
          <w:i/>
          <w:iCs/>
        </w:rPr>
        <w:t xml:space="preserve">XV. </w:t>
      </w:r>
      <w:r w:rsidRPr="005A369B">
        <w:rPr>
          <w:rFonts w:ascii="Palatino Linotype" w:eastAsia="Palatino Linotype" w:hAnsi="Palatino Linotype" w:cs="Palatino Linotype"/>
          <w:i/>
          <w:iCs/>
        </w:rPr>
        <w:t xml:space="preserve">Manifestación de renuncia expresa al fuero que les pudiera corresponder en función de su domicilio presente o futuro en el caso de que no se encuentre en el Estado de México. </w:t>
      </w:r>
    </w:p>
    <w:p w:rsidR="00605057" w:rsidRPr="005A369B" w:rsidRDefault="00605057" w:rsidP="0056322A">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2702E6">
        <w:rPr>
          <w:rFonts w:ascii="Palatino Linotype" w:eastAsia="Palatino Linotype" w:hAnsi="Palatino Linotype" w:cs="Palatino Linotype"/>
          <w:b/>
          <w:color w:val="000000"/>
        </w:rPr>
        <w:t>El contrato</w:t>
      </w:r>
      <w:r w:rsidRPr="005A369B">
        <w:rPr>
          <w:rFonts w:ascii="Palatino Linotype" w:eastAsia="Palatino Linotype" w:hAnsi="Palatino Linotype" w:cs="Palatino Linotype"/>
          <w:color w:val="000000"/>
        </w:rPr>
        <w:t xml:space="preserve"> deberá firmarse dentro de los diez días hábiles siguientes a la notificación del fallo. Se deberá entregar al contratista una copia del contrato firmado; para los efectos del Libro Décimo Segundo y su Reglamento, el contrato, sus anexos y la bitácora son los instrumentos que establecen los derechos y obligaciones de las partes, posteriormente el contratante enviará a la Secretaría del Ramo y a la Contraloría un informe de los contratos formalizados por excepción a la licitación pública durante el mes inmediato anterior, dentro de los cinco primeros días hábiles de cada mes. De la misma manera, lo harán los ayuntamientos que en esas modalidades contraten obra pública o servicios con cargo total o parcial a los recursos estatales.</w:t>
      </w:r>
    </w:p>
    <w:p w:rsidR="0056322A" w:rsidRPr="005A369B" w:rsidRDefault="0056322A" w:rsidP="0056322A">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605057" w:rsidRPr="005A369B" w:rsidRDefault="00605057" w:rsidP="0056322A">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5A369B">
        <w:rPr>
          <w:rFonts w:ascii="Palatino Linotype" w:eastAsia="Palatino Linotype" w:hAnsi="Palatino Linotype" w:cs="Palatino Linotype"/>
          <w:color w:val="000000"/>
        </w:rPr>
        <w:lastRenderedPageBreak/>
        <w:t>Finalmente, por lo que se refiere a la recepción de los trabajos, los artículos 230, 231, 232, 233 y 234 del Reglamento del Libro Décimo Segundo del Código Administrativo disponen lo siguiente:</w:t>
      </w:r>
    </w:p>
    <w:p w:rsidR="00605057" w:rsidRPr="005A369B" w:rsidRDefault="00605057" w:rsidP="00605057">
      <w:pPr>
        <w:spacing w:before="120" w:after="120"/>
        <w:ind w:left="1134" w:right="1134"/>
        <w:jc w:val="both"/>
        <w:rPr>
          <w:rFonts w:ascii="Palatino Linotype" w:eastAsia="Palatino Linotype" w:hAnsi="Palatino Linotype" w:cs="Palatino Linotype"/>
          <w:i/>
          <w:iCs/>
        </w:rPr>
      </w:pPr>
      <w:r w:rsidRPr="005A369B">
        <w:rPr>
          <w:rFonts w:ascii="Palatino Linotype" w:eastAsia="Palatino Linotype" w:hAnsi="Palatino Linotype" w:cs="Palatino Linotype"/>
          <w:b/>
          <w:bCs/>
          <w:i/>
          <w:iCs/>
        </w:rPr>
        <w:t>“Artículo 230.-</w:t>
      </w:r>
      <w:r w:rsidRPr="005A369B">
        <w:rPr>
          <w:rFonts w:ascii="Palatino Linotype" w:eastAsia="Palatino Linotype" w:hAnsi="Palatino Linotype" w:cs="Palatino Linotype"/>
          <w:i/>
          <w:iCs/>
        </w:rPr>
        <w:t xml:space="preserve"> </w:t>
      </w:r>
      <w:r w:rsidRPr="005A369B">
        <w:rPr>
          <w:rFonts w:ascii="Palatino Linotype" w:eastAsia="Palatino Linotype" w:hAnsi="Palatino Linotype" w:cs="Palatino Linotype"/>
          <w:b/>
          <w:bCs/>
          <w:i/>
          <w:iCs/>
        </w:rPr>
        <w:t>Para iniciar el procedimiento de recepción de los trabajos, el contratista deberá notificar al contratante la terminación de los mismos mediante la bitácora y por escrito, anexando los documentos de soporte que incluye una relación de las estimaciones o de gastos aprobados, monto ejercido y créditos a favor o en contra</w:t>
      </w:r>
      <w:r w:rsidRPr="005A369B">
        <w:rPr>
          <w:rFonts w:ascii="Palatino Linotype" w:eastAsia="Palatino Linotype" w:hAnsi="Palatino Linotype" w:cs="Palatino Linotype"/>
          <w:i/>
          <w:iCs/>
        </w:rPr>
        <w:t xml:space="preserve">. Artículo 231.- </w:t>
      </w:r>
      <w:r w:rsidRPr="005A369B">
        <w:rPr>
          <w:rFonts w:ascii="Palatino Linotype" w:eastAsia="Palatino Linotype" w:hAnsi="Palatino Linotype" w:cs="Palatino Linotype"/>
          <w:b/>
          <w:bCs/>
          <w:i/>
          <w:iCs/>
        </w:rPr>
        <w:t>Si, durante la verificación de los trabajos, el contratante observa deficiencias, deberá solicitar al contratista que realice las correcciones o reparaciones conforme a lo establecido en el contrato</w:t>
      </w:r>
      <w:r w:rsidRPr="005A369B">
        <w:rPr>
          <w:rFonts w:ascii="Palatino Linotype" w:eastAsia="Palatino Linotype" w:hAnsi="Palatino Linotype" w:cs="Palatino Linotype"/>
          <w:i/>
          <w:iCs/>
        </w:rPr>
        <w:t xml:space="preserve">. En este caso, el plazo de verificación de los trabajos, pactado en el contrato, se podrá ampliar por el periodo que acuerden las partes para la reparación de las deficiencias. Lo anterior, sin perjuicio de que el contratante opte por la rescisión del contrato. </w:t>
      </w:r>
    </w:p>
    <w:p w:rsidR="00605057" w:rsidRPr="005A369B" w:rsidRDefault="00605057" w:rsidP="00605057">
      <w:pPr>
        <w:spacing w:before="120" w:after="120"/>
        <w:ind w:left="1134" w:right="1134"/>
        <w:jc w:val="both"/>
        <w:rPr>
          <w:rFonts w:ascii="Palatino Linotype" w:eastAsia="Palatino Linotype" w:hAnsi="Palatino Linotype" w:cs="Palatino Linotype"/>
          <w:i/>
          <w:iCs/>
        </w:rPr>
      </w:pPr>
      <w:r w:rsidRPr="005A369B">
        <w:rPr>
          <w:rFonts w:ascii="Palatino Linotype" w:eastAsia="Palatino Linotype" w:hAnsi="Palatino Linotype" w:cs="Palatino Linotype"/>
          <w:b/>
          <w:bCs/>
          <w:i/>
          <w:iCs/>
        </w:rPr>
        <w:t>Artículo 232</w:t>
      </w:r>
      <w:r w:rsidRPr="005A369B">
        <w:rPr>
          <w:rFonts w:ascii="Palatino Linotype" w:eastAsia="Palatino Linotype" w:hAnsi="Palatino Linotype" w:cs="Palatino Linotype"/>
          <w:i/>
          <w:iCs/>
        </w:rPr>
        <w:t xml:space="preserve">.- </w:t>
      </w:r>
      <w:r w:rsidRPr="005A369B">
        <w:rPr>
          <w:rFonts w:ascii="Palatino Linotype" w:eastAsia="Palatino Linotype" w:hAnsi="Palatino Linotype" w:cs="Palatino Linotype"/>
          <w:b/>
          <w:bCs/>
          <w:i/>
          <w:iCs/>
        </w:rPr>
        <w:t>En la fecha señalada, el contratante recibirá físicamente los trabajos y levantará el acta correspondiente</w:t>
      </w:r>
      <w:r w:rsidRPr="005A369B">
        <w:rPr>
          <w:rFonts w:ascii="Palatino Linotype" w:eastAsia="Palatino Linotype" w:hAnsi="Palatino Linotype" w:cs="Palatino Linotype"/>
          <w:i/>
          <w:iCs/>
        </w:rPr>
        <w:t xml:space="preserve">, que contendrá: </w:t>
      </w:r>
    </w:p>
    <w:p w:rsidR="00605057" w:rsidRPr="005A369B" w:rsidRDefault="00605057" w:rsidP="00605057">
      <w:pPr>
        <w:spacing w:before="120" w:after="120"/>
        <w:ind w:left="1134" w:right="1134"/>
        <w:jc w:val="both"/>
        <w:rPr>
          <w:rFonts w:ascii="Palatino Linotype" w:eastAsia="Palatino Linotype" w:hAnsi="Palatino Linotype" w:cs="Palatino Linotype"/>
          <w:i/>
          <w:iCs/>
        </w:rPr>
      </w:pPr>
      <w:r w:rsidRPr="005A369B">
        <w:rPr>
          <w:rFonts w:ascii="Palatino Linotype" w:eastAsia="Palatino Linotype" w:hAnsi="Palatino Linotype" w:cs="Palatino Linotype"/>
          <w:b/>
          <w:bCs/>
          <w:i/>
          <w:iCs/>
        </w:rPr>
        <w:t>I</w:t>
      </w:r>
      <w:r w:rsidRPr="005A369B">
        <w:rPr>
          <w:rFonts w:ascii="Palatino Linotype" w:eastAsia="Palatino Linotype" w:hAnsi="Palatino Linotype" w:cs="Palatino Linotype"/>
          <w:i/>
          <w:iCs/>
        </w:rPr>
        <w:t xml:space="preserve">. Lugar, fecha y hora en que se levante; </w:t>
      </w:r>
    </w:p>
    <w:p w:rsidR="00605057" w:rsidRPr="005A369B" w:rsidRDefault="00605057" w:rsidP="00605057">
      <w:pPr>
        <w:spacing w:before="120" w:after="120"/>
        <w:ind w:left="1134" w:right="1134"/>
        <w:jc w:val="both"/>
        <w:rPr>
          <w:rFonts w:ascii="Palatino Linotype" w:eastAsia="Palatino Linotype" w:hAnsi="Palatino Linotype" w:cs="Palatino Linotype"/>
          <w:i/>
          <w:iCs/>
        </w:rPr>
      </w:pPr>
      <w:r w:rsidRPr="005A369B">
        <w:rPr>
          <w:rFonts w:ascii="Palatino Linotype" w:eastAsia="Palatino Linotype" w:hAnsi="Palatino Linotype" w:cs="Palatino Linotype"/>
          <w:b/>
          <w:bCs/>
          <w:i/>
          <w:iCs/>
        </w:rPr>
        <w:t>II</w:t>
      </w:r>
      <w:r w:rsidRPr="005A369B">
        <w:rPr>
          <w:rFonts w:ascii="Palatino Linotype" w:eastAsia="Palatino Linotype" w:hAnsi="Palatino Linotype" w:cs="Palatino Linotype"/>
          <w:i/>
          <w:iCs/>
        </w:rPr>
        <w:t xml:space="preserve">. Nombre y firma del residente de obra y, en su caso, del supervisor de los trabajos y del superintendente de construcción; </w:t>
      </w:r>
    </w:p>
    <w:p w:rsidR="00605057" w:rsidRPr="005A369B" w:rsidRDefault="00605057" w:rsidP="00605057">
      <w:pPr>
        <w:spacing w:before="120" w:after="120"/>
        <w:ind w:left="1134" w:right="1134"/>
        <w:jc w:val="both"/>
        <w:rPr>
          <w:rFonts w:ascii="Palatino Linotype" w:eastAsia="Palatino Linotype" w:hAnsi="Palatino Linotype" w:cs="Palatino Linotype"/>
          <w:i/>
          <w:iCs/>
        </w:rPr>
      </w:pPr>
      <w:r w:rsidRPr="005A369B">
        <w:rPr>
          <w:rFonts w:ascii="Palatino Linotype" w:eastAsia="Palatino Linotype" w:hAnsi="Palatino Linotype" w:cs="Palatino Linotype"/>
          <w:b/>
          <w:bCs/>
          <w:i/>
          <w:iCs/>
        </w:rPr>
        <w:t>III</w:t>
      </w:r>
      <w:r w:rsidRPr="005A369B">
        <w:rPr>
          <w:rFonts w:ascii="Palatino Linotype" w:eastAsia="Palatino Linotype" w:hAnsi="Palatino Linotype" w:cs="Palatino Linotype"/>
          <w:i/>
          <w:iCs/>
        </w:rPr>
        <w:t xml:space="preserve">. Nombre y firma de los representantes de las Secretarías del Ramo y de Finanzas, de la Contraloría y del área responsable de operar la obra pública que se recibe; </w:t>
      </w:r>
    </w:p>
    <w:p w:rsidR="00605057" w:rsidRPr="005A369B" w:rsidRDefault="00605057" w:rsidP="00605057">
      <w:pPr>
        <w:spacing w:before="120" w:after="120"/>
        <w:ind w:left="1134" w:right="1134"/>
        <w:jc w:val="both"/>
        <w:rPr>
          <w:rFonts w:ascii="Palatino Linotype" w:eastAsia="Palatino Linotype" w:hAnsi="Palatino Linotype" w:cs="Palatino Linotype"/>
          <w:i/>
          <w:iCs/>
        </w:rPr>
      </w:pPr>
      <w:r w:rsidRPr="005A369B">
        <w:rPr>
          <w:rFonts w:ascii="Palatino Linotype" w:eastAsia="Palatino Linotype" w:hAnsi="Palatino Linotype" w:cs="Palatino Linotype"/>
          <w:b/>
          <w:bCs/>
          <w:i/>
          <w:iCs/>
        </w:rPr>
        <w:t>IV</w:t>
      </w:r>
      <w:r w:rsidRPr="005A369B">
        <w:rPr>
          <w:rFonts w:ascii="Palatino Linotype" w:eastAsia="Palatino Linotype" w:hAnsi="Palatino Linotype" w:cs="Palatino Linotype"/>
          <w:i/>
          <w:iCs/>
        </w:rPr>
        <w:t xml:space="preserve">. Descripción de los trabajos que se reciben; </w:t>
      </w:r>
    </w:p>
    <w:p w:rsidR="00605057" w:rsidRPr="005A369B" w:rsidRDefault="00605057" w:rsidP="00605057">
      <w:pPr>
        <w:spacing w:before="120" w:after="120"/>
        <w:ind w:left="1134" w:right="1134"/>
        <w:jc w:val="both"/>
        <w:rPr>
          <w:rFonts w:ascii="Palatino Linotype" w:eastAsia="Palatino Linotype" w:hAnsi="Palatino Linotype" w:cs="Palatino Linotype"/>
          <w:i/>
          <w:iCs/>
        </w:rPr>
      </w:pPr>
      <w:r w:rsidRPr="005A369B">
        <w:rPr>
          <w:rFonts w:ascii="Palatino Linotype" w:eastAsia="Palatino Linotype" w:hAnsi="Palatino Linotype" w:cs="Palatino Linotype"/>
          <w:b/>
          <w:bCs/>
          <w:i/>
          <w:iCs/>
        </w:rPr>
        <w:t>V</w:t>
      </w:r>
      <w:r w:rsidRPr="005A369B">
        <w:rPr>
          <w:rFonts w:ascii="Palatino Linotype" w:eastAsia="Palatino Linotype" w:hAnsi="Palatino Linotype" w:cs="Palatino Linotype"/>
          <w:i/>
          <w:iCs/>
        </w:rPr>
        <w:t xml:space="preserve">. Importe contractual, incluyendo el de los convenios modificatorios; </w:t>
      </w:r>
    </w:p>
    <w:p w:rsidR="00605057" w:rsidRPr="005A369B" w:rsidRDefault="00605057" w:rsidP="00605057">
      <w:pPr>
        <w:spacing w:before="120" w:after="120"/>
        <w:ind w:left="1134" w:right="1134"/>
        <w:jc w:val="both"/>
        <w:rPr>
          <w:rFonts w:ascii="Palatino Linotype" w:eastAsia="Palatino Linotype" w:hAnsi="Palatino Linotype" w:cs="Palatino Linotype"/>
          <w:i/>
          <w:iCs/>
        </w:rPr>
      </w:pPr>
      <w:r w:rsidRPr="005A369B">
        <w:rPr>
          <w:rFonts w:ascii="Palatino Linotype" w:eastAsia="Palatino Linotype" w:hAnsi="Palatino Linotype" w:cs="Palatino Linotype"/>
          <w:b/>
          <w:bCs/>
          <w:i/>
          <w:iCs/>
        </w:rPr>
        <w:t>VI</w:t>
      </w:r>
      <w:r w:rsidRPr="005A369B">
        <w:rPr>
          <w:rFonts w:ascii="Palatino Linotype" w:eastAsia="Palatino Linotype" w:hAnsi="Palatino Linotype" w:cs="Palatino Linotype"/>
          <w:i/>
          <w:iCs/>
        </w:rPr>
        <w:t xml:space="preserve">. Periodo de ejecución de los trabajos, precisando las fechas de inicio y terminación contractual y el plazo en que realmente se ejecutaron, incluyendo los convenios; </w:t>
      </w:r>
    </w:p>
    <w:p w:rsidR="00605057" w:rsidRPr="005A369B" w:rsidRDefault="00605057" w:rsidP="00605057">
      <w:pPr>
        <w:spacing w:before="120" w:after="120"/>
        <w:ind w:left="1134" w:right="1134"/>
        <w:jc w:val="both"/>
        <w:rPr>
          <w:rFonts w:ascii="Palatino Linotype" w:eastAsia="Palatino Linotype" w:hAnsi="Palatino Linotype" w:cs="Palatino Linotype"/>
          <w:b/>
          <w:bCs/>
          <w:i/>
          <w:iCs/>
        </w:rPr>
      </w:pPr>
      <w:r w:rsidRPr="005A369B">
        <w:rPr>
          <w:rFonts w:ascii="Palatino Linotype" w:eastAsia="Palatino Linotype" w:hAnsi="Palatino Linotype" w:cs="Palatino Linotype"/>
          <w:b/>
          <w:bCs/>
          <w:i/>
          <w:iCs/>
        </w:rPr>
        <w:t>VII</w:t>
      </w:r>
      <w:r w:rsidRPr="005A369B">
        <w:rPr>
          <w:rFonts w:ascii="Palatino Linotype" w:eastAsia="Palatino Linotype" w:hAnsi="Palatino Linotype" w:cs="Palatino Linotype"/>
          <w:i/>
          <w:iCs/>
        </w:rPr>
        <w:t xml:space="preserve">. </w:t>
      </w:r>
      <w:r w:rsidRPr="005A369B">
        <w:rPr>
          <w:rFonts w:ascii="Palatino Linotype" w:eastAsia="Palatino Linotype" w:hAnsi="Palatino Linotype" w:cs="Palatino Linotype"/>
          <w:b/>
          <w:bCs/>
          <w:i/>
          <w:iCs/>
        </w:rPr>
        <w:t>Relación de las estimaciones pagadas y por pagar;</w:t>
      </w:r>
    </w:p>
    <w:p w:rsidR="00605057" w:rsidRPr="005A369B" w:rsidRDefault="00605057" w:rsidP="00605057">
      <w:pPr>
        <w:spacing w:before="120" w:after="120"/>
        <w:ind w:left="1134" w:right="1134"/>
        <w:jc w:val="both"/>
        <w:rPr>
          <w:rFonts w:ascii="Palatino Linotype" w:eastAsia="Palatino Linotype" w:hAnsi="Palatino Linotype" w:cs="Palatino Linotype"/>
          <w:i/>
          <w:iCs/>
        </w:rPr>
      </w:pPr>
      <w:r w:rsidRPr="005A369B">
        <w:rPr>
          <w:rFonts w:ascii="Palatino Linotype" w:eastAsia="Palatino Linotype" w:hAnsi="Palatino Linotype" w:cs="Palatino Linotype"/>
          <w:b/>
          <w:bCs/>
          <w:i/>
          <w:iCs/>
        </w:rPr>
        <w:lastRenderedPageBreak/>
        <w:t>VIII</w:t>
      </w:r>
      <w:r w:rsidRPr="005A369B">
        <w:rPr>
          <w:rFonts w:ascii="Palatino Linotype" w:eastAsia="Palatino Linotype" w:hAnsi="Palatino Linotype" w:cs="Palatino Linotype"/>
          <w:i/>
          <w:iCs/>
        </w:rPr>
        <w:t>. Declaración de las partes en que conste la entrega de los planos actualizados de la construcción final, así como los manuales e instructivos de operación y mantenimiento y los c</w:t>
      </w:r>
      <w:r w:rsidRPr="005A369B">
        <w:rPr>
          <w:rFonts w:ascii="Palatino Linotype" w:eastAsia="Palatino Linotype" w:hAnsi="Palatino Linotype" w:cs="Palatino Linotype"/>
          <w:b/>
          <w:bCs/>
          <w:i/>
          <w:iCs/>
        </w:rPr>
        <w:t>ertificados de garantía de calidad y de servicio de los bienes instalados</w:t>
      </w:r>
      <w:r w:rsidRPr="005A369B">
        <w:rPr>
          <w:rFonts w:ascii="Palatino Linotype" w:eastAsia="Palatino Linotype" w:hAnsi="Palatino Linotype" w:cs="Palatino Linotype"/>
          <w:i/>
          <w:iCs/>
        </w:rPr>
        <w:t xml:space="preserve">; y </w:t>
      </w:r>
    </w:p>
    <w:p w:rsidR="00605057" w:rsidRPr="005A369B" w:rsidRDefault="00605057" w:rsidP="00605057">
      <w:pPr>
        <w:spacing w:before="120" w:after="120"/>
        <w:ind w:left="1134" w:right="1134"/>
        <w:jc w:val="both"/>
        <w:rPr>
          <w:rFonts w:ascii="Palatino Linotype" w:eastAsia="Palatino Linotype" w:hAnsi="Palatino Linotype" w:cs="Palatino Linotype"/>
          <w:i/>
          <w:iCs/>
        </w:rPr>
      </w:pPr>
      <w:r w:rsidRPr="005A369B">
        <w:rPr>
          <w:rFonts w:ascii="Palatino Linotype" w:eastAsia="Palatino Linotype" w:hAnsi="Palatino Linotype" w:cs="Palatino Linotype"/>
          <w:b/>
          <w:bCs/>
          <w:i/>
          <w:iCs/>
        </w:rPr>
        <w:t>IX</w:t>
      </w:r>
      <w:r w:rsidRPr="005A369B">
        <w:rPr>
          <w:rFonts w:ascii="Palatino Linotype" w:eastAsia="Palatino Linotype" w:hAnsi="Palatino Linotype" w:cs="Palatino Linotype"/>
          <w:i/>
          <w:iCs/>
        </w:rPr>
        <w:t>. Constancia de que el archivo de documentos derivados de la realización de los trabajos fue entregado a la residencia de obra o a la supervisión por parte del contratista.</w:t>
      </w:r>
    </w:p>
    <w:p w:rsidR="00605057" w:rsidRPr="005A369B" w:rsidRDefault="00605057" w:rsidP="00605057">
      <w:pPr>
        <w:spacing w:before="120" w:after="120"/>
        <w:ind w:left="1134" w:right="1134"/>
        <w:jc w:val="both"/>
        <w:rPr>
          <w:rFonts w:ascii="Palatino Linotype" w:eastAsia="Palatino Linotype" w:hAnsi="Palatino Linotype" w:cs="Palatino Linotype"/>
          <w:i/>
          <w:iCs/>
        </w:rPr>
      </w:pPr>
      <w:r w:rsidRPr="005A369B">
        <w:rPr>
          <w:rFonts w:ascii="Palatino Linotype" w:eastAsia="Palatino Linotype" w:hAnsi="Palatino Linotype" w:cs="Palatino Linotype"/>
          <w:b/>
          <w:bCs/>
          <w:i/>
          <w:iCs/>
        </w:rPr>
        <w:t>Artículo 233.-</w:t>
      </w:r>
      <w:r w:rsidRPr="005A369B">
        <w:rPr>
          <w:rFonts w:ascii="Palatino Linotype" w:eastAsia="Palatino Linotype" w:hAnsi="Palatino Linotype" w:cs="Palatino Linotype"/>
          <w:i/>
          <w:iCs/>
        </w:rPr>
        <w:t xml:space="preserve"> El contratante podrá efectuar recepciones parciales de los trabajos sin estar concluida la totalidad de la obra, cuando considere que hay trabajos terminados cuyos espacios pueden utilizarse y requieren conservación. Para ello, levantará un acta que se apegará a lo previsto en el artículo anterior.</w:t>
      </w:r>
    </w:p>
    <w:p w:rsidR="00605057" w:rsidRPr="005A369B" w:rsidRDefault="00605057" w:rsidP="00605057">
      <w:pPr>
        <w:spacing w:before="120" w:after="120"/>
        <w:ind w:left="1134" w:right="1134"/>
        <w:jc w:val="both"/>
        <w:rPr>
          <w:rFonts w:ascii="Palatino Linotype" w:eastAsia="Palatino Linotype" w:hAnsi="Palatino Linotype" w:cs="Palatino Linotype"/>
          <w:i/>
          <w:iCs/>
        </w:rPr>
      </w:pPr>
      <w:r w:rsidRPr="005A369B">
        <w:rPr>
          <w:rFonts w:ascii="Palatino Linotype" w:eastAsia="Palatino Linotype" w:hAnsi="Palatino Linotype" w:cs="Palatino Linotype"/>
          <w:b/>
          <w:bCs/>
          <w:i/>
          <w:iCs/>
        </w:rPr>
        <w:t>Artículo 234.-</w:t>
      </w:r>
      <w:r w:rsidRPr="005A369B">
        <w:rPr>
          <w:rFonts w:ascii="Palatino Linotype" w:eastAsia="Palatino Linotype" w:hAnsi="Palatino Linotype" w:cs="Palatino Linotype"/>
          <w:i/>
          <w:iCs/>
        </w:rPr>
        <w:t xml:space="preserve"> Para dar por terminados, parcial o totalmente, los derechos y obligaciones asumidos por las partes en un contrato de obras o servicios, el contratante deberá elaborar el finiquito correspondiente, </w:t>
      </w:r>
      <w:r w:rsidRPr="005A369B">
        <w:rPr>
          <w:rFonts w:ascii="Palatino Linotype" w:eastAsia="Palatino Linotype" w:hAnsi="Palatino Linotype" w:cs="Palatino Linotype"/>
          <w:b/>
          <w:bCs/>
          <w:i/>
          <w:iCs/>
        </w:rPr>
        <w:t>anexando el acta de recepción física de los trabajos</w:t>
      </w:r>
      <w:r w:rsidRPr="005A369B">
        <w:rPr>
          <w:rFonts w:ascii="Palatino Linotype" w:eastAsia="Palatino Linotype" w:hAnsi="Palatino Linotype" w:cs="Palatino Linotype"/>
          <w:i/>
          <w:iCs/>
        </w:rPr>
        <w:t xml:space="preserve">. </w:t>
      </w:r>
    </w:p>
    <w:p w:rsidR="00605057" w:rsidRPr="005A369B" w:rsidRDefault="00605057" w:rsidP="00605057">
      <w:pPr>
        <w:spacing w:before="120" w:after="120"/>
        <w:ind w:left="1134" w:right="1134"/>
        <w:jc w:val="both"/>
        <w:rPr>
          <w:rFonts w:ascii="Palatino Linotype" w:eastAsia="Palatino Linotype" w:hAnsi="Palatino Linotype" w:cs="Palatino Linotype"/>
          <w:i/>
          <w:iCs/>
        </w:rPr>
      </w:pPr>
      <w:r w:rsidRPr="005A369B">
        <w:rPr>
          <w:rFonts w:ascii="Palatino Linotype" w:eastAsia="Palatino Linotype" w:hAnsi="Palatino Linotype" w:cs="Palatino Linotype"/>
          <w:i/>
          <w:iCs/>
        </w:rPr>
        <w:t>Elaborado este finiquito, el contratante dará por terminado el contrato, quedando subsistentes las acciones que se deriven del finiquito y la garantía de defectos y vicios ocultos señalada en el libro en el capítulo quinto de la ejecución Después de su formalización, el contratista no podrá presentar reclamación alguna de pago.”</w:t>
      </w:r>
    </w:p>
    <w:p w:rsidR="00605057" w:rsidRPr="005A369B" w:rsidRDefault="00605057" w:rsidP="00605057">
      <w:pPr>
        <w:spacing w:before="120" w:after="120"/>
        <w:ind w:left="1134" w:right="1134"/>
        <w:jc w:val="both"/>
        <w:rPr>
          <w:rFonts w:ascii="Palatino Linotype" w:eastAsia="Palatino Linotype" w:hAnsi="Palatino Linotype" w:cs="Palatino Linotype"/>
          <w:i/>
          <w:iCs/>
        </w:rPr>
      </w:pPr>
    </w:p>
    <w:p w:rsidR="00605057" w:rsidRPr="005A369B" w:rsidRDefault="00605057" w:rsidP="0056322A">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5A369B">
        <w:rPr>
          <w:rFonts w:ascii="Palatino Linotype" w:eastAsia="Palatino Linotype" w:hAnsi="Palatino Linotype" w:cs="Palatino Linotype"/>
          <w:color w:val="000000"/>
        </w:rPr>
        <w:t>Por otro lado, el artículo 214 del Reglamento del Libro Décimo Segundo, establece que la ejecución de los trabajos deberá realizarse en el orden y tiempo previstos en los programas pactados en el contrato, al respecto, las atribuciones de la Contraloría Municipal, el Libro Décimo Segundo dispone lo siguiente:</w:t>
      </w:r>
    </w:p>
    <w:p w:rsidR="00605057" w:rsidRPr="005A369B" w:rsidRDefault="00605057" w:rsidP="00605057">
      <w:pPr>
        <w:spacing w:before="120" w:after="120"/>
        <w:ind w:left="1134" w:right="1134"/>
        <w:jc w:val="both"/>
        <w:rPr>
          <w:rFonts w:ascii="Palatino Linotype" w:eastAsia="Palatino Linotype" w:hAnsi="Palatino Linotype" w:cs="Palatino Linotype"/>
          <w:i/>
          <w:iCs/>
        </w:rPr>
      </w:pPr>
      <w:r w:rsidRPr="005A369B">
        <w:rPr>
          <w:rFonts w:ascii="Palatino Linotype" w:eastAsia="Palatino Linotype" w:hAnsi="Palatino Linotype" w:cs="Palatino Linotype"/>
          <w:b/>
          <w:bCs/>
          <w:i/>
          <w:iCs/>
        </w:rPr>
        <w:t>“Artículo 271</w:t>
      </w:r>
      <w:r w:rsidRPr="005A369B">
        <w:rPr>
          <w:rFonts w:ascii="Palatino Linotype" w:eastAsia="Palatino Linotype" w:hAnsi="Palatino Linotype" w:cs="Palatino Linotype"/>
          <w:i/>
          <w:iCs/>
        </w:rPr>
        <w:t xml:space="preserve">.- Las dependencias, entidades y ayuntamientos, podrán suspender temporal o definitivamente, en todo o en parte, las obras que realicen por administración directa, por razones de interés general o por cualquier causa justificada, mediante acuerdo del mismo servidor público que autorizó su realización. </w:t>
      </w:r>
    </w:p>
    <w:p w:rsidR="00605057" w:rsidRPr="005A369B" w:rsidRDefault="00605057" w:rsidP="00605057">
      <w:pPr>
        <w:spacing w:before="120" w:after="120"/>
        <w:ind w:left="1134" w:right="1134"/>
        <w:jc w:val="both"/>
        <w:rPr>
          <w:rFonts w:ascii="Palatino Linotype" w:eastAsia="Palatino Linotype" w:hAnsi="Palatino Linotype" w:cs="Palatino Linotype"/>
          <w:i/>
          <w:iCs/>
        </w:rPr>
      </w:pPr>
      <w:r w:rsidRPr="005A369B">
        <w:rPr>
          <w:rFonts w:ascii="Palatino Linotype" w:eastAsia="Palatino Linotype" w:hAnsi="Palatino Linotype" w:cs="Palatino Linotype"/>
          <w:i/>
          <w:iCs/>
        </w:rPr>
        <w:lastRenderedPageBreak/>
        <w:t xml:space="preserve">Tratándose de suspensión definitiva de la obra, se deberá levantar acta circunstanciada, donde se haga constar el estado en que se encuentran los trabajos y las razones de la suspensión definitiva. </w:t>
      </w:r>
    </w:p>
    <w:p w:rsidR="00605057" w:rsidRPr="005A369B" w:rsidRDefault="00605057" w:rsidP="00605057">
      <w:pPr>
        <w:spacing w:before="120" w:after="120"/>
        <w:ind w:left="1134" w:right="1134"/>
        <w:jc w:val="both"/>
        <w:rPr>
          <w:rFonts w:ascii="Palatino Linotype" w:eastAsia="Palatino Linotype" w:hAnsi="Palatino Linotype" w:cs="Palatino Linotype"/>
          <w:i/>
          <w:iCs/>
        </w:rPr>
      </w:pPr>
      <w:r w:rsidRPr="005A369B">
        <w:rPr>
          <w:rFonts w:ascii="Palatino Linotype" w:eastAsia="Palatino Linotype" w:hAnsi="Palatino Linotype" w:cs="Palatino Linotype"/>
          <w:b/>
          <w:bCs/>
          <w:i/>
          <w:iCs/>
        </w:rPr>
        <w:t>Las suspensiones temporales o definitivas que realicen las dependencias y entidades deberán comunicarse a</w:t>
      </w:r>
      <w:r w:rsidRPr="005A369B">
        <w:rPr>
          <w:rFonts w:ascii="Palatino Linotype" w:eastAsia="Palatino Linotype" w:hAnsi="Palatino Linotype" w:cs="Palatino Linotype"/>
          <w:i/>
          <w:iCs/>
        </w:rPr>
        <w:t xml:space="preserve"> la Secretaría del Ramo, </w:t>
      </w:r>
      <w:r w:rsidRPr="005A369B">
        <w:rPr>
          <w:rFonts w:ascii="Palatino Linotype" w:eastAsia="Palatino Linotype" w:hAnsi="Palatino Linotype" w:cs="Palatino Linotype"/>
          <w:b/>
          <w:bCs/>
          <w:i/>
          <w:iCs/>
        </w:rPr>
        <w:t>a la Contraloría</w:t>
      </w:r>
      <w:r w:rsidRPr="005A369B">
        <w:rPr>
          <w:rFonts w:ascii="Palatino Linotype" w:eastAsia="Palatino Linotype" w:hAnsi="Palatino Linotype" w:cs="Palatino Linotype"/>
          <w:i/>
          <w:iCs/>
        </w:rPr>
        <w:t xml:space="preserve"> y, en el caso de las entidades, a la dependencia coordinadora de sector, dentro de los diez días naturales siguientes a la fecha en que se emita el acuerdo de suspensión.</w:t>
      </w:r>
    </w:p>
    <w:p w:rsidR="00605057" w:rsidRPr="005A369B" w:rsidRDefault="00605057" w:rsidP="00605057">
      <w:pPr>
        <w:spacing w:before="120" w:after="120"/>
        <w:ind w:left="1134" w:right="1134"/>
        <w:jc w:val="both"/>
        <w:rPr>
          <w:rFonts w:ascii="Palatino Linotype" w:eastAsia="Palatino Linotype" w:hAnsi="Palatino Linotype" w:cs="Palatino Linotype"/>
          <w:b/>
          <w:bCs/>
          <w:i/>
          <w:iCs/>
        </w:rPr>
      </w:pPr>
      <w:r w:rsidRPr="005A369B">
        <w:rPr>
          <w:rFonts w:ascii="Palatino Linotype" w:eastAsia="Palatino Linotype" w:hAnsi="Palatino Linotype" w:cs="Palatino Linotype"/>
          <w:b/>
          <w:bCs/>
          <w:i/>
          <w:iCs/>
        </w:rPr>
        <w:t>Artículo 272.- La Contraloría, en las dependencias, entidades y ayuntamientos</w:t>
      </w:r>
      <w:r w:rsidRPr="005A369B">
        <w:rPr>
          <w:rFonts w:ascii="Palatino Linotype" w:eastAsia="Palatino Linotype" w:hAnsi="Palatino Linotype" w:cs="Palatino Linotype"/>
          <w:i/>
          <w:iCs/>
        </w:rPr>
        <w:t xml:space="preserve">, previo a la ejecución de los trabajos por administración directa, </w:t>
      </w:r>
      <w:r w:rsidRPr="005A369B">
        <w:rPr>
          <w:rFonts w:ascii="Palatino Linotype" w:eastAsia="Palatino Linotype" w:hAnsi="Palatino Linotype" w:cs="Palatino Linotype"/>
          <w:b/>
          <w:bCs/>
          <w:i/>
          <w:iCs/>
        </w:rPr>
        <w:t>verificará que se cuente con el presupuesto correspondiente y los programas de ejecución, de utilización de recursos humanos</w:t>
      </w:r>
      <w:r w:rsidRPr="005A369B">
        <w:rPr>
          <w:rFonts w:ascii="Palatino Linotype" w:eastAsia="Palatino Linotype" w:hAnsi="Palatino Linotype" w:cs="Palatino Linotype"/>
          <w:i/>
          <w:iCs/>
        </w:rPr>
        <w:t xml:space="preserve"> y, en su caso, de utilización de maquinaria y equipo de construcción. Asimismo, en el ejercicio de sus atribuciones </w:t>
      </w:r>
      <w:r w:rsidRPr="005A369B">
        <w:rPr>
          <w:rFonts w:ascii="Palatino Linotype" w:eastAsia="Palatino Linotype" w:hAnsi="Palatino Linotype" w:cs="Palatino Linotype"/>
          <w:b/>
          <w:bCs/>
          <w:i/>
          <w:iCs/>
        </w:rPr>
        <w:t>estará atenta al desarrollo de la obra, a su entrega-recepción y en su caso, suspensión.</w:t>
      </w:r>
    </w:p>
    <w:p w:rsidR="00605057" w:rsidRPr="005A369B" w:rsidRDefault="00605057" w:rsidP="00605057">
      <w:pPr>
        <w:spacing w:before="120" w:after="120"/>
        <w:ind w:left="1134" w:right="1134"/>
        <w:jc w:val="both"/>
        <w:rPr>
          <w:rFonts w:ascii="Palatino Linotype" w:eastAsia="Palatino Linotype" w:hAnsi="Palatino Linotype" w:cs="Palatino Linotype"/>
          <w:i/>
          <w:iCs/>
        </w:rPr>
      </w:pPr>
      <w:r w:rsidRPr="005A369B">
        <w:rPr>
          <w:rFonts w:ascii="Palatino Linotype" w:eastAsia="Palatino Linotype" w:hAnsi="Palatino Linotype" w:cs="Palatino Linotype"/>
          <w:b/>
          <w:bCs/>
          <w:i/>
          <w:iCs/>
        </w:rPr>
        <w:t>Artículo 276</w:t>
      </w:r>
      <w:r w:rsidRPr="005A369B">
        <w:rPr>
          <w:rFonts w:ascii="Palatino Linotype" w:eastAsia="Palatino Linotype" w:hAnsi="Palatino Linotype" w:cs="Palatino Linotype"/>
          <w:i/>
          <w:iCs/>
        </w:rPr>
        <w:t xml:space="preserve">.- La Contraloría llevará a cabo el seguimiento de la obra pública y servicios que realicen las dependencias, entidades y ayuntamientos en su caso. El seguimiento abarcará: </w:t>
      </w:r>
    </w:p>
    <w:p w:rsidR="00605057" w:rsidRPr="005A369B" w:rsidRDefault="00605057" w:rsidP="00605057">
      <w:pPr>
        <w:spacing w:before="120" w:after="120"/>
        <w:ind w:left="1134" w:right="1134"/>
        <w:jc w:val="both"/>
        <w:rPr>
          <w:rFonts w:ascii="Palatino Linotype" w:eastAsia="Palatino Linotype" w:hAnsi="Palatino Linotype" w:cs="Palatino Linotype"/>
          <w:i/>
          <w:iCs/>
        </w:rPr>
      </w:pPr>
      <w:r w:rsidRPr="005A369B">
        <w:rPr>
          <w:rFonts w:ascii="Palatino Linotype" w:eastAsia="Palatino Linotype" w:hAnsi="Palatino Linotype" w:cs="Palatino Linotype"/>
          <w:b/>
          <w:bCs/>
          <w:i/>
          <w:iCs/>
        </w:rPr>
        <w:t>I.</w:t>
      </w:r>
      <w:r w:rsidRPr="005A369B">
        <w:rPr>
          <w:rFonts w:ascii="Palatino Linotype" w:eastAsia="Palatino Linotype" w:hAnsi="Palatino Linotype" w:cs="Palatino Linotype"/>
          <w:i/>
          <w:iCs/>
        </w:rPr>
        <w:t xml:space="preserve"> La Planeación; </w:t>
      </w:r>
    </w:p>
    <w:p w:rsidR="00605057" w:rsidRPr="005A369B" w:rsidRDefault="00605057" w:rsidP="00605057">
      <w:pPr>
        <w:spacing w:before="120" w:after="120"/>
        <w:ind w:left="1134" w:right="1134"/>
        <w:jc w:val="both"/>
        <w:rPr>
          <w:rFonts w:ascii="Palatino Linotype" w:eastAsia="Palatino Linotype" w:hAnsi="Palatino Linotype" w:cs="Palatino Linotype"/>
          <w:i/>
          <w:iCs/>
        </w:rPr>
      </w:pPr>
      <w:r w:rsidRPr="005A369B">
        <w:rPr>
          <w:rFonts w:ascii="Palatino Linotype" w:eastAsia="Palatino Linotype" w:hAnsi="Palatino Linotype" w:cs="Palatino Linotype"/>
          <w:b/>
          <w:bCs/>
          <w:i/>
          <w:iCs/>
        </w:rPr>
        <w:t>II</w:t>
      </w:r>
      <w:r w:rsidRPr="005A369B">
        <w:rPr>
          <w:rFonts w:ascii="Palatino Linotype" w:eastAsia="Palatino Linotype" w:hAnsi="Palatino Linotype" w:cs="Palatino Linotype"/>
          <w:i/>
          <w:iCs/>
        </w:rPr>
        <w:t xml:space="preserve">. La Programación y presupuestación; </w:t>
      </w:r>
    </w:p>
    <w:p w:rsidR="00605057" w:rsidRPr="005A369B" w:rsidRDefault="00605057" w:rsidP="00605057">
      <w:pPr>
        <w:spacing w:before="120" w:after="120"/>
        <w:ind w:left="1134" w:right="1134"/>
        <w:jc w:val="both"/>
        <w:rPr>
          <w:rFonts w:ascii="Palatino Linotype" w:eastAsia="Palatino Linotype" w:hAnsi="Palatino Linotype" w:cs="Palatino Linotype"/>
          <w:i/>
          <w:iCs/>
        </w:rPr>
      </w:pPr>
      <w:r w:rsidRPr="005A369B">
        <w:rPr>
          <w:rFonts w:ascii="Palatino Linotype" w:eastAsia="Palatino Linotype" w:hAnsi="Palatino Linotype" w:cs="Palatino Linotype"/>
          <w:b/>
          <w:bCs/>
          <w:i/>
          <w:iCs/>
        </w:rPr>
        <w:t>III.</w:t>
      </w:r>
      <w:r w:rsidRPr="005A369B">
        <w:rPr>
          <w:rFonts w:ascii="Palatino Linotype" w:eastAsia="Palatino Linotype" w:hAnsi="Palatino Linotype" w:cs="Palatino Linotype"/>
          <w:i/>
          <w:iCs/>
        </w:rPr>
        <w:t xml:space="preserve"> La licitación pública; </w:t>
      </w:r>
    </w:p>
    <w:p w:rsidR="00605057" w:rsidRPr="005A369B" w:rsidRDefault="00605057" w:rsidP="00605057">
      <w:pPr>
        <w:spacing w:before="120" w:after="120"/>
        <w:ind w:left="1134" w:right="1134"/>
        <w:jc w:val="both"/>
        <w:rPr>
          <w:rFonts w:ascii="Palatino Linotype" w:eastAsia="Palatino Linotype" w:hAnsi="Palatino Linotype" w:cs="Palatino Linotype"/>
          <w:i/>
          <w:iCs/>
        </w:rPr>
      </w:pPr>
      <w:r w:rsidRPr="005A369B">
        <w:rPr>
          <w:rFonts w:ascii="Palatino Linotype" w:eastAsia="Palatino Linotype" w:hAnsi="Palatino Linotype" w:cs="Palatino Linotype"/>
          <w:b/>
          <w:bCs/>
          <w:i/>
          <w:iCs/>
        </w:rPr>
        <w:t>IV.</w:t>
      </w:r>
      <w:r w:rsidRPr="005A369B">
        <w:rPr>
          <w:rFonts w:ascii="Palatino Linotype" w:eastAsia="Palatino Linotype" w:hAnsi="Palatino Linotype" w:cs="Palatino Linotype"/>
          <w:i/>
          <w:iCs/>
        </w:rPr>
        <w:t xml:space="preserve"> La invitación restringida; </w:t>
      </w:r>
    </w:p>
    <w:p w:rsidR="00605057" w:rsidRPr="005A369B" w:rsidRDefault="00605057" w:rsidP="00605057">
      <w:pPr>
        <w:spacing w:before="120" w:after="120"/>
        <w:ind w:left="1134" w:right="1134"/>
        <w:jc w:val="both"/>
        <w:rPr>
          <w:rFonts w:ascii="Palatino Linotype" w:eastAsia="Palatino Linotype" w:hAnsi="Palatino Linotype" w:cs="Palatino Linotype"/>
          <w:i/>
          <w:iCs/>
        </w:rPr>
      </w:pPr>
      <w:r w:rsidRPr="005A369B">
        <w:rPr>
          <w:rFonts w:ascii="Palatino Linotype" w:eastAsia="Palatino Linotype" w:hAnsi="Palatino Linotype" w:cs="Palatino Linotype"/>
          <w:b/>
          <w:bCs/>
          <w:i/>
          <w:iCs/>
        </w:rPr>
        <w:t>V</w:t>
      </w:r>
      <w:r w:rsidRPr="005A369B">
        <w:rPr>
          <w:rFonts w:ascii="Palatino Linotype" w:eastAsia="Palatino Linotype" w:hAnsi="Palatino Linotype" w:cs="Palatino Linotype"/>
          <w:i/>
          <w:iCs/>
        </w:rPr>
        <w:t xml:space="preserve">. La adjudicación directa; </w:t>
      </w:r>
    </w:p>
    <w:p w:rsidR="00605057" w:rsidRPr="005A369B" w:rsidRDefault="00605057" w:rsidP="00605057">
      <w:pPr>
        <w:spacing w:before="120" w:after="120"/>
        <w:ind w:left="1134" w:right="1134"/>
        <w:jc w:val="both"/>
        <w:rPr>
          <w:rFonts w:ascii="Palatino Linotype" w:eastAsia="Palatino Linotype" w:hAnsi="Palatino Linotype" w:cs="Palatino Linotype"/>
          <w:i/>
          <w:iCs/>
        </w:rPr>
      </w:pPr>
      <w:r w:rsidRPr="005A369B">
        <w:rPr>
          <w:rFonts w:ascii="Palatino Linotype" w:eastAsia="Palatino Linotype" w:hAnsi="Palatino Linotype" w:cs="Palatino Linotype"/>
          <w:b/>
          <w:bCs/>
          <w:i/>
          <w:iCs/>
        </w:rPr>
        <w:t>VI</w:t>
      </w:r>
      <w:r w:rsidRPr="005A369B">
        <w:rPr>
          <w:rFonts w:ascii="Palatino Linotype" w:eastAsia="Palatino Linotype" w:hAnsi="Palatino Linotype" w:cs="Palatino Linotype"/>
          <w:i/>
          <w:iCs/>
        </w:rPr>
        <w:t xml:space="preserve">. La contratación; </w:t>
      </w:r>
    </w:p>
    <w:p w:rsidR="00605057" w:rsidRPr="005A369B" w:rsidRDefault="00605057" w:rsidP="00605057">
      <w:pPr>
        <w:spacing w:before="120" w:after="120"/>
        <w:ind w:left="1134" w:right="1134"/>
        <w:jc w:val="both"/>
        <w:rPr>
          <w:rFonts w:ascii="Palatino Linotype" w:eastAsia="Palatino Linotype" w:hAnsi="Palatino Linotype" w:cs="Palatino Linotype"/>
          <w:i/>
          <w:iCs/>
        </w:rPr>
      </w:pPr>
      <w:r w:rsidRPr="005A369B">
        <w:rPr>
          <w:rFonts w:ascii="Palatino Linotype" w:eastAsia="Palatino Linotype" w:hAnsi="Palatino Linotype" w:cs="Palatino Linotype"/>
          <w:b/>
          <w:bCs/>
          <w:i/>
          <w:iCs/>
        </w:rPr>
        <w:t>VII.</w:t>
      </w:r>
      <w:r w:rsidRPr="005A369B">
        <w:rPr>
          <w:rFonts w:ascii="Palatino Linotype" w:eastAsia="Palatino Linotype" w:hAnsi="Palatino Linotype" w:cs="Palatino Linotype"/>
          <w:i/>
          <w:iCs/>
        </w:rPr>
        <w:t xml:space="preserve"> La ejecución; </w:t>
      </w:r>
    </w:p>
    <w:p w:rsidR="00605057" w:rsidRPr="005A369B" w:rsidRDefault="00605057" w:rsidP="00605057">
      <w:pPr>
        <w:spacing w:before="120" w:after="120"/>
        <w:ind w:left="1134" w:right="1134"/>
        <w:jc w:val="both"/>
        <w:rPr>
          <w:rFonts w:ascii="Palatino Linotype" w:eastAsia="Palatino Linotype" w:hAnsi="Palatino Linotype" w:cs="Palatino Linotype"/>
          <w:i/>
          <w:iCs/>
        </w:rPr>
      </w:pPr>
      <w:r w:rsidRPr="005A369B">
        <w:rPr>
          <w:rFonts w:ascii="Palatino Linotype" w:eastAsia="Palatino Linotype" w:hAnsi="Palatino Linotype" w:cs="Palatino Linotype"/>
          <w:b/>
          <w:bCs/>
          <w:i/>
          <w:iCs/>
        </w:rPr>
        <w:t>VIII.</w:t>
      </w:r>
      <w:r w:rsidRPr="005A369B">
        <w:rPr>
          <w:rFonts w:ascii="Palatino Linotype" w:eastAsia="Palatino Linotype" w:hAnsi="Palatino Linotype" w:cs="Palatino Linotype"/>
          <w:i/>
          <w:iCs/>
        </w:rPr>
        <w:t xml:space="preserve"> La recepción y finiquito. </w:t>
      </w:r>
    </w:p>
    <w:p w:rsidR="00605057" w:rsidRPr="005A369B" w:rsidRDefault="00605057" w:rsidP="00605057">
      <w:pPr>
        <w:spacing w:before="120" w:after="120"/>
        <w:ind w:left="1134" w:right="1134"/>
        <w:jc w:val="both"/>
        <w:rPr>
          <w:rFonts w:ascii="Palatino Linotype" w:eastAsia="Palatino Linotype" w:hAnsi="Palatino Linotype" w:cs="Palatino Linotype"/>
          <w:i/>
          <w:iCs/>
        </w:rPr>
      </w:pPr>
      <w:r w:rsidRPr="005A369B">
        <w:rPr>
          <w:rFonts w:ascii="Palatino Linotype" w:eastAsia="Palatino Linotype" w:hAnsi="Palatino Linotype" w:cs="Palatino Linotype"/>
          <w:i/>
          <w:iCs/>
        </w:rPr>
        <w:t xml:space="preserve">La Contraloría realizará las visitas, inspecciones, auditorias y supervisiones que considere necesarias. Podrá solicitar a los servidores públicos y a los contratistas los datos e informes relacionados con las obras y servicios objeto de dichas visitas, inspecciones, auditorias y supervisiones. </w:t>
      </w:r>
    </w:p>
    <w:p w:rsidR="00605057" w:rsidRPr="005A369B" w:rsidRDefault="00605057" w:rsidP="00605057">
      <w:pPr>
        <w:spacing w:before="120" w:after="120"/>
        <w:ind w:left="1134" w:right="1134"/>
        <w:jc w:val="both"/>
        <w:rPr>
          <w:rFonts w:ascii="Palatino Linotype" w:eastAsia="Palatino Linotype" w:hAnsi="Palatino Linotype" w:cs="Palatino Linotype"/>
          <w:i/>
          <w:iCs/>
        </w:rPr>
      </w:pPr>
      <w:r w:rsidRPr="005A369B">
        <w:rPr>
          <w:rFonts w:ascii="Palatino Linotype" w:eastAsia="Palatino Linotype" w:hAnsi="Palatino Linotype" w:cs="Palatino Linotype"/>
          <w:i/>
          <w:iCs/>
        </w:rPr>
        <w:lastRenderedPageBreak/>
        <w:t>La Contraloría llevará el registro de las personas físicas o jurídicas que se encuentren en cualquiera de los supuestos a que se refieren las fracciones III, IV y VI del artículo 12.48 del Libro y lo dará a conocer a las dependencias, entidades y ayuntamientos por los medios que determine y recibirá de éstas la información correspondiente para la integración y difusión de dicho registro.</w:t>
      </w:r>
    </w:p>
    <w:p w:rsidR="00605057" w:rsidRPr="005A369B" w:rsidRDefault="00605057" w:rsidP="00605057">
      <w:pPr>
        <w:spacing w:before="120" w:after="120"/>
        <w:ind w:left="1134" w:right="1134"/>
        <w:jc w:val="both"/>
        <w:rPr>
          <w:rFonts w:ascii="Palatino Linotype" w:eastAsia="Palatino Linotype" w:hAnsi="Palatino Linotype" w:cs="Palatino Linotype"/>
          <w:i/>
          <w:iCs/>
        </w:rPr>
      </w:pPr>
      <w:r w:rsidRPr="005A369B">
        <w:rPr>
          <w:rFonts w:ascii="Palatino Linotype" w:eastAsia="Palatino Linotype" w:hAnsi="Palatino Linotype" w:cs="Palatino Linotype"/>
          <w:b/>
          <w:bCs/>
          <w:i/>
          <w:iCs/>
        </w:rPr>
        <w:t>Artículo 277</w:t>
      </w:r>
      <w:r w:rsidRPr="005A369B">
        <w:rPr>
          <w:rFonts w:ascii="Palatino Linotype" w:eastAsia="Palatino Linotype" w:hAnsi="Palatino Linotype" w:cs="Palatino Linotype"/>
          <w:i/>
          <w:iCs/>
        </w:rPr>
        <w:t xml:space="preserve">.- En el ejercicio de sus atribuciones, la Contraloría tiene la facultad de verificar que la realización de las obras públicas y los servicios se efectúen con apego a lo establecido en el Libro, este Reglamento, las disposiciones legales aplicables y conforme a los programas y presupuestos autorizados. </w:t>
      </w:r>
    </w:p>
    <w:p w:rsidR="00605057" w:rsidRPr="005A369B" w:rsidRDefault="00605057" w:rsidP="00605057">
      <w:pPr>
        <w:spacing w:before="120" w:after="120"/>
        <w:ind w:left="1134" w:right="1134"/>
        <w:jc w:val="both"/>
        <w:rPr>
          <w:rFonts w:ascii="Palatino Linotype" w:eastAsia="Palatino Linotype" w:hAnsi="Palatino Linotype" w:cs="Palatino Linotype"/>
          <w:i/>
          <w:iCs/>
        </w:rPr>
      </w:pPr>
      <w:r w:rsidRPr="005A369B">
        <w:rPr>
          <w:rFonts w:ascii="Palatino Linotype" w:eastAsia="Palatino Linotype" w:hAnsi="Palatino Linotype" w:cs="Palatino Linotype"/>
          <w:b/>
          <w:bCs/>
          <w:i/>
          <w:iCs/>
        </w:rPr>
        <w:t>Artículo 278</w:t>
      </w:r>
      <w:r w:rsidRPr="005A369B">
        <w:rPr>
          <w:rFonts w:ascii="Palatino Linotype" w:eastAsia="Palatino Linotype" w:hAnsi="Palatino Linotype" w:cs="Palatino Linotype"/>
          <w:i/>
          <w:iCs/>
        </w:rPr>
        <w:t>.- Cuando la Contraloría tenga conocimiento de que una dependencia, entidad o ayuntamiento no se hubiere apegado a las disposiciones legales aplicables, actuará conforme a los manuales y procedimientos que norman su actuación.”</w:t>
      </w:r>
    </w:p>
    <w:p w:rsidR="00605057" w:rsidRPr="005A369B" w:rsidRDefault="00605057" w:rsidP="00605057">
      <w:pPr>
        <w:spacing w:before="120" w:after="120"/>
        <w:ind w:left="1134" w:right="1134"/>
        <w:jc w:val="both"/>
        <w:rPr>
          <w:rFonts w:ascii="Palatino Linotype" w:eastAsia="Palatino Linotype" w:hAnsi="Palatino Linotype" w:cs="Palatino Linotype"/>
          <w:i/>
          <w:iCs/>
        </w:rPr>
      </w:pPr>
    </w:p>
    <w:p w:rsidR="00605057" w:rsidRPr="005A369B" w:rsidRDefault="00605057" w:rsidP="0056322A">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5A369B">
        <w:rPr>
          <w:rFonts w:ascii="Palatino Linotype" w:eastAsia="Palatino Linotype" w:hAnsi="Palatino Linotype" w:cs="Palatino Linotype"/>
          <w:color w:val="000000"/>
        </w:rPr>
        <w:t xml:space="preserve">Así mismo y  de conformidad con el </w:t>
      </w:r>
      <w:r w:rsidRPr="005A369B">
        <w:rPr>
          <w:rFonts w:ascii="Palatino Linotype" w:eastAsia="Palatino Linotype" w:hAnsi="Palatino Linotype" w:cs="Palatino Linotype"/>
          <w:i/>
          <w:iCs/>
          <w:color w:val="000000"/>
        </w:rPr>
        <w:t xml:space="preserve">ACUERDO DEL SECRETARIO DE </w:t>
      </w:r>
      <w:r w:rsidRPr="005A369B">
        <w:rPr>
          <w:rFonts w:ascii="Palatino Linotype" w:eastAsia="Palatino Linotype" w:hAnsi="Palatino Linotype" w:cs="Palatino Linotype"/>
          <w:color w:val="000000"/>
        </w:rPr>
        <w:t>INFRAESTRUCTURA</w:t>
      </w:r>
      <w:r w:rsidRPr="005A369B">
        <w:rPr>
          <w:rFonts w:ascii="Palatino Linotype" w:eastAsia="Palatino Linotype" w:hAnsi="Palatino Linotype" w:cs="Palatino Linotype"/>
          <w:i/>
          <w:iCs/>
          <w:color w:val="000000"/>
        </w:rPr>
        <w:t xml:space="preserve"> POR EL QUE SE ESTABLECE EL ÍNDICE DE EXPEDIENTE ÚNICO DE OBRA PÚBLICA E INSTRUCTIVOS DE LLENADO EN LAS MODALIDADES DE ADJUDICACIÓN DIRECTA, INVITACIÓN RESTRINGIDA Y LICITACIÓN PÚBLICA</w:t>
      </w:r>
      <w:r w:rsidRPr="005A369B">
        <w:rPr>
          <w:rFonts w:ascii="Palatino Linotype" w:eastAsia="Palatino Linotype" w:hAnsi="Palatino Linotype" w:cs="Palatino Linotype"/>
          <w:color w:val="000000"/>
        </w:rPr>
        <w:t>, mediante el cual se establecen los índices de Expedientes Únicos de Obra e instructivos de llenado, en las modalidades de Adjudicación Directa, Invitación Restringida y Licitación Pública, para la integración del expediente único de obra pública que para tal efecto integran las dependencias, entidades, ayuntamientos y tribunales administrativos que ejecuten obra pública, los expedientes de Adjudicación Directa, Invitación Restringida y Licitación Pública, se integran de la siguiente manera:</w:t>
      </w:r>
    </w:p>
    <w:p w:rsidR="00605057" w:rsidRPr="005A369B" w:rsidRDefault="00632CC6" w:rsidP="00605057">
      <w:pPr>
        <w:spacing w:before="240" w:after="240" w:line="360" w:lineRule="auto"/>
        <w:jc w:val="center"/>
        <w:rPr>
          <w:rFonts w:ascii="Palatino Linotype" w:eastAsia="Palatino Linotype" w:hAnsi="Palatino Linotype" w:cs="Palatino Linotype"/>
        </w:rPr>
      </w:pPr>
      <w:r>
        <w:rPr>
          <w:rFonts w:ascii="Palatino Linotype" w:eastAsia="Palatino Linotype" w:hAnsi="Palatino Linotype" w:cs="Palatino Linotype"/>
          <w:noProof/>
        </w:rPr>
        <w:lastRenderedPageBreak/>
        <mc:AlternateContent>
          <mc:Choice Requires="wps">
            <w:drawing>
              <wp:anchor distT="0" distB="0" distL="114300" distR="114300" simplePos="0" relativeHeight="251659264" behindDoc="0" locked="0" layoutInCell="1" allowOverlap="1">
                <wp:simplePos x="0" y="0"/>
                <wp:positionH relativeFrom="column">
                  <wp:posOffset>2856856</wp:posOffset>
                </wp:positionH>
                <wp:positionV relativeFrom="paragraph">
                  <wp:posOffset>3680128</wp:posOffset>
                </wp:positionV>
                <wp:extent cx="730155" cy="184245"/>
                <wp:effectExtent l="19050" t="19050" r="13335" b="44450"/>
                <wp:wrapNone/>
                <wp:docPr id="3" name="Flecha derecha 3"/>
                <wp:cNvGraphicFramePr/>
                <a:graphic xmlns:a="http://schemas.openxmlformats.org/drawingml/2006/main">
                  <a:graphicData uri="http://schemas.microsoft.com/office/word/2010/wordprocessingShape">
                    <wps:wsp>
                      <wps:cNvSpPr/>
                      <wps:spPr>
                        <a:xfrm rot="10800000">
                          <a:off x="0" y="0"/>
                          <a:ext cx="730155" cy="184245"/>
                        </a:xfrm>
                        <a:prstGeom prst="righ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A4E704"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echa derecha 3" o:spid="_x0000_s1026" type="#_x0000_t13" style="position:absolute;margin-left:224.95pt;margin-top:289.75pt;width:57.5pt;height:14.5pt;rotation:18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" adj="18875" fillcolor="red" strokecolor="red" strokeweight="1pt"/>
            </w:pict>
          </mc:Fallback>
        </mc:AlternateContent>
      </w:r>
      <w:r w:rsidR="00605057" w:rsidRPr="005A369B">
        <w:rPr>
          <w:rFonts w:ascii="Palatino Linotype" w:eastAsia="Palatino Linotype" w:hAnsi="Palatino Linotype" w:cs="Palatino Linotype"/>
          <w:noProof/>
        </w:rPr>
        <w:drawing>
          <wp:inline distT="0" distB="0" distL="0" distR="0" wp14:anchorId="0E9AC4EA" wp14:editId="62810B83">
            <wp:extent cx="3548551" cy="3986847"/>
            <wp:effectExtent l="0" t="0" r="0" b="0"/>
            <wp:docPr id="93955577"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8"/>
                    <a:srcRect b="23111"/>
                    <a:stretch>
                      <a:fillRect/>
                    </a:stretch>
                  </pic:blipFill>
                  <pic:spPr>
                    <a:xfrm>
                      <a:off x="0" y="0"/>
                      <a:ext cx="3548551" cy="3986847"/>
                    </a:xfrm>
                    <a:prstGeom prst="rect">
                      <a:avLst/>
                    </a:prstGeom>
                    <a:ln/>
                  </pic:spPr>
                </pic:pic>
              </a:graphicData>
            </a:graphic>
          </wp:inline>
        </w:drawing>
      </w:r>
    </w:p>
    <w:p w:rsidR="00605057" w:rsidRPr="005A369B" w:rsidRDefault="00605057" w:rsidP="00605057">
      <w:pPr>
        <w:spacing w:before="240" w:after="240" w:line="360" w:lineRule="auto"/>
        <w:jc w:val="center"/>
        <w:rPr>
          <w:rFonts w:ascii="Palatino Linotype" w:eastAsia="Palatino Linotype" w:hAnsi="Palatino Linotype" w:cs="Palatino Linotype"/>
        </w:rPr>
      </w:pPr>
      <w:r w:rsidRPr="005A369B">
        <w:rPr>
          <w:rFonts w:ascii="Palatino Linotype" w:eastAsia="Palatino Linotype" w:hAnsi="Palatino Linotype" w:cs="Palatino Linotype"/>
          <w:noProof/>
        </w:rPr>
        <w:lastRenderedPageBreak/>
        <w:drawing>
          <wp:inline distT="0" distB="0" distL="0" distR="0" wp14:anchorId="0BA39DE0" wp14:editId="1EEC4277">
            <wp:extent cx="3646281" cy="1096264"/>
            <wp:effectExtent l="0" t="0" r="0" b="0"/>
            <wp:docPr id="93955575"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8"/>
                    <a:srcRect t="76157" b="475"/>
                    <a:stretch>
                      <a:fillRect/>
                    </a:stretch>
                  </pic:blipFill>
                  <pic:spPr>
                    <a:xfrm>
                      <a:off x="0" y="0"/>
                      <a:ext cx="3646281" cy="1096264"/>
                    </a:xfrm>
                    <a:prstGeom prst="rect">
                      <a:avLst/>
                    </a:prstGeom>
                    <a:ln/>
                  </pic:spPr>
                </pic:pic>
              </a:graphicData>
            </a:graphic>
          </wp:inline>
        </w:drawing>
      </w:r>
      <w:r w:rsidRPr="005A369B">
        <w:rPr>
          <w:rFonts w:ascii="Palatino Linotype" w:eastAsia="Palatino Linotype" w:hAnsi="Palatino Linotype" w:cs="Palatino Linotype"/>
          <w:noProof/>
        </w:rPr>
        <w:drawing>
          <wp:inline distT="0" distB="0" distL="0" distR="0" wp14:anchorId="68BE8986" wp14:editId="70AEBFA8">
            <wp:extent cx="3610022" cy="1963495"/>
            <wp:effectExtent l="0" t="0" r="0" b="0"/>
            <wp:docPr id="9395557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a:srcRect/>
                    <a:stretch>
                      <a:fillRect/>
                    </a:stretch>
                  </pic:blipFill>
                  <pic:spPr>
                    <a:xfrm>
                      <a:off x="0" y="0"/>
                      <a:ext cx="3610022" cy="1963495"/>
                    </a:xfrm>
                    <a:prstGeom prst="rect">
                      <a:avLst/>
                    </a:prstGeom>
                    <a:ln/>
                  </pic:spPr>
                </pic:pic>
              </a:graphicData>
            </a:graphic>
          </wp:inline>
        </w:drawing>
      </w:r>
      <w:r w:rsidRPr="005A369B">
        <w:rPr>
          <w:rFonts w:ascii="Palatino Linotype" w:eastAsia="Palatino Linotype" w:hAnsi="Palatino Linotype" w:cs="Palatino Linotype"/>
          <w:noProof/>
        </w:rPr>
        <w:drawing>
          <wp:inline distT="0" distB="0" distL="0" distR="0" wp14:anchorId="7AFB7209" wp14:editId="1B52B397">
            <wp:extent cx="3619289" cy="1885632"/>
            <wp:effectExtent l="0" t="0" r="0" b="0"/>
            <wp:docPr id="93955578"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0"/>
                    <a:srcRect b="58360"/>
                    <a:stretch>
                      <a:fillRect/>
                    </a:stretch>
                  </pic:blipFill>
                  <pic:spPr>
                    <a:xfrm>
                      <a:off x="0" y="0"/>
                      <a:ext cx="3619289" cy="1885632"/>
                    </a:xfrm>
                    <a:prstGeom prst="rect">
                      <a:avLst/>
                    </a:prstGeom>
                    <a:ln/>
                  </pic:spPr>
                </pic:pic>
              </a:graphicData>
            </a:graphic>
          </wp:inline>
        </w:drawing>
      </w:r>
    </w:p>
    <w:p w:rsidR="00605057" w:rsidRPr="005A369B" w:rsidRDefault="00605057" w:rsidP="00605057">
      <w:pPr>
        <w:spacing w:before="240" w:after="240" w:line="360" w:lineRule="auto"/>
        <w:jc w:val="center"/>
        <w:rPr>
          <w:rFonts w:ascii="Palatino Linotype" w:eastAsia="Palatino Linotype" w:hAnsi="Palatino Linotype" w:cs="Palatino Linotype"/>
        </w:rPr>
      </w:pPr>
      <w:r w:rsidRPr="005A369B">
        <w:rPr>
          <w:rFonts w:ascii="Palatino Linotype" w:eastAsia="Palatino Linotype" w:hAnsi="Palatino Linotype" w:cs="Palatino Linotype"/>
          <w:noProof/>
        </w:rPr>
        <w:lastRenderedPageBreak/>
        <w:drawing>
          <wp:inline distT="0" distB="0" distL="0" distR="0" wp14:anchorId="4EC0661F" wp14:editId="461A8AEE">
            <wp:extent cx="3542817" cy="2645077"/>
            <wp:effectExtent l="0" t="0" r="0" b="0"/>
            <wp:docPr id="93955579"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0"/>
                    <a:srcRect t="41030" b="-702"/>
                    <a:stretch>
                      <a:fillRect/>
                    </a:stretch>
                  </pic:blipFill>
                  <pic:spPr>
                    <a:xfrm>
                      <a:off x="0" y="0"/>
                      <a:ext cx="3542817" cy="2645077"/>
                    </a:xfrm>
                    <a:prstGeom prst="rect">
                      <a:avLst/>
                    </a:prstGeom>
                    <a:ln/>
                  </pic:spPr>
                </pic:pic>
              </a:graphicData>
            </a:graphic>
          </wp:inline>
        </w:drawing>
      </w:r>
      <w:r w:rsidRPr="005A369B">
        <w:rPr>
          <w:rFonts w:ascii="Palatino Linotype" w:eastAsia="Palatino Linotype" w:hAnsi="Palatino Linotype" w:cs="Palatino Linotype"/>
          <w:noProof/>
        </w:rPr>
        <w:drawing>
          <wp:inline distT="0" distB="0" distL="0" distR="0" wp14:anchorId="035093DF" wp14:editId="45458975">
            <wp:extent cx="3532458" cy="2079939"/>
            <wp:effectExtent l="0" t="0" r="0" b="0"/>
            <wp:docPr id="93955580"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11"/>
                    <a:srcRect t="12348"/>
                    <a:stretch>
                      <a:fillRect/>
                    </a:stretch>
                  </pic:blipFill>
                  <pic:spPr>
                    <a:xfrm>
                      <a:off x="0" y="0"/>
                      <a:ext cx="3532458" cy="2079939"/>
                    </a:xfrm>
                    <a:prstGeom prst="rect">
                      <a:avLst/>
                    </a:prstGeom>
                    <a:ln/>
                  </pic:spPr>
                </pic:pic>
              </a:graphicData>
            </a:graphic>
          </wp:inline>
        </w:drawing>
      </w:r>
    </w:p>
    <w:p w:rsidR="00605057" w:rsidRPr="005A369B" w:rsidRDefault="00605057" w:rsidP="00605057">
      <w:pPr>
        <w:spacing w:before="240" w:after="240" w:line="360" w:lineRule="auto"/>
        <w:jc w:val="center"/>
        <w:rPr>
          <w:rFonts w:ascii="Palatino Linotype" w:eastAsia="Palatino Linotype" w:hAnsi="Palatino Linotype" w:cs="Palatino Linotype"/>
        </w:rPr>
      </w:pPr>
      <w:r w:rsidRPr="005A369B">
        <w:rPr>
          <w:rFonts w:ascii="Palatino Linotype" w:eastAsia="Palatino Linotype" w:hAnsi="Palatino Linotype" w:cs="Palatino Linotype"/>
          <w:noProof/>
        </w:rPr>
        <w:lastRenderedPageBreak/>
        <w:drawing>
          <wp:inline distT="0" distB="0" distL="0" distR="0" wp14:anchorId="17B7373C" wp14:editId="6ACEA839">
            <wp:extent cx="3646076" cy="2256211"/>
            <wp:effectExtent l="0" t="0" r="0" b="0"/>
            <wp:docPr id="93955581"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12"/>
                    <a:srcRect/>
                    <a:stretch>
                      <a:fillRect/>
                    </a:stretch>
                  </pic:blipFill>
                  <pic:spPr>
                    <a:xfrm>
                      <a:off x="0" y="0"/>
                      <a:ext cx="3646076" cy="2256211"/>
                    </a:xfrm>
                    <a:prstGeom prst="rect">
                      <a:avLst/>
                    </a:prstGeom>
                    <a:ln/>
                  </pic:spPr>
                </pic:pic>
              </a:graphicData>
            </a:graphic>
          </wp:inline>
        </w:drawing>
      </w:r>
      <w:r w:rsidRPr="005A369B">
        <w:rPr>
          <w:rFonts w:ascii="Palatino Linotype" w:eastAsia="Palatino Linotype" w:hAnsi="Palatino Linotype" w:cs="Palatino Linotype"/>
          <w:noProof/>
        </w:rPr>
        <w:drawing>
          <wp:inline distT="0" distB="0" distL="0" distR="0" wp14:anchorId="15189217" wp14:editId="6AA927BD">
            <wp:extent cx="3698548" cy="3183281"/>
            <wp:effectExtent l="0" t="0" r="0" b="0"/>
            <wp:docPr id="93955582"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3"/>
                    <a:srcRect t="-1" b="34968"/>
                    <a:stretch>
                      <a:fillRect/>
                    </a:stretch>
                  </pic:blipFill>
                  <pic:spPr>
                    <a:xfrm>
                      <a:off x="0" y="0"/>
                      <a:ext cx="3698548" cy="3183281"/>
                    </a:xfrm>
                    <a:prstGeom prst="rect">
                      <a:avLst/>
                    </a:prstGeom>
                    <a:ln/>
                  </pic:spPr>
                </pic:pic>
              </a:graphicData>
            </a:graphic>
          </wp:inline>
        </w:drawing>
      </w:r>
    </w:p>
    <w:p w:rsidR="00605057" w:rsidRPr="005A369B" w:rsidRDefault="00605057" w:rsidP="00605057">
      <w:pPr>
        <w:spacing w:before="240" w:after="240" w:line="360" w:lineRule="auto"/>
        <w:jc w:val="center"/>
        <w:rPr>
          <w:rFonts w:ascii="Palatino Linotype" w:eastAsia="Palatino Linotype" w:hAnsi="Palatino Linotype" w:cs="Palatino Linotype"/>
        </w:rPr>
      </w:pPr>
      <w:r w:rsidRPr="005A369B">
        <w:rPr>
          <w:rFonts w:ascii="Palatino Linotype" w:eastAsia="Palatino Linotype" w:hAnsi="Palatino Linotype" w:cs="Palatino Linotype"/>
          <w:noProof/>
        </w:rPr>
        <w:lastRenderedPageBreak/>
        <w:drawing>
          <wp:inline distT="0" distB="0" distL="0" distR="0" wp14:anchorId="76665E04" wp14:editId="5031AFEB">
            <wp:extent cx="3638767" cy="1697543"/>
            <wp:effectExtent l="0" t="0" r="0" b="0"/>
            <wp:docPr id="93955583"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3"/>
                    <a:srcRect t="64120" b="629"/>
                    <a:stretch>
                      <a:fillRect/>
                    </a:stretch>
                  </pic:blipFill>
                  <pic:spPr>
                    <a:xfrm>
                      <a:off x="0" y="0"/>
                      <a:ext cx="3638767" cy="1697543"/>
                    </a:xfrm>
                    <a:prstGeom prst="rect">
                      <a:avLst/>
                    </a:prstGeom>
                    <a:ln/>
                  </pic:spPr>
                </pic:pic>
              </a:graphicData>
            </a:graphic>
          </wp:inline>
        </w:drawing>
      </w:r>
    </w:p>
    <w:p w:rsidR="00605057" w:rsidRPr="006620F5" w:rsidRDefault="00605057" w:rsidP="0056322A">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b/>
        </w:rPr>
      </w:pPr>
      <w:r w:rsidRPr="005A369B">
        <w:rPr>
          <w:rFonts w:ascii="Palatino Linotype" w:eastAsia="Palatino Linotype" w:hAnsi="Palatino Linotype" w:cs="Palatino Linotype"/>
        </w:rPr>
        <w:t xml:space="preserve">De donde </w:t>
      </w:r>
      <w:r w:rsidRPr="005A369B">
        <w:rPr>
          <w:rFonts w:ascii="Palatino Linotype" w:eastAsia="Palatino Linotype" w:hAnsi="Palatino Linotype" w:cs="Palatino Linotype"/>
          <w:color w:val="000000"/>
        </w:rPr>
        <w:t>se</w:t>
      </w:r>
      <w:r w:rsidRPr="005A369B">
        <w:rPr>
          <w:rFonts w:ascii="Palatino Linotype" w:eastAsia="Palatino Linotype" w:hAnsi="Palatino Linotype" w:cs="Palatino Linotype"/>
        </w:rPr>
        <w:t xml:space="preserve"> advierte que los expedientes únicos de obra pública, en las modalidades de adjudicación directa, invitación restringida y licitación pública, incluyen diversos documentos, entre los que se encuentra </w:t>
      </w:r>
      <w:r w:rsidRPr="00632CC6">
        <w:rPr>
          <w:rFonts w:ascii="Palatino Linotype" w:eastAsia="Palatino Linotype" w:hAnsi="Palatino Linotype" w:cs="Palatino Linotype"/>
          <w:b/>
          <w:i/>
          <w:iCs/>
        </w:rPr>
        <w:t xml:space="preserve">el oficio de autorización de recursos y dictamen de procedencia; la evaluación de la propuesta; el contrato: las garantías de cumplimiento de </w:t>
      </w:r>
      <w:r w:rsidRPr="006620F5">
        <w:rPr>
          <w:rFonts w:ascii="Palatino Linotype" w:eastAsia="Palatino Linotype" w:hAnsi="Palatino Linotype" w:cs="Palatino Linotype"/>
          <w:b/>
          <w:i/>
          <w:iCs/>
        </w:rPr>
        <w:t>contrato; la bitácora de obra o servicios; el acta de recepción de los trabajos y el acta de entrega a la instancia encargada de su operación</w:t>
      </w:r>
      <w:r w:rsidR="00C669B3" w:rsidRPr="006620F5">
        <w:rPr>
          <w:rFonts w:ascii="Palatino Linotype" w:eastAsia="Palatino Linotype" w:hAnsi="Palatino Linotype" w:cs="Palatino Linotype"/>
          <w:b/>
          <w:bCs/>
        </w:rPr>
        <w:t xml:space="preserve">, </w:t>
      </w:r>
      <w:r w:rsidR="00C669B3" w:rsidRPr="006620F5">
        <w:rPr>
          <w:rFonts w:ascii="Palatino Linotype" w:eastAsia="Palatino Linotype" w:hAnsi="Palatino Linotype" w:cs="Palatino Linotype"/>
          <w:b/>
          <w:bCs/>
          <w:i/>
        </w:rPr>
        <w:t>así como convenios modificatorios.</w:t>
      </w:r>
    </w:p>
    <w:p w:rsidR="0056322A" w:rsidRPr="006620F5" w:rsidRDefault="0056322A" w:rsidP="0056322A">
      <w:pPr>
        <w:pBdr>
          <w:top w:val="nil"/>
          <w:left w:val="nil"/>
          <w:bottom w:val="nil"/>
          <w:right w:val="nil"/>
          <w:between w:val="nil"/>
        </w:pBdr>
        <w:spacing w:line="360" w:lineRule="auto"/>
        <w:jc w:val="both"/>
        <w:rPr>
          <w:rFonts w:ascii="Palatino Linotype" w:eastAsia="Palatino Linotype" w:hAnsi="Palatino Linotype" w:cs="Palatino Linotype"/>
        </w:rPr>
      </w:pPr>
    </w:p>
    <w:p w:rsidR="00D7203A" w:rsidRPr="006620F5" w:rsidRDefault="00061974" w:rsidP="00D7203A">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6620F5">
        <w:rPr>
          <w:rFonts w:ascii="Palatino Linotype" w:eastAsia="Palatino Linotype" w:hAnsi="Palatino Linotype" w:cs="Palatino Linotype"/>
          <w:color w:val="000000"/>
        </w:rPr>
        <w:t xml:space="preserve">De lo anterior, se determina que el </w:t>
      </w:r>
      <w:r w:rsidRPr="006620F5">
        <w:rPr>
          <w:rFonts w:ascii="Palatino Linotype" w:eastAsia="Palatino Linotype" w:hAnsi="Palatino Linotype" w:cs="Palatino Linotype"/>
          <w:b/>
          <w:color w:val="000000"/>
        </w:rPr>
        <w:t xml:space="preserve">SUJETO OBLIGADO </w:t>
      </w:r>
      <w:r w:rsidRPr="006620F5">
        <w:rPr>
          <w:rFonts w:ascii="Palatino Linotype" w:eastAsia="Palatino Linotype" w:hAnsi="Palatino Linotype" w:cs="Palatino Linotype"/>
          <w:color w:val="000000"/>
        </w:rPr>
        <w:t>debe de contar con los contratos que han sido firmados con empresas para la realización de la obra referida en la solicitud de información</w:t>
      </w:r>
      <w:r w:rsidR="00D7203A" w:rsidRPr="006620F5">
        <w:rPr>
          <w:rFonts w:ascii="Palatino Linotype" w:eastAsia="Palatino Linotype" w:hAnsi="Palatino Linotype" w:cs="Palatino Linotype"/>
          <w:color w:val="000000"/>
        </w:rPr>
        <w:t xml:space="preserve">, toda vez que hay hechos notorios de su realización, de acuerdo con lo siguiente. </w:t>
      </w:r>
    </w:p>
    <w:p w:rsidR="00D7203A" w:rsidRPr="006620F5" w:rsidRDefault="00D7203A" w:rsidP="00D7203A">
      <w:pPr>
        <w:pStyle w:val="Prrafodelista"/>
        <w:rPr>
          <w:rFonts w:ascii="Palatino Linotype" w:eastAsia="Palatino Linotype" w:hAnsi="Palatino Linotype" w:cs="Palatino Linotype"/>
          <w:color w:val="000000"/>
        </w:rPr>
      </w:pPr>
    </w:p>
    <w:p w:rsidR="00C669B3" w:rsidRPr="006620F5" w:rsidRDefault="00C669B3" w:rsidP="00C669B3">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6620F5">
        <w:rPr>
          <w:rFonts w:ascii="Palatino Linotype" w:eastAsia="Palatino Linotype" w:hAnsi="Palatino Linotype" w:cs="Palatino Linotype"/>
          <w:color w:val="000000"/>
        </w:rPr>
        <w:t xml:space="preserve">En esa línea y de los contratos que se hubieran firmado se tiene que también se pudieron haber </w:t>
      </w:r>
      <w:r w:rsidR="00BA5C44" w:rsidRPr="006620F5">
        <w:rPr>
          <w:rFonts w:ascii="Palatino Linotype" w:eastAsia="Palatino Linotype" w:hAnsi="Palatino Linotype" w:cs="Palatino Linotype"/>
          <w:color w:val="000000"/>
        </w:rPr>
        <w:t>firmado</w:t>
      </w:r>
      <w:r w:rsidRPr="006620F5">
        <w:rPr>
          <w:rFonts w:ascii="Palatino Linotype" w:eastAsia="Palatino Linotype" w:hAnsi="Palatino Linotype" w:cs="Palatino Linotype"/>
          <w:color w:val="000000"/>
        </w:rPr>
        <w:t xml:space="preserve"> convenios modificatorios, por lo que, de ser el caso que el </w:t>
      </w:r>
      <w:r w:rsidRPr="006620F5">
        <w:rPr>
          <w:rFonts w:ascii="Palatino Linotype" w:eastAsia="Palatino Linotype" w:hAnsi="Palatino Linotype" w:cs="Palatino Linotype"/>
          <w:b/>
          <w:color w:val="000000"/>
        </w:rPr>
        <w:t xml:space="preserve">SUJETO OBLIGADO </w:t>
      </w:r>
      <w:r w:rsidRPr="006620F5">
        <w:rPr>
          <w:rFonts w:ascii="Palatino Linotype" w:eastAsia="Palatino Linotype" w:hAnsi="Palatino Linotype" w:cs="Palatino Linotype"/>
          <w:color w:val="000000"/>
        </w:rPr>
        <w:t xml:space="preserve">cuente con dichos documentos en sus archivos, deberán de ser entregados el </w:t>
      </w:r>
      <w:r w:rsidRPr="006620F5">
        <w:rPr>
          <w:rFonts w:ascii="Palatino Linotype" w:eastAsia="Palatino Linotype" w:hAnsi="Palatino Linotype" w:cs="Palatino Linotype"/>
          <w:b/>
          <w:color w:val="000000"/>
        </w:rPr>
        <w:t xml:space="preserve">RECURRENTE </w:t>
      </w:r>
      <w:r w:rsidRPr="006620F5">
        <w:rPr>
          <w:rFonts w:ascii="Palatino Linotype" w:eastAsia="Palatino Linotype" w:hAnsi="Palatino Linotype" w:cs="Palatino Linotype"/>
          <w:color w:val="000000"/>
        </w:rPr>
        <w:t xml:space="preserve">para colmar su derecho de acceso a la información, sin embargo de ser el caso que no se hubieran firmado convenios modificatorios bastará con que se haga del </w:t>
      </w:r>
      <w:r w:rsidRPr="006620F5">
        <w:rPr>
          <w:rFonts w:ascii="Palatino Linotype" w:eastAsia="Palatino Linotype" w:hAnsi="Palatino Linotype" w:cs="Palatino Linotype"/>
          <w:color w:val="000000"/>
        </w:rPr>
        <w:lastRenderedPageBreak/>
        <w:t xml:space="preserve">conocimiento del </w:t>
      </w:r>
      <w:r w:rsidRPr="006620F5">
        <w:rPr>
          <w:rFonts w:ascii="Palatino Linotype" w:eastAsia="Palatino Linotype" w:hAnsi="Palatino Linotype" w:cs="Palatino Linotype"/>
          <w:b/>
          <w:color w:val="000000"/>
        </w:rPr>
        <w:t xml:space="preserve">RECURRENTE </w:t>
      </w:r>
      <w:r w:rsidRPr="006620F5">
        <w:rPr>
          <w:rFonts w:ascii="Palatino Linotype" w:eastAsia="Palatino Linotype" w:hAnsi="Palatino Linotype" w:cs="Palatino Linotype"/>
          <w:color w:val="000000"/>
        </w:rPr>
        <w:t xml:space="preserve">de conformidad con el artículo 19 párrafo segundo de la Ley de Transparencia y Acceso a la Información Pública del Estado de México y Municipios. </w:t>
      </w:r>
    </w:p>
    <w:p w:rsidR="00C669B3" w:rsidRPr="006620F5" w:rsidRDefault="00C669B3" w:rsidP="00C669B3">
      <w:pPr>
        <w:pStyle w:val="Prrafodelista"/>
        <w:rPr>
          <w:rFonts w:ascii="Palatino Linotype" w:eastAsia="Palatino Linotype" w:hAnsi="Palatino Linotype" w:cs="Palatino Linotype"/>
          <w:color w:val="000000"/>
        </w:rPr>
      </w:pPr>
    </w:p>
    <w:p w:rsidR="009722E8" w:rsidRPr="006620F5" w:rsidRDefault="009722E8" w:rsidP="00D7203A">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6620F5">
        <w:rPr>
          <w:rFonts w:ascii="Palatino Linotype" w:eastAsia="Palatino Linotype" w:hAnsi="Palatino Linotype" w:cs="Palatino Linotype"/>
          <w:color w:val="000000"/>
        </w:rPr>
        <w:t xml:space="preserve">Seguidamente, se debe de referir que pudiera ser el caso que se hubieran firmado contratos con empresas supervisoras de la realización de obra, situación por la cual, de ser el caso que se hubiera generado y administrado dicha información, el </w:t>
      </w:r>
      <w:r w:rsidRPr="006620F5">
        <w:rPr>
          <w:rFonts w:ascii="Palatino Linotype" w:eastAsia="Palatino Linotype" w:hAnsi="Palatino Linotype" w:cs="Palatino Linotype"/>
          <w:b/>
          <w:color w:val="000000"/>
        </w:rPr>
        <w:t xml:space="preserve">SUJETO OBLIGADO </w:t>
      </w:r>
      <w:r w:rsidRPr="006620F5">
        <w:rPr>
          <w:rFonts w:ascii="Palatino Linotype" w:eastAsia="Palatino Linotype" w:hAnsi="Palatino Linotype" w:cs="Palatino Linotype"/>
          <w:color w:val="000000"/>
        </w:rPr>
        <w:t xml:space="preserve">deberá de entregar dichos contratos, sin embargo, de ser el caso que no se hubieran firmado contratos con empresas supervisoras, bastará con que se haga del conocimiento del </w:t>
      </w:r>
      <w:r w:rsidRPr="006620F5">
        <w:rPr>
          <w:rFonts w:ascii="Palatino Linotype" w:eastAsia="Palatino Linotype" w:hAnsi="Palatino Linotype" w:cs="Palatino Linotype"/>
          <w:b/>
          <w:color w:val="000000"/>
        </w:rPr>
        <w:t xml:space="preserve">RECURRENTE </w:t>
      </w:r>
      <w:r w:rsidRPr="006620F5">
        <w:rPr>
          <w:rFonts w:ascii="Palatino Linotype" w:eastAsia="Palatino Linotype" w:hAnsi="Palatino Linotype" w:cs="Palatino Linotype"/>
          <w:color w:val="000000"/>
        </w:rPr>
        <w:t>de conformidad con el artículo 19 párrafo segundo de la Ley de Transparencia y Acceso a la Información Pública del Estado de México y Municipios.</w:t>
      </w:r>
    </w:p>
    <w:p w:rsidR="009722E8" w:rsidRDefault="009722E8" w:rsidP="009722E8">
      <w:pPr>
        <w:pStyle w:val="Prrafodelista"/>
        <w:rPr>
          <w:rFonts w:ascii="Palatino Linotype" w:eastAsia="Palatino Linotype" w:hAnsi="Palatino Linotype" w:cs="Palatino Linotype"/>
          <w:color w:val="000000"/>
        </w:rPr>
      </w:pPr>
    </w:p>
    <w:p w:rsidR="00D7203A" w:rsidRPr="005A369B" w:rsidRDefault="00D7203A" w:rsidP="00D7203A">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En consecuencia, </w:t>
      </w:r>
      <w:r w:rsidRPr="005A369B">
        <w:rPr>
          <w:rFonts w:ascii="Palatino Linotype" w:eastAsia="Palatino Linotype" w:hAnsi="Palatino Linotype" w:cs="Palatino Linotype"/>
          <w:color w:val="000000"/>
        </w:rPr>
        <w:t xml:space="preserve">es importante mencionar que de la consulta realizada por este Organismo Garante en diversas fuentes de información, se localizaron diversos indicios relacionados con la construcción de un puente vehicular de conexión a la Autopista México-Querétaro, como se desprende del </w:t>
      </w:r>
      <w:r w:rsidRPr="005A369B">
        <w:rPr>
          <w:rFonts w:ascii="Palatino Linotype" w:eastAsia="Palatino Linotype" w:hAnsi="Palatino Linotype" w:cs="Palatino Linotype"/>
          <w:b/>
          <w:bCs/>
          <w:color w:val="000000"/>
          <w:u w:val="single"/>
        </w:rPr>
        <w:t>Plan de Desarrollo Municipal de Tepotzotlán 2022-2024</w:t>
      </w:r>
      <w:r w:rsidRPr="005A369B">
        <w:rPr>
          <w:rFonts w:ascii="Palatino Linotype" w:eastAsia="Palatino Linotype" w:hAnsi="Palatino Linotype" w:cs="Palatino Linotype"/>
          <w:color w:val="000000"/>
        </w:rPr>
        <w:t>:</w:t>
      </w:r>
    </w:p>
    <w:p w:rsidR="00D7203A" w:rsidRPr="005A369B" w:rsidRDefault="00D7203A" w:rsidP="00D7203A">
      <w:pPr>
        <w:spacing w:before="240" w:after="240" w:line="360" w:lineRule="auto"/>
        <w:jc w:val="both"/>
        <w:rPr>
          <w:rFonts w:ascii="Palatino Linotype" w:eastAsia="Palatino Linotype" w:hAnsi="Palatino Linotype" w:cs="Palatino Linotype"/>
        </w:rPr>
      </w:pPr>
      <w:r w:rsidRPr="005A369B">
        <w:rPr>
          <w:rFonts w:ascii="Palatino Linotype" w:eastAsia="Palatino Linotype" w:hAnsi="Palatino Linotype" w:cs="Palatino Linotype"/>
          <w:noProof/>
        </w:rPr>
        <w:drawing>
          <wp:inline distT="0" distB="0" distL="0" distR="0" wp14:anchorId="7C645E65" wp14:editId="3186478C">
            <wp:extent cx="5612130" cy="1198880"/>
            <wp:effectExtent l="0" t="0" r="0" b="0"/>
            <wp:docPr id="93955585"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14"/>
                    <a:srcRect/>
                    <a:stretch>
                      <a:fillRect/>
                    </a:stretch>
                  </pic:blipFill>
                  <pic:spPr>
                    <a:xfrm>
                      <a:off x="0" y="0"/>
                      <a:ext cx="5612130" cy="1198880"/>
                    </a:xfrm>
                    <a:prstGeom prst="rect">
                      <a:avLst/>
                    </a:prstGeom>
                    <a:ln/>
                  </pic:spPr>
                </pic:pic>
              </a:graphicData>
            </a:graphic>
          </wp:inline>
        </w:drawing>
      </w:r>
    </w:p>
    <w:p w:rsidR="00D7203A" w:rsidRPr="005A369B" w:rsidRDefault="00D7203A" w:rsidP="00D7203A">
      <w:pPr>
        <w:spacing w:before="240" w:after="240" w:line="360" w:lineRule="auto"/>
        <w:jc w:val="both"/>
        <w:rPr>
          <w:rFonts w:ascii="Palatino Linotype" w:eastAsia="Palatino Linotype" w:hAnsi="Palatino Linotype" w:cs="Palatino Linotype"/>
        </w:rPr>
      </w:pPr>
      <w:r w:rsidRPr="005A369B">
        <w:rPr>
          <w:rFonts w:ascii="Palatino Linotype" w:eastAsia="Palatino Linotype" w:hAnsi="Palatino Linotype" w:cs="Palatino Linotype"/>
          <w:noProof/>
        </w:rPr>
        <w:drawing>
          <wp:inline distT="0" distB="0" distL="0" distR="0" wp14:anchorId="07738D45" wp14:editId="76FF4783">
            <wp:extent cx="5612130" cy="1085850"/>
            <wp:effectExtent l="0" t="0" r="0" b="0"/>
            <wp:docPr id="9395556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5"/>
                    <a:srcRect/>
                    <a:stretch>
                      <a:fillRect/>
                    </a:stretch>
                  </pic:blipFill>
                  <pic:spPr>
                    <a:xfrm>
                      <a:off x="0" y="0"/>
                      <a:ext cx="5612130" cy="1085850"/>
                    </a:xfrm>
                    <a:prstGeom prst="rect">
                      <a:avLst/>
                    </a:prstGeom>
                    <a:ln/>
                  </pic:spPr>
                </pic:pic>
              </a:graphicData>
            </a:graphic>
          </wp:inline>
        </w:drawing>
      </w:r>
    </w:p>
    <w:p w:rsidR="00D7203A" w:rsidRPr="005A369B" w:rsidRDefault="00D7203A" w:rsidP="00D7203A">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5A369B">
        <w:rPr>
          <w:rFonts w:ascii="Palatino Linotype" w:eastAsia="Palatino Linotype" w:hAnsi="Palatino Linotype" w:cs="Palatino Linotype"/>
        </w:rPr>
        <w:lastRenderedPageBreak/>
        <w:t xml:space="preserve">Así </w:t>
      </w:r>
      <w:r w:rsidRPr="005A369B">
        <w:rPr>
          <w:rFonts w:ascii="Palatino Linotype" w:eastAsia="Palatino Linotype" w:hAnsi="Palatino Linotype" w:cs="Palatino Linotype"/>
          <w:color w:val="000000"/>
        </w:rPr>
        <w:t>también</w:t>
      </w:r>
      <w:r w:rsidRPr="005A369B">
        <w:rPr>
          <w:rFonts w:ascii="Palatino Linotype" w:eastAsia="Palatino Linotype" w:hAnsi="Palatino Linotype" w:cs="Palatino Linotype"/>
        </w:rPr>
        <w:t xml:space="preserve">, se localizó una nota periodística publicada en la dirección electrónica </w:t>
      </w:r>
      <w:hyperlink r:id="rId16">
        <w:r w:rsidRPr="005A369B">
          <w:rPr>
            <w:rFonts w:ascii="Palatino Linotype" w:eastAsia="Palatino Linotype" w:hAnsi="Palatino Linotype" w:cs="Palatino Linotype"/>
            <w:color w:val="0563C1"/>
            <w:u w:val="single"/>
          </w:rPr>
          <w:t>https://www.infobae.com/mexico/2025/06/19/puente-de-mas-de-400-millones-de-pesos-en-la-autopista-mexico-queretaro-no-cuenta-con-permisos-de-la-sict/</w:t>
        </w:r>
      </w:hyperlink>
      <w:r w:rsidRPr="005A369B">
        <w:rPr>
          <w:rFonts w:ascii="Palatino Linotype" w:eastAsia="Palatino Linotype" w:hAnsi="Palatino Linotype" w:cs="Palatino Linotype"/>
          <w:color w:val="000000"/>
          <w:u w:val="single"/>
        </w:rPr>
        <w:t xml:space="preserve"> </w:t>
      </w:r>
      <w:r w:rsidRPr="005A369B">
        <w:rPr>
          <w:rFonts w:ascii="Palatino Linotype" w:eastAsia="Palatino Linotype" w:hAnsi="Palatino Linotype" w:cs="Palatino Linotype"/>
          <w:u w:val="single"/>
          <w:vertAlign w:val="superscript"/>
        </w:rPr>
        <w:footnoteReference w:id="10"/>
      </w:r>
      <w:r w:rsidRPr="005A369B">
        <w:rPr>
          <w:rFonts w:ascii="Palatino Linotype" w:eastAsia="Palatino Linotype" w:hAnsi="Palatino Linotype" w:cs="Palatino Linotype"/>
        </w:rPr>
        <w:t xml:space="preserve"> donde se refiere a la obra en estudio como se aprecia de la captura de pantalla de la misma:</w:t>
      </w:r>
    </w:p>
    <w:p w:rsidR="00D7203A" w:rsidRDefault="00D7203A" w:rsidP="00D7203A">
      <w:pPr>
        <w:spacing w:before="240" w:after="240" w:line="360" w:lineRule="auto"/>
        <w:jc w:val="center"/>
        <w:rPr>
          <w:rFonts w:ascii="Palatino Linotype" w:hAnsi="Palatino Linotype"/>
        </w:rPr>
      </w:pPr>
      <w:r w:rsidRPr="005A369B">
        <w:rPr>
          <w:rFonts w:ascii="Palatino Linotype" w:hAnsi="Palatino Linotype"/>
          <w:noProof/>
        </w:rPr>
        <w:drawing>
          <wp:inline distT="0" distB="0" distL="0" distR="0" wp14:anchorId="3A675650" wp14:editId="2967204B">
            <wp:extent cx="3213469" cy="4619767"/>
            <wp:effectExtent l="0" t="0" r="6350" b="0"/>
            <wp:docPr id="93955564"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7"/>
                    <a:srcRect/>
                    <a:stretch>
                      <a:fillRect/>
                    </a:stretch>
                  </pic:blipFill>
                  <pic:spPr>
                    <a:xfrm>
                      <a:off x="0" y="0"/>
                      <a:ext cx="3230819" cy="4644710"/>
                    </a:xfrm>
                    <a:prstGeom prst="rect">
                      <a:avLst/>
                    </a:prstGeom>
                    <a:ln/>
                  </pic:spPr>
                </pic:pic>
              </a:graphicData>
            </a:graphic>
          </wp:inline>
        </w:drawing>
      </w:r>
    </w:p>
    <w:p w:rsidR="006312CC" w:rsidRPr="005A369B" w:rsidRDefault="006312CC" w:rsidP="00D7203A">
      <w:pPr>
        <w:spacing w:before="240" w:after="240" w:line="360" w:lineRule="auto"/>
        <w:jc w:val="center"/>
        <w:rPr>
          <w:rFonts w:ascii="Palatino Linotype" w:hAnsi="Palatino Linotype"/>
        </w:rPr>
      </w:pPr>
    </w:p>
    <w:p w:rsidR="00D7203A" w:rsidRPr="005A369B" w:rsidRDefault="00D7203A" w:rsidP="00D7203A">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5A369B">
        <w:rPr>
          <w:rFonts w:ascii="Palatino Linotype" w:eastAsia="Palatino Linotype" w:hAnsi="Palatino Linotype" w:cs="Palatino Linotype"/>
          <w:color w:val="000000"/>
        </w:rPr>
        <w:lastRenderedPageBreak/>
        <w:t>De lo anterior es aplicable lo siguiente:</w:t>
      </w:r>
    </w:p>
    <w:p w:rsidR="00D7203A" w:rsidRPr="005A369B" w:rsidRDefault="00D7203A" w:rsidP="00D7203A">
      <w:pPr>
        <w:spacing w:before="240" w:after="240"/>
        <w:ind w:left="1134" w:right="1134"/>
        <w:jc w:val="both"/>
        <w:rPr>
          <w:rFonts w:ascii="Palatino Linotype" w:eastAsia="Palatino Linotype" w:hAnsi="Palatino Linotype" w:cs="Palatino Linotype"/>
          <w:i/>
          <w:iCs/>
        </w:rPr>
      </w:pPr>
      <w:r w:rsidRPr="005A369B">
        <w:rPr>
          <w:rFonts w:ascii="Palatino Linotype" w:eastAsia="Palatino Linotype" w:hAnsi="Palatino Linotype" w:cs="Palatino Linotype"/>
          <w:i/>
          <w:iCs/>
        </w:rPr>
        <w:t>”</w:t>
      </w:r>
      <w:r w:rsidRPr="005A369B">
        <w:rPr>
          <w:rFonts w:ascii="Palatino Linotype" w:eastAsia="Palatino Linotype" w:hAnsi="Palatino Linotype" w:cs="Palatino Linotype"/>
          <w:b/>
          <w:bCs/>
          <w:i/>
          <w:iCs/>
        </w:rPr>
        <w:t>HECHOS NOTORIOS. CONCEPTOS GENERAL Y JURÍDICO</w:t>
      </w:r>
    </w:p>
    <w:p w:rsidR="00D7203A" w:rsidRPr="005A369B" w:rsidRDefault="00D7203A" w:rsidP="00D7203A">
      <w:pPr>
        <w:spacing w:before="240" w:after="240"/>
        <w:ind w:left="1134" w:right="1134"/>
        <w:jc w:val="both"/>
        <w:rPr>
          <w:rFonts w:ascii="Palatino Linotype" w:eastAsia="Palatino Linotype" w:hAnsi="Palatino Linotype" w:cs="Palatino Linotype"/>
          <w:i/>
          <w:iCs/>
        </w:rPr>
      </w:pPr>
      <w:r w:rsidRPr="005A369B">
        <w:rPr>
          <w:rFonts w:ascii="Palatino Linotype" w:eastAsia="Palatino Linotype" w:hAnsi="Palatino Linotype" w:cs="Palatino Linotype"/>
          <w:i/>
          <w:iCs/>
        </w:rPr>
        <w:t>Conforme al artículo 88 del Código Federal de Procedimientos Civiles los tribunales pueden invocar hechos notorios aunque no hayan sido alegados ni probados por las partes. Por hechos notorios deben entenderse, en general, aquellos que por el conocimiento humano se consideran ciertos e indiscutibles, ya sea que pertenezcan a la historia, a la ciencia, a la naturaleza, a las vicisitudes de la vida pública actual o a circunstancias comúnmente conocidas en un determinado lugar, de modo que toda persona de ese medio esté en condiciones de saberlo; y desde el punto de vista jurídico, hecho notorio es cualquier acontecimiento de dominio público conocido por todos o casi todos los miembros de un círculo social en el momento en que va a pronunciarse la decisión judicial, respecto del cual no hay duda ni discusión; de manera que al ser notorio la ley exime de su prueba, por ser del conocimiento público en el medio social donde ocurrió o donde se tramita el procedimiento.</w:t>
      </w:r>
    </w:p>
    <w:p w:rsidR="00D7203A" w:rsidRPr="005A369B" w:rsidRDefault="00D7203A" w:rsidP="00D7203A">
      <w:pPr>
        <w:spacing w:before="240" w:after="240"/>
        <w:ind w:left="1134" w:right="1134"/>
        <w:jc w:val="both"/>
        <w:rPr>
          <w:rFonts w:ascii="Palatino Linotype" w:eastAsia="Palatino Linotype" w:hAnsi="Palatino Linotype" w:cs="Palatino Linotype"/>
          <w:i/>
          <w:iCs/>
        </w:rPr>
      </w:pPr>
      <w:r w:rsidRPr="005A369B">
        <w:rPr>
          <w:rFonts w:ascii="Palatino Linotype" w:eastAsia="Palatino Linotype" w:hAnsi="Palatino Linotype" w:cs="Palatino Linotype"/>
          <w:i/>
          <w:iCs/>
        </w:rPr>
        <w:t>Controversia constitucional 24/2005. Cámara de Diputados del Congreso de la Unión. 9 de marzo de 2006. Once votos. Ponente: José Ramón Cossío Díaz. Secretarios: Raúl Manuel Mejía Garza y Laura Patricia Rojas Zamudio.</w:t>
      </w:r>
    </w:p>
    <w:p w:rsidR="00D7203A" w:rsidRPr="005A369B" w:rsidRDefault="00D7203A" w:rsidP="00D7203A">
      <w:pPr>
        <w:spacing w:before="240" w:after="240"/>
        <w:ind w:left="1134" w:right="1134"/>
        <w:jc w:val="both"/>
        <w:rPr>
          <w:rFonts w:ascii="Palatino Linotype" w:eastAsia="Palatino Linotype" w:hAnsi="Palatino Linotype" w:cs="Palatino Linotype"/>
          <w:i/>
          <w:iCs/>
        </w:rPr>
      </w:pPr>
      <w:r w:rsidRPr="005A369B">
        <w:rPr>
          <w:rFonts w:ascii="Palatino Linotype" w:eastAsia="Palatino Linotype" w:hAnsi="Palatino Linotype" w:cs="Palatino Linotype"/>
          <w:i/>
          <w:iCs/>
        </w:rPr>
        <w:t>El Tribunal Pleno, el dieciséis de mayo en curso, aprobó, con el número 74/2006, la tesis jurisprudencial que antecede. México, Distrito Federal, a dieciséis de mayo de dos mil seis.</w:t>
      </w:r>
    </w:p>
    <w:p w:rsidR="00D7203A" w:rsidRPr="005A369B" w:rsidRDefault="00D7203A" w:rsidP="00D7203A">
      <w:pPr>
        <w:spacing w:before="240" w:after="240"/>
        <w:ind w:left="1134" w:right="1134"/>
        <w:jc w:val="both"/>
        <w:rPr>
          <w:rFonts w:ascii="Palatino Linotype" w:eastAsia="Palatino Linotype" w:hAnsi="Palatino Linotype" w:cs="Palatino Linotype"/>
          <w:i/>
          <w:iCs/>
        </w:rPr>
      </w:pPr>
      <w:r w:rsidRPr="005A369B">
        <w:rPr>
          <w:rFonts w:ascii="Palatino Linotype" w:eastAsia="Palatino Linotype" w:hAnsi="Palatino Linotype" w:cs="Palatino Linotype"/>
          <w:i/>
          <w:iCs/>
        </w:rPr>
        <w:t>Nota: Esta tesis fue objeto de la denuncia relativa a la contradicción de tesis 91/2014, desechada por notoriamente improcedente, mediante acuerdo de 24 de marzo de 2014.”</w:t>
      </w:r>
    </w:p>
    <w:p w:rsidR="00D7203A" w:rsidRPr="005A369B" w:rsidRDefault="00D7203A" w:rsidP="00D7203A">
      <w:pPr>
        <w:spacing w:before="240" w:after="240"/>
        <w:ind w:left="1134" w:right="1134"/>
        <w:jc w:val="both"/>
        <w:rPr>
          <w:rFonts w:ascii="Palatino Linotype" w:eastAsia="Palatino Linotype" w:hAnsi="Palatino Linotype" w:cs="Palatino Linotype"/>
          <w:i/>
          <w:iCs/>
        </w:rPr>
      </w:pPr>
      <w:r w:rsidRPr="005A369B">
        <w:rPr>
          <w:rFonts w:ascii="Palatino Linotype" w:eastAsia="Palatino Linotype" w:hAnsi="Palatino Linotype" w:cs="Palatino Linotype"/>
          <w:b/>
          <w:bCs/>
          <w:i/>
          <w:iCs/>
        </w:rPr>
        <w:t>PÁGINAS WEB O ELECTRÓNICAS. SU CONTENIDO ES UN HECHO NOTORIO Y SUSCEPTIBLE DE SER VALORADO EN UNA DECISIÓN JUDICIAL</w:t>
      </w:r>
      <w:r w:rsidRPr="005A369B">
        <w:rPr>
          <w:rFonts w:ascii="Palatino Linotype" w:eastAsia="Palatino Linotype" w:hAnsi="Palatino Linotype" w:cs="Palatino Linotype"/>
          <w:i/>
          <w:iCs/>
        </w:rPr>
        <w:t xml:space="preserve">. Los datos publicados en documentos o páginas situados en redes informáticas constituyen un hecho notorio por formar parte del conocimiento público a través de tales medios al momento en que se dicta una resolución judicial, de conformidad con el artículo 88 del Código Federal </w:t>
      </w:r>
      <w:r w:rsidRPr="005A369B">
        <w:rPr>
          <w:rFonts w:ascii="Palatino Linotype" w:eastAsia="Palatino Linotype" w:hAnsi="Palatino Linotype" w:cs="Palatino Linotype"/>
          <w:i/>
          <w:iCs/>
        </w:rPr>
        <w:lastRenderedPageBreak/>
        <w:t xml:space="preserve">de Procedimientos Civiles. El acceso al uso de Internet para buscar información sobre la existencia de personas morales, establecimientos mercantiles, domicilios y en general cualquier dato publicado en redes informáticas, forma parte de la cultura normal de sectores específicos de la sociedad dependiendo del tipo de información de que se trate. De ahí que, si bien no es posible afirmar que esa información se encuentra al alcance de todos los sectores de la sociedad, lo cierto es que sí es posible determinar si por el tipo de datos un hecho forma parte de la cultura normal de un sector de la sociedad y pueda ser considerado como notorio por el juzgador y, consecuentemente, valorado en una decisión judicial, por tratarse de un dato u opinión común indiscutible, no por el número de personas que conocen ese hecho, sino por la notoriedad, accesibilidad, aceptación e imparcialidad de este conocimiento. Por tanto, el contenido de una página de Internet que refleja hechos propios de una de las partes en cualquier juicio, puede ser tomado como prueba plena, a menos que haya una en contrario que no fue creada por orden del interesado, ya que se le reputará autor y podrá perjudicarle lo que ofrezca en sus términos. </w:t>
      </w:r>
    </w:p>
    <w:p w:rsidR="00D7203A" w:rsidRPr="00D7203A" w:rsidRDefault="00D7203A" w:rsidP="00D7203A">
      <w:pPr>
        <w:spacing w:before="240" w:after="240"/>
        <w:ind w:left="1134" w:right="1134"/>
        <w:jc w:val="both"/>
        <w:rPr>
          <w:rFonts w:ascii="Palatino Linotype" w:eastAsia="Palatino Linotype" w:hAnsi="Palatino Linotype" w:cs="Palatino Linotype"/>
          <w:i/>
          <w:iCs/>
        </w:rPr>
      </w:pPr>
      <w:r w:rsidRPr="005A369B">
        <w:rPr>
          <w:rFonts w:ascii="Palatino Linotype" w:eastAsia="Palatino Linotype" w:hAnsi="Palatino Linotype" w:cs="Palatino Linotype"/>
          <w:i/>
          <w:iCs/>
        </w:rPr>
        <w:t>TERCER TRIBUNAL COLEGIADO EN MATERIA CIVIL DEL PRIMER CIRCUITO. Amparo en revisión 365/2012. Mardygras, S.A. de C.V. 7 de diciembre de 2012. Unanimidad de votos. Ponente: Neófito López Ramos. Secre</w:t>
      </w:r>
      <w:r>
        <w:rPr>
          <w:rFonts w:ascii="Palatino Linotype" w:eastAsia="Palatino Linotype" w:hAnsi="Palatino Linotype" w:cs="Palatino Linotype"/>
          <w:i/>
          <w:iCs/>
        </w:rPr>
        <w:t>taria: Ana Lilia Osorno Arroyo.</w:t>
      </w:r>
    </w:p>
    <w:p w:rsidR="00061974" w:rsidRDefault="00061974" w:rsidP="00061974">
      <w:pPr>
        <w:pStyle w:val="Prrafodelista"/>
        <w:rPr>
          <w:rFonts w:ascii="Palatino Linotype" w:eastAsia="Palatino Linotype" w:hAnsi="Palatino Linotype" w:cs="Palatino Linotype"/>
          <w:color w:val="000000"/>
        </w:rPr>
      </w:pPr>
    </w:p>
    <w:p w:rsidR="00605057" w:rsidRPr="005A369B" w:rsidRDefault="00D7203A" w:rsidP="0056322A">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Seguidamente</w:t>
      </w:r>
      <w:r w:rsidR="00605057" w:rsidRPr="005A369B">
        <w:rPr>
          <w:rFonts w:ascii="Palatino Linotype" w:eastAsia="Palatino Linotype" w:hAnsi="Palatino Linotype" w:cs="Palatino Linotype"/>
          <w:color w:val="000000"/>
        </w:rPr>
        <w:t>, no debe perderse de vista que el artículo 92, fracción XIX de la Ley de Transparencia y Acceso a la Información Pública del Estado de México y Municipios, , los Sujetos Obligados deben poner a disposición del público de manera constante y actualizada, de forma sencilla, precisa y entendible, en los respectivos medios electrónicos, información relativa a los procesos y resultados sobre procedimientos de adjudicación directa, invitación restringida, y licitación de cualquier naturaleza, incluyendo la versión pública del expediente respectivo y de los contratos celebrados, por tratarse de una obligación de transparencia:</w:t>
      </w:r>
    </w:p>
    <w:p w:rsidR="00605057" w:rsidRPr="005A369B" w:rsidRDefault="00605057" w:rsidP="00605057">
      <w:pPr>
        <w:ind w:left="1134" w:right="1134"/>
        <w:jc w:val="both"/>
        <w:rPr>
          <w:rFonts w:ascii="Palatino Linotype" w:eastAsia="Palatino Linotype" w:hAnsi="Palatino Linotype" w:cs="Palatino Linotype"/>
          <w:i/>
          <w:iCs/>
        </w:rPr>
      </w:pPr>
      <w:r w:rsidRPr="005A369B">
        <w:rPr>
          <w:rFonts w:ascii="Palatino Linotype" w:eastAsia="Palatino Linotype" w:hAnsi="Palatino Linotype" w:cs="Palatino Linotype"/>
          <w:i/>
          <w:iCs/>
        </w:rPr>
        <w:t>“</w:t>
      </w:r>
      <w:r w:rsidRPr="005A369B">
        <w:rPr>
          <w:rFonts w:ascii="Palatino Linotype" w:eastAsia="Palatino Linotype" w:hAnsi="Palatino Linotype" w:cs="Palatino Linotype"/>
          <w:b/>
          <w:bCs/>
          <w:i/>
          <w:iCs/>
        </w:rPr>
        <w:t>Artículo 92</w:t>
      </w:r>
      <w:r w:rsidRPr="005A369B">
        <w:rPr>
          <w:rFonts w:ascii="Palatino Linotype" w:eastAsia="Palatino Linotype" w:hAnsi="Palatino Linotype" w:cs="Palatino Linotype"/>
          <w:i/>
          <w:iCs/>
        </w:rPr>
        <w:t xml:space="preserve">. Los sujetos obligados deberán poner a disposición del público de manera permanente y actualizada de forma sencilla, precisa y entendible, en los </w:t>
      </w:r>
      <w:r w:rsidRPr="005A369B">
        <w:rPr>
          <w:rFonts w:ascii="Palatino Linotype" w:eastAsia="Palatino Linotype" w:hAnsi="Palatino Linotype" w:cs="Palatino Linotype"/>
          <w:i/>
          <w:iCs/>
        </w:rPr>
        <w:lastRenderedPageBreak/>
        <w:t>respectivos medios electrónicos, de acuerdo con sus facultades, atribuciones, funciones u objeto social, según corresponda, la información, por lo menos, de los temas, documentos y políticas que a continuación se señalan:</w:t>
      </w:r>
    </w:p>
    <w:p w:rsidR="00605057" w:rsidRPr="005A369B" w:rsidRDefault="00605057" w:rsidP="00605057">
      <w:pPr>
        <w:tabs>
          <w:tab w:val="left" w:pos="426"/>
        </w:tabs>
        <w:spacing w:before="120" w:after="120"/>
        <w:ind w:left="1134" w:right="1134"/>
        <w:jc w:val="both"/>
        <w:rPr>
          <w:rFonts w:ascii="Palatino Linotype" w:eastAsia="Palatino Linotype" w:hAnsi="Palatino Linotype" w:cs="Palatino Linotype"/>
          <w:i/>
          <w:iCs/>
        </w:rPr>
      </w:pPr>
      <w:r w:rsidRPr="005A369B">
        <w:rPr>
          <w:rFonts w:ascii="Palatino Linotype" w:eastAsia="Palatino Linotype" w:hAnsi="Palatino Linotype" w:cs="Palatino Linotype"/>
          <w:i/>
          <w:iCs/>
        </w:rPr>
        <w:t>(…)</w:t>
      </w:r>
    </w:p>
    <w:p w:rsidR="00605057" w:rsidRPr="005A369B" w:rsidRDefault="00605057" w:rsidP="00605057">
      <w:pPr>
        <w:tabs>
          <w:tab w:val="left" w:pos="426"/>
        </w:tabs>
        <w:spacing w:before="120" w:after="120"/>
        <w:ind w:left="1134" w:right="1134"/>
        <w:jc w:val="both"/>
        <w:rPr>
          <w:rFonts w:ascii="Palatino Linotype" w:eastAsia="Palatino Linotype" w:hAnsi="Palatino Linotype" w:cs="Palatino Linotype"/>
          <w:i/>
          <w:iCs/>
        </w:rPr>
      </w:pPr>
      <w:r w:rsidRPr="005A369B">
        <w:rPr>
          <w:rFonts w:ascii="Palatino Linotype" w:eastAsia="Palatino Linotype" w:hAnsi="Palatino Linotype" w:cs="Palatino Linotype"/>
          <w:b/>
          <w:bCs/>
          <w:i/>
          <w:iCs/>
        </w:rPr>
        <w:t>XXIX.</w:t>
      </w:r>
      <w:r w:rsidRPr="005A369B">
        <w:rPr>
          <w:rFonts w:ascii="Palatino Linotype" w:eastAsia="Palatino Linotype" w:hAnsi="Palatino Linotype" w:cs="Palatino Linotype"/>
          <w:i/>
          <w:iCs/>
        </w:rPr>
        <w:t xml:space="preserve"> La </w:t>
      </w:r>
      <w:r w:rsidRPr="005A369B">
        <w:rPr>
          <w:rFonts w:ascii="Palatino Linotype" w:eastAsia="Palatino Linotype" w:hAnsi="Palatino Linotype" w:cs="Palatino Linotype"/>
          <w:b/>
          <w:bCs/>
          <w:i/>
          <w:iCs/>
        </w:rPr>
        <w:t xml:space="preserve">información sobre los procesos y resultados </w:t>
      </w:r>
      <w:r w:rsidRPr="005A369B">
        <w:rPr>
          <w:rFonts w:ascii="Palatino Linotype" w:eastAsia="Palatino Linotype" w:hAnsi="Palatino Linotype" w:cs="Palatino Linotype"/>
          <w:b/>
          <w:bCs/>
          <w:i/>
          <w:iCs/>
          <w:u w:val="single"/>
        </w:rPr>
        <w:t>sobre procedimientos de adjudicación directa, invitación restringida y licitación de cualquier naturaleza</w:t>
      </w:r>
      <w:r w:rsidRPr="005A369B">
        <w:rPr>
          <w:rFonts w:ascii="Palatino Linotype" w:eastAsia="Palatino Linotype" w:hAnsi="Palatino Linotype" w:cs="Palatino Linotype"/>
          <w:i/>
          <w:iCs/>
          <w:u w:val="single"/>
        </w:rPr>
        <w:t xml:space="preserve">, </w:t>
      </w:r>
      <w:r w:rsidRPr="005A369B">
        <w:rPr>
          <w:rFonts w:ascii="Palatino Linotype" w:eastAsia="Palatino Linotype" w:hAnsi="Palatino Linotype" w:cs="Palatino Linotype"/>
          <w:b/>
          <w:bCs/>
          <w:i/>
          <w:iCs/>
        </w:rPr>
        <w:t>incluyendo la versión pública</w:t>
      </w:r>
      <w:r w:rsidRPr="005A369B">
        <w:rPr>
          <w:rFonts w:ascii="Palatino Linotype" w:eastAsia="Palatino Linotype" w:hAnsi="Palatino Linotype" w:cs="Palatino Linotype"/>
          <w:i/>
          <w:iCs/>
        </w:rPr>
        <w:t xml:space="preserve"> del expediente respectivo y </w:t>
      </w:r>
      <w:r w:rsidRPr="005A369B">
        <w:rPr>
          <w:rFonts w:ascii="Palatino Linotype" w:eastAsia="Palatino Linotype" w:hAnsi="Palatino Linotype" w:cs="Palatino Linotype"/>
          <w:b/>
          <w:bCs/>
          <w:i/>
          <w:iCs/>
        </w:rPr>
        <w:t>de los contratos celebrados</w:t>
      </w:r>
      <w:r w:rsidRPr="005A369B">
        <w:rPr>
          <w:rFonts w:ascii="Palatino Linotype" w:eastAsia="Palatino Linotype" w:hAnsi="Palatino Linotype" w:cs="Palatino Linotype"/>
          <w:i/>
          <w:iCs/>
        </w:rPr>
        <w:t>, que deberán contener, por los menos, lo siguiente:</w:t>
      </w:r>
    </w:p>
    <w:p w:rsidR="00605057" w:rsidRPr="005A369B" w:rsidRDefault="00605057" w:rsidP="00605057">
      <w:pPr>
        <w:tabs>
          <w:tab w:val="left" w:pos="426"/>
        </w:tabs>
        <w:spacing w:before="120" w:after="120"/>
        <w:ind w:left="1134" w:right="1134"/>
        <w:jc w:val="both"/>
        <w:rPr>
          <w:rFonts w:ascii="Palatino Linotype" w:eastAsia="Palatino Linotype" w:hAnsi="Palatino Linotype" w:cs="Palatino Linotype"/>
          <w:b/>
          <w:bCs/>
          <w:i/>
          <w:iCs/>
        </w:rPr>
      </w:pPr>
      <w:r w:rsidRPr="005A369B">
        <w:rPr>
          <w:rFonts w:ascii="Palatino Linotype" w:eastAsia="Palatino Linotype" w:hAnsi="Palatino Linotype" w:cs="Palatino Linotype"/>
          <w:b/>
          <w:bCs/>
          <w:i/>
          <w:iCs/>
        </w:rPr>
        <w:t>a) De licitaciones públicas o procedimientos de invitación restringida:</w:t>
      </w:r>
    </w:p>
    <w:p w:rsidR="00605057" w:rsidRPr="005A369B" w:rsidRDefault="00605057" w:rsidP="00605057">
      <w:pPr>
        <w:tabs>
          <w:tab w:val="left" w:pos="426"/>
        </w:tabs>
        <w:spacing w:before="120" w:after="120"/>
        <w:ind w:left="1134" w:right="1134"/>
        <w:jc w:val="both"/>
        <w:rPr>
          <w:rFonts w:ascii="Palatino Linotype" w:eastAsia="Palatino Linotype" w:hAnsi="Palatino Linotype" w:cs="Palatino Linotype"/>
          <w:i/>
          <w:iCs/>
        </w:rPr>
      </w:pPr>
      <w:r w:rsidRPr="005A369B">
        <w:rPr>
          <w:rFonts w:ascii="Palatino Linotype" w:eastAsia="Palatino Linotype" w:hAnsi="Palatino Linotype" w:cs="Palatino Linotype"/>
          <w:b/>
          <w:bCs/>
          <w:i/>
          <w:iCs/>
        </w:rPr>
        <w:t>1)</w:t>
      </w:r>
      <w:r w:rsidRPr="005A369B">
        <w:rPr>
          <w:rFonts w:ascii="Palatino Linotype" w:eastAsia="Palatino Linotype" w:hAnsi="Palatino Linotype" w:cs="Palatino Linotype"/>
          <w:i/>
          <w:iCs/>
        </w:rPr>
        <w:t xml:space="preserve"> La convocatoria o invitación emitida, así como los fundamentos legales aplicados para llevarla a cabo;</w:t>
      </w:r>
    </w:p>
    <w:p w:rsidR="00605057" w:rsidRPr="005A369B" w:rsidRDefault="00605057" w:rsidP="00605057">
      <w:pPr>
        <w:tabs>
          <w:tab w:val="left" w:pos="426"/>
        </w:tabs>
        <w:spacing w:before="120" w:after="120"/>
        <w:ind w:left="1134" w:right="1134"/>
        <w:jc w:val="both"/>
        <w:rPr>
          <w:rFonts w:ascii="Palatino Linotype" w:eastAsia="Palatino Linotype" w:hAnsi="Palatino Linotype" w:cs="Palatino Linotype"/>
          <w:i/>
          <w:iCs/>
        </w:rPr>
      </w:pPr>
      <w:r w:rsidRPr="005A369B">
        <w:rPr>
          <w:rFonts w:ascii="Palatino Linotype" w:eastAsia="Palatino Linotype" w:hAnsi="Palatino Linotype" w:cs="Palatino Linotype"/>
          <w:b/>
          <w:bCs/>
          <w:i/>
          <w:iCs/>
        </w:rPr>
        <w:t>2)</w:t>
      </w:r>
      <w:r w:rsidRPr="005A369B">
        <w:rPr>
          <w:rFonts w:ascii="Palatino Linotype" w:eastAsia="Palatino Linotype" w:hAnsi="Palatino Linotype" w:cs="Palatino Linotype"/>
          <w:i/>
          <w:iCs/>
        </w:rPr>
        <w:t xml:space="preserve"> Los nombres de los participantes o invitados;</w:t>
      </w:r>
    </w:p>
    <w:p w:rsidR="00605057" w:rsidRPr="005A369B" w:rsidRDefault="00605057" w:rsidP="00605057">
      <w:pPr>
        <w:tabs>
          <w:tab w:val="left" w:pos="426"/>
        </w:tabs>
        <w:spacing w:before="120" w:after="120"/>
        <w:ind w:left="1134" w:right="1134"/>
        <w:jc w:val="both"/>
        <w:rPr>
          <w:rFonts w:ascii="Palatino Linotype" w:eastAsia="Palatino Linotype" w:hAnsi="Palatino Linotype" w:cs="Palatino Linotype"/>
          <w:i/>
          <w:iCs/>
        </w:rPr>
      </w:pPr>
      <w:r w:rsidRPr="005A369B">
        <w:rPr>
          <w:rFonts w:ascii="Palatino Linotype" w:eastAsia="Palatino Linotype" w:hAnsi="Palatino Linotype" w:cs="Palatino Linotype"/>
          <w:b/>
          <w:bCs/>
          <w:i/>
          <w:iCs/>
        </w:rPr>
        <w:t>3)</w:t>
      </w:r>
      <w:r w:rsidRPr="005A369B">
        <w:rPr>
          <w:rFonts w:ascii="Palatino Linotype" w:eastAsia="Palatino Linotype" w:hAnsi="Palatino Linotype" w:cs="Palatino Linotype"/>
          <w:i/>
          <w:iCs/>
        </w:rPr>
        <w:t xml:space="preserve"> El nombre del ganador y las razones que lo justifican;</w:t>
      </w:r>
    </w:p>
    <w:p w:rsidR="00605057" w:rsidRPr="005A369B" w:rsidRDefault="00605057" w:rsidP="00605057">
      <w:pPr>
        <w:tabs>
          <w:tab w:val="left" w:pos="426"/>
        </w:tabs>
        <w:spacing w:before="120" w:after="120"/>
        <w:ind w:left="1134" w:right="1134"/>
        <w:jc w:val="both"/>
        <w:rPr>
          <w:rFonts w:ascii="Palatino Linotype" w:eastAsia="Palatino Linotype" w:hAnsi="Palatino Linotype" w:cs="Palatino Linotype"/>
          <w:i/>
          <w:iCs/>
        </w:rPr>
      </w:pPr>
      <w:r w:rsidRPr="005A369B">
        <w:rPr>
          <w:rFonts w:ascii="Palatino Linotype" w:eastAsia="Palatino Linotype" w:hAnsi="Palatino Linotype" w:cs="Palatino Linotype"/>
          <w:b/>
          <w:bCs/>
          <w:i/>
          <w:iCs/>
        </w:rPr>
        <w:t>4)</w:t>
      </w:r>
      <w:r w:rsidRPr="005A369B">
        <w:rPr>
          <w:rFonts w:ascii="Palatino Linotype" w:eastAsia="Palatino Linotype" w:hAnsi="Palatino Linotype" w:cs="Palatino Linotype"/>
          <w:i/>
          <w:iCs/>
        </w:rPr>
        <w:t xml:space="preserve"> El área solicitante y la responsable de su ejecución;</w:t>
      </w:r>
    </w:p>
    <w:p w:rsidR="00605057" w:rsidRPr="005A369B" w:rsidRDefault="00605057" w:rsidP="00605057">
      <w:pPr>
        <w:tabs>
          <w:tab w:val="left" w:pos="426"/>
        </w:tabs>
        <w:spacing w:before="120" w:after="120"/>
        <w:ind w:left="1134" w:right="1134"/>
        <w:jc w:val="both"/>
        <w:rPr>
          <w:rFonts w:ascii="Palatino Linotype" w:eastAsia="Palatino Linotype" w:hAnsi="Palatino Linotype" w:cs="Palatino Linotype"/>
          <w:i/>
          <w:iCs/>
        </w:rPr>
      </w:pPr>
      <w:r w:rsidRPr="005A369B">
        <w:rPr>
          <w:rFonts w:ascii="Palatino Linotype" w:eastAsia="Palatino Linotype" w:hAnsi="Palatino Linotype" w:cs="Palatino Linotype"/>
          <w:b/>
          <w:bCs/>
          <w:i/>
          <w:iCs/>
        </w:rPr>
        <w:t>5)</w:t>
      </w:r>
      <w:r w:rsidRPr="005A369B">
        <w:rPr>
          <w:rFonts w:ascii="Palatino Linotype" w:eastAsia="Palatino Linotype" w:hAnsi="Palatino Linotype" w:cs="Palatino Linotype"/>
          <w:i/>
          <w:iCs/>
        </w:rPr>
        <w:t xml:space="preserve"> Las convocatorias e invitaciones emitidas; </w:t>
      </w:r>
    </w:p>
    <w:p w:rsidR="00605057" w:rsidRPr="005A369B" w:rsidRDefault="00605057" w:rsidP="00605057">
      <w:pPr>
        <w:tabs>
          <w:tab w:val="left" w:pos="426"/>
        </w:tabs>
        <w:spacing w:before="120" w:after="120"/>
        <w:ind w:left="1134" w:right="1134"/>
        <w:jc w:val="both"/>
        <w:rPr>
          <w:rFonts w:ascii="Palatino Linotype" w:eastAsia="Palatino Linotype" w:hAnsi="Palatino Linotype" w:cs="Palatino Linotype"/>
          <w:i/>
          <w:iCs/>
        </w:rPr>
      </w:pPr>
      <w:r w:rsidRPr="005A369B">
        <w:rPr>
          <w:rFonts w:ascii="Palatino Linotype" w:eastAsia="Palatino Linotype" w:hAnsi="Palatino Linotype" w:cs="Palatino Linotype"/>
          <w:b/>
          <w:bCs/>
          <w:i/>
          <w:iCs/>
        </w:rPr>
        <w:t>6)</w:t>
      </w:r>
      <w:r w:rsidRPr="005A369B">
        <w:rPr>
          <w:rFonts w:ascii="Palatino Linotype" w:eastAsia="Palatino Linotype" w:hAnsi="Palatino Linotype" w:cs="Palatino Linotype"/>
          <w:i/>
          <w:iCs/>
        </w:rPr>
        <w:t xml:space="preserve"> Los dictámenes y fallo de adjudicación;</w:t>
      </w:r>
    </w:p>
    <w:p w:rsidR="00605057" w:rsidRPr="005A369B" w:rsidRDefault="00605057" w:rsidP="00605057">
      <w:pPr>
        <w:tabs>
          <w:tab w:val="left" w:pos="426"/>
        </w:tabs>
        <w:spacing w:before="120" w:after="120"/>
        <w:ind w:left="1134" w:right="1134"/>
        <w:jc w:val="both"/>
        <w:rPr>
          <w:rFonts w:ascii="Palatino Linotype" w:eastAsia="Palatino Linotype" w:hAnsi="Palatino Linotype" w:cs="Palatino Linotype"/>
          <w:b/>
          <w:bCs/>
          <w:i/>
          <w:iCs/>
        </w:rPr>
      </w:pPr>
      <w:r w:rsidRPr="005A369B">
        <w:rPr>
          <w:rFonts w:ascii="Palatino Linotype" w:eastAsia="Palatino Linotype" w:hAnsi="Palatino Linotype" w:cs="Palatino Linotype"/>
          <w:b/>
          <w:bCs/>
          <w:i/>
          <w:iCs/>
        </w:rPr>
        <w:t xml:space="preserve">7) El contrato y, en su caso, sus anexos; </w:t>
      </w:r>
    </w:p>
    <w:p w:rsidR="00605057" w:rsidRPr="005A369B" w:rsidRDefault="00605057" w:rsidP="00605057">
      <w:pPr>
        <w:tabs>
          <w:tab w:val="left" w:pos="426"/>
        </w:tabs>
        <w:spacing w:before="120" w:after="120"/>
        <w:ind w:left="1134" w:right="1134"/>
        <w:jc w:val="both"/>
        <w:rPr>
          <w:rFonts w:ascii="Palatino Linotype" w:eastAsia="Palatino Linotype" w:hAnsi="Palatino Linotype" w:cs="Palatino Linotype"/>
          <w:i/>
          <w:iCs/>
        </w:rPr>
      </w:pPr>
      <w:r w:rsidRPr="005A369B">
        <w:rPr>
          <w:rFonts w:ascii="Palatino Linotype" w:eastAsia="Palatino Linotype" w:hAnsi="Palatino Linotype" w:cs="Palatino Linotype"/>
          <w:b/>
          <w:bCs/>
          <w:i/>
          <w:iCs/>
        </w:rPr>
        <w:t>8)</w:t>
      </w:r>
      <w:r w:rsidRPr="005A369B">
        <w:rPr>
          <w:rFonts w:ascii="Palatino Linotype" w:eastAsia="Palatino Linotype" w:hAnsi="Palatino Linotype" w:cs="Palatino Linotype"/>
          <w:i/>
          <w:iCs/>
        </w:rPr>
        <w:t xml:space="preserve"> </w:t>
      </w:r>
      <w:r w:rsidRPr="005A369B">
        <w:rPr>
          <w:rFonts w:ascii="Palatino Linotype" w:eastAsia="Palatino Linotype" w:hAnsi="Palatino Linotype" w:cs="Palatino Linotype"/>
          <w:b/>
          <w:bCs/>
          <w:i/>
          <w:iCs/>
        </w:rPr>
        <w:t>Los mecanismos de vigilancia y supervisión,</w:t>
      </w:r>
      <w:r w:rsidRPr="005A369B">
        <w:rPr>
          <w:rFonts w:ascii="Palatino Linotype" w:eastAsia="Palatino Linotype" w:hAnsi="Palatino Linotype" w:cs="Palatino Linotype"/>
          <w:i/>
          <w:iCs/>
        </w:rPr>
        <w:t xml:space="preserve"> incluyendo en su caso, los estudios de impacto urbano y ambiental, según corresponda;</w:t>
      </w:r>
    </w:p>
    <w:p w:rsidR="00605057" w:rsidRPr="005A369B" w:rsidRDefault="00605057" w:rsidP="00605057">
      <w:pPr>
        <w:tabs>
          <w:tab w:val="left" w:pos="426"/>
        </w:tabs>
        <w:spacing w:before="120" w:after="120"/>
        <w:ind w:left="1134" w:right="1134"/>
        <w:jc w:val="both"/>
        <w:rPr>
          <w:rFonts w:ascii="Palatino Linotype" w:eastAsia="Palatino Linotype" w:hAnsi="Palatino Linotype" w:cs="Palatino Linotype"/>
          <w:i/>
          <w:iCs/>
        </w:rPr>
      </w:pPr>
      <w:r w:rsidRPr="005A369B">
        <w:rPr>
          <w:rFonts w:ascii="Palatino Linotype" w:eastAsia="Palatino Linotype" w:hAnsi="Palatino Linotype" w:cs="Palatino Linotype"/>
          <w:b/>
          <w:bCs/>
          <w:i/>
          <w:iCs/>
        </w:rPr>
        <w:t>9)</w:t>
      </w:r>
      <w:r w:rsidRPr="005A369B">
        <w:rPr>
          <w:rFonts w:ascii="Palatino Linotype" w:eastAsia="Palatino Linotype" w:hAnsi="Palatino Linotype" w:cs="Palatino Linotype"/>
          <w:i/>
          <w:iCs/>
        </w:rPr>
        <w:t xml:space="preserve"> </w:t>
      </w:r>
      <w:r w:rsidRPr="005A369B">
        <w:rPr>
          <w:rFonts w:ascii="Palatino Linotype" w:eastAsia="Palatino Linotype" w:hAnsi="Palatino Linotype" w:cs="Palatino Linotype"/>
          <w:b/>
          <w:bCs/>
          <w:i/>
          <w:iCs/>
        </w:rPr>
        <w:t xml:space="preserve">La partida presupuestal, </w:t>
      </w:r>
      <w:r w:rsidRPr="005A369B">
        <w:rPr>
          <w:rFonts w:ascii="Palatino Linotype" w:eastAsia="Palatino Linotype" w:hAnsi="Palatino Linotype" w:cs="Palatino Linotype"/>
          <w:i/>
          <w:iCs/>
        </w:rPr>
        <w:t xml:space="preserve">de conformidad con el clasificador por objeto del gasto, en el caso de ser aplicable; </w:t>
      </w:r>
    </w:p>
    <w:p w:rsidR="00605057" w:rsidRPr="005A369B" w:rsidRDefault="00605057" w:rsidP="00605057">
      <w:pPr>
        <w:tabs>
          <w:tab w:val="left" w:pos="426"/>
        </w:tabs>
        <w:spacing w:before="120" w:after="120"/>
        <w:ind w:left="1134" w:right="1134"/>
        <w:jc w:val="both"/>
        <w:rPr>
          <w:rFonts w:ascii="Palatino Linotype" w:eastAsia="Palatino Linotype" w:hAnsi="Palatino Linotype" w:cs="Palatino Linotype"/>
          <w:i/>
          <w:iCs/>
        </w:rPr>
      </w:pPr>
      <w:r w:rsidRPr="005A369B">
        <w:rPr>
          <w:rFonts w:ascii="Palatino Linotype" w:eastAsia="Palatino Linotype" w:hAnsi="Palatino Linotype" w:cs="Palatino Linotype"/>
          <w:b/>
          <w:bCs/>
          <w:i/>
          <w:iCs/>
        </w:rPr>
        <w:t>10)</w:t>
      </w:r>
      <w:r w:rsidRPr="005A369B">
        <w:rPr>
          <w:rFonts w:ascii="Palatino Linotype" w:eastAsia="Palatino Linotype" w:hAnsi="Palatino Linotype" w:cs="Palatino Linotype"/>
          <w:i/>
          <w:iCs/>
        </w:rPr>
        <w:t xml:space="preserve"> </w:t>
      </w:r>
      <w:r w:rsidRPr="005A369B">
        <w:rPr>
          <w:rFonts w:ascii="Palatino Linotype" w:eastAsia="Palatino Linotype" w:hAnsi="Palatino Linotype" w:cs="Palatino Linotype"/>
          <w:b/>
          <w:bCs/>
          <w:i/>
          <w:iCs/>
        </w:rPr>
        <w:t>Origen de los recursos</w:t>
      </w:r>
      <w:r w:rsidRPr="005A369B">
        <w:rPr>
          <w:rFonts w:ascii="Palatino Linotype" w:eastAsia="Palatino Linotype" w:hAnsi="Palatino Linotype" w:cs="Palatino Linotype"/>
          <w:i/>
          <w:iCs/>
        </w:rPr>
        <w:t xml:space="preserve"> especificando si son federales, estatales o municipales, así como el tipo de fondo de participación o aportación respectiva;</w:t>
      </w:r>
    </w:p>
    <w:p w:rsidR="00605057" w:rsidRPr="005A369B" w:rsidRDefault="00605057" w:rsidP="00605057">
      <w:pPr>
        <w:tabs>
          <w:tab w:val="left" w:pos="426"/>
        </w:tabs>
        <w:spacing w:before="120" w:after="120"/>
        <w:ind w:left="1134" w:right="1134"/>
        <w:jc w:val="both"/>
        <w:rPr>
          <w:rFonts w:ascii="Palatino Linotype" w:eastAsia="Palatino Linotype" w:hAnsi="Palatino Linotype" w:cs="Palatino Linotype"/>
          <w:i/>
          <w:iCs/>
        </w:rPr>
      </w:pPr>
      <w:r w:rsidRPr="005A369B">
        <w:rPr>
          <w:rFonts w:ascii="Palatino Linotype" w:eastAsia="Palatino Linotype" w:hAnsi="Palatino Linotype" w:cs="Palatino Linotype"/>
          <w:b/>
          <w:bCs/>
          <w:i/>
          <w:iCs/>
        </w:rPr>
        <w:t>11)</w:t>
      </w:r>
      <w:r w:rsidRPr="005A369B">
        <w:rPr>
          <w:rFonts w:ascii="Palatino Linotype" w:eastAsia="Palatino Linotype" w:hAnsi="Palatino Linotype" w:cs="Palatino Linotype"/>
          <w:i/>
          <w:iCs/>
        </w:rPr>
        <w:t xml:space="preserve"> </w:t>
      </w:r>
      <w:r w:rsidRPr="005A369B">
        <w:rPr>
          <w:rFonts w:ascii="Palatino Linotype" w:eastAsia="Palatino Linotype" w:hAnsi="Palatino Linotype" w:cs="Palatino Linotype"/>
          <w:b/>
          <w:bCs/>
          <w:i/>
          <w:iCs/>
        </w:rPr>
        <w:t>Los convenios modificatorio</w:t>
      </w:r>
      <w:r w:rsidRPr="005A369B">
        <w:rPr>
          <w:rFonts w:ascii="Palatino Linotype" w:eastAsia="Palatino Linotype" w:hAnsi="Palatino Linotype" w:cs="Palatino Linotype"/>
          <w:i/>
          <w:iCs/>
        </w:rPr>
        <w:t>s que, en su caso, sean firmados, precisando el objeto y la fecha de celebración;</w:t>
      </w:r>
    </w:p>
    <w:p w:rsidR="00605057" w:rsidRPr="005A369B" w:rsidRDefault="00605057" w:rsidP="00605057">
      <w:pPr>
        <w:tabs>
          <w:tab w:val="left" w:pos="426"/>
        </w:tabs>
        <w:spacing w:before="120" w:after="120"/>
        <w:ind w:left="1134" w:right="1134"/>
        <w:jc w:val="both"/>
        <w:rPr>
          <w:rFonts w:ascii="Palatino Linotype" w:eastAsia="Palatino Linotype" w:hAnsi="Palatino Linotype" w:cs="Palatino Linotype"/>
          <w:b/>
          <w:bCs/>
          <w:i/>
          <w:iCs/>
        </w:rPr>
      </w:pPr>
      <w:r w:rsidRPr="005A369B">
        <w:rPr>
          <w:rFonts w:ascii="Palatino Linotype" w:eastAsia="Palatino Linotype" w:hAnsi="Palatino Linotype" w:cs="Palatino Linotype"/>
          <w:b/>
          <w:bCs/>
          <w:i/>
          <w:iCs/>
        </w:rPr>
        <w:t>12)</w:t>
      </w:r>
      <w:r w:rsidRPr="005A369B">
        <w:rPr>
          <w:rFonts w:ascii="Palatino Linotype" w:eastAsia="Palatino Linotype" w:hAnsi="Palatino Linotype" w:cs="Palatino Linotype"/>
          <w:i/>
          <w:iCs/>
        </w:rPr>
        <w:t xml:space="preserve"> </w:t>
      </w:r>
      <w:r w:rsidRPr="005A369B">
        <w:rPr>
          <w:rFonts w:ascii="Palatino Linotype" w:eastAsia="Palatino Linotype" w:hAnsi="Palatino Linotype" w:cs="Palatino Linotype"/>
          <w:b/>
          <w:bCs/>
          <w:i/>
          <w:iCs/>
        </w:rPr>
        <w:t xml:space="preserve">Los informes de avance físico y financiero sobre las obras o servicios contratados; </w:t>
      </w:r>
    </w:p>
    <w:p w:rsidR="00605057" w:rsidRPr="005A369B" w:rsidRDefault="00605057" w:rsidP="00605057">
      <w:pPr>
        <w:tabs>
          <w:tab w:val="left" w:pos="426"/>
        </w:tabs>
        <w:spacing w:before="120" w:after="120"/>
        <w:ind w:left="1134" w:right="1134"/>
        <w:jc w:val="both"/>
        <w:rPr>
          <w:rFonts w:ascii="Palatino Linotype" w:eastAsia="Palatino Linotype" w:hAnsi="Palatino Linotype" w:cs="Palatino Linotype"/>
          <w:i/>
          <w:iCs/>
        </w:rPr>
      </w:pPr>
      <w:r w:rsidRPr="005A369B">
        <w:rPr>
          <w:rFonts w:ascii="Palatino Linotype" w:eastAsia="Palatino Linotype" w:hAnsi="Palatino Linotype" w:cs="Palatino Linotype"/>
          <w:b/>
          <w:bCs/>
          <w:i/>
          <w:iCs/>
        </w:rPr>
        <w:t>13)</w:t>
      </w:r>
      <w:r w:rsidRPr="005A369B">
        <w:rPr>
          <w:rFonts w:ascii="Palatino Linotype" w:eastAsia="Palatino Linotype" w:hAnsi="Palatino Linotype" w:cs="Palatino Linotype"/>
          <w:i/>
          <w:iCs/>
        </w:rPr>
        <w:t xml:space="preserve"> El convenio de terminación; </w:t>
      </w:r>
    </w:p>
    <w:p w:rsidR="00605057" w:rsidRPr="005A369B" w:rsidRDefault="00605057" w:rsidP="00605057">
      <w:pPr>
        <w:tabs>
          <w:tab w:val="left" w:pos="426"/>
        </w:tabs>
        <w:spacing w:before="120" w:after="120"/>
        <w:ind w:left="1134" w:right="1134"/>
        <w:jc w:val="both"/>
        <w:rPr>
          <w:rFonts w:ascii="Palatino Linotype" w:eastAsia="Palatino Linotype" w:hAnsi="Palatino Linotype" w:cs="Palatino Linotype"/>
          <w:i/>
          <w:iCs/>
        </w:rPr>
      </w:pPr>
      <w:r w:rsidRPr="005A369B">
        <w:rPr>
          <w:rFonts w:ascii="Palatino Linotype" w:eastAsia="Palatino Linotype" w:hAnsi="Palatino Linotype" w:cs="Palatino Linotype"/>
          <w:b/>
          <w:bCs/>
          <w:i/>
          <w:iCs/>
        </w:rPr>
        <w:lastRenderedPageBreak/>
        <w:t>14)</w:t>
      </w:r>
      <w:r w:rsidRPr="005A369B">
        <w:rPr>
          <w:rFonts w:ascii="Palatino Linotype" w:eastAsia="Palatino Linotype" w:hAnsi="Palatino Linotype" w:cs="Palatino Linotype"/>
          <w:i/>
          <w:iCs/>
        </w:rPr>
        <w:t xml:space="preserve"> El finiquito.</w:t>
      </w:r>
    </w:p>
    <w:p w:rsidR="00605057" w:rsidRPr="005A369B" w:rsidRDefault="00605057" w:rsidP="00605057">
      <w:pPr>
        <w:tabs>
          <w:tab w:val="left" w:pos="426"/>
        </w:tabs>
        <w:spacing w:before="120" w:after="120"/>
        <w:ind w:left="1134" w:right="1134"/>
        <w:jc w:val="both"/>
        <w:rPr>
          <w:rFonts w:ascii="Palatino Linotype" w:eastAsia="Palatino Linotype" w:hAnsi="Palatino Linotype" w:cs="Palatino Linotype"/>
          <w:b/>
          <w:bCs/>
          <w:i/>
          <w:iCs/>
        </w:rPr>
      </w:pPr>
      <w:r w:rsidRPr="005A369B">
        <w:rPr>
          <w:rFonts w:ascii="Palatino Linotype" w:eastAsia="Palatino Linotype" w:hAnsi="Palatino Linotype" w:cs="Palatino Linotype"/>
          <w:b/>
          <w:bCs/>
          <w:i/>
          <w:iCs/>
        </w:rPr>
        <w:t xml:space="preserve">b) De las adjudicaciones directas: </w:t>
      </w:r>
    </w:p>
    <w:p w:rsidR="00605057" w:rsidRPr="005A369B" w:rsidRDefault="00605057" w:rsidP="00605057">
      <w:pPr>
        <w:tabs>
          <w:tab w:val="left" w:pos="426"/>
        </w:tabs>
        <w:spacing w:before="120" w:after="120"/>
        <w:ind w:left="1134" w:right="1134"/>
        <w:jc w:val="both"/>
        <w:rPr>
          <w:rFonts w:ascii="Palatino Linotype" w:eastAsia="Palatino Linotype" w:hAnsi="Palatino Linotype" w:cs="Palatino Linotype"/>
          <w:i/>
          <w:iCs/>
        </w:rPr>
      </w:pPr>
      <w:r w:rsidRPr="005A369B">
        <w:rPr>
          <w:rFonts w:ascii="Palatino Linotype" w:eastAsia="Palatino Linotype" w:hAnsi="Palatino Linotype" w:cs="Palatino Linotype"/>
          <w:b/>
          <w:bCs/>
          <w:i/>
          <w:iCs/>
        </w:rPr>
        <w:t>1)</w:t>
      </w:r>
      <w:r w:rsidRPr="005A369B">
        <w:rPr>
          <w:rFonts w:ascii="Palatino Linotype" w:eastAsia="Palatino Linotype" w:hAnsi="Palatino Linotype" w:cs="Palatino Linotype"/>
          <w:i/>
          <w:iCs/>
        </w:rPr>
        <w:t xml:space="preserve"> La propuesta enviada por el participante; </w:t>
      </w:r>
    </w:p>
    <w:p w:rsidR="00605057" w:rsidRPr="005A369B" w:rsidRDefault="00605057" w:rsidP="00605057">
      <w:pPr>
        <w:tabs>
          <w:tab w:val="left" w:pos="426"/>
        </w:tabs>
        <w:spacing w:before="120" w:after="120"/>
        <w:ind w:left="1134" w:right="1134"/>
        <w:jc w:val="both"/>
        <w:rPr>
          <w:rFonts w:ascii="Palatino Linotype" w:eastAsia="Palatino Linotype" w:hAnsi="Palatino Linotype" w:cs="Palatino Linotype"/>
          <w:i/>
          <w:iCs/>
        </w:rPr>
      </w:pPr>
      <w:r w:rsidRPr="005A369B">
        <w:rPr>
          <w:rFonts w:ascii="Palatino Linotype" w:eastAsia="Palatino Linotype" w:hAnsi="Palatino Linotype" w:cs="Palatino Linotype"/>
          <w:b/>
          <w:bCs/>
          <w:i/>
          <w:iCs/>
        </w:rPr>
        <w:t>2)</w:t>
      </w:r>
      <w:r w:rsidRPr="005A369B">
        <w:rPr>
          <w:rFonts w:ascii="Palatino Linotype" w:eastAsia="Palatino Linotype" w:hAnsi="Palatino Linotype" w:cs="Palatino Linotype"/>
          <w:i/>
          <w:iCs/>
        </w:rPr>
        <w:t xml:space="preserve"> Los motivos y fundamentos legales aplicados para llevarla a cabo;</w:t>
      </w:r>
    </w:p>
    <w:p w:rsidR="00605057" w:rsidRPr="005A369B" w:rsidRDefault="00605057" w:rsidP="00605057">
      <w:pPr>
        <w:tabs>
          <w:tab w:val="left" w:pos="426"/>
        </w:tabs>
        <w:spacing w:before="120" w:after="120"/>
        <w:ind w:left="1134" w:right="1134"/>
        <w:jc w:val="both"/>
        <w:rPr>
          <w:rFonts w:ascii="Palatino Linotype" w:eastAsia="Palatino Linotype" w:hAnsi="Palatino Linotype" w:cs="Palatino Linotype"/>
          <w:i/>
          <w:iCs/>
        </w:rPr>
      </w:pPr>
      <w:r w:rsidRPr="005A369B">
        <w:rPr>
          <w:rFonts w:ascii="Palatino Linotype" w:eastAsia="Palatino Linotype" w:hAnsi="Palatino Linotype" w:cs="Palatino Linotype"/>
          <w:b/>
          <w:bCs/>
          <w:i/>
          <w:iCs/>
        </w:rPr>
        <w:t>3)</w:t>
      </w:r>
      <w:r w:rsidRPr="005A369B">
        <w:rPr>
          <w:rFonts w:ascii="Palatino Linotype" w:eastAsia="Palatino Linotype" w:hAnsi="Palatino Linotype" w:cs="Palatino Linotype"/>
          <w:i/>
          <w:iCs/>
        </w:rPr>
        <w:t xml:space="preserve"> La autorización del ejercicio de la opción; </w:t>
      </w:r>
    </w:p>
    <w:p w:rsidR="00605057" w:rsidRPr="005A369B" w:rsidRDefault="00605057" w:rsidP="00605057">
      <w:pPr>
        <w:tabs>
          <w:tab w:val="left" w:pos="426"/>
        </w:tabs>
        <w:spacing w:before="120" w:after="120"/>
        <w:ind w:left="1134" w:right="1134"/>
        <w:jc w:val="both"/>
        <w:rPr>
          <w:rFonts w:ascii="Palatino Linotype" w:eastAsia="Palatino Linotype" w:hAnsi="Palatino Linotype" w:cs="Palatino Linotype"/>
          <w:b/>
          <w:bCs/>
          <w:i/>
          <w:iCs/>
        </w:rPr>
      </w:pPr>
      <w:r w:rsidRPr="005A369B">
        <w:rPr>
          <w:rFonts w:ascii="Palatino Linotype" w:eastAsia="Palatino Linotype" w:hAnsi="Palatino Linotype" w:cs="Palatino Linotype"/>
          <w:b/>
          <w:bCs/>
          <w:i/>
          <w:iCs/>
        </w:rPr>
        <w:t xml:space="preserve">4) </w:t>
      </w:r>
      <w:r w:rsidRPr="005A369B">
        <w:rPr>
          <w:rFonts w:ascii="Palatino Linotype" w:eastAsia="Palatino Linotype" w:hAnsi="Palatino Linotype" w:cs="Palatino Linotype"/>
          <w:i/>
          <w:iCs/>
        </w:rPr>
        <w:t>En su caso, las cotizaciones consideradas, especificando los nombres de los proveedores y sus montos;</w:t>
      </w:r>
      <w:r w:rsidRPr="005A369B">
        <w:rPr>
          <w:rFonts w:ascii="Palatino Linotype" w:eastAsia="Palatino Linotype" w:hAnsi="Palatino Linotype" w:cs="Palatino Linotype"/>
          <w:b/>
          <w:bCs/>
          <w:i/>
          <w:iCs/>
        </w:rPr>
        <w:t xml:space="preserve"> </w:t>
      </w:r>
    </w:p>
    <w:p w:rsidR="00605057" w:rsidRPr="005A369B" w:rsidRDefault="00605057" w:rsidP="00605057">
      <w:pPr>
        <w:tabs>
          <w:tab w:val="left" w:pos="426"/>
        </w:tabs>
        <w:spacing w:before="120" w:after="120"/>
        <w:ind w:left="1134" w:right="1134"/>
        <w:jc w:val="both"/>
        <w:rPr>
          <w:rFonts w:ascii="Palatino Linotype" w:eastAsia="Palatino Linotype" w:hAnsi="Palatino Linotype" w:cs="Palatino Linotype"/>
          <w:i/>
          <w:iCs/>
        </w:rPr>
      </w:pPr>
      <w:r w:rsidRPr="005A369B">
        <w:rPr>
          <w:rFonts w:ascii="Palatino Linotype" w:eastAsia="Palatino Linotype" w:hAnsi="Palatino Linotype" w:cs="Palatino Linotype"/>
          <w:b/>
          <w:bCs/>
          <w:i/>
          <w:iCs/>
        </w:rPr>
        <w:t>5)</w:t>
      </w:r>
      <w:r w:rsidRPr="005A369B">
        <w:rPr>
          <w:rFonts w:ascii="Palatino Linotype" w:eastAsia="Palatino Linotype" w:hAnsi="Palatino Linotype" w:cs="Palatino Linotype"/>
          <w:i/>
          <w:iCs/>
        </w:rPr>
        <w:t xml:space="preserve"> </w:t>
      </w:r>
      <w:r w:rsidRPr="005A369B">
        <w:rPr>
          <w:rFonts w:ascii="Palatino Linotype" w:eastAsia="Palatino Linotype" w:hAnsi="Palatino Linotype" w:cs="Palatino Linotype"/>
          <w:b/>
          <w:bCs/>
          <w:i/>
          <w:iCs/>
        </w:rPr>
        <w:t>El nombre de la persona física o jurídica colectiva adjudicada</w:t>
      </w:r>
      <w:r w:rsidRPr="005A369B">
        <w:rPr>
          <w:rFonts w:ascii="Palatino Linotype" w:eastAsia="Palatino Linotype" w:hAnsi="Palatino Linotype" w:cs="Palatino Linotype"/>
          <w:i/>
          <w:iCs/>
        </w:rPr>
        <w:t xml:space="preserve">; </w:t>
      </w:r>
    </w:p>
    <w:p w:rsidR="00605057" w:rsidRPr="005A369B" w:rsidRDefault="00605057" w:rsidP="00605057">
      <w:pPr>
        <w:tabs>
          <w:tab w:val="left" w:pos="426"/>
        </w:tabs>
        <w:spacing w:before="120" w:after="120"/>
        <w:ind w:left="1134" w:right="1134"/>
        <w:jc w:val="both"/>
        <w:rPr>
          <w:rFonts w:ascii="Palatino Linotype" w:eastAsia="Palatino Linotype" w:hAnsi="Palatino Linotype" w:cs="Palatino Linotype"/>
          <w:i/>
          <w:iCs/>
        </w:rPr>
      </w:pPr>
      <w:r w:rsidRPr="005A369B">
        <w:rPr>
          <w:rFonts w:ascii="Palatino Linotype" w:eastAsia="Palatino Linotype" w:hAnsi="Palatino Linotype" w:cs="Palatino Linotype"/>
          <w:b/>
          <w:bCs/>
          <w:i/>
          <w:iCs/>
        </w:rPr>
        <w:t>6)</w:t>
      </w:r>
      <w:r w:rsidRPr="005A369B">
        <w:rPr>
          <w:rFonts w:ascii="Palatino Linotype" w:eastAsia="Palatino Linotype" w:hAnsi="Palatino Linotype" w:cs="Palatino Linotype"/>
          <w:i/>
          <w:iCs/>
        </w:rPr>
        <w:t xml:space="preserve"> La unidad administrativa solicitante y la responsable de su ejecución; </w:t>
      </w:r>
    </w:p>
    <w:p w:rsidR="00605057" w:rsidRPr="005A369B" w:rsidRDefault="00605057" w:rsidP="00605057">
      <w:pPr>
        <w:tabs>
          <w:tab w:val="left" w:pos="426"/>
        </w:tabs>
        <w:spacing w:before="120" w:after="120"/>
        <w:ind w:left="1134" w:right="1134"/>
        <w:jc w:val="both"/>
        <w:rPr>
          <w:rFonts w:ascii="Palatino Linotype" w:eastAsia="Palatino Linotype" w:hAnsi="Palatino Linotype" w:cs="Palatino Linotype"/>
          <w:b/>
          <w:bCs/>
          <w:i/>
          <w:iCs/>
        </w:rPr>
      </w:pPr>
      <w:r w:rsidRPr="005A369B">
        <w:rPr>
          <w:rFonts w:ascii="Palatino Linotype" w:eastAsia="Palatino Linotype" w:hAnsi="Palatino Linotype" w:cs="Palatino Linotype"/>
          <w:b/>
          <w:bCs/>
          <w:i/>
          <w:iCs/>
        </w:rPr>
        <w:t xml:space="preserve">7) El número, fecha, el monto del contrato y el plazo de entrega o de ejecución de los servicios u obra; </w:t>
      </w:r>
    </w:p>
    <w:p w:rsidR="00605057" w:rsidRPr="005A369B" w:rsidRDefault="00605057" w:rsidP="00605057">
      <w:pPr>
        <w:tabs>
          <w:tab w:val="left" w:pos="426"/>
        </w:tabs>
        <w:spacing w:before="120" w:after="120"/>
        <w:ind w:left="1134" w:right="1134"/>
        <w:jc w:val="both"/>
        <w:rPr>
          <w:rFonts w:ascii="Palatino Linotype" w:eastAsia="Palatino Linotype" w:hAnsi="Palatino Linotype" w:cs="Palatino Linotype"/>
          <w:i/>
          <w:iCs/>
        </w:rPr>
      </w:pPr>
      <w:r w:rsidRPr="005A369B">
        <w:rPr>
          <w:rFonts w:ascii="Palatino Linotype" w:eastAsia="Palatino Linotype" w:hAnsi="Palatino Linotype" w:cs="Palatino Linotype"/>
          <w:b/>
          <w:bCs/>
          <w:i/>
          <w:iCs/>
        </w:rPr>
        <w:t>8) Los mecanismos de vigilancia y supervisión</w:t>
      </w:r>
      <w:r w:rsidRPr="005A369B">
        <w:rPr>
          <w:rFonts w:ascii="Palatino Linotype" w:eastAsia="Palatino Linotype" w:hAnsi="Palatino Linotype" w:cs="Palatino Linotype"/>
          <w:i/>
          <w:iCs/>
        </w:rPr>
        <w:t xml:space="preserve">, incluyendo, en su caso, los estudios de impacto urbano y ambiental, según corresponda; </w:t>
      </w:r>
    </w:p>
    <w:p w:rsidR="00605057" w:rsidRPr="005A369B" w:rsidRDefault="00605057" w:rsidP="00605057">
      <w:pPr>
        <w:tabs>
          <w:tab w:val="left" w:pos="426"/>
        </w:tabs>
        <w:spacing w:before="120" w:after="120"/>
        <w:ind w:left="1134" w:right="1134"/>
        <w:jc w:val="both"/>
        <w:rPr>
          <w:rFonts w:ascii="Palatino Linotype" w:eastAsia="Palatino Linotype" w:hAnsi="Palatino Linotype" w:cs="Palatino Linotype"/>
          <w:i/>
          <w:iCs/>
        </w:rPr>
      </w:pPr>
      <w:r w:rsidRPr="005A369B">
        <w:rPr>
          <w:rFonts w:ascii="Palatino Linotype" w:eastAsia="Palatino Linotype" w:hAnsi="Palatino Linotype" w:cs="Palatino Linotype"/>
          <w:b/>
          <w:bCs/>
          <w:i/>
          <w:iCs/>
        </w:rPr>
        <w:t>9)</w:t>
      </w:r>
      <w:r w:rsidRPr="005A369B">
        <w:rPr>
          <w:rFonts w:ascii="Palatino Linotype" w:eastAsia="Palatino Linotype" w:hAnsi="Palatino Linotype" w:cs="Palatino Linotype"/>
          <w:i/>
          <w:iCs/>
        </w:rPr>
        <w:t xml:space="preserve"> </w:t>
      </w:r>
      <w:r w:rsidRPr="005A369B">
        <w:rPr>
          <w:rFonts w:ascii="Palatino Linotype" w:eastAsia="Palatino Linotype" w:hAnsi="Palatino Linotype" w:cs="Palatino Linotype"/>
          <w:b/>
          <w:bCs/>
          <w:i/>
          <w:iCs/>
        </w:rPr>
        <w:t>Los informes de avance sobre las obras o servicios contratados</w:t>
      </w:r>
      <w:r w:rsidRPr="005A369B">
        <w:rPr>
          <w:rFonts w:ascii="Palatino Linotype" w:eastAsia="Palatino Linotype" w:hAnsi="Palatino Linotype" w:cs="Palatino Linotype"/>
          <w:i/>
          <w:iCs/>
        </w:rPr>
        <w:t xml:space="preserve">; </w:t>
      </w:r>
    </w:p>
    <w:p w:rsidR="00605057" w:rsidRPr="005A369B" w:rsidRDefault="00605057" w:rsidP="00605057">
      <w:pPr>
        <w:tabs>
          <w:tab w:val="left" w:pos="426"/>
        </w:tabs>
        <w:spacing w:before="120" w:after="120"/>
        <w:ind w:left="1134" w:right="1134"/>
        <w:jc w:val="both"/>
        <w:rPr>
          <w:rFonts w:ascii="Palatino Linotype" w:eastAsia="Palatino Linotype" w:hAnsi="Palatino Linotype" w:cs="Palatino Linotype"/>
          <w:i/>
          <w:iCs/>
        </w:rPr>
      </w:pPr>
      <w:r w:rsidRPr="005A369B">
        <w:rPr>
          <w:rFonts w:ascii="Palatino Linotype" w:eastAsia="Palatino Linotype" w:hAnsi="Palatino Linotype" w:cs="Palatino Linotype"/>
          <w:b/>
          <w:bCs/>
          <w:i/>
          <w:iCs/>
        </w:rPr>
        <w:t>10)</w:t>
      </w:r>
      <w:r w:rsidRPr="005A369B">
        <w:rPr>
          <w:rFonts w:ascii="Palatino Linotype" w:eastAsia="Palatino Linotype" w:hAnsi="Palatino Linotype" w:cs="Palatino Linotype"/>
          <w:i/>
          <w:iCs/>
        </w:rPr>
        <w:t xml:space="preserve"> El convenio de terminación; y </w:t>
      </w:r>
    </w:p>
    <w:p w:rsidR="00605057" w:rsidRDefault="00605057" w:rsidP="00D7203A">
      <w:pPr>
        <w:tabs>
          <w:tab w:val="left" w:pos="426"/>
        </w:tabs>
        <w:spacing w:before="120" w:after="120"/>
        <w:ind w:left="1134" w:right="1134"/>
        <w:jc w:val="both"/>
        <w:rPr>
          <w:rFonts w:ascii="Palatino Linotype" w:eastAsia="Palatino Linotype" w:hAnsi="Palatino Linotype" w:cs="Palatino Linotype"/>
          <w:i/>
          <w:iCs/>
        </w:rPr>
      </w:pPr>
      <w:r w:rsidRPr="005A369B">
        <w:rPr>
          <w:rFonts w:ascii="Palatino Linotype" w:eastAsia="Palatino Linotype" w:hAnsi="Palatino Linotype" w:cs="Palatino Linotype"/>
          <w:b/>
          <w:bCs/>
          <w:i/>
          <w:iCs/>
        </w:rPr>
        <w:t>11)</w:t>
      </w:r>
      <w:r w:rsidR="00D7203A">
        <w:rPr>
          <w:rFonts w:ascii="Palatino Linotype" w:eastAsia="Palatino Linotype" w:hAnsi="Palatino Linotype" w:cs="Palatino Linotype"/>
          <w:i/>
          <w:iCs/>
        </w:rPr>
        <w:t xml:space="preserve"> El finiquito;”</w:t>
      </w:r>
    </w:p>
    <w:p w:rsidR="006312CC" w:rsidRPr="00D7203A" w:rsidRDefault="006312CC" w:rsidP="00D7203A">
      <w:pPr>
        <w:tabs>
          <w:tab w:val="left" w:pos="426"/>
        </w:tabs>
        <w:spacing w:before="120" w:after="120"/>
        <w:ind w:left="1134" w:right="1134"/>
        <w:jc w:val="both"/>
        <w:rPr>
          <w:rFonts w:ascii="Palatino Linotype" w:eastAsia="Palatino Linotype" w:hAnsi="Palatino Linotype" w:cs="Palatino Linotype"/>
          <w:i/>
          <w:iCs/>
        </w:rPr>
      </w:pPr>
    </w:p>
    <w:p w:rsidR="00605057" w:rsidRPr="005A369B" w:rsidRDefault="00605057" w:rsidP="0056322A">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5A369B">
        <w:rPr>
          <w:rFonts w:ascii="Palatino Linotype" w:eastAsia="Palatino Linotype" w:hAnsi="Palatino Linotype" w:cs="Palatino Linotype"/>
          <w:color w:val="000000"/>
        </w:rPr>
        <w:t>De lo expuesto, se advierte que, los Sujetos Obligados deberán poner a disposición del público la información relativa a procesos y resultados sobre procedimientos de adjudicación directa, invitación restringida y licitación de cualquier naturaleza, donde se incluya, en versión pública, el expediente respectivo y los contratos celebrados que, para el caso en particular, los expedientes deberán contener:</w:t>
      </w:r>
    </w:p>
    <w:p w:rsidR="00605057" w:rsidRPr="005A369B" w:rsidRDefault="00605057" w:rsidP="00605057">
      <w:pPr>
        <w:spacing w:before="240" w:after="240"/>
        <w:ind w:left="1134" w:right="1134"/>
        <w:jc w:val="both"/>
        <w:rPr>
          <w:rFonts w:ascii="Palatino Linotype" w:eastAsia="Palatino Linotype" w:hAnsi="Palatino Linotype" w:cs="Palatino Linotype"/>
          <w:i/>
          <w:iCs/>
        </w:rPr>
      </w:pPr>
      <w:r w:rsidRPr="005A369B">
        <w:rPr>
          <w:rFonts w:ascii="Palatino Linotype" w:eastAsia="Palatino Linotype" w:hAnsi="Palatino Linotype" w:cs="Palatino Linotype"/>
          <w:i/>
          <w:iCs/>
        </w:rPr>
        <w:t xml:space="preserve">●        </w:t>
      </w:r>
      <w:r w:rsidRPr="005A369B">
        <w:rPr>
          <w:rFonts w:ascii="Palatino Linotype" w:eastAsia="Palatino Linotype" w:hAnsi="Palatino Linotype" w:cs="Palatino Linotype"/>
          <w:b/>
          <w:bCs/>
          <w:i/>
          <w:iCs/>
        </w:rPr>
        <w:t xml:space="preserve">Licitación pública: </w:t>
      </w:r>
      <w:r w:rsidRPr="005A369B">
        <w:rPr>
          <w:rFonts w:ascii="Palatino Linotype" w:eastAsia="Palatino Linotype" w:hAnsi="Palatino Linotype" w:cs="Palatino Linotype"/>
          <w:i/>
          <w:iCs/>
        </w:rPr>
        <w:t xml:space="preserve">convocatoria y fundamentos legales aplicables para llevarla a cabo, nombre de los participantes, nombre del ganador y razones, área solicitante y responsable de su ejecución, convocatorias emitidas, dictámenes y fallo de adjudicación, contrato y anexos, mecanismos de vigilancia y </w:t>
      </w:r>
      <w:r w:rsidRPr="005A369B">
        <w:rPr>
          <w:rFonts w:ascii="Palatino Linotype" w:eastAsia="Palatino Linotype" w:hAnsi="Palatino Linotype" w:cs="Palatino Linotype"/>
          <w:i/>
          <w:iCs/>
        </w:rPr>
        <w:lastRenderedPageBreak/>
        <w:t>supervisión, de ser el caso, con los estudios de impacto urbano y ambiental, partida presupuestal de conformidad con el clasificador por objeto del gasto, origen de los recursos especificando si son federales, estatales o municipales, tipo de fondo de participación o aportación respectiva, convenios modificatorios, informes de avances, convenio de terminación y finiquito.</w:t>
      </w:r>
    </w:p>
    <w:p w:rsidR="00605057" w:rsidRPr="005A369B" w:rsidRDefault="00605057" w:rsidP="00605057">
      <w:pPr>
        <w:spacing w:before="240" w:after="240"/>
        <w:ind w:left="1134" w:right="1134"/>
        <w:jc w:val="both"/>
        <w:rPr>
          <w:rFonts w:ascii="Palatino Linotype" w:eastAsia="Palatino Linotype" w:hAnsi="Palatino Linotype" w:cs="Palatino Linotype"/>
          <w:i/>
          <w:iCs/>
        </w:rPr>
      </w:pPr>
      <w:r w:rsidRPr="005A369B">
        <w:rPr>
          <w:rFonts w:ascii="Palatino Linotype" w:eastAsia="Palatino Linotype" w:hAnsi="Palatino Linotype" w:cs="Palatino Linotype"/>
          <w:i/>
          <w:iCs/>
        </w:rPr>
        <w:t xml:space="preserve">●        </w:t>
      </w:r>
      <w:r w:rsidRPr="005A369B">
        <w:rPr>
          <w:rFonts w:ascii="Palatino Linotype" w:eastAsia="Palatino Linotype" w:hAnsi="Palatino Linotype" w:cs="Palatino Linotype"/>
          <w:b/>
          <w:bCs/>
          <w:i/>
          <w:iCs/>
        </w:rPr>
        <w:t xml:space="preserve">Invitación restringida: </w:t>
      </w:r>
      <w:r w:rsidRPr="005A369B">
        <w:rPr>
          <w:rFonts w:ascii="Palatino Linotype" w:eastAsia="Palatino Linotype" w:hAnsi="Palatino Linotype" w:cs="Palatino Linotype"/>
          <w:i/>
          <w:iCs/>
        </w:rPr>
        <w:t>invitación emitida y fundamentos legales aplicables para llevarla a cabo, nombre de los o invitados, nombre del ganador y razones, área solicitante y responsable de su ejecución, invitaciones emitidas, dictámenes y fallo de adjudicación, contrato y anexos, mecanismos de vigilancia y supervisión, de ser el caso, con los estudios de impacto urbano y ambiental, partida presupuestal de conformidad con el clasificador por objeto del gasto, origen de los recursos especificando si son federales, estatales o municipales, tipo de fondo de participación o aportación respectiva, convenios modificatorios, informes de avances, convenio de terminación y finiquito.</w:t>
      </w:r>
    </w:p>
    <w:p w:rsidR="00605057" w:rsidRPr="005A369B" w:rsidRDefault="00605057" w:rsidP="00605057">
      <w:pPr>
        <w:spacing w:before="240" w:after="240"/>
        <w:ind w:left="1134" w:right="1134"/>
        <w:jc w:val="both"/>
        <w:rPr>
          <w:rFonts w:ascii="Palatino Linotype" w:eastAsia="Palatino Linotype" w:hAnsi="Palatino Linotype" w:cs="Palatino Linotype"/>
          <w:i/>
          <w:iCs/>
        </w:rPr>
      </w:pPr>
      <w:r w:rsidRPr="005A369B">
        <w:rPr>
          <w:rFonts w:ascii="Palatino Linotype" w:eastAsia="Palatino Linotype" w:hAnsi="Palatino Linotype" w:cs="Palatino Linotype"/>
          <w:i/>
          <w:iCs/>
        </w:rPr>
        <w:t xml:space="preserve">●        </w:t>
      </w:r>
      <w:r w:rsidRPr="005A369B">
        <w:rPr>
          <w:rFonts w:ascii="Palatino Linotype" w:eastAsia="Palatino Linotype" w:hAnsi="Palatino Linotype" w:cs="Palatino Linotype"/>
          <w:b/>
          <w:bCs/>
          <w:i/>
          <w:iCs/>
        </w:rPr>
        <w:t xml:space="preserve">Adjudicaciones directas: </w:t>
      </w:r>
      <w:r w:rsidRPr="005A369B">
        <w:rPr>
          <w:rFonts w:ascii="Palatino Linotype" w:eastAsia="Palatino Linotype" w:hAnsi="Palatino Linotype" w:cs="Palatino Linotype"/>
          <w:i/>
          <w:iCs/>
        </w:rPr>
        <w:t xml:space="preserve">Propuestas enviadas por el participante, motivos y fundamentos legales, autorización del ejercicio de la opción, cotizaciones consideradas, nombre de persona física o jurídica adjudicada, número, fecha, monto del contrato, plazo de entrega o ejecución, mecanismos de vigilancia y supervisión, informes de avance sobre las obras o servicios, convenio de terminación y finiquito. </w:t>
      </w:r>
    </w:p>
    <w:p w:rsidR="00605057" w:rsidRPr="005A369B" w:rsidRDefault="00605057" w:rsidP="0056322A">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5A369B">
        <w:rPr>
          <w:rFonts w:ascii="Palatino Linotype" w:eastAsia="Palatino Linotype" w:hAnsi="Palatino Linotype" w:cs="Palatino Linotype"/>
          <w:color w:val="000000"/>
        </w:rPr>
        <w:t xml:space="preserve">Por consiguiente y de acuerdo a los Lineamientos Técnicos Generales para la publicación, homologación y estandarización de la información de las obligaciones establecidas en el título quinto y en la fracción IV del artículo 31 de la Ley General de Transparencia y Acceso a la Información Pública, que deben de difundir los sujetos obligados en los portales de Internet y en la Plataforma Nacional de Transparencia, para el cumplimiento de la obligación de transparencia señalada en el artículo 70  fracción XXVIII de la Ley General de Transparencia y Acceso a la Información Pública, vigentes a la fecha de la solicitud, los sujetos obligados deben publicar información sobre los actos, </w:t>
      </w:r>
      <w:r w:rsidRPr="005A369B">
        <w:rPr>
          <w:rFonts w:ascii="Palatino Linotype" w:eastAsia="Palatino Linotype" w:hAnsi="Palatino Linotype" w:cs="Palatino Linotype"/>
          <w:i/>
          <w:iCs/>
          <w:color w:val="000000"/>
        </w:rPr>
        <w:t xml:space="preserve">contratos y convenios celebrados, misma que debe presentarse en una base de datos en la que cada registro se hará </w:t>
      </w:r>
      <w:r w:rsidRPr="005A369B">
        <w:rPr>
          <w:rFonts w:ascii="Palatino Linotype" w:eastAsia="Palatino Linotype" w:hAnsi="Palatino Linotype" w:cs="Palatino Linotype"/>
          <w:i/>
          <w:iCs/>
          <w:color w:val="000000"/>
        </w:rPr>
        <w:lastRenderedPageBreak/>
        <w:t xml:space="preserve">por tipo de procedimiento, ya sea licitación pública, invitación restringida o adjudicación directa, </w:t>
      </w:r>
      <w:r w:rsidRPr="005A369B">
        <w:rPr>
          <w:rFonts w:ascii="Palatino Linotype" w:eastAsia="Palatino Linotype" w:hAnsi="Palatino Linotype" w:cs="Palatino Linotype"/>
          <w:color w:val="000000"/>
        </w:rPr>
        <w:t>especificando para cada tipo de procedimiento la materia, pudiendo ser obra pública, servicios relacionados con obra pública, arrendamiento, adquisiciones, o servicios, así como el carácter de cada uno, es decir, nacional o internacional, además se debe elaborar versión pública los documentos fuente que deban ser publicados en este apartado, tales como contratos, convenios, actas, dictámenes, fallos, convenios modificatorios, informes, entre otros, incluyendo sus anexos correspondientes, información que debe ser actualizada de manera trimestral, y conservarse la generada en el ejercicio en curso y la correspondiente a dos ejercicios anteriores.</w:t>
      </w:r>
    </w:p>
    <w:p w:rsidR="0056322A" w:rsidRPr="005A369B" w:rsidRDefault="0056322A" w:rsidP="0056322A">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605057" w:rsidRDefault="00605057" w:rsidP="0056322A">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5A369B">
        <w:rPr>
          <w:rFonts w:ascii="Palatino Linotype" w:eastAsia="Palatino Linotype" w:hAnsi="Palatino Linotype" w:cs="Palatino Linotype"/>
          <w:color w:val="000000"/>
        </w:rPr>
        <w:t xml:space="preserve">Es por lo expuesto que éste Órgano Garante considera que ha quedado acreditada la competencia del </w:t>
      </w:r>
      <w:r w:rsidRPr="005A369B">
        <w:rPr>
          <w:rFonts w:ascii="Palatino Linotype" w:eastAsia="Palatino Linotype" w:hAnsi="Palatino Linotype" w:cs="Palatino Linotype"/>
          <w:b/>
          <w:bCs/>
          <w:color w:val="000000"/>
        </w:rPr>
        <w:t>Sujeto Obligado</w:t>
      </w:r>
      <w:r w:rsidRPr="005A369B">
        <w:rPr>
          <w:rFonts w:ascii="Palatino Linotype" w:eastAsia="Palatino Linotype" w:hAnsi="Palatino Linotype" w:cs="Palatino Linotype"/>
          <w:color w:val="000000"/>
        </w:rPr>
        <w:t xml:space="preserve"> para conocer la información que es del in</w:t>
      </w:r>
      <w:r w:rsidR="00D7203A">
        <w:rPr>
          <w:rFonts w:ascii="Palatino Linotype" w:eastAsia="Palatino Linotype" w:hAnsi="Palatino Linotype" w:cs="Palatino Linotype"/>
          <w:color w:val="000000"/>
        </w:rPr>
        <w:t xml:space="preserve">terés de la persona solicitante. </w:t>
      </w:r>
    </w:p>
    <w:p w:rsidR="00D7203A" w:rsidRDefault="00D7203A" w:rsidP="00D7203A">
      <w:pPr>
        <w:pStyle w:val="Prrafodelista"/>
        <w:rPr>
          <w:rFonts w:ascii="Palatino Linotype" w:eastAsia="Palatino Linotype" w:hAnsi="Palatino Linotype" w:cs="Palatino Linotype"/>
          <w:color w:val="000000"/>
        </w:rPr>
      </w:pPr>
    </w:p>
    <w:p w:rsidR="00605057" w:rsidRPr="00C40C0E" w:rsidRDefault="00D7203A" w:rsidP="00605057">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En consecuencia, se debe de precisar que al ser entregados los contratos que se hubieran firmado para la realización de la obra referida en la solicitud de información colmara lo relativo al nombre de las empresas, </w:t>
      </w:r>
      <w:r w:rsidR="000D4828">
        <w:rPr>
          <w:rFonts w:ascii="Palatino Linotype" w:eastAsia="Palatino Linotype" w:hAnsi="Palatino Linotype" w:cs="Palatino Linotype"/>
          <w:color w:val="000000"/>
        </w:rPr>
        <w:t xml:space="preserve">el número de contrato, los periodos de ejecución, los montos  y el objeto. </w:t>
      </w:r>
    </w:p>
    <w:p w:rsidR="00996969" w:rsidRDefault="00996969" w:rsidP="00996969">
      <w:pPr>
        <w:pStyle w:val="Prrafodelista"/>
        <w:rPr>
          <w:rFonts w:ascii="Palatino Linotype" w:eastAsia="Palatino Linotype" w:hAnsi="Palatino Linotype" w:cs="Palatino Linotype"/>
          <w:b/>
          <w:bCs/>
          <w:color w:val="000000"/>
        </w:rPr>
      </w:pPr>
    </w:p>
    <w:p w:rsidR="00605057" w:rsidRPr="005A369B" w:rsidRDefault="00605057" w:rsidP="00C40C0E">
      <w:p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r w:rsidRPr="005A369B">
        <w:rPr>
          <w:rFonts w:ascii="Palatino Linotype" w:eastAsia="Palatino Linotype" w:hAnsi="Palatino Linotype" w:cs="Palatino Linotype"/>
          <w:b/>
          <w:bCs/>
          <w:color w:val="000000"/>
        </w:rPr>
        <w:t>QUINTO. De la versión pública.</w:t>
      </w:r>
    </w:p>
    <w:p w:rsidR="00605057" w:rsidRPr="005A369B" w:rsidRDefault="00605057" w:rsidP="00605057">
      <w:pPr>
        <w:keepNext/>
        <w:keepLines/>
        <w:numPr>
          <w:ilvl w:val="0"/>
          <w:numId w:val="9"/>
        </w:numPr>
        <w:tabs>
          <w:tab w:val="left" w:pos="284"/>
        </w:tabs>
        <w:spacing w:after="160" w:line="360" w:lineRule="auto"/>
        <w:ind w:left="0" w:firstLine="0"/>
        <w:rPr>
          <w:rFonts w:ascii="Palatino Linotype" w:eastAsia="Palatino Linotype" w:hAnsi="Palatino Linotype" w:cs="Palatino Linotype"/>
          <w:b/>
          <w:bCs/>
          <w:color w:val="000000"/>
        </w:rPr>
      </w:pPr>
      <w:r w:rsidRPr="005A369B">
        <w:rPr>
          <w:rFonts w:ascii="Palatino Linotype" w:eastAsia="Palatino Linotype" w:hAnsi="Palatino Linotype" w:cs="Palatino Linotype"/>
          <w:b/>
          <w:bCs/>
          <w:color w:val="000000"/>
        </w:rPr>
        <w:t xml:space="preserve">Nociones generales. </w:t>
      </w:r>
    </w:p>
    <w:p w:rsidR="00605057" w:rsidRPr="005A369B" w:rsidRDefault="00605057" w:rsidP="0056322A">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5A369B">
        <w:rPr>
          <w:rFonts w:ascii="Palatino Linotype" w:eastAsia="Palatino Linotype" w:hAnsi="Palatino Linotype" w:cs="Palatino Linotype"/>
          <w:color w:val="000000"/>
        </w:rPr>
        <w:t xml:space="preserve">Debe destacarse, que debido a la información solicitada por el </w:t>
      </w:r>
      <w:r w:rsidRPr="005A369B">
        <w:rPr>
          <w:rFonts w:ascii="Palatino Linotype" w:eastAsia="Palatino Linotype" w:hAnsi="Palatino Linotype" w:cs="Palatino Linotype"/>
          <w:b/>
          <w:bCs/>
          <w:color w:val="000000"/>
        </w:rPr>
        <w:t xml:space="preserve">RECURRENTE, pueden obrar </w:t>
      </w:r>
      <w:r w:rsidRPr="005A369B">
        <w:rPr>
          <w:rFonts w:ascii="Palatino Linotype" w:eastAsia="Palatino Linotype" w:hAnsi="Palatino Linotype" w:cs="Palatino Linotype"/>
          <w:color w:val="000000"/>
        </w:rPr>
        <w:t xml:space="preserve">datos personales susceptibles de protegerse, así como información susceptible de clasificarse como confidenciales,  por lo que el </w:t>
      </w:r>
      <w:r w:rsidRPr="005A369B">
        <w:rPr>
          <w:rFonts w:ascii="Palatino Linotype" w:eastAsia="Palatino Linotype" w:hAnsi="Palatino Linotype" w:cs="Palatino Linotype"/>
          <w:b/>
          <w:bCs/>
          <w:color w:val="000000"/>
        </w:rPr>
        <w:t xml:space="preserve">SUJETO OBLIGADO </w:t>
      </w:r>
      <w:r w:rsidRPr="005A369B">
        <w:rPr>
          <w:rFonts w:ascii="Palatino Linotype" w:eastAsia="Palatino Linotype" w:hAnsi="Palatino Linotype" w:cs="Palatino Linotype"/>
          <w:color w:val="000000"/>
        </w:rPr>
        <w:t xml:space="preserve">deberá de hacer la </w:t>
      </w:r>
      <w:r w:rsidRPr="005A369B">
        <w:rPr>
          <w:rFonts w:ascii="Palatino Linotype" w:eastAsia="Palatino Linotype" w:hAnsi="Palatino Linotype" w:cs="Palatino Linotype"/>
          <w:color w:val="000000"/>
        </w:rPr>
        <w:lastRenderedPageBreak/>
        <w:t xml:space="preserve">adecuada versión pública, protegiendo los datos que no son susceptibles de ser proporcionados. </w:t>
      </w:r>
    </w:p>
    <w:p w:rsidR="00605057" w:rsidRPr="005A369B" w:rsidRDefault="00605057" w:rsidP="00605057">
      <w:pPr>
        <w:tabs>
          <w:tab w:val="left" w:pos="0"/>
          <w:tab w:val="left" w:pos="284"/>
        </w:tabs>
        <w:spacing w:line="360" w:lineRule="auto"/>
        <w:jc w:val="both"/>
        <w:rPr>
          <w:rFonts w:ascii="Palatino Linotype" w:eastAsia="Palatino Linotype" w:hAnsi="Palatino Linotype" w:cs="Palatino Linotype"/>
          <w:highlight w:val="yellow"/>
        </w:rPr>
      </w:pPr>
    </w:p>
    <w:p w:rsidR="00605057" w:rsidRPr="005A369B" w:rsidRDefault="00605057" w:rsidP="0056322A">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5A369B">
        <w:rPr>
          <w:rFonts w:ascii="Palatino Linotype" w:eastAsia="Palatino Linotype" w:hAnsi="Palatino Linotype" w:cs="Palatino Linotype"/>
          <w:color w:val="000000"/>
        </w:rPr>
        <w:t>No pasa desapercibido para este Órgano Garante que los sujetos obligados</w:t>
      </w:r>
      <w:r w:rsidRPr="005A369B">
        <w:rPr>
          <w:rFonts w:ascii="Palatino Linotype" w:eastAsia="Palatino Linotype" w:hAnsi="Palatino Linotype" w:cs="Palatino Linotype"/>
          <w:b/>
          <w:bCs/>
          <w:color w:val="000000"/>
        </w:rPr>
        <w:t xml:space="preserve"> </w:t>
      </w:r>
      <w:r w:rsidRPr="005A369B">
        <w:rPr>
          <w:rFonts w:ascii="Palatino Linotype" w:eastAsia="Palatino Linotype" w:hAnsi="Palatino Linotype" w:cs="Palatino Linotype"/>
          <w:color w:val="000000"/>
        </w:rPr>
        <w:t>serán responsables de los datos personales en su posesión y que, en caso de localizarse datos concernientes a terceros, éstos no podrán difundir, distribuir o comercializar los datos personales.  Cabe destacar que, para la realización de la clasificación de la información, se deben seguir una serie de pasos y procedimientos, por lo que es menester reiterar los mismos:</w:t>
      </w:r>
    </w:p>
    <w:p w:rsidR="00605057" w:rsidRPr="005A369B" w:rsidRDefault="00605057" w:rsidP="00605057">
      <w:pPr>
        <w:tabs>
          <w:tab w:val="left" w:pos="284"/>
        </w:tabs>
        <w:spacing w:after="160" w:line="360" w:lineRule="auto"/>
        <w:jc w:val="both"/>
        <w:rPr>
          <w:rFonts w:ascii="Palatino Linotype" w:eastAsia="Palatino Linotype" w:hAnsi="Palatino Linotype" w:cs="Palatino Linotype"/>
          <w:color w:val="000000"/>
        </w:rPr>
      </w:pPr>
    </w:p>
    <w:tbl>
      <w:tblPr>
        <w:tblW w:w="977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689"/>
        <w:gridCol w:w="7087"/>
      </w:tblGrid>
      <w:tr w:rsidR="00605057" w:rsidRPr="005A369B" w:rsidTr="00605057">
        <w:tc>
          <w:tcPr>
            <w:tcW w:w="2689" w:type="dxa"/>
          </w:tcPr>
          <w:p w:rsidR="00605057" w:rsidRPr="005A369B" w:rsidRDefault="00605057" w:rsidP="00605057">
            <w:pPr>
              <w:tabs>
                <w:tab w:val="left" w:pos="284"/>
              </w:tabs>
              <w:spacing w:line="360" w:lineRule="auto"/>
              <w:rPr>
                <w:rFonts w:ascii="Palatino Linotype" w:eastAsia="Palatino Linotype" w:hAnsi="Palatino Linotype" w:cs="Palatino Linotype"/>
                <w:b/>
                <w:bCs/>
              </w:rPr>
            </w:pPr>
            <w:r w:rsidRPr="005A369B">
              <w:rPr>
                <w:rFonts w:ascii="Palatino Linotype" w:eastAsia="Palatino Linotype" w:hAnsi="Palatino Linotype" w:cs="Palatino Linotype"/>
                <w:b/>
                <w:bCs/>
              </w:rPr>
              <w:t>a) Requisitos previos.</w:t>
            </w:r>
          </w:p>
        </w:tc>
        <w:tc>
          <w:tcPr>
            <w:tcW w:w="7087" w:type="dxa"/>
          </w:tcPr>
          <w:p w:rsidR="00605057" w:rsidRPr="005A369B" w:rsidRDefault="00605057" w:rsidP="00605057">
            <w:pPr>
              <w:tabs>
                <w:tab w:val="left" w:pos="284"/>
              </w:tabs>
              <w:spacing w:line="276" w:lineRule="auto"/>
              <w:jc w:val="both"/>
              <w:rPr>
                <w:rFonts w:ascii="Palatino Linotype" w:eastAsia="Palatino Linotype" w:hAnsi="Palatino Linotype" w:cs="Palatino Linotype"/>
                <w:i/>
                <w:iCs/>
                <w:color w:val="000000"/>
              </w:rPr>
            </w:pPr>
            <w:r w:rsidRPr="005A369B">
              <w:rPr>
                <w:rFonts w:ascii="Palatino Linotype" w:eastAsia="Palatino Linotype" w:hAnsi="Palatino Linotype" w:cs="Palatino Linotype"/>
                <w:i/>
                <w:iCs/>
                <w:color w:val="000000"/>
              </w:rPr>
              <w:t xml:space="preserve">Los artículos 100 y 122 de la Ley Estatal y de la Ley General vigente a la fecha de la solicitud, respectivamente, señalan que si los Sujetos Obligados determinan que la información actualiza alguno de los supuestos de clasificación, es deber de los titulares de las áreas proponer su clasificación y no del Comité de Transparencia. </w:t>
            </w:r>
          </w:p>
          <w:p w:rsidR="00605057" w:rsidRPr="005A369B" w:rsidRDefault="00605057" w:rsidP="00605057">
            <w:pPr>
              <w:tabs>
                <w:tab w:val="left" w:pos="284"/>
              </w:tabs>
              <w:spacing w:line="276" w:lineRule="auto"/>
              <w:jc w:val="both"/>
              <w:rPr>
                <w:rFonts w:ascii="Palatino Linotype" w:eastAsia="Palatino Linotype" w:hAnsi="Palatino Linotype" w:cs="Palatino Linotype"/>
                <w:i/>
                <w:iCs/>
                <w:color w:val="000000"/>
              </w:rPr>
            </w:pPr>
            <w:r w:rsidRPr="005A369B">
              <w:rPr>
                <w:rFonts w:ascii="Palatino Linotype" w:eastAsia="Palatino Linotype" w:hAnsi="Palatino Linotype" w:cs="Palatino Linotype"/>
                <w:i/>
                <w:iCs/>
                <w:color w:val="000000"/>
              </w:rPr>
              <w:t>Al hacerlo tienen que precisar de qué información se trata, señalando el supuesto de clasificación (confidencialidad o reserva).</w:t>
            </w:r>
          </w:p>
          <w:p w:rsidR="00605057" w:rsidRPr="005A369B" w:rsidRDefault="00605057" w:rsidP="00605057">
            <w:pPr>
              <w:tabs>
                <w:tab w:val="left" w:pos="284"/>
              </w:tabs>
              <w:spacing w:line="276" w:lineRule="auto"/>
              <w:jc w:val="both"/>
              <w:rPr>
                <w:rFonts w:ascii="Palatino Linotype" w:eastAsia="Palatino Linotype" w:hAnsi="Palatino Linotype" w:cs="Palatino Linotype"/>
                <w:i/>
                <w:iCs/>
                <w:color w:val="000000"/>
              </w:rPr>
            </w:pPr>
            <w:r w:rsidRPr="005A369B">
              <w:rPr>
                <w:rFonts w:ascii="Palatino Linotype" w:eastAsia="Palatino Linotype" w:hAnsi="Palatino Linotype" w:cs="Palatino Linotype"/>
                <w:i/>
                <w:iCs/>
                <w:color w:val="000000"/>
              </w:rPr>
              <w:t>Además, se debe señalar el procedimiento, de los tres que establecen los artículos 132 y 106 de la Ley Estatal y General, respectivamente.</w:t>
            </w:r>
          </w:p>
          <w:p w:rsidR="00605057" w:rsidRPr="005A369B" w:rsidRDefault="00605057" w:rsidP="00605057">
            <w:pPr>
              <w:tabs>
                <w:tab w:val="left" w:pos="284"/>
              </w:tabs>
              <w:spacing w:line="276" w:lineRule="auto"/>
              <w:jc w:val="both"/>
              <w:rPr>
                <w:rFonts w:ascii="Palatino Linotype" w:eastAsia="Palatino Linotype" w:hAnsi="Palatino Linotype" w:cs="Palatino Linotype"/>
                <w:i/>
                <w:iCs/>
              </w:rPr>
            </w:pPr>
            <w:r w:rsidRPr="005A369B">
              <w:rPr>
                <w:rFonts w:ascii="Palatino Linotype" w:eastAsia="Palatino Linotype" w:hAnsi="Palatino Linotype" w:cs="Palatino Linotype"/>
                <w:i/>
                <w:iCs/>
                <w:color w:val="000000"/>
              </w:rPr>
              <w:t xml:space="preserve">El último de estos requisitos previos consiste en que no se pueden emitir acuerdos de carácter general ni particular, esto es, </w:t>
            </w:r>
            <w:r w:rsidRPr="005A369B">
              <w:rPr>
                <w:rFonts w:ascii="Palatino Linotype" w:eastAsia="Palatino Linotype" w:hAnsi="Palatino Linotype" w:cs="Palatino Linotype"/>
                <w:i/>
                <w:iCs/>
                <w:color w:val="000000"/>
                <w:u w:val="single"/>
              </w:rPr>
              <w:t>no se puede hacer un acuerdo para clasificar de manera general todos los documentos de un expediente o área, sin</w:t>
            </w:r>
            <w:r w:rsidRPr="005A369B">
              <w:rPr>
                <w:rFonts w:ascii="Palatino Linotype" w:eastAsia="Palatino Linotype" w:hAnsi="Palatino Linotype" w:cs="Palatino Linotype"/>
                <w:i/>
                <w:iCs/>
                <w:color w:val="000000"/>
              </w:rPr>
              <w:t xml:space="preserve"> individualizar su análisis y tampoco se puede hacer un acuerdo por cada dato que se vaya a clasificar dentro de un documento con diez datos, por ejemplo, susceptibles de ser clasificados.</w:t>
            </w:r>
          </w:p>
        </w:tc>
      </w:tr>
      <w:tr w:rsidR="00605057" w:rsidRPr="005A369B" w:rsidTr="00605057">
        <w:tc>
          <w:tcPr>
            <w:tcW w:w="2689" w:type="dxa"/>
            <w:shd w:val="clear" w:color="auto" w:fill="D9D9D9"/>
          </w:tcPr>
          <w:p w:rsidR="00605057" w:rsidRPr="005A369B" w:rsidRDefault="00605057" w:rsidP="00605057">
            <w:pPr>
              <w:tabs>
                <w:tab w:val="left" w:pos="284"/>
              </w:tabs>
              <w:spacing w:line="360" w:lineRule="auto"/>
              <w:rPr>
                <w:rFonts w:ascii="Palatino Linotype" w:eastAsia="Palatino Linotype" w:hAnsi="Palatino Linotype" w:cs="Palatino Linotype"/>
                <w:b/>
                <w:bCs/>
              </w:rPr>
            </w:pPr>
            <w:r w:rsidRPr="005A369B">
              <w:rPr>
                <w:rFonts w:ascii="Palatino Linotype" w:eastAsia="Palatino Linotype" w:hAnsi="Palatino Linotype" w:cs="Palatino Linotype"/>
                <w:b/>
                <w:bCs/>
              </w:rPr>
              <w:t>b) Supuestos de clasificación.</w:t>
            </w:r>
          </w:p>
        </w:tc>
        <w:tc>
          <w:tcPr>
            <w:tcW w:w="7087" w:type="dxa"/>
            <w:shd w:val="clear" w:color="auto" w:fill="D9D9D9"/>
          </w:tcPr>
          <w:p w:rsidR="00605057" w:rsidRPr="005A369B" w:rsidRDefault="00605057" w:rsidP="00605057">
            <w:pPr>
              <w:tabs>
                <w:tab w:val="left" w:pos="284"/>
              </w:tabs>
              <w:spacing w:line="276" w:lineRule="auto"/>
              <w:jc w:val="both"/>
              <w:rPr>
                <w:rFonts w:ascii="Palatino Linotype" w:eastAsia="Palatino Linotype" w:hAnsi="Palatino Linotype" w:cs="Palatino Linotype"/>
                <w:i/>
                <w:iCs/>
                <w:color w:val="000000"/>
              </w:rPr>
            </w:pPr>
            <w:r w:rsidRPr="005A369B">
              <w:rPr>
                <w:rFonts w:ascii="Palatino Linotype" w:eastAsia="Palatino Linotype" w:hAnsi="Palatino Linotype" w:cs="Palatino Linotype"/>
                <w:i/>
                <w:iCs/>
                <w:color w:val="000000"/>
              </w:rPr>
              <w:t>Las disposiciones constitucionales y legales en la materia establecen los dos supuestos generales para clasificar la información: por reserva y por confidencialidad.</w:t>
            </w:r>
          </w:p>
          <w:p w:rsidR="00605057" w:rsidRPr="005A369B" w:rsidRDefault="00605057" w:rsidP="00605057">
            <w:pPr>
              <w:tabs>
                <w:tab w:val="left" w:pos="284"/>
              </w:tabs>
              <w:spacing w:line="276" w:lineRule="auto"/>
              <w:jc w:val="both"/>
              <w:rPr>
                <w:rFonts w:ascii="Palatino Linotype" w:eastAsia="Palatino Linotype" w:hAnsi="Palatino Linotype" w:cs="Palatino Linotype"/>
                <w:i/>
                <w:iCs/>
                <w:color w:val="000000"/>
              </w:rPr>
            </w:pPr>
            <w:r w:rsidRPr="005A369B">
              <w:rPr>
                <w:rFonts w:ascii="Palatino Linotype" w:eastAsia="Palatino Linotype" w:hAnsi="Palatino Linotype" w:cs="Palatino Linotype"/>
                <w:i/>
                <w:iCs/>
                <w:color w:val="000000"/>
              </w:rPr>
              <w:lastRenderedPageBreak/>
              <w:t>Los artículos 116 y 143 de la Ley Estatal y de la Ley General vigente a la fecha de la solicitud, respectivamente, señalan los supuestos para que la información pueda ser clasificada como confidencial. Mientras que los artículos 105 y 130 de la Ley Estatal y de la Ley General vigente a la fecha de la solicitud,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rsidR="00605057" w:rsidRPr="005A369B" w:rsidRDefault="00605057" w:rsidP="00605057">
            <w:pPr>
              <w:tabs>
                <w:tab w:val="left" w:pos="284"/>
              </w:tabs>
              <w:spacing w:line="276" w:lineRule="auto"/>
              <w:jc w:val="both"/>
              <w:rPr>
                <w:rFonts w:ascii="Palatino Linotype" w:eastAsia="Palatino Linotype" w:hAnsi="Palatino Linotype" w:cs="Palatino Linotype"/>
                <w:i/>
                <w:iCs/>
              </w:rPr>
            </w:pPr>
            <w:r w:rsidRPr="005A369B">
              <w:rPr>
                <w:rFonts w:ascii="Palatino Linotype" w:eastAsia="Palatino Linotype" w:hAnsi="Palatino Linotype" w:cs="Palatino Linotype"/>
                <w:i/>
                <w:iCs/>
                <w:color w:val="000000"/>
              </w:rPr>
              <w:t xml:space="preserve">El </w:t>
            </w:r>
            <w:r w:rsidRPr="005A369B">
              <w:rPr>
                <w:rFonts w:ascii="Palatino Linotype" w:eastAsia="Palatino Linotype" w:hAnsi="Palatino Linotype" w:cs="Palatino Linotype"/>
                <w:b/>
                <w:bCs/>
                <w:i/>
                <w:iCs/>
                <w:color w:val="000000"/>
              </w:rPr>
              <w:t>Sujeto Obligado</w:t>
            </w:r>
            <w:r w:rsidRPr="005A369B">
              <w:rPr>
                <w:rFonts w:ascii="Palatino Linotype" w:eastAsia="Palatino Linotype" w:hAnsi="Palatino Linotype" w:cs="Palatino Linotype"/>
                <w:i/>
                <w:iCs/>
                <w:color w:val="000000"/>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605057" w:rsidRPr="005A369B" w:rsidTr="00605057">
        <w:tc>
          <w:tcPr>
            <w:tcW w:w="2689" w:type="dxa"/>
          </w:tcPr>
          <w:p w:rsidR="00605057" w:rsidRPr="005A369B" w:rsidRDefault="00605057" w:rsidP="00605057">
            <w:pPr>
              <w:tabs>
                <w:tab w:val="left" w:pos="284"/>
              </w:tabs>
              <w:spacing w:line="360" w:lineRule="auto"/>
              <w:rPr>
                <w:rFonts w:ascii="Palatino Linotype" w:eastAsia="Palatino Linotype" w:hAnsi="Palatino Linotype" w:cs="Palatino Linotype"/>
                <w:b/>
                <w:bCs/>
              </w:rPr>
            </w:pPr>
            <w:r w:rsidRPr="005A369B">
              <w:rPr>
                <w:rFonts w:ascii="Palatino Linotype" w:eastAsia="Palatino Linotype" w:hAnsi="Palatino Linotype" w:cs="Palatino Linotype"/>
                <w:b/>
                <w:bCs/>
              </w:rPr>
              <w:lastRenderedPageBreak/>
              <w:t>c) Formalidades para emitir el acuerdo de clasificación.</w:t>
            </w:r>
          </w:p>
        </w:tc>
        <w:tc>
          <w:tcPr>
            <w:tcW w:w="7087" w:type="dxa"/>
          </w:tcPr>
          <w:p w:rsidR="00605057" w:rsidRPr="005A369B" w:rsidRDefault="00605057" w:rsidP="00605057">
            <w:pPr>
              <w:tabs>
                <w:tab w:val="left" w:pos="284"/>
              </w:tabs>
              <w:spacing w:line="276" w:lineRule="auto"/>
              <w:jc w:val="both"/>
              <w:rPr>
                <w:rFonts w:ascii="Palatino Linotype" w:eastAsia="Palatino Linotype" w:hAnsi="Palatino Linotype" w:cs="Palatino Linotype"/>
                <w:i/>
                <w:iCs/>
                <w:color w:val="000000"/>
              </w:rPr>
            </w:pPr>
            <w:r w:rsidRPr="005A369B">
              <w:rPr>
                <w:rFonts w:ascii="Palatino Linotype" w:eastAsia="Palatino Linotype" w:hAnsi="Palatino Linotype" w:cs="Palatino Linotype"/>
                <w:i/>
                <w:iCs/>
                <w:color w:val="000000"/>
              </w:rPr>
              <w:t xml:space="preserve">El Comité de Transparencia, según lo dispuesto en los artículos cuenta con las facultades para aprobar, modificar o revocar la clasificación de la información que haya propuesto. </w:t>
            </w:r>
          </w:p>
          <w:p w:rsidR="00605057" w:rsidRPr="005A369B" w:rsidRDefault="00605057" w:rsidP="00605057">
            <w:pPr>
              <w:tabs>
                <w:tab w:val="left" w:pos="284"/>
              </w:tabs>
              <w:spacing w:line="276" w:lineRule="auto"/>
              <w:jc w:val="both"/>
              <w:rPr>
                <w:rFonts w:ascii="Palatino Linotype" w:eastAsia="Palatino Linotype" w:hAnsi="Palatino Linotype" w:cs="Palatino Linotype"/>
                <w:i/>
                <w:iCs/>
                <w:color w:val="000000"/>
              </w:rPr>
            </w:pPr>
            <w:r w:rsidRPr="005A369B">
              <w:rPr>
                <w:rFonts w:ascii="Palatino Linotype" w:eastAsia="Palatino Linotype" w:hAnsi="Palatino Linotype" w:cs="Palatino Linotype"/>
                <w:i/>
                <w:iCs/>
                <w:color w:val="000000"/>
              </w:rPr>
              <w:t xml:space="preserve">Es necesario que </w:t>
            </w:r>
            <w:r w:rsidRPr="005A369B">
              <w:rPr>
                <w:rFonts w:ascii="Palatino Linotype" w:eastAsia="Palatino Linotype" w:hAnsi="Palatino Linotype" w:cs="Palatino Linotype"/>
                <w:b/>
                <w:bCs/>
                <w:i/>
                <w:iCs/>
                <w:color w:val="000000"/>
                <w:u w:val="single"/>
              </w:rPr>
              <w:t>el acto reúna con los requisitos elementales</w:t>
            </w:r>
            <w:r w:rsidRPr="005A369B">
              <w:rPr>
                <w:rFonts w:ascii="Palatino Linotype" w:eastAsia="Palatino Linotype" w:hAnsi="Palatino Linotype" w:cs="Palatino Linotype"/>
                <w:i/>
                <w:iCs/>
                <w:color w:val="000000"/>
              </w:rPr>
              <w:t>, entre ellos, que la autoridad que va a emitir el acto de autoridad sea la legalmente facultada para ello.</w:t>
            </w:r>
          </w:p>
          <w:p w:rsidR="00605057" w:rsidRPr="005A369B" w:rsidRDefault="00605057" w:rsidP="00605057">
            <w:pPr>
              <w:tabs>
                <w:tab w:val="left" w:pos="284"/>
              </w:tabs>
              <w:spacing w:line="276" w:lineRule="auto"/>
              <w:jc w:val="both"/>
              <w:rPr>
                <w:rFonts w:ascii="Palatino Linotype" w:eastAsia="Palatino Linotype" w:hAnsi="Palatino Linotype" w:cs="Palatino Linotype"/>
                <w:i/>
                <w:iCs/>
              </w:rPr>
            </w:pPr>
            <w:r w:rsidRPr="005A369B">
              <w:rPr>
                <w:rFonts w:ascii="Palatino Linotype" w:eastAsia="Palatino Linotype" w:hAnsi="Palatino Linotype" w:cs="Palatino Linotype"/>
                <w:i/>
                <w:iCs/>
                <w:color w:val="000000"/>
              </w:rPr>
              <w:t xml:space="preserve">La decisión de aprobar, modificar o revocar la clasificación deberá de asentarse en un documento que registre la determinación a la que se llegue después de un análisis minucioso a partir de lo propuesto por el Titular del I. </w:t>
            </w:r>
            <w:r w:rsidRPr="005A369B">
              <w:rPr>
                <w:rFonts w:ascii="Palatino Linotype" w:eastAsia="Palatino Linotype" w:hAnsi="Palatino Linotype" w:cs="Palatino Linotype"/>
                <w:i/>
                <w:iCs/>
              </w:rPr>
              <w:t>El área</w:t>
            </w:r>
            <w:r w:rsidRPr="005A369B">
              <w:rPr>
                <w:rFonts w:ascii="Palatino Linotype" w:eastAsia="Palatino Linotype" w:hAnsi="Palatino Linotype" w:cs="Palatino Linotype"/>
                <w:i/>
                <w:iCs/>
                <w:color w:val="000000"/>
              </w:rPr>
              <w:t xml:space="preserve">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605057" w:rsidRPr="005A369B" w:rsidTr="00605057">
        <w:tc>
          <w:tcPr>
            <w:tcW w:w="2689" w:type="dxa"/>
            <w:shd w:val="clear" w:color="auto" w:fill="D9D9D9"/>
          </w:tcPr>
          <w:p w:rsidR="00605057" w:rsidRPr="005A369B" w:rsidRDefault="00605057" w:rsidP="00605057">
            <w:pPr>
              <w:tabs>
                <w:tab w:val="left" w:pos="284"/>
              </w:tabs>
              <w:spacing w:line="360" w:lineRule="auto"/>
              <w:rPr>
                <w:rFonts w:ascii="Palatino Linotype" w:eastAsia="Palatino Linotype" w:hAnsi="Palatino Linotype" w:cs="Palatino Linotype"/>
                <w:b/>
                <w:bCs/>
              </w:rPr>
            </w:pPr>
          </w:p>
          <w:p w:rsidR="00605057" w:rsidRPr="005A369B" w:rsidRDefault="00605057" w:rsidP="00605057">
            <w:pPr>
              <w:tabs>
                <w:tab w:val="left" w:pos="284"/>
              </w:tabs>
              <w:spacing w:line="360" w:lineRule="auto"/>
              <w:jc w:val="both"/>
              <w:rPr>
                <w:rFonts w:ascii="Palatino Linotype" w:eastAsia="Palatino Linotype" w:hAnsi="Palatino Linotype" w:cs="Palatino Linotype"/>
                <w:b/>
                <w:bCs/>
              </w:rPr>
            </w:pPr>
            <w:r w:rsidRPr="005A369B">
              <w:rPr>
                <w:rFonts w:ascii="Palatino Linotype" w:eastAsia="Palatino Linotype" w:hAnsi="Palatino Linotype" w:cs="Palatino Linotype"/>
                <w:b/>
                <w:bCs/>
                <w:color w:val="000000"/>
              </w:rPr>
              <w:lastRenderedPageBreak/>
              <w:t xml:space="preserve">d) Requisitos de fondo del acuerdo de clasificación. </w:t>
            </w:r>
          </w:p>
        </w:tc>
        <w:tc>
          <w:tcPr>
            <w:tcW w:w="7087" w:type="dxa"/>
            <w:shd w:val="clear" w:color="auto" w:fill="D9D9D9"/>
          </w:tcPr>
          <w:p w:rsidR="00605057" w:rsidRPr="005A369B" w:rsidRDefault="00605057" w:rsidP="00605057">
            <w:pPr>
              <w:tabs>
                <w:tab w:val="left" w:pos="284"/>
              </w:tabs>
              <w:spacing w:line="276" w:lineRule="auto"/>
              <w:jc w:val="both"/>
              <w:rPr>
                <w:rFonts w:ascii="Palatino Linotype" w:eastAsia="Palatino Linotype" w:hAnsi="Palatino Linotype" w:cs="Palatino Linotype"/>
                <w:i/>
                <w:iCs/>
                <w:color w:val="000000"/>
              </w:rPr>
            </w:pPr>
            <w:r w:rsidRPr="005A369B">
              <w:rPr>
                <w:rFonts w:ascii="Palatino Linotype" w:eastAsia="Palatino Linotype" w:hAnsi="Palatino Linotype" w:cs="Palatino Linotype"/>
                <w:i/>
                <w:iCs/>
                <w:color w:val="000000"/>
              </w:rPr>
              <w:lastRenderedPageBreak/>
              <w:t xml:space="preserve">Como se ha señalado antes, al hacer el juicio de subsunción o encaje entre el supuesto de hecho y la hipótesis jurídica, se debe acreditar la estricta </w:t>
            </w:r>
            <w:r w:rsidRPr="005A369B">
              <w:rPr>
                <w:rFonts w:ascii="Palatino Linotype" w:eastAsia="Palatino Linotype" w:hAnsi="Palatino Linotype" w:cs="Palatino Linotype"/>
                <w:i/>
                <w:iCs/>
                <w:color w:val="000000"/>
              </w:rPr>
              <w:lastRenderedPageBreak/>
              <w:t xml:space="preserve">correspondencia entre un elemento y otro. Ahora, en esta parte del procedimiento, que se desahoga en sede del Comité de Transparencia, la ley señala que la carga de la prueba, para justificar las restricciones, corresponde a los </w:t>
            </w:r>
            <w:r w:rsidRPr="005A369B">
              <w:rPr>
                <w:rFonts w:ascii="Palatino Linotype" w:eastAsia="Palatino Linotype" w:hAnsi="Palatino Linotype" w:cs="Palatino Linotype"/>
                <w:b/>
                <w:bCs/>
                <w:i/>
                <w:iCs/>
                <w:color w:val="000000"/>
              </w:rPr>
              <w:t>Sujetos Obligados</w:t>
            </w:r>
            <w:r w:rsidRPr="005A369B">
              <w:rPr>
                <w:rFonts w:ascii="Palatino Linotype" w:eastAsia="Palatino Linotype" w:hAnsi="Palatino Linotype" w:cs="Palatino Linotype"/>
                <w:i/>
                <w:iCs/>
                <w:color w:val="000000"/>
              </w:rPr>
              <w:t xml:space="preserve">, por lo que deberán fundar y motivar debidamente la clasificación. </w:t>
            </w:r>
          </w:p>
          <w:p w:rsidR="00605057" w:rsidRPr="005A369B" w:rsidRDefault="00605057" w:rsidP="00605057">
            <w:pPr>
              <w:tabs>
                <w:tab w:val="left" w:pos="284"/>
              </w:tabs>
              <w:spacing w:line="276" w:lineRule="auto"/>
              <w:jc w:val="both"/>
              <w:rPr>
                <w:rFonts w:ascii="Palatino Linotype" w:eastAsia="Palatino Linotype" w:hAnsi="Palatino Linotype" w:cs="Palatino Linotype"/>
                <w:i/>
                <w:iCs/>
                <w:color w:val="000000"/>
              </w:rPr>
            </w:pPr>
            <w:r w:rsidRPr="005A369B">
              <w:rPr>
                <w:rFonts w:ascii="Palatino Linotype" w:eastAsia="Palatino Linotype" w:hAnsi="Palatino Linotype" w:cs="Palatino Linotype"/>
                <w:i/>
                <w:iCs/>
                <w:color w:val="000000"/>
              </w:rPr>
              <w:t xml:space="preserve">De lo anterior, se desprende que para una correcta </w:t>
            </w:r>
            <w:r w:rsidRPr="005A369B">
              <w:rPr>
                <w:rFonts w:ascii="Palatino Linotype" w:eastAsia="Palatino Linotype" w:hAnsi="Palatino Linotype" w:cs="Palatino Linotype"/>
                <w:b/>
                <w:bCs/>
                <w:i/>
                <w:iCs/>
                <w:color w:val="000000"/>
              </w:rPr>
              <w:t>clasificación total o parcial</w:t>
            </w:r>
            <w:r w:rsidRPr="005A369B">
              <w:rPr>
                <w:rFonts w:ascii="Palatino Linotype" w:eastAsia="Palatino Linotype" w:hAnsi="Palatino Linotype" w:cs="Palatino Linotype"/>
                <w:i/>
                <w:iCs/>
                <w:color w:val="000000"/>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rsidR="00605057" w:rsidRPr="005A369B" w:rsidRDefault="00605057" w:rsidP="00605057">
            <w:pPr>
              <w:tabs>
                <w:tab w:val="left" w:pos="284"/>
              </w:tabs>
              <w:spacing w:line="276" w:lineRule="auto"/>
              <w:jc w:val="both"/>
              <w:rPr>
                <w:rFonts w:ascii="Palatino Linotype" w:eastAsia="Palatino Linotype" w:hAnsi="Palatino Linotype" w:cs="Palatino Linotype"/>
                <w:i/>
                <w:iCs/>
                <w:color w:val="000000"/>
              </w:rPr>
            </w:pPr>
            <w:r w:rsidRPr="005A369B">
              <w:rPr>
                <w:rFonts w:ascii="Palatino Linotype" w:eastAsia="Palatino Linotype" w:hAnsi="Palatino Linotype" w:cs="Palatino Linotype"/>
                <w:i/>
                <w:iCs/>
                <w:color w:val="000000"/>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rsidR="00605057" w:rsidRPr="005A369B" w:rsidRDefault="00605057" w:rsidP="00605057">
            <w:pPr>
              <w:tabs>
                <w:tab w:val="left" w:pos="284"/>
              </w:tabs>
              <w:spacing w:line="276" w:lineRule="auto"/>
              <w:jc w:val="both"/>
              <w:rPr>
                <w:rFonts w:ascii="Palatino Linotype" w:eastAsia="Palatino Linotype" w:hAnsi="Palatino Linotype" w:cs="Palatino Linotype"/>
                <w:i/>
                <w:iCs/>
                <w:color w:val="000000"/>
              </w:rPr>
            </w:pPr>
            <w:r w:rsidRPr="005A369B">
              <w:rPr>
                <w:rFonts w:ascii="Palatino Linotype" w:eastAsia="Palatino Linotype" w:hAnsi="Palatino Linotype" w:cs="Palatino Linotype"/>
                <w:i/>
                <w:iCs/>
                <w:color w:val="000000"/>
              </w:rPr>
              <w:t>En ese mismo sentido, el numeral trigésimo tercero fracción V de los Lineamientos Generales, precisa que para motivar la clasificación se deben acreditar las circunstancias de tiempo, modo y lugar.</w:t>
            </w:r>
          </w:p>
          <w:p w:rsidR="00605057" w:rsidRPr="005A369B" w:rsidRDefault="00605057" w:rsidP="00605057">
            <w:pPr>
              <w:tabs>
                <w:tab w:val="left" w:pos="284"/>
              </w:tabs>
              <w:spacing w:line="276" w:lineRule="auto"/>
              <w:jc w:val="both"/>
              <w:rPr>
                <w:rFonts w:ascii="Palatino Linotype" w:eastAsia="Palatino Linotype" w:hAnsi="Palatino Linotype" w:cs="Palatino Linotype"/>
                <w:i/>
                <w:iCs/>
                <w:color w:val="000000"/>
              </w:rPr>
            </w:pPr>
            <w:r w:rsidRPr="005A369B">
              <w:rPr>
                <w:rFonts w:ascii="Palatino Linotype" w:eastAsia="Palatino Linotype" w:hAnsi="Palatino Linotype" w:cs="Palatino Linotype"/>
                <w:i/>
                <w:iCs/>
                <w:color w:val="000000"/>
              </w:rPr>
              <w:t xml:space="preserve">Ahora bien, </w:t>
            </w:r>
            <w:r w:rsidRPr="005A369B">
              <w:rPr>
                <w:rFonts w:ascii="Palatino Linotype" w:eastAsia="Palatino Linotype" w:hAnsi="Palatino Linotype" w:cs="Palatino Linotype"/>
                <w:b/>
                <w:bCs/>
                <w:i/>
                <w:iCs/>
                <w:color w:val="000000"/>
                <w:u w:val="single"/>
              </w:rPr>
              <w:t>para cada caso además de fundar y motivar</w:t>
            </w:r>
            <w:r w:rsidRPr="005A369B">
              <w:rPr>
                <w:rFonts w:ascii="Palatino Linotype" w:eastAsia="Palatino Linotype" w:hAnsi="Palatino Linotype" w:cs="Palatino Linotype"/>
                <w:i/>
                <w:iCs/>
                <w:color w:val="000000"/>
              </w:rPr>
              <w:t xml:space="preserve">, se debe identificar con claridad </w:t>
            </w:r>
            <w:r w:rsidRPr="005A369B">
              <w:rPr>
                <w:rFonts w:ascii="Palatino Linotype" w:eastAsia="Palatino Linotype" w:hAnsi="Palatino Linotype" w:cs="Palatino Linotype"/>
                <w:i/>
                <w:iCs/>
              </w:rPr>
              <w:t>qué</w:t>
            </w:r>
            <w:r w:rsidRPr="005A369B">
              <w:rPr>
                <w:rFonts w:ascii="Palatino Linotype" w:eastAsia="Palatino Linotype" w:hAnsi="Palatino Linotype" w:cs="Palatino Linotype"/>
                <w:i/>
                <w:iCs/>
                <w:color w:val="000000"/>
              </w:rPr>
              <w:t xml:space="preserv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605057" w:rsidRPr="005A369B" w:rsidTr="00605057">
        <w:tc>
          <w:tcPr>
            <w:tcW w:w="2689" w:type="dxa"/>
          </w:tcPr>
          <w:p w:rsidR="00605057" w:rsidRPr="005A369B" w:rsidRDefault="00605057" w:rsidP="00605057">
            <w:pPr>
              <w:tabs>
                <w:tab w:val="left" w:pos="284"/>
              </w:tabs>
              <w:spacing w:line="360" w:lineRule="auto"/>
              <w:jc w:val="both"/>
              <w:rPr>
                <w:rFonts w:ascii="Palatino Linotype" w:eastAsia="Palatino Linotype" w:hAnsi="Palatino Linotype" w:cs="Palatino Linotype"/>
                <w:b/>
                <w:bCs/>
              </w:rPr>
            </w:pPr>
            <w:r w:rsidRPr="005A369B">
              <w:rPr>
                <w:rFonts w:ascii="Palatino Linotype" w:eastAsia="Palatino Linotype" w:hAnsi="Palatino Linotype" w:cs="Palatino Linotype"/>
                <w:b/>
                <w:bCs/>
              </w:rPr>
              <w:lastRenderedPageBreak/>
              <w:t xml:space="preserve">e) Condiciones especiales de la </w:t>
            </w:r>
            <w:r w:rsidRPr="005A369B">
              <w:rPr>
                <w:rFonts w:ascii="Palatino Linotype" w:eastAsia="Palatino Linotype" w:hAnsi="Palatino Linotype" w:cs="Palatino Linotype"/>
                <w:b/>
                <w:bCs/>
              </w:rPr>
              <w:lastRenderedPageBreak/>
              <w:t xml:space="preserve">clasificación de la información como confidencial. </w:t>
            </w:r>
          </w:p>
        </w:tc>
        <w:tc>
          <w:tcPr>
            <w:tcW w:w="7087" w:type="dxa"/>
          </w:tcPr>
          <w:p w:rsidR="00605057" w:rsidRPr="005A369B" w:rsidRDefault="00605057" w:rsidP="00605057">
            <w:pPr>
              <w:tabs>
                <w:tab w:val="left" w:pos="284"/>
              </w:tabs>
              <w:spacing w:line="276" w:lineRule="auto"/>
              <w:jc w:val="both"/>
              <w:rPr>
                <w:rFonts w:ascii="Palatino Linotype" w:eastAsia="Palatino Linotype" w:hAnsi="Palatino Linotype" w:cs="Palatino Linotype"/>
                <w:i/>
                <w:iCs/>
                <w:color w:val="000000"/>
              </w:rPr>
            </w:pPr>
            <w:r w:rsidRPr="005A369B">
              <w:rPr>
                <w:rFonts w:ascii="Palatino Linotype" w:eastAsia="Palatino Linotype" w:hAnsi="Palatino Linotype" w:cs="Palatino Linotype"/>
                <w:i/>
                <w:iCs/>
                <w:color w:val="000000"/>
              </w:rPr>
              <w:lastRenderedPageBreak/>
              <w:t xml:space="preserve">Los artículos 148 y 120 de la Ley Estatal y de la Ley General vigente a la fecha de la solicitud, respectivamente, establecen que aun tratándose </w:t>
            </w:r>
            <w:r w:rsidRPr="005A369B">
              <w:rPr>
                <w:rFonts w:ascii="Palatino Linotype" w:eastAsia="Palatino Linotype" w:hAnsi="Palatino Linotype" w:cs="Palatino Linotype"/>
                <w:i/>
                <w:iCs/>
                <w:color w:val="000000"/>
              </w:rPr>
              <w:lastRenderedPageBreak/>
              <w:t xml:space="preserve">de datos personales, se podrán proporcionar, incluso sin solicitar el consentimiento de su titular. </w:t>
            </w:r>
          </w:p>
          <w:p w:rsidR="00605057" w:rsidRPr="005A369B" w:rsidRDefault="00605057" w:rsidP="00605057">
            <w:pPr>
              <w:tabs>
                <w:tab w:val="left" w:pos="284"/>
              </w:tabs>
              <w:spacing w:line="276" w:lineRule="auto"/>
              <w:jc w:val="both"/>
              <w:rPr>
                <w:rFonts w:ascii="Palatino Linotype" w:eastAsia="Palatino Linotype" w:hAnsi="Palatino Linotype" w:cs="Palatino Linotype"/>
                <w:i/>
                <w:iCs/>
                <w:color w:val="000000"/>
              </w:rPr>
            </w:pPr>
            <w:r w:rsidRPr="005A369B">
              <w:rPr>
                <w:rFonts w:ascii="Palatino Linotype" w:eastAsia="Palatino Linotype" w:hAnsi="Palatino Linotype" w:cs="Palatino Linotype"/>
                <w:i/>
                <w:iCs/>
                <w:color w:val="000000"/>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605057" w:rsidRPr="005A369B" w:rsidRDefault="00605057" w:rsidP="00605057">
            <w:pPr>
              <w:tabs>
                <w:tab w:val="left" w:pos="284"/>
              </w:tabs>
              <w:spacing w:line="276" w:lineRule="auto"/>
              <w:rPr>
                <w:rFonts w:ascii="Palatino Linotype" w:eastAsia="Palatino Linotype" w:hAnsi="Palatino Linotype" w:cs="Palatino Linotype"/>
                <w:i/>
                <w:iCs/>
              </w:rPr>
            </w:pPr>
            <w:r w:rsidRPr="005A369B">
              <w:rPr>
                <w:rFonts w:ascii="Palatino Linotype" w:eastAsia="Palatino Linotype" w:hAnsi="Palatino Linotype" w:cs="Palatino Linotype"/>
                <w:i/>
                <w:iCs/>
                <w:color w:val="000000"/>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rsidR="00605057" w:rsidRPr="005A369B" w:rsidRDefault="00605057" w:rsidP="00605057">
      <w:pPr>
        <w:tabs>
          <w:tab w:val="left" w:pos="284"/>
        </w:tabs>
        <w:spacing w:line="360" w:lineRule="auto"/>
        <w:jc w:val="both"/>
        <w:rPr>
          <w:rFonts w:ascii="Palatino Linotype" w:eastAsia="Palatino Linotype" w:hAnsi="Palatino Linotype" w:cs="Palatino Linotype"/>
          <w:color w:val="000000"/>
        </w:rPr>
      </w:pPr>
    </w:p>
    <w:p w:rsidR="00605057" w:rsidRDefault="00605057" w:rsidP="0056322A">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5A369B">
        <w:rPr>
          <w:rFonts w:ascii="Palatino Linotype" w:eastAsia="Palatino Linotype" w:hAnsi="Palatino Linotype" w:cs="Palatino Linotype"/>
          <w:color w:val="000000"/>
        </w:rPr>
        <w:t>Como fue debidamente apuntado, el </w:t>
      </w:r>
      <w:r w:rsidRPr="005A369B">
        <w:rPr>
          <w:rFonts w:ascii="Palatino Linotype" w:eastAsia="Palatino Linotype" w:hAnsi="Palatino Linotype" w:cs="Palatino Linotype"/>
          <w:b/>
          <w:bCs/>
          <w:color w:val="000000"/>
        </w:rPr>
        <w:t>Sujeto Obligado</w:t>
      </w:r>
      <w:r w:rsidRPr="005A369B">
        <w:rPr>
          <w:rFonts w:ascii="Palatino Linotype" w:eastAsia="Palatino Linotype" w:hAnsi="Palatino Linotype" w:cs="Palatino Linotype"/>
          <w:color w:val="000000"/>
        </w:rPr>
        <w:t> debe satisfacer la solicitud de acceso a la información; sin embargo, dada la naturaleza de la información de la cual se ordena su entrega, deberá hacerse en versión pública, toda vez que en los documentos que se ordenan, existe la posibilidad de que obren datos que son considerados confidenciales, cuyo acceso debe ser restringido que deben testarse al momento de la versión pública.</w:t>
      </w:r>
    </w:p>
    <w:p w:rsidR="00AD774F" w:rsidRPr="005A369B" w:rsidRDefault="00AD774F" w:rsidP="00AD774F">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605057" w:rsidRPr="005A369B" w:rsidRDefault="00605057" w:rsidP="0056322A">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5A369B">
        <w:rPr>
          <w:rFonts w:ascii="Palatino Linotype" w:eastAsia="Palatino Linotype" w:hAnsi="Palatino Linotype" w:cs="Palatino Linotype"/>
          <w:color w:val="000000"/>
        </w:rPr>
        <w:t xml:space="preserve">En el caso específico, la información solicitada puede contener datos susceptibles de clasificarse, que de hacerse públicos afectarían la intimidad y vida privada de particulares; que se ha reiterado en las resoluciones de este Pleno que además de los datos especificados en la Ley de Transparencia y Acceso a la Información Pública del Estado de México y Municipios, se consideran confidenciales cuyo acceso debe ser restringido, los cuales deben testarse al momento de la elaboración de versiones públicas, como pudieran ser de manera </w:t>
      </w:r>
      <w:r w:rsidRPr="005A369B">
        <w:rPr>
          <w:rFonts w:ascii="Palatino Linotype" w:eastAsia="Palatino Linotype" w:hAnsi="Palatino Linotype" w:cs="Palatino Linotype"/>
          <w:color w:val="000000"/>
        </w:rPr>
        <w:lastRenderedPageBreak/>
        <w:t>enunciativa más no limitativa, clave de elector, número de OCR, CURP, el número de cuenta bancaria de particulares, entre otros.</w:t>
      </w:r>
    </w:p>
    <w:p w:rsidR="00605057" w:rsidRPr="005A369B" w:rsidRDefault="00605057" w:rsidP="00605057">
      <w:pPr>
        <w:pBdr>
          <w:top w:val="nil"/>
          <w:left w:val="nil"/>
          <w:bottom w:val="nil"/>
          <w:right w:val="nil"/>
          <w:between w:val="nil"/>
        </w:pBdr>
        <w:ind w:left="720"/>
        <w:rPr>
          <w:rFonts w:ascii="Palatino Linotype" w:eastAsia="Palatino Linotype" w:hAnsi="Palatino Linotype" w:cs="Palatino Linotype"/>
          <w:color w:val="000000"/>
        </w:rPr>
      </w:pPr>
    </w:p>
    <w:p w:rsidR="00605057" w:rsidRPr="005A369B" w:rsidRDefault="00605057" w:rsidP="0056322A">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5A369B">
        <w:rPr>
          <w:rFonts w:ascii="Palatino Linotype" w:eastAsia="Palatino Linotype" w:hAnsi="Palatino Linotype" w:cs="Palatino Linotype"/>
          <w:color w:val="000000"/>
        </w:rPr>
        <w:t xml:space="preserve">La </w:t>
      </w:r>
      <w:r w:rsidRPr="005A369B">
        <w:rPr>
          <w:rFonts w:ascii="Palatino Linotype" w:eastAsia="Palatino Linotype" w:hAnsi="Palatino Linotype" w:cs="Palatino Linotype"/>
          <w:b/>
          <w:bCs/>
          <w:color w:val="000000"/>
        </w:rPr>
        <w:t>clave de elector</w:t>
      </w:r>
      <w:r w:rsidRPr="005A369B">
        <w:rPr>
          <w:rFonts w:ascii="Palatino Linotype" w:eastAsia="Palatino Linotype" w:hAnsi="Palatino Linotype" w:cs="Palatino Linotype"/>
          <w:color w:val="000000"/>
        </w:rPr>
        <w:t>, es la composición alfanumérica compuesta de 18 caracteres, mismos que hacen identificable a una persona física, que se conforma por las primeras letras de los apellidos, año, mes, día, sexo, clave del estado en donde nació su titular, así como una homoclave que distingue a su titular de cualquier otro homónimo, por lo tanto, se trata de un dato personal que debe ser protegido.</w:t>
      </w:r>
    </w:p>
    <w:p w:rsidR="00605057" w:rsidRPr="005A369B" w:rsidRDefault="00605057" w:rsidP="00605057">
      <w:pPr>
        <w:pBdr>
          <w:top w:val="nil"/>
          <w:left w:val="nil"/>
          <w:bottom w:val="nil"/>
          <w:right w:val="nil"/>
          <w:between w:val="nil"/>
        </w:pBdr>
        <w:ind w:left="720"/>
        <w:rPr>
          <w:rFonts w:ascii="Palatino Linotype" w:eastAsia="Palatino Linotype" w:hAnsi="Palatino Linotype" w:cs="Palatino Linotype"/>
          <w:color w:val="000000"/>
        </w:rPr>
      </w:pPr>
    </w:p>
    <w:p w:rsidR="00605057" w:rsidRDefault="00605057" w:rsidP="0056322A">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5A369B">
        <w:rPr>
          <w:rFonts w:ascii="Palatino Linotype" w:eastAsia="Palatino Linotype" w:hAnsi="Palatino Linotype" w:cs="Palatino Linotype"/>
          <w:color w:val="000000"/>
        </w:rPr>
        <w:t xml:space="preserve">El </w:t>
      </w:r>
      <w:r w:rsidRPr="005A369B">
        <w:rPr>
          <w:rFonts w:ascii="Palatino Linotype" w:eastAsia="Palatino Linotype" w:hAnsi="Palatino Linotype" w:cs="Palatino Linotype"/>
          <w:b/>
          <w:bCs/>
          <w:color w:val="000000"/>
        </w:rPr>
        <w:t>número de OCR,</w:t>
      </w:r>
      <w:r w:rsidRPr="005A369B">
        <w:rPr>
          <w:rFonts w:ascii="Palatino Linotype" w:eastAsia="Palatino Linotype" w:hAnsi="Palatino Linotype" w:cs="Palatino Linotype"/>
          <w:color w:val="000000"/>
        </w:rPr>
        <w:t xml:space="preserve"> denominado Reconocimiento Óptico de Caracteres (OCR), contiene el número de la sección electoral en donde vota el ciudadano titular de dicho documento, por lo que constituye un dato personal en razón de que revela información concerniente a una persona física identificada o identificable en función de la información geoelectoral ahí contenida, por lo que es susceptible de resguardarse.</w:t>
      </w:r>
    </w:p>
    <w:p w:rsidR="00AD774F" w:rsidRDefault="00AD774F" w:rsidP="00AD774F">
      <w:pPr>
        <w:pStyle w:val="Prrafodelista"/>
        <w:rPr>
          <w:rFonts w:ascii="Palatino Linotype" w:eastAsia="Palatino Linotype" w:hAnsi="Palatino Linotype" w:cs="Palatino Linotype"/>
          <w:color w:val="000000"/>
        </w:rPr>
      </w:pPr>
    </w:p>
    <w:p w:rsidR="00AD774F" w:rsidRPr="005A369B" w:rsidRDefault="00AD774F" w:rsidP="00AD774F">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605057" w:rsidRDefault="00605057" w:rsidP="0056322A">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5A369B">
        <w:rPr>
          <w:rFonts w:ascii="Palatino Linotype" w:eastAsia="Palatino Linotype" w:hAnsi="Palatino Linotype" w:cs="Palatino Linotype"/>
          <w:color w:val="000000"/>
        </w:rPr>
        <w:t xml:space="preserve">La </w:t>
      </w:r>
      <w:r w:rsidRPr="005A369B">
        <w:rPr>
          <w:rFonts w:ascii="Palatino Linotype" w:eastAsia="Palatino Linotype" w:hAnsi="Palatino Linotype" w:cs="Palatino Linotype"/>
          <w:b/>
          <w:bCs/>
          <w:color w:val="000000"/>
        </w:rPr>
        <w:t>clave única del registro de población (CURP),</w:t>
      </w:r>
      <w:r w:rsidRPr="005A369B">
        <w:rPr>
          <w:rFonts w:ascii="Palatino Linotype" w:eastAsia="Palatino Linotype" w:hAnsi="Palatino Linotype" w:cs="Palatino Linotype"/>
          <w:i/>
          <w:iCs/>
          <w:color w:val="000000"/>
        </w:rPr>
        <w:t xml:space="preserve"> </w:t>
      </w:r>
      <w:r w:rsidRPr="005A369B">
        <w:rPr>
          <w:rFonts w:ascii="Palatino Linotype" w:eastAsia="Palatino Linotype" w:hAnsi="Palatino Linotype" w:cs="Palatino Linotype"/>
          <w:color w:val="000000"/>
        </w:rPr>
        <w:t>se integra por datos personales que sólo conciernen al particular titular de la misma, como lo son su nombre, apellidos, fecha de nacimiento, lugar de nacimiento y sexo;  datos  que constituyen información que distingue plenamente a una persona física del resto de los habitantes del país, por lo está considerada como información confidencial.</w:t>
      </w:r>
    </w:p>
    <w:p w:rsidR="00AD774F" w:rsidRPr="005A369B" w:rsidRDefault="00AD774F" w:rsidP="00AD774F">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605057" w:rsidRPr="005A369B" w:rsidRDefault="00605057" w:rsidP="0056322A">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5A369B">
        <w:rPr>
          <w:rFonts w:ascii="Palatino Linotype" w:eastAsia="Palatino Linotype" w:hAnsi="Palatino Linotype" w:cs="Palatino Linotype"/>
          <w:color w:val="000000"/>
        </w:rPr>
        <w:t xml:space="preserve">Igualmente, resulta importante destacar que el </w:t>
      </w:r>
      <w:r w:rsidRPr="005A369B">
        <w:rPr>
          <w:rFonts w:ascii="Palatino Linotype" w:eastAsia="Palatino Linotype" w:hAnsi="Palatino Linotype" w:cs="Palatino Linotype"/>
          <w:i/>
          <w:iCs/>
          <w:color w:val="000000"/>
        </w:rPr>
        <w:t>número de cuenta bancaria</w:t>
      </w:r>
      <w:r w:rsidRPr="005A369B">
        <w:rPr>
          <w:rFonts w:ascii="Palatino Linotype" w:eastAsia="Palatino Linotype" w:hAnsi="Palatino Linotype" w:cs="Palatino Linotype"/>
          <w:color w:val="000000"/>
        </w:rPr>
        <w:t xml:space="preserve"> de las personas físicas es información que sólo su titular o personas autorizadas poseen para el </w:t>
      </w:r>
      <w:r w:rsidRPr="005A369B">
        <w:rPr>
          <w:rFonts w:ascii="Palatino Linotype" w:eastAsia="Palatino Linotype" w:hAnsi="Palatino Linotype" w:cs="Palatino Linotype"/>
          <w:color w:val="000000"/>
        </w:rPr>
        <w:lastRenderedPageBreak/>
        <w:t>acceso o consulta de información patrimonial, o para la realización de operaciones bancarias de diversa naturaleza, por lo que la difusión pública del mismo facilitaría la afectación al patrimonio del titular de la cuenta.</w:t>
      </w:r>
    </w:p>
    <w:p w:rsidR="00605057" w:rsidRPr="005A369B" w:rsidRDefault="00605057" w:rsidP="00605057">
      <w:pPr>
        <w:pBdr>
          <w:top w:val="nil"/>
          <w:left w:val="nil"/>
          <w:bottom w:val="nil"/>
          <w:right w:val="nil"/>
          <w:between w:val="nil"/>
        </w:pBdr>
        <w:ind w:left="720"/>
        <w:rPr>
          <w:rFonts w:ascii="Palatino Linotype" w:eastAsia="Palatino Linotype" w:hAnsi="Palatino Linotype" w:cs="Palatino Linotype"/>
          <w:color w:val="000000"/>
        </w:rPr>
      </w:pPr>
    </w:p>
    <w:p w:rsidR="00605057" w:rsidRPr="005A369B" w:rsidRDefault="00605057" w:rsidP="0056322A">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5A369B">
        <w:rPr>
          <w:rFonts w:ascii="Palatino Linotype" w:eastAsia="Palatino Linotype" w:hAnsi="Palatino Linotype" w:cs="Palatino Linotype"/>
          <w:color w:val="000000"/>
        </w:rPr>
        <w:t>Por lo anterior, el número de cuenta bancaria debe ser clasificado como confidencial con fundamento en las fracciones I y II del artículo 143 de la Ley de la Materia de la Entidad; en razón de que, con su difusión se estaría poniendo en riesgo la seguridad de su titular.</w:t>
      </w:r>
    </w:p>
    <w:p w:rsidR="00605057" w:rsidRPr="005A369B" w:rsidRDefault="00605057" w:rsidP="00605057">
      <w:pPr>
        <w:pBdr>
          <w:top w:val="nil"/>
          <w:left w:val="nil"/>
          <w:bottom w:val="nil"/>
          <w:right w:val="nil"/>
          <w:between w:val="nil"/>
        </w:pBdr>
        <w:ind w:left="720"/>
        <w:rPr>
          <w:rFonts w:ascii="Palatino Linotype" w:eastAsia="Palatino Linotype" w:hAnsi="Palatino Linotype" w:cs="Palatino Linotype"/>
          <w:color w:val="000000"/>
        </w:rPr>
      </w:pPr>
    </w:p>
    <w:p w:rsidR="00605057" w:rsidRPr="005A369B" w:rsidRDefault="00605057" w:rsidP="0056322A">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5A369B">
        <w:rPr>
          <w:rFonts w:ascii="Palatino Linotype" w:eastAsia="Palatino Linotype" w:hAnsi="Palatino Linotype" w:cs="Palatino Linotype"/>
          <w:color w:val="000000"/>
        </w:rPr>
        <w:t xml:space="preserve">Además de que, la publicidad de los números de cuenta bancaria de los particulares en nada contribuye a la rendición de cuentas, sino por el contrario, dar a conocer los números de las cuentas bancarias hace vulnerable a las personas físicas, al abrir la posibilidad de que terceros que cuenten con las posibilidades tecnológicas y/o económicas puedan realizar actos ilícitos mediante operaciones cibernéticas; en esa virtud, este Instituto determina que dicha información no puede ser del dominio público, toda vez que se podría dar un uso inadecuado a la misma o cometer algún ilícito o fraude en contra del patrimonio de los particulares. </w:t>
      </w:r>
    </w:p>
    <w:p w:rsidR="00605057" w:rsidRPr="005A369B" w:rsidRDefault="00605057" w:rsidP="00605057">
      <w:pPr>
        <w:pBdr>
          <w:top w:val="nil"/>
          <w:left w:val="nil"/>
          <w:bottom w:val="nil"/>
          <w:right w:val="nil"/>
          <w:between w:val="nil"/>
        </w:pBdr>
        <w:rPr>
          <w:rFonts w:ascii="Palatino Linotype" w:eastAsia="Palatino Linotype" w:hAnsi="Palatino Linotype" w:cs="Palatino Linotype"/>
          <w:color w:val="000000"/>
        </w:rPr>
      </w:pPr>
    </w:p>
    <w:p w:rsidR="00605057" w:rsidRPr="005A369B" w:rsidRDefault="00605057" w:rsidP="0056322A">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5A369B">
        <w:rPr>
          <w:rFonts w:ascii="Palatino Linotype" w:eastAsia="Palatino Linotype" w:hAnsi="Palatino Linotype" w:cs="Palatino Linotype"/>
          <w:color w:val="000000"/>
        </w:rPr>
        <w:t>En esa virtud, este Pleno determina que dicha información no puede ser del dominio público, toda vez que se podría dar un uso inadecuado a la misma o cometer algún ilícito o fraude como ya ha sido expuesto, razón por la que debe omitirse el o los números de cuentas bancarias de particulares en las versiones públicas que de las facturas se hagan, para ser entregadas.</w:t>
      </w:r>
    </w:p>
    <w:p w:rsidR="00605057" w:rsidRPr="005A369B" w:rsidRDefault="00605057" w:rsidP="00605057">
      <w:pPr>
        <w:pBdr>
          <w:top w:val="nil"/>
          <w:left w:val="nil"/>
          <w:bottom w:val="nil"/>
          <w:right w:val="nil"/>
          <w:between w:val="nil"/>
        </w:pBdr>
        <w:rPr>
          <w:rFonts w:ascii="Palatino Linotype" w:eastAsia="Palatino Linotype" w:hAnsi="Palatino Linotype" w:cs="Palatino Linotype"/>
          <w:color w:val="000000"/>
        </w:rPr>
      </w:pPr>
    </w:p>
    <w:p w:rsidR="00605057" w:rsidRPr="005A369B" w:rsidRDefault="00605057" w:rsidP="0056322A">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5A369B">
        <w:rPr>
          <w:rFonts w:ascii="Palatino Linotype" w:eastAsia="Palatino Linotype" w:hAnsi="Palatino Linotype" w:cs="Palatino Linotype"/>
          <w:color w:val="000000"/>
        </w:rPr>
        <w:t>Lo anterior, no es así tratándose de las cuentas bancarias o claves interbancarias de los Sujetos Obligados ya que su publicidad cede a la rendición de cuentas al transparentar la forma en que son administrados los recursos públicos.</w:t>
      </w:r>
    </w:p>
    <w:p w:rsidR="00605057" w:rsidRPr="005A369B" w:rsidRDefault="00605057" w:rsidP="0056322A">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5A369B">
        <w:rPr>
          <w:rFonts w:ascii="Palatino Linotype" w:eastAsia="Palatino Linotype" w:hAnsi="Palatino Linotype" w:cs="Palatino Linotype"/>
          <w:color w:val="000000"/>
        </w:rPr>
        <w:lastRenderedPageBreak/>
        <w:t>Lo expuesto halla sustento en los criterios orientadores 10/17 y 11/17 emitidos por el entonces Instituto Nacional de Transparencia, Acceso a la Información y Protección de Datos Personales, INAI, que llevan por rubro y texto los siguientes:</w:t>
      </w:r>
    </w:p>
    <w:p w:rsidR="00605057" w:rsidRPr="005A369B" w:rsidRDefault="00605057" w:rsidP="00605057">
      <w:pPr>
        <w:spacing w:before="120" w:after="120"/>
        <w:ind w:left="1134" w:right="1134"/>
        <w:jc w:val="both"/>
        <w:rPr>
          <w:rFonts w:ascii="Palatino Linotype" w:eastAsia="Palatino Linotype" w:hAnsi="Palatino Linotype" w:cs="Palatino Linotype"/>
          <w:i/>
          <w:iCs/>
        </w:rPr>
      </w:pPr>
      <w:r w:rsidRPr="005A369B">
        <w:rPr>
          <w:rFonts w:ascii="Palatino Linotype" w:eastAsia="Palatino Linotype" w:hAnsi="Palatino Linotype" w:cs="Palatino Linotype"/>
          <w:b/>
          <w:bCs/>
          <w:i/>
          <w:iCs/>
        </w:rPr>
        <w:t>“Cuentas bancarias y/o CLABE interbancaria de personas físicas y morales privadas.</w:t>
      </w:r>
      <w:r w:rsidRPr="005A369B">
        <w:rPr>
          <w:rFonts w:ascii="Palatino Linotype" w:eastAsia="Palatino Linotype" w:hAnsi="Palatino Linotype" w:cs="Palatino Linotype"/>
          <w:i/>
          <w:iCs/>
        </w:rPr>
        <w:t> El número de cuenta bancaria y/o CLABE interbancaria de particulares es información confidencial, al tratarse de un conjunto de caracteres numéricos utilizados por los grupos financieros para identificar las cuentas de sus clientes, a través de los cuales se puede acceder a información relacionada con su patrimonio y realizar diversas transacciones; por tanto, constituye información clasificada con fundamento en los artículos 116 de la Ley General de Transparencia y Acceso a la Información Pública y 113 de la Ley Federal de Transparencia y Acceso a la Información Pública.</w:t>
      </w:r>
    </w:p>
    <w:p w:rsidR="00605057" w:rsidRPr="005A369B" w:rsidRDefault="00605057" w:rsidP="00605057">
      <w:pPr>
        <w:spacing w:before="120" w:after="120"/>
        <w:ind w:left="1134" w:right="1134"/>
        <w:jc w:val="both"/>
        <w:rPr>
          <w:rFonts w:ascii="Palatino Linotype" w:eastAsia="Palatino Linotype" w:hAnsi="Palatino Linotype" w:cs="Palatino Linotype"/>
          <w:i/>
          <w:iCs/>
        </w:rPr>
      </w:pPr>
      <w:r w:rsidRPr="005A369B">
        <w:rPr>
          <w:rFonts w:ascii="Palatino Linotype" w:eastAsia="Palatino Linotype" w:hAnsi="Palatino Linotype" w:cs="Palatino Linotype"/>
          <w:b/>
          <w:bCs/>
          <w:i/>
          <w:iCs/>
        </w:rPr>
        <w:t>Cuentas bancarias y/o CLABE interbancaria de sujetos obligados que reciben y/o transfieren recursos públicos, son información pública</w:t>
      </w:r>
      <w:r w:rsidRPr="005A369B">
        <w:rPr>
          <w:rFonts w:ascii="Palatino Linotype" w:eastAsia="Palatino Linotype" w:hAnsi="Palatino Linotype" w:cs="Palatino Linotype"/>
          <w:i/>
          <w:iCs/>
        </w:rPr>
        <w:t>. La difusión de las cuentas bancarias y claves interbancarias pertenecientes a un sujeto obligado favorece la rendición de cuentas al transparentar la forma en que se administran los recursos públicos, razón por la cual no pueden considerarse como información clasificada.”</w:t>
      </w:r>
    </w:p>
    <w:p w:rsidR="00605057" w:rsidRPr="005A369B" w:rsidRDefault="00605057" w:rsidP="00605057">
      <w:pPr>
        <w:spacing w:before="120" w:after="120"/>
        <w:ind w:left="1134" w:right="1134"/>
        <w:jc w:val="both"/>
        <w:rPr>
          <w:rFonts w:ascii="Palatino Linotype" w:eastAsia="Palatino Linotype" w:hAnsi="Palatino Linotype" w:cs="Palatino Linotype"/>
          <w:i/>
          <w:iCs/>
        </w:rPr>
      </w:pPr>
    </w:p>
    <w:p w:rsidR="00605057" w:rsidRDefault="00605057" w:rsidP="0056322A">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5A369B">
        <w:rPr>
          <w:rFonts w:ascii="Palatino Linotype" w:eastAsia="Palatino Linotype" w:hAnsi="Palatino Linotype" w:cs="Palatino Linotype"/>
          <w:color w:val="000000"/>
        </w:rPr>
        <w:t xml:space="preserve">Por cuanto hace al </w:t>
      </w:r>
      <w:r w:rsidRPr="005A369B">
        <w:rPr>
          <w:rFonts w:ascii="Palatino Linotype" w:eastAsia="Palatino Linotype" w:hAnsi="Palatino Linotype" w:cs="Palatino Linotype"/>
          <w:b/>
          <w:bCs/>
          <w:color w:val="000000"/>
        </w:rPr>
        <w:t xml:space="preserve">Registro Federal de Contribuyentes (RFC) </w:t>
      </w:r>
      <w:r w:rsidRPr="005A369B">
        <w:rPr>
          <w:rFonts w:ascii="Palatino Linotype" w:eastAsia="Palatino Linotype" w:hAnsi="Palatino Linotype" w:cs="Palatino Linotype"/>
          <w:color w:val="000000"/>
        </w:rPr>
        <w:t>y</w:t>
      </w:r>
      <w:r w:rsidRPr="005A369B">
        <w:rPr>
          <w:rFonts w:ascii="Palatino Linotype" w:eastAsia="Palatino Linotype" w:hAnsi="Palatino Linotype" w:cs="Palatino Linotype"/>
          <w:b/>
          <w:bCs/>
          <w:color w:val="000000"/>
        </w:rPr>
        <w:t xml:space="preserve"> el domicilio fiscal </w:t>
      </w:r>
      <w:r w:rsidRPr="005A369B">
        <w:rPr>
          <w:rFonts w:ascii="Palatino Linotype" w:eastAsia="Palatino Linotype" w:hAnsi="Palatino Linotype" w:cs="Palatino Linotype"/>
          <w:color w:val="000000"/>
        </w:rPr>
        <w:t>si bien este Instituto ha sostenido que el RFC y domicilio de las personas físicas debe ser testado por los Sujetos Obligados, en las versiones públicas de los documentos que elaboren para atender las solicitudes de información pública, lo cierto es que, tratándose de proveedores, prestadores de servicios o contratistas, dichos datos no deben ser suprimidos de las facturas y contratos que vayan a ser entregados.</w:t>
      </w:r>
    </w:p>
    <w:p w:rsidR="00AD774F" w:rsidRPr="005A369B" w:rsidRDefault="00AD774F" w:rsidP="00AD774F">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605057" w:rsidRPr="005A369B" w:rsidRDefault="00605057" w:rsidP="0056322A">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5A369B">
        <w:rPr>
          <w:rFonts w:ascii="Palatino Linotype" w:eastAsia="Palatino Linotype" w:hAnsi="Palatino Linotype" w:cs="Palatino Linotype"/>
          <w:color w:val="000000"/>
        </w:rPr>
        <w:t xml:space="preserve">Ello se debe a que, del ejercicio de ponderación entre el derecho a la protección de datos personales con el derecho de acceso a la información pública, es de mayor trascendencia </w:t>
      </w:r>
      <w:r w:rsidRPr="005A369B">
        <w:rPr>
          <w:rFonts w:ascii="Palatino Linotype" w:eastAsia="Palatino Linotype" w:hAnsi="Palatino Linotype" w:cs="Palatino Linotype"/>
          <w:color w:val="000000"/>
        </w:rPr>
        <w:lastRenderedPageBreak/>
        <w:t>el que cualquier persona pueda conocer en qué se gastan los recursos públicos, puesto que se trata de erogaciones que realiza un órgano del Estado con base en los recursos que encuentran su origen en mayor medida en las contribuciones aportados por los gobernados, por lo que debe transparentarse su ejercicio.</w:t>
      </w:r>
    </w:p>
    <w:p w:rsidR="00605057" w:rsidRPr="005A369B" w:rsidRDefault="00605057" w:rsidP="00605057">
      <w:pPr>
        <w:pBdr>
          <w:top w:val="nil"/>
          <w:left w:val="nil"/>
          <w:bottom w:val="nil"/>
          <w:right w:val="nil"/>
          <w:between w:val="nil"/>
        </w:pBdr>
        <w:rPr>
          <w:rFonts w:ascii="Palatino Linotype" w:eastAsia="Palatino Linotype" w:hAnsi="Palatino Linotype" w:cs="Palatino Linotype"/>
          <w:color w:val="000000"/>
        </w:rPr>
      </w:pPr>
    </w:p>
    <w:p w:rsidR="00605057" w:rsidRDefault="00605057" w:rsidP="0056322A">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5A369B">
        <w:rPr>
          <w:rFonts w:ascii="Palatino Linotype" w:eastAsia="Palatino Linotype" w:hAnsi="Palatino Linotype" w:cs="Palatino Linotype"/>
          <w:color w:val="000000"/>
        </w:rPr>
        <w:t>Además, las personas físicas que realicen las actividades contratadas por las instituciones, renuncian implícitamente a una parte de su derecho a la intimidad al obtener beneficios y lucros de los recursos públicos por dicha contratación, por lo que no puede considerarse como información clasificada lo relativo a su nombre, registro federal de contribuyentes y domicilio fiscal, atento a que dicha información es la que puede generar certeza en los gobernados del debido ejercicio del presupuesto.</w:t>
      </w:r>
    </w:p>
    <w:p w:rsidR="006312CC" w:rsidRPr="005A369B" w:rsidRDefault="006312CC" w:rsidP="006312CC">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605057" w:rsidRPr="005A369B" w:rsidRDefault="00605057" w:rsidP="0056322A">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5A369B">
        <w:rPr>
          <w:rFonts w:ascii="Palatino Linotype" w:eastAsia="Palatino Linotype" w:hAnsi="Palatino Linotype" w:cs="Palatino Linotype"/>
          <w:color w:val="000000"/>
        </w:rPr>
        <w:t>Robustece lo anterior el criterio orientador 04/21 emitido por el entonces Instituto Nacional de Transparencia, Acceso a la Información y Protección de Datos Personales, INAI, el cual refiere:</w:t>
      </w:r>
    </w:p>
    <w:p w:rsidR="00605057" w:rsidRPr="005A369B" w:rsidRDefault="00605057" w:rsidP="00605057">
      <w:pPr>
        <w:spacing w:before="120" w:after="120"/>
        <w:ind w:left="1134" w:right="1134"/>
        <w:jc w:val="both"/>
        <w:rPr>
          <w:rFonts w:ascii="Palatino Linotype" w:eastAsia="Palatino Linotype" w:hAnsi="Palatino Linotype" w:cs="Palatino Linotype"/>
          <w:i/>
          <w:iCs/>
        </w:rPr>
      </w:pPr>
      <w:r w:rsidRPr="005A369B">
        <w:rPr>
          <w:rFonts w:ascii="Palatino Linotype" w:eastAsia="Palatino Linotype" w:hAnsi="Palatino Linotype" w:cs="Palatino Linotype"/>
          <w:b/>
          <w:bCs/>
          <w:i/>
          <w:iCs/>
        </w:rPr>
        <w:t xml:space="preserve">“Registro Federal de Contribuyentes (RFC) de personas físicas proveedoras o contratistas. </w:t>
      </w:r>
      <w:r w:rsidRPr="005A369B">
        <w:rPr>
          <w:rFonts w:ascii="Palatino Linotype" w:eastAsia="Palatino Linotype" w:hAnsi="Palatino Linotype" w:cs="Palatino Linotype"/>
          <w:i/>
          <w:iCs/>
        </w:rPr>
        <w:t>El RFC de contratistas o proveedores de los sujetos obligados debe ser público, ya que al tratarse de personas con contrataciones públicas, su difusión favorece la transparencia con la que deben administrarse los recursos públicos, en términos del artículo 134 de la Constitución Política de los Estados Unidos Mexicanos.”</w:t>
      </w:r>
    </w:p>
    <w:p w:rsidR="00605057" w:rsidRPr="005A369B" w:rsidRDefault="00605057" w:rsidP="00605057">
      <w:pPr>
        <w:spacing w:before="120" w:after="120"/>
        <w:ind w:left="1134" w:right="1134"/>
        <w:jc w:val="both"/>
        <w:rPr>
          <w:rFonts w:ascii="Palatino Linotype" w:eastAsia="Palatino Linotype" w:hAnsi="Palatino Linotype" w:cs="Palatino Linotype"/>
          <w:i/>
          <w:iCs/>
        </w:rPr>
      </w:pPr>
    </w:p>
    <w:p w:rsidR="00605057" w:rsidRDefault="00605057" w:rsidP="00AD774F">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5A369B">
        <w:rPr>
          <w:rFonts w:ascii="Palatino Linotype" w:eastAsia="Palatino Linotype" w:hAnsi="Palatino Linotype" w:cs="Palatino Linotype"/>
          <w:color w:val="000000"/>
        </w:rPr>
        <w:t xml:space="preserve">Aunado a lo argumentado, el </w:t>
      </w:r>
      <w:r w:rsidRPr="005A369B">
        <w:rPr>
          <w:rFonts w:ascii="Palatino Linotype" w:eastAsia="Palatino Linotype" w:hAnsi="Palatino Linotype" w:cs="Palatino Linotype"/>
          <w:b/>
          <w:bCs/>
          <w:color w:val="000000"/>
        </w:rPr>
        <w:t>nombre de las personas físicas</w:t>
      </w:r>
      <w:r w:rsidRPr="005A369B">
        <w:rPr>
          <w:rFonts w:ascii="Palatino Linotype" w:eastAsia="Palatino Linotype" w:hAnsi="Palatino Linotype" w:cs="Palatino Linotype"/>
          <w:color w:val="000000"/>
        </w:rPr>
        <w:t xml:space="preserve"> o los </w:t>
      </w:r>
      <w:r w:rsidRPr="005A369B">
        <w:rPr>
          <w:rFonts w:ascii="Palatino Linotype" w:eastAsia="Palatino Linotype" w:hAnsi="Palatino Linotype" w:cs="Palatino Linotype"/>
          <w:b/>
          <w:bCs/>
          <w:color w:val="000000"/>
        </w:rPr>
        <w:t>representantes legales de las personas morales</w:t>
      </w:r>
      <w:r w:rsidRPr="005A369B">
        <w:rPr>
          <w:rFonts w:ascii="Palatino Linotype" w:eastAsia="Palatino Linotype" w:hAnsi="Palatino Linotype" w:cs="Palatino Linotype"/>
          <w:color w:val="000000"/>
        </w:rPr>
        <w:t xml:space="preserve">, en su calidad de proveedores, contratistas o prestadores de servicios, y la firma y rúbrica de estos, que participen en algún  proceso de adjudicación en </w:t>
      </w:r>
      <w:r w:rsidRPr="005A369B">
        <w:rPr>
          <w:rFonts w:ascii="Palatino Linotype" w:eastAsia="Palatino Linotype" w:hAnsi="Palatino Linotype" w:cs="Palatino Linotype"/>
          <w:color w:val="000000"/>
        </w:rPr>
        <w:lastRenderedPageBreak/>
        <w:t>cualquiera de sus modalidades, debe mencionarse que con base en el artículo 23 párrafo segundo y 24 fracción XVIII  de la Ley de Transparencia y Acceso a la Información Pública del Estado de México y Municipios, los entes públicos tienen la obligación de difundir toda aquella información relativa a los montos y las personas a quienes entreguen, por cualquier motivo, recursos públicos, así como los informes que dichas personas entreguen sobre el uso y destino de dichos recursos, motivo por el cual los datos del representante legal de la persona moral que resultó favorecida con el procedimiento de licitación no conservan el carácter de confidencial y por tanto no deben ser testados.</w:t>
      </w:r>
    </w:p>
    <w:p w:rsidR="00AD774F" w:rsidRPr="00AD774F" w:rsidRDefault="00AD774F" w:rsidP="00AD774F">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605057" w:rsidRPr="005A369B" w:rsidRDefault="00605057" w:rsidP="0056322A">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5A369B">
        <w:rPr>
          <w:rFonts w:ascii="Palatino Linotype" w:eastAsia="Palatino Linotype" w:hAnsi="Palatino Linotype" w:cs="Palatino Linotype"/>
          <w:color w:val="000000"/>
        </w:rPr>
        <w:t>Lo anterior guarda sustento en lo estipulado por el artículo 23 de la Ley de Transparencia y Acceso a la Información Pública del Estado de México y Municipios en su penúltimo párrafo, mismo que es del tenor literal siguiente:</w:t>
      </w:r>
    </w:p>
    <w:p w:rsidR="00605057" w:rsidRPr="005A369B" w:rsidRDefault="00605057" w:rsidP="00AD774F">
      <w:pPr>
        <w:spacing w:before="120" w:after="120"/>
        <w:ind w:left="1134" w:right="1843"/>
        <w:jc w:val="both"/>
        <w:rPr>
          <w:rFonts w:ascii="Palatino Linotype" w:eastAsia="Palatino Linotype" w:hAnsi="Palatino Linotype" w:cs="Palatino Linotype"/>
          <w:i/>
          <w:iCs/>
        </w:rPr>
      </w:pPr>
      <w:r w:rsidRPr="005A369B">
        <w:rPr>
          <w:rFonts w:ascii="Palatino Linotype" w:eastAsia="Palatino Linotype" w:hAnsi="Palatino Linotype" w:cs="Palatino Linotype"/>
          <w:i/>
          <w:iCs/>
        </w:rPr>
        <w:t>“</w:t>
      </w:r>
      <w:r w:rsidRPr="005A369B">
        <w:rPr>
          <w:rFonts w:ascii="Palatino Linotype" w:eastAsia="Palatino Linotype" w:hAnsi="Palatino Linotype" w:cs="Palatino Linotype"/>
          <w:b/>
          <w:bCs/>
          <w:i/>
          <w:iCs/>
        </w:rPr>
        <w:t>Artículo 23.</w:t>
      </w:r>
      <w:r w:rsidRPr="005A369B">
        <w:rPr>
          <w:rFonts w:ascii="Palatino Linotype" w:eastAsia="Palatino Linotype" w:hAnsi="Palatino Linotype" w:cs="Palatino Linotype"/>
          <w:i/>
          <w:iCs/>
        </w:rPr>
        <w:t xml:space="preserve"> (…)</w:t>
      </w:r>
    </w:p>
    <w:p w:rsidR="00605057" w:rsidRDefault="00605057" w:rsidP="00AD774F">
      <w:pPr>
        <w:spacing w:before="120" w:after="120"/>
        <w:ind w:left="1134" w:right="1843"/>
        <w:jc w:val="both"/>
        <w:rPr>
          <w:rFonts w:ascii="Palatino Linotype" w:eastAsia="Palatino Linotype" w:hAnsi="Palatino Linotype" w:cs="Palatino Linotype"/>
          <w:i/>
          <w:iCs/>
        </w:rPr>
      </w:pPr>
      <w:r w:rsidRPr="005A369B">
        <w:rPr>
          <w:rFonts w:ascii="Palatino Linotype" w:eastAsia="Palatino Linotype" w:hAnsi="Palatino Linotype" w:cs="Palatino Linotype"/>
          <w:i/>
          <w:iCs/>
        </w:rPr>
        <w:t>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rsidR="006312CC" w:rsidRPr="005A369B" w:rsidRDefault="006312CC" w:rsidP="00AD774F">
      <w:pPr>
        <w:spacing w:before="120" w:after="120"/>
        <w:ind w:left="1134" w:right="1843"/>
        <w:jc w:val="both"/>
        <w:rPr>
          <w:rFonts w:ascii="Palatino Linotype" w:eastAsia="Palatino Linotype" w:hAnsi="Palatino Linotype" w:cs="Palatino Linotype"/>
          <w:i/>
          <w:iCs/>
        </w:rPr>
      </w:pPr>
    </w:p>
    <w:p w:rsidR="00605057" w:rsidRPr="005A369B" w:rsidRDefault="00605057" w:rsidP="0056322A">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5A369B">
        <w:rPr>
          <w:rFonts w:ascii="Palatino Linotype" w:eastAsia="Palatino Linotype" w:hAnsi="Palatino Linotype" w:cs="Palatino Linotype"/>
        </w:rPr>
        <w:t>Asimismo, resulta aplicable el contenido del criterio orientador 01/19 emitido por el entonces Instituto Nacional de Transparencia, Acceso a la Información, y Protección de Datos Personales, INAI, que lleva por rubro y texto los siguientes;</w:t>
      </w:r>
    </w:p>
    <w:p w:rsidR="00605057" w:rsidRPr="005A369B" w:rsidRDefault="00605057" w:rsidP="00AD774F">
      <w:pPr>
        <w:ind w:left="1134" w:right="1843"/>
        <w:jc w:val="both"/>
        <w:rPr>
          <w:rFonts w:ascii="Palatino Linotype" w:eastAsia="Palatino Linotype" w:hAnsi="Palatino Linotype" w:cs="Palatino Linotype"/>
          <w:i/>
          <w:iCs/>
        </w:rPr>
      </w:pPr>
      <w:r w:rsidRPr="005A369B">
        <w:rPr>
          <w:rFonts w:ascii="Palatino Linotype" w:eastAsia="Palatino Linotype" w:hAnsi="Palatino Linotype" w:cs="Palatino Linotype"/>
          <w:b/>
          <w:bCs/>
          <w:i/>
          <w:iCs/>
        </w:rPr>
        <w:t>“Datos de identificación del representante o apoderado legal.</w:t>
      </w:r>
      <w:r w:rsidRPr="005A369B">
        <w:rPr>
          <w:rFonts w:ascii="Palatino Linotype" w:eastAsia="Palatino Linotype" w:hAnsi="Palatino Linotype" w:cs="Palatino Linotype"/>
          <w:i/>
          <w:iCs/>
        </w:rPr>
        <w:t xml:space="preserve"> </w:t>
      </w:r>
      <w:r w:rsidRPr="005A369B">
        <w:rPr>
          <w:rFonts w:ascii="Palatino Linotype" w:eastAsia="Palatino Linotype" w:hAnsi="Palatino Linotype" w:cs="Palatino Linotype"/>
          <w:b/>
          <w:bCs/>
          <w:i/>
          <w:iCs/>
        </w:rPr>
        <w:t xml:space="preserve">Naturaleza jurídica. </w:t>
      </w:r>
      <w:r w:rsidRPr="005A369B">
        <w:rPr>
          <w:rFonts w:ascii="Palatino Linotype" w:eastAsia="Palatino Linotype" w:hAnsi="Palatino Linotype" w:cs="Palatino Linotype"/>
          <w:i/>
          <w:iCs/>
        </w:rPr>
        <w:t xml:space="preserve">El nombre, la firma y la rúbrica de una persona física, que actúe como representante o apoderado legal de un tercero que haya celebrado un acto jurídico, con algún sujeto obligado, </w:t>
      </w:r>
      <w:r w:rsidRPr="005A369B">
        <w:rPr>
          <w:rFonts w:ascii="Palatino Linotype" w:eastAsia="Palatino Linotype" w:hAnsi="Palatino Linotype" w:cs="Palatino Linotype"/>
          <w:b/>
          <w:bCs/>
          <w:i/>
          <w:iCs/>
        </w:rPr>
        <w:t xml:space="preserve">es información pública, en razón de que tales datos fueron </w:t>
      </w:r>
      <w:r w:rsidRPr="005A369B">
        <w:rPr>
          <w:rFonts w:ascii="Palatino Linotype" w:eastAsia="Palatino Linotype" w:hAnsi="Palatino Linotype" w:cs="Palatino Linotype"/>
          <w:b/>
          <w:bCs/>
          <w:i/>
          <w:iCs/>
        </w:rPr>
        <w:lastRenderedPageBreak/>
        <w:t>proporcionados con el objeto de expresar el consentimiento obligacional del tercero y otorgar validez a dicho instrumento jurídico</w:t>
      </w:r>
      <w:r w:rsidRPr="005A369B">
        <w:rPr>
          <w:rFonts w:ascii="Palatino Linotype" w:eastAsia="Palatino Linotype" w:hAnsi="Palatino Linotype" w:cs="Palatino Linotype"/>
          <w:i/>
          <w:iCs/>
        </w:rPr>
        <w:t>.”</w:t>
      </w:r>
    </w:p>
    <w:p w:rsidR="00605057" w:rsidRPr="005A369B" w:rsidRDefault="00605057" w:rsidP="00605057">
      <w:pPr>
        <w:ind w:left="1134" w:right="1134"/>
        <w:jc w:val="both"/>
        <w:rPr>
          <w:rFonts w:ascii="Palatino Linotype" w:eastAsia="Palatino Linotype" w:hAnsi="Palatino Linotype" w:cs="Palatino Linotype"/>
          <w:i/>
          <w:iCs/>
        </w:rPr>
      </w:pPr>
    </w:p>
    <w:p w:rsidR="00605057" w:rsidRPr="005A369B" w:rsidRDefault="00605057" w:rsidP="0056322A">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5A369B">
        <w:rPr>
          <w:rFonts w:ascii="Palatino Linotype" w:eastAsia="Palatino Linotype" w:hAnsi="Palatino Linotype" w:cs="Palatino Linotype"/>
          <w:color w:val="000000"/>
        </w:rPr>
        <w:t>Para tal situación, el Sujeto Obligado deberá seguir el procedimiento establecido en el artículo 168 de la Ley de Transparencia y Acceso a la Información Pública del Estado de México y Municipios; esto es, que el área competente deberá elaborar la versión pública, así como emitir el Acuerdo, por parte del Comité de Transparencia, donde confirme la clasificación de los datos o documentos, fundando y motivando la clasificación.</w:t>
      </w:r>
    </w:p>
    <w:p w:rsidR="00605057" w:rsidRPr="005A369B" w:rsidRDefault="00605057" w:rsidP="00605057">
      <w:pPr>
        <w:spacing w:line="360" w:lineRule="auto"/>
        <w:jc w:val="both"/>
        <w:rPr>
          <w:rFonts w:ascii="Palatino Linotype" w:eastAsia="Palatino Linotype" w:hAnsi="Palatino Linotype" w:cs="Palatino Linotype"/>
        </w:rPr>
      </w:pPr>
    </w:p>
    <w:p w:rsidR="00605057" w:rsidRDefault="00605057" w:rsidP="0056322A">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5A369B">
        <w:rPr>
          <w:rFonts w:ascii="Palatino Linotype" w:eastAsia="Palatino Linotype" w:hAnsi="Palatino Linotype" w:cs="Palatino Linotype"/>
        </w:rPr>
        <w:t>Si el servidor público incumple con estas formalidades y entrega la información sin proteger los datos personales incumple con lo que estipula las disposiciones legales establecidas.</w:t>
      </w:r>
    </w:p>
    <w:p w:rsidR="006A2720" w:rsidRDefault="006A2720" w:rsidP="006A2720">
      <w:pPr>
        <w:pStyle w:val="Prrafodelista"/>
        <w:rPr>
          <w:rFonts w:ascii="Palatino Linotype" w:eastAsia="Palatino Linotype" w:hAnsi="Palatino Linotype" w:cs="Palatino Linotype"/>
        </w:rPr>
      </w:pPr>
    </w:p>
    <w:p w:rsidR="006A2720" w:rsidRPr="00463865" w:rsidRDefault="006A2720" w:rsidP="006A2720">
      <w:pPr>
        <w:tabs>
          <w:tab w:val="left" w:pos="7938"/>
        </w:tabs>
        <w:spacing w:line="360" w:lineRule="auto"/>
        <w:jc w:val="both"/>
        <w:rPr>
          <w:rFonts w:ascii="Palatino Linotype" w:eastAsia="Palatino Linotype" w:hAnsi="Palatino Linotype" w:cs="Palatino Linotype"/>
          <w:b/>
        </w:rPr>
      </w:pPr>
      <w:r w:rsidRPr="00463865">
        <w:rPr>
          <w:rFonts w:ascii="Palatino Linotype" w:eastAsia="Palatino Linotype" w:hAnsi="Palatino Linotype" w:cs="Palatino Linotype"/>
          <w:b/>
        </w:rPr>
        <w:t xml:space="preserve">De la vista a los órganos de control interno competentes </w:t>
      </w:r>
    </w:p>
    <w:p w:rsidR="006A2720" w:rsidRPr="006A2720" w:rsidRDefault="006A2720" w:rsidP="006A2720">
      <w:pPr>
        <w:numPr>
          <w:ilvl w:val="0"/>
          <w:numId w:val="3"/>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rPr>
      </w:pPr>
      <w:r w:rsidRPr="00463865">
        <w:rPr>
          <w:rFonts w:ascii="Palatino Linotype" w:eastAsia="Palatino Linotype" w:hAnsi="Palatino Linotype" w:cs="Palatino Linotype"/>
          <w:color w:val="000000"/>
        </w:rPr>
        <w:t xml:space="preserve">Como ya se mencionó </w:t>
      </w:r>
      <w:r w:rsidRPr="00463865">
        <w:rPr>
          <w:rFonts w:ascii="Palatino Linotype" w:eastAsia="Palatino Linotype" w:hAnsi="Palatino Linotype" w:cs="Palatino Linotype"/>
          <w:b/>
          <w:color w:val="000000"/>
        </w:rPr>
        <w:t>EL SUJETO OBLIGADO</w:t>
      </w:r>
      <w:r w:rsidRPr="00463865">
        <w:rPr>
          <w:rFonts w:ascii="Palatino Linotype" w:eastAsia="Palatino Linotype" w:hAnsi="Palatino Linotype" w:cs="Palatino Linotype"/>
          <w:color w:val="000000"/>
        </w:rPr>
        <w:t>, no proporcionó respuesta a la solicitud de acceso a la información pública, en el término previsto en el artículo 163 de la Ley de Transparencia y Acceso a la Información Pública por lo que ordena dar vista</w:t>
      </w:r>
      <w:r w:rsidRPr="00463865">
        <w:rPr>
          <w:rFonts w:ascii="Palatino Linotype" w:eastAsia="Palatino Linotype" w:hAnsi="Palatino Linotype" w:cs="Palatino Linotype"/>
          <w:b/>
          <w:color w:val="000000"/>
        </w:rPr>
        <w:t xml:space="preserve"> </w:t>
      </w:r>
      <w:r w:rsidRPr="00463865">
        <w:rPr>
          <w:rFonts w:ascii="Palatino Linotype" w:eastAsia="Palatino Linotype" w:hAnsi="Palatino Linotype" w:cs="Palatino Linotype"/>
          <w:color w:val="000000"/>
        </w:rPr>
        <w:t>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rsidR="00605057" w:rsidRPr="005A369B" w:rsidRDefault="00605057" w:rsidP="00605057">
      <w:pPr>
        <w:pBdr>
          <w:top w:val="nil"/>
          <w:left w:val="nil"/>
          <w:bottom w:val="nil"/>
          <w:right w:val="nil"/>
          <w:between w:val="nil"/>
        </w:pBdr>
        <w:ind w:left="720"/>
        <w:rPr>
          <w:rFonts w:ascii="Palatino Linotype" w:eastAsia="Palatino Linotype" w:hAnsi="Palatino Linotype" w:cs="Palatino Linotype"/>
          <w:color w:val="000000"/>
        </w:rPr>
      </w:pPr>
    </w:p>
    <w:p w:rsidR="00605057" w:rsidRPr="005A369B" w:rsidRDefault="00605057" w:rsidP="0056322A">
      <w:pPr>
        <w:numPr>
          <w:ilvl w:val="0"/>
          <w:numId w:val="3"/>
        </w:numPr>
        <w:pBdr>
          <w:top w:val="nil"/>
          <w:left w:val="nil"/>
          <w:bottom w:val="nil"/>
          <w:right w:val="nil"/>
          <w:between w:val="nil"/>
        </w:pBdr>
        <w:spacing w:line="360" w:lineRule="auto"/>
        <w:ind w:left="0" w:firstLine="0"/>
        <w:jc w:val="both"/>
        <w:rPr>
          <w:rFonts w:ascii="Palatino Linotype" w:hAnsi="Palatino Linotype"/>
          <w:color w:val="000000"/>
        </w:rPr>
      </w:pPr>
      <w:r w:rsidRPr="005A369B">
        <w:rPr>
          <w:rFonts w:ascii="Palatino Linotype" w:eastAsia="Palatino Linotype" w:hAnsi="Palatino Linotype" w:cs="Palatino Linotype"/>
        </w:rPr>
        <w:lastRenderedPageBreak/>
        <w:t>Por lo anteriormente expuesto, este Órgano Garante considera fundadas las razones o motivos de inconformidad que plantea el</w:t>
      </w:r>
      <w:r w:rsidRPr="005A369B">
        <w:rPr>
          <w:rFonts w:ascii="Palatino Linotype" w:eastAsia="Palatino Linotype" w:hAnsi="Palatino Linotype" w:cs="Palatino Linotype"/>
          <w:b/>
          <w:bCs/>
        </w:rPr>
        <w:t xml:space="preserve"> RECURRENTE</w:t>
      </w:r>
      <w:r w:rsidRPr="005A369B">
        <w:rPr>
          <w:rFonts w:ascii="Palatino Linotype" w:eastAsia="Palatino Linotype" w:hAnsi="Palatino Linotype" w:cs="Palatino Linotype"/>
        </w:rPr>
        <w:t xml:space="preserve">, por lo que con fundamento en lo prescrito en los artículos 5 párrafos vigésimo noveno, trigésimo y trigésimo primero fracciones IV y V de la Constitución Política del Estado Libre y Soberano de México; 2, fracción II; 29, 36 fracciones I y II; 176, 178, 181, 185 de la Ley de Transparencia y Acceso a la Información Pública del Estado de México y Municipios, </w:t>
      </w:r>
      <w:r w:rsidRPr="005A369B">
        <w:rPr>
          <w:rFonts w:ascii="Palatino Linotype" w:eastAsia="Palatino Linotype" w:hAnsi="Palatino Linotype" w:cs="Palatino Linotype"/>
          <w:color w:val="000000"/>
        </w:rPr>
        <w:t xml:space="preserve">este </w:t>
      </w:r>
      <w:r w:rsidRPr="005A369B">
        <w:rPr>
          <w:rFonts w:ascii="Palatino Linotype" w:eastAsia="Palatino Linotype" w:hAnsi="Palatino Linotype" w:cs="Palatino Linotype"/>
          <w:b/>
          <w:bCs/>
          <w:color w:val="000000"/>
        </w:rPr>
        <w:t>ÓRGANO GARANTE</w:t>
      </w:r>
      <w:r w:rsidRPr="005A369B">
        <w:rPr>
          <w:rFonts w:ascii="Palatino Linotype" w:eastAsia="Palatino Linotype" w:hAnsi="Palatino Linotype" w:cs="Palatino Linotype"/>
          <w:color w:val="000000"/>
        </w:rPr>
        <w:t xml:space="preserve"> emite los siguientes.</w:t>
      </w:r>
    </w:p>
    <w:p w:rsidR="00605057" w:rsidRPr="005A369B" w:rsidRDefault="00605057" w:rsidP="00605057">
      <w:pPr>
        <w:pBdr>
          <w:top w:val="nil"/>
          <w:left w:val="nil"/>
          <w:bottom w:val="nil"/>
          <w:right w:val="nil"/>
          <w:between w:val="nil"/>
        </w:pBdr>
        <w:ind w:left="720"/>
        <w:rPr>
          <w:rFonts w:ascii="Palatino Linotype" w:eastAsia="Palatino Linotype" w:hAnsi="Palatino Linotype" w:cs="Palatino Linotype"/>
          <w:color w:val="000000"/>
        </w:rPr>
      </w:pPr>
    </w:p>
    <w:p w:rsidR="00605057" w:rsidRPr="005A369B" w:rsidRDefault="00605057" w:rsidP="00605057">
      <w:pPr>
        <w:pStyle w:val="Ttulo1"/>
        <w:spacing w:before="0" w:line="360" w:lineRule="auto"/>
        <w:jc w:val="center"/>
        <w:rPr>
          <w:rFonts w:ascii="Palatino Linotype" w:eastAsia="Palatino Linotype" w:hAnsi="Palatino Linotype" w:cs="Palatino Linotype"/>
          <w:b/>
          <w:bCs/>
          <w:color w:val="000000"/>
          <w:sz w:val="24"/>
          <w:szCs w:val="24"/>
        </w:rPr>
      </w:pPr>
      <w:r w:rsidRPr="005A369B">
        <w:rPr>
          <w:rFonts w:ascii="Palatino Linotype" w:eastAsia="Palatino Linotype" w:hAnsi="Palatino Linotype" w:cs="Palatino Linotype"/>
          <w:b/>
          <w:bCs/>
          <w:color w:val="000000"/>
          <w:sz w:val="24"/>
          <w:szCs w:val="24"/>
        </w:rPr>
        <w:t>R E S O L U T I V O S</w:t>
      </w:r>
    </w:p>
    <w:p w:rsidR="00605057" w:rsidRPr="005A369B" w:rsidRDefault="00605057" w:rsidP="00605057">
      <w:pPr>
        <w:rPr>
          <w:rFonts w:ascii="Palatino Linotype" w:hAnsi="Palatino Linotype"/>
        </w:rPr>
      </w:pPr>
    </w:p>
    <w:p w:rsidR="00605057" w:rsidRPr="005A369B" w:rsidRDefault="00605057" w:rsidP="00605057">
      <w:pPr>
        <w:spacing w:line="360" w:lineRule="auto"/>
        <w:jc w:val="both"/>
        <w:rPr>
          <w:rFonts w:ascii="Palatino Linotype" w:eastAsia="Palatino Linotype" w:hAnsi="Palatino Linotype" w:cs="Palatino Linotype"/>
          <w:b/>
          <w:bCs/>
        </w:rPr>
      </w:pPr>
      <w:r w:rsidRPr="005A369B">
        <w:rPr>
          <w:rFonts w:ascii="Palatino Linotype" w:eastAsia="Palatino Linotype" w:hAnsi="Palatino Linotype" w:cs="Palatino Linotype"/>
          <w:b/>
          <w:bCs/>
        </w:rPr>
        <w:t>PRIMERO</w:t>
      </w:r>
      <w:r w:rsidRPr="005A369B">
        <w:rPr>
          <w:rFonts w:ascii="Palatino Linotype" w:eastAsia="Palatino Linotype" w:hAnsi="Palatino Linotype" w:cs="Palatino Linotype"/>
        </w:rPr>
        <w:t xml:space="preserve">. Resultan fundadas las razones o motivos de inconformidad hechos valer en el Recurso de Revisión </w:t>
      </w:r>
      <w:r w:rsidR="00AD774F">
        <w:rPr>
          <w:rFonts w:ascii="Palatino Linotype" w:eastAsia="Palatino Linotype" w:hAnsi="Palatino Linotype" w:cs="Palatino Linotype"/>
          <w:b/>
          <w:bCs/>
        </w:rPr>
        <w:t>12398</w:t>
      </w:r>
      <w:r w:rsidRPr="005A369B">
        <w:rPr>
          <w:rFonts w:ascii="Palatino Linotype" w:eastAsia="Palatino Linotype" w:hAnsi="Palatino Linotype" w:cs="Palatino Linotype"/>
          <w:b/>
          <w:bCs/>
        </w:rPr>
        <w:t xml:space="preserve">/INFOEM/IP/RR/2025, </w:t>
      </w:r>
      <w:r w:rsidRPr="005A369B">
        <w:rPr>
          <w:rFonts w:ascii="Palatino Linotype" w:eastAsia="Palatino Linotype" w:hAnsi="Palatino Linotype" w:cs="Palatino Linotype"/>
        </w:rPr>
        <w:t xml:space="preserve">en términos del Considerando </w:t>
      </w:r>
      <w:r w:rsidRPr="005A369B">
        <w:rPr>
          <w:rFonts w:ascii="Palatino Linotype" w:eastAsia="Palatino Linotype" w:hAnsi="Palatino Linotype" w:cs="Palatino Linotype"/>
          <w:b/>
          <w:bCs/>
        </w:rPr>
        <w:t xml:space="preserve">Cuarto y Quinto </w:t>
      </w:r>
      <w:r w:rsidRPr="005A369B">
        <w:rPr>
          <w:rFonts w:ascii="Palatino Linotype" w:eastAsia="Palatino Linotype" w:hAnsi="Palatino Linotype" w:cs="Palatino Linotype"/>
        </w:rPr>
        <w:t xml:space="preserve">de la presente resolución. </w:t>
      </w:r>
    </w:p>
    <w:p w:rsidR="00605057" w:rsidRPr="005A369B" w:rsidRDefault="00605057" w:rsidP="00605057">
      <w:pPr>
        <w:spacing w:line="360" w:lineRule="auto"/>
        <w:jc w:val="both"/>
        <w:rPr>
          <w:rFonts w:ascii="Palatino Linotype" w:eastAsia="Palatino Linotype" w:hAnsi="Palatino Linotype" w:cs="Palatino Linotype"/>
        </w:rPr>
      </w:pPr>
    </w:p>
    <w:p w:rsidR="00605057" w:rsidRPr="005A369B" w:rsidRDefault="00605057" w:rsidP="00605057">
      <w:pPr>
        <w:pBdr>
          <w:top w:val="nil"/>
          <w:left w:val="nil"/>
          <w:bottom w:val="nil"/>
          <w:right w:val="nil"/>
          <w:between w:val="nil"/>
        </w:pBdr>
        <w:spacing w:line="360" w:lineRule="auto"/>
        <w:jc w:val="both"/>
        <w:rPr>
          <w:rFonts w:ascii="Palatino Linotype" w:eastAsia="Palatino Linotype" w:hAnsi="Palatino Linotype" w:cs="Palatino Linotype"/>
        </w:rPr>
      </w:pPr>
      <w:bookmarkStart w:id="8" w:name="_heading=h.1ksv4uv" w:colFirst="0" w:colLast="0"/>
      <w:bookmarkEnd w:id="8"/>
      <w:r w:rsidRPr="005A369B">
        <w:rPr>
          <w:rFonts w:ascii="Palatino Linotype" w:eastAsia="Palatino Linotype" w:hAnsi="Palatino Linotype" w:cs="Palatino Linotype"/>
          <w:b/>
          <w:bCs/>
        </w:rPr>
        <w:t xml:space="preserve">SEGUNDO. </w:t>
      </w:r>
      <w:r w:rsidRPr="005A369B">
        <w:rPr>
          <w:rFonts w:ascii="Palatino Linotype" w:eastAsia="Palatino Linotype" w:hAnsi="Palatino Linotype" w:cs="Palatino Linotype"/>
          <w:color w:val="000000"/>
        </w:rPr>
        <w:t xml:space="preserve">Se </w:t>
      </w:r>
      <w:r w:rsidR="00AE0423" w:rsidRPr="00AE0423">
        <w:rPr>
          <w:rFonts w:ascii="Palatino Linotype" w:eastAsia="Palatino Linotype" w:hAnsi="Palatino Linotype" w:cs="Palatino Linotype"/>
          <w:b/>
          <w:bCs/>
          <w:color w:val="000000"/>
          <w:lang w:val="es-ES_tradnl"/>
        </w:rPr>
        <w:t>ORDENA</w:t>
      </w:r>
      <w:r w:rsidRPr="005A369B">
        <w:rPr>
          <w:rFonts w:ascii="Palatino Linotype" w:eastAsia="Palatino Linotype" w:hAnsi="Palatino Linotype" w:cs="Palatino Linotype"/>
          <w:b/>
          <w:bCs/>
          <w:color w:val="000000"/>
        </w:rPr>
        <w:t xml:space="preserve"> </w:t>
      </w:r>
      <w:r w:rsidR="00AE0423" w:rsidRPr="00AE0423">
        <w:rPr>
          <w:rFonts w:ascii="Palatino Linotype" w:eastAsia="Palatino Linotype" w:hAnsi="Palatino Linotype" w:cs="Palatino Linotype"/>
          <w:color w:val="000000"/>
          <w:lang w:val="es-ES_tradnl"/>
        </w:rPr>
        <w:t xml:space="preserve">entregar vía Sistema de Acceso a la Información Mexiquense </w:t>
      </w:r>
      <w:r w:rsidR="00AE0423" w:rsidRPr="00AE0423">
        <w:rPr>
          <w:rFonts w:ascii="Palatino Linotype" w:eastAsia="Palatino Linotype" w:hAnsi="Palatino Linotype" w:cs="Palatino Linotype"/>
          <w:b/>
          <w:bCs/>
          <w:color w:val="000000"/>
          <w:lang w:val="es-ES_tradnl"/>
        </w:rPr>
        <w:t>(SAIMEX)</w:t>
      </w:r>
      <w:r w:rsidR="00AE0423">
        <w:rPr>
          <w:rFonts w:ascii="Palatino Linotype" w:eastAsia="Palatino Linotype" w:hAnsi="Palatino Linotype" w:cs="Palatino Linotype"/>
          <w:color w:val="000000"/>
          <w:lang w:val="es-ES_tradnl"/>
        </w:rPr>
        <w:t>, la siguiente información</w:t>
      </w:r>
      <w:r w:rsidRPr="005A369B">
        <w:rPr>
          <w:rFonts w:ascii="Palatino Linotype" w:eastAsia="Palatino Linotype" w:hAnsi="Palatino Linotype" w:cs="Palatino Linotype"/>
          <w:color w:val="000000"/>
        </w:rPr>
        <w:t>,</w:t>
      </w:r>
      <w:r w:rsidRPr="005A369B">
        <w:rPr>
          <w:rFonts w:ascii="Palatino Linotype" w:eastAsia="Palatino Linotype" w:hAnsi="Palatino Linotype" w:cs="Palatino Linotype"/>
        </w:rPr>
        <w:t xml:space="preserve"> </w:t>
      </w:r>
      <w:r w:rsidR="00AE0423">
        <w:rPr>
          <w:rFonts w:ascii="Palatino Linotype" w:eastAsia="Palatino Linotype" w:hAnsi="Palatino Linotype" w:cs="Palatino Linotype"/>
        </w:rPr>
        <w:t>en versión pública</w:t>
      </w:r>
      <w:r w:rsidR="00AD774F">
        <w:rPr>
          <w:rFonts w:ascii="Palatino Linotype" w:eastAsia="Palatino Linotype" w:hAnsi="Palatino Linotype" w:cs="Palatino Linotype"/>
        </w:rPr>
        <w:t>.</w:t>
      </w:r>
    </w:p>
    <w:p w:rsidR="00AD774F" w:rsidRDefault="00AD774F" w:rsidP="00CF2845">
      <w:pPr>
        <w:pBdr>
          <w:top w:val="nil"/>
          <w:left w:val="nil"/>
          <w:bottom w:val="nil"/>
          <w:right w:val="nil"/>
          <w:between w:val="nil"/>
        </w:pBdr>
        <w:spacing w:line="360" w:lineRule="auto"/>
        <w:ind w:left="567" w:right="1134"/>
        <w:jc w:val="both"/>
        <w:rPr>
          <w:rFonts w:ascii="Palatino Linotype" w:eastAsia="Palatino Linotype" w:hAnsi="Palatino Linotype" w:cs="Palatino Linotype"/>
          <w:b/>
          <w:bCs/>
          <w:i/>
          <w:iCs/>
          <w:color w:val="000000"/>
        </w:rPr>
      </w:pPr>
      <w:bookmarkStart w:id="9" w:name="_heading=h.lnxbz9" w:colFirst="0" w:colLast="0"/>
      <w:bookmarkEnd w:id="9"/>
    </w:p>
    <w:p w:rsidR="00605057" w:rsidRPr="006620F5" w:rsidRDefault="00AD774F" w:rsidP="00CF2845">
      <w:pPr>
        <w:pStyle w:val="Prrafodelista"/>
        <w:numPr>
          <w:ilvl w:val="3"/>
          <w:numId w:val="3"/>
        </w:numPr>
        <w:pBdr>
          <w:top w:val="nil"/>
          <w:left w:val="nil"/>
          <w:bottom w:val="nil"/>
          <w:right w:val="nil"/>
          <w:between w:val="nil"/>
        </w:pBdr>
        <w:spacing w:line="360" w:lineRule="auto"/>
        <w:ind w:left="567" w:right="1134"/>
        <w:jc w:val="both"/>
        <w:rPr>
          <w:rFonts w:ascii="Palatino Linotype" w:eastAsia="Palatino Linotype" w:hAnsi="Palatino Linotype" w:cs="Palatino Linotype"/>
          <w:b/>
          <w:bCs/>
          <w:i/>
          <w:iCs/>
          <w:color w:val="000000"/>
        </w:rPr>
      </w:pPr>
      <w:r w:rsidRPr="00CF2845">
        <w:rPr>
          <w:rFonts w:ascii="Palatino Linotype" w:eastAsia="Palatino Linotype" w:hAnsi="Palatino Linotype" w:cs="Palatino Linotype"/>
          <w:b/>
          <w:bCs/>
          <w:i/>
          <w:iCs/>
          <w:color w:val="000000"/>
        </w:rPr>
        <w:t>Contratos</w:t>
      </w:r>
      <w:r w:rsidR="00CF2845" w:rsidRPr="00CF2845">
        <w:rPr>
          <w:rFonts w:ascii="Palatino Linotype" w:eastAsia="Palatino Linotype" w:hAnsi="Palatino Linotype" w:cs="Palatino Linotype"/>
          <w:b/>
          <w:bCs/>
          <w:i/>
          <w:iCs/>
          <w:color w:val="000000"/>
        </w:rPr>
        <w:t xml:space="preserve"> con empresas  y convenios modificatorios</w:t>
      </w:r>
      <w:r w:rsidRPr="00CF2845">
        <w:rPr>
          <w:rFonts w:ascii="Palatino Linotype" w:eastAsia="Palatino Linotype" w:hAnsi="Palatino Linotype" w:cs="Palatino Linotype"/>
          <w:b/>
          <w:bCs/>
          <w:i/>
          <w:iCs/>
          <w:color w:val="000000"/>
        </w:rPr>
        <w:t xml:space="preserve"> firmados para la realización de la obra referida en la solicitud de información  00614/TEPOTZOT/IP/2025, al ocho de octubre de dos mil </w:t>
      </w:r>
      <w:r w:rsidRPr="006620F5">
        <w:rPr>
          <w:rFonts w:ascii="Palatino Linotype" w:eastAsia="Palatino Linotype" w:hAnsi="Palatino Linotype" w:cs="Palatino Linotype"/>
          <w:b/>
          <w:bCs/>
          <w:i/>
          <w:iCs/>
          <w:color w:val="000000"/>
        </w:rPr>
        <w:t xml:space="preserve">veinticinco. </w:t>
      </w:r>
    </w:p>
    <w:p w:rsidR="00CF2845" w:rsidRPr="006620F5" w:rsidRDefault="00CF2845" w:rsidP="00CF2845">
      <w:pPr>
        <w:pStyle w:val="Prrafodelista"/>
        <w:numPr>
          <w:ilvl w:val="3"/>
          <w:numId w:val="3"/>
        </w:numPr>
        <w:pBdr>
          <w:top w:val="nil"/>
          <w:left w:val="nil"/>
          <w:bottom w:val="nil"/>
          <w:right w:val="nil"/>
          <w:between w:val="nil"/>
        </w:pBdr>
        <w:spacing w:line="360" w:lineRule="auto"/>
        <w:ind w:left="567" w:right="1134"/>
        <w:jc w:val="both"/>
        <w:rPr>
          <w:rFonts w:ascii="Palatino Linotype" w:eastAsia="Palatino Linotype" w:hAnsi="Palatino Linotype" w:cs="Palatino Linotype"/>
          <w:b/>
          <w:bCs/>
          <w:i/>
          <w:iCs/>
          <w:color w:val="000000"/>
        </w:rPr>
      </w:pPr>
      <w:r w:rsidRPr="006620F5">
        <w:rPr>
          <w:rFonts w:ascii="Palatino Linotype" w:eastAsia="Palatino Linotype" w:hAnsi="Palatino Linotype" w:cs="Palatino Linotype"/>
          <w:b/>
          <w:bCs/>
          <w:i/>
          <w:iCs/>
          <w:color w:val="000000"/>
        </w:rPr>
        <w:t xml:space="preserve">Contratos con empresas supervisoras firmados para la realización de la obra referida en la solicitud de información  00614/TEPOTZOT/IP/2025, al ocho de octubre de dos mil veinticinco. </w:t>
      </w:r>
    </w:p>
    <w:p w:rsidR="00CF2845" w:rsidRPr="006620F5" w:rsidRDefault="00605057" w:rsidP="00CF2845">
      <w:pPr>
        <w:pBdr>
          <w:top w:val="nil"/>
          <w:left w:val="nil"/>
          <w:bottom w:val="nil"/>
          <w:right w:val="nil"/>
          <w:between w:val="nil"/>
        </w:pBdr>
        <w:spacing w:line="360" w:lineRule="auto"/>
        <w:jc w:val="both"/>
        <w:rPr>
          <w:rFonts w:ascii="Palatino Linotype" w:eastAsia="Palatino Linotype" w:hAnsi="Palatino Linotype" w:cs="Palatino Linotype"/>
          <w:b/>
          <w:bCs/>
        </w:rPr>
      </w:pPr>
      <w:r w:rsidRPr="006620F5">
        <w:rPr>
          <w:rFonts w:ascii="Palatino Linotype" w:eastAsia="Palatino Linotype" w:hAnsi="Palatino Linotype" w:cs="Palatino Linotype"/>
        </w:rPr>
        <w:lastRenderedPageBreak/>
        <w:t xml:space="preserve">Para efectos de lo anterior, se deberá emitir el Acuerdo del Comité de Transparencia en términos </w:t>
      </w:r>
      <w:r w:rsidRPr="006620F5">
        <w:rPr>
          <w:rFonts w:ascii="Palatino Linotype" w:eastAsia="Palatino Linotype" w:hAnsi="Palatino Linotype" w:cs="Palatino Linotype"/>
          <w:b/>
          <w:bCs/>
        </w:rPr>
        <w:t>de</w:t>
      </w:r>
      <w:r w:rsidRPr="006620F5">
        <w:rPr>
          <w:rFonts w:ascii="Palatino Linotype" w:eastAsia="Palatino Linotype" w:hAnsi="Palatino Linotype" w:cs="Palatino Linotype"/>
        </w:rPr>
        <w:t xml:space="preserve"> los artículos 49, fracción VIII y 132, fracción II de la Ley de Transparencia y Acceso a la Información Pública del Estado de México y Municipios, en el que funde y motive las razones sobre los datos que se supriman o eliminen dentro del soporte documental respectivo objeto de las versiones públicas que se formulen y se pongan a disposición del </w:t>
      </w:r>
      <w:r w:rsidRPr="006620F5">
        <w:rPr>
          <w:rFonts w:ascii="Palatino Linotype" w:eastAsia="Palatino Linotype" w:hAnsi="Palatino Linotype" w:cs="Palatino Linotype"/>
          <w:b/>
          <w:bCs/>
        </w:rPr>
        <w:t>RECURRENTE.</w:t>
      </w:r>
    </w:p>
    <w:p w:rsidR="00CF2845" w:rsidRPr="006620F5" w:rsidRDefault="00CF2845" w:rsidP="00CF2845">
      <w:pPr>
        <w:pBdr>
          <w:top w:val="nil"/>
          <w:left w:val="nil"/>
          <w:bottom w:val="nil"/>
          <w:right w:val="nil"/>
          <w:between w:val="nil"/>
        </w:pBdr>
        <w:spacing w:line="360" w:lineRule="auto"/>
        <w:jc w:val="both"/>
        <w:rPr>
          <w:rFonts w:ascii="Palatino Linotype" w:eastAsia="Palatino Linotype" w:hAnsi="Palatino Linotype" w:cs="Palatino Linotype"/>
          <w:b/>
          <w:bCs/>
        </w:rPr>
      </w:pPr>
    </w:p>
    <w:p w:rsidR="00CF2845" w:rsidRPr="006620F5" w:rsidRDefault="00CF2845" w:rsidP="00CF2845">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6620F5">
        <w:rPr>
          <w:rFonts w:ascii="Palatino Linotype" w:eastAsia="Palatino Linotype" w:hAnsi="Palatino Linotype" w:cs="Palatino Linotype"/>
          <w:color w:val="000000"/>
        </w:rPr>
        <w:t xml:space="preserve">De ser el caso que no se hubieran firmado convenios modificatorios o contratos con empresas supervisoras, bastará con que se haga del conocimiento del </w:t>
      </w:r>
      <w:r w:rsidRPr="006620F5">
        <w:rPr>
          <w:rFonts w:ascii="Palatino Linotype" w:eastAsia="Palatino Linotype" w:hAnsi="Palatino Linotype" w:cs="Palatino Linotype"/>
          <w:b/>
          <w:color w:val="000000"/>
        </w:rPr>
        <w:t xml:space="preserve">RECURRENTE </w:t>
      </w:r>
      <w:r w:rsidRPr="006620F5">
        <w:rPr>
          <w:rFonts w:ascii="Palatino Linotype" w:eastAsia="Palatino Linotype" w:hAnsi="Palatino Linotype" w:cs="Palatino Linotype"/>
          <w:color w:val="000000"/>
        </w:rPr>
        <w:t>de conformidad con el artículo 19 párrafo segundo de la Ley de Transparencia y Acceso a la Información Pública del Estado de México y Municipios.</w:t>
      </w:r>
    </w:p>
    <w:p w:rsidR="00CF2845" w:rsidRDefault="00CF2845" w:rsidP="00CF2845"/>
    <w:p w:rsidR="00605057" w:rsidRPr="005A369B" w:rsidRDefault="00605057" w:rsidP="00605057">
      <w:pPr>
        <w:tabs>
          <w:tab w:val="left" w:pos="8080"/>
        </w:tabs>
        <w:spacing w:line="360" w:lineRule="auto"/>
        <w:jc w:val="both"/>
        <w:rPr>
          <w:rFonts w:ascii="Palatino Linotype" w:eastAsia="Palatino Linotype" w:hAnsi="Palatino Linotype" w:cs="Palatino Linotype"/>
        </w:rPr>
      </w:pPr>
    </w:p>
    <w:p w:rsidR="00605057" w:rsidRPr="005A369B" w:rsidRDefault="00605057" w:rsidP="00605057">
      <w:pPr>
        <w:tabs>
          <w:tab w:val="left" w:pos="8080"/>
        </w:tabs>
        <w:spacing w:line="360" w:lineRule="auto"/>
        <w:jc w:val="both"/>
        <w:rPr>
          <w:rFonts w:ascii="Palatino Linotype" w:eastAsia="Palatino Linotype" w:hAnsi="Palatino Linotype" w:cs="Palatino Linotype"/>
          <w:color w:val="222222"/>
        </w:rPr>
      </w:pPr>
      <w:r w:rsidRPr="005A369B">
        <w:rPr>
          <w:rFonts w:ascii="Palatino Linotype" w:eastAsia="Palatino Linotype" w:hAnsi="Palatino Linotype" w:cs="Palatino Linotype"/>
          <w:b/>
          <w:bCs/>
        </w:rPr>
        <w:t xml:space="preserve">TERCERO. </w:t>
      </w:r>
      <w:r w:rsidRPr="005A369B">
        <w:rPr>
          <w:rFonts w:ascii="Palatino Linotype" w:eastAsia="Palatino Linotype" w:hAnsi="Palatino Linotype" w:cs="Palatino Linotype"/>
          <w:color w:val="222222"/>
        </w:rPr>
        <w:t xml:space="preserve">NOTIFÍQUESE la presente resolución al Titular de la Unidad de Transparencia del Sujeto Obligado vía SAIMEX, para que conforme al artículo 186 último párrafo, 189 segundo párrafo y 194 de la Ley de Transparencia y Acceso a la Información Pública del Estado de México y Municipios; </w:t>
      </w:r>
      <w:r w:rsidRPr="005A369B">
        <w:rPr>
          <w:rFonts w:ascii="Palatino Linotype" w:eastAsia="Palatino Linotype" w:hAnsi="Palatino Linotype" w:cs="Palatino Linotype"/>
          <w:b/>
          <w:bCs/>
          <w:color w:val="222222"/>
        </w:rPr>
        <w:t xml:space="preserve">dé cumplimiento a lo ordenado dentro del plazo de diez días hábiles, </w:t>
      </w:r>
      <w:r w:rsidRPr="005A369B">
        <w:rPr>
          <w:rFonts w:ascii="Palatino Linotype" w:eastAsia="Palatino Linotype" w:hAnsi="Palatino Linotype" w:cs="Palatino Linotype"/>
          <w:color w:val="222222"/>
        </w:rPr>
        <w:t xml:space="preserve">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 </w:t>
      </w:r>
    </w:p>
    <w:p w:rsidR="00605057" w:rsidRPr="005A369B" w:rsidRDefault="00605057" w:rsidP="00605057">
      <w:pPr>
        <w:tabs>
          <w:tab w:val="left" w:pos="8080"/>
        </w:tabs>
        <w:spacing w:line="360" w:lineRule="auto"/>
        <w:jc w:val="both"/>
        <w:rPr>
          <w:rFonts w:ascii="Palatino Linotype" w:eastAsia="Palatino Linotype" w:hAnsi="Palatino Linotype" w:cs="Palatino Linotype"/>
          <w:color w:val="222222"/>
        </w:rPr>
      </w:pPr>
    </w:p>
    <w:p w:rsidR="006A2720" w:rsidRPr="00463865" w:rsidRDefault="006A2720" w:rsidP="006A2720">
      <w:pPr>
        <w:tabs>
          <w:tab w:val="left" w:pos="8647"/>
        </w:tabs>
        <w:spacing w:line="360" w:lineRule="auto"/>
        <w:ind w:right="51"/>
        <w:jc w:val="both"/>
        <w:rPr>
          <w:rFonts w:ascii="Palatino Linotype" w:eastAsia="Palatino Linotype" w:hAnsi="Palatino Linotype" w:cs="Palatino Linotype"/>
        </w:rPr>
      </w:pPr>
      <w:r w:rsidRPr="00463865">
        <w:rPr>
          <w:rFonts w:ascii="Palatino Linotype" w:eastAsia="Palatino Linotype" w:hAnsi="Palatino Linotype" w:cs="Palatino Linotype"/>
          <w:b/>
        </w:rPr>
        <w:lastRenderedPageBreak/>
        <w:t>CUARTO</w:t>
      </w:r>
      <w:r w:rsidRPr="00463865">
        <w:rPr>
          <w:rFonts w:ascii="Palatino Linotype" w:eastAsia="Palatino Linotype" w:hAnsi="Palatino Linotype" w:cs="Palatino Linotype"/>
        </w:rPr>
        <w:t xml:space="preserve">. </w:t>
      </w:r>
      <w:r w:rsidRPr="00463865">
        <w:rPr>
          <w:rFonts w:ascii="Palatino Linotype" w:eastAsia="Palatino Linotype" w:hAnsi="Palatino Linotype" w:cs="Palatino Linotype"/>
          <w:b/>
        </w:rPr>
        <w:t>Notifíquese</w:t>
      </w:r>
      <w:r w:rsidRPr="00463865">
        <w:rPr>
          <w:rFonts w:ascii="Palatino Linotype" w:eastAsia="Palatino Linotype" w:hAnsi="Palatino Linotype" w:cs="Palatino Linotype"/>
        </w:rPr>
        <w:t>, vía Sistema de Acceso a la Información Mexiquense (SAIMEX) a</w:t>
      </w:r>
      <w:r>
        <w:rPr>
          <w:rFonts w:ascii="Palatino Linotype" w:eastAsia="Palatino Linotype" w:hAnsi="Palatino Linotype" w:cs="Palatino Linotype"/>
        </w:rPr>
        <w:t>l</w:t>
      </w:r>
      <w:r w:rsidRPr="00463865">
        <w:rPr>
          <w:rFonts w:ascii="Palatino Linotype" w:eastAsia="Palatino Linotype" w:hAnsi="Palatino Linotype" w:cs="Palatino Linotype"/>
        </w:rPr>
        <w:t xml:space="preserve"> </w:t>
      </w:r>
      <w:r w:rsidRPr="00463865">
        <w:rPr>
          <w:rFonts w:ascii="Palatino Linotype" w:eastAsia="Palatino Linotype" w:hAnsi="Palatino Linotype" w:cs="Palatino Linotype"/>
          <w:b/>
        </w:rPr>
        <w:t>Recurrente</w:t>
      </w:r>
      <w:r w:rsidRPr="00463865">
        <w:rPr>
          <w:rFonts w:ascii="Palatino Linotype" w:eastAsia="Palatino Linotype" w:hAnsi="Palatino Linotype" w:cs="Palatino Linotype"/>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rsidR="00605057" w:rsidRPr="005A369B" w:rsidRDefault="00605057" w:rsidP="00605057">
      <w:pPr>
        <w:spacing w:line="360" w:lineRule="auto"/>
        <w:jc w:val="both"/>
        <w:rPr>
          <w:rFonts w:ascii="Palatino Linotype" w:eastAsia="Palatino Linotype" w:hAnsi="Palatino Linotype" w:cs="Palatino Linotype"/>
        </w:rPr>
      </w:pPr>
    </w:p>
    <w:p w:rsidR="00605057" w:rsidRPr="005A369B" w:rsidRDefault="00605057" w:rsidP="00605057">
      <w:pPr>
        <w:spacing w:line="360" w:lineRule="auto"/>
        <w:jc w:val="both"/>
        <w:rPr>
          <w:rFonts w:ascii="Palatino Linotype" w:eastAsia="Palatino Linotype" w:hAnsi="Palatino Linotype" w:cs="Palatino Linotype"/>
        </w:rPr>
      </w:pPr>
      <w:bookmarkStart w:id="10" w:name="_heading=h.2jxsxqh" w:colFirst="0" w:colLast="0"/>
      <w:bookmarkEnd w:id="10"/>
      <w:r w:rsidRPr="005A369B">
        <w:rPr>
          <w:rFonts w:ascii="Palatino Linotype" w:eastAsia="Palatino Linotype" w:hAnsi="Palatino Linotype" w:cs="Palatino Linotype"/>
          <w:b/>
          <w:bCs/>
        </w:rPr>
        <w:t xml:space="preserve">QUINTO. </w:t>
      </w:r>
      <w:r w:rsidRPr="005A369B">
        <w:rPr>
          <w:rFonts w:ascii="Palatino Linotype" w:eastAsia="Palatino Linotype" w:hAnsi="Palatino Linotype" w:cs="Palatino Linotype"/>
        </w:rPr>
        <w:t xml:space="preserve">Notifíquese a </w:t>
      </w:r>
      <w:r w:rsidRPr="005A369B">
        <w:rPr>
          <w:rFonts w:ascii="Palatino Linotype" w:eastAsia="Palatino Linotype" w:hAnsi="Palatino Linotype" w:cs="Palatino Linotype"/>
          <w:b/>
          <w:bCs/>
        </w:rPr>
        <w:t>EL RECURRENTE</w:t>
      </w:r>
      <w:r w:rsidRPr="005A369B">
        <w:rPr>
          <w:rFonts w:ascii="Palatino Linotype" w:eastAsia="Palatino Linotype" w:hAnsi="Palatino Linotype" w:cs="Palatino Linotype"/>
        </w:rPr>
        <w:t xml:space="preserve"> la presente resolución, vía SAIMEX.</w:t>
      </w:r>
    </w:p>
    <w:p w:rsidR="00605057" w:rsidRPr="005A369B" w:rsidRDefault="00605057" w:rsidP="00605057">
      <w:pPr>
        <w:shd w:val="clear" w:color="auto" w:fill="FFFFFF"/>
        <w:spacing w:line="360" w:lineRule="auto"/>
        <w:jc w:val="both"/>
        <w:rPr>
          <w:rFonts w:ascii="Palatino Linotype" w:eastAsia="Palatino Linotype" w:hAnsi="Palatino Linotype" w:cs="Palatino Linotype"/>
          <w:b/>
          <w:bCs/>
        </w:rPr>
      </w:pPr>
    </w:p>
    <w:p w:rsidR="00605057" w:rsidRDefault="00605057" w:rsidP="00605057">
      <w:pPr>
        <w:spacing w:line="360" w:lineRule="auto"/>
        <w:jc w:val="both"/>
        <w:rPr>
          <w:rFonts w:ascii="Palatino Linotype" w:eastAsia="Palatino Linotype" w:hAnsi="Palatino Linotype" w:cs="Palatino Linotype"/>
        </w:rPr>
      </w:pPr>
      <w:r w:rsidRPr="005A369B">
        <w:rPr>
          <w:rFonts w:ascii="Palatino Linotype" w:eastAsia="Palatino Linotype" w:hAnsi="Palatino Linotype" w:cs="Palatino Linotype"/>
          <w:b/>
          <w:bCs/>
        </w:rPr>
        <w:t xml:space="preserve">SEXTO. </w:t>
      </w:r>
      <w:r w:rsidRPr="005A369B">
        <w:rPr>
          <w:rFonts w:ascii="Palatino Linotype" w:eastAsia="Palatino Linotype" w:hAnsi="Palatino Linotype" w:cs="Palatino Linotype"/>
        </w:rPr>
        <w:t xml:space="preserve">Se hace del conocimiento del </w:t>
      </w:r>
      <w:r w:rsidRPr="005A369B">
        <w:rPr>
          <w:rFonts w:ascii="Palatino Linotype" w:eastAsia="Palatino Linotype" w:hAnsi="Palatino Linotype" w:cs="Palatino Linotype"/>
          <w:b/>
          <w:bCs/>
        </w:rPr>
        <w:t>RECURRENTE</w:t>
      </w:r>
      <w:r w:rsidRPr="005A369B">
        <w:rPr>
          <w:rFonts w:ascii="Palatino Linotype" w:eastAsia="Palatino Linotype" w:hAnsi="Palatino Linotype" w:cs="Palatino Linotype"/>
        </w:rPr>
        <w:t xml:space="preserve"> que, de conformidad con lo establecido en el artículo 196 de la Ley de Transparencia y Acceso a la Información Pública del Estado de México y Municipios, en caso de que considere que la resolución le cause algún perjuicio podrá impugnarla vía juicio de amparo en los términos de las leyes aplicables.</w:t>
      </w:r>
    </w:p>
    <w:p w:rsidR="006A2720" w:rsidRDefault="006A2720" w:rsidP="00605057">
      <w:pPr>
        <w:spacing w:line="360" w:lineRule="auto"/>
        <w:jc w:val="both"/>
        <w:rPr>
          <w:rFonts w:ascii="Palatino Linotype" w:eastAsia="Palatino Linotype" w:hAnsi="Palatino Linotype" w:cs="Palatino Linotype"/>
        </w:rPr>
      </w:pPr>
    </w:p>
    <w:p w:rsidR="006A2720" w:rsidRPr="00463865" w:rsidRDefault="006A2720" w:rsidP="006A2720">
      <w:pPr>
        <w:spacing w:line="360" w:lineRule="auto"/>
        <w:jc w:val="both"/>
        <w:rPr>
          <w:rFonts w:ascii="Palatino Linotype" w:eastAsia="Palatino Linotype" w:hAnsi="Palatino Linotype" w:cs="Palatino Linotype"/>
        </w:rPr>
      </w:pPr>
      <w:r>
        <w:rPr>
          <w:rFonts w:ascii="Palatino Linotype" w:eastAsia="Palatino Linotype" w:hAnsi="Palatino Linotype" w:cs="Palatino Linotype"/>
          <w:b/>
        </w:rPr>
        <w:t>SÉPTIMO</w:t>
      </w:r>
      <w:r w:rsidRPr="00463865">
        <w:rPr>
          <w:rFonts w:ascii="Palatino Linotype" w:eastAsia="Palatino Linotype" w:hAnsi="Palatino Linotype" w:cs="Palatino Linotype"/>
        </w:rPr>
        <w:t xml:space="preserve">. </w:t>
      </w:r>
      <w:r w:rsidRPr="00463865">
        <w:rPr>
          <w:rFonts w:ascii="Palatino Linotype" w:eastAsia="Palatino Linotype" w:hAnsi="Palatino Linotype" w:cs="Palatino Linotype"/>
          <w:b/>
        </w:rPr>
        <w:t>Gírese</w:t>
      </w:r>
      <w:r w:rsidRPr="00463865">
        <w:rPr>
          <w:rFonts w:ascii="Palatino Linotype" w:eastAsia="Palatino Linotype" w:hAnsi="Palatino Linotype" w:cs="Palatino Linotype"/>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w:t>
      </w:r>
      <w:r>
        <w:rPr>
          <w:rFonts w:ascii="Palatino Linotype" w:eastAsia="Palatino Linotype" w:hAnsi="Palatino Linotype" w:cs="Palatino Linotype"/>
          <w:b/>
        </w:rPr>
        <w:t>Considerando QUINTO</w:t>
      </w:r>
      <w:r w:rsidRPr="00463865">
        <w:rPr>
          <w:rFonts w:ascii="Palatino Linotype" w:eastAsia="Palatino Linotype" w:hAnsi="Palatino Linotype" w:cs="Palatino Linotype"/>
        </w:rPr>
        <w:t xml:space="preserve"> de la presente resolución.</w:t>
      </w:r>
    </w:p>
    <w:p w:rsidR="00605057" w:rsidRPr="005A369B" w:rsidRDefault="00605057" w:rsidP="00605057">
      <w:pPr>
        <w:shd w:val="clear" w:color="auto" w:fill="FFFFFF"/>
        <w:spacing w:line="360" w:lineRule="auto"/>
        <w:jc w:val="both"/>
        <w:rPr>
          <w:rFonts w:ascii="Palatino Linotype" w:eastAsia="Palatino Linotype" w:hAnsi="Palatino Linotype" w:cs="Palatino Linotype"/>
        </w:rPr>
      </w:pPr>
    </w:p>
    <w:p w:rsidR="006A2720" w:rsidRPr="003E2295" w:rsidRDefault="006A2720" w:rsidP="006A2720">
      <w:pPr>
        <w:spacing w:before="240" w:after="240" w:line="360" w:lineRule="auto"/>
        <w:ind w:firstLine="1"/>
        <w:jc w:val="both"/>
        <w:rPr>
          <w:rFonts w:ascii="Palatino Linotype" w:hAnsi="Palatino Linotype"/>
        </w:rPr>
      </w:pPr>
      <w:bookmarkStart w:id="11" w:name="_Hlk99014733"/>
      <w:r w:rsidRPr="003E2295">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w:t>
      </w:r>
      <w:r w:rsidRPr="003E2295">
        <w:rPr>
          <w:rFonts w:ascii="Palatino Linotype" w:hAnsi="Palatino Linotype" w:cs="Palatino Linotype"/>
        </w:rPr>
        <w:lastRenderedPageBreak/>
        <w:t xml:space="preserve">SHARON CRISTINA MORALES MARTÍNEZ, LUIS GUSTAVO PARRA NORIEGA Y GUADALUPE RAMÍREZ PEÑA; EN LA </w:t>
      </w:r>
      <w:r>
        <w:rPr>
          <w:rFonts w:ascii="Palatino Linotype" w:hAnsi="Palatino Linotype" w:cs="Palatino Linotype"/>
        </w:rPr>
        <w:t xml:space="preserve">VIGÉSIMA </w:t>
      </w:r>
      <w:r w:rsidRPr="003E2295">
        <w:rPr>
          <w:rFonts w:ascii="Palatino Linotype" w:hAnsi="Palatino Linotype" w:cs="Palatino Linotype"/>
        </w:rPr>
        <w:t>SESIÓN O</w:t>
      </w:r>
      <w:r>
        <w:rPr>
          <w:rFonts w:ascii="Palatino Linotype" w:hAnsi="Palatino Linotype" w:cs="Palatino Linotype"/>
        </w:rPr>
        <w:t>RDINARIA, CELEBRADA EL TRES (03</w:t>
      </w:r>
      <w:r w:rsidRPr="003E2295">
        <w:rPr>
          <w:rFonts w:ascii="Palatino Linotype" w:hAnsi="Palatino Linotype" w:cs="Palatino Linotype"/>
        </w:rPr>
        <w:t xml:space="preserve">) DE </w:t>
      </w:r>
      <w:r>
        <w:rPr>
          <w:rFonts w:ascii="Palatino Linotype" w:hAnsi="Palatino Linotype" w:cs="Palatino Linotype"/>
        </w:rPr>
        <w:t>JUNIO</w:t>
      </w:r>
      <w:r w:rsidRPr="003E2295">
        <w:rPr>
          <w:rFonts w:ascii="Palatino Linotype" w:hAnsi="Palatino Linotype" w:cs="Palatino Linotype"/>
        </w:rPr>
        <w:t xml:space="preserve"> DE DOS MIL VEINTISÉIS, ANTE EL SECRETARIO TÉCNICO DEL PLENO </w:t>
      </w:r>
      <w:r w:rsidRPr="003E2295">
        <w:rPr>
          <w:rFonts w:ascii="Palatino Linotype" w:hAnsi="Palatino Linotype" w:cs="Palatino Linotype"/>
          <w:color w:val="000000" w:themeColor="text1"/>
        </w:rPr>
        <w:t>ALEXIS TAPIA RAMÍREZ.</w:t>
      </w:r>
    </w:p>
    <w:bookmarkEnd w:id="11"/>
    <w:p w:rsidR="00605057" w:rsidRPr="005A369B" w:rsidRDefault="00605057" w:rsidP="00605057">
      <w:pPr>
        <w:rPr>
          <w:rFonts w:ascii="Palatino Linotype" w:eastAsia="Palatino Linotype" w:hAnsi="Palatino Linotype" w:cs="Palatino Linotype"/>
        </w:rPr>
      </w:pPr>
    </w:p>
    <w:p w:rsidR="00605057" w:rsidRPr="005A369B" w:rsidRDefault="00605057" w:rsidP="00605057">
      <w:pPr>
        <w:rPr>
          <w:rFonts w:ascii="Palatino Linotype" w:eastAsia="Palatino Linotype" w:hAnsi="Palatino Linotype" w:cs="Palatino Linotype"/>
        </w:rPr>
      </w:pPr>
    </w:p>
    <w:p w:rsidR="00605057" w:rsidRPr="005A369B" w:rsidRDefault="00605057" w:rsidP="00605057">
      <w:pPr>
        <w:rPr>
          <w:rFonts w:ascii="Palatino Linotype" w:eastAsia="Palatino Linotype" w:hAnsi="Palatino Linotype" w:cs="Palatino Linotype"/>
        </w:rPr>
      </w:pPr>
    </w:p>
    <w:p w:rsidR="00605057" w:rsidRPr="005A369B" w:rsidRDefault="00605057" w:rsidP="00605057">
      <w:pPr>
        <w:rPr>
          <w:rFonts w:ascii="Palatino Linotype" w:eastAsia="Palatino Linotype" w:hAnsi="Palatino Linotype" w:cs="Palatino Linotype"/>
        </w:rPr>
      </w:pPr>
    </w:p>
    <w:p w:rsidR="00605057" w:rsidRPr="005A369B" w:rsidRDefault="00605057" w:rsidP="00605057">
      <w:pPr>
        <w:rPr>
          <w:rFonts w:ascii="Palatino Linotype" w:eastAsia="Palatino Linotype" w:hAnsi="Palatino Linotype" w:cs="Palatino Linotype"/>
        </w:rPr>
      </w:pPr>
    </w:p>
    <w:p w:rsidR="00605057" w:rsidRPr="005A369B" w:rsidRDefault="00605057" w:rsidP="00605057">
      <w:pPr>
        <w:rPr>
          <w:rFonts w:ascii="Palatino Linotype" w:eastAsia="Palatino Linotype" w:hAnsi="Palatino Linotype" w:cs="Palatino Linotype"/>
        </w:rPr>
      </w:pPr>
    </w:p>
    <w:p w:rsidR="00605057" w:rsidRPr="005A369B" w:rsidRDefault="00605057" w:rsidP="00605057">
      <w:pPr>
        <w:rPr>
          <w:rFonts w:ascii="Palatino Linotype" w:eastAsia="Palatino Linotype" w:hAnsi="Palatino Linotype" w:cs="Palatino Linotype"/>
        </w:rPr>
      </w:pPr>
    </w:p>
    <w:p w:rsidR="00605057" w:rsidRPr="005A369B" w:rsidRDefault="00605057" w:rsidP="00605057">
      <w:pPr>
        <w:rPr>
          <w:rFonts w:ascii="Palatino Linotype" w:eastAsia="Palatino Linotype" w:hAnsi="Palatino Linotype" w:cs="Palatino Linotype"/>
        </w:rPr>
      </w:pPr>
    </w:p>
    <w:p w:rsidR="00605057" w:rsidRPr="005A369B" w:rsidRDefault="00605057" w:rsidP="00605057">
      <w:pPr>
        <w:rPr>
          <w:rFonts w:ascii="Palatino Linotype" w:eastAsia="Palatino Linotype" w:hAnsi="Palatino Linotype" w:cs="Palatino Linotype"/>
        </w:rPr>
      </w:pPr>
    </w:p>
    <w:p w:rsidR="00605057" w:rsidRPr="005A369B" w:rsidRDefault="00605057" w:rsidP="00605057">
      <w:pPr>
        <w:rPr>
          <w:rFonts w:ascii="Palatino Linotype" w:eastAsia="Palatino Linotype" w:hAnsi="Palatino Linotype" w:cs="Palatino Linotype"/>
        </w:rPr>
      </w:pPr>
    </w:p>
    <w:p w:rsidR="0072288B" w:rsidRDefault="0072288B">
      <w:pPr>
        <w:rPr>
          <w:rFonts w:ascii="Palatino Linotype" w:hAnsi="Palatino Linotype"/>
        </w:rPr>
      </w:pPr>
    </w:p>
    <w:p w:rsidR="006620F5" w:rsidRDefault="006620F5">
      <w:pPr>
        <w:rPr>
          <w:rFonts w:ascii="Palatino Linotype" w:hAnsi="Palatino Linotype"/>
        </w:rPr>
      </w:pPr>
    </w:p>
    <w:p w:rsidR="006620F5" w:rsidRDefault="006620F5">
      <w:pPr>
        <w:rPr>
          <w:rFonts w:ascii="Palatino Linotype" w:hAnsi="Palatino Linotype"/>
        </w:rPr>
      </w:pPr>
    </w:p>
    <w:p w:rsidR="006620F5" w:rsidRDefault="006620F5">
      <w:pPr>
        <w:rPr>
          <w:rFonts w:ascii="Palatino Linotype" w:hAnsi="Palatino Linotype"/>
        </w:rPr>
      </w:pPr>
    </w:p>
    <w:p w:rsidR="006620F5" w:rsidRDefault="006620F5">
      <w:pPr>
        <w:rPr>
          <w:rFonts w:ascii="Palatino Linotype" w:hAnsi="Palatino Linotype"/>
        </w:rPr>
      </w:pPr>
    </w:p>
    <w:p w:rsidR="006620F5" w:rsidRDefault="006620F5">
      <w:pPr>
        <w:rPr>
          <w:rFonts w:ascii="Palatino Linotype" w:hAnsi="Palatino Linotype"/>
        </w:rPr>
      </w:pPr>
    </w:p>
    <w:p w:rsidR="006620F5" w:rsidRDefault="006620F5">
      <w:pPr>
        <w:rPr>
          <w:rFonts w:ascii="Palatino Linotype" w:hAnsi="Palatino Linotype"/>
        </w:rPr>
      </w:pPr>
    </w:p>
    <w:p w:rsidR="006620F5" w:rsidRDefault="006620F5">
      <w:pPr>
        <w:rPr>
          <w:rFonts w:ascii="Palatino Linotype" w:hAnsi="Palatino Linotype"/>
        </w:rPr>
      </w:pPr>
    </w:p>
    <w:p w:rsidR="006620F5" w:rsidRDefault="006620F5">
      <w:pPr>
        <w:rPr>
          <w:rFonts w:ascii="Palatino Linotype" w:hAnsi="Palatino Linotype"/>
        </w:rPr>
      </w:pPr>
    </w:p>
    <w:p w:rsidR="006620F5" w:rsidRDefault="006620F5">
      <w:pPr>
        <w:rPr>
          <w:rFonts w:ascii="Palatino Linotype" w:hAnsi="Palatino Linotype"/>
        </w:rPr>
      </w:pPr>
    </w:p>
    <w:p w:rsidR="006620F5" w:rsidRDefault="006620F5">
      <w:pPr>
        <w:rPr>
          <w:rFonts w:ascii="Palatino Linotype" w:hAnsi="Palatino Linotype"/>
        </w:rPr>
      </w:pPr>
    </w:p>
    <w:p w:rsidR="006620F5" w:rsidRDefault="006620F5">
      <w:pPr>
        <w:rPr>
          <w:rFonts w:ascii="Palatino Linotype" w:hAnsi="Palatino Linotype"/>
        </w:rPr>
      </w:pPr>
    </w:p>
    <w:p w:rsidR="006620F5" w:rsidRDefault="006620F5">
      <w:pPr>
        <w:rPr>
          <w:rFonts w:ascii="Palatino Linotype" w:hAnsi="Palatino Linotype"/>
        </w:rPr>
      </w:pPr>
    </w:p>
    <w:p w:rsidR="006620F5" w:rsidRDefault="006620F5">
      <w:pPr>
        <w:rPr>
          <w:rFonts w:ascii="Palatino Linotype" w:hAnsi="Palatino Linotype"/>
        </w:rPr>
      </w:pPr>
    </w:p>
    <w:p w:rsidR="006620F5" w:rsidRDefault="006620F5">
      <w:pPr>
        <w:rPr>
          <w:rFonts w:ascii="Palatino Linotype" w:hAnsi="Palatino Linotype"/>
        </w:rPr>
      </w:pPr>
    </w:p>
    <w:p w:rsidR="006620F5" w:rsidRDefault="006620F5">
      <w:pPr>
        <w:rPr>
          <w:rFonts w:ascii="Palatino Linotype" w:hAnsi="Palatino Linotype"/>
        </w:rPr>
      </w:pPr>
    </w:p>
    <w:p w:rsidR="006620F5" w:rsidRDefault="006620F5">
      <w:pPr>
        <w:rPr>
          <w:rFonts w:ascii="Palatino Linotype" w:hAnsi="Palatino Linotype"/>
        </w:rPr>
      </w:pPr>
    </w:p>
    <w:p w:rsidR="006620F5" w:rsidRDefault="006620F5">
      <w:pPr>
        <w:rPr>
          <w:rFonts w:ascii="Palatino Linotype" w:hAnsi="Palatino Linotype"/>
        </w:rPr>
      </w:pPr>
    </w:p>
    <w:p w:rsidR="006620F5" w:rsidRDefault="006620F5">
      <w:pPr>
        <w:rPr>
          <w:rFonts w:ascii="Palatino Linotype" w:hAnsi="Palatino Linotype"/>
        </w:rPr>
      </w:pPr>
    </w:p>
    <w:p w:rsidR="006620F5" w:rsidRPr="005A369B" w:rsidRDefault="006620F5">
      <w:pPr>
        <w:rPr>
          <w:rFonts w:ascii="Palatino Linotype" w:hAnsi="Palatino Linotype"/>
        </w:rPr>
      </w:pPr>
    </w:p>
    <w:sectPr w:rsidR="006620F5" w:rsidRPr="005A369B" w:rsidSect="00605057">
      <w:headerReference w:type="default" r:id="rId18"/>
      <w:footerReference w:type="default" r:id="rId19"/>
      <w:headerReference w:type="first" r:id="rId20"/>
      <w:footerReference w:type="first" r:id="rId21"/>
      <w:pgSz w:w="12240" w:h="15840"/>
      <w:pgMar w:top="2410" w:right="758" w:bottom="1985"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729F" w:rsidRDefault="007D729F" w:rsidP="00605057">
      <w:r>
        <w:separator/>
      </w:r>
    </w:p>
  </w:endnote>
  <w:endnote w:type="continuationSeparator" w:id="0">
    <w:p w:rsidR="007D729F" w:rsidRDefault="007D729F" w:rsidP="006050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093F" w:rsidRPr="0044093F" w:rsidRDefault="0044093F">
    <w:pPr>
      <w:pBdr>
        <w:top w:val="nil"/>
        <w:left w:val="nil"/>
        <w:bottom w:val="nil"/>
        <w:right w:val="nil"/>
        <w:between w:val="nil"/>
      </w:pBdr>
      <w:tabs>
        <w:tab w:val="center" w:pos="4252"/>
        <w:tab w:val="right" w:pos="8504"/>
      </w:tabs>
      <w:jc w:val="right"/>
      <w:rPr>
        <w:rFonts w:ascii="Palatino Linotype" w:eastAsia="Arial" w:hAnsi="Palatino Linotype" w:cs="Arial"/>
        <w:color w:val="000000"/>
        <w:sz w:val="22"/>
        <w:szCs w:val="20"/>
      </w:rPr>
    </w:pPr>
    <w:r w:rsidRPr="0044093F">
      <w:rPr>
        <w:rFonts w:ascii="Palatino Linotype" w:eastAsia="Arial" w:hAnsi="Palatino Linotype" w:cs="Arial"/>
        <w:bCs/>
        <w:color w:val="000000"/>
        <w:sz w:val="22"/>
        <w:szCs w:val="20"/>
      </w:rPr>
      <w:t xml:space="preserve">Página </w:t>
    </w:r>
    <w:r w:rsidRPr="0044093F">
      <w:rPr>
        <w:rFonts w:ascii="Palatino Linotype" w:eastAsia="Arial" w:hAnsi="Palatino Linotype" w:cs="Arial"/>
        <w:bCs/>
        <w:color w:val="000000"/>
        <w:sz w:val="22"/>
        <w:szCs w:val="20"/>
      </w:rPr>
      <w:fldChar w:fldCharType="begin"/>
    </w:r>
    <w:r w:rsidRPr="0044093F">
      <w:rPr>
        <w:rFonts w:ascii="Palatino Linotype" w:eastAsia="Arial" w:hAnsi="Palatino Linotype" w:cs="Arial"/>
        <w:bCs/>
        <w:color w:val="000000"/>
        <w:sz w:val="22"/>
        <w:szCs w:val="20"/>
      </w:rPr>
      <w:instrText>PAGE</w:instrText>
    </w:r>
    <w:r w:rsidRPr="0044093F">
      <w:rPr>
        <w:rFonts w:ascii="Palatino Linotype" w:eastAsia="Arial" w:hAnsi="Palatino Linotype" w:cs="Arial"/>
        <w:bCs/>
        <w:color w:val="000000"/>
        <w:sz w:val="22"/>
        <w:szCs w:val="20"/>
      </w:rPr>
      <w:fldChar w:fldCharType="separate"/>
    </w:r>
    <w:r w:rsidR="00C776CE">
      <w:rPr>
        <w:rFonts w:ascii="Palatino Linotype" w:eastAsia="Arial" w:hAnsi="Palatino Linotype" w:cs="Arial"/>
        <w:bCs/>
        <w:noProof/>
        <w:color w:val="000000"/>
        <w:sz w:val="22"/>
        <w:szCs w:val="20"/>
      </w:rPr>
      <w:t>21</w:t>
    </w:r>
    <w:r w:rsidRPr="0044093F">
      <w:rPr>
        <w:rFonts w:ascii="Palatino Linotype" w:eastAsia="Arial" w:hAnsi="Palatino Linotype" w:cs="Arial"/>
        <w:bCs/>
        <w:color w:val="000000"/>
        <w:sz w:val="22"/>
        <w:szCs w:val="20"/>
      </w:rPr>
      <w:fldChar w:fldCharType="end"/>
    </w:r>
    <w:r w:rsidRPr="0044093F">
      <w:rPr>
        <w:rFonts w:ascii="Palatino Linotype" w:eastAsia="Arial" w:hAnsi="Palatino Linotype" w:cs="Arial"/>
        <w:color w:val="000000"/>
        <w:sz w:val="22"/>
        <w:szCs w:val="20"/>
      </w:rPr>
      <w:t xml:space="preserve"> de </w:t>
    </w:r>
    <w:r w:rsidRPr="0044093F">
      <w:rPr>
        <w:rFonts w:ascii="Palatino Linotype" w:eastAsia="Arial" w:hAnsi="Palatino Linotype" w:cs="Arial"/>
        <w:bCs/>
        <w:color w:val="000000"/>
        <w:sz w:val="22"/>
        <w:szCs w:val="20"/>
      </w:rPr>
      <w:fldChar w:fldCharType="begin"/>
    </w:r>
    <w:r w:rsidRPr="0044093F">
      <w:rPr>
        <w:rFonts w:ascii="Palatino Linotype" w:eastAsia="Arial" w:hAnsi="Palatino Linotype" w:cs="Arial"/>
        <w:bCs/>
        <w:color w:val="000000"/>
        <w:sz w:val="22"/>
        <w:szCs w:val="20"/>
      </w:rPr>
      <w:instrText>NUMPAGES</w:instrText>
    </w:r>
    <w:r w:rsidRPr="0044093F">
      <w:rPr>
        <w:rFonts w:ascii="Palatino Linotype" w:eastAsia="Arial" w:hAnsi="Palatino Linotype" w:cs="Arial"/>
        <w:bCs/>
        <w:color w:val="000000"/>
        <w:sz w:val="22"/>
        <w:szCs w:val="20"/>
      </w:rPr>
      <w:fldChar w:fldCharType="separate"/>
    </w:r>
    <w:r w:rsidR="00C776CE">
      <w:rPr>
        <w:rFonts w:ascii="Palatino Linotype" w:eastAsia="Arial" w:hAnsi="Palatino Linotype" w:cs="Arial"/>
        <w:bCs/>
        <w:noProof/>
        <w:color w:val="000000"/>
        <w:sz w:val="22"/>
        <w:szCs w:val="20"/>
      </w:rPr>
      <w:t>69</w:t>
    </w:r>
    <w:r w:rsidRPr="0044093F">
      <w:rPr>
        <w:rFonts w:ascii="Palatino Linotype" w:eastAsia="Arial" w:hAnsi="Palatino Linotype" w:cs="Arial"/>
        <w:bCs/>
        <w:color w:val="000000"/>
        <w:sz w:val="22"/>
        <w:szCs w:val="20"/>
      </w:rPr>
      <w:fldChar w:fldCharType="end"/>
    </w:r>
  </w:p>
  <w:p w:rsidR="0044093F" w:rsidRDefault="0044093F">
    <w:pPr>
      <w:pBdr>
        <w:top w:val="nil"/>
        <w:left w:val="nil"/>
        <w:bottom w:val="nil"/>
        <w:right w:val="nil"/>
        <w:between w:val="nil"/>
      </w:pBdr>
      <w:tabs>
        <w:tab w:val="center" w:pos="4252"/>
        <w:tab w:val="right" w:pos="8504"/>
      </w:tabs>
      <w:rPr>
        <w:color w:val="000000"/>
      </w:rPr>
    </w:pPr>
  </w:p>
  <w:p w:rsidR="0044093F" w:rsidRDefault="0044093F">
    <w:pPr>
      <w:pBdr>
        <w:top w:val="nil"/>
        <w:left w:val="nil"/>
        <w:bottom w:val="nil"/>
        <w:right w:val="nil"/>
        <w:between w:val="nil"/>
      </w:pBdr>
      <w:tabs>
        <w:tab w:val="center" w:pos="4252"/>
        <w:tab w:val="right" w:pos="8504"/>
      </w:tabs>
      <w:ind w:firstLine="708"/>
      <w:rPr>
        <w:rFonts w:ascii="Calibri" w:eastAsia="Calibri" w:hAnsi="Calibri" w:cs="Calibri"/>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093F" w:rsidRPr="0044093F" w:rsidRDefault="0044093F">
    <w:pPr>
      <w:pBdr>
        <w:top w:val="nil"/>
        <w:left w:val="nil"/>
        <w:bottom w:val="nil"/>
        <w:right w:val="nil"/>
        <w:between w:val="nil"/>
      </w:pBdr>
      <w:tabs>
        <w:tab w:val="center" w:pos="4252"/>
        <w:tab w:val="right" w:pos="8504"/>
      </w:tabs>
      <w:jc w:val="right"/>
      <w:rPr>
        <w:rFonts w:ascii="Palatino Linotype" w:eastAsia="Arial" w:hAnsi="Palatino Linotype" w:cs="Arial"/>
        <w:color w:val="000000"/>
        <w:sz w:val="22"/>
        <w:szCs w:val="20"/>
      </w:rPr>
    </w:pPr>
    <w:r w:rsidRPr="0044093F">
      <w:rPr>
        <w:rFonts w:ascii="Palatino Linotype" w:eastAsia="Arial" w:hAnsi="Palatino Linotype" w:cs="Arial"/>
        <w:bCs/>
        <w:color w:val="000000"/>
        <w:sz w:val="22"/>
        <w:szCs w:val="20"/>
      </w:rPr>
      <w:t xml:space="preserve">Página </w:t>
    </w:r>
    <w:r w:rsidRPr="0044093F">
      <w:rPr>
        <w:rFonts w:ascii="Palatino Linotype" w:eastAsia="Arial" w:hAnsi="Palatino Linotype" w:cs="Arial"/>
        <w:bCs/>
        <w:color w:val="000000"/>
        <w:sz w:val="22"/>
        <w:szCs w:val="20"/>
      </w:rPr>
      <w:fldChar w:fldCharType="begin"/>
    </w:r>
    <w:r w:rsidRPr="0044093F">
      <w:rPr>
        <w:rFonts w:ascii="Palatino Linotype" w:eastAsia="Arial" w:hAnsi="Palatino Linotype" w:cs="Arial"/>
        <w:bCs/>
        <w:color w:val="000000"/>
        <w:sz w:val="22"/>
        <w:szCs w:val="20"/>
      </w:rPr>
      <w:instrText>PAGE</w:instrText>
    </w:r>
    <w:r w:rsidRPr="0044093F">
      <w:rPr>
        <w:rFonts w:ascii="Palatino Linotype" w:eastAsia="Arial" w:hAnsi="Palatino Linotype" w:cs="Arial"/>
        <w:bCs/>
        <w:color w:val="000000"/>
        <w:sz w:val="22"/>
        <w:szCs w:val="20"/>
      </w:rPr>
      <w:fldChar w:fldCharType="separate"/>
    </w:r>
    <w:r w:rsidR="00C776CE">
      <w:rPr>
        <w:rFonts w:ascii="Palatino Linotype" w:eastAsia="Arial" w:hAnsi="Palatino Linotype" w:cs="Arial"/>
        <w:bCs/>
        <w:noProof/>
        <w:color w:val="000000"/>
        <w:sz w:val="22"/>
        <w:szCs w:val="20"/>
      </w:rPr>
      <w:t>1</w:t>
    </w:r>
    <w:r w:rsidRPr="0044093F">
      <w:rPr>
        <w:rFonts w:ascii="Palatino Linotype" w:eastAsia="Arial" w:hAnsi="Palatino Linotype" w:cs="Arial"/>
        <w:bCs/>
        <w:color w:val="000000"/>
        <w:sz w:val="22"/>
        <w:szCs w:val="20"/>
      </w:rPr>
      <w:fldChar w:fldCharType="end"/>
    </w:r>
    <w:r w:rsidRPr="0044093F">
      <w:rPr>
        <w:rFonts w:ascii="Palatino Linotype" w:eastAsia="Arial" w:hAnsi="Palatino Linotype" w:cs="Arial"/>
        <w:color w:val="000000"/>
        <w:sz w:val="22"/>
        <w:szCs w:val="20"/>
      </w:rPr>
      <w:t xml:space="preserve"> de </w:t>
    </w:r>
    <w:r w:rsidRPr="0044093F">
      <w:rPr>
        <w:rFonts w:ascii="Palatino Linotype" w:eastAsia="Arial" w:hAnsi="Palatino Linotype" w:cs="Arial"/>
        <w:bCs/>
        <w:color w:val="000000"/>
        <w:sz w:val="22"/>
        <w:szCs w:val="20"/>
      </w:rPr>
      <w:fldChar w:fldCharType="begin"/>
    </w:r>
    <w:r w:rsidRPr="0044093F">
      <w:rPr>
        <w:rFonts w:ascii="Palatino Linotype" w:eastAsia="Arial" w:hAnsi="Palatino Linotype" w:cs="Arial"/>
        <w:bCs/>
        <w:color w:val="000000"/>
        <w:sz w:val="22"/>
        <w:szCs w:val="20"/>
      </w:rPr>
      <w:instrText>NUMPAGES</w:instrText>
    </w:r>
    <w:r w:rsidRPr="0044093F">
      <w:rPr>
        <w:rFonts w:ascii="Palatino Linotype" w:eastAsia="Arial" w:hAnsi="Palatino Linotype" w:cs="Arial"/>
        <w:bCs/>
        <w:color w:val="000000"/>
        <w:sz w:val="22"/>
        <w:szCs w:val="20"/>
      </w:rPr>
      <w:fldChar w:fldCharType="separate"/>
    </w:r>
    <w:r w:rsidR="00C776CE">
      <w:rPr>
        <w:rFonts w:ascii="Palatino Linotype" w:eastAsia="Arial" w:hAnsi="Palatino Linotype" w:cs="Arial"/>
        <w:bCs/>
        <w:noProof/>
        <w:color w:val="000000"/>
        <w:sz w:val="22"/>
        <w:szCs w:val="20"/>
      </w:rPr>
      <w:t>69</w:t>
    </w:r>
    <w:r w:rsidRPr="0044093F">
      <w:rPr>
        <w:rFonts w:ascii="Palatino Linotype" w:eastAsia="Arial" w:hAnsi="Palatino Linotype" w:cs="Arial"/>
        <w:bCs/>
        <w:color w:val="000000"/>
        <w:sz w:val="22"/>
        <w:szCs w:val="20"/>
      </w:rPr>
      <w:fldChar w:fldCharType="end"/>
    </w:r>
  </w:p>
  <w:p w:rsidR="0044093F" w:rsidRPr="0044093F" w:rsidRDefault="0044093F">
    <w:pPr>
      <w:pBdr>
        <w:top w:val="nil"/>
        <w:left w:val="nil"/>
        <w:bottom w:val="nil"/>
        <w:right w:val="nil"/>
        <w:between w:val="nil"/>
      </w:pBdr>
      <w:tabs>
        <w:tab w:val="center" w:pos="4252"/>
        <w:tab w:val="right" w:pos="8504"/>
      </w:tabs>
      <w:rPr>
        <w:rFonts w:ascii="Calibri" w:eastAsia="Calibri" w:hAnsi="Calibri" w:cs="Calibri"/>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729F" w:rsidRDefault="007D729F" w:rsidP="00605057">
      <w:r>
        <w:separator/>
      </w:r>
    </w:p>
  </w:footnote>
  <w:footnote w:type="continuationSeparator" w:id="0">
    <w:p w:rsidR="007D729F" w:rsidRDefault="007D729F" w:rsidP="00605057">
      <w:r>
        <w:continuationSeparator/>
      </w:r>
    </w:p>
  </w:footnote>
  <w:footnote w:id="1">
    <w:p w:rsidR="0044093F" w:rsidRDefault="0044093F" w:rsidP="00605057">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Convención Americana sobre Derechos Humanos. Artículo 13.</w:t>
      </w:r>
    </w:p>
  </w:footnote>
  <w:footnote w:id="2">
    <w:p w:rsidR="0044093F" w:rsidRDefault="0044093F" w:rsidP="00605057">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Constitución Política de los Estados Unidos Mexicanos. Artículo sexto, sección A, fracción I.</w:t>
      </w:r>
    </w:p>
  </w:footnote>
  <w:footnote w:id="3">
    <w:p w:rsidR="0044093F" w:rsidRDefault="0044093F" w:rsidP="00605057">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Corte Interamericana de Derechos Humanos. Caso Claude Reyes y otros vs. Chile. Sentencia de 19 de septiembre de 2006. Serie C. No. 151. Párr. 86.</w:t>
      </w:r>
    </w:p>
  </w:footnote>
  <w:footnote w:id="4">
    <w:p w:rsidR="0044093F" w:rsidRDefault="0044093F" w:rsidP="00605057">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Ibídem. Parr. 87.</w:t>
      </w:r>
    </w:p>
  </w:footnote>
  <w:footnote w:id="5">
    <w:p w:rsidR="0044093F" w:rsidRDefault="0044093F" w:rsidP="00DF1994">
      <w:pPr>
        <w:jc w:val="both"/>
        <w:rPr>
          <w:rFonts w:ascii="Palatino Linotype" w:eastAsia="Palatino Linotype" w:hAnsi="Palatino Linotype" w:cs="Palatino Linotype"/>
          <w:sz w:val="16"/>
          <w:szCs w:val="16"/>
        </w:rPr>
      </w:pPr>
      <w:r>
        <w:rPr>
          <w:vertAlign w:val="superscript"/>
        </w:rPr>
        <w:footnoteRef/>
      </w:r>
      <w:r>
        <w:rPr>
          <w:rFonts w:ascii="Palatino Linotype" w:eastAsia="Palatino Linotype" w:hAnsi="Palatino Linotype" w:cs="Palatino Linotype"/>
          <w:sz w:val="16"/>
          <w:szCs w:val="16"/>
        </w:rPr>
        <w:t xml:space="preserve"> BURGOA ORIHUELA Ignacio. Diccionario De Derecho Constitucional, Garantías y Amparo. Ed. Porrúa, S.A., México. 1992, p.115.</w:t>
      </w:r>
    </w:p>
  </w:footnote>
  <w:footnote w:id="6">
    <w:p w:rsidR="0044093F" w:rsidRDefault="0044093F" w:rsidP="00DF1994">
      <w:pPr>
        <w:jc w:val="both"/>
        <w:rPr>
          <w:rFonts w:ascii="Palatino Linotype" w:eastAsia="Palatino Linotype" w:hAnsi="Palatino Linotype" w:cs="Palatino Linotype"/>
          <w:sz w:val="16"/>
          <w:szCs w:val="16"/>
        </w:rPr>
      </w:pPr>
      <w:r>
        <w:rPr>
          <w:vertAlign w:val="superscript"/>
        </w:rPr>
        <w:footnoteRef/>
      </w:r>
      <w:r>
        <w:rPr>
          <w:rFonts w:ascii="Palatino Linotype" w:eastAsia="Palatino Linotype" w:hAnsi="Palatino Linotype" w:cs="Palatino Linotype"/>
          <w:sz w:val="16"/>
          <w:szCs w:val="16"/>
        </w:rPr>
        <w:t xml:space="preserve"> CIENFUEGOS SALGADO David. El Derecho de Petición en México. Ed. Instituto de Investigaciones Jurídica UNAM. México 2004. p. 31</w:t>
      </w:r>
    </w:p>
  </w:footnote>
  <w:footnote w:id="7">
    <w:p w:rsidR="0044093F" w:rsidRDefault="0044093F" w:rsidP="00DF1994">
      <w:pPr>
        <w:spacing w:before="240" w:after="240"/>
        <w:jc w:val="both"/>
        <w:rPr>
          <w:rFonts w:ascii="Palatino Linotype" w:eastAsia="Palatino Linotype" w:hAnsi="Palatino Linotype" w:cs="Palatino Linotype"/>
          <w:sz w:val="16"/>
          <w:szCs w:val="16"/>
        </w:rPr>
      </w:pPr>
      <w:r>
        <w:rPr>
          <w:vertAlign w:val="superscript"/>
        </w:rPr>
        <w:footnoteRef/>
      </w:r>
      <w:r>
        <w:rPr>
          <w:rFonts w:ascii="Palatino Linotype" w:eastAsia="Palatino Linotype" w:hAnsi="Palatino Linotype" w:cs="Palatino Linotype"/>
          <w:sz w:val="16"/>
          <w:szCs w:val="16"/>
        </w:rPr>
        <w:t xml:space="preserve"> Carbonell, M. (2004). Los Derechos Fundamentales (Primera Edición ed.), México: Instituto de investigaciones Jurídicas.</w:t>
      </w:r>
    </w:p>
  </w:footnote>
  <w:footnote w:id="8">
    <w:p w:rsidR="0044093F" w:rsidRDefault="0044093F" w:rsidP="00DF1994">
      <w:pPr>
        <w:pBdr>
          <w:top w:val="nil"/>
          <w:left w:val="nil"/>
          <w:bottom w:val="nil"/>
          <w:right w:val="nil"/>
          <w:between w:val="nil"/>
        </w:pBdr>
        <w:spacing w:line="198" w:lineRule="auto"/>
        <w:ind w:left="93"/>
        <w:rPr>
          <w:rFonts w:ascii="Palatino Linotype" w:eastAsia="Palatino Linotype" w:hAnsi="Palatino Linotype" w:cs="Palatino Linotype"/>
          <w:color w:val="000000"/>
          <w:sz w:val="16"/>
          <w:szCs w:val="16"/>
        </w:rPr>
      </w:pPr>
      <w:r>
        <w:rPr>
          <w:vertAlign w:val="superscript"/>
        </w:rPr>
        <w:footnoteRef/>
      </w:r>
      <w:r>
        <w:rPr>
          <w:color w:val="000000"/>
          <w:sz w:val="23"/>
          <w:szCs w:val="23"/>
        </w:rPr>
        <w:t xml:space="preserve"> </w:t>
      </w:r>
      <w:r>
        <w:rPr>
          <w:rFonts w:ascii="Palatino Linotype" w:eastAsia="Palatino Linotype" w:hAnsi="Palatino Linotype" w:cs="Palatino Linotype"/>
          <w:color w:val="000000"/>
          <w:sz w:val="16"/>
          <w:szCs w:val="16"/>
        </w:rPr>
        <w:t>VILLANUEVA VILLANUEVA Ernesto, Derecho de la Información, Ed, Porrúa S.A., México. 2006, pág.270.</w:t>
      </w:r>
    </w:p>
  </w:footnote>
  <w:footnote w:id="9">
    <w:p w:rsidR="0044093F" w:rsidRDefault="0044093F" w:rsidP="00DF1994">
      <w:pPr>
        <w:pBdr>
          <w:top w:val="nil"/>
          <w:left w:val="nil"/>
          <w:bottom w:val="nil"/>
          <w:right w:val="nil"/>
          <w:between w:val="nil"/>
        </w:pBdr>
        <w:ind w:right="96"/>
        <w:jc w:val="both"/>
        <w:rPr>
          <w:rFonts w:ascii="Palatino Linotype" w:eastAsia="Palatino Linotype" w:hAnsi="Palatino Linotype" w:cs="Palatino Linotype"/>
          <w:color w:val="000000"/>
          <w:sz w:val="16"/>
          <w:szCs w:val="16"/>
        </w:rPr>
      </w:pPr>
      <w:r>
        <w:rPr>
          <w:vertAlign w:val="superscript"/>
        </w:rPr>
        <w:footnoteRef/>
      </w:r>
      <w:r>
        <w:rPr>
          <w:color w:val="000000"/>
          <w:sz w:val="23"/>
          <w:szCs w:val="23"/>
        </w:rPr>
        <w:t xml:space="preserve"> </w:t>
      </w:r>
      <w:r>
        <w:rPr>
          <w:rFonts w:ascii="Palatino Linotype" w:eastAsia="Palatino Linotype" w:hAnsi="Palatino Linotype" w:cs="Palatino Linotype"/>
          <w:color w:val="000000"/>
          <w:sz w:val="16"/>
          <w:szCs w:val="16"/>
        </w:rPr>
        <w:t>ROBLES HERNÁNDEZ José Guadalupe. Derecho de la Información y Comunicación Pública. Ed.Universidad de Occidente de México, 2004, pág.72.</w:t>
      </w:r>
    </w:p>
  </w:footnote>
  <w:footnote w:id="10">
    <w:p w:rsidR="0044093F" w:rsidRDefault="0044093F" w:rsidP="00D7203A">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Consultada el 22/01/2026.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804" w:type="dxa"/>
      <w:tblInd w:w="3119" w:type="dxa"/>
      <w:tblLayout w:type="fixed"/>
      <w:tblLook w:val="0400" w:firstRow="0" w:lastRow="0" w:firstColumn="0" w:lastColumn="0" w:noHBand="0" w:noVBand="1"/>
    </w:tblPr>
    <w:tblGrid>
      <w:gridCol w:w="3178"/>
      <w:gridCol w:w="3626"/>
    </w:tblGrid>
    <w:tr w:rsidR="0044093F" w:rsidTr="0044093F">
      <w:tc>
        <w:tcPr>
          <w:tcW w:w="3178" w:type="dxa"/>
          <w:vAlign w:val="center"/>
        </w:tcPr>
        <w:p w:rsidR="0044093F" w:rsidRPr="00206872" w:rsidRDefault="0044093F">
          <w:pPr>
            <w:ind w:left="377"/>
            <w:rPr>
              <w:rFonts w:ascii="Palatino Linotype" w:eastAsia="Palatino Linotype" w:hAnsi="Palatino Linotype" w:cs="Palatino Linotype"/>
              <w:b/>
              <w:bCs/>
            </w:rPr>
          </w:pPr>
          <w:r w:rsidRPr="00206872">
            <w:rPr>
              <w:rFonts w:ascii="Palatino Linotype" w:eastAsia="Palatino Linotype" w:hAnsi="Palatino Linotype" w:cs="Palatino Linotype"/>
              <w:b/>
              <w:bCs/>
            </w:rPr>
            <w:t>Recurso de Revisión:</w:t>
          </w:r>
        </w:p>
      </w:tc>
      <w:tc>
        <w:tcPr>
          <w:tcW w:w="3626" w:type="dxa"/>
          <w:vAlign w:val="center"/>
        </w:tcPr>
        <w:p w:rsidR="0044093F" w:rsidRPr="00206872" w:rsidRDefault="0044093F">
          <w:pPr>
            <w:ind w:right="-1093"/>
            <w:jc w:val="both"/>
            <w:rPr>
              <w:rFonts w:ascii="Palatino Linotype" w:eastAsia="Palatino Linotype" w:hAnsi="Palatino Linotype" w:cs="Palatino Linotype"/>
              <w:bCs/>
            </w:rPr>
          </w:pPr>
          <w:r>
            <w:rPr>
              <w:rFonts w:ascii="Palatino Linotype" w:eastAsia="Palatino Linotype" w:hAnsi="Palatino Linotype" w:cs="Palatino Linotype"/>
              <w:bCs/>
            </w:rPr>
            <w:t>12398</w:t>
          </w:r>
          <w:r w:rsidRPr="00206872">
            <w:rPr>
              <w:rFonts w:ascii="Palatino Linotype" w:eastAsia="Palatino Linotype" w:hAnsi="Palatino Linotype" w:cs="Palatino Linotype"/>
              <w:bCs/>
            </w:rPr>
            <w:t xml:space="preserve">/INFOEM/IP/RR/2025 </w:t>
          </w:r>
        </w:p>
      </w:tc>
    </w:tr>
    <w:tr w:rsidR="0044093F" w:rsidTr="0044093F">
      <w:trPr>
        <w:trHeight w:val="228"/>
      </w:trPr>
      <w:tc>
        <w:tcPr>
          <w:tcW w:w="3178" w:type="dxa"/>
          <w:vAlign w:val="center"/>
        </w:tcPr>
        <w:p w:rsidR="0044093F" w:rsidRPr="00206872" w:rsidRDefault="0044093F">
          <w:pPr>
            <w:ind w:left="377"/>
            <w:rPr>
              <w:rFonts w:ascii="Palatino Linotype" w:eastAsia="Palatino Linotype" w:hAnsi="Palatino Linotype" w:cs="Palatino Linotype"/>
              <w:b/>
              <w:bCs/>
            </w:rPr>
          </w:pPr>
          <w:r w:rsidRPr="00206872">
            <w:rPr>
              <w:rFonts w:ascii="Palatino Linotype" w:eastAsia="Palatino Linotype" w:hAnsi="Palatino Linotype" w:cs="Palatino Linotype"/>
              <w:b/>
              <w:bCs/>
            </w:rPr>
            <w:t>Sujeto Obligado:</w:t>
          </w:r>
        </w:p>
      </w:tc>
      <w:tc>
        <w:tcPr>
          <w:tcW w:w="3626" w:type="dxa"/>
          <w:shd w:val="clear" w:color="auto" w:fill="auto"/>
          <w:vAlign w:val="center"/>
        </w:tcPr>
        <w:p w:rsidR="0044093F" w:rsidRPr="00206872" w:rsidRDefault="0044093F">
          <w:pPr>
            <w:ind w:right="-108"/>
            <w:rPr>
              <w:rFonts w:ascii="Palatino Linotype" w:eastAsia="Palatino Linotype" w:hAnsi="Palatino Linotype" w:cs="Palatino Linotype"/>
              <w:color w:val="000000"/>
            </w:rPr>
          </w:pPr>
          <w:r w:rsidRPr="00206872">
            <w:rPr>
              <w:rFonts w:ascii="Palatino Linotype" w:eastAsia="Palatino Linotype" w:hAnsi="Palatino Linotype" w:cs="Palatino Linotype"/>
              <w:bCs/>
              <w:color w:val="000000"/>
            </w:rPr>
            <w:t>Ayuntamiento de Tepotzotlán</w:t>
          </w:r>
        </w:p>
      </w:tc>
    </w:tr>
    <w:tr w:rsidR="0044093F" w:rsidTr="0044093F">
      <w:tc>
        <w:tcPr>
          <w:tcW w:w="3178" w:type="dxa"/>
          <w:vAlign w:val="center"/>
        </w:tcPr>
        <w:p w:rsidR="0044093F" w:rsidRPr="00206872" w:rsidRDefault="0044093F">
          <w:pPr>
            <w:ind w:left="377"/>
            <w:rPr>
              <w:rFonts w:ascii="Palatino Linotype" w:eastAsia="Palatino Linotype" w:hAnsi="Palatino Linotype" w:cs="Palatino Linotype"/>
              <w:b/>
              <w:bCs/>
            </w:rPr>
          </w:pPr>
          <w:r w:rsidRPr="00206872">
            <w:rPr>
              <w:rFonts w:ascii="Palatino Linotype" w:eastAsia="Palatino Linotype" w:hAnsi="Palatino Linotype" w:cs="Palatino Linotype"/>
              <w:b/>
              <w:bCs/>
            </w:rPr>
            <w:t>Comisionada Ponente:</w:t>
          </w:r>
        </w:p>
      </w:tc>
      <w:tc>
        <w:tcPr>
          <w:tcW w:w="3626" w:type="dxa"/>
          <w:vAlign w:val="center"/>
        </w:tcPr>
        <w:p w:rsidR="0044093F" w:rsidRPr="00206872" w:rsidRDefault="0044093F">
          <w:pPr>
            <w:ind w:right="-1093"/>
            <w:jc w:val="both"/>
            <w:rPr>
              <w:rFonts w:ascii="Palatino Linotype" w:eastAsia="Palatino Linotype" w:hAnsi="Palatino Linotype" w:cs="Palatino Linotype"/>
              <w:bCs/>
            </w:rPr>
          </w:pPr>
          <w:r w:rsidRPr="00206872">
            <w:rPr>
              <w:rFonts w:ascii="Palatino Linotype" w:eastAsia="Palatino Linotype" w:hAnsi="Palatino Linotype" w:cs="Palatino Linotype"/>
              <w:bCs/>
            </w:rPr>
            <w:t>María del Rosario Mejía Ayala</w:t>
          </w:r>
        </w:p>
      </w:tc>
    </w:tr>
  </w:tbl>
  <w:p w:rsidR="0044093F" w:rsidRDefault="0044093F">
    <w:pPr>
      <w:pBdr>
        <w:top w:val="nil"/>
        <w:left w:val="nil"/>
        <w:bottom w:val="nil"/>
        <w:right w:val="nil"/>
        <w:between w:val="nil"/>
      </w:pBdr>
      <w:tabs>
        <w:tab w:val="center" w:pos="4252"/>
        <w:tab w:val="right" w:pos="8504"/>
        <w:tab w:val="left" w:pos="3233"/>
      </w:tabs>
      <w:rPr>
        <w:rFonts w:ascii="Calibri" w:eastAsia="Calibri" w:hAnsi="Calibri" w:cs="Calibri"/>
        <w:color w:val="000000"/>
      </w:rPr>
    </w:pPr>
    <w:r w:rsidRPr="00206872">
      <w:rPr>
        <w:noProof/>
      </w:rPr>
      <w:drawing>
        <wp:anchor distT="0" distB="0" distL="0" distR="0" simplePos="0" relativeHeight="251659264" behindDoc="1" locked="0" layoutInCell="1" hidden="0" allowOverlap="1" wp14:anchorId="1B77856C" wp14:editId="53464265">
          <wp:simplePos x="0" y="0"/>
          <wp:positionH relativeFrom="page">
            <wp:align>left</wp:align>
          </wp:positionH>
          <wp:positionV relativeFrom="paragraph">
            <wp:posOffset>-1176835</wp:posOffset>
          </wp:positionV>
          <wp:extent cx="7813085" cy="10170000"/>
          <wp:effectExtent l="0" t="0" r="0" b="3175"/>
          <wp:wrapNone/>
          <wp:docPr id="9"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
                  <a:srcRect/>
                  <a:stretch>
                    <a:fillRect/>
                  </a:stretch>
                </pic:blipFill>
                <pic:spPr>
                  <a:xfrm>
                    <a:off x="0" y="0"/>
                    <a:ext cx="7813085" cy="10170000"/>
                  </a:xfrm>
                  <a:prstGeom prst="rect">
                    <a:avLst/>
                  </a:prstGeom>
                  <a:ln/>
                </pic:spPr>
              </pic:pic>
            </a:graphicData>
          </a:graphic>
        </wp:anchor>
      </w:drawing>
    </w:r>
    <w:r>
      <w:rPr>
        <w:rFonts w:ascii="Calibri" w:eastAsia="Calibri" w:hAnsi="Calibri" w:cs="Calibri"/>
        <w:color w:val="000000"/>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226" w:type="dxa"/>
      <w:tblInd w:w="2552" w:type="dxa"/>
      <w:tblLayout w:type="fixed"/>
      <w:tblLook w:val="0400" w:firstRow="0" w:lastRow="0" w:firstColumn="0" w:lastColumn="0" w:noHBand="0" w:noVBand="1"/>
    </w:tblPr>
    <w:tblGrid>
      <w:gridCol w:w="3543"/>
      <w:gridCol w:w="3683"/>
    </w:tblGrid>
    <w:tr w:rsidR="0044093F" w:rsidTr="00605057">
      <w:trPr>
        <w:trHeight w:val="227"/>
      </w:trPr>
      <w:tc>
        <w:tcPr>
          <w:tcW w:w="3543" w:type="dxa"/>
          <w:vAlign w:val="center"/>
        </w:tcPr>
        <w:p w:rsidR="0044093F" w:rsidRPr="00206872" w:rsidRDefault="0044093F">
          <w:pPr>
            <w:jc w:val="right"/>
            <w:rPr>
              <w:rFonts w:ascii="Palatino Linotype" w:eastAsia="Palatino Linotype" w:hAnsi="Palatino Linotype" w:cs="Palatino Linotype"/>
              <w:b/>
              <w:bCs/>
              <w:szCs w:val="22"/>
            </w:rPr>
          </w:pPr>
          <w:r w:rsidRPr="00206872">
            <w:rPr>
              <w:rFonts w:ascii="Calibri" w:eastAsia="Calibri" w:hAnsi="Calibri" w:cs="Calibri"/>
              <w:color w:val="000000"/>
            </w:rPr>
            <w:t xml:space="preserve">               </w:t>
          </w:r>
          <w:r w:rsidRPr="00206872">
            <w:rPr>
              <w:rFonts w:ascii="Palatino Linotype" w:eastAsia="Palatino Linotype" w:hAnsi="Palatino Linotype" w:cs="Palatino Linotype"/>
              <w:b/>
              <w:bCs/>
              <w:szCs w:val="22"/>
            </w:rPr>
            <w:t>Recurso de Revisión:</w:t>
          </w:r>
        </w:p>
      </w:tc>
      <w:tc>
        <w:tcPr>
          <w:tcW w:w="3683" w:type="dxa"/>
          <w:vAlign w:val="center"/>
        </w:tcPr>
        <w:p w:rsidR="0044093F" w:rsidRPr="00206872" w:rsidRDefault="0044093F">
          <w:pPr>
            <w:pBdr>
              <w:top w:val="nil"/>
              <w:left w:val="nil"/>
              <w:bottom w:val="nil"/>
              <w:right w:val="nil"/>
              <w:between w:val="nil"/>
            </w:pBdr>
            <w:tabs>
              <w:tab w:val="center" w:pos="4419"/>
              <w:tab w:val="right" w:pos="8838"/>
            </w:tabs>
            <w:rPr>
              <w:rFonts w:ascii="Palatino Linotype" w:eastAsia="Palatino Linotype" w:hAnsi="Palatino Linotype" w:cs="Palatino Linotype"/>
              <w:bCs/>
              <w:color w:val="000000"/>
              <w:szCs w:val="22"/>
              <w:highlight w:val="green"/>
            </w:rPr>
          </w:pPr>
          <w:r>
            <w:rPr>
              <w:rFonts w:ascii="Palatino Linotype" w:eastAsia="Palatino Linotype" w:hAnsi="Palatino Linotype" w:cs="Palatino Linotype"/>
              <w:bCs/>
              <w:color w:val="000000"/>
              <w:szCs w:val="22"/>
            </w:rPr>
            <w:t>12398</w:t>
          </w:r>
          <w:r w:rsidRPr="00206872">
            <w:rPr>
              <w:rFonts w:ascii="Palatino Linotype" w:eastAsia="Palatino Linotype" w:hAnsi="Palatino Linotype" w:cs="Palatino Linotype"/>
              <w:bCs/>
              <w:color w:val="000000"/>
              <w:szCs w:val="22"/>
            </w:rPr>
            <w:t>/INFOEM/IP/RR/2025</w:t>
          </w:r>
        </w:p>
      </w:tc>
    </w:tr>
    <w:tr w:rsidR="0044093F" w:rsidTr="00605057">
      <w:trPr>
        <w:trHeight w:val="242"/>
      </w:trPr>
      <w:tc>
        <w:tcPr>
          <w:tcW w:w="3543" w:type="dxa"/>
          <w:vAlign w:val="center"/>
        </w:tcPr>
        <w:p w:rsidR="0044093F" w:rsidRPr="00206872" w:rsidRDefault="0044093F">
          <w:pPr>
            <w:jc w:val="right"/>
            <w:rPr>
              <w:rFonts w:ascii="Palatino Linotype" w:eastAsia="Palatino Linotype" w:hAnsi="Palatino Linotype" w:cs="Palatino Linotype"/>
              <w:b/>
              <w:bCs/>
              <w:szCs w:val="22"/>
            </w:rPr>
          </w:pPr>
          <w:r w:rsidRPr="00206872">
            <w:rPr>
              <w:rFonts w:ascii="Palatino Linotype" w:eastAsia="Palatino Linotype" w:hAnsi="Palatino Linotype" w:cs="Palatino Linotype"/>
              <w:b/>
              <w:bCs/>
              <w:szCs w:val="22"/>
            </w:rPr>
            <w:t>Recurrente:</w:t>
          </w:r>
        </w:p>
      </w:tc>
      <w:tc>
        <w:tcPr>
          <w:tcW w:w="3683" w:type="dxa"/>
        </w:tcPr>
        <w:p w:rsidR="0044093F" w:rsidRPr="00206872" w:rsidRDefault="00C776CE">
          <w:pPr>
            <w:pBdr>
              <w:top w:val="nil"/>
              <w:left w:val="nil"/>
              <w:bottom w:val="nil"/>
              <w:right w:val="nil"/>
              <w:between w:val="nil"/>
            </w:pBdr>
            <w:tabs>
              <w:tab w:val="center" w:pos="4419"/>
              <w:tab w:val="right" w:pos="8838"/>
              <w:tab w:val="left" w:pos="521"/>
            </w:tabs>
            <w:rPr>
              <w:rFonts w:ascii="Palatino Linotype" w:eastAsia="Palatino Linotype" w:hAnsi="Palatino Linotype" w:cs="Palatino Linotype"/>
              <w:bCs/>
              <w:szCs w:val="22"/>
            </w:rPr>
          </w:pPr>
          <w:r>
            <w:rPr>
              <w:rFonts w:ascii="Palatino Linotype" w:eastAsia="Palatino Linotype" w:hAnsi="Palatino Linotype" w:cs="Palatino Linotype"/>
              <w:bCs/>
              <w:szCs w:val="22"/>
            </w:rPr>
            <w:t>XXXX</w:t>
          </w:r>
        </w:p>
      </w:tc>
    </w:tr>
    <w:tr w:rsidR="0044093F" w:rsidTr="00605057">
      <w:trPr>
        <w:trHeight w:val="342"/>
      </w:trPr>
      <w:tc>
        <w:tcPr>
          <w:tcW w:w="3543" w:type="dxa"/>
          <w:vAlign w:val="center"/>
        </w:tcPr>
        <w:p w:rsidR="0044093F" w:rsidRPr="00206872" w:rsidRDefault="0044093F">
          <w:pPr>
            <w:jc w:val="right"/>
            <w:rPr>
              <w:rFonts w:ascii="Palatino Linotype" w:eastAsia="Palatino Linotype" w:hAnsi="Palatino Linotype" w:cs="Palatino Linotype"/>
              <w:b/>
              <w:bCs/>
              <w:szCs w:val="22"/>
            </w:rPr>
          </w:pPr>
          <w:r w:rsidRPr="00206872">
            <w:rPr>
              <w:rFonts w:ascii="Palatino Linotype" w:eastAsia="Palatino Linotype" w:hAnsi="Palatino Linotype" w:cs="Palatino Linotype"/>
              <w:b/>
              <w:bCs/>
              <w:szCs w:val="22"/>
            </w:rPr>
            <w:t>Sujeto Obligado:</w:t>
          </w:r>
        </w:p>
      </w:tc>
      <w:tc>
        <w:tcPr>
          <w:tcW w:w="3683" w:type="dxa"/>
          <w:vAlign w:val="center"/>
        </w:tcPr>
        <w:p w:rsidR="0044093F" w:rsidRPr="00206872" w:rsidRDefault="0044093F">
          <w:pPr>
            <w:pBdr>
              <w:top w:val="nil"/>
              <w:left w:val="nil"/>
              <w:bottom w:val="nil"/>
              <w:right w:val="nil"/>
              <w:between w:val="nil"/>
            </w:pBdr>
            <w:tabs>
              <w:tab w:val="center" w:pos="4419"/>
              <w:tab w:val="right" w:pos="8838"/>
            </w:tabs>
            <w:jc w:val="both"/>
            <w:rPr>
              <w:rFonts w:ascii="Palatino Linotype" w:eastAsia="Palatino Linotype" w:hAnsi="Palatino Linotype" w:cs="Palatino Linotype"/>
              <w:bCs/>
              <w:color w:val="000000"/>
              <w:szCs w:val="22"/>
            </w:rPr>
          </w:pPr>
          <w:r w:rsidRPr="00206872">
            <w:rPr>
              <w:rFonts w:ascii="Palatino Linotype" w:eastAsia="Palatino Linotype" w:hAnsi="Palatino Linotype" w:cs="Palatino Linotype"/>
              <w:bCs/>
              <w:color w:val="000000"/>
              <w:szCs w:val="22"/>
            </w:rPr>
            <w:t>Ayuntamiento de Tepotzotlán</w:t>
          </w:r>
        </w:p>
      </w:tc>
    </w:tr>
    <w:tr w:rsidR="0044093F" w:rsidTr="00605057">
      <w:trPr>
        <w:trHeight w:val="342"/>
      </w:trPr>
      <w:tc>
        <w:tcPr>
          <w:tcW w:w="3543" w:type="dxa"/>
          <w:vAlign w:val="center"/>
        </w:tcPr>
        <w:p w:rsidR="0044093F" w:rsidRPr="00206872" w:rsidRDefault="0044093F">
          <w:pPr>
            <w:jc w:val="right"/>
            <w:rPr>
              <w:rFonts w:ascii="Palatino Linotype" w:eastAsia="Palatino Linotype" w:hAnsi="Palatino Linotype" w:cs="Palatino Linotype"/>
              <w:b/>
              <w:bCs/>
              <w:szCs w:val="22"/>
            </w:rPr>
          </w:pPr>
          <w:r w:rsidRPr="00206872">
            <w:rPr>
              <w:rFonts w:ascii="Palatino Linotype" w:eastAsia="Palatino Linotype" w:hAnsi="Palatino Linotype" w:cs="Palatino Linotype"/>
              <w:b/>
              <w:bCs/>
              <w:szCs w:val="22"/>
            </w:rPr>
            <w:t>Comisionada Ponente:</w:t>
          </w:r>
        </w:p>
      </w:tc>
      <w:tc>
        <w:tcPr>
          <w:tcW w:w="3683" w:type="dxa"/>
          <w:vAlign w:val="center"/>
        </w:tcPr>
        <w:p w:rsidR="0044093F" w:rsidRPr="00206872" w:rsidRDefault="0044093F">
          <w:pPr>
            <w:pBdr>
              <w:top w:val="nil"/>
              <w:left w:val="nil"/>
              <w:bottom w:val="nil"/>
              <w:right w:val="nil"/>
              <w:between w:val="nil"/>
            </w:pBdr>
            <w:tabs>
              <w:tab w:val="center" w:pos="4419"/>
              <w:tab w:val="right" w:pos="8838"/>
            </w:tabs>
            <w:rPr>
              <w:rFonts w:ascii="Palatino Linotype" w:eastAsia="Palatino Linotype" w:hAnsi="Palatino Linotype" w:cs="Palatino Linotype"/>
              <w:bCs/>
              <w:color w:val="000000"/>
              <w:szCs w:val="22"/>
            </w:rPr>
          </w:pPr>
          <w:r w:rsidRPr="00206872">
            <w:rPr>
              <w:rFonts w:ascii="Palatino Linotype" w:eastAsia="Palatino Linotype" w:hAnsi="Palatino Linotype" w:cs="Palatino Linotype"/>
              <w:bCs/>
              <w:color w:val="000000"/>
              <w:szCs w:val="22"/>
            </w:rPr>
            <w:t>María del Rosario Mejía Ayala</w:t>
          </w:r>
        </w:p>
      </w:tc>
    </w:tr>
  </w:tbl>
  <w:p w:rsidR="0044093F" w:rsidRDefault="0044093F">
    <w:pPr>
      <w:pBdr>
        <w:top w:val="nil"/>
        <w:left w:val="nil"/>
        <w:bottom w:val="nil"/>
        <w:right w:val="nil"/>
        <w:between w:val="nil"/>
      </w:pBdr>
      <w:tabs>
        <w:tab w:val="center" w:pos="4252"/>
        <w:tab w:val="right" w:pos="8504"/>
      </w:tabs>
      <w:rPr>
        <w:rFonts w:ascii="Calibri" w:eastAsia="Calibri" w:hAnsi="Calibri" w:cs="Calibri"/>
        <w:color w:val="000000"/>
      </w:rPr>
    </w:pPr>
    <w:r w:rsidRPr="00206872">
      <w:rPr>
        <w:noProof/>
      </w:rPr>
      <w:drawing>
        <wp:anchor distT="0" distB="0" distL="0" distR="0" simplePos="0" relativeHeight="251660288" behindDoc="1" locked="0" layoutInCell="1" hidden="0" allowOverlap="1" wp14:anchorId="496E0571" wp14:editId="1CD39758">
          <wp:simplePos x="0" y="0"/>
          <wp:positionH relativeFrom="page">
            <wp:align>right</wp:align>
          </wp:positionH>
          <wp:positionV relativeFrom="paragraph">
            <wp:posOffset>-1420567</wp:posOffset>
          </wp:positionV>
          <wp:extent cx="7813085" cy="10170000"/>
          <wp:effectExtent l="0" t="0" r="0" b="3175"/>
          <wp:wrapNone/>
          <wp:docPr id="10"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
                  <a:srcRect/>
                  <a:stretch>
                    <a:fillRect/>
                  </a:stretch>
                </pic:blipFill>
                <pic:spPr>
                  <a:xfrm>
                    <a:off x="0" y="0"/>
                    <a:ext cx="7813085" cy="10170000"/>
                  </a:xfrm>
                  <a:prstGeom prst="rect">
                    <a:avLst/>
                  </a:prstGeom>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9166F0"/>
    <w:multiLevelType w:val="multilevel"/>
    <w:tmpl w:val="94643E60"/>
    <w:lvl w:ilvl="0">
      <w:start w:val="1"/>
      <w:numFmt w:val="decimal"/>
      <w:lvlText w:val="%1."/>
      <w:lvlJc w:val="left"/>
      <w:pPr>
        <w:ind w:left="720" w:hanging="360"/>
      </w:pPr>
      <w:rPr>
        <w:rFonts w:ascii="Palatino Linotype" w:hAnsi="Palatino Linotype" w:hint="default"/>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6D3816"/>
    <w:multiLevelType w:val="multilevel"/>
    <w:tmpl w:val="EA5C59A0"/>
    <w:lvl w:ilvl="0">
      <w:start w:val="1"/>
      <w:numFmt w:val="bullet"/>
      <w:lvlText w:val="●"/>
      <w:lvlJc w:val="left"/>
      <w:pPr>
        <w:ind w:left="1854" w:hanging="360"/>
      </w:pPr>
      <w:rPr>
        <w:rFonts w:ascii="Noto Sans Symbols" w:eastAsia="Noto Sans Symbols" w:hAnsi="Noto Sans Symbols" w:cs="Noto Sans Symbols"/>
      </w:rPr>
    </w:lvl>
    <w:lvl w:ilvl="1">
      <w:start w:val="1"/>
      <w:numFmt w:val="bullet"/>
      <w:lvlText w:val="o"/>
      <w:lvlJc w:val="left"/>
      <w:pPr>
        <w:ind w:left="2574" w:hanging="360"/>
      </w:pPr>
      <w:rPr>
        <w:rFonts w:ascii="Courier New" w:eastAsia="Courier New" w:hAnsi="Courier New" w:cs="Courier New"/>
      </w:rPr>
    </w:lvl>
    <w:lvl w:ilvl="2">
      <w:start w:val="1"/>
      <w:numFmt w:val="bullet"/>
      <w:lvlText w:val="▪"/>
      <w:lvlJc w:val="left"/>
      <w:pPr>
        <w:ind w:left="3294" w:hanging="360"/>
      </w:pPr>
      <w:rPr>
        <w:rFonts w:ascii="Noto Sans Symbols" w:eastAsia="Noto Sans Symbols" w:hAnsi="Noto Sans Symbols" w:cs="Noto Sans Symbols"/>
      </w:rPr>
    </w:lvl>
    <w:lvl w:ilvl="3">
      <w:start w:val="1"/>
      <w:numFmt w:val="bullet"/>
      <w:lvlText w:val="●"/>
      <w:lvlJc w:val="left"/>
      <w:pPr>
        <w:ind w:left="4014" w:hanging="360"/>
      </w:pPr>
      <w:rPr>
        <w:rFonts w:ascii="Noto Sans Symbols" w:eastAsia="Noto Sans Symbols" w:hAnsi="Noto Sans Symbols" w:cs="Noto Sans Symbols"/>
      </w:rPr>
    </w:lvl>
    <w:lvl w:ilvl="4">
      <w:start w:val="1"/>
      <w:numFmt w:val="bullet"/>
      <w:lvlText w:val="o"/>
      <w:lvlJc w:val="left"/>
      <w:pPr>
        <w:ind w:left="4734" w:hanging="360"/>
      </w:pPr>
      <w:rPr>
        <w:rFonts w:ascii="Courier New" w:eastAsia="Courier New" w:hAnsi="Courier New" w:cs="Courier New"/>
      </w:rPr>
    </w:lvl>
    <w:lvl w:ilvl="5">
      <w:start w:val="1"/>
      <w:numFmt w:val="bullet"/>
      <w:lvlText w:val="▪"/>
      <w:lvlJc w:val="left"/>
      <w:pPr>
        <w:ind w:left="5454" w:hanging="360"/>
      </w:pPr>
      <w:rPr>
        <w:rFonts w:ascii="Noto Sans Symbols" w:eastAsia="Noto Sans Symbols" w:hAnsi="Noto Sans Symbols" w:cs="Noto Sans Symbols"/>
      </w:rPr>
    </w:lvl>
    <w:lvl w:ilvl="6">
      <w:start w:val="1"/>
      <w:numFmt w:val="bullet"/>
      <w:lvlText w:val="●"/>
      <w:lvlJc w:val="left"/>
      <w:pPr>
        <w:ind w:left="6174" w:hanging="360"/>
      </w:pPr>
      <w:rPr>
        <w:rFonts w:ascii="Noto Sans Symbols" w:eastAsia="Noto Sans Symbols" w:hAnsi="Noto Sans Symbols" w:cs="Noto Sans Symbols"/>
      </w:rPr>
    </w:lvl>
    <w:lvl w:ilvl="7">
      <w:start w:val="1"/>
      <w:numFmt w:val="bullet"/>
      <w:lvlText w:val="o"/>
      <w:lvlJc w:val="left"/>
      <w:pPr>
        <w:ind w:left="6894" w:hanging="360"/>
      </w:pPr>
      <w:rPr>
        <w:rFonts w:ascii="Courier New" w:eastAsia="Courier New" w:hAnsi="Courier New" w:cs="Courier New"/>
      </w:rPr>
    </w:lvl>
    <w:lvl w:ilvl="8">
      <w:start w:val="1"/>
      <w:numFmt w:val="bullet"/>
      <w:lvlText w:val="▪"/>
      <w:lvlJc w:val="left"/>
      <w:pPr>
        <w:ind w:left="7614" w:hanging="360"/>
      </w:pPr>
      <w:rPr>
        <w:rFonts w:ascii="Noto Sans Symbols" w:eastAsia="Noto Sans Symbols" w:hAnsi="Noto Sans Symbols" w:cs="Noto Sans Symbols"/>
      </w:rPr>
    </w:lvl>
  </w:abstractNum>
  <w:abstractNum w:abstractNumId="2" w15:restartNumberingAfterBreak="0">
    <w:nsid w:val="105E10D2"/>
    <w:multiLevelType w:val="multilevel"/>
    <w:tmpl w:val="D5F6CBD4"/>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B3445E4"/>
    <w:multiLevelType w:val="hybridMultilevel"/>
    <w:tmpl w:val="8D46483E"/>
    <w:lvl w:ilvl="0" w:tplc="F05815D6">
      <w:start w:val="68"/>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FB15050"/>
    <w:multiLevelType w:val="multilevel"/>
    <w:tmpl w:val="C9F2BE52"/>
    <w:lvl w:ilvl="0">
      <w:start w:val="1"/>
      <w:numFmt w:val="decimal"/>
      <w:lvlText w:val="%1."/>
      <w:lvlJc w:val="left"/>
      <w:pPr>
        <w:ind w:left="502"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BC23FC3"/>
    <w:multiLevelType w:val="multilevel"/>
    <w:tmpl w:val="DFE87F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44D1052"/>
    <w:multiLevelType w:val="multilevel"/>
    <w:tmpl w:val="8DD49C70"/>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CE07012"/>
    <w:multiLevelType w:val="hybridMultilevel"/>
    <w:tmpl w:val="C6EA8E3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4F6D49DA"/>
    <w:multiLevelType w:val="multilevel"/>
    <w:tmpl w:val="FD62504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9" w15:restartNumberingAfterBreak="0">
    <w:nsid w:val="54F5703B"/>
    <w:multiLevelType w:val="multilevel"/>
    <w:tmpl w:val="94620DF4"/>
    <w:lvl w:ilvl="0">
      <w:start w:val="1"/>
      <w:numFmt w:val="decimal"/>
      <w:lvlText w:val="%1."/>
      <w:lvlJc w:val="left"/>
      <w:pPr>
        <w:ind w:left="644"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58E55FE"/>
    <w:multiLevelType w:val="multilevel"/>
    <w:tmpl w:val="87EE2542"/>
    <w:lvl w:ilvl="0">
      <w:start w:val="1"/>
      <w:numFmt w:val="decimal"/>
      <w:lvlText w:val="%1."/>
      <w:lvlJc w:val="left"/>
      <w:pPr>
        <w:ind w:left="360"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668C483E"/>
    <w:multiLevelType w:val="multilevel"/>
    <w:tmpl w:val="6B7E193E"/>
    <w:lvl w:ilvl="0">
      <w:start w:val="63"/>
      <w:numFmt w:val="decimal"/>
      <w:lvlText w:val="%1."/>
      <w:lvlJc w:val="left"/>
      <w:pPr>
        <w:ind w:left="786"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12" w15:restartNumberingAfterBreak="0">
    <w:nsid w:val="66A21153"/>
    <w:multiLevelType w:val="multilevel"/>
    <w:tmpl w:val="B0F67060"/>
    <w:lvl w:ilvl="0">
      <w:start w:val="9"/>
      <w:numFmt w:val="decimal"/>
      <w:lvlText w:val="%1."/>
      <w:lvlJc w:val="left"/>
      <w:pPr>
        <w:ind w:left="360"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204"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68E72598"/>
    <w:multiLevelType w:val="multilevel"/>
    <w:tmpl w:val="D514F6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6F6664B0"/>
    <w:multiLevelType w:val="multilevel"/>
    <w:tmpl w:val="E23EEC32"/>
    <w:lvl w:ilvl="0">
      <w:start w:val="1"/>
      <w:numFmt w:val="upperRoman"/>
      <w:lvlText w:val="%1."/>
      <w:lvlJc w:val="left"/>
      <w:pPr>
        <w:ind w:left="1430" w:hanging="72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15" w15:restartNumberingAfterBreak="0">
    <w:nsid w:val="72D92F76"/>
    <w:multiLevelType w:val="multilevel"/>
    <w:tmpl w:val="DF2E79B8"/>
    <w:lvl w:ilvl="0">
      <w:start w:val="63"/>
      <w:numFmt w:val="decimal"/>
      <w:lvlText w:val="%1."/>
      <w:lvlJc w:val="left"/>
      <w:pPr>
        <w:ind w:left="360" w:hanging="360"/>
      </w:pPr>
      <w:rPr>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7DB02E68"/>
    <w:multiLevelType w:val="multilevel"/>
    <w:tmpl w:val="1C5C5448"/>
    <w:lvl w:ilvl="0">
      <w:start w:val="1"/>
      <w:numFmt w:val="decimal"/>
      <w:pStyle w:val="Listaconvieta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7F023516"/>
    <w:multiLevelType w:val="multilevel"/>
    <w:tmpl w:val="7BE6A92E"/>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18" w15:restartNumberingAfterBreak="0">
    <w:nsid w:val="7FB10D2D"/>
    <w:multiLevelType w:val="multilevel"/>
    <w:tmpl w:val="5964E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12"/>
  </w:num>
  <w:num w:numId="3">
    <w:abstractNumId w:val="9"/>
  </w:num>
  <w:num w:numId="4">
    <w:abstractNumId w:val="6"/>
  </w:num>
  <w:num w:numId="5">
    <w:abstractNumId w:val="1"/>
  </w:num>
  <w:num w:numId="6">
    <w:abstractNumId w:val="11"/>
  </w:num>
  <w:num w:numId="7">
    <w:abstractNumId w:val="14"/>
  </w:num>
  <w:num w:numId="8">
    <w:abstractNumId w:val="15"/>
  </w:num>
  <w:num w:numId="9">
    <w:abstractNumId w:val="2"/>
  </w:num>
  <w:num w:numId="10">
    <w:abstractNumId w:val="16"/>
  </w:num>
  <w:num w:numId="11">
    <w:abstractNumId w:val="7"/>
  </w:num>
  <w:num w:numId="12">
    <w:abstractNumId w:val="3"/>
  </w:num>
  <w:num w:numId="13">
    <w:abstractNumId w:val="10"/>
  </w:num>
  <w:num w:numId="14">
    <w:abstractNumId w:val="5"/>
  </w:num>
  <w:num w:numId="15">
    <w:abstractNumId w:val="13"/>
  </w:num>
  <w:num w:numId="16">
    <w:abstractNumId w:val="18"/>
  </w:num>
  <w:num w:numId="17">
    <w:abstractNumId w:val="4"/>
  </w:num>
  <w:num w:numId="18">
    <w:abstractNumId w:val="8"/>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5057"/>
    <w:rsid w:val="00027B9C"/>
    <w:rsid w:val="00061974"/>
    <w:rsid w:val="00067B6D"/>
    <w:rsid w:val="000D4828"/>
    <w:rsid w:val="001E6437"/>
    <w:rsid w:val="00213306"/>
    <w:rsid w:val="002702E6"/>
    <w:rsid w:val="002B77B6"/>
    <w:rsid w:val="003103AE"/>
    <w:rsid w:val="0033574A"/>
    <w:rsid w:val="00371D12"/>
    <w:rsid w:val="00416AD4"/>
    <w:rsid w:val="00431EE3"/>
    <w:rsid w:val="0044093F"/>
    <w:rsid w:val="0054385C"/>
    <w:rsid w:val="0056322A"/>
    <w:rsid w:val="005A369B"/>
    <w:rsid w:val="00605057"/>
    <w:rsid w:val="006312CC"/>
    <w:rsid w:val="00632CC6"/>
    <w:rsid w:val="006620F5"/>
    <w:rsid w:val="00690434"/>
    <w:rsid w:val="006A2720"/>
    <w:rsid w:val="0072288B"/>
    <w:rsid w:val="00731FEF"/>
    <w:rsid w:val="007939F9"/>
    <w:rsid w:val="007A676A"/>
    <w:rsid w:val="007D729F"/>
    <w:rsid w:val="00846A03"/>
    <w:rsid w:val="009722E8"/>
    <w:rsid w:val="00996969"/>
    <w:rsid w:val="009C2633"/>
    <w:rsid w:val="00A57745"/>
    <w:rsid w:val="00A97B2D"/>
    <w:rsid w:val="00AD774F"/>
    <w:rsid w:val="00AE0423"/>
    <w:rsid w:val="00AE5ED0"/>
    <w:rsid w:val="00AF7A66"/>
    <w:rsid w:val="00B14669"/>
    <w:rsid w:val="00B7310F"/>
    <w:rsid w:val="00BA5C44"/>
    <w:rsid w:val="00C40C0E"/>
    <w:rsid w:val="00C669B3"/>
    <w:rsid w:val="00C776CE"/>
    <w:rsid w:val="00C942CF"/>
    <w:rsid w:val="00CB2F0A"/>
    <w:rsid w:val="00CF2845"/>
    <w:rsid w:val="00D1491F"/>
    <w:rsid w:val="00D7203A"/>
    <w:rsid w:val="00DB6262"/>
    <w:rsid w:val="00DF1994"/>
    <w:rsid w:val="00E14484"/>
    <w:rsid w:val="00E53073"/>
    <w:rsid w:val="00F2338D"/>
    <w:rsid w:val="00F853F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F21BF4D-BD24-4088-B97D-8D5699714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05057"/>
    <w:pPr>
      <w:spacing w:after="0" w:line="240" w:lineRule="auto"/>
    </w:pPr>
    <w:rPr>
      <w:rFonts w:ascii="Times New Roman" w:eastAsia="Times New Roman" w:hAnsi="Times New Roman" w:cs="Times New Roman"/>
      <w:sz w:val="24"/>
      <w:szCs w:val="24"/>
      <w:lang w:eastAsia="es-MX"/>
    </w:rPr>
  </w:style>
  <w:style w:type="paragraph" w:styleId="Ttulo1">
    <w:name w:val="heading 1"/>
    <w:basedOn w:val="Normal"/>
    <w:next w:val="Normal"/>
    <w:link w:val="Ttulo1Car"/>
    <w:rsid w:val="00605057"/>
    <w:pPr>
      <w:keepNext/>
      <w:keepLines/>
      <w:spacing w:before="240"/>
      <w:outlineLvl w:val="0"/>
    </w:pPr>
    <w:rPr>
      <w:rFonts w:ascii="Calibri" w:eastAsia="Calibri" w:hAnsi="Calibri" w:cs="Calibri"/>
      <w:color w:val="2E75B5"/>
      <w:sz w:val="32"/>
      <w:szCs w:val="32"/>
    </w:rPr>
  </w:style>
  <w:style w:type="paragraph" w:styleId="Ttulo2">
    <w:name w:val="heading 2"/>
    <w:basedOn w:val="Normal"/>
    <w:next w:val="Normal"/>
    <w:link w:val="Ttulo2Car"/>
    <w:rsid w:val="00605057"/>
    <w:pPr>
      <w:keepNext/>
      <w:keepLines/>
      <w:spacing w:before="40" w:line="256" w:lineRule="auto"/>
      <w:outlineLvl w:val="1"/>
    </w:pPr>
    <w:rPr>
      <w:rFonts w:ascii="Calibri" w:eastAsia="Calibri" w:hAnsi="Calibri" w:cs="Calibri"/>
      <w:color w:val="2E75B5"/>
      <w:sz w:val="26"/>
      <w:szCs w:val="26"/>
    </w:rPr>
  </w:style>
  <w:style w:type="paragraph" w:styleId="Ttulo3">
    <w:name w:val="heading 3"/>
    <w:basedOn w:val="Normal"/>
    <w:next w:val="Normal"/>
    <w:link w:val="Ttulo3Car"/>
    <w:rsid w:val="00605057"/>
    <w:pPr>
      <w:keepNext/>
      <w:keepLines/>
      <w:spacing w:before="280" w:after="80"/>
      <w:outlineLvl w:val="2"/>
    </w:pPr>
    <w:rPr>
      <w:b/>
      <w:bCs/>
      <w:sz w:val="28"/>
      <w:szCs w:val="28"/>
    </w:rPr>
  </w:style>
  <w:style w:type="paragraph" w:styleId="Ttulo4">
    <w:name w:val="heading 4"/>
    <w:basedOn w:val="Normal"/>
    <w:next w:val="Normal"/>
    <w:link w:val="Ttulo4Car"/>
    <w:rsid w:val="00605057"/>
    <w:pPr>
      <w:keepNext/>
      <w:keepLines/>
      <w:spacing w:before="240" w:after="40"/>
      <w:outlineLvl w:val="3"/>
    </w:pPr>
    <w:rPr>
      <w:b/>
      <w:bCs/>
    </w:rPr>
  </w:style>
  <w:style w:type="paragraph" w:styleId="Ttulo5">
    <w:name w:val="heading 5"/>
    <w:basedOn w:val="Normal"/>
    <w:next w:val="Normal"/>
    <w:link w:val="Ttulo5Car"/>
    <w:rsid w:val="00605057"/>
    <w:pPr>
      <w:keepNext/>
      <w:keepLines/>
      <w:spacing w:before="220" w:after="40"/>
      <w:outlineLvl w:val="4"/>
    </w:pPr>
    <w:rPr>
      <w:b/>
      <w:bCs/>
      <w:sz w:val="22"/>
      <w:szCs w:val="22"/>
    </w:rPr>
  </w:style>
  <w:style w:type="paragraph" w:styleId="Ttulo6">
    <w:name w:val="heading 6"/>
    <w:basedOn w:val="Normal"/>
    <w:next w:val="Normal"/>
    <w:link w:val="Ttulo6Car"/>
    <w:rsid w:val="00605057"/>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605057"/>
    <w:rPr>
      <w:rFonts w:ascii="Calibri" w:eastAsia="Calibri" w:hAnsi="Calibri" w:cs="Calibri"/>
      <w:color w:val="2E75B5"/>
      <w:sz w:val="32"/>
      <w:szCs w:val="32"/>
      <w:lang w:eastAsia="es-MX"/>
    </w:rPr>
  </w:style>
  <w:style w:type="character" w:customStyle="1" w:styleId="Ttulo2Car">
    <w:name w:val="Título 2 Car"/>
    <w:basedOn w:val="Fuentedeprrafopredeter"/>
    <w:link w:val="Ttulo2"/>
    <w:rsid w:val="00605057"/>
    <w:rPr>
      <w:rFonts w:ascii="Calibri" w:eastAsia="Calibri" w:hAnsi="Calibri" w:cs="Calibri"/>
      <w:color w:val="2E75B5"/>
      <w:sz w:val="26"/>
      <w:szCs w:val="26"/>
      <w:lang w:eastAsia="es-MX"/>
    </w:rPr>
  </w:style>
  <w:style w:type="character" w:customStyle="1" w:styleId="Ttulo3Car">
    <w:name w:val="Título 3 Car"/>
    <w:basedOn w:val="Fuentedeprrafopredeter"/>
    <w:link w:val="Ttulo3"/>
    <w:rsid w:val="00605057"/>
    <w:rPr>
      <w:rFonts w:ascii="Times New Roman" w:eastAsia="Times New Roman" w:hAnsi="Times New Roman" w:cs="Times New Roman"/>
      <w:b/>
      <w:bCs/>
      <w:sz w:val="28"/>
      <w:szCs w:val="28"/>
      <w:lang w:eastAsia="es-MX"/>
    </w:rPr>
  </w:style>
  <w:style w:type="character" w:customStyle="1" w:styleId="Ttulo4Car">
    <w:name w:val="Título 4 Car"/>
    <w:basedOn w:val="Fuentedeprrafopredeter"/>
    <w:link w:val="Ttulo4"/>
    <w:rsid w:val="00605057"/>
    <w:rPr>
      <w:rFonts w:ascii="Times New Roman" w:eastAsia="Times New Roman" w:hAnsi="Times New Roman" w:cs="Times New Roman"/>
      <w:b/>
      <w:bCs/>
      <w:sz w:val="24"/>
      <w:szCs w:val="24"/>
      <w:lang w:eastAsia="es-MX"/>
    </w:rPr>
  </w:style>
  <w:style w:type="character" w:customStyle="1" w:styleId="Ttulo5Car">
    <w:name w:val="Título 5 Car"/>
    <w:basedOn w:val="Fuentedeprrafopredeter"/>
    <w:link w:val="Ttulo5"/>
    <w:rsid w:val="00605057"/>
    <w:rPr>
      <w:rFonts w:ascii="Times New Roman" w:eastAsia="Times New Roman" w:hAnsi="Times New Roman" w:cs="Times New Roman"/>
      <w:b/>
      <w:bCs/>
      <w:lang w:eastAsia="es-MX"/>
    </w:rPr>
  </w:style>
  <w:style w:type="character" w:customStyle="1" w:styleId="Ttulo6Car">
    <w:name w:val="Título 6 Car"/>
    <w:basedOn w:val="Fuentedeprrafopredeter"/>
    <w:link w:val="Ttulo6"/>
    <w:rsid w:val="00605057"/>
    <w:rPr>
      <w:rFonts w:ascii="Times New Roman" w:eastAsia="Times New Roman" w:hAnsi="Times New Roman" w:cs="Times New Roman"/>
      <w:b/>
      <w:bCs/>
      <w:sz w:val="20"/>
      <w:szCs w:val="20"/>
      <w:lang w:eastAsia="es-MX"/>
    </w:rPr>
  </w:style>
  <w:style w:type="paragraph" w:styleId="Puesto">
    <w:name w:val="Title"/>
    <w:basedOn w:val="Normal"/>
    <w:next w:val="Normal"/>
    <w:link w:val="PuestoCar"/>
    <w:rsid w:val="00605057"/>
    <w:pPr>
      <w:keepNext/>
      <w:keepLines/>
      <w:spacing w:before="480" w:after="120"/>
    </w:pPr>
    <w:rPr>
      <w:b/>
      <w:bCs/>
      <w:sz w:val="72"/>
      <w:szCs w:val="72"/>
    </w:rPr>
  </w:style>
  <w:style w:type="character" w:customStyle="1" w:styleId="PuestoCar">
    <w:name w:val="Puesto Car"/>
    <w:basedOn w:val="Fuentedeprrafopredeter"/>
    <w:link w:val="Puesto"/>
    <w:rsid w:val="00605057"/>
    <w:rPr>
      <w:rFonts w:ascii="Times New Roman" w:eastAsia="Times New Roman" w:hAnsi="Times New Roman" w:cs="Times New Roman"/>
      <w:b/>
      <w:bCs/>
      <w:sz w:val="72"/>
      <w:szCs w:val="72"/>
      <w:lang w:eastAsia="es-MX"/>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05057"/>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605057"/>
    <w:rPr>
      <w:rFonts w:ascii="Times New Roman" w:eastAsia="Times New Roman" w:hAnsi="Times New Roman" w:cs="Times New Roman"/>
      <w:sz w:val="24"/>
      <w:szCs w:val="24"/>
      <w:lang w:eastAsia="es-MX"/>
    </w:rPr>
  </w:style>
  <w:style w:type="paragraph" w:styleId="Encabezado">
    <w:name w:val="header"/>
    <w:basedOn w:val="Normal"/>
    <w:link w:val="EncabezadoCar"/>
    <w:uiPriority w:val="99"/>
    <w:unhideWhenUsed/>
    <w:rsid w:val="00605057"/>
    <w:pPr>
      <w:tabs>
        <w:tab w:val="center" w:pos="4419"/>
        <w:tab w:val="right" w:pos="8838"/>
      </w:tabs>
    </w:pPr>
  </w:style>
  <w:style w:type="character" w:customStyle="1" w:styleId="EncabezadoCar">
    <w:name w:val="Encabezado Car"/>
    <w:basedOn w:val="Fuentedeprrafopredeter"/>
    <w:link w:val="Encabezado"/>
    <w:uiPriority w:val="99"/>
    <w:rsid w:val="00605057"/>
    <w:rPr>
      <w:rFonts w:ascii="Times New Roman" w:eastAsia="Times New Roman" w:hAnsi="Times New Roman" w:cs="Times New Roman"/>
      <w:sz w:val="24"/>
      <w:szCs w:val="24"/>
      <w:lang w:eastAsia="es-MX"/>
    </w:rPr>
  </w:style>
  <w:style w:type="paragraph" w:styleId="Piedepgina">
    <w:name w:val="footer"/>
    <w:basedOn w:val="Normal"/>
    <w:link w:val="PiedepginaCar"/>
    <w:uiPriority w:val="99"/>
    <w:unhideWhenUsed/>
    <w:rsid w:val="00605057"/>
    <w:pPr>
      <w:tabs>
        <w:tab w:val="center" w:pos="4419"/>
        <w:tab w:val="right" w:pos="8838"/>
      </w:tabs>
    </w:pPr>
  </w:style>
  <w:style w:type="character" w:customStyle="1" w:styleId="PiedepginaCar">
    <w:name w:val="Pie de página Car"/>
    <w:basedOn w:val="Fuentedeprrafopredeter"/>
    <w:link w:val="Piedepgina"/>
    <w:uiPriority w:val="99"/>
    <w:rsid w:val="00605057"/>
    <w:rPr>
      <w:rFonts w:ascii="Times New Roman" w:eastAsia="Times New Roman" w:hAnsi="Times New Roman" w:cs="Times New Roman"/>
      <w:sz w:val="24"/>
      <w:szCs w:val="24"/>
      <w:lang w:eastAsia="es-MX"/>
    </w:rPr>
  </w:style>
  <w:style w:type="paragraph" w:styleId="Listaconvietas">
    <w:name w:val="List Bullet"/>
    <w:basedOn w:val="Normal"/>
    <w:uiPriority w:val="99"/>
    <w:unhideWhenUsed/>
    <w:rsid w:val="00605057"/>
    <w:pPr>
      <w:numPr>
        <w:numId w:val="10"/>
      </w:numPr>
      <w:contextualSpacing/>
    </w:pPr>
    <w:rPr>
      <w:lang w:val="es-ES"/>
    </w:rPr>
  </w:style>
  <w:style w:type="paragraph" w:styleId="Sinespaciado">
    <w:name w:val="No Spacing"/>
    <w:aliases w:val="Francesa,INAI"/>
    <w:link w:val="SinespaciadoCar"/>
    <w:uiPriority w:val="1"/>
    <w:qFormat/>
    <w:rsid w:val="00605057"/>
    <w:pPr>
      <w:spacing w:after="0" w:line="240" w:lineRule="auto"/>
    </w:pPr>
    <w:rPr>
      <w:rFonts w:ascii="Times New Roman" w:eastAsia="Times New Roman" w:hAnsi="Times New Roman" w:cs="Times New Roman"/>
      <w:sz w:val="24"/>
      <w:szCs w:val="24"/>
      <w:lang w:eastAsia="es-MX"/>
    </w:rPr>
  </w:style>
  <w:style w:type="character" w:customStyle="1" w:styleId="SinespaciadoCar">
    <w:name w:val="Sin espaciado Car"/>
    <w:aliases w:val="Francesa Car,INAI Car"/>
    <w:link w:val="Sinespaciado"/>
    <w:uiPriority w:val="1"/>
    <w:locked/>
    <w:rsid w:val="00605057"/>
    <w:rPr>
      <w:rFonts w:ascii="Times New Roman" w:eastAsia="Times New Roman" w:hAnsi="Times New Roman" w:cs="Times New Roman"/>
      <w:sz w:val="24"/>
      <w:szCs w:val="24"/>
      <w:lang w:eastAsia="es-MX"/>
    </w:rPr>
  </w:style>
  <w:style w:type="character" w:styleId="Hipervnculo">
    <w:name w:val="Hyperlink"/>
    <w:aliases w:val="Hipervínculo1,Hipervínculo11,Hipervínculo12,Hipervínculo13,Hipervínculo14,Hipervínculo15"/>
    <w:basedOn w:val="Fuentedeprrafopredeter"/>
    <w:uiPriority w:val="99"/>
    <w:unhideWhenUsed/>
    <w:qFormat/>
    <w:rsid w:val="00605057"/>
    <w:rPr>
      <w:color w:val="0563C1" w:themeColor="hyperlink"/>
      <w:u w:val="single"/>
    </w:rPr>
  </w:style>
  <w:style w:type="character" w:customStyle="1" w:styleId="TextonotapieCar">
    <w:name w:val="Texto nota pie Car"/>
    <w:basedOn w:val="Fuentedeprrafopredeter"/>
    <w:link w:val="Textonotapie"/>
    <w:uiPriority w:val="99"/>
    <w:semiHidden/>
    <w:rsid w:val="00605057"/>
    <w:rPr>
      <w:rFonts w:ascii="Times New Roman" w:eastAsia="Times New Roman" w:hAnsi="Times New Roman" w:cs="Times New Roman"/>
      <w:sz w:val="20"/>
      <w:szCs w:val="20"/>
      <w:lang w:eastAsia="es-MX"/>
    </w:rPr>
  </w:style>
  <w:style w:type="paragraph" w:styleId="Textonotapie">
    <w:name w:val="footnote text"/>
    <w:basedOn w:val="Normal"/>
    <w:link w:val="TextonotapieCar"/>
    <w:uiPriority w:val="99"/>
    <w:semiHidden/>
    <w:unhideWhenUsed/>
    <w:rsid w:val="00605057"/>
    <w:rPr>
      <w:sz w:val="20"/>
      <w:szCs w:val="20"/>
    </w:rPr>
  </w:style>
  <w:style w:type="paragraph" w:styleId="Subttulo">
    <w:name w:val="Subtitle"/>
    <w:basedOn w:val="Normal"/>
    <w:next w:val="Normal"/>
    <w:link w:val="SubttuloCar"/>
    <w:rsid w:val="00605057"/>
    <w:pPr>
      <w:keepNext/>
      <w:keepLines/>
      <w:spacing w:before="360" w:after="80"/>
    </w:pPr>
    <w:rPr>
      <w:rFonts w:ascii="Georgia" w:eastAsia="Georgia" w:hAnsi="Georgia" w:cs="Georgia"/>
      <w:i/>
      <w:iCs/>
      <w:color w:val="666666"/>
      <w:sz w:val="48"/>
      <w:szCs w:val="48"/>
    </w:rPr>
  </w:style>
  <w:style w:type="character" w:customStyle="1" w:styleId="SubttuloCar">
    <w:name w:val="Subtítulo Car"/>
    <w:basedOn w:val="Fuentedeprrafopredeter"/>
    <w:link w:val="Subttulo"/>
    <w:rsid w:val="00605057"/>
    <w:rPr>
      <w:rFonts w:ascii="Georgia" w:eastAsia="Georgia" w:hAnsi="Georgia" w:cs="Georgia"/>
      <w:i/>
      <w:iCs/>
      <w:color w:val="666666"/>
      <w:sz w:val="48"/>
      <w:szCs w:val="48"/>
      <w:lang w:eastAsia="es-MX"/>
    </w:rPr>
  </w:style>
  <w:style w:type="table" w:styleId="Tablaconcuadrcula">
    <w:name w:val="Table Grid"/>
    <w:basedOn w:val="Tablanormal"/>
    <w:uiPriority w:val="39"/>
    <w:rsid w:val="003357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9865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https://saimex.org.mx/saimex/solicitud/downloadAttach/2606153.page" TargetMode="External"/><Relationship Id="rId12" Type="http://schemas.openxmlformats.org/officeDocument/2006/relationships/image" Target="media/image5.png"/><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hyperlink" Target="https://www.infobae.com/mexico/2025/06/19/puente-de-mas-de-400-millones-de-pesos-en-la-autopista-mexico-queretaro-no-cuenta-con-permisos-de-la-sict/"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_rels/header2.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69</Pages>
  <Words>16107</Words>
  <Characters>88592</Characters>
  <Application>Microsoft Office Word</Application>
  <DocSecurity>0</DocSecurity>
  <Lines>738</Lines>
  <Paragraphs>208</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104491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INFOEM399</dc:creator>
  <cp:keywords/>
  <dc:description/>
  <cp:lastModifiedBy>Cuenta Microsoft</cp:lastModifiedBy>
  <cp:revision>8</cp:revision>
  <cp:lastPrinted>2026-06-05T16:49:00Z</cp:lastPrinted>
  <dcterms:created xsi:type="dcterms:W3CDTF">2026-06-01T19:35:00Z</dcterms:created>
  <dcterms:modified xsi:type="dcterms:W3CDTF">2026-06-10T00:16:00Z</dcterms:modified>
</cp:coreProperties>
</file>