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A38" w:rsidRDefault="00CB6F36">
      <w:pPr>
        <w:tabs>
          <w:tab w:val="left" w:pos="3465"/>
        </w:tabs>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fecha veinte (20) de mayo de dos mil veintiséis.</w:t>
      </w:r>
    </w:p>
    <w:p w:rsidR="00755A38" w:rsidRDefault="00755A38">
      <w:pPr>
        <w:tabs>
          <w:tab w:val="left" w:pos="3465"/>
        </w:tabs>
        <w:spacing w:line="360" w:lineRule="auto"/>
        <w:ind w:right="-1071"/>
        <w:jc w:val="both"/>
        <w:rPr>
          <w:rFonts w:ascii="Palatino Linotype" w:eastAsia="Palatino Linotype" w:hAnsi="Palatino Linotype" w:cs="Palatino Linotype"/>
        </w:rPr>
      </w:pPr>
    </w:p>
    <w:p w:rsidR="00755A38" w:rsidRDefault="00CB6F36">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13368/INFOEM/IP/RR/2025</w:t>
      </w:r>
      <w:r>
        <w:rPr>
          <w:rFonts w:ascii="Palatino Linotype" w:eastAsia="Palatino Linotype" w:hAnsi="Palatino Linotype" w:cs="Palatino Linotype"/>
          <w:color w:val="000000"/>
        </w:rPr>
        <w:t xml:space="preserve">, promovido </w:t>
      </w:r>
      <w:r>
        <w:rPr>
          <w:rFonts w:ascii="Palatino Linotype" w:eastAsia="Palatino Linotype" w:hAnsi="Palatino Linotype" w:cs="Palatino Linotype"/>
        </w:rPr>
        <w:t>por</w:t>
      </w:r>
      <w:r>
        <w:rPr>
          <w:rFonts w:ascii="Palatino Linotype" w:eastAsia="Palatino Linotype" w:hAnsi="Palatino Linotype" w:cs="Palatino Linotype"/>
          <w:b/>
          <w:bCs/>
        </w:rPr>
        <w:t xml:space="preserve"> </w:t>
      </w:r>
      <w:r w:rsidR="00715511">
        <w:rPr>
          <w:rFonts w:ascii="Palatino Linotype" w:eastAsia="Palatino Linotype" w:hAnsi="Palatino Linotype" w:cs="Palatino Linotype"/>
          <w:b/>
          <w:bCs/>
        </w:rPr>
        <w:t>XXXX</w:t>
      </w:r>
      <w:bookmarkStart w:id="0" w:name="_GoBack"/>
      <w:bookmarkEnd w:id="0"/>
      <w:r>
        <w:rPr>
          <w:rFonts w:ascii="Palatino Linotype" w:eastAsia="Palatino Linotype" w:hAnsi="Palatino Linotype" w:cs="Palatino Linotype"/>
          <w:color w:val="000000"/>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 quien en lo sucesivo se denominará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w:t>
      </w:r>
      <w:r>
        <w:rPr>
          <w:rFonts w:ascii="Palatino Linotype" w:eastAsia="Palatino Linotype" w:hAnsi="Palatino Linotype" w:cs="Palatino Linotype"/>
          <w:b/>
          <w:bCs/>
        </w:rPr>
        <w:t>00571/CALIMAYA/IP/2025</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Calimaya,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se emite la presente resolución con base en los siguientes:</w:t>
      </w:r>
    </w:p>
    <w:p w:rsidR="00755A38" w:rsidRDefault="00755A38">
      <w:pPr>
        <w:spacing w:line="360" w:lineRule="auto"/>
        <w:ind w:right="-1071"/>
        <w:jc w:val="both"/>
        <w:rPr>
          <w:rFonts w:ascii="Palatino Linotype" w:eastAsia="Palatino Linotype" w:hAnsi="Palatino Linotype" w:cs="Palatino Linotype"/>
        </w:rPr>
      </w:pPr>
    </w:p>
    <w:p w:rsidR="00755A38" w:rsidRDefault="00CB6F36">
      <w:pPr>
        <w:pStyle w:val="Ttulo1"/>
        <w:spacing w:before="0" w:line="360" w:lineRule="auto"/>
        <w:ind w:right="-1071"/>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rsidR="00755A38" w:rsidRDefault="00755A38">
      <w:pPr>
        <w:pBdr>
          <w:top w:val="nil"/>
          <w:left w:val="nil"/>
          <w:bottom w:val="nil"/>
          <w:right w:val="nil"/>
          <w:between w:val="nil"/>
        </w:pBdr>
        <w:spacing w:line="360" w:lineRule="auto"/>
        <w:ind w:left="720" w:right="-1071"/>
        <w:jc w:val="both"/>
        <w:rPr>
          <w:rFonts w:ascii="Palatino Linotype" w:eastAsia="Palatino Linotype" w:hAnsi="Palatino Linotype" w:cs="Palatino Linotype"/>
          <w:b/>
          <w:bCs/>
          <w:color w:val="000000"/>
          <w:u w:val="single"/>
        </w:rPr>
      </w:pPr>
    </w:p>
    <w:p w:rsidR="00755A38" w:rsidRDefault="00CB6F36">
      <w:pPr>
        <w:numPr>
          <w:ilvl w:val="0"/>
          <w:numId w:val="2"/>
        </w:numPr>
        <w:pBdr>
          <w:top w:val="nil"/>
          <w:left w:val="nil"/>
          <w:bottom w:val="nil"/>
          <w:right w:val="nil"/>
          <w:between w:val="nil"/>
        </w:pBdr>
        <w:tabs>
          <w:tab w:val="left" w:pos="0"/>
        </w:tabs>
        <w:spacing w:line="360" w:lineRule="auto"/>
        <w:ind w:left="0" w:right="-1071"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catorce de noviembre de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 presentó ante el Sujeto Obligado a través del Sistema de Acceso a la Información Mexiquense (SAIMEX), la siguiente solicitud de información pública:</w:t>
      </w:r>
    </w:p>
    <w:p w:rsidR="00755A38" w:rsidRDefault="00755A38">
      <w:pPr>
        <w:pBdr>
          <w:top w:val="nil"/>
          <w:left w:val="nil"/>
          <w:bottom w:val="nil"/>
          <w:right w:val="nil"/>
          <w:between w:val="nil"/>
        </w:pBdr>
        <w:ind w:right="-1071"/>
        <w:jc w:val="both"/>
        <w:rPr>
          <w:rFonts w:ascii="Palatino Linotype" w:eastAsia="Palatino Linotype" w:hAnsi="Palatino Linotype" w:cs="Palatino Linotype"/>
          <w:color w:val="000000"/>
        </w:rPr>
      </w:pPr>
    </w:p>
    <w:p w:rsidR="00755A38" w:rsidRDefault="00CB6F36">
      <w:pPr>
        <w:pBdr>
          <w:top w:val="nil"/>
          <w:left w:val="nil"/>
          <w:bottom w:val="nil"/>
          <w:right w:val="nil"/>
          <w:between w:val="nil"/>
        </w:pBdr>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“SOLICITO EL PADRON DE LAS EMPRESAS QUE SE ENCUENTRAN EN LA JURISDICCION DEL MUNICIPIO QUE SE DEDIQUEN A LA FABRICACION DE PRODUCTOS METALICOS EN DONDE SE INFORME LA RAZÓN SOCIAL, DOMICILIO Y NUMERO TELEFONICO, CORREO ELECTRONICO, SOY UN EMPRENDEDOR QUE BUSCA OFERCER ACERO CON EL OBJETO DE GENERAR NUEVOS EMPLEOS.” (Sic)</w:t>
      </w:r>
    </w:p>
    <w:p w:rsidR="00755A38" w:rsidRDefault="00755A38">
      <w:pPr>
        <w:spacing w:line="360" w:lineRule="auto"/>
        <w:ind w:right="-1071"/>
        <w:jc w:val="both"/>
        <w:rPr>
          <w:rFonts w:ascii="Palatino Linotype" w:eastAsia="Palatino Linotype" w:hAnsi="Palatino Linotype" w:cs="Palatino Linotype"/>
        </w:rPr>
      </w:pPr>
    </w:p>
    <w:p w:rsidR="00755A38" w:rsidRDefault="00755A38">
      <w:pPr>
        <w:spacing w:line="360" w:lineRule="auto"/>
        <w:ind w:right="-1071"/>
        <w:jc w:val="both"/>
        <w:rPr>
          <w:rFonts w:ascii="Palatino Linotype" w:eastAsia="Palatino Linotype" w:hAnsi="Palatino Linotype" w:cs="Palatino Linotype"/>
        </w:rPr>
      </w:pPr>
    </w:p>
    <w:p w:rsidR="00755A38" w:rsidRDefault="00CB6F36">
      <w:pPr>
        <w:numPr>
          <w:ilvl w:val="0"/>
          <w:numId w:val="6"/>
        </w:numPr>
        <w:pBdr>
          <w:top w:val="nil"/>
          <w:left w:val="nil"/>
          <w:bottom w:val="nil"/>
          <w:right w:val="nil"/>
          <w:between w:val="nil"/>
        </w:pBdr>
        <w:tabs>
          <w:tab w:val="left" w:pos="0"/>
        </w:tabs>
        <w:spacing w:line="360" w:lineRule="auto"/>
        <w:ind w:left="709"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755A38" w:rsidRDefault="00755A38">
      <w:pPr>
        <w:pBdr>
          <w:top w:val="nil"/>
          <w:left w:val="nil"/>
          <w:bottom w:val="nil"/>
          <w:right w:val="nil"/>
          <w:between w:val="nil"/>
        </w:pBdr>
        <w:tabs>
          <w:tab w:val="left" w:pos="0"/>
        </w:tabs>
        <w:spacing w:line="360" w:lineRule="auto"/>
        <w:ind w:left="709" w:right="-1071"/>
        <w:jc w:val="both"/>
        <w:rPr>
          <w:rFonts w:ascii="Palatino Linotype" w:eastAsia="Palatino Linotype" w:hAnsi="Palatino Linotype" w:cs="Palatino Linotype"/>
          <w:color w:val="000000"/>
        </w:rPr>
      </w:pPr>
    </w:p>
    <w:p w:rsidR="00755A38" w:rsidRDefault="00CB6F36">
      <w:pPr>
        <w:numPr>
          <w:ilvl w:val="0"/>
          <w:numId w:val="2"/>
        </w:numPr>
        <w:pBdr>
          <w:top w:val="nil"/>
          <w:left w:val="nil"/>
          <w:bottom w:val="nil"/>
          <w:right w:val="nil"/>
          <w:between w:val="nil"/>
        </w:pBdr>
        <w:tabs>
          <w:tab w:val="left" w:pos="0"/>
        </w:tabs>
        <w:spacing w:line="360" w:lineRule="auto"/>
        <w:ind w:left="0" w:right="-1071" w:firstLine="0"/>
        <w:jc w:val="both"/>
        <w:rPr>
          <w:color w:val="000000"/>
        </w:rPr>
      </w:pPr>
      <w:r>
        <w:rPr>
          <w:rFonts w:ascii="Palatino Linotype" w:eastAsia="Palatino Linotype" w:hAnsi="Palatino Linotype" w:cs="Palatino Linotype"/>
          <w:color w:val="000000"/>
        </w:rPr>
        <w:lastRenderedPageBreak/>
        <w:t>El</w:t>
      </w:r>
      <w:r>
        <w:rPr>
          <w:rFonts w:ascii="Palatino Linotype" w:eastAsia="Palatino Linotype" w:hAnsi="Palatino Linotype" w:cs="Palatino Linotype"/>
          <w:b/>
          <w:bCs/>
          <w:color w:val="000000"/>
        </w:rPr>
        <w:t xml:space="preserve"> dos de diciembre de dos mil veinticinco</w:t>
      </w:r>
      <w:r>
        <w:rPr>
          <w:rFonts w:ascii="Palatino Linotype" w:eastAsia="Palatino Linotype" w:hAnsi="Palatino Linotype" w:cs="Palatino Linotype"/>
          <w:color w:val="000000"/>
        </w:rPr>
        <w:t>, el Sujeto Obligado</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dio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 través de los archivos digitales siguientes:</w:t>
      </w:r>
    </w:p>
    <w:p w:rsidR="00755A38" w:rsidRDefault="00CB6F36">
      <w:pPr>
        <w:pBdr>
          <w:top w:val="nil"/>
          <w:left w:val="nil"/>
          <w:bottom w:val="nil"/>
          <w:right w:val="nil"/>
          <w:between w:val="nil"/>
        </w:pBdr>
        <w:tabs>
          <w:tab w:val="left" w:pos="567"/>
        </w:tabs>
        <w:ind w:left="426"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FOLIO 00571.pdf</w:t>
      </w:r>
    </w:p>
    <w:p w:rsidR="00755A38" w:rsidRDefault="00CB6F36">
      <w:pPr>
        <w:pBdr>
          <w:top w:val="nil"/>
          <w:left w:val="nil"/>
          <w:bottom w:val="nil"/>
          <w:right w:val="nil"/>
          <w:between w:val="nil"/>
        </w:pBdr>
        <w:tabs>
          <w:tab w:val="left" w:pos="567"/>
        </w:tabs>
        <w:ind w:left="426"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No.: PMC/DOP/968/2025 de fecha 19 de noviembre de 2025 firmado por la </w:t>
      </w:r>
      <w:r>
        <w:rPr>
          <w:rFonts w:ascii="Palatino Linotype" w:eastAsia="Palatino Linotype" w:hAnsi="Palatino Linotype" w:cs="Palatino Linotype"/>
          <w:b/>
          <w:bCs/>
          <w:color w:val="000000"/>
        </w:rPr>
        <w:t>Directora de Obras Públicas</w:t>
      </w:r>
      <w:r>
        <w:rPr>
          <w:rFonts w:ascii="Palatino Linotype" w:eastAsia="Palatino Linotype" w:hAnsi="Palatino Linotype" w:cs="Palatino Linotype"/>
          <w:color w:val="000000"/>
        </w:rPr>
        <w:t>, a través del cual refiere que la información solicitada, no corresponde a esta dirección a mi cargo.</w:t>
      </w:r>
    </w:p>
    <w:p w:rsidR="00755A38" w:rsidRDefault="00755A38">
      <w:pPr>
        <w:pBdr>
          <w:top w:val="nil"/>
          <w:left w:val="nil"/>
          <w:bottom w:val="nil"/>
          <w:right w:val="nil"/>
          <w:between w:val="nil"/>
        </w:pBdr>
        <w:tabs>
          <w:tab w:val="left" w:pos="567"/>
        </w:tabs>
        <w:ind w:left="426" w:right="-1071"/>
        <w:jc w:val="both"/>
        <w:rPr>
          <w:rFonts w:ascii="Palatino Linotype" w:eastAsia="Palatino Linotype" w:hAnsi="Palatino Linotype" w:cs="Palatino Linotype"/>
          <w:b/>
          <w:bCs/>
          <w:i/>
          <w:iCs/>
          <w:color w:val="000000"/>
        </w:rPr>
      </w:pPr>
    </w:p>
    <w:p w:rsidR="00755A38" w:rsidRDefault="00CB6F36">
      <w:pPr>
        <w:pBdr>
          <w:top w:val="nil"/>
          <w:left w:val="nil"/>
          <w:bottom w:val="nil"/>
          <w:right w:val="nil"/>
          <w:between w:val="nil"/>
        </w:pBdr>
        <w:tabs>
          <w:tab w:val="left" w:pos="567"/>
        </w:tabs>
        <w:ind w:left="426"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MX-5070N_20251202_094030 Solicitud 00571.pdf</w:t>
      </w:r>
    </w:p>
    <w:p w:rsidR="00755A38" w:rsidRDefault="00CB6F36">
      <w:pPr>
        <w:pBdr>
          <w:top w:val="nil"/>
          <w:left w:val="nil"/>
          <w:bottom w:val="nil"/>
          <w:right w:val="nil"/>
          <w:between w:val="nil"/>
        </w:pBdr>
        <w:tabs>
          <w:tab w:val="left" w:pos="567"/>
        </w:tabs>
        <w:ind w:left="42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Oficio: PMC/DA/1342/2025 de fecha 01 de diciembre de 2025, firmado por el </w:t>
      </w:r>
      <w:r>
        <w:rPr>
          <w:rFonts w:ascii="Palatino Linotype" w:eastAsia="Palatino Linotype" w:hAnsi="Palatino Linotype" w:cs="Palatino Linotype"/>
          <w:b/>
          <w:bCs/>
          <w:color w:val="000000"/>
        </w:rPr>
        <w:t>Director de Administración</w:t>
      </w:r>
      <w:r>
        <w:rPr>
          <w:rFonts w:ascii="Palatino Linotype" w:eastAsia="Palatino Linotype" w:hAnsi="Palatino Linotype" w:cs="Palatino Linotype"/>
          <w:color w:val="000000"/>
        </w:rPr>
        <w:t>, a través del cual refiere que “…</w:t>
      </w:r>
      <w:r>
        <w:rPr>
          <w:rFonts w:ascii="Palatino Linotype" w:eastAsia="Palatino Linotype" w:hAnsi="Palatino Linotype" w:cs="Palatino Linotype"/>
          <w:i/>
          <w:iCs/>
          <w:color w:val="000000"/>
        </w:rPr>
        <w:t xml:space="preserve">haciendo una búsqueda exhaustiva en los archivos de la Dirección de Administración. </w:t>
      </w:r>
      <w:r>
        <w:rPr>
          <w:rFonts w:ascii="Palatino Linotype" w:eastAsia="Palatino Linotype" w:hAnsi="Palatino Linotype" w:cs="Palatino Linotype"/>
          <w:b/>
          <w:bCs/>
          <w:i/>
          <w:iCs/>
          <w:color w:val="000000"/>
        </w:rPr>
        <w:t>No se encuentra información pública del padrón de las empresas que se encuentran en la jurisdicción del municipio que se dediquen a la fabricación de productos metálicos</w:t>
      </w:r>
      <w:r>
        <w:rPr>
          <w:rFonts w:ascii="Palatino Linotype" w:eastAsia="Palatino Linotype" w:hAnsi="Palatino Linotype" w:cs="Palatino Linotype"/>
          <w:i/>
          <w:iCs/>
          <w:color w:val="000000"/>
        </w:rPr>
        <w:t xml:space="preserve"> en donde se informe la razón social, domicilio y número telefónico, correo electrónico.” (Sic)</w:t>
      </w:r>
    </w:p>
    <w:p w:rsidR="00755A38" w:rsidRDefault="00755A38">
      <w:pPr>
        <w:pBdr>
          <w:top w:val="nil"/>
          <w:left w:val="nil"/>
          <w:bottom w:val="nil"/>
          <w:right w:val="nil"/>
          <w:between w:val="nil"/>
        </w:pBdr>
        <w:tabs>
          <w:tab w:val="left" w:pos="567"/>
        </w:tabs>
        <w:ind w:right="-1071"/>
        <w:jc w:val="both"/>
        <w:rPr>
          <w:rFonts w:ascii="Palatino Linotype" w:eastAsia="Palatino Linotype" w:hAnsi="Palatino Linotype" w:cs="Palatino Linotype"/>
          <w:b/>
          <w:bCs/>
          <w:color w:val="000000"/>
        </w:rPr>
      </w:pPr>
    </w:p>
    <w:p w:rsidR="00755A38" w:rsidRDefault="00CB6F36">
      <w:pPr>
        <w:numPr>
          <w:ilvl w:val="0"/>
          <w:numId w:val="2"/>
        </w:numPr>
        <w:pBdr>
          <w:top w:val="nil"/>
          <w:left w:val="nil"/>
          <w:bottom w:val="nil"/>
          <w:right w:val="nil"/>
          <w:between w:val="nil"/>
        </w:pBdr>
        <w:tabs>
          <w:tab w:val="left" w:pos="0"/>
        </w:tabs>
        <w:spacing w:line="360" w:lineRule="auto"/>
        <w:ind w:left="0" w:right="-1071" w:firstLine="0"/>
        <w:jc w:val="both"/>
        <w:rPr>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dos de diciembre de dos mil veinticinco</w:t>
      </w:r>
      <w:r>
        <w:rPr>
          <w:rFonts w:ascii="Palatino Linotype" w:eastAsia="Palatino Linotype" w:hAnsi="Palatino Linotype" w:cs="Palatino Linotype"/>
          <w:color w:val="000000"/>
        </w:rPr>
        <w:t xml:space="preserve">, el particular interpuso el </w:t>
      </w:r>
      <w:r>
        <w:rPr>
          <w:rFonts w:ascii="Palatino Linotype" w:eastAsia="Palatino Linotype" w:hAnsi="Palatino Linotype" w:cs="Palatino Linotype"/>
          <w:b/>
          <w:bCs/>
          <w:color w:val="000000"/>
        </w:rPr>
        <w:t>recurso de revisión</w:t>
      </w:r>
      <w:r>
        <w:rPr>
          <w:rFonts w:ascii="Palatino Linotype" w:eastAsia="Palatino Linotype" w:hAnsi="Palatino Linotype" w:cs="Palatino Linotype"/>
          <w:color w:val="000000"/>
        </w:rPr>
        <w:t xml:space="preserve"> en contra de la respuesta otorgada por el Sujeto Obligado, realizando las siguientes manifestaciones:</w:t>
      </w:r>
    </w:p>
    <w:p w:rsidR="00755A38" w:rsidRDefault="00CB6F36">
      <w:pPr>
        <w:numPr>
          <w:ilvl w:val="0"/>
          <w:numId w:val="8"/>
        </w:numPr>
        <w:pBdr>
          <w:top w:val="nil"/>
          <w:left w:val="nil"/>
          <w:bottom w:val="nil"/>
          <w:right w:val="nil"/>
          <w:between w:val="nil"/>
        </w:pBdr>
        <w:ind w:right="-1071"/>
        <w:jc w:val="both"/>
        <w:rPr>
          <w:rFonts w:ascii="Palatino Linotype" w:eastAsia="Palatino Linotype" w:hAnsi="Palatino Linotype" w:cs="Palatino Linotype"/>
          <w:b/>
          <w:bCs/>
          <w:color w:val="000000"/>
        </w:rPr>
      </w:pPr>
      <w:bookmarkStart w:id="2" w:name="_heading=h.30j0zll" w:colFirst="0" w:colLast="0"/>
      <w:bookmarkEnd w:id="2"/>
      <w:r>
        <w:rPr>
          <w:rFonts w:ascii="Palatino Linotype" w:eastAsia="Palatino Linotype" w:hAnsi="Palatino Linotype" w:cs="Palatino Linotype"/>
          <w:b/>
          <w:bCs/>
          <w:color w:val="000000"/>
        </w:rPr>
        <w:t xml:space="preserve">Acto impugnado: </w:t>
      </w:r>
    </w:p>
    <w:p w:rsidR="00755A38" w:rsidRDefault="00CB6F36">
      <w:pPr>
        <w:pBdr>
          <w:top w:val="nil"/>
          <w:left w:val="nil"/>
          <w:bottom w:val="nil"/>
          <w:right w:val="nil"/>
          <w:between w:val="nil"/>
        </w:pBdr>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“Oficio PMC/DOP/968/2025 y PMC/DA/1342/2025” (Sic)</w:t>
      </w:r>
    </w:p>
    <w:p w:rsidR="00755A38" w:rsidRDefault="00755A38">
      <w:pPr>
        <w:pBdr>
          <w:top w:val="nil"/>
          <w:left w:val="nil"/>
          <w:bottom w:val="nil"/>
          <w:right w:val="nil"/>
          <w:between w:val="nil"/>
        </w:pBdr>
        <w:ind w:left="567" w:right="-1071"/>
        <w:jc w:val="both"/>
        <w:rPr>
          <w:rFonts w:ascii="Palatino Linotype" w:eastAsia="Palatino Linotype" w:hAnsi="Palatino Linotype" w:cs="Palatino Linotype"/>
          <w:i/>
          <w:iCs/>
          <w:color w:val="000000"/>
        </w:rPr>
      </w:pPr>
    </w:p>
    <w:p w:rsidR="00755A38" w:rsidRDefault="00CB6F36">
      <w:pPr>
        <w:numPr>
          <w:ilvl w:val="0"/>
          <w:numId w:val="1"/>
        </w:numPr>
        <w:pBdr>
          <w:top w:val="nil"/>
          <w:left w:val="nil"/>
          <w:bottom w:val="nil"/>
          <w:right w:val="nil"/>
          <w:between w:val="nil"/>
        </w:pBdr>
        <w:ind w:right="-1071"/>
        <w:jc w:val="both"/>
        <w:rPr>
          <w:rFonts w:ascii="Palatino Linotype" w:eastAsia="Palatino Linotype" w:hAnsi="Palatino Linotype" w:cs="Palatino Linotype"/>
          <w:b/>
          <w:bCs/>
          <w:color w:val="000000"/>
        </w:rPr>
      </w:pPr>
      <w:bookmarkStart w:id="3" w:name="_heading=h.1fob9te" w:colFirst="0" w:colLast="0"/>
      <w:bookmarkEnd w:id="3"/>
      <w:r>
        <w:rPr>
          <w:rFonts w:ascii="Palatino Linotype" w:eastAsia="Palatino Linotype" w:hAnsi="Palatino Linotype" w:cs="Palatino Linotype"/>
          <w:b/>
          <w:bCs/>
          <w:color w:val="000000"/>
        </w:rPr>
        <w:t>Razones o Motivos de inconformidad:</w:t>
      </w:r>
    </w:p>
    <w:p w:rsidR="00755A38" w:rsidRDefault="00CB6F36">
      <w:pPr>
        <w:pBdr>
          <w:top w:val="nil"/>
          <w:left w:val="nil"/>
          <w:bottom w:val="nil"/>
          <w:right w:val="nil"/>
          <w:between w:val="nil"/>
        </w:pBdr>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“La resolución resulta ilegal a derecho, toda vez que la autoridad respondió que no existen empresas instaladas dedicadas a ese giro, sin entregar la información solicitada relativa a razón social, domicilio, teléfono y correo electrónico. La autoridad se limitó a afirmar la inexistencia sin cumplir con los requisitos legales que rigen este tipo de determinaciones. Primera consideración. La respuesta es incompleta porque no satisface la solicitud presentada. Aunque el Ayuntamiento afirma que no existen empresas del giro solicitado, dicha afirmación no suple la obligación de entregar la información requerida ni de justificar por qué no se puede entregar. La autoridad debe explicar, conforme a derecho, cómo concluyó que no existen empresas del giro, y debe hacerlo con base en registros oficiales, no únicamente mediante una declaración sin sustento. Al no proporcionar razón social, domicilio, teléfono y correo, y tampoco justificar la imposibilidad de entregarlos, la respuesta incumple el principio de máxima publicidad. Segunda consideración. La autoridad incumple el artículo 18 de la Ley de Transparencia y Acceso a la Información Pública </w:t>
      </w:r>
      <w:r>
        <w:rPr>
          <w:rFonts w:ascii="Palatino Linotype" w:eastAsia="Palatino Linotype" w:hAnsi="Palatino Linotype" w:cs="Palatino Linotype"/>
          <w:i/>
          <w:iCs/>
          <w:color w:val="000000"/>
        </w:rPr>
        <w:lastRenderedPageBreak/>
        <w:t>del Estado de México y Municipios, el cual obliga a documentar todo acto derivado del ejercicio de sus funciones. El Ayuntamiento ejerce atribuciones sobre control comercial, licencias de funcionamiento, verificación y administración del padrón de establecimientos. Si afirma que no existen empresas del giro solicitado, está obligado a demostrar que revisó dicho padrón, verificó sus registros y consultó las bases de datos institucionales que administra. Al no explicar cómo llegó a su conclusión, la respuesta resulta insuficiente y contraria al artículo 18. Tercera consideración. La inexistencia declarada es inválida porque no fue emitida por el órgano competente. El artículo 19 de la Ley de Transparencia y Acceso a la Información Pública del Estado de México y Municipios establece que cuando una información debió generarse, poseerse o administrarse pero no se encuentra, el único órgano facultado para declararla es el Comité de Transparencia mediante un acuerdo formal. En este caso, la inexistencia fue declarada unilateralmente por un director de área, sin participación del Comité, sin acuerdo fundado y motivado y sin cumplir el procedimiento legal. Por tanto, la inexistencia carece de validez jurídica. Cuarta consideración. La autoridad no observó el procedimiento previsto en el artículo 169 de la Ley de Transparencia y Acceso a la Información Pública del Estado de México y Municipios. Dicho artículo exige que el Comité de Transparencia revise si la información debió existir, determine si la falta constituye una omisión administrativa y, en su caso, ordene generar o reponer la información. Ninguno de estos pasos se cumplió. La autoridad únicamente comunicó la inexistencia, sin actuar con base en la norma que regula esta situación. Quinta consideración. La respuesta carece de una verdadera búsqueda exhaustiva como lo exige el artículo 170 de la Ley de Transparencia y Acceso a la Información Pública del Estado de México y Municipios. La autoridad debe acreditar tiempo, modo y lugar de la búsqueda, así como especificar archivos físicos o digitales revisados, áreas consultadas, bases de datos verificadas y metodología empleada. En la respuesta analizada no se describe ninguna de estas circunstancias, por lo que la búsqueda no puede considerarse exhaustiva ni válida conforme a derecho. Sexta consideración. La falta de fundamentación y motivación actualiza la causal prevista en el artículo 179 del mismo ordenamiento. La autoridad no explica jurídicamente por qué no entrega la información, no fundamenta su determinación en norma aplicable, no motiva la inexistencia declarada y tampoco justifica la omisión de datos solicitados. La respuesta es genérica, insuficiente y contraria a los principios de legalidad y transparencia.” (Sic)</w:t>
      </w:r>
    </w:p>
    <w:p w:rsidR="00755A38" w:rsidRDefault="00755A38">
      <w:pPr>
        <w:pBdr>
          <w:top w:val="nil"/>
          <w:left w:val="nil"/>
          <w:bottom w:val="nil"/>
          <w:right w:val="nil"/>
          <w:between w:val="nil"/>
        </w:pBdr>
        <w:ind w:left="567" w:right="-1071"/>
        <w:jc w:val="both"/>
        <w:rPr>
          <w:rFonts w:ascii="Palatino Linotype" w:eastAsia="Palatino Linotype" w:hAnsi="Palatino Linotype" w:cs="Palatino Linotype"/>
          <w:i/>
          <w:iCs/>
          <w:color w:val="000000"/>
        </w:rPr>
      </w:pPr>
    </w:p>
    <w:p w:rsidR="00755A38" w:rsidRDefault="00CB6F36">
      <w:pPr>
        <w:pBdr>
          <w:top w:val="nil"/>
          <w:left w:val="nil"/>
          <w:bottom w:val="nil"/>
          <w:right w:val="nil"/>
          <w:between w:val="nil"/>
        </w:pBdr>
        <w:ind w:left="567"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recurrente adjuntó los archivos entregados en respuesta por el Sujeto Obligado.</w:t>
      </w:r>
    </w:p>
    <w:p w:rsidR="00755A38" w:rsidRDefault="00755A38">
      <w:pPr>
        <w:pBdr>
          <w:top w:val="nil"/>
          <w:left w:val="nil"/>
          <w:bottom w:val="nil"/>
          <w:right w:val="nil"/>
          <w:between w:val="nil"/>
        </w:pBdr>
        <w:tabs>
          <w:tab w:val="left" w:pos="0"/>
        </w:tabs>
        <w:spacing w:line="360" w:lineRule="auto"/>
        <w:ind w:right="-1071"/>
        <w:jc w:val="both"/>
        <w:rPr>
          <w:rFonts w:ascii="Palatino Linotype" w:eastAsia="Palatino Linotype" w:hAnsi="Palatino Linotype" w:cs="Palatino Linotype"/>
          <w:i/>
          <w:iCs/>
          <w:color w:val="000000"/>
          <w:u w:val="single"/>
        </w:rPr>
      </w:pPr>
    </w:p>
    <w:p w:rsidR="00755A38" w:rsidRDefault="00CB6F36">
      <w:pPr>
        <w:numPr>
          <w:ilvl w:val="0"/>
          <w:numId w:val="2"/>
        </w:numPr>
        <w:pBdr>
          <w:top w:val="nil"/>
          <w:left w:val="nil"/>
          <w:bottom w:val="nil"/>
          <w:right w:val="nil"/>
          <w:between w:val="nil"/>
        </w:pBdr>
        <w:tabs>
          <w:tab w:val="left" w:pos="0"/>
        </w:tabs>
        <w:spacing w:line="360" w:lineRule="auto"/>
        <w:ind w:left="0" w:right="-1071"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cuatro de diciembre de </w:t>
      </w:r>
      <w:r>
        <w:rPr>
          <w:rFonts w:ascii="Palatino Linotype" w:eastAsia="Palatino Linotype" w:hAnsi="Palatino Linotype" w:cs="Palatino Linotype"/>
          <w:b/>
          <w:bCs/>
          <w:color w:val="000000"/>
        </w:rPr>
        <w:lastRenderedPageBreak/>
        <w:t xml:space="preserve">dos mil veinticinco,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755A38" w:rsidRDefault="00755A38">
      <w:pPr>
        <w:pBdr>
          <w:top w:val="nil"/>
          <w:left w:val="nil"/>
          <w:bottom w:val="nil"/>
          <w:right w:val="nil"/>
          <w:between w:val="nil"/>
        </w:pBdr>
        <w:tabs>
          <w:tab w:val="left" w:pos="0"/>
        </w:tabs>
        <w:spacing w:line="360" w:lineRule="auto"/>
        <w:ind w:right="-1071"/>
        <w:jc w:val="both"/>
        <w:rPr>
          <w:rFonts w:ascii="Palatino Linotype" w:eastAsia="Palatino Linotype" w:hAnsi="Palatino Linotype" w:cs="Palatino Linotype"/>
          <w:i/>
          <w:iCs/>
          <w:color w:val="000000"/>
          <w:u w:val="single"/>
        </w:rPr>
      </w:pPr>
    </w:p>
    <w:p w:rsidR="00755A38" w:rsidRDefault="00CB6F36">
      <w:pPr>
        <w:numPr>
          <w:ilvl w:val="0"/>
          <w:numId w:val="2"/>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El Recurrente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dejó de realizar manifestaciones que a su derecho conviniera y asistiera. Por su parte, el Sujeto 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no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presentó informe justificado, tal como se muestra en la imagen siguiente:</w:t>
      </w:r>
    </w:p>
    <w:p w:rsidR="00755A38" w:rsidRDefault="00755A38">
      <w:pPr>
        <w:pBdr>
          <w:top w:val="nil"/>
          <w:left w:val="nil"/>
          <w:bottom w:val="nil"/>
          <w:right w:val="nil"/>
          <w:between w:val="nil"/>
        </w:pBdr>
        <w:spacing w:line="360" w:lineRule="auto"/>
        <w:ind w:right="-1071"/>
        <w:jc w:val="both"/>
        <w:rPr>
          <w:rFonts w:ascii="Palatino Linotype" w:eastAsia="Palatino Linotype" w:hAnsi="Palatino Linotype" w:cs="Palatino Linotype"/>
          <w:b/>
          <w:bCs/>
          <w:color w:val="000000"/>
        </w:rPr>
      </w:pPr>
    </w:p>
    <w:p w:rsidR="00755A38" w:rsidRDefault="00CB6F36">
      <w:pPr>
        <w:pBdr>
          <w:top w:val="nil"/>
          <w:left w:val="nil"/>
          <w:bottom w:val="nil"/>
          <w:right w:val="nil"/>
          <w:between w:val="nil"/>
        </w:pBdr>
        <w:ind w:left="567" w:right="-1071"/>
        <w:jc w:val="both"/>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extent cx="5612130" cy="148526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485265"/>
                    </a:xfrm>
                    <a:prstGeom prst="rect">
                      <a:avLst/>
                    </a:prstGeom>
                    <a:ln/>
                  </pic:spPr>
                </pic:pic>
              </a:graphicData>
            </a:graphic>
          </wp:inline>
        </w:drawing>
      </w:r>
    </w:p>
    <w:p w:rsidR="00755A38" w:rsidRDefault="00755A38">
      <w:pPr>
        <w:pBdr>
          <w:top w:val="nil"/>
          <w:left w:val="nil"/>
          <w:bottom w:val="nil"/>
          <w:right w:val="nil"/>
          <w:between w:val="nil"/>
        </w:pBdr>
        <w:spacing w:line="360" w:lineRule="auto"/>
        <w:ind w:right="-1071"/>
        <w:jc w:val="both"/>
        <w:rPr>
          <w:rFonts w:ascii="Palatino Linotype" w:eastAsia="Palatino Linotype" w:hAnsi="Palatino Linotype" w:cs="Palatino Linotype"/>
          <w:b/>
          <w:bCs/>
          <w:i/>
          <w:iCs/>
          <w:color w:val="000000"/>
        </w:rPr>
      </w:pPr>
    </w:p>
    <w:p w:rsidR="00755A38" w:rsidRDefault="00CB6F36">
      <w:pPr>
        <w:numPr>
          <w:ilvl w:val="0"/>
          <w:numId w:val="2"/>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xml:space="preserve"> nueve de febrero de dos mil veintiséis</w:t>
      </w:r>
      <w:r>
        <w:rPr>
          <w:rFonts w:ascii="Palatino Linotype" w:eastAsia="Palatino Linotype" w:hAnsi="Palatino Linotype" w:cs="Palatino Linotype"/>
          <w:color w:val="000000"/>
        </w:rPr>
        <w:t xml:space="preserve">, se acordó ampliar el </w:t>
      </w:r>
      <w:r>
        <w:rPr>
          <w:rFonts w:ascii="Palatino Linotype" w:eastAsia="Palatino Linotype" w:hAnsi="Palatino Linotype" w:cs="Palatino Linotype"/>
        </w:rPr>
        <w:t>plazo</w:t>
      </w:r>
      <w:r>
        <w:rPr>
          <w:rFonts w:ascii="Palatino Linotype" w:eastAsia="Palatino Linotype" w:hAnsi="Palatino Linotype" w:cs="Palatino Linotype"/>
          <w:color w:val="000000"/>
        </w:rPr>
        <w:t xml:space="preserve"> para resolver el presente Recurso de Revisión.</w:t>
      </w:r>
    </w:p>
    <w:p w:rsidR="00755A38" w:rsidRDefault="00755A38">
      <w:pPr>
        <w:pBdr>
          <w:top w:val="nil"/>
          <w:left w:val="nil"/>
          <w:bottom w:val="nil"/>
          <w:right w:val="nil"/>
          <w:between w:val="nil"/>
        </w:pBdr>
        <w:spacing w:line="360" w:lineRule="auto"/>
        <w:ind w:right="-1071"/>
        <w:jc w:val="both"/>
        <w:rPr>
          <w:rFonts w:ascii="Palatino Linotype" w:eastAsia="Palatino Linotype" w:hAnsi="Palatino Linotype" w:cs="Palatino Linotype"/>
          <w:b/>
          <w:bCs/>
          <w:color w:val="000000"/>
        </w:rPr>
      </w:pPr>
    </w:p>
    <w:p w:rsidR="00755A38" w:rsidRDefault="00CB6F36">
      <w:pPr>
        <w:numPr>
          <w:ilvl w:val="0"/>
          <w:numId w:val="2"/>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trece de mayo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 </w:t>
      </w:r>
      <w:r>
        <w:rPr>
          <w:rFonts w:ascii="Palatino Linotype" w:eastAsia="Palatino Linotype" w:hAnsi="Palatino Linotype" w:cs="Palatino Linotype"/>
        </w:rPr>
        <w:t>—------------------------------------------------------------------------------------------------------------</w:t>
      </w:r>
    </w:p>
    <w:p w:rsidR="00755A38" w:rsidRDefault="00755A38">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rsidR="00755A38" w:rsidRDefault="00755A38">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rsidR="00755A38" w:rsidRDefault="00755A38">
      <w:pPr>
        <w:pBdr>
          <w:top w:val="nil"/>
          <w:left w:val="nil"/>
          <w:bottom w:val="nil"/>
          <w:right w:val="nil"/>
          <w:between w:val="nil"/>
        </w:pBdr>
        <w:ind w:left="720" w:right="-1071"/>
        <w:rPr>
          <w:rFonts w:ascii="Palatino Linotype" w:eastAsia="Palatino Linotype" w:hAnsi="Palatino Linotype" w:cs="Palatino Linotype"/>
          <w:b/>
          <w:bCs/>
          <w:color w:val="000000"/>
        </w:rPr>
      </w:pPr>
    </w:p>
    <w:p w:rsidR="00755A38" w:rsidRDefault="00CB6F36">
      <w:pPr>
        <w:keepNext/>
        <w:keepLines/>
        <w:spacing w:line="360" w:lineRule="auto"/>
        <w:ind w:right="-1071"/>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C O N S I D E R A N D O </w:t>
      </w:r>
    </w:p>
    <w:p w:rsidR="00755A38" w:rsidRDefault="00755A38">
      <w:pPr>
        <w:spacing w:line="360" w:lineRule="auto"/>
        <w:ind w:right="-1071"/>
        <w:rPr>
          <w:rFonts w:ascii="Palatino Linotype" w:eastAsia="Palatino Linotype" w:hAnsi="Palatino Linotype" w:cs="Palatino Linotype"/>
        </w:rPr>
      </w:pPr>
    </w:p>
    <w:p w:rsidR="00755A38" w:rsidRDefault="00CB6F36">
      <w:pPr>
        <w:keepNext/>
        <w:keepLines/>
        <w:spacing w:line="360" w:lineRule="auto"/>
        <w:ind w:right="-1071"/>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755A38" w:rsidRDefault="00CB6F36">
      <w:pPr>
        <w:numPr>
          <w:ilvl w:val="0"/>
          <w:numId w:val="2"/>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55A38" w:rsidRDefault="00755A38">
      <w:pPr>
        <w:tabs>
          <w:tab w:val="left" w:pos="426"/>
        </w:tabs>
        <w:spacing w:line="360" w:lineRule="auto"/>
        <w:ind w:right="-1071"/>
        <w:jc w:val="both"/>
        <w:rPr>
          <w:rFonts w:ascii="Palatino Linotype" w:eastAsia="Palatino Linotype" w:hAnsi="Palatino Linotype" w:cs="Palatino Linotype"/>
          <w:color w:val="000000"/>
        </w:rPr>
      </w:pPr>
    </w:p>
    <w:p w:rsidR="00755A38" w:rsidRDefault="00CB6F36">
      <w:pPr>
        <w:keepNext/>
        <w:keepLines/>
        <w:spacing w:line="360" w:lineRule="auto"/>
        <w:ind w:right="-1071"/>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755A38" w:rsidRDefault="00CB6F36">
      <w:pPr>
        <w:numPr>
          <w:ilvl w:val="0"/>
          <w:numId w:val="2"/>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color w:val="000000"/>
        </w:rPr>
        <w:t>medio</w:t>
      </w:r>
      <w:r>
        <w:rPr>
          <w:rFonts w:ascii="Palatino Linotype" w:eastAsia="Palatino Linotype" w:hAnsi="Palatino Linotype" w:cs="Palatino Linotype"/>
        </w:rPr>
        <w:t xml:space="preserve">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dos de diciembre de dos mil veinticinco</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tres de diciembre de dos mil veinticinco al trece de enero de dos mil veintiséis,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dos de diciembre de dos mil veinticinco</w:t>
      </w:r>
      <w:r>
        <w:rPr>
          <w:rFonts w:ascii="Palatino Linotype" w:eastAsia="Palatino Linotype" w:hAnsi="Palatino Linotype" w:cs="Palatino Linotype"/>
        </w:rPr>
        <w:t xml:space="preserve">, este  se encuentra dentro de los márgenes temporales previstos en el </w:t>
      </w:r>
      <w:r>
        <w:rPr>
          <w:rFonts w:ascii="Palatino Linotype" w:eastAsia="Palatino Linotype" w:hAnsi="Palatino Linotype" w:cs="Palatino Linotype"/>
          <w:b/>
          <w:bCs/>
        </w:rPr>
        <w:t>artículo 178</w:t>
      </w:r>
      <w:r>
        <w:rPr>
          <w:rFonts w:ascii="Palatino Linotype" w:eastAsia="Palatino Linotype" w:hAnsi="Palatino Linotype" w:cs="Palatino Linotype"/>
        </w:rPr>
        <w:t xml:space="preserve">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755A38" w:rsidRDefault="00CB6F36">
      <w:pPr>
        <w:pStyle w:val="Ttulo2"/>
        <w:ind w:right="-1071"/>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lastRenderedPageBreak/>
        <w:t xml:space="preserve">TERCERO. Del planteamiento de la </w:t>
      </w:r>
      <w:r>
        <w:rPr>
          <w:rFonts w:ascii="Palatino Linotype" w:eastAsia="Palatino Linotype" w:hAnsi="Palatino Linotype" w:cs="Palatino Linotype"/>
          <w:b/>
          <w:bCs/>
          <w:i/>
          <w:iCs/>
          <w:color w:val="000000"/>
          <w:sz w:val="24"/>
          <w:szCs w:val="24"/>
        </w:rPr>
        <w:t>Litis.</w:t>
      </w:r>
    </w:p>
    <w:p w:rsidR="00755A38" w:rsidRDefault="00CB6F36">
      <w:pPr>
        <w:numPr>
          <w:ilvl w:val="0"/>
          <w:numId w:val="2"/>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solicitó</w:t>
      </w:r>
      <w:r>
        <w:rPr>
          <w:rFonts w:ascii="Palatino Linotype" w:eastAsia="Palatino Linotype" w:hAnsi="Palatino Linotype" w:cs="Palatino Linotype"/>
          <w:color w:val="000000"/>
        </w:rPr>
        <w:t xml:space="preserve"> tener acceso, a la información que a continuación se simplifica:</w:t>
      </w:r>
    </w:p>
    <w:p w:rsidR="00755A38" w:rsidRDefault="00CB6F36">
      <w:pPr>
        <w:numPr>
          <w:ilvl w:val="0"/>
          <w:numId w:val="3"/>
        </w:numPr>
        <w:pBdr>
          <w:top w:val="nil"/>
          <w:left w:val="nil"/>
          <w:bottom w:val="nil"/>
          <w:right w:val="nil"/>
          <w:between w:val="nil"/>
        </w:pBdr>
        <w:ind w:right="-1071"/>
        <w:jc w:val="both"/>
      </w:pPr>
      <w:r>
        <w:rPr>
          <w:rFonts w:ascii="Palatino Linotype" w:eastAsia="Palatino Linotype" w:hAnsi="Palatino Linotype" w:cs="Palatino Linotype"/>
          <w:i/>
          <w:iCs/>
          <w:color w:val="000000"/>
        </w:rPr>
        <w:t>Padrón de las empresas que se dediquen a la fabricación de productos metálicos, en donde se informe la razón social, domicilio, número telefónico y correo electrónico.</w:t>
      </w:r>
    </w:p>
    <w:p w:rsidR="00755A38" w:rsidRDefault="00755A38">
      <w:pPr>
        <w:pBdr>
          <w:top w:val="nil"/>
          <w:left w:val="nil"/>
          <w:bottom w:val="nil"/>
          <w:right w:val="nil"/>
          <w:between w:val="nil"/>
        </w:pBdr>
        <w:ind w:right="-1071"/>
        <w:jc w:val="both"/>
        <w:rPr>
          <w:rFonts w:ascii="Palatino Linotype" w:eastAsia="Palatino Linotype" w:hAnsi="Palatino Linotype" w:cs="Palatino Linotype"/>
          <w:i/>
          <w:iCs/>
          <w:color w:val="000000"/>
        </w:rPr>
      </w:pPr>
    </w:p>
    <w:p w:rsidR="00755A38" w:rsidRDefault="00755A38">
      <w:pPr>
        <w:pBdr>
          <w:top w:val="nil"/>
          <w:left w:val="nil"/>
          <w:bottom w:val="nil"/>
          <w:right w:val="nil"/>
          <w:between w:val="nil"/>
        </w:pBdr>
        <w:ind w:left="851" w:right="-1071"/>
        <w:jc w:val="both"/>
        <w:rPr>
          <w:rFonts w:ascii="Palatino Linotype" w:eastAsia="Palatino Linotype" w:hAnsi="Palatino Linotype" w:cs="Palatino Linotype"/>
          <w:color w:val="000000"/>
        </w:rPr>
      </w:pPr>
    </w:p>
    <w:p w:rsidR="00755A38" w:rsidRDefault="00CB6F36">
      <w:pPr>
        <w:numPr>
          <w:ilvl w:val="0"/>
          <w:numId w:val="2"/>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el archivo ya descrito en el párrafo 2, inconforme con la respuesta, se interpuso recurso de revisión argumentando sustancialmente la entrega de información incompleta.</w:t>
      </w:r>
    </w:p>
    <w:p w:rsidR="00755A38" w:rsidRDefault="00755A38">
      <w:pPr>
        <w:ind w:left="720" w:right="-1071"/>
        <w:jc w:val="both"/>
        <w:rPr>
          <w:rFonts w:ascii="Palatino Linotype" w:eastAsia="Palatino Linotype" w:hAnsi="Palatino Linotype" w:cs="Palatino Linotype"/>
          <w:i/>
          <w:iCs/>
          <w:color w:val="000000"/>
        </w:rPr>
      </w:pPr>
    </w:p>
    <w:p w:rsidR="00755A38" w:rsidRDefault="00CB6F36">
      <w:pPr>
        <w:numPr>
          <w:ilvl w:val="0"/>
          <w:numId w:val="2"/>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Pr>
          <w:rFonts w:ascii="Palatino Linotype" w:eastAsia="Palatino Linotype" w:hAnsi="Palatino Linotype" w:cs="Palatino Linotype"/>
          <w:b/>
          <w:bCs/>
        </w:rPr>
        <w:t>artículo 179, fracción V,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las hipótesis relativa a </w:t>
      </w:r>
      <w:r>
        <w:rPr>
          <w:rFonts w:ascii="Palatino Linotype" w:eastAsia="Palatino Linotype" w:hAnsi="Palatino Linotype" w:cs="Palatino Linotype"/>
          <w:b/>
          <w:bCs/>
          <w:color w:val="000000"/>
        </w:rPr>
        <w:t>la entrega de información incompleta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señalada.</w:t>
      </w:r>
    </w:p>
    <w:p w:rsidR="00755A38" w:rsidRDefault="00755A38">
      <w:pPr>
        <w:spacing w:line="360" w:lineRule="auto"/>
        <w:ind w:right="-1071"/>
        <w:rPr>
          <w:rFonts w:ascii="Palatino Linotype" w:eastAsia="Palatino Linotype" w:hAnsi="Palatino Linotype" w:cs="Palatino Linotype"/>
        </w:rPr>
      </w:pPr>
    </w:p>
    <w:p w:rsidR="00755A38" w:rsidRDefault="00CB6F36">
      <w:pPr>
        <w:pStyle w:val="Ttulo2"/>
        <w:ind w:right="-1071"/>
        <w:rPr>
          <w:rFonts w:ascii="Palatino Linotype" w:eastAsia="Palatino Linotype" w:hAnsi="Palatino Linotype" w:cs="Palatino Linotype"/>
          <w:b/>
          <w:bCs/>
          <w:color w:val="000000"/>
          <w:sz w:val="24"/>
          <w:szCs w:val="24"/>
        </w:rPr>
      </w:pPr>
      <w:bookmarkStart w:id="4" w:name="_heading=h.1t3h5sf" w:colFirst="0" w:colLast="0"/>
      <w:bookmarkEnd w:id="4"/>
      <w:r>
        <w:rPr>
          <w:rFonts w:ascii="Palatino Linotype" w:eastAsia="Palatino Linotype" w:hAnsi="Palatino Linotype" w:cs="Palatino Linotype"/>
          <w:b/>
          <w:bCs/>
          <w:color w:val="000000"/>
          <w:sz w:val="24"/>
          <w:szCs w:val="24"/>
        </w:rPr>
        <w:t>CUARTO. Del estudio y resolución del asunto.</w:t>
      </w:r>
    </w:p>
    <w:p w:rsidR="00755A38" w:rsidRDefault="00755A38">
      <w:pPr>
        <w:ind w:right="-1071"/>
      </w:pPr>
    </w:p>
    <w:p w:rsidR="00755A38" w:rsidRDefault="00CB6F36">
      <w:pPr>
        <w:numPr>
          <w:ilvl w:val="0"/>
          <w:numId w:val="2"/>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w:t>
      </w:r>
      <w:r>
        <w:rPr>
          <w:rFonts w:ascii="Palatino Linotype" w:eastAsia="Palatino Linotype" w:hAnsi="Palatino Linotype" w:cs="Palatino Linotype"/>
        </w:rPr>
        <w:lastRenderedPageBreak/>
        <w:t>documentar todo acto que derive del ejercicio de sus facultades, competencias o funciones desde su origen la eventual publicidad y reutilización de la información que generen.</w:t>
      </w:r>
    </w:p>
    <w:p w:rsidR="00755A38" w:rsidRDefault="00755A38">
      <w:pPr>
        <w:spacing w:line="360" w:lineRule="auto"/>
        <w:ind w:right="-1071"/>
        <w:jc w:val="both"/>
        <w:rPr>
          <w:rFonts w:ascii="Palatino Linotype" w:eastAsia="Palatino Linotype" w:hAnsi="Palatino Linotype" w:cs="Palatino Linotype"/>
        </w:rPr>
      </w:pPr>
    </w:p>
    <w:p w:rsidR="00755A38" w:rsidRDefault="00CB6F36">
      <w:pPr>
        <w:numPr>
          <w:ilvl w:val="0"/>
          <w:numId w:val="2"/>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755A38" w:rsidRDefault="00755A38">
      <w:pPr>
        <w:pBdr>
          <w:top w:val="nil"/>
          <w:left w:val="nil"/>
          <w:bottom w:val="nil"/>
          <w:right w:val="nil"/>
          <w:between w:val="nil"/>
        </w:pBdr>
        <w:spacing w:line="360" w:lineRule="auto"/>
        <w:ind w:left="720" w:right="-1071"/>
        <w:rPr>
          <w:rFonts w:ascii="Palatino Linotype" w:eastAsia="Palatino Linotype" w:hAnsi="Palatino Linotype" w:cs="Palatino Linotype"/>
          <w:color w:val="000000"/>
        </w:rPr>
      </w:pPr>
    </w:p>
    <w:p w:rsidR="00755A38" w:rsidRDefault="00CB6F36">
      <w:pPr>
        <w:numPr>
          <w:ilvl w:val="0"/>
          <w:numId w:val="2"/>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755A38" w:rsidRDefault="00755A38">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rsidR="00755A38" w:rsidRDefault="00CB6F36">
      <w:pPr>
        <w:numPr>
          <w:ilvl w:val="0"/>
          <w:numId w:val="5"/>
        </w:numPr>
        <w:pBdr>
          <w:top w:val="nil"/>
          <w:left w:val="nil"/>
          <w:bottom w:val="nil"/>
          <w:right w:val="nil"/>
          <w:between w:val="nil"/>
        </w:pBdr>
        <w:spacing w:line="360" w:lineRule="auto"/>
        <w:ind w:right="-107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rsidR="00755A38" w:rsidRDefault="00CB6F36">
      <w:pPr>
        <w:numPr>
          <w:ilvl w:val="0"/>
          <w:numId w:val="2"/>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Para el despacho de los asuntos de la Administración Pública Municipal, el Ayuntamiento contará con Dependencias Administrativas Centralizadas, Organismos Públicos Descentralizados y Organismos Autónomos que se consideren necesarios. El </w:t>
      </w:r>
      <w:r>
        <w:rPr>
          <w:rFonts w:ascii="Palatino Linotype" w:eastAsia="Palatino Linotype" w:hAnsi="Palatino Linotype" w:cs="Palatino Linotype"/>
        </w:rPr>
        <w:lastRenderedPageBreak/>
        <w:t>Presidente Municipal para el ejercicio de sus atribuciones y funcionamiento de la Administración Pública Municipal, se auxiliará de diversas Dependencias, Unidades y Organismos, establecidas en el artículo 56, del Bando Municipal 2025:</w:t>
      </w:r>
    </w:p>
    <w:p w:rsidR="00755A38" w:rsidRDefault="00755A38">
      <w:pPr>
        <w:ind w:left="567" w:right="-1071"/>
        <w:jc w:val="center"/>
        <w:rPr>
          <w:rFonts w:ascii="Palatino Linotype" w:eastAsia="Palatino Linotype" w:hAnsi="Palatino Linotype" w:cs="Palatino Linotype"/>
          <w:b/>
          <w:bCs/>
          <w:i/>
          <w:iCs/>
        </w:rPr>
      </w:pPr>
    </w:p>
    <w:p w:rsidR="00755A38" w:rsidRDefault="00CB6F36">
      <w:pPr>
        <w:ind w:left="567" w:right="-107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Bando Municipal 2025</w:t>
      </w:r>
    </w:p>
    <w:p w:rsidR="00755A38" w:rsidRDefault="00755A38">
      <w:pPr>
        <w:ind w:left="567" w:right="-1071"/>
        <w:jc w:val="both"/>
        <w:rPr>
          <w:rFonts w:ascii="Palatino Linotype" w:eastAsia="Palatino Linotype" w:hAnsi="Palatino Linotype" w:cs="Palatino Linotype"/>
          <w:i/>
          <w:iCs/>
        </w:rPr>
      </w:pP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56. </w:t>
      </w:r>
      <w:r>
        <w:rPr>
          <w:rFonts w:ascii="Palatino Linotype" w:eastAsia="Palatino Linotype" w:hAnsi="Palatino Linotype" w:cs="Palatino Linotype"/>
          <w:i/>
          <w:iCs/>
        </w:rPr>
        <w:t>Para el despacho de los asuntos de la Administración Pública Municipal, el Ayuntamiento contará con Dependencias Administrativas Centralizadas, Organismos Públicos Descentralizados y Organismos Autónomos que se consideren necesarios. El Presidente Municipal para el ejercicio de sus atribuciones y funcionamiento de la Administración Pública Municipal, se auxiliará de las Dependencias, Unidades y Organismos siguientes:</w:t>
      </w:r>
    </w:p>
    <w:p w:rsidR="00755A38" w:rsidRDefault="00755A38">
      <w:pPr>
        <w:ind w:left="567" w:right="-1071"/>
        <w:jc w:val="both"/>
        <w:rPr>
          <w:rFonts w:ascii="Palatino Linotype" w:eastAsia="Palatino Linotype" w:hAnsi="Palatino Linotype" w:cs="Palatino Linotype"/>
          <w:i/>
          <w:iCs/>
        </w:rPr>
      </w:pP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DEPENDENCIAS: </w:t>
      </w:r>
    </w:p>
    <w:p w:rsidR="00755A38" w:rsidRDefault="00755A38">
      <w:pPr>
        <w:ind w:left="567" w:right="-1071"/>
        <w:jc w:val="both"/>
        <w:rPr>
          <w:rFonts w:ascii="Palatino Linotype" w:eastAsia="Palatino Linotype" w:hAnsi="Palatino Linotype" w:cs="Palatino Linotype"/>
          <w:i/>
          <w:iCs/>
        </w:rPr>
      </w:pP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Secretaría del Ayuntamiento; </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Tesorería Municipal; </w:t>
      </w:r>
    </w:p>
    <w:p w:rsidR="00755A38" w:rsidRDefault="00CB6F36">
      <w:pPr>
        <w:ind w:left="567"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III. Dirección de Administración; </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Dirección de Bienestar Social; </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Dirección de Campo; </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VI. Dirección de Comunicación Social y Gobierno Digital;</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Dirección de Cultura y Turismo; </w:t>
      </w:r>
    </w:p>
    <w:p w:rsidR="00755A38" w:rsidRDefault="00CB6F36">
      <w:pPr>
        <w:ind w:left="567"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VIII. Dirección de Desarrollo Económico; </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IX. Dirección de Desarrollo Urbano; </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 Dirección de Ecología y Desarrollo Sostenible; </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XI. Dirección de Educación:</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 Dirección de Gobierno; </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XIII. Dirección de Movilidad; </w:t>
      </w:r>
    </w:p>
    <w:p w:rsidR="00755A38" w:rsidRDefault="00CB6F36">
      <w:pPr>
        <w:ind w:left="567"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XIV. Dirección de Obras Públicas; </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 Dirección de Salud; </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XVI. Dirección de Seguridad Pública Municipal; </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XVII. Dirección de Servicios Públicos;</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XVIII. Dirección de la Mujer, Igualdad de Género e Inclusión; </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XIX. Coordinación Municipal de Protección Civil </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XX. Órgano Interno de Control;</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755A38" w:rsidRDefault="00CB6F36">
      <w:pPr>
        <w:numPr>
          <w:ilvl w:val="0"/>
          <w:numId w:val="2"/>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La </w:t>
      </w:r>
      <w:r>
        <w:rPr>
          <w:rFonts w:ascii="Palatino Linotype" w:eastAsia="Palatino Linotype" w:hAnsi="Palatino Linotype" w:cs="Palatino Linotype"/>
          <w:b/>
          <w:bCs/>
        </w:rPr>
        <w:t>Dirección de Administración</w:t>
      </w:r>
      <w:r>
        <w:rPr>
          <w:rFonts w:ascii="Palatino Linotype" w:eastAsia="Palatino Linotype" w:hAnsi="Palatino Linotype" w:cs="Palatino Linotype"/>
        </w:rPr>
        <w:t xml:space="preserve"> es el área encargada de proveer los recursos materiales y servicios necesarios para cada una de las áreas que corresponden a la Administración Pública Municipal, cumpliendo con las disposiciones establecidas en las leyes aplicables a la materia, en lo referente a las adquisiciones, enajenaciones, arrendamientos y servicios, en coordinación con las Dependencias y Organismos auxiliares interesados; su actividad estará regulada por la Ley de Contratación Pública del Estado de México y Municipios y su Reglamento, y demás disposiciones de la materia, de conformidad con el artículo 64, del Bando Municipal 2025.</w:t>
      </w:r>
    </w:p>
    <w:p w:rsidR="00755A38" w:rsidRDefault="00755A38">
      <w:pPr>
        <w:spacing w:line="360" w:lineRule="auto"/>
        <w:ind w:right="-1071"/>
        <w:jc w:val="both"/>
        <w:rPr>
          <w:rFonts w:ascii="Palatino Linotype" w:eastAsia="Palatino Linotype" w:hAnsi="Palatino Linotype" w:cs="Palatino Linotype"/>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w:t>
      </w:r>
      <w:r>
        <w:rPr>
          <w:rFonts w:ascii="Palatino Linotype" w:eastAsia="Palatino Linotype" w:hAnsi="Palatino Linotype" w:cs="Palatino Linotype"/>
          <w:b/>
          <w:bCs/>
        </w:rPr>
        <w:t>Dirección de Obras Públicas</w:t>
      </w:r>
      <w:r>
        <w:rPr>
          <w:rFonts w:ascii="Palatino Linotype" w:eastAsia="Palatino Linotype" w:hAnsi="Palatino Linotype" w:cs="Palatino Linotype"/>
        </w:rPr>
        <w:t xml:space="preserve"> es la encargada de planear, programar, mantener y ejecutar la obra pública de infraestructura, equipamiento urbano y rural que satisfagan los requerimientos de la sociedad, tanto con recursos propios, como con las participaciones de Programas Estatales y Federales, incluyendo la participación ciudadana. Promoverá acciones que conlleven a un desarrollo integral del Municipio, para mejorar la calidad de vida de la población, con un aprovechamiento óptimo en el manejo de los recursos asignados, cumpliendo con los principios de eficiencia, eficacia y transparencia dentro del marco legal existente, de conformidad con el artículo 77, del Bando Municipal 2025.</w:t>
      </w:r>
    </w:p>
    <w:p w:rsidR="00755A38" w:rsidRDefault="00755A38">
      <w:pPr>
        <w:spacing w:line="360" w:lineRule="auto"/>
        <w:ind w:right="-1071"/>
        <w:jc w:val="both"/>
        <w:rPr>
          <w:rFonts w:ascii="Palatino Linotype" w:eastAsia="Palatino Linotype" w:hAnsi="Palatino Linotype" w:cs="Palatino Linotype"/>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w:t>
      </w:r>
      <w:r>
        <w:rPr>
          <w:rFonts w:ascii="Palatino Linotype" w:eastAsia="Palatino Linotype" w:hAnsi="Palatino Linotype" w:cs="Palatino Linotype"/>
          <w:b/>
          <w:bCs/>
        </w:rPr>
        <w:t>Dirección de Desarrollo Económico</w:t>
      </w:r>
      <w:r>
        <w:rPr>
          <w:rFonts w:ascii="Palatino Linotype" w:eastAsia="Palatino Linotype" w:hAnsi="Palatino Linotype" w:cs="Palatino Linotype"/>
        </w:rPr>
        <w:t xml:space="preserve"> es la dependencia de la Administración Pública Municipal centralizada, encargada de diseñar, establecer, instrumentar y evaluar las políticas públicas, estrategias, acciones y programas tendientes a lograr la innovación económica, el desarrollo de las vocaciones productivas, y la capacitación y promoción para el empleo, por lo que promoverá el fomento de las actividades industriales, artesanales, del comercio y de provisión de servicios en el territorio municipal e incentiva el desarrollo de las mismas para su adecuado funcionamiento; asimismo, regulará la apertura y operación de empresas, por lo </w:t>
      </w:r>
      <w:r>
        <w:rPr>
          <w:rFonts w:ascii="Palatino Linotype" w:eastAsia="Palatino Linotype" w:hAnsi="Palatino Linotype" w:cs="Palatino Linotype"/>
        </w:rPr>
        <w:lastRenderedPageBreak/>
        <w:t>que estará facultada para inspeccionar el adecuado ejercicio de las unidades económicas y sus respectivos giros. Dicha Unidad administrativa tiene por objeto impulsar el desarrollo de oportunidades laborales y económicas para las y los calimayenses, aprovechando y fortaleciendo las ventajas comparativas y competitivas del Municipio para detonar su potencial económico, de conformidad con los artículos 69 y 70, del Bando Municipal 2025.</w:t>
      </w:r>
    </w:p>
    <w:p w:rsidR="00755A38" w:rsidRDefault="00755A38">
      <w:pPr>
        <w:spacing w:line="360" w:lineRule="auto"/>
        <w:ind w:right="-1071"/>
        <w:jc w:val="both"/>
        <w:rPr>
          <w:rFonts w:ascii="Palatino Linotype" w:eastAsia="Palatino Linotype" w:hAnsi="Palatino Linotype" w:cs="Palatino Linotype"/>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De conformidad con la Ley Orgánica Municipal del Estado de México para el despacho, estudio y planeación de los diversos asuntos de la administración municipal, el ayuntamiento contará por lo menos con las siguientes Dependencias:</w:t>
      </w:r>
    </w:p>
    <w:p w:rsidR="00755A38" w:rsidRDefault="00CB6F36">
      <w:pPr>
        <w:ind w:left="708"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87.- Para el despacho, estudio y planeación de los diversos asuntos de la administración municipal, el ayuntamiento contará por lo menos con las siguientes Dependencias: </w:t>
      </w:r>
    </w:p>
    <w:p w:rsidR="00755A38" w:rsidRDefault="00CB6F36">
      <w:pPr>
        <w:ind w:left="708"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La secretaría del ayuntamiento; </w:t>
      </w:r>
    </w:p>
    <w:p w:rsidR="00755A38" w:rsidRDefault="00CB6F36">
      <w:pPr>
        <w:ind w:left="708"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La tesorería municipal. </w:t>
      </w:r>
    </w:p>
    <w:p w:rsidR="00755A38" w:rsidRDefault="00CB6F36">
      <w:pPr>
        <w:ind w:left="708" w:right="-1071"/>
        <w:jc w:val="both"/>
        <w:rPr>
          <w:rFonts w:ascii="Palatino Linotype" w:eastAsia="Palatino Linotype" w:hAnsi="Palatino Linotype" w:cs="Palatino Linotype"/>
          <w:i/>
          <w:iCs/>
        </w:rPr>
      </w:pPr>
      <w:r>
        <w:rPr>
          <w:rFonts w:ascii="Palatino Linotype" w:eastAsia="Palatino Linotype" w:hAnsi="Palatino Linotype" w:cs="Palatino Linotype"/>
          <w:i/>
          <w:iCs/>
        </w:rPr>
        <w:t>III. La Dirección de Obras Públicas o equivalente.</w:t>
      </w:r>
    </w:p>
    <w:p w:rsidR="00755A38" w:rsidRDefault="00CB6F36">
      <w:pPr>
        <w:ind w:left="708"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IV. La Dirección de Desarrollo Económico o equivalente. </w:t>
      </w:r>
    </w:p>
    <w:p w:rsidR="00755A38" w:rsidRDefault="00CB6F36">
      <w:pPr>
        <w:ind w:left="708"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La Dirección de Desarrollo Urbano o equivalente; </w:t>
      </w:r>
    </w:p>
    <w:p w:rsidR="00755A38" w:rsidRDefault="00CB6F36">
      <w:pPr>
        <w:ind w:left="708"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La Dirección de Ecología o equivalente. </w:t>
      </w:r>
    </w:p>
    <w:p w:rsidR="00755A38" w:rsidRDefault="00CB6F36">
      <w:pPr>
        <w:ind w:left="708"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La Dirección de Desarrollo Social o equivalente. </w:t>
      </w:r>
    </w:p>
    <w:p w:rsidR="00755A38" w:rsidRDefault="00CB6F36">
      <w:pPr>
        <w:ind w:left="708"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La Coordinación Municipal de Protección Civil o equivalente. </w:t>
      </w:r>
    </w:p>
    <w:p w:rsidR="00755A38" w:rsidRDefault="00CB6F36">
      <w:pPr>
        <w:ind w:left="708"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IX. La Dirección de las Mujeres o equivalente. </w:t>
      </w:r>
    </w:p>
    <w:p w:rsidR="00755A38" w:rsidRDefault="00CB6F36">
      <w:pPr>
        <w:ind w:left="708" w:right="-1071"/>
        <w:jc w:val="both"/>
        <w:rPr>
          <w:rFonts w:ascii="Palatino Linotype" w:eastAsia="Palatino Linotype" w:hAnsi="Palatino Linotype" w:cs="Palatino Linotype"/>
          <w:i/>
          <w:iCs/>
        </w:rPr>
      </w:pPr>
      <w:r>
        <w:rPr>
          <w:rFonts w:ascii="Palatino Linotype" w:eastAsia="Palatino Linotype" w:hAnsi="Palatino Linotype" w:cs="Palatino Linotype"/>
          <w:i/>
          <w:iCs/>
        </w:rPr>
        <w:t>X. Dirección del Campo o equivalente, preferentemente en los municipios cuyas características geográficas, territoriales, sociales, culturales, políticas y económicas sean predominantemente inherentes al ámbito rural.</w:t>
      </w:r>
    </w:p>
    <w:p w:rsidR="00755A38" w:rsidRDefault="00755A38">
      <w:pPr>
        <w:spacing w:line="360" w:lineRule="auto"/>
        <w:ind w:right="-1071"/>
        <w:jc w:val="both"/>
        <w:rPr>
          <w:rFonts w:ascii="Palatino Linotype" w:eastAsia="Palatino Linotype" w:hAnsi="Palatino Linotype" w:cs="Palatino Linotype"/>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Titular de la </w:t>
      </w:r>
      <w:r>
        <w:rPr>
          <w:rFonts w:ascii="Palatino Linotype" w:eastAsia="Palatino Linotype" w:hAnsi="Palatino Linotype" w:cs="Palatino Linotype"/>
          <w:b/>
          <w:bCs/>
        </w:rPr>
        <w:t>Dirección de Desarrollo Económico Municipal o el Titular de la Unidad Administrativa equivalente</w:t>
      </w:r>
      <w:r>
        <w:rPr>
          <w:rFonts w:ascii="Palatino Linotype" w:eastAsia="Palatino Linotype" w:hAnsi="Palatino Linotype" w:cs="Palatino Linotype"/>
        </w:rPr>
        <w:t xml:space="preserve">, tiene las siguientes atribuciones las establecidas en el artículo 96 Quáter de la Ley Orgánica Municipal del Estado de México, entre las cuales se encuentran las de </w:t>
      </w:r>
      <w:r>
        <w:rPr>
          <w:rFonts w:ascii="Palatino Linotype" w:eastAsia="Palatino Linotype" w:hAnsi="Palatino Linotype" w:cs="Palatino Linotype"/>
          <w:u w:val="single"/>
        </w:rPr>
        <w:t>Operar y actualizar el Registro Municipal de Unidades Económicas de los permisos o licencias de funcionamiento otorgadas a las unidades económicas respectivas</w:t>
      </w:r>
      <w:r>
        <w:rPr>
          <w:rFonts w:ascii="Palatino Linotype" w:eastAsia="Palatino Linotype" w:hAnsi="Palatino Linotype" w:cs="Palatino Linotype"/>
        </w:rPr>
        <w:t xml:space="preserve">; y </w:t>
      </w:r>
      <w:r>
        <w:rPr>
          <w:rFonts w:ascii="Palatino Linotype" w:eastAsia="Palatino Linotype" w:hAnsi="Palatino Linotype" w:cs="Palatino Linotype"/>
          <w:u w:val="single"/>
        </w:rPr>
        <w:lastRenderedPageBreak/>
        <w:t>Crear y actualizar el Registro de las Unidades Económicas que cuenten con el Dictamen de Giro, para la solicitud o refrendo de las licencias de funcionamiento</w:t>
      </w:r>
      <w:r>
        <w:rPr>
          <w:rFonts w:ascii="Palatino Linotype" w:eastAsia="Palatino Linotype" w:hAnsi="Palatino Linotype" w:cs="Palatino Linotype"/>
        </w:rPr>
        <w:t xml:space="preserve">. </w:t>
      </w:r>
    </w:p>
    <w:p w:rsidR="00755A38" w:rsidRDefault="00755A38">
      <w:pPr>
        <w:spacing w:line="360" w:lineRule="auto"/>
        <w:ind w:right="-1071"/>
        <w:jc w:val="both"/>
        <w:rPr>
          <w:rFonts w:ascii="Palatino Linotype" w:eastAsia="Palatino Linotype" w:hAnsi="Palatino Linotype" w:cs="Palatino Linotype"/>
          <w:color w:val="000000"/>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De lo expuesto es de precisar que la respuesta fue emitida por la </w:t>
      </w:r>
      <w:r>
        <w:rPr>
          <w:rFonts w:ascii="Palatino Linotype" w:eastAsia="Palatino Linotype" w:hAnsi="Palatino Linotype" w:cs="Palatino Linotype"/>
          <w:b/>
          <w:bCs/>
        </w:rPr>
        <w:t>Dirección de Obras Públicas y la Dirección de Administración</w:t>
      </w:r>
      <w:r>
        <w:rPr>
          <w:rFonts w:ascii="Palatino Linotype" w:eastAsia="Palatino Linotype" w:hAnsi="Palatino Linotype" w:cs="Palatino Linotype"/>
        </w:rPr>
        <w:t xml:space="preserve">, sin haber sido proporcionada por la unidad administrativa competente, que de manera enunciativa más no limitativa es la </w:t>
      </w:r>
      <w:r>
        <w:rPr>
          <w:rFonts w:ascii="Palatino Linotype" w:eastAsia="Palatino Linotype" w:hAnsi="Palatino Linotype" w:cs="Palatino Linotype"/>
          <w:b/>
          <w:bCs/>
        </w:rPr>
        <w:t>Dirección de Desarrollo Económico</w:t>
      </w:r>
      <w:r>
        <w:rPr>
          <w:rFonts w:ascii="Palatino Linotype" w:eastAsia="Palatino Linotype" w:hAnsi="Palatino Linotype" w:cs="Palatino Linotype"/>
        </w:rPr>
        <w:t xml:space="preserve">, de conformidad con sus atribuciones, por lo que podemos advertir que </w:t>
      </w:r>
      <w:r>
        <w:rPr>
          <w:rFonts w:ascii="Palatino Linotype" w:eastAsia="Palatino Linotype" w:hAnsi="Palatino Linotype" w:cs="Palatino Linotype"/>
          <w:b/>
          <w:bCs/>
        </w:rPr>
        <w:t xml:space="preserve">EL SUJETO OBLIGADO no </w:t>
      </w:r>
      <w:r>
        <w:rPr>
          <w:rFonts w:ascii="Palatino Linotype" w:eastAsia="Palatino Linotype" w:hAnsi="Palatino Linotype" w:cs="Palatino Linotype"/>
        </w:rPr>
        <w:t xml:space="preserve">siguió el procedimiento inmerso en la normatividad aplicable, ya que </w:t>
      </w:r>
      <w:r>
        <w:rPr>
          <w:rFonts w:ascii="Palatino Linotype" w:eastAsia="Palatino Linotype" w:hAnsi="Palatino Linotype" w:cs="Palatino Linotype"/>
          <w:b/>
          <w:bCs/>
        </w:rPr>
        <w:t>no turnar</w:t>
      </w:r>
      <w:r>
        <w:rPr>
          <w:rFonts w:ascii="Palatino Linotype" w:eastAsia="Palatino Linotype" w:hAnsi="Palatino Linotype" w:cs="Palatino Linotype"/>
        </w:rPr>
        <w:t xml:space="preserve"> los requerimientos de información a las unidades administrativas competentes en las que pudiera obrar la información, conforme a lo establecido por el artículo 162 de la Ley de Transparencia y Acceso a la Información Pública del Estado de México y Municipios, de conformidad con la fracción XXXIX, del artículo tercero de la legislación local vigente en materia de transparencia:</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755A38" w:rsidRDefault="00755A38">
      <w:pPr>
        <w:ind w:right="-1071"/>
        <w:jc w:val="both"/>
        <w:rPr>
          <w:rFonts w:ascii="Palatino Linotype" w:eastAsia="Palatino Linotype" w:hAnsi="Palatino Linotype" w:cs="Palatino Linotype"/>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las cosas, se advierte que la Unidad de Transparencia </w:t>
      </w:r>
      <w:r>
        <w:rPr>
          <w:rFonts w:ascii="Palatino Linotype" w:eastAsia="Palatino Linotype" w:hAnsi="Palatino Linotype" w:cs="Palatino Linotype"/>
          <w:b/>
          <w:bCs/>
        </w:rPr>
        <w:t>no cumplió</w:t>
      </w:r>
      <w:r>
        <w:rPr>
          <w:rFonts w:ascii="Palatino Linotype" w:eastAsia="Palatino Linotype" w:hAnsi="Palatino Linotype" w:cs="Palatino Linotype"/>
        </w:rPr>
        <w:t xml:space="preserve"> con lo establecido en el artículo 162 de la Ley de Transparencia y Acceso a la Información Pública del Estado de México y Municipios, el cual menciona lo siguiente:</w:t>
      </w:r>
    </w:p>
    <w:p w:rsidR="00755A38" w:rsidRDefault="00CB6F3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acuerdo a sus facultades, competencias y funciones, </w:t>
      </w:r>
      <w:r>
        <w:rPr>
          <w:rFonts w:ascii="Palatino Linotype" w:eastAsia="Palatino Linotype" w:hAnsi="Palatino Linotype" w:cs="Palatino Linotype"/>
          <w:b/>
          <w:bCs/>
          <w:i/>
          <w:iCs/>
        </w:rPr>
        <w:t>con el objeto de que realicen una búsqueda exhaustiva y razonable de la información solicitada</w:t>
      </w:r>
      <w:r>
        <w:rPr>
          <w:rFonts w:ascii="Palatino Linotype" w:eastAsia="Palatino Linotype" w:hAnsi="Palatino Linotype" w:cs="Palatino Linotype"/>
          <w:i/>
          <w:iCs/>
        </w:rPr>
        <w:t>.”</w:t>
      </w:r>
    </w:p>
    <w:p w:rsidR="00755A38" w:rsidRDefault="00755A38">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lastRenderedPageBreak/>
        <w:t>El buscar exhaustivamente en sus archivos, es identificar la unidad(s) administrativa(s) que resguardan el documento al que una persona pretende acceder, es practicar una adecuada gestión documental que nos permite localizar el documento, como bien señala el artículo 159, de la Ley de Transparencia;  por lo que, se puede apreciar que probablemente se cuente con la información solicitada.</w:t>
      </w:r>
    </w:p>
    <w:p w:rsidR="00755A38" w:rsidRDefault="00755A38">
      <w:pPr>
        <w:pBdr>
          <w:top w:val="nil"/>
          <w:left w:val="nil"/>
          <w:bottom w:val="nil"/>
          <w:right w:val="nil"/>
          <w:between w:val="nil"/>
        </w:pBdr>
        <w:ind w:right="-1071"/>
        <w:rPr>
          <w:rFonts w:ascii="Palatino Linotype" w:eastAsia="Palatino Linotype" w:hAnsi="Palatino Linotype" w:cs="Palatino Linotype"/>
          <w:b/>
          <w:bCs/>
          <w:color w:val="000000"/>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Por lo anterior, de la respuesta emitida a la solicitud de información, no se tiene la certeza de que efectivamente se haya llevado a cabo la búsqueda de lo requerido de manera razonable, en el soporte documental, electrónico, digital o cualquier otro que se albergan en los archivos de cada área que conforman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y que derivado de sus funciones, atribuciones y competencias haya generado algún tipo de documento en el que se haya registrado lo solicitado. En ese sentido si no existe evidencia documental que acredite que en efecto, se haya realizado una búsqueda exhaustiva y razonable de lo solicitado, para poder confirmar que la respuesta es correcta.</w:t>
      </w:r>
    </w:p>
    <w:p w:rsidR="00755A38" w:rsidRDefault="00CB6F36">
      <w:pPr>
        <w:spacing w:line="360" w:lineRule="auto"/>
        <w:ind w:right="-1071"/>
        <w:jc w:val="both"/>
        <w:rPr>
          <w:color w:val="000000"/>
        </w:rPr>
      </w:pPr>
      <w:r>
        <w:rPr>
          <w:rFonts w:ascii="Palatino Linotype" w:eastAsia="Palatino Linotype" w:hAnsi="Palatino Linotype" w:cs="Palatino Linotype"/>
        </w:rPr>
        <w:t>Es</w:t>
      </w:r>
      <w:r>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w:t>
      </w:r>
      <w:r>
        <w:rPr>
          <w:rFonts w:ascii="Palatino Linotype" w:eastAsia="Palatino Linotype" w:hAnsi="Palatino Linotype" w:cs="Palatino Linotype"/>
        </w:rPr>
        <w:t>directrices</w:t>
      </w:r>
      <w:r>
        <w:rPr>
          <w:rFonts w:ascii="Palatino Linotype" w:eastAsia="Palatino Linotype" w:hAnsi="Palatino Linotype" w:cs="Palatino Linotype"/>
          <w:color w:val="000000"/>
        </w:rPr>
        <w:t xml:space="preserve">,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755A38" w:rsidRDefault="00CB6F36">
      <w:pP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755A38" w:rsidRDefault="00CB6F36">
      <w:pP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755A38" w:rsidRDefault="00CB6F36">
      <w:pP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w:t>
      </w:r>
      <w:r>
        <w:rPr>
          <w:rFonts w:ascii="Palatino Linotype" w:eastAsia="Palatino Linotype" w:hAnsi="Palatino Linotype" w:cs="Palatino Linotype"/>
          <w:i/>
          <w:iCs/>
          <w:color w:val="000000"/>
        </w:rPr>
        <w:lastRenderedPageBreak/>
        <w:t>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755A38" w:rsidRDefault="00CB6F36">
      <w:pPr>
        <w:spacing w:line="360" w:lineRule="auto"/>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755A38" w:rsidRDefault="00755A38">
      <w:pPr>
        <w:ind w:right="-1071"/>
        <w:jc w:val="both"/>
        <w:rPr>
          <w:rFonts w:ascii="Palatino Linotype" w:eastAsia="Palatino Linotype" w:hAnsi="Palatino Linotype" w:cs="Palatino Linotype"/>
        </w:rPr>
      </w:pPr>
    </w:p>
    <w:p w:rsidR="00755A38" w:rsidRDefault="00CB6F36">
      <w:pPr>
        <w:numPr>
          <w:ilvl w:val="0"/>
          <w:numId w:val="2"/>
        </w:numPr>
        <w:spacing w:line="360" w:lineRule="auto"/>
        <w:ind w:left="0" w:right="-1071" w:firstLine="0"/>
        <w:jc w:val="both"/>
        <w:rPr>
          <w:color w:val="000000"/>
        </w:rPr>
      </w:pPr>
      <w:r>
        <w:rPr>
          <w:rFonts w:ascii="Palatino Linotype" w:eastAsia="Palatino Linotype" w:hAnsi="Palatino Linotype" w:cs="Palatino Linotype"/>
          <w:color w:val="000000"/>
        </w:rPr>
        <w:t xml:space="preserve">Siendo </w:t>
      </w:r>
      <w:r>
        <w:rPr>
          <w:rFonts w:ascii="Palatino Linotype" w:eastAsia="Palatino Linotype" w:hAnsi="Palatino Linotype" w:cs="Palatino Linotype"/>
        </w:rPr>
        <w:t>aplicable</w:t>
      </w:r>
      <w:r>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755A38" w:rsidRDefault="00CB6F36">
      <w:pPr>
        <w:ind w:left="850"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755A38" w:rsidRDefault="00CB6F36">
      <w:pPr>
        <w:ind w:left="850"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755A38" w:rsidRDefault="00CB6F36">
      <w:pPr>
        <w:ind w:left="850" w:right="-1071"/>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755A38" w:rsidRDefault="00CB6F36">
      <w:pPr>
        <w:ind w:left="850"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755A38" w:rsidRDefault="00CB6F36">
      <w:pPr>
        <w:ind w:left="850" w:right="-1071"/>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755A38" w:rsidRDefault="00CB6F36">
      <w:pPr>
        <w:ind w:left="850" w:right="-1071"/>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755A38" w:rsidRDefault="00CB6F36">
      <w:pPr>
        <w:tabs>
          <w:tab w:val="left" w:pos="851"/>
        </w:tabs>
        <w:spacing w:line="360" w:lineRule="auto"/>
        <w:ind w:left="850" w:right="-1071"/>
        <w:rPr>
          <w:rFonts w:ascii="Palatino Linotype" w:eastAsia="Palatino Linotype" w:hAnsi="Palatino Linotype" w:cs="Palatino Linotype"/>
        </w:rPr>
      </w:pPr>
      <w:r>
        <w:rPr>
          <w:rFonts w:ascii="Palatino Linotype" w:eastAsia="Palatino Linotype" w:hAnsi="Palatino Linotype" w:cs="Palatino Linotype"/>
        </w:rPr>
        <w:t>(Énfasis Añadido)</w:t>
      </w:r>
    </w:p>
    <w:p w:rsidR="00755A38" w:rsidRDefault="00755A38">
      <w:pPr>
        <w:pBdr>
          <w:top w:val="nil"/>
          <w:left w:val="nil"/>
          <w:bottom w:val="nil"/>
          <w:right w:val="nil"/>
          <w:between w:val="nil"/>
        </w:pBdr>
        <w:ind w:right="-1071"/>
        <w:jc w:val="both"/>
        <w:rPr>
          <w:rFonts w:ascii="Palatino Linotype" w:eastAsia="Palatino Linotype" w:hAnsi="Palatino Linotype" w:cs="Palatino Linotype"/>
          <w:color w:val="000000"/>
        </w:rPr>
      </w:pPr>
    </w:p>
    <w:p w:rsidR="00755A38" w:rsidRDefault="00CB6F36">
      <w:pPr>
        <w:numPr>
          <w:ilvl w:val="0"/>
          <w:numId w:val="2"/>
        </w:numPr>
        <w:spacing w:line="360" w:lineRule="auto"/>
        <w:ind w:left="0" w:right="-1071" w:firstLine="0"/>
        <w:jc w:val="both"/>
        <w:rPr>
          <w:color w:val="000000"/>
        </w:rPr>
      </w:pPr>
      <w:r>
        <w:rPr>
          <w:rFonts w:ascii="Palatino Linotype" w:eastAsia="Palatino Linotype" w:hAnsi="Palatino Linotype" w:cs="Palatino Linotype"/>
          <w:color w:val="000000"/>
        </w:rPr>
        <w:t>Por su parte los artículos 160 y 166, de la Ley local en la materia, que se reproduce de la siguiente forma:</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755A38" w:rsidRDefault="00755A38">
      <w:pPr>
        <w:ind w:left="566" w:right="-1071"/>
        <w:jc w:val="both"/>
        <w:rPr>
          <w:rFonts w:ascii="Palatino Linotype" w:eastAsia="Palatino Linotype" w:hAnsi="Palatino Linotype" w:cs="Palatino Linotype"/>
          <w:i/>
          <w:iCs/>
        </w:rPr>
      </w:pP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rsidR="00755A38" w:rsidRDefault="00CB6F36">
      <w:pPr>
        <w:ind w:left="566" w:right="-1071"/>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755A38" w:rsidRDefault="00CB6F36">
      <w:pPr>
        <w:spacing w:line="360" w:lineRule="auto"/>
        <w:ind w:left="566" w:right="-1071"/>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755A38" w:rsidRDefault="00755A38">
      <w:pPr>
        <w:ind w:right="-1071"/>
        <w:jc w:val="both"/>
        <w:rPr>
          <w:rFonts w:ascii="Palatino Linotype" w:eastAsia="Palatino Linotype" w:hAnsi="Palatino Linotype" w:cs="Palatino Linotype"/>
        </w:rPr>
      </w:pPr>
    </w:p>
    <w:p w:rsidR="00755A38" w:rsidRDefault="00CB6F36">
      <w:pPr>
        <w:numPr>
          <w:ilvl w:val="0"/>
          <w:numId w:val="2"/>
        </w:numPr>
        <w:spacing w:line="360" w:lineRule="auto"/>
        <w:ind w:left="0" w:right="-1071" w:firstLine="0"/>
        <w:jc w:val="both"/>
        <w:rPr>
          <w:color w:val="000000"/>
        </w:rPr>
      </w:pPr>
      <w:r>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755A38" w:rsidRDefault="00755A38">
      <w:pPr>
        <w:spacing w:line="360" w:lineRule="auto"/>
        <w:ind w:right="-1071"/>
        <w:jc w:val="both"/>
        <w:rPr>
          <w:rFonts w:ascii="Palatino Linotype" w:eastAsia="Palatino Linotype" w:hAnsi="Palatino Linotype" w:cs="Palatino Linotype"/>
          <w:color w:val="000000"/>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Ahora</w:t>
      </w:r>
      <w:r>
        <w:rPr>
          <w:rFonts w:ascii="Palatino Linotype" w:eastAsia="Palatino Linotype" w:hAnsi="Palatino Linotype" w:cs="Palatino Linotype"/>
        </w:rPr>
        <w:t xml:space="preserve"> bien, es de precisar que el particular requirió </w:t>
      </w:r>
      <w:r>
        <w:rPr>
          <w:rFonts w:ascii="Palatino Linotype" w:eastAsia="Palatino Linotype" w:hAnsi="Palatino Linotype" w:cs="Palatino Linotype"/>
          <w:color w:val="000000"/>
        </w:rPr>
        <w:t xml:space="preserve">tener acceso, a la siguiente información: </w:t>
      </w:r>
      <w:r>
        <w:rPr>
          <w:rFonts w:ascii="Palatino Linotype" w:eastAsia="Palatino Linotype" w:hAnsi="Palatino Linotype" w:cs="Palatino Linotype"/>
          <w:i/>
          <w:iCs/>
          <w:color w:val="000000"/>
          <w:u w:val="single"/>
        </w:rPr>
        <w:t>Padrón de las empresas que se dediquen a la fabricación de productos metálicos, en donde se informe la razón social, domicilio, número telefónico y correo electrónico,</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en respuesta el Sujeto Obligado a través de la </w:t>
      </w:r>
      <w:r>
        <w:rPr>
          <w:rFonts w:ascii="Palatino Linotype" w:eastAsia="Palatino Linotype" w:hAnsi="Palatino Linotype" w:cs="Palatino Linotype"/>
          <w:b/>
          <w:bCs/>
          <w:color w:val="000000"/>
        </w:rPr>
        <w:t>Directora de Obras Públicas</w:t>
      </w:r>
      <w:r>
        <w:rPr>
          <w:rFonts w:ascii="Palatino Linotype" w:eastAsia="Palatino Linotype" w:hAnsi="Palatino Linotype" w:cs="Palatino Linotype"/>
          <w:color w:val="000000"/>
        </w:rPr>
        <w:t xml:space="preserve">, refirió que la información solicitada, no corresponde a esa dirección a su cargo, por su parte el </w:t>
      </w:r>
      <w:r>
        <w:rPr>
          <w:rFonts w:ascii="Palatino Linotype" w:eastAsia="Palatino Linotype" w:hAnsi="Palatino Linotype" w:cs="Palatino Linotype"/>
          <w:b/>
          <w:bCs/>
          <w:color w:val="000000"/>
        </w:rPr>
        <w:t>Director de Administración</w:t>
      </w:r>
      <w:r>
        <w:rPr>
          <w:rFonts w:ascii="Palatino Linotype" w:eastAsia="Palatino Linotype" w:hAnsi="Palatino Linotype" w:cs="Palatino Linotype"/>
          <w:color w:val="000000"/>
        </w:rPr>
        <w:t>, refirió que “…</w:t>
      </w:r>
      <w:r>
        <w:rPr>
          <w:rFonts w:ascii="Palatino Linotype" w:eastAsia="Palatino Linotype" w:hAnsi="Palatino Linotype" w:cs="Palatino Linotype"/>
          <w:b/>
          <w:bCs/>
          <w:i/>
          <w:iCs/>
          <w:color w:val="000000"/>
        </w:rPr>
        <w:t>No se encuentra información pública del padrón de las empresas que se encuentran en la jurisdicción del municipio que se dediquen a la fabricación de productos metálicos</w:t>
      </w:r>
      <w:r>
        <w:rPr>
          <w:rFonts w:ascii="Palatino Linotype" w:eastAsia="Palatino Linotype" w:hAnsi="Palatino Linotype" w:cs="Palatino Linotype"/>
          <w:i/>
          <w:iCs/>
          <w:color w:val="000000"/>
        </w:rPr>
        <w:t xml:space="preserve"> en donde se informe la razón social, domicilio y número telefónico, correo electrónico.” (Sic)</w:t>
      </w:r>
      <w:r>
        <w:rPr>
          <w:rFonts w:ascii="Palatino Linotype" w:eastAsia="Palatino Linotype" w:hAnsi="Palatino Linotype" w:cs="Palatino Linotype"/>
          <w:color w:val="000000"/>
        </w:rPr>
        <w:t>; circunstancia de la cual se dolió el recurrente al señalar que la información se entregó de manera incompleta, posteriormente las partes fueron omisas en realizar manifestaciones.</w:t>
      </w: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este sentido es de analizar la naturaleza jurídica de la información requerida, por lo que es necesario traer a contexto lo establecido en la Ley Orgánica Municipal del Estado de México, misma que establece en su artículo 31, fracción XLIV, como atribución de los ayuntamientos, la de </w:t>
      </w:r>
      <w:r>
        <w:rPr>
          <w:rFonts w:ascii="Palatino Linotype" w:eastAsia="Palatino Linotype" w:hAnsi="Palatino Linotype" w:cs="Palatino Linotype"/>
          <w:b/>
          <w:bCs/>
          <w:color w:val="000000"/>
        </w:rPr>
        <w:t>crear el Registro Municipal de Unidades Económicas, donde se especifique la licencia de funcionamiento con la actividad de la unidad económica e impacto que generen, así como las demás características que se determinen.</w:t>
      </w:r>
    </w:p>
    <w:p w:rsidR="00755A38" w:rsidRDefault="00755A38">
      <w:pPr>
        <w:spacing w:line="360" w:lineRule="auto"/>
        <w:ind w:right="-1071"/>
        <w:jc w:val="both"/>
        <w:rPr>
          <w:rFonts w:ascii="Palatino Linotype" w:eastAsia="Palatino Linotype" w:hAnsi="Palatino Linotype" w:cs="Palatino Linotype"/>
          <w:i/>
          <w:iCs/>
          <w:color w:val="000000"/>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Asimismo, la Ley Orgánica Municipal, en su artículo 96 Quáter, establece como atribuciones del Titular de la Dirección de Desarrollo Económico Municipal o el Titular de la Unidad Administrativa equivalente, las siguientes:</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XVIII. Conducir la coordinación interinstitucional de las dependencias municipales a las que corresponda conocer sobre el otorgamiento de permisos y licencias para la apertura y funcionamiento de unidades económicas;</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XIX. </w:t>
      </w:r>
      <w:r>
        <w:rPr>
          <w:rFonts w:ascii="Palatino Linotype" w:eastAsia="Palatino Linotype" w:hAnsi="Palatino Linotype" w:cs="Palatino Linotype"/>
          <w:b/>
          <w:bCs/>
          <w:i/>
          <w:iCs/>
        </w:rPr>
        <w:t>Operar y actualizar el Registro Municipal de Unidades Económicas de los permisos o licencias de funcionamiento otorgadas a las unidades económicas</w:t>
      </w:r>
      <w:r>
        <w:rPr>
          <w:rFonts w:ascii="Palatino Linotype" w:eastAsia="Palatino Linotype" w:hAnsi="Palatino Linotype" w:cs="Palatino Linotype"/>
          <w:i/>
          <w:iCs/>
        </w:rPr>
        <w:t xml:space="preserve"> respectivas, así como remitir dentro de los cinco días hábiles siguientes los datos generados al Sistema que al efecto integre la Secretaría de Desarrollo Económico, a la Secretaría de Seguridad y a la Fiscalía General de Justicia del Estado de México, la información respectiva; </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XX. </w:t>
      </w:r>
      <w:r>
        <w:rPr>
          <w:rFonts w:ascii="Palatino Linotype" w:eastAsia="Palatino Linotype" w:hAnsi="Palatino Linotype" w:cs="Palatino Linotype"/>
          <w:b/>
          <w:bCs/>
          <w:i/>
          <w:iCs/>
        </w:rPr>
        <w:t>Crear y actualizar el Registro de las Unidades Económicas que cuenten con el Dictamen de Giro,</w:t>
      </w:r>
      <w:r>
        <w:rPr>
          <w:rFonts w:ascii="Palatino Linotype" w:eastAsia="Palatino Linotype" w:hAnsi="Palatino Linotype" w:cs="Palatino Linotype"/>
          <w:i/>
          <w:iCs/>
        </w:rPr>
        <w:t xml:space="preserve"> para la solicitud o refrendo de las licencias de funcionamiento;</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lo que se desprende que la Dirección de Desarrollo Económico es la unidad administrativa encargada de operar y actualizar el Registro Municipal de Unidades Económicas de los permisos o licencias de funcionamiento otorgadas a las unidades económicas.</w:t>
      </w:r>
    </w:p>
    <w:p w:rsidR="00755A38" w:rsidRDefault="00755A38">
      <w:pPr>
        <w:spacing w:line="360" w:lineRule="auto"/>
        <w:ind w:right="-1071"/>
        <w:jc w:val="both"/>
        <w:rPr>
          <w:rFonts w:ascii="Palatino Linotype" w:eastAsia="Palatino Linotype" w:hAnsi="Palatino Linotype" w:cs="Palatino Linotype"/>
          <w:i/>
          <w:iCs/>
          <w:color w:val="000000"/>
          <w:u w:val="single"/>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este orden de ideas de conformidad con lo establecido en el artículo 129, del Bando Municipal 2025, la </w:t>
      </w:r>
      <w:r>
        <w:rPr>
          <w:rFonts w:ascii="Palatino Linotype" w:eastAsia="Palatino Linotype" w:hAnsi="Palatino Linotype" w:cs="Palatino Linotype"/>
          <w:b/>
          <w:bCs/>
          <w:color w:val="000000"/>
        </w:rPr>
        <w:t>Dirección de Desarrollo Económico</w:t>
      </w:r>
      <w:r>
        <w:rPr>
          <w:rFonts w:ascii="Palatino Linotype" w:eastAsia="Palatino Linotype" w:hAnsi="Palatino Linotype" w:cs="Palatino Linotype"/>
          <w:color w:val="000000"/>
        </w:rPr>
        <w:t xml:space="preserve"> es la unidad administrativa encargada de otorgar licencias, permisos o autorizaciones a particulares para ejercer actividades económicas. La Dirección de Desarrollo Económico determinará la procedencia de la solicitud para el otorgamiento de las Licencias y Permisos provisionales; tendrá la facultad de negarlos o </w:t>
      </w:r>
      <w:r>
        <w:rPr>
          <w:rFonts w:ascii="Palatino Linotype" w:eastAsia="Palatino Linotype" w:hAnsi="Palatino Linotype" w:cs="Palatino Linotype"/>
        </w:rPr>
        <w:t>revocarse</w:t>
      </w:r>
      <w:r>
        <w:rPr>
          <w:rFonts w:ascii="Palatino Linotype" w:eastAsia="Palatino Linotype" w:hAnsi="Palatino Linotype" w:cs="Palatino Linotype"/>
          <w:color w:val="000000"/>
        </w:rPr>
        <w:t xml:space="preserve"> cuando así lo justifique un dictamen negativo superveniente, la falta de algún requisito, o que no se cumpla con las normas de seguridad, sanidad e imagen o con algún requisito previsto en la normatividad aplicable.</w:t>
      </w:r>
    </w:p>
    <w:p w:rsidR="00755A38" w:rsidRDefault="00755A38">
      <w:pPr>
        <w:spacing w:line="360" w:lineRule="auto"/>
        <w:ind w:right="-1071"/>
        <w:jc w:val="both"/>
        <w:rPr>
          <w:rFonts w:ascii="Palatino Linotype" w:eastAsia="Palatino Linotype" w:hAnsi="Palatino Linotype" w:cs="Palatino Linotype"/>
          <w:i/>
          <w:iCs/>
          <w:color w:val="000000"/>
          <w:u w:val="single"/>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Del mismo modo, el Bando Municipal establece en su artículo 134, sobre el Registro Municipal de Unidades Económicas, lo siguiente:</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154. Del Registro Municipal de Unidades Económicas y el Padrón de Comerciantes y Proveedores de Servicios</w:t>
      </w:r>
      <w:r>
        <w:rPr>
          <w:rFonts w:ascii="Palatino Linotype" w:eastAsia="Palatino Linotype" w:hAnsi="Palatino Linotype" w:cs="Palatino Linotype"/>
          <w:i/>
          <w:iCs/>
        </w:rPr>
        <w:t xml:space="preserve">. </w:t>
      </w:r>
    </w:p>
    <w:p w:rsidR="00755A38" w:rsidRDefault="00755A38">
      <w:pPr>
        <w:ind w:left="566" w:right="-1071"/>
        <w:jc w:val="both"/>
        <w:rPr>
          <w:rFonts w:ascii="Palatino Linotype" w:eastAsia="Palatino Linotype" w:hAnsi="Palatino Linotype" w:cs="Palatino Linotype"/>
          <w:i/>
          <w:iCs/>
        </w:rPr>
      </w:pP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El Ayuntamiento, a través de la Dirección de Desarrollo Económico, operará, digitalizará y mantendrá actualizado el Registro Municipal de Unidades Económicas, de conformidad con lo establecido en el artículo 7 fracciones I, III y IV de la Ley de Competitividad y Ordenamiento Comercial del Estado de México, en el que se encontrará la información relativa al Padrón de Comerciantes y Proveedores de Servicios, así como de las Licencias, Permisos y Autorizaciones expedidas, así como la actividad de la unidad económica correspondiente y el impacto que genera. Es obligación de los comerciantes y proveedores de servicios inscribirse en el padrón respectivo. El uso de dicha información se protegerá y tratará en los términos que determinen las leyes de transparencia y protección de datos personales aplicables.</w:t>
      </w:r>
    </w:p>
    <w:p w:rsidR="00755A38" w:rsidRDefault="00755A38">
      <w:pPr>
        <w:spacing w:line="360" w:lineRule="auto"/>
        <w:ind w:right="-1071"/>
        <w:jc w:val="both"/>
        <w:rPr>
          <w:rFonts w:ascii="Palatino Linotype" w:eastAsia="Palatino Linotype" w:hAnsi="Palatino Linotype" w:cs="Palatino Linotype"/>
          <w:i/>
          <w:iCs/>
          <w:color w:val="000000"/>
          <w:u w:val="single"/>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razón de lo expuesto ha quedado acreditado que la unidad administrativa competente en la que pudiera obrar la información es la </w:t>
      </w:r>
      <w:r>
        <w:rPr>
          <w:rFonts w:ascii="Palatino Linotype" w:eastAsia="Palatino Linotype" w:hAnsi="Palatino Linotype" w:cs="Palatino Linotype"/>
          <w:b/>
          <w:bCs/>
          <w:color w:val="000000"/>
        </w:rPr>
        <w:t xml:space="preserve">Dirección de Desarrollo Económico, </w:t>
      </w:r>
      <w:r>
        <w:rPr>
          <w:rFonts w:ascii="Palatino Linotype" w:eastAsia="Palatino Linotype" w:hAnsi="Palatino Linotype" w:cs="Palatino Linotype"/>
          <w:color w:val="000000"/>
        </w:rPr>
        <w:t>al corresponder a facultades, competencias y funciones que los ordenamientos jurídicos aplicables otorgan a esta.</w:t>
      </w: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Es importante referir que la Ley de Competitividad y Ordenamiento Comercial del Estado de México, refiere que los Registros de Unidades Económicas ya sea Estatal y Municipal, tienen como finalidad crear una base de datos confiable, actualizada e integrada a nivel estatal y municipal de las unidades económicas que se aperturen en el territorio de la Entidad, e incluirá los siguientes datos:</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11. El registro incluirá al menos los datos siguientes: </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Clave única, que se integrará de una serie alfanumérica. </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Nombre del municipio. </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Nombre del titular. </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Actividad económica. </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Fecha de inicio de actividades. </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Tipo de impacto. </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Domicilio de la unidad económica. </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Visitas y procedimientos de verificación en su caso. </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IX. Sanciones en su caso. </w:t>
      </w:r>
    </w:p>
    <w:p w:rsidR="00755A38" w:rsidRDefault="00CB6F36">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X. Las demás que le confieran esta Ley y otras disposiciones aplicables</w:t>
      </w:r>
    </w:p>
    <w:p w:rsidR="00755A38" w:rsidRDefault="00755A38">
      <w:pPr>
        <w:ind w:left="566" w:right="-1071"/>
        <w:jc w:val="both"/>
        <w:rPr>
          <w:rFonts w:ascii="Palatino Linotype" w:eastAsia="Palatino Linotype" w:hAnsi="Palatino Linotype" w:cs="Palatino Linotype"/>
          <w:i/>
          <w:iCs/>
        </w:rPr>
      </w:pPr>
    </w:p>
    <w:p w:rsidR="00755A38" w:rsidRDefault="00755A38">
      <w:pPr>
        <w:spacing w:line="360" w:lineRule="auto"/>
        <w:ind w:right="-1071"/>
        <w:jc w:val="both"/>
        <w:rPr>
          <w:rFonts w:ascii="Palatino Linotype" w:eastAsia="Palatino Linotype" w:hAnsi="Palatino Linotype" w:cs="Palatino Linotype"/>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este sentido el documento que pudiera colmar el requerimiento de información de manera enunciativa </w:t>
      </w:r>
      <w:r>
        <w:rPr>
          <w:rFonts w:ascii="Palatino Linotype" w:eastAsia="Palatino Linotype" w:hAnsi="Palatino Linotype" w:cs="Palatino Linotype"/>
        </w:rPr>
        <w:t>más</w:t>
      </w:r>
      <w:r>
        <w:rPr>
          <w:rFonts w:ascii="Palatino Linotype" w:eastAsia="Palatino Linotype" w:hAnsi="Palatino Linotype" w:cs="Palatino Linotype"/>
          <w:color w:val="000000"/>
        </w:rPr>
        <w:t xml:space="preserve"> no limitativa es el </w:t>
      </w:r>
      <w:r>
        <w:rPr>
          <w:rFonts w:ascii="Palatino Linotype" w:eastAsia="Palatino Linotype" w:hAnsi="Palatino Linotype" w:cs="Palatino Linotype"/>
          <w:b/>
          <w:bCs/>
          <w:color w:val="000000"/>
        </w:rPr>
        <w:t>Registro Municipal de Unidades Económicas,</w:t>
      </w:r>
      <w:r>
        <w:rPr>
          <w:rFonts w:ascii="Palatino Linotype" w:eastAsia="Palatino Linotype" w:hAnsi="Palatino Linotype" w:cs="Palatino Linotype"/>
          <w:color w:val="000000"/>
        </w:rPr>
        <w:t xml:space="preserve"> y en caso de que el Sujeto Obligado cuente con unidades económicas con el giro comercial solicitado, el particular podrá conocer </w:t>
      </w:r>
      <w:r>
        <w:rPr>
          <w:rFonts w:ascii="Palatino Linotype" w:eastAsia="Palatino Linotype" w:hAnsi="Palatino Linotype" w:cs="Palatino Linotype"/>
          <w:b/>
          <w:bCs/>
          <w:color w:val="000000"/>
        </w:rPr>
        <w:t>la razón social</w:t>
      </w:r>
      <w:r>
        <w:rPr>
          <w:rFonts w:ascii="Palatino Linotype" w:eastAsia="Palatino Linotype" w:hAnsi="Palatino Linotype" w:cs="Palatino Linotype"/>
          <w:color w:val="000000"/>
        </w:rPr>
        <w:t xml:space="preserve"> y el</w:t>
      </w:r>
      <w:r>
        <w:rPr>
          <w:rFonts w:ascii="Palatino Linotype" w:eastAsia="Palatino Linotype" w:hAnsi="Palatino Linotype" w:cs="Palatino Linotype"/>
          <w:b/>
          <w:bCs/>
          <w:color w:val="000000"/>
        </w:rPr>
        <w:t xml:space="preserve"> domicilio;</w:t>
      </w:r>
      <w:r>
        <w:rPr>
          <w:rFonts w:ascii="Palatino Linotype" w:eastAsia="Palatino Linotype" w:hAnsi="Palatino Linotype" w:cs="Palatino Linotype"/>
          <w:color w:val="000000"/>
        </w:rPr>
        <w:t xml:space="preserve"> no obstante, no se advierte obligación normativa para que dicho registro contenga el </w:t>
      </w:r>
      <w:r>
        <w:rPr>
          <w:rFonts w:ascii="Palatino Linotype" w:eastAsia="Palatino Linotype" w:hAnsi="Palatino Linotype" w:cs="Palatino Linotype"/>
          <w:b/>
          <w:bCs/>
          <w:color w:val="000000"/>
        </w:rPr>
        <w:t>número telefónico y correo electrónico.</w:t>
      </w:r>
    </w:p>
    <w:p w:rsidR="00755A38" w:rsidRDefault="00755A38">
      <w:pPr>
        <w:spacing w:line="360" w:lineRule="auto"/>
        <w:ind w:right="-1071"/>
        <w:jc w:val="both"/>
        <w:rPr>
          <w:rFonts w:ascii="Palatino Linotype" w:eastAsia="Palatino Linotype" w:hAnsi="Palatino Linotype" w:cs="Palatino Linotype"/>
          <w:color w:val="000000"/>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Bajo</w:t>
      </w:r>
      <w:r>
        <w:rPr>
          <w:rFonts w:ascii="Palatino Linotype" w:eastAsia="Palatino Linotype" w:hAnsi="Palatino Linotype" w:cs="Palatino Linotype"/>
          <w:color w:val="000000"/>
        </w:rPr>
        <w:t xml:space="preserve"> ese </w:t>
      </w:r>
      <w:r>
        <w:rPr>
          <w:rFonts w:ascii="Palatino Linotype" w:eastAsia="Palatino Linotype" w:hAnsi="Palatino Linotype" w:cs="Palatino Linotype"/>
        </w:rPr>
        <w:t>contexto</w:t>
      </w:r>
      <w:r>
        <w:rPr>
          <w:rFonts w:ascii="Palatino Linotype" w:eastAsia="Palatino Linotype" w:hAnsi="Palatino Linotype" w:cs="Palatino Linotype"/>
          <w:color w:val="000000"/>
        </w:rPr>
        <w:t xml:space="preserve">, se considera que, el Sujeto Obligado deberá hacer una </w:t>
      </w:r>
      <w:r>
        <w:rPr>
          <w:rFonts w:ascii="Palatino Linotype" w:eastAsia="Palatino Linotype" w:hAnsi="Palatino Linotype" w:cs="Palatino Linotype"/>
          <w:b/>
          <w:bCs/>
          <w:color w:val="000000"/>
        </w:rPr>
        <w:t>nueva búsqueda exhaustiva</w:t>
      </w:r>
      <w:r>
        <w:rPr>
          <w:rFonts w:ascii="Palatino Linotype" w:eastAsia="Palatino Linotype" w:hAnsi="Palatino Linotype" w:cs="Palatino Linotype"/>
          <w:color w:val="000000"/>
        </w:rPr>
        <w:t xml:space="preserve"> de la información en las unidades administrativas competentes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pues se presume que la información debe existir ya que se refiere a facultades, competencias y </w:t>
      </w:r>
      <w:r>
        <w:rPr>
          <w:rFonts w:ascii="Palatino Linotype" w:eastAsia="Palatino Linotype" w:hAnsi="Palatino Linotype" w:cs="Palatino Linotype"/>
          <w:color w:val="000000"/>
        </w:rPr>
        <w:lastRenderedPageBreak/>
        <w:t xml:space="preserve">funciones que los ordenamientos jurídicos aplicables otorgan al Sujeto Obligado; por lo tanto </w:t>
      </w:r>
      <w:r>
        <w:rPr>
          <w:rFonts w:ascii="Palatino Linotype" w:eastAsia="Palatino Linotype" w:hAnsi="Palatino Linotype" w:cs="Palatino Linotype"/>
          <w:b/>
          <w:bCs/>
          <w:color w:val="000000"/>
        </w:rPr>
        <w:t>deberá realizar una nueva búsqueda exhaustiva y razonable con la finalidad de entregar la información que resulta de interés para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con la finalidad de dar certeza que se realizó una correcta búsqueda de la información requerida.</w:t>
      </w:r>
    </w:p>
    <w:p w:rsidR="00755A38" w:rsidRDefault="00755A38">
      <w:pPr>
        <w:spacing w:line="360" w:lineRule="auto"/>
        <w:ind w:right="-1071"/>
        <w:jc w:val="both"/>
        <w:rPr>
          <w:rFonts w:ascii="Palatino Linotype" w:eastAsia="Palatino Linotype" w:hAnsi="Palatino Linotype" w:cs="Palatino Linotype"/>
          <w:color w:val="000000"/>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Resultando aplicable el Criterio orientador 02/17 emitido por el Pleno del Instituto Nacional de Transparencia y Acceso a la Información y Protección de Datos Personales, de título y texto siguientes:</w:t>
      </w:r>
    </w:p>
    <w:p w:rsidR="00755A38" w:rsidRDefault="00CB6F36">
      <w:pPr>
        <w:pBdr>
          <w:top w:val="nil"/>
          <w:left w:val="nil"/>
          <w:bottom w:val="nil"/>
          <w:right w:val="nil"/>
          <w:between w:val="nil"/>
        </w:pBdr>
        <w:ind w:left="851"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 “Congruencia y exhaustividad. Sus alcances para garantizar el derecho de acceso a la información. </w:t>
      </w:r>
      <w:r>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Pr>
          <w:rFonts w:ascii="Palatino Linotype" w:eastAsia="Palatino Linotype" w:hAnsi="Palatino Linotype" w:cs="Palatino Linotype"/>
          <w:b/>
          <w:bCs/>
          <w:i/>
          <w:iCs/>
        </w:rPr>
        <w:t>la congruencia implica que exista concordancia entre el requerimiento formulado por el particular y la respuesta proporcionada por el sujeto obligado</w:t>
      </w:r>
      <w:r>
        <w:rPr>
          <w:rFonts w:ascii="Palatino Linotype" w:eastAsia="Palatino Linotype" w:hAnsi="Palatino Linotype" w:cs="Palatino Linotype"/>
          <w:i/>
          <w:iCs/>
        </w:rPr>
        <w:t xml:space="preserve">; mientras que </w:t>
      </w:r>
      <w:r>
        <w:rPr>
          <w:rFonts w:ascii="Palatino Linotype" w:eastAsia="Palatino Linotype" w:hAnsi="Palatino Linotype" w:cs="Palatino Linotype"/>
          <w:b/>
          <w:bCs/>
          <w:i/>
          <w:iCs/>
        </w:rPr>
        <w:t>la exhaustividad significa que dicha respuesta se refiera expresamente a cada uno de los puntos solicitados</w:t>
      </w:r>
      <w:r>
        <w:rPr>
          <w:rFonts w:ascii="Palatino Linotype" w:eastAsia="Palatino Linotype" w:hAnsi="Palatino Linotype" w:cs="Palatino Linotype"/>
          <w:i/>
          <w:iCs/>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755A38" w:rsidRDefault="00755A38">
      <w:pPr>
        <w:pBdr>
          <w:top w:val="nil"/>
          <w:left w:val="nil"/>
          <w:bottom w:val="nil"/>
          <w:right w:val="nil"/>
          <w:between w:val="nil"/>
        </w:pBdr>
        <w:ind w:right="-1071"/>
        <w:jc w:val="both"/>
        <w:rPr>
          <w:rFonts w:ascii="Palatino Linotype" w:eastAsia="Palatino Linotype" w:hAnsi="Palatino Linotype" w:cs="Palatino Linotype"/>
          <w:i/>
          <w:iCs/>
        </w:rPr>
      </w:pPr>
    </w:p>
    <w:p w:rsidR="00755A38" w:rsidRDefault="00755A38">
      <w:pPr>
        <w:pBdr>
          <w:top w:val="nil"/>
          <w:left w:val="nil"/>
          <w:bottom w:val="nil"/>
          <w:right w:val="nil"/>
          <w:between w:val="nil"/>
        </w:pBdr>
        <w:ind w:right="-1071"/>
        <w:jc w:val="both"/>
        <w:rPr>
          <w:rFonts w:ascii="Palatino Linotype" w:eastAsia="Palatino Linotype" w:hAnsi="Palatino Linotype" w:cs="Palatino Linotype"/>
          <w:i/>
          <w:iCs/>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No </w:t>
      </w:r>
      <w:r>
        <w:rPr>
          <w:rFonts w:ascii="Palatino Linotype" w:eastAsia="Palatino Linotype" w:hAnsi="Palatino Linotype" w:cs="Palatino Linotype"/>
          <w:color w:val="000000"/>
        </w:rPr>
        <w:t>obstante</w:t>
      </w:r>
      <w:r>
        <w:rPr>
          <w:rFonts w:ascii="Palatino Linotype" w:eastAsia="Palatino Linotype" w:hAnsi="Palatino Linotype" w:cs="Palatino Linotype"/>
        </w:rPr>
        <w:t>, es de recordar que lo establecido en el artículo 12 de la Ley de Transparencia Local, mismo que precisa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 efectuar cálculos o practicar investigaciones”.</w:t>
      </w:r>
    </w:p>
    <w:p w:rsidR="00755A38" w:rsidRDefault="00755A38">
      <w:pPr>
        <w:spacing w:line="360" w:lineRule="auto"/>
        <w:ind w:right="-1071"/>
        <w:jc w:val="both"/>
        <w:rPr>
          <w:rFonts w:ascii="Palatino Linotype" w:eastAsia="Palatino Linotype" w:hAnsi="Palatino Linotype" w:cs="Palatino Linotype"/>
          <w:b/>
          <w:bCs/>
          <w:color w:val="000000"/>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 xml:space="preserve">Por lo que los Sujetos Obligados sólo proporcionarán la información pública que se les requiera y que obre en sus archivos y en el estado en que ésta se encuentre, </w:t>
      </w:r>
      <w:r>
        <w:rPr>
          <w:rFonts w:ascii="Palatino Linotype" w:eastAsia="Palatino Linotype" w:hAnsi="Palatino Linotype" w:cs="Palatino Linotype"/>
          <w:color w:val="000000"/>
        </w:rPr>
        <w:t xml:space="preserve">los sujetos obligados no se encuentran obligados a generar documentos </w:t>
      </w:r>
      <w:r>
        <w:rPr>
          <w:rFonts w:ascii="Palatino Linotype" w:eastAsia="Palatino Linotype" w:hAnsi="Palatino Linotype" w:cs="Palatino Linotype"/>
          <w:b/>
          <w:bCs/>
          <w:i/>
          <w:iCs/>
          <w:color w:val="000000"/>
        </w:rPr>
        <w:t>ad hoc</w:t>
      </w:r>
      <w:r>
        <w:rPr>
          <w:rFonts w:ascii="Palatino Linotype" w:eastAsia="Palatino Linotype" w:hAnsi="Palatino Linotype" w:cs="Palatino Linotype"/>
          <w:color w:val="000000"/>
        </w:rPr>
        <w:t xml:space="preserve"> para atender las solicitudes de información de los particulares conforme a sus intereses particulares de los solicitantes. Como apoyo a lo anterior, es aplicable por analogía el </w:t>
      </w:r>
      <w:r>
        <w:rPr>
          <w:rFonts w:ascii="Palatino Linotype" w:eastAsia="Palatino Linotype" w:hAnsi="Palatino Linotype" w:cs="Palatino Linotype"/>
          <w:b/>
          <w:bCs/>
          <w:color w:val="000000"/>
        </w:rPr>
        <w:t>Criterio 03/17</w:t>
      </w:r>
      <w:r>
        <w:rPr>
          <w:rFonts w:ascii="Palatino Linotype" w:eastAsia="Palatino Linotype" w:hAnsi="Palatino Linotype" w:cs="Palatino Linotype"/>
          <w:color w:val="000000"/>
        </w:rPr>
        <w:t>, emitido por el entonces Pleno del Instituto Nacional de Transparencia, Acceso a la Información y Protección de Datos Personales (INAI), que a la letra dice:</w:t>
      </w:r>
    </w:p>
    <w:p w:rsidR="00755A38" w:rsidRDefault="00CB6F36">
      <w:pPr>
        <w:pBdr>
          <w:top w:val="nil"/>
          <w:left w:val="nil"/>
          <w:bottom w:val="nil"/>
          <w:right w:val="nil"/>
          <w:between w:val="nil"/>
        </w:pBdr>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“No existe obligación de elaborar documentos ad hoc para atender las solicitudes de acceso a la información. </w:t>
      </w:r>
      <w:r>
        <w:rPr>
          <w:rFonts w:ascii="Palatino Linotype" w:eastAsia="Palatino Linotype" w:hAnsi="Palatino Linotype" w:cs="Palatino Linotype"/>
          <w:i/>
          <w:iCs/>
          <w:color w:val="000000"/>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755A38" w:rsidRDefault="00755A38">
      <w:pPr>
        <w:spacing w:line="360" w:lineRule="auto"/>
        <w:ind w:right="-1071"/>
        <w:jc w:val="both"/>
        <w:rPr>
          <w:rFonts w:ascii="Palatino Linotype" w:eastAsia="Palatino Linotype" w:hAnsi="Palatino Linotype" w:cs="Palatino Linotype"/>
          <w:b/>
          <w:bCs/>
          <w:color w:val="000000"/>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b/>
          <w:bCs/>
          <w:color w:val="000000"/>
        </w:rPr>
      </w:pPr>
      <w:bookmarkStart w:id="5" w:name="_heading=h.4fe79gdaoxsi" w:colFirst="0" w:colLast="0"/>
      <w:bookmarkEnd w:id="5"/>
      <w:r>
        <w:rPr>
          <w:rFonts w:ascii="Palatino Linotype" w:eastAsia="Palatino Linotype" w:hAnsi="Palatino Linotype" w:cs="Palatino Linotype"/>
          <w:color w:val="000000"/>
        </w:rPr>
        <w:t xml:space="preserve">Por lo anterior, este Organismo Garante, con la finalidad de garantizar el derecho humano de acceso a la información de la parte Recurrente, y a fin de reparar el agravio causado ante la omisión en que incurriera el Sujeto Obligado, ya que, como se señaló, su respuesta careció del principio de exhaustividad, por las consideraciones ya expuestas, se estima procedente </w:t>
      </w:r>
      <w:r>
        <w:rPr>
          <w:rFonts w:ascii="Palatino Linotype" w:eastAsia="Palatino Linotype" w:hAnsi="Palatino Linotype" w:cs="Palatino Linotype"/>
          <w:b/>
          <w:bCs/>
          <w:color w:val="000000"/>
        </w:rPr>
        <w:t>ORDENAR</w:t>
      </w:r>
      <w:r>
        <w:rPr>
          <w:rFonts w:ascii="Palatino Linotype" w:eastAsia="Palatino Linotype" w:hAnsi="Palatino Linotype" w:cs="Palatino Linotype"/>
          <w:color w:val="000000"/>
        </w:rPr>
        <w:t xml:space="preserve"> que, previa búsqueda exhaustiva y razonable, de ser procedente en versión pública, se haga entrega el </w:t>
      </w:r>
      <w:r>
        <w:rPr>
          <w:rFonts w:ascii="Palatino Linotype" w:eastAsia="Palatino Linotype" w:hAnsi="Palatino Linotype" w:cs="Palatino Linotype"/>
          <w:b/>
          <w:bCs/>
          <w:color w:val="000000"/>
        </w:rPr>
        <w:t xml:space="preserve">documento en el que conste o se advierta, al mayor grado de desagregación posible, el Padrón de las empresas que se dediquen a la fabricación de productos metálicos, en donde se informe la razón social, domicilio, número telefónico y correo electrónico, al 14 de noviembre de 2025. </w:t>
      </w:r>
      <w:r>
        <w:rPr>
          <w:rFonts w:ascii="Palatino Linotype" w:eastAsia="Palatino Linotype" w:hAnsi="Palatino Linotype" w:cs="Palatino Linotype"/>
        </w:rPr>
        <w:t xml:space="preserve">Para el caso de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luego de la búsqueda exhaustiva y razonable de la información ordenada, no se haya </w:t>
      </w:r>
      <w:r>
        <w:rPr>
          <w:rFonts w:ascii="Palatino Linotype" w:eastAsia="Palatino Linotype" w:hAnsi="Palatino Linotype" w:cs="Palatino Linotype"/>
        </w:rPr>
        <w:lastRenderedPageBreak/>
        <w:t>generado, poseído o administrado, por no haber empresas identificadas con este giro comercial, bastará que lo haga del conocimiento del RECURRENTE al momento de dar cumplimiento a la presente Resolución, en términos del artículo 19, párrafo segundo, de la Ley de Transparencia y Acceso a la Información Pública del Estado de México y Municipios.</w:t>
      </w:r>
    </w:p>
    <w:p w:rsidR="00755A38" w:rsidRDefault="00755A38">
      <w:pPr>
        <w:spacing w:line="360" w:lineRule="auto"/>
        <w:ind w:right="-1071"/>
        <w:jc w:val="both"/>
        <w:rPr>
          <w:rFonts w:ascii="Palatino Linotype" w:eastAsia="Palatino Linotype" w:hAnsi="Palatino Linotype" w:cs="Palatino Linotype"/>
        </w:rPr>
      </w:pPr>
    </w:p>
    <w:p w:rsidR="00755A38" w:rsidRDefault="00CB6F36">
      <w:pPr>
        <w:numPr>
          <w:ilvl w:val="0"/>
          <w:numId w:val="2"/>
        </w:numPr>
        <w:spacing w:line="360" w:lineRule="auto"/>
        <w:ind w:left="0" w:right="-1071" w:firstLine="0"/>
        <w:jc w:val="both"/>
        <w:rPr>
          <w:color w:val="000000"/>
        </w:rPr>
      </w:pPr>
      <w:r>
        <w:rPr>
          <w:rFonts w:ascii="Palatino Linotype" w:eastAsia="Palatino Linotype" w:hAnsi="Palatino Linotype" w:cs="Palatino Linotype"/>
          <w:color w:val="000000"/>
        </w:rPr>
        <w:t xml:space="preserve">Por otro lado, no pasa desapercibido para este Órgano Garante, que la información que se ordena entregar puede contener información susceptible de clasificarse; para lo cual,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atender al siguiente Considerando.</w:t>
      </w:r>
    </w:p>
    <w:p w:rsidR="00755A38" w:rsidRDefault="00755A38">
      <w:pPr>
        <w:keepNext/>
        <w:keepLines/>
        <w:spacing w:after="160" w:line="360" w:lineRule="auto"/>
        <w:ind w:right="-1071"/>
        <w:rPr>
          <w:rFonts w:ascii="Palatino Linotype" w:eastAsia="Palatino Linotype" w:hAnsi="Palatino Linotype" w:cs="Palatino Linotype"/>
          <w:b/>
          <w:bCs/>
          <w:color w:val="000000"/>
        </w:rPr>
      </w:pPr>
    </w:p>
    <w:p w:rsidR="00755A38" w:rsidRDefault="00CB6F36">
      <w:pPr>
        <w:keepNext/>
        <w:keepLines/>
        <w:spacing w:after="160" w:line="360" w:lineRule="auto"/>
        <w:ind w:right="-107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755A38" w:rsidRDefault="00CB6F36">
      <w:pPr>
        <w:keepNext/>
        <w:keepLines/>
        <w:numPr>
          <w:ilvl w:val="0"/>
          <w:numId w:val="7"/>
        </w:numPr>
        <w:tabs>
          <w:tab w:val="left" w:pos="284"/>
        </w:tabs>
        <w:spacing w:after="160" w:line="360" w:lineRule="auto"/>
        <w:ind w:right="-107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755A38" w:rsidRDefault="00CB6F36">
      <w:pPr>
        <w:numPr>
          <w:ilvl w:val="0"/>
          <w:numId w:val="2"/>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Debido</w:t>
      </w:r>
      <w:r>
        <w:rPr>
          <w:rFonts w:ascii="Palatino Linotype" w:eastAsia="Palatino Linotype" w:hAnsi="Palatino Linotype" w:cs="Palatino Linotype"/>
        </w:rPr>
        <w:t xml:space="preserve"> a la información solicitada por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deberá de hacer la adecuada versión pública, protegiendo los datos que no son susceptibles de ser proporcionados. </w:t>
      </w: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755A38" w:rsidRDefault="00755A38">
      <w:pPr>
        <w:tabs>
          <w:tab w:val="left" w:pos="284"/>
        </w:tabs>
        <w:spacing w:after="160" w:line="360" w:lineRule="auto"/>
        <w:ind w:right="-1071"/>
        <w:jc w:val="both"/>
        <w:rPr>
          <w:rFonts w:ascii="Palatino Linotype" w:eastAsia="Palatino Linotype" w:hAnsi="Palatino Linotype" w:cs="Palatino Linotype"/>
          <w:color w:val="000000"/>
        </w:rPr>
      </w:pPr>
    </w:p>
    <w:tbl>
      <w:tblPr>
        <w:tblStyle w:val="a"/>
        <w:tblW w:w="1006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14"/>
        <w:gridCol w:w="7546"/>
      </w:tblGrid>
      <w:tr w:rsidR="00755A38" w:rsidTr="00001EB4">
        <w:tc>
          <w:tcPr>
            <w:tcW w:w="2514" w:type="dxa"/>
          </w:tcPr>
          <w:p w:rsidR="00755A38" w:rsidRDefault="00CB6F36" w:rsidP="00001EB4">
            <w:pPr>
              <w:spacing w:line="360" w:lineRule="auto"/>
              <w:ind w:right="-6"/>
              <w:rPr>
                <w:rFonts w:ascii="Palatino Linotype" w:eastAsia="Palatino Linotype" w:hAnsi="Palatino Linotype" w:cs="Palatino Linotype"/>
                <w:b/>
                <w:bCs/>
              </w:rPr>
            </w:pPr>
            <w:r>
              <w:rPr>
                <w:rFonts w:ascii="Palatino Linotype" w:eastAsia="Palatino Linotype" w:hAnsi="Palatino Linotype" w:cs="Palatino Linotype"/>
                <w:b/>
                <w:bCs/>
              </w:rPr>
              <w:t>a) Requisitos previos.</w:t>
            </w:r>
          </w:p>
        </w:tc>
        <w:tc>
          <w:tcPr>
            <w:tcW w:w="7546" w:type="dxa"/>
          </w:tcPr>
          <w:p w:rsidR="00755A38" w:rsidRDefault="00CB6F36">
            <w:pPr>
              <w:tabs>
                <w:tab w:val="left" w:pos="284"/>
              </w:tabs>
              <w:spacing w:line="276"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w:t>
            </w:r>
            <w:r>
              <w:rPr>
                <w:rFonts w:ascii="Palatino Linotype" w:eastAsia="Palatino Linotype" w:hAnsi="Palatino Linotype" w:cs="Palatino Linotype"/>
                <w:color w:val="000000"/>
              </w:rPr>
              <w:lastRenderedPageBreak/>
              <w:t xml:space="preserve">clasificación, es deber de los titulares de las áreas proponer su clasificación y no del Comité de Transparencia. </w:t>
            </w:r>
          </w:p>
          <w:p w:rsidR="00755A38" w:rsidRDefault="00CB6F36">
            <w:pPr>
              <w:tabs>
                <w:tab w:val="left" w:pos="284"/>
              </w:tabs>
              <w:spacing w:line="276"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755A38" w:rsidRDefault="00CB6F36">
            <w:pPr>
              <w:tabs>
                <w:tab w:val="left" w:pos="284"/>
              </w:tabs>
              <w:spacing w:line="276"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se debe señalar el procedimiento, de los tres que </w:t>
            </w:r>
            <w:r>
              <w:rPr>
                <w:rFonts w:ascii="Palatino Linotype" w:eastAsia="Palatino Linotype" w:hAnsi="Palatino Linotype" w:cs="Palatino Linotype"/>
              </w:rPr>
              <w:t>establece</w:t>
            </w:r>
            <w:r>
              <w:rPr>
                <w:rFonts w:ascii="Palatino Linotype" w:eastAsia="Palatino Linotype" w:hAnsi="Palatino Linotype" w:cs="Palatino Linotype"/>
                <w:color w:val="000000"/>
              </w:rPr>
              <w:t xml:space="preserve"> el artículo 132 de la Ley Estatal.</w:t>
            </w:r>
          </w:p>
          <w:p w:rsidR="00755A38" w:rsidRDefault="00CB6F36">
            <w:pPr>
              <w:tabs>
                <w:tab w:val="left" w:pos="284"/>
              </w:tabs>
              <w:spacing w:line="276" w:lineRule="auto"/>
              <w:ind w:right="4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755A38" w:rsidTr="00001EB4">
        <w:tc>
          <w:tcPr>
            <w:tcW w:w="2514" w:type="dxa"/>
            <w:shd w:val="clear" w:color="auto" w:fill="F2F2F2"/>
          </w:tcPr>
          <w:p w:rsidR="00755A38" w:rsidRDefault="00CB6F36" w:rsidP="00001EB4">
            <w:pPr>
              <w:spacing w:line="360" w:lineRule="auto"/>
              <w:ind w:right="-6"/>
              <w:rPr>
                <w:rFonts w:ascii="Palatino Linotype" w:eastAsia="Palatino Linotype" w:hAnsi="Palatino Linotype" w:cs="Palatino Linotype"/>
                <w:b/>
                <w:bCs/>
              </w:rPr>
            </w:pPr>
            <w:r>
              <w:rPr>
                <w:rFonts w:ascii="Palatino Linotype" w:eastAsia="Palatino Linotype" w:hAnsi="Palatino Linotype" w:cs="Palatino Linotype"/>
                <w:b/>
                <w:bCs/>
              </w:rPr>
              <w:lastRenderedPageBreak/>
              <w:t>b) Supuestos de clasificación.</w:t>
            </w:r>
          </w:p>
        </w:tc>
        <w:tc>
          <w:tcPr>
            <w:tcW w:w="7546" w:type="dxa"/>
            <w:shd w:val="clear" w:color="auto" w:fill="F2F2F2"/>
          </w:tcPr>
          <w:p w:rsidR="00755A38" w:rsidRDefault="00CB6F36">
            <w:pPr>
              <w:tabs>
                <w:tab w:val="left" w:pos="284"/>
              </w:tabs>
              <w:spacing w:line="276"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755A38" w:rsidRDefault="00CB6F36">
            <w:pPr>
              <w:tabs>
                <w:tab w:val="left" w:pos="284"/>
              </w:tabs>
              <w:spacing w:line="276"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755A38" w:rsidRDefault="00CB6F36">
            <w:pPr>
              <w:tabs>
                <w:tab w:val="left" w:pos="284"/>
              </w:tabs>
              <w:spacing w:line="276" w:lineRule="auto"/>
              <w:ind w:right="4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55A38" w:rsidTr="00001EB4">
        <w:tc>
          <w:tcPr>
            <w:tcW w:w="2514" w:type="dxa"/>
          </w:tcPr>
          <w:p w:rsidR="00755A38" w:rsidRDefault="00CB6F36" w:rsidP="00001EB4">
            <w:pPr>
              <w:spacing w:line="360" w:lineRule="auto"/>
              <w:ind w:right="-6"/>
              <w:rPr>
                <w:rFonts w:ascii="Palatino Linotype" w:eastAsia="Palatino Linotype" w:hAnsi="Palatino Linotype" w:cs="Palatino Linotype"/>
                <w:b/>
                <w:bCs/>
              </w:rPr>
            </w:pPr>
            <w:r>
              <w:rPr>
                <w:rFonts w:ascii="Palatino Linotype" w:eastAsia="Palatino Linotype" w:hAnsi="Palatino Linotype" w:cs="Palatino Linotype"/>
                <w:b/>
                <w:bCs/>
              </w:rPr>
              <w:lastRenderedPageBreak/>
              <w:t>c) Formalidades para emitir el acuerdo de clasificación.</w:t>
            </w:r>
          </w:p>
        </w:tc>
        <w:tc>
          <w:tcPr>
            <w:tcW w:w="7546" w:type="dxa"/>
          </w:tcPr>
          <w:p w:rsidR="00755A38" w:rsidRDefault="00CB6F36">
            <w:pPr>
              <w:tabs>
                <w:tab w:val="left" w:pos="284"/>
              </w:tabs>
              <w:spacing w:line="276"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755A38" w:rsidRDefault="00CB6F36">
            <w:pPr>
              <w:tabs>
                <w:tab w:val="left" w:pos="284"/>
              </w:tabs>
              <w:spacing w:line="276"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755A38" w:rsidRDefault="00CB6F36">
            <w:pPr>
              <w:tabs>
                <w:tab w:val="left" w:pos="284"/>
              </w:tabs>
              <w:spacing w:line="276" w:lineRule="auto"/>
              <w:ind w:right="4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55A38" w:rsidTr="00001EB4">
        <w:tc>
          <w:tcPr>
            <w:tcW w:w="2514" w:type="dxa"/>
            <w:shd w:val="clear" w:color="auto" w:fill="F2F2F2"/>
          </w:tcPr>
          <w:p w:rsidR="00755A38" w:rsidRDefault="00755A38" w:rsidP="00001EB4">
            <w:pPr>
              <w:spacing w:line="360" w:lineRule="auto"/>
              <w:ind w:right="-6"/>
              <w:rPr>
                <w:rFonts w:ascii="Palatino Linotype" w:eastAsia="Palatino Linotype" w:hAnsi="Palatino Linotype" w:cs="Palatino Linotype"/>
                <w:b/>
                <w:bCs/>
              </w:rPr>
            </w:pPr>
          </w:p>
          <w:p w:rsidR="00755A38" w:rsidRDefault="00CB6F36" w:rsidP="00001EB4">
            <w:pPr>
              <w:spacing w:line="360" w:lineRule="auto"/>
              <w:ind w:right="-6"/>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7546" w:type="dxa"/>
            <w:shd w:val="clear" w:color="auto" w:fill="F2F2F2"/>
          </w:tcPr>
          <w:p w:rsidR="00755A38" w:rsidRDefault="00CB6F36">
            <w:pPr>
              <w:tabs>
                <w:tab w:val="left" w:pos="284"/>
              </w:tabs>
              <w:spacing w:line="276"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755A38" w:rsidRDefault="00CB6F36">
            <w:pPr>
              <w:tabs>
                <w:tab w:val="left" w:pos="284"/>
              </w:tabs>
              <w:spacing w:line="276"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755A38" w:rsidRDefault="00CB6F36">
            <w:pPr>
              <w:tabs>
                <w:tab w:val="left" w:pos="284"/>
              </w:tabs>
              <w:spacing w:line="276"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w:t>
            </w:r>
            <w:r>
              <w:rPr>
                <w:rFonts w:ascii="Palatino Linotype" w:eastAsia="Palatino Linotype" w:hAnsi="Palatino Linotype" w:cs="Palatino Linotype"/>
                <w:color w:val="000000"/>
              </w:rPr>
              <w:lastRenderedPageBreak/>
              <w:t>que tomó en cuenta la autoridad para adecuar el hecho a los fundamentos de derecho. De este modo, la persona que se sienta afectada pueda impugnar la decisión, permitiéndole una real y auténtica defensa.</w:t>
            </w:r>
          </w:p>
          <w:p w:rsidR="00755A38" w:rsidRDefault="00CB6F36">
            <w:pPr>
              <w:tabs>
                <w:tab w:val="left" w:pos="284"/>
              </w:tabs>
              <w:spacing w:line="276"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755A38" w:rsidRDefault="00CB6F36">
            <w:pPr>
              <w:tabs>
                <w:tab w:val="left" w:pos="284"/>
              </w:tabs>
              <w:spacing w:line="276"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55A38" w:rsidTr="00001EB4">
        <w:tc>
          <w:tcPr>
            <w:tcW w:w="2514" w:type="dxa"/>
          </w:tcPr>
          <w:p w:rsidR="00755A38" w:rsidRDefault="00CB6F36" w:rsidP="00001EB4">
            <w:pPr>
              <w:spacing w:line="360" w:lineRule="auto"/>
              <w:ind w:right="-6"/>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clasificación de la información como confidencial. </w:t>
            </w:r>
          </w:p>
        </w:tc>
        <w:tc>
          <w:tcPr>
            <w:tcW w:w="7546" w:type="dxa"/>
          </w:tcPr>
          <w:p w:rsidR="00755A38" w:rsidRDefault="00CB6F36">
            <w:pPr>
              <w:tabs>
                <w:tab w:val="left" w:pos="284"/>
              </w:tabs>
              <w:spacing w:line="276"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755A38" w:rsidRDefault="00CB6F36">
            <w:pPr>
              <w:tabs>
                <w:tab w:val="left" w:pos="284"/>
              </w:tabs>
              <w:spacing w:line="276" w:lineRule="auto"/>
              <w:ind w:right="4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755A38" w:rsidRDefault="00CB6F36">
            <w:pPr>
              <w:tabs>
                <w:tab w:val="left" w:pos="284"/>
              </w:tabs>
              <w:spacing w:line="276" w:lineRule="auto"/>
              <w:ind w:right="43"/>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755A38" w:rsidRDefault="00755A38">
      <w:pPr>
        <w:tabs>
          <w:tab w:val="left" w:pos="284"/>
        </w:tabs>
        <w:spacing w:line="360" w:lineRule="auto"/>
        <w:ind w:right="-1071"/>
        <w:rPr>
          <w:rFonts w:ascii="Palatino Linotype" w:eastAsia="Palatino Linotype" w:hAnsi="Palatino Linotype" w:cs="Palatino Linotype"/>
          <w:color w:val="000000"/>
        </w:rPr>
      </w:pPr>
    </w:p>
    <w:p w:rsidR="00755A38" w:rsidRDefault="00755A38">
      <w:pPr>
        <w:ind w:right="-1071"/>
        <w:rPr>
          <w:rFonts w:ascii="Palatino Linotype" w:eastAsia="Palatino Linotype" w:hAnsi="Palatino Linotype" w:cs="Palatino Linotype"/>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w:t>
      </w:r>
      <w:r>
        <w:rPr>
          <w:rFonts w:ascii="Palatino Linotype" w:eastAsia="Palatino Linotype" w:hAnsi="Palatino Linotype" w:cs="Palatino Linotype"/>
          <w:color w:val="000000"/>
        </w:rPr>
        <w:t>sentido</w:t>
      </w:r>
      <w:r>
        <w:rPr>
          <w:rFonts w:ascii="Palatino Linotype" w:eastAsia="Palatino Linotype" w:hAnsi="Palatino Linotype" w:cs="Palatino Linotype"/>
        </w:rPr>
        <w:t xml:space="preserv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de emitir el Acuerdo del Comité de Transparencia, </w:t>
      </w:r>
      <w:r>
        <w:rPr>
          <w:rFonts w:ascii="Palatino Linotype" w:eastAsia="Palatino Linotype" w:hAnsi="Palatino Linotype" w:cs="Palatino Linotype"/>
          <w:color w:val="000000"/>
        </w:rPr>
        <w:t>mediante</w:t>
      </w:r>
      <w:r>
        <w:rPr>
          <w:rFonts w:ascii="Palatino Linotype" w:eastAsia="Palatino Linotype" w:hAnsi="Palatino Linotype" w:cs="Palatino Linotype"/>
        </w:rPr>
        <w:t xml:space="preserve"> el cual de manera fundada y motivada establezca las razones que </w:t>
      </w:r>
      <w:r>
        <w:rPr>
          <w:rFonts w:ascii="Palatino Linotype" w:eastAsia="Palatino Linotype" w:hAnsi="Palatino Linotype" w:cs="Palatino Linotype"/>
        </w:rPr>
        <w:lastRenderedPageBreak/>
        <w:t xml:space="preserve">llevaron al Sujeto </w:t>
      </w:r>
      <w:r>
        <w:rPr>
          <w:rFonts w:ascii="Palatino Linotype" w:eastAsia="Palatino Linotype" w:hAnsi="Palatino Linotype" w:cs="Palatino Linotype"/>
          <w:color w:val="000000"/>
        </w:rPr>
        <w:t>Obligado</w:t>
      </w:r>
      <w:r>
        <w:rPr>
          <w:rFonts w:ascii="Palatino Linotype" w:eastAsia="Palatino Linotype" w:hAnsi="Palatino Linotype" w:cs="Palatino Linotype"/>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755A38" w:rsidRDefault="00755A38">
      <w:pPr>
        <w:tabs>
          <w:tab w:val="left" w:pos="284"/>
        </w:tabs>
        <w:spacing w:line="360" w:lineRule="auto"/>
        <w:ind w:right="-1071"/>
        <w:jc w:val="both"/>
        <w:rPr>
          <w:rFonts w:ascii="Palatino Linotype" w:eastAsia="Palatino Linotype" w:hAnsi="Palatino Linotype" w:cs="Palatino Linotype"/>
          <w:color w:val="000000"/>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Derivado de lo establecido en párrafos anteriores,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incumple con estas formalidades y entrega la información sin proteger los datos personales o testando </w:t>
      </w:r>
      <w:r>
        <w:rPr>
          <w:rFonts w:ascii="Palatino Linotype" w:eastAsia="Palatino Linotype" w:hAnsi="Palatino Linotype" w:cs="Palatino Linotype"/>
          <w:color w:val="000000"/>
        </w:rPr>
        <w:t>datos</w:t>
      </w:r>
      <w:r>
        <w:rPr>
          <w:rFonts w:ascii="Palatino Linotype" w:eastAsia="Palatino Linotype" w:hAnsi="Palatino Linotype" w:cs="Palatino Linotype"/>
        </w:rPr>
        <w:t xml:space="preserve"> considerados como públicos incumple con lo que estipulan las disposiciones legales establecidas, asimismo que si entrega un documento testado sin el debido acuerdo de clasificación.</w:t>
      </w:r>
    </w:p>
    <w:p w:rsidR="00755A38" w:rsidRDefault="00755A38">
      <w:pPr>
        <w:spacing w:line="360" w:lineRule="auto"/>
        <w:ind w:right="-1071"/>
        <w:jc w:val="both"/>
        <w:rPr>
          <w:color w:val="000000"/>
        </w:rPr>
      </w:pPr>
    </w:p>
    <w:p w:rsidR="00755A38" w:rsidRDefault="00CB6F36">
      <w:pPr>
        <w:numPr>
          <w:ilvl w:val="0"/>
          <w:numId w:val="2"/>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w:t>
      </w:r>
      <w:r>
        <w:rPr>
          <w:rFonts w:ascii="Palatino Linotype" w:eastAsia="Palatino Linotype" w:hAnsi="Palatino Linotype" w:cs="Palatino Linotype"/>
          <w:color w:val="000000"/>
        </w:rPr>
        <w:t>expuesto</w:t>
      </w:r>
      <w:r>
        <w:rPr>
          <w:rFonts w:ascii="Palatino Linotype" w:eastAsia="Palatino Linotype" w:hAnsi="Palatino Linotype" w:cs="Palatino Linotype"/>
        </w:rPr>
        <w:t xml:space="preserve">, y con fundamento en lo prescrito en los artículos </w:t>
      </w:r>
      <w:r>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755A38" w:rsidRDefault="00755A38">
      <w:pPr>
        <w:ind w:right="-1071"/>
        <w:rPr>
          <w:rFonts w:ascii="Palatino Linotype" w:eastAsia="Palatino Linotype" w:hAnsi="Palatino Linotype" w:cs="Palatino Linotype"/>
        </w:rPr>
      </w:pPr>
    </w:p>
    <w:p w:rsidR="00755A38" w:rsidRDefault="00CB6F36">
      <w:pPr>
        <w:spacing w:line="360" w:lineRule="auto"/>
        <w:ind w:right="-1071"/>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755A38" w:rsidRDefault="00755A38">
      <w:pPr>
        <w:spacing w:line="360" w:lineRule="auto"/>
        <w:ind w:right="-1071"/>
        <w:jc w:val="center"/>
        <w:rPr>
          <w:rFonts w:ascii="Palatino Linotype" w:eastAsia="Palatino Linotype" w:hAnsi="Palatino Linotype" w:cs="Palatino Linotype"/>
          <w:b/>
          <w:bCs/>
        </w:rPr>
      </w:pPr>
    </w:p>
    <w:p w:rsidR="00755A38" w:rsidRDefault="00CB6F36">
      <w:pPr>
        <w:spacing w:line="360" w:lineRule="auto"/>
        <w:ind w:right="-1071"/>
        <w:jc w:val="both"/>
        <w:rPr>
          <w:rFonts w:ascii="Palatino Linotype" w:eastAsia="Palatino Linotype" w:hAnsi="Palatino Linotype" w:cs="Palatino Linotype"/>
          <w:b/>
          <w:bCs/>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w:t>
      </w:r>
      <w:r>
        <w:rPr>
          <w:rFonts w:ascii="Palatino Linotype" w:eastAsia="Palatino Linotype" w:hAnsi="Palatino Linotype" w:cs="Palatino Linotype"/>
          <w:b/>
          <w:bCs/>
        </w:rPr>
        <w:t>PARCIALMENTE</w:t>
      </w:r>
      <w:r>
        <w:rPr>
          <w:rFonts w:ascii="Palatino Linotype" w:eastAsia="Palatino Linotype" w:hAnsi="Palatino Linotype" w:cs="Palatino Linotype"/>
        </w:rPr>
        <w:t xml:space="preserve"> </w:t>
      </w:r>
      <w:r>
        <w:rPr>
          <w:rFonts w:ascii="Palatino Linotype" w:eastAsia="Palatino Linotype" w:hAnsi="Palatino Linotype" w:cs="Palatino Linotype"/>
          <w:b/>
          <w:bCs/>
        </w:rPr>
        <w:t>FUNDADAS</w:t>
      </w:r>
      <w:r>
        <w:rPr>
          <w:rFonts w:ascii="Palatino Linotype" w:eastAsia="Palatino Linotype" w:hAnsi="Palatino Linotype" w:cs="Palatino Linotype"/>
        </w:rPr>
        <w:t xml:space="preserve"> las razones o motivos de inconformidad hechos valer en el recurso de revisión </w:t>
      </w:r>
      <w:r>
        <w:rPr>
          <w:rFonts w:ascii="Palatino Linotype" w:eastAsia="Palatino Linotype" w:hAnsi="Palatino Linotype" w:cs="Palatino Linotype"/>
          <w:b/>
          <w:bCs/>
          <w:color w:val="000000"/>
        </w:rPr>
        <w:t>13368/INFOEM/IP/RR/2025</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w:t>
      </w:r>
      <w:r>
        <w:rPr>
          <w:rFonts w:ascii="Palatino Linotype" w:eastAsia="Palatino Linotype" w:hAnsi="Palatino Linotype" w:cs="Palatino Linotype"/>
        </w:rPr>
        <w:t>de la presente resolución</w:t>
      </w:r>
      <w:r>
        <w:rPr>
          <w:rFonts w:ascii="Palatino Linotype" w:eastAsia="Palatino Linotype" w:hAnsi="Palatino Linotype" w:cs="Palatino Linotype"/>
          <w:b/>
          <w:bCs/>
        </w:rPr>
        <w:t>.</w:t>
      </w:r>
    </w:p>
    <w:p w:rsidR="00755A38" w:rsidRDefault="00755A38">
      <w:pPr>
        <w:spacing w:line="360" w:lineRule="auto"/>
        <w:ind w:right="-1071"/>
        <w:jc w:val="both"/>
        <w:rPr>
          <w:rFonts w:ascii="Palatino Linotype" w:eastAsia="Palatino Linotype" w:hAnsi="Palatino Linotype" w:cs="Palatino Linotype"/>
          <w:b/>
          <w:bCs/>
        </w:rPr>
      </w:pPr>
    </w:p>
    <w:p w:rsidR="00755A38" w:rsidRDefault="00CB6F36">
      <w:pPr>
        <w:spacing w:line="360" w:lineRule="auto"/>
        <w:ind w:right="-1071"/>
        <w:jc w:val="both"/>
        <w:rPr>
          <w:rFonts w:ascii="Palatino Linotype" w:eastAsia="Palatino Linotype" w:hAnsi="Palatino Linotype" w:cs="Palatino Linotype"/>
        </w:rPr>
      </w:pPr>
      <w:bookmarkStart w:id="6" w:name="_heading=h.1ksv4uv" w:colFirst="0" w:colLast="0"/>
      <w:bookmarkEnd w:id="6"/>
      <w:r>
        <w:rPr>
          <w:rFonts w:ascii="Palatino Linotype" w:eastAsia="Palatino Linotype" w:hAnsi="Palatino Linotype" w:cs="Palatino Linotype"/>
          <w:b/>
          <w:bCs/>
        </w:rPr>
        <w:lastRenderedPageBreak/>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rPr>
        <w:t xml:space="preserve">Ayuntamiento de Calimaya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rPr>
        <w:t xml:space="preserve"> previa búsqueda exhaustiva y razonable, de ser procedente en versión pública, la siguiente información:</w:t>
      </w:r>
    </w:p>
    <w:p w:rsidR="00755A38" w:rsidRDefault="00755A38">
      <w:pPr>
        <w:spacing w:line="360" w:lineRule="auto"/>
        <w:ind w:right="-1071"/>
        <w:jc w:val="both"/>
        <w:rPr>
          <w:rFonts w:ascii="Palatino Linotype" w:eastAsia="Palatino Linotype" w:hAnsi="Palatino Linotype" w:cs="Palatino Linotype"/>
        </w:rPr>
      </w:pPr>
    </w:p>
    <w:p w:rsidR="00755A38" w:rsidRDefault="00CB6F36">
      <w:pPr>
        <w:numPr>
          <w:ilvl w:val="0"/>
          <w:numId w:val="4"/>
        </w:numPr>
        <w:pBdr>
          <w:top w:val="nil"/>
          <w:left w:val="nil"/>
          <w:bottom w:val="nil"/>
          <w:right w:val="nil"/>
          <w:between w:val="nil"/>
        </w:pBdr>
        <w:tabs>
          <w:tab w:val="left" w:pos="8080"/>
        </w:tabs>
        <w:spacing w:line="360" w:lineRule="auto"/>
        <w:ind w:left="993"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El documento en el que conste o se advierta, al mayor grado de desagregación posible, el padrón de las empresas que se dediquen a la fabricación de productos metálicos, que contenga la razón social, domicilio, número telefónico y correo electrónico, al 14 de noviembre de 2025.</w:t>
      </w:r>
    </w:p>
    <w:p w:rsidR="00755A38" w:rsidRDefault="00755A38">
      <w:pPr>
        <w:pBdr>
          <w:top w:val="nil"/>
          <w:left w:val="nil"/>
          <w:bottom w:val="nil"/>
          <w:right w:val="nil"/>
          <w:between w:val="nil"/>
        </w:pBdr>
        <w:tabs>
          <w:tab w:val="left" w:pos="8080"/>
        </w:tabs>
        <w:spacing w:line="360" w:lineRule="auto"/>
        <w:ind w:left="851" w:right="-1071"/>
        <w:jc w:val="both"/>
        <w:rPr>
          <w:rFonts w:ascii="Palatino Linotype" w:eastAsia="Palatino Linotype" w:hAnsi="Palatino Linotype" w:cs="Palatino Linotype"/>
          <w:color w:val="000000"/>
        </w:rPr>
      </w:pPr>
    </w:p>
    <w:p w:rsidR="00755A38" w:rsidRDefault="00CB6F36">
      <w:pPr>
        <w:pBdr>
          <w:top w:val="nil"/>
          <w:left w:val="nil"/>
          <w:bottom w:val="nil"/>
          <w:right w:val="nil"/>
          <w:between w:val="nil"/>
        </w:pBdr>
        <w:tabs>
          <w:tab w:val="left" w:pos="8080"/>
        </w:tabs>
        <w:spacing w:line="360" w:lineRule="auto"/>
        <w:ind w:left="851"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Para efectos de lo anterior, de ser procedente,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color w:val="000000"/>
        </w:rPr>
        <w:t>RECURRENTE.</w:t>
      </w:r>
    </w:p>
    <w:p w:rsidR="00755A38" w:rsidRDefault="00755A38">
      <w:pPr>
        <w:pBdr>
          <w:top w:val="nil"/>
          <w:left w:val="nil"/>
          <w:bottom w:val="nil"/>
          <w:right w:val="nil"/>
          <w:between w:val="nil"/>
        </w:pBdr>
        <w:tabs>
          <w:tab w:val="left" w:pos="8080"/>
        </w:tabs>
        <w:spacing w:line="360" w:lineRule="auto"/>
        <w:ind w:left="851" w:right="-1071"/>
        <w:jc w:val="both"/>
        <w:rPr>
          <w:rFonts w:ascii="Palatino Linotype" w:eastAsia="Palatino Linotype" w:hAnsi="Palatino Linotype" w:cs="Palatino Linotype"/>
          <w:b/>
          <w:bCs/>
          <w:color w:val="000000"/>
        </w:rPr>
      </w:pPr>
    </w:p>
    <w:p w:rsidR="00755A38" w:rsidRDefault="00CB6F36">
      <w:pPr>
        <w:pBdr>
          <w:top w:val="nil"/>
          <w:left w:val="nil"/>
          <w:bottom w:val="nil"/>
          <w:right w:val="nil"/>
          <w:between w:val="nil"/>
        </w:pBdr>
        <w:tabs>
          <w:tab w:val="left" w:pos="8080"/>
        </w:tabs>
        <w:spacing w:line="360" w:lineRule="auto"/>
        <w:ind w:left="851"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Para el caso de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luego de la búsqueda exhaustiva y razonable de la información ordenada, no se localice por no haberse generado, poseído o administrado, al no haber empresas identificadas con este giro comercial, bastará que lo haga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p>
    <w:p w:rsidR="00755A38" w:rsidRDefault="00755A38">
      <w:pPr>
        <w:spacing w:line="360" w:lineRule="auto"/>
        <w:ind w:right="-1071"/>
        <w:jc w:val="both"/>
        <w:rPr>
          <w:rFonts w:ascii="Palatino Linotype" w:eastAsia="Palatino Linotype" w:hAnsi="Palatino Linotype" w:cs="Palatino Linotype"/>
          <w:b/>
          <w:bCs/>
        </w:rPr>
      </w:pPr>
    </w:p>
    <w:p w:rsidR="00755A38" w:rsidRDefault="00CB6F36">
      <w:pPr>
        <w:spacing w:line="360" w:lineRule="auto"/>
        <w:ind w:right="-1071"/>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b/>
          <w:bCs/>
        </w:rPr>
        <w:lastRenderedPageBreak/>
        <w:t xml:space="preserve">TERCERO. </w:t>
      </w:r>
      <w:r>
        <w:rPr>
          <w:rFonts w:ascii="Palatino Linotype" w:eastAsia="Palatino Linotype" w:hAnsi="Palatino Linotype" w:cs="Palatino Linotype"/>
          <w:b/>
          <w:bCs/>
          <w:color w:val="222222"/>
        </w:rPr>
        <w:t>NOTIFÍQUESE</w:t>
      </w:r>
      <w:r>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w:t>
      </w:r>
      <w:r>
        <w:rPr>
          <w:rFonts w:ascii="Palatino Linotype" w:eastAsia="Palatino Linotype" w:hAnsi="Palatino Linotype" w:cs="Palatino Linotype"/>
        </w:rPr>
        <w:t>de</w:t>
      </w:r>
      <w:r>
        <w:rPr>
          <w:rFonts w:ascii="Palatino Linotype" w:eastAsia="Palatino Linotype" w:hAnsi="Palatino Linotype" w:cs="Palatino Linotype"/>
          <w:b/>
          <w:bCs/>
          <w:color w:val="222222"/>
        </w:rPr>
        <w:t xml:space="preserve"> diez días hábiles, </w:t>
      </w:r>
      <w:r>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55A38" w:rsidRDefault="00755A38">
      <w:pPr>
        <w:spacing w:line="360" w:lineRule="auto"/>
        <w:ind w:right="-1071"/>
        <w:jc w:val="both"/>
        <w:rPr>
          <w:rFonts w:ascii="Palatino Linotype" w:eastAsia="Palatino Linotype" w:hAnsi="Palatino Linotype" w:cs="Palatino Linotype"/>
        </w:rPr>
      </w:pPr>
    </w:p>
    <w:p w:rsidR="00755A38" w:rsidRDefault="00CB6F36">
      <w:pPr>
        <w:spacing w:line="360" w:lineRule="auto"/>
        <w:ind w:right="-1071"/>
        <w:jc w:val="both"/>
        <w:rPr>
          <w:rFonts w:ascii="Palatino Linotype" w:eastAsia="Palatino Linotype" w:hAnsi="Palatino Linotype" w:cs="Palatino Linotype"/>
        </w:rPr>
      </w:pPr>
      <w:bookmarkStart w:id="7" w:name="_heading=h.3rdcrjn" w:colFirst="0" w:colLast="0"/>
      <w:bookmarkEnd w:id="7"/>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755A38" w:rsidRDefault="00755A38">
      <w:pPr>
        <w:spacing w:line="360" w:lineRule="auto"/>
        <w:ind w:right="-1071"/>
        <w:jc w:val="both"/>
        <w:rPr>
          <w:rFonts w:ascii="Palatino Linotype" w:eastAsia="Palatino Linotype" w:hAnsi="Palatino Linotype" w:cs="Palatino Linotype"/>
        </w:rPr>
      </w:pPr>
    </w:p>
    <w:p w:rsidR="00755A38" w:rsidRDefault="00CB6F36">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rPr>
        <w:t>Notifíquese</w:t>
      </w:r>
      <w:r>
        <w:rPr>
          <w:rFonts w:ascii="Palatino Linotype" w:eastAsia="Palatino Linotype" w:hAnsi="Palatino Linotype" w:cs="Palatino Linotype"/>
          <w:b/>
          <w:bCs/>
          <w:color w:val="222222"/>
        </w:rPr>
        <w:t xml:space="preserve"> </w:t>
      </w:r>
      <w:r>
        <w:rPr>
          <w:rFonts w:ascii="Palatino Linotype" w:eastAsia="Palatino Linotype" w:hAnsi="Palatino Linotype" w:cs="Palatino Linotype"/>
          <w:color w:val="222222"/>
        </w:rPr>
        <w:t xml:space="preserve">a </w:t>
      </w:r>
      <w:r>
        <w:rPr>
          <w:rFonts w:ascii="Palatino Linotype" w:eastAsia="Palatino Linotype" w:hAnsi="Palatino Linotype" w:cs="Palatino Linotype"/>
          <w:b/>
          <w:bCs/>
          <w:color w:val="222222"/>
        </w:rPr>
        <w:t>EL RECURRENTE</w:t>
      </w:r>
      <w:r>
        <w:rPr>
          <w:rFonts w:ascii="Palatino Linotype" w:eastAsia="Palatino Linotype" w:hAnsi="Palatino Linotype" w:cs="Palatino Linotype"/>
          <w:color w:val="222222"/>
        </w:rPr>
        <w:t xml:space="preserve"> la presente resolución vía SAIMEX</w:t>
      </w:r>
      <w:r>
        <w:rPr>
          <w:rFonts w:ascii="Palatino Linotype" w:eastAsia="Palatino Linotype" w:hAnsi="Palatino Linotype" w:cs="Palatino Linotype"/>
        </w:rPr>
        <w:t>.</w:t>
      </w:r>
    </w:p>
    <w:p w:rsidR="00755A38" w:rsidRDefault="00755A38">
      <w:pPr>
        <w:tabs>
          <w:tab w:val="left" w:pos="8080"/>
        </w:tabs>
        <w:spacing w:line="360" w:lineRule="auto"/>
        <w:ind w:right="-1071"/>
        <w:jc w:val="both"/>
        <w:rPr>
          <w:rFonts w:ascii="Palatino Linotype" w:eastAsia="Palatino Linotype" w:hAnsi="Palatino Linotype" w:cs="Palatino Linotype"/>
        </w:rPr>
      </w:pPr>
    </w:p>
    <w:p w:rsidR="00755A38" w:rsidRDefault="00CB6F36">
      <w:p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color w:val="000000"/>
        </w:rPr>
        <w:t xml:space="preserve">Se hace del conocimiento de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Pr>
          <w:rFonts w:ascii="Palatino Linotype" w:eastAsia="Palatino Linotype" w:hAnsi="Palatino Linotype" w:cs="Palatino Linotype"/>
        </w:rPr>
        <w:t>México</w:t>
      </w:r>
      <w:r>
        <w:rPr>
          <w:rFonts w:ascii="Palatino Linotype" w:eastAsia="Palatino Linotype" w:hAnsi="Palatino Linotype" w:cs="Palatino Linotype"/>
          <w:color w:val="000000"/>
        </w:rPr>
        <w:t xml:space="preserve"> y Municipios, 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Juicio de Amparo en los términos de las leyes aplicables.</w:t>
      </w:r>
    </w:p>
    <w:p w:rsidR="00755A38" w:rsidRDefault="00755A38">
      <w:pPr>
        <w:spacing w:line="360" w:lineRule="auto"/>
        <w:ind w:right="-1071"/>
        <w:jc w:val="both"/>
        <w:rPr>
          <w:rFonts w:ascii="Palatino Linotype" w:eastAsia="Palatino Linotype" w:hAnsi="Palatino Linotype" w:cs="Palatino Linotype"/>
          <w:b/>
          <w:bCs/>
        </w:rPr>
      </w:pPr>
    </w:p>
    <w:p w:rsidR="0072010A" w:rsidRPr="003E2295" w:rsidRDefault="0072010A" w:rsidP="0072010A">
      <w:pPr>
        <w:spacing w:before="240" w:after="240" w:line="360" w:lineRule="auto"/>
        <w:ind w:right="-1085" w:firstLine="1"/>
        <w:jc w:val="both"/>
        <w:rPr>
          <w:rFonts w:ascii="Palatino Linotype" w:hAnsi="Palatino Linotype"/>
        </w:rPr>
      </w:pPr>
      <w:bookmarkStart w:id="8"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w:t>
      </w:r>
      <w:r w:rsidRPr="003E2295">
        <w:rPr>
          <w:rFonts w:ascii="Palatino Linotype" w:hAnsi="Palatino Linotype" w:cs="Palatino Linotype"/>
        </w:rPr>
        <w:lastRenderedPageBreak/>
        <w:t xml:space="preserve">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8"/>
    <w:p w:rsidR="00755A38" w:rsidRDefault="00755A38" w:rsidP="0072010A">
      <w:pPr>
        <w:spacing w:line="360" w:lineRule="auto"/>
        <w:ind w:right="-1085"/>
        <w:jc w:val="both"/>
        <w:rPr>
          <w:rFonts w:ascii="Palatino Linotype" w:eastAsia="Palatino Linotype" w:hAnsi="Palatino Linotype" w:cs="Palatino Linotype"/>
        </w:rPr>
      </w:pPr>
    </w:p>
    <w:p w:rsidR="00755A38" w:rsidRDefault="00755A38" w:rsidP="0072010A">
      <w:pPr>
        <w:ind w:right="-1085"/>
        <w:rPr>
          <w:rFonts w:ascii="Palatino Linotype" w:eastAsia="Palatino Linotype" w:hAnsi="Palatino Linotype" w:cs="Palatino Linotype"/>
        </w:rPr>
      </w:pPr>
    </w:p>
    <w:p w:rsidR="00755A38" w:rsidRDefault="00755A38">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p w:rsidR="00001EB4" w:rsidRDefault="00001EB4">
      <w:pPr>
        <w:tabs>
          <w:tab w:val="left" w:pos="3374"/>
        </w:tabs>
        <w:spacing w:line="360" w:lineRule="auto"/>
        <w:ind w:right="-1071"/>
        <w:rPr>
          <w:rFonts w:ascii="Palatino Linotype" w:eastAsia="Palatino Linotype" w:hAnsi="Palatino Linotype" w:cs="Palatino Linotype"/>
        </w:rPr>
      </w:pPr>
    </w:p>
    <w:sectPr w:rsidR="00001EB4">
      <w:headerReference w:type="even" r:id="rId9"/>
      <w:headerReference w:type="default" r:id="rId10"/>
      <w:footerReference w:type="default" r:id="rId11"/>
      <w:headerReference w:type="first" r:id="rId12"/>
      <w:footerReference w:type="first" r:id="rId13"/>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83E" w:rsidRDefault="002D183E">
      <w:r>
        <w:separator/>
      </w:r>
    </w:p>
  </w:endnote>
  <w:endnote w:type="continuationSeparator" w:id="0">
    <w:p w:rsidR="002D183E" w:rsidRDefault="002D1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B06A609D-EDEB-44D0-8D25-245879AB764A}"/>
  </w:font>
  <w:font w:name="Courier New">
    <w:panose1 w:val="02070309020205020404"/>
    <w:charset w:val="00"/>
    <w:family w:val="modern"/>
    <w:pitch w:val="fixed"/>
    <w:sig w:usb0="E0002E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2" w:fontKey="{E4595A6A-99CF-4E4C-B99F-FFF2A29CBA9E}"/>
    <w:embedBold r:id="rId3" w:fontKey="{F45B3264-98AE-43E3-A680-F240882AD17B}"/>
    <w:embedItalic r:id="rId4" w:fontKey="{9CD3B2B0-4DA2-4DBA-80C0-8DB0693BFCA6}"/>
    <w:embedBoldItalic r:id="rId5" w:fontKey="{52F4CD47-60D6-49B0-A6BE-658E7D017644}"/>
  </w:font>
  <w:font w:name="Calibri">
    <w:panose1 w:val="020F0502020204030204"/>
    <w:charset w:val="00"/>
    <w:family w:val="swiss"/>
    <w:pitch w:val="variable"/>
    <w:sig w:usb0="E4002EFF" w:usb1="C200247B" w:usb2="00000009" w:usb3="00000000" w:csb0="000001FF" w:csb1="00000000"/>
    <w:embedRegular r:id="rId6" w:fontKey="{9A352FEB-690E-43F2-896B-E6BE10DC4DE2}"/>
    <w:embedBold r:id="rId7" w:fontKey="{DE21EA87-9558-4F02-8CC6-291C91BAAE75}"/>
  </w:font>
  <w:font w:name="Georgia">
    <w:panose1 w:val="02040502050405020303"/>
    <w:charset w:val="00"/>
    <w:family w:val="roman"/>
    <w:pitch w:val="variable"/>
    <w:sig w:usb0="00000287" w:usb1="00000000" w:usb2="00000000" w:usb3="00000000" w:csb0="0000009F" w:csb1="00000000"/>
    <w:embedItalic r:id="rId8" w:fontKey="{7348C9B4-0363-4E02-812B-DFB40804E70D}"/>
  </w:font>
  <w:font w:name="Cambria">
    <w:panose1 w:val="02040503050406030204"/>
    <w:charset w:val="00"/>
    <w:family w:val="roman"/>
    <w:pitch w:val="variable"/>
    <w:sig w:usb0="E00006FF" w:usb1="420024FF" w:usb2="02000000" w:usb3="00000000" w:csb0="0000019F" w:csb1="00000000"/>
    <w:embedRegular r:id="rId9" w:fontKey="{1242DC99-563C-40E0-A387-F26CB2E897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A38" w:rsidRDefault="00CB6F3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715511">
      <w:rPr>
        <w:rFonts w:ascii="Palatino Linotype" w:eastAsia="Palatino Linotype" w:hAnsi="Palatino Linotype" w:cs="Palatino Linotype"/>
        <w:noProof/>
        <w:color w:val="000000"/>
        <w:sz w:val="22"/>
        <w:szCs w:val="22"/>
      </w:rPr>
      <w:t>3</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715511">
      <w:rPr>
        <w:rFonts w:ascii="Palatino Linotype" w:eastAsia="Palatino Linotype" w:hAnsi="Palatino Linotype" w:cs="Palatino Linotype"/>
        <w:noProof/>
        <w:color w:val="000000"/>
        <w:sz w:val="22"/>
        <w:szCs w:val="22"/>
      </w:rPr>
      <w:t>28</w:t>
    </w:r>
    <w:r>
      <w:rPr>
        <w:rFonts w:ascii="Palatino Linotype" w:eastAsia="Palatino Linotype" w:hAnsi="Palatino Linotype" w:cs="Palatino Linotype"/>
        <w:color w:val="000000"/>
        <w:sz w:val="22"/>
        <w:szCs w:val="22"/>
      </w:rPr>
      <w:fldChar w:fldCharType="end"/>
    </w:r>
  </w:p>
  <w:p w:rsidR="00755A38" w:rsidRDefault="00755A3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A38" w:rsidRDefault="00CB6F3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715511">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715511">
      <w:rPr>
        <w:rFonts w:ascii="Palatino Linotype" w:eastAsia="Palatino Linotype" w:hAnsi="Palatino Linotype" w:cs="Palatino Linotype"/>
        <w:noProof/>
        <w:color w:val="000000"/>
        <w:sz w:val="22"/>
        <w:szCs w:val="22"/>
      </w:rPr>
      <w:t>28</w:t>
    </w:r>
    <w:r>
      <w:rPr>
        <w:rFonts w:ascii="Palatino Linotype" w:eastAsia="Palatino Linotype" w:hAnsi="Palatino Linotype" w:cs="Palatino Linotype"/>
        <w:color w:val="000000"/>
        <w:sz w:val="22"/>
        <w:szCs w:val="22"/>
      </w:rPr>
      <w:fldChar w:fldCharType="end"/>
    </w:r>
  </w:p>
  <w:p w:rsidR="00755A38" w:rsidRDefault="00755A3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83E" w:rsidRDefault="002D183E">
      <w:r>
        <w:separator/>
      </w:r>
    </w:p>
  </w:footnote>
  <w:footnote w:type="continuationSeparator" w:id="0">
    <w:p w:rsidR="002D183E" w:rsidRDefault="002D1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A38" w:rsidRDefault="002D183E">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890" w:type="dxa"/>
      <w:tblInd w:w="2552" w:type="dxa"/>
      <w:tblLayout w:type="fixed"/>
      <w:tblLook w:val="0400" w:firstRow="0" w:lastRow="0" w:firstColumn="0" w:lastColumn="0" w:noHBand="0" w:noVBand="1"/>
    </w:tblPr>
    <w:tblGrid>
      <w:gridCol w:w="3744"/>
      <w:gridCol w:w="4146"/>
    </w:tblGrid>
    <w:tr w:rsidR="00755A38">
      <w:trPr>
        <w:trHeight w:val="281"/>
      </w:trPr>
      <w:tc>
        <w:tcPr>
          <w:tcW w:w="3744" w:type="dxa"/>
          <w:vAlign w:val="center"/>
        </w:tcPr>
        <w:p w:rsidR="00755A38" w:rsidRDefault="00CB6F36">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46" w:type="dxa"/>
          <w:vAlign w:val="center"/>
        </w:tcPr>
        <w:p w:rsidR="00755A38" w:rsidRDefault="00CB6F36">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13368/INFOEM/IP/RR/2025</w:t>
          </w:r>
        </w:p>
      </w:tc>
    </w:tr>
    <w:tr w:rsidR="00755A38">
      <w:trPr>
        <w:trHeight w:val="342"/>
      </w:trPr>
      <w:tc>
        <w:tcPr>
          <w:tcW w:w="3744" w:type="dxa"/>
        </w:tcPr>
        <w:p w:rsidR="00755A38" w:rsidRDefault="00CB6F36">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46" w:type="dxa"/>
          <w:vAlign w:val="center"/>
        </w:tcPr>
        <w:p w:rsidR="00755A38" w:rsidRDefault="00CB6F36">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Calimaya</w:t>
          </w:r>
        </w:p>
      </w:tc>
    </w:tr>
    <w:tr w:rsidR="00755A38">
      <w:trPr>
        <w:trHeight w:val="342"/>
      </w:trPr>
      <w:tc>
        <w:tcPr>
          <w:tcW w:w="3744" w:type="dxa"/>
          <w:vAlign w:val="center"/>
        </w:tcPr>
        <w:p w:rsidR="00755A38" w:rsidRDefault="00CB6F36">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46" w:type="dxa"/>
          <w:vAlign w:val="center"/>
        </w:tcPr>
        <w:p w:rsidR="00755A38" w:rsidRDefault="00CB6F36">
          <w:pPr>
            <w:pBdr>
              <w:top w:val="nil"/>
              <w:left w:val="nil"/>
              <w:bottom w:val="nil"/>
              <w:right w:val="nil"/>
              <w:between w:val="nil"/>
            </w:pBdr>
            <w:tabs>
              <w:tab w:val="right" w:pos="8838"/>
            </w:tabs>
            <w:ind w:right="-19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755A38" w:rsidRDefault="002D183E">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78.9pt;margin-top:-120.9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890" w:type="dxa"/>
      <w:tblInd w:w="2268" w:type="dxa"/>
      <w:tblLayout w:type="fixed"/>
      <w:tblLook w:val="0400" w:firstRow="0" w:lastRow="0" w:firstColumn="0" w:lastColumn="0" w:noHBand="0" w:noVBand="1"/>
    </w:tblPr>
    <w:tblGrid>
      <w:gridCol w:w="3744"/>
      <w:gridCol w:w="4146"/>
    </w:tblGrid>
    <w:tr w:rsidR="00755A38" w:rsidTr="00001EB4">
      <w:trPr>
        <w:trHeight w:val="281"/>
      </w:trPr>
      <w:tc>
        <w:tcPr>
          <w:tcW w:w="3744" w:type="dxa"/>
          <w:vAlign w:val="center"/>
        </w:tcPr>
        <w:p w:rsidR="00755A38" w:rsidRDefault="00CB6F36">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46" w:type="dxa"/>
          <w:vAlign w:val="center"/>
        </w:tcPr>
        <w:p w:rsidR="00755A38" w:rsidRDefault="00CB6F36">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13368/INFOEM/IP/RR/2025</w:t>
          </w:r>
        </w:p>
      </w:tc>
    </w:tr>
    <w:tr w:rsidR="00755A38" w:rsidTr="00001EB4">
      <w:trPr>
        <w:trHeight w:val="242"/>
      </w:trPr>
      <w:tc>
        <w:tcPr>
          <w:tcW w:w="3744" w:type="dxa"/>
          <w:vAlign w:val="center"/>
        </w:tcPr>
        <w:p w:rsidR="00755A38" w:rsidRDefault="00CB6F36">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146" w:type="dxa"/>
        </w:tcPr>
        <w:p w:rsidR="00755A38" w:rsidRDefault="00715511">
          <w:pPr>
            <w:pBdr>
              <w:top w:val="nil"/>
              <w:left w:val="nil"/>
              <w:bottom w:val="nil"/>
              <w:right w:val="nil"/>
              <w:between w:val="nil"/>
            </w:pBdr>
            <w:tabs>
              <w:tab w:val="right" w:pos="8838"/>
              <w:tab w:val="left" w:pos="521"/>
            </w:tabs>
            <w:ind w:right="-190"/>
            <w:rPr>
              <w:rFonts w:ascii="Palatino Linotype" w:eastAsia="Palatino Linotype" w:hAnsi="Palatino Linotype" w:cs="Palatino Linotype"/>
              <w:color w:val="000000"/>
            </w:rPr>
          </w:pPr>
          <w:r>
            <w:rPr>
              <w:rFonts w:ascii="Palatino Linotype" w:eastAsia="Palatino Linotype" w:hAnsi="Palatino Linotype" w:cs="Palatino Linotype"/>
              <w:color w:val="000000"/>
            </w:rPr>
            <w:t>XXXX</w:t>
          </w:r>
        </w:p>
      </w:tc>
    </w:tr>
    <w:tr w:rsidR="00755A38" w:rsidTr="00001EB4">
      <w:trPr>
        <w:trHeight w:val="342"/>
      </w:trPr>
      <w:tc>
        <w:tcPr>
          <w:tcW w:w="3744" w:type="dxa"/>
        </w:tcPr>
        <w:p w:rsidR="00755A38" w:rsidRDefault="00CB6F36">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46" w:type="dxa"/>
          <w:vAlign w:val="center"/>
        </w:tcPr>
        <w:p w:rsidR="00755A38" w:rsidRDefault="00CB6F36">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Calimaya</w:t>
          </w:r>
        </w:p>
      </w:tc>
    </w:tr>
    <w:tr w:rsidR="00755A38" w:rsidTr="00001EB4">
      <w:trPr>
        <w:trHeight w:val="342"/>
      </w:trPr>
      <w:tc>
        <w:tcPr>
          <w:tcW w:w="3744" w:type="dxa"/>
          <w:vAlign w:val="center"/>
        </w:tcPr>
        <w:p w:rsidR="00755A38" w:rsidRDefault="00CB6F36">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46" w:type="dxa"/>
          <w:vAlign w:val="center"/>
        </w:tcPr>
        <w:p w:rsidR="00755A38" w:rsidRDefault="00CB6F36">
          <w:pPr>
            <w:pBdr>
              <w:top w:val="nil"/>
              <w:left w:val="nil"/>
              <w:bottom w:val="nil"/>
              <w:right w:val="nil"/>
              <w:between w:val="nil"/>
            </w:pBdr>
            <w:tabs>
              <w:tab w:val="right" w:pos="8838"/>
            </w:tabs>
            <w:ind w:right="-19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755A38" w:rsidRDefault="002D183E">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D3C1B"/>
    <w:multiLevelType w:val="multilevel"/>
    <w:tmpl w:val="0B701EB0"/>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 w15:restartNumberingAfterBreak="0">
    <w:nsid w:val="12DB183D"/>
    <w:multiLevelType w:val="multilevel"/>
    <w:tmpl w:val="1D3A80C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1C593603"/>
    <w:multiLevelType w:val="multilevel"/>
    <w:tmpl w:val="A5A65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F87C96"/>
    <w:multiLevelType w:val="multilevel"/>
    <w:tmpl w:val="C3FC3CD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107561"/>
    <w:multiLevelType w:val="multilevel"/>
    <w:tmpl w:val="A4D63FA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5" w15:restartNumberingAfterBreak="0">
    <w:nsid w:val="56A83968"/>
    <w:multiLevelType w:val="multilevel"/>
    <w:tmpl w:val="1E3AFF44"/>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6" w15:restartNumberingAfterBreak="0">
    <w:nsid w:val="77856E83"/>
    <w:multiLevelType w:val="multilevel"/>
    <w:tmpl w:val="B8FA0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AE27375"/>
    <w:multiLevelType w:val="multilevel"/>
    <w:tmpl w:val="4E6040B8"/>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7"/>
  </w:num>
  <w:num w:numId="3">
    <w:abstractNumId w:val="1"/>
  </w:num>
  <w:num w:numId="4">
    <w:abstractNumId w:val="0"/>
  </w:num>
  <w:num w:numId="5">
    <w:abstractNumId w:val="5"/>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A38"/>
    <w:rsid w:val="00001EB4"/>
    <w:rsid w:val="002D183E"/>
    <w:rsid w:val="0045546F"/>
    <w:rsid w:val="00715511"/>
    <w:rsid w:val="0072010A"/>
    <w:rsid w:val="00755A38"/>
    <w:rsid w:val="007F63BE"/>
    <w:rsid w:val="009D53F4"/>
    <w:rsid w:val="00CB6F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78114DA-C798-4C04-B350-1D3D342CB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001EB4"/>
    <w:pPr>
      <w:tabs>
        <w:tab w:val="center" w:pos="4419"/>
        <w:tab w:val="right" w:pos="8838"/>
      </w:tabs>
    </w:pPr>
  </w:style>
  <w:style w:type="character" w:customStyle="1" w:styleId="PiedepginaCar">
    <w:name w:val="Pie de página Car"/>
    <w:basedOn w:val="Fuentedeprrafopredeter"/>
    <w:link w:val="Piedepgina"/>
    <w:uiPriority w:val="99"/>
    <w:rsid w:val="00001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mYtQ14cDXuL89ejpo6yDTx7joA==">CgMxLjAyCGguZ2pkZ3hzMgloLjMwajB6bGwyCWguMWZvYjl0ZTIJaC4xdDNoNXNmMg5oLjRmZTc5Z2Rhb3hzaTIJaC4xa3N2NHV2MgloLjNyZGNyam44AHIhMXhXQV9MY0lpcnpDOHl5a3VxS3BRWkljX3BVdWRCOHBY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28</Pages>
  <Words>7444</Words>
  <Characters>40943</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48291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2026-05-21T23:23:00Z</cp:lastPrinted>
  <dcterms:created xsi:type="dcterms:W3CDTF">2026-05-20T23:04:00Z</dcterms:created>
  <dcterms:modified xsi:type="dcterms:W3CDTF">2026-05-29T00:09:00Z</dcterms:modified>
</cp:coreProperties>
</file>