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6ABC0A" w14:textId="2E785BA7" w:rsidR="00574799" w:rsidRDefault="00F20C16">
      <w:pPr>
        <w:tabs>
          <w:tab w:val="left" w:pos="3465"/>
        </w:tabs>
        <w:spacing w:line="360" w:lineRule="auto"/>
        <w:ind w:right="-787"/>
        <w:jc w:val="both"/>
        <w:rPr>
          <w:rFonts w:ascii="Palatino Linotype" w:eastAsia="Palatino Linotype" w:hAnsi="Palatino Linotype" w:cs="Palatino Linotype"/>
          <w:b/>
          <w:bCs/>
        </w:rPr>
      </w:pPr>
      <w:bookmarkStart w:id="0" w:name="_GoBack"/>
      <w:bookmarkEnd w:id="0"/>
      <w:r>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w:t>
      </w:r>
      <w:r w:rsidR="00767FC4">
        <w:rPr>
          <w:rFonts w:ascii="Palatino Linotype" w:eastAsia="Palatino Linotype" w:hAnsi="Palatino Linotype" w:cs="Palatino Linotype"/>
          <w:b/>
          <w:bCs/>
        </w:rPr>
        <w:t>fecha veintisiete</w:t>
      </w:r>
      <w:r w:rsidR="006D5695">
        <w:rPr>
          <w:rFonts w:ascii="Palatino Linotype" w:eastAsia="Palatino Linotype" w:hAnsi="Palatino Linotype" w:cs="Palatino Linotype"/>
          <w:b/>
          <w:bCs/>
        </w:rPr>
        <w:t xml:space="preserve"> (27)</w:t>
      </w:r>
      <w:r w:rsidR="00767FC4">
        <w:rPr>
          <w:rFonts w:ascii="Palatino Linotype" w:eastAsia="Palatino Linotype" w:hAnsi="Palatino Linotype" w:cs="Palatino Linotype"/>
          <w:b/>
          <w:bCs/>
        </w:rPr>
        <w:t xml:space="preserve"> </w:t>
      </w:r>
      <w:r>
        <w:rPr>
          <w:rFonts w:ascii="Palatino Linotype" w:eastAsia="Palatino Linotype" w:hAnsi="Palatino Linotype" w:cs="Palatino Linotype"/>
          <w:b/>
          <w:bCs/>
        </w:rPr>
        <w:t>de mayo de dos mil veintiséis.</w:t>
      </w:r>
    </w:p>
    <w:p w14:paraId="5ABCAEC3" w14:textId="77777777" w:rsidR="00574799" w:rsidRDefault="00574799">
      <w:pPr>
        <w:tabs>
          <w:tab w:val="left" w:pos="3465"/>
        </w:tabs>
        <w:spacing w:line="360" w:lineRule="auto"/>
        <w:ind w:right="-787"/>
        <w:jc w:val="both"/>
        <w:rPr>
          <w:rFonts w:ascii="Palatino Linotype" w:eastAsia="Palatino Linotype" w:hAnsi="Palatino Linotype" w:cs="Palatino Linotype"/>
        </w:rPr>
      </w:pPr>
    </w:p>
    <w:p w14:paraId="13895498" w14:textId="77777777" w:rsidR="00574799" w:rsidRDefault="00F20C16">
      <w:pPr>
        <w:spacing w:line="360" w:lineRule="auto"/>
        <w:ind w:right="-787"/>
        <w:jc w:val="both"/>
        <w:rPr>
          <w:rFonts w:ascii="Palatino Linotype" w:eastAsia="Palatino Linotype" w:hAnsi="Palatino Linotype" w:cs="Palatino Linotype"/>
        </w:rPr>
      </w:pPr>
      <w:r>
        <w:rPr>
          <w:rFonts w:ascii="Palatino Linotype" w:eastAsia="Palatino Linotype" w:hAnsi="Palatino Linotype" w:cs="Palatino Linotype"/>
          <w:b/>
          <w:bCs/>
        </w:rPr>
        <w:t xml:space="preserve">VISTAS </w:t>
      </w:r>
      <w:r>
        <w:rPr>
          <w:rFonts w:ascii="Palatino Linotype" w:eastAsia="Palatino Linotype" w:hAnsi="Palatino Linotype" w:cs="Palatino Linotype"/>
        </w:rPr>
        <w:t xml:space="preserve">las constancias para resolver </w:t>
      </w:r>
      <w:r>
        <w:rPr>
          <w:rFonts w:ascii="Palatino Linotype" w:eastAsia="Palatino Linotype" w:hAnsi="Palatino Linotype" w:cs="Palatino Linotype"/>
          <w:color w:val="000000"/>
        </w:rPr>
        <w:t xml:space="preserve">el Recurso de Revisión </w:t>
      </w:r>
      <w:r>
        <w:rPr>
          <w:rFonts w:ascii="Palatino Linotype" w:eastAsia="Palatino Linotype" w:hAnsi="Palatino Linotype" w:cs="Palatino Linotype"/>
          <w:b/>
          <w:bCs/>
          <w:color w:val="000000"/>
        </w:rPr>
        <w:t>14118/INFOEM/IP/RR/2025</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promovido de manera anónima,</w:t>
      </w:r>
      <w:r>
        <w:rPr>
          <w:rFonts w:ascii="Palatino Linotype" w:eastAsia="Palatino Linotype" w:hAnsi="Palatino Linotype" w:cs="Palatino Linotype"/>
        </w:rPr>
        <w:t xml:space="preserve"> en lo sucesivo se denominará como </w:t>
      </w:r>
      <w:r>
        <w:rPr>
          <w:rFonts w:ascii="Palatino Linotype" w:eastAsia="Palatino Linotype" w:hAnsi="Palatino Linotype" w:cs="Palatino Linotype"/>
          <w:b/>
          <w:bCs/>
        </w:rPr>
        <w:t>EL RECURRENTE</w:t>
      </w:r>
      <w:r>
        <w:rPr>
          <w:rFonts w:ascii="Palatino Linotype" w:eastAsia="Palatino Linotype" w:hAnsi="Palatino Linotype" w:cs="Palatino Linotype"/>
        </w:rPr>
        <w:t xml:space="preserve">, en contra de la respuesta otorgada a la solicitud de información </w:t>
      </w:r>
      <w:r>
        <w:rPr>
          <w:rFonts w:ascii="Palatino Linotype" w:eastAsia="Palatino Linotype" w:hAnsi="Palatino Linotype" w:cs="Palatino Linotype"/>
          <w:b/>
          <w:bCs/>
        </w:rPr>
        <w:t>01139/TEOLOYU/IP/2025</w:t>
      </w:r>
      <w:r>
        <w:rPr>
          <w:rFonts w:ascii="Palatino Linotype" w:eastAsia="Palatino Linotype" w:hAnsi="Palatino Linotype" w:cs="Palatino Linotype"/>
        </w:rPr>
        <w:t xml:space="preserve">, por parte del </w:t>
      </w:r>
      <w:r>
        <w:rPr>
          <w:rFonts w:ascii="Palatino Linotype" w:eastAsia="Palatino Linotype" w:hAnsi="Palatino Linotype" w:cs="Palatino Linotype"/>
          <w:b/>
          <w:bCs/>
        </w:rPr>
        <w:t xml:space="preserve">Ayuntamiento de Teoloyucan, </w:t>
      </w:r>
      <w:r>
        <w:rPr>
          <w:rFonts w:ascii="Palatino Linotype" w:eastAsia="Palatino Linotype" w:hAnsi="Palatino Linotype" w:cs="Palatino Linotype"/>
        </w:rPr>
        <w:t xml:space="preserve">en adelante el </w:t>
      </w:r>
      <w:r>
        <w:rPr>
          <w:rFonts w:ascii="Palatino Linotype" w:eastAsia="Palatino Linotype" w:hAnsi="Palatino Linotype" w:cs="Palatino Linotype"/>
          <w:b/>
          <w:bCs/>
        </w:rPr>
        <w:t>SUJETO OBLIGADO</w:t>
      </w:r>
      <w:r>
        <w:rPr>
          <w:rFonts w:ascii="Palatino Linotype" w:eastAsia="Palatino Linotype" w:hAnsi="Palatino Linotype" w:cs="Palatino Linotype"/>
        </w:rPr>
        <w:t>, se emite la presente resolución con base en los siguientes:</w:t>
      </w:r>
    </w:p>
    <w:p w14:paraId="167F1853" w14:textId="77777777" w:rsidR="00574799" w:rsidRDefault="00574799">
      <w:pPr>
        <w:spacing w:line="360" w:lineRule="auto"/>
        <w:ind w:right="-787"/>
        <w:jc w:val="both"/>
        <w:rPr>
          <w:rFonts w:ascii="Palatino Linotype" w:eastAsia="Palatino Linotype" w:hAnsi="Palatino Linotype" w:cs="Palatino Linotype"/>
        </w:rPr>
      </w:pPr>
    </w:p>
    <w:p w14:paraId="24D4D81C" w14:textId="77777777" w:rsidR="00574799" w:rsidRDefault="00F20C16">
      <w:pPr>
        <w:pStyle w:val="Ttulo1"/>
        <w:spacing w:before="0" w:line="360" w:lineRule="auto"/>
        <w:ind w:right="-787"/>
        <w:jc w:val="center"/>
        <w:rPr>
          <w:rFonts w:ascii="Palatino Linotype" w:eastAsia="Palatino Linotype" w:hAnsi="Palatino Linotype" w:cs="Palatino Linotype"/>
          <w:b/>
          <w:bCs/>
          <w:color w:val="000000"/>
          <w:sz w:val="24"/>
          <w:szCs w:val="24"/>
        </w:rPr>
      </w:pPr>
      <w:bookmarkStart w:id="1" w:name="_heading=h.gjdgxs" w:colFirst="0" w:colLast="0"/>
      <w:bookmarkEnd w:id="1"/>
      <w:r>
        <w:rPr>
          <w:rFonts w:ascii="Palatino Linotype" w:eastAsia="Palatino Linotype" w:hAnsi="Palatino Linotype" w:cs="Palatino Linotype"/>
          <w:b/>
          <w:bCs/>
          <w:color w:val="000000"/>
          <w:sz w:val="24"/>
          <w:szCs w:val="24"/>
        </w:rPr>
        <w:t>A N T E C E D E N T E S</w:t>
      </w:r>
    </w:p>
    <w:p w14:paraId="1473673E" w14:textId="77777777" w:rsidR="00574799" w:rsidRDefault="00574799">
      <w:pPr>
        <w:pBdr>
          <w:top w:val="nil"/>
          <w:left w:val="nil"/>
          <w:bottom w:val="nil"/>
          <w:right w:val="nil"/>
          <w:between w:val="nil"/>
        </w:pBdr>
        <w:spacing w:line="360" w:lineRule="auto"/>
        <w:ind w:left="720" w:right="-787"/>
        <w:jc w:val="both"/>
        <w:rPr>
          <w:rFonts w:ascii="Palatino Linotype" w:eastAsia="Palatino Linotype" w:hAnsi="Palatino Linotype" w:cs="Palatino Linotype"/>
          <w:b/>
          <w:bCs/>
          <w:color w:val="000000"/>
          <w:u w:val="single"/>
        </w:rPr>
      </w:pPr>
    </w:p>
    <w:p w14:paraId="2A4C6A6D" w14:textId="77777777" w:rsidR="00574799" w:rsidRDefault="00F20C16">
      <w:pPr>
        <w:numPr>
          <w:ilvl w:val="0"/>
          <w:numId w:val="6"/>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veinticinco de noviembre de dos mil veinticinco</w:t>
      </w:r>
      <w:r>
        <w:rPr>
          <w:rFonts w:ascii="Palatino Linotype" w:eastAsia="Palatino Linotype" w:hAnsi="Palatino Linotype" w:cs="Palatino Linotype"/>
          <w:color w:val="000000"/>
        </w:rPr>
        <w:t>,</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se presentó ante el Sujeto Obligado vía Sistema de Acceso a la Información Mexiquense, en adelante SAIMEX, la siguiente </w:t>
      </w:r>
      <w:r>
        <w:rPr>
          <w:rFonts w:ascii="Palatino Linotype" w:eastAsia="Palatino Linotype" w:hAnsi="Palatino Linotype" w:cs="Palatino Linotype"/>
          <w:b/>
          <w:bCs/>
          <w:color w:val="000000"/>
        </w:rPr>
        <w:t>solicitud de información</w:t>
      </w:r>
      <w:r>
        <w:rPr>
          <w:rFonts w:ascii="Palatino Linotype" w:eastAsia="Palatino Linotype" w:hAnsi="Palatino Linotype" w:cs="Palatino Linotype"/>
          <w:color w:val="000000"/>
        </w:rPr>
        <w:t xml:space="preserve"> pública:</w:t>
      </w:r>
    </w:p>
    <w:p w14:paraId="509B9437" w14:textId="77777777" w:rsidR="00574799" w:rsidRDefault="00574799">
      <w:pPr>
        <w:pBdr>
          <w:top w:val="nil"/>
          <w:left w:val="nil"/>
          <w:bottom w:val="nil"/>
          <w:right w:val="nil"/>
          <w:between w:val="nil"/>
        </w:pBdr>
        <w:ind w:right="-788"/>
        <w:jc w:val="both"/>
        <w:rPr>
          <w:rFonts w:ascii="Palatino Linotype" w:eastAsia="Palatino Linotype" w:hAnsi="Palatino Linotype" w:cs="Palatino Linotype"/>
          <w:color w:val="000000"/>
        </w:rPr>
      </w:pPr>
    </w:p>
    <w:p w14:paraId="7B91D9CB" w14:textId="77777777" w:rsidR="00574799" w:rsidRDefault="00F20C16">
      <w:pPr>
        <w:pBdr>
          <w:top w:val="nil"/>
          <w:left w:val="nil"/>
          <w:bottom w:val="nil"/>
          <w:right w:val="nil"/>
          <w:between w:val="nil"/>
        </w:pBdr>
        <w:ind w:left="567" w:right="-78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 “Requiero recibo de nomina de la ultima quincena de octubre y la lista de las personas adscritas a la DIRECCIÓN DEL CAMPO” (Sic)</w:t>
      </w:r>
    </w:p>
    <w:p w14:paraId="255D3C74" w14:textId="77777777" w:rsidR="00574799" w:rsidRDefault="00574799">
      <w:pPr>
        <w:pBdr>
          <w:top w:val="nil"/>
          <w:left w:val="nil"/>
          <w:bottom w:val="nil"/>
          <w:right w:val="nil"/>
          <w:between w:val="nil"/>
        </w:pBdr>
        <w:ind w:right="-787"/>
        <w:jc w:val="both"/>
        <w:rPr>
          <w:rFonts w:ascii="Palatino Linotype" w:eastAsia="Palatino Linotype" w:hAnsi="Palatino Linotype" w:cs="Palatino Linotype"/>
          <w:i/>
          <w:iCs/>
        </w:rPr>
      </w:pPr>
    </w:p>
    <w:p w14:paraId="04E503CA" w14:textId="77777777" w:rsidR="00574799" w:rsidRDefault="00574799">
      <w:pPr>
        <w:pBdr>
          <w:top w:val="nil"/>
          <w:left w:val="nil"/>
          <w:bottom w:val="nil"/>
          <w:right w:val="nil"/>
          <w:between w:val="nil"/>
        </w:pBdr>
        <w:ind w:right="-787"/>
        <w:jc w:val="both"/>
        <w:rPr>
          <w:rFonts w:ascii="Palatino Linotype" w:eastAsia="Palatino Linotype" w:hAnsi="Palatino Linotype" w:cs="Palatino Linotype"/>
          <w:i/>
          <w:iCs/>
        </w:rPr>
      </w:pPr>
    </w:p>
    <w:p w14:paraId="60CF0119" w14:textId="77777777" w:rsidR="00574799" w:rsidRDefault="00F20C16">
      <w:pPr>
        <w:numPr>
          <w:ilvl w:val="0"/>
          <w:numId w:val="3"/>
        </w:numPr>
        <w:pBdr>
          <w:top w:val="nil"/>
          <w:left w:val="nil"/>
          <w:bottom w:val="nil"/>
          <w:right w:val="nil"/>
          <w:between w:val="nil"/>
        </w:pBdr>
        <w:tabs>
          <w:tab w:val="left" w:pos="0"/>
        </w:tabs>
        <w:spacing w:line="360" w:lineRule="auto"/>
        <w:ind w:left="709" w:right="-78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Se eligió como modalidad de entrega de la información: A través del </w:t>
      </w:r>
      <w:r>
        <w:rPr>
          <w:rFonts w:ascii="Palatino Linotype" w:eastAsia="Palatino Linotype" w:hAnsi="Palatino Linotype" w:cs="Palatino Linotype"/>
          <w:b/>
          <w:bCs/>
          <w:color w:val="000000"/>
        </w:rPr>
        <w:t>SAIMEX.</w:t>
      </w:r>
    </w:p>
    <w:p w14:paraId="0069F613" w14:textId="77777777" w:rsidR="00574799" w:rsidRDefault="00574799">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b/>
          <w:bCs/>
          <w:color w:val="000000"/>
        </w:rPr>
      </w:pPr>
    </w:p>
    <w:p w14:paraId="5A60EB62" w14:textId="77777777" w:rsidR="006D5695" w:rsidRDefault="006D5695">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b/>
          <w:bCs/>
          <w:color w:val="000000"/>
        </w:rPr>
      </w:pPr>
    </w:p>
    <w:p w14:paraId="7C11F025" w14:textId="77777777" w:rsidR="00574799" w:rsidRDefault="00F20C16">
      <w:pPr>
        <w:numPr>
          <w:ilvl w:val="0"/>
          <w:numId w:val="6"/>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diez de diciembre de dos mil veinticinco</w:t>
      </w:r>
      <w:r>
        <w:rPr>
          <w:rFonts w:ascii="Palatino Linotype" w:eastAsia="Palatino Linotype" w:hAnsi="Palatino Linotype" w:cs="Palatino Linotype"/>
          <w:color w:val="000000"/>
        </w:rPr>
        <w:t xml:space="preserve">, el Sujeto Obligado emitió </w:t>
      </w:r>
      <w:r>
        <w:rPr>
          <w:rFonts w:ascii="Palatino Linotype" w:eastAsia="Palatino Linotype" w:hAnsi="Palatino Linotype" w:cs="Palatino Linotype"/>
          <w:b/>
          <w:bCs/>
          <w:color w:val="000000"/>
        </w:rPr>
        <w:t>respuesta</w:t>
      </w:r>
      <w:r>
        <w:rPr>
          <w:rFonts w:ascii="Palatino Linotype" w:eastAsia="Palatino Linotype" w:hAnsi="Palatino Linotype" w:cs="Palatino Linotype"/>
          <w:color w:val="000000"/>
        </w:rPr>
        <w:t xml:space="preserve"> en los términos siguientes:</w:t>
      </w:r>
    </w:p>
    <w:p w14:paraId="5736B2F4" w14:textId="77777777" w:rsidR="00574799" w:rsidRDefault="00F20C16">
      <w:pPr>
        <w:pBdr>
          <w:top w:val="nil"/>
          <w:left w:val="nil"/>
          <w:bottom w:val="nil"/>
          <w:right w:val="nil"/>
          <w:between w:val="nil"/>
        </w:pBdr>
        <w:ind w:left="567" w:right="-787"/>
        <w:jc w:val="right"/>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Teoloyucan, México a 10 de Diciembre de 2025</w:t>
      </w:r>
    </w:p>
    <w:p w14:paraId="687C1813" w14:textId="77777777" w:rsidR="00574799" w:rsidRDefault="00F20C16">
      <w:pPr>
        <w:pBdr>
          <w:top w:val="nil"/>
          <w:left w:val="nil"/>
          <w:bottom w:val="nil"/>
          <w:right w:val="nil"/>
          <w:between w:val="nil"/>
        </w:pBdr>
        <w:ind w:left="567" w:right="-787"/>
        <w:jc w:val="right"/>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Nombre del solicitante: C. Solicitante</w:t>
      </w:r>
    </w:p>
    <w:p w14:paraId="7BB47E25" w14:textId="77777777" w:rsidR="00574799" w:rsidRDefault="00F20C16">
      <w:pPr>
        <w:pBdr>
          <w:top w:val="nil"/>
          <w:left w:val="nil"/>
          <w:bottom w:val="nil"/>
          <w:right w:val="nil"/>
          <w:between w:val="nil"/>
        </w:pBdr>
        <w:ind w:left="567" w:right="-787"/>
        <w:jc w:val="right"/>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Folio de la solicitud: 01139/TEOLOYU/IP/2025</w:t>
      </w:r>
    </w:p>
    <w:p w14:paraId="56584B33" w14:textId="77777777" w:rsidR="00574799" w:rsidRDefault="00574799">
      <w:pPr>
        <w:pBdr>
          <w:top w:val="nil"/>
          <w:left w:val="nil"/>
          <w:bottom w:val="nil"/>
          <w:right w:val="nil"/>
          <w:between w:val="nil"/>
        </w:pBdr>
        <w:ind w:left="567" w:right="-787"/>
        <w:jc w:val="right"/>
        <w:rPr>
          <w:rFonts w:ascii="Palatino Linotype" w:eastAsia="Palatino Linotype" w:hAnsi="Palatino Linotype" w:cs="Palatino Linotype"/>
          <w:i/>
          <w:iCs/>
          <w:color w:val="000000"/>
        </w:rPr>
      </w:pPr>
    </w:p>
    <w:p w14:paraId="1449C3D0" w14:textId="77777777" w:rsidR="00574799" w:rsidRDefault="00F20C16">
      <w:pPr>
        <w:pBdr>
          <w:top w:val="nil"/>
          <w:left w:val="nil"/>
          <w:bottom w:val="nil"/>
          <w:right w:val="nil"/>
          <w:between w:val="nil"/>
        </w:pBdr>
        <w:ind w:left="567"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6CE9C5B2" w14:textId="77777777" w:rsidR="00574799" w:rsidRDefault="00574799">
      <w:pPr>
        <w:pBdr>
          <w:top w:val="nil"/>
          <w:left w:val="nil"/>
          <w:bottom w:val="nil"/>
          <w:right w:val="nil"/>
          <w:between w:val="nil"/>
        </w:pBdr>
        <w:ind w:left="567" w:right="-787"/>
        <w:jc w:val="both"/>
        <w:rPr>
          <w:rFonts w:ascii="Palatino Linotype" w:eastAsia="Palatino Linotype" w:hAnsi="Palatino Linotype" w:cs="Palatino Linotype"/>
          <w:i/>
          <w:iCs/>
          <w:color w:val="000000"/>
        </w:rPr>
      </w:pPr>
    </w:p>
    <w:p w14:paraId="5F523446" w14:textId="77777777" w:rsidR="00574799" w:rsidRDefault="00F20C16">
      <w:pPr>
        <w:pBdr>
          <w:top w:val="nil"/>
          <w:left w:val="nil"/>
          <w:bottom w:val="nil"/>
          <w:right w:val="nil"/>
          <w:between w:val="nil"/>
        </w:pBdr>
        <w:ind w:left="567"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Se remite link para dar contestación a la solicitud correspondiente. </w:t>
      </w:r>
      <w:hyperlink r:id="rId8" w:anchor="/obligaciones/182">
        <w:r>
          <w:rPr>
            <w:rFonts w:ascii="Palatino Linotype" w:eastAsia="Palatino Linotype" w:hAnsi="Palatino Linotype" w:cs="Palatino Linotype"/>
            <w:i/>
            <w:iCs/>
            <w:color w:val="0563C1"/>
            <w:u w:val="single"/>
          </w:rPr>
          <w:t>https://ipomex.org.mx/ipomex/#/obligaciones/182</w:t>
        </w:r>
      </w:hyperlink>
    </w:p>
    <w:p w14:paraId="6FAC4FF2" w14:textId="77777777" w:rsidR="00574799" w:rsidRDefault="00574799">
      <w:pPr>
        <w:pBdr>
          <w:top w:val="nil"/>
          <w:left w:val="nil"/>
          <w:bottom w:val="nil"/>
          <w:right w:val="nil"/>
          <w:between w:val="nil"/>
        </w:pBdr>
        <w:ind w:left="567" w:right="-787"/>
        <w:jc w:val="both"/>
        <w:rPr>
          <w:rFonts w:ascii="Palatino Linotype" w:eastAsia="Palatino Linotype" w:hAnsi="Palatino Linotype" w:cs="Palatino Linotype"/>
          <w:i/>
          <w:iCs/>
          <w:color w:val="000000"/>
        </w:rPr>
      </w:pPr>
    </w:p>
    <w:p w14:paraId="4083F40B" w14:textId="77777777" w:rsidR="00574799" w:rsidRDefault="00F20C16">
      <w:pPr>
        <w:pBdr>
          <w:top w:val="nil"/>
          <w:left w:val="nil"/>
          <w:bottom w:val="nil"/>
          <w:right w:val="nil"/>
          <w:between w:val="nil"/>
        </w:pBdr>
        <w:ind w:left="567"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ATENTAMENTE</w:t>
      </w:r>
    </w:p>
    <w:p w14:paraId="21363106" w14:textId="77777777" w:rsidR="00574799" w:rsidRDefault="00F20C16">
      <w:pPr>
        <w:pBdr>
          <w:top w:val="nil"/>
          <w:left w:val="nil"/>
          <w:bottom w:val="nil"/>
          <w:right w:val="nil"/>
          <w:between w:val="nil"/>
        </w:pBdr>
        <w:ind w:left="567" w:right="-787"/>
        <w:jc w:val="both"/>
        <w:rPr>
          <w:rFonts w:ascii="Palatino Linotype" w:eastAsia="Palatino Linotype" w:hAnsi="Palatino Linotype" w:cs="Palatino Linotype"/>
          <w:i/>
          <w:iCs/>
        </w:rPr>
      </w:pPr>
      <w:r>
        <w:rPr>
          <w:rFonts w:ascii="Palatino Linotype" w:eastAsia="Palatino Linotype" w:hAnsi="Palatino Linotype" w:cs="Palatino Linotype"/>
          <w:i/>
          <w:iCs/>
          <w:color w:val="000000"/>
        </w:rPr>
        <w:t>Lic. Ana Beatriz Romero Oceguera</w:t>
      </w:r>
    </w:p>
    <w:p w14:paraId="370383A7" w14:textId="77777777" w:rsidR="00574799" w:rsidRDefault="00574799">
      <w:pPr>
        <w:pBdr>
          <w:top w:val="nil"/>
          <w:left w:val="nil"/>
          <w:bottom w:val="nil"/>
          <w:right w:val="nil"/>
          <w:between w:val="nil"/>
        </w:pBdr>
        <w:tabs>
          <w:tab w:val="left" w:pos="0"/>
        </w:tabs>
        <w:ind w:right="-787"/>
        <w:jc w:val="both"/>
        <w:rPr>
          <w:rFonts w:ascii="Palatino Linotype" w:eastAsia="Palatino Linotype" w:hAnsi="Palatino Linotype" w:cs="Palatino Linotype"/>
          <w:i/>
          <w:iCs/>
        </w:rPr>
      </w:pPr>
    </w:p>
    <w:p w14:paraId="1CDE7AA8" w14:textId="77777777" w:rsidR="00574799" w:rsidRDefault="00574799">
      <w:pPr>
        <w:pBdr>
          <w:top w:val="nil"/>
          <w:left w:val="nil"/>
          <w:bottom w:val="nil"/>
          <w:right w:val="nil"/>
          <w:between w:val="nil"/>
        </w:pBdr>
        <w:tabs>
          <w:tab w:val="left" w:pos="0"/>
        </w:tabs>
        <w:ind w:right="-787"/>
        <w:jc w:val="both"/>
        <w:rPr>
          <w:rFonts w:ascii="Palatino Linotype" w:eastAsia="Palatino Linotype" w:hAnsi="Palatino Linotype" w:cs="Palatino Linotype"/>
          <w:i/>
          <w:iCs/>
        </w:rPr>
      </w:pPr>
    </w:p>
    <w:p w14:paraId="1E144278" w14:textId="77777777" w:rsidR="00574799" w:rsidRDefault="00F20C16">
      <w:pPr>
        <w:numPr>
          <w:ilvl w:val="0"/>
          <w:numId w:val="6"/>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El</w:t>
      </w:r>
      <w:r>
        <w:rPr>
          <w:rFonts w:ascii="Palatino Linotype" w:eastAsia="Palatino Linotype" w:hAnsi="Palatino Linotype" w:cs="Palatino Linotype"/>
          <w:b/>
          <w:bCs/>
          <w:color w:val="000000"/>
        </w:rPr>
        <w:t xml:space="preserve"> diez de diciembre de dos mil veinticinco</w:t>
      </w:r>
      <w:r>
        <w:rPr>
          <w:rFonts w:ascii="Palatino Linotype" w:eastAsia="Palatino Linotype" w:hAnsi="Palatino Linotype" w:cs="Palatino Linotype"/>
          <w:color w:val="000000"/>
        </w:rPr>
        <w:t xml:space="preserve">, el particular interpuso el Recurso de Revisión al que se le asignó el folio </w:t>
      </w:r>
      <w:r>
        <w:rPr>
          <w:rFonts w:ascii="Palatino Linotype" w:eastAsia="Palatino Linotype" w:hAnsi="Palatino Linotype" w:cs="Palatino Linotype"/>
          <w:b/>
          <w:bCs/>
          <w:color w:val="000000"/>
        </w:rPr>
        <w:t xml:space="preserve">14118/INFOEM/IP/RR/2025, </w:t>
      </w:r>
      <w:r>
        <w:rPr>
          <w:rFonts w:ascii="Palatino Linotype" w:eastAsia="Palatino Linotype" w:hAnsi="Palatino Linotype" w:cs="Palatino Linotype"/>
          <w:color w:val="000000"/>
        </w:rPr>
        <w:t>en contra de la respuesta emitida por el Sujeto Obligado, realizando las siguientes manifestaciones como acto impugnado y razones o motivos de inconformidad:</w:t>
      </w:r>
    </w:p>
    <w:p w14:paraId="0A46BB5B" w14:textId="77777777" w:rsidR="00574799" w:rsidRDefault="00574799">
      <w:pPr>
        <w:pBdr>
          <w:top w:val="nil"/>
          <w:left w:val="nil"/>
          <w:bottom w:val="nil"/>
          <w:right w:val="nil"/>
          <w:between w:val="nil"/>
        </w:pBdr>
        <w:ind w:left="1571" w:right="-787"/>
        <w:jc w:val="both"/>
        <w:rPr>
          <w:rFonts w:ascii="Palatino Linotype" w:eastAsia="Palatino Linotype" w:hAnsi="Palatino Linotype" w:cs="Palatino Linotype"/>
          <w:b/>
          <w:bCs/>
          <w:color w:val="000000"/>
        </w:rPr>
      </w:pPr>
      <w:bookmarkStart w:id="2" w:name="_heading=h.30j0zll" w:colFirst="0" w:colLast="0"/>
      <w:bookmarkEnd w:id="2"/>
    </w:p>
    <w:p w14:paraId="568E49A8" w14:textId="77777777" w:rsidR="00574799" w:rsidRDefault="00F20C16">
      <w:pPr>
        <w:numPr>
          <w:ilvl w:val="0"/>
          <w:numId w:val="2"/>
        </w:numPr>
        <w:pBdr>
          <w:top w:val="nil"/>
          <w:left w:val="nil"/>
          <w:bottom w:val="nil"/>
          <w:right w:val="nil"/>
          <w:between w:val="nil"/>
        </w:pBdr>
        <w:ind w:right="-574"/>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Acto impugnado: </w:t>
      </w:r>
    </w:p>
    <w:p w14:paraId="2BAC8354" w14:textId="77777777" w:rsidR="00574799" w:rsidRDefault="00F20C16">
      <w:pPr>
        <w:pBdr>
          <w:top w:val="nil"/>
          <w:left w:val="nil"/>
          <w:bottom w:val="nil"/>
          <w:right w:val="nil"/>
          <w:between w:val="nil"/>
        </w:pBdr>
        <w:ind w:left="851" w:right="-57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“No tienen actualizada la información y a parte solicie recibo de nomina la cual no se encuentra en el link que compartes” (Sic)</w:t>
      </w:r>
    </w:p>
    <w:p w14:paraId="14370A6E" w14:textId="77777777" w:rsidR="00574799" w:rsidRDefault="00574799">
      <w:pPr>
        <w:pBdr>
          <w:top w:val="nil"/>
          <w:left w:val="nil"/>
          <w:bottom w:val="nil"/>
          <w:right w:val="nil"/>
          <w:between w:val="nil"/>
        </w:pBdr>
        <w:ind w:left="851" w:right="-574"/>
        <w:jc w:val="both"/>
        <w:rPr>
          <w:rFonts w:ascii="Palatino Linotype" w:eastAsia="Palatino Linotype" w:hAnsi="Palatino Linotype" w:cs="Palatino Linotype"/>
          <w:i/>
          <w:iCs/>
          <w:color w:val="000000"/>
        </w:rPr>
      </w:pPr>
    </w:p>
    <w:p w14:paraId="1E97DA6E" w14:textId="77777777" w:rsidR="00574799" w:rsidRDefault="00F20C16">
      <w:pPr>
        <w:numPr>
          <w:ilvl w:val="0"/>
          <w:numId w:val="1"/>
        </w:numPr>
        <w:pBdr>
          <w:top w:val="nil"/>
          <w:left w:val="nil"/>
          <w:bottom w:val="nil"/>
          <w:right w:val="nil"/>
          <w:between w:val="nil"/>
        </w:pBdr>
        <w:ind w:right="-574"/>
        <w:jc w:val="both"/>
        <w:rPr>
          <w:rFonts w:ascii="Palatino Linotype" w:eastAsia="Palatino Linotype" w:hAnsi="Palatino Linotype" w:cs="Palatino Linotype"/>
          <w:b/>
          <w:bCs/>
          <w:color w:val="000000"/>
        </w:rPr>
      </w:pPr>
      <w:bookmarkStart w:id="3" w:name="_heading=h.1fob9te" w:colFirst="0" w:colLast="0"/>
      <w:bookmarkEnd w:id="3"/>
      <w:r>
        <w:rPr>
          <w:rFonts w:ascii="Palatino Linotype" w:eastAsia="Palatino Linotype" w:hAnsi="Palatino Linotype" w:cs="Palatino Linotype"/>
          <w:b/>
          <w:bCs/>
          <w:color w:val="000000"/>
        </w:rPr>
        <w:t xml:space="preserve">Razones o Motivos de inconformidad: </w:t>
      </w:r>
    </w:p>
    <w:p w14:paraId="42A377D7" w14:textId="77777777" w:rsidR="00574799" w:rsidRDefault="00F20C16">
      <w:pPr>
        <w:pBdr>
          <w:top w:val="nil"/>
          <w:left w:val="nil"/>
          <w:bottom w:val="nil"/>
          <w:right w:val="nil"/>
          <w:between w:val="nil"/>
        </w:pBdr>
        <w:ind w:left="851" w:right="-574"/>
        <w:jc w:val="both"/>
        <w:rPr>
          <w:rFonts w:ascii="Palatino Linotype" w:eastAsia="Palatino Linotype" w:hAnsi="Palatino Linotype" w:cs="Palatino Linotype"/>
          <w:color w:val="000000"/>
        </w:rPr>
      </w:pPr>
      <w:r>
        <w:rPr>
          <w:rFonts w:ascii="Palatino Linotype" w:eastAsia="Palatino Linotype" w:hAnsi="Palatino Linotype" w:cs="Palatino Linotype"/>
          <w:i/>
          <w:iCs/>
          <w:color w:val="000000"/>
        </w:rPr>
        <w:t xml:space="preserve">“No dan la información que unl solicita, ni que hicieran tanto trabajo.” </w:t>
      </w:r>
      <w:r>
        <w:rPr>
          <w:rFonts w:ascii="Palatino Linotype" w:eastAsia="Palatino Linotype" w:hAnsi="Palatino Linotype" w:cs="Palatino Linotype"/>
          <w:color w:val="000000"/>
        </w:rPr>
        <w:t>(Sic)</w:t>
      </w:r>
    </w:p>
    <w:p w14:paraId="143950B2" w14:textId="77777777" w:rsidR="00574799" w:rsidRDefault="00574799">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i/>
          <w:iCs/>
          <w:color w:val="000000"/>
          <w:u w:val="single"/>
        </w:rPr>
      </w:pPr>
    </w:p>
    <w:p w14:paraId="75D96B1E" w14:textId="67A0D3F5" w:rsidR="00574799" w:rsidRDefault="00F20C16">
      <w:pPr>
        <w:numPr>
          <w:ilvl w:val="0"/>
          <w:numId w:val="6"/>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La Comisionada Ponente con fundamento en lo dispuesto por el artículo 185, fracción II, de la ley de la materia, a través del </w:t>
      </w:r>
      <w:r>
        <w:rPr>
          <w:rFonts w:ascii="Palatino Linotype" w:eastAsia="Palatino Linotype" w:hAnsi="Palatino Linotype" w:cs="Palatino Linotype"/>
          <w:b/>
          <w:bCs/>
          <w:color w:val="000000"/>
        </w:rPr>
        <w:t xml:space="preserve">acuerdo de admisión </w:t>
      </w:r>
      <w:r>
        <w:rPr>
          <w:rFonts w:ascii="Palatino Linotype" w:eastAsia="Palatino Linotype" w:hAnsi="Palatino Linotype" w:cs="Palatino Linotype"/>
          <w:color w:val="000000"/>
        </w:rPr>
        <w:t xml:space="preserve">de fecha </w:t>
      </w:r>
      <w:r>
        <w:rPr>
          <w:rFonts w:ascii="Palatino Linotype" w:eastAsia="Palatino Linotype" w:hAnsi="Palatino Linotype" w:cs="Palatino Linotype"/>
          <w:b/>
          <w:bCs/>
          <w:color w:val="000000"/>
        </w:rPr>
        <w:t xml:space="preserve">once de diciembre de dos mil veinticinco, </w:t>
      </w:r>
      <w:r>
        <w:rPr>
          <w:rFonts w:ascii="Palatino Linotype" w:eastAsia="Palatino Linotype" w:hAnsi="Palatino Linotype" w:cs="Palatino Linotype"/>
          <w:color w:val="000000"/>
        </w:rPr>
        <w:t xml:space="preserve">puso a disposición de las partes el expediente electrónico vía SAIMEX a efecto de que en un plazo máximo de siete días </w:t>
      </w:r>
      <w:r>
        <w:rPr>
          <w:rFonts w:ascii="Palatino Linotype" w:eastAsia="Palatino Linotype" w:hAnsi="Palatino Linotype" w:cs="Palatino Linotype"/>
        </w:rPr>
        <w:t>manifestara</w:t>
      </w:r>
      <w:r>
        <w:rPr>
          <w:rFonts w:ascii="Palatino Linotype" w:eastAsia="Palatino Linotype" w:hAnsi="Palatino Linotype" w:cs="Palatino Linotype"/>
          <w:color w:val="000000"/>
        </w:rPr>
        <w:t xml:space="preserve"> lo que a su derecho conviniera, </w:t>
      </w:r>
      <w:r>
        <w:rPr>
          <w:rFonts w:ascii="Palatino Linotype" w:eastAsia="Palatino Linotype" w:hAnsi="Palatino Linotype" w:cs="Palatino Linotype"/>
        </w:rPr>
        <w:lastRenderedPageBreak/>
        <w:t>ofreciera</w:t>
      </w:r>
      <w:r>
        <w:rPr>
          <w:rFonts w:ascii="Palatino Linotype" w:eastAsia="Palatino Linotype" w:hAnsi="Palatino Linotype" w:cs="Palatino Linotype"/>
          <w:color w:val="000000"/>
        </w:rPr>
        <w:t xml:space="preserve"> pruebas y alegatos según corresponda al caso concreto, de esta forma para que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rPr>
        <w:t>presentará</w:t>
      </w:r>
      <w:r>
        <w:rPr>
          <w:rFonts w:ascii="Palatino Linotype" w:eastAsia="Palatino Linotype" w:hAnsi="Palatino Linotype" w:cs="Palatino Linotype"/>
          <w:color w:val="000000"/>
        </w:rPr>
        <w:t xml:space="preserve"> el Informe Justificado procedente.</w:t>
      </w:r>
    </w:p>
    <w:p w14:paraId="1FF03DFD" w14:textId="77777777" w:rsidR="006D5695" w:rsidRDefault="006D5695" w:rsidP="006D5695">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14:paraId="30EF4F6B" w14:textId="77777777" w:rsidR="00574799" w:rsidRDefault="00F20C16">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El Recurrente dejó de realizar manifestaciones que a su derecho conviniera y asistiera. Por su parte, el Sujeto Obligado,</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no</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presentó </w:t>
      </w:r>
      <w:r>
        <w:rPr>
          <w:rFonts w:ascii="Palatino Linotype" w:eastAsia="Palatino Linotype" w:hAnsi="Palatino Linotype" w:cs="Palatino Linotype"/>
          <w:b/>
          <w:bCs/>
          <w:color w:val="000000"/>
        </w:rPr>
        <w:t xml:space="preserve">informe justificado, </w:t>
      </w:r>
      <w:r>
        <w:rPr>
          <w:rFonts w:ascii="Palatino Linotype" w:eastAsia="Palatino Linotype" w:hAnsi="Palatino Linotype" w:cs="Palatino Linotype"/>
          <w:color w:val="000000"/>
        </w:rPr>
        <w:t xml:space="preserve">tal como se muestra en la imagen siguiente: </w:t>
      </w:r>
    </w:p>
    <w:p w14:paraId="67C6768A" w14:textId="77777777" w:rsidR="00574799" w:rsidRDefault="00574799">
      <w:pPr>
        <w:pBdr>
          <w:top w:val="nil"/>
          <w:left w:val="nil"/>
          <w:bottom w:val="nil"/>
          <w:right w:val="nil"/>
          <w:between w:val="nil"/>
        </w:pBdr>
        <w:ind w:right="-79"/>
        <w:jc w:val="both"/>
        <w:rPr>
          <w:rFonts w:ascii="Palatino Linotype" w:eastAsia="Palatino Linotype" w:hAnsi="Palatino Linotype" w:cs="Palatino Linotype"/>
          <w:b/>
          <w:bCs/>
          <w:color w:val="000000"/>
        </w:rPr>
      </w:pPr>
    </w:p>
    <w:p w14:paraId="43BE6E97" w14:textId="77777777" w:rsidR="00574799" w:rsidRDefault="00F20C16">
      <w:pPr>
        <w:pBdr>
          <w:top w:val="nil"/>
          <w:left w:val="nil"/>
          <w:bottom w:val="nil"/>
          <w:right w:val="nil"/>
          <w:between w:val="nil"/>
        </w:pBdr>
        <w:tabs>
          <w:tab w:val="left" w:pos="1134"/>
        </w:tabs>
        <w:ind w:left="567" w:right="-79"/>
        <w:jc w:val="both"/>
        <w:rPr>
          <w:rFonts w:ascii="Palatino Linotype" w:eastAsia="Palatino Linotype" w:hAnsi="Palatino Linotype" w:cs="Palatino Linotype"/>
          <w:color w:val="000000"/>
        </w:rPr>
      </w:pPr>
      <w:r>
        <w:rPr>
          <w:rFonts w:ascii="Palatino Linotype" w:eastAsia="Palatino Linotype" w:hAnsi="Palatino Linotype" w:cs="Palatino Linotype"/>
          <w:b/>
          <w:bCs/>
          <w:i/>
          <w:iCs/>
          <w:noProof/>
          <w:color w:val="000000"/>
          <w:lang w:val="es-MX"/>
        </w:rPr>
        <w:drawing>
          <wp:inline distT="0" distB="0" distL="0" distR="0" wp14:anchorId="158EEE86" wp14:editId="2761382A">
            <wp:extent cx="5756275" cy="150876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5756275" cy="1508760"/>
                    </a:xfrm>
                    <a:prstGeom prst="rect">
                      <a:avLst/>
                    </a:prstGeom>
                    <a:ln/>
                  </pic:spPr>
                </pic:pic>
              </a:graphicData>
            </a:graphic>
          </wp:inline>
        </w:drawing>
      </w:r>
    </w:p>
    <w:p w14:paraId="7BA56441" w14:textId="77777777" w:rsidR="00574799" w:rsidRDefault="00574799">
      <w:pPr>
        <w:pBdr>
          <w:top w:val="nil"/>
          <w:left w:val="nil"/>
          <w:bottom w:val="nil"/>
          <w:right w:val="nil"/>
          <w:between w:val="nil"/>
        </w:pBdr>
        <w:ind w:right="-79"/>
        <w:jc w:val="both"/>
        <w:rPr>
          <w:rFonts w:ascii="Palatino Linotype" w:eastAsia="Palatino Linotype" w:hAnsi="Palatino Linotype" w:cs="Palatino Linotype"/>
          <w:color w:val="000000"/>
        </w:rPr>
      </w:pPr>
    </w:p>
    <w:p w14:paraId="5E86E089" w14:textId="77777777" w:rsidR="006D5695" w:rsidRDefault="006D5695">
      <w:pPr>
        <w:pBdr>
          <w:top w:val="nil"/>
          <w:left w:val="nil"/>
          <w:bottom w:val="nil"/>
          <w:right w:val="nil"/>
          <w:between w:val="nil"/>
        </w:pBdr>
        <w:ind w:right="-79"/>
        <w:jc w:val="both"/>
        <w:rPr>
          <w:rFonts w:ascii="Palatino Linotype" w:eastAsia="Palatino Linotype" w:hAnsi="Palatino Linotype" w:cs="Palatino Linotype"/>
          <w:color w:val="000000"/>
        </w:rPr>
      </w:pPr>
    </w:p>
    <w:p w14:paraId="130403CF" w14:textId="77777777" w:rsidR="00574799" w:rsidRDefault="00F20C16">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En fecha</w:t>
      </w:r>
      <w:r>
        <w:rPr>
          <w:rFonts w:ascii="Palatino Linotype" w:eastAsia="Palatino Linotype" w:hAnsi="Palatino Linotype" w:cs="Palatino Linotype"/>
          <w:b/>
          <w:bCs/>
          <w:color w:val="000000"/>
        </w:rPr>
        <w:t xml:space="preserve"> dieciséis de febrero de dos mil veintiséis</w:t>
      </w:r>
      <w:r>
        <w:rPr>
          <w:rFonts w:ascii="Palatino Linotype" w:eastAsia="Palatino Linotype" w:hAnsi="Palatino Linotype" w:cs="Palatino Linotype"/>
          <w:color w:val="000000"/>
        </w:rPr>
        <w:t xml:space="preserve">, se acordó ampliar el </w:t>
      </w:r>
      <w:r>
        <w:rPr>
          <w:rFonts w:ascii="Palatino Linotype" w:eastAsia="Palatino Linotype" w:hAnsi="Palatino Linotype" w:cs="Palatino Linotype"/>
        </w:rPr>
        <w:t>plazo</w:t>
      </w:r>
      <w:r>
        <w:rPr>
          <w:rFonts w:ascii="Palatino Linotype" w:eastAsia="Palatino Linotype" w:hAnsi="Palatino Linotype" w:cs="Palatino Linotype"/>
          <w:color w:val="000000"/>
        </w:rPr>
        <w:t xml:space="preserve"> para resolver el presente Recurso de Revisión.</w:t>
      </w:r>
    </w:p>
    <w:p w14:paraId="1C12C8C9" w14:textId="77777777" w:rsidR="00574799" w:rsidRDefault="00574799">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14:paraId="17AD7D6C" w14:textId="77777777" w:rsidR="00574799" w:rsidRDefault="00F20C16">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color w:val="000000"/>
        </w:rPr>
      </w:pPr>
      <w:bookmarkStart w:id="4" w:name="_heading=h.3znysh7" w:colFirst="0" w:colLast="0"/>
      <w:bookmarkEnd w:id="4"/>
      <w:r>
        <w:rPr>
          <w:rFonts w:ascii="Palatino Linotype" w:eastAsia="Palatino Linotype" w:hAnsi="Palatino Linotype" w:cs="Palatino Linotype"/>
          <w:color w:val="000000"/>
        </w:rPr>
        <w:t xml:space="preserve">Seguidamente, en fecha </w:t>
      </w:r>
      <w:r>
        <w:rPr>
          <w:rFonts w:ascii="Palatino Linotype" w:eastAsia="Palatino Linotype" w:hAnsi="Palatino Linotype" w:cs="Palatino Linotype"/>
          <w:b/>
          <w:bCs/>
          <w:color w:val="000000"/>
        </w:rPr>
        <w:t>diecinueve de mayo de dos mil veintiséis</w:t>
      </w:r>
      <w:r>
        <w:rPr>
          <w:rFonts w:ascii="Palatino Linotype" w:eastAsia="Palatino Linotype" w:hAnsi="Palatino Linotype" w:cs="Palatino Linotype"/>
          <w:color w:val="000000"/>
        </w:rPr>
        <w:t xml:space="preserve">, la Comisionada Ponente dictó el </w:t>
      </w:r>
      <w:r>
        <w:rPr>
          <w:rFonts w:ascii="Palatino Linotype" w:eastAsia="Palatino Linotype" w:hAnsi="Palatino Linotype" w:cs="Palatino Linotype"/>
          <w:b/>
          <w:bCs/>
          <w:color w:val="000000"/>
        </w:rPr>
        <w:t>cierre del periodo de instrucción</w:t>
      </w:r>
      <w:r>
        <w:rPr>
          <w:rFonts w:ascii="Palatino Linotype" w:eastAsia="Palatino Linotype" w:hAnsi="Palatino Linotype" w:cs="Palatino Linotype"/>
          <w:color w:val="000000"/>
        </w:rPr>
        <w:t xml:space="preserve"> y, ordenó la resolución que conforme a Derecho proceda:</w:t>
      </w:r>
    </w:p>
    <w:p w14:paraId="75B146C3" w14:textId="77777777" w:rsidR="00574799" w:rsidRDefault="00574799">
      <w:pPr>
        <w:pBdr>
          <w:top w:val="nil"/>
          <w:left w:val="nil"/>
          <w:bottom w:val="nil"/>
          <w:right w:val="nil"/>
          <w:between w:val="nil"/>
        </w:pBdr>
        <w:ind w:left="720" w:right="-787"/>
        <w:rPr>
          <w:rFonts w:ascii="Palatino Linotype" w:eastAsia="Palatino Linotype" w:hAnsi="Palatino Linotype" w:cs="Palatino Linotype"/>
          <w:b/>
          <w:bCs/>
          <w:color w:val="000000"/>
        </w:rPr>
      </w:pPr>
    </w:p>
    <w:p w14:paraId="2CF49F53" w14:textId="77777777" w:rsidR="00574799" w:rsidRDefault="00F20C16">
      <w:pPr>
        <w:keepNext/>
        <w:keepLines/>
        <w:spacing w:line="360" w:lineRule="auto"/>
        <w:jc w:val="center"/>
        <w:rPr>
          <w:rFonts w:ascii="Palatino Linotype" w:eastAsia="Palatino Linotype" w:hAnsi="Palatino Linotype" w:cs="Palatino Linotype"/>
          <w:b/>
          <w:bCs/>
        </w:rPr>
      </w:pPr>
      <w:r>
        <w:rPr>
          <w:rFonts w:ascii="Palatino Linotype" w:eastAsia="Palatino Linotype" w:hAnsi="Palatino Linotype" w:cs="Palatino Linotype"/>
          <w:b/>
          <w:bCs/>
        </w:rPr>
        <w:t xml:space="preserve">C O N S I D E R A N D O </w:t>
      </w:r>
    </w:p>
    <w:p w14:paraId="3F910FFD" w14:textId="77777777" w:rsidR="00574799" w:rsidRDefault="00574799">
      <w:pPr>
        <w:spacing w:line="360" w:lineRule="auto"/>
        <w:rPr>
          <w:rFonts w:ascii="Palatino Linotype" w:eastAsia="Palatino Linotype" w:hAnsi="Palatino Linotype" w:cs="Palatino Linotype"/>
        </w:rPr>
      </w:pPr>
    </w:p>
    <w:p w14:paraId="3B1F38C6" w14:textId="77777777" w:rsidR="00574799" w:rsidRDefault="00F20C16">
      <w:pPr>
        <w:keepNext/>
        <w:keepLines/>
        <w:spacing w:line="360" w:lineRule="auto"/>
        <w:rPr>
          <w:rFonts w:ascii="Palatino Linotype" w:eastAsia="Palatino Linotype" w:hAnsi="Palatino Linotype" w:cs="Palatino Linotype"/>
          <w:b/>
          <w:bCs/>
        </w:rPr>
      </w:pPr>
      <w:r>
        <w:rPr>
          <w:rFonts w:ascii="Palatino Linotype" w:eastAsia="Palatino Linotype" w:hAnsi="Palatino Linotype" w:cs="Palatino Linotype"/>
          <w:b/>
          <w:bCs/>
        </w:rPr>
        <w:t>PRIMERO. De la competencia</w:t>
      </w:r>
    </w:p>
    <w:p w14:paraId="37D1D1EE" w14:textId="77777777" w:rsidR="00574799" w:rsidRDefault="00F20C16">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Este Instituto </w:t>
      </w:r>
      <w:r>
        <w:rPr>
          <w:rFonts w:ascii="Palatino Linotype" w:eastAsia="Palatino Linotype" w:hAnsi="Palatino Linotype" w:cs="Palatino Linotype"/>
        </w:rPr>
        <w:t>de</w:t>
      </w:r>
      <w:r>
        <w:rPr>
          <w:rFonts w:ascii="Palatino Linotype" w:eastAsia="Palatino Linotype" w:hAnsi="Palatino Linotype" w:cs="Palatino Linotype"/>
          <w:color w:val="000000"/>
        </w:rPr>
        <w:t xml:space="preserve"> Transparencia, Acceso a la Información Pública y Protección de Datos Personales del Estado de México, es competente para conocer y resolver el presente recurso </w:t>
      </w:r>
      <w:r>
        <w:rPr>
          <w:rFonts w:ascii="Palatino Linotype" w:eastAsia="Palatino Linotype" w:hAnsi="Palatino Linotype" w:cs="Palatino Linotype"/>
          <w:color w:val="000000"/>
        </w:rPr>
        <w:lastRenderedPageBreak/>
        <w:t>de revisión interpuesto por el Recurrente conforme a lo dispuesto en los artículos 6, apartado A, fracción IV de la Constitución Política de los Estados Unidos Mexicanos; 5, párrafos cuadragésimo cuarto, cuadragésimo quinto y cuadragésimo sexto,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14:paraId="076F74AD" w14:textId="77777777" w:rsidR="00574799" w:rsidRDefault="00574799">
      <w:pPr>
        <w:tabs>
          <w:tab w:val="left" w:pos="426"/>
        </w:tabs>
        <w:spacing w:line="360" w:lineRule="auto"/>
        <w:jc w:val="both"/>
        <w:rPr>
          <w:rFonts w:ascii="Palatino Linotype" w:eastAsia="Palatino Linotype" w:hAnsi="Palatino Linotype" w:cs="Palatino Linotype"/>
          <w:color w:val="000000"/>
        </w:rPr>
      </w:pPr>
    </w:p>
    <w:p w14:paraId="59DBC2D3" w14:textId="77777777" w:rsidR="00574799" w:rsidRDefault="00F20C16">
      <w:pPr>
        <w:keepNext/>
        <w:keepLines/>
        <w:spacing w:line="360" w:lineRule="auto"/>
        <w:rPr>
          <w:rFonts w:ascii="Palatino Linotype" w:eastAsia="Palatino Linotype" w:hAnsi="Palatino Linotype" w:cs="Palatino Linotype"/>
          <w:b/>
          <w:bCs/>
        </w:rPr>
      </w:pPr>
      <w:r>
        <w:rPr>
          <w:rFonts w:ascii="Palatino Linotype" w:eastAsia="Palatino Linotype" w:hAnsi="Palatino Linotype" w:cs="Palatino Linotype"/>
          <w:b/>
          <w:bCs/>
        </w:rPr>
        <w:t>SEGUNDO. De la oportunidad y procedencia.</w:t>
      </w:r>
    </w:p>
    <w:p w14:paraId="5ECDF869" w14:textId="77777777" w:rsidR="00574799" w:rsidRDefault="00F20C16">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bookmarkStart w:id="5" w:name="_heading=h.2et92p0" w:colFirst="0" w:colLast="0"/>
      <w:bookmarkEnd w:id="5"/>
      <w:r>
        <w:rPr>
          <w:rFonts w:ascii="Palatino Linotype" w:eastAsia="Palatino Linotype" w:hAnsi="Palatino Linotype" w:cs="Palatino Linotype"/>
        </w:rPr>
        <w:t xml:space="preserve">El medio de impugnación fue presentado a través del </w:t>
      </w:r>
      <w:r>
        <w:rPr>
          <w:rFonts w:ascii="Palatino Linotype" w:eastAsia="Palatino Linotype" w:hAnsi="Palatino Linotype" w:cs="Palatino Linotype"/>
          <w:b/>
          <w:bCs/>
        </w:rPr>
        <w:t>SAIMEX,</w:t>
      </w:r>
      <w:r>
        <w:rPr>
          <w:rFonts w:ascii="Palatino Linotype" w:eastAsia="Palatino Linotype" w:hAnsi="Palatino Linotype" w:cs="Palatino Linotype"/>
        </w:rPr>
        <w:t xml:space="preserve"> en el formato previamente aprobado para tal efecto y dentro del plazo legal de quince días hábiles otorgados; para el caso en particular es de señalar que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entregó respuesta el </w:t>
      </w:r>
      <w:r>
        <w:rPr>
          <w:rFonts w:ascii="Palatino Linotype" w:eastAsia="Palatino Linotype" w:hAnsi="Palatino Linotype" w:cs="Palatino Linotype"/>
          <w:b/>
          <w:bCs/>
        </w:rPr>
        <w:t>diez de diciembre de dos mil veinticinco</w:t>
      </w:r>
      <w:r>
        <w:rPr>
          <w:rFonts w:ascii="Palatino Linotype" w:eastAsia="Palatino Linotype" w:hAnsi="Palatino Linotype" w:cs="Palatino Linotype"/>
        </w:rPr>
        <w:t xml:space="preserve">, de tal forma que el plazo para interponer el recurso transcurrió del </w:t>
      </w:r>
      <w:r>
        <w:rPr>
          <w:rFonts w:ascii="Palatino Linotype" w:eastAsia="Palatino Linotype" w:hAnsi="Palatino Linotype" w:cs="Palatino Linotype"/>
          <w:b/>
          <w:bCs/>
        </w:rPr>
        <w:t xml:space="preserve">once de diciembre de dos mil veinticinco al veintiuno de enero de dos mil veintiséis, </w:t>
      </w:r>
      <w:r>
        <w:rPr>
          <w:rFonts w:ascii="Palatino Linotype" w:eastAsia="Palatino Linotype" w:hAnsi="Palatino Linotype" w:cs="Palatino Linotype"/>
        </w:rPr>
        <w:t xml:space="preserve">en consecuencia, si el </w:t>
      </w:r>
      <w:r>
        <w:rPr>
          <w:rFonts w:ascii="Palatino Linotype" w:eastAsia="Palatino Linotype" w:hAnsi="Palatino Linotype" w:cs="Palatino Linotype"/>
          <w:b/>
          <w:bCs/>
        </w:rPr>
        <w:t>PARTICULAR</w:t>
      </w:r>
      <w:r>
        <w:rPr>
          <w:rFonts w:ascii="Palatino Linotype" w:eastAsia="Palatino Linotype" w:hAnsi="Palatino Linotype" w:cs="Palatino Linotype"/>
        </w:rPr>
        <w:t xml:space="preserve"> presentó su inconformidad el </w:t>
      </w:r>
      <w:r>
        <w:rPr>
          <w:rFonts w:ascii="Palatino Linotype" w:eastAsia="Palatino Linotype" w:hAnsi="Palatino Linotype" w:cs="Palatino Linotype"/>
          <w:b/>
          <w:bCs/>
        </w:rPr>
        <w:t>diez de diciembre de dos mil veinticinco</w:t>
      </w:r>
      <w:r>
        <w:rPr>
          <w:rFonts w:ascii="Palatino Linotype" w:eastAsia="Palatino Linotype" w:hAnsi="Palatino Linotype" w:cs="Palatino Linotype"/>
        </w:rPr>
        <w:t xml:space="preserve">, este se encuentra dentro de los márgenes temporales previstos en el artículo 178 de la </w:t>
      </w:r>
      <w:r>
        <w:rPr>
          <w:rFonts w:ascii="Palatino Linotype" w:eastAsia="Palatino Linotype" w:hAnsi="Palatino Linotype" w:cs="Palatino Linotype"/>
          <w:b/>
          <w:bCs/>
        </w:rPr>
        <w:t xml:space="preserve">Ley de Transparencia y Acceso a la Información Pública del Estado de México y Municipios </w:t>
      </w:r>
      <w:r>
        <w:rPr>
          <w:rFonts w:ascii="Palatino Linotype" w:eastAsia="Palatino Linotype" w:hAnsi="Palatino Linotype" w:cs="Palatino Linotype"/>
        </w:rPr>
        <w:t xml:space="preserve">vigente. </w:t>
      </w:r>
    </w:p>
    <w:p w14:paraId="1EBFB33B" w14:textId="77777777" w:rsidR="00574799" w:rsidRDefault="00574799">
      <w:pPr>
        <w:spacing w:line="360" w:lineRule="auto"/>
        <w:ind w:right="49"/>
        <w:jc w:val="both"/>
        <w:rPr>
          <w:rFonts w:ascii="Palatino Linotype" w:eastAsia="Palatino Linotype" w:hAnsi="Palatino Linotype" w:cs="Palatino Linotype"/>
        </w:rPr>
      </w:pPr>
    </w:p>
    <w:p w14:paraId="3B4BA52B" w14:textId="77777777" w:rsidR="00574799" w:rsidRDefault="00F20C16">
      <w:pPr>
        <w:pStyle w:val="Ttulo2"/>
        <w:rPr>
          <w:rFonts w:ascii="Palatino Linotype" w:eastAsia="Palatino Linotype" w:hAnsi="Palatino Linotype" w:cs="Palatino Linotype"/>
          <w:b/>
          <w:bCs/>
          <w:i/>
          <w:iCs/>
          <w:color w:val="000000"/>
          <w:sz w:val="24"/>
          <w:szCs w:val="24"/>
        </w:rPr>
      </w:pPr>
      <w:r>
        <w:rPr>
          <w:rFonts w:ascii="Palatino Linotype" w:eastAsia="Palatino Linotype" w:hAnsi="Palatino Linotype" w:cs="Palatino Linotype"/>
          <w:b/>
          <w:bCs/>
          <w:color w:val="000000"/>
          <w:sz w:val="24"/>
          <w:szCs w:val="24"/>
        </w:rPr>
        <w:t xml:space="preserve">TERCERO. Del planteamiento de la </w:t>
      </w:r>
      <w:r>
        <w:rPr>
          <w:rFonts w:ascii="Palatino Linotype" w:eastAsia="Palatino Linotype" w:hAnsi="Palatino Linotype" w:cs="Palatino Linotype"/>
          <w:b/>
          <w:bCs/>
          <w:i/>
          <w:iCs/>
          <w:color w:val="000000"/>
          <w:sz w:val="24"/>
          <w:szCs w:val="24"/>
        </w:rPr>
        <w:t>Litis.</w:t>
      </w:r>
    </w:p>
    <w:p w14:paraId="600C2814" w14:textId="77777777" w:rsidR="00574799" w:rsidRDefault="00F20C16">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Se</w:t>
      </w:r>
      <w:r>
        <w:rPr>
          <w:rFonts w:ascii="Palatino Linotype" w:eastAsia="Palatino Linotype" w:hAnsi="Palatino Linotype" w:cs="Palatino Linotype"/>
          <w:color w:val="000000"/>
        </w:rPr>
        <w:t xml:space="preserve"> solicitó tener acceso, a la información que a continuación se simplifica:</w:t>
      </w:r>
    </w:p>
    <w:p w14:paraId="4D6A6FB7" w14:textId="77777777" w:rsidR="00574799" w:rsidRDefault="00F20C16">
      <w:pPr>
        <w:numPr>
          <w:ilvl w:val="0"/>
          <w:numId w:val="4"/>
        </w:numPr>
        <w:pBdr>
          <w:top w:val="nil"/>
          <w:left w:val="nil"/>
          <w:bottom w:val="nil"/>
          <w:right w:val="nil"/>
          <w:between w:val="nil"/>
        </w:pBdr>
        <w:ind w:right="-78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Recibo de nómina de la última quincena de octubre de 2025 y lista de las personas adscritas a la Dirección del Campo</w:t>
      </w:r>
    </w:p>
    <w:p w14:paraId="074CA144" w14:textId="77777777" w:rsidR="00574799" w:rsidRDefault="00574799">
      <w:pPr>
        <w:pBdr>
          <w:top w:val="nil"/>
          <w:left w:val="nil"/>
          <w:bottom w:val="nil"/>
          <w:right w:val="nil"/>
          <w:between w:val="nil"/>
        </w:pBdr>
        <w:ind w:left="720" w:right="-788"/>
        <w:jc w:val="both"/>
        <w:rPr>
          <w:rFonts w:ascii="Palatino Linotype" w:eastAsia="Palatino Linotype" w:hAnsi="Palatino Linotype" w:cs="Palatino Linotype"/>
        </w:rPr>
      </w:pPr>
    </w:p>
    <w:p w14:paraId="21D362C1" w14:textId="77777777" w:rsidR="00574799" w:rsidRDefault="00574799">
      <w:pPr>
        <w:pBdr>
          <w:top w:val="nil"/>
          <w:left w:val="nil"/>
          <w:bottom w:val="nil"/>
          <w:right w:val="nil"/>
          <w:between w:val="nil"/>
        </w:pBdr>
        <w:ind w:left="720" w:right="-788"/>
        <w:jc w:val="both"/>
        <w:rPr>
          <w:rFonts w:ascii="Palatino Linotype" w:eastAsia="Palatino Linotype" w:hAnsi="Palatino Linotype" w:cs="Palatino Linotype"/>
        </w:rPr>
      </w:pPr>
    </w:p>
    <w:p w14:paraId="458050AB" w14:textId="77777777" w:rsidR="00574799" w:rsidRDefault="00F20C16">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lastRenderedPageBreak/>
        <w:t xml:space="preserve">En respuesta, el </w:t>
      </w:r>
      <w:r>
        <w:rPr>
          <w:rFonts w:ascii="Palatino Linotype" w:eastAsia="Palatino Linotype" w:hAnsi="Palatino Linotype" w:cs="Palatino Linotype"/>
          <w:color w:val="000000"/>
        </w:rPr>
        <w:t>Sujeto</w:t>
      </w:r>
      <w:r>
        <w:rPr>
          <w:rFonts w:ascii="Palatino Linotype" w:eastAsia="Palatino Linotype" w:hAnsi="Palatino Linotype" w:cs="Palatino Linotype"/>
        </w:rPr>
        <w:t xml:space="preserve"> Obligado</w:t>
      </w:r>
      <w:r>
        <w:rPr>
          <w:rFonts w:ascii="Palatino Linotype" w:eastAsia="Palatino Linotype" w:hAnsi="Palatino Linotype" w:cs="Palatino Linotype"/>
          <w:b/>
          <w:bCs/>
        </w:rPr>
        <w:t xml:space="preserve"> </w:t>
      </w:r>
      <w:r>
        <w:rPr>
          <w:rFonts w:ascii="Palatino Linotype" w:eastAsia="Palatino Linotype" w:hAnsi="Palatino Linotype" w:cs="Palatino Linotype"/>
        </w:rPr>
        <w:t>remitió el archivo ya descrito en el párrafo 2, inconforme con la respuesta, se interpuso recurso de revisión argumentando sustancialmente la negativa a la información solicitada.</w:t>
      </w:r>
    </w:p>
    <w:p w14:paraId="66A37FB1" w14:textId="77777777" w:rsidR="00574799" w:rsidRDefault="00574799">
      <w:pPr>
        <w:ind w:left="720" w:right="-788"/>
        <w:jc w:val="both"/>
        <w:rPr>
          <w:rFonts w:ascii="Palatino Linotype" w:eastAsia="Palatino Linotype" w:hAnsi="Palatino Linotype" w:cs="Palatino Linotype"/>
          <w:i/>
          <w:iCs/>
          <w:color w:val="000000"/>
        </w:rPr>
      </w:pPr>
    </w:p>
    <w:p w14:paraId="2966A5C2" w14:textId="77777777" w:rsidR="00574799" w:rsidRDefault="00F20C16">
      <w:pPr>
        <w:numPr>
          <w:ilvl w:val="0"/>
          <w:numId w:val="6"/>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dichas condiciones, la controversia a resolver en el presente proveído, corresponde a determinar si se actualiza la causal de procedencia prevista en el </w:t>
      </w:r>
      <w:r>
        <w:rPr>
          <w:rFonts w:ascii="Palatino Linotype" w:eastAsia="Palatino Linotype" w:hAnsi="Palatino Linotype" w:cs="Palatino Linotype"/>
          <w:b/>
          <w:bCs/>
        </w:rPr>
        <w:t>artículo 179, fracción I, de la Ley de Transparencia y Acceso a la Información Pública del Estado de México y Municipios</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 xml:space="preserve">fracción que determina la </w:t>
      </w:r>
      <w:r>
        <w:rPr>
          <w:rFonts w:ascii="Palatino Linotype" w:eastAsia="Palatino Linotype" w:hAnsi="Palatino Linotype" w:cs="Palatino Linotype"/>
          <w:b/>
          <w:bCs/>
          <w:color w:val="000000"/>
        </w:rPr>
        <w:t>hipótesis relativa a la negativa a la información solicitada</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contexto del cual se dolió el Recurrente al momento de interponer su inconformidad.</w:t>
      </w:r>
      <w:r>
        <w:rPr>
          <w:rFonts w:ascii="Palatino Linotype" w:eastAsia="Palatino Linotype" w:hAnsi="Palatino Linotype" w:cs="Palatino Linotype"/>
          <w:color w:val="000000"/>
        </w:rPr>
        <w:t xml:space="preserve"> De modo tal que el presente recurso de revisión se </w:t>
      </w:r>
      <w:r>
        <w:rPr>
          <w:rFonts w:ascii="Palatino Linotype" w:eastAsia="Palatino Linotype" w:hAnsi="Palatino Linotype" w:cs="Palatino Linotype"/>
        </w:rPr>
        <w:t>abocará</w:t>
      </w:r>
      <w:r>
        <w:rPr>
          <w:rFonts w:ascii="Palatino Linotype" w:eastAsia="Palatino Linotype" w:hAnsi="Palatino Linotype" w:cs="Palatino Linotype"/>
          <w:color w:val="000000"/>
        </w:rPr>
        <w:t xml:space="preserve"> en determinar si el Sujeto Obligado con sus respuestas ciertamente actualiza la causal de procedencia</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señalada. </w:t>
      </w:r>
    </w:p>
    <w:p w14:paraId="61F1D200" w14:textId="77777777" w:rsidR="00574799" w:rsidRDefault="00574799">
      <w:pPr>
        <w:spacing w:line="360" w:lineRule="auto"/>
        <w:ind w:right="-787"/>
        <w:rPr>
          <w:rFonts w:ascii="Palatino Linotype" w:eastAsia="Palatino Linotype" w:hAnsi="Palatino Linotype" w:cs="Palatino Linotype"/>
        </w:rPr>
      </w:pPr>
    </w:p>
    <w:p w14:paraId="151231A1" w14:textId="77777777" w:rsidR="00574799" w:rsidRDefault="00F20C16">
      <w:pPr>
        <w:pStyle w:val="Ttulo2"/>
        <w:rPr>
          <w:rFonts w:ascii="Palatino Linotype" w:eastAsia="Palatino Linotype" w:hAnsi="Palatino Linotype" w:cs="Palatino Linotype"/>
          <w:b/>
          <w:bCs/>
          <w:color w:val="000000"/>
          <w:sz w:val="24"/>
          <w:szCs w:val="24"/>
        </w:rPr>
      </w:pPr>
      <w:bookmarkStart w:id="6" w:name="_heading=h.1t3h5sf" w:colFirst="0" w:colLast="0"/>
      <w:bookmarkEnd w:id="6"/>
      <w:r>
        <w:rPr>
          <w:rFonts w:ascii="Palatino Linotype" w:eastAsia="Palatino Linotype" w:hAnsi="Palatino Linotype" w:cs="Palatino Linotype"/>
          <w:b/>
          <w:bCs/>
          <w:color w:val="000000"/>
          <w:sz w:val="24"/>
          <w:szCs w:val="24"/>
        </w:rPr>
        <w:t>CUARTO. Del estudio y resolución del asunto.</w:t>
      </w:r>
    </w:p>
    <w:p w14:paraId="7606A8FA" w14:textId="77777777" w:rsidR="00574799" w:rsidRDefault="00F20C16">
      <w:pPr>
        <w:numPr>
          <w:ilvl w:val="0"/>
          <w:numId w:val="6"/>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14:paraId="788D8790" w14:textId="77777777" w:rsidR="00574799" w:rsidRDefault="00574799">
      <w:pPr>
        <w:spacing w:line="360" w:lineRule="auto"/>
        <w:ind w:right="-787"/>
        <w:jc w:val="both"/>
        <w:rPr>
          <w:rFonts w:ascii="Palatino Linotype" w:eastAsia="Palatino Linotype" w:hAnsi="Palatino Linotype" w:cs="Palatino Linotype"/>
        </w:rPr>
      </w:pPr>
    </w:p>
    <w:p w14:paraId="68968C2E" w14:textId="77777777" w:rsidR="00574799" w:rsidRDefault="00F20C16">
      <w:pPr>
        <w:numPr>
          <w:ilvl w:val="0"/>
          <w:numId w:val="6"/>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Asimismo, es relevante mencionar que el artículo 19, del ordenamiento local de la materia señala que se presume que la información debe existir si se refiere a las facultades, </w:t>
      </w:r>
      <w:r>
        <w:rPr>
          <w:rFonts w:ascii="Palatino Linotype" w:eastAsia="Palatino Linotype" w:hAnsi="Palatino Linotype" w:cs="Palatino Linotype"/>
        </w:rPr>
        <w:lastRenderedPageBreak/>
        <w:t>competencias y funciones que los ordenamientos jurídicos aplicables otorgan a los sujetos obligados y en caso de que dichas facultades no se hayan ejercido, se deberá motivar la respuesta en función de las causas que motivaron tal circunstancia.</w:t>
      </w:r>
    </w:p>
    <w:p w14:paraId="728CBE10" w14:textId="77777777" w:rsidR="00574799" w:rsidRDefault="00574799">
      <w:pPr>
        <w:pBdr>
          <w:top w:val="nil"/>
          <w:left w:val="nil"/>
          <w:bottom w:val="nil"/>
          <w:right w:val="nil"/>
          <w:between w:val="nil"/>
        </w:pBdr>
        <w:spacing w:line="360" w:lineRule="auto"/>
        <w:ind w:left="720" w:right="-787"/>
        <w:rPr>
          <w:rFonts w:ascii="Palatino Linotype" w:eastAsia="Palatino Linotype" w:hAnsi="Palatino Linotype" w:cs="Palatino Linotype"/>
          <w:color w:val="000000"/>
        </w:rPr>
      </w:pPr>
    </w:p>
    <w:p w14:paraId="1C646799" w14:textId="77777777" w:rsidR="00574799" w:rsidRDefault="00F20C16">
      <w:pPr>
        <w:numPr>
          <w:ilvl w:val="0"/>
          <w:numId w:val="6"/>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14:paraId="52E70EC1" w14:textId="77777777" w:rsidR="00574799" w:rsidRDefault="00574799">
      <w:pPr>
        <w:spacing w:line="360" w:lineRule="auto"/>
        <w:ind w:right="-787"/>
        <w:jc w:val="both"/>
        <w:rPr>
          <w:rFonts w:ascii="Palatino Linotype" w:eastAsia="Palatino Linotype" w:hAnsi="Palatino Linotype" w:cs="Palatino Linotype"/>
        </w:rPr>
      </w:pPr>
    </w:p>
    <w:p w14:paraId="052DE878" w14:textId="77777777" w:rsidR="00574799" w:rsidRDefault="00F20C16">
      <w:pPr>
        <w:numPr>
          <w:ilvl w:val="0"/>
          <w:numId w:val="8"/>
        </w:numPr>
        <w:pBdr>
          <w:top w:val="nil"/>
          <w:left w:val="nil"/>
          <w:bottom w:val="nil"/>
          <w:right w:val="nil"/>
          <w:between w:val="nil"/>
        </w:pBdr>
        <w:spacing w:line="360" w:lineRule="auto"/>
        <w:ind w:right="-787"/>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Del Sujeto Obligado.</w:t>
      </w:r>
    </w:p>
    <w:p w14:paraId="4D3BFBB7" w14:textId="77777777" w:rsidR="00574799" w:rsidRDefault="00F20C16">
      <w:pPr>
        <w:numPr>
          <w:ilvl w:val="0"/>
          <w:numId w:val="6"/>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La Administración Pública Municipal estará conformada por Dependencias y Unidades Administrativas que estarán subordinadas al Presidente Municipal, así como por los Organismos Descentralizados que se integrarán y funcionarán de conformidad con las normas que les sean aplicables, y para el despacho de los asuntos de la Administración, dentro de sus dependencias se encuentra la Dirección de Administración, tal como lo refiere el Bando Municipal 2025:</w:t>
      </w:r>
    </w:p>
    <w:p w14:paraId="7760C880" w14:textId="77777777" w:rsidR="006D5695" w:rsidRDefault="006D5695">
      <w:pPr>
        <w:ind w:left="566" w:right="-220"/>
        <w:jc w:val="center"/>
        <w:rPr>
          <w:rFonts w:ascii="Palatino Linotype" w:eastAsia="Palatino Linotype" w:hAnsi="Palatino Linotype" w:cs="Palatino Linotype"/>
          <w:b/>
          <w:bCs/>
          <w:i/>
          <w:iCs/>
        </w:rPr>
      </w:pPr>
    </w:p>
    <w:p w14:paraId="56F8C372" w14:textId="77777777" w:rsidR="006D5695" w:rsidRDefault="006D5695">
      <w:pPr>
        <w:ind w:left="566" w:right="-220"/>
        <w:jc w:val="center"/>
        <w:rPr>
          <w:rFonts w:ascii="Palatino Linotype" w:eastAsia="Palatino Linotype" w:hAnsi="Palatino Linotype" w:cs="Palatino Linotype"/>
          <w:b/>
          <w:bCs/>
          <w:i/>
          <w:iCs/>
        </w:rPr>
      </w:pPr>
    </w:p>
    <w:p w14:paraId="206ECA74" w14:textId="77777777" w:rsidR="006D5695" w:rsidRDefault="006D5695">
      <w:pPr>
        <w:ind w:left="566" w:right="-220"/>
        <w:jc w:val="center"/>
        <w:rPr>
          <w:rFonts w:ascii="Palatino Linotype" w:eastAsia="Palatino Linotype" w:hAnsi="Palatino Linotype" w:cs="Palatino Linotype"/>
          <w:b/>
          <w:bCs/>
          <w:i/>
          <w:iCs/>
        </w:rPr>
      </w:pPr>
    </w:p>
    <w:p w14:paraId="11347732" w14:textId="77777777" w:rsidR="00574799" w:rsidRDefault="00F20C16">
      <w:pPr>
        <w:ind w:left="566" w:right="-220"/>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lastRenderedPageBreak/>
        <w:t>Bando Municipal 2025</w:t>
      </w:r>
    </w:p>
    <w:p w14:paraId="24CD793B" w14:textId="77777777" w:rsidR="00574799" w:rsidRDefault="00574799">
      <w:pPr>
        <w:ind w:left="566" w:right="-220"/>
        <w:jc w:val="center"/>
        <w:rPr>
          <w:rFonts w:ascii="Palatino Linotype" w:eastAsia="Palatino Linotype" w:hAnsi="Palatino Linotype" w:cs="Palatino Linotype"/>
          <w:b/>
          <w:bCs/>
          <w:i/>
          <w:iCs/>
        </w:rPr>
      </w:pPr>
    </w:p>
    <w:p w14:paraId="79B08B85" w14:textId="77777777" w:rsidR="00574799" w:rsidRDefault="00F20C16">
      <w:pPr>
        <w:ind w:left="566" w:right="-220"/>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ARTÍCULO 21. </w:t>
      </w:r>
      <w:r>
        <w:rPr>
          <w:rFonts w:ascii="Palatino Linotype" w:eastAsia="Palatino Linotype" w:hAnsi="Palatino Linotype" w:cs="Palatino Linotype"/>
          <w:i/>
          <w:iCs/>
        </w:rPr>
        <w:t>Para el despacho, estudio y planeación de los diversos asuntos de la Administración Pública Municipal, el Ayuntamiento contará con las siguientes Dependencias:</w:t>
      </w:r>
    </w:p>
    <w:p w14:paraId="04E56B46" w14:textId="77777777" w:rsidR="00574799" w:rsidRDefault="00F20C16">
      <w:pPr>
        <w:ind w:left="566" w:right="-220"/>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14:paraId="70511CF1" w14:textId="77777777" w:rsidR="00574799" w:rsidRDefault="00F20C16">
      <w:pPr>
        <w:ind w:left="566" w:right="-220"/>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XVIII. Dirección de Administración.</w:t>
      </w:r>
    </w:p>
    <w:p w14:paraId="72D03273" w14:textId="77777777" w:rsidR="00574799" w:rsidRDefault="00F20C16">
      <w:pPr>
        <w:ind w:left="566" w:right="-220"/>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w:t>
      </w:r>
    </w:p>
    <w:p w14:paraId="382C4B02" w14:textId="77777777" w:rsidR="00574799" w:rsidRDefault="00574799">
      <w:pPr>
        <w:ind w:left="566" w:right="-220"/>
        <w:jc w:val="both"/>
        <w:rPr>
          <w:rFonts w:ascii="Palatino Linotype" w:eastAsia="Palatino Linotype" w:hAnsi="Palatino Linotype" w:cs="Palatino Linotype"/>
          <w:b/>
          <w:bCs/>
          <w:i/>
          <w:iCs/>
        </w:rPr>
      </w:pPr>
    </w:p>
    <w:p w14:paraId="5559760B" w14:textId="77777777" w:rsidR="006D5695" w:rsidRDefault="006D5695">
      <w:pPr>
        <w:ind w:left="566" w:right="-220"/>
        <w:jc w:val="both"/>
        <w:rPr>
          <w:rFonts w:ascii="Palatino Linotype" w:eastAsia="Palatino Linotype" w:hAnsi="Palatino Linotype" w:cs="Palatino Linotype"/>
          <w:b/>
          <w:bCs/>
          <w:i/>
          <w:iCs/>
        </w:rPr>
      </w:pPr>
    </w:p>
    <w:p w14:paraId="16464E7E" w14:textId="77777777" w:rsidR="00574799" w:rsidRDefault="00F20C16">
      <w:pPr>
        <w:numPr>
          <w:ilvl w:val="0"/>
          <w:numId w:val="6"/>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La </w:t>
      </w:r>
      <w:r>
        <w:rPr>
          <w:rFonts w:ascii="Palatino Linotype" w:eastAsia="Palatino Linotype" w:hAnsi="Palatino Linotype" w:cs="Palatino Linotype"/>
          <w:b/>
          <w:bCs/>
        </w:rPr>
        <w:t>Dirección de Administración</w:t>
      </w:r>
      <w:r>
        <w:rPr>
          <w:rFonts w:ascii="Palatino Linotype" w:eastAsia="Palatino Linotype" w:hAnsi="Palatino Linotype" w:cs="Palatino Linotype"/>
        </w:rPr>
        <w:t xml:space="preserve"> será la encargada de proporcionar soporte material, técnico, humano, administrativo, así como organizacional, que permita a los servidores públicos de la Administración Municipal Centralizada, atender las demandas y necesidades de la ciudadanía optimizando las funciones de la misma. Así mismo, se encargará de vigilar la normatividad de las relaciones entre el Municipio y sus servidores públicos, la selección, contratación y capacitación del personal que requieran las Dependencias de la administración municipal; tiene dentro de sus funciones las enunciadas en el Reglamento Interior de la Administración Pública Municipal de Teoloyucan:</w:t>
      </w:r>
    </w:p>
    <w:p w14:paraId="223DE52F" w14:textId="77777777" w:rsidR="00574799" w:rsidRDefault="00F20C16">
      <w:pPr>
        <w:ind w:left="566" w:right="-220"/>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Reglamento Interior de la Administración Pública Municipal de Teoloyucan</w:t>
      </w:r>
    </w:p>
    <w:p w14:paraId="3B8DF266" w14:textId="77777777" w:rsidR="00574799" w:rsidRDefault="00574799">
      <w:pPr>
        <w:ind w:left="566" w:right="-220"/>
        <w:rPr>
          <w:rFonts w:ascii="Palatino Linotype" w:eastAsia="Palatino Linotype" w:hAnsi="Palatino Linotype" w:cs="Palatino Linotype"/>
          <w:b/>
          <w:bCs/>
          <w:i/>
          <w:iCs/>
        </w:rPr>
      </w:pPr>
    </w:p>
    <w:p w14:paraId="4F9900FB" w14:textId="77777777" w:rsidR="00574799" w:rsidRDefault="00F20C16">
      <w:pPr>
        <w:ind w:left="566" w:right="-220"/>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136.</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La Dirección de Administración</w:t>
      </w:r>
      <w:r>
        <w:rPr>
          <w:rFonts w:ascii="Palatino Linotype" w:eastAsia="Palatino Linotype" w:hAnsi="Palatino Linotype" w:cs="Palatino Linotype"/>
          <w:i/>
          <w:iCs/>
        </w:rPr>
        <w:t xml:space="preserve"> estará a cargo de un Director a quien, le corresponderá el ejercicio de las siguientes atribuciones:</w:t>
      </w:r>
    </w:p>
    <w:p w14:paraId="3BC7736D" w14:textId="77777777" w:rsidR="00574799" w:rsidRDefault="00574799">
      <w:pPr>
        <w:ind w:left="566" w:right="-220"/>
        <w:jc w:val="both"/>
        <w:rPr>
          <w:rFonts w:ascii="Palatino Linotype" w:eastAsia="Palatino Linotype" w:hAnsi="Palatino Linotype" w:cs="Palatino Linotype"/>
          <w:i/>
          <w:iCs/>
        </w:rPr>
      </w:pPr>
    </w:p>
    <w:p w14:paraId="6DA3F90F" w14:textId="77777777" w:rsidR="00574799" w:rsidRDefault="00F20C16">
      <w:pPr>
        <w:ind w:left="566" w:right="-220"/>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 Supervisar el cumplimiento de las disposiciones legales que regulen las relaciones entre la Administración Pública y sus servidores públicos. </w:t>
      </w:r>
    </w:p>
    <w:p w14:paraId="469693D5" w14:textId="77777777" w:rsidR="00574799" w:rsidRDefault="00F20C16">
      <w:pPr>
        <w:ind w:left="566" w:right="-220"/>
        <w:jc w:val="both"/>
        <w:rPr>
          <w:rFonts w:ascii="Palatino Linotype" w:eastAsia="Palatino Linotype" w:hAnsi="Palatino Linotype" w:cs="Palatino Linotype"/>
          <w:i/>
          <w:iCs/>
        </w:rPr>
      </w:pPr>
      <w:r>
        <w:rPr>
          <w:rFonts w:ascii="Palatino Linotype" w:eastAsia="Palatino Linotype" w:hAnsi="Palatino Linotype" w:cs="Palatino Linotype"/>
          <w:i/>
          <w:iCs/>
        </w:rPr>
        <w:t>II. Poner a consideración del Presidente Municipal, los nombramientos, sueldos, remociones, renuncias y licencias de los servidores públicos de la Administración Pública Municipal, atendiendo a las disposiciones de la normatividad aplicable.</w:t>
      </w:r>
    </w:p>
    <w:p w14:paraId="19B23510" w14:textId="77777777" w:rsidR="00574799" w:rsidRDefault="00F20C16">
      <w:pPr>
        <w:ind w:left="566" w:right="-220"/>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14:paraId="64AA62C1" w14:textId="77777777" w:rsidR="00574799" w:rsidRDefault="00F20C16">
      <w:pPr>
        <w:ind w:left="566" w:right="-220"/>
        <w:jc w:val="both"/>
        <w:rPr>
          <w:rFonts w:ascii="Palatino Linotype" w:eastAsia="Palatino Linotype" w:hAnsi="Palatino Linotype" w:cs="Palatino Linotype"/>
          <w:i/>
          <w:iCs/>
        </w:rPr>
      </w:pPr>
      <w:r>
        <w:rPr>
          <w:rFonts w:ascii="Palatino Linotype" w:eastAsia="Palatino Linotype" w:hAnsi="Palatino Linotype" w:cs="Palatino Linotype"/>
          <w:i/>
          <w:iCs/>
        </w:rPr>
        <w:t>XX. Supervisar que el personal que requieran las Dependencias para el debido ejercicio de sus funciones, sea debidamente seleccionado, contratado y capacitado cuando así lo requieran, las características de los puestos, atendiendo a la normatividad aplicable.</w:t>
      </w:r>
    </w:p>
    <w:p w14:paraId="779B6BF0" w14:textId="77777777" w:rsidR="00574799" w:rsidRDefault="00F20C16">
      <w:pPr>
        <w:ind w:left="566" w:right="-220"/>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w:t>
      </w:r>
    </w:p>
    <w:p w14:paraId="2088D09F" w14:textId="77777777" w:rsidR="00574799" w:rsidRDefault="00F20C16">
      <w:pPr>
        <w:ind w:left="566" w:right="-220"/>
        <w:jc w:val="both"/>
        <w:rPr>
          <w:rFonts w:ascii="Palatino Linotype" w:eastAsia="Palatino Linotype" w:hAnsi="Palatino Linotype" w:cs="Palatino Linotype"/>
          <w:i/>
          <w:iCs/>
        </w:rPr>
      </w:pPr>
      <w:r>
        <w:rPr>
          <w:rFonts w:ascii="Palatino Linotype" w:eastAsia="Palatino Linotype" w:hAnsi="Palatino Linotype" w:cs="Palatino Linotype"/>
          <w:i/>
          <w:iCs/>
        </w:rPr>
        <w:t>XXIX. Supervisar la revisión de los tabuladores de categorías y la dispersión de las percepciones de los servidores públicos municipales.</w:t>
      </w:r>
    </w:p>
    <w:p w14:paraId="3BB8361C" w14:textId="77777777" w:rsidR="00574799" w:rsidRDefault="00574799">
      <w:pPr>
        <w:ind w:right="-220"/>
        <w:jc w:val="both"/>
        <w:rPr>
          <w:rFonts w:ascii="Palatino Linotype" w:eastAsia="Palatino Linotype" w:hAnsi="Palatino Linotype" w:cs="Palatino Linotype"/>
          <w:i/>
          <w:iCs/>
        </w:rPr>
      </w:pPr>
    </w:p>
    <w:p w14:paraId="25009B8D" w14:textId="77777777" w:rsidR="00574799" w:rsidRDefault="00574799">
      <w:pPr>
        <w:ind w:right="-220"/>
        <w:jc w:val="both"/>
        <w:rPr>
          <w:rFonts w:ascii="Palatino Linotype" w:eastAsia="Palatino Linotype" w:hAnsi="Palatino Linotype" w:cs="Palatino Linotype"/>
          <w:i/>
          <w:iCs/>
        </w:rPr>
      </w:pPr>
    </w:p>
    <w:p w14:paraId="235C3FB9" w14:textId="77777777" w:rsidR="00574799" w:rsidRDefault="00F20C16">
      <w:pPr>
        <w:numPr>
          <w:ilvl w:val="0"/>
          <w:numId w:val="6"/>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 xml:space="preserve">De lo expuesto es de precisar que la respuesta fue emitida por la </w:t>
      </w:r>
      <w:r>
        <w:rPr>
          <w:rFonts w:ascii="Palatino Linotype" w:eastAsia="Palatino Linotype" w:hAnsi="Palatino Linotype" w:cs="Palatino Linotype"/>
          <w:b/>
          <w:bCs/>
        </w:rPr>
        <w:t>Unidad de Transparencia</w:t>
      </w:r>
      <w:r>
        <w:rPr>
          <w:rFonts w:ascii="Palatino Linotype" w:eastAsia="Palatino Linotype" w:hAnsi="Palatino Linotype" w:cs="Palatino Linotype"/>
        </w:rPr>
        <w:t xml:space="preserve">, sin haber sido proporcionada por la unidad administrativa competente, que de manera enunciativa más no limitativa es la </w:t>
      </w:r>
      <w:r>
        <w:rPr>
          <w:rFonts w:ascii="Palatino Linotype" w:eastAsia="Palatino Linotype" w:hAnsi="Palatino Linotype" w:cs="Palatino Linotype"/>
          <w:b/>
          <w:bCs/>
        </w:rPr>
        <w:t>Dirección de Administración</w:t>
      </w:r>
      <w:r>
        <w:rPr>
          <w:rFonts w:ascii="Palatino Linotype" w:eastAsia="Palatino Linotype" w:hAnsi="Palatino Linotype" w:cs="Palatino Linotype"/>
        </w:rPr>
        <w:t xml:space="preserve">, de conformidad con sus atribuciones, por lo que podemos advertir que </w:t>
      </w:r>
      <w:r>
        <w:rPr>
          <w:rFonts w:ascii="Palatino Linotype" w:eastAsia="Palatino Linotype" w:hAnsi="Palatino Linotype" w:cs="Palatino Linotype"/>
          <w:b/>
          <w:bCs/>
        </w:rPr>
        <w:t xml:space="preserve">EL SUJETO OBLIGADO no </w:t>
      </w:r>
      <w:r>
        <w:rPr>
          <w:rFonts w:ascii="Palatino Linotype" w:eastAsia="Palatino Linotype" w:hAnsi="Palatino Linotype" w:cs="Palatino Linotype"/>
        </w:rPr>
        <w:t xml:space="preserve">siguió el procedimiento inmerso en la normatividad aplicable, ya que </w:t>
      </w:r>
      <w:r>
        <w:rPr>
          <w:rFonts w:ascii="Palatino Linotype" w:eastAsia="Palatino Linotype" w:hAnsi="Palatino Linotype" w:cs="Palatino Linotype"/>
          <w:b/>
          <w:bCs/>
        </w:rPr>
        <w:t>no turnar</w:t>
      </w:r>
      <w:r>
        <w:rPr>
          <w:rFonts w:ascii="Palatino Linotype" w:eastAsia="Palatino Linotype" w:hAnsi="Palatino Linotype" w:cs="Palatino Linotype"/>
        </w:rPr>
        <w:t xml:space="preserve"> los requerimientos de información a las unidades administrativas competentes en las que pudiera obrar la información, conforme a lo establecido por el artículo 162 de la Ley de Transparencia y Acceso a la Información Pública del Estado de México y Municipios, de conformidad con la fracción XXXIX, del artículo tercero de la legislación local vigente en materia de transparencia:</w:t>
      </w:r>
    </w:p>
    <w:p w14:paraId="25056B55" w14:textId="77777777" w:rsidR="00574799" w:rsidRDefault="00F20C16">
      <w:pPr>
        <w:ind w:left="567" w:right="-1071"/>
        <w:jc w:val="both"/>
        <w:rPr>
          <w:rFonts w:ascii="Palatino Linotype" w:eastAsia="Palatino Linotype" w:hAnsi="Palatino Linotype" w:cs="Palatino Linotype"/>
          <w:i/>
          <w:iCs/>
        </w:rPr>
      </w:pPr>
      <w:r>
        <w:rPr>
          <w:rFonts w:ascii="Palatino Linotype" w:eastAsia="Palatino Linotype" w:hAnsi="Palatino Linotype" w:cs="Palatino Linotype"/>
          <w:b/>
          <w:bCs/>
          <w:i/>
          <w:iCs/>
        </w:rPr>
        <w:t>XXXIX.</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Servidor público habilitado</w:t>
      </w:r>
      <w:r>
        <w:rPr>
          <w:rFonts w:ascii="Palatino Linotype" w:eastAsia="Palatino Linotype" w:hAnsi="Palatino Linotype" w:cs="Palatino Linotype"/>
          <w:i/>
          <w:iCs/>
        </w:rPr>
        <w:t>: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14:paraId="5BF36E86" w14:textId="77777777" w:rsidR="00574799" w:rsidRDefault="00574799">
      <w:pPr>
        <w:ind w:right="-1071"/>
        <w:jc w:val="both"/>
        <w:rPr>
          <w:rFonts w:ascii="Palatino Linotype" w:eastAsia="Palatino Linotype" w:hAnsi="Palatino Linotype" w:cs="Palatino Linotype"/>
        </w:rPr>
      </w:pPr>
    </w:p>
    <w:p w14:paraId="24E3F1EF" w14:textId="77777777" w:rsidR="00574799" w:rsidRDefault="00F20C16">
      <w:pPr>
        <w:numPr>
          <w:ilvl w:val="0"/>
          <w:numId w:val="6"/>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Así las cosas, se advierte que la Unidad de Transparencia </w:t>
      </w:r>
      <w:r>
        <w:rPr>
          <w:rFonts w:ascii="Palatino Linotype" w:eastAsia="Palatino Linotype" w:hAnsi="Palatino Linotype" w:cs="Palatino Linotype"/>
          <w:b/>
          <w:bCs/>
        </w:rPr>
        <w:t>no cumplió</w:t>
      </w:r>
      <w:r>
        <w:rPr>
          <w:rFonts w:ascii="Palatino Linotype" w:eastAsia="Palatino Linotype" w:hAnsi="Palatino Linotype" w:cs="Palatino Linotype"/>
        </w:rPr>
        <w:t xml:space="preserve"> con lo establecido en el artículo 162 de la Ley de Transparencia y Acceso a la Información Pública del Estado de México y Municipios, el cual menciona lo siguiente:</w:t>
      </w:r>
    </w:p>
    <w:p w14:paraId="57C51CD6" w14:textId="77777777" w:rsidR="00574799" w:rsidRDefault="00F20C16">
      <w:pPr>
        <w:ind w:left="567" w:right="-1071"/>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162.</w:t>
      </w:r>
      <w:r>
        <w:rPr>
          <w:rFonts w:ascii="Palatino Linotype" w:eastAsia="Palatino Linotype" w:hAnsi="Palatino Linotype" w:cs="Palatino Linotype"/>
          <w:i/>
          <w:iCs/>
        </w:rPr>
        <w:t xml:space="preserve"> Las unidades de transparencia deberán garantizar que las solicitudes se turnen a </w:t>
      </w:r>
      <w:r>
        <w:rPr>
          <w:rFonts w:ascii="Palatino Linotype" w:eastAsia="Palatino Linotype" w:hAnsi="Palatino Linotype" w:cs="Palatino Linotype"/>
          <w:b/>
          <w:bCs/>
          <w:i/>
          <w:iCs/>
        </w:rPr>
        <w:t>todas las Áreas competentes</w:t>
      </w:r>
      <w:r>
        <w:rPr>
          <w:rFonts w:ascii="Palatino Linotype" w:eastAsia="Palatino Linotype" w:hAnsi="Palatino Linotype" w:cs="Palatino Linotype"/>
          <w:i/>
          <w:iCs/>
        </w:rPr>
        <w:t xml:space="preserve"> que cuenten con la información o deban tenerla de acuerdo a sus facultades, competencias y funciones, </w:t>
      </w:r>
      <w:r>
        <w:rPr>
          <w:rFonts w:ascii="Palatino Linotype" w:eastAsia="Palatino Linotype" w:hAnsi="Palatino Linotype" w:cs="Palatino Linotype"/>
          <w:b/>
          <w:bCs/>
          <w:i/>
          <w:iCs/>
        </w:rPr>
        <w:t>con el objeto de que realicen una búsqueda exhaustiva y razonable de la información solicitada</w:t>
      </w:r>
      <w:r>
        <w:rPr>
          <w:rFonts w:ascii="Palatino Linotype" w:eastAsia="Palatino Linotype" w:hAnsi="Palatino Linotype" w:cs="Palatino Linotype"/>
          <w:i/>
          <w:iCs/>
        </w:rPr>
        <w:t>.”</w:t>
      </w:r>
    </w:p>
    <w:p w14:paraId="3FF034BB" w14:textId="77777777" w:rsidR="00574799" w:rsidRDefault="00574799">
      <w:p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p>
    <w:p w14:paraId="7D23AE7D" w14:textId="77777777" w:rsidR="00574799" w:rsidRDefault="00F20C16">
      <w:pPr>
        <w:numPr>
          <w:ilvl w:val="0"/>
          <w:numId w:val="6"/>
        </w:numPr>
        <w:spacing w:line="360" w:lineRule="auto"/>
        <w:ind w:left="0" w:right="-787"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rPr>
        <w:lastRenderedPageBreak/>
        <w:t>El buscar exhaustivamente en sus archivos, es identificar la unidad(s) administrativa(s) que resguardan el documento al que una persona pretende acceder, es practicar una adecuada gestión documental que nos permite localizar el documento, como bien señala el artículo 159, de la Ley de Transparencia;  por lo que, se puede apreciar que probablemente se cuente con la información solicitada.</w:t>
      </w:r>
    </w:p>
    <w:p w14:paraId="5CE9F954" w14:textId="77777777" w:rsidR="00574799" w:rsidRDefault="00574799">
      <w:pPr>
        <w:pBdr>
          <w:top w:val="nil"/>
          <w:left w:val="nil"/>
          <w:bottom w:val="nil"/>
          <w:right w:val="nil"/>
          <w:between w:val="nil"/>
        </w:pBdr>
        <w:ind w:right="-1071"/>
        <w:rPr>
          <w:rFonts w:ascii="Palatino Linotype" w:eastAsia="Palatino Linotype" w:hAnsi="Palatino Linotype" w:cs="Palatino Linotype"/>
          <w:b/>
          <w:bCs/>
          <w:color w:val="000000"/>
        </w:rPr>
      </w:pPr>
    </w:p>
    <w:p w14:paraId="170EF88A" w14:textId="77777777" w:rsidR="00574799" w:rsidRDefault="00F20C16">
      <w:pPr>
        <w:numPr>
          <w:ilvl w:val="0"/>
          <w:numId w:val="6"/>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 xml:space="preserve">Por lo anterior, de la respuesta emitida a la solicitud de información, no se tiene la certeza de que efectivamente se haya llevado a cabo la búsqueda de lo requerido de manera razonable, en el soporte documental, electrónico, digital o cualquier otro que se albergan en los archivos de cada área que conforman al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y que derivado de sus funciones, atribuciones y competencias haya generado algún tipo de documento en el que se haya registrado lo solicitado. En ese sentido si no existe evidencia documental que acredite que en efecto, se haya realizado una búsqueda exhaustiva y razonable de lo solicitado, para poder confirmar que la respuesta es correcta.</w:t>
      </w:r>
    </w:p>
    <w:p w14:paraId="346184A0" w14:textId="77777777" w:rsidR="00574799" w:rsidRDefault="00574799">
      <w:pPr>
        <w:ind w:left="567" w:right="-220"/>
        <w:jc w:val="both"/>
        <w:rPr>
          <w:rFonts w:ascii="Palatino Linotype" w:eastAsia="Palatino Linotype" w:hAnsi="Palatino Linotype" w:cs="Palatino Linotype"/>
          <w:i/>
          <w:iCs/>
        </w:rPr>
      </w:pPr>
    </w:p>
    <w:p w14:paraId="1C29B456" w14:textId="77777777" w:rsidR="00574799" w:rsidRDefault="00F20C16">
      <w:pPr>
        <w:numPr>
          <w:ilvl w:val="0"/>
          <w:numId w:val="6"/>
        </w:numPr>
        <w:spacing w:line="360" w:lineRule="auto"/>
        <w:ind w:left="0" w:right="-787" w:firstLine="0"/>
        <w:jc w:val="both"/>
        <w:rPr>
          <w:color w:val="000000"/>
        </w:rPr>
      </w:pPr>
      <w:r>
        <w:rPr>
          <w:rFonts w:ascii="Palatino Linotype" w:eastAsia="Palatino Linotype" w:hAnsi="Palatino Linotype" w:cs="Palatino Linotype"/>
          <w:color w:val="000000"/>
        </w:rPr>
        <w:t xml:space="preserve">Es de subrayar que el derecho de acceso a la información pública, consiste en que la información </w:t>
      </w:r>
      <w:r>
        <w:rPr>
          <w:rFonts w:ascii="Palatino Linotype" w:eastAsia="Palatino Linotype" w:hAnsi="Palatino Linotype" w:cs="Palatino Linotype"/>
        </w:rPr>
        <w:t>solicitada</w:t>
      </w:r>
      <w:r>
        <w:rPr>
          <w:rFonts w:ascii="Palatino Linotype" w:eastAsia="Palatino Linotype" w:hAnsi="Palatino Linotype" w:cs="Palatino Linotype"/>
          <w:color w:val="000000"/>
        </w:rPr>
        <w:t xml:space="preserve"> conste en un soporte documental en cualquiera de sus formas, a saber: </w:t>
      </w:r>
      <w:r>
        <w:rPr>
          <w:rFonts w:ascii="Palatino Linotype" w:eastAsia="Palatino Linotype" w:hAnsi="Palatino Linotype" w:cs="Palatino Linotype"/>
        </w:rPr>
        <w:t>expedientes</w:t>
      </w:r>
      <w:r>
        <w:rPr>
          <w:rFonts w:ascii="Palatino Linotype" w:eastAsia="Palatino Linotype" w:hAnsi="Palatino Linotype" w:cs="Palatino Linotype"/>
          <w:color w:val="000000"/>
        </w:rPr>
        <w:t xml:space="preserve">, reportes, estudios, actas, resoluciones, oficios, correspondencia, acuerdos, directivas, directrices, circulares, contratos, convenios, instructivos, notas, memorandos, estadísticas o bien, cualquier otro registro que documente el ejercicio de las facultades, funciones y </w:t>
      </w:r>
      <w:r>
        <w:rPr>
          <w:rFonts w:ascii="Palatino Linotype" w:eastAsia="Palatino Linotype" w:hAnsi="Palatino Linotype" w:cs="Palatino Linotype"/>
        </w:rPr>
        <w:t>competencias</w:t>
      </w:r>
      <w:r>
        <w:rPr>
          <w:rFonts w:ascii="Palatino Linotype" w:eastAsia="Palatino Linotype" w:hAnsi="Palatino Linotype" w:cs="Palatino Linotype"/>
          <w:color w:val="000000"/>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06F8024A" w14:textId="77777777" w:rsidR="00574799" w:rsidRDefault="00F20C16">
      <w:pPr>
        <w:ind w:left="567"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 xml:space="preserve">Artículo 3. </w:t>
      </w:r>
      <w:r>
        <w:rPr>
          <w:rFonts w:ascii="Palatino Linotype" w:eastAsia="Palatino Linotype" w:hAnsi="Palatino Linotype" w:cs="Palatino Linotype"/>
          <w:i/>
          <w:iCs/>
          <w:color w:val="000000"/>
        </w:rPr>
        <w:t>Para los efectos de la presente Ley se entenderá por:</w:t>
      </w:r>
    </w:p>
    <w:p w14:paraId="737C8973" w14:textId="77777777" w:rsidR="00574799" w:rsidRDefault="00F20C16">
      <w:pPr>
        <w:ind w:left="567"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14:paraId="0BB2064E" w14:textId="77777777" w:rsidR="00574799" w:rsidRDefault="00F20C16">
      <w:pPr>
        <w:ind w:left="567"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lastRenderedPageBreak/>
        <w:t>XI. Documento:</w:t>
      </w:r>
      <w:r>
        <w:rPr>
          <w:rFonts w:ascii="Palatino Linotype" w:eastAsia="Palatino Linotype" w:hAnsi="Palatino Linotype" w:cs="Palatino Linotype"/>
          <w:i/>
          <w:iCs/>
          <w:color w:val="000000"/>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14:paraId="47A885D3" w14:textId="77777777" w:rsidR="00574799" w:rsidRDefault="00F20C16">
      <w:pPr>
        <w:spacing w:line="360" w:lineRule="auto"/>
        <w:ind w:left="567"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14:paraId="2722BEEE" w14:textId="77777777" w:rsidR="00574799" w:rsidRDefault="00574799">
      <w:pPr>
        <w:ind w:right="-787"/>
        <w:jc w:val="both"/>
        <w:rPr>
          <w:rFonts w:ascii="Palatino Linotype" w:eastAsia="Palatino Linotype" w:hAnsi="Palatino Linotype" w:cs="Palatino Linotype"/>
        </w:rPr>
      </w:pPr>
    </w:p>
    <w:p w14:paraId="7B036AAD" w14:textId="77777777" w:rsidR="00574799" w:rsidRDefault="00F20C16">
      <w:pPr>
        <w:numPr>
          <w:ilvl w:val="0"/>
          <w:numId w:val="6"/>
        </w:numPr>
        <w:spacing w:line="360" w:lineRule="auto"/>
        <w:ind w:left="0" w:right="-787" w:firstLine="0"/>
        <w:jc w:val="both"/>
        <w:rPr>
          <w:color w:val="000000"/>
        </w:rPr>
      </w:pPr>
      <w:r>
        <w:rPr>
          <w:rFonts w:ascii="Palatino Linotype" w:eastAsia="Palatino Linotype" w:hAnsi="Palatino Linotype" w:cs="Palatino Linotype"/>
          <w:color w:val="000000"/>
        </w:rPr>
        <w:t xml:space="preserve">Siendo aplicable el Criterio de interpretación en el orden administrativo número 0002-11, emitido por Acuerdo del Pleno del Instituto de Transparencia y Acceso a la Información Pública del </w:t>
      </w:r>
      <w:r>
        <w:rPr>
          <w:rFonts w:ascii="Palatino Linotype" w:eastAsia="Palatino Linotype" w:hAnsi="Palatino Linotype" w:cs="Palatino Linotype"/>
        </w:rPr>
        <w:t>Estado</w:t>
      </w:r>
      <w:r>
        <w:rPr>
          <w:rFonts w:ascii="Palatino Linotype" w:eastAsia="Palatino Linotype" w:hAnsi="Palatino Linotype" w:cs="Palatino Linotype"/>
          <w:color w:val="000000"/>
        </w:rPr>
        <w:t xml:space="preserve"> de México y Municipios; publicado en el Periódico Oficial del Gobierno del Estado Libre y Soberano de México “Gaceta del Gobierno”, el diecinueve de octubre de dos mil once, cuyo rubro y texto dispone:</w:t>
      </w:r>
    </w:p>
    <w:p w14:paraId="4D207438" w14:textId="77777777" w:rsidR="00574799" w:rsidRDefault="00F20C16">
      <w:pPr>
        <w:ind w:left="567" w:right="-220"/>
        <w:jc w:val="both"/>
        <w:rPr>
          <w:rFonts w:ascii="Palatino Linotype" w:eastAsia="Palatino Linotype" w:hAnsi="Palatino Linotype" w:cs="Palatino Linotype"/>
          <w:b/>
          <w:bCs/>
          <w:i/>
          <w:iCs/>
        </w:rPr>
      </w:pPr>
      <w:r>
        <w:rPr>
          <w:rFonts w:ascii="Palatino Linotype" w:eastAsia="Palatino Linotype" w:hAnsi="Palatino Linotype" w:cs="Palatino Linotype"/>
          <w:b/>
          <w:bCs/>
        </w:rPr>
        <w:t>“</w:t>
      </w:r>
      <w:r>
        <w:rPr>
          <w:rFonts w:ascii="Palatino Linotype" w:eastAsia="Palatino Linotype" w:hAnsi="Palatino Linotype" w:cs="Palatino Linotype"/>
          <w:b/>
          <w:bCs/>
          <w:i/>
          <w:iCs/>
        </w:rPr>
        <w:t>CRITERIO 0002-11</w:t>
      </w:r>
    </w:p>
    <w:p w14:paraId="71176E78" w14:textId="77777777" w:rsidR="00574799" w:rsidRDefault="00F20C16">
      <w:pPr>
        <w:ind w:left="567" w:right="-220"/>
        <w:jc w:val="both"/>
        <w:rPr>
          <w:rFonts w:ascii="Palatino Linotype" w:eastAsia="Palatino Linotype" w:hAnsi="Palatino Linotype" w:cs="Palatino Linotype"/>
          <w:i/>
          <w:iCs/>
        </w:rPr>
      </w:pPr>
      <w:r>
        <w:rPr>
          <w:rFonts w:ascii="Palatino Linotype" w:eastAsia="Palatino Linotype" w:hAnsi="Palatino Linotype" w:cs="Palatino Linotype"/>
          <w:b/>
          <w:bCs/>
          <w:i/>
          <w:iCs/>
        </w:rPr>
        <w:t>INFORMACIÓN PÚBLICA, CONCEPTO DE, EN MATERIA DE TRANSPARENCIA. INTERPRETACIÓN SISTEMÁTICA DE LOS ARTÍCULOS 2°, FRACCIÓN V, XV, Y XVI, 3°, 4°, 11 Y 41.</w:t>
      </w:r>
      <w:r>
        <w:rPr>
          <w:rFonts w:ascii="Palatino Linotype" w:eastAsia="Palatino Linotype" w:hAnsi="Palatino Linotype" w:cs="Palatino Linotype"/>
          <w:i/>
          <w:iCs/>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2AF5E18A" w14:textId="77777777" w:rsidR="00574799" w:rsidRDefault="00F20C16">
      <w:pPr>
        <w:ind w:left="567" w:right="-220"/>
        <w:jc w:val="both"/>
        <w:rPr>
          <w:rFonts w:ascii="Palatino Linotype" w:eastAsia="Palatino Linotype" w:hAnsi="Palatino Linotype" w:cs="Palatino Linotype"/>
          <w:i/>
          <w:iCs/>
        </w:rPr>
      </w:pPr>
      <w:r>
        <w:rPr>
          <w:rFonts w:ascii="Palatino Linotype" w:eastAsia="Palatino Linotype" w:hAnsi="Palatino Linotype" w:cs="Palatino Linotype"/>
          <w:i/>
          <w:iCs/>
        </w:rPr>
        <w:t>En consecuencia el acceso a la información se refiere a que se cumplan cualquiera de los siguientes tres supuestos:</w:t>
      </w:r>
    </w:p>
    <w:p w14:paraId="35DA2CFF" w14:textId="77777777" w:rsidR="00574799" w:rsidRDefault="00F20C16">
      <w:pPr>
        <w:ind w:left="567" w:right="-220"/>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1) </w:t>
      </w:r>
      <w:r>
        <w:rPr>
          <w:rFonts w:ascii="Palatino Linotype" w:eastAsia="Palatino Linotype" w:hAnsi="Palatino Linotype" w:cs="Palatino Linotype"/>
          <w:b/>
          <w:bCs/>
          <w:i/>
          <w:iCs/>
          <w:u w:val="single"/>
        </w:rPr>
        <w:t>Que se trate de información registrada en cualquier soporte documental, que en ejercicio de las atribuciones conferidas, sea generada por los Sujetos Obligados;</w:t>
      </w:r>
    </w:p>
    <w:p w14:paraId="0DFCFF84" w14:textId="77777777" w:rsidR="00574799" w:rsidRDefault="00F20C16">
      <w:pPr>
        <w:ind w:left="567" w:right="-220"/>
        <w:jc w:val="both"/>
        <w:rPr>
          <w:rFonts w:ascii="Palatino Linotype" w:eastAsia="Palatino Linotype" w:hAnsi="Palatino Linotype" w:cs="Palatino Linotype"/>
          <w:i/>
          <w:iCs/>
        </w:rPr>
      </w:pPr>
      <w:r>
        <w:rPr>
          <w:rFonts w:ascii="Palatino Linotype" w:eastAsia="Palatino Linotype" w:hAnsi="Palatino Linotype" w:cs="Palatino Linotype"/>
          <w:i/>
          <w:iCs/>
        </w:rPr>
        <w:t>2) Que se trate de información registrada en cualquier soporte documental, que en ejercicio de las atribuciones conferidas, sea administrada por los Sujetos Obligados, y</w:t>
      </w:r>
    </w:p>
    <w:p w14:paraId="3DE32C5E" w14:textId="77777777" w:rsidR="00574799" w:rsidRDefault="00F20C16">
      <w:pPr>
        <w:ind w:left="567" w:right="-220"/>
        <w:jc w:val="both"/>
        <w:rPr>
          <w:rFonts w:ascii="Palatino Linotype" w:eastAsia="Palatino Linotype" w:hAnsi="Palatino Linotype" w:cs="Palatino Linotype"/>
          <w:i/>
          <w:iCs/>
        </w:rPr>
      </w:pPr>
      <w:r>
        <w:rPr>
          <w:rFonts w:ascii="Palatino Linotype" w:eastAsia="Palatino Linotype" w:hAnsi="Palatino Linotype" w:cs="Palatino Linotype"/>
          <w:i/>
          <w:iCs/>
        </w:rPr>
        <w:t>3) Que se trate de información registrada en cualquier soporte documental, que en ejercicio de las atribuciones conferidas, se encuentre en posesión de los Sujetos Obligados.”</w:t>
      </w:r>
    </w:p>
    <w:p w14:paraId="4F29DB94" w14:textId="77777777" w:rsidR="00574799" w:rsidRDefault="00574799">
      <w:pPr>
        <w:pBdr>
          <w:top w:val="nil"/>
          <w:left w:val="nil"/>
          <w:bottom w:val="nil"/>
          <w:right w:val="nil"/>
          <w:between w:val="nil"/>
        </w:pBdr>
        <w:ind w:right="-787"/>
        <w:jc w:val="both"/>
        <w:rPr>
          <w:rFonts w:ascii="Palatino Linotype" w:eastAsia="Palatino Linotype" w:hAnsi="Palatino Linotype" w:cs="Palatino Linotype"/>
          <w:color w:val="000000"/>
        </w:rPr>
      </w:pPr>
    </w:p>
    <w:p w14:paraId="64125CC9" w14:textId="77777777" w:rsidR="006D5695" w:rsidRDefault="006D5695">
      <w:pPr>
        <w:pBdr>
          <w:top w:val="nil"/>
          <w:left w:val="nil"/>
          <w:bottom w:val="nil"/>
          <w:right w:val="nil"/>
          <w:between w:val="nil"/>
        </w:pBdr>
        <w:ind w:right="-787"/>
        <w:jc w:val="both"/>
        <w:rPr>
          <w:rFonts w:ascii="Palatino Linotype" w:eastAsia="Palatino Linotype" w:hAnsi="Palatino Linotype" w:cs="Palatino Linotype"/>
          <w:color w:val="000000"/>
        </w:rPr>
      </w:pPr>
    </w:p>
    <w:p w14:paraId="13D996E8" w14:textId="77777777" w:rsidR="00574799" w:rsidRDefault="00F20C16">
      <w:pPr>
        <w:numPr>
          <w:ilvl w:val="0"/>
          <w:numId w:val="6"/>
        </w:numPr>
        <w:spacing w:line="360" w:lineRule="auto"/>
        <w:ind w:left="0" w:right="-787" w:firstLine="0"/>
        <w:jc w:val="both"/>
        <w:rPr>
          <w:color w:val="000000"/>
        </w:rPr>
      </w:pPr>
      <w:r>
        <w:rPr>
          <w:rFonts w:ascii="Palatino Linotype" w:eastAsia="Palatino Linotype" w:hAnsi="Palatino Linotype" w:cs="Palatino Linotype"/>
          <w:color w:val="000000"/>
        </w:rPr>
        <w:lastRenderedPageBreak/>
        <w:t>Por su parte los artículos 160 y 166, de la Ley local en la materia, que se reproduce de la siguiente forma:</w:t>
      </w:r>
    </w:p>
    <w:p w14:paraId="2D9AE323" w14:textId="77777777" w:rsidR="00574799" w:rsidRDefault="00F20C16">
      <w:pPr>
        <w:ind w:left="566" w:right="-220"/>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160.</w:t>
      </w:r>
      <w:r>
        <w:rPr>
          <w:rFonts w:ascii="Palatino Linotype" w:eastAsia="Palatino Linotype" w:hAnsi="Palatino Linotype" w:cs="Palatino Linotype"/>
          <w:i/>
          <w:iCs/>
        </w:rPr>
        <w:t xml:space="preserve"> </w:t>
      </w:r>
      <w:r>
        <w:rPr>
          <w:rFonts w:ascii="Palatino Linotype" w:eastAsia="Palatino Linotype" w:hAnsi="Palatino Linotype" w:cs="Palatino Linotype"/>
          <w:i/>
          <w:iCs/>
          <w:u w:val="single"/>
        </w:rPr>
        <w:t>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r>
        <w:rPr>
          <w:rFonts w:ascii="Palatino Linotype" w:eastAsia="Palatino Linotype" w:hAnsi="Palatino Linotype" w:cs="Palatino Linotype"/>
          <w:i/>
          <w:iCs/>
        </w:rPr>
        <w:t>.</w:t>
      </w:r>
    </w:p>
    <w:p w14:paraId="2A088571" w14:textId="77777777" w:rsidR="00574799" w:rsidRDefault="00574799">
      <w:pPr>
        <w:ind w:left="566" w:right="-220"/>
        <w:jc w:val="both"/>
        <w:rPr>
          <w:rFonts w:ascii="Palatino Linotype" w:eastAsia="Palatino Linotype" w:hAnsi="Palatino Linotype" w:cs="Palatino Linotype"/>
          <w:i/>
          <w:iCs/>
        </w:rPr>
      </w:pPr>
    </w:p>
    <w:p w14:paraId="23F3FDB8" w14:textId="77777777" w:rsidR="00574799" w:rsidRDefault="00F20C16">
      <w:pPr>
        <w:ind w:left="566" w:right="-220"/>
        <w:jc w:val="both"/>
        <w:rPr>
          <w:rFonts w:ascii="Palatino Linotype" w:eastAsia="Palatino Linotype" w:hAnsi="Palatino Linotype" w:cs="Palatino Linotype"/>
          <w:i/>
          <w:iCs/>
        </w:rPr>
      </w:pPr>
      <w:r>
        <w:rPr>
          <w:rFonts w:ascii="Palatino Linotype" w:eastAsia="Palatino Linotype" w:hAnsi="Palatino Linotype" w:cs="Palatino Linotype"/>
          <w:i/>
          <w:iCs/>
        </w:rPr>
        <w:t>En caso que la información solicitada consista en bases de datos se deberá privilegiar la entrega de la misma en formatos abiertos.</w:t>
      </w:r>
    </w:p>
    <w:p w14:paraId="62594220" w14:textId="77777777" w:rsidR="00574799" w:rsidRDefault="00F20C16">
      <w:pPr>
        <w:ind w:left="566" w:right="-220"/>
        <w:jc w:val="both"/>
        <w:rPr>
          <w:rFonts w:ascii="Palatino Linotype" w:eastAsia="Palatino Linotype" w:hAnsi="Palatino Linotype" w:cs="Palatino Linotype"/>
          <w:i/>
          <w:iCs/>
          <w:u w:val="single"/>
        </w:rPr>
      </w:pPr>
      <w:r>
        <w:rPr>
          <w:rFonts w:ascii="Palatino Linotype" w:eastAsia="Palatino Linotype" w:hAnsi="Palatino Linotype" w:cs="Palatino Linotype"/>
          <w:b/>
          <w:bCs/>
          <w:i/>
          <w:iCs/>
        </w:rPr>
        <w:t>Artículo 166.</w:t>
      </w:r>
      <w:r>
        <w:rPr>
          <w:rFonts w:ascii="Palatino Linotype" w:eastAsia="Palatino Linotype" w:hAnsi="Palatino Linotype" w:cs="Palatino Linotype"/>
          <w:i/>
          <w:iCs/>
        </w:rPr>
        <w:t xml:space="preserve"> </w:t>
      </w:r>
      <w:r>
        <w:rPr>
          <w:rFonts w:ascii="Palatino Linotype" w:eastAsia="Palatino Linotype" w:hAnsi="Palatino Linotype" w:cs="Palatino Linotype"/>
          <w:i/>
          <w:iCs/>
          <w:u w:val="single"/>
        </w:rPr>
        <w:t>La obligación de acceso a la información pública se tendrá por cumplida cuando el solicitante tenga a su disposición la información requerida, o cuando realice la consulta de la misma en el lugar en el que ésta se localice.</w:t>
      </w:r>
    </w:p>
    <w:p w14:paraId="154AAE01" w14:textId="77777777" w:rsidR="00574799" w:rsidRDefault="00F20C16">
      <w:pPr>
        <w:spacing w:line="360" w:lineRule="auto"/>
        <w:ind w:left="566" w:right="-220"/>
        <w:jc w:val="both"/>
        <w:rPr>
          <w:rFonts w:ascii="Palatino Linotype" w:eastAsia="Palatino Linotype" w:hAnsi="Palatino Linotype" w:cs="Palatino Linotype"/>
        </w:rPr>
      </w:pPr>
      <w:r>
        <w:rPr>
          <w:rFonts w:ascii="Palatino Linotype" w:eastAsia="Palatino Linotype" w:hAnsi="Palatino Linotype" w:cs="Palatino Linotype"/>
        </w:rPr>
        <w:t>(Énfasis añadido)</w:t>
      </w:r>
    </w:p>
    <w:p w14:paraId="6D0210D0" w14:textId="77777777" w:rsidR="00574799" w:rsidRDefault="00574799">
      <w:pPr>
        <w:ind w:right="-787"/>
        <w:jc w:val="both"/>
        <w:rPr>
          <w:rFonts w:ascii="Palatino Linotype" w:eastAsia="Palatino Linotype" w:hAnsi="Palatino Linotype" w:cs="Palatino Linotype"/>
        </w:rPr>
      </w:pPr>
    </w:p>
    <w:p w14:paraId="034BDB1A" w14:textId="77777777" w:rsidR="00574799" w:rsidRDefault="00F20C16">
      <w:pPr>
        <w:numPr>
          <w:ilvl w:val="0"/>
          <w:numId w:val="6"/>
        </w:numPr>
        <w:pBdr>
          <w:top w:val="nil"/>
          <w:left w:val="nil"/>
          <w:bottom w:val="nil"/>
          <w:right w:val="nil"/>
          <w:between w:val="nil"/>
        </w:pBdr>
        <w:spacing w:line="360" w:lineRule="auto"/>
        <w:ind w:left="0" w:right="-787" w:firstLine="0"/>
        <w:jc w:val="both"/>
        <w:rPr>
          <w:color w:val="000000"/>
        </w:rPr>
      </w:pPr>
      <w:r>
        <w:rPr>
          <w:rFonts w:ascii="Palatino Linotype" w:eastAsia="Palatino Linotype" w:hAnsi="Palatino Linotype" w:cs="Palatino Linotype"/>
          <w:color w:val="000000"/>
        </w:rPr>
        <w:t>Así que la obligación de los Sujetos Obligados de dar acceso a la información pública que generen, administren o posean, se tendrá por cumplida cuando el solicitante tenga a su disposición la información requerida, o cuando realice la consulta de la misma en el lugar que ésta se localice, siempre y cuando así resultare procedente.</w:t>
      </w:r>
    </w:p>
    <w:p w14:paraId="10211857" w14:textId="77777777" w:rsidR="00574799" w:rsidRDefault="00574799">
      <w:pPr>
        <w:spacing w:line="360" w:lineRule="auto"/>
        <w:ind w:right="-787"/>
        <w:jc w:val="both"/>
        <w:rPr>
          <w:rFonts w:ascii="Palatino Linotype" w:eastAsia="Palatino Linotype" w:hAnsi="Palatino Linotype" w:cs="Palatino Linotype"/>
          <w:color w:val="000000"/>
        </w:rPr>
      </w:pPr>
    </w:p>
    <w:p w14:paraId="60AF754F" w14:textId="77777777" w:rsidR="00574799" w:rsidRDefault="00F20C16">
      <w:pPr>
        <w:numPr>
          <w:ilvl w:val="0"/>
          <w:numId w:val="6"/>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Ahora bien, es de recordar que el particular requirió </w:t>
      </w:r>
      <w:r>
        <w:rPr>
          <w:rFonts w:ascii="Palatino Linotype" w:eastAsia="Palatino Linotype" w:hAnsi="Palatino Linotype" w:cs="Palatino Linotype"/>
          <w:i/>
          <w:iCs/>
          <w:color w:val="000000"/>
          <w:u w:val="single"/>
        </w:rPr>
        <w:t>Recibos de nómina de la última quincena de octubre de 2025 y lista de las personas adscritas a la Dirección del Campo</w:t>
      </w:r>
      <w:r>
        <w:rPr>
          <w:rFonts w:ascii="Palatino Linotype" w:eastAsia="Palatino Linotype" w:hAnsi="Palatino Linotype" w:cs="Palatino Linotype"/>
          <w:color w:val="000000"/>
          <w:u w:val="single"/>
        </w:rPr>
        <w:t>,</w:t>
      </w:r>
      <w:r>
        <w:rPr>
          <w:rFonts w:ascii="Palatino Linotype" w:eastAsia="Palatino Linotype" w:hAnsi="Palatino Linotype" w:cs="Palatino Linotype"/>
          <w:color w:val="000000"/>
        </w:rPr>
        <w:t xml:space="preserve"> en respuesta el Sujeto Obligado  través de la Unidad de Transparencia remitió un link para la consulta de la información, en consecuencia el particular se dolió al referir que No se tiene actualizada la información y además que se solicitó recibos de nómina, mismos que no se encuentran en el link proporcionado, posteriormente las partes fueron omisas en rendir manifestaciones e informe justificado.</w:t>
      </w:r>
    </w:p>
    <w:p w14:paraId="46342EEA" w14:textId="77777777" w:rsidR="00574799" w:rsidRDefault="00574799">
      <w:pPr>
        <w:spacing w:line="360" w:lineRule="auto"/>
        <w:ind w:right="-787"/>
        <w:jc w:val="both"/>
        <w:rPr>
          <w:rFonts w:ascii="Palatino Linotype" w:eastAsia="Palatino Linotype" w:hAnsi="Palatino Linotype" w:cs="Palatino Linotype"/>
          <w:i/>
          <w:iCs/>
          <w:color w:val="000000"/>
        </w:rPr>
      </w:pPr>
    </w:p>
    <w:p w14:paraId="5AF8B154" w14:textId="77777777" w:rsidR="00574799" w:rsidRDefault="00F20C16">
      <w:pPr>
        <w:numPr>
          <w:ilvl w:val="0"/>
          <w:numId w:val="6"/>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En este sentido, al consultar el link proporcionado en respuesta a fin de determinar si se colma con el requerimiento hecho por el particular, se advierte la página principal de Información Pública de Oficio Mexiquense IPOMEX, correspondiente al Sujeto Obligado, tal como se muestra en la imagen siguiente:</w:t>
      </w:r>
    </w:p>
    <w:p w14:paraId="11B7DA0E" w14:textId="77777777" w:rsidR="00574799" w:rsidRDefault="00574799">
      <w:pPr>
        <w:spacing w:line="360" w:lineRule="auto"/>
        <w:ind w:right="-787"/>
        <w:jc w:val="both"/>
        <w:rPr>
          <w:rFonts w:ascii="Palatino Linotype" w:eastAsia="Palatino Linotype" w:hAnsi="Palatino Linotype" w:cs="Palatino Linotype"/>
          <w:color w:val="000000"/>
        </w:rPr>
      </w:pPr>
    </w:p>
    <w:p w14:paraId="55350C33" w14:textId="77777777" w:rsidR="00574799" w:rsidRDefault="00F20C16">
      <w:pPr>
        <w:spacing w:line="360" w:lineRule="auto"/>
        <w:ind w:right="-787"/>
        <w:jc w:val="center"/>
        <w:rPr>
          <w:rFonts w:ascii="Palatino Linotype" w:eastAsia="Palatino Linotype" w:hAnsi="Palatino Linotype" w:cs="Palatino Linotype"/>
          <w:i/>
          <w:iCs/>
          <w:color w:val="000000"/>
        </w:rPr>
      </w:pPr>
      <w:r>
        <w:rPr>
          <w:rFonts w:ascii="Palatino Linotype" w:eastAsia="Palatino Linotype" w:hAnsi="Palatino Linotype" w:cs="Palatino Linotype"/>
          <w:i/>
          <w:iCs/>
          <w:noProof/>
          <w:color w:val="000000"/>
          <w:lang w:val="es-MX"/>
        </w:rPr>
        <w:drawing>
          <wp:inline distT="0" distB="0" distL="0" distR="0" wp14:anchorId="57B4608C" wp14:editId="3DE8CB07">
            <wp:extent cx="4767672" cy="2534518"/>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4767672" cy="2534518"/>
                    </a:xfrm>
                    <a:prstGeom prst="rect">
                      <a:avLst/>
                    </a:prstGeom>
                    <a:ln/>
                  </pic:spPr>
                </pic:pic>
              </a:graphicData>
            </a:graphic>
          </wp:inline>
        </w:drawing>
      </w:r>
    </w:p>
    <w:p w14:paraId="6F21D472" w14:textId="77777777" w:rsidR="00574799" w:rsidRDefault="00574799">
      <w:pPr>
        <w:spacing w:line="360" w:lineRule="auto"/>
        <w:ind w:right="-787"/>
        <w:jc w:val="both"/>
        <w:rPr>
          <w:rFonts w:ascii="Palatino Linotype" w:eastAsia="Palatino Linotype" w:hAnsi="Palatino Linotype" w:cs="Palatino Linotype"/>
          <w:i/>
          <w:iCs/>
          <w:color w:val="000000"/>
        </w:rPr>
      </w:pPr>
    </w:p>
    <w:p w14:paraId="7FE00409" w14:textId="77777777" w:rsidR="00574799" w:rsidRDefault="00F20C16">
      <w:pPr>
        <w:numPr>
          <w:ilvl w:val="0"/>
          <w:numId w:val="6"/>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consecuencia el derecho de acceso a la información no se puede tener por colmado, ya que de conformidad a lo establecido en el artículo 161 de la Ley de Transparencia Local, establece que cuando la información requerida por el solicitante ya esté disponible al público en medios impresos, tales como libros, compendios, trípticos, registros públicos, en formatos electrónicos disponibles en Internet o en cualquier otro medio, </w:t>
      </w:r>
      <w:r>
        <w:rPr>
          <w:rFonts w:ascii="Palatino Linotype" w:eastAsia="Palatino Linotype" w:hAnsi="Palatino Linotype" w:cs="Palatino Linotype"/>
          <w:b/>
          <w:bCs/>
          <w:color w:val="000000"/>
        </w:rPr>
        <w:t>se le hará saber</w:t>
      </w:r>
      <w:r>
        <w:rPr>
          <w:rFonts w:ascii="Palatino Linotype" w:eastAsia="Palatino Linotype" w:hAnsi="Palatino Linotype" w:cs="Palatino Linotype"/>
          <w:color w:val="000000"/>
        </w:rPr>
        <w:t xml:space="preserve"> por el medio requerido por el solicitante </w:t>
      </w:r>
      <w:r>
        <w:rPr>
          <w:rFonts w:ascii="Palatino Linotype" w:eastAsia="Palatino Linotype" w:hAnsi="Palatino Linotype" w:cs="Palatino Linotype"/>
          <w:b/>
          <w:bCs/>
          <w:color w:val="000000"/>
        </w:rPr>
        <w:t>la fuente, el lugar y la forma en que puede consultar</w:t>
      </w:r>
      <w:r>
        <w:rPr>
          <w:rFonts w:ascii="Palatino Linotype" w:eastAsia="Palatino Linotype" w:hAnsi="Palatino Linotype" w:cs="Palatino Linotype"/>
          <w:color w:val="000000"/>
        </w:rPr>
        <w:t xml:space="preserve">, reproducir o adquirir </w:t>
      </w:r>
      <w:r>
        <w:rPr>
          <w:rFonts w:ascii="Palatino Linotype" w:eastAsia="Palatino Linotype" w:hAnsi="Palatino Linotype" w:cs="Palatino Linotype"/>
          <w:b/>
          <w:bCs/>
          <w:color w:val="000000"/>
        </w:rPr>
        <w:t>dicha información</w:t>
      </w:r>
      <w:r>
        <w:rPr>
          <w:rFonts w:ascii="Palatino Linotype" w:eastAsia="Palatino Linotype" w:hAnsi="Palatino Linotype" w:cs="Palatino Linotype"/>
          <w:color w:val="000000"/>
        </w:rPr>
        <w:t xml:space="preserve"> en un plazo no mayor a cinco días hábiles. </w:t>
      </w:r>
      <w:r>
        <w:rPr>
          <w:rFonts w:ascii="Palatino Linotype" w:eastAsia="Palatino Linotype" w:hAnsi="Palatino Linotype" w:cs="Palatino Linotype"/>
          <w:b/>
          <w:bCs/>
          <w:color w:val="000000"/>
        </w:rPr>
        <w:t>La fuente deberá ser precisa y concreta y no debe implicar que el solicitante realice una búsqueda en toda la información que se encuentre disponible</w:t>
      </w:r>
      <w:r>
        <w:rPr>
          <w:rFonts w:ascii="Palatino Linotype" w:eastAsia="Palatino Linotype" w:hAnsi="Palatino Linotype" w:cs="Palatino Linotype"/>
          <w:color w:val="000000"/>
        </w:rPr>
        <w:t>, circunstancia que a todas luces no quedó satisfecha, por lo que no se tiene por atendido el requerimiento realizado por el particular.</w:t>
      </w:r>
    </w:p>
    <w:p w14:paraId="53600F5D" w14:textId="77777777" w:rsidR="00574799" w:rsidRDefault="00F20C16">
      <w:pPr>
        <w:numPr>
          <w:ilvl w:val="0"/>
          <w:numId w:val="6"/>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De conformidad con el artículo 21, fracción XVI, del Bando Municipal 2025, para el despacho, estudio y planeación de los diversos asuntos de la Administración Pública Municipal, el Ayuntamiento contará con diversas Dependencias, entre ellas la Dirección del Campo.</w:t>
      </w:r>
    </w:p>
    <w:p w14:paraId="273A3B0D" w14:textId="77777777" w:rsidR="00574799" w:rsidRDefault="00574799">
      <w:pPr>
        <w:spacing w:line="360" w:lineRule="auto"/>
        <w:ind w:left="1495" w:right="-787"/>
        <w:jc w:val="both"/>
        <w:rPr>
          <w:rFonts w:ascii="Palatino Linotype" w:eastAsia="Palatino Linotype" w:hAnsi="Palatino Linotype" w:cs="Palatino Linotype"/>
        </w:rPr>
      </w:pPr>
    </w:p>
    <w:p w14:paraId="7FF83A82" w14:textId="77777777" w:rsidR="00574799" w:rsidRDefault="00F20C16">
      <w:pPr>
        <w:numPr>
          <w:ilvl w:val="0"/>
          <w:numId w:val="6"/>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Así resulta necesario señalar que, el artículo 3, fracción XXXII, del Código Financiero del Estado de México y Municipios, establece que la remuneración consiste en los pagos hechos por concepto de sueldo, compensaciones, gratificaciones, habitación, primas, comisiones, prestaciones, en especie y cualquier otra percepción o prestación que se entregue al servidor por su trabajo. Asimismo, el Anexo IV.5 Glosario de Términos, del Manual para la Planeación, Programación y Presupuesto de Egresos Municipal para el ejercicio fiscal dos mil veinte, establece que la remuneración es la percepción de un trabajador o retribución monetaria que se da en pago por su servicio o actividad desarrollada. </w:t>
      </w:r>
    </w:p>
    <w:p w14:paraId="70E996CB" w14:textId="77777777" w:rsidR="00574799" w:rsidRDefault="00574799">
      <w:pPr>
        <w:spacing w:line="360" w:lineRule="auto"/>
        <w:ind w:right="49"/>
        <w:jc w:val="both"/>
        <w:rPr>
          <w:rFonts w:ascii="Palatino Linotype" w:eastAsia="Palatino Linotype" w:hAnsi="Palatino Linotype" w:cs="Palatino Linotype"/>
        </w:rPr>
      </w:pPr>
    </w:p>
    <w:p w14:paraId="4C4AD677" w14:textId="77777777" w:rsidR="00574799" w:rsidRDefault="00F20C16">
      <w:pPr>
        <w:numPr>
          <w:ilvl w:val="0"/>
          <w:numId w:val="6"/>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Aunado a lo anterior, es importante destacar que la información relacionada con remuneraciones corresponde a información considerada como una de las obligaciones de transparencias comunes que los Sujetos Obligados tienen el deber de poner a disposición del público de manera permanente y actualizada de forma sencilla, precisa y entendible, en los respectivos medios electrónicos, de acuerdo con sus facultades, atribuciones, funciones u objeto social, según corresponda; esto conforme a lo establecido en el artículo 92 de la de la Ley de Transparencia y Acceso a la Información Pública del Estado de México y Municipios, en su fracción VIII, dispone lo siguiente: </w:t>
      </w:r>
    </w:p>
    <w:p w14:paraId="572AF7F7" w14:textId="77777777" w:rsidR="00574799" w:rsidRDefault="00F20C16">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92.</w:t>
      </w:r>
      <w:r>
        <w:rPr>
          <w:rFonts w:ascii="Palatino Linotype" w:eastAsia="Palatino Linotype" w:hAnsi="Palatino Linotype" w:cs="Palatino Linotype"/>
          <w:i/>
          <w:iCs/>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w:t>
      </w:r>
      <w:r>
        <w:rPr>
          <w:rFonts w:ascii="Palatino Linotype" w:eastAsia="Palatino Linotype" w:hAnsi="Palatino Linotype" w:cs="Palatino Linotype"/>
          <w:i/>
          <w:iCs/>
        </w:rPr>
        <w:lastRenderedPageBreak/>
        <w:t>corresponda, la información, por lo menos, de los temas, documentos y políticas que a continuación se señalan:</w:t>
      </w:r>
    </w:p>
    <w:p w14:paraId="26779AAB" w14:textId="77777777" w:rsidR="00574799" w:rsidRDefault="00F20C16">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b/>
          <w:bCs/>
          <w:i/>
          <w:iCs/>
        </w:rPr>
        <w:t>(…)</w:t>
      </w:r>
    </w:p>
    <w:p w14:paraId="55756717" w14:textId="77777777" w:rsidR="00574799" w:rsidRDefault="00F20C16">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VIII. La remuneración bruta y neta de todos los servidores públicos de base o de confianza, </w:t>
      </w:r>
      <w:r>
        <w:rPr>
          <w:rFonts w:ascii="Palatino Linotype" w:eastAsia="Palatino Linotype" w:hAnsi="Palatino Linotype" w:cs="Palatino Linotype"/>
          <w:i/>
          <w:iCs/>
        </w:rPr>
        <w:t>de todas las percepciones, incluyendo sueldos, prestaciones, gratificaciones, primas, comisiones, dietas, bonos, estímulos, ingresos y sistemas de compensación, señalando la periodicidad de dicha remuneración;</w:t>
      </w:r>
    </w:p>
    <w:p w14:paraId="1400B673" w14:textId="77777777" w:rsidR="00574799" w:rsidRDefault="00F20C16">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b/>
          <w:bCs/>
          <w:i/>
          <w:iCs/>
        </w:rPr>
        <w:t>(…)</w:t>
      </w:r>
      <w:r>
        <w:rPr>
          <w:rFonts w:ascii="Palatino Linotype" w:eastAsia="Palatino Linotype" w:hAnsi="Palatino Linotype" w:cs="Palatino Linotype"/>
          <w:i/>
          <w:iCs/>
        </w:rPr>
        <w:t>”</w:t>
      </w:r>
    </w:p>
    <w:p w14:paraId="7A640C20" w14:textId="77777777" w:rsidR="00574799" w:rsidRDefault="00574799">
      <w:pPr>
        <w:ind w:right="539"/>
        <w:jc w:val="both"/>
        <w:rPr>
          <w:rFonts w:ascii="Palatino Linotype" w:eastAsia="Palatino Linotype" w:hAnsi="Palatino Linotype" w:cs="Palatino Linotype"/>
          <w:i/>
          <w:iCs/>
        </w:rPr>
      </w:pPr>
    </w:p>
    <w:p w14:paraId="6B322A39" w14:textId="77777777" w:rsidR="00574799" w:rsidRDefault="00F20C16">
      <w:pPr>
        <w:numPr>
          <w:ilvl w:val="0"/>
          <w:numId w:val="6"/>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Por otra parte, la Ley del Trabajo de los Servidores Públicos del Estado y Municipios, en su artículo 220 K, establece los documentos que tiene la obligación de conservar el Sujeto Obligado, entre los que se encuentran los recibos de pagos: </w:t>
      </w:r>
    </w:p>
    <w:p w14:paraId="7E8ABD9F" w14:textId="77777777" w:rsidR="00574799" w:rsidRDefault="00F20C16">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220 K.-</w:t>
      </w:r>
      <w:r>
        <w:rPr>
          <w:rFonts w:ascii="Palatino Linotype" w:eastAsia="Palatino Linotype" w:hAnsi="Palatino Linotype" w:cs="Palatino Linotype"/>
          <w:i/>
          <w:iCs/>
        </w:rPr>
        <w:t xml:space="preserve"> La institución o dependencia pública tiene la obligación de conservar y exhibir en el proceso los documentos que a continuación se precisan: </w:t>
      </w:r>
    </w:p>
    <w:p w14:paraId="2B9972C6" w14:textId="77777777" w:rsidR="00574799" w:rsidRDefault="00F20C16">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 Contratos, Nombramientos o Formato Único de Movimientos de Personal, cuando no exista Convenio de condiciones generales de trabajo aplicable; </w:t>
      </w:r>
    </w:p>
    <w:p w14:paraId="38D4F311" w14:textId="77777777" w:rsidR="00574799" w:rsidRDefault="00F20C16">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b/>
          <w:bCs/>
          <w:i/>
          <w:iCs/>
        </w:rPr>
        <w:t>II. Recibos de pagos de salarios</w:t>
      </w:r>
      <w:r>
        <w:rPr>
          <w:rFonts w:ascii="Palatino Linotype" w:eastAsia="Palatino Linotype" w:hAnsi="Palatino Linotype" w:cs="Palatino Linotype"/>
          <w:i/>
          <w:iCs/>
        </w:rPr>
        <w:t xml:space="preserve"> o las constancias documentales del pago de salario cuando sea por depósito o mediante información electrónica; </w:t>
      </w:r>
    </w:p>
    <w:p w14:paraId="5C7DA48C" w14:textId="77777777" w:rsidR="00574799" w:rsidRDefault="00F20C16">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III. Controles de asistencia o la información magnética o electrónica de asistencia de los servidores públicos; </w:t>
      </w:r>
    </w:p>
    <w:p w14:paraId="5B1E72BD" w14:textId="77777777" w:rsidR="00574799" w:rsidRDefault="00F20C16">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IV. Recibos o las constancias de depósito o del medio de información magnética o electrónica que sean utilizadas para el pago de salarios, prima vacacional, aguinaldo y demás prestaciones establecidas en la presente ley; y </w:t>
      </w:r>
    </w:p>
    <w:p w14:paraId="3A249B5F" w14:textId="77777777" w:rsidR="00574799" w:rsidRDefault="00F20C16">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V. Los demás que señalen las leyes.</w:t>
      </w:r>
    </w:p>
    <w:p w14:paraId="296955C4" w14:textId="77777777" w:rsidR="00574799" w:rsidRDefault="00574799">
      <w:pPr>
        <w:ind w:left="567" w:right="-716"/>
        <w:jc w:val="both"/>
        <w:rPr>
          <w:rFonts w:ascii="Palatino Linotype" w:eastAsia="Palatino Linotype" w:hAnsi="Palatino Linotype" w:cs="Palatino Linotype"/>
          <w:i/>
          <w:iCs/>
        </w:rPr>
      </w:pPr>
    </w:p>
    <w:p w14:paraId="490C1A44" w14:textId="77777777" w:rsidR="00574799" w:rsidRDefault="00F20C16">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Los documentos señalados en la fracción I de este artículo, deberán conservarse mientras dure la relación laboral y hasta un año después; los señalados por las fracciones II, III, IV durante el último año y un año después de que se extinga la relación laboral, y los mencionados en la fracción V, conforme lo señalen las leyes que los rijan. Los documentos y constancias aquí señalados, la institución o dependencia podrá conservarlos por medio de los sistemas de digitalización o de información magnética o electrónica o cualquier medio descubierto por la ciencia y las constancias expedidas por el encargado del área de personal de éstas, harán prueba plena. “</w:t>
      </w:r>
    </w:p>
    <w:p w14:paraId="70588947" w14:textId="77777777" w:rsidR="00574799" w:rsidRDefault="00574799">
      <w:pPr>
        <w:ind w:right="539"/>
        <w:jc w:val="both"/>
        <w:rPr>
          <w:rFonts w:ascii="Palatino Linotype" w:eastAsia="Palatino Linotype" w:hAnsi="Palatino Linotype" w:cs="Palatino Linotype"/>
          <w:i/>
          <w:iCs/>
        </w:rPr>
      </w:pPr>
    </w:p>
    <w:p w14:paraId="0F975C30" w14:textId="77777777" w:rsidR="00574799" w:rsidRDefault="00F20C16">
      <w:pPr>
        <w:numPr>
          <w:ilvl w:val="0"/>
          <w:numId w:val="6"/>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Del anterior precepto legal, se advierte que toda institución o dependencia pública del Estado de México, debe conservar las constancias documentales del pago de salario cuando sea por depósito o mediante información electrónica, debe conservar dicha documentación durante el último año y un año después de que se extinga la relación laboral, a través de los sistemas de digitalización o de información magnética o electrónica. </w:t>
      </w:r>
    </w:p>
    <w:p w14:paraId="3CB8466C" w14:textId="77777777" w:rsidR="00574799" w:rsidRDefault="00574799">
      <w:pPr>
        <w:spacing w:line="360" w:lineRule="auto"/>
        <w:ind w:right="49"/>
        <w:jc w:val="both"/>
        <w:rPr>
          <w:rFonts w:ascii="Palatino Linotype" w:eastAsia="Palatino Linotype" w:hAnsi="Palatino Linotype" w:cs="Palatino Linotype"/>
        </w:rPr>
      </w:pPr>
    </w:p>
    <w:p w14:paraId="047284CA" w14:textId="77777777" w:rsidR="00574799" w:rsidRDefault="00F20C16">
      <w:pPr>
        <w:numPr>
          <w:ilvl w:val="0"/>
          <w:numId w:val="6"/>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Lo anterior, toma sustento en la Tesis aislada número I.6o.T.154 L (10a.), emitida por los Tribunales Colegiados de Circuito, publicada el abril de dos mil dieciséis, en la Gaceta del Semanario Judicial de la Federación, en su Libro 29, Tomo III, misma que señala lo siguiente: </w:t>
      </w:r>
    </w:p>
    <w:p w14:paraId="385CEDE9" w14:textId="77777777" w:rsidR="00574799" w:rsidRDefault="00F20C16">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RECIBOS DE PAGO EMITIDOS POR MEDIOS ELECTRÓNICOS SIN FIRMA DEL TRABAJADOR. SON VÁLIDOS PARA ACREDITAR LOS CONCEPTOS Y MONTOS QUE EN ELLOS SE INSERTAN (APLICACIÓN SUPLETORIA DEL ARTÍCULO 776, FRACCIONES II Y VIII, DE LA LEY FEDERAL DEL TRABAJO, A LA LEY FEDERAL DE LOS TRABAJADORES AL SERVICIO DEL ESTADO).</w:t>
      </w:r>
      <w:r>
        <w:rPr>
          <w:rFonts w:ascii="Palatino Linotype" w:eastAsia="Palatino Linotype" w:hAnsi="Palatino Linotype" w:cs="Palatino Linotype"/>
          <w:i/>
          <w:iCs/>
        </w:rPr>
        <w:t xml:space="preserve"> En materia burocrática los recibos de pago que se obtienen por medios electrónicos son válidos para acreditar los conceptos y montos que en ellos se insertan, en términos del artículo 776, fracciones II y VIII, de la Ley Federal del Trabajo, aplicada supletoriamente a la Ley Federal de los Trabajadores al Servicio del Estado; lo anterior por no ser contrarios a la moral ni al derecho, por lo que la falta de firma de esos documentos, no les resta convicción plena, porque el avance de la ciencia y la necesidad propia de evitar pagos en efectivo, han impuesto al patrón-Estado pagar a sus trabajadores por la vía electrónica; por tanto, si para demostrar las percepciones y montos los recibos correspondientes se exhiben de esta forma sin prueba en contrario que los desvirtúe, entonces no hay razón jurídica para condicionar su eficacia probatoria a que deban adminicularse con otras pruebas; resolver en contrario, implicaría desatender el artículo 137 de la referida Ley Federal de los Trabajadores al Servicio del Estado.”</w:t>
      </w:r>
    </w:p>
    <w:p w14:paraId="601FC3C8" w14:textId="77777777" w:rsidR="00574799" w:rsidRDefault="00574799">
      <w:pPr>
        <w:spacing w:line="360" w:lineRule="auto"/>
        <w:ind w:right="49"/>
        <w:jc w:val="both"/>
        <w:rPr>
          <w:rFonts w:ascii="Palatino Linotype" w:eastAsia="Palatino Linotype" w:hAnsi="Palatino Linotype" w:cs="Palatino Linotype"/>
        </w:rPr>
      </w:pPr>
    </w:p>
    <w:p w14:paraId="3DA6BC14" w14:textId="77777777" w:rsidR="00574799" w:rsidRDefault="00F20C16">
      <w:pPr>
        <w:numPr>
          <w:ilvl w:val="0"/>
          <w:numId w:val="6"/>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De la tesis transcrita, se desprende que en materia burocrática los recibos de pago acreditan los conceptos y montos que en ellos se insertan, y constituyen prueba para demostrar las percepciones y montos que reciben los servidores públicos.</w:t>
      </w:r>
    </w:p>
    <w:p w14:paraId="408A1EBC" w14:textId="77777777" w:rsidR="00574799" w:rsidRDefault="00574799">
      <w:pPr>
        <w:spacing w:line="360" w:lineRule="auto"/>
        <w:ind w:right="49"/>
        <w:jc w:val="both"/>
        <w:rPr>
          <w:rFonts w:ascii="Palatino Linotype" w:eastAsia="Palatino Linotype" w:hAnsi="Palatino Linotype" w:cs="Palatino Linotype"/>
        </w:rPr>
      </w:pPr>
    </w:p>
    <w:p w14:paraId="0DC9F97A" w14:textId="77777777" w:rsidR="00574799" w:rsidRDefault="00F20C16">
      <w:pPr>
        <w:numPr>
          <w:ilvl w:val="0"/>
          <w:numId w:val="6"/>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En este sentido, de acuerdo a la naturaleza de la información solicitada se concluye que ésta es de interés general y de alcance público, puesto que la ciudadanía tiene derecho a saber cuál es el gasto ejercido para el pago de remuneraciones por servicios personales al realizar las funciones públicas, esto es su acceso permite transparentar la aplicación de los recursos públicos que son otorgados para el cumplimiento de sus funciones. Ello conforme a lo dispuesto por el artículo 24, fracción XVIII de la Ley de Transparencia y Acceso a la Información Pública del Estado de México y Municipios, establece como deber de los sujetos obligados el hacer público toda la información respecto a los montos y nombres de las personas a quienes se entreguen recursos públicos y con ello transparentar la forma, términos, causas y finalidad en la disposición de esos recursos; precepto legal que es del tenor siguiente: </w:t>
      </w:r>
    </w:p>
    <w:p w14:paraId="1874755F" w14:textId="77777777" w:rsidR="00574799" w:rsidRDefault="00F20C16">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24.</w:t>
      </w:r>
      <w:r>
        <w:rPr>
          <w:rFonts w:ascii="Palatino Linotype" w:eastAsia="Palatino Linotype" w:hAnsi="Palatino Linotype" w:cs="Palatino Linotype"/>
          <w:i/>
          <w:iCs/>
        </w:rPr>
        <w:t xml:space="preserve"> Para el cumplimiento de los objetivos de esta Ley, los sujetos obligados deberán cumplir con las siguientes obligaciones, según corresponda, de acuerdo a su naturaleza: </w:t>
      </w:r>
    </w:p>
    <w:p w14:paraId="46C76BE4" w14:textId="77777777" w:rsidR="00574799" w:rsidRDefault="00F20C16">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 </w:t>
      </w:r>
    </w:p>
    <w:p w14:paraId="6B82F460" w14:textId="77777777" w:rsidR="00574799" w:rsidRDefault="00F20C16">
      <w:pPr>
        <w:ind w:left="567" w:right="-716"/>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XVIII. Hacer pública toda aquella información relativa a los montos y las personas a quienes entreguen, por cualquier motivo, recursos públicos, así como los informes que dichas personas les entreguen sobre el uso y destino de dichos recursos;</w:t>
      </w:r>
    </w:p>
    <w:p w14:paraId="19E5EBF5" w14:textId="77777777" w:rsidR="00574799" w:rsidRDefault="00F20C16">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14:paraId="2499CAD5" w14:textId="77777777" w:rsidR="00574799" w:rsidRDefault="00574799">
      <w:pPr>
        <w:spacing w:line="360" w:lineRule="auto"/>
        <w:ind w:right="49"/>
        <w:jc w:val="both"/>
        <w:rPr>
          <w:rFonts w:ascii="Palatino Linotype" w:eastAsia="Palatino Linotype" w:hAnsi="Palatino Linotype" w:cs="Palatino Linotype"/>
        </w:rPr>
      </w:pPr>
    </w:p>
    <w:p w14:paraId="3B070307" w14:textId="77777777" w:rsidR="00574799" w:rsidRDefault="00F20C16">
      <w:pPr>
        <w:numPr>
          <w:ilvl w:val="0"/>
          <w:numId w:val="6"/>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Sirve de sustento por analogía, para justificar la publicidad sobre los datos relativos a los montos por concepto de pago de las remuneraciones, los criterios 01/2003 y 02/2003 emitidos por el Comité de Acceso a la Información Pública y Protección de Datos Personales de la Suprema Corte de Justicia de la Nación que a continuación se citan:</w:t>
      </w:r>
    </w:p>
    <w:p w14:paraId="170BFF7C" w14:textId="77777777" w:rsidR="00574799" w:rsidRDefault="00F20C16">
      <w:pPr>
        <w:ind w:left="567" w:right="-858"/>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“Criterio 01/2003. </w:t>
      </w:r>
    </w:p>
    <w:p w14:paraId="4254E6A7" w14:textId="77777777" w:rsidR="00574799" w:rsidRDefault="00574799">
      <w:pPr>
        <w:ind w:left="567" w:right="-858"/>
        <w:jc w:val="both"/>
        <w:rPr>
          <w:rFonts w:ascii="Palatino Linotype" w:eastAsia="Palatino Linotype" w:hAnsi="Palatino Linotype" w:cs="Palatino Linotype"/>
          <w:i/>
          <w:iCs/>
        </w:rPr>
      </w:pPr>
    </w:p>
    <w:p w14:paraId="4E216DC2" w14:textId="77777777" w:rsidR="00574799" w:rsidRDefault="00F20C16">
      <w:pPr>
        <w:ind w:left="567" w:right="-858"/>
        <w:jc w:val="both"/>
        <w:rPr>
          <w:rFonts w:ascii="Palatino Linotype" w:eastAsia="Palatino Linotype" w:hAnsi="Palatino Linotype" w:cs="Palatino Linotype"/>
          <w:i/>
          <w:iCs/>
        </w:rPr>
      </w:pPr>
      <w:r>
        <w:rPr>
          <w:rFonts w:ascii="Palatino Linotype" w:eastAsia="Palatino Linotype" w:hAnsi="Palatino Linotype" w:cs="Palatino Linotype"/>
          <w:b/>
          <w:bCs/>
          <w:i/>
          <w:iCs/>
        </w:rPr>
        <w:t>INGRESOS DE LOS SERVIDORES PÚBLICOS. CONSTITUYEN INFORMACIÓN PÚBLICA AÚN Y CUANDO SU DIFUSIÓN PUEDE AFECTAR LA VIDA O LA SEGURIDAD DE AQUELLOS</w:t>
      </w:r>
      <w:r>
        <w:rPr>
          <w:rFonts w:ascii="Palatino Linotype" w:eastAsia="Palatino Linotype" w:hAnsi="Palatino Linotype" w:cs="Palatino Linotype"/>
          <w:i/>
          <w:iCs/>
        </w:rPr>
        <w:t xml:space="preserve">. Si bien el artículo 13, fracción IV, de la Ley Federal de Transparencia y Acceso a la información Pública Gubernamental establece que debe clasificarse como información confidencial la que conste en expedientes administrativos cuya difusión pueda </w:t>
      </w:r>
      <w:r>
        <w:rPr>
          <w:rFonts w:ascii="Palatino Linotype" w:eastAsia="Palatino Linotype" w:hAnsi="Palatino Linotype" w:cs="Palatino Linotype"/>
          <w:i/>
          <w:iCs/>
        </w:rPr>
        <w:lastRenderedPageBreak/>
        <w:t>poner en riesgo la vida, la seguridad o la salud de cualquier persona, debe reconocerse que aun y cuando en ese supuesto podría encuadrar la relativa a las percepciones ordinarias y extraordinaria de los servidores públicos, ello no obsta para reconocer que el legislador estableció en el artículo 7 de ese mismo ordenamiento que la referida información, como una obligación de trasparencia, deben publicarse en medios remotos o locales de comunicación electrónica, lo que se sustenta en el hecho de que el monto de todos los ingresos que recibe un servidor público por desarrollar las labores que les son encomendadas con motivo del desempeño del cargo respecto. Constituyen información pública, en tanto que se trata de erogaciones que realiza un órgano del Estado en base con los recursos que encuentran su origen en mayor medida en las contribuciones aportados por los gobernados</w:t>
      </w:r>
    </w:p>
    <w:p w14:paraId="737C8430" w14:textId="77777777" w:rsidR="00574799" w:rsidRDefault="00F20C16">
      <w:pPr>
        <w:ind w:left="567" w:right="-858"/>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14:paraId="0AE8280B" w14:textId="77777777" w:rsidR="00574799" w:rsidRDefault="00574799">
      <w:pPr>
        <w:ind w:left="567" w:right="-858"/>
        <w:jc w:val="both"/>
        <w:rPr>
          <w:rFonts w:ascii="Palatino Linotype" w:eastAsia="Palatino Linotype" w:hAnsi="Palatino Linotype" w:cs="Palatino Linotype"/>
          <w:i/>
          <w:iCs/>
        </w:rPr>
      </w:pPr>
    </w:p>
    <w:p w14:paraId="0754D231" w14:textId="77777777" w:rsidR="00574799" w:rsidRDefault="00F20C16">
      <w:pPr>
        <w:ind w:left="567" w:right="-858"/>
        <w:jc w:val="both"/>
        <w:rPr>
          <w:rFonts w:ascii="Palatino Linotype" w:eastAsia="Palatino Linotype" w:hAnsi="Palatino Linotype" w:cs="Palatino Linotype"/>
          <w:i/>
          <w:iCs/>
        </w:rPr>
      </w:pPr>
      <w:r>
        <w:rPr>
          <w:rFonts w:ascii="Palatino Linotype" w:eastAsia="Palatino Linotype" w:hAnsi="Palatino Linotype" w:cs="Palatino Linotype"/>
          <w:i/>
          <w:iCs/>
        </w:rPr>
        <w:t>“Criterio 02/2003.</w:t>
      </w:r>
    </w:p>
    <w:p w14:paraId="5C104B03" w14:textId="77777777" w:rsidR="00574799" w:rsidRDefault="00F20C16">
      <w:pPr>
        <w:ind w:left="567" w:right="-858"/>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 </w:t>
      </w:r>
    </w:p>
    <w:p w14:paraId="781A882E" w14:textId="77777777" w:rsidR="00574799" w:rsidRDefault="00F20C16">
      <w:pPr>
        <w:ind w:left="567" w:right="-858"/>
        <w:jc w:val="both"/>
        <w:rPr>
          <w:rFonts w:ascii="Palatino Linotype" w:eastAsia="Palatino Linotype" w:hAnsi="Palatino Linotype" w:cs="Palatino Linotype"/>
          <w:i/>
          <w:iCs/>
        </w:rPr>
      </w:pPr>
      <w:r>
        <w:rPr>
          <w:rFonts w:ascii="Palatino Linotype" w:eastAsia="Palatino Linotype" w:hAnsi="Palatino Linotype" w:cs="Palatino Linotype"/>
          <w:b/>
          <w:bCs/>
          <w:i/>
          <w:iCs/>
        </w:rPr>
        <w:t>INGRESOS DE LOS SERVIDORES PÚBLICOS, SON INFORMACIÓN PÚBLICA AÚN Y CUANDO CONSTITUYEN DATOS PERSONALES QUE SE REFIEREN AL PATRIMONIO DE AQUÉLLOS</w:t>
      </w:r>
      <w:r>
        <w:rPr>
          <w:rFonts w:ascii="Palatino Linotype" w:eastAsia="Palatino Linotype" w:hAnsi="Palatino Linotype" w:cs="Palatino Linotype"/>
          <w:i/>
          <w:iCs/>
        </w:rPr>
        <w:t xml:space="preserve">. De la interpretación sistemática de lo previsto en los artículos 3º, fracción II; 7º, 9º y 18, fracción II, de la Ley Federal de Transparencia y Acceso a la Información Pública Gubernamental se advierte que no constituye información confidencial la relativa a los ingresos que reciben los servidores públicos, ya que aun y cuando se trata de datos personales relativos a su patrimonio, para su difusión no se requiere consentimiento de aquellos, lo que deriva del hecho de que en términos de los previsto en el citado ordenamiento deben ponerse a disposición del público a través de medios remotos o locales de comunicación electrónica, tanto el directorio de servidores públicos como las remuneraciones mensuales por puesto incluso el sistema de compensación </w:t>
      </w:r>
    </w:p>
    <w:p w14:paraId="2CE7419A" w14:textId="77777777" w:rsidR="00574799" w:rsidRDefault="00F20C16">
      <w:pPr>
        <w:ind w:left="567" w:right="-858"/>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14:paraId="3ECC7235" w14:textId="77777777" w:rsidR="00574799" w:rsidRDefault="00574799">
      <w:pPr>
        <w:pBdr>
          <w:top w:val="nil"/>
          <w:left w:val="nil"/>
          <w:bottom w:val="nil"/>
          <w:right w:val="nil"/>
          <w:between w:val="nil"/>
        </w:pBdr>
        <w:spacing w:line="360" w:lineRule="auto"/>
        <w:jc w:val="both"/>
        <w:rPr>
          <w:rFonts w:ascii="Palatino Linotype" w:eastAsia="Palatino Linotype" w:hAnsi="Palatino Linotype" w:cs="Palatino Linotype"/>
        </w:rPr>
      </w:pPr>
    </w:p>
    <w:p w14:paraId="44463D1C" w14:textId="77777777" w:rsidR="00574799" w:rsidRDefault="00F20C16">
      <w:pPr>
        <w:numPr>
          <w:ilvl w:val="0"/>
          <w:numId w:val="6"/>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Respecto del punto de solicitud relativo a la </w:t>
      </w:r>
      <w:r>
        <w:rPr>
          <w:rFonts w:ascii="Palatino Linotype" w:eastAsia="Palatino Linotype" w:hAnsi="Palatino Linotype" w:cs="Palatino Linotype"/>
          <w:i/>
          <w:iCs/>
          <w:u w:val="single"/>
        </w:rPr>
        <w:t>lista de las personas adscritas a la Dirección del Campo</w:t>
      </w:r>
      <w:r>
        <w:rPr>
          <w:rFonts w:ascii="Palatino Linotype" w:eastAsia="Palatino Linotype" w:hAnsi="Palatino Linotype" w:cs="Palatino Linotype"/>
        </w:rPr>
        <w:t xml:space="preserve">, es de resaltar que el Reglamento Interior de la Administración Pública Municipal de Teoloyucan, Estado de México; 2025-2027, establece en su artículo 147 que la Dirección de Administración será la encargada de proporcionar soporte material, técnico, humano, administrativo, así como organizacional, que permita a los servidores públicos de la Administración Municipal Centralizada, atender las demandas y necesidades de la </w:t>
      </w:r>
      <w:r>
        <w:rPr>
          <w:rFonts w:ascii="Palatino Linotype" w:eastAsia="Palatino Linotype" w:hAnsi="Palatino Linotype" w:cs="Palatino Linotype"/>
        </w:rPr>
        <w:lastRenderedPageBreak/>
        <w:t>ciudadanía optimizando las funciones de la misma, la cual contará con diversas unidades administrativas, entre ellas la Subdirección de Recursos Humanos; la cual tiene dentro de sus funciones la integración de la plantilla laboral, tal como lo señala el artículo 151, fracción XXV, del reglamento referido, tal como se plasma a continuación:</w:t>
      </w:r>
    </w:p>
    <w:p w14:paraId="727D3704" w14:textId="77777777" w:rsidR="00574799" w:rsidRDefault="00F20C16">
      <w:pPr>
        <w:ind w:left="567" w:right="-858"/>
        <w:jc w:val="both"/>
        <w:rPr>
          <w:rFonts w:ascii="Palatino Linotype" w:eastAsia="Palatino Linotype" w:hAnsi="Palatino Linotype" w:cs="Palatino Linotype"/>
          <w:i/>
          <w:iCs/>
        </w:rPr>
      </w:pPr>
      <w:r>
        <w:rPr>
          <w:rFonts w:ascii="Palatino Linotype" w:eastAsia="Palatino Linotype" w:hAnsi="Palatino Linotype" w:cs="Palatino Linotype"/>
          <w:i/>
          <w:iCs/>
        </w:rPr>
        <w:t>ARTÍCULO 151. Corresponde al Titular de la Subdirección de Recursos Humanos, el despacho de los siguientes asuntos:</w:t>
      </w:r>
    </w:p>
    <w:p w14:paraId="48B48AC4" w14:textId="77777777" w:rsidR="00574799" w:rsidRDefault="00F20C16">
      <w:pPr>
        <w:ind w:left="567" w:right="-858"/>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14:paraId="513C53D9" w14:textId="77777777" w:rsidR="00574799" w:rsidRDefault="00F20C16">
      <w:pPr>
        <w:ind w:left="567" w:right="-858"/>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XXV. Generar la correcta integración, resguardo y tener absoluto control de los expedientes personales, de </w:t>
      </w:r>
      <w:r>
        <w:rPr>
          <w:rFonts w:ascii="Palatino Linotype" w:eastAsia="Palatino Linotype" w:hAnsi="Palatino Linotype" w:cs="Palatino Linotype"/>
          <w:b/>
          <w:bCs/>
          <w:i/>
          <w:iCs/>
        </w:rPr>
        <w:t>la plantilla de trabajadores</w:t>
      </w:r>
      <w:r>
        <w:rPr>
          <w:rFonts w:ascii="Palatino Linotype" w:eastAsia="Palatino Linotype" w:hAnsi="Palatino Linotype" w:cs="Palatino Linotype"/>
          <w:i/>
          <w:iCs/>
        </w:rPr>
        <w:t>, actualización y verificación de documentos que permita hacer frente ante cualquier contingencia laboral;</w:t>
      </w:r>
    </w:p>
    <w:p w14:paraId="12699316" w14:textId="77777777" w:rsidR="00574799" w:rsidRDefault="00574799">
      <w:pPr>
        <w:spacing w:line="360" w:lineRule="auto"/>
        <w:ind w:right="-787"/>
        <w:jc w:val="both"/>
        <w:rPr>
          <w:rFonts w:ascii="Palatino Linotype" w:eastAsia="Palatino Linotype" w:hAnsi="Palatino Linotype" w:cs="Palatino Linotype"/>
          <w:i/>
          <w:iCs/>
        </w:rPr>
      </w:pPr>
    </w:p>
    <w:p w14:paraId="773C7201" w14:textId="77777777" w:rsidR="00574799" w:rsidRDefault="00574799">
      <w:pPr>
        <w:spacing w:line="360" w:lineRule="auto"/>
        <w:ind w:right="-787"/>
        <w:jc w:val="both"/>
        <w:rPr>
          <w:rFonts w:ascii="Palatino Linotype" w:eastAsia="Palatino Linotype" w:hAnsi="Palatino Linotype" w:cs="Palatino Linotype"/>
          <w:i/>
          <w:iCs/>
          <w:u w:val="single"/>
        </w:rPr>
      </w:pPr>
    </w:p>
    <w:p w14:paraId="64EE8759" w14:textId="77777777" w:rsidR="00574799" w:rsidRDefault="00F20C16">
      <w:pPr>
        <w:numPr>
          <w:ilvl w:val="0"/>
          <w:numId w:val="6"/>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w:t>
      </w:r>
      <w:r>
        <w:rPr>
          <w:rFonts w:ascii="Palatino Linotype" w:eastAsia="Palatino Linotype" w:hAnsi="Palatino Linotype" w:cs="Palatino Linotype"/>
        </w:rPr>
        <w:t>consecuencia</w:t>
      </w:r>
      <w:r>
        <w:rPr>
          <w:rFonts w:ascii="Palatino Linotype" w:eastAsia="Palatino Linotype" w:hAnsi="Palatino Linotype" w:cs="Palatino Linotype"/>
          <w:color w:val="000000"/>
        </w:rPr>
        <w:t xml:space="preserv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deberá realizar una </w:t>
      </w:r>
      <w:r>
        <w:rPr>
          <w:rFonts w:ascii="Palatino Linotype" w:eastAsia="Palatino Linotype" w:hAnsi="Palatino Linotype" w:cs="Palatino Linotype"/>
          <w:b/>
          <w:bCs/>
          <w:color w:val="000000"/>
        </w:rPr>
        <w:t>nueva búsqueda exhaustiva y razonable</w:t>
      </w:r>
      <w:r>
        <w:rPr>
          <w:rFonts w:ascii="Palatino Linotype" w:eastAsia="Palatino Linotype" w:hAnsi="Palatino Linotype" w:cs="Palatino Linotype"/>
          <w:color w:val="000000"/>
        </w:rPr>
        <w:t xml:space="preserve"> en las unidades administrativas que de conformidad a sus funciones y atribuciones posean, administren o generen la información, con la finalidad de entregar la que </w:t>
      </w:r>
      <w:r>
        <w:rPr>
          <w:rFonts w:ascii="Palatino Linotype" w:eastAsia="Palatino Linotype" w:hAnsi="Palatino Linotype" w:cs="Palatino Linotype"/>
        </w:rPr>
        <w:t>resulte</w:t>
      </w:r>
      <w:r>
        <w:rPr>
          <w:rFonts w:ascii="Palatino Linotype" w:eastAsia="Palatino Linotype" w:hAnsi="Palatino Linotype" w:cs="Palatino Linotype"/>
          <w:color w:val="000000"/>
        </w:rPr>
        <w:t xml:space="preserve"> de interés para </w:t>
      </w:r>
      <w:r>
        <w:rPr>
          <w:rFonts w:ascii="Palatino Linotype" w:eastAsia="Palatino Linotype" w:hAnsi="Palatino Linotype" w:cs="Palatino Linotype"/>
          <w:b/>
          <w:bCs/>
          <w:color w:val="000000"/>
        </w:rPr>
        <w:t>EL RECURRENTE</w:t>
      </w:r>
      <w:r>
        <w:rPr>
          <w:rFonts w:ascii="Palatino Linotype" w:eastAsia="Palatino Linotype" w:hAnsi="Palatino Linotype" w:cs="Palatino Linotype"/>
          <w:color w:val="000000"/>
        </w:rPr>
        <w:t>.</w:t>
      </w:r>
    </w:p>
    <w:p w14:paraId="2DCB4C42" w14:textId="77777777" w:rsidR="00574799" w:rsidRDefault="00574799">
      <w:pPr>
        <w:spacing w:line="360" w:lineRule="auto"/>
        <w:ind w:right="-787"/>
        <w:jc w:val="both"/>
        <w:rPr>
          <w:rFonts w:ascii="Palatino Linotype" w:eastAsia="Palatino Linotype" w:hAnsi="Palatino Linotype" w:cs="Palatino Linotype"/>
          <w:color w:val="000000"/>
        </w:rPr>
      </w:pPr>
    </w:p>
    <w:p w14:paraId="6B393B2B" w14:textId="77777777" w:rsidR="00574799" w:rsidRDefault="00F20C16">
      <w:pPr>
        <w:numPr>
          <w:ilvl w:val="0"/>
          <w:numId w:val="6"/>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Resultando aplicable el Criterio orientador 02/17 emitido por el Pleno del Instituto Nacional de Transparencia y Acceso a la Información y Protección de Datos Personales, de título y texto siguientes:</w:t>
      </w:r>
    </w:p>
    <w:p w14:paraId="0D9FCD7F" w14:textId="77777777" w:rsidR="00574799" w:rsidRDefault="00F20C16">
      <w:pPr>
        <w:pBdr>
          <w:top w:val="nil"/>
          <w:left w:val="nil"/>
          <w:bottom w:val="nil"/>
          <w:right w:val="nil"/>
          <w:between w:val="nil"/>
        </w:pBdr>
        <w:ind w:left="567" w:right="-433"/>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 “Congruencia y exhaustividad. Sus alcances para garantizar el derecho de acceso a la información. </w:t>
      </w:r>
      <w:r>
        <w:rPr>
          <w:rFonts w:ascii="Palatino Linotype" w:eastAsia="Palatino Linotype" w:hAnsi="Palatino Linotype" w:cs="Palatino Linotype"/>
          <w:i/>
          <w:iCs/>
        </w:rPr>
        <w:t xml:space="preserve">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w:t>
      </w:r>
      <w:r>
        <w:rPr>
          <w:rFonts w:ascii="Palatino Linotype" w:eastAsia="Palatino Linotype" w:hAnsi="Palatino Linotype" w:cs="Palatino Linotype"/>
          <w:b/>
          <w:bCs/>
          <w:i/>
          <w:iCs/>
        </w:rPr>
        <w:t>la congruencia implica que exista concordancia entre el requerimiento formulado por el particular y la respuesta proporcionada por el sujeto obligado</w:t>
      </w:r>
      <w:r>
        <w:rPr>
          <w:rFonts w:ascii="Palatino Linotype" w:eastAsia="Palatino Linotype" w:hAnsi="Palatino Linotype" w:cs="Palatino Linotype"/>
          <w:i/>
          <w:iCs/>
        </w:rPr>
        <w:t xml:space="preserve">; mientras que </w:t>
      </w:r>
      <w:r>
        <w:rPr>
          <w:rFonts w:ascii="Palatino Linotype" w:eastAsia="Palatino Linotype" w:hAnsi="Palatino Linotype" w:cs="Palatino Linotype"/>
          <w:b/>
          <w:bCs/>
          <w:i/>
          <w:iCs/>
        </w:rPr>
        <w:t>la exhaustividad significa que dicha respuesta se refiera expresamente a cada uno de los puntos solicitados</w:t>
      </w:r>
      <w:r>
        <w:rPr>
          <w:rFonts w:ascii="Palatino Linotype" w:eastAsia="Palatino Linotype" w:hAnsi="Palatino Linotype" w:cs="Palatino Linotype"/>
          <w:i/>
          <w:iCs/>
        </w:rPr>
        <w:t xml:space="preserve">. Por lo anterior, los sujetos obligados </w:t>
      </w:r>
      <w:r>
        <w:rPr>
          <w:rFonts w:ascii="Palatino Linotype" w:eastAsia="Palatino Linotype" w:hAnsi="Palatino Linotype" w:cs="Palatino Linotype"/>
          <w:i/>
          <w:iCs/>
        </w:rPr>
        <w:lastRenderedPageBreak/>
        <w:t>cumplirán con los principios de congruencia y exhaustividad, cuando las respuestas que emitan guarden una relación lógica con lo solicitado y atiendan de manera puntual y expresa, cada uno de los contenidos de información.”</w:t>
      </w:r>
    </w:p>
    <w:p w14:paraId="469B31C4" w14:textId="77777777" w:rsidR="00574799" w:rsidRDefault="00574799">
      <w:pPr>
        <w:pBdr>
          <w:top w:val="nil"/>
          <w:left w:val="nil"/>
          <w:bottom w:val="nil"/>
          <w:right w:val="nil"/>
          <w:between w:val="nil"/>
        </w:pBdr>
        <w:ind w:right="851"/>
        <w:jc w:val="both"/>
        <w:rPr>
          <w:rFonts w:ascii="Palatino Linotype" w:eastAsia="Palatino Linotype" w:hAnsi="Palatino Linotype" w:cs="Palatino Linotype"/>
          <w:i/>
          <w:iCs/>
        </w:rPr>
      </w:pPr>
    </w:p>
    <w:p w14:paraId="4AD1019F" w14:textId="77777777" w:rsidR="00574799" w:rsidRDefault="00574799">
      <w:pPr>
        <w:pBdr>
          <w:top w:val="nil"/>
          <w:left w:val="nil"/>
          <w:bottom w:val="nil"/>
          <w:right w:val="nil"/>
          <w:between w:val="nil"/>
        </w:pBdr>
        <w:ind w:right="851"/>
        <w:jc w:val="both"/>
        <w:rPr>
          <w:rFonts w:ascii="Palatino Linotype" w:eastAsia="Palatino Linotype" w:hAnsi="Palatino Linotype" w:cs="Palatino Linotype"/>
          <w:i/>
          <w:iCs/>
        </w:rPr>
      </w:pPr>
    </w:p>
    <w:p w14:paraId="4F380D4C" w14:textId="77777777" w:rsidR="00574799" w:rsidRDefault="00F20C16">
      <w:pPr>
        <w:numPr>
          <w:ilvl w:val="0"/>
          <w:numId w:val="6"/>
        </w:numPr>
        <w:spacing w:line="360" w:lineRule="auto"/>
        <w:ind w:left="0" w:right="-787" w:firstLine="0"/>
        <w:jc w:val="both"/>
        <w:rPr>
          <w:rFonts w:ascii="Palatino Linotype" w:eastAsia="Palatino Linotype" w:hAnsi="Palatino Linotype" w:cs="Palatino Linotype"/>
          <w:b/>
          <w:bCs/>
        </w:rPr>
      </w:pPr>
      <w:bookmarkStart w:id="7" w:name="_heading=h.oycgtwkhpu0i" w:colFirst="0" w:colLast="0"/>
      <w:bookmarkEnd w:id="7"/>
      <w:r>
        <w:rPr>
          <w:rFonts w:ascii="Palatino Linotype" w:eastAsia="Palatino Linotype" w:hAnsi="Palatino Linotype" w:cs="Palatino Linotype"/>
          <w:color w:val="000000"/>
        </w:rPr>
        <w:t xml:space="preserve">Por lo anterior, este Organismo, con la finalidad de garantizar el derecho humano de acceso a la información de la parte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y a fin de reparar el agravio causado ante la omisión en que incurriera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ya que como se señaló, su respuesta careció del principio de exhaustividad, al no pronunciarse por las consideraciones ya expuestas, por lo que se estima procedente</w:t>
      </w:r>
      <w:r>
        <w:rPr>
          <w:rFonts w:ascii="Palatino Linotype" w:eastAsia="Palatino Linotype" w:hAnsi="Palatino Linotype" w:cs="Palatino Linotype"/>
          <w:b/>
          <w:bCs/>
          <w:color w:val="000000"/>
        </w:rPr>
        <w:t xml:space="preserve"> REVOCAR</w:t>
      </w:r>
      <w:r>
        <w:rPr>
          <w:rFonts w:ascii="Palatino Linotype" w:eastAsia="Palatino Linotype" w:hAnsi="Palatino Linotype" w:cs="Palatino Linotype"/>
          <w:color w:val="000000"/>
        </w:rPr>
        <w:t xml:space="preserve"> la respuesta emitida y </w:t>
      </w:r>
      <w:r>
        <w:rPr>
          <w:rFonts w:ascii="Palatino Linotype" w:eastAsia="Palatino Linotype" w:hAnsi="Palatino Linotype" w:cs="Palatino Linotype"/>
          <w:b/>
          <w:bCs/>
          <w:color w:val="000000"/>
        </w:rPr>
        <w:t>ORDENAR</w:t>
      </w:r>
      <w:r>
        <w:rPr>
          <w:rFonts w:ascii="Palatino Linotype" w:eastAsia="Palatino Linotype" w:hAnsi="Palatino Linotype" w:cs="Palatino Linotype"/>
          <w:color w:val="000000"/>
        </w:rPr>
        <w:t xml:space="preserve"> que, previa búsqueda exhaustiva y razonable, de ser procedente en versión pública</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se haga entrega </w:t>
      </w:r>
      <w:r>
        <w:rPr>
          <w:rFonts w:ascii="Palatino Linotype" w:eastAsia="Palatino Linotype" w:hAnsi="Palatino Linotype" w:cs="Palatino Linotype"/>
        </w:rPr>
        <w:t xml:space="preserve">de la información siguiente: </w:t>
      </w:r>
      <w:r>
        <w:rPr>
          <w:rFonts w:ascii="Palatino Linotype" w:eastAsia="Palatino Linotype" w:hAnsi="Palatino Linotype" w:cs="Palatino Linotype"/>
          <w:b/>
          <w:bCs/>
        </w:rPr>
        <w:t>Del personal adscrito a la Dirección del Campo: Recibos de nómina de la segunda quincena de octubre de 2025, y documento en el que conste o se advierta las personas adscritas a dicha Dirección.</w:t>
      </w:r>
    </w:p>
    <w:p w14:paraId="346302F6" w14:textId="77777777" w:rsidR="00574799" w:rsidRDefault="00574799">
      <w:pPr>
        <w:spacing w:line="360" w:lineRule="auto"/>
        <w:ind w:right="49"/>
        <w:jc w:val="both"/>
        <w:rPr>
          <w:rFonts w:ascii="Palatino Linotype" w:eastAsia="Palatino Linotype" w:hAnsi="Palatino Linotype" w:cs="Palatino Linotype"/>
        </w:rPr>
      </w:pPr>
    </w:p>
    <w:p w14:paraId="557575DA" w14:textId="77777777" w:rsidR="00574799" w:rsidRDefault="00F20C16">
      <w:pPr>
        <w:keepNext/>
        <w:keepLines/>
        <w:spacing w:after="160" w:line="360" w:lineRule="auto"/>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QUINTO. De la versión pública.</w:t>
      </w:r>
    </w:p>
    <w:p w14:paraId="163707E9" w14:textId="77777777" w:rsidR="00574799" w:rsidRDefault="00F20C16">
      <w:pPr>
        <w:keepNext/>
        <w:keepLines/>
        <w:numPr>
          <w:ilvl w:val="0"/>
          <w:numId w:val="5"/>
        </w:numPr>
        <w:tabs>
          <w:tab w:val="left" w:pos="284"/>
        </w:tabs>
        <w:spacing w:after="160" w:line="360" w:lineRule="auto"/>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Nociones generales. </w:t>
      </w:r>
    </w:p>
    <w:p w14:paraId="583735B5" w14:textId="77777777" w:rsidR="00574799" w:rsidRDefault="00F20C16">
      <w:pPr>
        <w:numPr>
          <w:ilvl w:val="0"/>
          <w:numId w:val="6"/>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Debido a la </w:t>
      </w:r>
      <w:r>
        <w:rPr>
          <w:rFonts w:ascii="Palatino Linotype" w:eastAsia="Palatino Linotype" w:hAnsi="Palatino Linotype" w:cs="Palatino Linotype"/>
          <w:color w:val="000000"/>
        </w:rPr>
        <w:t>información</w:t>
      </w:r>
      <w:r>
        <w:rPr>
          <w:rFonts w:ascii="Palatino Linotype" w:eastAsia="Palatino Linotype" w:hAnsi="Palatino Linotype" w:cs="Palatino Linotype"/>
        </w:rPr>
        <w:t xml:space="preserve"> solicitada por el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obran datos personales susceptibles de </w:t>
      </w:r>
      <w:r>
        <w:rPr>
          <w:rFonts w:ascii="Palatino Linotype" w:eastAsia="Palatino Linotype" w:hAnsi="Palatino Linotype" w:cs="Palatino Linotype"/>
          <w:b/>
          <w:bCs/>
        </w:rPr>
        <w:t>protegerse</w:t>
      </w:r>
      <w:r>
        <w:rPr>
          <w:rFonts w:ascii="Palatino Linotype" w:eastAsia="Palatino Linotype" w:hAnsi="Palatino Linotype" w:cs="Palatino Linotype"/>
        </w:rPr>
        <w:t xml:space="preserve">, así como información susceptible de clasificarse como confidencial, por lo que,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 xml:space="preserve">deberá de hacer la adecuada versión pública, protegiendo los datos que no son susceptibles de ser proporcionados. </w:t>
      </w:r>
    </w:p>
    <w:p w14:paraId="59144635" w14:textId="77777777" w:rsidR="00574799" w:rsidRDefault="00574799">
      <w:pPr>
        <w:tabs>
          <w:tab w:val="left" w:pos="0"/>
          <w:tab w:val="left" w:pos="284"/>
        </w:tabs>
        <w:spacing w:line="360" w:lineRule="auto"/>
        <w:ind w:right="49"/>
        <w:jc w:val="both"/>
        <w:rPr>
          <w:rFonts w:ascii="Palatino Linotype" w:eastAsia="Palatino Linotype" w:hAnsi="Palatino Linotype" w:cs="Palatino Linotype"/>
          <w:highlight w:val="yellow"/>
        </w:rPr>
      </w:pPr>
    </w:p>
    <w:p w14:paraId="79D636D8" w14:textId="77777777" w:rsidR="00574799" w:rsidRDefault="00F20C16">
      <w:pPr>
        <w:numPr>
          <w:ilvl w:val="0"/>
          <w:numId w:val="6"/>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No pasa desapercibido para este Órgano Garante que los sujetos obligados</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serán responsables de los datos personales en su posesión y que, en caso de localizarse datos concernientes a terceros, éstos no podrán difundir, distribuir o comercializar los datos </w:t>
      </w:r>
      <w:r>
        <w:rPr>
          <w:rFonts w:ascii="Palatino Linotype" w:eastAsia="Palatino Linotype" w:hAnsi="Palatino Linotype" w:cs="Palatino Linotype"/>
          <w:color w:val="000000"/>
        </w:rPr>
        <w:lastRenderedPageBreak/>
        <w:t>personales.  Cabe destacar que, para la realización de la clasificación de la información, se deben seguir una serie de pasos y procedimientos, por lo que es menester reiterar los mismos:</w:t>
      </w:r>
    </w:p>
    <w:p w14:paraId="2A02E346" w14:textId="77777777" w:rsidR="00574799" w:rsidRDefault="00574799">
      <w:pPr>
        <w:tabs>
          <w:tab w:val="left" w:pos="284"/>
        </w:tabs>
        <w:spacing w:after="160" w:line="360" w:lineRule="auto"/>
        <w:ind w:right="49"/>
        <w:jc w:val="both"/>
        <w:rPr>
          <w:rFonts w:ascii="Palatino Linotype" w:eastAsia="Palatino Linotype" w:hAnsi="Palatino Linotype" w:cs="Palatino Linotype"/>
          <w:color w:val="000000"/>
        </w:rPr>
      </w:pPr>
    </w:p>
    <w:tbl>
      <w:tblPr>
        <w:tblStyle w:val="a"/>
        <w:tblW w:w="10060"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547"/>
        <w:gridCol w:w="7513"/>
      </w:tblGrid>
      <w:tr w:rsidR="00574799" w14:paraId="0C4B00AF" w14:textId="77777777" w:rsidTr="006D5695">
        <w:tc>
          <w:tcPr>
            <w:tcW w:w="2547" w:type="dxa"/>
          </w:tcPr>
          <w:p w14:paraId="4BD5AFFF" w14:textId="77777777" w:rsidR="00574799" w:rsidRDefault="00F20C16" w:rsidP="006D5695">
            <w:pPr>
              <w:spacing w:line="360" w:lineRule="auto"/>
              <w:rPr>
                <w:rFonts w:ascii="Palatino Linotype" w:eastAsia="Palatino Linotype" w:hAnsi="Palatino Linotype" w:cs="Palatino Linotype"/>
                <w:b/>
                <w:bCs/>
              </w:rPr>
            </w:pPr>
            <w:r>
              <w:rPr>
                <w:rFonts w:ascii="Palatino Linotype" w:eastAsia="Palatino Linotype" w:hAnsi="Palatino Linotype" w:cs="Palatino Linotype"/>
                <w:b/>
                <w:bCs/>
              </w:rPr>
              <w:t>a) Requisitos previos.</w:t>
            </w:r>
          </w:p>
        </w:tc>
        <w:tc>
          <w:tcPr>
            <w:tcW w:w="7513" w:type="dxa"/>
          </w:tcPr>
          <w:p w14:paraId="5FCDB2FC" w14:textId="77777777" w:rsidR="00574799" w:rsidRDefault="00F20C16">
            <w:pPr>
              <w:tabs>
                <w:tab w:val="left" w:pos="284"/>
              </w:tabs>
              <w:spacing w:line="276"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artículo 122 de la Ley Estatal señala que si los Sujetos Obligados determinan que la información actualiza alguno de los supuestos de clasificación, es deber de los titulares de las áreas proponer su clasificación y no del Comité de Transparencia. </w:t>
            </w:r>
          </w:p>
          <w:p w14:paraId="71585638" w14:textId="77777777" w:rsidR="00574799" w:rsidRDefault="00F20C16">
            <w:pPr>
              <w:tabs>
                <w:tab w:val="left" w:pos="284"/>
              </w:tabs>
              <w:spacing w:line="276"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Al hacerlo tienen que precisar de qué información se trata, señalando el supuesto de clasificación (confidencialidad o reserva).</w:t>
            </w:r>
          </w:p>
          <w:p w14:paraId="64F09907" w14:textId="77777777" w:rsidR="00574799" w:rsidRDefault="00F20C16">
            <w:pPr>
              <w:tabs>
                <w:tab w:val="left" w:pos="284"/>
              </w:tabs>
              <w:spacing w:line="276"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Además, se debe señalar el procedimiento, de los tres que </w:t>
            </w:r>
            <w:r>
              <w:rPr>
                <w:rFonts w:ascii="Palatino Linotype" w:eastAsia="Palatino Linotype" w:hAnsi="Palatino Linotype" w:cs="Palatino Linotype"/>
              </w:rPr>
              <w:t>establece</w:t>
            </w:r>
            <w:r>
              <w:rPr>
                <w:rFonts w:ascii="Palatino Linotype" w:eastAsia="Palatino Linotype" w:hAnsi="Palatino Linotype" w:cs="Palatino Linotype"/>
                <w:color w:val="000000"/>
              </w:rPr>
              <w:t xml:space="preserve"> el artículo 132 de la Ley Estatal.</w:t>
            </w:r>
          </w:p>
          <w:p w14:paraId="7D2B96F4" w14:textId="77777777" w:rsidR="00574799" w:rsidRDefault="00F20C16">
            <w:pPr>
              <w:tabs>
                <w:tab w:val="left" w:pos="284"/>
              </w:tabs>
              <w:spacing w:line="276" w:lineRule="auto"/>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Pr>
                <w:rFonts w:ascii="Palatino Linotype" w:eastAsia="Palatino Linotype" w:hAnsi="Palatino Linotype" w:cs="Palatino Linotype"/>
                <w:color w:val="000000"/>
                <w:u w:val="single"/>
              </w:rPr>
              <w:t>no se puede hacer un acuerdo para clasificar de manera general todos los documentos de un expediente o área, sin</w:t>
            </w:r>
            <w:r>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tc>
      </w:tr>
      <w:tr w:rsidR="00574799" w14:paraId="66519C65" w14:textId="77777777" w:rsidTr="006D5695">
        <w:tc>
          <w:tcPr>
            <w:tcW w:w="2547" w:type="dxa"/>
            <w:shd w:val="clear" w:color="auto" w:fill="F2F2F2"/>
          </w:tcPr>
          <w:p w14:paraId="3465FEBC" w14:textId="77777777" w:rsidR="00574799" w:rsidRDefault="00F20C16">
            <w:pPr>
              <w:tabs>
                <w:tab w:val="left" w:pos="284"/>
              </w:tabs>
              <w:spacing w:line="360" w:lineRule="auto"/>
              <w:rPr>
                <w:rFonts w:ascii="Palatino Linotype" w:eastAsia="Palatino Linotype" w:hAnsi="Palatino Linotype" w:cs="Palatino Linotype"/>
                <w:b/>
                <w:bCs/>
              </w:rPr>
            </w:pPr>
            <w:r>
              <w:rPr>
                <w:rFonts w:ascii="Palatino Linotype" w:eastAsia="Palatino Linotype" w:hAnsi="Palatino Linotype" w:cs="Palatino Linotype"/>
                <w:b/>
                <w:bCs/>
              </w:rPr>
              <w:t>b) Supuestos de clasificación.</w:t>
            </w:r>
          </w:p>
        </w:tc>
        <w:tc>
          <w:tcPr>
            <w:tcW w:w="7513" w:type="dxa"/>
            <w:shd w:val="clear" w:color="auto" w:fill="F2F2F2"/>
          </w:tcPr>
          <w:p w14:paraId="47EA3EE0" w14:textId="77777777" w:rsidR="00574799" w:rsidRDefault="00F20C16">
            <w:pPr>
              <w:tabs>
                <w:tab w:val="left" w:pos="284"/>
              </w:tabs>
              <w:spacing w:line="276"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14:paraId="007AE348" w14:textId="77777777" w:rsidR="00574799" w:rsidRDefault="00F20C16">
            <w:pPr>
              <w:tabs>
                <w:tab w:val="left" w:pos="284"/>
              </w:tabs>
              <w:spacing w:line="276"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El artículo 143 de la Ley Estatal señala los supuestos para que la información pueda ser clasificada como confidencial. Mientras que el artículo 130 de la Ley Estatal señala que la aplicación de estos supuestos debe realizarse de manera restrictiva y limitada, por lo que debe acreditarse que se cumple con esta condición y no se pueden ampliar las excepciones o supuestos de clasificación aduciendo analogía o mayoría de razón.</w:t>
            </w:r>
          </w:p>
          <w:p w14:paraId="056DF4B6" w14:textId="77777777" w:rsidR="00574799" w:rsidRDefault="00F20C16">
            <w:pPr>
              <w:tabs>
                <w:tab w:val="left" w:pos="284"/>
              </w:tabs>
              <w:spacing w:line="276" w:lineRule="auto"/>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debe identificar claramente el tipo de información y hacer un juicio de subsunción o encaje para acreditar </w:t>
            </w:r>
            <w:r>
              <w:rPr>
                <w:rFonts w:ascii="Palatino Linotype" w:eastAsia="Palatino Linotype" w:hAnsi="Palatino Linotype" w:cs="Palatino Linotype"/>
                <w:color w:val="000000"/>
              </w:rPr>
              <w:lastRenderedPageBreak/>
              <w:t>que el supuesto de hecho corresponde estrictamente con la hipótesis jurídica. Esto también lo debe de realizar el servidor público habilitado y el titular del área que administra la información.</w:t>
            </w:r>
          </w:p>
        </w:tc>
      </w:tr>
      <w:tr w:rsidR="00574799" w14:paraId="07A13AF8" w14:textId="77777777" w:rsidTr="006D5695">
        <w:tc>
          <w:tcPr>
            <w:tcW w:w="2547" w:type="dxa"/>
          </w:tcPr>
          <w:p w14:paraId="63E9AF74" w14:textId="77777777" w:rsidR="00574799" w:rsidRDefault="00F20C16">
            <w:pPr>
              <w:tabs>
                <w:tab w:val="left" w:pos="284"/>
              </w:tabs>
              <w:spacing w:line="360" w:lineRule="auto"/>
              <w:rPr>
                <w:rFonts w:ascii="Palatino Linotype" w:eastAsia="Palatino Linotype" w:hAnsi="Palatino Linotype" w:cs="Palatino Linotype"/>
                <w:b/>
                <w:bCs/>
              </w:rPr>
            </w:pPr>
            <w:r>
              <w:rPr>
                <w:rFonts w:ascii="Palatino Linotype" w:eastAsia="Palatino Linotype" w:hAnsi="Palatino Linotype" w:cs="Palatino Linotype"/>
                <w:b/>
                <w:bCs/>
              </w:rPr>
              <w:lastRenderedPageBreak/>
              <w:t>c) Formalidades para emitir el acuerdo de clasificación.</w:t>
            </w:r>
          </w:p>
        </w:tc>
        <w:tc>
          <w:tcPr>
            <w:tcW w:w="7513" w:type="dxa"/>
          </w:tcPr>
          <w:p w14:paraId="16FCF126" w14:textId="77777777" w:rsidR="00574799" w:rsidRDefault="00F20C16">
            <w:pPr>
              <w:tabs>
                <w:tab w:val="left" w:pos="284"/>
              </w:tabs>
              <w:spacing w:line="276"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14:paraId="00BC09E3" w14:textId="77777777" w:rsidR="00574799" w:rsidRDefault="00F20C16">
            <w:pPr>
              <w:tabs>
                <w:tab w:val="left" w:pos="284"/>
              </w:tabs>
              <w:spacing w:line="276"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Es necesario que </w:t>
            </w:r>
            <w:r>
              <w:rPr>
                <w:rFonts w:ascii="Palatino Linotype" w:eastAsia="Palatino Linotype" w:hAnsi="Palatino Linotype" w:cs="Palatino Linotype"/>
                <w:b/>
                <w:bCs/>
                <w:color w:val="000000"/>
                <w:u w:val="single"/>
              </w:rPr>
              <w:t>el acto reúna con los requisitos elementales</w:t>
            </w:r>
            <w:r>
              <w:rPr>
                <w:rFonts w:ascii="Palatino Linotype" w:eastAsia="Palatino Linotype" w:hAnsi="Palatino Linotype" w:cs="Palatino Linotype"/>
                <w:color w:val="000000"/>
              </w:rPr>
              <w:t>, entre ellos, que la autoridad que va a emitir el acto de autoridad sea la legalmente facultada para ello.</w:t>
            </w:r>
          </w:p>
          <w:p w14:paraId="48D3FD17" w14:textId="77777777" w:rsidR="00574799" w:rsidRDefault="00F20C16">
            <w:pPr>
              <w:tabs>
                <w:tab w:val="left" w:pos="284"/>
              </w:tabs>
              <w:spacing w:line="276" w:lineRule="auto"/>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La decisión de aprobar, modificar o revocar la clasificación deberá de asentarse en un documento que registre la determinación a la que se llegue después de un análisis minucioso a partir de lo propuesto por el Titular del I. </w:t>
            </w:r>
            <w:r>
              <w:rPr>
                <w:rFonts w:ascii="Palatino Linotype" w:eastAsia="Palatino Linotype" w:hAnsi="Palatino Linotype" w:cs="Palatino Linotype"/>
              </w:rPr>
              <w:t>El área</w:t>
            </w:r>
            <w:r>
              <w:rPr>
                <w:rFonts w:ascii="Palatino Linotype" w:eastAsia="Palatino Linotype" w:hAnsi="Palatino Linotype" w:cs="Palatino Linotype"/>
                <w:color w:val="000000"/>
              </w:rPr>
              <w:t xml:space="preserve">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574799" w14:paraId="7C00E089" w14:textId="77777777" w:rsidTr="006D5695">
        <w:tc>
          <w:tcPr>
            <w:tcW w:w="2547" w:type="dxa"/>
            <w:shd w:val="clear" w:color="auto" w:fill="F2F2F2"/>
          </w:tcPr>
          <w:p w14:paraId="4F5FF257" w14:textId="77777777" w:rsidR="00574799" w:rsidRDefault="00574799">
            <w:pPr>
              <w:tabs>
                <w:tab w:val="left" w:pos="284"/>
              </w:tabs>
              <w:spacing w:line="360" w:lineRule="auto"/>
              <w:rPr>
                <w:rFonts w:ascii="Palatino Linotype" w:eastAsia="Palatino Linotype" w:hAnsi="Palatino Linotype" w:cs="Palatino Linotype"/>
                <w:b/>
                <w:bCs/>
              </w:rPr>
            </w:pPr>
          </w:p>
          <w:p w14:paraId="2EE0E0ED" w14:textId="77777777" w:rsidR="00574799" w:rsidRDefault="00F20C16">
            <w:pPr>
              <w:tabs>
                <w:tab w:val="left" w:pos="284"/>
              </w:tabs>
              <w:spacing w:line="360" w:lineRule="auto"/>
              <w:jc w:val="both"/>
              <w:rPr>
                <w:rFonts w:ascii="Palatino Linotype" w:eastAsia="Palatino Linotype" w:hAnsi="Palatino Linotype" w:cs="Palatino Linotype"/>
                <w:b/>
                <w:bCs/>
              </w:rPr>
            </w:pPr>
            <w:r>
              <w:rPr>
                <w:rFonts w:ascii="Palatino Linotype" w:eastAsia="Palatino Linotype" w:hAnsi="Palatino Linotype" w:cs="Palatino Linotype"/>
                <w:b/>
                <w:bCs/>
                <w:color w:val="000000"/>
              </w:rPr>
              <w:t xml:space="preserve">d) Requisitos de fondo del acuerdo de clasificación. </w:t>
            </w:r>
          </w:p>
        </w:tc>
        <w:tc>
          <w:tcPr>
            <w:tcW w:w="7513" w:type="dxa"/>
            <w:shd w:val="clear" w:color="auto" w:fill="F2F2F2"/>
          </w:tcPr>
          <w:p w14:paraId="0421BE77" w14:textId="77777777" w:rsidR="00574799" w:rsidRDefault="00F20C16">
            <w:pPr>
              <w:tabs>
                <w:tab w:val="left" w:pos="284"/>
              </w:tabs>
              <w:spacing w:line="276"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Pr>
                <w:rFonts w:ascii="Palatino Linotype" w:eastAsia="Palatino Linotype" w:hAnsi="Palatino Linotype" w:cs="Palatino Linotype"/>
                <w:b/>
                <w:bCs/>
                <w:color w:val="000000"/>
              </w:rPr>
              <w:t>Sujetos Obligados</w:t>
            </w:r>
            <w:r>
              <w:rPr>
                <w:rFonts w:ascii="Palatino Linotype" w:eastAsia="Palatino Linotype" w:hAnsi="Palatino Linotype" w:cs="Palatino Linotype"/>
                <w:color w:val="000000"/>
              </w:rPr>
              <w:t xml:space="preserve">, por lo que deberán fundar y motivar debidamente la clasificación. </w:t>
            </w:r>
          </w:p>
          <w:p w14:paraId="1D9490F5" w14:textId="77777777" w:rsidR="00574799" w:rsidRDefault="00F20C16">
            <w:pPr>
              <w:tabs>
                <w:tab w:val="left" w:pos="284"/>
              </w:tabs>
              <w:spacing w:line="276"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lo anterior, se desprende que para una correcta </w:t>
            </w:r>
            <w:r>
              <w:rPr>
                <w:rFonts w:ascii="Palatino Linotype" w:eastAsia="Palatino Linotype" w:hAnsi="Palatino Linotype" w:cs="Palatino Linotype"/>
                <w:b/>
                <w:bCs/>
                <w:color w:val="000000"/>
              </w:rPr>
              <w:t>clasificación total o parcial</w:t>
            </w:r>
            <w:r>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14:paraId="6789C38B" w14:textId="77777777" w:rsidR="00574799" w:rsidRDefault="00F20C16">
            <w:pPr>
              <w:tabs>
                <w:tab w:val="left" w:pos="284"/>
              </w:tabs>
              <w:spacing w:line="276"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14:paraId="2B1FA2B5" w14:textId="77777777" w:rsidR="00574799" w:rsidRDefault="00F20C16">
            <w:pPr>
              <w:tabs>
                <w:tab w:val="left" w:pos="284"/>
              </w:tabs>
              <w:spacing w:line="276"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14:paraId="77B1D337" w14:textId="77777777" w:rsidR="00574799" w:rsidRDefault="00F20C16">
            <w:pPr>
              <w:tabs>
                <w:tab w:val="left" w:pos="284"/>
              </w:tabs>
              <w:spacing w:line="276"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Ahora bien, </w:t>
            </w:r>
            <w:r>
              <w:rPr>
                <w:rFonts w:ascii="Palatino Linotype" w:eastAsia="Palatino Linotype" w:hAnsi="Palatino Linotype" w:cs="Palatino Linotype"/>
                <w:b/>
                <w:bCs/>
                <w:color w:val="000000"/>
                <w:u w:val="single"/>
              </w:rPr>
              <w:t>para cada caso además de fundar y motivar</w:t>
            </w:r>
            <w:r>
              <w:rPr>
                <w:rFonts w:ascii="Palatino Linotype" w:eastAsia="Palatino Linotype" w:hAnsi="Palatino Linotype" w:cs="Palatino Linotype"/>
                <w:color w:val="000000"/>
              </w:rPr>
              <w:t xml:space="preserve">, se debe identificar con claridad </w:t>
            </w:r>
            <w:r>
              <w:rPr>
                <w:rFonts w:ascii="Palatino Linotype" w:eastAsia="Palatino Linotype" w:hAnsi="Palatino Linotype" w:cs="Palatino Linotype"/>
              </w:rPr>
              <w:t>qué</w:t>
            </w:r>
            <w:r>
              <w:rPr>
                <w:rFonts w:ascii="Palatino Linotype" w:eastAsia="Palatino Linotype" w:hAnsi="Palatino Linotype" w:cs="Palatino Linotype"/>
                <w:color w:val="000000"/>
              </w:rPr>
              <w:t xml:space="preserv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574799" w14:paraId="089998E4" w14:textId="77777777" w:rsidTr="006D5695">
        <w:tc>
          <w:tcPr>
            <w:tcW w:w="2547" w:type="dxa"/>
          </w:tcPr>
          <w:p w14:paraId="48B2D5D7" w14:textId="77777777" w:rsidR="00574799" w:rsidRDefault="00F20C16">
            <w:pPr>
              <w:tabs>
                <w:tab w:val="left" w:pos="284"/>
              </w:tabs>
              <w:spacing w:line="360" w:lineRule="auto"/>
              <w:jc w:val="both"/>
              <w:rPr>
                <w:rFonts w:ascii="Palatino Linotype" w:eastAsia="Palatino Linotype" w:hAnsi="Palatino Linotype" w:cs="Palatino Linotype"/>
                <w:b/>
                <w:bCs/>
              </w:rPr>
            </w:pPr>
            <w:r>
              <w:rPr>
                <w:rFonts w:ascii="Palatino Linotype" w:eastAsia="Palatino Linotype" w:hAnsi="Palatino Linotype" w:cs="Palatino Linotype"/>
                <w:b/>
                <w:bCs/>
              </w:rPr>
              <w:lastRenderedPageBreak/>
              <w:t xml:space="preserve">e) Condiciones especiales de la clasificación de la información como confidencial. </w:t>
            </w:r>
          </w:p>
        </w:tc>
        <w:tc>
          <w:tcPr>
            <w:tcW w:w="7513" w:type="dxa"/>
          </w:tcPr>
          <w:p w14:paraId="0FC26C81" w14:textId="77777777" w:rsidR="00574799" w:rsidRDefault="00F20C16">
            <w:pPr>
              <w:tabs>
                <w:tab w:val="left" w:pos="284"/>
              </w:tabs>
              <w:spacing w:line="276"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Los artículos 148 de la Ley Estatal establece que aun tratándose de datos personales, se podrán proporcionar, incluso sin solicitar el consentimiento de su titular. </w:t>
            </w:r>
          </w:p>
          <w:p w14:paraId="30C94AB6" w14:textId="77777777" w:rsidR="00574799" w:rsidRDefault="00F20C16">
            <w:pPr>
              <w:tabs>
                <w:tab w:val="left" w:pos="284"/>
              </w:tabs>
              <w:spacing w:line="276"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14:paraId="3543E449" w14:textId="77777777" w:rsidR="00574799" w:rsidRDefault="00F20C16">
            <w:pPr>
              <w:tabs>
                <w:tab w:val="left" w:pos="284"/>
              </w:tabs>
              <w:spacing w:line="276" w:lineRule="auto"/>
              <w:rPr>
                <w:rFonts w:ascii="Palatino Linotype" w:eastAsia="Palatino Linotype" w:hAnsi="Palatino Linotype" w:cs="Palatino Linotype"/>
              </w:rPr>
            </w:pPr>
            <w:r>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14:paraId="078B2A8A" w14:textId="77777777" w:rsidR="00574799" w:rsidRDefault="00574799">
      <w:pPr>
        <w:tabs>
          <w:tab w:val="left" w:pos="284"/>
        </w:tabs>
        <w:spacing w:line="360" w:lineRule="auto"/>
        <w:rPr>
          <w:rFonts w:ascii="Palatino Linotype" w:eastAsia="Palatino Linotype" w:hAnsi="Palatino Linotype" w:cs="Palatino Linotype"/>
          <w:color w:val="000000"/>
        </w:rPr>
      </w:pPr>
    </w:p>
    <w:p w14:paraId="00EB9D18" w14:textId="77777777" w:rsidR="00574799" w:rsidRDefault="00F20C16">
      <w:pPr>
        <w:numPr>
          <w:ilvl w:val="0"/>
          <w:numId w:val="6"/>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Se debe de puntualizar que los recibos de nómina y/o comprobantes de pago de cualquier índole, contienen datos personales de los servidores públicos o empleados, que de hacerse públicos </w:t>
      </w:r>
      <w:r>
        <w:rPr>
          <w:rFonts w:ascii="Palatino Linotype" w:eastAsia="Palatino Linotype" w:hAnsi="Palatino Linotype" w:cs="Palatino Linotype"/>
          <w:color w:val="000000"/>
        </w:rPr>
        <w:t>afectarían</w:t>
      </w:r>
      <w:r>
        <w:rPr>
          <w:rFonts w:ascii="Palatino Linotype" w:eastAsia="Palatino Linotype" w:hAnsi="Palatino Linotype" w:cs="Palatino Linotype"/>
        </w:rPr>
        <w:t xml:space="preserve"> su intimidad y vida privada; es por ello que es criterio reiterado en las resoluciones de este Pleno que además de los datos especificados en la Ley de Transparencia y Acceso a la Información Pública del Estado de México y Municipios, se consideran confidenciales y por tanto deben testarse al momento de la elaboración de versiones públicas el Registro Federal de Contribuyentes (RFC), la Clave Única de Registro de Población (CURP), la Clave de cualquier tipo de seguridad social (ISSEMYM, u otros), y los descuentos y claves que se realicen por pensión alimenticia o deducciones estrictamente personales o de cualquier índole siempre que, no se encuentren relacionados con los impuestos o las cuotas por seguridad social, número de cuenta o cualquier otro dato que ponga en riesgo la vida y la seguridad de dichas personas.</w:t>
      </w:r>
    </w:p>
    <w:p w14:paraId="69F65498" w14:textId="77777777" w:rsidR="00574799" w:rsidRDefault="00574799">
      <w:pPr>
        <w:tabs>
          <w:tab w:val="left" w:pos="284"/>
        </w:tabs>
        <w:spacing w:line="360" w:lineRule="auto"/>
        <w:jc w:val="both"/>
        <w:rPr>
          <w:rFonts w:ascii="Palatino Linotype" w:eastAsia="Palatino Linotype" w:hAnsi="Palatino Linotype" w:cs="Palatino Linotype"/>
        </w:rPr>
      </w:pPr>
    </w:p>
    <w:p w14:paraId="2A1831E0" w14:textId="77777777" w:rsidR="00574799" w:rsidRDefault="00F20C16">
      <w:pPr>
        <w:numPr>
          <w:ilvl w:val="0"/>
          <w:numId w:val="6"/>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Por cuanto hace al </w:t>
      </w:r>
      <w:r>
        <w:rPr>
          <w:rFonts w:ascii="Palatino Linotype" w:eastAsia="Palatino Linotype" w:hAnsi="Palatino Linotype" w:cs="Palatino Linotype"/>
          <w:b/>
          <w:bCs/>
        </w:rPr>
        <w:t>Registro Federal de Contribuyentes (RFC),</w:t>
      </w:r>
      <w:r>
        <w:rPr>
          <w:rFonts w:ascii="Palatino Linotype" w:eastAsia="Palatino Linotype" w:hAnsi="Palatino Linotype" w:cs="Palatino Linotype"/>
        </w:rPr>
        <w:t xml:space="preserve"> de las personas físicas, constituye un dato personal, pues se genera con caracteres alfanuméricos a partir del nombre y la fecha de nacimiento de cada persona, y finalmente la homoclave, por lo que para su obtención es necesario acreditar ante la autoridad fiscal previamente la identidad de la persona, su fecha de nacimiento, entre otros aspectos.</w:t>
      </w:r>
    </w:p>
    <w:p w14:paraId="7D3E1778" w14:textId="77777777" w:rsidR="00574799" w:rsidRDefault="00574799">
      <w:pPr>
        <w:tabs>
          <w:tab w:val="left" w:pos="284"/>
        </w:tabs>
        <w:spacing w:line="360" w:lineRule="auto"/>
        <w:jc w:val="both"/>
        <w:rPr>
          <w:rFonts w:ascii="Palatino Linotype" w:eastAsia="Palatino Linotype" w:hAnsi="Palatino Linotype" w:cs="Palatino Linotype"/>
        </w:rPr>
      </w:pPr>
    </w:p>
    <w:p w14:paraId="5217402B" w14:textId="77777777" w:rsidR="00574799" w:rsidRDefault="00F20C16">
      <w:pPr>
        <w:numPr>
          <w:ilvl w:val="0"/>
          <w:numId w:val="6"/>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Ahora bien, las personas físicas tramitan su inscripción en el registro con el propósito de realizar —mediante esa clave de identificación— operaciones o actividades de naturaleza fiscal, la cual, les permite hacerse identificables respecto de una situación fiscal determinada.</w:t>
      </w:r>
    </w:p>
    <w:p w14:paraId="610588E9" w14:textId="77777777" w:rsidR="00574799" w:rsidRDefault="00574799">
      <w:pPr>
        <w:tabs>
          <w:tab w:val="left" w:pos="284"/>
        </w:tabs>
        <w:spacing w:line="360" w:lineRule="auto"/>
        <w:jc w:val="both"/>
        <w:rPr>
          <w:rFonts w:ascii="Palatino Linotype" w:eastAsia="Palatino Linotype" w:hAnsi="Palatino Linotype" w:cs="Palatino Linotype"/>
        </w:rPr>
      </w:pPr>
    </w:p>
    <w:p w14:paraId="2C6243F0" w14:textId="77777777" w:rsidR="00574799" w:rsidRDefault="00F20C16">
      <w:pPr>
        <w:numPr>
          <w:ilvl w:val="0"/>
          <w:numId w:val="6"/>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Lo anterior es compartido por el entonces Instituto Federal de Acceso a la Información Pública y Protección de Datos Personales (IFAI) a través del Criterio orientador 19/17, el cual es del tenor literal siguiente:</w:t>
      </w:r>
    </w:p>
    <w:p w14:paraId="50D51A3D" w14:textId="77777777" w:rsidR="00574799" w:rsidRDefault="00F20C16">
      <w:pPr>
        <w:ind w:left="1134" w:right="-716"/>
        <w:jc w:val="both"/>
        <w:rPr>
          <w:rFonts w:ascii="Palatino Linotype" w:eastAsia="Palatino Linotype" w:hAnsi="Palatino Linotype" w:cs="Palatino Linotype"/>
          <w:i/>
          <w:iCs/>
        </w:rPr>
      </w:pPr>
      <w:r>
        <w:rPr>
          <w:rFonts w:ascii="Palatino Linotype" w:eastAsia="Palatino Linotype" w:hAnsi="Palatino Linotype" w:cs="Palatino Linotype"/>
          <w:b/>
          <w:bCs/>
          <w:i/>
          <w:iCs/>
        </w:rPr>
        <w:t>“Registro Federal de Contribuyentes (RFC) de personas físicas</w:t>
      </w:r>
      <w:r>
        <w:rPr>
          <w:rFonts w:ascii="Palatino Linotype" w:eastAsia="Palatino Linotype" w:hAnsi="Palatino Linotype" w:cs="Palatino Linotype"/>
          <w:i/>
          <w:iCs/>
        </w:rPr>
        <w:t>. El RFC es una clave de carácter fiscal, única e irrepetible, que permite identificar al titular, su edad y fecha de nacimiento, por lo que es un dato personal de carácter confidencial.”</w:t>
      </w:r>
    </w:p>
    <w:p w14:paraId="1A5C7E03" w14:textId="77777777" w:rsidR="00574799" w:rsidRDefault="00574799">
      <w:pPr>
        <w:ind w:right="1106"/>
        <w:jc w:val="both"/>
        <w:rPr>
          <w:rFonts w:ascii="Palatino Linotype" w:eastAsia="Palatino Linotype" w:hAnsi="Palatino Linotype" w:cs="Palatino Linotype"/>
          <w:i/>
          <w:iCs/>
        </w:rPr>
      </w:pPr>
    </w:p>
    <w:p w14:paraId="695B097C" w14:textId="77777777" w:rsidR="00574799" w:rsidRDefault="00574799">
      <w:pPr>
        <w:ind w:left="567" w:right="900"/>
        <w:jc w:val="both"/>
        <w:rPr>
          <w:rFonts w:ascii="Palatino Linotype" w:eastAsia="Palatino Linotype" w:hAnsi="Palatino Linotype" w:cs="Palatino Linotype"/>
          <w:i/>
          <w:iCs/>
        </w:rPr>
      </w:pPr>
    </w:p>
    <w:p w14:paraId="6487D66D" w14:textId="77777777" w:rsidR="00574799" w:rsidRDefault="00F20C16">
      <w:pPr>
        <w:numPr>
          <w:ilvl w:val="0"/>
          <w:numId w:val="6"/>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Así, el </w:t>
      </w:r>
      <w:r>
        <w:rPr>
          <w:rFonts w:ascii="Palatino Linotype" w:eastAsia="Palatino Linotype" w:hAnsi="Palatino Linotype" w:cs="Palatino Linotype"/>
          <w:b/>
          <w:bCs/>
        </w:rPr>
        <w:t>Registro Federal de Contribuyentes, RFC</w:t>
      </w:r>
      <w:r>
        <w:rPr>
          <w:rFonts w:ascii="Palatino Linotype" w:eastAsia="Palatino Linotype" w:hAnsi="Palatino Linotype" w:cs="Palatino Linotype"/>
        </w:rPr>
        <w:t>, se vincula al nombre de su titular y permite identificar la edad de la persona, su fecha de nacimiento, así como su homoclave, la cual es única e irrepetible y determina la identificación de dicha persona para efectos fiscales, por lo que constituye un dato personal que concierne a una persona física identificada e identificable en términos de los artículos 3, fracción IX de la Ley de Transparencia y Acceso a la Información Pública del Estado de México y Municipios, y  4 fracciones XI y XII de la Ley de Protección de Datos Personales en Posesión de los Sujetos Obligados del Estado de México y Municipios.</w:t>
      </w:r>
    </w:p>
    <w:p w14:paraId="4A3A0184" w14:textId="77777777" w:rsidR="00574799" w:rsidRDefault="00574799">
      <w:pPr>
        <w:tabs>
          <w:tab w:val="left" w:pos="284"/>
        </w:tabs>
        <w:spacing w:line="360" w:lineRule="auto"/>
        <w:jc w:val="both"/>
        <w:rPr>
          <w:rFonts w:ascii="Palatino Linotype" w:eastAsia="Palatino Linotype" w:hAnsi="Palatino Linotype" w:cs="Palatino Linotype"/>
        </w:rPr>
      </w:pPr>
    </w:p>
    <w:p w14:paraId="2E5910B4" w14:textId="77777777" w:rsidR="00574799" w:rsidRDefault="00F20C16">
      <w:pPr>
        <w:numPr>
          <w:ilvl w:val="0"/>
          <w:numId w:val="6"/>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De igual manera la </w:t>
      </w:r>
      <w:r>
        <w:rPr>
          <w:rFonts w:ascii="Palatino Linotype" w:eastAsia="Palatino Linotype" w:hAnsi="Palatino Linotype" w:cs="Palatino Linotype"/>
          <w:b/>
          <w:bCs/>
        </w:rPr>
        <w:t>Clave Única de Registro de Población (CURP),</w:t>
      </w:r>
      <w:r>
        <w:rPr>
          <w:rFonts w:ascii="Palatino Linotype" w:eastAsia="Palatino Linotype" w:hAnsi="Palatino Linotype" w:cs="Palatino Linotype"/>
        </w:rPr>
        <w:t xml:space="preserve"> constituye un dato personal, ya que tiene como finalidad registrar a cada una de las personas que integran la población del país, con datos que permitan certificar y acreditar fehacientemente su identidad, en virtud de que se integra por datos personales que únicamente le conciernen a un particular como son su fecha de nacimiento, su nombre, sus apellidos y su lugar de nacimiento; información que permite distinguirlo del resto de los habitantes, por tal motivo, se considera que es de carácter confidencial.</w:t>
      </w:r>
    </w:p>
    <w:p w14:paraId="29E28483" w14:textId="77777777" w:rsidR="00574799" w:rsidRDefault="00574799">
      <w:pPr>
        <w:tabs>
          <w:tab w:val="left" w:pos="284"/>
        </w:tabs>
        <w:spacing w:line="360" w:lineRule="auto"/>
        <w:jc w:val="both"/>
        <w:rPr>
          <w:rFonts w:ascii="Palatino Linotype" w:eastAsia="Palatino Linotype" w:hAnsi="Palatino Linotype" w:cs="Palatino Linotype"/>
        </w:rPr>
      </w:pPr>
    </w:p>
    <w:p w14:paraId="72025520" w14:textId="77777777" w:rsidR="00574799" w:rsidRDefault="00F20C16">
      <w:pPr>
        <w:numPr>
          <w:ilvl w:val="0"/>
          <w:numId w:val="6"/>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Argumento que es compartido por el Instituto Nacional de Transparencia, Acceso a la Información y Protección de Datos Personales, INAI, conforme al criterio orientador 18/17, el cual refiere: </w:t>
      </w:r>
    </w:p>
    <w:p w14:paraId="5E88AE06" w14:textId="77777777" w:rsidR="00574799" w:rsidRDefault="00F20C16">
      <w:pPr>
        <w:ind w:left="1134" w:right="-716"/>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“Clave Única de Registro de Población (CURP). </w:t>
      </w:r>
      <w:r>
        <w:rPr>
          <w:rFonts w:ascii="Palatino Linotype" w:eastAsia="Palatino Linotype" w:hAnsi="Palatino Linotype" w:cs="Palatino Linotype"/>
          <w:i/>
          <w:iCs/>
        </w:rPr>
        <w:t>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14:paraId="3C8910B2" w14:textId="77777777" w:rsidR="00574799" w:rsidRDefault="00574799">
      <w:pPr>
        <w:ind w:right="333"/>
        <w:jc w:val="both"/>
        <w:rPr>
          <w:rFonts w:ascii="Palatino Linotype" w:eastAsia="Palatino Linotype" w:hAnsi="Palatino Linotype" w:cs="Palatino Linotype"/>
          <w:i/>
          <w:iCs/>
        </w:rPr>
      </w:pPr>
    </w:p>
    <w:p w14:paraId="71524172" w14:textId="77777777" w:rsidR="00574799" w:rsidRDefault="00F20C16">
      <w:pPr>
        <w:numPr>
          <w:ilvl w:val="0"/>
          <w:numId w:val="6"/>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Por cuanto hace a la </w:t>
      </w:r>
      <w:r>
        <w:rPr>
          <w:rFonts w:ascii="Palatino Linotype" w:eastAsia="Palatino Linotype" w:hAnsi="Palatino Linotype" w:cs="Palatino Linotype"/>
          <w:b/>
          <w:bCs/>
        </w:rPr>
        <w:t>Clave de cualquier tipo de seguridad social (ISSEMyM, u otros</w:t>
      </w:r>
      <w:r>
        <w:rPr>
          <w:rFonts w:ascii="Palatino Linotype" w:eastAsia="Palatino Linotype" w:hAnsi="Palatino Linotype" w:cs="Palatino Linotype"/>
        </w:rPr>
        <w:t>), está integrado por una secuencia de números con los que se identifica a los trabajadores que cubren las cuotas respectivas, asimismo, lo identifica con la fuente de trabajo; por lo que al ser una clave de identificación de los trabajadores, constituye información confidencial, dato que únicamente le atañe al servidor público, por lo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14:paraId="7BA5A8DF" w14:textId="77777777" w:rsidR="00574799" w:rsidRDefault="00574799">
      <w:pPr>
        <w:tabs>
          <w:tab w:val="left" w:pos="284"/>
        </w:tabs>
        <w:spacing w:line="360" w:lineRule="auto"/>
        <w:jc w:val="both"/>
        <w:rPr>
          <w:rFonts w:ascii="Palatino Linotype" w:eastAsia="Palatino Linotype" w:hAnsi="Palatino Linotype" w:cs="Palatino Linotype"/>
        </w:rPr>
      </w:pPr>
    </w:p>
    <w:p w14:paraId="1D4C79F6" w14:textId="77777777" w:rsidR="00574799" w:rsidRDefault="00F20C16">
      <w:pPr>
        <w:numPr>
          <w:ilvl w:val="0"/>
          <w:numId w:val="6"/>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Respecto de los </w:t>
      </w:r>
      <w:r>
        <w:rPr>
          <w:rFonts w:ascii="Palatino Linotype" w:eastAsia="Palatino Linotype" w:hAnsi="Palatino Linotype" w:cs="Palatino Linotype"/>
          <w:b/>
          <w:bCs/>
        </w:rPr>
        <w:t>préstamos o descuentos de carácter personal</w:t>
      </w:r>
      <w:r>
        <w:rPr>
          <w:rFonts w:ascii="Palatino Linotype" w:eastAsia="Palatino Linotype" w:hAnsi="Palatino Linotype" w:cs="Palatino Linotype"/>
        </w:rPr>
        <w:t>, estos no deben tener relación con la prestación del servicio; es decir, son confidenciales los préstamos o descuentos que se le hagan a la persona en los que no se involucren instituciones públicas, en virtud de no favorecer en la transparencia y rendición de cuentas, sino, por el contrario, con ello se violentaba la protección de información confidencial, porque incide en la intimidad de un individuo identificado.</w:t>
      </w:r>
    </w:p>
    <w:p w14:paraId="19EF8B17" w14:textId="77777777" w:rsidR="00574799" w:rsidRDefault="00574799">
      <w:pPr>
        <w:tabs>
          <w:tab w:val="left" w:pos="284"/>
        </w:tabs>
        <w:spacing w:line="360" w:lineRule="auto"/>
        <w:jc w:val="both"/>
        <w:rPr>
          <w:rFonts w:ascii="Palatino Linotype" w:eastAsia="Palatino Linotype" w:hAnsi="Palatino Linotype" w:cs="Palatino Linotype"/>
        </w:rPr>
      </w:pPr>
    </w:p>
    <w:p w14:paraId="15B7B817" w14:textId="77777777" w:rsidR="00574799" w:rsidRDefault="00F20C16">
      <w:pPr>
        <w:numPr>
          <w:ilvl w:val="0"/>
          <w:numId w:val="6"/>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 Con base en lo expuesto, se insiste que los datos mencionados, que como se ha dicho, deben ser clasificados como confidenciales por tratarse de información privada, toda vez que los datos personales son irrenunciables, intransferibles e indelegables, por lo tanto los sujetos obligados no deben hacer entrega de éstos a persona ajena a su titular, sobre todo cuando traiga implícita que se ponga en riesgo la vida o integridad de una persona.</w:t>
      </w:r>
    </w:p>
    <w:p w14:paraId="441E0FD0" w14:textId="77777777" w:rsidR="00574799" w:rsidRDefault="00574799">
      <w:pPr>
        <w:tabs>
          <w:tab w:val="left" w:pos="284"/>
        </w:tabs>
        <w:spacing w:line="360" w:lineRule="auto"/>
        <w:jc w:val="both"/>
        <w:rPr>
          <w:rFonts w:ascii="Palatino Linotype" w:eastAsia="Palatino Linotype" w:hAnsi="Palatino Linotype" w:cs="Palatino Linotype"/>
        </w:rPr>
      </w:pPr>
    </w:p>
    <w:p w14:paraId="50518703" w14:textId="77777777" w:rsidR="00574799" w:rsidRDefault="00F20C16">
      <w:pPr>
        <w:numPr>
          <w:ilvl w:val="0"/>
          <w:numId w:val="6"/>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Sirven de sustento a lo anterior, las tesis jurisprudenciales P. LX/2000 y 2a. XLIII/2008 emitidas por el Peno y la Segunda Sala de la Suprema Corte de Justicia de la Nación, respectivamente, que son del tenor literal siguiente:</w:t>
      </w:r>
    </w:p>
    <w:p w14:paraId="62B55FDF" w14:textId="77777777" w:rsidR="00574799" w:rsidRDefault="00F20C16">
      <w:pPr>
        <w:ind w:left="567" w:right="-858"/>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“DERECHO A LA INFORMACIÓN. SU EJERCICIO SE ENCUENTRA LIMITADO TANTO POR LOS INTERESES NACIONALES Y DE LA SOCIEDAD, COMO POR LOS DERECHOS DE TERCEROS. </w:t>
      </w:r>
      <w:r>
        <w:rPr>
          <w:rFonts w:ascii="Palatino Linotype" w:eastAsia="Palatino Linotype" w:hAnsi="Palatino Linotype" w:cs="Palatino Linotype"/>
          <w:i/>
          <w:iCs/>
        </w:rPr>
        <w:t xml:space="preserve">El derecho a la información consagrado en la última parte del artículo 6o. de la Constitución Federal no es absoluto, sino que, como toda garantía, se halla sujeto a limitaciones o excepciones que se sustentan, fundamentalmente, en la protección de la seguridad nacional y en el respeto tanto a los intereses de la sociedad como a los derechos de los gobernados, limitaciones que, incluso, han dado origen a la figura jurídica del secreto de información que se conoce en la doctrina como "reserva de información" o "secreto burocrático". En estas condiciones, al encontrarse obligado el Estado, como sujeto pasivo de la citada garantía, a velar por dichos intereses, con apego a las normas constitucionales y legales, el mencionado derecho no puede ser garantizado indiscriminadamente, sino que el respeto a su ejercicio encuentra excepciones que lo regulan y a su vez lo garantizan, en atención a la materia a que se refiera; así, en cuanto a la seguridad nacional, se tienen normas que, por un lado, </w:t>
      </w:r>
      <w:r>
        <w:rPr>
          <w:rFonts w:ascii="Palatino Linotype" w:eastAsia="Palatino Linotype" w:hAnsi="Palatino Linotype" w:cs="Palatino Linotype"/>
          <w:b/>
          <w:bCs/>
          <w:i/>
          <w:iCs/>
        </w:rPr>
        <w:t>restringen el acceso a la información en esta materia, en razón de que su conocimiento público puede generar daños a los intereses nacionales y, por el otro, sancionan la inobservancia de esa reserva</w:t>
      </w:r>
      <w:r>
        <w:rPr>
          <w:rFonts w:ascii="Palatino Linotype" w:eastAsia="Palatino Linotype" w:hAnsi="Palatino Linotype" w:cs="Palatino Linotype"/>
          <w:i/>
          <w:iCs/>
        </w:rPr>
        <w:t xml:space="preserve">; por lo que hace al interés social, se cuenta con normas que tienden a proteger la averiguación de los delitos, la salud y la moral públicas, </w:t>
      </w:r>
      <w:r>
        <w:rPr>
          <w:rFonts w:ascii="Palatino Linotype" w:eastAsia="Palatino Linotype" w:hAnsi="Palatino Linotype" w:cs="Palatino Linotype"/>
          <w:b/>
          <w:bCs/>
          <w:i/>
          <w:iCs/>
        </w:rPr>
        <w:t>mientras que por lo que respecta a la protección de la persona existen normas que protegen el derecho a la vida o a la privacidad de los gobernados</w:t>
      </w:r>
      <w:r>
        <w:rPr>
          <w:rFonts w:ascii="Palatino Linotype" w:eastAsia="Palatino Linotype" w:hAnsi="Palatino Linotype" w:cs="Palatino Linotype"/>
          <w:i/>
          <w:iCs/>
        </w:rPr>
        <w:t>.”</w:t>
      </w:r>
    </w:p>
    <w:p w14:paraId="632BC96C" w14:textId="77777777" w:rsidR="00574799" w:rsidRDefault="00574799">
      <w:pPr>
        <w:ind w:left="567" w:right="-858"/>
        <w:jc w:val="both"/>
        <w:rPr>
          <w:rFonts w:ascii="Palatino Linotype" w:eastAsia="Palatino Linotype" w:hAnsi="Palatino Linotype" w:cs="Palatino Linotype"/>
          <w:i/>
          <w:iCs/>
        </w:rPr>
      </w:pPr>
    </w:p>
    <w:p w14:paraId="21DB2527" w14:textId="77777777" w:rsidR="00574799" w:rsidRDefault="00F20C16">
      <w:pPr>
        <w:ind w:left="567" w:right="-858"/>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“TRANSPARENCIA Y ACCESO A LA INFORMACIÓN PÚBLICA GUBERNAMENTAL. EL ARTÍCULO 14, FRACCIÓN I, DE LA LEY FEDERAL RELATIVA, NO VIOLA LA GARANTÍA DE ACCESO A LA INFORMACIÓN. </w:t>
      </w:r>
      <w:r>
        <w:rPr>
          <w:rFonts w:ascii="Palatino Linotype" w:eastAsia="Palatino Linotype" w:hAnsi="Palatino Linotype" w:cs="Palatino Linotype"/>
          <w:i/>
          <w:iCs/>
        </w:rPr>
        <w:t xml:space="preserve">El Tribunal en Pleno de la Suprema Corte de Justicia de la Nación en la tesis P. LX/2000 de rubro: </w:t>
      </w:r>
      <w:r>
        <w:rPr>
          <w:rFonts w:ascii="Palatino Linotype" w:eastAsia="Palatino Linotype" w:hAnsi="Palatino Linotype" w:cs="Palatino Linotype"/>
          <w:i/>
          <w:iCs/>
        </w:rPr>
        <w:lastRenderedPageBreak/>
        <w:t xml:space="preserve">"DERECHO A LA INFORMACIÓN. SU EJERCICIO SE ENCUENTRA LIMITADO TANTO POR LOS INTERESES NACIONALES Y DE LA SOCIEDAD, COMO POR LOS DERECHOS DE TERCEROS.", publicada en el Semanario Judicial de la Federación y su Gaceta, Novena Época, Tomo XI, abril de 2000, página 74, estableció que el ejercicio del derecho a la información no es irrestricto, sino que tiene límites que se sustentan en la protección de la seguridad nacional y en el respeto a los intereses de la sociedad y a los derechos de los gobernados, en atención a la materia de que se trate. En ese sentido, el citado precepto, al remitir a diversas normas ordinarias que establezcan restricciones a la información, no viola la garantía de acceso a la información contenida en el artículo 6o. de la Constitución Política de los Estados Unidos Mexicanos, porque es jurídicamente adecuado que en las leyes reguladoras de cada materia, </w:t>
      </w:r>
      <w:r>
        <w:rPr>
          <w:rFonts w:ascii="Palatino Linotype" w:eastAsia="Palatino Linotype" w:hAnsi="Palatino Linotype" w:cs="Palatino Linotype"/>
          <w:b/>
          <w:bCs/>
          <w:i/>
          <w:iCs/>
        </w:rPr>
        <w:t>el legislador federal o local establezca las restricciones correspondientes y clasifique a determinados datos como confidenciales o reservados, con la condición de que tales límites atiendan a intereses públicos o de los particulares y encuentren justificación racional en función del bien jurídico a proteger, es decir, que exista proporcionalidad y congruencia entre el derecho fundamental de que se trata y la razón que motive la restricción legislativa correspondiente,</w:t>
      </w:r>
      <w:r>
        <w:rPr>
          <w:rFonts w:ascii="Palatino Linotype" w:eastAsia="Palatino Linotype" w:hAnsi="Palatino Linotype" w:cs="Palatino Linotype"/>
          <w:i/>
          <w:iCs/>
        </w:rPr>
        <w:t xml:space="preserve"> la cual debe ser adecuada y necesaria para alcanzar el fin perseguido, de manera que las ventajas obtenidas con la reserva compensen el sacrificio que ésta implique para los titulares de la garantía individual mencionada o para la sociedad en general.”</w:t>
      </w:r>
    </w:p>
    <w:p w14:paraId="6F2D18BD" w14:textId="77777777" w:rsidR="00574799" w:rsidRDefault="00574799">
      <w:pPr>
        <w:ind w:left="1134" w:right="-929"/>
        <w:jc w:val="both"/>
        <w:rPr>
          <w:rFonts w:ascii="Palatino Linotype" w:eastAsia="Palatino Linotype" w:hAnsi="Palatino Linotype" w:cs="Palatino Linotype"/>
          <w:i/>
          <w:iCs/>
        </w:rPr>
      </w:pPr>
    </w:p>
    <w:p w14:paraId="301B071E" w14:textId="77777777" w:rsidR="00574799" w:rsidRDefault="00F20C16">
      <w:pPr>
        <w:numPr>
          <w:ilvl w:val="0"/>
          <w:numId w:val="6"/>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También, el </w:t>
      </w:r>
      <w:r>
        <w:rPr>
          <w:rFonts w:ascii="Palatino Linotype" w:eastAsia="Palatino Linotype" w:hAnsi="Palatino Linotype" w:cs="Palatino Linotype"/>
          <w:b/>
          <w:bCs/>
        </w:rPr>
        <w:t>número de cuenta bancario</w:t>
      </w:r>
      <w:r>
        <w:rPr>
          <w:rFonts w:ascii="Palatino Linotype" w:eastAsia="Palatino Linotype" w:hAnsi="Palatino Linotype" w:cs="Palatino Linotype"/>
        </w:rPr>
        <w:t>, conforme al el Criterio orientador 10/17 emitido por el Pleno del Instituto Nacional de Transparencia, Acceso a la Información y Protección de Datos Personales se establece lo siguiente:</w:t>
      </w:r>
    </w:p>
    <w:p w14:paraId="17ECD880" w14:textId="77777777" w:rsidR="00574799" w:rsidRDefault="00F20C16">
      <w:pPr>
        <w:shd w:val="clear" w:color="auto" w:fill="FFFFFF"/>
        <w:ind w:left="567" w:right="-716"/>
        <w:jc w:val="both"/>
        <w:rPr>
          <w:rFonts w:ascii="Palatino Linotype" w:eastAsia="Palatino Linotype" w:hAnsi="Palatino Linotype" w:cs="Palatino Linotype"/>
        </w:rPr>
      </w:pPr>
      <w:r>
        <w:rPr>
          <w:rFonts w:ascii="Palatino Linotype" w:eastAsia="Palatino Linotype" w:hAnsi="Palatino Linotype" w:cs="Palatino Linotype"/>
        </w:rPr>
        <w:t>“</w:t>
      </w:r>
      <w:r>
        <w:rPr>
          <w:rFonts w:ascii="Palatino Linotype" w:eastAsia="Palatino Linotype" w:hAnsi="Palatino Linotype" w:cs="Palatino Linotype"/>
          <w:b/>
          <w:bCs/>
          <w:i/>
          <w:iCs/>
        </w:rPr>
        <w:t>Cuentas bancarias y/o CLABE interbancaria de personas físicas y morales privadas.</w:t>
      </w:r>
      <w:r>
        <w:rPr>
          <w:rFonts w:ascii="Palatino Linotype" w:eastAsia="Palatino Linotype" w:hAnsi="Palatino Linotype" w:cs="Palatino Linotype"/>
          <w:i/>
          <w:iCs/>
        </w:rPr>
        <w:t xml:space="preserve">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r>
        <w:rPr>
          <w:rFonts w:ascii="Palatino Linotype" w:eastAsia="Palatino Linotype" w:hAnsi="Palatino Linotype" w:cs="Palatino Linotype"/>
        </w:rPr>
        <w:t>.”</w:t>
      </w:r>
    </w:p>
    <w:p w14:paraId="743A6EBA" w14:textId="77777777" w:rsidR="00574799" w:rsidRDefault="00574799">
      <w:pPr>
        <w:ind w:left="1134" w:right="-929"/>
        <w:jc w:val="both"/>
        <w:rPr>
          <w:rFonts w:ascii="Palatino Linotype" w:eastAsia="Palatino Linotype" w:hAnsi="Palatino Linotype" w:cs="Palatino Linotype"/>
        </w:rPr>
      </w:pPr>
    </w:p>
    <w:p w14:paraId="00B6D9AC" w14:textId="77777777" w:rsidR="00574799" w:rsidRDefault="00F20C16">
      <w:pPr>
        <w:numPr>
          <w:ilvl w:val="0"/>
          <w:numId w:val="6"/>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Esta cuenta es de uso personal y no guarda relación con el servicio público ni con los recursos públicos, ya que es elección del trabajador determinar si desea que su sueldo se pague </w:t>
      </w:r>
      <w:r>
        <w:rPr>
          <w:rFonts w:ascii="Palatino Linotype" w:eastAsia="Palatino Linotype" w:hAnsi="Palatino Linotype" w:cs="Palatino Linotype"/>
        </w:rPr>
        <w:lastRenderedPageBreak/>
        <w:t>de manera directa o a través de depósito bancario en la institución de crédito de su elección. De tal suerte, el número de cuenta bancario lo proporciona el servidor público o empleado al Sujeto Obligado, con el único fin de que realicen los depósitos de su sueldo, por lo que este número constituye información confidencial al pertenecer exclusivamente al ámbito de la vida privada del trabajador y procede su eliminación de conformidad con el artículo 143, fracción I de la Ley de Transparencia y Acceso a la Información Pública del Estado de México y Municipios.</w:t>
      </w:r>
    </w:p>
    <w:p w14:paraId="01C957F5" w14:textId="77777777" w:rsidR="00574799" w:rsidRDefault="00574799">
      <w:pPr>
        <w:spacing w:line="360" w:lineRule="auto"/>
        <w:jc w:val="both"/>
        <w:rPr>
          <w:rFonts w:ascii="Palatino Linotype" w:eastAsia="Palatino Linotype" w:hAnsi="Palatino Linotype" w:cs="Palatino Linotype"/>
        </w:rPr>
      </w:pPr>
    </w:p>
    <w:p w14:paraId="243FF586" w14:textId="77777777" w:rsidR="00574799" w:rsidRDefault="00F20C16">
      <w:pPr>
        <w:numPr>
          <w:ilvl w:val="0"/>
          <w:numId w:val="6"/>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El </w:t>
      </w:r>
      <w:r>
        <w:rPr>
          <w:rFonts w:ascii="Palatino Linotype" w:eastAsia="Palatino Linotype" w:hAnsi="Palatino Linotype" w:cs="Palatino Linotype"/>
          <w:b/>
          <w:bCs/>
        </w:rPr>
        <w:t>Código de barras bidimensional (QR</w:t>
      </w:r>
      <w:r>
        <w:rPr>
          <w:rFonts w:ascii="Palatino Linotype" w:eastAsia="Palatino Linotype" w:hAnsi="Palatino Linotype" w:cs="Palatino Linotype"/>
        </w:rPr>
        <w:t xml:space="preserve">), resulta necesario señalar que los comprobantes fiscales digitales por Internet, deben de incluir un código bidimensional conforme al formato QR Code (Quick Response Code), el cual contiene el Registro Federal de Contribuyentes del receptor, del emisor, o de ambos; lo anterior, conforme al Anexo 20 de la Resolución Miscelánea Fiscal para 2022, localizada en la página electrónica  </w:t>
      </w:r>
      <w:hyperlink r:id="rId11">
        <w:r>
          <w:rPr>
            <w:rFonts w:ascii="Palatino Linotype" w:eastAsia="Palatino Linotype" w:hAnsi="Palatino Linotype" w:cs="Palatino Linotype"/>
            <w:color w:val="0563C1"/>
            <w:u w:val="single"/>
          </w:rPr>
          <w:t>http://omawww.sat.gob.mx/tramitesyservicios/paginas/documentos/anexo20_2022.pdf</w:t>
        </w:r>
      </w:hyperlink>
      <w:r>
        <w:rPr>
          <w:rFonts w:ascii="Palatino Linotype" w:eastAsia="Palatino Linotype" w:hAnsi="Palatino Linotype" w:cs="Palatino Linotype"/>
        </w:rPr>
        <w:t xml:space="preserve"> . Incluso con la captura de dicho código, a través de la aplicación móvil del Servicio de Administración Tributaria, permite el acceso al Registro Federal de Contribuyentes, como del Sujeto Obligado, como de la persona física o moral correspondiente.</w:t>
      </w:r>
    </w:p>
    <w:p w14:paraId="44BAD867" w14:textId="77777777" w:rsidR="00574799" w:rsidRDefault="00574799">
      <w:pPr>
        <w:tabs>
          <w:tab w:val="left" w:pos="284"/>
        </w:tabs>
        <w:spacing w:line="360" w:lineRule="auto"/>
        <w:ind w:right="-1071"/>
        <w:jc w:val="both"/>
        <w:rPr>
          <w:rFonts w:ascii="Palatino Linotype" w:eastAsia="Palatino Linotype" w:hAnsi="Palatino Linotype" w:cs="Palatino Linotype"/>
        </w:rPr>
      </w:pPr>
    </w:p>
    <w:p w14:paraId="4F0CB3E2" w14:textId="77777777" w:rsidR="00574799" w:rsidRDefault="00F20C16">
      <w:pPr>
        <w:numPr>
          <w:ilvl w:val="0"/>
          <w:numId w:val="6"/>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De tales circunstancias, se considera que </w:t>
      </w:r>
      <w:r>
        <w:rPr>
          <w:rFonts w:ascii="Palatino Linotype" w:eastAsia="Palatino Linotype" w:hAnsi="Palatino Linotype" w:cs="Palatino Linotype"/>
          <w:b/>
          <w:bCs/>
        </w:rPr>
        <w:t>se actualiza la causal de clasificación</w:t>
      </w:r>
      <w:r>
        <w:rPr>
          <w:rFonts w:ascii="Palatino Linotype" w:eastAsia="Palatino Linotype" w:hAnsi="Palatino Linotype" w:cs="Palatino Linotype"/>
        </w:rPr>
        <w:t xml:space="preserve"> prevista en el artículo </w:t>
      </w:r>
      <w:r>
        <w:rPr>
          <w:rFonts w:ascii="Palatino Linotype" w:eastAsia="Palatino Linotype" w:hAnsi="Palatino Linotype" w:cs="Palatino Linotype"/>
          <w:b/>
          <w:bCs/>
        </w:rPr>
        <w:t>143</w:t>
      </w:r>
      <w:r>
        <w:rPr>
          <w:rFonts w:ascii="Palatino Linotype" w:eastAsia="Palatino Linotype" w:hAnsi="Palatino Linotype" w:cs="Palatino Linotype"/>
        </w:rPr>
        <w:t>, fracción I de la Ley de la materia, toda vez que el Registro Federal de Contribuyentes corresponde a los servidores públicos, pues como se señaló en párrafos anteriores el mismo hace identificable o identificada al mismo.</w:t>
      </w:r>
    </w:p>
    <w:p w14:paraId="355DB9C6" w14:textId="77777777" w:rsidR="00574799" w:rsidRDefault="00574799">
      <w:pPr>
        <w:tabs>
          <w:tab w:val="left" w:pos="284"/>
        </w:tabs>
        <w:spacing w:line="360" w:lineRule="auto"/>
        <w:jc w:val="both"/>
        <w:rPr>
          <w:rFonts w:ascii="Palatino Linotype" w:eastAsia="Palatino Linotype" w:hAnsi="Palatino Linotype" w:cs="Palatino Linotype"/>
        </w:rPr>
      </w:pPr>
    </w:p>
    <w:p w14:paraId="67AC9E25" w14:textId="77777777" w:rsidR="00574799" w:rsidRDefault="00F20C16">
      <w:pPr>
        <w:numPr>
          <w:ilvl w:val="0"/>
          <w:numId w:val="6"/>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b/>
          <w:bCs/>
        </w:rPr>
        <w:lastRenderedPageBreak/>
        <w:t>Por</w:t>
      </w:r>
      <w:r>
        <w:rPr>
          <w:rFonts w:ascii="Palatino Linotype" w:eastAsia="Palatino Linotype" w:hAnsi="Palatino Linotype" w:cs="Palatino Linotype"/>
        </w:rPr>
        <w:t xml:space="preserve"> otra parte y respecto a la </w:t>
      </w:r>
      <w:r>
        <w:rPr>
          <w:rFonts w:ascii="Palatino Linotype" w:eastAsia="Palatino Linotype" w:hAnsi="Palatino Linotype" w:cs="Palatino Linotype"/>
          <w:b/>
          <w:bCs/>
        </w:rPr>
        <w:t>clave de seguridad social y en su caso clave o número del servidor público –trabajador</w:t>
      </w:r>
      <w:r>
        <w:rPr>
          <w:rFonts w:ascii="Palatino Linotype" w:eastAsia="Palatino Linotype" w:hAnsi="Palatino Linotype" w:cs="Palatino Linotype"/>
        </w:rPr>
        <w:t>-, en virtud de que su divulgación no aporta a la transparencia o a la rendición de cuentas y sí provoca una transgresión a la vida privada e intimidad de la persona, esta información también resulta ser de carácter confidencial; siendo aplicable como orientador el criterio orientador número 15/10 emitido por el entonces Instituto Federal de Transparencia y Acceso a la Información (INAI), cuyo texto y sentido literal es el siguiente:</w:t>
      </w:r>
    </w:p>
    <w:p w14:paraId="643BDAA4" w14:textId="77777777" w:rsidR="00574799" w:rsidRDefault="00F20C16">
      <w:pPr>
        <w:shd w:val="clear" w:color="auto" w:fill="FFFFFF"/>
        <w:tabs>
          <w:tab w:val="left" w:pos="7938"/>
        </w:tabs>
        <w:ind w:left="567" w:right="-716"/>
        <w:jc w:val="both"/>
        <w:rPr>
          <w:rFonts w:ascii="Palatino Linotype" w:eastAsia="Palatino Linotype" w:hAnsi="Palatino Linotype" w:cs="Palatino Linotype"/>
          <w:i/>
          <w:iCs/>
          <w:color w:val="222222"/>
        </w:rPr>
      </w:pPr>
      <w:r>
        <w:rPr>
          <w:rFonts w:ascii="Palatino Linotype" w:eastAsia="Palatino Linotype" w:hAnsi="Palatino Linotype" w:cs="Palatino Linotype"/>
          <w:b/>
          <w:bCs/>
          <w:i/>
          <w:iCs/>
          <w:color w:val="222222"/>
        </w:rPr>
        <w:t>“El número de ficha de identificación única de los trabajadores es información de carácter confidencial.</w:t>
      </w:r>
      <w:r>
        <w:rPr>
          <w:rFonts w:ascii="Palatino Linotype" w:eastAsia="Palatino Linotype" w:hAnsi="Palatino Linotype" w:cs="Palatino Linotype"/>
          <w:i/>
          <w:iCs/>
          <w:color w:val="222222"/>
        </w:rPr>
        <w:t> </w:t>
      </w:r>
      <w:r>
        <w:rPr>
          <w:rFonts w:ascii="Palatino Linotype" w:eastAsia="Palatino Linotype" w:hAnsi="Palatino Linotype" w:cs="Palatino Linotype"/>
          <w:i/>
          <w:iCs/>
          <w:color w:val="222222"/>
          <w:u w:val="single"/>
        </w:rPr>
        <w:t>En los casos en que el número de trabajador o ficha de identificación única constituya un elemento por medio del cual los trabajadores puedan acceder a un sistema de datos o información de la dependencia o entidad, para hacer uso de diversos servicios, como la presentación de consultas relacionadas con su situación laboral particular</w:t>
      </w:r>
      <w:r>
        <w:rPr>
          <w:rFonts w:ascii="Palatino Linotype" w:eastAsia="Palatino Linotype" w:hAnsi="Palatino Linotype" w:cs="Palatino Linotype"/>
          <w:i/>
          <w:iCs/>
          <w:color w:val="222222"/>
        </w:rPr>
        <w:t>, </w:t>
      </w:r>
      <w:r>
        <w:rPr>
          <w:rFonts w:ascii="Palatino Linotype" w:eastAsia="Palatino Linotype" w:hAnsi="Palatino Linotype" w:cs="Palatino Linotype"/>
          <w:i/>
          <w:iCs/>
          <w:color w:val="222222"/>
          <w:u w:val="single"/>
        </w:rPr>
        <w:t>dicha información es susceptible de clasificarse con el carácter de confidencial</w:t>
      </w:r>
      <w:r>
        <w:rPr>
          <w:rFonts w:ascii="Palatino Linotype" w:eastAsia="Palatino Linotype" w:hAnsi="Palatino Linotype" w:cs="Palatino Linotype"/>
          <w:i/>
          <w:iCs/>
          <w:color w:val="222222"/>
        </w:rPr>
        <w:t>, en términos de lo establecido en el artículo 18, fracción II de la Ley Federal de Transparencia y Acceso a la Información Pública Gubernamental, en virtud de que a través de la misma es posible conocer información personal de su titular.”</w:t>
      </w:r>
    </w:p>
    <w:p w14:paraId="673FA050" w14:textId="77777777" w:rsidR="00574799" w:rsidRDefault="00574799">
      <w:pPr>
        <w:shd w:val="clear" w:color="auto" w:fill="FFFFFF"/>
        <w:ind w:right="541"/>
        <w:jc w:val="both"/>
        <w:rPr>
          <w:rFonts w:ascii="Palatino Linotype" w:eastAsia="Palatino Linotype" w:hAnsi="Palatino Linotype" w:cs="Palatino Linotype"/>
          <w:i/>
          <w:iCs/>
          <w:color w:val="222222"/>
        </w:rPr>
      </w:pPr>
    </w:p>
    <w:p w14:paraId="0EF61BFF" w14:textId="77777777" w:rsidR="00574799" w:rsidRDefault="00574799">
      <w:pPr>
        <w:shd w:val="clear" w:color="auto" w:fill="FFFFFF"/>
        <w:ind w:left="1134" w:right="1106"/>
        <w:jc w:val="both"/>
        <w:rPr>
          <w:rFonts w:ascii="Palatino Linotype" w:eastAsia="Palatino Linotype" w:hAnsi="Palatino Linotype" w:cs="Palatino Linotype"/>
          <w:i/>
          <w:iCs/>
          <w:color w:val="222222"/>
        </w:rPr>
      </w:pPr>
    </w:p>
    <w:p w14:paraId="129CAD94" w14:textId="77777777" w:rsidR="00574799" w:rsidRDefault="00F20C16">
      <w:pPr>
        <w:numPr>
          <w:ilvl w:val="0"/>
          <w:numId w:val="6"/>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Ahora bien, también es necesario indicar que </w:t>
      </w:r>
      <w:r>
        <w:rPr>
          <w:rFonts w:ascii="Palatino Linotype" w:eastAsia="Palatino Linotype" w:hAnsi="Palatino Linotype" w:cs="Palatino Linotype"/>
          <w:b/>
          <w:bCs/>
        </w:rPr>
        <w:t>hay información</w:t>
      </w:r>
      <w:r>
        <w:rPr>
          <w:rFonts w:ascii="Palatino Linotype" w:eastAsia="Palatino Linotype" w:hAnsi="Palatino Linotype" w:cs="Palatino Linotype"/>
        </w:rPr>
        <w:t xml:space="preserve"> dentro de los recibos de nómina </w:t>
      </w:r>
      <w:r>
        <w:rPr>
          <w:rFonts w:ascii="Palatino Linotype" w:eastAsia="Palatino Linotype" w:hAnsi="Palatino Linotype" w:cs="Palatino Linotype"/>
          <w:b/>
          <w:bCs/>
        </w:rPr>
        <w:t xml:space="preserve">que </w:t>
      </w:r>
      <w:r>
        <w:rPr>
          <w:rFonts w:ascii="Palatino Linotype" w:eastAsia="Palatino Linotype" w:hAnsi="Palatino Linotype" w:cs="Palatino Linotype"/>
          <w:b/>
          <w:bCs/>
          <w:u w:val="single"/>
        </w:rPr>
        <w:t>no contienen datos personales</w:t>
      </w:r>
      <w:r>
        <w:rPr>
          <w:rFonts w:ascii="Palatino Linotype" w:eastAsia="Palatino Linotype" w:hAnsi="Palatino Linotype" w:cs="Palatino Linotype"/>
        </w:rPr>
        <w:t xml:space="preserve">, mismos que deberá tener en cuenta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para el entrega de los recibos de nómina que se ordenan en el presente recurso de revisión.</w:t>
      </w:r>
    </w:p>
    <w:p w14:paraId="1FBBB320" w14:textId="77777777" w:rsidR="00574799" w:rsidRDefault="00574799">
      <w:pPr>
        <w:tabs>
          <w:tab w:val="left" w:pos="284"/>
        </w:tabs>
        <w:jc w:val="both"/>
        <w:rPr>
          <w:rFonts w:ascii="Palatino Linotype" w:eastAsia="Palatino Linotype" w:hAnsi="Palatino Linotype" w:cs="Palatino Linotype"/>
        </w:rPr>
      </w:pPr>
    </w:p>
    <w:p w14:paraId="7ED39A7A" w14:textId="77777777" w:rsidR="00574799" w:rsidRDefault="00F20C16">
      <w:pPr>
        <w:numPr>
          <w:ilvl w:val="0"/>
          <w:numId w:val="6"/>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Por cuanto hace al</w:t>
      </w:r>
      <w:r>
        <w:rPr>
          <w:rFonts w:ascii="Palatino Linotype" w:eastAsia="Palatino Linotype" w:hAnsi="Palatino Linotype" w:cs="Palatino Linotype"/>
          <w:b/>
          <w:bCs/>
        </w:rPr>
        <w:t xml:space="preserve"> Folio Fiscal</w:t>
      </w:r>
      <w:r>
        <w:rPr>
          <w:rFonts w:ascii="Palatino Linotype" w:eastAsia="Palatino Linotype" w:hAnsi="Palatino Linotype" w:cs="Palatino Linotype"/>
        </w:rPr>
        <w:t xml:space="preserve">, cabe precisar que conforme a la Resolución Miscelánea Fiscal para 2025, el folio fiscal es un dato que deben contener los CDFI por concepto de nómina. Dicho dato es un identificador individual de cada factura o comprobante electrónico. El objetivo del Folio es prevenir los fraudes o falsificaciones, ya que contiene códigos o claves únicas de cada comprobante fiscal, de tal manera que se puede comprobar si la factura fue </w:t>
      </w:r>
      <w:r>
        <w:rPr>
          <w:rFonts w:ascii="Palatino Linotype" w:eastAsia="Palatino Linotype" w:hAnsi="Palatino Linotype" w:cs="Palatino Linotype"/>
        </w:rPr>
        <w:lastRenderedPageBreak/>
        <w:t>certificada por el SAT. El Folio Fiscal está compuesto por 32 dígitos hexadecimales, mostrados en 5 grupos separados por guiones.</w:t>
      </w:r>
    </w:p>
    <w:p w14:paraId="16DA41F2" w14:textId="77777777" w:rsidR="00574799" w:rsidRDefault="00574799">
      <w:pPr>
        <w:jc w:val="both"/>
        <w:rPr>
          <w:rFonts w:ascii="Palatino Linotype" w:eastAsia="Palatino Linotype" w:hAnsi="Palatino Linotype" w:cs="Palatino Linotype"/>
        </w:rPr>
      </w:pPr>
    </w:p>
    <w:p w14:paraId="4E208BB3" w14:textId="77777777" w:rsidR="00574799" w:rsidRDefault="00F20C16">
      <w:pPr>
        <w:numPr>
          <w:ilvl w:val="0"/>
          <w:numId w:val="6"/>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La Guía de llenado del comprobante del recibo de pago de nómina y su complemento Aplicable para la versión 4.0 del CFDI y el complemento de nómina versión 1.2. muestra la Representación gráfica del CFDI por concepto de nómina en donde se aprecia el Folio Fiscal:</w:t>
      </w:r>
    </w:p>
    <w:p w14:paraId="519C2100" w14:textId="77777777" w:rsidR="00574799" w:rsidRDefault="00F20C16">
      <w:pPr>
        <w:jc w:val="center"/>
        <w:rPr>
          <w:rFonts w:ascii="Palatino Linotype" w:eastAsia="Palatino Linotype" w:hAnsi="Palatino Linotype" w:cs="Palatino Linotype"/>
        </w:rPr>
      </w:pPr>
      <w:r>
        <w:rPr>
          <w:rFonts w:ascii="Palatino Linotype" w:eastAsia="Palatino Linotype" w:hAnsi="Palatino Linotype" w:cs="Palatino Linotype"/>
          <w:noProof/>
          <w:lang w:val="es-MX"/>
        </w:rPr>
        <w:drawing>
          <wp:inline distT="0" distB="0" distL="0" distR="0" wp14:anchorId="26C1A229" wp14:editId="6D76D7D5">
            <wp:extent cx="4513132" cy="815998"/>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4513132" cy="815998"/>
                    </a:xfrm>
                    <a:prstGeom prst="rect">
                      <a:avLst/>
                    </a:prstGeom>
                    <a:ln/>
                  </pic:spPr>
                </pic:pic>
              </a:graphicData>
            </a:graphic>
          </wp:inline>
        </w:drawing>
      </w:r>
    </w:p>
    <w:p w14:paraId="6DAAE812" w14:textId="77777777" w:rsidR="00574799" w:rsidRDefault="00574799">
      <w:pPr>
        <w:jc w:val="center"/>
        <w:rPr>
          <w:rFonts w:ascii="Palatino Linotype" w:eastAsia="Palatino Linotype" w:hAnsi="Palatino Linotype" w:cs="Palatino Linotype"/>
        </w:rPr>
      </w:pPr>
    </w:p>
    <w:p w14:paraId="5095EA08" w14:textId="77777777" w:rsidR="00574799" w:rsidRDefault="00F20C16">
      <w:pPr>
        <w:numPr>
          <w:ilvl w:val="0"/>
          <w:numId w:val="6"/>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El Anexo 20 Guía de llenado de los comprobantes fiscales digitales por Internet, actualizado al 08 de marzo del 2023, señala que se debe registrar el folio fiscal (UUID) de un comprobante fiscal relacionado con el presente comprobante. Ejemplo: UUID= 5FB2822E-396D-4725-8521-CDC4BDD20CCF</w:t>
      </w:r>
    </w:p>
    <w:p w14:paraId="22401989" w14:textId="77777777" w:rsidR="00574799" w:rsidRDefault="00574799">
      <w:pPr>
        <w:spacing w:line="360" w:lineRule="auto"/>
        <w:ind w:right="-787"/>
        <w:jc w:val="both"/>
        <w:rPr>
          <w:rFonts w:ascii="Palatino Linotype" w:eastAsia="Palatino Linotype" w:hAnsi="Palatino Linotype" w:cs="Palatino Linotype"/>
        </w:rPr>
      </w:pPr>
    </w:p>
    <w:p w14:paraId="10207470" w14:textId="77777777" w:rsidR="00574799" w:rsidRDefault="00F20C16">
      <w:pPr>
        <w:numPr>
          <w:ilvl w:val="0"/>
          <w:numId w:val="6"/>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En ese contexto, el folio fiscal, no contiene datos personales y tampoco se puede obtener información confidencial con el mismo, pues solamente es un identificador del emisor, del cual su transparencia ayuda a legitimar que el documento cumple con todos los requisitos establecidos en la normatividad aplicable, sin necesidad de algún dato personal, por lo que, no se actualiza la clasificación, en términos del artículo 143, fracción I de la Ley de la materia.</w:t>
      </w:r>
    </w:p>
    <w:p w14:paraId="481FB418" w14:textId="77777777" w:rsidR="00574799" w:rsidRDefault="00574799">
      <w:pPr>
        <w:spacing w:line="360" w:lineRule="auto"/>
        <w:ind w:right="-929"/>
        <w:jc w:val="both"/>
        <w:rPr>
          <w:rFonts w:ascii="Palatino Linotype" w:eastAsia="Palatino Linotype" w:hAnsi="Palatino Linotype" w:cs="Palatino Linotype"/>
          <w:b/>
          <w:bCs/>
        </w:rPr>
      </w:pPr>
    </w:p>
    <w:p w14:paraId="034CDA88" w14:textId="77777777" w:rsidR="00574799" w:rsidRDefault="00F20C16">
      <w:pPr>
        <w:numPr>
          <w:ilvl w:val="0"/>
          <w:numId w:val="6"/>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En esa línea de estudio,</w:t>
      </w:r>
      <w:r>
        <w:rPr>
          <w:rFonts w:ascii="Palatino Linotype" w:eastAsia="Palatino Linotype" w:hAnsi="Palatino Linotype" w:cs="Palatino Linotype"/>
          <w:b/>
          <w:bCs/>
        </w:rPr>
        <w:t xml:space="preserve"> las cadenas originales y sellos digitales</w:t>
      </w:r>
      <w:r>
        <w:rPr>
          <w:rFonts w:ascii="Palatino Linotype" w:eastAsia="Palatino Linotype" w:hAnsi="Palatino Linotype" w:cs="Palatino Linotype"/>
        </w:rPr>
        <w:t>, tienen una secuencia de generación, determinados con base en el Anexo 20 de la Resolución Miscelánea Fiscal para 2022, que precisa los datos de los que se componen los elementos de seguridad y se puntualiza que dicha información está encriptada.</w:t>
      </w:r>
    </w:p>
    <w:p w14:paraId="366856C5" w14:textId="77777777" w:rsidR="00574799" w:rsidRDefault="00F20C16">
      <w:pPr>
        <w:ind w:left="1134" w:right="-220"/>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“Elementos utilizados en la generación de Sellos Digitales:</w:t>
      </w:r>
    </w:p>
    <w:p w14:paraId="5BD5825B" w14:textId="77777777" w:rsidR="00574799" w:rsidRDefault="00F20C16">
      <w:pPr>
        <w:ind w:left="1134" w:right="-220"/>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i/>
          <w:iCs/>
        </w:rPr>
        <w:tab/>
        <w:t>Cadena Original del elemento a sellar.</w:t>
      </w:r>
    </w:p>
    <w:p w14:paraId="28F6D625" w14:textId="77777777" w:rsidR="00574799" w:rsidRDefault="00F20C16">
      <w:pPr>
        <w:ind w:left="1134" w:right="-220"/>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i/>
          <w:iCs/>
        </w:rPr>
        <w:tab/>
        <w:t>Certificado de Sello Digital y su correspondiente clave privada.</w:t>
      </w:r>
    </w:p>
    <w:p w14:paraId="2082114D" w14:textId="77777777" w:rsidR="00574799" w:rsidRDefault="00F20C16">
      <w:pPr>
        <w:ind w:left="1134" w:right="-220"/>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i/>
          <w:iCs/>
        </w:rPr>
        <w:tab/>
        <w:t>Algoritmos de criptografía de clave pública para firma electrónica avanzada.</w:t>
      </w:r>
    </w:p>
    <w:p w14:paraId="38DE71DE" w14:textId="77777777" w:rsidR="00574799" w:rsidRDefault="00F20C16">
      <w:pPr>
        <w:ind w:left="1134" w:right="-220"/>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i/>
          <w:iCs/>
        </w:rPr>
        <w:tab/>
        <w:t>Especificaciones de conversión de la firma electrónica avanzada a Base 64.</w:t>
      </w:r>
    </w:p>
    <w:p w14:paraId="48C322A5" w14:textId="77777777" w:rsidR="00574799" w:rsidRDefault="00F20C16">
      <w:pPr>
        <w:ind w:left="1134" w:right="-220"/>
        <w:jc w:val="both"/>
        <w:rPr>
          <w:rFonts w:ascii="Palatino Linotype" w:eastAsia="Palatino Linotype" w:hAnsi="Palatino Linotype" w:cs="Palatino Linotype"/>
          <w:i/>
          <w:iCs/>
        </w:rPr>
      </w:pPr>
      <w:r>
        <w:rPr>
          <w:rFonts w:ascii="Palatino Linotype" w:eastAsia="Palatino Linotype" w:hAnsi="Palatino Linotype" w:cs="Palatino Linotype"/>
          <w:i/>
          <w:iCs/>
        </w:rPr>
        <w:t>Para la generación de sellos digitales se utiliza criptografía de clave pública aplicada a una cadena original.</w:t>
      </w:r>
    </w:p>
    <w:p w14:paraId="0114FB59" w14:textId="77777777" w:rsidR="00574799" w:rsidRDefault="00F20C16">
      <w:pPr>
        <w:ind w:left="1134" w:right="-220"/>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Criptografía de la Clave Pública</w:t>
      </w:r>
    </w:p>
    <w:p w14:paraId="1CFB2BEC" w14:textId="77777777" w:rsidR="00574799" w:rsidRDefault="00F20C16">
      <w:pPr>
        <w:ind w:left="1134" w:right="-220"/>
        <w:jc w:val="both"/>
        <w:rPr>
          <w:rFonts w:ascii="Palatino Linotype" w:eastAsia="Palatino Linotype" w:hAnsi="Palatino Linotype" w:cs="Palatino Linotype"/>
          <w:i/>
          <w:iCs/>
        </w:rPr>
      </w:pPr>
      <w:r>
        <w:rPr>
          <w:rFonts w:ascii="Palatino Linotype" w:eastAsia="Palatino Linotype" w:hAnsi="Palatino Linotype" w:cs="Palatino Linotype"/>
          <w:i/>
          <w:iCs/>
        </w:rPr>
        <w:t>La criptografía de Clave Pública se basa en la generación de una pareja de números muy grandes relacionados entre sí, de tal manera que una operación de encripción sobre un mensaje tomando como clave de encripción a uno de los dos números, produce un mensaje alterado en su significado que sólo puede ser devuelto a su estado original mediante la operación de desencripción correspondiente tomando como clave de desencripción al otro número de la pareja.”</w:t>
      </w:r>
    </w:p>
    <w:p w14:paraId="6AD0C51D" w14:textId="77777777" w:rsidR="00574799" w:rsidRDefault="00574799">
      <w:pPr>
        <w:ind w:left="1134" w:right="-1071"/>
        <w:jc w:val="both"/>
        <w:rPr>
          <w:rFonts w:ascii="Palatino Linotype" w:eastAsia="Palatino Linotype" w:hAnsi="Palatino Linotype" w:cs="Palatino Linotype"/>
          <w:i/>
          <w:iCs/>
        </w:rPr>
      </w:pPr>
    </w:p>
    <w:p w14:paraId="6626E0B5" w14:textId="77777777" w:rsidR="00574799" w:rsidRDefault="00574799">
      <w:pPr>
        <w:ind w:right="-1071"/>
        <w:jc w:val="both"/>
        <w:rPr>
          <w:rFonts w:ascii="Palatino Linotype" w:eastAsia="Palatino Linotype" w:hAnsi="Palatino Linotype" w:cs="Palatino Linotype"/>
          <w:i/>
          <w:iCs/>
        </w:rPr>
      </w:pPr>
    </w:p>
    <w:p w14:paraId="7C876906" w14:textId="77777777" w:rsidR="00574799" w:rsidRDefault="00F20C16">
      <w:pPr>
        <w:numPr>
          <w:ilvl w:val="0"/>
          <w:numId w:val="6"/>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Es decir, por sí solos </w:t>
      </w:r>
      <w:r>
        <w:rPr>
          <w:rFonts w:ascii="Palatino Linotype" w:eastAsia="Palatino Linotype" w:hAnsi="Palatino Linotype" w:cs="Palatino Linotype"/>
          <w:b/>
          <w:bCs/>
        </w:rPr>
        <w:t>las cadenas originales y los sellos originales no contienen datos personales confidenciales</w:t>
      </w:r>
      <w:r>
        <w:rPr>
          <w:rFonts w:ascii="Palatino Linotype" w:eastAsia="Palatino Linotype" w:hAnsi="Palatino Linotype" w:cs="Palatino Linotype"/>
        </w:rPr>
        <w:t>, por lo que se considera que no actualizan el supuesto de confidencialidad previsto en el artículo 143, fracción I, de la Ley de Transparencia y Acceso a la Información Pública del Estado de México y Municipios y, por el contrario, son información que permite corroborar la legitimidad de la factura, de ser el caso, por lo que guardan el carácter de público.</w:t>
      </w:r>
    </w:p>
    <w:p w14:paraId="71D5133F" w14:textId="77777777" w:rsidR="00574799" w:rsidRDefault="00574799">
      <w:pPr>
        <w:pBdr>
          <w:top w:val="nil"/>
          <w:left w:val="nil"/>
          <w:bottom w:val="nil"/>
          <w:right w:val="nil"/>
          <w:between w:val="nil"/>
        </w:pBdr>
        <w:spacing w:line="360" w:lineRule="auto"/>
        <w:ind w:right="-1071"/>
        <w:jc w:val="both"/>
        <w:rPr>
          <w:rFonts w:ascii="Palatino Linotype" w:eastAsia="Palatino Linotype" w:hAnsi="Palatino Linotype" w:cs="Palatino Linotype"/>
        </w:rPr>
      </w:pPr>
    </w:p>
    <w:p w14:paraId="165052B2" w14:textId="77777777" w:rsidR="00574799" w:rsidRDefault="00F20C16">
      <w:pPr>
        <w:numPr>
          <w:ilvl w:val="0"/>
          <w:numId w:val="6"/>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Cabe señalar que, en algunos casos, las cadenas originales y sellos digitales, se pueden conformar de datos confidenciales, tales como el Registro Federal de Contribuyentes o la Clave Única de Registro de Población o las deducciones personales; por lo que, en su caso actualizarán actualiza la clasificación, en términos del artículo 143, fracción I, de la Ley de la materia.</w:t>
      </w:r>
    </w:p>
    <w:p w14:paraId="2281456A" w14:textId="77777777" w:rsidR="00574799" w:rsidRDefault="00574799">
      <w:pPr>
        <w:spacing w:line="360" w:lineRule="auto"/>
        <w:ind w:right="-1071"/>
        <w:jc w:val="both"/>
        <w:rPr>
          <w:rFonts w:ascii="Palatino Linotype" w:eastAsia="Palatino Linotype" w:hAnsi="Palatino Linotype" w:cs="Palatino Linotype"/>
          <w:b/>
          <w:bCs/>
        </w:rPr>
      </w:pPr>
    </w:p>
    <w:p w14:paraId="5450C9AD" w14:textId="77777777" w:rsidR="00574799" w:rsidRDefault="00F20C16">
      <w:pPr>
        <w:numPr>
          <w:ilvl w:val="0"/>
          <w:numId w:val="6"/>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Por otra parte, por lo que hace al </w:t>
      </w:r>
      <w:r>
        <w:rPr>
          <w:rFonts w:ascii="Palatino Linotype" w:eastAsia="Palatino Linotype" w:hAnsi="Palatino Linotype" w:cs="Palatino Linotype"/>
          <w:b/>
          <w:bCs/>
        </w:rPr>
        <w:t>número de serie de los certificados de Sello Digitales del emisor y del Servicio de Administración Tributaria</w:t>
      </w:r>
      <w:r>
        <w:rPr>
          <w:rFonts w:ascii="Palatino Linotype" w:eastAsia="Palatino Linotype" w:hAnsi="Palatino Linotype" w:cs="Palatino Linotype"/>
        </w:rPr>
        <w:t>, el Anexo 20 de la Resolución Miscelánea Fiscal para 2022, precisa que es un atributo requerido para expresar el número de serie del certificado de sello digital que ampara al comprobante, de acuerdo con el acuse correspondiente a 20 posiciones otorgado por el sistema del SAT.</w:t>
      </w:r>
    </w:p>
    <w:p w14:paraId="3A55C757" w14:textId="77777777" w:rsidR="00574799" w:rsidRDefault="00574799">
      <w:pPr>
        <w:spacing w:line="360" w:lineRule="auto"/>
        <w:ind w:right="-787"/>
        <w:jc w:val="both"/>
        <w:rPr>
          <w:rFonts w:ascii="Palatino Linotype" w:eastAsia="Palatino Linotype" w:hAnsi="Palatino Linotype" w:cs="Palatino Linotype"/>
        </w:rPr>
      </w:pPr>
    </w:p>
    <w:p w14:paraId="07CD381D" w14:textId="77777777" w:rsidR="00574799" w:rsidRDefault="00F20C16">
      <w:pPr>
        <w:numPr>
          <w:ilvl w:val="0"/>
          <w:numId w:val="6"/>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Cómo se logra observar, </w:t>
      </w:r>
      <w:r>
        <w:rPr>
          <w:rFonts w:ascii="Palatino Linotype" w:eastAsia="Palatino Linotype" w:hAnsi="Palatino Linotype" w:cs="Palatino Linotype"/>
          <w:b/>
          <w:bCs/>
        </w:rPr>
        <w:t>los números de serie del certificado de sello digital no contiene datos personales</w:t>
      </w:r>
      <w:r>
        <w:rPr>
          <w:rFonts w:ascii="Palatino Linotype" w:eastAsia="Palatino Linotype" w:hAnsi="Palatino Linotype" w:cs="Palatino Linotype"/>
        </w:rPr>
        <w:t xml:space="preserve"> y con dichos dígitos tampoco se puede obtener información de carácter confidencial, por lo que, tampoco actualizan la causal de clasificación, establecida en el artículo 143, fracción I, de la Ley de Transparencia y Acceso a la Información Pública del Estado de México y Municipios. Máxime que permite corroborar la legitimidad a la factura, pues amparan la utilización de los certificados de sellos digitales válidos.</w:t>
      </w:r>
    </w:p>
    <w:p w14:paraId="66EE6C67" w14:textId="77777777" w:rsidR="00574799" w:rsidRDefault="00574799">
      <w:pPr>
        <w:pBdr>
          <w:top w:val="nil"/>
          <w:left w:val="nil"/>
          <w:bottom w:val="nil"/>
          <w:right w:val="nil"/>
          <w:between w:val="nil"/>
        </w:pBdr>
        <w:spacing w:line="360" w:lineRule="auto"/>
        <w:ind w:right="-1071"/>
        <w:jc w:val="both"/>
        <w:rPr>
          <w:rFonts w:ascii="Palatino Linotype" w:eastAsia="Palatino Linotype" w:hAnsi="Palatino Linotype" w:cs="Palatino Linotype"/>
        </w:rPr>
      </w:pPr>
    </w:p>
    <w:p w14:paraId="63C18A46" w14:textId="77777777" w:rsidR="00574799" w:rsidRDefault="00F20C16">
      <w:pPr>
        <w:numPr>
          <w:ilvl w:val="0"/>
          <w:numId w:val="6"/>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Ahora bien, por lo que hace al </w:t>
      </w:r>
      <w:r>
        <w:rPr>
          <w:rFonts w:ascii="Palatino Linotype" w:eastAsia="Palatino Linotype" w:hAnsi="Palatino Linotype" w:cs="Palatino Linotype"/>
          <w:b/>
          <w:bCs/>
        </w:rPr>
        <w:t>número de serie y folio interno</w:t>
      </w:r>
      <w:r>
        <w:rPr>
          <w:rFonts w:ascii="Palatino Linotype" w:eastAsia="Palatino Linotype" w:hAnsi="Palatino Linotype" w:cs="Palatino Linotype"/>
        </w:rPr>
        <w:t>, la Guía de llenado del CFDI global versión 4.0 del CFDI, emitida por el Servicio de Administración Tributaria prevé́ que es el número que utiliza el contribuyente para control interno de su información; mientras que el segundo es el número de control que se le asigna al comprobante; por lo que no se advierte que contenga datos confidenciales de los servidores públicos y por lo tanto, no actualizan la causal de clasificación establecida en el artículo 143, fracción I, de la Ley de Transparencia y Acceso a la Información Pública del Estado de México y Municipios.</w:t>
      </w:r>
    </w:p>
    <w:p w14:paraId="12E29DFD" w14:textId="77777777" w:rsidR="00574799" w:rsidRDefault="00574799">
      <w:pPr>
        <w:spacing w:line="360" w:lineRule="auto"/>
        <w:ind w:right="-1071"/>
        <w:jc w:val="both"/>
        <w:rPr>
          <w:rFonts w:ascii="Palatino Linotype" w:eastAsia="Palatino Linotype" w:hAnsi="Palatino Linotype" w:cs="Palatino Linotype"/>
        </w:rPr>
      </w:pPr>
    </w:p>
    <w:p w14:paraId="1AD39E5F" w14:textId="77777777" w:rsidR="00574799" w:rsidRDefault="00F20C16">
      <w:pPr>
        <w:numPr>
          <w:ilvl w:val="0"/>
          <w:numId w:val="6"/>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Además, por lo que hace a la </w:t>
      </w:r>
      <w:r>
        <w:rPr>
          <w:rFonts w:ascii="Palatino Linotype" w:eastAsia="Palatino Linotype" w:hAnsi="Palatino Linotype" w:cs="Palatino Linotype"/>
          <w:b/>
          <w:bCs/>
        </w:rPr>
        <w:t>fecha y hora de emisión y certificación</w:t>
      </w:r>
      <w:r>
        <w:rPr>
          <w:rFonts w:ascii="Palatino Linotype" w:eastAsia="Palatino Linotype" w:hAnsi="Palatino Linotype" w:cs="Palatino Linotype"/>
        </w:rPr>
        <w:t xml:space="preserve">, la Guía de llenado del CFDI global versión 4.0 del CFDI, previamente referida, establece que los datos </w:t>
      </w:r>
      <w:r>
        <w:rPr>
          <w:rFonts w:ascii="Palatino Linotype" w:eastAsia="Palatino Linotype" w:hAnsi="Palatino Linotype" w:cs="Palatino Linotype"/>
        </w:rPr>
        <w:lastRenderedPageBreak/>
        <w:t>mencionados corresponden a la fecha y hora de emisión y certificación del comprobante fiscal, los cuales se expresan de la siguiente manera: AAAA-MM-DDThh:mm:ss.</w:t>
      </w:r>
    </w:p>
    <w:p w14:paraId="436F637A" w14:textId="77777777" w:rsidR="00574799" w:rsidRDefault="00574799">
      <w:pPr>
        <w:spacing w:line="360" w:lineRule="auto"/>
        <w:ind w:right="-1071"/>
        <w:jc w:val="both"/>
        <w:rPr>
          <w:rFonts w:ascii="Palatino Linotype" w:eastAsia="Palatino Linotype" w:hAnsi="Palatino Linotype" w:cs="Palatino Linotype"/>
        </w:rPr>
      </w:pPr>
    </w:p>
    <w:p w14:paraId="2348054E" w14:textId="77777777" w:rsidR="00574799" w:rsidRDefault="00F20C16">
      <w:pPr>
        <w:numPr>
          <w:ilvl w:val="0"/>
          <w:numId w:val="6"/>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Conforme a lo anterior, se logra observar que la fecha y hora de emisión, no contienen información que, dé acceso a datos personales, ni contiene datos confidenciales, por lo que, se considera que no actualiza la causal de clasificación establecida en el artículo 143, fracción I, de la Ley de Transparencia y Acceso a la Información Pública del Estado de México y Municipios.</w:t>
      </w:r>
    </w:p>
    <w:p w14:paraId="1D004DD7" w14:textId="77777777" w:rsidR="00574799" w:rsidRDefault="00574799">
      <w:pPr>
        <w:spacing w:line="360" w:lineRule="auto"/>
        <w:ind w:right="-1071"/>
        <w:jc w:val="both"/>
        <w:rPr>
          <w:rFonts w:ascii="Palatino Linotype" w:eastAsia="Palatino Linotype" w:hAnsi="Palatino Linotype" w:cs="Palatino Linotype"/>
        </w:rPr>
      </w:pPr>
    </w:p>
    <w:p w14:paraId="2FB6F60A" w14:textId="77777777" w:rsidR="00574799" w:rsidRDefault="00F20C16">
      <w:pPr>
        <w:numPr>
          <w:ilvl w:val="0"/>
          <w:numId w:val="6"/>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Conforme a lo anterior, se logra observar que el lugar de emisión, no contienen información que, dé acceso a datos personales, ni contiene datos confidenciales, por lo que, se considera que no actualiza la causal de clasificación establecida en el artículo 143, fracción I, de la Ley de Transparencia y Acceso a la Información Pública del Estado de México y Municipios.</w:t>
      </w:r>
    </w:p>
    <w:p w14:paraId="1909BBAC" w14:textId="77777777" w:rsidR="00574799" w:rsidRDefault="00574799">
      <w:pPr>
        <w:rPr>
          <w:rFonts w:ascii="Palatino Linotype" w:eastAsia="Palatino Linotype" w:hAnsi="Palatino Linotype" w:cs="Palatino Linotype"/>
        </w:rPr>
      </w:pPr>
    </w:p>
    <w:p w14:paraId="25716763" w14:textId="77777777" w:rsidR="00574799" w:rsidRDefault="00574799">
      <w:pPr>
        <w:rPr>
          <w:rFonts w:ascii="Palatino Linotype" w:eastAsia="Palatino Linotype" w:hAnsi="Palatino Linotype" w:cs="Palatino Linotype"/>
        </w:rPr>
      </w:pPr>
    </w:p>
    <w:p w14:paraId="0A9819C2" w14:textId="77777777" w:rsidR="00574799" w:rsidRDefault="00F20C16">
      <w:pPr>
        <w:numPr>
          <w:ilvl w:val="0"/>
          <w:numId w:val="6"/>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ese sentido,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w:t>
      </w:r>
      <w:r>
        <w:rPr>
          <w:rFonts w:ascii="Palatino Linotype" w:eastAsia="Palatino Linotype" w:hAnsi="Palatino Linotype" w:cs="Palatino Linotype"/>
          <w:b/>
          <w:bCs/>
        </w:rPr>
        <w:t>deberá de emitir el Acuerdo del Comité de Transparencia</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mediante</w:t>
      </w:r>
      <w:r>
        <w:rPr>
          <w:rFonts w:ascii="Palatino Linotype" w:eastAsia="Palatino Linotype" w:hAnsi="Palatino Linotype" w:cs="Palatino Linotype"/>
        </w:rPr>
        <w:t xml:space="preserve"> el cual de manera fundada y motivada establezca las razones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porque no aparecen en la documentación respectiva.</w:t>
      </w:r>
    </w:p>
    <w:p w14:paraId="0820E452" w14:textId="77777777" w:rsidR="00574799" w:rsidRDefault="00574799">
      <w:pPr>
        <w:tabs>
          <w:tab w:val="left" w:pos="284"/>
        </w:tabs>
        <w:spacing w:line="360" w:lineRule="auto"/>
        <w:ind w:right="276"/>
        <w:jc w:val="both"/>
        <w:rPr>
          <w:rFonts w:ascii="Palatino Linotype" w:eastAsia="Palatino Linotype" w:hAnsi="Palatino Linotype" w:cs="Palatino Linotype"/>
          <w:color w:val="000000"/>
        </w:rPr>
      </w:pPr>
    </w:p>
    <w:p w14:paraId="70E3E425" w14:textId="77777777" w:rsidR="00574799" w:rsidRDefault="00F20C16">
      <w:pPr>
        <w:numPr>
          <w:ilvl w:val="0"/>
          <w:numId w:val="6"/>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lastRenderedPageBreak/>
        <w:t xml:space="preserve">Derivado de lo establecido en párrafos anteriores, si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incumple con estas formalidades y entrega la información sin proteger los datos personales o testando datos considerados como públicos incumple con lo que estipulan las disposiciones legales establecidas, asimismo que si entrega un documento testado sin el debido acuerdo de clasificación.</w:t>
      </w:r>
    </w:p>
    <w:p w14:paraId="71B44EC8" w14:textId="77777777" w:rsidR="00574799" w:rsidRDefault="00574799">
      <w:pPr>
        <w:spacing w:line="360" w:lineRule="auto"/>
        <w:jc w:val="both"/>
        <w:rPr>
          <w:color w:val="000000"/>
        </w:rPr>
      </w:pPr>
    </w:p>
    <w:p w14:paraId="2D3F4BDD" w14:textId="0B7FC742" w:rsidR="00574799" w:rsidRDefault="00F20C16">
      <w:pPr>
        <w:numPr>
          <w:ilvl w:val="0"/>
          <w:numId w:val="6"/>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Por lo expuesto, y con fundamento en lo prescrito en los artículos </w:t>
      </w:r>
      <w:r>
        <w:rPr>
          <w:rFonts w:ascii="Palatino Linotype" w:eastAsia="Palatino Linotype" w:hAnsi="Palatino Linotype" w:cs="Palatino Linotype"/>
          <w:color w:val="000000"/>
        </w:rPr>
        <w:t xml:space="preserve">5, párrafos cuadragésimo cuarto, </w:t>
      </w:r>
      <w:r>
        <w:rPr>
          <w:rFonts w:ascii="Palatino Linotype" w:eastAsia="Palatino Linotype" w:hAnsi="Palatino Linotype" w:cs="Palatino Linotype"/>
        </w:rPr>
        <w:t>cuadragésimo</w:t>
      </w:r>
      <w:r>
        <w:rPr>
          <w:rFonts w:ascii="Palatino Linotype" w:eastAsia="Palatino Linotype" w:hAnsi="Palatino Linotype" w:cs="Palatino Linotype"/>
          <w:color w:val="000000"/>
        </w:rPr>
        <w:t xml:space="preserve"> quinto y cuadragésimo sexto, fracciones IV y V, de la Constitución Política </w:t>
      </w:r>
      <w:r>
        <w:rPr>
          <w:rFonts w:ascii="Palatino Linotype" w:eastAsia="Palatino Linotype" w:hAnsi="Palatino Linotype" w:cs="Palatino Linotype"/>
        </w:rPr>
        <w:t>del</w:t>
      </w:r>
      <w:r>
        <w:rPr>
          <w:rFonts w:ascii="Palatino Linotype" w:eastAsia="Palatino Linotype" w:hAnsi="Palatino Linotype" w:cs="Palatino Linotype"/>
          <w:color w:val="000000"/>
        </w:rPr>
        <w:t xml:space="preserve"> Estado Libre y Soberano de México</w:t>
      </w:r>
      <w:r>
        <w:rPr>
          <w:rFonts w:ascii="Palatino Linotype" w:eastAsia="Palatino Linotype" w:hAnsi="Palatino Linotype" w:cs="Palatino Linotype"/>
        </w:rPr>
        <w:t>; 2, fracción II; 29, 36 fracciones I y II; 176, 178, 179, 181 y 185 de la Ley de Transparencia y Acceso a la Información Pública del Estado de México y Municipios, este Pleno:</w:t>
      </w:r>
    </w:p>
    <w:p w14:paraId="6D6E9D7D" w14:textId="77777777" w:rsidR="00574799" w:rsidRDefault="00574799">
      <w:pPr>
        <w:spacing w:line="360" w:lineRule="auto"/>
        <w:ind w:right="-787"/>
        <w:jc w:val="both"/>
        <w:rPr>
          <w:rFonts w:ascii="Palatino Linotype" w:eastAsia="Palatino Linotype" w:hAnsi="Palatino Linotype" w:cs="Palatino Linotype"/>
        </w:rPr>
      </w:pPr>
    </w:p>
    <w:p w14:paraId="479CC908" w14:textId="77777777" w:rsidR="00574799" w:rsidRDefault="00574799">
      <w:pPr>
        <w:ind w:right="278"/>
        <w:rPr>
          <w:rFonts w:ascii="Palatino Linotype" w:eastAsia="Palatino Linotype" w:hAnsi="Palatino Linotype" w:cs="Palatino Linotype"/>
        </w:rPr>
      </w:pPr>
    </w:p>
    <w:p w14:paraId="64D9253A" w14:textId="77777777" w:rsidR="00574799" w:rsidRDefault="00F20C16">
      <w:pPr>
        <w:spacing w:line="360" w:lineRule="auto"/>
        <w:ind w:right="-858"/>
        <w:jc w:val="center"/>
        <w:rPr>
          <w:rFonts w:ascii="Palatino Linotype" w:eastAsia="Palatino Linotype" w:hAnsi="Palatino Linotype" w:cs="Palatino Linotype"/>
          <w:b/>
          <w:bCs/>
        </w:rPr>
      </w:pPr>
      <w:r>
        <w:rPr>
          <w:rFonts w:ascii="Palatino Linotype" w:eastAsia="Palatino Linotype" w:hAnsi="Palatino Linotype" w:cs="Palatino Linotype"/>
          <w:b/>
          <w:bCs/>
        </w:rPr>
        <w:t>R E S U E L V E</w:t>
      </w:r>
    </w:p>
    <w:p w14:paraId="7975FC6E" w14:textId="77777777" w:rsidR="00574799" w:rsidRDefault="00574799">
      <w:pPr>
        <w:spacing w:line="360" w:lineRule="auto"/>
        <w:ind w:right="-787"/>
        <w:jc w:val="center"/>
        <w:rPr>
          <w:rFonts w:ascii="Palatino Linotype" w:eastAsia="Palatino Linotype" w:hAnsi="Palatino Linotype" w:cs="Palatino Linotype"/>
          <w:b/>
          <w:bCs/>
        </w:rPr>
      </w:pPr>
    </w:p>
    <w:p w14:paraId="3E620A69" w14:textId="77777777" w:rsidR="00574799" w:rsidRDefault="00F20C16">
      <w:pPr>
        <w:spacing w:line="360" w:lineRule="auto"/>
        <w:ind w:right="-787"/>
        <w:jc w:val="both"/>
        <w:rPr>
          <w:rFonts w:ascii="Palatino Linotype" w:eastAsia="Palatino Linotype" w:hAnsi="Palatino Linotype" w:cs="Palatino Linotype"/>
          <w:b/>
          <w:bCs/>
        </w:rPr>
      </w:pPr>
      <w:r>
        <w:rPr>
          <w:rFonts w:ascii="Palatino Linotype" w:eastAsia="Palatino Linotype" w:hAnsi="Palatino Linotype" w:cs="Palatino Linotype"/>
          <w:b/>
          <w:bCs/>
        </w:rPr>
        <w:t>PRIMERO</w:t>
      </w:r>
      <w:r>
        <w:rPr>
          <w:rFonts w:ascii="Palatino Linotype" w:eastAsia="Palatino Linotype" w:hAnsi="Palatino Linotype" w:cs="Palatino Linotype"/>
        </w:rPr>
        <w:t xml:space="preserve">. Resultan </w:t>
      </w:r>
      <w:r>
        <w:rPr>
          <w:rFonts w:ascii="Palatino Linotype" w:eastAsia="Palatino Linotype" w:hAnsi="Palatino Linotype" w:cs="Palatino Linotype"/>
          <w:b/>
          <w:bCs/>
        </w:rPr>
        <w:t>FUNDADAS</w:t>
      </w:r>
      <w:r>
        <w:rPr>
          <w:rFonts w:ascii="Palatino Linotype" w:eastAsia="Palatino Linotype" w:hAnsi="Palatino Linotype" w:cs="Palatino Linotype"/>
        </w:rPr>
        <w:t xml:space="preserve"> las razones o motivos de inconformidad hechos valer en el recurso de revisión </w:t>
      </w:r>
      <w:r>
        <w:rPr>
          <w:rFonts w:ascii="Palatino Linotype" w:eastAsia="Palatino Linotype" w:hAnsi="Palatino Linotype" w:cs="Palatino Linotype"/>
          <w:b/>
          <w:bCs/>
        </w:rPr>
        <w:t>14118/INFOEM/IP/RR/2025</w:t>
      </w:r>
      <w:r>
        <w:rPr>
          <w:rFonts w:ascii="Palatino Linotype" w:eastAsia="Palatino Linotype" w:hAnsi="Palatino Linotype" w:cs="Palatino Linotype"/>
        </w:rPr>
        <w:t>,</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en términos del </w:t>
      </w:r>
      <w:r>
        <w:rPr>
          <w:rFonts w:ascii="Palatino Linotype" w:eastAsia="Palatino Linotype" w:hAnsi="Palatino Linotype" w:cs="Palatino Linotype"/>
          <w:b/>
          <w:bCs/>
        </w:rPr>
        <w:t xml:space="preserve">Considerando CUARTO </w:t>
      </w:r>
      <w:r>
        <w:rPr>
          <w:rFonts w:ascii="Palatino Linotype" w:eastAsia="Palatino Linotype" w:hAnsi="Palatino Linotype" w:cs="Palatino Linotype"/>
        </w:rPr>
        <w:t>de la presente resolución</w:t>
      </w:r>
      <w:r>
        <w:rPr>
          <w:rFonts w:ascii="Palatino Linotype" w:eastAsia="Palatino Linotype" w:hAnsi="Palatino Linotype" w:cs="Palatino Linotype"/>
          <w:b/>
          <w:bCs/>
        </w:rPr>
        <w:t>.</w:t>
      </w:r>
    </w:p>
    <w:p w14:paraId="52364120" w14:textId="77777777" w:rsidR="00574799" w:rsidRDefault="00574799">
      <w:pPr>
        <w:spacing w:line="360" w:lineRule="auto"/>
        <w:ind w:right="276"/>
        <w:jc w:val="both"/>
        <w:rPr>
          <w:rFonts w:ascii="Palatino Linotype" w:eastAsia="Palatino Linotype" w:hAnsi="Palatino Linotype" w:cs="Palatino Linotype"/>
          <w:b/>
          <w:bCs/>
        </w:rPr>
      </w:pPr>
    </w:p>
    <w:p w14:paraId="066D4072" w14:textId="77777777" w:rsidR="00574799" w:rsidRDefault="00F20C16">
      <w:pPr>
        <w:spacing w:line="360" w:lineRule="auto"/>
        <w:ind w:right="-787"/>
        <w:jc w:val="both"/>
        <w:rPr>
          <w:rFonts w:ascii="Palatino Linotype" w:eastAsia="Palatino Linotype" w:hAnsi="Palatino Linotype" w:cs="Palatino Linotype"/>
        </w:rPr>
      </w:pPr>
      <w:bookmarkStart w:id="8" w:name="_heading=h.1ksv4uv" w:colFirst="0" w:colLast="0"/>
      <w:bookmarkEnd w:id="8"/>
      <w:r>
        <w:rPr>
          <w:rFonts w:ascii="Palatino Linotype" w:eastAsia="Palatino Linotype" w:hAnsi="Palatino Linotype" w:cs="Palatino Linotype"/>
          <w:b/>
          <w:bCs/>
        </w:rPr>
        <w:t>SEGUNDO.</w:t>
      </w:r>
      <w:r>
        <w:rPr>
          <w:rFonts w:ascii="Palatino Linotype" w:eastAsia="Palatino Linotype" w:hAnsi="Palatino Linotype" w:cs="Palatino Linotype"/>
          <w:color w:val="2F5496"/>
        </w:rPr>
        <w:t xml:space="preserve"> </w:t>
      </w:r>
      <w:r>
        <w:rPr>
          <w:rFonts w:ascii="Palatino Linotype" w:eastAsia="Palatino Linotype" w:hAnsi="Palatino Linotype" w:cs="Palatino Linotype"/>
          <w:color w:val="000000"/>
        </w:rPr>
        <w:t xml:space="preserve">Se </w:t>
      </w:r>
      <w:r>
        <w:rPr>
          <w:rFonts w:ascii="Palatino Linotype" w:eastAsia="Palatino Linotype" w:hAnsi="Palatino Linotype" w:cs="Palatino Linotype"/>
          <w:b/>
          <w:bCs/>
          <w:color w:val="000000"/>
        </w:rPr>
        <w:t xml:space="preserve">REVOCA </w:t>
      </w:r>
      <w:r>
        <w:rPr>
          <w:rFonts w:ascii="Palatino Linotype" w:eastAsia="Palatino Linotype" w:hAnsi="Palatino Linotype" w:cs="Palatino Linotype"/>
          <w:color w:val="000000"/>
        </w:rPr>
        <w:t xml:space="preserve">la respuesta emitida por el </w:t>
      </w:r>
      <w:r>
        <w:rPr>
          <w:rFonts w:ascii="Palatino Linotype" w:eastAsia="Palatino Linotype" w:hAnsi="Palatino Linotype" w:cs="Palatino Linotype"/>
          <w:b/>
          <w:bCs/>
        </w:rPr>
        <w:t xml:space="preserve">Ayuntamiento de Teoloyucan </w:t>
      </w:r>
      <w:r>
        <w:rPr>
          <w:rFonts w:ascii="Palatino Linotype" w:eastAsia="Palatino Linotype" w:hAnsi="Palatino Linotype" w:cs="Palatino Linotype"/>
          <w:color w:val="000000"/>
        </w:rPr>
        <w:t xml:space="preserve">y se </w:t>
      </w:r>
      <w:r>
        <w:rPr>
          <w:rFonts w:ascii="Palatino Linotype" w:eastAsia="Palatino Linotype" w:hAnsi="Palatino Linotype" w:cs="Palatino Linotype"/>
          <w:b/>
          <w:bCs/>
          <w:color w:val="000000"/>
        </w:rPr>
        <w:t>ORDENA</w:t>
      </w:r>
      <w:r>
        <w:rPr>
          <w:rFonts w:ascii="Palatino Linotype" w:eastAsia="Palatino Linotype" w:hAnsi="Palatino Linotype" w:cs="Palatino Linotype"/>
          <w:color w:val="000000"/>
        </w:rPr>
        <w:t xml:space="preserve"> entregar, vía Sistema de Acceso a la Información Mexiquense </w:t>
      </w:r>
      <w:r>
        <w:rPr>
          <w:rFonts w:ascii="Palatino Linotype" w:eastAsia="Palatino Linotype" w:hAnsi="Palatino Linotype" w:cs="Palatino Linotype"/>
          <w:b/>
          <w:bCs/>
          <w:color w:val="000000"/>
        </w:rPr>
        <w:t>(SAIMEX)</w:t>
      </w:r>
      <w:r>
        <w:rPr>
          <w:rFonts w:ascii="Palatino Linotype" w:eastAsia="Palatino Linotype" w:hAnsi="Palatino Linotype" w:cs="Palatino Linotype"/>
        </w:rPr>
        <w:t>, previa búsqueda exhaustiva y razonable, de ser procedente en versión pública, la siguiente información:</w:t>
      </w:r>
    </w:p>
    <w:p w14:paraId="284E0465" w14:textId="77777777" w:rsidR="00574799" w:rsidRDefault="00574799">
      <w:pPr>
        <w:ind w:right="-433"/>
        <w:rPr>
          <w:rFonts w:ascii="Palatino Linotype" w:eastAsia="Palatino Linotype" w:hAnsi="Palatino Linotype" w:cs="Palatino Linotype"/>
          <w:b/>
          <w:bCs/>
        </w:rPr>
      </w:pPr>
    </w:p>
    <w:p w14:paraId="540B6C42" w14:textId="77777777" w:rsidR="00574799" w:rsidRDefault="00F20C16">
      <w:pPr>
        <w:numPr>
          <w:ilvl w:val="0"/>
          <w:numId w:val="7"/>
        </w:numPr>
        <w:pBdr>
          <w:top w:val="nil"/>
          <w:left w:val="nil"/>
          <w:bottom w:val="nil"/>
          <w:right w:val="nil"/>
          <w:between w:val="nil"/>
        </w:pBdr>
        <w:spacing w:line="360" w:lineRule="auto"/>
        <w:ind w:left="993" w:right="-433"/>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Del personal adscrito a la Dirección del Campo: </w:t>
      </w:r>
    </w:p>
    <w:p w14:paraId="55450A73" w14:textId="77777777" w:rsidR="00574799" w:rsidRPr="00381DB2" w:rsidRDefault="00F20C16">
      <w:pPr>
        <w:numPr>
          <w:ilvl w:val="1"/>
          <w:numId w:val="7"/>
        </w:numPr>
        <w:pBdr>
          <w:top w:val="nil"/>
          <w:left w:val="nil"/>
          <w:bottom w:val="nil"/>
          <w:right w:val="nil"/>
          <w:between w:val="nil"/>
        </w:pBdr>
        <w:spacing w:line="360" w:lineRule="auto"/>
        <w:ind w:left="1418" w:right="-433"/>
        <w:jc w:val="both"/>
        <w:rPr>
          <w:rFonts w:ascii="Palatino Linotype" w:eastAsia="Palatino Linotype" w:hAnsi="Palatino Linotype" w:cs="Palatino Linotype"/>
          <w:b/>
          <w:bCs/>
          <w:color w:val="000000"/>
        </w:rPr>
      </w:pPr>
      <w:r w:rsidRPr="00381DB2">
        <w:rPr>
          <w:rFonts w:ascii="Palatino Linotype" w:eastAsia="Palatino Linotype" w:hAnsi="Palatino Linotype" w:cs="Palatino Linotype"/>
          <w:b/>
          <w:bCs/>
          <w:color w:val="000000"/>
        </w:rPr>
        <w:lastRenderedPageBreak/>
        <w:t>Recibos de nómina de la segunda quincena de octubre de 2025.</w:t>
      </w:r>
    </w:p>
    <w:p w14:paraId="54AEBBE3" w14:textId="77777777" w:rsidR="00574799" w:rsidRPr="00381DB2" w:rsidRDefault="00F20C16">
      <w:pPr>
        <w:numPr>
          <w:ilvl w:val="1"/>
          <w:numId w:val="7"/>
        </w:numPr>
        <w:pBdr>
          <w:top w:val="nil"/>
          <w:left w:val="nil"/>
          <w:bottom w:val="nil"/>
          <w:right w:val="nil"/>
          <w:between w:val="nil"/>
        </w:pBdr>
        <w:spacing w:line="360" w:lineRule="auto"/>
        <w:ind w:left="1418" w:right="-433"/>
        <w:jc w:val="both"/>
        <w:rPr>
          <w:rFonts w:ascii="Palatino Linotype" w:eastAsia="Palatino Linotype" w:hAnsi="Palatino Linotype" w:cs="Palatino Linotype"/>
          <w:b/>
          <w:bCs/>
          <w:color w:val="000000"/>
        </w:rPr>
      </w:pPr>
      <w:r w:rsidRPr="00381DB2">
        <w:rPr>
          <w:rFonts w:ascii="Palatino Linotype" w:eastAsia="Palatino Linotype" w:hAnsi="Palatino Linotype" w:cs="Palatino Linotype"/>
          <w:b/>
          <w:bCs/>
          <w:color w:val="000000"/>
        </w:rPr>
        <w:t>Documento en el que conste o se adviertan las perso</w:t>
      </w:r>
      <w:r w:rsidR="00DC0652" w:rsidRPr="00381DB2">
        <w:rPr>
          <w:rFonts w:ascii="Palatino Linotype" w:eastAsia="Palatino Linotype" w:hAnsi="Palatino Linotype" w:cs="Palatino Linotype"/>
          <w:b/>
          <w:bCs/>
          <w:color w:val="000000"/>
        </w:rPr>
        <w:t>nas adscritas a dicha Dirección, al 25 de noviembre de 2025.</w:t>
      </w:r>
    </w:p>
    <w:p w14:paraId="4E6AD2B3" w14:textId="77777777" w:rsidR="00574799" w:rsidRDefault="00574799">
      <w:pPr>
        <w:spacing w:line="360" w:lineRule="auto"/>
        <w:ind w:left="851" w:right="-433"/>
        <w:jc w:val="both"/>
        <w:rPr>
          <w:rFonts w:ascii="Palatino Linotype" w:eastAsia="Palatino Linotype" w:hAnsi="Palatino Linotype" w:cs="Palatino Linotype"/>
          <w:b/>
          <w:bCs/>
        </w:rPr>
      </w:pPr>
    </w:p>
    <w:p w14:paraId="7321F1B2" w14:textId="77777777" w:rsidR="00574799" w:rsidRDefault="00F20C16">
      <w:pPr>
        <w:pBdr>
          <w:top w:val="nil"/>
          <w:left w:val="nil"/>
          <w:bottom w:val="nil"/>
          <w:right w:val="nil"/>
          <w:between w:val="nil"/>
        </w:pBdr>
        <w:tabs>
          <w:tab w:val="left" w:pos="8080"/>
        </w:tabs>
        <w:spacing w:line="360" w:lineRule="auto"/>
        <w:ind w:right="-433"/>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Pr>
          <w:rFonts w:ascii="Palatino Linotype" w:eastAsia="Palatino Linotype" w:hAnsi="Palatino Linotype" w:cs="Palatino Linotype"/>
          <w:b/>
          <w:bCs/>
          <w:color w:val="000000"/>
        </w:rPr>
        <w:t>RECURRENTE.</w:t>
      </w:r>
    </w:p>
    <w:p w14:paraId="78421D3E" w14:textId="77777777" w:rsidR="00574799" w:rsidRDefault="00574799">
      <w:pPr>
        <w:spacing w:line="360" w:lineRule="auto"/>
        <w:jc w:val="both"/>
        <w:rPr>
          <w:rFonts w:ascii="Palatino Linotype" w:eastAsia="Palatino Linotype" w:hAnsi="Palatino Linotype" w:cs="Palatino Linotype"/>
          <w:b/>
          <w:bCs/>
        </w:rPr>
      </w:pPr>
    </w:p>
    <w:p w14:paraId="1B68BCCD" w14:textId="77777777" w:rsidR="00574799" w:rsidRDefault="00F20C16">
      <w:pPr>
        <w:spacing w:line="360" w:lineRule="auto"/>
        <w:ind w:right="-787"/>
        <w:jc w:val="both"/>
        <w:rPr>
          <w:rFonts w:ascii="Palatino Linotype" w:eastAsia="Palatino Linotype" w:hAnsi="Palatino Linotype" w:cs="Palatino Linotype"/>
          <w:color w:val="000000"/>
        </w:rPr>
      </w:pPr>
      <w:r>
        <w:rPr>
          <w:rFonts w:ascii="Palatino Linotype" w:eastAsia="Palatino Linotype" w:hAnsi="Palatino Linotype" w:cs="Palatino Linotype"/>
          <w:b/>
          <w:bCs/>
        </w:rPr>
        <w:t xml:space="preserve">TERCERO. </w:t>
      </w:r>
      <w:r>
        <w:rPr>
          <w:rFonts w:ascii="Palatino Linotype" w:eastAsia="Palatino Linotype" w:hAnsi="Palatino Linotype" w:cs="Palatino Linotype"/>
          <w:b/>
          <w:bCs/>
          <w:color w:val="222222"/>
        </w:rPr>
        <w:t>NOTIFÍQUESE</w:t>
      </w:r>
      <w:r>
        <w:rPr>
          <w:rFonts w:ascii="Palatino Linotype" w:eastAsia="Palatino Linotype" w:hAnsi="Palatino Linotype" w:cs="Palatino Linotype"/>
          <w:color w:val="222222"/>
        </w:rPr>
        <w:t xml:space="preserve"> 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Pr>
          <w:rFonts w:ascii="Palatino Linotype" w:eastAsia="Palatino Linotype" w:hAnsi="Palatino Linotype" w:cs="Palatino Linotype"/>
          <w:b/>
          <w:bCs/>
          <w:color w:val="222222"/>
        </w:rPr>
        <w:t xml:space="preserve">dé cumplimiento a lo ordenado dentro del plazo </w:t>
      </w:r>
      <w:r>
        <w:rPr>
          <w:rFonts w:ascii="Palatino Linotype" w:eastAsia="Palatino Linotype" w:hAnsi="Palatino Linotype" w:cs="Palatino Linotype"/>
        </w:rPr>
        <w:t>de</w:t>
      </w:r>
      <w:r>
        <w:rPr>
          <w:rFonts w:ascii="Palatino Linotype" w:eastAsia="Palatino Linotype" w:hAnsi="Palatino Linotype" w:cs="Palatino Linotype"/>
          <w:b/>
          <w:bCs/>
          <w:color w:val="222222"/>
        </w:rPr>
        <w:t xml:space="preserve"> diez días hábiles, </w:t>
      </w:r>
      <w:r>
        <w:rPr>
          <w:rFonts w:ascii="Palatino Linotype" w:eastAsia="Palatino Linotype" w:hAnsi="Palatino Linotype" w:cs="Palatino Linotype"/>
          <w:color w:val="222222"/>
        </w:rPr>
        <w:t>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1C1FBFE5" w14:textId="77777777" w:rsidR="00574799" w:rsidRDefault="00574799">
      <w:pPr>
        <w:spacing w:line="360" w:lineRule="auto"/>
        <w:jc w:val="both"/>
        <w:rPr>
          <w:rFonts w:ascii="Palatino Linotype" w:eastAsia="Palatino Linotype" w:hAnsi="Palatino Linotype" w:cs="Palatino Linotype"/>
        </w:rPr>
      </w:pPr>
    </w:p>
    <w:p w14:paraId="0911693F" w14:textId="77777777" w:rsidR="00574799" w:rsidRDefault="00F20C16">
      <w:pPr>
        <w:spacing w:line="360" w:lineRule="auto"/>
        <w:ind w:right="-787"/>
        <w:jc w:val="both"/>
        <w:rPr>
          <w:rFonts w:ascii="Palatino Linotype" w:eastAsia="Palatino Linotype" w:hAnsi="Palatino Linotype" w:cs="Palatino Linotype"/>
        </w:rPr>
      </w:pPr>
      <w:bookmarkStart w:id="9" w:name="_heading=h.3rdcrjn" w:colFirst="0" w:colLast="0"/>
      <w:bookmarkEnd w:id="9"/>
      <w:r>
        <w:rPr>
          <w:rFonts w:ascii="Palatino Linotype" w:eastAsia="Palatino Linotype" w:hAnsi="Palatino Linotype" w:cs="Palatino Linotype"/>
          <w:b/>
          <w:bCs/>
        </w:rPr>
        <w:t xml:space="preserve">CUARTO. </w:t>
      </w:r>
      <w:r>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Pr>
          <w:rFonts w:ascii="Palatino Linotype" w:eastAsia="Palatino Linotype" w:hAnsi="Palatino Linotype" w:cs="Palatino Linotype"/>
          <w:b/>
          <w:bCs/>
        </w:rPr>
        <w:lastRenderedPageBreak/>
        <w:t>SUJETO OBLIGADO</w:t>
      </w:r>
      <w:r>
        <w:rPr>
          <w:rFonts w:ascii="Palatino Linotype" w:eastAsia="Palatino Linotype" w:hAnsi="Palatino Linotype" w:cs="Palatino Linotype"/>
        </w:rPr>
        <w:t xml:space="preserve"> de manera fundada y motivada, podrá solicitar una ampliación de plazo para el cumplimiento de la presente resolución.</w:t>
      </w:r>
    </w:p>
    <w:p w14:paraId="7BFF3A13" w14:textId="77777777" w:rsidR="00574799" w:rsidRDefault="00574799">
      <w:pPr>
        <w:spacing w:line="360" w:lineRule="auto"/>
        <w:ind w:right="-858"/>
        <w:jc w:val="both"/>
        <w:rPr>
          <w:rFonts w:ascii="Palatino Linotype" w:eastAsia="Palatino Linotype" w:hAnsi="Palatino Linotype" w:cs="Palatino Linotype"/>
        </w:rPr>
      </w:pPr>
    </w:p>
    <w:p w14:paraId="0963E0D8" w14:textId="77777777" w:rsidR="00574799" w:rsidRDefault="00F20C16">
      <w:pPr>
        <w:spacing w:line="360" w:lineRule="auto"/>
        <w:ind w:right="-858"/>
        <w:jc w:val="both"/>
        <w:rPr>
          <w:rFonts w:ascii="Palatino Linotype" w:eastAsia="Palatino Linotype" w:hAnsi="Palatino Linotype" w:cs="Palatino Linotype"/>
        </w:rPr>
      </w:pPr>
      <w:r>
        <w:rPr>
          <w:rFonts w:ascii="Palatino Linotype" w:eastAsia="Palatino Linotype" w:hAnsi="Palatino Linotype" w:cs="Palatino Linotype"/>
          <w:b/>
          <w:bCs/>
        </w:rPr>
        <w:t>QUINTO. NOTIFÍQUESE</w:t>
      </w:r>
      <w:r>
        <w:rPr>
          <w:rFonts w:ascii="Palatino Linotype" w:eastAsia="Palatino Linotype" w:hAnsi="Palatino Linotype" w:cs="Palatino Linotype"/>
        </w:rPr>
        <w:t xml:space="preserve"> la presente resolución a la parte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a través del Sistema de Acceso a la Información Mexiquense </w:t>
      </w:r>
      <w:r>
        <w:rPr>
          <w:rFonts w:ascii="Palatino Linotype" w:eastAsia="Palatino Linotype" w:hAnsi="Palatino Linotype" w:cs="Palatino Linotype"/>
          <w:b/>
          <w:bCs/>
        </w:rPr>
        <w:t>(SAIMEX)</w:t>
      </w:r>
      <w:r>
        <w:rPr>
          <w:rFonts w:ascii="Palatino Linotype" w:eastAsia="Palatino Linotype" w:hAnsi="Palatino Linotype" w:cs="Palatino Linotype"/>
        </w:rPr>
        <w:t xml:space="preserve"> y hágase de su conocimiento que, en caso de considerar que la misma le causa algún perjuicio, podrá promover el Juicio de Amparo en los términos de las leyes aplicables, de acuerdo con lo estipulado por el artículo 196 de la Ley de Transparencia y Acceso a la Información Pública del Estado de México y Municipios.</w:t>
      </w:r>
    </w:p>
    <w:p w14:paraId="57B56E59" w14:textId="77777777" w:rsidR="00574799" w:rsidRDefault="00574799">
      <w:pPr>
        <w:spacing w:line="360" w:lineRule="auto"/>
        <w:ind w:right="-787"/>
        <w:jc w:val="both"/>
        <w:rPr>
          <w:rFonts w:ascii="Palatino Linotype" w:eastAsia="Palatino Linotype" w:hAnsi="Palatino Linotype" w:cs="Palatino Linotype"/>
          <w:color w:val="000000"/>
        </w:rPr>
      </w:pPr>
    </w:p>
    <w:p w14:paraId="5A9F5AEF" w14:textId="77777777" w:rsidR="00767FC4" w:rsidRPr="003E2295" w:rsidRDefault="00767FC4" w:rsidP="00767FC4">
      <w:pPr>
        <w:spacing w:before="240" w:after="240" w:line="360" w:lineRule="auto"/>
        <w:ind w:right="-858" w:firstLine="1"/>
        <w:jc w:val="both"/>
        <w:rPr>
          <w:rFonts w:ascii="Palatino Linotype" w:hAnsi="Palatino Linotype"/>
        </w:rPr>
      </w:pPr>
      <w:bookmarkStart w:id="10" w:name="_Hlk99014733"/>
      <w:r w:rsidRPr="003E2295">
        <w:rPr>
          <w:rFonts w:ascii="Palatino Linotype" w:hAnsi="Palatino Linotype" w:cs="Palatino Linotype"/>
        </w:rPr>
        <w:t>ASÍ LO RESUELVE, POR UNANIMIDAD DE VOTOS, EL PLENO DEL INSTITUTO DE TRANSPARENCIA, ACCESO A LA INFORMACIÓN PÚBLICA Y PROTECCIÓN DE DATOS PERSONALES DEL ESTADO DE MÉXICO Y MUNICIPIOS, CONFORMADO POR LOS COMISIONADOS JOSÉ MARTÍNEZ VILCHIS</w:t>
      </w:r>
      <w:r>
        <w:rPr>
          <w:rFonts w:ascii="Palatino Linotype" w:hAnsi="Palatino Linotype" w:cs="Palatino Linotype"/>
        </w:rPr>
        <w:t xml:space="preserve"> (AUSENCIA JUSTIFICADA)</w:t>
      </w:r>
      <w:r w:rsidRPr="003E2295">
        <w:rPr>
          <w:rFonts w:ascii="Palatino Linotype" w:hAnsi="Palatino Linotype" w:cs="Palatino Linotype"/>
        </w:rPr>
        <w:t xml:space="preserve">, MARÍA DEL ROSARIO MEJÍA AYALA, SHARON CRISTINA MORALES MARTÍNEZ, LUIS GUSTAVO PARRA NORIEGA Y GUADALUPE RAMÍREZ PEÑA; EN LA </w:t>
      </w:r>
      <w:r>
        <w:rPr>
          <w:rFonts w:ascii="Palatino Linotype" w:hAnsi="Palatino Linotype" w:cs="Palatino Linotype"/>
        </w:rPr>
        <w:t>DÉCIMA</w:t>
      </w:r>
      <w:r w:rsidRPr="003E2295">
        <w:rPr>
          <w:rFonts w:ascii="Palatino Linotype" w:hAnsi="Palatino Linotype" w:cs="Palatino Linotype"/>
        </w:rPr>
        <w:t xml:space="preserve"> </w:t>
      </w:r>
      <w:r>
        <w:rPr>
          <w:rFonts w:ascii="Palatino Linotype" w:hAnsi="Palatino Linotype" w:cs="Palatino Linotype"/>
        </w:rPr>
        <w:t xml:space="preserve">NOVENA </w:t>
      </w:r>
      <w:r w:rsidRPr="003E2295">
        <w:rPr>
          <w:rFonts w:ascii="Palatino Linotype" w:hAnsi="Palatino Linotype" w:cs="Palatino Linotype"/>
        </w:rPr>
        <w:t>SESIÓN O</w:t>
      </w:r>
      <w:r>
        <w:rPr>
          <w:rFonts w:ascii="Palatino Linotype" w:hAnsi="Palatino Linotype" w:cs="Palatino Linotype"/>
        </w:rPr>
        <w:t>RDINARIA, CELEBRADA EL VEINTISIETE (27</w:t>
      </w:r>
      <w:r w:rsidRPr="003E2295">
        <w:rPr>
          <w:rFonts w:ascii="Palatino Linotype" w:hAnsi="Palatino Linotype" w:cs="Palatino Linotype"/>
        </w:rPr>
        <w:t xml:space="preserve">) DE </w:t>
      </w:r>
      <w:r>
        <w:rPr>
          <w:rFonts w:ascii="Palatino Linotype" w:hAnsi="Palatino Linotype" w:cs="Palatino Linotype"/>
        </w:rPr>
        <w:t>MAYO</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p>
    <w:bookmarkEnd w:id="10"/>
    <w:p w14:paraId="04D7A242" w14:textId="77777777" w:rsidR="00574799" w:rsidRDefault="00574799" w:rsidP="00767FC4">
      <w:pPr>
        <w:spacing w:line="360" w:lineRule="auto"/>
        <w:ind w:right="-858"/>
        <w:jc w:val="both"/>
        <w:rPr>
          <w:rFonts w:ascii="Palatino Linotype" w:eastAsia="Palatino Linotype" w:hAnsi="Palatino Linotype" w:cs="Palatino Linotype"/>
        </w:rPr>
      </w:pPr>
    </w:p>
    <w:p w14:paraId="5F7866BC" w14:textId="77777777" w:rsidR="00574799" w:rsidRDefault="00574799" w:rsidP="00767FC4">
      <w:pPr>
        <w:spacing w:line="360" w:lineRule="auto"/>
        <w:ind w:right="-858"/>
        <w:jc w:val="both"/>
        <w:rPr>
          <w:rFonts w:ascii="Palatino Linotype" w:eastAsia="Palatino Linotype" w:hAnsi="Palatino Linotype" w:cs="Palatino Linotype"/>
        </w:rPr>
      </w:pPr>
    </w:p>
    <w:p w14:paraId="290A334F" w14:textId="77777777" w:rsidR="00574799" w:rsidRDefault="00574799" w:rsidP="00767FC4">
      <w:pPr>
        <w:spacing w:line="360" w:lineRule="auto"/>
        <w:ind w:right="-858"/>
        <w:jc w:val="both"/>
        <w:rPr>
          <w:rFonts w:ascii="Palatino Linotype" w:eastAsia="Palatino Linotype" w:hAnsi="Palatino Linotype" w:cs="Palatino Linotype"/>
        </w:rPr>
      </w:pPr>
    </w:p>
    <w:p w14:paraId="075F1E97" w14:textId="77777777" w:rsidR="00574799" w:rsidRDefault="00574799" w:rsidP="00767FC4">
      <w:pPr>
        <w:spacing w:line="360" w:lineRule="auto"/>
        <w:ind w:right="-858"/>
        <w:jc w:val="both"/>
        <w:rPr>
          <w:rFonts w:ascii="Palatino Linotype" w:eastAsia="Palatino Linotype" w:hAnsi="Palatino Linotype" w:cs="Palatino Linotype"/>
        </w:rPr>
      </w:pPr>
    </w:p>
    <w:p w14:paraId="672545DE" w14:textId="77777777" w:rsidR="00574799" w:rsidRDefault="00574799">
      <w:pPr>
        <w:spacing w:line="360" w:lineRule="auto"/>
        <w:ind w:right="-787"/>
        <w:jc w:val="both"/>
        <w:rPr>
          <w:rFonts w:ascii="Palatino Linotype" w:eastAsia="Palatino Linotype" w:hAnsi="Palatino Linotype" w:cs="Palatino Linotype"/>
        </w:rPr>
      </w:pPr>
    </w:p>
    <w:p w14:paraId="1BF64CA3" w14:textId="77777777" w:rsidR="00574799" w:rsidRDefault="00574799">
      <w:pPr>
        <w:spacing w:line="360" w:lineRule="auto"/>
        <w:ind w:right="-787"/>
        <w:jc w:val="both"/>
        <w:rPr>
          <w:rFonts w:ascii="Palatino Linotype" w:eastAsia="Palatino Linotype" w:hAnsi="Palatino Linotype" w:cs="Palatino Linotype"/>
        </w:rPr>
      </w:pPr>
    </w:p>
    <w:p w14:paraId="52E6CDC6" w14:textId="77777777" w:rsidR="00574799" w:rsidRDefault="00574799">
      <w:pPr>
        <w:spacing w:line="360" w:lineRule="auto"/>
        <w:ind w:right="-787"/>
        <w:jc w:val="both"/>
        <w:rPr>
          <w:rFonts w:ascii="Palatino Linotype" w:eastAsia="Palatino Linotype" w:hAnsi="Palatino Linotype" w:cs="Palatino Linotype"/>
        </w:rPr>
      </w:pPr>
    </w:p>
    <w:p w14:paraId="7B71067C" w14:textId="77777777" w:rsidR="00574799" w:rsidRDefault="00574799">
      <w:pPr>
        <w:spacing w:line="360" w:lineRule="auto"/>
        <w:ind w:right="-787"/>
        <w:jc w:val="both"/>
        <w:rPr>
          <w:rFonts w:ascii="Palatino Linotype" w:eastAsia="Palatino Linotype" w:hAnsi="Palatino Linotype" w:cs="Palatino Linotype"/>
        </w:rPr>
      </w:pPr>
    </w:p>
    <w:p w14:paraId="3A12AFEB" w14:textId="77777777" w:rsidR="00574799" w:rsidRDefault="00574799">
      <w:pPr>
        <w:spacing w:line="360" w:lineRule="auto"/>
        <w:ind w:right="-787"/>
        <w:jc w:val="both"/>
        <w:rPr>
          <w:rFonts w:ascii="Palatino Linotype" w:eastAsia="Palatino Linotype" w:hAnsi="Palatino Linotype" w:cs="Palatino Linotype"/>
        </w:rPr>
      </w:pPr>
    </w:p>
    <w:p w14:paraId="79F3A15C" w14:textId="77777777" w:rsidR="00574799" w:rsidRDefault="00574799">
      <w:pPr>
        <w:spacing w:line="360" w:lineRule="auto"/>
        <w:ind w:right="-787"/>
        <w:jc w:val="both"/>
        <w:rPr>
          <w:rFonts w:ascii="Palatino Linotype" w:eastAsia="Palatino Linotype" w:hAnsi="Palatino Linotype" w:cs="Palatino Linotype"/>
        </w:rPr>
      </w:pPr>
    </w:p>
    <w:p w14:paraId="12824235" w14:textId="77777777" w:rsidR="00574799" w:rsidRDefault="00574799">
      <w:pPr>
        <w:spacing w:line="360" w:lineRule="auto"/>
        <w:ind w:right="-787"/>
        <w:rPr>
          <w:rFonts w:ascii="Palatino Linotype" w:eastAsia="Palatino Linotype" w:hAnsi="Palatino Linotype" w:cs="Palatino Linotype"/>
        </w:rPr>
      </w:pPr>
    </w:p>
    <w:p w14:paraId="2A32A16E" w14:textId="77777777" w:rsidR="00574799" w:rsidRDefault="00574799">
      <w:pPr>
        <w:spacing w:line="360" w:lineRule="auto"/>
        <w:ind w:right="-787"/>
        <w:rPr>
          <w:rFonts w:ascii="Palatino Linotype" w:eastAsia="Palatino Linotype" w:hAnsi="Palatino Linotype" w:cs="Palatino Linotype"/>
        </w:rPr>
      </w:pPr>
    </w:p>
    <w:p w14:paraId="7367B8F2" w14:textId="77777777" w:rsidR="00574799" w:rsidRDefault="00574799">
      <w:pPr>
        <w:spacing w:line="360" w:lineRule="auto"/>
        <w:ind w:right="-787"/>
        <w:rPr>
          <w:rFonts w:ascii="Palatino Linotype" w:eastAsia="Palatino Linotype" w:hAnsi="Palatino Linotype" w:cs="Palatino Linotype"/>
        </w:rPr>
      </w:pPr>
    </w:p>
    <w:p w14:paraId="6D2F20C2" w14:textId="77777777" w:rsidR="00574799" w:rsidRDefault="00574799">
      <w:pPr>
        <w:tabs>
          <w:tab w:val="left" w:pos="3374"/>
        </w:tabs>
        <w:spacing w:line="360" w:lineRule="auto"/>
        <w:ind w:right="-787"/>
        <w:rPr>
          <w:rFonts w:ascii="Palatino Linotype" w:eastAsia="Palatino Linotype" w:hAnsi="Palatino Linotype" w:cs="Palatino Linotype"/>
        </w:rPr>
      </w:pPr>
      <w:bookmarkStart w:id="11" w:name="_heading=h.lnxbz9" w:colFirst="0" w:colLast="0"/>
      <w:bookmarkEnd w:id="11"/>
    </w:p>
    <w:p w14:paraId="4408B4A1" w14:textId="77777777" w:rsidR="00574799" w:rsidRDefault="00574799">
      <w:pPr>
        <w:tabs>
          <w:tab w:val="left" w:pos="3374"/>
        </w:tabs>
        <w:spacing w:line="360" w:lineRule="auto"/>
        <w:ind w:right="-787"/>
        <w:rPr>
          <w:rFonts w:ascii="Palatino Linotype" w:eastAsia="Palatino Linotype" w:hAnsi="Palatino Linotype" w:cs="Palatino Linotype"/>
        </w:rPr>
      </w:pPr>
    </w:p>
    <w:p w14:paraId="1D064B99" w14:textId="77777777" w:rsidR="00574799" w:rsidRDefault="00574799">
      <w:pPr>
        <w:tabs>
          <w:tab w:val="left" w:pos="3374"/>
        </w:tabs>
        <w:spacing w:line="360" w:lineRule="auto"/>
        <w:ind w:right="-787"/>
        <w:rPr>
          <w:rFonts w:ascii="Palatino Linotype" w:eastAsia="Palatino Linotype" w:hAnsi="Palatino Linotype" w:cs="Palatino Linotype"/>
        </w:rPr>
      </w:pPr>
    </w:p>
    <w:sectPr w:rsidR="00574799">
      <w:headerReference w:type="even" r:id="rId13"/>
      <w:headerReference w:type="default" r:id="rId14"/>
      <w:footerReference w:type="default" r:id="rId15"/>
      <w:headerReference w:type="first" r:id="rId16"/>
      <w:footerReference w:type="first" r:id="rId17"/>
      <w:pgSz w:w="12240" w:h="15840"/>
      <w:pgMar w:top="2268" w:right="1474"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7781F0" w14:textId="77777777" w:rsidR="004160BA" w:rsidRDefault="004160BA">
      <w:r>
        <w:separator/>
      </w:r>
    </w:p>
  </w:endnote>
  <w:endnote w:type="continuationSeparator" w:id="0">
    <w:p w14:paraId="0AA76B4B" w14:textId="77777777" w:rsidR="004160BA" w:rsidRDefault="004160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embedRegular r:id="rId1" w:fontKey="{F9158660-AEDB-4954-A119-2032C6D33709}"/>
    <w:embedBold r:id="rId2" w:fontKey="{68CB95BF-6249-48E3-9065-5371605370C1}"/>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3" w:fontKey="{C1B3492C-EF89-4E07-B9C8-30A88BD03D88}"/>
    <w:embedBold r:id="rId4" w:fontKey="{3894EDD1-1E66-474F-950C-3D208AA95AC4}"/>
    <w:embedItalic r:id="rId5" w:fontKey="{3E74BEE6-4088-4BA3-A62E-F8AA9E669391}"/>
    <w:embedBoldItalic r:id="rId6" w:fontKey="{0D3D734F-915D-440C-B2CF-CBB5812C4F77}"/>
  </w:font>
  <w:font w:name="Calibri">
    <w:panose1 w:val="020F0502020204030204"/>
    <w:charset w:val="00"/>
    <w:family w:val="swiss"/>
    <w:pitch w:val="variable"/>
    <w:sig w:usb0="E4002EFF" w:usb1="C200247B" w:usb2="00000009" w:usb3="00000000" w:csb0="000001FF" w:csb1="00000000"/>
    <w:embedRegular r:id="rId7" w:fontKey="{F019234B-89F4-4139-9215-3827957BA975}"/>
    <w:embedBold r:id="rId8" w:fontKey="{654EACB3-EA2D-49BB-B542-1907475E3010}"/>
  </w:font>
  <w:font w:name="Georgia">
    <w:panose1 w:val="02040502050405020303"/>
    <w:charset w:val="00"/>
    <w:family w:val="roman"/>
    <w:pitch w:val="variable"/>
    <w:sig w:usb0="00000287" w:usb1="00000000" w:usb2="00000000" w:usb3="00000000" w:csb0="0000009F" w:csb1="00000000"/>
    <w:embedItalic r:id="rId9" w:fontKey="{818BD5A0-3639-4909-9D9B-CF989E98D244}"/>
  </w:font>
  <w:font w:name="Cambria">
    <w:panose1 w:val="02040503050406030204"/>
    <w:charset w:val="00"/>
    <w:family w:val="roman"/>
    <w:pitch w:val="variable"/>
    <w:sig w:usb0="E00006FF" w:usb1="420024FF" w:usb2="02000000" w:usb3="00000000" w:csb0="0000019F" w:csb1="00000000"/>
    <w:embedRegular r:id="rId10" w:fontKey="{353E85C4-0292-4C8B-AB2D-3A4FF8D9787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587250" w14:textId="77777777" w:rsidR="00574799" w:rsidRDefault="00F20C16">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6D5695">
      <w:rPr>
        <w:rFonts w:ascii="Palatino Linotype" w:eastAsia="Palatino Linotype" w:hAnsi="Palatino Linotype" w:cs="Palatino Linotype"/>
        <w:noProof/>
        <w:color w:val="000000"/>
        <w:sz w:val="22"/>
        <w:szCs w:val="22"/>
      </w:rPr>
      <w:t>21</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6D5695">
      <w:rPr>
        <w:rFonts w:ascii="Palatino Linotype" w:eastAsia="Palatino Linotype" w:hAnsi="Palatino Linotype" w:cs="Palatino Linotype"/>
        <w:noProof/>
        <w:color w:val="000000"/>
        <w:sz w:val="22"/>
        <w:szCs w:val="22"/>
      </w:rPr>
      <w:t>37</w:t>
    </w:r>
    <w:r>
      <w:rPr>
        <w:rFonts w:ascii="Palatino Linotype" w:eastAsia="Palatino Linotype" w:hAnsi="Palatino Linotype" w:cs="Palatino Linotype"/>
        <w:color w:val="000000"/>
        <w:sz w:val="22"/>
        <w:szCs w:val="22"/>
      </w:rPr>
      <w:fldChar w:fldCharType="end"/>
    </w:r>
  </w:p>
  <w:p w14:paraId="58262853" w14:textId="77777777" w:rsidR="00574799" w:rsidRDefault="00574799">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D8643E" w14:textId="77777777" w:rsidR="00574799" w:rsidRDefault="00F20C16">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6D5695">
      <w:rPr>
        <w:rFonts w:ascii="Palatino Linotype" w:eastAsia="Palatino Linotype" w:hAnsi="Palatino Linotype" w:cs="Palatino Linotype"/>
        <w:noProof/>
        <w:color w:val="000000"/>
        <w:sz w:val="22"/>
        <w:szCs w:val="22"/>
      </w:rPr>
      <w:t>1</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6D5695">
      <w:rPr>
        <w:rFonts w:ascii="Palatino Linotype" w:eastAsia="Palatino Linotype" w:hAnsi="Palatino Linotype" w:cs="Palatino Linotype"/>
        <w:noProof/>
        <w:color w:val="000000"/>
        <w:sz w:val="22"/>
        <w:szCs w:val="22"/>
      </w:rPr>
      <w:t>37</w:t>
    </w:r>
    <w:r>
      <w:rPr>
        <w:rFonts w:ascii="Palatino Linotype" w:eastAsia="Palatino Linotype" w:hAnsi="Palatino Linotype" w:cs="Palatino Linotype"/>
        <w:color w:val="000000"/>
        <w:sz w:val="22"/>
        <w:szCs w:val="22"/>
      </w:rPr>
      <w:fldChar w:fldCharType="end"/>
    </w:r>
  </w:p>
  <w:p w14:paraId="0D8A876D" w14:textId="77777777" w:rsidR="00574799" w:rsidRDefault="00574799">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D6DF15" w14:textId="77777777" w:rsidR="004160BA" w:rsidRDefault="004160BA">
      <w:r>
        <w:separator/>
      </w:r>
    </w:p>
  </w:footnote>
  <w:footnote w:type="continuationSeparator" w:id="0">
    <w:p w14:paraId="03AC5C06" w14:textId="77777777" w:rsidR="004160BA" w:rsidRDefault="004160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946A21" w14:textId="77777777" w:rsidR="00574799" w:rsidRDefault="004160BA">
    <w:pPr>
      <w:pBdr>
        <w:top w:val="nil"/>
        <w:left w:val="nil"/>
        <w:bottom w:val="nil"/>
        <w:right w:val="nil"/>
        <w:between w:val="nil"/>
      </w:pBdr>
      <w:tabs>
        <w:tab w:val="center" w:pos="4419"/>
        <w:tab w:val="right" w:pos="8838"/>
      </w:tabs>
      <w:rPr>
        <w:color w:val="000000"/>
      </w:rPr>
    </w:pPr>
    <w:r>
      <w:rPr>
        <w:color w:val="000000"/>
      </w:rPr>
      <w:pict w14:anchorId="6F7C36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4"/>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10C36B" w14:textId="77777777" w:rsidR="00574799" w:rsidRDefault="00574799">
    <w:pPr>
      <w:widowControl w:val="0"/>
      <w:pBdr>
        <w:top w:val="nil"/>
        <w:left w:val="nil"/>
        <w:bottom w:val="nil"/>
        <w:right w:val="nil"/>
        <w:between w:val="nil"/>
      </w:pBdr>
      <w:spacing w:line="276" w:lineRule="auto"/>
      <w:rPr>
        <w:color w:val="000000"/>
      </w:rPr>
    </w:pPr>
  </w:p>
  <w:tbl>
    <w:tblPr>
      <w:tblStyle w:val="a0"/>
      <w:tblW w:w="6750" w:type="dxa"/>
      <w:tblInd w:w="3261" w:type="dxa"/>
      <w:tblLayout w:type="fixed"/>
      <w:tblLook w:val="0400" w:firstRow="0" w:lastRow="0" w:firstColumn="0" w:lastColumn="0" w:noHBand="0" w:noVBand="1"/>
    </w:tblPr>
    <w:tblGrid>
      <w:gridCol w:w="3039"/>
      <w:gridCol w:w="3711"/>
    </w:tblGrid>
    <w:tr w:rsidR="00574799" w14:paraId="5BD874F5" w14:textId="77777777">
      <w:trPr>
        <w:trHeight w:val="227"/>
      </w:trPr>
      <w:tc>
        <w:tcPr>
          <w:tcW w:w="3039" w:type="dxa"/>
        </w:tcPr>
        <w:p w14:paraId="1725B837" w14:textId="77777777" w:rsidR="00574799" w:rsidRDefault="00F20C16">
          <w:pPr>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3710" w:type="dxa"/>
        </w:tcPr>
        <w:p w14:paraId="1D18CF61" w14:textId="77777777" w:rsidR="00574799" w:rsidRDefault="00F20C16">
          <w:pPr>
            <w:pBdr>
              <w:top w:val="nil"/>
              <w:left w:val="nil"/>
              <w:bottom w:val="nil"/>
              <w:right w:val="nil"/>
              <w:between w:val="nil"/>
            </w:pBdr>
            <w:tabs>
              <w:tab w:val="right" w:pos="8838"/>
            </w:tabs>
            <w:ind w:right="-1285"/>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14118/INFOEM/IP/RR/2025</w:t>
          </w:r>
        </w:p>
      </w:tc>
    </w:tr>
    <w:tr w:rsidR="00574799" w14:paraId="4761505E" w14:textId="77777777">
      <w:trPr>
        <w:trHeight w:val="342"/>
      </w:trPr>
      <w:tc>
        <w:tcPr>
          <w:tcW w:w="3039" w:type="dxa"/>
        </w:tcPr>
        <w:p w14:paraId="1A0BC81A" w14:textId="77777777" w:rsidR="00574799" w:rsidRDefault="00F20C16">
          <w:pPr>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3710" w:type="dxa"/>
        </w:tcPr>
        <w:p w14:paraId="510852E7" w14:textId="77777777" w:rsidR="00574799" w:rsidRDefault="00F20C16">
          <w:pPr>
            <w:pBdr>
              <w:top w:val="nil"/>
              <w:left w:val="nil"/>
              <w:bottom w:val="nil"/>
              <w:right w:val="nil"/>
              <w:between w:val="nil"/>
            </w:pBdr>
            <w:tabs>
              <w:tab w:val="right" w:pos="8838"/>
            </w:tabs>
            <w:jc w:val="both"/>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Ayuntamiento de Teoloyucan</w:t>
          </w:r>
        </w:p>
      </w:tc>
    </w:tr>
    <w:tr w:rsidR="00574799" w14:paraId="047A2BEF" w14:textId="77777777">
      <w:trPr>
        <w:trHeight w:val="342"/>
      </w:trPr>
      <w:tc>
        <w:tcPr>
          <w:tcW w:w="3039" w:type="dxa"/>
        </w:tcPr>
        <w:p w14:paraId="7B5507ED" w14:textId="77777777" w:rsidR="00574799" w:rsidRDefault="00F20C16">
          <w:pPr>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3710" w:type="dxa"/>
        </w:tcPr>
        <w:p w14:paraId="081E10E1" w14:textId="77777777" w:rsidR="00574799" w:rsidRDefault="00F20C16">
          <w:pPr>
            <w:pBdr>
              <w:top w:val="nil"/>
              <w:left w:val="nil"/>
              <w:bottom w:val="nil"/>
              <w:right w:val="nil"/>
              <w:between w:val="nil"/>
            </w:pBdr>
            <w:tabs>
              <w:tab w:val="right" w:pos="8838"/>
            </w:tabs>
            <w:ind w:right="-1285"/>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14:paraId="5DF41909" w14:textId="77777777" w:rsidR="00574799" w:rsidRDefault="004160BA">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w14:anchorId="0B3716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2.3pt;margin-top:-110.1pt;width:609.4pt;height:793.75pt;z-index:-251659776;mso-position-horizontal:absolute;mso-position-horizontal-relative:margin;mso-position-vertical:absolute;mso-position-vertical-relative:margin">
          <v:imagedata r:id="rId1" o:title="image4"/>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E9611B" w14:textId="77777777" w:rsidR="00574799" w:rsidRDefault="00574799">
    <w:pPr>
      <w:widowControl w:val="0"/>
      <w:pBdr>
        <w:top w:val="nil"/>
        <w:left w:val="nil"/>
        <w:bottom w:val="nil"/>
        <w:right w:val="nil"/>
        <w:between w:val="nil"/>
      </w:pBdr>
      <w:spacing w:line="276" w:lineRule="auto"/>
      <w:rPr>
        <w:color w:val="000000"/>
        <w:sz w:val="14"/>
        <w:szCs w:val="14"/>
      </w:rPr>
    </w:pPr>
  </w:p>
  <w:tbl>
    <w:tblPr>
      <w:tblStyle w:val="a1"/>
      <w:tblW w:w="6750" w:type="dxa"/>
      <w:tblInd w:w="3261" w:type="dxa"/>
      <w:tblLayout w:type="fixed"/>
      <w:tblLook w:val="0400" w:firstRow="0" w:lastRow="0" w:firstColumn="0" w:lastColumn="0" w:noHBand="0" w:noVBand="1"/>
    </w:tblPr>
    <w:tblGrid>
      <w:gridCol w:w="2889"/>
      <w:gridCol w:w="3861"/>
    </w:tblGrid>
    <w:tr w:rsidR="00574799" w14:paraId="116BF58D" w14:textId="77777777">
      <w:trPr>
        <w:trHeight w:val="227"/>
      </w:trPr>
      <w:tc>
        <w:tcPr>
          <w:tcW w:w="2889" w:type="dxa"/>
        </w:tcPr>
        <w:p w14:paraId="0A3F359C" w14:textId="77777777" w:rsidR="00574799" w:rsidRDefault="00F20C16">
          <w:pPr>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3860" w:type="dxa"/>
        </w:tcPr>
        <w:p w14:paraId="35F84B42" w14:textId="77777777" w:rsidR="00574799" w:rsidRDefault="00F20C16">
          <w:pPr>
            <w:pBdr>
              <w:top w:val="nil"/>
              <w:left w:val="nil"/>
              <w:bottom w:val="nil"/>
              <w:right w:val="nil"/>
              <w:between w:val="nil"/>
            </w:pBdr>
            <w:tabs>
              <w:tab w:val="right" w:pos="8838"/>
            </w:tabs>
            <w:ind w:right="-1285"/>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14118/INFOEM/IP/RR/2025</w:t>
          </w:r>
        </w:p>
      </w:tc>
    </w:tr>
    <w:tr w:rsidR="00574799" w14:paraId="77251003" w14:textId="77777777">
      <w:trPr>
        <w:trHeight w:val="242"/>
      </w:trPr>
      <w:tc>
        <w:tcPr>
          <w:tcW w:w="2889" w:type="dxa"/>
        </w:tcPr>
        <w:p w14:paraId="75B7DC24" w14:textId="77777777" w:rsidR="00574799" w:rsidRDefault="00F20C16">
          <w:pPr>
            <w:jc w:val="right"/>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3860" w:type="dxa"/>
        </w:tcPr>
        <w:p w14:paraId="29853A94" w14:textId="77777777" w:rsidR="00574799" w:rsidRDefault="00574799">
          <w:pPr>
            <w:pBdr>
              <w:top w:val="nil"/>
              <w:left w:val="nil"/>
              <w:bottom w:val="nil"/>
              <w:right w:val="nil"/>
              <w:between w:val="nil"/>
            </w:pBdr>
            <w:tabs>
              <w:tab w:val="right" w:pos="8838"/>
              <w:tab w:val="left" w:pos="521"/>
            </w:tabs>
            <w:rPr>
              <w:rFonts w:ascii="Palatino Linotype" w:eastAsia="Palatino Linotype" w:hAnsi="Palatino Linotype" w:cs="Palatino Linotype"/>
              <w:color w:val="000000"/>
              <w:highlight w:val="green"/>
            </w:rPr>
          </w:pPr>
        </w:p>
      </w:tc>
    </w:tr>
    <w:tr w:rsidR="00574799" w14:paraId="5E86796A" w14:textId="77777777">
      <w:trPr>
        <w:trHeight w:val="342"/>
      </w:trPr>
      <w:tc>
        <w:tcPr>
          <w:tcW w:w="2889" w:type="dxa"/>
        </w:tcPr>
        <w:p w14:paraId="63E43188" w14:textId="77777777" w:rsidR="00574799" w:rsidRDefault="00F20C16">
          <w:pPr>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3860" w:type="dxa"/>
        </w:tcPr>
        <w:p w14:paraId="444D24B8" w14:textId="77777777" w:rsidR="00574799" w:rsidRDefault="00F20C16">
          <w:pPr>
            <w:pBdr>
              <w:top w:val="nil"/>
              <w:left w:val="nil"/>
              <w:bottom w:val="nil"/>
              <w:right w:val="nil"/>
              <w:between w:val="nil"/>
            </w:pBdr>
            <w:tabs>
              <w:tab w:val="right" w:pos="8838"/>
            </w:tabs>
            <w:jc w:val="both"/>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Ayuntamiento de Teoloyucan</w:t>
          </w:r>
        </w:p>
      </w:tc>
    </w:tr>
    <w:tr w:rsidR="00574799" w14:paraId="47A9135A" w14:textId="77777777">
      <w:trPr>
        <w:trHeight w:val="342"/>
      </w:trPr>
      <w:tc>
        <w:tcPr>
          <w:tcW w:w="2889" w:type="dxa"/>
        </w:tcPr>
        <w:p w14:paraId="67ECB7CA" w14:textId="77777777" w:rsidR="00574799" w:rsidRDefault="00F20C16">
          <w:pPr>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3860" w:type="dxa"/>
        </w:tcPr>
        <w:p w14:paraId="7F53A9E1" w14:textId="77777777" w:rsidR="00574799" w:rsidRDefault="00F20C16">
          <w:pPr>
            <w:pBdr>
              <w:top w:val="nil"/>
              <w:left w:val="nil"/>
              <w:bottom w:val="nil"/>
              <w:right w:val="nil"/>
              <w:between w:val="nil"/>
            </w:pBdr>
            <w:tabs>
              <w:tab w:val="right" w:pos="8838"/>
            </w:tabs>
            <w:ind w:right="-1285"/>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14:paraId="3C582BDA" w14:textId="77777777" w:rsidR="00574799" w:rsidRDefault="004160BA">
    <w:pPr>
      <w:pBdr>
        <w:top w:val="nil"/>
        <w:left w:val="nil"/>
        <w:bottom w:val="nil"/>
        <w:right w:val="nil"/>
        <w:between w:val="nil"/>
      </w:pBdr>
      <w:tabs>
        <w:tab w:val="center" w:pos="4419"/>
        <w:tab w:val="right" w:pos="8838"/>
      </w:tabs>
      <w:rPr>
        <w:color w:val="000000"/>
        <w:sz w:val="16"/>
        <w:szCs w:val="16"/>
      </w:rPr>
    </w:pPr>
    <w:r>
      <w:rPr>
        <w:color w:val="000000"/>
        <w:sz w:val="16"/>
        <w:szCs w:val="16"/>
      </w:rPr>
      <w:pict w14:anchorId="5B7237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84.55pt;margin-top:-132.2pt;width:609.4pt;height:793.75pt;z-index:-251658752;mso-position-horizontal:absolute;mso-position-horizontal-relative:margin;mso-position-vertical:absolute;mso-position-vertical-relative:margin">
          <v:imagedata r:id="rId1" o:title="image4"/>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AE63CF"/>
    <w:multiLevelType w:val="multilevel"/>
    <w:tmpl w:val="745EBFB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19C304A3"/>
    <w:multiLevelType w:val="multilevel"/>
    <w:tmpl w:val="FE46921A"/>
    <w:lvl w:ilvl="0">
      <w:start w:val="1"/>
      <w:numFmt w:val="bullet"/>
      <w:lvlText w:val="●"/>
      <w:lvlJc w:val="left"/>
      <w:pPr>
        <w:ind w:left="2215" w:hanging="360"/>
      </w:pPr>
      <w:rPr>
        <w:rFonts w:ascii="Noto Sans Symbols" w:eastAsia="Noto Sans Symbols" w:hAnsi="Noto Sans Symbols" w:cs="Noto Sans Symbols"/>
      </w:rPr>
    </w:lvl>
    <w:lvl w:ilvl="1">
      <w:start w:val="1"/>
      <w:numFmt w:val="decimal"/>
      <w:lvlText w:val="%2)"/>
      <w:lvlJc w:val="left"/>
      <w:pPr>
        <w:ind w:left="2935" w:hanging="360"/>
      </w:pPr>
    </w:lvl>
    <w:lvl w:ilvl="2">
      <w:start w:val="1"/>
      <w:numFmt w:val="bullet"/>
      <w:lvlText w:val="▪"/>
      <w:lvlJc w:val="left"/>
      <w:pPr>
        <w:ind w:left="3655" w:hanging="360"/>
      </w:pPr>
      <w:rPr>
        <w:rFonts w:ascii="Noto Sans Symbols" w:eastAsia="Noto Sans Symbols" w:hAnsi="Noto Sans Symbols" w:cs="Noto Sans Symbols"/>
      </w:rPr>
    </w:lvl>
    <w:lvl w:ilvl="3">
      <w:start w:val="1"/>
      <w:numFmt w:val="bullet"/>
      <w:lvlText w:val="●"/>
      <w:lvlJc w:val="left"/>
      <w:pPr>
        <w:ind w:left="4375" w:hanging="360"/>
      </w:pPr>
      <w:rPr>
        <w:rFonts w:ascii="Noto Sans Symbols" w:eastAsia="Noto Sans Symbols" w:hAnsi="Noto Sans Symbols" w:cs="Noto Sans Symbols"/>
      </w:rPr>
    </w:lvl>
    <w:lvl w:ilvl="4">
      <w:start w:val="1"/>
      <w:numFmt w:val="bullet"/>
      <w:lvlText w:val="o"/>
      <w:lvlJc w:val="left"/>
      <w:pPr>
        <w:ind w:left="5095" w:hanging="360"/>
      </w:pPr>
      <w:rPr>
        <w:rFonts w:ascii="Courier New" w:eastAsia="Courier New" w:hAnsi="Courier New" w:cs="Courier New"/>
      </w:rPr>
    </w:lvl>
    <w:lvl w:ilvl="5">
      <w:start w:val="1"/>
      <w:numFmt w:val="bullet"/>
      <w:lvlText w:val="▪"/>
      <w:lvlJc w:val="left"/>
      <w:pPr>
        <w:ind w:left="5815" w:hanging="360"/>
      </w:pPr>
      <w:rPr>
        <w:rFonts w:ascii="Noto Sans Symbols" w:eastAsia="Noto Sans Symbols" w:hAnsi="Noto Sans Symbols" w:cs="Noto Sans Symbols"/>
      </w:rPr>
    </w:lvl>
    <w:lvl w:ilvl="6">
      <w:start w:val="1"/>
      <w:numFmt w:val="bullet"/>
      <w:lvlText w:val="●"/>
      <w:lvlJc w:val="left"/>
      <w:pPr>
        <w:ind w:left="6535" w:hanging="360"/>
      </w:pPr>
      <w:rPr>
        <w:rFonts w:ascii="Noto Sans Symbols" w:eastAsia="Noto Sans Symbols" w:hAnsi="Noto Sans Symbols" w:cs="Noto Sans Symbols"/>
      </w:rPr>
    </w:lvl>
    <w:lvl w:ilvl="7">
      <w:start w:val="1"/>
      <w:numFmt w:val="bullet"/>
      <w:lvlText w:val="o"/>
      <w:lvlJc w:val="left"/>
      <w:pPr>
        <w:ind w:left="7255" w:hanging="360"/>
      </w:pPr>
      <w:rPr>
        <w:rFonts w:ascii="Courier New" w:eastAsia="Courier New" w:hAnsi="Courier New" w:cs="Courier New"/>
      </w:rPr>
    </w:lvl>
    <w:lvl w:ilvl="8">
      <w:start w:val="1"/>
      <w:numFmt w:val="bullet"/>
      <w:lvlText w:val="▪"/>
      <w:lvlJc w:val="left"/>
      <w:pPr>
        <w:ind w:left="7975" w:hanging="360"/>
      </w:pPr>
      <w:rPr>
        <w:rFonts w:ascii="Noto Sans Symbols" w:eastAsia="Noto Sans Symbols" w:hAnsi="Noto Sans Symbols" w:cs="Noto Sans Symbols"/>
      </w:rPr>
    </w:lvl>
  </w:abstractNum>
  <w:abstractNum w:abstractNumId="2" w15:restartNumberingAfterBreak="0">
    <w:nsid w:val="1ABF3E25"/>
    <w:multiLevelType w:val="multilevel"/>
    <w:tmpl w:val="A8C62DA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C7425B8"/>
    <w:multiLevelType w:val="multilevel"/>
    <w:tmpl w:val="714283D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4A5B4C37"/>
    <w:multiLevelType w:val="multilevel"/>
    <w:tmpl w:val="3242892A"/>
    <w:lvl w:ilvl="0">
      <w:start w:val="1"/>
      <w:numFmt w:val="bullet"/>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5" w15:restartNumberingAfterBreak="0">
    <w:nsid w:val="68F96E11"/>
    <w:multiLevelType w:val="multilevel"/>
    <w:tmpl w:val="A84C1E12"/>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6" w15:restartNumberingAfterBreak="0">
    <w:nsid w:val="6FD876F4"/>
    <w:multiLevelType w:val="multilevel"/>
    <w:tmpl w:val="8592B93E"/>
    <w:lvl w:ilvl="0">
      <w:start w:val="1"/>
      <w:numFmt w:val="decimal"/>
      <w:lvlText w:val="%1."/>
      <w:lvlJc w:val="left"/>
      <w:pPr>
        <w:ind w:left="1495" w:hanging="360"/>
      </w:pPr>
      <w:rPr>
        <w:rFonts w:ascii="Palatino Linotype" w:eastAsia="Palatino Linotype" w:hAnsi="Palatino Linotype" w:cs="Palatino Linotype"/>
        <w:b/>
        <w:bCs/>
        <w:i w:val="0"/>
        <w:iCs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3A66F07"/>
    <w:multiLevelType w:val="multilevel"/>
    <w:tmpl w:val="673E2A2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0"/>
  </w:num>
  <w:num w:numId="2">
    <w:abstractNumId w:val="3"/>
  </w:num>
  <w:num w:numId="3">
    <w:abstractNumId w:val="5"/>
  </w:num>
  <w:num w:numId="4">
    <w:abstractNumId w:val="7"/>
  </w:num>
  <w:num w:numId="5">
    <w:abstractNumId w:val="2"/>
  </w:num>
  <w:num w:numId="6">
    <w:abstractNumId w:val="6"/>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799"/>
    <w:rsid w:val="00122213"/>
    <w:rsid w:val="00171A67"/>
    <w:rsid w:val="00381DB2"/>
    <w:rsid w:val="004160BA"/>
    <w:rsid w:val="00476888"/>
    <w:rsid w:val="00574799"/>
    <w:rsid w:val="00633BB2"/>
    <w:rsid w:val="006D5695"/>
    <w:rsid w:val="00767FC4"/>
    <w:rsid w:val="008043CE"/>
    <w:rsid w:val="009131D4"/>
    <w:rsid w:val="00B85A6D"/>
    <w:rsid w:val="00DC0652"/>
    <w:rsid w:val="00F20C16"/>
    <w:rsid w:val="00F662C2"/>
    <w:rsid w:val="00FF28A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43F8594"/>
  <w15:docId w15:val="{CFC49EB6-1DD7-4623-A0BF-133E4E8A4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color w:val="2F5496"/>
      <w:sz w:val="32"/>
      <w:szCs w:val="32"/>
    </w:rPr>
  </w:style>
  <w:style w:type="paragraph" w:styleId="Ttulo2">
    <w:name w:val="heading 2"/>
    <w:basedOn w:val="Normal"/>
    <w:next w:val="Normal"/>
    <w:pPr>
      <w:keepNext/>
      <w:keepLines/>
      <w:spacing w:before="40"/>
      <w:outlineLvl w:val="1"/>
    </w:pPr>
    <w:rPr>
      <w:color w:val="2F5496"/>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 w:type="table" w:customStyle="1" w:styleId="a1">
    <w:basedOn w:val="TableNormal"/>
    <w:tblPr>
      <w:tblStyleRowBandSize w:val="1"/>
      <w:tblStyleColBandSize w:val="1"/>
      <w:tblCellMar>
        <w:top w:w="0" w:type="dxa"/>
        <w:left w:w="70" w:type="dxa"/>
        <w:bottom w:w="0" w:type="dxa"/>
        <w:right w:w="70" w:type="dxa"/>
      </w:tblCellMar>
    </w:tblPr>
  </w:style>
  <w:style w:type="paragraph" w:styleId="Piedepgina">
    <w:name w:val="footer"/>
    <w:basedOn w:val="Normal"/>
    <w:link w:val="PiedepginaCar"/>
    <w:uiPriority w:val="99"/>
    <w:unhideWhenUsed/>
    <w:rsid w:val="006D5695"/>
    <w:pPr>
      <w:tabs>
        <w:tab w:val="center" w:pos="4419"/>
        <w:tab w:val="right" w:pos="8838"/>
      </w:tabs>
    </w:pPr>
  </w:style>
  <w:style w:type="character" w:customStyle="1" w:styleId="PiedepginaCar">
    <w:name w:val="Pie de página Car"/>
    <w:basedOn w:val="Fuentedeprrafopredeter"/>
    <w:link w:val="Piedepgina"/>
    <w:uiPriority w:val="99"/>
    <w:rsid w:val="006D56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pomex.org.mx/ipomex/"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mawww.sat.gob.mx/tramitesyservicios/paginas/documentos/anexo20_2022.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8sK2mlbkdu7rKJv7ON2gsw16Zyw==">CgMxLjAyCGguZ2pkZ3hzMgloLjMwajB6bGwyCWguMWZvYjl0ZTIJaC4zem55c2g3MgloLjJldDkycDAyCWguMXQzaDVzZjIOaC5veWNndHdraHB1MGkyCWguMWtzdjR1djIJaC4zcmRjcmpuMghoLmxueGJ6OTgAciExaFBNRFcyaEoyRUN4MjlROUFsRjhsb1dwNUNVbkpZRlc=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37</Pages>
  <Words>9961</Words>
  <Characters>54788</Characters>
  <Application>Microsoft Office Word</Application>
  <DocSecurity>0</DocSecurity>
  <Lines>456</Lines>
  <Paragraphs>129</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64620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Cuenta Microsoft</cp:lastModifiedBy>
  <cp:revision>7</cp:revision>
  <cp:lastPrinted>2026-05-29T00:18:00Z</cp:lastPrinted>
  <dcterms:created xsi:type="dcterms:W3CDTF">2026-05-25T20:39:00Z</dcterms:created>
  <dcterms:modified xsi:type="dcterms:W3CDTF">2026-06-02T19:40:00Z</dcterms:modified>
</cp:coreProperties>
</file>