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575DE609" w:rsidR="00111532" w:rsidRPr="00B178A8" w:rsidRDefault="007268C0" w:rsidP="008622E7">
      <w:pPr>
        <w:spacing w:after="0" w:line="360" w:lineRule="auto"/>
        <w:ind w:right="49"/>
        <w:jc w:val="both"/>
        <w:rPr>
          <w:rFonts w:ascii="Palatino Linotype" w:eastAsia="Palatino Linotype" w:hAnsi="Palatino Linotype" w:cs="Palatino Linotype"/>
        </w:rPr>
      </w:pPr>
      <w:bookmarkStart w:id="0" w:name="_heading=h.2qw5u0sw9sip" w:colFirst="0" w:colLast="0"/>
      <w:bookmarkStart w:id="1" w:name="_GoBack"/>
      <w:bookmarkEnd w:id="0"/>
      <w:bookmarkEnd w:id="1"/>
      <w:r w:rsidRPr="00B178A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B178A8">
        <w:rPr>
          <w:rFonts w:ascii="Palatino Linotype" w:eastAsia="Palatino Linotype" w:hAnsi="Palatino Linotype" w:cs="Palatino Linotype"/>
        </w:rPr>
        <w:t xml:space="preserve">stado de México, de fecha </w:t>
      </w:r>
      <w:r w:rsidR="00841B36" w:rsidRPr="00B178A8">
        <w:rPr>
          <w:rFonts w:ascii="Palatino Linotype" w:eastAsia="Palatino Linotype" w:hAnsi="Palatino Linotype" w:cs="Palatino Linotype"/>
          <w:b/>
        </w:rPr>
        <w:t>veintiuno</w:t>
      </w:r>
      <w:r w:rsidRPr="00B178A8">
        <w:rPr>
          <w:rFonts w:ascii="Palatino Linotype" w:eastAsia="Palatino Linotype" w:hAnsi="Palatino Linotype" w:cs="Palatino Linotype"/>
          <w:b/>
          <w:bCs/>
        </w:rPr>
        <w:t xml:space="preserve"> de </w:t>
      </w:r>
      <w:r w:rsidR="00841B36" w:rsidRPr="00B178A8">
        <w:rPr>
          <w:rFonts w:ascii="Palatino Linotype" w:eastAsia="Palatino Linotype" w:hAnsi="Palatino Linotype" w:cs="Palatino Linotype"/>
          <w:b/>
          <w:bCs/>
        </w:rPr>
        <w:t>enero</w:t>
      </w:r>
      <w:r w:rsidRPr="00B178A8">
        <w:rPr>
          <w:rFonts w:ascii="Palatino Linotype" w:eastAsia="Palatino Linotype" w:hAnsi="Palatino Linotype" w:cs="Palatino Linotype"/>
          <w:b/>
          <w:bCs/>
        </w:rPr>
        <w:t xml:space="preserve"> de dos mil veinti</w:t>
      </w:r>
      <w:r w:rsidR="00841B36" w:rsidRPr="00B178A8">
        <w:rPr>
          <w:rFonts w:ascii="Palatino Linotype" w:eastAsia="Palatino Linotype" w:hAnsi="Palatino Linotype" w:cs="Palatino Linotype"/>
          <w:b/>
          <w:bCs/>
        </w:rPr>
        <w:t>séis</w:t>
      </w:r>
      <w:r w:rsidRPr="00B178A8">
        <w:rPr>
          <w:rFonts w:ascii="Palatino Linotype" w:eastAsia="Palatino Linotype" w:hAnsi="Palatino Linotype" w:cs="Palatino Linotype"/>
        </w:rPr>
        <w:t xml:space="preserve">. </w:t>
      </w:r>
    </w:p>
    <w:p w14:paraId="538BC5F3"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3435CA67" w14:textId="435A3E47" w:rsidR="00111532" w:rsidRPr="00B178A8" w:rsidRDefault="007268C0" w:rsidP="008622E7">
      <w:pP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Visto el expediente relativo al recurso de revisión </w:t>
      </w:r>
      <w:r w:rsidR="00841B36" w:rsidRPr="00B178A8">
        <w:rPr>
          <w:rFonts w:ascii="Palatino Linotype" w:eastAsia="Palatino Linotype" w:hAnsi="Palatino Linotype" w:cs="Palatino Linotype"/>
          <w:b/>
        </w:rPr>
        <w:t>13344/INFOEM/IP/RR/2025</w:t>
      </w:r>
      <w:r w:rsidRPr="00B178A8">
        <w:rPr>
          <w:rFonts w:ascii="Palatino Linotype" w:eastAsia="Palatino Linotype" w:hAnsi="Palatino Linotype" w:cs="Palatino Linotype"/>
        </w:rPr>
        <w:t xml:space="preserve">, interpuesto por </w:t>
      </w:r>
      <w:r w:rsidR="006C4A84" w:rsidRPr="006C4A84">
        <w:rPr>
          <w:rFonts w:ascii="Palatino Linotype" w:eastAsia="Palatino Linotype" w:hAnsi="Palatino Linotype" w:cs="Palatino Linotype"/>
          <w:b/>
        </w:rPr>
        <w:t>XXXXXX XXXXXXXXX XXXXX XXXXXXXXX</w:t>
      </w:r>
      <w:r w:rsidR="00F04FE9" w:rsidRPr="006C4A84">
        <w:rPr>
          <w:rFonts w:ascii="Palatino Linotype" w:eastAsia="Palatino Linotype" w:hAnsi="Palatino Linotype" w:cs="Palatino Linotype"/>
          <w:b/>
        </w:rPr>
        <w:t>,</w:t>
      </w:r>
      <w:r w:rsidRPr="00B178A8">
        <w:rPr>
          <w:rFonts w:ascii="Palatino Linotype" w:eastAsia="Palatino Linotype" w:hAnsi="Palatino Linotype" w:cs="Palatino Linotype"/>
        </w:rPr>
        <w:t xml:space="preserve"> en lo sucesivo se le denominará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en contra la respuesta a su solicitud de información identificada con número de folio </w:t>
      </w:r>
      <w:r w:rsidRPr="00B178A8">
        <w:rPr>
          <w:rFonts w:ascii="Palatino Linotype" w:eastAsia="Palatino Linotype" w:hAnsi="Palatino Linotype" w:cs="Palatino Linotype"/>
          <w:b/>
        </w:rPr>
        <w:t>00</w:t>
      </w:r>
      <w:r w:rsidR="00841B36" w:rsidRPr="00B178A8">
        <w:rPr>
          <w:rFonts w:ascii="Palatino Linotype" w:eastAsia="Palatino Linotype" w:hAnsi="Palatino Linotype" w:cs="Palatino Linotype"/>
          <w:b/>
        </w:rPr>
        <w:t>088</w:t>
      </w:r>
      <w:r w:rsidRPr="00B178A8">
        <w:rPr>
          <w:rFonts w:ascii="Palatino Linotype" w:eastAsia="Palatino Linotype" w:hAnsi="Palatino Linotype" w:cs="Palatino Linotype"/>
          <w:b/>
        </w:rPr>
        <w:t>/</w:t>
      </w:r>
      <w:r w:rsidR="00841B36" w:rsidRPr="00B178A8">
        <w:rPr>
          <w:rFonts w:ascii="Palatino Linotype" w:eastAsia="Palatino Linotype" w:hAnsi="Palatino Linotype" w:cs="Palatino Linotype"/>
          <w:b/>
        </w:rPr>
        <w:t>TONATICO</w:t>
      </w:r>
      <w:r w:rsidR="00F04FE9" w:rsidRPr="00B178A8">
        <w:rPr>
          <w:rFonts w:ascii="Palatino Linotype" w:eastAsia="Palatino Linotype" w:hAnsi="Palatino Linotype" w:cs="Palatino Linotype"/>
          <w:b/>
        </w:rPr>
        <w:t>/</w:t>
      </w:r>
      <w:r w:rsidRPr="00B178A8">
        <w:rPr>
          <w:rFonts w:ascii="Palatino Linotype" w:eastAsia="Palatino Linotype" w:hAnsi="Palatino Linotype" w:cs="Palatino Linotype"/>
          <w:b/>
        </w:rPr>
        <w:t xml:space="preserve">IP/2025 </w:t>
      </w:r>
      <w:r w:rsidRPr="00B178A8">
        <w:rPr>
          <w:rFonts w:ascii="Palatino Linotype" w:eastAsia="Palatino Linotype" w:hAnsi="Palatino Linotype" w:cs="Palatino Linotype"/>
        </w:rPr>
        <w:t>proporcionada por parte del</w:t>
      </w:r>
      <w:r w:rsidR="00F04FE9" w:rsidRPr="00B178A8">
        <w:rPr>
          <w:rFonts w:ascii="Palatino Linotype" w:eastAsia="Palatino Linotype" w:hAnsi="Palatino Linotype" w:cs="Palatino Linotype"/>
        </w:rPr>
        <w:t xml:space="preserve"> </w:t>
      </w:r>
      <w:r w:rsidR="00841B36" w:rsidRPr="00B178A8">
        <w:rPr>
          <w:rFonts w:ascii="Palatino Linotype" w:eastAsia="Palatino Linotype" w:hAnsi="Palatino Linotype" w:cs="Palatino Linotype"/>
          <w:b/>
        </w:rPr>
        <w:t>Ayuntamiento de Tonatico</w:t>
      </w:r>
      <w:r w:rsidRPr="00B178A8">
        <w:rPr>
          <w:rFonts w:ascii="Palatino Linotype" w:eastAsia="Palatino Linotype" w:hAnsi="Palatino Linotype" w:cs="Palatino Linotype"/>
        </w:rPr>
        <w:t xml:space="preserve">, en lo sucesivo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se procede a dictar la presente resolución, con base en los siguientes:</w:t>
      </w:r>
    </w:p>
    <w:p w14:paraId="0EA2A411" w14:textId="77777777" w:rsidR="00111532" w:rsidRPr="00B178A8" w:rsidRDefault="007268C0" w:rsidP="008622E7">
      <w:pPr>
        <w:spacing w:after="0" w:line="360" w:lineRule="auto"/>
        <w:ind w:right="49"/>
        <w:jc w:val="center"/>
        <w:rPr>
          <w:rFonts w:ascii="Palatino Linotype" w:eastAsia="Palatino Linotype" w:hAnsi="Palatino Linotype" w:cs="Palatino Linotype"/>
          <w:b/>
        </w:rPr>
      </w:pPr>
      <w:r w:rsidRPr="00B178A8">
        <w:rPr>
          <w:rFonts w:ascii="Palatino Linotype" w:eastAsia="Palatino Linotype" w:hAnsi="Palatino Linotype" w:cs="Palatino Linotype"/>
          <w:b/>
        </w:rPr>
        <w:t>I.</w:t>
      </w:r>
      <w:r w:rsidRPr="00B178A8">
        <w:rPr>
          <w:rFonts w:ascii="Palatino Linotype" w:eastAsia="Palatino Linotype" w:hAnsi="Palatino Linotype" w:cs="Palatino Linotype"/>
          <w:b/>
        </w:rPr>
        <w:tab/>
        <w:t>A N T E C E D E N T E S</w:t>
      </w:r>
    </w:p>
    <w:p w14:paraId="107CE111"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21D30831" w14:textId="57C6951E" w:rsidR="00111532" w:rsidRPr="00B178A8" w:rsidRDefault="007268C0" w:rsidP="008622E7">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B178A8">
        <w:rPr>
          <w:rFonts w:ascii="Palatino Linotype" w:eastAsia="Palatino Linotype" w:hAnsi="Palatino Linotype" w:cs="Palatino Linotype"/>
          <w:b/>
        </w:rPr>
        <w:t>Solicitud de acceso a la información.</w:t>
      </w:r>
      <w:r w:rsidRPr="00B178A8">
        <w:rPr>
          <w:rFonts w:ascii="Palatino Linotype" w:eastAsia="Palatino Linotype" w:hAnsi="Palatino Linotype" w:cs="Palatino Linotype"/>
        </w:rPr>
        <w:t xml:space="preserve"> Con fecha </w:t>
      </w:r>
      <w:r w:rsidR="00841B36" w:rsidRPr="00B178A8">
        <w:rPr>
          <w:rFonts w:ascii="Palatino Linotype" w:eastAsia="Palatino Linotype" w:hAnsi="Palatino Linotype" w:cs="Palatino Linotype"/>
          <w:b/>
        </w:rPr>
        <w:t>veinte</w:t>
      </w:r>
      <w:r w:rsidRPr="00B178A8">
        <w:rPr>
          <w:rFonts w:ascii="Palatino Linotype" w:eastAsia="Palatino Linotype" w:hAnsi="Palatino Linotype" w:cs="Palatino Linotype"/>
          <w:b/>
        </w:rPr>
        <w:t xml:space="preserve"> de </w:t>
      </w:r>
      <w:r w:rsidR="00841B36" w:rsidRPr="00B178A8">
        <w:rPr>
          <w:rFonts w:ascii="Palatino Linotype" w:eastAsia="Palatino Linotype" w:hAnsi="Palatino Linotype" w:cs="Palatino Linotype"/>
          <w:b/>
        </w:rPr>
        <w:t>noviembre</w:t>
      </w:r>
      <w:r w:rsidR="00F50686"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b/>
        </w:rPr>
        <w:t>de dos mil veinticinco</w:t>
      </w:r>
      <w:r w:rsidRPr="00B178A8">
        <w:rPr>
          <w:rFonts w:ascii="Palatino Linotype" w:eastAsia="Palatino Linotype" w:hAnsi="Palatino Linotype" w:cs="Palatino Linotype"/>
        </w:rPr>
        <w:t xml:space="preserve">,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formuló solicitud de acceso a información pública al</w:t>
      </w:r>
      <w:r w:rsidRPr="00B178A8">
        <w:rPr>
          <w:rFonts w:ascii="Palatino Linotype" w:eastAsia="Palatino Linotype" w:hAnsi="Palatino Linotype" w:cs="Palatino Linotype"/>
          <w:b/>
        </w:rPr>
        <w:t xml:space="preserve"> SUJETO OBLIGADO, </w:t>
      </w:r>
      <w:r w:rsidRPr="00B178A8">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42F8EA28" w14:textId="6DACA975" w:rsidR="00111532" w:rsidRPr="00B178A8" w:rsidRDefault="007268C0" w:rsidP="008622E7">
      <w:pPr>
        <w:spacing w:after="0" w:line="360" w:lineRule="auto"/>
        <w:ind w:left="851" w:right="843"/>
        <w:jc w:val="both"/>
        <w:rPr>
          <w:rFonts w:ascii="Palatino Linotype" w:eastAsia="Palatino Linotype" w:hAnsi="Palatino Linotype" w:cs="Palatino Linotype"/>
          <w:i/>
        </w:rPr>
      </w:pPr>
      <w:bookmarkStart w:id="2" w:name="_heading=h.lgwl3bsbzc6a" w:colFirst="0" w:colLast="0"/>
      <w:bookmarkEnd w:id="2"/>
      <w:r w:rsidRPr="00B178A8">
        <w:rPr>
          <w:rFonts w:ascii="Palatino Linotype" w:eastAsia="Palatino Linotype" w:hAnsi="Palatino Linotype" w:cs="Palatino Linotype"/>
          <w:i/>
        </w:rPr>
        <w:t>“</w:t>
      </w:r>
      <w:r w:rsidR="00841B36" w:rsidRPr="00B178A8">
        <w:rPr>
          <w:rFonts w:ascii="Palatino Linotype" w:eastAsia="Palatino Linotype" w:hAnsi="Palatino Linotype" w:cs="Palatino Linotype"/>
          <w:i/>
        </w:rPr>
        <w:t>SOLICITO EL PADRON DE LAS EMPRESAS QUE SE ENCUENTRAN EN LA JURISDICCION DEL MUNICIPIO QUE SE DEDIQUEN A LA FABRICACION DE PRODUCTOS METALICOS EN DONDE SE INFORME LA RAZÓN SOCIAL, DOMICILIO Y NUMERO TELEFONICO, CORREO ELECTRONICO, SOY UN EMPRENDEDOR QUE BUSCA OFERCER ACERO CON EL OBJETO DE GENERAR NUEVOS EMPLEOS.</w:t>
      </w:r>
      <w:r w:rsidRPr="00B178A8">
        <w:rPr>
          <w:rFonts w:ascii="Palatino Linotype" w:eastAsia="Palatino Linotype" w:hAnsi="Palatino Linotype" w:cs="Palatino Linotype"/>
          <w:i/>
        </w:rPr>
        <w:t xml:space="preserve">”. </w:t>
      </w:r>
    </w:p>
    <w:p w14:paraId="623BE216" w14:textId="77777777" w:rsidR="00111532" w:rsidRPr="00B178A8" w:rsidRDefault="00111532" w:rsidP="008622E7">
      <w:pPr>
        <w:spacing w:after="0" w:line="360" w:lineRule="auto"/>
        <w:ind w:left="567" w:right="560"/>
        <w:jc w:val="both"/>
        <w:rPr>
          <w:rFonts w:ascii="Palatino Linotype" w:eastAsia="Palatino Linotype" w:hAnsi="Palatino Linotype" w:cs="Palatino Linotype"/>
          <w:i/>
        </w:rPr>
      </w:pPr>
    </w:p>
    <w:p w14:paraId="2E5D52DD" w14:textId="77777777" w:rsidR="00111532" w:rsidRPr="00B178A8" w:rsidRDefault="007268C0" w:rsidP="008622E7">
      <w:pP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b/>
        </w:rPr>
        <w:lastRenderedPageBreak/>
        <w:t>Modalidad elegida para la entrega de la información:</w:t>
      </w:r>
      <w:r w:rsidRPr="00B178A8">
        <w:rPr>
          <w:rFonts w:ascii="Palatino Linotype" w:eastAsia="Palatino Linotype" w:hAnsi="Palatino Linotype" w:cs="Palatino Linotype"/>
        </w:rPr>
        <w:t xml:space="preserve"> a través del Sistema de Acceso a la Información Mexiquense (SAIMEX). </w:t>
      </w:r>
    </w:p>
    <w:p w14:paraId="58760001" w14:textId="46186367" w:rsidR="00111532" w:rsidRPr="00B178A8" w:rsidRDefault="007268C0" w:rsidP="008622E7">
      <w:pPr>
        <w:spacing w:before="240" w:after="24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t>2. Respuesta.</w:t>
      </w:r>
      <w:r w:rsidRPr="00B178A8">
        <w:rPr>
          <w:rFonts w:ascii="Palatino Linotype" w:eastAsia="Palatino Linotype" w:hAnsi="Palatino Linotype" w:cs="Palatino Linotype"/>
        </w:rPr>
        <w:t xml:space="preserve"> Con fecha </w:t>
      </w:r>
      <w:r w:rsidR="005D14E9" w:rsidRPr="00B178A8">
        <w:rPr>
          <w:rFonts w:ascii="Palatino Linotype" w:eastAsia="Palatino Linotype" w:hAnsi="Palatino Linotype" w:cs="Palatino Linotype"/>
          <w:b/>
        </w:rPr>
        <w:t>veinti</w:t>
      </w:r>
      <w:r w:rsidR="00841B36" w:rsidRPr="00B178A8">
        <w:rPr>
          <w:rFonts w:ascii="Palatino Linotype" w:eastAsia="Palatino Linotype" w:hAnsi="Palatino Linotype" w:cs="Palatino Linotype"/>
          <w:b/>
        </w:rPr>
        <w:t>cinco</w:t>
      </w:r>
      <w:r w:rsidRPr="00B178A8">
        <w:rPr>
          <w:rFonts w:ascii="Palatino Linotype" w:eastAsia="Palatino Linotype" w:hAnsi="Palatino Linotype" w:cs="Palatino Linotype"/>
          <w:b/>
        </w:rPr>
        <w:t xml:space="preserve"> de </w:t>
      </w:r>
      <w:r w:rsidR="00841B36" w:rsidRPr="00B178A8">
        <w:rPr>
          <w:rFonts w:ascii="Palatino Linotype" w:eastAsia="Palatino Linotype" w:hAnsi="Palatino Linotype" w:cs="Palatino Linotype"/>
          <w:b/>
        </w:rPr>
        <w:t>noviembre</w:t>
      </w:r>
      <w:r w:rsidRPr="00B178A8">
        <w:rPr>
          <w:rFonts w:ascii="Palatino Linotype" w:eastAsia="Palatino Linotype" w:hAnsi="Palatino Linotype" w:cs="Palatino Linotype"/>
          <w:b/>
        </w:rPr>
        <w:t xml:space="preserve"> de dos mil veinticinco</w:t>
      </w:r>
      <w:r w:rsidRPr="00B178A8">
        <w:rPr>
          <w:rFonts w:ascii="Palatino Linotype" w:eastAsia="Palatino Linotype" w:hAnsi="Palatino Linotype" w:cs="Palatino Linotype"/>
        </w:rPr>
        <w:t xml:space="preserve">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envió su respuesta a la solicitud de acceso a la información a través del SAIMEX, la cual versa como sigue:</w:t>
      </w:r>
    </w:p>
    <w:p w14:paraId="0F35E014" w14:textId="77777777" w:rsidR="00841B36" w:rsidRPr="00B178A8" w:rsidRDefault="007268C0" w:rsidP="00841B36">
      <w:pPr>
        <w:spacing w:after="0" w:line="360" w:lineRule="auto"/>
        <w:ind w:left="851"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r w:rsidR="00841B36" w:rsidRPr="00B178A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E21B10" w14:textId="77777777" w:rsidR="00841B36" w:rsidRPr="00B178A8" w:rsidRDefault="00841B36" w:rsidP="00841B36">
      <w:pPr>
        <w:spacing w:after="0" w:line="360" w:lineRule="auto"/>
        <w:ind w:left="851"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En atención a la solicitud de información presentada y con fundamento en los artículos 3 fracción XLIV, 12, 19, 23 fracción IV, 50, 52, 53 de la Ley de Transparencia y Acceso a la Información Pública del Estado de México y Municipios; adjunto archivos en PDF donde obra la información solicitada. Haciendo de su conocimiento que el derecho de acceso a la información es limitado por lo que de no estar conforme con la respuesta al presente tiene derecho a ejercer su garantía secundaria interponiendo así el recurso de revisión para el cual tendrá un plazo de 15 días hábiles a partir del día siguiente de la notificación de la presente. Es menester de esta Unidad de Transparencia informar que se encuentra a sus órdenes para cualquier aclaración o duda, en la oficina que ocupa dentro del edificio administrativo de este Sujeto Obligado, con domicilio en Hermenegildo Galeana #2.</w:t>
      </w:r>
    </w:p>
    <w:p w14:paraId="1D34E658" w14:textId="77777777" w:rsidR="00841B36" w:rsidRPr="00B178A8" w:rsidRDefault="00841B36" w:rsidP="00841B36">
      <w:pPr>
        <w:spacing w:after="0" w:line="360" w:lineRule="auto"/>
        <w:ind w:left="851"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ATENTAMENTE</w:t>
      </w:r>
    </w:p>
    <w:p w14:paraId="0CC1F2C6" w14:textId="117573EC" w:rsidR="00111532" w:rsidRPr="00B178A8" w:rsidRDefault="00841B36" w:rsidP="00841B36">
      <w:pPr>
        <w:spacing w:after="0" w:line="360" w:lineRule="auto"/>
        <w:ind w:left="851"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L.N.I ANGEL ARTURO BARBABOSA PEÑA</w:t>
      </w:r>
      <w:r w:rsidR="007268C0" w:rsidRPr="00B178A8">
        <w:rPr>
          <w:rFonts w:ascii="Palatino Linotype" w:eastAsia="Palatino Linotype" w:hAnsi="Palatino Linotype" w:cs="Palatino Linotype"/>
          <w:i/>
        </w:rPr>
        <w:t>”</w:t>
      </w:r>
    </w:p>
    <w:p w14:paraId="078B424A" w14:textId="77777777" w:rsidR="00111532" w:rsidRPr="00B178A8" w:rsidRDefault="00111532" w:rsidP="008622E7">
      <w:pPr>
        <w:spacing w:after="0" w:line="360" w:lineRule="auto"/>
        <w:ind w:right="843"/>
        <w:jc w:val="both"/>
        <w:rPr>
          <w:rFonts w:ascii="Palatino Linotype" w:eastAsia="Palatino Linotype" w:hAnsi="Palatino Linotype" w:cs="Palatino Linotype"/>
          <w:i/>
        </w:rPr>
      </w:pPr>
    </w:p>
    <w:p w14:paraId="047AD8BE" w14:textId="77777777" w:rsidR="00111532" w:rsidRPr="00B178A8" w:rsidRDefault="007268C0" w:rsidP="008622E7">
      <w:pPr>
        <w:spacing w:after="0" w:line="360" w:lineRule="auto"/>
        <w:ind w:right="843"/>
        <w:jc w:val="both"/>
        <w:rPr>
          <w:rFonts w:ascii="Palatino Linotype" w:eastAsia="Palatino Linotype" w:hAnsi="Palatino Linotype" w:cs="Palatino Linotype"/>
        </w:rPr>
      </w:pPr>
      <w:r w:rsidRPr="00B178A8">
        <w:rPr>
          <w:rFonts w:ascii="Palatino Linotype" w:eastAsia="Palatino Linotype" w:hAnsi="Palatino Linotype" w:cs="Palatino Linotype"/>
        </w:rPr>
        <w:t>Asimismo, adjuntó a su respuesta el archivo que se describe a continuación:</w:t>
      </w:r>
    </w:p>
    <w:p w14:paraId="77D9ABEA" w14:textId="77777777" w:rsidR="00111532" w:rsidRPr="00B178A8" w:rsidRDefault="00111532" w:rsidP="008622E7">
      <w:pPr>
        <w:spacing w:after="0" w:line="360" w:lineRule="auto"/>
        <w:ind w:right="843"/>
        <w:jc w:val="both"/>
        <w:rPr>
          <w:rFonts w:ascii="Palatino Linotype" w:eastAsia="Palatino Linotype" w:hAnsi="Palatino Linotype" w:cs="Palatino Linotype"/>
        </w:rPr>
      </w:pPr>
    </w:p>
    <w:p w14:paraId="0FC492EE" w14:textId="5B5388FD" w:rsidR="00841B36" w:rsidRPr="00B178A8" w:rsidRDefault="00841B36" w:rsidP="008622E7">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B178A8">
        <w:rPr>
          <w:rFonts w:ascii="Palatino Linotype" w:eastAsia="Palatino Linotype" w:hAnsi="Palatino Linotype" w:cs="Palatino Linotype"/>
          <w:b/>
        </w:rPr>
        <w:lastRenderedPageBreak/>
        <w:t>Solic 00088 administración.pdf</w:t>
      </w:r>
      <w:r w:rsidR="00522A3C"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b/>
        </w:rPr>
        <w:t>C</w:t>
      </w:r>
      <w:r w:rsidRPr="00B178A8">
        <w:rPr>
          <w:rFonts w:ascii="Palatino Linotype" w:eastAsia="Palatino Linotype" w:hAnsi="Palatino Linotype" w:cs="Palatino Linotype"/>
        </w:rPr>
        <w:t>ontiene el oficio ADMON/027/2025 suscrito por la Directora de Administración</w:t>
      </w:r>
      <w:r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rPr>
        <w:t>mediante el cual refiere que no cuenta con proveedores que se dediquen a la fabricación de productos metálicos.</w:t>
      </w:r>
    </w:p>
    <w:p w14:paraId="6AEFF274" w14:textId="77777777" w:rsidR="005D14E9" w:rsidRPr="00B178A8" w:rsidRDefault="005D14E9" w:rsidP="008622E7">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p>
    <w:p w14:paraId="58AFAE90" w14:textId="10404EDB" w:rsidR="00111532" w:rsidRPr="00B178A8" w:rsidRDefault="00AC3FF9" w:rsidP="00C75FBA">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b/>
        </w:rPr>
        <w:t>3</w:t>
      </w:r>
      <w:r w:rsidR="007268C0" w:rsidRPr="00B178A8">
        <w:rPr>
          <w:rFonts w:ascii="Palatino Linotype" w:eastAsia="Palatino Linotype" w:hAnsi="Palatino Linotype" w:cs="Palatino Linotype"/>
          <w:b/>
        </w:rPr>
        <w:t>. Interposición del Recurso de Revisión</w:t>
      </w:r>
      <w:r w:rsidR="007268C0" w:rsidRPr="00B178A8">
        <w:rPr>
          <w:rFonts w:ascii="Palatino Linotype" w:eastAsia="Palatino Linotype" w:hAnsi="Palatino Linotype" w:cs="Palatino Linotype"/>
        </w:rPr>
        <w:t xml:space="preserve">. La parte Solicitante, derivado de la respuesta del </w:t>
      </w:r>
      <w:r w:rsidR="007268C0" w:rsidRPr="00B178A8">
        <w:rPr>
          <w:rFonts w:ascii="Palatino Linotype" w:eastAsia="Palatino Linotype" w:hAnsi="Palatino Linotype" w:cs="Palatino Linotype"/>
          <w:b/>
        </w:rPr>
        <w:t>Sujeto Obligado</w:t>
      </w:r>
      <w:r w:rsidR="007268C0" w:rsidRPr="00B178A8">
        <w:rPr>
          <w:rFonts w:ascii="Palatino Linotype" w:eastAsia="Palatino Linotype" w:hAnsi="Palatino Linotype" w:cs="Palatino Linotype"/>
        </w:rPr>
        <w:t xml:space="preserve"> interpuso Recurso de Revisión a través del </w:t>
      </w:r>
      <w:r w:rsidR="007268C0" w:rsidRPr="00B178A8">
        <w:rPr>
          <w:rFonts w:ascii="Palatino Linotype" w:eastAsia="Palatino Linotype" w:hAnsi="Palatino Linotype" w:cs="Palatino Linotype"/>
          <w:b/>
        </w:rPr>
        <w:t>SAIMEX</w:t>
      </w:r>
      <w:r w:rsidR="007268C0" w:rsidRPr="00B178A8">
        <w:rPr>
          <w:rFonts w:ascii="Palatino Linotype" w:eastAsia="Palatino Linotype" w:hAnsi="Palatino Linotype" w:cs="Palatino Linotype"/>
        </w:rPr>
        <w:t xml:space="preserve"> en fecha </w:t>
      </w:r>
      <w:r w:rsidR="009A17F5" w:rsidRPr="00B178A8">
        <w:rPr>
          <w:rFonts w:ascii="Palatino Linotype" w:eastAsia="Palatino Linotype" w:hAnsi="Palatino Linotype" w:cs="Palatino Linotype"/>
          <w:b/>
        </w:rPr>
        <w:t>uno</w:t>
      </w:r>
      <w:r w:rsidR="007268C0" w:rsidRPr="00B178A8">
        <w:rPr>
          <w:rFonts w:ascii="Palatino Linotype" w:eastAsia="Palatino Linotype" w:hAnsi="Palatino Linotype" w:cs="Palatino Linotype"/>
          <w:b/>
        </w:rPr>
        <w:t xml:space="preserve"> de </w:t>
      </w:r>
      <w:r w:rsidR="009A17F5" w:rsidRPr="00B178A8">
        <w:rPr>
          <w:rFonts w:ascii="Palatino Linotype" w:eastAsia="Palatino Linotype" w:hAnsi="Palatino Linotype" w:cs="Palatino Linotype"/>
          <w:b/>
        </w:rPr>
        <w:t>diciembre</w:t>
      </w:r>
      <w:r w:rsidR="007268C0" w:rsidRPr="00B178A8">
        <w:rPr>
          <w:rFonts w:ascii="Palatino Linotype" w:eastAsia="Palatino Linotype" w:hAnsi="Palatino Linotype" w:cs="Palatino Linotype"/>
          <w:b/>
        </w:rPr>
        <w:t xml:space="preserve"> de dos mil veinticinco</w:t>
      </w:r>
      <w:r w:rsidR="007268C0" w:rsidRPr="00B178A8">
        <w:rPr>
          <w:rFonts w:ascii="Palatino Linotype" w:eastAsia="Palatino Linotype" w:hAnsi="Palatino Linotype" w:cs="Palatino Linotype"/>
        </w:rPr>
        <w:t>, a través del cual expresó lo siguiente:</w:t>
      </w:r>
    </w:p>
    <w:p w14:paraId="66C8B934" w14:textId="77777777" w:rsidR="00111532" w:rsidRPr="00B178A8"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43BD944F" w:rsidR="00111532" w:rsidRPr="00B178A8" w:rsidRDefault="007268C0" w:rsidP="008622E7">
      <w:pPr>
        <w:spacing w:after="0" w:line="360" w:lineRule="auto"/>
        <w:ind w:left="851" w:right="560"/>
        <w:jc w:val="both"/>
        <w:rPr>
          <w:rFonts w:ascii="Palatino Linotype" w:eastAsia="Palatino Linotype" w:hAnsi="Palatino Linotype" w:cs="Palatino Linotype"/>
        </w:rPr>
      </w:pPr>
      <w:r w:rsidRPr="00B178A8">
        <w:rPr>
          <w:rFonts w:ascii="Palatino Linotype" w:eastAsia="Palatino Linotype" w:hAnsi="Palatino Linotype" w:cs="Palatino Linotype"/>
          <w:b/>
        </w:rPr>
        <w:t xml:space="preserve">Acto impugnado. </w:t>
      </w:r>
      <w:r w:rsidRPr="00B178A8">
        <w:rPr>
          <w:rFonts w:ascii="Palatino Linotype" w:eastAsia="Palatino Linotype" w:hAnsi="Palatino Linotype" w:cs="Palatino Linotype"/>
        </w:rPr>
        <w:t>“</w:t>
      </w:r>
      <w:r w:rsidR="009A17F5" w:rsidRPr="00B178A8">
        <w:rPr>
          <w:rFonts w:ascii="Palatino Linotype" w:eastAsia="Palatino Linotype" w:hAnsi="Palatino Linotype" w:cs="Palatino Linotype"/>
          <w:i/>
        </w:rPr>
        <w:t>Oficio ADMON/027/2025</w:t>
      </w:r>
      <w:r w:rsidRPr="00B178A8">
        <w:rPr>
          <w:rFonts w:ascii="Palatino Linotype" w:eastAsia="Palatino Linotype" w:hAnsi="Palatino Linotype" w:cs="Palatino Linotype"/>
        </w:rPr>
        <w:t xml:space="preserve">”. </w:t>
      </w:r>
    </w:p>
    <w:p w14:paraId="71F175C5" w14:textId="77777777" w:rsidR="00111532" w:rsidRPr="00B178A8" w:rsidRDefault="00111532" w:rsidP="008622E7">
      <w:pPr>
        <w:spacing w:after="0" w:line="360" w:lineRule="auto"/>
        <w:ind w:left="851"/>
        <w:jc w:val="both"/>
        <w:rPr>
          <w:rFonts w:ascii="Palatino Linotype" w:eastAsia="Palatino Linotype" w:hAnsi="Palatino Linotype" w:cs="Palatino Linotype"/>
        </w:rPr>
      </w:pPr>
    </w:p>
    <w:p w14:paraId="573FF157" w14:textId="407A138B" w:rsidR="00111532" w:rsidRPr="00B178A8" w:rsidRDefault="007268C0" w:rsidP="008622E7">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r w:rsidRPr="00B178A8">
        <w:rPr>
          <w:rFonts w:ascii="Palatino Linotype" w:eastAsia="Palatino Linotype" w:hAnsi="Palatino Linotype" w:cs="Palatino Linotype"/>
          <w:b/>
        </w:rPr>
        <w:t xml:space="preserve">Razones o motivos de la inconformidad: </w:t>
      </w:r>
      <w:r w:rsidRPr="00B178A8">
        <w:rPr>
          <w:rFonts w:ascii="Palatino Linotype" w:eastAsia="Palatino Linotype" w:hAnsi="Palatino Linotype" w:cs="Palatino Linotype"/>
          <w:i/>
        </w:rPr>
        <w:t>“</w:t>
      </w:r>
      <w:r w:rsidR="009A17F5" w:rsidRPr="00B178A8">
        <w:rPr>
          <w:rFonts w:ascii="Palatino Linotype" w:eastAsia="Palatino Linotype" w:hAnsi="Palatino Linotype" w:cs="Palatino Linotype"/>
          <w:i/>
        </w:rPr>
        <w:t xml:space="preserve">1. Naturaleza de la solicitud La solicitud pide: “El padrón de las empresas que se encuentran en la jurisdicción del municipio que se dediquen a la fabricación de productos metálicos (…) razón social, domicilio, teléfono, correo electrónico”. Este tipo de información corresponde a actividades reguladas por el Ayuntamiento en materia de: • licencias de funcionamiento, • apertura de negocios, • registro de giros comerciales, • control administrativo de establecimientos. Por su naturaleza, se trata de información que el municipio debe poseer, generar o administrar. ________________________________________ 2. Respuesta emitida En el oficio se señala lo siguiente: “Por parte de la Dirección de Administración y Recursos Materiales me permito informar que no contamos con proveedores que se dediquen a la fabricación de productos metálicos.” La respuesta presenta dos problemas fundamentales: 1. Contesta respecto a “proveedores”, no respecto al padrón de empresas del municipio, por lo que no responde la solicitud hecha. 2. La inexistencia declarada no sigue el procedimiento legal obligatorio, ya que la Dirección por sí sola no puede declarar inexistencia. ________________________________________ ANÁLISIS JURÍDICO SEGÚN LA LEY DE TRANSPARENCIA A continuación se señalan las </w:t>
      </w:r>
      <w:r w:rsidR="009A17F5" w:rsidRPr="00B178A8">
        <w:rPr>
          <w:rFonts w:ascii="Palatino Linotype" w:eastAsia="Palatino Linotype" w:hAnsi="Palatino Linotype" w:cs="Palatino Linotype"/>
          <w:i/>
        </w:rPr>
        <w:lastRenderedPageBreak/>
        <w:t xml:space="preserve">violaciones específicas con base en los artículos reales de la Ley de Transparencia y Acceso a la Información Pública del Estado de México y Municipios. ________________________________________ 3. Violación al artículo 18 Ley de Transparencia y Acceso a la Información Pública del Estado de México y Municipios.: obligación de documentar El artículo 18 establece que los sujetos obligados: “Deberán documentar todo acto que derive del ejercicio de sus facultades, competencias o funciones.” Registrar empresas, emitir licencias y controlar giros comerciales son funciones esenciales del municipio; por lo tanto, la información solicitada debe existir. La respuesta “no contamos con proveedores” confirma que: • no se buscó la información correcta, • el área respondió sobre un tema distinto, • o no se tiene documentada información que la ley exige que exista. Esto constituye una violación directa al artículo 18 Ley de Transparencia y Acceso a la Información Pública del Estado de México y Municipios.. ________________________________________ 4. Violación al artículo 19 Ley de Transparencia y Acceso a la Información Pública del Estado de México y Municipios.: inexistencia sin justificación y sin intervención del Comité de Transparencia El artículo 19 es explícito: Si la información debió generarse pero no se encuentra, el Comité de Transparencia deberá emitir un acuerdo de inexistencia, fundado y motivado. La Dirección de Administración no puede: • declarar inexistencia, • concluir unilateralmente que no existe información, • sustituir al Comité de Transparencia. En el documento revisado no aparece: • acuerdo del Comité, • motivación de inexistencia, • análisis de facultades administrativas, • determinación colegiada. Por ello, la respuesta es jurídicamente improcedente. ________________________________________ 5. Violación al artículo 169 Ley de Transparencia y Acceso a la Información Pública del Estado de México y Municipios.: procedimiento incorrecto para declarar inexistencia El artículo 169 establece que cuando la información no se encuentra, el Comité debe: • analizar el caso, • tomar medidas para </w:t>
      </w:r>
      <w:r w:rsidR="009A17F5" w:rsidRPr="00B178A8">
        <w:rPr>
          <w:rFonts w:ascii="Palatino Linotype" w:eastAsia="Palatino Linotype" w:hAnsi="Palatino Linotype" w:cs="Palatino Linotype"/>
          <w:i/>
        </w:rPr>
        <w:lastRenderedPageBreak/>
        <w:t>localizar la información, • confirmar inexistencia, • ordenar generación o reposición si la información debió existir, • notificar al solicitante. Nada de esto ocurrió. El área únicamente responde que “no cuenta con proveedores”, lo cual además no atiende la solicitud real. ________________________________________ 6. Violación al artículo 170 Ley de Transparencia y Acceso a la Información Pública del Estado de México y Municipios.: falta de búsqueda exhaustiva El artículo 170 Ley de Transparencia y Acceso a la Información Pública del Estado de México y Municipios. obliga a que una resolución de inexistencia: “Permita certeza de que se utilizó un criterio de búsqueda exhaustivo, señalando circunstancias de tiempo, modo y lugar.” La respuesta: • no explica dónde se buscó, • no indica qué archivos se consultaron, • no menciona bases de datos, • no identifica servidores públicos responsables, • no contiene metodología. Es una inexistencia no motivada, por lo tanto improcedente. ________________________________________ 7. Violación al artículo 179, fracción IX Ley de Transparencia y Acceso a la Información Pública del Estado de México y Municipios.: falta de fundamentación y motivación El artículo 179 Ley de Transparencia y Acceso a la Información Pública del Estado de México y Municipios. señala que procede el recurso de revisión cuando existe: “Falta, deficiencia o insuficiencia en la fundamentación y/o motivación de la respuesta.” La respuesta que analizamos: • no fundamenta legalmente, • no motiva la búsqueda, • no explica por qué no existe información, • ni responde adecuadamente lo solicitado. Por lo tanto, actualiza esta causal de revisión.</w:t>
      </w:r>
      <w:r w:rsidRPr="00B178A8">
        <w:rPr>
          <w:rFonts w:ascii="Palatino Linotype" w:eastAsia="Palatino Linotype" w:hAnsi="Palatino Linotype" w:cs="Palatino Linotype"/>
          <w:i/>
        </w:rPr>
        <w:t xml:space="preserve">”. </w:t>
      </w:r>
    </w:p>
    <w:p w14:paraId="4B1A6A4D"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264C96C3" w14:textId="4500DA3F" w:rsidR="009A17F5" w:rsidRPr="00B178A8" w:rsidRDefault="005A0571" w:rsidP="005A0571">
      <w:pPr>
        <w:pStyle w:val="Prrafodelista"/>
        <w:numPr>
          <w:ilvl w:val="0"/>
          <w:numId w:val="7"/>
        </w:numPr>
        <w:spacing w:after="0" w:line="360" w:lineRule="auto"/>
        <w:ind w:left="142"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El Recurrente adjuntó el documento electrónico denominado </w:t>
      </w:r>
      <w:r w:rsidRPr="00B178A8">
        <w:rPr>
          <w:rFonts w:ascii="Palatino Linotype" w:eastAsia="Palatino Linotype" w:hAnsi="Palatino Linotype" w:cs="Palatino Linotype"/>
          <w:b/>
        </w:rPr>
        <w:t>Solic 00088 administración (2).pdf</w:t>
      </w:r>
      <w:r w:rsidRPr="00B178A8">
        <w:rPr>
          <w:rFonts w:ascii="Palatino Linotype" w:eastAsia="Palatino Linotype" w:hAnsi="Palatino Linotype" w:cs="Palatino Linotype"/>
        </w:rPr>
        <w:t xml:space="preserve"> que corresponde al documento que adjuntó el Sujeto Obligado en respuesta a la solicitud.</w:t>
      </w:r>
    </w:p>
    <w:p w14:paraId="63407374" w14:textId="77777777" w:rsidR="009A17F5" w:rsidRPr="00B178A8" w:rsidRDefault="009A17F5" w:rsidP="008622E7">
      <w:pPr>
        <w:spacing w:after="0" w:line="360" w:lineRule="auto"/>
        <w:ind w:right="49"/>
        <w:jc w:val="both"/>
        <w:rPr>
          <w:rFonts w:ascii="Palatino Linotype" w:eastAsia="Palatino Linotype" w:hAnsi="Palatino Linotype" w:cs="Palatino Linotype"/>
        </w:rPr>
      </w:pPr>
    </w:p>
    <w:p w14:paraId="4F6CE1B1" w14:textId="1C42C0FC" w:rsidR="00111532" w:rsidRPr="00B178A8" w:rsidRDefault="00AC3FF9" w:rsidP="008622E7">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B178A8">
        <w:rPr>
          <w:rFonts w:ascii="Palatino Linotype" w:eastAsia="Palatino Linotype" w:hAnsi="Palatino Linotype" w:cs="Palatino Linotype"/>
          <w:b/>
        </w:rPr>
        <w:lastRenderedPageBreak/>
        <w:t>4</w:t>
      </w:r>
      <w:r w:rsidR="007268C0" w:rsidRPr="00B178A8">
        <w:rPr>
          <w:rFonts w:ascii="Palatino Linotype" w:eastAsia="Palatino Linotype" w:hAnsi="Palatino Linotype" w:cs="Palatino Linotype"/>
          <w:b/>
        </w:rPr>
        <w:t>. Turno.</w:t>
      </w:r>
      <w:r w:rsidR="007268C0" w:rsidRPr="00B178A8">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841B36" w:rsidRPr="00B178A8">
        <w:rPr>
          <w:rFonts w:ascii="Palatino Linotype" w:eastAsia="Palatino Linotype" w:hAnsi="Palatino Linotype" w:cs="Palatino Linotype"/>
          <w:b/>
        </w:rPr>
        <w:t>13344/INFOEM/IP/RR/2025</w:t>
      </w:r>
      <w:r w:rsidR="007268C0" w:rsidRPr="00B178A8">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B178A8"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7BC0B6C3" w:rsidR="00111532" w:rsidRPr="00B178A8"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5</w:t>
      </w:r>
      <w:r w:rsidR="007268C0" w:rsidRPr="00B178A8">
        <w:rPr>
          <w:rFonts w:ascii="Palatino Linotype" w:eastAsia="Palatino Linotype" w:hAnsi="Palatino Linotype" w:cs="Palatino Linotype"/>
        </w:rPr>
        <w:t xml:space="preserve">. </w:t>
      </w:r>
      <w:r w:rsidR="007268C0" w:rsidRPr="00B178A8">
        <w:rPr>
          <w:rFonts w:ascii="Palatino Linotype" w:eastAsia="Palatino Linotype" w:hAnsi="Palatino Linotype" w:cs="Palatino Linotype"/>
          <w:b/>
        </w:rPr>
        <w:t>Admisión del recurso de revisión</w:t>
      </w:r>
      <w:r w:rsidR="007268C0" w:rsidRPr="00B178A8">
        <w:rPr>
          <w:rFonts w:ascii="Palatino Linotype" w:eastAsia="Palatino Linotype" w:hAnsi="Palatino Linotype" w:cs="Palatino Linotype"/>
        </w:rPr>
        <w:t xml:space="preserve">: En fecha </w:t>
      </w:r>
      <w:r w:rsidR="005A0571" w:rsidRPr="00B178A8">
        <w:rPr>
          <w:rFonts w:ascii="Palatino Linotype" w:eastAsia="Palatino Linotype" w:hAnsi="Palatino Linotype" w:cs="Palatino Linotype"/>
          <w:b/>
        </w:rPr>
        <w:t>cinco de diciembre</w:t>
      </w:r>
      <w:r w:rsidR="005A0571" w:rsidRPr="00B178A8">
        <w:rPr>
          <w:rFonts w:ascii="Palatino Linotype" w:eastAsia="Palatino Linotype" w:hAnsi="Palatino Linotype" w:cs="Palatino Linotype"/>
        </w:rPr>
        <w:t xml:space="preserve"> </w:t>
      </w:r>
      <w:r w:rsidR="007268C0" w:rsidRPr="00B178A8">
        <w:rPr>
          <w:rFonts w:ascii="Palatino Linotype" w:eastAsia="Palatino Linotype" w:hAnsi="Palatino Linotype" w:cs="Palatino Linotype"/>
          <w:b/>
        </w:rPr>
        <w:t>de dos mil veinticinco</w:t>
      </w:r>
      <w:r w:rsidR="007268C0" w:rsidRPr="00B178A8">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B178A8"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C17962" w14:textId="108230E6" w:rsidR="00B05786" w:rsidRPr="00B178A8" w:rsidRDefault="00AC3FF9"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b/>
        </w:rPr>
        <w:t>6</w:t>
      </w:r>
      <w:r w:rsidR="007268C0" w:rsidRPr="00B178A8">
        <w:rPr>
          <w:rFonts w:ascii="Palatino Linotype" w:eastAsia="Palatino Linotype" w:hAnsi="Palatino Linotype" w:cs="Palatino Linotype"/>
          <w:b/>
        </w:rPr>
        <w:t xml:space="preserve">. Manifestaciones. </w:t>
      </w:r>
      <w:r w:rsidR="007268C0" w:rsidRPr="00B178A8">
        <w:rPr>
          <w:rFonts w:ascii="Palatino Linotype" w:eastAsia="Palatino Linotype" w:hAnsi="Palatino Linotype" w:cs="Palatino Linotype"/>
        </w:rPr>
        <w:t xml:space="preserve">En fecha </w:t>
      </w:r>
      <w:r w:rsidR="005A0571" w:rsidRPr="00B178A8">
        <w:rPr>
          <w:rFonts w:ascii="Palatino Linotype" w:eastAsia="Palatino Linotype" w:hAnsi="Palatino Linotype" w:cs="Palatino Linotype"/>
          <w:b/>
        </w:rPr>
        <w:t>nueve</w:t>
      </w:r>
      <w:r w:rsidR="00487FA8" w:rsidRPr="00B178A8">
        <w:rPr>
          <w:rFonts w:ascii="Palatino Linotype" w:eastAsia="Palatino Linotype" w:hAnsi="Palatino Linotype" w:cs="Palatino Linotype"/>
          <w:b/>
        </w:rPr>
        <w:t xml:space="preserve"> </w:t>
      </w:r>
      <w:r w:rsidR="007268C0" w:rsidRPr="00B178A8">
        <w:rPr>
          <w:rFonts w:ascii="Palatino Linotype" w:eastAsia="Palatino Linotype" w:hAnsi="Palatino Linotype" w:cs="Palatino Linotype"/>
          <w:b/>
        </w:rPr>
        <w:t xml:space="preserve">de </w:t>
      </w:r>
      <w:r w:rsidR="005A0571" w:rsidRPr="00B178A8">
        <w:rPr>
          <w:rFonts w:ascii="Palatino Linotype" w:eastAsia="Palatino Linotype" w:hAnsi="Palatino Linotype" w:cs="Palatino Linotype"/>
          <w:b/>
        </w:rPr>
        <w:t>diciembre</w:t>
      </w:r>
      <w:r w:rsidR="007268C0" w:rsidRPr="00B178A8">
        <w:rPr>
          <w:rFonts w:ascii="Palatino Linotype" w:eastAsia="Palatino Linotype" w:hAnsi="Palatino Linotype" w:cs="Palatino Linotype"/>
          <w:b/>
        </w:rPr>
        <w:t xml:space="preserve"> de dos mil veinticinco</w:t>
      </w:r>
      <w:r w:rsidR="007268C0" w:rsidRPr="00B178A8">
        <w:rPr>
          <w:rFonts w:ascii="Palatino Linotype" w:eastAsia="Palatino Linotype" w:hAnsi="Palatino Linotype" w:cs="Palatino Linotype"/>
        </w:rPr>
        <w:t xml:space="preserve">, el </w:t>
      </w:r>
      <w:r w:rsidR="007268C0" w:rsidRPr="00B178A8">
        <w:rPr>
          <w:rFonts w:ascii="Palatino Linotype" w:eastAsia="Palatino Linotype" w:hAnsi="Palatino Linotype" w:cs="Palatino Linotype"/>
          <w:b/>
        </w:rPr>
        <w:t>Sujeto Obligado</w:t>
      </w:r>
      <w:r w:rsidR="007268C0" w:rsidRPr="00B178A8">
        <w:rPr>
          <w:rFonts w:ascii="Palatino Linotype" w:eastAsia="Palatino Linotype" w:hAnsi="Palatino Linotype" w:cs="Palatino Linotype"/>
        </w:rPr>
        <w:t xml:space="preserve"> rindió su informe justificado</w:t>
      </w:r>
      <w:r w:rsidR="00F760E1" w:rsidRPr="00B178A8">
        <w:rPr>
          <w:rFonts w:ascii="Palatino Linotype" w:eastAsia="Palatino Linotype" w:hAnsi="Palatino Linotype" w:cs="Palatino Linotype"/>
        </w:rPr>
        <w:t>, el cual se puso a disposición del Recurrente</w:t>
      </w:r>
      <w:r w:rsidR="00B132D2" w:rsidRPr="00B178A8">
        <w:rPr>
          <w:rFonts w:ascii="Palatino Linotype" w:eastAsia="Palatino Linotype" w:hAnsi="Palatino Linotype" w:cs="Palatino Linotype"/>
        </w:rPr>
        <w:t xml:space="preserve"> el catorce </w:t>
      </w:r>
      <w:r w:rsidR="00F760E1" w:rsidRPr="00B178A8">
        <w:rPr>
          <w:rFonts w:ascii="Palatino Linotype" w:eastAsia="Palatino Linotype" w:hAnsi="Palatino Linotype" w:cs="Palatino Linotype"/>
          <w:b/>
        </w:rPr>
        <w:t xml:space="preserve">de </w:t>
      </w:r>
      <w:r w:rsidR="00B05786" w:rsidRPr="00B178A8">
        <w:rPr>
          <w:rFonts w:ascii="Palatino Linotype" w:eastAsia="Palatino Linotype" w:hAnsi="Palatino Linotype" w:cs="Palatino Linotype"/>
          <w:b/>
        </w:rPr>
        <w:t>enero</w:t>
      </w:r>
      <w:r w:rsidR="00F760E1" w:rsidRPr="00B178A8">
        <w:rPr>
          <w:rFonts w:ascii="Palatino Linotype" w:eastAsia="Palatino Linotype" w:hAnsi="Palatino Linotype" w:cs="Palatino Linotype"/>
          <w:b/>
        </w:rPr>
        <w:t xml:space="preserve"> de dos mil veinti</w:t>
      </w:r>
      <w:r w:rsidR="00B05786" w:rsidRPr="00B178A8">
        <w:rPr>
          <w:rFonts w:ascii="Palatino Linotype" w:eastAsia="Palatino Linotype" w:hAnsi="Palatino Linotype" w:cs="Palatino Linotype"/>
          <w:b/>
        </w:rPr>
        <w:t>séis</w:t>
      </w:r>
      <w:r w:rsidR="00487FA8" w:rsidRPr="00B178A8">
        <w:rPr>
          <w:rFonts w:ascii="Palatino Linotype" w:eastAsia="Palatino Linotype" w:hAnsi="Palatino Linotype" w:cs="Palatino Linotype"/>
        </w:rPr>
        <w:t xml:space="preserve">, mediante el </w:t>
      </w:r>
      <w:r w:rsidR="00B05786" w:rsidRPr="00B178A8">
        <w:rPr>
          <w:rFonts w:ascii="Palatino Linotype" w:eastAsia="Palatino Linotype" w:hAnsi="Palatino Linotype" w:cs="Palatino Linotype"/>
        </w:rPr>
        <w:t xml:space="preserve">Director de Desarrollo Económico refirió que de una búsqueda exhaustiva y razonable digital y en archivo, no existe padrón, licencia, permiso ni concesión alguna con ese giro comercial. </w:t>
      </w:r>
    </w:p>
    <w:p w14:paraId="6030FE86" w14:textId="77777777" w:rsidR="00111532" w:rsidRPr="00B178A8" w:rsidRDefault="00111532" w:rsidP="008622E7">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0E99D80" w14:textId="1FF36F30" w:rsidR="00111532" w:rsidRPr="00B178A8" w:rsidRDefault="00487FA8"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b/>
        </w:rPr>
        <w:t>7</w:t>
      </w:r>
      <w:r w:rsidR="007268C0" w:rsidRPr="00B178A8">
        <w:rPr>
          <w:rFonts w:ascii="Palatino Linotype" w:eastAsia="Palatino Linotype" w:hAnsi="Palatino Linotype" w:cs="Palatino Linotype"/>
          <w:b/>
        </w:rPr>
        <w:t>. Cierre de instrucción</w:t>
      </w:r>
      <w:r w:rsidR="007268C0" w:rsidRPr="00B178A8">
        <w:rPr>
          <w:rFonts w:ascii="Palatino Linotype" w:eastAsia="Palatino Linotype" w:hAnsi="Palatino Linotype" w:cs="Palatino Linotype"/>
        </w:rPr>
        <w:t xml:space="preserve">. En fecha </w:t>
      </w:r>
      <w:r w:rsidR="00B132D2" w:rsidRPr="00B178A8">
        <w:rPr>
          <w:rFonts w:ascii="Palatino Linotype" w:eastAsia="Palatino Linotype" w:hAnsi="Palatino Linotype" w:cs="Palatino Linotype"/>
          <w:b/>
          <w:bCs/>
        </w:rPr>
        <w:t>veinte</w:t>
      </w:r>
      <w:r w:rsidR="00121FAA" w:rsidRPr="00B178A8">
        <w:rPr>
          <w:rFonts w:ascii="Palatino Linotype" w:eastAsia="Palatino Linotype" w:hAnsi="Palatino Linotype" w:cs="Palatino Linotype"/>
          <w:b/>
        </w:rPr>
        <w:t xml:space="preserve"> de </w:t>
      </w:r>
      <w:r w:rsidR="00E74093" w:rsidRPr="00B178A8">
        <w:rPr>
          <w:rFonts w:ascii="Palatino Linotype" w:eastAsia="Palatino Linotype" w:hAnsi="Palatino Linotype" w:cs="Palatino Linotype"/>
          <w:b/>
        </w:rPr>
        <w:t>enero</w:t>
      </w:r>
      <w:r w:rsidR="00121FAA" w:rsidRPr="00B178A8">
        <w:rPr>
          <w:rFonts w:ascii="Palatino Linotype" w:eastAsia="Palatino Linotype" w:hAnsi="Palatino Linotype" w:cs="Palatino Linotype"/>
          <w:b/>
        </w:rPr>
        <w:t xml:space="preserve"> de dos mil</w:t>
      </w:r>
      <w:r w:rsidR="007268C0" w:rsidRPr="00B178A8">
        <w:rPr>
          <w:rFonts w:ascii="Palatino Linotype" w:eastAsia="Palatino Linotype" w:hAnsi="Palatino Linotype" w:cs="Palatino Linotype"/>
          <w:b/>
        </w:rPr>
        <w:t xml:space="preserve"> veinti</w:t>
      </w:r>
      <w:r w:rsidR="00E74093" w:rsidRPr="00B178A8">
        <w:rPr>
          <w:rFonts w:ascii="Palatino Linotype" w:eastAsia="Palatino Linotype" w:hAnsi="Palatino Linotype" w:cs="Palatino Linotype"/>
          <w:b/>
        </w:rPr>
        <w:t>séis</w:t>
      </w:r>
      <w:r w:rsidR="007268C0" w:rsidRPr="00B178A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B178A8" w:rsidRDefault="00111532" w:rsidP="008622E7">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77777777" w:rsidR="00111532" w:rsidRPr="00B178A8" w:rsidRDefault="007268C0" w:rsidP="008622E7">
      <w:pP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D0EF455"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01C0354B" w14:textId="77777777" w:rsidR="00111532" w:rsidRPr="00B178A8" w:rsidRDefault="007268C0" w:rsidP="008622E7">
      <w:pPr>
        <w:spacing w:after="0" w:line="360" w:lineRule="auto"/>
        <w:ind w:right="49"/>
        <w:jc w:val="center"/>
        <w:rPr>
          <w:rFonts w:ascii="Palatino Linotype" w:eastAsia="Palatino Linotype" w:hAnsi="Palatino Linotype" w:cs="Palatino Linotype"/>
          <w:b/>
        </w:rPr>
      </w:pPr>
      <w:r w:rsidRPr="00B178A8">
        <w:rPr>
          <w:rFonts w:ascii="Palatino Linotype" w:eastAsia="Palatino Linotype" w:hAnsi="Palatino Linotype" w:cs="Palatino Linotype"/>
          <w:b/>
        </w:rPr>
        <w:t>II.</w:t>
      </w:r>
      <w:r w:rsidRPr="00B178A8">
        <w:rPr>
          <w:rFonts w:ascii="Palatino Linotype" w:eastAsia="Palatino Linotype" w:hAnsi="Palatino Linotype" w:cs="Palatino Linotype"/>
          <w:b/>
        </w:rPr>
        <w:tab/>
        <w:t>C O N S I D E R A N D O:</w:t>
      </w:r>
    </w:p>
    <w:p w14:paraId="45C926DB"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50E48AA2" w14:textId="3B2916EF"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t>Primero. Competencia.</w:t>
      </w:r>
      <w:r w:rsidRPr="00B178A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B178A8">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178A8">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2EA7C71C" w14:textId="77777777"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t>Segundo. Oportunidad y Procedibilidad del Recurso de Revisión</w:t>
      </w:r>
      <w:r w:rsidRPr="00B178A8">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70792216" w14:textId="1E0ED096" w:rsidR="00111532" w:rsidRPr="00B178A8" w:rsidRDefault="007268C0" w:rsidP="008622E7">
      <w:pPr>
        <w:spacing w:after="0" w:line="360" w:lineRule="auto"/>
        <w:jc w:val="both"/>
        <w:rPr>
          <w:rFonts w:ascii="Palatino Linotype" w:eastAsia="Palatino Linotype" w:hAnsi="Palatino Linotype" w:cs="Palatino Linotype"/>
        </w:rPr>
      </w:pPr>
      <w:bookmarkStart w:id="3" w:name="_heading=h.3znysh7" w:colFirst="0" w:colLast="0"/>
      <w:bookmarkEnd w:id="3"/>
      <w:r w:rsidRPr="00B178A8">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remitió respuesta el </w:t>
      </w:r>
      <w:r w:rsidR="00487FA8" w:rsidRPr="00B178A8">
        <w:rPr>
          <w:rFonts w:ascii="Palatino Linotype" w:eastAsia="Palatino Linotype" w:hAnsi="Palatino Linotype" w:cs="Palatino Linotype"/>
          <w:b/>
          <w:bCs/>
        </w:rPr>
        <w:t>veinti</w:t>
      </w:r>
      <w:r w:rsidR="00E74093" w:rsidRPr="00B178A8">
        <w:rPr>
          <w:rFonts w:ascii="Palatino Linotype" w:eastAsia="Palatino Linotype" w:hAnsi="Palatino Linotype" w:cs="Palatino Linotype"/>
          <w:b/>
          <w:bCs/>
        </w:rPr>
        <w:t>cinco</w:t>
      </w:r>
      <w:r w:rsidRPr="00B178A8">
        <w:rPr>
          <w:rFonts w:ascii="Palatino Linotype" w:eastAsia="Palatino Linotype" w:hAnsi="Palatino Linotype" w:cs="Palatino Linotype"/>
          <w:b/>
        </w:rPr>
        <w:t xml:space="preserve"> de </w:t>
      </w:r>
      <w:r w:rsidR="00E74093" w:rsidRPr="00B178A8">
        <w:rPr>
          <w:rFonts w:ascii="Palatino Linotype" w:eastAsia="Palatino Linotype" w:hAnsi="Palatino Linotype" w:cs="Palatino Linotype"/>
          <w:b/>
        </w:rPr>
        <w:t>noviembre</w:t>
      </w:r>
      <w:r w:rsidRPr="00B178A8">
        <w:rPr>
          <w:rFonts w:ascii="Palatino Linotype" w:eastAsia="Palatino Linotype" w:hAnsi="Palatino Linotype" w:cs="Palatino Linotype"/>
          <w:b/>
        </w:rPr>
        <w:t xml:space="preserve"> de dos mil veinticinco</w:t>
      </w:r>
      <w:r w:rsidRPr="00B178A8">
        <w:rPr>
          <w:rFonts w:ascii="Palatino Linotype" w:eastAsia="Palatino Linotype" w:hAnsi="Palatino Linotype" w:cs="Palatino Linotype"/>
        </w:rPr>
        <w:t>,</w:t>
      </w:r>
      <w:r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rPr>
        <w:t xml:space="preserve">mientras que el recurso de revisión interpuesto por la parte </w:t>
      </w:r>
      <w:r w:rsidRPr="00B178A8">
        <w:rPr>
          <w:rFonts w:ascii="Palatino Linotype" w:eastAsia="Palatino Linotype" w:hAnsi="Palatino Linotype" w:cs="Palatino Linotype"/>
          <w:b/>
        </w:rPr>
        <w:lastRenderedPageBreak/>
        <w:t>Recurrente</w:t>
      </w:r>
      <w:r w:rsidRPr="00B178A8">
        <w:rPr>
          <w:rFonts w:ascii="Palatino Linotype" w:eastAsia="Palatino Linotype" w:hAnsi="Palatino Linotype" w:cs="Palatino Linotype"/>
        </w:rPr>
        <w:t xml:space="preserve">, se tuvo por presentado el </w:t>
      </w:r>
      <w:r w:rsidR="00E74093" w:rsidRPr="00B178A8">
        <w:rPr>
          <w:rFonts w:ascii="Palatino Linotype" w:eastAsia="Palatino Linotype" w:hAnsi="Palatino Linotype" w:cs="Palatino Linotype"/>
          <w:b/>
          <w:bCs/>
        </w:rPr>
        <w:t>uno</w:t>
      </w:r>
      <w:r w:rsidRPr="00B178A8">
        <w:rPr>
          <w:rFonts w:ascii="Palatino Linotype" w:eastAsia="Palatino Linotype" w:hAnsi="Palatino Linotype" w:cs="Palatino Linotype"/>
          <w:b/>
        </w:rPr>
        <w:t xml:space="preserve"> de </w:t>
      </w:r>
      <w:r w:rsidR="00E74093" w:rsidRPr="00B178A8">
        <w:rPr>
          <w:rFonts w:ascii="Palatino Linotype" w:eastAsia="Palatino Linotype" w:hAnsi="Palatino Linotype" w:cs="Palatino Linotype"/>
          <w:b/>
        </w:rPr>
        <w:t>diciembre</w:t>
      </w:r>
      <w:r w:rsidR="00487FA8"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b/>
        </w:rPr>
        <w:t>de dos mil veinticinco</w:t>
      </w:r>
      <w:r w:rsidRPr="00B178A8">
        <w:rPr>
          <w:rFonts w:ascii="Palatino Linotype" w:eastAsia="Palatino Linotype" w:hAnsi="Palatino Linotype" w:cs="Palatino Linotype"/>
        </w:rPr>
        <w:t xml:space="preserve">, esto es, al </w:t>
      </w:r>
      <w:r w:rsidR="00E74093" w:rsidRPr="00B178A8">
        <w:rPr>
          <w:rFonts w:ascii="Palatino Linotype" w:eastAsia="Palatino Linotype" w:hAnsi="Palatino Linotype" w:cs="Palatino Linotype"/>
          <w:b/>
        </w:rPr>
        <w:t>cuarto</w:t>
      </w:r>
      <w:r w:rsidRPr="00B178A8">
        <w:rPr>
          <w:rFonts w:ascii="Palatino Linotype" w:eastAsia="Palatino Linotype" w:hAnsi="Palatino Linotype" w:cs="Palatino Linotype"/>
          <w:b/>
          <w:bCs/>
        </w:rPr>
        <w:t xml:space="preserve"> día hábil</w:t>
      </w:r>
      <w:r w:rsidRPr="00B178A8">
        <w:rPr>
          <w:rFonts w:ascii="Palatino Linotype" w:eastAsia="Palatino Linotype" w:hAnsi="Palatino Linotype" w:cs="Palatino Linotype"/>
        </w:rPr>
        <w:t xml:space="preserve"> en que se tuvo conocimiento de la respuesta. </w:t>
      </w:r>
    </w:p>
    <w:p w14:paraId="721DA332"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760AA315" w14:textId="77777777" w:rsidR="00111532" w:rsidRPr="00B178A8" w:rsidRDefault="007268C0" w:rsidP="008622E7">
      <w:pPr>
        <w:spacing w:after="0" w:line="360" w:lineRule="auto"/>
        <w:jc w:val="both"/>
        <w:rPr>
          <w:rFonts w:ascii="Palatino Linotype" w:eastAsia="Palatino Linotype" w:hAnsi="Palatino Linotype" w:cs="Palatino Linotype"/>
          <w:b/>
        </w:rPr>
      </w:pPr>
      <w:r w:rsidRPr="00B178A8">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B178A8">
        <w:rPr>
          <w:rFonts w:ascii="Palatino Linotype" w:eastAsia="Palatino Linotype" w:hAnsi="Palatino Linotype" w:cs="Palatino Linotype"/>
          <w:b/>
        </w:rPr>
        <w:t>SAIMEX.</w:t>
      </w:r>
    </w:p>
    <w:p w14:paraId="4E39BC8A" w14:textId="77777777" w:rsidR="004E71B7" w:rsidRPr="00B178A8" w:rsidRDefault="004E71B7" w:rsidP="008622E7">
      <w:pPr>
        <w:spacing w:after="0" w:line="360" w:lineRule="auto"/>
        <w:jc w:val="both"/>
        <w:rPr>
          <w:rFonts w:ascii="Palatino Linotype" w:eastAsia="Palatino Linotype" w:hAnsi="Palatino Linotype" w:cs="Palatino Linotype"/>
          <w:b/>
        </w:rPr>
      </w:pPr>
    </w:p>
    <w:p w14:paraId="782B4C4D" w14:textId="5165A836"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F50686" w:rsidRPr="00B178A8">
        <w:rPr>
          <w:rFonts w:ascii="Palatino Linotype" w:eastAsia="Palatino Linotype" w:hAnsi="Palatino Linotype" w:cs="Palatino Linotype"/>
        </w:rPr>
        <w:t>V</w:t>
      </w:r>
      <w:r w:rsidRPr="00B178A8">
        <w:rPr>
          <w:rFonts w:ascii="Palatino Linotype" w:eastAsia="Palatino Linotype" w:hAnsi="Palatino Linotype" w:cs="Palatino Linotype"/>
        </w:rPr>
        <w:t>I del ordenamiento legal citado, que a la letra dice: </w:t>
      </w:r>
    </w:p>
    <w:p w14:paraId="301B0EB9"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10D30DE9" w14:textId="77777777" w:rsidR="00F50686" w:rsidRPr="00B178A8" w:rsidRDefault="007268C0" w:rsidP="008622E7">
      <w:pPr>
        <w:spacing w:after="0" w:line="360" w:lineRule="auto"/>
        <w:ind w:left="851" w:right="902"/>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r w:rsidRPr="00B178A8">
        <w:rPr>
          <w:rFonts w:ascii="Palatino Linotype" w:eastAsia="Palatino Linotype" w:hAnsi="Palatino Linotype" w:cs="Palatino Linotype"/>
          <w:b/>
          <w:i/>
        </w:rPr>
        <w:t>Artículo 179.</w:t>
      </w:r>
      <w:r w:rsidRPr="00B178A8">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B178A8" w:rsidRDefault="00F50686" w:rsidP="008622E7">
      <w:pPr>
        <w:spacing w:after="0" w:line="360" w:lineRule="auto"/>
        <w:ind w:left="851" w:right="902"/>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p>
    <w:p w14:paraId="68D5312F" w14:textId="77777777" w:rsidR="00F50686" w:rsidRPr="00B178A8" w:rsidRDefault="00F50686" w:rsidP="008622E7">
      <w:pPr>
        <w:spacing w:after="0" w:line="360" w:lineRule="auto"/>
        <w:ind w:left="851" w:right="902"/>
        <w:jc w:val="both"/>
        <w:rPr>
          <w:rFonts w:ascii="Palatino Linotype" w:eastAsia="Palatino Linotype" w:hAnsi="Palatino Linotype" w:cs="Palatino Linotype"/>
          <w:i/>
          <w:lang w:val="es-ES"/>
        </w:rPr>
      </w:pPr>
      <w:r w:rsidRPr="00B178A8">
        <w:rPr>
          <w:rFonts w:ascii="Palatino Linotype" w:eastAsia="Palatino Linotype" w:hAnsi="Palatino Linotype" w:cs="Palatino Linotype"/>
          <w:b/>
          <w:bCs/>
          <w:i/>
          <w:lang w:val="es-ES"/>
        </w:rPr>
        <w:t xml:space="preserve">VI. </w:t>
      </w:r>
      <w:r w:rsidRPr="00B178A8">
        <w:rPr>
          <w:rFonts w:ascii="Palatino Linotype" w:eastAsia="Palatino Linotype" w:hAnsi="Palatino Linotype" w:cs="Palatino Linotype"/>
          <w:i/>
          <w:lang w:val="es-ES"/>
        </w:rPr>
        <w:t>La entrega de información que no corresponda con lo solicitado;</w:t>
      </w:r>
    </w:p>
    <w:p w14:paraId="2ED6072C" w14:textId="7E00F55C" w:rsidR="00111532" w:rsidRPr="00B178A8" w:rsidRDefault="007268C0" w:rsidP="008622E7">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p>
    <w:p w14:paraId="63DDE6CB"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52EBE258" w14:textId="77777777"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t xml:space="preserve">Tercero. Análisis de las causales de sobreseimiento. </w:t>
      </w:r>
      <w:r w:rsidRPr="00B178A8">
        <w:rPr>
          <w:rFonts w:ascii="Palatino Linotype" w:eastAsia="Palatino Linotype" w:hAnsi="Palatino Linotype" w:cs="Palatino Linotype"/>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w:t>
      </w:r>
      <w:r w:rsidRPr="00B178A8">
        <w:rPr>
          <w:rFonts w:ascii="Palatino Linotype" w:eastAsia="Palatino Linotype" w:hAnsi="Palatino Linotype" w:cs="Palatino Linotype"/>
        </w:rPr>
        <w:lastRenderedPageBreak/>
        <w:t>Municipios, en correlación con la seguridad jurídica que debe generar lo actuado ante este Organismo Garante.</w:t>
      </w:r>
    </w:p>
    <w:p w14:paraId="3E5739B0"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334CE81C" w14:textId="77777777"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1C8321DA" w14:textId="11689018"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es obtener la siguiente información</w:t>
      </w:r>
      <w:r w:rsidR="00E74093" w:rsidRPr="00B178A8">
        <w:rPr>
          <w:rFonts w:ascii="Palatino Linotype" w:eastAsia="Palatino Linotype" w:hAnsi="Palatino Linotype" w:cs="Palatino Linotype"/>
        </w:rPr>
        <w:t>:</w:t>
      </w:r>
    </w:p>
    <w:p w14:paraId="2178AB4A" w14:textId="77777777" w:rsidR="00246485" w:rsidRPr="00B178A8" w:rsidRDefault="00246485" w:rsidP="008622E7">
      <w:pPr>
        <w:spacing w:after="0" w:line="360" w:lineRule="auto"/>
        <w:jc w:val="both"/>
        <w:rPr>
          <w:rFonts w:ascii="Palatino Linotype" w:eastAsia="Palatino Linotype" w:hAnsi="Palatino Linotype" w:cs="Palatino Linotype"/>
        </w:rPr>
      </w:pPr>
    </w:p>
    <w:p w14:paraId="736CAAF4" w14:textId="7989357D" w:rsidR="00E74093" w:rsidRPr="00B178A8" w:rsidRDefault="00E74093" w:rsidP="00E74093">
      <w:pPr>
        <w:pStyle w:val="Prrafodelista"/>
        <w:numPr>
          <w:ilvl w:val="0"/>
          <w:numId w:val="7"/>
        </w:numPr>
        <w:spacing w:after="0" w:line="360" w:lineRule="auto"/>
        <w:jc w:val="both"/>
        <w:rPr>
          <w:rFonts w:ascii="Palatino Linotype" w:eastAsia="Palatino Linotype" w:hAnsi="Palatino Linotype" w:cs="Palatino Linotype"/>
          <w:b/>
          <w:bCs/>
        </w:rPr>
      </w:pPr>
      <w:r w:rsidRPr="00B178A8">
        <w:rPr>
          <w:rFonts w:ascii="Palatino Linotype" w:eastAsia="Palatino Linotype" w:hAnsi="Palatino Linotype" w:cs="Palatino Linotype"/>
          <w:b/>
          <w:bCs/>
        </w:rPr>
        <w:t>Padrón de empresas que se encuentran en la jurisdicción del municipio que se dediquen a la fabricación de productos metálicos en donde se informe la razón social, domicilio y número telefónico, correo electrónico</w:t>
      </w:r>
      <w:r w:rsidR="00B132D2" w:rsidRPr="00B178A8">
        <w:rPr>
          <w:rFonts w:ascii="Palatino Linotype" w:eastAsia="Palatino Linotype" w:hAnsi="Palatino Linotype" w:cs="Palatino Linotype"/>
          <w:b/>
          <w:bCs/>
        </w:rPr>
        <w:t>.</w:t>
      </w:r>
    </w:p>
    <w:p w14:paraId="2AE7425C" w14:textId="77777777" w:rsidR="00E74093" w:rsidRPr="00B178A8" w:rsidRDefault="00E74093" w:rsidP="008622E7">
      <w:pPr>
        <w:spacing w:after="0" w:line="360" w:lineRule="auto"/>
        <w:jc w:val="both"/>
        <w:rPr>
          <w:rFonts w:ascii="Palatino Linotype" w:eastAsia="Palatino Linotype" w:hAnsi="Palatino Linotype" w:cs="Palatino Linotype"/>
        </w:rPr>
      </w:pPr>
    </w:p>
    <w:p w14:paraId="07843AB1" w14:textId="5236C7A9" w:rsidR="009A5733" w:rsidRPr="00B178A8" w:rsidRDefault="009A5733"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En su respuesta, el Sujeto Obligado, a través de la Dirección de Administración </w:t>
      </w:r>
      <w:r w:rsidR="002D5CFF" w:rsidRPr="00B178A8">
        <w:rPr>
          <w:rFonts w:ascii="Palatino Linotype" w:eastAsia="Palatino Linotype" w:hAnsi="Palatino Linotype" w:cs="Palatino Linotype"/>
        </w:rPr>
        <w:t>refirió refiere que no cuenta con proveedores que se dediquen a la fabricación de productos metálicos.</w:t>
      </w:r>
    </w:p>
    <w:p w14:paraId="1A9685F3" w14:textId="77777777" w:rsidR="002D5CFF" w:rsidRPr="00B178A8" w:rsidRDefault="002D5CFF"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1B9D6FCE" w14:textId="74DB92CF" w:rsidR="002D5CFF" w:rsidRPr="00B178A8" w:rsidRDefault="002D5CFF"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Motivo por el que el Recurrente se inconformó, mostrando como agravio que la respuesta no corresponde con lo solicitado. </w:t>
      </w:r>
    </w:p>
    <w:p w14:paraId="269C0DE8" w14:textId="77777777" w:rsidR="002D5CFF" w:rsidRPr="00B178A8" w:rsidRDefault="002D5CFF" w:rsidP="008622E7">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6793C21A" w14:textId="77777777" w:rsidR="002D5CFF" w:rsidRPr="00B178A8" w:rsidRDefault="002D5CFF" w:rsidP="002D5CF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lastRenderedPageBreak/>
        <w:t xml:space="preserve">Sin embargo, mediante informe justificado, el Director de Desarrollo Económico indicó que de una búsqueda exhaustiva y razonable digital y en archivo, no existe padrón, licencia, permiso ni concesión alguna con ese giro comercial. </w:t>
      </w:r>
    </w:p>
    <w:p w14:paraId="082FB240" w14:textId="77777777" w:rsidR="002D5CFF" w:rsidRPr="00B178A8" w:rsidRDefault="002D5CFF" w:rsidP="002D5CFF">
      <w:pPr>
        <w:spacing w:before="240" w:after="240" w:line="360" w:lineRule="auto"/>
        <w:ind w:right="-93"/>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Expuesto lo anterior y sobre la naturaleza de la información, resulta necesario primeramente traer a colación que de conformidad con el artículo 31 de la Ley Orgánica Municipal del Estado de México, los ayuntamientos cuentan con atribuciones para </w:t>
      </w:r>
      <w:r w:rsidRPr="00B178A8">
        <w:rPr>
          <w:rFonts w:ascii="Palatino Linotype" w:hAnsi="Palatino Linotype" w:cs="Tahoma"/>
          <w:iCs/>
          <w:lang w:eastAsia="es-ES_tradnl"/>
        </w:rPr>
        <w:t>otorgar licencia de funcionamiento, previa presentación del Dictamen de Giro a las unidades económicas; además, dicha licencia tendrá una vigencia de cinco años y deberá ser refrendada de manera anual, con independencia de que puedan ser sujetos de visitas de verificación para constatar el cumplimiento de las disposiciones jurídicas aplicables.</w:t>
      </w:r>
    </w:p>
    <w:p w14:paraId="28D60104" w14:textId="77777777" w:rsidR="002D5CFF" w:rsidRPr="00B178A8" w:rsidRDefault="002D5CFF" w:rsidP="002D5CFF">
      <w:pPr>
        <w:spacing w:line="360" w:lineRule="auto"/>
        <w:jc w:val="both"/>
        <w:rPr>
          <w:rFonts w:ascii="Palatino Linotype" w:hAnsi="Palatino Linotype" w:cs="Tahoma"/>
          <w:bCs/>
          <w:lang w:eastAsia="en-US"/>
        </w:rPr>
      </w:pPr>
      <w:r w:rsidRPr="00B178A8">
        <w:rPr>
          <w:rFonts w:ascii="Palatino Linotype" w:hAnsi="Palatino Linotype" w:cs="Tahoma"/>
          <w:bCs/>
          <w:lang w:eastAsia="en-US"/>
        </w:rPr>
        <w:t xml:space="preserve">Ahora bien, la Ley de Competitividad y Ordenamiento Comercial del Estado de México, define a la licencia de funcionamiento en términos del artículo 2 fracciones I y XV respectivamente, como el acto administrativo que emite la autoridad, por el cual autoriza a una persona física o jurídica colectiva a desarrollar actividades económicas; mientras que una actividad económica, es el conjunto de acciones y recursos que emplean las unidades económicas para producir bienes o proporcionar servicios. </w:t>
      </w:r>
    </w:p>
    <w:p w14:paraId="3960DAFB" w14:textId="77777777" w:rsidR="002D5CFF" w:rsidRPr="00B178A8" w:rsidRDefault="002D5CFF" w:rsidP="002D5CFF">
      <w:pPr>
        <w:spacing w:line="360" w:lineRule="auto"/>
        <w:jc w:val="both"/>
        <w:rPr>
          <w:rFonts w:ascii="Palatino Linotype" w:hAnsi="Palatino Linotype" w:cs="Tahoma"/>
          <w:bCs/>
          <w:lang w:eastAsia="en-US"/>
        </w:rPr>
      </w:pPr>
      <w:r w:rsidRPr="00B178A8">
        <w:rPr>
          <w:rFonts w:ascii="Palatino Linotype" w:hAnsi="Palatino Linotype" w:cs="Tahoma"/>
          <w:bCs/>
          <w:lang w:eastAsia="en-US"/>
        </w:rPr>
        <w:t xml:space="preserve">Aunado a ello, el artículo 7 del mismo ordenamiento, señala que a los municipios les corresponde crear, operar, digitalizar y mantener actualizado semanalmente el registro municipal a través de la Dirección de Desarrollo Económico, tal y como se muestra a continuación: </w:t>
      </w:r>
    </w:p>
    <w:p w14:paraId="2FC1E911"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w:t>
      </w:r>
      <w:r w:rsidRPr="00B178A8">
        <w:rPr>
          <w:rFonts w:ascii="Palatino Linotype" w:hAnsi="Palatino Linotype" w:cs="Tahoma"/>
          <w:b/>
          <w:bCs/>
          <w:i/>
          <w:lang w:eastAsia="en-US"/>
        </w:rPr>
        <w:t>Artículo 7.</w:t>
      </w:r>
      <w:r w:rsidRPr="00B178A8">
        <w:rPr>
          <w:rFonts w:ascii="Palatino Linotype" w:hAnsi="Palatino Linotype" w:cs="Tahoma"/>
          <w:bCs/>
          <w:i/>
          <w:lang w:eastAsia="en-US"/>
        </w:rPr>
        <w:t xml:space="preserve"> Corresponde a los municipios:</w:t>
      </w:r>
    </w:p>
    <w:p w14:paraId="3D16F9DB"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 xml:space="preserve">I. </w:t>
      </w:r>
      <w:r w:rsidRPr="00B178A8">
        <w:rPr>
          <w:rFonts w:ascii="Palatino Linotype" w:hAnsi="Palatino Linotype" w:cs="Tahoma"/>
          <w:b/>
          <w:bCs/>
          <w:i/>
          <w:u w:val="single"/>
          <w:lang w:eastAsia="en-US"/>
        </w:rPr>
        <w:t>Crear el registro municipal</w:t>
      </w:r>
      <w:r w:rsidRPr="00B178A8">
        <w:rPr>
          <w:rFonts w:ascii="Palatino Linotype" w:hAnsi="Palatino Linotype" w:cs="Tahoma"/>
          <w:bCs/>
          <w:i/>
          <w:lang w:eastAsia="en-US"/>
        </w:rPr>
        <w:t>, donde se especifica la licencia de funcionamiento con la actividad de la unidad económica e impacto que generen, así como las demás características que se determinen.</w:t>
      </w:r>
    </w:p>
    <w:p w14:paraId="357C27BE"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lastRenderedPageBreak/>
        <w:t>II…</w:t>
      </w:r>
    </w:p>
    <w:p w14:paraId="770D6E0D"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
          <w:bCs/>
          <w:i/>
          <w:lang w:eastAsia="en-US"/>
        </w:rPr>
        <w:t xml:space="preserve">III. Operar, digitalizar y </w:t>
      </w:r>
      <w:r w:rsidRPr="00B178A8">
        <w:rPr>
          <w:rFonts w:ascii="Palatino Linotype" w:hAnsi="Palatino Linotype" w:cs="Tahoma"/>
          <w:b/>
          <w:bCs/>
          <w:i/>
          <w:u w:val="single"/>
          <w:lang w:eastAsia="en-US"/>
        </w:rPr>
        <w:t>mantener, semanalmente actualizado, el registro municipal, a través de la Dirección de Desarrollo Económico o su equivalente,</w:t>
      </w:r>
      <w:r w:rsidRPr="00B178A8">
        <w:rPr>
          <w:rFonts w:ascii="Palatino Linotype" w:hAnsi="Palatino Linotype" w:cs="Tahoma"/>
          <w:bCs/>
          <w:i/>
          <w:lang w:eastAsia="en-US"/>
        </w:rPr>
        <w:t xml:space="preserve"> que opere en su demarcación, el cual deberá publicarse en el portal de Internet del municipio.</w:t>
      </w:r>
    </w:p>
    <w:p w14:paraId="5943D43E" w14:textId="77777777" w:rsidR="002D5CFF" w:rsidRPr="00B178A8" w:rsidRDefault="002D5CFF" w:rsidP="002D5CFF">
      <w:pPr>
        <w:spacing w:line="360" w:lineRule="auto"/>
        <w:ind w:left="851" w:right="616"/>
        <w:jc w:val="both"/>
        <w:rPr>
          <w:rFonts w:ascii="Palatino Linotype" w:hAnsi="Palatino Linotype" w:cs="Tahoma"/>
          <w:b/>
          <w:i/>
          <w:u w:val="single"/>
          <w:lang w:eastAsia="en-US"/>
        </w:rPr>
      </w:pPr>
      <w:r w:rsidRPr="00B178A8">
        <w:rPr>
          <w:rFonts w:ascii="Palatino Linotype" w:hAnsi="Palatino Linotype" w:cs="Tahoma"/>
          <w:bCs/>
          <w:i/>
          <w:lang w:eastAsia="en-US"/>
        </w:rPr>
        <w:t xml:space="preserve">IV. </w:t>
      </w:r>
      <w:r w:rsidRPr="00B178A8">
        <w:rPr>
          <w:rFonts w:ascii="Palatino Linotype" w:hAnsi="Palatino Linotype" w:cs="Tahoma"/>
          <w:b/>
          <w:i/>
          <w:u w:val="single"/>
          <w:lang w:eastAsia="en-US"/>
        </w:rPr>
        <w:t>Enviar, dentro de los cinco días hábiles siguientes de cada mes calendario la actualización de su registro municipal, el informe correspondiente a las autoridades estatales, para actualizar el registro estatal.</w:t>
      </w:r>
    </w:p>
    <w:p w14:paraId="1A32418A" w14:textId="77777777" w:rsidR="002D5CFF" w:rsidRPr="00B178A8" w:rsidRDefault="002D5CFF" w:rsidP="002D5CFF">
      <w:pPr>
        <w:spacing w:line="360" w:lineRule="auto"/>
        <w:ind w:left="851" w:right="616"/>
        <w:jc w:val="both"/>
        <w:rPr>
          <w:rFonts w:ascii="Palatino Linotype" w:hAnsi="Palatino Linotype" w:cs="Tahoma"/>
          <w:b/>
          <w:bCs/>
          <w:i/>
          <w:lang w:eastAsia="en-US"/>
        </w:rPr>
      </w:pPr>
      <w:r w:rsidRPr="00B178A8">
        <w:rPr>
          <w:rFonts w:ascii="Palatino Linotype" w:hAnsi="Palatino Linotype" w:cs="Tahoma"/>
          <w:b/>
          <w:bCs/>
          <w:i/>
          <w:lang w:eastAsia="en-US"/>
        </w:rPr>
        <w:t>V. Resguardar y actualizar el archivo físico y digital con los documentos requeridos por las leyes para la expedición y refrendo de las licencias correspondientes</w:t>
      </w:r>
    </w:p>
    <w:p w14:paraId="15091E02"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VI a X…”</w:t>
      </w:r>
    </w:p>
    <w:p w14:paraId="19D0E229"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(Énfasis Añadido)</w:t>
      </w:r>
    </w:p>
    <w:p w14:paraId="56BF599B" w14:textId="77777777" w:rsidR="002D5CFF" w:rsidRPr="00B178A8" w:rsidRDefault="002D5CFF" w:rsidP="002D5CFF">
      <w:pPr>
        <w:spacing w:line="360" w:lineRule="auto"/>
        <w:ind w:right="49"/>
        <w:jc w:val="both"/>
        <w:rPr>
          <w:rFonts w:ascii="Palatino Linotype" w:hAnsi="Palatino Linotype" w:cs="Tahoma"/>
          <w:bCs/>
          <w:lang w:eastAsia="en-US"/>
        </w:rPr>
      </w:pPr>
      <w:r w:rsidRPr="00B178A8">
        <w:rPr>
          <w:rFonts w:ascii="Palatino Linotype" w:hAnsi="Palatino Linotype" w:cs="Tahoma"/>
          <w:bCs/>
          <w:lang w:eastAsia="en-US"/>
        </w:rPr>
        <w:t xml:space="preserve">Bajo esa misma premisa, en su artículo 10 refiere que los registros tienen como finalidad crear una base de datos confiable, actualizada e integrada de las unidades económicas que se aperturen, mismos que contendrán por lo menos los siguientes datos: </w:t>
      </w:r>
    </w:p>
    <w:p w14:paraId="1B149D19"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lang w:eastAsia="en-US"/>
        </w:rPr>
        <w:t>“</w:t>
      </w:r>
      <w:r w:rsidRPr="00B178A8">
        <w:rPr>
          <w:rFonts w:ascii="Palatino Linotype" w:hAnsi="Palatino Linotype" w:cs="Tahoma"/>
          <w:b/>
          <w:bCs/>
          <w:i/>
          <w:lang w:eastAsia="en-US"/>
        </w:rPr>
        <w:t>Artículo 10</w:t>
      </w:r>
      <w:r w:rsidRPr="00B178A8">
        <w:rPr>
          <w:rFonts w:ascii="Palatino Linotype" w:hAnsi="Palatino Linotype" w:cs="Tahoma"/>
          <w:bCs/>
          <w:i/>
          <w:lang w:eastAsia="en-US"/>
        </w:rPr>
        <w:t xml:space="preserve">. </w:t>
      </w:r>
      <w:r w:rsidRPr="00B178A8">
        <w:rPr>
          <w:rFonts w:ascii="Palatino Linotype" w:hAnsi="Palatino Linotype" w:cs="Tahoma"/>
          <w:b/>
          <w:bCs/>
          <w:i/>
          <w:lang w:eastAsia="en-US"/>
        </w:rPr>
        <w:t xml:space="preserve">Los registros tienen como finalidad </w:t>
      </w:r>
      <w:r w:rsidRPr="00B178A8">
        <w:rPr>
          <w:rFonts w:ascii="Palatino Linotype" w:hAnsi="Palatino Linotype" w:cs="Tahoma"/>
          <w:b/>
          <w:bCs/>
          <w:i/>
          <w:u w:val="single"/>
          <w:lang w:eastAsia="en-US"/>
        </w:rPr>
        <w:t>crear una base de datos confiable</w:t>
      </w:r>
      <w:r w:rsidRPr="00B178A8">
        <w:rPr>
          <w:rFonts w:ascii="Palatino Linotype" w:hAnsi="Palatino Linotype" w:cs="Tahoma"/>
          <w:b/>
          <w:bCs/>
          <w:i/>
          <w:lang w:eastAsia="en-US"/>
        </w:rPr>
        <w:t xml:space="preserve">, </w:t>
      </w:r>
      <w:r w:rsidRPr="00B178A8">
        <w:rPr>
          <w:rFonts w:ascii="Palatino Linotype" w:hAnsi="Palatino Linotype" w:cs="Tahoma"/>
          <w:bCs/>
          <w:i/>
          <w:lang w:eastAsia="en-US"/>
        </w:rPr>
        <w:t xml:space="preserve">actualizada e integrada a nivel estatal y municipal </w:t>
      </w:r>
      <w:r w:rsidRPr="00B178A8">
        <w:rPr>
          <w:rFonts w:ascii="Palatino Linotype" w:hAnsi="Palatino Linotype" w:cs="Tahoma"/>
          <w:b/>
          <w:bCs/>
          <w:i/>
          <w:u w:val="single"/>
          <w:lang w:eastAsia="en-US"/>
        </w:rPr>
        <w:t>de las unidades económicas que se aperturen</w:t>
      </w:r>
      <w:r w:rsidRPr="00B178A8">
        <w:rPr>
          <w:rFonts w:ascii="Palatino Linotype" w:hAnsi="Palatino Linotype" w:cs="Tahoma"/>
          <w:bCs/>
          <w:i/>
          <w:lang w:eastAsia="en-US"/>
        </w:rPr>
        <w:t xml:space="preserve"> en el territorio de la Entidad.</w:t>
      </w:r>
    </w:p>
    <w:p w14:paraId="00DB9018" w14:textId="77777777" w:rsidR="002D5CFF" w:rsidRPr="00B178A8" w:rsidRDefault="002D5CFF" w:rsidP="002D5CFF">
      <w:pPr>
        <w:spacing w:line="360" w:lineRule="auto"/>
        <w:ind w:left="851" w:right="616"/>
        <w:jc w:val="both"/>
        <w:rPr>
          <w:rFonts w:ascii="Palatino Linotype" w:hAnsi="Palatino Linotype" w:cs="Tahoma"/>
          <w:bCs/>
          <w:i/>
          <w:lang w:eastAsia="en-US"/>
        </w:rPr>
      </w:pPr>
    </w:p>
    <w:p w14:paraId="02338B31"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
          <w:bCs/>
          <w:i/>
          <w:lang w:eastAsia="en-US"/>
        </w:rPr>
        <w:t>Artículo 11.</w:t>
      </w:r>
      <w:r w:rsidRPr="00B178A8">
        <w:rPr>
          <w:rFonts w:ascii="Palatino Linotype" w:hAnsi="Palatino Linotype" w:cs="Tahoma"/>
          <w:bCs/>
          <w:i/>
          <w:lang w:eastAsia="en-US"/>
        </w:rPr>
        <w:t xml:space="preserve"> </w:t>
      </w:r>
      <w:r w:rsidRPr="00B178A8">
        <w:rPr>
          <w:rFonts w:ascii="Palatino Linotype" w:hAnsi="Palatino Linotype" w:cs="Tahoma"/>
          <w:b/>
          <w:bCs/>
          <w:i/>
          <w:u w:val="single"/>
          <w:lang w:eastAsia="en-US"/>
        </w:rPr>
        <w:t>El registro incluirá al menos los datos siguientes</w:t>
      </w:r>
      <w:r w:rsidRPr="00B178A8">
        <w:rPr>
          <w:rFonts w:ascii="Palatino Linotype" w:hAnsi="Palatino Linotype" w:cs="Tahoma"/>
          <w:bCs/>
          <w:i/>
          <w:lang w:eastAsia="en-US"/>
        </w:rPr>
        <w:t>:</w:t>
      </w:r>
    </w:p>
    <w:p w14:paraId="0E6F7933"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I. Clave única, que se integrará de una serie alfanumérica.</w:t>
      </w:r>
    </w:p>
    <w:p w14:paraId="65894073"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lastRenderedPageBreak/>
        <w:t>II. Nombre del municipio.</w:t>
      </w:r>
    </w:p>
    <w:p w14:paraId="5D7A5FB1" w14:textId="77777777" w:rsidR="002D5CFF" w:rsidRPr="00B178A8" w:rsidRDefault="002D5CFF" w:rsidP="002D5CFF">
      <w:pPr>
        <w:spacing w:line="360" w:lineRule="auto"/>
        <w:ind w:left="851" w:right="616"/>
        <w:jc w:val="both"/>
        <w:rPr>
          <w:rFonts w:ascii="Palatino Linotype" w:hAnsi="Palatino Linotype" w:cs="Tahoma"/>
          <w:b/>
          <w:bCs/>
          <w:i/>
          <w:lang w:eastAsia="en-US"/>
        </w:rPr>
      </w:pPr>
      <w:r w:rsidRPr="00B178A8">
        <w:rPr>
          <w:rFonts w:ascii="Palatino Linotype" w:hAnsi="Palatino Linotype" w:cs="Tahoma"/>
          <w:b/>
          <w:bCs/>
          <w:i/>
          <w:lang w:eastAsia="en-US"/>
        </w:rPr>
        <w:t>III. Nombre del titular.</w:t>
      </w:r>
    </w:p>
    <w:p w14:paraId="3AB5FEA4" w14:textId="77777777" w:rsidR="002D5CFF" w:rsidRPr="00B178A8" w:rsidRDefault="002D5CFF" w:rsidP="002D5CFF">
      <w:pPr>
        <w:spacing w:line="360" w:lineRule="auto"/>
        <w:ind w:left="851" w:right="616"/>
        <w:jc w:val="both"/>
        <w:rPr>
          <w:rFonts w:ascii="Palatino Linotype" w:hAnsi="Palatino Linotype" w:cs="Tahoma"/>
          <w:b/>
          <w:bCs/>
          <w:i/>
          <w:lang w:eastAsia="en-US"/>
        </w:rPr>
      </w:pPr>
      <w:r w:rsidRPr="00B178A8">
        <w:rPr>
          <w:rFonts w:ascii="Palatino Linotype" w:hAnsi="Palatino Linotype" w:cs="Tahoma"/>
          <w:b/>
          <w:bCs/>
          <w:i/>
          <w:lang w:eastAsia="en-US"/>
        </w:rPr>
        <w:t>IV. Actividad económica.</w:t>
      </w:r>
    </w:p>
    <w:p w14:paraId="72F69E49"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V. Fecha de inicio de actividades.</w:t>
      </w:r>
    </w:p>
    <w:p w14:paraId="7A234602"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VI. Tipo de impacto.</w:t>
      </w:r>
    </w:p>
    <w:p w14:paraId="3641C5B8" w14:textId="77777777" w:rsidR="002D5CFF" w:rsidRPr="00B178A8" w:rsidRDefault="002D5CFF" w:rsidP="002D5CFF">
      <w:pPr>
        <w:spacing w:line="360" w:lineRule="auto"/>
        <w:ind w:left="851" w:right="616"/>
        <w:jc w:val="both"/>
        <w:rPr>
          <w:rFonts w:ascii="Palatino Linotype" w:hAnsi="Palatino Linotype" w:cs="Tahoma"/>
          <w:b/>
          <w:bCs/>
          <w:i/>
          <w:lang w:eastAsia="en-US"/>
        </w:rPr>
      </w:pPr>
      <w:r w:rsidRPr="00B178A8">
        <w:rPr>
          <w:rFonts w:ascii="Palatino Linotype" w:hAnsi="Palatino Linotype" w:cs="Tahoma"/>
          <w:b/>
          <w:bCs/>
          <w:i/>
          <w:lang w:eastAsia="en-US"/>
        </w:rPr>
        <w:t>VII. Domicilio de la unidad económica.</w:t>
      </w:r>
    </w:p>
    <w:p w14:paraId="144AFB96"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VIII. Visitas y procedimientos de verificación en su caso.</w:t>
      </w:r>
    </w:p>
    <w:p w14:paraId="1BA277DF"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IX. Sanciones en su caso.</w:t>
      </w:r>
    </w:p>
    <w:p w14:paraId="42DD5956" w14:textId="77777777" w:rsidR="002D5CFF" w:rsidRPr="00B178A8" w:rsidRDefault="002D5CFF" w:rsidP="002D5CFF">
      <w:pPr>
        <w:spacing w:line="360" w:lineRule="auto"/>
        <w:ind w:left="851" w:right="616"/>
        <w:jc w:val="both"/>
        <w:rPr>
          <w:rFonts w:ascii="Palatino Linotype" w:hAnsi="Palatino Linotype" w:cs="Tahoma"/>
          <w:bCs/>
          <w:i/>
          <w:lang w:eastAsia="en-US"/>
        </w:rPr>
      </w:pPr>
      <w:r w:rsidRPr="00B178A8">
        <w:rPr>
          <w:rFonts w:ascii="Palatino Linotype" w:hAnsi="Palatino Linotype" w:cs="Tahoma"/>
          <w:bCs/>
          <w:i/>
          <w:lang w:eastAsia="en-US"/>
        </w:rPr>
        <w:t>X. Las demás que le confieran esta Ley y otras disposiciones aplicables.”</w:t>
      </w:r>
    </w:p>
    <w:p w14:paraId="1967453D" w14:textId="77777777" w:rsidR="002D5CFF" w:rsidRPr="00B178A8" w:rsidRDefault="002D5CFF" w:rsidP="002D5CFF">
      <w:pPr>
        <w:spacing w:line="360" w:lineRule="auto"/>
        <w:jc w:val="both"/>
        <w:rPr>
          <w:rFonts w:ascii="Palatino Linotype" w:hAnsi="Palatino Linotype" w:cs="Tahoma"/>
          <w:b/>
          <w:u w:val="single"/>
          <w:lang w:eastAsia="en-US"/>
        </w:rPr>
      </w:pPr>
      <w:r w:rsidRPr="00B178A8">
        <w:rPr>
          <w:rFonts w:ascii="Palatino Linotype" w:hAnsi="Palatino Linotype" w:cs="Tahoma"/>
          <w:bCs/>
          <w:lang w:eastAsia="en-US"/>
        </w:rPr>
        <w:t xml:space="preserve">De la normatividad citada, se desprende que corresponde al </w:t>
      </w:r>
      <w:r w:rsidRPr="00B178A8">
        <w:rPr>
          <w:rFonts w:ascii="Palatino Linotype" w:hAnsi="Palatino Linotype" w:cs="Tahoma"/>
          <w:b/>
          <w:bCs/>
          <w:lang w:eastAsia="en-US"/>
        </w:rPr>
        <w:t>Sujeto Obligado</w:t>
      </w:r>
      <w:r w:rsidRPr="00B178A8">
        <w:rPr>
          <w:rFonts w:ascii="Palatino Linotype" w:hAnsi="Palatino Linotype" w:cs="Tahoma"/>
          <w:bCs/>
          <w:lang w:eastAsia="en-US"/>
        </w:rPr>
        <w:t xml:space="preserve"> crear el registro municipal en donde se especifique el número de las licencias de funcionamiento con la actividad económica que realicen los particulares en las que se les denomina unidades económicas al lugar en donde realicen sus actividades y para ello los solicitantes deben cubrir ciertos requisitos, como son </w:t>
      </w:r>
      <w:r w:rsidRPr="00B178A8">
        <w:rPr>
          <w:rFonts w:ascii="Palatino Linotype" w:hAnsi="Palatino Linotype" w:cs="Tahoma"/>
          <w:b/>
          <w:u w:val="single"/>
          <w:lang w:eastAsia="en-US"/>
        </w:rPr>
        <w:t xml:space="preserve">el nombre del titular y el domicilio de la unidad económica. </w:t>
      </w:r>
    </w:p>
    <w:p w14:paraId="5EE9FA02" w14:textId="77777777" w:rsidR="002D5CFF" w:rsidRPr="00B178A8" w:rsidRDefault="002D5CFF" w:rsidP="002D5CFF">
      <w:pPr>
        <w:spacing w:line="360" w:lineRule="auto"/>
        <w:ind w:firstLine="1"/>
        <w:jc w:val="both"/>
        <w:rPr>
          <w:rFonts w:ascii="Palatino Linotype" w:hAnsi="Palatino Linotype" w:cs="Tahoma"/>
          <w:bCs/>
          <w:iCs/>
        </w:rPr>
      </w:pPr>
      <w:r w:rsidRPr="00B178A8">
        <w:rPr>
          <w:rFonts w:ascii="Palatino Linotype" w:hAnsi="Palatino Linotype" w:cs="Tahoma"/>
          <w:bCs/>
          <w:iCs/>
        </w:rPr>
        <w:t xml:space="preserve">Expuesto lo anterior, se concluye que el </w:t>
      </w:r>
      <w:r w:rsidRPr="00B178A8">
        <w:rPr>
          <w:rFonts w:ascii="Palatino Linotype" w:hAnsi="Palatino Linotype" w:cs="Tahoma"/>
          <w:b/>
          <w:bCs/>
          <w:iCs/>
        </w:rPr>
        <w:t>Sujeto Obligado</w:t>
      </w:r>
      <w:r w:rsidRPr="00B178A8">
        <w:rPr>
          <w:rFonts w:ascii="Palatino Linotype" w:hAnsi="Palatino Linotype" w:cs="Tahoma"/>
          <w:bCs/>
          <w:iCs/>
        </w:rPr>
        <w:t xml:space="preserve"> cuenta con atribuciones para generar poseer y/o administrar la información solicitada, a través de la Dirección de Desarrollo Económico o equivalente. </w:t>
      </w:r>
    </w:p>
    <w:p w14:paraId="0409E972" w14:textId="77777777" w:rsidR="002D5CFF" w:rsidRPr="00B178A8" w:rsidRDefault="002D5CFF" w:rsidP="002D5CFF">
      <w:pPr>
        <w:spacing w:line="360" w:lineRule="auto"/>
        <w:ind w:firstLine="1"/>
        <w:jc w:val="both"/>
        <w:rPr>
          <w:rFonts w:ascii="Palatino Linotype" w:hAnsi="Palatino Linotype" w:cs="Tahoma"/>
          <w:bCs/>
          <w:iCs/>
        </w:rPr>
      </w:pPr>
      <w:r w:rsidRPr="00B178A8">
        <w:rPr>
          <w:rFonts w:ascii="Palatino Linotype" w:hAnsi="Palatino Linotype" w:cs="Tahoma"/>
          <w:bCs/>
          <w:iCs/>
        </w:rPr>
        <w:t xml:space="preserve">Por lo que al haber turnado la solicitud a dicha unidad administrativa es que se tiene que </w:t>
      </w:r>
      <w:r w:rsidRPr="00B178A8">
        <w:rPr>
          <w:rFonts w:ascii="Palatino Linotype" w:eastAsia="Palatino Linotype" w:hAnsi="Palatino Linotype" w:cs="Palatino Linotype"/>
        </w:rPr>
        <w:t xml:space="preserve">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0B4D6C8B"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lastRenderedPageBreak/>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3449D7D4"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0FE9B6DC"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1418DD68"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18F29D33"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2E856CC5" w14:textId="77777777" w:rsidR="002D5CFF" w:rsidRPr="00B178A8" w:rsidRDefault="002D5CFF" w:rsidP="002D5CFF">
      <w:pPr>
        <w:spacing w:after="240" w:line="360" w:lineRule="auto"/>
        <w:ind w:left="28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w:t>
      </w:r>
      <w:r w:rsidRPr="00B178A8">
        <w:rPr>
          <w:rFonts w:ascii="Palatino Linotype" w:eastAsia="Palatino Linotype" w:hAnsi="Palatino Linotype" w:cs="Palatino Linotype"/>
        </w:rPr>
        <w:lastRenderedPageBreak/>
        <w:t xml:space="preserve">Obligados darán por concluida la solicitud y procederán de ser el caso, a la destrucción del material; </w:t>
      </w:r>
    </w:p>
    <w:p w14:paraId="4FAA80BB" w14:textId="77777777" w:rsidR="002D5CFF" w:rsidRPr="00B178A8" w:rsidRDefault="002D5CFF" w:rsidP="002D5CFF">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En este orden de ideas, se reitera que la solicitud al turnarse a la unidad administrativa que cuentan con atribuciones para generar, administrar o poseer la información relacionada con unidades económicas, es que se acreditó la correcta búsqueda exhaustiva y razonable de la información.</w:t>
      </w:r>
    </w:p>
    <w:p w14:paraId="78311873" w14:textId="77777777" w:rsidR="002D5CFF" w:rsidRPr="00B178A8" w:rsidRDefault="002D5CFF" w:rsidP="002D5CFF">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Establecido lo anterior es de recordar que el particular fue muy preciso en requerir la información de empresas dedicadas a la fabricación de productos metálicos.</w:t>
      </w:r>
    </w:p>
    <w:p w14:paraId="7878873D" w14:textId="77777777" w:rsidR="002D5CFF" w:rsidRPr="00B178A8" w:rsidRDefault="002D5CFF" w:rsidP="002D5CFF">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Derivado de la naturaleza de la información requerida, se debe mencionar que la emisión de una licencia o permiso de funcionamiento son a petición de parte. Esto es, para que el Ayuntamiento emita una licencia o permiso, es necesario que el interesado acuda a las oficinas y cumpla con los requisitos previamente establecidos para tal efecto.</w:t>
      </w:r>
    </w:p>
    <w:p w14:paraId="05ED7E92" w14:textId="77777777" w:rsidR="002D5CFF" w:rsidRPr="00B178A8" w:rsidRDefault="002D5CFF" w:rsidP="002D5CFF">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En ese sentido, el Sujeto Obligado a través del servidor público habilitado competente refirió que no se encontró registro alguno en el padrón de unidades económicas del Municipio que se dedique a la fabricación de productos metálicos.</w:t>
      </w:r>
    </w:p>
    <w:p w14:paraId="15FB8496" w14:textId="77777777" w:rsidR="002D5CFF" w:rsidRPr="00B178A8" w:rsidRDefault="002D5CFF" w:rsidP="002D5CFF">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Ante la manifestación del Sujeto Obligado, se tiene que estamos en presencia de los denominados </w:t>
      </w:r>
      <w:r w:rsidRPr="00B178A8">
        <w:rPr>
          <w:rFonts w:ascii="Palatino Linotype" w:eastAsia="Palatino Linotype" w:hAnsi="Palatino Linotype" w:cs="Palatino Linotype"/>
          <w:i/>
        </w:rPr>
        <w:t>“hechos negativos”,</w:t>
      </w:r>
      <w:r w:rsidRPr="00B178A8">
        <w:rPr>
          <w:rFonts w:ascii="Palatino Linotype" w:eastAsia="Palatino Linotype" w:hAnsi="Palatino Linotype" w:cs="Palatino Linotype"/>
        </w:rPr>
        <w:t xml:space="preserve"> los cuales se definen como: </w:t>
      </w:r>
    </w:p>
    <w:p w14:paraId="22BAC00D" w14:textId="77777777" w:rsidR="002D5CFF" w:rsidRPr="00B178A8" w:rsidRDefault="002D5CFF" w:rsidP="002D5CFF">
      <w:pPr>
        <w:spacing w:line="360" w:lineRule="auto"/>
        <w:ind w:left="851" w:right="843"/>
        <w:jc w:val="both"/>
        <w:rPr>
          <w:rFonts w:ascii="Palatino Linotype" w:eastAsia="Palatino Linotype" w:hAnsi="Palatino Linotype" w:cs="Palatino Linotype"/>
          <w:i/>
        </w:rPr>
      </w:pPr>
      <w:r w:rsidRPr="00B178A8">
        <w:rPr>
          <w:rFonts w:ascii="Palatino Linotype" w:eastAsia="Palatino Linotype" w:hAnsi="Palatino Linotype" w:cs="Palatino Linotype"/>
          <w:b/>
          <w:i/>
        </w:rPr>
        <w:t>HECHOS NEGATIVOS, NO SON SUSCEPTIBLES DE DEMOSTRACIÓN.</w:t>
      </w:r>
      <w:r w:rsidRPr="00B178A8">
        <w:rPr>
          <w:rFonts w:ascii="Palatino Linotype" w:eastAsia="Palatino Linotype" w:hAnsi="Palatino Linotype" w:cs="Palatino Linotype"/>
          <w:i/>
        </w:rPr>
        <w:t xml:space="preserve"> Tratándose de un hecho negativo, el Juez no tiene por qué invocar prueba alguna de la que se desprenda, ya que es bien sabido que esta clase de hechos no son susceptibles de demostración. </w:t>
      </w:r>
    </w:p>
    <w:p w14:paraId="0117FC72" w14:textId="77777777" w:rsidR="002D5CFF" w:rsidRPr="00B178A8" w:rsidRDefault="002D5CFF" w:rsidP="002D5CFF">
      <w:pPr>
        <w:spacing w:line="360" w:lineRule="auto"/>
        <w:ind w:right="49"/>
        <w:jc w:val="both"/>
        <w:rPr>
          <w:rFonts w:ascii="Palatino Linotype" w:eastAsia="Palatino Linotype" w:hAnsi="Palatino Linotype" w:cs="Palatino Linotype"/>
          <w:b/>
          <w:u w:val="single"/>
        </w:rPr>
      </w:pPr>
      <w:r w:rsidRPr="00B178A8">
        <w:rPr>
          <w:rFonts w:ascii="Palatino Linotype" w:eastAsia="Palatino Linotype" w:hAnsi="Palatino Linotype" w:cs="Palatino Linotype"/>
          <w:b/>
          <w:u w:val="single"/>
        </w:rPr>
        <w:lastRenderedPageBreak/>
        <w:t xml:space="preserve">De lo anterior, se concluye que resulta materialmente imposible la entrega de información que no se ha generado, poseído o administrado por el Sujeto Obligado, debido a que no obra en sus archivos. </w:t>
      </w:r>
    </w:p>
    <w:p w14:paraId="72F69E80" w14:textId="7BBA2294" w:rsidR="002D5CFF" w:rsidRPr="00B178A8" w:rsidRDefault="002D5CFF" w:rsidP="002D5CFF">
      <w:pPr>
        <w:spacing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De ello, resulta necesario traer a colación lo que establece el Criterio orientador 31/10 emitido por el </w:t>
      </w:r>
      <w:r w:rsidR="008A667A" w:rsidRPr="00B178A8">
        <w:rPr>
          <w:rFonts w:ascii="Palatino Linotype" w:eastAsia="Palatino Linotype" w:hAnsi="Palatino Linotype" w:cs="Palatino Linotype"/>
        </w:rPr>
        <w:t>entonces Instituto</w:t>
      </w:r>
      <w:r w:rsidRPr="00B178A8">
        <w:rPr>
          <w:rFonts w:ascii="Palatino Linotype" w:eastAsia="Palatino Linotype" w:hAnsi="Palatino Linotype" w:cs="Palatino Linotype"/>
        </w:rPr>
        <w:t xml:space="preserve"> Nacional de Transparencia, Acceso a la Información y Protección de Datos Personales que señala lo siguiente: </w:t>
      </w:r>
    </w:p>
    <w:p w14:paraId="76299145" w14:textId="77777777" w:rsidR="002D5CFF" w:rsidRPr="00B178A8" w:rsidRDefault="002D5CFF" w:rsidP="002D5CFF">
      <w:pPr>
        <w:spacing w:line="360" w:lineRule="auto"/>
        <w:ind w:left="851" w:right="843"/>
        <w:jc w:val="both"/>
        <w:rPr>
          <w:rFonts w:ascii="Palatino Linotype" w:hAnsi="Palatino Linotype" w:cs="Arial"/>
          <w:i/>
        </w:rPr>
      </w:pPr>
      <w:r w:rsidRPr="00B178A8">
        <w:rPr>
          <w:rFonts w:ascii="Palatino Linotype" w:hAnsi="Palatino Linotype" w:cs="Arial"/>
          <w:b/>
          <w:i/>
        </w:rPr>
        <w:t xml:space="preserve">El Instituto Federal de Acceso a la Información y Protección de Datos no cuenta con facultades para pronunciarse respecto de la veracidad de los documentos proporcionados por los sujetos obligados. </w:t>
      </w:r>
      <w:r w:rsidRPr="00B178A8">
        <w:rPr>
          <w:rFonts w:ascii="Palatino Linotype" w:hAnsi="Palatino Linotype" w:cs="Arial"/>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D87EFB3" w14:textId="77777777" w:rsidR="002D5CFF" w:rsidRPr="00B178A8" w:rsidRDefault="002D5CFF" w:rsidP="002D5CFF">
      <w:pPr>
        <w:spacing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Es así que, este Organismo Garante no cuenta con facultades para pronunciarse de la veracidad de la información que los sujetos obligados ponen a disposición de los particulares, aunado a ello, de conformidad con el artículo 12 de la Ley de Transparencia y Acceso a la Información Pública del Estado de México y Municipios, los sujetos obligados únicamente proporcionarán la información que se les requiera, tal como obren en sus archivos. </w:t>
      </w:r>
    </w:p>
    <w:p w14:paraId="3DBB1C6C" w14:textId="5747385C" w:rsidR="00111532" w:rsidRPr="00B178A8" w:rsidRDefault="007268C0" w:rsidP="008622E7">
      <w:pP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lastRenderedPageBreak/>
        <w:t xml:space="preserve">Es así que, debido a que,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a través de su unidad administrativa competente, mediante informe justificado </w:t>
      </w:r>
      <w:r w:rsidR="002D5CFF" w:rsidRPr="00B178A8">
        <w:rPr>
          <w:rFonts w:ascii="Palatino Linotype" w:eastAsia="Palatino Linotype" w:hAnsi="Palatino Linotype" w:cs="Palatino Linotype"/>
        </w:rPr>
        <w:t xml:space="preserve">indicó que no cuenta con registro de unidades económicas con el giro que indicó el particular, es que se determina que la información </w:t>
      </w:r>
      <w:r w:rsidR="00081B9F" w:rsidRPr="00B178A8">
        <w:rPr>
          <w:rFonts w:ascii="Palatino Linotype" w:eastAsia="Palatino Linotype" w:hAnsi="Palatino Linotype" w:cs="Palatino Linotype"/>
        </w:rPr>
        <w:t xml:space="preserve"> atiende los requerimientos del particular</w:t>
      </w:r>
      <w:r w:rsidRPr="00B178A8">
        <w:rPr>
          <w:rFonts w:ascii="Palatino Linotype" w:eastAsia="Palatino Linotype" w:hAnsi="Palatino Linotype" w:cs="Palatino Linotype"/>
        </w:rPr>
        <w:t xml:space="preserve">; </w:t>
      </w:r>
      <w:r w:rsidR="002D5CFF" w:rsidRPr="00B178A8">
        <w:rPr>
          <w:rFonts w:ascii="Palatino Linotype" w:eastAsia="Palatino Linotype" w:hAnsi="Palatino Linotype" w:cs="Palatino Linotype"/>
        </w:rPr>
        <w:t xml:space="preserve">en consecuencia, </w:t>
      </w:r>
      <w:r w:rsidRPr="00B178A8">
        <w:rPr>
          <w:rFonts w:ascii="Palatino Linotype" w:eastAsia="Palatino Linotype" w:hAnsi="Palatino Linotype" w:cs="Palatino Linotype"/>
        </w:rPr>
        <w:t>se actualiza la causal prevista en la fracción III del artículo 192 de la Ley de Transparencia y Acceso a la Información Pública del Estado de México y Municipios, que establece que el sobreseimiento del recurso de revisión procede en los siguientes casos:</w:t>
      </w:r>
    </w:p>
    <w:p w14:paraId="4E3E3D64"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44C5FD38" w14:textId="77777777" w:rsidR="00111532" w:rsidRPr="00B178A8" w:rsidRDefault="007268C0" w:rsidP="008622E7">
      <w:pPr>
        <w:spacing w:after="0" w:line="360" w:lineRule="auto"/>
        <w:ind w:right="900" w:firstLine="567"/>
        <w:jc w:val="both"/>
        <w:rPr>
          <w:rFonts w:ascii="Palatino Linotype" w:eastAsia="Palatino Linotype" w:hAnsi="Palatino Linotype" w:cs="Palatino Linotype"/>
        </w:rPr>
      </w:pPr>
      <w:r w:rsidRPr="00B178A8">
        <w:rPr>
          <w:rFonts w:ascii="Palatino Linotype" w:eastAsia="Palatino Linotype" w:hAnsi="Palatino Linotype" w:cs="Palatino Linotype"/>
        </w:rPr>
        <w:t>a) Cuando el sujeto obligado modifique el acto impugnado y;</w:t>
      </w:r>
    </w:p>
    <w:p w14:paraId="7A9029A7" w14:textId="77777777" w:rsidR="00111532" w:rsidRPr="00B178A8" w:rsidRDefault="007268C0" w:rsidP="008622E7">
      <w:pPr>
        <w:spacing w:after="0" w:line="360" w:lineRule="auto"/>
        <w:ind w:right="900" w:firstLine="567"/>
        <w:jc w:val="both"/>
        <w:rPr>
          <w:rFonts w:ascii="Palatino Linotype" w:eastAsia="Palatino Linotype" w:hAnsi="Palatino Linotype" w:cs="Palatino Linotype"/>
        </w:rPr>
      </w:pPr>
      <w:r w:rsidRPr="00B178A8">
        <w:rPr>
          <w:rFonts w:ascii="Palatino Linotype" w:eastAsia="Palatino Linotype" w:hAnsi="Palatino Linotype" w:cs="Palatino Linotype"/>
        </w:rPr>
        <w:t>b) Cuando el sujeto obligado revoque el acto impugnado.</w:t>
      </w:r>
    </w:p>
    <w:p w14:paraId="079AE37B" w14:textId="77777777" w:rsidR="00111532" w:rsidRPr="00B178A8" w:rsidRDefault="00111532" w:rsidP="008622E7">
      <w:pPr>
        <w:spacing w:after="0" w:line="360" w:lineRule="auto"/>
        <w:ind w:right="900" w:firstLine="567"/>
        <w:jc w:val="both"/>
        <w:rPr>
          <w:rFonts w:ascii="Palatino Linotype" w:eastAsia="Palatino Linotype" w:hAnsi="Palatino Linotype" w:cs="Palatino Linotype"/>
        </w:rPr>
      </w:pPr>
    </w:p>
    <w:p w14:paraId="5C15AA3E" w14:textId="77777777"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Quedando en ambos casos el acto combatido sin materia o sin efectos.</w:t>
      </w:r>
    </w:p>
    <w:p w14:paraId="2E53F862" w14:textId="77777777" w:rsidR="008622E7" w:rsidRPr="00B178A8" w:rsidRDefault="008622E7" w:rsidP="008622E7">
      <w:pPr>
        <w:spacing w:after="0" w:line="360" w:lineRule="auto"/>
        <w:jc w:val="both"/>
        <w:rPr>
          <w:rFonts w:ascii="Palatino Linotype" w:eastAsia="Palatino Linotype" w:hAnsi="Palatino Linotype" w:cs="Palatino Linotype"/>
        </w:rPr>
      </w:pPr>
    </w:p>
    <w:p w14:paraId="795F0CB9" w14:textId="666C8D82"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Como se observa de lo anterior, un acto impugnado es modificado en aquellos casos en los que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después de haber otorgado una respuesta, emite una diversa de manera posterior y en esta subsana las deficiencias que hubiera tenido, quedando satisfecho el derecho subjetivo accionado por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w:t>
      </w:r>
    </w:p>
    <w:p w14:paraId="6FFF8D22" w14:textId="6D7DA01F"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Por lo que hace a la revocación, esta se actualiza cuando el </w:t>
      </w:r>
      <w:r w:rsidRPr="00B178A8">
        <w:rPr>
          <w:rFonts w:ascii="Palatino Linotype" w:eastAsia="Palatino Linotype" w:hAnsi="Palatino Linotype" w:cs="Palatino Linotype"/>
          <w:b/>
        </w:rPr>
        <w:t xml:space="preserve">Sujeto Obligado </w:t>
      </w:r>
      <w:r w:rsidRPr="00B178A8">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6BAAC149" w14:textId="0774B4AF"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15D04900" w14:textId="234454F3"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En tanto, el recurso de revisión de referencia queda sin materia, toda vez que, con el informe justificado,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modificó su respuesta al pronunciarse sobre lo solicitado.</w:t>
      </w:r>
    </w:p>
    <w:p w14:paraId="2DB11E05" w14:textId="3377A45E" w:rsidR="008622E7" w:rsidRPr="00B178A8" w:rsidRDefault="008622E7" w:rsidP="008622E7">
      <w:pPr>
        <w:spacing w:line="360" w:lineRule="auto"/>
        <w:jc w:val="both"/>
        <w:rPr>
          <w:rFonts w:ascii="Palatino Linotype" w:eastAsia="Palatino Linotype" w:hAnsi="Palatino Linotype" w:cs="Palatino Linotype"/>
        </w:rPr>
      </w:pPr>
      <w:bookmarkStart w:id="4" w:name="_heading=h.lnxbz9" w:colFirst="0" w:colLast="0"/>
      <w:bookmarkEnd w:id="4"/>
      <w:r w:rsidRPr="00B178A8">
        <w:rPr>
          <w:rFonts w:ascii="Palatino Linotype" w:eastAsia="Palatino Linotype" w:hAnsi="Palatino Linotype" w:cs="Palatino Linotype"/>
        </w:rPr>
        <w:lastRenderedPageBreak/>
        <w:t xml:space="preserve">Por lo que, tomando en consideración dicha circunstancia, así como el hecho de que la información proporcionada por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en informe justificado fue puesta a la vista de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y de su análisis se advierte que colma el derecho de acceso a la información del particular, por ende, queda sin materia el recurso de revisión </w:t>
      </w:r>
      <w:r w:rsidR="00841B36" w:rsidRPr="00B178A8">
        <w:rPr>
          <w:rFonts w:ascii="Palatino Linotype" w:eastAsia="Palatino Linotype" w:hAnsi="Palatino Linotype" w:cs="Palatino Linotype"/>
          <w:b/>
        </w:rPr>
        <w:t>13344/INFOEM/IP/RR/2025</w:t>
      </w:r>
      <w:r w:rsidRPr="00B178A8">
        <w:rPr>
          <w:rFonts w:ascii="Palatino Linotype" w:eastAsia="Palatino Linotype" w:hAnsi="Palatino Linotype" w:cs="Palatino Linotype"/>
        </w:rPr>
        <w:t>, consecuentemente se actualiza la causal prevista de sobreseimiento antes transcrita; resultando procedente el sobreseimiento de dicho medio de impugnación en términos del artículo 186, fracción I de la Ley de Transparencia y Acceso a la Información Pública del Estado de México y Municipios.</w:t>
      </w:r>
    </w:p>
    <w:p w14:paraId="78E662FE" w14:textId="164F4B66"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Lo anterior, pues se insiste el </w:t>
      </w:r>
      <w:r w:rsidRPr="00B178A8">
        <w:rPr>
          <w:rFonts w:ascii="Palatino Linotype" w:eastAsia="Palatino Linotype" w:hAnsi="Palatino Linotype" w:cs="Palatino Linotype"/>
          <w:b/>
        </w:rPr>
        <w:t>Sujeto Obligado</w:t>
      </w:r>
      <w:r w:rsidRPr="00B178A8">
        <w:rPr>
          <w:rFonts w:ascii="Palatino Linotype" w:eastAsia="Palatino Linotype" w:hAnsi="Palatino Linotype" w:cs="Palatino Linotype"/>
        </w:rPr>
        <w:t xml:space="preserve"> atendió de la solicitud de acceso a la información pública de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3970ACE0" w14:textId="77777777" w:rsidR="008622E7" w:rsidRPr="00B178A8" w:rsidRDefault="008622E7" w:rsidP="008622E7">
      <w:pPr>
        <w:spacing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Siendo el </w:t>
      </w:r>
      <w:r w:rsidRPr="00B178A8">
        <w:rPr>
          <w:rFonts w:ascii="Palatino Linotype" w:eastAsia="Palatino Linotype" w:hAnsi="Palatino Linotype" w:cs="Palatino Linotype"/>
          <w:i/>
        </w:rPr>
        <w:t>sobreseimiento</w:t>
      </w:r>
      <w:r w:rsidRPr="00B178A8">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los efectos del sobreseimiento son los de dar por concluido el recurso administrativo sin entrar al estudio de fondo del asunto de que se trate; lo anterior con apoyo en el criterio del Poder Judicial de la Federación con rubro:</w:t>
      </w:r>
    </w:p>
    <w:p w14:paraId="32A4D7EE" w14:textId="77777777" w:rsidR="008622E7" w:rsidRPr="00B178A8" w:rsidRDefault="008622E7" w:rsidP="008622E7">
      <w:pPr>
        <w:spacing w:before="240" w:line="360" w:lineRule="auto"/>
        <w:ind w:left="567" w:right="567"/>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r w:rsidRPr="00B178A8">
        <w:rPr>
          <w:rFonts w:ascii="Palatino Linotype" w:eastAsia="Palatino Linotype" w:hAnsi="Palatino Linotype" w:cs="Palatino Linotype"/>
          <w:b/>
          <w:i/>
        </w:rPr>
        <w:t xml:space="preserve">SOBRESEIMIENTO, NO PERMITE ENTRAR AL ESTUDIO DE LAS CUESTIONES DE FONDO </w:t>
      </w:r>
      <w:r w:rsidRPr="00B178A8">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0CEE505E" w14:textId="14FEEE69" w:rsidR="008622E7" w:rsidRPr="00B178A8" w:rsidRDefault="008622E7" w:rsidP="008622E7">
      <w:pPr>
        <w:spacing w:line="360" w:lineRule="auto"/>
        <w:ind w:left="567" w:right="567"/>
        <w:jc w:val="both"/>
        <w:rPr>
          <w:rFonts w:ascii="Palatino Linotype" w:eastAsia="Palatino Linotype" w:hAnsi="Palatino Linotype" w:cs="Palatino Linotype"/>
          <w:i/>
        </w:rPr>
      </w:pPr>
      <w:r w:rsidRPr="00B178A8">
        <w:rPr>
          <w:rFonts w:ascii="Palatino Linotype" w:eastAsia="Palatino Linotype" w:hAnsi="Palatino Linotype" w:cs="Palatino Linotype"/>
          <w:i/>
        </w:rPr>
        <w:lastRenderedPageBreak/>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D8DCE63" w14:textId="77777777" w:rsidR="008622E7" w:rsidRPr="00B178A8" w:rsidRDefault="008622E7" w:rsidP="008622E7">
      <w:pPr>
        <w:spacing w:after="24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34337432" w14:textId="77777777" w:rsidR="008622E7" w:rsidRPr="00B178A8" w:rsidRDefault="008622E7" w:rsidP="008622E7">
      <w:pPr>
        <w:spacing w:before="240" w:line="360" w:lineRule="auto"/>
        <w:ind w:left="567" w:right="567"/>
        <w:jc w:val="both"/>
        <w:rPr>
          <w:rFonts w:ascii="Palatino Linotype" w:eastAsia="Palatino Linotype" w:hAnsi="Palatino Linotype" w:cs="Palatino Linotype"/>
          <w:b/>
          <w:i/>
        </w:rPr>
      </w:pPr>
      <w:r w:rsidRPr="00B178A8">
        <w:rPr>
          <w:rFonts w:ascii="Palatino Linotype" w:eastAsia="Palatino Linotype" w:hAnsi="Palatino Linotype" w:cs="Palatino Linotype"/>
        </w:rPr>
        <w:t xml:space="preserve"> </w:t>
      </w:r>
      <w:r w:rsidRPr="00B178A8">
        <w:rPr>
          <w:rFonts w:ascii="Palatino Linotype" w:eastAsia="Palatino Linotype" w:hAnsi="Palatino Linotype" w:cs="Palatino Linotype"/>
          <w:b/>
          <w:i/>
        </w:rPr>
        <w:t>“DESECHAMIENTO O SOBRESEIMIENTO EN EL JUICIO DE AMPARO. NO IMPLICA DENEGACIÓN DE JUSTICIA NI GENERA INSEGURIDAD JURÍDICA”</w:t>
      </w:r>
    </w:p>
    <w:p w14:paraId="7C207D4F" w14:textId="52E3FD52" w:rsidR="008622E7" w:rsidRPr="00B178A8" w:rsidRDefault="008622E7" w:rsidP="008622E7">
      <w:pPr>
        <w:spacing w:line="360" w:lineRule="auto"/>
        <w:ind w:left="567" w:right="567"/>
        <w:jc w:val="both"/>
        <w:rPr>
          <w:rFonts w:ascii="Palatino Linotype" w:eastAsia="Palatino Linotype" w:hAnsi="Palatino Linotype" w:cs="Palatino Linotype"/>
          <w:i/>
        </w:rPr>
      </w:pPr>
      <w:r w:rsidRPr="00B178A8">
        <w:rPr>
          <w:rFonts w:ascii="Palatino Linotype" w:eastAsia="Palatino Linotype" w:hAnsi="Palatino Linotype" w:cs="Palatino Linotype"/>
          <w:i/>
        </w:rPr>
        <w:t>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67B3BA2" w14:textId="0C3A156E" w:rsidR="00D60FAE" w:rsidRPr="00B178A8" w:rsidRDefault="008622E7" w:rsidP="008622E7">
      <w:pPr>
        <w:spacing w:line="360" w:lineRule="auto"/>
        <w:jc w:val="both"/>
        <w:rPr>
          <w:rFonts w:ascii="Palatino Linotype" w:eastAsia="Palatino Linotype" w:hAnsi="Palatino Linotype" w:cs="Palatino Linotype"/>
        </w:rPr>
      </w:pPr>
      <w:bookmarkStart w:id="5" w:name="_heading=h.2et92p0" w:colFirst="0" w:colLast="0"/>
      <w:bookmarkEnd w:id="5"/>
      <w:r w:rsidRPr="00B178A8">
        <w:rPr>
          <w:rFonts w:ascii="Palatino Linotype" w:eastAsia="Palatino Linotype" w:hAnsi="Palatino Linotype" w:cs="Palatino Linotype"/>
        </w:rPr>
        <w:lastRenderedPageBreak/>
        <w:t xml:space="preserve">Bajo ese tenor con fundamento en la segunda hipótesis de la fracción I del artículo 186, de la Ley de Transparencia y Acceso a la Información Pública del Estado de México y Municipios, se </w:t>
      </w:r>
      <w:r w:rsidRPr="00B178A8">
        <w:rPr>
          <w:rFonts w:ascii="Palatino Linotype" w:eastAsia="Palatino Linotype" w:hAnsi="Palatino Linotype" w:cs="Palatino Linotype"/>
          <w:i/>
        </w:rPr>
        <w:t>Sobresee</w:t>
      </w:r>
      <w:r w:rsidRPr="00B178A8">
        <w:rPr>
          <w:rFonts w:ascii="Palatino Linotype" w:eastAsia="Palatino Linotype" w:hAnsi="Palatino Linotype" w:cs="Palatino Linotype"/>
          <w:b/>
        </w:rPr>
        <w:t xml:space="preserve"> </w:t>
      </w:r>
      <w:r w:rsidRPr="00B178A8">
        <w:rPr>
          <w:rFonts w:ascii="Palatino Linotype" w:eastAsia="Palatino Linotype" w:hAnsi="Palatino Linotype" w:cs="Palatino Linotype"/>
        </w:rPr>
        <w:t xml:space="preserve">el recurso de revisión </w:t>
      </w:r>
      <w:r w:rsidR="00841B36" w:rsidRPr="00B178A8">
        <w:rPr>
          <w:rFonts w:ascii="Palatino Linotype" w:eastAsia="Palatino Linotype" w:hAnsi="Palatino Linotype" w:cs="Palatino Linotype"/>
          <w:b/>
        </w:rPr>
        <w:t>13344/INFOEM/IP/RR/2025</w:t>
      </w:r>
      <w:r w:rsidRPr="00B178A8">
        <w:rPr>
          <w:rFonts w:ascii="Palatino Linotype" w:eastAsia="Palatino Linotype" w:hAnsi="Palatino Linotype" w:cs="Palatino Linotype"/>
        </w:rPr>
        <w:t>, que ha sido materia del presente fallo.</w:t>
      </w:r>
    </w:p>
    <w:p w14:paraId="5B1DFB21" w14:textId="77777777" w:rsidR="002D5CFF" w:rsidRPr="00B178A8" w:rsidRDefault="002D5CFF" w:rsidP="002D5CFF">
      <w:pPr>
        <w:spacing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Por último y no menos importante, es de mencionar que el Recurrente se inconformó porque el Comité de Transparencia no emitió el acuerdo de inexistencia, incumpliendo con las formalidades que exige la normatividad en la materia. </w:t>
      </w:r>
    </w:p>
    <w:p w14:paraId="0995468D"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En el presente asunto en particular es de suma importancia contemplar lo que dispone el artículo 19, de la Ley de Transparencia y Acceso a la Información Pública del Estado de México y Municipios, cuyo contenido es el siguiente: </w:t>
      </w:r>
    </w:p>
    <w:p w14:paraId="6EA97745" w14:textId="77777777" w:rsidR="002D5CFF" w:rsidRPr="00B178A8" w:rsidRDefault="002D5CFF" w:rsidP="002D5CFF">
      <w:pPr>
        <w:tabs>
          <w:tab w:val="left" w:pos="8789"/>
        </w:tabs>
        <w:spacing w:after="80" w:line="360" w:lineRule="auto"/>
        <w:ind w:left="567"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 xml:space="preserve">Artículo 19. Se presume que la información debe existir si se refiere a las facultades, competencias y funciones que los ordenamientos jurídicos aplicables otorgan a los sujetos obligados. </w:t>
      </w:r>
    </w:p>
    <w:p w14:paraId="76517B30" w14:textId="77777777" w:rsidR="002D5CFF" w:rsidRPr="00B178A8" w:rsidRDefault="002D5CFF" w:rsidP="002D5CFF">
      <w:pPr>
        <w:tabs>
          <w:tab w:val="left" w:pos="8789"/>
        </w:tabs>
        <w:spacing w:after="80" w:line="360" w:lineRule="auto"/>
        <w:ind w:left="567"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En los casos en que ciertas facultades, competencias o funciones no se hayan ejercido, se debe motivar la respuesta en función de las causas que motiven tal circunstancia.</w:t>
      </w:r>
    </w:p>
    <w:p w14:paraId="42A3CFAC"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t>El Sujeto Obligado tiene atribución de generar la información requerida ya que es parte de las atribuciones, funciones y competencias, sin embargo, no es necesario que emita un acuerdo el Comité de Transparencia ya que</w:t>
      </w:r>
      <w:bookmarkStart w:id="6" w:name="_heading=h.o2otskcqbeu2" w:colFirst="0" w:colLast="0"/>
      <w:bookmarkEnd w:id="6"/>
      <w:r w:rsidRPr="00B178A8">
        <w:rPr>
          <w:rFonts w:ascii="Palatino Linotype" w:eastAsia="Palatino Linotype" w:hAnsi="Palatino Linotype" w:cs="Palatino Linotype"/>
        </w:rPr>
        <w:t xml:space="preserve"> la simple manifestación del Servidor Público Habilitado Responsable de haber buscado y no encontrar la documentación requerida por no haberse generado, atiende el requerimiento. En razón de que la atribución corresponde a una facultad </w:t>
      </w:r>
      <w:r w:rsidRPr="00B178A8">
        <w:rPr>
          <w:rFonts w:ascii="Palatino Linotype" w:eastAsia="Palatino Linotype" w:hAnsi="Palatino Linotype" w:cs="Palatino Linotype"/>
          <w:b/>
        </w:rPr>
        <w:t>potestativa, es decir, puede o no ejercerse</w:t>
      </w:r>
      <w:r w:rsidRPr="00B178A8">
        <w:rPr>
          <w:rFonts w:ascii="Palatino Linotype" w:eastAsia="Palatino Linotype" w:hAnsi="Palatino Linotype" w:cs="Palatino Linotype"/>
        </w:rPr>
        <w:t xml:space="preserve">. Mientras que, el acuerdo de inexistencia implica la emisión de un acto formal de la máxima autoridad en materia de transparencia, del Sujeto Obligado para sustentar, de manera fundada y motivada, que la información que el Recurrente solicitó no obra en sus archivos, tomando en consideración que este Organismo Garante ordena dicho acuerdo, solamente en los casos en los que se tiene </w:t>
      </w:r>
      <w:r w:rsidRPr="00B178A8">
        <w:rPr>
          <w:rFonts w:ascii="Palatino Linotype" w:eastAsia="Palatino Linotype" w:hAnsi="Palatino Linotype" w:cs="Palatino Linotype"/>
        </w:rPr>
        <w:lastRenderedPageBreak/>
        <w:t>certeza de la previa existencia de la información con los debidos elementos de convicción o bien, por contar con un mandato de ley que establezca expresamente la generación, administración o posesión la documentación en el ejercicio de sus funciones, atribuciones y competencias y que, por alguna circunstancia, como pueden ser: baja, extravío, robo, sustracción, entre otras; la información ya no obra en poder del Sujeto Obligado, como lo estipula el artículo 19, tercer párrafo de la Ley de Transparencia y Acceso a la Información Pública del Estado de México y Municipios, cuyo contenido es el siguiente:</w:t>
      </w:r>
    </w:p>
    <w:p w14:paraId="65F61878" w14:textId="77777777" w:rsidR="002D5CFF" w:rsidRPr="00B178A8" w:rsidRDefault="002D5CFF" w:rsidP="002D5CFF">
      <w:pPr>
        <w:tabs>
          <w:tab w:val="left" w:pos="8789"/>
        </w:tabs>
        <w:spacing w:after="80" w:line="360" w:lineRule="auto"/>
        <w:ind w:left="567"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Artículo 19. Se presume que la información debe existir si se refiere a las facultades, competencias y funciones que los ordenamientos jurídicos aplicables otorgan a los sujetos obligados.</w:t>
      </w:r>
    </w:p>
    <w:p w14:paraId="2D15B346" w14:textId="77777777" w:rsidR="002D5CFF" w:rsidRPr="00B178A8" w:rsidRDefault="002D5CFF" w:rsidP="002D5CFF">
      <w:pPr>
        <w:tabs>
          <w:tab w:val="left" w:pos="8789"/>
        </w:tabs>
        <w:spacing w:after="80" w:line="360" w:lineRule="auto"/>
        <w:ind w:left="567"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w:t>
      </w:r>
    </w:p>
    <w:p w14:paraId="348B4BB0" w14:textId="77777777" w:rsidR="002D5CFF" w:rsidRPr="00B178A8" w:rsidRDefault="002D5CFF" w:rsidP="002D5CFF">
      <w:pPr>
        <w:tabs>
          <w:tab w:val="left" w:pos="8789"/>
        </w:tabs>
        <w:spacing w:after="80" w:line="360" w:lineRule="auto"/>
        <w:ind w:left="567" w:right="843"/>
        <w:jc w:val="both"/>
        <w:rPr>
          <w:rFonts w:ascii="Palatino Linotype" w:eastAsia="Palatino Linotype" w:hAnsi="Palatino Linotype" w:cs="Palatino Linotype"/>
          <w:i/>
        </w:rPr>
      </w:pPr>
      <w:r w:rsidRPr="00B178A8">
        <w:rPr>
          <w:rFonts w:ascii="Palatino Linotype" w:eastAsia="Palatino Linotype" w:hAnsi="Palatino Linotype" w:cs="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14:paraId="5EE36ECF"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p>
    <w:p w14:paraId="561EED2A"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En ese orden de ideas, es de señalar que la emisión de un acuerdo de inexistencia, únicamente es procedente cuando se determina que la información es inexistente, debido a que, el Sujeto Obligado </w:t>
      </w:r>
      <w:r w:rsidRPr="00B178A8">
        <w:rPr>
          <w:rFonts w:ascii="Palatino Linotype" w:eastAsia="Palatino Linotype" w:hAnsi="Palatino Linotype" w:cs="Palatino Linotype"/>
          <w:b/>
        </w:rPr>
        <w:t xml:space="preserve">debió haber generado y poseído la información </w:t>
      </w:r>
      <w:r w:rsidRPr="00B178A8">
        <w:rPr>
          <w:rFonts w:ascii="Palatino Linotype" w:eastAsia="Palatino Linotype" w:hAnsi="Palatino Linotype" w:cs="Palatino Linotype"/>
        </w:rPr>
        <w:t>requerida por existir fuente obligacional que así lo establezca y, para ello en principio se deberán observar ciertas formalidades exigidas por la Ley de Transparencia y Acceso a la Información Pública del Estado de México y Municipios</w:t>
      </w:r>
      <w:r w:rsidRPr="00B178A8">
        <w:rPr>
          <w:rFonts w:ascii="Palatino Linotype" w:eastAsia="Palatino Linotype" w:hAnsi="Palatino Linotype" w:cs="Palatino Linotype"/>
          <w:i/>
        </w:rPr>
        <w:t xml:space="preserve"> </w:t>
      </w:r>
      <w:r w:rsidRPr="00B178A8">
        <w:rPr>
          <w:rFonts w:ascii="Palatino Linotype" w:eastAsia="Palatino Linotype" w:hAnsi="Palatino Linotype" w:cs="Palatino Linotype"/>
        </w:rPr>
        <w:t xml:space="preserve">entre las cuales se encuentra notificar al órgano interno de control o equivalente del sujeto obligado quien, en su caso, </w:t>
      </w:r>
      <w:r w:rsidRPr="00B178A8">
        <w:rPr>
          <w:rFonts w:ascii="Palatino Linotype" w:eastAsia="Palatino Linotype" w:hAnsi="Palatino Linotype" w:cs="Palatino Linotype"/>
          <w:b/>
          <w:u w:val="single"/>
        </w:rPr>
        <w:t>deberá iniciar el procedimiento de responsabilidad administrativa que corresponda</w:t>
      </w:r>
      <w:r w:rsidRPr="00B178A8">
        <w:rPr>
          <w:rFonts w:ascii="Palatino Linotype" w:eastAsia="Palatino Linotype" w:hAnsi="Palatino Linotype" w:cs="Palatino Linotype"/>
        </w:rPr>
        <w:t xml:space="preserve">. </w:t>
      </w:r>
    </w:p>
    <w:p w14:paraId="7B7D48A9"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p>
    <w:p w14:paraId="10596486" w14:textId="77777777" w:rsidR="002D5CFF" w:rsidRPr="00B178A8" w:rsidRDefault="002D5CFF" w:rsidP="002D5CFF">
      <w:pPr>
        <w:tabs>
          <w:tab w:val="left" w:pos="8789"/>
        </w:tabs>
        <w:spacing w:after="80" w:line="360" w:lineRule="auto"/>
        <w:ind w:right="134"/>
        <w:jc w:val="both"/>
        <w:rPr>
          <w:rFonts w:ascii="Palatino Linotype" w:eastAsia="Palatino Linotype" w:hAnsi="Palatino Linotype" w:cs="Palatino Linotype"/>
        </w:rPr>
      </w:pPr>
      <w:r w:rsidRPr="00B178A8">
        <w:rPr>
          <w:rFonts w:ascii="Palatino Linotype" w:eastAsia="Palatino Linotype" w:hAnsi="Palatino Linotype" w:cs="Palatino Linotype"/>
        </w:rPr>
        <w:lastRenderedPageBreak/>
        <w:t>De lo anterior, se colige que, la emisión del acuerdo de inexistencia da pauta a que, se inicie un procedimiento de responsabilidad administrativa por no obrar información obligatoria de generar, administrar y poseer, en los archivos del Sujeto Obligado; no obstante, no hay que perder de vista que, en el presente asunto, hay elementos que permiten identificar que la información que solicitó el particular si fue generada, administrada y poseída por el Sujeto Obligado, por lo que se hace de conocimiento al Recurrente que no es necesario que el Comité de Transparencia confirme la inexistencia de la información.</w:t>
      </w:r>
    </w:p>
    <w:p w14:paraId="486EF843" w14:textId="54EEE93A" w:rsidR="009E5892" w:rsidRPr="00B178A8" w:rsidRDefault="007268C0" w:rsidP="008622E7">
      <w:pPr>
        <w:spacing w:after="0" w:line="360" w:lineRule="auto"/>
        <w:ind w:right="49"/>
        <w:jc w:val="both"/>
        <w:rPr>
          <w:rFonts w:ascii="Palatino Linotype" w:eastAsia="Palatino Linotype" w:hAnsi="Palatino Linotype" w:cs="Palatino Linotype"/>
        </w:rPr>
      </w:pPr>
      <w:r w:rsidRPr="00B178A8">
        <w:rPr>
          <w:rFonts w:ascii="Palatino Linotype" w:eastAsia="Palatino Linotype" w:hAnsi="Palatino Linotype" w:cs="Palatino Linotype"/>
        </w:rPr>
        <w:t xml:space="preserve">Así, con fundamento en lo prescrito en los artículos </w:t>
      </w:r>
      <w:r w:rsidR="00F50686" w:rsidRPr="00B178A8">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B178A8">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2681315B" w14:textId="77777777" w:rsidR="00C709B8" w:rsidRPr="00B178A8" w:rsidRDefault="00C709B8" w:rsidP="008622E7">
      <w:pPr>
        <w:spacing w:after="0" w:line="360" w:lineRule="auto"/>
        <w:ind w:right="49"/>
        <w:jc w:val="both"/>
        <w:rPr>
          <w:rFonts w:ascii="Palatino Linotype" w:eastAsia="Palatino Linotype" w:hAnsi="Palatino Linotype" w:cs="Palatino Linotype"/>
        </w:rPr>
      </w:pPr>
    </w:p>
    <w:p w14:paraId="0D9E70B1" w14:textId="77777777" w:rsidR="00111532" w:rsidRPr="00B178A8" w:rsidRDefault="007268C0" w:rsidP="008622E7">
      <w:pPr>
        <w:spacing w:after="0" w:line="360" w:lineRule="auto"/>
        <w:ind w:right="49"/>
        <w:jc w:val="center"/>
        <w:rPr>
          <w:rFonts w:ascii="Palatino Linotype" w:eastAsia="Palatino Linotype" w:hAnsi="Palatino Linotype" w:cs="Palatino Linotype"/>
          <w:b/>
        </w:rPr>
      </w:pPr>
      <w:r w:rsidRPr="00B178A8">
        <w:rPr>
          <w:rFonts w:ascii="Palatino Linotype" w:eastAsia="Palatino Linotype" w:hAnsi="Palatino Linotype" w:cs="Palatino Linotype"/>
          <w:b/>
        </w:rPr>
        <w:t>III.</w:t>
      </w:r>
      <w:r w:rsidRPr="00B178A8">
        <w:rPr>
          <w:rFonts w:ascii="Palatino Linotype" w:eastAsia="Palatino Linotype" w:hAnsi="Palatino Linotype" w:cs="Palatino Linotype"/>
          <w:b/>
        </w:rPr>
        <w:tab/>
        <w:t>R E S U E L V E:</w:t>
      </w:r>
    </w:p>
    <w:p w14:paraId="1255DBD8"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02DFA106" w14:textId="4606FC6D"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t xml:space="preserve">PRIMERO. </w:t>
      </w:r>
      <w:r w:rsidRPr="00B178A8">
        <w:rPr>
          <w:rFonts w:ascii="Palatino Linotype" w:eastAsia="Palatino Linotype" w:hAnsi="Palatino Linotype" w:cs="Palatino Linotype"/>
        </w:rPr>
        <w:t xml:space="preserve">Se </w:t>
      </w:r>
      <w:r w:rsidRPr="00B178A8">
        <w:rPr>
          <w:rFonts w:ascii="Palatino Linotype" w:eastAsia="Palatino Linotype" w:hAnsi="Palatino Linotype" w:cs="Palatino Linotype"/>
          <w:b/>
        </w:rPr>
        <w:t xml:space="preserve">Sobresee </w:t>
      </w:r>
      <w:r w:rsidRPr="00B178A8">
        <w:rPr>
          <w:rFonts w:ascii="Palatino Linotype" w:eastAsia="Palatino Linotype" w:hAnsi="Palatino Linotype" w:cs="Palatino Linotype"/>
        </w:rPr>
        <w:t>el Recurso de Revisión número</w:t>
      </w:r>
      <w:r w:rsidRPr="00B178A8">
        <w:rPr>
          <w:rFonts w:ascii="Palatino Linotype" w:eastAsia="Palatino Linotype" w:hAnsi="Palatino Linotype" w:cs="Palatino Linotype"/>
          <w:b/>
        </w:rPr>
        <w:t xml:space="preserve"> </w:t>
      </w:r>
      <w:r w:rsidR="005D14E9" w:rsidRPr="00B178A8">
        <w:rPr>
          <w:rFonts w:ascii="Palatino Linotype" w:eastAsia="Palatino Linotype" w:hAnsi="Palatino Linotype" w:cs="Palatino Linotype"/>
          <w:b/>
        </w:rPr>
        <w:t>13</w:t>
      </w:r>
      <w:r w:rsidR="00841B36" w:rsidRPr="00B178A8">
        <w:rPr>
          <w:rFonts w:ascii="Palatino Linotype" w:eastAsia="Palatino Linotype" w:hAnsi="Palatino Linotype" w:cs="Palatino Linotype"/>
          <w:b/>
        </w:rPr>
        <w:t>344</w:t>
      </w:r>
      <w:r w:rsidR="005D14E9" w:rsidRPr="00B178A8">
        <w:rPr>
          <w:rFonts w:ascii="Palatino Linotype" w:eastAsia="Palatino Linotype" w:hAnsi="Palatino Linotype" w:cs="Palatino Linotype"/>
          <w:b/>
        </w:rPr>
        <w:t>/INFOEM/IP/RR/2025</w:t>
      </w:r>
      <w:r w:rsidRPr="00B178A8">
        <w:rPr>
          <w:rFonts w:ascii="Palatino Linotype" w:eastAsia="Palatino Linotype" w:hAnsi="Palatino Linotype" w:cs="Palatino Linotype"/>
        </w:rPr>
        <w:t xml:space="preserve">, porque el </w:t>
      </w:r>
      <w:r w:rsidRPr="00B178A8">
        <w:rPr>
          <w:rFonts w:ascii="Palatino Linotype" w:eastAsia="Palatino Linotype" w:hAnsi="Palatino Linotype" w:cs="Palatino Linotype"/>
          <w:b/>
        </w:rPr>
        <w:t xml:space="preserve">Sujeto Obligado </w:t>
      </w:r>
      <w:r w:rsidRPr="00B178A8">
        <w:rPr>
          <w:rFonts w:ascii="Palatino Linotype" w:eastAsia="Palatino Linotype" w:hAnsi="Palatino Linotype" w:cs="Palatino Linotype"/>
        </w:rPr>
        <w:t xml:space="preserve">al modificar su respuesta inicial, mediante informe justificado, el medio de impugnación quedó sin materia, de conformidad con lo dispuesto en la fracción III del artículo 192 de la Ley de Transparencia y Acceso a la Información Pública del Estado de México y Municipios en términos del </w:t>
      </w:r>
      <w:r w:rsidRPr="00B178A8">
        <w:rPr>
          <w:rFonts w:ascii="Palatino Linotype" w:eastAsia="Palatino Linotype" w:hAnsi="Palatino Linotype" w:cs="Palatino Linotype"/>
          <w:b/>
        </w:rPr>
        <w:t>Considerando Tercero</w:t>
      </w:r>
      <w:r w:rsidRPr="00B178A8">
        <w:rPr>
          <w:rFonts w:ascii="Palatino Linotype" w:eastAsia="Palatino Linotype" w:hAnsi="Palatino Linotype" w:cs="Palatino Linotype"/>
        </w:rPr>
        <w:t xml:space="preserve"> de la presente resolución.</w:t>
      </w:r>
    </w:p>
    <w:p w14:paraId="58311575" w14:textId="77777777" w:rsidR="00111532" w:rsidRPr="00B178A8" w:rsidRDefault="00111532" w:rsidP="008622E7">
      <w:pPr>
        <w:spacing w:after="0" w:line="360" w:lineRule="auto"/>
        <w:jc w:val="both"/>
        <w:rPr>
          <w:rFonts w:ascii="Palatino Linotype" w:eastAsia="Palatino Linotype" w:hAnsi="Palatino Linotype" w:cs="Palatino Linotype"/>
        </w:rPr>
      </w:pPr>
    </w:p>
    <w:p w14:paraId="6E10FEC6" w14:textId="77777777" w:rsidR="00111532" w:rsidRPr="00B178A8" w:rsidRDefault="007268C0" w:rsidP="008622E7">
      <w:pPr>
        <w:spacing w:after="0" w:line="360" w:lineRule="auto"/>
        <w:jc w:val="both"/>
        <w:rPr>
          <w:rFonts w:ascii="Palatino Linotype" w:eastAsia="Palatino Linotype" w:hAnsi="Palatino Linotype" w:cs="Palatino Linotype"/>
          <w:b/>
        </w:rPr>
      </w:pPr>
      <w:r w:rsidRPr="00B178A8">
        <w:rPr>
          <w:rFonts w:ascii="Palatino Linotype" w:eastAsia="Palatino Linotype" w:hAnsi="Palatino Linotype" w:cs="Palatino Linotype"/>
          <w:b/>
        </w:rPr>
        <w:t xml:space="preserve">SEGUNDO. Notifíquese </w:t>
      </w:r>
      <w:r w:rsidRPr="00B178A8">
        <w:rPr>
          <w:rFonts w:ascii="Palatino Linotype" w:eastAsia="Palatino Linotype" w:hAnsi="Palatino Linotype" w:cs="Palatino Linotype"/>
        </w:rPr>
        <w:t>a través del</w:t>
      </w:r>
      <w:r w:rsidRPr="00B178A8">
        <w:rPr>
          <w:rFonts w:ascii="Palatino Linotype" w:eastAsia="Palatino Linotype" w:hAnsi="Palatino Linotype" w:cs="Palatino Linotype"/>
          <w:b/>
        </w:rPr>
        <w:t xml:space="preserve"> Sistema de Acceso a la Información Mexiquense</w:t>
      </w:r>
      <w:r w:rsidRPr="00B178A8">
        <w:rPr>
          <w:rFonts w:ascii="Palatino Linotype" w:eastAsia="Palatino Linotype" w:hAnsi="Palatino Linotype" w:cs="Palatino Linotype"/>
        </w:rPr>
        <w:t xml:space="preserve"> </w:t>
      </w:r>
      <w:r w:rsidRPr="00B178A8">
        <w:rPr>
          <w:rFonts w:ascii="Palatino Linotype" w:eastAsia="Palatino Linotype" w:hAnsi="Palatino Linotype" w:cs="Palatino Linotype"/>
          <w:b/>
        </w:rPr>
        <w:t xml:space="preserve">(SAIMEX) </w:t>
      </w:r>
      <w:r w:rsidRPr="00B178A8">
        <w:rPr>
          <w:rFonts w:ascii="Palatino Linotype" w:eastAsia="Palatino Linotype" w:hAnsi="Palatino Linotype" w:cs="Palatino Linotype"/>
        </w:rPr>
        <w:t>la presente resolución a la Titular de la Unidad de Transparencia del</w:t>
      </w:r>
      <w:r w:rsidRPr="00B178A8">
        <w:rPr>
          <w:rFonts w:ascii="Palatino Linotype" w:eastAsia="Palatino Linotype" w:hAnsi="Palatino Linotype" w:cs="Palatino Linotype"/>
          <w:b/>
        </w:rPr>
        <w:t xml:space="preserve"> Sujeto Obligado. </w:t>
      </w:r>
    </w:p>
    <w:p w14:paraId="1D0AD789" w14:textId="77777777" w:rsidR="00111532" w:rsidRPr="00B178A8" w:rsidRDefault="00111532" w:rsidP="008622E7">
      <w:pPr>
        <w:spacing w:after="0" w:line="360" w:lineRule="auto"/>
        <w:jc w:val="both"/>
        <w:rPr>
          <w:rFonts w:ascii="Palatino Linotype" w:eastAsia="Palatino Linotype" w:hAnsi="Palatino Linotype" w:cs="Palatino Linotype"/>
          <w:b/>
        </w:rPr>
      </w:pPr>
    </w:p>
    <w:p w14:paraId="43FB61EF" w14:textId="77777777" w:rsidR="00111532" w:rsidRPr="00B178A8" w:rsidRDefault="007268C0" w:rsidP="008622E7">
      <w:pPr>
        <w:spacing w:after="0" w:line="360" w:lineRule="auto"/>
        <w:jc w:val="both"/>
        <w:rPr>
          <w:rFonts w:ascii="Palatino Linotype" w:eastAsia="Palatino Linotype" w:hAnsi="Palatino Linotype" w:cs="Palatino Linotype"/>
        </w:rPr>
      </w:pPr>
      <w:r w:rsidRPr="00B178A8">
        <w:rPr>
          <w:rFonts w:ascii="Palatino Linotype" w:eastAsia="Palatino Linotype" w:hAnsi="Palatino Linotype" w:cs="Palatino Linotype"/>
          <w:b/>
        </w:rPr>
        <w:lastRenderedPageBreak/>
        <w:t xml:space="preserve">TERCERO. Notifíquese a través del Sistema de Acceso a la Información Mexiquense (SAIMEX) </w:t>
      </w:r>
      <w:r w:rsidRPr="00B178A8">
        <w:rPr>
          <w:rFonts w:ascii="Palatino Linotype" w:eastAsia="Palatino Linotype" w:hAnsi="Palatino Linotype" w:cs="Palatino Linotype"/>
        </w:rPr>
        <w:t xml:space="preserve">a la parte </w:t>
      </w:r>
      <w:r w:rsidRPr="00B178A8">
        <w:rPr>
          <w:rFonts w:ascii="Palatino Linotype" w:eastAsia="Palatino Linotype" w:hAnsi="Palatino Linotype" w:cs="Palatino Linotype"/>
          <w:b/>
        </w:rPr>
        <w:t>Recurrente,</w:t>
      </w:r>
      <w:r w:rsidRPr="00B178A8">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B178A8" w:rsidRDefault="00111532" w:rsidP="008622E7">
      <w:pPr>
        <w:spacing w:after="0" w:line="360" w:lineRule="auto"/>
        <w:ind w:right="49"/>
        <w:jc w:val="both"/>
        <w:rPr>
          <w:rFonts w:ascii="Palatino Linotype" w:eastAsia="Palatino Linotype" w:hAnsi="Palatino Linotype" w:cs="Palatino Linotype"/>
        </w:rPr>
      </w:pPr>
    </w:p>
    <w:p w14:paraId="0BC14E49" w14:textId="61D4D53A" w:rsidR="00111532" w:rsidRPr="004102A7" w:rsidRDefault="007268C0" w:rsidP="008622E7">
      <w:pPr>
        <w:spacing w:after="0" w:line="360" w:lineRule="auto"/>
        <w:ind w:right="-93"/>
        <w:jc w:val="both"/>
        <w:rPr>
          <w:rFonts w:ascii="Palatino Linotype" w:eastAsia="Palatino Linotype" w:hAnsi="Palatino Linotype" w:cs="Palatino Linotype"/>
        </w:rPr>
      </w:pPr>
      <w:bookmarkStart w:id="7" w:name="_heading=h.jm729bhb23qj" w:colFirst="0" w:colLast="0"/>
      <w:bookmarkEnd w:id="7"/>
      <w:r w:rsidRPr="00B178A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Y GUADALUPE RAMÍREZ PEÑA; EN LA </w:t>
      </w:r>
      <w:r w:rsidR="00841B36" w:rsidRPr="00B178A8">
        <w:rPr>
          <w:rFonts w:ascii="Palatino Linotype" w:eastAsia="Palatino Linotype" w:hAnsi="Palatino Linotype" w:cs="Palatino Linotype"/>
        </w:rPr>
        <w:t>SEGUNDA</w:t>
      </w:r>
      <w:r w:rsidR="00281EE2" w:rsidRPr="00B178A8">
        <w:rPr>
          <w:rFonts w:ascii="Palatino Linotype" w:eastAsia="Palatino Linotype" w:hAnsi="Palatino Linotype" w:cs="Palatino Linotype"/>
        </w:rPr>
        <w:t xml:space="preserve"> ORDINARIA CELEBRADA EL </w:t>
      </w:r>
      <w:r w:rsidR="00841B36" w:rsidRPr="00B178A8">
        <w:rPr>
          <w:rFonts w:ascii="Palatino Linotype" w:eastAsia="Palatino Linotype" w:hAnsi="Palatino Linotype" w:cs="Palatino Linotype"/>
        </w:rPr>
        <w:t>VEINTIUNO</w:t>
      </w:r>
      <w:r w:rsidRPr="00B178A8">
        <w:rPr>
          <w:rFonts w:ascii="Palatino Linotype" w:eastAsia="Palatino Linotype" w:hAnsi="Palatino Linotype" w:cs="Palatino Linotype"/>
        </w:rPr>
        <w:t xml:space="preserve"> DE </w:t>
      </w:r>
      <w:r w:rsidR="00841B36" w:rsidRPr="00B178A8">
        <w:rPr>
          <w:rFonts w:ascii="Palatino Linotype" w:eastAsia="Palatino Linotype" w:hAnsi="Palatino Linotype" w:cs="Palatino Linotype"/>
        </w:rPr>
        <w:t>ENERO</w:t>
      </w:r>
      <w:r w:rsidR="00281EE2" w:rsidRPr="00B178A8">
        <w:rPr>
          <w:rFonts w:ascii="Palatino Linotype" w:eastAsia="Palatino Linotype" w:hAnsi="Palatino Linotype" w:cs="Palatino Linotype"/>
        </w:rPr>
        <w:t xml:space="preserve"> </w:t>
      </w:r>
      <w:r w:rsidRPr="00B178A8">
        <w:rPr>
          <w:rFonts w:ascii="Palatino Linotype" w:eastAsia="Palatino Linotype" w:hAnsi="Palatino Linotype" w:cs="Palatino Linotype"/>
        </w:rPr>
        <w:t>DE DOS MIL VEINTI</w:t>
      </w:r>
      <w:r w:rsidR="00841B36" w:rsidRPr="00B178A8">
        <w:rPr>
          <w:rFonts w:ascii="Palatino Linotype" w:eastAsia="Palatino Linotype" w:hAnsi="Palatino Linotype" w:cs="Palatino Linotype"/>
        </w:rPr>
        <w:t>SÉIS,</w:t>
      </w:r>
      <w:r w:rsidRPr="00B178A8">
        <w:rPr>
          <w:rFonts w:ascii="Palatino Linotype" w:eastAsia="Palatino Linotype" w:hAnsi="Palatino Linotype" w:cs="Palatino Linotype"/>
        </w:rPr>
        <w:t xml:space="preserve"> ANTE EL SECRETARIO TÉCNICO DEL PLENO ALEXIS TAPIA RAMÍREZ.</w:t>
      </w:r>
    </w:p>
    <w:p w14:paraId="11E50277"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199C4EB3"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1C83D6BC"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08D1BC7F"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71391193"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35643282"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5FF273AD"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734C9481"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5BE9FED7"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3AE26030" w14:textId="77777777" w:rsidR="00111532" w:rsidRPr="004102A7" w:rsidRDefault="00111532" w:rsidP="008622E7">
      <w:pPr>
        <w:spacing w:after="0" w:line="360" w:lineRule="auto"/>
        <w:ind w:right="49"/>
        <w:jc w:val="both"/>
        <w:rPr>
          <w:rFonts w:ascii="Palatino Linotype" w:eastAsia="Palatino Linotype" w:hAnsi="Palatino Linotype" w:cs="Palatino Linotype"/>
        </w:rPr>
      </w:pPr>
    </w:p>
    <w:p w14:paraId="22F7B546"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13F20EAE"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4829F14B"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0C1A9A0C"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739482FE"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237232CD"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6F13A4EE"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5FAB4315"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483969F3"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5DA269A4"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3ABB94AA"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494320AA"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2F48EA9B"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p w14:paraId="1B5D15C7" w14:textId="77777777" w:rsidR="00903DD8" w:rsidRPr="004102A7" w:rsidRDefault="00903DD8" w:rsidP="008622E7">
      <w:pPr>
        <w:spacing w:after="0" w:line="360" w:lineRule="auto"/>
        <w:ind w:right="49"/>
        <w:jc w:val="both"/>
        <w:rPr>
          <w:rFonts w:ascii="Palatino Linotype" w:eastAsia="Palatino Linotype" w:hAnsi="Palatino Linotype" w:cs="Palatino Linotype"/>
        </w:rPr>
      </w:pPr>
    </w:p>
    <w:sectPr w:rsidR="00903DD8" w:rsidRPr="004102A7">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77C5" w14:textId="77777777" w:rsidR="00740157" w:rsidRDefault="00740157">
      <w:pPr>
        <w:spacing w:after="0" w:line="240" w:lineRule="auto"/>
      </w:pPr>
      <w:r>
        <w:separator/>
      </w:r>
    </w:p>
  </w:endnote>
  <w:endnote w:type="continuationSeparator" w:id="0">
    <w:p w14:paraId="120F9FDE" w14:textId="77777777" w:rsidR="00740157" w:rsidRDefault="0074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0BD0F322" w:rsidR="005A0571" w:rsidRDefault="005A057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75629">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75629">
      <w:rPr>
        <w:b/>
        <w:noProof/>
        <w:color w:val="000000"/>
        <w:sz w:val="24"/>
        <w:szCs w:val="24"/>
      </w:rPr>
      <w:t>23</w:t>
    </w:r>
    <w:r>
      <w:rPr>
        <w:b/>
        <w:color w:val="000000"/>
        <w:sz w:val="24"/>
        <w:szCs w:val="24"/>
      </w:rPr>
      <w:fldChar w:fldCharType="end"/>
    </w:r>
  </w:p>
  <w:p w14:paraId="249A6D42"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69FC823C" w:rsidR="005A0571" w:rsidRDefault="005A057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67562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675629">
      <w:rPr>
        <w:b/>
        <w:noProof/>
        <w:color w:val="000000"/>
        <w:sz w:val="24"/>
        <w:szCs w:val="24"/>
      </w:rPr>
      <w:t>23</w:t>
    </w:r>
    <w:r>
      <w:rPr>
        <w:b/>
        <w:color w:val="000000"/>
        <w:sz w:val="24"/>
        <w:szCs w:val="24"/>
      </w:rPr>
      <w:fldChar w:fldCharType="end"/>
    </w:r>
  </w:p>
  <w:p w14:paraId="73CE73BA"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A16A9" w14:textId="77777777" w:rsidR="00740157" w:rsidRDefault="00740157">
      <w:pPr>
        <w:spacing w:after="0" w:line="240" w:lineRule="auto"/>
      </w:pPr>
      <w:r>
        <w:separator/>
      </w:r>
    </w:p>
  </w:footnote>
  <w:footnote w:type="continuationSeparator" w:id="0">
    <w:p w14:paraId="4048AAA7" w14:textId="77777777" w:rsidR="00740157" w:rsidRDefault="00740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5A0571" w:rsidRDefault="005A057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5A0571" w14:paraId="7B9E895B" w14:textId="77777777">
      <w:tc>
        <w:tcPr>
          <w:tcW w:w="2551" w:type="dxa"/>
          <w:vAlign w:val="center"/>
        </w:tcPr>
        <w:p w14:paraId="26998ACA"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29ECBB48"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13</w:t>
          </w:r>
          <w:r>
            <w:rPr>
              <w:rFonts w:ascii="Palatino Linotype" w:eastAsia="Palatino Linotype" w:hAnsi="Palatino Linotype" w:cs="Palatino Linotype"/>
              <w:b/>
              <w:color w:val="000000"/>
            </w:rPr>
            <w:t>344</w:t>
          </w:r>
          <w:r w:rsidRPr="008622E7">
            <w:rPr>
              <w:rFonts w:ascii="Palatino Linotype" w:eastAsia="Palatino Linotype" w:hAnsi="Palatino Linotype" w:cs="Palatino Linotype"/>
              <w:b/>
              <w:color w:val="000000"/>
            </w:rPr>
            <w:t>/INFOEM/IP/RR/2025</w:t>
          </w:r>
        </w:p>
      </w:tc>
    </w:tr>
    <w:tr w:rsidR="005A0571" w14:paraId="517C1E5B" w14:textId="77777777">
      <w:trPr>
        <w:trHeight w:val="228"/>
      </w:trPr>
      <w:tc>
        <w:tcPr>
          <w:tcW w:w="2551" w:type="dxa"/>
          <w:vAlign w:val="center"/>
        </w:tcPr>
        <w:p w14:paraId="74EB9DE2" w14:textId="0BC40ED7"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7B9D109C" w:rsidR="005A0571" w:rsidRDefault="005A0571" w:rsidP="00841B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Tonatico</w:t>
          </w:r>
        </w:p>
      </w:tc>
    </w:tr>
    <w:tr w:rsidR="005A0571" w14:paraId="7E3E43B4" w14:textId="77777777">
      <w:tc>
        <w:tcPr>
          <w:tcW w:w="2551" w:type="dxa"/>
          <w:vAlign w:val="center"/>
        </w:tcPr>
        <w:p w14:paraId="21A57B67"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5A0571" w:rsidRDefault="005A057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5A0571" w14:paraId="2F57A214" w14:textId="77777777" w:rsidTr="00F04FE9">
      <w:trPr>
        <w:trHeight w:val="169"/>
      </w:trPr>
      <w:tc>
        <w:tcPr>
          <w:tcW w:w="2578" w:type="dxa"/>
          <w:vAlign w:val="center"/>
        </w:tcPr>
        <w:p w14:paraId="0DBB41C1"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2ABB1461" w:rsidR="005A0571" w:rsidRDefault="005A0571">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13</w:t>
          </w:r>
          <w:r>
            <w:rPr>
              <w:rFonts w:ascii="Palatino Linotype" w:eastAsia="Palatino Linotype" w:hAnsi="Palatino Linotype" w:cs="Palatino Linotype"/>
              <w:b/>
              <w:color w:val="000000"/>
            </w:rPr>
            <w:t>344</w:t>
          </w:r>
          <w:r w:rsidRPr="008622E7">
            <w:rPr>
              <w:rFonts w:ascii="Palatino Linotype" w:eastAsia="Palatino Linotype" w:hAnsi="Palatino Linotype" w:cs="Palatino Linotype"/>
              <w:b/>
              <w:color w:val="000000"/>
            </w:rPr>
            <w:t>/INFOEM/IP/RR/2025</w:t>
          </w:r>
        </w:p>
      </w:tc>
    </w:tr>
    <w:tr w:rsidR="005A0571" w14:paraId="0D359C28" w14:textId="77777777" w:rsidTr="00F04FE9">
      <w:trPr>
        <w:trHeight w:val="169"/>
      </w:trPr>
      <w:tc>
        <w:tcPr>
          <w:tcW w:w="2578" w:type="dxa"/>
          <w:vAlign w:val="center"/>
        </w:tcPr>
        <w:p w14:paraId="4FF19A61"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72FCB48D" w:rsidR="005A0571" w:rsidRDefault="006C4A84" w:rsidP="006C4A84">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 XXXXXXXXX XXXXX XXXXXXXXX </w:t>
          </w:r>
        </w:p>
      </w:tc>
    </w:tr>
    <w:tr w:rsidR="005A0571" w14:paraId="6E3F8E15" w14:textId="77777777" w:rsidTr="00F04FE9">
      <w:trPr>
        <w:trHeight w:val="128"/>
      </w:trPr>
      <w:tc>
        <w:tcPr>
          <w:tcW w:w="2578" w:type="dxa"/>
          <w:vAlign w:val="center"/>
        </w:tcPr>
        <w:p w14:paraId="669F847B" w14:textId="58AAC997"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7300FB4F" w:rsidR="005A0571" w:rsidRDefault="005A057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Tonatico</w:t>
          </w:r>
        </w:p>
      </w:tc>
    </w:tr>
    <w:tr w:rsidR="005A0571" w14:paraId="782B2503" w14:textId="77777777" w:rsidTr="00F04FE9">
      <w:trPr>
        <w:trHeight w:val="169"/>
      </w:trPr>
      <w:tc>
        <w:tcPr>
          <w:tcW w:w="2578" w:type="dxa"/>
          <w:vAlign w:val="center"/>
        </w:tcPr>
        <w:p w14:paraId="173AA67B"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5A0571" w:rsidRDefault="005A057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C03322"/>
    <w:multiLevelType w:val="hybridMultilevel"/>
    <w:tmpl w:val="95741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2"/>
  </w:num>
  <w:num w:numId="3">
    <w:abstractNumId w:val="1"/>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70C0"/>
    <w:rsid w:val="00081B9F"/>
    <w:rsid w:val="000C1BE9"/>
    <w:rsid w:val="001050FE"/>
    <w:rsid w:val="00111532"/>
    <w:rsid w:val="00121FAA"/>
    <w:rsid w:val="00130C4C"/>
    <w:rsid w:val="00246485"/>
    <w:rsid w:val="00281EE2"/>
    <w:rsid w:val="002C3F3A"/>
    <w:rsid w:val="002D5CFF"/>
    <w:rsid w:val="00314084"/>
    <w:rsid w:val="003516F7"/>
    <w:rsid w:val="003708EE"/>
    <w:rsid w:val="00374F2D"/>
    <w:rsid w:val="00396D18"/>
    <w:rsid w:val="003F421D"/>
    <w:rsid w:val="004102A7"/>
    <w:rsid w:val="00452790"/>
    <w:rsid w:val="00487FA8"/>
    <w:rsid w:val="004C2D4A"/>
    <w:rsid w:val="004C7B72"/>
    <w:rsid w:val="004D18E8"/>
    <w:rsid w:val="004D375A"/>
    <w:rsid w:val="004E71B7"/>
    <w:rsid w:val="00511D2E"/>
    <w:rsid w:val="00522A3C"/>
    <w:rsid w:val="00541A40"/>
    <w:rsid w:val="005964FC"/>
    <w:rsid w:val="005A0571"/>
    <w:rsid w:val="005A6406"/>
    <w:rsid w:val="005A7395"/>
    <w:rsid w:val="005A74C2"/>
    <w:rsid w:val="005D14E9"/>
    <w:rsid w:val="00620D94"/>
    <w:rsid w:val="00630A4C"/>
    <w:rsid w:val="006377EA"/>
    <w:rsid w:val="00675629"/>
    <w:rsid w:val="00681C70"/>
    <w:rsid w:val="00686708"/>
    <w:rsid w:val="006960DA"/>
    <w:rsid w:val="006B64E9"/>
    <w:rsid w:val="006C4A84"/>
    <w:rsid w:val="006D2B11"/>
    <w:rsid w:val="006E7920"/>
    <w:rsid w:val="00710B3C"/>
    <w:rsid w:val="007268C0"/>
    <w:rsid w:val="00740157"/>
    <w:rsid w:val="00776D32"/>
    <w:rsid w:val="00801C27"/>
    <w:rsid w:val="0080595E"/>
    <w:rsid w:val="00841B36"/>
    <w:rsid w:val="008622E7"/>
    <w:rsid w:val="00863063"/>
    <w:rsid w:val="008655F3"/>
    <w:rsid w:val="008725EB"/>
    <w:rsid w:val="00890B5C"/>
    <w:rsid w:val="008A667A"/>
    <w:rsid w:val="008F31F2"/>
    <w:rsid w:val="008F7E65"/>
    <w:rsid w:val="00903DD8"/>
    <w:rsid w:val="00917D30"/>
    <w:rsid w:val="009A17F5"/>
    <w:rsid w:val="009A5733"/>
    <w:rsid w:val="009E4804"/>
    <w:rsid w:val="009E5892"/>
    <w:rsid w:val="00A1102A"/>
    <w:rsid w:val="00A837C1"/>
    <w:rsid w:val="00AA18AD"/>
    <w:rsid w:val="00AA2497"/>
    <w:rsid w:val="00AC3FF9"/>
    <w:rsid w:val="00AC5FF9"/>
    <w:rsid w:val="00AE1ECB"/>
    <w:rsid w:val="00B05786"/>
    <w:rsid w:val="00B132D2"/>
    <w:rsid w:val="00B15E6A"/>
    <w:rsid w:val="00B178A8"/>
    <w:rsid w:val="00B17FD9"/>
    <w:rsid w:val="00B24EBB"/>
    <w:rsid w:val="00BB54F4"/>
    <w:rsid w:val="00BB76CB"/>
    <w:rsid w:val="00C709B8"/>
    <w:rsid w:val="00C75FBA"/>
    <w:rsid w:val="00CB70A4"/>
    <w:rsid w:val="00D02162"/>
    <w:rsid w:val="00D12250"/>
    <w:rsid w:val="00D23D17"/>
    <w:rsid w:val="00D60FAE"/>
    <w:rsid w:val="00E40677"/>
    <w:rsid w:val="00E74093"/>
    <w:rsid w:val="00E74823"/>
    <w:rsid w:val="00ED10E8"/>
    <w:rsid w:val="00EF2405"/>
    <w:rsid w:val="00F009BB"/>
    <w:rsid w:val="00F04FE9"/>
    <w:rsid w:val="00F44569"/>
    <w:rsid w:val="00F50686"/>
    <w:rsid w:val="00F760E1"/>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3363656">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 w:id="2088845079">
      <w:bodyDiv w:val="1"/>
      <w:marLeft w:val="0"/>
      <w:marRight w:val="0"/>
      <w:marTop w:val="0"/>
      <w:marBottom w:val="0"/>
      <w:divBdr>
        <w:top w:val="none" w:sz="0" w:space="0" w:color="auto"/>
        <w:left w:val="none" w:sz="0" w:space="0" w:color="auto"/>
        <w:bottom w:val="none" w:sz="0" w:space="0" w:color="auto"/>
        <w:right w:val="none" w:sz="0" w:space="0" w:color="auto"/>
      </w:divBdr>
    </w:div>
    <w:div w:id="211860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5688</Words>
  <Characters>31287</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3</cp:revision>
  <cp:lastPrinted>2026-01-23T18:57:00Z</cp:lastPrinted>
  <dcterms:created xsi:type="dcterms:W3CDTF">2026-03-23T17:07:00Z</dcterms:created>
  <dcterms:modified xsi:type="dcterms:W3CDTF">2026-03-23T17:09:00Z</dcterms:modified>
</cp:coreProperties>
</file>