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0FBB5" w14:textId="0BD38ED7" w:rsidR="00562A90" w:rsidRPr="00F1727B" w:rsidRDefault="0062255D">
      <w:pPr>
        <w:spacing w:before="240" w:after="240" w:line="360" w:lineRule="auto"/>
        <w:jc w:val="both"/>
        <w:rPr>
          <w:rFonts w:ascii="Palatino Linotype" w:eastAsia="Palatino Linotype" w:hAnsi="Palatino Linotype" w:cs="Palatino Linotype"/>
          <w:sz w:val="22"/>
          <w:szCs w:val="22"/>
        </w:rPr>
      </w:pPr>
      <w:bookmarkStart w:id="0" w:name="_heading=h.3rdcrjn" w:colFirst="0" w:colLast="0"/>
      <w:bookmarkStart w:id="1" w:name="_GoBack"/>
      <w:bookmarkEnd w:id="0"/>
      <w:bookmarkEnd w:id="1"/>
      <w:r w:rsidRPr="00F1727B">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w:t>
      </w:r>
      <w:r w:rsidR="00447DB1" w:rsidRPr="00F1727B">
        <w:rPr>
          <w:rFonts w:ascii="Palatino Linotype" w:eastAsia="Palatino Linotype" w:hAnsi="Palatino Linotype" w:cs="Palatino Linotype"/>
          <w:sz w:val="22"/>
          <w:szCs w:val="22"/>
        </w:rPr>
        <w:t>en Metepec, Estado de México, a</w:t>
      </w:r>
      <w:r w:rsidR="00016E26" w:rsidRPr="00F1727B">
        <w:rPr>
          <w:rFonts w:ascii="Palatino Linotype" w:eastAsia="Palatino Linotype" w:hAnsi="Palatino Linotype" w:cs="Palatino Linotype"/>
          <w:sz w:val="22"/>
          <w:szCs w:val="22"/>
        </w:rPr>
        <w:t xml:space="preserve"> </w:t>
      </w:r>
      <w:r w:rsidR="006F4E73" w:rsidRPr="00F1727B">
        <w:rPr>
          <w:rFonts w:ascii="Palatino Linotype" w:eastAsia="Palatino Linotype" w:hAnsi="Palatino Linotype" w:cs="Palatino Linotype"/>
          <w:sz w:val="22"/>
          <w:szCs w:val="22"/>
        </w:rPr>
        <w:t xml:space="preserve">cinco de </w:t>
      </w:r>
      <w:r w:rsidR="00754A2B" w:rsidRPr="00F1727B">
        <w:rPr>
          <w:rFonts w:ascii="Palatino Linotype" w:eastAsia="Palatino Linotype" w:hAnsi="Palatino Linotype" w:cs="Palatino Linotype"/>
          <w:sz w:val="22"/>
          <w:szCs w:val="22"/>
        </w:rPr>
        <w:t xml:space="preserve">marzo </w:t>
      </w:r>
      <w:r w:rsidRPr="00F1727B">
        <w:rPr>
          <w:rFonts w:ascii="Palatino Linotype" w:eastAsia="Palatino Linotype" w:hAnsi="Palatino Linotype" w:cs="Palatino Linotype"/>
          <w:sz w:val="22"/>
          <w:szCs w:val="22"/>
        </w:rPr>
        <w:t xml:space="preserve">de dos mil </w:t>
      </w:r>
      <w:r w:rsidR="006F4E73" w:rsidRPr="00F1727B">
        <w:rPr>
          <w:rFonts w:ascii="Palatino Linotype" w:eastAsia="Palatino Linotype" w:hAnsi="Palatino Linotype" w:cs="Palatino Linotype"/>
          <w:sz w:val="22"/>
          <w:szCs w:val="22"/>
        </w:rPr>
        <w:t>veintiséis</w:t>
      </w:r>
      <w:r w:rsidRPr="00F1727B">
        <w:rPr>
          <w:rFonts w:ascii="Palatino Linotype" w:eastAsia="Palatino Linotype" w:hAnsi="Palatino Linotype" w:cs="Palatino Linotype"/>
          <w:sz w:val="22"/>
          <w:szCs w:val="22"/>
        </w:rPr>
        <w:t xml:space="preserve">. </w:t>
      </w:r>
    </w:p>
    <w:p w14:paraId="4795114A" w14:textId="61F542DF" w:rsidR="00562A90" w:rsidRPr="00F1727B" w:rsidRDefault="0062255D">
      <w:pPr>
        <w:tabs>
          <w:tab w:val="left" w:pos="5812"/>
        </w:tabs>
        <w:spacing w:before="240" w:after="240" w:line="360" w:lineRule="auto"/>
        <w:jc w:val="both"/>
        <w:rPr>
          <w:rFonts w:ascii="Palatino Linotype" w:eastAsia="Palatino Linotype" w:hAnsi="Palatino Linotype" w:cs="Palatino Linotype"/>
          <w:sz w:val="22"/>
          <w:szCs w:val="22"/>
        </w:rPr>
      </w:pPr>
      <w:bookmarkStart w:id="2" w:name="_heading=h.daj3j2xo6q66" w:colFirst="0" w:colLast="0"/>
      <w:bookmarkEnd w:id="2"/>
      <w:r w:rsidRPr="00F1727B">
        <w:rPr>
          <w:rFonts w:ascii="Palatino Linotype" w:eastAsia="Palatino Linotype" w:hAnsi="Palatino Linotype" w:cs="Palatino Linotype"/>
          <w:b/>
          <w:sz w:val="22"/>
          <w:szCs w:val="22"/>
        </w:rPr>
        <w:t>VISTO</w:t>
      </w:r>
      <w:r w:rsidRPr="00F1727B">
        <w:rPr>
          <w:rFonts w:ascii="Palatino Linotype" w:eastAsia="Palatino Linotype" w:hAnsi="Palatino Linotype" w:cs="Palatino Linotype"/>
          <w:sz w:val="22"/>
          <w:szCs w:val="22"/>
        </w:rPr>
        <w:t xml:space="preserve"> el expediente formado con motivo del recurso de revisión </w:t>
      </w:r>
      <w:r w:rsidR="005833F1" w:rsidRPr="00F1727B">
        <w:rPr>
          <w:rFonts w:ascii="Palatino Linotype" w:eastAsia="Palatino Linotype" w:hAnsi="Palatino Linotype" w:cs="Palatino Linotype"/>
          <w:b/>
          <w:sz w:val="22"/>
          <w:szCs w:val="22"/>
        </w:rPr>
        <w:t>1</w:t>
      </w:r>
      <w:r w:rsidR="006F4E73" w:rsidRPr="00F1727B">
        <w:rPr>
          <w:rFonts w:ascii="Palatino Linotype" w:eastAsia="Palatino Linotype" w:hAnsi="Palatino Linotype" w:cs="Palatino Linotype"/>
          <w:b/>
          <w:sz w:val="22"/>
          <w:szCs w:val="22"/>
        </w:rPr>
        <w:t>2914</w:t>
      </w:r>
      <w:r w:rsidR="00337D82" w:rsidRPr="00F1727B">
        <w:rPr>
          <w:rFonts w:ascii="Palatino Linotype" w:eastAsia="Palatino Linotype" w:hAnsi="Palatino Linotype" w:cs="Palatino Linotype"/>
          <w:b/>
          <w:sz w:val="22"/>
          <w:szCs w:val="22"/>
        </w:rPr>
        <w:t>/INFOEM/IP/RR/2025</w:t>
      </w:r>
      <w:r w:rsidRPr="00F1727B">
        <w:rPr>
          <w:rFonts w:ascii="Palatino Linotype" w:eastAsia="Palatino Linotype" w:hAnsi="Palatino Linotype" w:cs="Palatino Linotype"/>
          <w:sz w:val="22"/>
          <w:szCs w:val="22"/>
        </w:rPr>
        <w:t>, interpuesto por</w:t>
      </w:r>
      <w:r w:rsidR="00E046E0" w:rsidRPr="00F1727B">
        <w:rPr>
          <w:rFonts w:ascii="Palatino Linotype" w:eastAsia="Palatino Linotype" w:hAnsi="Palatino Linotype" w:cs="Palatino Linotype"/>
          <w:b/>
          <w:sz w:val="22"/>
          <w:szCs w:val="22"/>
        </w:rPr>
        <w:t xml:space="preserve"> una persona que no proporcionó nombre o seudónimo</w:t>
      </w:r>
      <w:r w:rsidRPr="00F1727B">
        <w:rPr>
          <w:rFonts w:ascii="Palatino Linotype" w:eastAsia="Palatino Linotype" w:hAnsi="Palatino Linotype" w:cs="Palatino Linotype"/>
          <w:b/>
          <w:sz w:val="22"/>
          <w:szCs w:val="22"/>
        </w:rPr>
        <w:t>,</w:t>
      </w:r>
      <w:r w:rsidRPr="00F1727B">
        <w:rPr>
          <w:rFonts w:ascii="Palatino Linotype" w:eastAsia="Palatino Linotype" w:hAnsi="Palatino Linotype" w:cs="Palatino Linotype"/>
          <w:sz w:val="22"/>
          <w:szCs w:val="22"/>
        </w:rPr>
        <w:t xml:space="preserve"> en lo sucesivo</w:t>
      </w:r>
      <w:r w:rsidRPr="00F1727B">
        <w:rPr>
          <w:rFonts w:ascii="Palatino Linotype" w:eastAsia="Palatino Linotype" w:hAnsi="Palatino Linotype" w:cs="Palatino Linotype"/>
          <w:b/>
          <w:sz w:val="22"/>
          <w:szCs w:val="22"/>
        </w:rPr>
        <w:t xml:space="preserve"> </w:t>
      </w:r>
      <w:r w:rsidRPr="00F1727B">
        <w:rPr>
          <w:rFonts w:ascii="Palatino Linotype" w:eastAsia="Palatino Linotype" w:hAnsi="Palatino Linotype" w:cs="Palatino Linotype"/>
          <w:sz w:val="22"/>
          <w:szCs w:val="22"/>
        </w:rPr>
        <w:t xml:space="preserve">la parte </w:t>
      </w:r>
      <w:r w:rsidRPr="00F1727B">
        <w:rPr>
          <w:rFonts w:ascii="Palatino Linotype" w:eastAsia="Palatino Linotype" w:hAnsi="Palatino Linotype" w:cs="Palatino Linotype"/>
          <w:b/>
          <w:sz w:val="22"/>
          <w:szCs w:val="22"/>
        </w:rPr>
        <w:t>Recurrente,</w:t>
      </w:r>
      <w:r w:rsidRPr="00F1727B">
        <w:rPr>
          <w:rFonts w:ascii="Palatino Linotype" w:eastAsia="Palatino Linotype" w:hAnsi="Palatino Linotype" w:cs="Palatino Linotype"/>
          <w:sz w:val="22"/>
          <w:szCs w:val="22"/>
        </w:rPr>
        <w:t xml:space="preserve"> en contra de la respuesta a la solicitud de información con número de folio</w:t>
      </w:r>
      <w:r w:rsidRPr="00F1727B">
        <w:rPr>
          <w:rFonts w:ascii="Palatino Linotype" w:eastAsia="Palatino Linotype" w:hAnsi="Palatino Linotype" w:cs="Palatino Linotype"/>
          <w:b/>
          <w:sz w:val="22"/>
          <w:szCs w:val="22"/>
        </w:rPr>
        <w:t xml:space="preserve"> </w:t>
      </w:r>
      <w:r w:rsidR="006F4E73" w:rsidRPr="00F1727B">
        <w:rPr>
          <w:rFonts w:ascii="Palatino Linotype" w:eastAsia="Palatino Linotype" w:hAnsi="Palatino Linotype" w:cs="Palatino Linotype"/>
          <w:b/>
          <w:sz w:val="22"/>
          <w:szCs w:val="22"/>
        </w:rPr>
        <w:t>00244/DIFHUEHUET/IP/2025</w:t>
      </w:r>
      <w:r w:rsidRPr="00F1727B">
        <w:rPr>
          <w:rFonts w:ascii="Palatino Linotype" w:eastAsia="Palatino Linotype" w:hAnsi="Palatino Linotype" w:cs="Palatino Linotype"/>
          <w:b/>
          <w:sz w:val="22"/>
          <w:szCs w:val="22"/>
        </w:rPr>
        <w:t xml:space="preserve">, </w:t>
      </w:r>
      <w:r w:rsidRPr="00F1727B">
        <w:rPr>
          <w:rFonts w:ascii="Palatino Linotype" w:eastAsia="Palatino Linotype" w:hAnsi="Palatino Linotype" w:cs="Palatino Linotype"/>
          <w:sz w:val="22"/>
          <w:szCs w:val="22"/>
        </w:rPr>
        <w:t xml:space="preserve">por parte del </w:t>
      </w:r>
      <w:r w:rsidR="00E046E0" w:rsidRPr="00F1727B">
        <w:rPr>
          <w:rFonts w:ascii="Palatino Linotype" w:eastAsia="Palatino Linotype" w:hAnsi="Palatino Linotype" w:cs="Palatino Linotype"/>
          <w:b/>
          <w:sz w:val="22"/>
          <w:szCs w:val="22"/>
        </w:rPr>
        <w:t>Sistema Municipal Para el Desarrollo Integral de la Familia de Huehuetoca</w:t>
      </w:r>
      <w:r w:rsidR="00EF0D72" w:rsidRPr="00F1727B">
        <w:rPr>
          <w:rFonts w:ascii="Palatino Linotype" w:eastAsia="Palatino Linotype" w:hAnsi="Palatino Linotype" w:cs="Palatino Linotype"/>
          <w:b/>
          <w:sz w:val="22"/>
          <w:szCs w:val="22"/>
        </w:rPr>
        <w:t>,</w:t>
      </w:r>
      <w:r w:rsidRPr="00F1727B">
        <w:rPr>
          <w:rFonts w:ascii="Palatino Linotype" w:eastAsia="Palatino Linotype" w:hAnsi="Palatino Linotype" w:cs="Palatino Linotype"/>
          <w:b/>
          <w:sz w:val="22"/>
          <w:szCs w:val="22"/>
        </w:rPr>
        <w:t xml:space="preserve"> </w:t>
      </w:r>
      <w:r w:rsidRPr="00F1727B">
        <w:rPr>
          <w:rFonts w:ascii="Palatino Linotype" w:eastAsia="Palatino Linotype" w:hAnsi="Palatino Linotype" w:cs="Palatino Linotype"/>
          <w:sz w:val="22"/>
          <w:szCs w:val="22"/>
        </w:rPr>
        <w:t xml:space="preserve">en lo sucesivo el </w:t>
      </w:r>
      <w:r w:rsidRPr="00F1727B">
        <w:rPr>
          <w:rFonts w:ascii="Palatino Linotype" w:eastAsia="Palatino Linotype" w:hAnsi="Palatino Linotype" w:cs="Palatino Linotype"/>
          <w:b/>
          <w:sz w:val="22"/>
          <w:szCs w:val="22"/>
        </w:rPr>
        <w:t xml:space="preserve">Sujeto Obligado, </w:t>
      </w:r>
      <w:r w:rsidRPr="00F1727B">
        <w:rPr>
          <w:rFonts w:ascii="Palatino Linotype" w:eastAsia="Palatino Linotype" w:hAnsi="Palatino Linotype" w:cs="Palatino Linotype"/>
          <w:sz w:val="22"/>
          <w:szCs w:val="22"/>
        </w:rPr>
        <w:t xml:space="preserve">se procede a dictar la presente resolución con base en los siguientes: </w:t>
      </w:r>
    </w:p>
    <w:p w14:paraId="3CC5291D" w14:textId="77777777" w:rsidR="00562A90" w:rsidRPr="00F1727B" w:rsidRDefault="0062255D">
      <w:pPr>
        <w:spacing w:before="240" w:after="240" w:line="360" w:lineRule="auto"/>
        <w:jc w:val="center"/>
        <w:rPr>
          <w:rFonts w:ascii="Palatino Linotype" w:eastAsia="Palatino Linotype" w:hAnsi="Palatino Linotype" w:cs="Palatino Linotype"/>
          <w:b/>
          <w:sz w:val="22"/>
          <w:szCs w:val="22"/>
        </w:rPr>
      </w:pPr>
      <w:r w:rsidRPr="00F1727B">
        <w:rPr>
          <w:rFonts w:ascii="Palatino Linotype" w:eastAsia="Palatino Linotype" w:hAnsi="Palatino Linotype" w:cs="Palatino Linotype"/>
          <w:b/>
          <w:sz w:val="22"/>
          <w:szCs w:val="22"/>
        </w:rPr>
        <w:t>I. A N T E C E D E N T E S</w:t>
      </w:r>
    </w:p>
    <w:p w14:paraId="72C70038" w14:textId="3C0AF5EE" w:rsidR="00562A90" w:rsidRPr="00F1727B" w:rsidRDefault="0062255D">
      <w:pPr>
        <w:spacing w:before="240" w:after="240" w:line="360" w:lineRule="auto"/>
        <w:jc w:val="both"/>
        <w:rPr>
          <w:rFonts w:ascii="Palatino Linotype" w:eastAsia="Palatino Linotype" w:hAnsi="Palatino Linotype" w:cs="Palatino Linotype"/>
          <w:sz w:val="22"/>
          <w:szCs w:val="22"/>
        </w:rPr>
      </w:pPr>
      <w:bookmarkStart w:id="3" w:name="_heading=h.gjdgxs" w:colFirst="0" w:colLast="0"/>
      <w:bookmarkEnd w:id="3"/>
      <w:r w:rsidRPr="00F1727B">
        <w:rPr>
          <w:rFonts w:ascii="Palatino Linotype" w:eastAsia="Palatino Linotype" w:hAnsi="Palatino Linotype" w:cs="Palatino Linotype"/>
          <w:b/>
          <w:sz w:val="22"/>
          <w:szCs w:val="22"/>
        </w:rPr>
        <w:t>1. Solicitud de acceso a la información.</w:t>
      </w:r>
      <w:r w:rsidRPr="00F1727B">
        <w:rPr>
          <w:rFonts w:ascii="Palatino Linotype" w:eastAsia="Palatino Linotype" w:hAnsi="Palatino Linotype" w:cs="Palatino Linotype"/>
          <w:sz w:val="22"/>
          <w:szCs w:val="22"/>
        </w:rPr>
        <w:t xml:space="preserve"> El </w:t>
      </w:r>
      <w:bookmarkStart w:id="4" w:name="_Hlk212125406"/>
      <w:r w:rsidR="006F4E73" w:rsidRPr="00F1727B">
        <w:rPr>
          <w:rFonts w:ascii="Palatino Linotype" w:eastAsia="Palatino Linotype" w:hAnsi="Palatino Linotype" w:cs="Palatino Linotype"/>
          <w:b/>
          <w:sz w:val="22"/>
          <w:szCs w:val="22"/>
        </w:rPr>
        <w:t xml:space="preserve">dieciséis de octubre </w:t>
      </w:r>
      <w:r w:rsidRPr="00F1727B">
        <w:rPr>
          <w:rFonts w:ascii="Palatino Linotype" w:eastAsia="Palatino Linotype" w:hAnsi="Palatino Linotype" w:cs="Palatino Linotype"/>
          <w:b/>
          <w:sz w:val="22"/>
          <w:szCs w:val="22"/>
        </w:rPr>
        <w:t>de dos mil veinticinco</w:t>
      </w:r>
      <w:bookmarkEnd w:id="4"/>
      <w:r w:rsidRPr="00F1727B">
        <w:rPr>
          <w:rFonts w:ascii="Palatino Linotype" w:eastAsia="Palatino Linotype" w:hAnsi="Palatino Linotype" w:cs="Palatino Linotype"/>
          <w:b/>
          <w:sz w:val="22"/>
          <w:szCs w:val="22"/>
        </w:rPr>
        <w:t>,</w:t>
      </w:r>
      <w:r w:rsidRPr="00F1727B">
        <w:rPr>
          <w:rFonts w:ascii="Palatino Linotype" w:eastAsia="Palatino Linotype" w:hAnsi="Palatino Linotype" w:cs="Palatino Linotype"/>
          <w:sz w:val="22"/>
          <w:szCs w:val="22"/>
        </w:rPr>
        <w:t xml:space="preserve"> la parte </w:t>
      </w:r>
      <w:r w:rsidRPr="00F1727B">
        <w:rPr>
          <w:rFonts w:ascii="Palatino Linotype" w:eastAsia="Palatino Linotype" w:hAnsi="Palatino Linotype" w:cs="Palatino Linotype"/>
          <w:b/>
          <w:sz w:val="22"/>
          <w:szCs w:val="22"/>
        </w:rPr>
        <w:t xml:space="preserve">Recurrente </w:t>
      </w:r>
      <w:r w:rsidRPr="00F1727B">
        <w:rPr>
          <w:rFonts w:ascii="Palatino Linotype" w:eastAsia="Palatino Linotype" w:hAnsi="Palatino Linotype" w:cs="Palatino Linotype"/>
          <w:sz w:val="22"/>
          <w:szCs w:val="22"/>
        </w:rPr>
        <w:t xml:space="preserve">presentó la solicitud de acceso a la información pública ante el </w:t>
      </w:r>
      <w:r w:rsidRPr="00F1727B">
        <w:rPr>
          <w:rFonts w:ascii="Palatino Linotype" w:eastAsia="Palatino Linotype" w:hAnsi="Palatino Linotype" w:cs="Palatino Linotype"/>
          <w:b/>
          <w:sz w:val="22"/>
          <w:szCs w:val="22"/>
        </w:rPr>
        <w:t>Sujeto Obligado</w:t>
      </w:r>
      <w:r w:rsidRPr="00F1727B">
        <w:rPr>
          <w:rFonts w:ascii="Palatino Linotype" w:eastAsia="Palatino Linotype" w:hAnsi="Palatino Linotype" w:cs="Palatino Linotype"/>
          <w:sz w:val="22"/>
          <w:szCs w:val="22"/>
        </w:rPr>
        <w:t xml:space="preserve">, a través del Sistema de Acceso a la Información Mexiquense, en lo subsecuente el </w:t>
      </w:r>
      <w:r w:rsidRPr="00F1727B">
        <w:rPr>
          <w:rFonts w:ascii="Palatino Linotype" w:eastAsia="Palatino Linotype" w:hAnsi="Palatino Linotype" w:cs="Palatino Linotype"/>
          <w:b/>
          <w:sz w:val="22"/>
          <w:szCs w:val="22"/>
        </w:rPr>
        <w:t>SAIMEX,</w:t>
      </w:r>
      <w:r w:rsidRPr="00F1727B">
        <w:rPr>
          <w:rFonts w:ascii="Palatino Linotype" w:eastAsia="Palatino Linotype" w:hAnsi="Palatino Linotype" w:cs="Palatino Linotype"/>
          <w:sz w:val="22"/>
          <w:szCs w:val="22"/>
        </w:rPr>
        <w:t xml:space="preserve"> mediante la cual requirió lo siguiente:</w:t>
      </w:r>
    </w:p>
    <w:p w14:paraId="57605782" w14:textId="4A3C6616" w:rsidR="00562A90" w:rsidRPr="00F1727B" w:rsidRDefault="0062255D">
      <w:pPr>
        <w:spacing w:before="120" w:after="120"/>
        <w:ind w:left="851" w:right="902"/>
        <w:jc w:val="both"/>
        <w:rPr>
          <w:rFonts w:ascii="Palatino Linotype" w:eastAsia="Palatino Linotype" w:hAnsi="Palatino Linotype" w:cs="Palatino Linotype"/>
          <w:b/>
          <w:i/>
          <w:sz w:val="22"/>
          <w:szCs w:val="22"/>
        </w:rPr>
      </w:pPr>
      <w:r w:rsidRPr="00F1727B">
        <w:rPr>
          <w:rFonts w:ascii="Palatino Linotype" w:eastAsia="Palatino Linotype" w:hAnsi="Palatino Linotype" w:cs="Palatino Linotype"/>
          <w:i/>
          <w:sz w:val="22"/>
          <w:szCs w:val="22"/>
        </w:rPr>
        <w:t xml:space="preserve"> </w:t>
      </w:r>
      <w:r w:rsidR="006F4E73" w:rsidRPr="00F1727B">
        <w:rPr>
          <w:rFonts w:ascii="Palatino Linotype" w:eastAsia="Palatino Linotype" w:hAnsi="Palatino Linotype" w:cs="Palatino Linotype"/>
          <w:i/>
          <w:sz w:val="22"/>
          <w:szCs w:val="22"/>
        </w:rPr>
        <w:t>“SOLICITO SE ME ENTREGE UNA COPIA VIA SAIMEX DE LOS CONTRATOS DE COMPRAS MÍNIMAS O CUALQUIER COMPRA DE PAPELERÍA, PRODUCTOS DE LIMPIEZA, MEDICAMENTOS Y AGUA, ASI COMO LAS FACTURAS DE LO YA PAGADO, CORRESPONDIENTE AL PERIODO DEL 1 DE MARZO HASTA 15 DE OCTUBRE DEL 2025”</w:t>
      </w:r>
      <w:r w:rsidRPr="00F1727B">
        <w:rPr>
          <w:rFonts w:ascii="Palatino Linotype" w:eastAsia="Palatino Linotype" w:hAnsi="Palatino Linotype" w:cs="Palatino Linotype"/>
          <w:i/>
          <w:sz w:val="22"/>
          <w:szCs w:val="22"/>
        </w:rPr>
        <w:t xml:space="preserve"> (sic) </w:t>
      </w:r>
    </w:p>
    <w:p w14:paraId="6759C1B0" w14:textId="7C6301C2" w:rsidR="00562A90" w:rsidRPr="00F1727B" w:rsidRDefault="0062255D">
      <w:pPr>
        <w:spacing w:before="240" w:after="240" w:line="360" w:lineRule="auto"/>
        <w:jc w:val="both"/>
        <w:rPr>
          <w:rFonts w:ascii="Palatino Linotype" w:eastAsia="Palatino Linotype" w:hAnsi="Palatino Linotype" w:cs="Palatino Linotype"/>
          <w:sz w:val="22"/>
          <w:szCs w:val="22"/>
        </w:rPr>
      </w:pPr>
      <w:bookmarkStart w:id="5" w:name="_heading=h.3dy6vkm" w:colFirst="0" w:colLast="0"/>
      <w:bookmarkEnd w:id="5"/>
      <w:r w:rsidRPr="00F1727B">
        <w:rPr>
          <w:rFonts w:ascii="Palatino Linotype" w:eastAsia="Palatino Linotype" w:hAnsi="Palatino Linotype" w:cs="Palatino Linotype"/>
          <w:b/>
          <w:sz w:val="22"/>
          <w:szCs w:val="22"/>
        </w:rPr>
        <w:t>2.</w:t>
      </w:r>
      <w:r w:rsidR="00F6238C" w:rsidRPr="00F1727B">
        <w:rPr>
          <w:rFonts w:ascii="Palatino Linotype" w:eastAsia="Palatino Linotype" w:hAnsi="Palatino Linotype" w:cs="Palatino Linotype"/>
          <w:b/>
          <w:sz w:val="22"/>
          <w:szCs w:val="22"/>
        </w:rPr>
        <w:t xml:space="preserve"> </w:t>
      </w:r>
      <w:r w:rsidRPr="00F1727B">
        <w:rPr>
          <w:rFonts w:ascii="Palatino Linotype" w:eastAsia="Palatino Linotype" w:hAnsi="Palatino Linotype" w:cs="Palatino Linotype"/>
          <w:b/>
          <w:sz w:val="22"/>
          <w:szCs w:val="22"/>
        </w:rPr>
        <w:t xml:space="preserve">Respuesta. </w:t>
      </w:r>
      <w:r w:rsidRPr="00F1727B">
        <w:rPr>
          <w:rFonts w:ascii="Palatino Linotype" w:eastAsia="Palatino Linotype" w:hAnsi="Palatino Linotype" w:cs="Palatino Linotype"/>
          <w:sz w:val="22"/>
          <w:szCs w:val="22"/>
        </w:rPr>
        <w:t xml:space="preserve">El </w:t>
      </w:r>
      <w:r w:rsidR="00C65EA4" w:rsidRPr="00F1727B">
        <w:rPr>
          <w:rFonts w:ascii="Palatino Linotype" w:eastAsia="Palatino Linotype" w:hAnsi="Palatino Linotype" w:cs="Palatino Linotype"/>
          <w:b/>
          <w:sz w:val="22"/>
          <w:szCs w:val="22"/>
        </w:rPr>
        <w:t>seis de</w:t>
      </w:r>
      <w:r w:rsidR="006F4E73" w:rsidRPr="00F1727B">
        <w:rPr>
          <w:rFonts w:ascii="Palatino Linotype" w:eastAsia="Palatino Linotype" w:hAnsi="Palatino Linotype" w:cs="Palatino Linotype"/>
          <w:b/>
          <w:sz w:val="22"/>
          <w:szCs w:val="22"/>
        </w:rPr>
        <w:t xml:space="preserve"> noviembre </w:t>
      </w:r>
      <w:r w:rsidR="00C65EA4" w:rsidRPr="00F1727B">
        <w:rPr>
          <w:rFonts w:ascii="Palatino Linotype" w:eastAsia="Palatino Linotype" w:hAnsi="Palatino Linotype" w:cs="Palatino Linotype"/>
          <w:b/>
          <w:sz w:val="22"/>
          <w:szCs w:val="22"/>
        </w:rPr>
        <w:t xml:space="preserve">de </w:t>
      </w:r>
      <w:r w:rsidRPr="00F1727B">
        <w:rPr>
          <w:rFonts w:ascii="Palatino Linotype" w:eastAsia="Palatino Linotype" w:hAnsi="Palatino Linotype" w:cs="Palatino Linotype"/>
          <w:b/>
          <w:sz w:val="22"/>
          <w:szCs w:val="22"/>
        </w:rPr>
        <w:t>dos mil veinticinco,</w:t>
      </w:r>
      <w:r w:rsidRPr="00F1727B">
        <w:rPr>
          <w:rFonts w:ascii="Palatino Linotype" w:eastAsia="Palatino Linotype" w:hAnsi="Palatino Linotype" w:cs="Palatino Linotype"/>
          <w:sz w:val="22"/>
          <w:szCs w:val="22"/>
        </w:rPr>
        <w:t xml:space="preserve"> el </w:t>
      </w:r>
      <w:r w:rsidRPr="00F1727B">
        <w:rPr>
          <w:rFonts w:ascii="Palatino Linotype" w:eastAsia="Palatino Linotype" w:hAnsi="Palatino Linotype" w:cs="Palatino Linotype"/>
          <w:b/>
          <w:sz w:val="22"/>
          <w:szCs w:val="22"/>
        </w:rPr>
        <w:t xml:space="preserve">Sujeto Obligado </w:t>
      </w:r>
      <w:r w:rsidRPr="00F1727B">
        <w:rPr>
          <w:rFonts w:ascii="Palatino Linotype" w:eastAsia="Palatino Linotype" w:hAnsi="Palatino Linotype" w:cs="Palatino Linotype"/>
          <w:sz w:val="22"/>
          <w:szCs w:val="22"/>
        </w:rPr>
        <w:t xml:space="preserve">envió su respuesta a la solicitud de acceso a la información a través del SAIMEX, sustancialmente en los términos siguientes:   </w:t>
      </w:r>
    </w:p>
    <w:p w14:paraId="796878F1" w14:textId="023351BA" w:rsidR="00562A90" w:rsidRPr="00F1727B" w:rsidRDefault="0062255D">
      <w:pPr>
        <w:spacing w:before="240" w:after="24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lastRenderedPageBreak/>
        <w:t>“…</w:t>
      </w:r>
      <w:r w:rsidR="006F4E73" w:rsidRPr="00F1727B">
        <w:rPr>
          <w:rFonts w:ascii="Palatino Linotype" w:eastAsia="Palatino Linotype" w:hAnsi="Palatino Linotype" w:cs="Palatino Linotype"/>
          <w:i/>
          <w:sz w:val="22"/>
          <w:szCs w:val="22"/>
        </w:rPr>
        <w:t>ADJUNTO REMITO RESPUESTA ENTREGADA POR EL AREA CORRESPONDIENTE A LA INFORMACION SOLICITADA</w:t>
      </w:r>
      <w:r w:rsidR="00337D82" w:rsidRPr="00F1727B">
        <w:rPr>
          <w:rFonts w:ascii="Palatino Linotype" w:eastAsia="Palatino Linotype" w:hAnsi="Palatino Linotype" w:cs="Palatino Linotype"/>
          <w:i/>
          <w:sz w:val="22"/>
          <w:szCs w:val="22"/>
        </w:rPr>
        <w:t>.</w:t>
      </w:r>
      <w:r w:rsidRPr="00F1727B">
        <w:rPr>
          <w:rFonts w:ascii="Palatino Linotype" w:eastAsia="Palatino Linotype" w:hAnsi="Palatino Linotype" w:cs="Palatino Linotype"/>
          <w:i/>
          <w:sz w:val="22"/>
          <w:szCs w:val="22"/>
        </w:rPr>
        <w:t>..” (sic)</w:t>
      </w:r>
    </w:p>
    <w:p w14:paraId="0B67D605" w14:textId="31D65B4D" w:rsidR="006F4E73" w:rsidRPr="00F1727B" w:rsidRDefault="0062255D">
      <w:pPr>
        <w:spacing w:before="240" w:after="240" w:line="360" w:lineRule="auto"/>
        <w:ind w:right="49"/>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El </w:t>
      </w:r>
      <w:r w:rsidRPr="00F1727B">
        <w:rPr>
          <w:rFonts w:ascii="Palatino Linotype" w:eastAsia="Palatino Linotype" w:hAnsi="Palatino Linotype" w:cs="Palatino Linotype"/>
          <w:b/>
          <w:sz w:val="22"/>
          <w:szCs w:val="22"/>
        </w:rPr>
        <w:t xml:space="preserve">Sujeto Obligado </w:t>
      </w:r>
      <w:r w:rsidRPr="00F1727B">
        <w:rPr>
          <w:rFonts w:ascii="Palatino Linotype" w:eastAsia="Palatino Linotype" w:hAnsi="Palatino Linotype" w:cs="Palatino Linotype"/>
          <w:sz w:val="22"/>
          <w:szCs w:val="22"/>
        </w:rPr>
        <w:t>adjuntó</w:t>
      </w:r>
      <w:r w:rsidR="004315B9" w:rsidRPr="00F1727B">
        <w:rPr>
          <w:rFonts w:ascii="Palatino Linotype" w:eastAsia="Palatino Linotype" w:hAnsi="Palatino Linotype" w:cs="Palatino Linotype"/>
          <w:sz w:val="22"/>
          <w:szCs w:val="22"/>
        </w:rPr>
        <w:t xml:space="preserve"> </w:t>
      </w:r>
      <w:r w:rsidR="006F4E73" w:rsidRPr="00F1727B">
        <w:rPr>
          <w:rFonts w:ascii="Palatino Linotype" w:eastAsia="Palatino Linotype" w:hAnsi="Palatino Linotype" w:cs="Palatino Linotype"/>
          <w:sz w:val="22"/>
          <w:szCs w:val="22"/>
        </w:rPr>
        <w:t>el oficio número DIF/JADQ/0025/25-27 mediante el cual la Jefa de Adquisiciones puso a disposición la información en el archivo de adquisiciones del Sistema Municipal para el Desarrollo Integral de la Familia, asimismo, indicó que si se requería la reproducción de la información se haría entrega de la misma una vez cubriendo el costo, en un horario de 9:00 am - 6:00 pm de lunes a viernes.</w:t>
      </w:r>
    </w:p>
    <w:p w14:paraId="15D280BF" w14:textId="3238BC92" w:rsidR="00562A90" w:rsidRPr="00F1727B" w:rsidRDefault="0062255D">
      <w:pPr>
        <w:spacing w:before="240" w:after="240" w:line="360" w:lineRule="auto"/>
        <w:ind w:right="49"/>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b/>
          <w:sz w:val="22"/>
          <w:szCs w:val="22"/>
        </w:rPr>
        <w:t xml:space="preserve">3. Interposición del recurso de revisión. </w:t>
      </w:r>
      <w:r w:rsidRPr="00F1727B">
        <w:rPr>
          <w:rFonts w:ascii="Palatino Linotype" w:eastAsia="Palatino Linotype" w:hAnsi="Palatino Linotype" w:cs="Palatino Linotype"/>
          <w:sz w:val="22"/>
          <w:szCs w:val="22"/>
        </w:rPr>
        <w:t xml:space="preserve">Inconforme con los términos de la respuesta emitida por parte del </w:t>
      </w:r>
      <w:r w:rsidRPr="00F1727B">
        <w:rPr>
          <w:rFonts w:ascii="Palatino Linotype" w:eastAsia="Palatino Linotype" w:hAnsi="Palatino Linotype" w:cs="Palatino Linotype"/>
          <w:b/>
          <w:sz w:val="22"/>
          <w:szCs w:val="22"/>
        </w:rPr>
        <w:t>Sujeto Obligado</w:t>
      </w:r>
      <w:r w:rsidRPr="00F1727B">
        <w:rPr>
          <w:rFonts w:ascii="Palatino Linotype" w:eastAsia="Palatino Linotype" w:hAnsi="Palatino Linotype" w:cs="Palatino Linotype"/>
          <w:sz w:val="22"/>
          <w:szCs w:val="22"/>
        </w:rPr>
        <w:t xml:space="preserve">, el </w:t>
      </w:r>
      <w:r w:rsidR="001B1971" w:rsidRPr="00F1727B">
        <w:rPr>
          <w:rFonts w:ascii="Palatino Linotype" w:eastAsia="Palatino Linotype" w:hAnsi="Palatino Linotype" w:cs="Palatino Linotype"/>
          <w:b/>
          <w:sz w:val="22"/>
          <w:szCs w:val="22"/>
        </w:rPr>
        <w:t xml:space="preserve">ocho de noviembre </w:t>
      </w:r>
      <w:r w:rsidR="00C65EA4" w:rsidRPr="00F1727B">
        <w:rPr>
          <w:rFonts w:ascii="Palatino Linotype" w:eastAsia="Palatino Linotype" w:hAnsi="Palatino Linotype" w:cs="Palatino Linotype"/>
          <w:b/>
          <w:sz w:val="22"/>
          <w:szCs w:val="22"/>
        </w:rPr>
        <w:t>de</w:t>
      </w:r>
      <w:r w:rsidRPr="00F1727B">
        <w:rPr>
          <w:rFonts w:ascii="Palatino Linotype" w:eastAsia="Palatino Linotype" w:hAnsi="Palatino Linotype" w:cs="Palatino Linotype"/>
          <w:b/>
          <w:sz w:val="22"/>
          <w:szCs w:val="22"/>
        </w:rPr>
        <w:t xml:space="preserve"> dos mil veinticinco,</w:t>
      </w:r>
      <w:r w:rsidRPr="00F1727B">
        <w:rPr>
          <w:rFonts w:ascii="Palatino Linotype" w:eastAsia="Palatino Linotype" w:hAnsi="Palatino Linotype" w:cs="Palatino Linotype"/>
          <w:sz w:val="22"/>
          <w:szCs w:val="22"/>
        </w:rPr>
        <w:t xml:space="preserve"> la parte </w:t>
      </w:r>
      <w:r w:rsidRPr="00F1727B">
        <w:rPr>
          <w:rFonts w:ascii="Palatino Linotype" w:eastAsia="Palatino Linotype" w:hAnsi="Palatino Linotype" w:cs="Palatino Linotype"/>
          <w:b/>
          <w:sz w:val="22"/>
          <w:szCs w:val="22"/>
        </w:rPr>
        <w:t>Recurrente</w:t>
      </w:r>
      <w:r w:rsidRPr="00F1727B">
        <w:rPr>
          <w:rFonts w:ascii="Palatino Linotype" w:eastAsia="Palatino Linotype" w:hAnsi="Palatino Linotype" w:cs="Palatino Linotype"/>
          <w:sz w:val="22"/>
          <w:szCs w:val="22"/>
        </w:rPr>
        <w:t xml:space="preserve"> interpuso el recurso de revisión a través de </w:t>
      </w:r>
      <w:r w:rsidRPr="00F1727B">
        <w:rPr>
          <w:rFonts w:ascii="Palatino Linotype" w:eastAsia="Palatino Linotype" w:hAnsi="Palatino Linotype" w:cs="Palatino Linotype"/>
          <w:b/>
          <w:sz w:val="22"/>
          <w:szCs w:val="22"/>
        </w:rPr>
        <w:t xml:space="preserve">SAIMEX, </w:t>
      </w:r>
      <w:r w:rsidRPr="00F1727B">
        <w:rPr>
          <w:rFonts w:ascii="Palatino Linotype" w:eastAsia="Palatino Linotype" w:hAnsi="Palatino Linotype" w:cs="Palatino Linotype"/>
          <w:sz w:val="22"/>
          <w:szCs w:val="22"/>
        </w:rPr>
        <w:t>en donde se manifestó de la siguiente manera:</w:t>
      </w:r>
    </w:p>
    <w:p w14:paraId="47A1D1F7" w14:textId="77777777" w:rsidR="00562A90" w:rsidRPr="00F1727B" w:rsidRDefault="0062255D">
      <w:pPr>
        <w:spacing w:before="240" w:after="240" w:line="360" w:lineRule="auto"/>
        <w:ind w:right="49"/>
        <w:jc w:val="both"/>
        <w:rPr>
          <w:rFonts w:ascii="Palatino Linotype" w:eastAsia="Palatino Linotype" w:hAnsi="Palatino Linotype" w:cs="Palatino Linotype"/>
          <w:b/>
          <w:sz w:val="22"/>
          <w:szCs w:val="22"/>
        </w:rPr>
      </w:pPr>
      <w:r w:rsidRPr="00F1727B">
        <w:rPr>
          <w:rFonts w:ascii="Palatino Linotype" w:eastAsia="Palatino Linotype" w:hAnsi="Palatino Linotype" w:cs="Palatino Linotype"/>
          <w:b/>
          <w:sz w:val="22"/>
          <w:szCs w:val="22"/>
        </w:rPr>
        <w:t xml:space="preserve">Acto impugnado: </w:t>
      </w:r>
    </w:p>
    <w:p w14:paraId="2600BB83" w14:textId="5214393C" w:rsidR="00562A90" w:rsidRPr="00F1727B" w:rsidRDefault="0062255D" w:rsidP="002D01B9">
      <w:pPr>
        <w:ind w:left="851" w:right="900"/>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w:t>
      </w:r>
      <w:r w:rsidR="001B1971" w:rsidRPr="00F1727B">
        <w:rPr>
          <w:rFonts w:ascii="Palatino Linotype" w:eastAsia="Palatino Linotype" w:hAnsi="Palatino Linotype" w:cs="Palatino Linotype"/>
          <w:i/>
          <w:sz w:val="22"/>
          <w:szCs w:val="22"/>
        </w:rPr>
        <w:t>No dan respuesta en el formato requerido</w:t>
      </w:r>
      <w:r w:rsidRPr="00F1727B">
        <w:rPr>
          <w:rFonts w:ascii="Palatino Linotype" w:eastAsia="Palatino Linotype" w:hAnsi="Palatino Linotype" w:cs="Palatino Linotype"/>
          <w:i/>
          <w:sz w:val="22"/>
          <w:szCs w:val="22"/>
        </w:rPr>
        <w:t>” (sic)</w:t>
      </w:r>
    </w:p>
    <w:p w14:paraId="17027A3E" w14:textId="77777777" w:rsidR="001B1971" w:rsidRPr="00F1727B" w:rsidRDefault="001B1971" w:rsidP="002D01B9">
      <w:pPr>
        <w:ind w:left="851" w:right="900"/>
        <w:jc w:val="both"/>
        <w:rPr>
          <w:rFonts w:ascii="Palatino Linotype" w:eastAsia="Palatino Linotype" w:hAnsi="Palatino Linotype" w:cs="Palatino Linotype"/>
          <w:i/>
          <w:sz w:val="22"/>
          <w:szCs w:val="22"/>
        </w:rPr>
      </w:pPr>
    </w:p>
    <w:p w14:paraId="05264EB6" w14:textId="77777777" w:rsidR="00562A90" w:rsidRPr="00F1727B" w:rsidRDefault="0062255D">
      <w:pPr>
        <w:spacing w:line="360" w:lineRule="auto"/>
        <w:jc w:val="both"/>
        <w:rPr>
          <w:rFonts w:ascii="Palatino Linotype" w:eastAsia="Palatino Linotype" w:hAnsi="Palatino Linotype" w:cs="Palatino Linotype"/>
          <w:sz w:val="22"/>
          <w:szCs w:val="22"/>
        </w:rPr>
      </w:pPr>
      <w:bookmarkStart w:id="6" w:name="_heading=h.30j0zll" w:colFirst="0" w:colLast="0"/>
      <w:bookmarkEnd w:id="6"/>
      <w:r w:rsidRPr="00F1727B">
        <w:rPr>
          <w:rFonts w:ascii="Palatino Linotype" w:eastAsia="Palatino Linotype" w:hAnsi="Palatino Linotype" w:cs="Palatino Linotype"/>
          <w:b/>
          <w:sz w:val="22"/>
          <w:szCs w:val="22"/>
        </w:rPr>
        <w:t>Y, Razones o motivos de inconformidad</w:t>
      </w:r>
      <w:r w:rsidRPr="00F1727B">
        <w:rPr>
          <w:rFonts w:ascii="Palatino Linotype" w:eastAsia="Palatino Linotype" w:hAnsi="Palatino Linotype" w:cs="Palatino Linotype"/>
          <w:sz w:val="22"/>
          <w:szCs w:val="22"/>
        </w:rPr>
        <w:t>:</w:t>
      </w:r>
    </w:p>
    <w:p w14:paraId="29A63F7C" w14:textId="0AB7291C" w:rsidR="00562A90" w:rsidRPr="00F1727B" w:rsidRDefault="0062255D">
      <w:pPr>
        <w:tabs>
          <w:tab w:val="left" w:pos="2745"/>
        </w:tabs>
        <w:spacing w:before="240" w:after="240"/>
        <w:ind w:left="851" w:right="900"/>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w:t>
      </w:r>
      <w:r w:rsidR="001B1971" w:rsidRPr="00F1727B">
        <w:rPr>
          <w:rFonts w:ascii="Palatino Linotype" w:eastAsia="Palatino Linotype" w:hAnsi="Palatino Linotype" w:cs="Palatino Linotype"/>
          <w:i/>
          <w:sz w:val="22"/>
          <w:szCs w:val="22"/>
        </w:rPr>
        <w:t>La negativa a dar la respuesta en el formato solicitado”</w:t>
      </w:r>
      <w:r w:rsidRPr="00F1727B">
        <w:rPr>
          <w:rFonts w:ascii="Palatino Linotype" w:eastAsia="Palatino Linotype" w:hAnsi="Palatino Linotype" w:cs="Palatino Linotype"/>
          <w:i/>
          <w:sz w:val="22"/>
          <w:szCs w:val="22"/>
        </w:rPr>
        <w:t xml:space="preserve"> (sic)</w:t>
      </w:r>
    </w:p>
    <w:p w14:paraId="69DE47B2" w14:textId="77777777" w:rsidR="00562A90" w:rsidRPr="00F1727B" w:rsidRDefault="0062255D">
      <w:pPr>
        <w:spacing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b/>
          <w:sz w:val="22"/>
          <w:szCs w:val="22"/>
        </w:rPr>
        <w:t xml:space="preserve">4. Turno. </w:t>
      </w:r>
      <w:r w:rsidRPr="00F1727B">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F1727B">
        <w:rPr>
          <w:rFonts w:ascii="Palatino Linotype" w:eastAsia="Palatino Linotype" w:hAnsi="Palatino Linotype" w:cs="Palatino Linotype"/>
          <w:b/>
          <w:sz w:val="22"/>
          <w:szCs w:val="22"/>
        </w:rPr>
        <w:t xml:space="preserve">Guadalupe Ramírez Peña, </w:t>
      </w:r>
      <w:r w:rsidRPr="00F1727B">
        <w:rPr>
          <w:rFonts w:ascii="Palatino Linotype" w:eastAsia="Palatino Linotype" w:hAnsi="Palatino Linotype" w:cs="Palatino Linotype"/>
          <w:sz w:val="22"/>
          <w:szCs w:val="22"/>
        </w:rPr>
        <w:t>a efecto de que analizara sobre su admisión o su desechamiento.</w:t>
      </w:r>
    </w:p>
    <w:p w14:paraId="0F7154BA" w14:textId="6E6BC464" w:rsidR="00562A90" w:rsidRPr="00F1727B" w:rsidRDefault="0062255D">
      <w:pPr>
        <w:spacing w:before="240" w:after="240" w:line="360" w:lineRule="auto"/>
        <w:jc w:val="both"/>
        <w:rPr>
          <w:rFonts w:ascii="Palatino Linotype" w:eastAsia="Palatino Linotype" w:hAnsi="Palatino Linotype" w:cs="Palatino Linotype"/>
          <w:b/>
          <w:sz w:val="22"/>
          <w:szCs w:val="22"/>
        </w:rPr>
      </w:pPr>
      <w:r w:rsidRPr="00F1727B">
        <w:rPr>
          <w:rFonts w:ascii="Palatino Linotype" w:eastAsia="Palatino Linotype" w:hAnsi="Palatino Linotype" w:cs="Palatino Linotype"/>
          <w:b/>
          <w:sz w:val="22"/>
          <w:szCs w:val="22"/>
        </w:rPr>
        <w:lastRenderedPageBreak/>
        <w:t>5. Admisión del Recurso de revisión.</w:t>
      </w:r>
      <w:r w:rsidRPr="00F1727B">
        <w:rPr>
          <w:rFonts w:ascii="Palatino Linotype" w:eastAsia="Palatino Linotype" w:hAnsi="Palatino Linotype" w:cs="Palatino Linotype"/>
          <w:sz w:val="22"/>
          <w:szCs w:val="22"/>
        </w:rPr>
        <w:t xml:space="preserve"> El</w:t>
      </w:r>
      <w:r w:rsidRPr="00F1727B">
        <w:rPr>
          <w:rFonts w:ascii="Palatino Linotype" w:eastAsia="Palatino Linotype" w:hAnsi="Palatino Linotype" w:cs="Palatino Linotype"/>
          <w:b/>
          <w:sz w:val="22"/>
          <w:szCs w:val="22"/>
        </w:rPr>
        <w:t xml:space="preserve"> </w:t>
      </w:r>
      <w:r w:rsidR="007F32B4" w:rsidRPr="00F1727B">
        <w:rPr>
          <w:rFonts w:ascii="Palatino Linotype" w:eastAsia="Palatino Linotype" w:hAnsi="Palatino Linotype" w:cs="Palatino Linotype"/>
          <w:b/>
          <w:sz w:val="22"/>
          <w:szCs w:val="22"/>
        </w:rPr>
        <w:t xml:space="preserve">dieciocho de noviembre </w:t>
      </w:r>
      <w:r w:rsidRPr="00F1727B">
        <w:rPr>
          <w:rFonts w:ascii="Palatino Linotype" w:eastAsia="Palatino Linotype" w:hAnsi="Palatino Linotype" w:cs="Palatino Linotype"/>
          <w:b/>
          <w:sz w:val="22"/>
          <w:szCs w:val="22"/>
        </w:rPr>
        <w:t xml:space="preserve">de dos mil veinticinco, </w:t>
      </w:r>
      <w:r w:rsidRPr="00F1727B">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F1727B">
        <w:rPr>
          <w:rFonts w:ascii="Palatino Linotype" w:eastAsia="Palatino Linotype" w:hAnsi="Palatino Linotype" w:cs="Palatino Linotype"/>
          <w:b/>
          <w:sz w:val="22"/>
          <w:szCs w:val="22"/>
        </w:rPr>
        <w:t xml:space="preserve">Sujeto Obligado </w:t>
      </w:r>
      <w:r w:rsidRPr="00F1727B">
        <w:rPr>
          <w:rFonts w:ascii="Palatino Linotype" w:eastAsia="Palatino Linotype" w:hAnsi="Palatino Linotype" w:cs="Palatino Linotype"/>
          <w:sz w:val="22"/>
          <w:szCs w:val="22"/>
        </w:rPr>
        <w:t>presentara su informe justificado.</w:t>
      </w:r>
    </w:p>
    <w:p w14:paraId="467E4CA0" w14:textId="77777777" w:rsidR="00D00363" w:rsidRPr="00F1727B" w:rsidRDefault="0062255D" w:rsidP="00D00363">
      <w:pPr>
        <w:widowControl w:val="0"/>
        <w:spacing w:line="360" w:lineRule="auto"/>
        <w:ind w:right="49"/>
        <w:jc w:val="both"/>
        <w:rPr>
          <w:rFonts w:ascii="Palatino Linotype" w:eastAsia="Palatino Linotype" w:hAnsi="Palatino Linotype" w:cs="Palatino Linotype"/>
          <w:sz w:val="22"/>
          <w:szCs w:val="22"/>
        </w:rPr>
      </w:pPr>
      <w:bookmarkStart w:id="7" w:name="_heading=h.2s8eyo1" w:colFirst="0" w:colLast="0"/>
      <w:bookmarkEnd w:id="7"/>
      <w:r w:rsidRPr="00F1727B">
        <w:rPr>
          <w:rFonts w:ascii="Palatino Linotype" w:eastAsia="Palatino Linotype" w:hAnsi="Palatino Linotype" w:cs="Palatino Linotype"/>
          <w:b/>
          <w:sz w:val="22"/>
          <w:szCs w:val="22"/>
        </w:rPr>
        <w:t>6. Manifestaciones</w:t>
      </w:r>
      <w:r w:rsidRPr="00F1727B">
        <w:rPr>
          <w:rFonts w:ascii="Palatino Linotype" w:eastAsia="Palatino Linotype" w:hAnsi="Palatino Linotype" w:cs="Palatino Linotype"/>
          <w:sz w:val="22"/>
          <w:szCs w:val="22"/>
        </w:rPr>
        <w:t xml:space="preserve">. </w:t>
      </w:r>
      <w:r w:rsidR="00D00363" w:rsidRPr="00F1727B">
        <w:rPr>
          <w:rFonts w:ascii="Palatino Linotype" w:eastAsia="Palatino Linotype" w:hAnsi="Palatino Linotype" w:cs="Palatino Linotype"/>
          <w:sz w:val="22"/>
          <w:szCs w:val="22"/>
        </w:rPr>
        <w:t xml:space="preserve">De constancias del expediente electrónico del SAIMEX, se observa que el </w:t>
      </w:r>
      <w:r w:rsidR="00D00363" w:rsidRPr="00F1727B">
        <w:rPr>
          <w:rFonts w:ascii="Palatino Linotype" w:eastAsia="Palatino Linotype" w:hAnsi="Palatino Linotype" w:cs="Palatino Linotype"/>
          <w:b/>
          <w:sz w:val="22"/>
          <w:szCs w:val="22"/>
        </w:rPr>
        <w:t>Sujeto Obligado</w:t>
      </w:r>
      <w:r w:rsidR="00D00363" w:rsidRPr="00F1727B">
        <w:rPr>
          <w:rFonts w:ascii="Palatino Linotype" w:eastAsia="Palatino Linotype" w:hAnsi="Palatino Linotype" w:cs="Palatino Linotype"/>
          <w:sz w:val="22"/>
          <w:szCs w:val="22"/>
        </w:rPr>
        <w:t xml:space="preserve"> fue omiso en rendir su informe justificado; así como, la parte </w:t>
      </w:r>
      <w:r w:rsidR="00D00363" w:rsidRPr="00F1727B">
        <w:rPr>
          <w:rFonts w:ascii="Palatino Linotype" w:eastAsia="Palatino Linotype" w:hAnsi="Palatino Linotype" w:cs="Palatino Linotype"/>
          <w:b/>
          <w:sz w:val="22"/>
          <w:szCs w:val="22"/>
        </w:rPr>
        <w:t xml:space="preserve">Recurrente </w:t>
      </w:r>
      <w:r w:rsidR="00D00363" w:rsidRPr="00F1727B">
        <w:rPr>
          <w:rFonts w:ascii="Palatino Linotype" w:eastAsia="Palatino Linotype" w:hAnsi="Palatino Linotype" w:cs="Palatino Linotype"/>
          <w:sz w:val="22"/>
          <w:szCs w:val="22"/>
        </w:rPr>
        <w:t>fue omisa en hacer valer manifestaciones o rendir alegatos que conforme a derecho resultaran procedentes, como se muestra:</w:t>
      </w:r>
    </w:p>
    <w:p w14:paraId="5FE1D8C0" w14:textId="302831F7" w:rsidR="009923CC" w:rsidRPr="00F1727B" w:rsidRDefault="007F32B4" w:rsidP="009923CC">
      <w:pPr>
        <w:spacing w:before="240" w:after="240" w:line="360" w:lineRule="auto"/>
        <w:jc w:val="both"/>
        <w:rPr>
          <w:rFonts w:ascii="Palatino Linotype" w:eastAsia="Palatino Linotype" w:hAnsi="Palatino Linotype" w:cs="Palatino Linotype"/>
          <w:sz w:val="22"/>
          <w:szCs w:val="22"/>
        </w:rPr>
      </w:pPr>
      <w:r w:rsidRPr="00F1727B">
        <w:rPr>
          <w:noProof/>
          <w:sz w:val="22"/>
          <w:szCs w:val="22"/>
        </w:rPr>
        <w:drawing>
          <wp:inline distT="0" distB="0" distL="0" distR="0" wp14:anchorId="11118AA7" wp14:editId="0342E4FD">
            <wp:extent cx="5612130" cy="1592580"/>
            <wp:effectExtent l="0" t="0" r="7620" b="7620"/>
            <wp:docPr id="12045866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586618" name=""/>
                    <pic:cNvPicPr/>
                  </pic:nvPicPr>
                  <pic:blipFill>
                    <a:blip r:embed="rId9"/>
                    <a:stretch>
                      <a:fillRect/>
                    </a:stretch>
                  </pic:blipFill>
                  <pic:spPr>
                    <a:xfrm>
                      <a:off x="0" y="0"/>
                      <a:ext cx="5612130" cy="1592580"/>
                    </a:xfrm>
                    <a:prstGeom prst="rect">
                      <a:avLst/>
                    </a:prstGeom>
                  </pic:spPr>
                </pic:pic>
              </a:graphicData>
            </a:graphic>
          </wp:inline>
        </w:drawing>
      </w:r>
    </w:p>
    <w:p w14:paraId="09D27D8F" w14:textId="2C604218" w:rsidR="005D5DC9" w:rsidRPr="00F1727B" w:rsidRDefault="005D5DC9" w:rsidP="005D5DC9">
      <w:pPr>
        <w:widowControl w:val="0"/>
        <w:spacing w:before="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b/>
          <w:sz w:val="22"/>
          <w:szCs w:val="22"/>
        </w:rPr>
        <w:t>7</w:t>
      </w:r>
      <w:r w:rsidR="00286DF8" w:rsidRPr="00F1727B">
        <w:rPr>
          <w:rFonts w:ascii="Palatino Linotype" w:eastAsia="Palatino Linotype" w:hAnsi="Palatino Linotype" w:cs="Palatino Linotype"/>
          <w:b/>
          <w:sz w:val="22"/>
          <w:szCs w:val="22"/>
        </w:rPr>
        <w:t xml:space="preserve">. </w:t>
      </w:r>
      <w:r w:rsidRPr="00F1727B">
        <w:rPr>
          <w:rFonts w:ascii="Palatino Linotype" w:eastAsia="Palatino Linotype" w:hAnsi="Palatino Linotype" w:cs="Palatino Linotype"/>
          <w:b/>
          <w:sz w:val="22"/>
          <w:szCs w:val="22"/>
        </w:rPr>
        <w:t xml:space="preserve">Cierre de instrucción. </w:t>
      </w:r>
      <w:r w:rsidRPr="00F1727B">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el </w:t>
      </w:r>
      <w:r w:rsidR="00754A2B" w:rsidRPr="00F1727B">
        <w:rPr>
          <w:rFonts w:ascii="Palatino Linotype" w:eastAsia="Palatino Linotype" w:hAnsi="Palatino Linotype" w:cs="Palatino Linotype"/>
          <w:b/>
          <w:bCs/>
          <w:sz w:val="22"/>
          <w:szCs w:val="22"/>
        </w:rPr>
        <w:t xml:space="preserve">dieciséis </w:t>
      </w:r>
      <w:r w:rsidR="00955078" w:rsidRPr="00F1727B">
        <w:rPr>
          <w:rFonts w:ascii="Palatino Linotype" w:eastAsia="Palatino Linotype" w:hAnsi="Palatino Linotype" w:cs="Palatino Linotype"/>
          <w:b/>
          <w:bCs/>
          <w:sz w:val="22"/>
          <w:szCs w:val="22"/>
        </w:rPr>
        <w:t xml:space="preserve">de </w:t>
      </w:r>
      <w:r w:rsidR="007F32B4" w:rsidRPr="00F1727B">
        <w:rPr>
          <w:rFonts w:ascii="Palatino Linotype" w:eastAsia="Palatino Linotype" w:hAnsi="Palatino Linotype" w:cs="Palatino Linotype"/>
          <w:b/>
          <w:bCs/>
          <w:sz w:val="22"/>
          <w:szCs w:val="22"/>
        </w:rPr>
        <w:t>febrero</w:t>
      </w:r>
      <w:r w:rsidRPr="00F1727B">
        <w:rPr>
          <w:rFonts w:ascii="Palatino Linotype" w:eastAsia="Palatino Linotype" w:hAnsi="Palatino Linotype" w:cs="Palatino Linotype"/>
          <w:b/>
          <w:bCs/>
          <w:sz w:val="22"/>
          <w:szCs w:val="22"/>
        </w:rPr>
        <w:t xml:space="preserve"> de dos mil </w:t>
      </w:r>
      <w:r w:rsidR="007F32B4" w:rsidRPr="00F1727B">
        <w:rPr>
          <w:rFonts w:ascii="Palatino Linotype" w:eastAsia="Palatino Linotype" w:hAnsi="Palatino Linotype" w:cs="Palatino Linotype"/>
          <w:b/>
          <w:bCs/>
          <w:sz w:val="22"/>
          <w:szCs w:val="22"/>
        </w:rPr>
        <w:t>veintiséis</w:t>
      </w:r>
      <w:r w:rsidRPr="00F1727B">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65256B0E" w14:textId="375F2023" w:rsidR="00D57BFA" w:rsidRPr="00F1727B" w:rsidRDefault="00D57BFA" w:rsidP="00D57BFA">
      <w:pPr>
        <w:widowControl w:val="0"/>
        <w:spacing w:before="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b/>
          <w:bCs/>
          <w:sz w:val="22"/>
          <w:szCs w:val="22"/>
        </w:rPr>
        <w:t>8. Ampliación del término para resolver</w:t>
      </w:r>
      <w:r w:rsidRPr="00F1727B">
        <w:rPr>
          <w:rFonts w:ascii="Palatino Linotype" w:eastAsia="Palatino Linotype" w:hAnsi="Palatino Linotype" w:cs="Palatino Linotype"/>
          <w:sz w:val="22"/>
          <w:szCs w:val="22"/>
        </w:rPr>
        <w:t xml:space="preserve">. El </w:t>
      </w:r>
      <w:r w:rsidR="00CA340B" w:rsidRPr="00F1727B">
        <w:rPr>
          <w:rFonts w:ascii="Palatino Linotype" w:eastAsia="Palatino Linotype" w:hAnsi="Palatino Linotype" w:cs="Palatino Linotype"/>
          <w:b/>
          <w:bCs/>
          <w:sz w:val="22"/>
          <w:szCs w:val="22"/>
        </w:rPr>
        <w:t>tres de marzo</w:t>
      </w:r>
      <w:r w:rsidR="005D30CE" w:rsidRPr="00F1727B">
        <w:rPr>
          <w:rFonts w:ascii="Palatino Linotype" w:eastAsia="Palatino Linotype" w:hAnsi="Palatino Linotype" w:cs="Palatino Linotype"/>
          <w:b/>
          <w:bCs/>
          <w:sz w:val="22"/>
          <w:szCs w:val="22"/>
        </w:rPr>
        <w:t xml:space="preserve"> </w:t>
      </w:r>
      <w:r w:rsidRPr="00F1727B">
        <w:rPr>
          <w:rFonts w:ascii="Palatino Linotype" w:eastAsia="Palatino Linotype" w:hAnsi="Palatino Linotype" w:cs="Palatino Linotype"/>
          <w:b/>
          <w:bCs/>
          <w:sz w:val="22"/>
          <w:szCs w:val="22"/>
        </w:rPr>
        <w:t xml:space="preserve">de dos mil </w:t>
      </w:r>
      <w:r w:rsidR="005D30CE" w:rsidRPr="00F1727B">
        <w:rPr>
          <w:rFonts w:ascii="Palatino Linotype" w:eastAsia="Palatino Linotype" w:hAnsi="Palatino Linotype" w:cs="Palatino Linotype"/>
          <w:b/>
          <w:bCs/>
          <w:sz w:val="22"/>
          <w:szCs w:val="22"/>
        </w:rPr>
        <w:t>veintiséis</w:t>
      </w:r>
      <w:r w:rsidRPr="00F1727B">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6788F0DE" w14:textId="77777777" w:rsidR="00D57BFA" w:rsidRPr="00F1727B" w:rsidRDefault="00D57BFA" w:rsidP="00D57BFA">
      <w:pPr>
        <w:widowControl w:val="0"/>
        <w:spacing w:before="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0B8D6D5D" w14:textId="77777777" w:rsidR="00D57BFA" w:rsidRPr="00F1727B" w:rsidRDefault="00D57BFA" w:rsidP="00D57BFA">
      <w:pPr>
        <w:widowControl w:val="0"/>
        <w:spacing w:before="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14:paraId="4BA92DCD" w14:textId="77777777" w:rsidR="00D57BFA" w:rsidRPr="00F1727B" w:rsidRDefault="00D57BFA" w:rsidP="00D57BFA">
      <w:pPr>
        <w:widowControl w:val="0"/>
        <w:spacing w:before="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344EE0F9" w14:textId="77777777" w:rsidR="00D57BFA" w:rsidRPr="00F1727B" w:rsidRDefault="00D57BFA" w:rsidP="00D57BFA">
      <w:pPr>
        <w:widowControl w:val="0"/>
        <w:spacing w:before="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51197F95" w14:textId="77777777" w:rsidR="00D57BFA" w:rsidRPr="00F1727B" w:rsidRDefault="00D57BFA" w:rsidP="00D57BFA">
      <w:pPr>
        <w:widowControl w:val="0"/>
        <w:spacing w:before="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5A4049C6" w14:textId="77777777" w:rsidR="00D57BFA" w:rsidRPr="00F1727B" w:rsidRDefault="00D57BFA" w:rsidP="00A32CD1">
      <w:pPr>
        <w:widowControl w:val="0"/>
        <w:numPr>
          <w:ilvl w:val="0"/>
          <w:numId w:val="9"/>
        </w:numPr>
        <w:tabs>
          <w:tab w:val="left" w:pos="851"/>
        </w:tabs>
        <w:spacing w:before="240" w:line="360" w:lineRule="auto"/>
        <w:ind w:left="567" w:firstLine="0"/>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Complejidad del Asunto: La complejidad de la prueba, la pluralidad de sujetos procesales, el tiempo transcurrido, las características y contexto del recurso. </w:t>
      </w:r>
    </w:p>
    <w:p w14:paraId="6F5B182E" w14:textId="77777777" w:rsidR="00D57BFA" w:rsidRPr="00F1727B" w:rsidRDefault="00D57BFA" w:rsidP="00A32CD1">
      <w:pPr>
        <w:widowControl w:val="0"/>
        <w:numPr>
          <w:ilvl w:val="0"/>
          <w:numId w:val="9"/>
        </w:numPr>
        <w:tabs>
          <w:tab w:val="left" w:pos="851"/>
        </w:tabs>
        <w:spacing w:before="240" w:line="360" w:lineRule="auto"/>
        <w:ind w:left="567" w:firstLine="0"/>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Actividad Procesal del interesado. Acciones u omisiones del interesado.</w:t>
      </w:r>
    </w:p>
    <w:p w14:paraId="14BB8218" w14:textId="77777777" w:rsidR="00D57BFA" w:rsidRPr="00F1727B" w:rsidRDefault="00D57BFA" w:rsidP="00A32CD1">
      <w:pPr>
        <w:widowControl w:val="0"/>
        <w:numPr>
          <w:ilvl w:val="0"/>
          <w:numId w:val="9"/>
        </w:numPr>
        <w:tabs>
          <w:tab w:val="left" w:pos="851"/>
        </w:tabs>
        <w:spacing w:before="240" w:line="360" w:lineRule="auto"/>
        <w:ind w:left="567" w:firstLine="0"/>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Conducta de la Autoridad: Las Acciones u omisiones realizadas en el procedimiento. Así como si la autoridad actuó con la debida diligencia.</w:t>
      </w:r>
    </w:p>
    <w:p w14:paraId="787A7D0D" w14:textId="77777777" w:rsidR="00D57BFA" w:rsidRPr="00F1727B" w:rsidRDefault="00D57BFA" w:rsidP="00A32CD1">
      <w:pPr>
        <w:widowControl w:val="0"/>
        <w:tabs>
          <w:tab w:val="left" w:pos="851"/>
        </w:tabs>
        <w:spacing w:before="240" w:line="360" w:lineRule="auto"/>
        <w:ind w:left="567"/>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d) La afectación generada en la situación jurídica de la persona involucrada en el proceso: Violación a sus derechos humanos.</w:t>
      </w:r>
    </w:p>
    <w:p w14:paraId="0E1C4D9E" w14:textId="77777777" w:rsidR="00D57BFA" w:rsidRPr="00F1727B" w:rsidRDefault="00D57BFA" w:rsidP="00D57BFA">
      <w:pPr>
        <w:widowControl w:val="0"/>
        <w:spacing w:before="240" w:line="360" w:lineRule="auto"/>
        <w:jc w:val="both"/>
        <w:rPr>
          <w:rFonts w:ascii="Palatino Linotype" w:eastAsia="Palatino Linotype" w:hAnsi="Palatino Linotype" w:cs="Palatino Linotype"/>
          <w:bCs/>
          <w:sz w:val="22"/>
          <w:szCs w:val="22"/>
        </w:rPr>
      </w:pPr>
      <w:r w:rsidRPr="00F1727B">
        <w:rPr>
          <w:rFonts w:ascii="Palatino Linotype" w:eastAsia="Palatino Linotype" w:hAnsi="Palatino Linotype" w:cs="Palatino Linotype"/>
          <w:bCs/>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6EDA5D78" w14:textId="77777777" w:rsidR="00D57BFA" w:rsidRPr="00F1727B" w:rsidRDefault="00D57BFA" w:rsidP="00D57BFA">
      <w:pPr>
        <w:widowControl w:val="0"/>
        <w:spacing w:before="240" w:line="360" w:lineRule="auto"/>
        <w:jc w:val="both"/>
        <w:rPr>
          <w:rFonts w:ascii="Palatino Linotype" w:eastAsia="Palatino Linotype" w:hAnsi="Palatino Linotype" w:cs="Palatino Linotype"/>
          <w:bCs/>
          <w:sz w:val="22"/>
          <w:szCs w:val="22"/>
        </w:rPr>
      </w:pPr>
      <w:r w:rsidRPr="00F1727B">
        <w:rPr>
          <w:rFonts w:ascii="Palatino Linotype" w:eastAsia="Palatino Linotype" w:hAnsi="Palatino Linotype" w:cs="Palatino Linotype"/>
          <w:bCs/>
          <w:sz w:val="22"/>
          <w:szCs w:val="22"/>
        </w:rPr>
        <w:t xml:space="preserve">Argumento que encuentra sustento en la jurisprudencia P./J. 32/92 emitida por el Pleno de la Suprema Corte de Justicia de la Nación de rubro </w:t>
      </w:r>
      <w:r w:rsidRPr="00F1727B">
        <w:rPr>
          <w:rFonts w:ascii="Palatino Linotype" w:eastAsia="Palatino Linotype" w:hAnsi="Palatino Linotype" w:cs="Palatino Linotype"/>
          <w:bCs/>
          <w:i/>
          <w:sz w:val="22"/>
          <w:szCs w:val="22"/>
        </w:rPr>
        <w:t>“TÉRMINOS PROCESALES. PARA DETERMINAR SI UN FUNCIONARIO JUDICIAL ACTUÓ INDEBIDAMENTE POR NO RESPETARLOS SE DEBE ATENDER AL PRESUPUESTO QUE CONSIDERÓ EL LEGISLADOR AL FIJARLOS Y LAS CARACTERÍSTICAS DEL CASO.”</w:t>
      </w:r>
      <w:r w:rsidRPr="00F1727B">
        <w:rPr>
          <w:rFonts w:ascii="Palatino Linotype" w:eastAsia="Palatino Linotype" w:hAnsi="Palatino Linotype" w:cs="Palatino Linotype"/>
          <w:bCs/>
          <w:sz w:val="22"/>
          <w:szCs w:val="22"/>
        </w:rPr>
        <w:t>, visible en la Gaceta del Seminario Judicial de la Federación con el registro digital 205635.</w:t>
      </w:r>
    </w:p>
    <w:p w14:paraId="4A40B1D7" w14:textId="77777777" w:rsidR="00D57BFA" w:rsidRPr="00F1727B" w:rsidRDefault="00D57BFA" w:rsidP="00D57BFA">
      <w:pPr>
        <w:widowControl w:val="0"/>
        <w:spacing w:before="240" w:line="360" w:lineRule="auto"/>
        <w:jc w:val="both"/>
        <w:rPr>
          <w:rFonts w:ascii="Palatino Linotype" w:eastAsia="Palatino Linotype" w:hAnsi="Palatino Linotype" w:cs="Palatino Linotype"/>
          <w:bCs/>
          <w:sz w:val="22"/>
          <w:szCs w:val="22"/>
        </w:rPr>
      </w:pPr>
      <w:r w:rsidRPr="00F1727B">
        <w:rPr>
          <w:rFonts w:ascii="Palatino Linotype" w:eastAsia="Palatino Linotype" w:hAnsi="Palatino Linotype" w:cs="Palatino Linotype"/>
          <w:bCs/>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EF358A7" w14:textId="77777777" w:rsidR="00D57BFA" w:rsidRPr="00F1727B" w:rsidRDefault="00D57BFA" w:rsidP="00D57BFA">
      <w:pPr>
        <w:widowControl w:val="0"/>
        <w:spacing w:before="240" w:line="360" w:lineRule="auto"/>
        <w:jc w:val="both"/>
        <w:rPr>
          <w:rFonts w:ascii="Palatino Linotype" w:eastAsia="Palatino Linotype" w:hAnsi="Palatino Linotype" w:cs="Palatino Linotype"/>
          <w:bCs/>
          <w:sz w:val="22"/>
          <w:szCs w:val="22"/>
        </w:rPr>
      </w:pPr>
      <w:r w:rsidRPr="00F1727B">
        <w:rPr>
          <w:rFonts w:ascii="Palatino Linotype" w:eastAsia="Palatino Linotype" w:hAnsi="Palatino Linotype" w:cs="Palatino Linotype"/>
          <w:bCs/>
          <w:sz w:val="22"/>
          <w:szCs w:val="22"/>
        </w:rPr>
        <w:t>Al respecto, también son de considerar los criterios sostenidos por el Cuarto Tribunal Colegiado en Materia Administrativa del Primer Circuito, cuyos rubros y datos de identificación son los siguientes:</w:t>
      </w:r>
    </w:p>
    <w:p w14:paraId="489CC673" w14:textId="77777777" w:rsidR="00D57BFA" w:rsidRPr="00F1727B" w:rsidRDefault="00D57BFA" w:rsidP="00A32CD1">
      <w:pPr>
        <w:widowControl w:val="0"/>
        <w:spacing w:before="240"/>
        <w:ind w:left="851" w:right="900"/>
        <w:jc w:val="both"/>
        <w:rPr>
          <w:rFonts w:ascii="Palatino Linotype" w:eastAsia="Palatino Linotype" w:hAnsi="Palatino Linotype" w:cs="Palatino Linotype"/>
          <w:bCs/>
          <w:sz w:val="22"/>
          <w:szCs w:val="22"/>
        </w:rPr>
      </w:pPr>
      <w:r w:rsidRPr="00F1727B">
        <w:rPr>
          <w:rFonts w:ascii="Palatino Linotype" w:eastAsia="Palatino Linotype" w:hAnsi="Palatino Linotype" w:cs="Palatino Linotype"/>
          <w:bCs/>
          <w:sz w:val="22"/>
          <w:szCs w:val="22"/>
        </w:rPr>
        <w:t xml:space="preserve"> </w:t>
      </w:r>
      <w:r w:rsidRPr="00F1727B">
        <w:rPr>
          <w:rFonts w:ascii="Palatino Linotype" w:eastAsia="Palatino Linotype" w:hAnsi="Palatino Linotype" w:cs="Palatino Linotype"/>
          <w:bCs/>
          <w:i/>
          <w:sz w:val="22"/>
          <w:szCs w:val="22"/>
        </w:rPr>
        <w:t>“</w:t>
      </w:r>
      <w:r w:rsidRPr="00F1727B">
        <w:rPr>
          <w:rFonts w:ascii="Palatino Linotype" w:eastAsia="Palatino Linotype" w:hAnsi="Palatino Linotype" w:cs="Palatino Linotype"/>
          <w:b/>
          <w:i/>
          <w:sz w:val="22"/>
          <w:szCs w:val="22"/>
        </w:rPr>
        <w:t>PLAZO RAZONABLE PARA RESOLVER. DIMENSIÓN Y EFECTOS DE ESTE CONCEPTO CUANDO SE ADUCE EXCESIVA CARGA DE TRABAJO.”</w:t>
      </w:r>
      <w:r w:rsidRPr="00F1727B">
        <w:rPr>
          <w:rFonts w:ascii="Palatino Linotype" w:eastAsia="Palatino Linotype" w:hAnsi="Palatino Linotype" w:cs="Palatino Linotype"/>
          <w:bCs/>
          <w:sz w:val="22"/>
          <w:szCs w:val="22"/>
        </w:rPr>
        <w:t xml:space="preserve"> consultable en el Seminario Judicial de la Federación y su gaceta, con el registro digital 2002351.</w:t>
      </w:r>
    </w:p>
    <w:p w14:paraId="41760411" w14:textId="77777777" w:rsidR="00D57BFA" w:rsidRPr="00F1727B" w:rsidRDefault="00D57BFA" w:rsidP="00A32CD1">
      <w:pPr>
        <w:widowControl w:val="0"/>
        <w:spacing w:before="240"/>
        <w:ind w:left="851" w:right="900"/>
        <w:jc w:val="both"/>
        <w:rPr>
          <w:rFonts w:ascii="Palatino Linotype" w:eastAsia="Palatino Linotype" w:hAnsi="Palatino Linotype" w:cs="Palatino Linotype"/>
          <w:bCs/>
          <w:sz w:val="22"/>
          <w:szCs w:val="22"/>
        </w:rPr>
      </w:pPr>
      <w:r w:rsidRPr="00F1727B">
        <w:rPr>
          <w:rFonts w:ascii="Palatino Linotype" w:eastAsia="Palatino Linotype" w:hAnsi="Palatino Linotype" w:cs="Palatino Linotype"/>
          <w:bCs/>
          <w:i/>
          <w:sz w:val="22"/>
          <w:szCs w:val="22"/>
        </w:rPr>
        <w:t>“</w:t>
      </w:r>
      <w:r w:rsidRPr="00F1727B">
        <w:rPr>
          <w:rFonts w:ascii="Palatino Linotype" w:eastAsia="Palatino Linotype" w:hAnsi="Palatino Linotype" w:cs="Palatino Linotype"/>
          <w:b/>
          <w:i/>
          <w:sz w:val="22"/>
          <w:szCs w:val="22"/>
        </w:rPr>
        <w:t>PLAZO RAZONABLE PARA RESOLVER. CONCEPTO Y ELEMENTOS QUE LO INTEGRAN A LA LUZ DEL DERECHO INTERNACIONAL DE LOS DERECHOS HUMANOS</w:t>
      </w:r>
      <w:r w:rsidRPr="00F1727B">
        <w:rPr>
          <w:rFonts w:ascii="Palatino Linotype" w:eastAsia="Palatino Linotype" w:hAnsi="Palatino Linotype" w:cs="Palatino Linotype"/>
          <w:bCs/>
          <w:i/>
          <w:sz w:val="22"/>
          <w:szCs w:val="22"/>
        </w:rPr>
        <w:t>.”</w:t>
      </w:r>
      <w:r w:rsidRPr="00F1727B">
        <w:rPr>
          <w:rFonts w:ascii="Palatino Linotype" w:eastAsia="Palatino Linotype" w:hAnsi="Palatino Linotype" w:cs="Palatino Linotype"/>
          <w:bCs/>
          <w:sz w:val="22"/>
          <w:szCs w:val="22"/>
        </w:rPr>
        <w:t>, visible en el Seminario Judicial de la Federación y su gaceta, con el registro digital 2002350.</w:t>
      </w:r>
    </w:p>
    <w:p w14:paraId="6786D54B" w14:textId="77777777" w:rsidR="00D57BFA" w:rsidRPr="00F1727B" w:rsidRDefault="00D57BFA" w:rsidP="00D57BFA">
      <w:pPr>
        <w:widowControl w:val="0"/>
        <w:spacing w:before="240" w:line="360" w:lineRule="auto"/>
        <w:jc w:val="both"/>
        <w:rPr>
          <w:rFonts w:ascii="Palatino Linotype" w:eastAsia="Palatino Linotype" w:hAnsi="Palatino Linotype" w:cs="Palatino Linotype"/>
          <w:bCs/>
          <w:sz w:val="22"/>
          <w:szCs w:val="22"/>
        </w:rPr>
      </w:pPr>
      <w:r w:rsidRPr="00F1727B">
        <w:rPr>
          <w:rFonts w:ascii="Palatino Linotype" w:eastAsia="Palatino Linotype" w:hAnsi="Palatino Linotype" w:cs="Palatino Linotype"/>
          <w:bCs/>
          <w:sz w:val="22"/>
          <w:szCs w:val="22"/>
        </w:rPr>
        <w:t>Por ello, este Organismo Garante comprometido con la tutela de los derechos humanos confiados, señala que este exceso del plazo legal para resolver el presente asunto, resulta de carácter excepcional.</w:t>
      </w:r>
    </w:p>
    <w:p w14:paraId="7B0FA1BD" w14:textId="77777777" w:rsidR="00562A90" w:rsidRPr="00F1727B" w:rsidRDefault="0062255D">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21BCBDF5" w14:textId="77777777" w:rsidR="00562A90" w:rsidRPr="00F1727B" w:rsidRDefault="0062255D">
      <w:pPr>
        <w:widowControl w:val="0"/>
        <w:spacing w:before="240" w:after="240" w:line="360" w:lineRule="auto"/>
        <w:jc w:val="center"/>
        <w:rPr>
          <w:rFonts w:ascii="Palatino Linotype" w:eastAsia="Palatino Linotype" w:hAnsi="Palatino Linotype" w:cs="Palatino Linotype"/>
          <w:b/>
          <w:sz w:val="22"/>
          <w:szCs w:val="22"/>
        </w:rPr>
      </w:pPr>
      <w:r w:rsidRPr="00F1727B">
        <w:rPr>
          <w:rFonts w:ascii="Palatino Linotype" w:eastAsia="Palatino Linotype" w:hAnsi="Palatino Linotype" w:cs="Palatino Linotype"/>
          <w:b/>
          <w:sz w:val="22"/>
          <w:szCs w:val="22"/>
        </w:rPr>
        <w:t>II. C O N S I D E R A N D O S</w:t>
      </w:r>
    </w:p>
    <w:p w14:paraId="60D021DD" w14:textId="6369A956" w:rsidR="00562A90" w:rsidRPr="00F1727B" w:rsidRDefault="0062255D">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b/>
          <w:sz w:val="22"/>
          <w:szCs w:val="22"/>
        </w:rPr>
        <w:t>Primero. Competencia.</w:t>
      </w:r>
      <w:r w:rsidRPr="00F1727B">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5D5DC9" w:rsidRPr="00F1727B">
        <w:rPr>
          <w:rFonts w:ascii="Palatino Linotype" w:eastAsia="Palatino Linotype" w:hAnsi="Palatino Linotype" w:cs="Palatino Linotype"/>
          <w:sz w:val="22"/>
          <w:szCs w:val="22"/>
        </w:rPr>
        <w:t>5</w:t>
      </w:r>
      <w:r w:rsidR="000E700F" w:rsidRPr="00F1727B">
        <w:rPr>
          <w:rFonts w:ascii="Palatino Linotype" w:eastAsia="Palatino Linotype" w:hAnsi="Palatino Linotype" w:cs="Palatino Linotype"/>
          <w:sz w:val="22"/>
          <w:szCs w:val="22"/>
        </w:rPr>
        <w:t>,</w:t>
      </w:r>
      <w:r w:rsidR="005D5DC9" w:rsidRPr="00F1727B">
        <w:rPr>
          <w:rFonts w:ascii="Palatino Linotype" w:eastAsia="Palatino Linotype" w:hAnsi="Palatino Linotype" w:cs="Palatino Linotype"/>
          <w:sz w:val="22"/>
          <w:szCs w:val="22"/>
        </w:rPr>
        <w:t xml:space="preserve"> párrafos </w:t>
      </w:r>
      <w:r w:rsidR="000E700F" w:rsidRPr="00F1727B">
        <w:rPr>
          <w:rFonts w:ascii="Palatino Linotype" w:eastAsia="Palatino Linotype" w:hAnsi="Palatino Linotype" w:cs="Palatino Linotype"/>
          <w:sz w:val="22"/>
          <w:szCs w:val="22"/>
        </w:rPr>
        <w:t>cuadragésimo cuarto, cuadragésimo quinto cuadragésimo sexto,</w:t>
      </w:r>
      <w:r w:rsidR="005D5DC9" w:rsidRPr="00F1727B">
        <w:rPr>
          <w:rFonts w:ascii="Palatino Linotype" w:eastAsia="Palatino Linotype" w:hAnsi="Palatino Linotype" w:cs="Palatino Linotype"/>
          <w:sz w:val="22"/>
          <w:szCs w:val="22"/>
        </w:rPr>
        <w:t xml:space="preserve"> fracciones IV y V de la Constitución Política del Estado Libre y Soberano de México; Transitorio Cuarto, párrafo segundo del Decreto número 198 de la “LXII” Legislatura del Estado de México;</w:t>
      </w:r>
      <w:r w:rsidRPr="00F1727B">
        <w:rPr>
          <w:rFonts w:ascii="Palatino Linotype" w:eastAsia="Palatino Linotype" w:hAnsi="Palatino Linotype" w:cs="Palatino Linotype"/>
          <w:sz w:val="22"/>
          <w:szCs w:val="22"/>
        </w:rPr>
        <w:t xml:space="preserve">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BB00E87" w14:textId="77777777" w:rsidR="00562A90" w:rsidRPr="00F1727B" w:rsidRDefault="0062255D">
      <w:pPr>
        <w:spacing w:before="240" w:after="240" w:line="360" w:lineRule="auto"/>
        <w:jc w:val="both"/>
        <w:rPr>
          <w:rFonts w:ascii="Palatino Linotype" w:eastAsia="Palatino Linotype" w:hAnsi="Palatino Linotype" w:cs="Palatino Linotype"/>
          <w:sz w:val="22"/>
          <w:szCs w:val="22"/>
        </w:rPr>
      </w:pPr>
      <w:bookmarkStart w:id="8" w:name="_heading=h.tyjcwt" w:colFirst="0" w:colLast="0"/>
      <w:bookmarkEnd w:id="8"/>
      <w:r w:rsidRPr="00F1727B">
        <w:rPr>
          <w:rFonts w:ascii="Palatino Linotype" w:eastAsia="Palatino Linotype" w:hAnsi="Palatino Linotype" w:cs="Palatino Linotype"/>
          <w:b/>
          <w:sz w:val="22"/>
          <w:szCs w:val="22"/>
        </w:rPr>
        <w:t>Segundo. Oportunidad y Procedibilidad del Recurso de Revisión</w:t>
      </w:r>
      <w:r w:rsidRPr="00F1727B">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1C2A1275" w14:textId="7FB7CB85" w:rsidR="00562A90" w:rsidRPr="00F1727B" w:rsidRDefault="0062255D">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F1727B">
        <w:rPr>
          <w:rFonts w:ascii="Palatino Linotype" w:eastAsia="Palatino Linotype" w:hAnsi="Palatino Linotype" w:cs="Palatino Linotype"/>
          <w:b/>
          <w:sz w:val="22"/>
          <w:szCs w:val="22"/>
        </w:rPr>
        <w:t xml:space="preserve">Sujeto Obligado </w:t>
      </w:r>
      <w:r w:rsidRPr="00F1727B">
        <w:rPr>
          <w:rFonts w:ascii="Palatino Linotype" w:eastAsia="Palatino Linotype" w:hAnsi="Palatino Linotype" w:cs="Palatino Linotype"/>
          <w:sz w:val="22"/>
          <w:szCs w:val="22"/>
        </w:rPr>
        <w:t xml:space="preserve">remitió la respuesta a la solicitud de información el día </w:t>
      </w:r>
      <w:r w:rsidR="00D57BFA" w:rsidRPr="00F1727B">
        <w:rPr>
          <w:rFonts w:ascii="Palatino Linotype" w:eastAsia="Palatino Linotype" w:hAnsi="Palatino Linotype" w:cs="Palatino Linotype"/>
          <w:b/>
          <w:sz w:val="22"/>
          <w:szCs w:val="22"/>
        </w:rPr>
        <w:t xml:space="preserve">seis de </w:t>
      </w:r>
      <w:r w:rsidR="005D30CE" w:rsidRPr="00F1727B">
        <w:rPr>
          <w:rFonts w:ascii="Palatino Linotype" w:eastAsia="Palatino Linotype" w:hAnsi="Palatino Linotype" w:cs="Palatino Linotype"/>
          <w:b/>
          <w:sz w:val="22"/>
          <w:szCs w:val="22"/>
        </w:rPr>
        <w:t xml:space="preserve">noviembre </w:t>
      </w:r>
      <w:r w:rsidR="00AF72B6" w:rsidRPr="00F1727B">
        <w:rPr>
          <w:rFonts w:ascii="Palatino Linotype" w:eastAsia="Palatino Linotype" w:hAnsi="Palatino Linotype" w:cs="Palatino Linotype"/>
          <w:b/>
          <w:sz w:val="22"/>
          <w:szCs w:val="22"/>
        </w:rPr>
        <w:t>de dos mil veinticinco</w:t>
      </w:r>
      <w:r w:rsidRPr="00F1727B">
        <w:rPr>
          <w:rFonts w:ascii="Palatino Linotype" w:eastAsia="Palatino Linotype" w:hAnsi="Palatino Linotype" w:cs="Palatino Linotype"/>
          <w:b/>
          <w:sz w:val="22"/>
          <w:szCs w:val="22"/>
        </w:rPr>
        <w:t xml:space="preserve">, </w:t>
      </w:r>
      <w:r w:rsidRPr="00F1727B">
        <w:rPr>
          <w:rFonts w:ascii="Palatino Linotype" w:eastAsia="Palatino Linotype" w:hAnsi="Palatino Linotype" w:cs="Palatino Linotype"/>
          <w:sz w:val="22"/>
          <w:szCs w:val="22"/>
        </w:rPr>
        <w:t xml:space="preserve">mientras que el recurso de revisión interpuesto por la parte </w:t>
      </w:r>
      <w:r w:rsidRPr="00F1727B">
        <w:rPr>
          <w:rFonts w:ascii="Palatino Linotype" w:eastAsia="Palatino Linotype" w:hAnsi="Palatino Linotype" w:cs="Palatino Linotype"/>
          <w:b/>
          <w:sz w:val="22"/>
          <w:szCs w:val="22"/>
        </w:rPr>
        <w:t xml:space="preserve">Recurrente, </w:t>
      </w:r>
      <w:r w:rsidRPr="00F1727B">
        <w:rPr>
          <w:rFonts w:ascii="Palatino Linotype" w:eastAsia="Palatino Linotype" w:hAnsi="Palatino Linotype" w:cs="Palatino Linotype"/>
          <w:sz w:val="22"/>
          <w:szCs w:val="22"/>
        </w:rPr>
        <w:t>se tuvo por presentado el día</w:t>
      </w:r>
      <w:r w:rsidR="009E66E4" w:rsidRPr="00F1727B">
        <w:rPr>
          <w:rFonts w:ascii="Palatino Linotype" w:eastAsia="Palatino Linotype" w:hAnsi="Palatino Linotype" w:cs="Palatino Linotype"/>
          <w:b/>
          <w:sz w:val="22"/>
          <w:szCs w:val="22"/>
        </w:rPr>
        <w:t xml:space="preserve"> </w:t>
      </w:r>
      <w:r w:rsidR="005D30CE" w:rsidRPr="00F1727B">
        <w:rPr>
          <w:rFonts w:ascii="Palatino Linotype" w:eastAsia="Palatino Linotype" w:hAnsi="Palatino Linotype" w:cs="Palatino Linotype"/>
          <w:b/>
          <w:sz w:val="22"/>
          <w:szCs w:val="22"/>
        </w:rPr>
        <w:t xml:space="preserve">ocho </w:t>
      </w:r>
      <w:r w:rsidR="00D57BFA" w:rsidRPr="00F1727B">
        <w:rPr>
          <w:rFonts w:ascii="Palatino Linotype" w:eastAsia="Palatino Linotype" w:hAnsi="Palatino Linotype" w:cs="Palatino Linotype"/>
          <w:b/>
          <w:sz w:val="22"/>
          <w:szCs w:val="22"/>
        </w:rPr>
        <w:t xml:space="preserve">de </w:t>
      </w:r>
      <w:r w:rsidR="005D30CE" w:rsidRPr="00F1727B">
        <w:rPr>
          <w:rFonts w:ascii="Palatino Linotype" w:eastAsia="Palatino Linotype" w:hAnsi="Palatino Linotype" w:cs="Palatino Linotype"/>
          <w:b/>
          <w:sz w:val="22"/>
          <w:szCs w:val="22"/>
        </w:rPr>
        <w:t xml:space="preserve">noviembre </w:t>
      </w:r>
      <w:r w:rsidR="00AF72B6" w:rsidRPr="00F1727B">
        <w:rPr>
          <w:rFonts w:ascii="Palatino Linotype" w:eastAsia="Palatino Linotype" w:hAnsi="Palatino Linotype" w:cs="Palatino Linotype"/>
          <w:b/>
          <w:sz w:val="22"/>
          <w:szCs w:val="22"/>
        </w:rPr>
        <w:t>de dos mil veinticinco</w:t>
      </w:r>
      <w:r w:rsidRPr="00F1727B">
        <w:rPr>
          <w:rFonts w:ascii="Palatino Linotype" w:eastAsia="Palatino Linotype" w:hAnsi="Palatino Linotype" w:cs="Palatino Linotype"/>
          <w:b/>
          <w:sz w:val="22"/>
          <w:szCs w:val="22"/>
        </w:rPr>
        <w:t xml:space="preserve">, </w:t>
      </w:r>
      <w:r w:rsidRPr="00F1727B">
        <w:rPr>
          <w:rFonts w:ascii="Palatino Linotype" w:eastAsia="Palatino Linotype" w:hAnsi="Palatino Linotype" w:cs="Palatino Linotype"/>
          <w:sz w:val="22"/>
          <w:szCs w:val="22"/>
        </w:rPr>
        <w:t>esto es</w:t>
      </w:r>
      <w:r w:rsidR="00AF72B6" w:rsidRPr="00F1727B">
        <w:rPr>
          <w:rFonts w:ascii="Palatino Linotype" w:eastAsia="Palatino Linotype" w:hAnsi="Palatino Linotype" w:cs="Palatino Linotype"/>
          <w:sz w:val="22"/>
          <w:szCs w:val="22"/>
        </w:rPr>
        <w:t xml:space="preserve">, </w:t>
      </w:r>
      <w:r w:rsidR="00D57BFA" w:rsidRPr="00F1727B">
        <w:rPr>
          <w:rFonts w:ascii="Palatino Linotype" w:eastAsia="Palatino Linotype" w:hAnsi="Palatino Linotype" w:cs="Palatino Linotype"/>
          <w:sz w:val="22"/>
          <w:szCs w:val="22"/>
        </w:rPr>
        <w:t xml:space="preserve">al </w:t>
      </w:r>
      <w:r w:rsidR="005D30CE" w:rsidRPr="00F1727B">
        <w:rPr>
          <w:rFonts w:ascii="Palatino Linotype" w:eastAsia="Palatino Linotype" w:hAnsi="Palatino Linotype" w:cs="Palatino Linotype"/>
          <w:sz w:val="22"/>
          <w:szCs w:val="22"/>
        </w:rPr>
        <w:t xml:space="preserve">segundo </w:t>
      </w:r>
      <w:r w:rsidR="00D57BFA" w:rsidRPr="00F1727B">
        <w:rPr>
          <w:rFonts w:ascii="Palatino Linotype" w:eastAsia="Palatino Linotype" w:hAnsi="Palatino Linotype" w:cs="Palatino Linotype"/>
          <w:sz w:val="22"/>
          <w:szCs w:val="22"/>
        </w:rPr>
        <w:t>día hábil posterior</w:t>
      </w:r>
      <w:r w:rsidRPr="00F1727B">
        <w:rPr>
          <w:rFonts w:ascii="Palatino Linotype" w:eastAsia="Palatino Linotype" w:hAnsi="Palatino Linotype" w:cs="Palatino Linotype"/>
          <w:sz w:val="22"/>
          <w:szCs w:val="22"/>
        </w:rPr>
        <w:t>. En este sentido, se concluye que el presente recurso de revisión se encuentra dentro de los márgenes temporales previstos en las disposiciones legales referidas.</w:t>
      </w:r>
    </w:p>
    <w:p w14:paraId="7D3E9518" w14:textId="77777777" w:rsidR="00077C62" w:rsidRPr="00F1727B" w:rsidRDefault="00077C62" w:rsidP="00077C62">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Además, por cuanto hace a la procedibilidad del recurso de revisión, es de suma importancia señalar que la parte</w:t>
      </w:r>
      <w:r w:rsidRPr="00F1727B">
        <w:rPr>
          <w:rFonts w:ascii="Palatino Linotype" w:eastAsia="Palatino Linotype" w:hAnsi="Palatino Linotype" w:cs="Palatino Linotype"/>
          <w:b/>
          <w:sz w:val="22"/>
          <w:szCs w:val="22"/>
        </w:rPr>
        <w:t xml:space="preserve"> Recurrente</w:t>
      </w:r>
      <w:r w:rsidRPr="00F1727B">
        <w:rPr>
          <w:rFonts w:ascii="Palatino Linotype" w:eastAsia="Palatino Linotype" w:hAnsi="Palatino Linotype" w:cs="Palatino Linotype"/>
          <w:sz w:val="22"/>
          <w:szCs w:val="22"/>
        </w:rPr>
        <w:t xml:space="preserve">, no señaló </w:t>
      </w:r>
      <w:r w:rsidRPr="00F1727B">
        <w:rPr>
          <w:rFonts w:ascii="Palatino Linotype" w:eastAsia="Palatino Linotype" w:hAnsi="Palatino Linotype" w:cs="Palatino Linotype"/>
          <w:b/>
          <w:sz w:val="22"/>
          <w:szCs w:val="22"/>
        </w:rPr>
        <w:t>nombre o seudónimo,</w:t>
      </w:r>
      <w:r w:rsidRPr="00F1727B">
        <w:rPr>
          <w:rFonts w:ascii="Palatino Linotype" w:eastAsia="Palatino Linotype" w:hAnsi="Palatino Linotype" w:cs="Palatino Linotype"/>
          <w:sz w:val="22"/>
          <w:szCs w:val="22"/>
        </w:rPr>
        <w:t xml:space="preserve"> como se advierte en el detalle de seguimiento del SAIMEX, no obstante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64EAB1E7" w14:textId="77777777" w:rsidR="00077C62" w:rsidRPr="00F1727B" w:rsidRDefault="00077C62" w:rsidP="00077C62">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w:t>
      </w:r>
      <w:r w:rsidRPr="00F1727B">
        <w:rPr>
          <w:rFonts w:ascii="Palatino Linotype" w:eastAsia="Palatino Linotype" w:hAnsi="Palatino Linotype" w:cs="Palatino Linotype"/>
          <w:b/>
          <w:i/>
          <w:sz w:val="22"/>
          <w:szCs w:val="22"/>
        </w:rPr>
        <w:t>Las solicitudes anónimas</w:t>
      </w:r>
      <w:r w:rsidRPr="00F1727B">
        <w:rPr>
          <w:rFonts w:ascii="Palatino Linotype" w:eastAsia="Palatino Linotype" w:hAnsi="Palatino Linotype" w:cs="Palatino Linotype"/>
          <w:i/>
          <w:sz w:val="22"/>
          <w:szCs w:val="22"/>
        </w:rPr>
        <w:t xml:space="preserve">, con nombre incompleto o </w:t>
      </w:r>
      <w:r w:rsidRPr="00F1727B">
        <w:rPr>
          <w:rFonts w:ascii="Palatino Linotype" w:eastAsia="Palatino Linotype" w:hAnsi="Palatino Linotype" w:cs="Palatino Linotype"/>
          <w:b/>
          <w:i/>
          <w:sz w:val="22"/>
          <w:szCs w:val="22"/>
        </w:rPr>
        <w:t>seudónimo</w:t>
      </w:r>
      <w:r w:rsidRPr="00F1727B">
        <w:rPr>
          <w:rFonts w:ascii="Palatino Linotype" w:eastAsia="Palatino Linotype" w:hAnsi="Palatino Linotype" w:cs="Palatino Linotype"/>
          <w:i/>
          <w:sz w:val="22"/>
          <w:szCs w:val="22"/>
        </w:rPr>
        <w:t xml:space="preserve"> serán procedentes para su trámite por parte del sujeto obligado ante quien se presente. No podrá requerirse información adicional con motivo del nombre proporcionado por el solicitante."</w:t>
      </w:r>
    </w:p>
    <w:p w14:paraId="1AB7D23F" w14:textId="77777777" w:rsidR="00077C62" w:rsidRPr="00F1727B" w:rsidRDefault="00077C62" w:rsidP="00077C62">
      <w:pPr>
        <w:spacing w:before="240" w:after="240" w:line="360" w:lineRule="auto"/>
        <w:jc w:val="both"/>
        <w:rPr>
          <w:rFonts w:ascii="Palatino Linotype" w:eastAsia="Palatino Linotype" w:hAnsi="Palatino Linotype" w:cs="Palatino Linotype"/>
          <w:b/>
          <w:sz w:val="22"/>
          <w:szCs w:val="22"/>
        </w:rPr>
      </w:pPr>
      <w:r w:rsidRPr="00F1727B">
        <w:rPr>
          <w:rFonts w:ascii="Palatino Linotype" w:eastAsia="Palatino Linotype" w:hAnsi="Palatino Linotype" w:cs="Palatino Linotype"/>
          <w:sz w:val="22"/>
          <w:szCs w:val="22"/>
        </w:rPr>
        <w:t>De acuerdo al análisis efectuado se advierte que resulta procedente la interposición del recurso y se concluye la acreditación plena de todos y cada uno de los elementos formales exigidos por el artículo 180 de la Ley de Transparencia y Acceso a la Información Pública del Estado de México y Municipios en vigor, en atención a que fue presentado mediante el formato visible en el</w:t>
      </w:r>
      <w:r w:rsidRPr="00F1727B">
        <w:rPr>
          <w:rFonts w:ascii="Palatino Linotype" w:eastAsia="Palatino Linotype" w:hAnsi="Palatino Linotype" w:cs="Palatino Linotype"/>
          <w:b/>
          <w:sz w:val="22"/>
          <w:szCs w:val="22"/>
        </w:rPr>
        <w:t xml:space="preserve"> SAIMEX.</w:t>
      </w:r>
    </w:p>
    <w:p w14:paraId="190980DF" w14:textId="1A431980" w:rsidR="00077C62" w:rsidRPr="00F1727B" w:rsidRDefault="00077C62" w:rsidP="00077C62">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Finalmente, se advierte que resulta procedente la interposición del recurso, según lo manifestado por la parte </w:t>
      </w:r>
      <w:r w:rsidRPr="00F1727B">
        <w:rPr>
          <w:rFonts w:ascii="Palatino Linotype" w:eastAsia="Palatino Linotype" w:hAnsi="Palatino Linotype" w:cs="Palatino Linotype"/>
          <w:b/>
          <w:bCs/>
          <w:sz w:val="22"/>
          <w:szCs w:val="22"/>
        </w:rPr>
        <w:t>Recurrente</w:t>
      </w:r>
      <w:r w:rsidRPr="00F1727B">
        <w:rPr>
          <w:rFonts w:ascii="Palatino Linotype" w:eastAsia="Palatino Linotype" w:hAnsi="Palatino Linotype" w:cs="Palatino Linotype"/>
          <w:sz w:val="22"/>
          <w:szCs w:val="22"/>
        </w:rPr>
        <w:t xml:space="preserve"> en sus motivos de inconformidad, de acuerdo al artículo 179, fracción </w:t>
      </w:r>
      <w:r w:rsidR="005D30CE" w:rsidRPr="00F1727B">
        <w:rPr>
          <w:rFonts w:ascii="Palatino Linotype" w:eastAsia="Palatino Linotype" w:hAnsi="Palatino Linotype" w:cs="Palatino Linotype"/>
          <w:sz w:val="22"/>
          <w:szCs w:val="22"/>
        </w:rPr>
        <w:t>VIII</w:t>
      </w:r>
      <w:r w:rsidRPr="00F1727B">
        <w:rPr>
          <w:rFonts w:ascii="Palatino Linotype" w:eastAsia="Palatino Linotype" w:hAnsi="Palatino Linotype" w:cs="Palatino Linotype"/>
          <w:sz w:val="22"/>
          <w:szCs w:val="22"/>
        </w:rPr>
        <w:t xml:space="preserve"> del ordenamiento legal citado, que a la letra dice: </w:t>
      </w:r>
    </w:p>
    <w:p w14:paraId="39AB3B04" w14:textId="77777777" w:rsidR="00562A90" w:rsidRPr="00F1727B" w:rsidRDefault="0062255D" w:rsidP="00AF51BA">
      <w:pPr>
        <w:tabs>
          <w:tab w:val="left" w:pos="7938"/>
        </w:tabs>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w:t>
      </w:r>
      <w:r w:rsidRPr="00F1727B">
        <w:rPr>
          <w:rFonts w:ascii="Palatino Linotype" w:eastAsia="Palatino Linotype" w:hAnsi="Palatino Linotype" w:cs="Palatino Linotype"/>
          <w:b/>
          <w:i/>
          <w:sz w:val="22"/>
          <w:szCs w:val="22"/>
        </w:rPr>
        <w:t>Artículo 179.</w:t>
      </w:r>
      <w:r w:rsidRPr="00F1727B">
        <w:rPr>
          <w:rFonts w:ascii="Palatino Linotype" w:eastAsia="Palatino Linotype" w:hAnsi="Palatino Linotype" w:cs="Palatino Linotype"/>
          <w:i/>
          <w:sz w:val="22"/>
          <w:szCs w:val="22"/>
        </w:rPr>
        <w:t xml:space="preserve"> El recurso de revisión es un medio de protección que la Ley otorga a los particulares, para hacer valer su derecho de acceso a la información pública, y procederá en contra de las siguientes causas:</w:t>
      </w:r>
    </w:p>
    <w:p w14:paraId="7903CA76" w14:textId="77777777" w:rsidR="00562A90" w:rsidRPr="00F1727B" w:rsidRDefault="0062255D" w:rsidP="00AF51BA">
      <w:pPr>
        <w:tabs>
          <w:tab w:val="left" w:pos="7938"/>
        </w:tabs>
        <w:spacing w:before="120" w:after="120"/>
        <w:ind w:left="851" w:right="900"/>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w:t>
      </w:r>
    </w:p>
    <w:p w14:paraId="217B120C" w14:textId="1DD799F6" w:rsidR="00562A90" w:rsidRPr="00F1727B" w:rsidRDefault="005D30CE" w:rsidP="005D30CE">
      <w:pPr>
        <w:tabs>
          <w:tab w:val="left" w:pos="7938"/>
        </w:tabs>
        <w:spacing w:before="120" w:after="120"/>
        <w:ind w:left="851" w:right="900"/>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bCs/>
          <w:i/>
          <w:sz w:val="22"/>
          <w:szCs w:val="22"/>
        </w:rPr>
        <w:t>VIII.</w:t>
      </w:r>
      <w:r w:rsidRPr="00F1727B">
        <w:rPr>
          <w:rFonts w:ascii="Palatino Linotype" w:eastAsia="Palatino Linotype" w:hAnsi="Palatino Linotype" w:cs="Palatino Linotype"/>
          <w:i/>
          <w:sz w:val="22"/>
          <w:szCs w:val="22"/>
        </w:rPr>
        <w:t xml:space="preserve"> La notificación, entrega o puesta a disposición de información en una modalidad o formato distinto al solicitado;</w:t>
      </w:r>
      <w:r w:rsidR="0062255D" w:rsidRPr="00F1727B">
        <w:rPr>
          <w:rFonts w:ascii="Palatino Linotype" w:eastAsia="Palatino Linotype" w:hAnsi="Palatino Linotype" w:cs="Palatino Linotype"/>
          <w:i/>
          <w:sz w:val="22"/>
          <w:szCs w:val="22"/>
        </w:rPr>
        <w:t>”</w:t>
      </w:r>
    </w:p>
    <w:p w14:paraId="09700F89" w14:textId="77777777" w:rsidR="00562A90" w:rsidRPr="00F1727B" w:rsidRDefault="0062255D">
      <w:pPr>
        <w:spacing w:before="240" w:after="240" w:line="360" w:lineRule="auto"/>
        <w:jc w:val="both"/>
        <w:rPr>
          <w:rFonts w:ascii="Palatino Linotype" w:eastAsia="Palatino Linotype" w:hAnsi="Palatino Linotype" w:cs="Palatino Linotype"/>
          <w:b/>
          <w:sz w:val="22"/>
          <w:szCs w:val="22"/>
        </w:rPr>
      </w:pPr>
      <w:r w:rsidRPr="00F1727B">
        <w:rPr>
          <w:rFonts w:ascii="Palatino Linotype" w:eastAsia="Palatino Linotype" w:hAnsi="Palatino Linotype" w:cs="Palatino Linotype"/>
          <w:b/>
          <w:sz w:val="22"/>
          <w:szCs w:val="22"/>
        </w:rPr>
        <w:t xml:space="preserve">Tercero. Materia de la revisión. </w:t>
      </w:r>
      <w:r w:rsidRPr="00F1727B">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F1727B">
        <w:rPr>
          <w:rFonts w:ascii="Palatino Linotype" w:eastAsia="Palatino Linotype" w:hAnsi="Palatino Linotype" w:cs="Palatino Linotype"/>
          <w:b/>
          <w:sz w:val="22"/>
          <w:szCs w:val="22"/>
        </w:rPr>
        <w:t xml:space="preserve">verificar si la información proporcionada por el Sujeto Obligado es adecuada y suficiente para satisfacer el derecho de acceso a la información pública </w:t>
      </w:r>
      <w:r w:rsidRPr="00F1727B">
        <w:rPr>
          <w:rFonts w:ascii="Palatino Linotype" w:eastAsia="Palatino Linotype" w:hAnsi="Palatino Linotype" w:cs="Palatino Linotype"/>
          <w:sz w:val="22"/>
          <w:szCs w:val="22"/>
        </w:rPr>
        <w:t xml:space="preserve">de la parte </w:t>
      </w:r>
      <w:r w:rsidRPr="00F1727B">
        <w:rPr>
          <w:rFonts w:ascii="Palatino Linotype" w:eastAsia="Palatino Linotype" w:hAnsi="Palatino Linotype" w:cs="Palatino Linotype"/>
          <w:b/>
          <w:sz w:val="22"/>
          <w:szCs w:val="22"/>
        </w:rPr>
        <w:t>Recurrente</w:t>
      </w:r>
      <w:r w:rsidRPr="00F1727B">
        <w:rPr>
          <w:rFonts w:ascii="Palatino Linotype" w:eastAsia="Palatino Linotype" w:hAnsi="Palatino Linotype" w:cs="Palatino Linotype"/>
          <w:sz w:val="22"/>
          <w:szCs w:val="22"/>
        </w:rPr>
        <w:t>, o en su defecto, en caso de ser procedente, ordenar la entrega de información.</w:t>
      </w:r>
    </w:p>
    <w:p w14:paraId="2B109E96" w14:textId="77777777" w:rsidR="00562A90" w:rsidRPr="00F1727B" w:rsidRDefault="0062255D">
      <w:pPr>
        <w:spacing w:before="240" w:after="240" w:line="360" w:lineRule="auto"/>
        <w:jc w:val="both"/>
        <w:rPr>
          <w:rFonts w:ascii="Palatino Linotype" w:eastAsia="Palatino Linotype" w:hAnsi="Palatino Linotype" w:cs="Palatino Linotype"/>
          <w:sz w:val="22"/>
          <w:szCs w:val="22"/>
        </w:rPr>
      </w:pPr>
      <w:bookmarkStart w:id="9" w:name="_heading=h.2et92p0" w:colFirst="0" w:colLast="0"/>
      <w:bookmarkEnd w:id="9"/>
      <w:r w:rsidRPr="00F1727B">
        <w:rPr>
          <w:rFonts w:ascii="Palatino Linotype" w:eastAsia="Palatino Linotype" w:hAnsi="Palatino Linotype" w:cs="Palatino Linotype"/>
          <w:b/>
          <w:sz w:val="22"/>
          <w:szCs w:val="22"/>
        </w:rPr>
        <w:t xml:space="preserve">Cuarto. Estudio del asunto. </w:t>
      </w:r>
      <w:r w:rsidRPr="00F1727B">
        <w:rPr>
          <w:rFonts w:ascii="Palatino Linotype" w:eastAsia="Palatino Linotype" w:hAnsi="Palatino Linotype" w:cs="Palatino Linotype"/>
          <w:sz w:val="22"/>
          <w:szCs w:val="22"/>
        </w:rPr>
        <w:t>En primer lugar, es conveniente mencionar que de conformidad con el artículo 4 de la Ley de Transparencia y Acceso a la Información Pública del Estado de México y Municipios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37A0B397" w14:textId="77777777" w:rsidR="00562A90" w:rsidRPr="00F1727B" w:rsidRDefault="0062255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w:t>
      </w:r>
      <w:r w:rsidRPr="00F1727B">
        <w:rPr>
          <w:rFonts w:ascii="Palatino Linotype" w:eastAsia="Palatino Linotype" w:hAnsi="Palatino Linotype" w:cs="Palatino Linotype"/>
          <w:b/>
          <w:i/>
          <w:sz w:val="22"/>
          <w:szCs w:val="22"/>
        </w:rPr>
        <w:t>Artículo 4</w:t>
      </w:r>
      <w:r w:rsidRPr="00F1727B">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2B166C31" w14:textId="77777777" w:rsidR="00562A90" w:rsidRPr="00F1727B" w:rsidRDefault="0062255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F1727B">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16416075" w14:textId="77777777" w:rsidR="00562A90" w:rsidRPr="00F1727B" w:rsidRDefault="0062255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F1727B">
        <w:rPr>
          <w:rFonts w:ascii="Palatino Linotype" w:eastAsia="Palatino Linotype" w:hAnsi="Palatino Linotype" w:cs="Palatino Linotype"/>
          <w:i/>
          <w:sz w:val="22"/>
          <w:szCs w:val="22"/>
        </w:rPr>
        <w:t>.”</w:t>
      </w:r>
    </w:p>
    <w:p w14:paraId="651E1502" w14:textId="77777777" w:rsidR="00562A90" w:rsidRPr="00F1727B" w:rsidRDefault="0062255D">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4E18E9E2" w14:textId="77777777" w:rsidR="00562A90" w:rsidRPr="00F1727B" w:rsidRDefault="0062255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“Artículo 12.-</w:t>
      </w:r>
      <w:r w:rsidRPr="00F1727B">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2CD15C1E" w14:textId="77777777" w:rsidR="00562A90" w:rsidRPr="00F1727B" w:rsidRDefault="0062255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F1727B">
        <w:rPr>
          <w:rFonts w:ascii="Palatino Linotype" w:eastAsia="Palatino Linotype" w:hAnsi="Palatino Linotype" w:cs="Palatino Linotype"/>
          <w:i/>
          <w:sz w:val="22"/>
          <w:szCs w:val="22"/>
        </w:rPr>
        <w:t xml:space="preserve">. </w:t>
      </w:r>
      <w:r w:rsidRPr="00F1727B">
        <w:rPr>
          <w:rFonts w:ascii="Palatino Linotype" w:eastAsia="Palatino Linotype" w:hAnsi="Palatino Linotype" w:cs="Palatino Linotype"/>
          <w:b/>
          <w:i/>
          <w:sz w:val="22"/>
          <w:szCs w:val="22"/>
        </w:rPr>
        <w:t>La obligación de proporcionar información no comprende el procesamiento de la misma, ni el presentarla conforme al interés del solicitante; no estarán obligados a generarla, resumirla, efectuar cálculos o practicar investigaciones.”</w:t>
      </w:r>
    </w:p>
    <w:p w14:paraId="76C7BCA4" w14:textId="77777777" w:rsidR="00562A90" w:rsidRPr="00F1727B" w:rsidRDefault="0062255D">
      <w:pPr>
        <w:spacing w:before="240" w:after="240" w:line="360" w:lineRule="auto"/>
        <w:ind w:right="-93"/>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sólo se concretaran a proporcionar la información solicitada que tengan en su poder en el estado que se encuentran, sin necesidad de concretarse al interés o términos específicos del solicitante.</w:t>
      </w:r>
    </w:p>
    <w:p w14:paraId="679CE64C" w14:textId="77777777" w:rsidR="00562A90" w:rsidRPr="00F1727B" w:rsidRDefault="0062255D">
      <w:pPr>
        <w:spacing w:before="240" w:after="240" w:line="360" w:lineRule="auto"/>
        <w:jc w:val="both"/>
        <w:rPr>
          <w:rFonts w:ascii="Palatino Linotype" w:eastAsia="Palatino Linotype" w:hAnsi="Palatino Linotype" w:cs="Palatino Linotype"/>
          <w:b/>
          <w:sz w:val="22"/>
          <w:szCs w:val="22"/>
        </w:rPr>
      </w:pPr>
      <w:r w:rsidRPr="00F1727B">
        <w:rPr>
          <w:rFonts w:ascii="Palatino Linotype" w:eastAsia="Palatino Linotype" w:hAnsi="Palatino Linotype" w:cs="Palatino Linotype"/>
          <w:sz w:val="22"/>
          <w:szCs w:val="22"/>
        </w:rPr>
        <w:t>Sirve de apoyo a lo anterior, el criterio orientador con clave de control SO/003/2017, emitido por el entonces Instituto Nacional de Transparencia, Acceso a la Información y Protección de Datos Personales, que por rubro y texto, dispone lo siguiente:</w:t>
      </w:r>
      <w:r w:rsidRPr="00F1727B">
        <w:rPr>
          <w:rFonts w:ascii="Palatino Linotype" w:eastAsia="Palatino Linotype" w:hAnsi="Palatino Linotype" w:cs="Palatino Linotype"/>
          <w:b/>
          <w:sz w:val="22"/>
          <w:szCs w:val="22"/>
        </w:rPr>
        <w:t xml:space="preserve"> </w:t>
      </w:r>
    </w:p>
    <w:p w14:paraId="093BE23B" w14:textId="77777777" w:rsidR="00562A90" w:rsidRPr="00F1727B" w:rsidRDefault="0062255D">
      <w:pPr>
        <w:spacing w:before="120" w:after="120"/>
        <w:ind w:left="1134"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 xml:space="preserve"> “</w:t>
      </w:r>
      <w:r w:rsidRPr="00F1727B">
        <w:rPr>
          <w:rFonts w:ascii="Palatino Linotype" w:eastAsia="Palatino Linotype" w:hAnsi="Palatino Linotype" w:cs="Palatino Linotype"/>
          <w:b/>
          <w:i/>
          <w:sz w:val="22"/>
          <w:szCs w:val="22"/>
        </w:rPr>
        <w:t>No existe obligación de elaborar documentos ad hoc para atender las solicitudes de acceso a la información.</w:t>
      </w:r>
      <w:r w:rsidRPr="00F1727B">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962A522" w14:textId="77777777" w:rsidR="00562A90" w:rsidRPr="00F1727B" w:rsidRDefault="0062255D">
      <w:pPr>
        <w:spacing w:before="120" w:after="12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3865EFEE" w14:textId="77777777" w:rsidR="00562A90" w:rsidRPr="00F1727B" w:rsidRDefault="0062255D">
      <w:pPr>
        <w:spacing w:before="120" w:after="12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39B24A7D" w14:textId="77777777" w:rsidR="00562A90" w:rsidRPr="00F1727B" w:rsidRDefault="0062255D" w:rsidP="00AF51BA">
      <w:pPr>
        <w:tabs>
          <w:tab w:val="left" w:pos="993"/>
        </w:tabs>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w:t>
      </w:r>
      <w:r w:rsidRPr="00F1727B">
        <w:rPr>
          <w:rFonts w:ascii="Palatino Linotype" w:eastAsia="Palatino Linotype" w:hAnsi="Palatino Linotype" w:cs="Palatino Linotype"/>
          <w:b/>
          <w:i/>
          <w:sz w:val="22"/>
          <w:szCs w:val="22"/>
        </w:rPr>
        <w:t xml:space="preserve">Artículo 3. </w:t>
      </w:r>
      <w:r w:rsidRPr="00F1727B">
        <w:rPr>
          <w:rFonts w:ascii="Palatino Linotype" w:eastAsia="Palatino Linotype" w:hAnsi="Palatino Linotype" w:cs="Palatino Linotype"/>
          <w:i/>
          <w:sz w:val="22"/>
          <w:szCs w:val="22"/>
        </w:rPr>
        <w:t>Para los efectos de la presente Ley se entenderá por:</w:t>
      </w:r>
    </w:p>
    <w:p w14:paraId="07E06CC3" w14:textId="77777777" w:rsidR="00562A90" w:rsidRPr="00F1727B" w:rsidRDefault="0062255D" w:rsidP="00AF51BA">
      <w:pPr>
        <w:tabs>
          <w:tab w:val="left" w:pos="993"/>
        </w:tabs>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w:t>
      </w:r>
    </w:p>
    <w:p w14:paraId="47B93607" w14:textId="77777777" w:rsidR="00562A90" w:rsidRPr="00F1727B" w:rsidRDefault="0062255D" w:rsidP="00AF51BA">
      <w:pPr>
        <w:tabs>
          <w:tab w:val="left" w:pos="993"/>
        </w:tabs>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XI. Documento:</w:t>
      </w:r>
      <w:r w:rsidRPr="00F1727B">
        <w:rPr>
          <w:rFonts w:ascii="Palatino Linotype" w:eastAsia="Palatino Linotype" w:hAnsi="Palatino Linotype" w:cs="Palatino Linotype"/>
          <w:i/>
          <w:sz w:val="22"/>
          <w:szCs w:val="22"/>
        </w:rPr>
        <w:t xml:space="preserve"> Los expedientes, reportes, estudios, actas</w:t>
      </w:r>
      <w:r w:rsidRPr="00F1727B">
        <w:rPr>
          <w:rFonts w:ascii="Palatino Linotype" w:eastAsia="Palatino Linotype" w:hAnsi="Palatino Linotype" w:cs="Palatino Linotype"/>
          <w:b/>
          <w:i/>
          <w:sz w:val="22"/>
          <w:szCs w:val="22"/>
        </w:rPr>
        <w:t>,</w:t>
      </w:r>
      <w:r w:rsidRPr="00F1727B">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275A856F" w14:textId="77777777" w:rsidR="00562A90" w:rsidRPr="00F1727B" w:rsidRDefault="0062255D">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56BDB376" w14:textId="77777777" w:rsidR="00562A90" w:rsidRPr="00F1727B" w:rsidRDefault="0062255D" w:rsidP="00AF72B6">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sz w:val="22"/>
          <w:szCs w:val="22"/>
        </w:rPr>
        <w:t>“</w:t>
      </w:r>
      <w:r w:rsidRPr="00F1727B">
        <w:rPr>
          <w:rFonts w:ascii="Palatino Linotype" w:eastAsia="Palatino Linotype" w:hAnsi="Palatino Linotype" w:cs="Palatino Linotype"/>
          <w:b/>
          <w:i/>
          <w:sz w:val="22"/>
          <w:szCs w:val="22"/>
        </w:rPr>
        <w:t>INFORMACIÓN PÚBLICA, CONCEPTO DE, EN MATERIA DE TRANSPARENCIA. INTERPRETACIÓN SISTEMÁTICA DE LOS ARTÍCULOS 2°, FRACCIÓN V, XV, Y XVI, 3°, 4°, 11 Y 41.</w:t>
      </w:r>
      <w:r w:rsidRPr="00F1727B">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69AA24A" w14:textId="77777777" w:rsidR="00562A90" w:rsidRPr="00F1727B" w:rsidRDefault="0062255D" w:rsidP="00AF72B6">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3550C45B" w14:textId="77777777" w:rsidR="00562A90" w:rsidRPr="00F1727B" w:rsidRDefault="0062255D" w:rsidP="00AF72B6">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768997DE" w14:textId="77777777" w:rsidR="00562A90" w:rsidRPr="00F1727B" w:rsidRDefault="0062255D" w:rsidP="00AF72B6">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2) Que se trate de información registrada en cualquier soporte documental, que en ejercicio de las atribuciones conferidas, sea administrada por los Sujetos Obligados, y</w:t>
      </w:r>
    </w:p>
    <w:p w14:paraId="1794246D" w14:textId="77777777" w:rsidR="00562A90" w:rsidRPr="00F1727B" w:rsidRDefault="0062255D" w:rsidP="00AF72B6">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3) Que se trate de información registrada en cualquier soporte documental, que en ejercicio de las atribuciones conferidas, se encuentre en posesión de los Sujetos Obligados.”</w:t>
      </w:r>
    </w:p>
    <w:p w14:paraId="294617FB" w14:textId="77777777" w:rsidR="00562A90" w:rsidRPr="00F1727B" w:rsidRDefault="0062255D">
      <w:pPr>
        <w:spacing w:before="240" w:after="240" w:line="360" w:lineRule="auto"/>
        <w:ind w:right="51"/>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Lo anterior, siempre y cuando no se trate de información clasificada como reservada o confidencial, cuya difusión pueda lesionar el interés jurídicamente protegido por la Ley, producir un daño mayor que el interés de conocerse, o bien, generar un daño en los derechos de las personas,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0112BC5F" w14:textId="6AED6107" w:rsidR="00562A90" w:rsidRPr="00F1727B" w:rsidRDefault="0062255D">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En el mismo tenor, los artículos 6, apartado A, fracción I, de la Constitución Política de los Estados Unidos Mexicanos y 5,</w:t>
      </w:r>
      <w:r w:rsidR="00CB6CDB" w:rsidRPr="00F1727B">
        <w:rPr>
          <w:rFonts w:ascii="Palatino Linotype" w:eastAsia="Palatino Linotype" w:hAnsi="Palatino Linotype" w:cs="Palatino Linotype"/>
          <w:sz w:val="22"/>
          <w:szCs w:val="22"/>
        </w:rPr>
        <w:t xml:space="preserve"> párrafo cuadragésimo sexto,</w:t>
      </w:r>
      <w:r w:rsidRPr="00F1727B">
        <w:rPr>
          <w:rFonts w:ascii="Palatino Linotype" w:eastAsia="Palatino Linotype" w:hAnsi="Palatino Linotype" w:cs="Palatino Linotype"/>
          <w:sz w:val="22"/>
          <w:szCs w:val="22"/>
        </w:rPr>
        <w:t xml:space="preserve"> fracción I, de la Constitución Política del Estado Libre y Soberano de México, establecen que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las razones previstas en la Constitución Federal por interés público y seguridad, en los términos que fijen las leyes de la materia.</w:t>
      </w:r>
    </w:p>
    <w:p w14:paraId="3924D1ED" w14:textId="77777777" w:rsidR="00562A90" w:rsidRPr="00F1727B" w:rsidRDefault="0062255D">
      <w:pPr>
        <w:spacing w:before="240" w:after="240" w:line="360" w:lineRule="auto"/>
        <w:ind w:right="51"/>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Ahora bien, del análisis de la solicitud de información, motivo del recurso de revisión que ahora se resuelve, se advierte que la parte </w:t>
      </w:r>
      <w:r w:rsidRPr="00F1727B">
        <w:rPr>
          <w:rFonts w:ascii="Palatino Linotype" w:eastAsia="Palatino Linotype" w:hAnsi="Palatino Linotype" w:cs="Palatino Linotype"/>
          <w:b/>
          <w:sz w:val="22"/>
          <w:szCs w:val="22"/>
        </w:rPr>
        <w:t>Recurrente</w:t>
      </w:r>
      <w:r w:rsidRPr="00F1727B">
        <w:rPr>
          <w:rFonts w:ascii="Palatino Linotype" w:eastAsia="Palatino Linotype" w:hAnsi="Palatino Linotype" w:cs="Palatino Linotype"/>
          <w:sz w:val="22"/>
          <w:szCs w:val="22"/>
        </w:rPr>
        <w:t xml:space="preserve"> requirió al </w:t>
      </w:r>
      <w:r w:rsidRPr="00F1727B">
        <w:rPr>
          <w:rFonts w:ascii="Palatino Linotype" w:eastAsia="Palatino Linotype" w:hAnsi="Palatino Linotype" w:cs="Palatino Linotype"/>
          <w:b/>
          <w:sz w:val="22"/>
          <w:szCs w:val="22"/>
        </w:rPr>
        <w:t xml:space="preserve">Sujeto Obligado </w:t>
      </w:r>
      <w:r w:rsidRPr="00F1727B">
        <w:rPr>
          <w:rFonts w:ascii="Palatino Linotype" w:eastAsia="Palatino Linotype" w:hAnsi="Palatino Linotype" w:cs="Palatino Linotype"/>
          <w:sz w:val="22"/>
          <w:szCs w:val="22"/>
        </w:rPr>
        <w:t>le proporcione, información consistente en lo siguiente:</w:t>
      </w:r>
    </w:p>
    <w:p w14:paraId="184F082E" w14:textId="26AA1FD1" w:rsidR="005D30CE" w:rsidRPr="00F1727B" w:rsidRDefault="005D30CE">
      <w:pPr>
        <w:spacing w:before="240" w:after="240" w:line="360" w:lineRule="auto"/>
        <w:ind w:right="51"/>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Del uno de marzo al quince de octubre de dos mil veinticinco:</w:t>
      </w:r>
    </w:p>
    <w:p w14:paraId="307BA02F" w14:textId="77777777" w:rsidR="005D30CE" w:rsidRPr="00F1727B" w:rsidRDefault="004315B9" w:rsidP="00044464">
      <w:pPr>
        <w:spacing w:before="240" w:after="240" w:line="360" w:lineRule="auto"/>
        <w:ind w:left="284" w:right="49"/>
        <w:jc w:val="both"/>
        <w:rPr>
          <w:rFonts w:ascii="Palatino Linotype" w:eastAsia="Palatino Linotype" w:hAnsi="Palatino Linotype" w:cs="Palatino Linotype"/>
          <w:iCs/>
          <w:sz w:val="22"/>
          <w:szCs w:val="22"/>
        </w:rPr>
      </w:pPr>
      <w:r w:rsidRPr="00F1727B">
        <w:rPr>
          <w:rFonts w:ascii="Palatino Linotype" w:eastAsia="Palatino Linotype" w:hAnsi="Palatino Linotype" w:cs="Palatino Linotype"/>
          <w:iCs/>
          <w:sz w:val="22"/>
          <w:szCs w:val="22"/>
        </w:rPr>
        <w:t xml:space="preserve">1. </w:t>
      </w:r>
      <w:r w:rsidR="005D30CE" w:rsidRPr="00F1727B">
        <w:rPr>
          <w:rFonts w:ascii="Palatino Linotype" w:eastAsia="Palatino Linotype" w:hAnsi="Palatino Linotype" w:cs="Palatino Linotype"/>
          <w:iCs/>
          <w:sz w:val="22"/>
          <w:szCs w:val="22"/>
        </w:rPr>
        <w:t>Copia de los contratos de compras mínimas o cualquier compra de papelería, productos de limpieza, medicamentos y agua.</w:t>
      </w:r>
    </w:p>
    <w:p w14:paraId="359379FA" w14:textId="1C1894B8" w:rsidR="004315B9" w:rsidRPr="00F1727B" w:rsidRDefault="005D30CE" w:rsidP="00044464">
      <w:pPr>
        <w:spacing w:before="240" w:after="240" w:line="360" w:lineRule="auto"/>
        <w:ind w:left="284" w:right="49"/>
        <w:jc w:val="both"/>
        <w:rPr>
          <w:rFonts w:ascii="Palatino Linotype" w:eastAsia="Palatino Linotype" w:hAnsi="Palatino Linotype" w:cs="Palatino Linotype"/>
          <w:iCs/>
          <w:sz w:val="22"/>
          <w:szCs w:val="22"/>
        </w:rPr>
      </w:pPr>
      <w:r w:rsidRPr="00F1727B">
        <w:rPr>
          <w:rFonts w:ascii="Palatino Linotype" w:eastAsia="Palatino Linotype" w:hAnsi="Palatino Linotype" w:cs="Palatino Linotype"/>
          <w:iCs/>
          <w:sz w:val="22"/>
          <w:szCs w:val="22"/>
        </w:rPr>
        <w:t>2. Las facturas de lo ya pagado.</w:t>
      </w:r>
    </w:p>
    <w:p w14:paraId="7A34CA4C" w14:textId="27A9FF89" w:rsidR="005D30CE" w:rsidRPr="00F1727B" w:rsidRDefault="00044464" w:rsidP="00052C54">
      <w:pPr>
        <w:spacing w:before="240" w:after="240" w:line="360" w:lineRule="auto"/>
        <w:ind w:right="49"/>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En respuesta a l</w:t>
      </w:r>
      <w:r w:rsidR="00594299" w:rsidRPr="00F1727B">
        <w:rPr>
          <w:rFonts w:ascii="Palatino Linotype" w:eastAsia="Palatino Linotype" w:hAnsi="Palatino Linotype" w:cs="Palatino Linotype"/>
          <w:sz w:val="22"/>
          <w:szCs w:val="22"/>
        </w:rPr>
        <w:t xml:space="preserve">a solicitud, por conducto de la </w:t>
      </w:r>
      <w:r w:rsidR="004315B9" w:rsidRPr="00F1727B">
        <w:rPr>
          <w:rFonts w:ascii="Palatino Linotype" w:eastAsia="Palatino Linotype" w:hAnsi="Palatino Linotype" w:cs="Palatino Linotype"/>
          <w:sz w:val="22"/>
          <w:szCs w:val="22"/>
        </w:rPr>
        <w:t xml:space="preserve">Jefatura de </w:t>
      </w:r>
      <w:r w:rsidR="005D30CE" w:rsidRPr="00F1727B">
        <w:rPr>
          <w:rFonts w:ascii="Palatino Linotype" w:eastAsia="Palatino Linotype" w:hAnsi="Palatino Linotype" w:cs="Palatino Linotype"/>
          <w:sz w:val="22"/>
          <w:szCs w:val="22"/>
        </w:rPr>
        <w:t xml:space="preserve">Adquisiciones </w:t>
      </w:r>
      <w:r w:rsidR="00E123A9" w:rsidRPr="00F1727B">
        <w:rPr>
          <w:rFonts w:ascii="Palatino Linotype" w:eastAsia="Palatino Linotype" w:hAnsi="Palatino Linotype" w:cs="Palatino Linotype"/>
          <w:sz w:val="22"/>
          <w:szCs w:val="22"/>
        </w:rPr>
        <w:t xml:space="preserve">puso la información a disposición de la persona solicitante en el </w:t>
      </w:r>
      <w:r w:rsidR="00E123A9" w:rsidRPr="00F1727B">
        <w:rPr>
          <w:rFonts w:ascii="Palatino Linotype" w:eastAsia="Palatino Linotype" w:hAnsi="Palatino Linotype" w:cs="Palatino Linotype"/>
          <w:b/>
          <w:bCs/>
          <w:sz w:val="22"/>
          <w:szCs w:val="22"/>
          <w:u w:val="single"/>
        </w:rPr>
        <w:t>Archivo de Adquisiciones</w:t>
      </w:r>
      <w:r w:rsidR="00E123A9" w:rsidRPr="00F1727B">
        <w:rPr>
          <w:rFonts w:ascii="Palatino Linotype" w:eastAsia="Palatino Linotype" w:hAnsi="Palatino Linotype" w:cs="Palatino Linotype"/>
          <w:sz w:val="22"/>
          <w:szCs w:val="22"/>
        </w:rPr>
        <w:t xml:space="preserve"> del Sistema Municipal DIF,</w:t>
      </w:r>
      <w:r w:rsidR="002F7F03" w:rsidRPr="00F1727B">
        <w:rPr>
          <w:rFonts w:ascii="Palatino Linotype" w:eastAsia="Palatino Linotype" w:hAnsi="Palatino Linotype" w:cs="Palatino Linotype"/>
          <w:sz w:val="22"/>
          <w:szCs w:val="22"/>
        </w:rPr>
        <w:t xml:space="preserve"> cuya dirección y horarios de atención se proporcionaron para efectos de la consulta,</w:t>
      </w:r>
      <w:r w:rsidR="00E123A9" w:rsidRPr="00F1727B">
        <w:rPr>
          <w:rFonts w:ascii="Palatino Linotype" w:eastAsia="Palatino Linotype" w:hAnsi="Palatino Linotype" w:cs="Palatino Linotype"/>
          <w:sz w:val="22"/>
          <w:szCs w:val="22"/>
        </w:rPr>
        <w:t xml:space="preserve"> </w:t>
      </w:r>
      <w:r w:rsidR="002F7F03" w:rsidRPr="00F1727B">
        <w:rPr>
          <w:rFonts w:ascii="Palatino Linotype" w:eastAsia="Palatino Linotype" w:hAnsi="Palatino Linotype" w:cs="Palatino Linotype"/>
          <w:sz w:val="22"/>
          <w:szCs w:val="22"/>
        </w:rPr>
        <w:t xml:space="preserve">asimismo, se indicó que </w:t>
      </w:r>
      <w:r w:rsidR="00754A2B" w:rsidRPr="00F1727B">
        <w:rPr>
          <w:rFonts w:ascii="Palatino Linotype" w:eastAsia="Palatino Linotype" w:hAnsi="Palatino Linotype" w:cs="Palatino Linotype"/>
          <w:sz w:val="22"/>
          <w:szCs w:val="22"/>
        </w:rPr>
        <w:t xml:space="preserve">en caso de requerir reproducción de la información, </w:t>
      </w:r>
      <w:r w:rsidR="002F7F03" w:rsidRPr="00F1727B">
        <w:rPr>
          <w:rFonts w:ascii="Palatino Linotype" w:eastAsia="Palatino Linotype" w:hAnsi="Palatino Linotype" w:cs="Palatino Linotype"/>
          <w:sz w:val="22"/>
          <w:szCs w:val="22"/>
        </w:rPr>
        <w:t>se debían cubrir los costos correspondientes de conformidad con los artículos 17 de la Ley de transparencia y acceso en la información pública del Estado de México y Municipios  y 148 del Código Financiero del Estado de México y Municipios</w:t>
      </w:r>
      <w:r w:rsidR="00754A2B" w:rsidRPr="00F1727B">
        <w:rPr>
          <w:rFonts w:ascii="Palatino Linotype" w:eastAsia="Palatino Linotype" w:hAnsi="Palatino Linotype" w:cs="Palatino Linotype"/>
          <w:sz w:val="22"/>
          <w:szCs w:val="22"/>
        </w:rPr>
        <w:t>.</w:t>
      </w:r>
    </w:p>
    <w:p w14:paraId="4E553512" w14:textId="547A0BB6" w:rsidR="00594299" w:rsidRPr="00F1727B" w:rsidRDefault="00163A18" w:rsidP="003D2176">
      <w:pPr>
        <w:spacing w:before="240" w:after="240" w:line="360" w:lineRule="auto"/>
        <w:ind w:right="49"/>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Sin embargo, al no estar conforme con los términos de la respuesta proporcionada en primera instancia, la parte </w:t>
      </w:r>
      <w:r w:rsidRPr="00F1727B">
        <w:rPr>
          <w:rFonts w:ascii="Palatino Linotype" w:eastAsia="Palatino Linotype" w:hAnsi="Palatino Linotype" w:cs="Palatino Linotype"/>
          <w:b/>
          <w:bCs/>
          <w:sz w:val="22"/>
          <w:szCs w:val="22"/>
        </w:rPr>
        <w:t xml:space="preserve">Recurrente </w:t>
      </w:r>
      <w:r w:rsidRPr="00F1727B">
        <w:rPr>
          <w:rFonts w:ascii="Palatino Linotype" w:eastAsia="Palatino Linotype" w:hAnsi="Palatino Linotype" w:cs="Palatino Linotype"/>
          <w:sz w:val="22"/>
          <w:szCs w:val="22"/>
        </w:rPr>
        <w:t>interpuso el recurso de revisión que nos ocupa, en e</w:t>
      </w:r>
      <w:r w:rsidR="005D5DC9" w:rsidRPr="00F1727B">
        <w:rPr>
          <w:rFonts w:ascii="Palatino Linotype" w:eastAsia="Palatino Linotype" w:hAnsi="Palatino Linotype" w:cs="Palatino Linotype"/>
          <w:sz w:val="22"/>
          <w:szCs w:val="22"/>
        </w:rPr>
        <w:t>l</w:t>
      </w:r>
      <w:r w:rsidRPr="00F1727B">
        <w:rPr>
          <w:rFonts w:ascii="Palatino Linotype" w:eastAsia="Palatino Linotype" w:hAnsi="Palatino Linotype" w:cs="Palatino Linotype"/>
          <w:sz w:val="22"/>
          <w:szCs w:val="22"/>
        </w:rPr>
        <w:t xml:space="preserve"> que</w:t>
      </w:r>
      <w:r w:rsidR="002D01B9" w:rsidRPr="00F1727B">
        <w:rPr>
          <w:rFonts w:ascii="Palatino Linotype" w:eastAsia="Palatino Linotype" w:hAnsi="Palatino Linotype" w:cs="Palatino Linotype"/>
          <w:sz w:val="22"/>
          <w:szCs w:val="22"/>
        </w:rPr>
        <w:t xml:space="preserve"> alegó que el </w:t>
      </w:r>
      <w:r w:rsidR="002D01B9" w:rsidRPr="00F1727B">
        <w:rPr>
          <w:rFonts w:ascii="Palatino Linotype" w:eastAsia="Palatino Linotype" w:hAnsi="Palatino Linotype" w:cs="Palatino Linotype"/>
          <w:b/>
          <w:bCs/>
          <w:sz w:val="22"/>
          <w:szCs w:val="22"/>
        </w:rPr>
        <w:t>Sujeto Obligado</w:t>
      </w:r>
      <w:r w:rsidR="002D01B9" w:rsidRPr="00F1727B">
        <w:rPr>
          <w:rFonts w:ascii="Palatino Linotype" w:eastAsia="Palatino Linotype" w:hAnsi="Palatino Linotype" w:cs="Palatino Linotype"/>
          <w:sz w:val="22"/>
          <w:szCs w:val="22"/>
        </w:rPr>
        <w:t xml:space="preserve"> se negó a dar la información en el formato requerido.</w:t>
      </w:r>
      <w:r w:rsidRPr="00F1727B">
        <w:rPr>
          <w:rFonts w:ascii="Palatino Linotype" w:eastAsia="Palatino Linotype" w:hAnsi="Palatino Linotype" w:cs="Palatino Linotype"/>
          <w:sz w:val="22"/>
          <w:szCs w:val="22"/>
        </w:rPr>
        <w:t xml:space="preserve"> </w:t>
      </w:r>
    </w:p>
    <w:p w14:paraId="6BA4E167" w14:textId="77777777" w:rsidR="007561CE" w:rsidRPr="00F1727B" w:rsidRDefault="007561CE" w:rsidP="007561CE">
      <w:pPr>
        <w:spacing w:before="240" w:after="240" w:line="360" w:lineRule="auto"/>
        <w:ind w:right="49"/>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En la etapa de manifestaciones el </w:t>
      </w:r>
      <w:r w:rsidRPr="00F1727B">
        <w:rPr>
          <w:rFonts w:ascii="Palatino Linotype" w:eastAsia="Palatino Linotype" w:hAnsi="Palatino Linotype" w:cs="Palatino Linotype"/>
          <w:b/>
          <w:sz w:val="22"/>
          <w:szCs w:val="22"/>
        </w:rPr>
        <w:t xml:space="preserve">Sujeto Obligado </w:t>
      </w:r>
      <w:r w:rsidRPr="00F1727B">
        <w:rPr>
          <w:rFonts w:ascii="Palatino Linotype" w:eastAsia="Palatino Linotype" w:hAnsi="Palatino Linotype" w:cs="Palatino Linotype"/>
          <w:sz w:val="22"/>
          <w:szCs w:val="22"/>
        </w:rPr>
        <w:t xml:space="preserve">fue omiso en rendir su informe justificado, y la parte </w:t>
      </w:r>
      <w:r w:rsidRPr="00F1727B">
        <w:rPr>
          <w:rFonts w:ascii="Palatino Linotype" w:eastAsia="Palatino Linotype" w:hAnsi="Palatino Linotype" w:cs="Palatino Linotype"/>
          <w:b/>
          <w:sz w:val="22"/>
          <w:szCs w:val="22"/>
        </w:rPr>
        <w:t xml:space="preserve">Recurrente </w:t>
      </w:r>
      <w:r w:rsidRPr="00F1727B">
        <w:rPr>
          <w:rFonts w:ascii="Palatino Linotype" w:eastAsia="Palatino Linotype" w:hAnsi="Palatino Linotype" w:cs="Palatino Linotype"/>
          <w:sz w:val="22"/>
          <w:szCs w:val="22"/>
        </w:rPr>
        <w:t>fue omisa en hacer valer manifestaciones o rendir alegatos que conforme a derecho resultaran procedentes, por lo tanto, se tiene por precluido su derecho.</w:t>
      </w:r>
    </w:p>
    <w:p w14:paraId="0F0AB30E" w14:textId="77777777" w:rsidR="002D01B9" w:rsidRPr="00F1727B" w:rsidRDefault="002D01B9" w:rsidP="002D01B9">
      <w:pPr>
        <w:spacing w:before="280" w:after="28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Una vez establecidas las posturas de las partes, se procede al análisis de los requerimientos de información, así como la información proporcionada por el </w:t>
      </w:r>
      <w:r w:rsidRPr="00F1727B">
        <w:rPr>
          <w:rFonts w:ascii="Palatino Linotype" w:eastAsia="Palatino Linotype" w:hAnsi="Palatino Linotype" w:cs="Palatino Linotype"/>
          <w:b/>
          <w:sz w:val="22"/>
          <w:szCs w:val="22"/>
        </w:rPr>
        <w:t xml:space="preserve">Sujeto Obligado, </w:t>
      </w:r>
      <w:r w:rsidRPr="00F1727B">
        <w:rPr>
          <w:rFonts w:ascii="Palatino Linotype" w:eastAsia="Palatino Linotype" w:hAnsi="Palatino Linotype" w:cs="Palatino Linotype"/>
          <w:sz w:val="22"/>
          <w:szCs w:val="22"/>
        </w:rPr>
        <w:t xml:space="preserve">en contraposición con el motivo de inconformidad alegado por la parte </w:t>
      </w:r>
      <w:r w:rsidRPr="00F1727B">
        <w:rPr>
          <w:rFonts w:ascii="Palatino Linotype" w:eastAsia="Palatino Linotype" w:hAnsi="Palatino Linotype" w:cs="Palatino Linotype"/>
          <w:b/>
          <w:sz w:val="22"/>
          <w:szCs w:val="22"/>
        </w:rPr>
        <w:t xml:space="preserve">Recurrente, </w:t>
      </w:r>
      <w:r w:rsidRPr="00F1727B">
        <w:rPr>
          <w:rFonts w:ascii="Palatino Linotype" w:eastAsia="Palatino Linotype" w:hAnsi="Palatino Linotype" w:cs="Palatino Linotype"/>
          <w:sz w:val="22"/>
          <w:szCs w:val="22"/>
        </w:rPr>
        <w:t>con la finalidad de determinar si el Derecho de acceso de esta se satisfizo, o en su defecto, señalar los documentos que en el ejercicio de sus atribuciones pudo haber generado, y que, de manera enunciativa más no limitativa, pudieran colmar dicho derecho, en caso de ser procedente.</w:t>
      </w:r>
    </w:p>
    <w:p w14:paraId="2883CC4C" w14:textId="77777777" w:rsidR="002D01B9" w:rsidRPr="00F1727B" w:rsidRDefault="002D01B9" w:rsidP="002D01B9">
      <w:pPr>
        <w:spacing w:before="240" w:after="240" w:line="360" w:lineRule="auto"/>
        <w:ind w:right="49"/>
        <w:jc w:val="both"/>
        <w:rPr>
          <w:rFonts w:ascii="Palatino Linotype" w:eastAsia="Palatino Linotype" w:hAnsi="Palatino Linotype" w:cs="Palatino Linotype"/>
          <w:sz w:val="22"/>
          <w:szCs w:val="22"/>
        </w:rPr>
      </w:pPr>
      <w:bookmarkStart w:id="10" w:name="_Hlk206576918"/>
      <w:r w:rsidRPr="00F1727B">
        <w:rPr>
          <w:rFonts w:ascii="Palatino Linotype" w:eastAsia="Palatino Linotype" w:hAnsi="Palatino Linotype" w:cs="Palatino Linotype"/>
          <w:sz w:val="22"/>
          <w:szCs w:val="22"/>
        </w:rPr>
        <w:t xml:space="preserve">En esta tesitura, de las constancias que integran el expediente electrónico  relacionado con el recurso de revisión materia de estudio, se colige que </w:t>
      </w:r>
      <w:r w:rsidRPr="00F1727B">
        <w:rPr>
          <w:rFonts w:ascii="Palatino Linotype" w:eastAsia="Palatino Linotype" w:hAnsi="Palatino Linotype" w:cs="Palatino Linotype"/>
          <w:b/>
          <w:sz w:val="22"/>
          <w:szCs w:val="22"/>
        </w:rPr>
        <w:t>el Sujeto Obligado</w:t>
      </w:r>
      <w:r w:rsidRPr="00F1727B">
        <w:rPr>
          <w:rFonts w:ascii="Palatino Linotype" w:eastAsia="Palatino Linotype" w:hAnsi="Palatino Linotype" w:cs="Palatino Linotype"/>
          <w:sz w:val="22"/>
          <w:szCs w:val="22"/>
        </w:rPr>
        <w:t xml:space="preserve"> no niega la competencia para conocer de la información solicitada, sino por el contrario, con la respuesta pronunciada asevera que es competente para conocer de la solicitud de información</w:t>
      </w:r>
      <w:r w:rsidRPr="00F1727B">
        <w:rPr>
          <w:rFonts w:ascii="Palatino Linotype" w:eastAsia="Palatino Linotype" w:hAnsi="Palatino Linotype" w:cs="Palatino Linotype"/>
          <w:i/>
          <w:sz w:val="22"/>
          <w:szCs w:val="22"/>
        </w:rPr>
        <w:t xml:space="preserve">, </w:t>
      </w:r>
      <w:r w:rsidRPr="00F1727B">
        <w:rPr>
          <w:rFonts w:ascii="Palatino Linotype" w:eastAsia="Palatino Linotype" w:hAnsi="Palatino Linotype" w:cs="Palatino Linotype"/>
          <w:sz w:val="22"/>
          <w:szCs w:val="22"/>
        </w:rPr>
        <w:t xml:space="preserve">lo anterior es así, ya que el estudio enunciado tiene por objeto determinar si </w:t>
      </w:r>
      <w:r w:rsidRPr="00F1727B">
        <w:rPr>
          <w:sz w:val="22"/>
          <w:szCs w:val="22"/>
        </w:rPr>
        <w:t>los</w:t>
      </w:r>
      <w:r w:rsidRPr="00F1727B">
        <w:rPr>
          <w:rFonts w:ascii="Palatino Linotype" w:eastAsia="Palatino Linotype" w:hAnsi="Palatino Linotype" w:cs="Palatino Linotype"/>
          <w:sz w:val="22"/>
          <w:szCs w:val="22"/>
        </w:rPr>
        <w:t xml:space="preserve"> Sujeto</w:t>
      </w:r>
      <w:r w:rsidRPr="00F1727B">
        <w:rPr>
          <w:sz w:val="22"/>
          <w:szCs w:val="22"/>
        </w:rPr>
        <w:t>s</w:t>
      </w:r>
      <w:r w:rsidRPr="00F1727B">
        <w:rPr>
          <w:rFonts w:ascii="Palatino Linotype" w:eastAsia="Palatino Linotype" w:hAnsi="Palatino Linotype" w:cs="Palatino Linotype"/>
          <w:sz w:val="22"/>
          <w:szCs w:val="22"/>
        </w:rPr>
        <w:t xml:space="preserve"> Obligado</w:t>
      </w:r>
      <w:r w:rsidRPr="00F1727B">
        <w:rPr>
          <w:sz w:val="22"/>
          <w:szCs w:val="22"/>
        </w:rPr>
        <w:t>s</w:t>
      </w:r>
      <w:r w:rsidRPr="00F1727B">
        <w:rPr>
          <w:rFonts w:ascii="Palatino Linotype" w:eastAsia="Palatino Linotype" w:hAnsi="Palatino Linotype" w:cs="Palatino Linotype"/>
          <w:sz w:val="22"/>
          <w:szCs w:val="22"/>
        </w:rPr>
        <w:t xml:space="preserve"> generan, poseen o administran  la información solicitada, sin embargo, en aquellos casos en que </w:t>
      </w:r>
      <w:r w:rsidRPr="00F1727B">
        <w:rPr>
          <w:sz w:val="22"/>
          <w:szCs w:val="22"/>
        </w:rPr>
        <w:t>e</w:t>
      </w:r>
      <w:r w:rsidRPr="00F1727B">
        <w:rPr>
          <w:rFonts w:ascii="Palatino Linotype" w:eastAsia="Palatino Linotype" w:hAnsi="Palatino Linotype" w:cs="Palatino Linotype"/>
          <w:sz w:val="22"/>
          <w:szCs w:val="22"/>
        </w:rPr>
        <w:t>st</w:t>
      </w:r>
      <w:r w:rsidRPr="00F1727B">
        <w:rPr>
          <w:sz w:val="22"/>
          <w:szCs w:val="22"/>
        </w:rPr>
        <w:t xml:space="preserve">os </w:t>
      </w:r>
      <w:r w:rsidRPr="00F1727B">
        <w:rPr>
          <w:rFonts w:ascii="Palatino Linotype" w:eastAsia="Palatino Linotype" w:hAnsi="Palatino Linotype" w:cs="Palatino Linotype"/>
          <w:sz w:val="22"/>
          <w:szCs w:val="22"/>
        </w:rPr>
        <w:t>ha</w:t>
      </w:r>
      <w:r w:rsidRPr="00F1727B">
        <w:rPr>
          <w:sz w:val="22"/>
          <w:szCs w:val="22"/>
        </w:rPr>
        <w:t>n</w:t>
      </w:r>
      <w:r w:rsidRPr="00F1727B">
        <w:rPr>
          <w:rFonts w:ascii="Palatino Linotype" w:eastAsia="Palatino Linotype" w:hAnsi="Palatino Linotype" w:cs="Palatino Linotype"/>
          <w:sz w:val="22"/>
          <w:szCs w:val="22"/>
        </w:rPr>
        <w:t xml:space="preserve"> asumido </w:t>
      </w:r>
      <w:r w:rsidRPr="00F1727B">
        <w:rPr>
          <w:rFonts w:ascii="Palatino Linotype" w:eastAsia="Palatino Linotype" w:hAnsi="Palatino Linotype" w:cs="Palatino Linotype"/>
          <w:b/>
          <w:sz w:val="22"/>
          <w:szCs w:val="22"/>
        </w:rPr>
        <w:t>la competencia</w:t>
      </w:r>
      <w:r w:rsidRPr="00F1727B">
        <w:rPr>
          <w:rFonts w:ascii="Palatino Linotype" w:eastAsia="Palatino Linotype" w:hAnsi="Palatino Linotype" w:cs="Palatino Linotype"/>
          <w:sz w:val="22"/>
          <w:szCs w:val="22"/>
        </w:rPr>
        <w:t xml:space="preserve">, sería ocioso y a nada práctico nos conduciría su estudio, ya que, se insiste, el ente obligado </w:t>
      </w:r>
      <w:r w:rsidRPr="00F1727B">
        <w:rPr>
          <w:rFonts w:ascii="Palatino Linotype" w:eastAsia="Palatino Linotype" w:hAnsi="Palatino Linotype" w:cs="Palatino Linotype"/>
          <w:b/>
          <w:sz w:val="22"/>
          <w:szCs w:val="22"/>
          <w:u w:val="single"/>
        </w:rPr>
        <w:t>asumió la competencia referida</w:t>
      </w:r>
      <w:r w:rsidRPr="00F1727B">
        <w:rPr>
          <w:rFonts w:ascii="Palatino Linotype" w:eastAsia="Palatino Linotype" w:hAnsi="Palatino Linotype" w:cs="Palatino Linotype"/>
          <w:sz w:val="22"/>
          <w:szCs w:val="22"/>
        </w:rPr>
        <w:t>, motivo por el cual se actualiza el supuesto previsto en el artículo 12 de la legislación aplicable en la materia, citado con antelación.</w:t>
      </w:r>
    </w:p>
    <w:p w14:paraId="63413987" w14:textId="4EF4B3D6" w:rsidR="002D01B9" w:rsidRPr="00F1727B" w:rsidRDefault="002D01B9" w:rsidP="002D01B9">
      <w:pPr>
        <w:pBdr>
          <w:top w:val="nil"/>
          <w:left w:val="nil"/>
          <w:bottom w:val="nil"/>
          <w:right w:val="nil"/>
          <w:between w:val="nil"/>
        </w:pBdr>
        <w:spacing w:before="280" w:after="28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Asimismo, es imprescindible mencionar que el </w:t>
      </w:r>
      <w:r w:rsidRPr="00F1727B">
        <w:rPr>
          <w:rFonts w:ascii="Palatino Linotype" w:eastAsia="Palatino Linotype" w:hAnsi="Palatino Linotype" w:cs="Palatino Linotype"/>
          <w:b/>
          <w:sz w:val="22"/>
          <w:szCs w:val="22"/>
        </w:rPr>
        <w:t xml:space="preserve">Sujeto Obligado </w:t>
      </w:r>
      <w:r w:rsidRPr="00F1727B">
        <w:rPr>
          <w:rFonts w:ascii="Palatino Linotype" w:eastAsia="Palatino Linotype" w:hAnsi="Palatino Linotype" w:cs="Palatino Linotype"/>
          <w:sz w:val="22"/>
          <w:szCs w:val="22"/>
        </w:rPr>
        <w:t>asumi</w:t>
      </w:r>
      <w:r w:rsidR="00572A1D" w:rsidRPr="00F1727B">
        <w:rPr>
          <w:rFonts w:ascii="Palatino Linotype" w:eastAsia="Palatino Linotype" w:hAnsi="Palatino Linotype" w:cs="Palatino Linotype"/>
          <w:sz w:val="22"/>
          <w:szCs w:val="22"/>
        </w:rPr>
        <w:t>ó</w:t>
      </w:r>
      <w:r w:rsidRPr="00F1727B">
        <w:rPr>
          <w:rFonts w:ascii="Palatino Linotype" w:eastAsia="Palatino Linotype" w:hAnsi="Palatino Linotype" w:cs="Palatino Linotype"/>
          <w:sz w:val="22"/>
          <w:szCs w:val="22"/>
        </w:rPr>
        <w:t xml:space="preserve"> la existencia de la información peticionada, tan es así que solicit</w:t>
      </w:r>
      <w:r w:rsidR="00572A1D" w:rsidRPr="00F1727B">
        <w:rPr>
          <w:rFonts w:ascii="Palatino Linotype" w:eastAsia="Palatino Linotype" w:hAnsi="Palatino Linotype" w:cs="Palatino Linotype"/>
          <w:sz w:val="22"/>
          <w:szCs w:val="22"/>
        </w:rPr>
        <w:t xml:space="preserve">ó </w:t>
      </w:r>
      <w:r w:rsidRPr="00F1727B">
        <w:rPr>
          <w:rFonts w:ascii="Palatino Linotype" w:eastAsia="Palatino Linotype" w:hAnsi="Palatino Linotype" w:cs="Palatino Linotype"/>
          <w:sz w:val="22"/>
          <w:szCs w:val="22"/>
        </w:rPr>
        <w:t>a la persona solicitante</w:t>
      </w:r>
      <w:r w:rsidR="00572A1D" w:rsidRPr="00F1727B">
        <w:rPr>
          <w:rFonts w:ascii="Palatino Linotype" w:eastAsia="Palatino Linotype" w:hAnsi="Palatino Linotype" w:cs="Palatino Linotype"/>
          <w:sz w:val="22"/>
          <w:szCs w:val="22"/>
        </w:rPr>
        <w:t xml:space="preserve"> acudir a sus oficinas para consultar la información, por consiguiente,</w:t>
      </w:r>
      <w:r w:rsidRPr="00F1727B">
        <w:rPr>
          <w:rFonts w:ascii="Palatino Linotype" w:eastAsia="Palatino Linotype" w:hAnsi="Palatino Linotype" w:cs="Palatino Linotype"/>
          <w:sz w:val="22"/>
          <w:szCs w:val="22"/>
        </w:rPr>
        <w:t xml:space="preserve"> asume que cuentan con la información y por ende se obvia el análisis de las atribuciones del </w:t>
      </w:r>
      <w:r w:rsidRPr="00F1727B">
        <w:rPr>
          <w:rFonts w:ascii="Palatino Linotype" w:eastAsia="Palatino Linotype" w:hAnsi="Palatino Linotype" w:cs="Palatino Linotype"/>
          <w:b/>
          <w:sz w:val="22"/>
          <w:szCs w:val="22"/>
        </w:rPr>
        <w:t>Sujeto Obligado</w:t>
      </w:r>
      <w:r w:rsidRPr="00F1727B">
        <w:rPr>
          <w:rFonts w:ascii="Palatino Linotype" w:eastAsia="Palatino Linotype" w:hAnsi="Palatino Linotype" w:cs="Palatino Linotype"/>
          <w:sz w:val="22"/>
          <w:szCs w:val="22"/>
        </w:rPr>
        <w:t xml:space="preserve"> para contar con la misma.</w:t>
      </w:r>
    </w:p>
    <w:p w14:paraId="5848D98A" w14:textId="77777777" w:rsidR="002D01B9" w:rsidRPr="00F1727B" w:rsidRDefault="002D01B9" w:rsidP="002D01B9">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En segundo término, resulta indispensable consultar el formato de solicitud de acceso a la información pública para determinar la modalidad a través de la cual se eligió la entrega de la información por parte de la persona solicitante, por lo que en el expediente electrónico se halló lo siguiente:</w:t>
      </w:r>
    </w:p>
    <w:p w14:paraId="5B1C3317" w14:textId="23F690F9" w:rsidR="00572A1D" w:rsidRPr="00F1727B" w:rsidRDefault="00572A1D" w:rsidP="002D01B9">
      <w:pPr>
        <w:spacing w:before="240" w:after="240" w:line="360" w:lineRule="auto"/>
        <w:jc w:val="both"/>
        <w:rPr>
          <w:rFonts w:ascii="Palatino Linotype" w:eastAsia="Palatino Linotype" w:hAnsi="Palatino Linotype" w:cs="Palatino Linotype"/>
          <w:sz w:val="22"/>
          <w:szCs w:val="22"/>
        </w:rPr>
      </w:pPr>
      <w:r w:rsidRPr="00F1727B">
        <w:rPr>
          <w:noProof/>
          <w:sz w:val="22"/>
          <w:szCs w:val="22"/>
        </w:rPr>
        <w:drawing>
          <wp:inline distT="0" distB="0" distL="0" distR="0" wp14:anchorId="45246850" wp14:editId="388C1BD0">
            <wp:extent cx="5612130" cy="1968500"/>
            <wp:effectExtent l="0" t="0" r="7620" b="0"/>
            <wp:docPr id="19313412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341205" name=""/>
                    <pic:cNvPicPr/>
                  </pic:nvPicPr>
                  <pic:blipFill>
                    <a:blip r:embed="rId10"/>
                    <a:stretch>
                      <a:fillRect/>
                    </a:stretch>
                  </pic:blipFill>
                  <pic:spPr>
                    <a:xfrm>
                      <a:off x="0" y="0"/>
                      <a:ext cx="5612130" cy="1968500"/>
                    </a:xfrm>
                    <a:prstGeom prst="rect">
                      <a:avLst/>
                    </a:prstGeom>
                  </pic:spPr>
                </pic:pic>
              </a:graphicData>
            </a:graphic>
          </wp:inline>
        </w:drawing>
      </w:r>
    </w:p>
    <w:p w14:paraId="19A9FE98" w14:textId="77777777" w:rsidR="00572A1D" w:rsidRPr="00F1727B" w:rsidRDefault="002D01B9" w:rsidP="00572A1D">
      <w:pPr>
        <w:spacing w:before="240" w:after="240" w:line="360" w:lineRule="auto"/>
        <w:ind w:right="49"/>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Como se puede observar de la imagen inserta, la persona solicitante requirió la entrega del soporte documental </w:t>
      </w:r>
      <w:r w:rsidRPr="00F1727B">
        <w:rPr>
          <w:rFonts w:ascii="Palatino Linotype" w:hAnsi="Palatino Linotype"/>
          <w:sz w:val="22"/>
          <w:szCs w:val="22"/>
        </w:rPr>
        <w:t xml:space="preserve">información a través del sistema SAIMEX, </w:t>
      </w:r>
      <w:r w:rsidR="00572A1D" w:rsidRPr="00F1727B">
        <w:rPr>
          <w:rFonts w:ascii="Palatino Linotype" w:hAnsi="Palatino Linotype"/>
          <w:sz w:val="22"/>
          <w:szCs w:val="22"/>
        </w:rPr>
        <w:t xml:space="preserve">no obstante, dentro del texto </w:t>
      </w:r>
      <w:r w:rsidR="00572A1D" w:rsidRPr="00F1727B">
        <w:rPr>
          <w:rFonts w:ascii="Palatino Linotype" w:eastAsia="Palatino Linotype" w:hAnsi="Palatino Linotype" w:cs="Palatino Linotype"/>
          <w:sz w:val="22"/>
          <w:szCs w:val="22"/>
        </w:rPr>
        <w:t xml:space="preserve">de su solicitud, hizo referencia a que requería la información en copias, sin embargo, se estima que en el caso particular, no es necesario que el </w:t>
      </w:r>
      <w:r w:rsidR="00572A1D" w:rsidRPr="00F1727B">
        <w:rPr>
          <w:rFonts w:ascii="Palatino Linotype" w:eastAsia="Palatino Linotype" w:hAnsi="Palatino Linotype" w:cs="Palatino Linotype"/>
          <w:b/>
          <w:sz w:val="22"/>
          <w:szCs w:val="22"/>
        </w:rPr>
        <w:t>Sujeto Obligado</w:t>
      </w:r>
      <w:r w:rsidR="00572A1D" w:rsidRPr="00F1727B">
        <w:rPr>
          <w:rFonts w:ascii="Palatino Linotype" w:eastAsia="Palatino Linotype" w:hAnsi="Palatino Linotype" w:cs="Palatino Linotype"/>
          <w:sz w:val="22"/>
          <w:szCs w:val="22"/>
        </w:rPr>
        <w:t xml:space="preserve"> realice una reproducción física de la información que conserva en sus archivos, basta con hacer entrega a través de SAIMEX de aquellos documentos en formato electrónico, y en su caso, la digitalización o escaneo de aquella que se encuentre en medio físico.</w:t>
      </w:r>
    </w:p>
    <w:p w14:paraId="2998BDA0" w14:textId="77777777" w:rsidR="00572A1D" w:rsidRPr="00F1727B" w:rsidRDefault="00572A1D" w:rsidP="00572A1D">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Ya que la entrega de la información a través de SAIMEX, hace las veces de la entrega de copias simples, puesto que, al tratarse de documentos electrónico o digitalizado, cuentan con la característica de ser descargables a cualquier equipo de cómputo para su libre manipulación, es decir, si la información se encuentra en documentos electrónicos, estos se pueden descargar de manera fácil y sencilla a un equipo de cómputo para que, posteriormente por cuenta de la persona solicitante, sea transferido a los dispositivos de almacenamiento que desee, o en su caso, </w:t>
      </w:r>
      <w:r w:rsidRPr="00F1727B">
        <w:rPr>
          <w:rFonts w:ascii="Palatino Linotype" w:eastAsia="Palatino Linotype" w:hAnsi="Palatino Linotype" w:cs="Palatino Linotype"/>
          <w:b/>
          <w:sz w:val="22"/>
          <w:szCs w:val="22"/>
        </w:rPr>
        <w:t>sea impreso, lo que se configura como copia simple</w:t>
      </w:r>
      <w:r w:rsidRPr="00F1727B">
        <w:rPr>
          <w:rFonts w:ascii="Palatino Linotype" w:eastAsia="Palatino Linotype" w:hAnsi="Palatino Linotype" w:cs="Palatino Linotype"/>
          <w:sz w:val="22"/>
          <w:szCs w:val="22"/>
        </w:rPr>
        <w:t>; de lo anterior, tenemos que, al ser entregado de forma digital o electrónica a través del SAIMEX, como es el caso, la persona solicitante puede hacer uso de la información a su libre elección.</w:t>
      </w:r>
    </w:p>
    <w:p w14:paraId="75215C77" w14:textId="515CABF2" w:rsidR="002D01B9" w:rsidRPr="00F1727B" w:rsidRDefault="00572A1D" w:rsidP="002D01B9">
      <w:pPr>
        <w:spacing w:before="240" w:after="240" w:line="360" w:lineRule="auto"/>
        <w:jc w:val="both"/>
        <w:rPr>
          <w:rFonts w:ascii="Palatino Linotype" w:hAnsi="Palatino Linotype"/>
          <w:sz w:val="22"/>
          <w:szCs w:val="22"/>
        </w:rPr>
      </w:pPr>
      <w:r w:rsidRPr="00F1727B">
        <w:rPr>
          <w:rFonts w:ascii="Palatino Linotype" w:eastAsia="Palatino Linotype" w:hAnsi="Palatino Linotype" w:cs="Palatino Linotype"/>
          <w:sz w:val="22"/>
          <w:szCs w:val="22"/>
        </w:rPr>
        <w:t>P</w:t>
      </w:r>
      <w:r w:rsidR="002D01B9" w:rsidRPr="00F1727B">
        <w:rPr>
          <w:rFonts w:ascii="Palatino Linotype" w:eastAsia="Palatino Linotype" w:hAnsi="Palatino Linotype" w:cs="Palatino Linotype"/>
          <w:sz w:val="22"/>
          <w:szCs w:val="22"/>
        </w:rPr>
        <w:t xml:space="preserve">or lo tanto, es evidente que </w:t>
      </w:r>
      <w:r w:rsidR="002D01B9" w:rsidRPr="00F1727B">
        <w:rPr>
          <w:rFonts w:ascii="Palatino Linotype" w:hAnsi="Palatino Linotype"/>
          <w:sz w:val="22"/>
          <w:szCs w:val="22"/>
        </w:rPr>
        <w:t xml:space="preserve">las razones o motivos de inconformidad alegados devienen fundados en razón de que no le fue proporcionada la información que requirió, a pesar de haber reconocido el </w:t>
      </w:r>
      <w:r w:rsidR="002D01B9" w:rsidRPr="00F1727B">
        <w:rPr>
          <w:rFonts w:ascii="Palatino Linotype" w:eastAsia="Palatino Linotype" w:hAnsi="Palatino Linotype" w:cs="Palatino Linotype"/>
          <w:b/>
          <w:sz w:val="22"/>
          <w:szCs w:val="22"/>
        </w:rPr>
        <w:t>Sujeto Obligado</w:t>
      </w:r>
      <w:r w:rsidR="002D01B9" w:rsidRPr="00F1727B">
        <w:rPr>
          <w:rFonts w:ascii="Palatino Linotype" w:hAnsi="Palatino Linotype"/>
          <w:sz w:val="22"/>
          <w:szCs w:val="22"/>
        </w:rPr>
        <w:t>, de manera expresa, que cuenta con ella, por tal motivo el Derecho de acceso no pude tenerse por colmado</w:t>
      </w:r>
      <w:r w:rsidR="006F3443" w:rsidRPr="00F1727B">
        <w:rPr>
          <w:rFonts w:ascii="Palatino Linotype" w:hAnsi="Palatino Linotype"/>
          <w:sz w:val="22"/>
          <w:szCs w:val="22"/>
        </w:rPr>
        <w:t>.</w:t>
      </w:r>
    </w:p>
    <w:p w14:paraId="1BE5378B" w14:textId="77777777" w:rsidR="002D01B9" w:rsidRPr="00F1727B" w:rsidRDefault="002D01B9" w:rsidP="002D01B9">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Atento a lo anterior, es oportuno referir que la Ley de Transparencia y Acceso a la Información Pública del Estado de México y Municipios, en el artículo 155 fracción V, dispone que para presentar solicitud de acceso a la información se deberá atender lo dispuesto en el mismo, resaltando que deberá indicarse la modalidad en la que prefiere se otorgue la información, la cual podrá ser verbal, siempre y cuando sea para fines de orientación, mediante consulta directa, mediante la expedición de copias simples o certificadas o la reproducción en cualquier otro medio, incluidos los electrónicos, que en el caso, en la entidad, el Órgano Garante determinó en el formato de solicitud, que podría ser SAIMEX, CD-Rom (con costo), copias simples (con costo), copias certificadas (con costo), consulta directa (sin costo), o bien, cualquier otro que determine el particular.</w:t>
      </w:r>
    </w:p>
    <w:p w14:paraId="57F8366C" w14:textId="77777777" w:rsidR="006F3443" w:rsidRPr="00F1727B" w:rsidRDefault="006F3443" w:rsidP="006F3443">
      <w:pPr>
        <w:spacing w:before="240" w:after="240" w:line="360" w:lineRule="auto"/>
        <w:jc w:val="both"/>
        <w:rPr>
          <w:rFonts w:ascii="Palatino Linotype" w:eastAsia="Palatino Linotype" w:hAnsi="Palatino Linotype" w:cs="Palatino Linotype"/>
          <w:b/>
          <w:sz w:val="22"/>
          <w:szCs w:val="22"/>
        </w:rPr>
      </w:pPr>
      <w:r w:rsidRPr="00F1727B">
        <w:rPr>
          <w:rFonts w:ascii="Palatino Linotype" w:eastAsia="Palatino Linotype" w:hAnsi="Palatino Linotype" w:cs="Palatino Linotype"/>
          <w:sz w:val="22"/>
          <w:szCs w:val="22"/>
        </w:rPr>
        <w:t xml:space="preserve">Por su parte, el artículo 158, dispone que, de manera excepcional, cuando de manera fundada y motivada lo determine el Sujeto Obligado, </w:t>
      </w:r>
      <w:r w:rsidRPr="00F1727B">
        <w:rPr>
          <w:rFonts w:ascii="Palatino Linotype" w:eastAsia="Palatino Linotype" w:hAnsi="Palatino Linotype" w:cs="Palatino Linotype"/>
          <w:b/>
          <w:sz w:val="22"/>
          <w:szCs w:val="22"/>
        </w:rPr>
        <w:t>en los casos en que la entrega de la información que se encuentre a su disposición sobrepase las capacidades técnicas, administrativas y humanas del Sujeto Obligado para cumplir con la solicitud, se podrá poner a disposición del solicitante la información en consulta directa.</w:t>
      </w:r>
    </w:p>
    <w:p w14:paraId="684CBF33" w14:textId="77777777" w:rsidR="006F3443" w:rsidRPr="00F1727B" w:rsidRDefault="006F3443" w:rsidP="006F3443">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De modo que el acceso a la información debe darse en la modalidad de entrega elegida por la persona solicitante, y sólo para los casos en que se encuentren impedidos los sujetos obligados podrán ofrecer otra u otras modalidades, sin embargo, se debe fundar y motivar adecuadamente el cambio de modalidad en la entrega de la información, en términos de lo dispuesto en el artículo 16 de la Constitución Política de los Estados Unidos Mexicanos, el cual exige que todo acto de autoridad debe de estar debidamente fundado y motivado, en el que se exprese el precepto legal aplicable al caso, además de señalarse las circunstancias, razones particulares o causas inmediatas que se hayan tenido en cuenta para la emisión del acto, según se puede leer en la jurisprudencia del texto y rubro que inserta enseguida para mayor referencia:</w:t>
      </w:r>
    </w:p>
    <w:p w14:paraId="634FEBEE" w14:textId="77777777" w:rsidR="006F3443" w:rsidRPr="00F1727B" w:rsidRDefault="006F3443" w:rsidP="006F3443">
      <w:pPr>
        <w:spacing w:before="120" w:after="120"/>
        <w:ind w:left="851" w:right="900"/>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“FUNDAMENTACIÓN Y MOTIVACIÓN DE LOS ACTOS ADMINISTRATIVOS</w:t>
      </w:r>
      <w:r w:rsidRPr="00F1727B">
        <w:rPr>
          <w:rFonts w:ascii="Palatino Linotype" w:eastAsia="Palatino Linotype" w:hAnsi="Palatino Linotype" w:cs="Palatino Linotype"/>
          <w:i/>
          <w:sz w:val="22"/>
          <w:szCs w:val="22"/>
        </w:rPr>
        <w:t>. De acuerdo con  el artículo 16 constitucional, todo acto de autoridad debe estar suficientemente fundado y motivado, entendiéndose por lo primero que han de expresarse con precisión el precepto legal aplicable al caso y por lo segundo, que también deben señalarse con precisión, las circunstancias especiales, razones particulares o causas inmediatas que se hayan tenido en consideración para la emisión del acto, siendo necesario además, que exista adecuación entre los motivos aducidos y las normas aplicables, es decir, que en el caso concreto se configure la hipótesis normativa. Esto es, que cuando el precepto en comento previene que nadie puede ser molestado en su persona, propiedades o derechos sino en virtud de mandamiento escrito de autoridad competente que funde y motive la causa legal del procedimiento, está exigiendo a todas las autoridades que apeguen sus actos a la ley, expresando de que ley se trata y los preceptos de ella que sirvan de apoyo al mandamiento relativo. En materia administrativa, específicamente, para poder considerar un acto autoritario como correctamente fundado, es necesario que en él se citen: a).- Los cuerpos legales y preceptos que se estén aplicando al caso concreto, es decir, los supuestos normativos en que se encuadra la conducta del gobernado para que esté obligado al pago, que serán señalados con toda exactitud, precisándose los incisos, subincisos, fracciones y preceptos aplicable, y b).- Los cuerpos legales y preceptos que otorgan competencia o facultades a las autoridades para emitir el acto en agravio del gobernado.”</w:t>
      </w:r>
    </w:p>
    <w:p w14:paraId="0C1AF297" w14:textId="77777777" w:rsidR="006F3443" w:rsidRPr="00F1727B" w:rsidRDefault="006F3443" w:rsidP="006F3443">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En ese entendido, según lo dispuesto en los artículos 160 y 164 de la Ley en cita, los Sujetos Obligados deben otorgar acceso a los documentos que se encuentren en sus archivos o que estén obligados a documentar de acuerdo con sus facultades, competencias o funciones en el formato que el solicitante manifieste, debiendo dar el acceso a la información en la modalidad de entrega solicitada, empero en caso de ofrecer otra u otras modalidades de entrega deberá fundar y motivar su respuesta, a saber:</w:t>
      </w:r>
    </w:p>
    <w:p w14:paraId="00D93844" w14:textId="77777777" w:rsidR="006F3443" w:rsidRPr="00F1727B" w:rsidRDefault="006F3443" w:rsidP="006F3443">
      <w:pPr>
        <w:spacing w:before="120" w:after="120"/>
        <w:ind w:left="851" w:right="851"/>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sz w:val="22"/>
          <w:szCs w:val="22"/>
        </w:rPr>
        <w:t>“</w:t>
      </w:r>
      <w:r w:rsidRPr="00F1727B">
        <w:rPr>
          <w:rFonts w:ascii="Palatino Linotype" w:eastAsia="Palatino Linotype" w:hAnsi="Palatino Linotype" w:cs="Palatino Linotype"/>
          <w:b/>
          <w:i/>
          <w:sz w:val="22"/>
          <w:szCs w:val="22"/>
        </w:rPr>
        <w:t>Artículo 160.</w:t>
      </w:r>
      <w:r w:rsidRPr="00F1727B">
        <w:rPr>
          <w:rFonts w:ascii="Palatino Linotype" w:eastAsia="Palatino Linotype" w:hAnsi="Palatino Linotype" w:cs="Palatino Linotype"/>
          <w:i/>
          <w:sz w:val="22"/>
          <w:szCs w:val="22"/>
        </w:rPr>
        <w:t xml:space="preserve">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8503F07" w14:textId="77777777" w:rsidR="006F3443" w:rsidRPr="00F1727B" w:rsidRDefault="006F3443" w:rsidP="006F3443">
      <w:pPr>
        <w:spacing w:before="120" w:after="120"/>
        <w:ind w:left="851" w:right="851"/>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Artículo 164.</w:t>
      </w:r>
      <w:r w:rsidRPr="00F1727B">
        <w:rPr>
          <w:rFonts w:ascii="Palatino Linotype" w:eastAsia="Palatino Linotype" w:hAnsi="Palatino Linotype" w:cs="Palatino Linotype"/>
          <w:i/>
          <w:sz w:val="22"/>
          <w:szCs w:val="22"/>
        </w:rPr>
        <w:t xml:space="preserve"> El acceso se dará en la modalidad de entrega y, en su caso, de envío elegidos por el solicitante. Cuando la información no pueda entregarse o enviarse en la modalidad solicitada, </w:t>
      </w:r>
      <w:r w:rsidRPr="00F1727B">
        <w:rPr>
          <w:rFonts w:ascii="Palatino Linotype" w:eastAsia="Palatino Linotype" w:hAnsi="Palatino Linotype" w:cs="Palatino Linotype"/>
          <w:b/>
          <w:i/>
          <w:sz w:val="22"/>
          <w:szCs w:val="22"/>
          <w:u w:val="single"/>
        </w:rPr>
        <w:t>el sujeto obligado deberá ofrecer otra u otras modalidades de entrega.</w:t>
      </w:r>
      <w:r w:rsidRPr="00F1727B">
        <w:rPr>
          <w:rFonts w:ascii="Palatino Linotype" w:eastAsia="Palatino Linotype" w:hAnsi="Palatino Linotype" w:cs="Palatino Linotype"/>
          <w:i/>
          <w:sz w:val="22"/>
          <w:szCs w:val="22"/>
        </w:rPr>
        <w:t xml:space="preserve"> En cualquier caso, se deberá fundar y motivar la necesidad de ofrecer otras modalidades.”</w:t>
      </w:r>
    </w:p>
    <w:p w14:paraId="298EBD79" w14:textId="77777777" w:rsidR="006F3443" w:rsidRPr="00F1727B" w:rsidRDefault="006F3443" w:rsidP="006F3443">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Por lo cual, los Sujetos Obligados podrán poner a disposición, los documentos solicitados, en todo caso, por cualquier medio disponible en sus instalaciones, cuando de forma fundada y motivada se determine que implica un análisis, estudio o procesamiento, cuya entrega o reproducción sobrepase las capacidades técnicas administrativas y humanas.</w:t>
      </w:r>
    </w:p>
    <w:p w14:paraId="64078656" w14:textId="77777777" w:rsidR="006F3443" w:rsidRPr="00F1727B" w:rsidRDefault="006F3443" w:rsidP="006F3443">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Por otro lado, el artículo 174 de la ley de la materia, indica que los costos de reproducción y, en su caso, de envío para la obtención de la información deberán ser cubiertos por la persona solicitante de manera previa a la entrega por parte del Sujeto Obligado. </w:t>
      </w:r>
    </w:p>
    <w:p w14:paraId="0FB97C5B" w14:textId="77777777" w:rsidR="006F3443" w:rsidRPr="00F1727B" w:rsidRDefault="006F3443" w:rsidP="006F3443">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En tales consideraciones, la entrega deberá hacerse, </w:t>
      </w:r>
      <w:r w:rsidRPr="00F1727B">
        <w:rPr>
          <w:rFonts w:ascii="Palatino Linotype" w:eastAsia="Palatino Linotype" w:hAnsi="Palatino Linotype" w:cs="Palatino Linotype"/>
          <w:b/>
          <w:sz w:val="22"/>
          <w:szCs w:val="22"/>
        </w:rPr>
        <w:t>en la medida de lo posible, en la forma solicitada por el interesado, salvo que exista un impedimento justificado para atenderla</w:t>
      </w:r>
      <w:r w:rsidRPr="00F1727B">
        <w:rPr>
          <w:rFonts w:ascii="Palatino Linotype" w:eastAsia="Palatino Linotype" w:hAnsi="Palatino Linotype" w:cs="Palatino Linotype"/>
          <w:sz w:val="22"/>
          <w:szCs w:val="22"/>
        </w:rPr>
        <w:t xml:space="preserve">, en cuyo caso, deberán exponerse las razones por las cuales no es posible utilizar el medio de reproducción solicitado; en este sentido, la entrega de la información en una modalidad distinta a la elegida por la particular </w:t>
      </w:r>
      <w:r w:rsidRPr="00F1727B">
        <w:rPr>
          <w:rFonts w:ascii="Palatino Linotype" w:eastAsia="Palatino Linotype" w:hAnsi="Palatino Linotype" w:cs="Palatino Linotype"/>
          <w:b/>
          <w:sz w:val="22"/>
          <w:szCs w:val="22"/>
        </w:rPr>
        <w:t>sólo procede, en caso de que se acredite la imposibilidad de atenderla.</w:t>
      </w:r>
      <w:r w:rsidRPr="00F1727B">
        <w:rPr>
          <w:rFonts w:ascii="Palatino Linotype" w:eastAsia="Palatino Linotype" w:hAnsi="Palatino Linotype" w:cs="Palatino Linotype"/>
          <w:sz w:val="22"/>
          <w:szCs w:val="22"/>
        </w:rPr>
        <w:t xml:space="preserve"> </w:t>
      </w:r>
    </w:p>
    <w:p w14:paraId="59E46874" w14:textId="77777777" w:rsidR="006F3443" w:rsidRPr="00F1727B" w:rsidRDefault="006F3443" w:rsidP="006F3443">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Así, cuando se justifique el impedimento, </w:t>
      </w:r>
      <w:r w:rsidRPr="00F1727B">
        <w:rPr>
          <w:rFonts w:ascii="Palatino Linotype" w:eastAsia="Palatino Linotype" w:hAnsi="Palatino Linotype" w:cs="Palatino Linotype"/>
          <w:b/>
          <w:sz w:val="22"/>
          <w:szCs w:val="22"/>
        </w:rPr>
        <w:t>los Sujetos Obligados deberán ofrecer al particular otras modalidades de entrega que permita la información</w:t>
      </w:r>
      <w:r w:rsidRPr="00F1727B">
        <w:rPr>
          <w:rFonts w:ascii="Palatino Linotype" w:eastAsia="Palatino Linotype" w:hAnsi="Palatino Linotype" w:cs="Palatino Linotype"/>
          <w:sz w:val="22"/>
          <w:szCs w:val="22"/>
        </w:rPr>
        <w:t>, como consulta directa en las oficinas de la Unidad de Transparencia, la expedición de copias simples o certificadas, o la reproducción en cualquier otro medio, incluidos los electrónicos, lo que se robustece con el criterio 08/17, emitido por el Pleno del Instituto Nacional de Transparencia, Acceso a la Información y Protección de Datos Personales, el cual establece lo siguiente:</w:t>
      </w:r>
    </w:p>
    <w:p w14:paraId="2A88093A" w14:textId="77777777" w:rsidR="006F3443" w:rsidRPr="00F1727B" w:rsidRDefault="006F3443" w:rsidP="006F3443">
      <w:pPr>
        <w:spacing w:before="120" w:after="120"/>
        <w:ind w:left="851" w:right="851"/>
        <w:jc w:val="both"/>
        <w:rPr>
          <w:rFonts w:ascii="Palatino Linotype" w:eastAsia="Palatino Linotype" w:hAnsi="Palatino Linotype" w:cs="Palatino Linotype"/>
          <w:b/>
          <w:i/>
          <w:sz w:val="22"/>
          <w:szCs w:val="22"/>
          <w:u w:val="single"/>
        </w:rPr>
      </w:pPr>
      <w:r w:rsidRPr="00F1727B">
        <w:rPr>
          <w:rFonts w:ascii="Palatino Linotype" w:eastAsia="Palatino Linotype" w:hAnsi="Palatino Linotype" w:cs="Palatino Linotype"/>
          <w:b/>
          <w:i/>
          <w:sz w:val="22"/>
          <w:szCs w:val="22"/>
        </w:rPr>
        <w:t>“Modalidad de entrega. Procedencia de proporcionar la información solicitada en una diversa a la elegida por el solicitante.</w:t>
      </w:r>
      <w:r w:rsidRPr="00F1727B">
        <w:rPr>
          <w:rFonts w:ascii="Palatino Linotype" w:eastAsia="Palatino Linotype" w:hAnsi="Palatino Linotype" w:cs="Palatino Linotype"/>
          <w:i/>
          <w:sz w:val="22"/>
          <w:szCs w:val="22"/>
        </w:rPr>
        <w:t xml:space="preserve"> De una interpretación a los artículos 133 de la Ley General de Transparencia y Acceso a la Información Pública y 136 de la Ley Federal de Transparencia y Acceso a la Información Pública, cuando no sea posible atender la modalidad elegida, la obligación de acceso a la información se tendrá por cumplida cuando el sujeto obligado: a) justifique el impedimento para atender la misma y b) se notifique al particular la disposición de la información </w:t>
      </w:r>
      <w:r w:rsidRPr="00F1727B">
        <w:rPr>
          <w:rFonts w:ascii="Palatino Linotype" w:eastAsia="Palatino Linotype" w:hAnsi="Palatino Linotype" w:cs="Palatino Linotype"/>
          <w:b/>
          <w:i/>
          <w:sz w:val="22"/>
          <w:szCs w:val="22"/>
          <w:u w:val="single"/>
        </w:rPr>
        <w:t>en todas las modalidades que permita el documento de que se trate, procurando reducir, en todo momento, los costos de entrega</w:t>
      </w:r>
      <w:r w:rsidRPr="00F1727B">
        <w:rPr>
          <w:rFonts w:ascii="Palatino Linotype" w:eastAsia="Palatino Linotype" w:hAnsi="Palatino Linotype" w:cs="Palatino Linotype"/>
          <w:b/>
          <w:i/>
          <w:sz w:val="22"/>
          <w:szCs w:val="22"/>
        </w:rPr>
        <w:t>.”</w:t>
      </w:r>
    </w:p>
    <w:p w14:paraId="3FD6BCCE" w14:textId="77777777" w:rsidR="006F3443" w:rsidRPr="00F1727B" w:rsidRDefault="006F3443" w:rsidP="006F3443">
      <w:pPr>
        <w:spacing w:before="240" w:after="240" w:line="360" w:lineRule="auto"/>
        <w:jc w:val="both"/>
        <w:rPr>
          <w:rFonts w:ascii="Palatino Linotype" w:eastAsia="Palatino Linotype" w:hAnsi="Palatino Linotype" w:cs="Palatino Linotype"/>
          <w:b/>
          <w:sz w:val="22"/>
          <w:szCs w:val="22"/>
        </w:rPr>
      </w:pPr>
      <w:r w:rsidRPr="00F1727B">
        <w:rPr>
          <w:rFonts w:ascii="Palatino Linotype" w:eastAsia="Palatino Linotype" w:hAnsi="Palatino Linotype" w:cs="Palatino Linotype"/>
          <w:sz w:val="22"/>
          <w:szCs w:val="22"/>
        </w:rPr>
        <w:t>Del citado criterio, se desprende que cuando</w:t>
      </w:r>
      <w:r w:rsidRPr="00F1727B">
        <w:rPr>
          <w:rFonts w:ascii="Palatino Linotype" w:eastAsia="Palatino Linotype" w:hAnsi="Palatino Linotype" w:cs="Palatino Linotype"/>
          <w:b/>
          <w:sz w:val="22"/>
          <w:szCs w:val="22"/>
        </w:rPr>
        <w:t xml:space="preserve"> la información no pueda entregarse o enviarse en la modalidad elegida, </w:t>
      </w:r>
      <w:r w:rsidRPr="00F1727B">
        <w:rPr>
          <w:rFonts w:ascii="Palatino Linotype" w:eastAsia="Palatino Linotype" w:hAnsi="Palatino Linotype" w:cs="Palatino Linotype"/>
          <w:sz w:val="22"/>
          <w:szCs w:val="22"/>
        </w:rPr>
        <w:t xml:space="preserve">para que la obligación de acceso a la información se tenga por cumplida, </w:t>
      </w:r>
      <w:r w:rsidRPr="00F1727B">
        <w:rPr>
          <w:rFonts w:ascii="Palatino Linotype" w:eastAsia="Palatino Linotype" w:hAnsi="Palatino Linotype" w:cs="Palatino Linotype"/>
          <w:b/>
          <w:sz w:val="22"/>
          <w:szCs w:val="22"/>
        </w:rPr>
        <w:t>el Sujeto Obligado deberá ofrecer otra u otras modalidades de entrega.</w:t>
      </w:r>
      <w:r w:rsidRPr="00F1727B">
        <w:rPr>
          <w:rFonts w:ascii="Palatino Linotype" w:eastAsia="Palatino Linotype" w:hAnsi="Palatino Linotype" w:cs="Palatino Linotype"/>
          <w:sz w:val="22"/>
          <w:szCs w:val="22"/>
        </w:rPr>
        <w:t xml:space="preserve"> En cualquier caso, </w:t>
      </w:r>
      <w:r w:rsidRPr="00F1727B">
        <w:rPr>
          <w:rFonts w:ascii="Palatino Linotype" w:eastAsia="Palatino Linotype" w:hAnsi="Palatino Linotype" w:cs="Palatino Linotype"/>
          <w:b/>
          <w:sz w:val="22"/>
          <w:szCs w:val="22"/>
        </w:rPr>
        <w:t>se deberá fundar y motivar la necesidad de ofrecer otras modalidades</w:t>
      </w:r>
      <w:r w:rsidRPr="00F1727B">
        <w:rPr>
          <w:rFonts w:ascii="Palatino Linotype" w:eastAsia="Palatino Linotype" w:hAnsi="Palatino Linotype" w:cs="Palatino Linotype"/>
          <w:sz w:val="22"/>
          <w:szCs w:val="22"/>
        </w:rPr>
        <w:t xml:space="preserve"> que lo permitan, </w:t>
      </w:r>
      <w:r w:rsidRPr="00F1727B">
        <w:rPr>
          <w:rFonts w:ascii="Palatino Linotype" w:eastAsia="Palatino Linotype" w:hAnsi="Palatino Linotype" w:cs="Palatino Linotype"/>
          <w:b/>
          <w:sz w:val="22"/>
          <w:szCs w:val="22"/>
        </w:rPr>
        <w:t>procurando reducir los costos de entrega.</w:t>
      </w:r>
    </w:p>
    <w:p w14:paraId="2C15F04C" w14:textId="77777777" w:rsidR="006F3443" w:rsidRPr="00F1727B" w:rsidRDefault="006F3443" w:rsidP="006F3443">
      <w:pPr>
        <w:spacing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Además, según Calero, Natalia (2016), en la “Ley General de Transparencia y Acceso a la Información Pública Comentada”, cuando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14:paraId="60B055B2" w14:textId="77777777" w:rsidR="006F3443" w:rsidRPr="00F1727B" w:rsidRDefault="006F3443" w:rsidP="006F3443">
      <w:pPr>
        <w:numPr>
          <w:ilvl w:val="0"/>
          <w:numId w:val="10"/>
        </w:numPr>
        <w:pBdr>
          <w:top w:val="nil"/>
          <w:left w:val="nil"/>
          <w:bottom w:val="nil"/>
          <w:right w:val="nil"/>
          <w:between w:val="nil"/>
        </w:pBdr>
        <w:tabs>
          <w:tab w:val="left" w:pos="567"/>
        </w:tabs>
        <w:spacing w:before="240" w:after="240" w:line="360" w:lineRule="auto"/>
        <w:ind w:left="284" w:firstLine="0"/>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Las razones por las cuales la información implicaba un análisis, estudio o procesamiento de datos;</w:t>
      </w:r>
    </w:p>
    <w:p w14:paraId="67D46F72" w14:textId="77777777" w:rsidR="006F3443" w:rsidRPr="00F1727B" w:rsidRDefault="006F3443" w:rsidP="006F3443">
      <w:pPr>
        <w:numPr>
          <w:ilvl w:val="0"/>
          <w:numId w:val="10"/>
        </w:numPr>
        <w:pBdr>
          <w:top w:val="nil"/>
          <w:left w:val="nil"/>
          <w:bottom w:val="nil"/>
          <w:right w:val="nil"/>
          <w:between w:val="nil"/>
        </w:pBdr>
        <w:tabs>
          <w:tab w:val="left" w:pos="567"/>
        </w:tabs>
        <w:spacing w:before="240" w:after="240" w:line="360" w:lineRule="auto"/>
        <w:ind w:left="284" w:firstLine="0"/>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El tiempo no es suficiente para atender la solicitud en la modalidad elegida, y</w:t>
      </w:r>
    </w:p>
    <w:p w14:paraId="5BC443D3" w14:textId="77777777" w:rsidR="006F3443" w:rsidRPr="00F1727B" w:rsidRDefault="006F3443" w:rsidP="006F3443">
      <w:pPr>
        <w:numPr>
          <w:ilvl w:val="0"/>
          <w:numId w:val="10"/>
        </w:numPr>
        <w:pBdr>
          <w:top w:val="nil"/>
          <w:left w:val="nil"/>
          <w:bottom w:val="nil"/>
          <w:right w:val="nil"/>
          <w:between w:val="nil"/>
        </w:pBdr>
        <w:tabs>
          <w:tab w:val="left" w:pos="567"/>
        </w:tabs>
        <w:spacing w:before="240" w:after="240" w:line="360" w:lineRule="auto"/>
        <w:ind w:left="284" w:firstLine="0"/>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La cantidad de recursos humanos y materiales con los que cuenta el Sujeto Obligado son insuficientes.</w:t>
      </w:r>
    </w:p>
    <w:p w14:paraId="136AE693" w14:textId="77777777" w:rsidR="006F3443" w:rsidRPr="00F1727B" w:rsidRDefault="006F3443" w:rsidP="006F3443">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Aunado a lo descrito, es de señalar que el Organismo Garante Nacional, ha considerado que no resulta suficiente justificar una imposibilidad técnica y humana para acreditar un cambio de modalidad, sino que es necesario demostrar otros impedimentos como la cantidad y formato de la documentación, que fuera de imposible reproducción en el medio elegido por los solicitantes, que la información ameritara el cruce de información en los sistemas de datos, entre otros; con el fin de privilegiar el Principio de Gratuidad y Máxima Publicidad; argumentos que encuentran sustento dentro diversas de sus resoluciones de Recursos de Inconformidad como el RIA 136/20, RIA 140/20, RIA 153/20 RIA 237/20, RIA 257/20, RIA 258/20, entre otros.</w:t>
      </w:r>
    </w:p>
    <w:p w14:paraId="5E3A648F" w14:textId="422FC522" w:rsidR="008A2AF3" w:rsidRPr="00F1727B" w:rsidRDefault="006F3443" w:rsidP="008A2AF3">
      <w:pPr>
        <w:spacing w:before="240" w:after="240" w:line="360" w:lineRule="auto"/>
        <w:ind w:right="51"/>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En este tenor, en el presente asunto, el </w:t>
      </w:r>
      <w:r w:rsidRPr="00F1727B">
        <w:rPr>
          <w:rFonts w:ascii="Palatino Linotype" w:eastAsia="Palatino Linotype" w:hAnsi="Palatino Linotype" w:cs="Palatino Linotype"/>
          <w:b/>
          <w:sz w:val="22"/>
          <w:szCs w:val="22"/>
        </w:rPr>
        <w:t xml:space="preserve">Sujeto Obligado, </w:t>
      </w:r>
      <w:r w:rsidRPr="00F1727B">
        <w:rPr>
          <w:rFonts w:ascii="Palatino Linotype" w:eastAsia="Palatino Linotype" w:hAnsi="Palatino Linotype" w:cs="Palatino Linotype"/>
          <w:bCs/>
          <w:sz w:val="22"/>
          <w:szCs w:val="22"/>
          <w:u w:val="single"/>
        </w:rPr>
        <w:t>no</w:t>
      </w:r>
      <w:r w:rsidRPr="00F1727B">
        <w:rPr>
          <w:rFonts w:ascii="Palatino Linotype" w:eastAsia="Palatino Linotype" w:hAnsi="Palatino Linotype" w:cs="Palatino Linotype"/>
          <w:b/>
          <w:sz w:val="22"/>
          <w:szCs w:val="22"/>
          <w:u w:val="single"/>
        </w:rPr>
        <w:t xml:space="preserve"> </w:t>
      </w:r>
      <w:r w:rsidRPr="00F1727B">
        <w:rPr>
          <w:rFonts w:ascii="Palatino Linotype" w:eastAsia="Palatino Linotype" w:hAnsi="Palatino Linotype" w:cs="Palatino Linotype"/>
          <w:sz w:val="22"/>
          <w:szCs w:val="22"/>
          <w:u w:val="single"/>
        </w:rPr>
        <w:t>justificó la necesidad del cambio de modalidad,</w:t>
      </w:r>
      <w:r w:rsidRPr="00F1727B">
        <w:rPr>
          <w:rFonts w:ascii="Palatino Linotype" w:eastAsia="Palatino Linotype" w:hAnsi="Palatino Linotype" w:cs="Palatino Linotype"/>
          <w:sz w:val="22"/>
          <w:szCs w:val="22"/>
        </w:rPr>
        <w:t xml:space="preserve"> ya que</w:t>
      </w:r>
      <w:r w:rsidR="008A2AF3" w:rsidRPr="00F1727B">
        <w:rPr>
          <w:rFonts w:ascii="Palatino Linotype" w:eastAsia="Palatino Linotype" w:hAnsi="Palatino Linotype" w:cs="Palatino Linotype"/>
          <w:sz w:val="22"/>
          <w:szCs w:val="22"/>
        </w:rPr>
        <w:t xml:space="preserve"> </w:t>
      </w:r>
      <w:r w:rsidR="008A2AF3" w:rsidRPr="00F1727B">
        <w:rPr>
          <w:rFonts w:ascii="Palatino Linotype" w:eastAsia="Palatino Linotype" w:hAnsi="Palatino Linotype" w:cs="Palatino Linotype"/>
          <w:b/>
          <w:sz w:val="22"/>
          <w:szCs w:val="22"/>
        </w:rPr>
        <w:t>en ningún momento alego o manifestó alguna imposibilidad para entregar la información requerida a través de la modalidad solicitada derivado de la capacidad técnica, administrativa y/o humana del área competente, o bien la capacidad técnica del sistema SAIMEX</w:t>
      </w:r>
      <w:r w:rsidR="008A2AF3" w:rsidRPr="00F1727B">
        <w:rPr>
          <w:rFonts w:ascii="Palatino Linotype" w:eastAsia="Palatino Linotype" w:hAnsi="Palatino Linotype" w:cs="Palatino Linotype"/>
          <w:sz w:val="22"/>
          <w:szCs w:val="22"/>
        </w:rPr>
        <w:t xml:space="preserve">, sino que, por cuenta propia, y </w:t>
      </w:r>
      <w:r w:rsidR="008A2AF3" w:rsidRPr="00F1727B">
        <w:rPr>
          <w:rFonts w:ascii="Palatino Linotype" w:eastAsia="Palatino Linotype" w:hAnsi="Palatino Linotype" w:cs="Palatino Linotype"/>
          <w:b/>
          <w:sz w:val="22"/>
          <w:szCs w:val="22"/>
          <w:u w:val="single"/>
        </w:rPr>
        <w:t>de manera injustificada propuso la consulta de la información en sus oficinas.</w:t>
      </w:r>
    </w:p>
    <w:p w14:paraId="0F487D2A" w14:textId="64471F94" w:rsidR="00473E44" w:rsidRPr="00F1727B" w:rsidRDefault="008A2AF3" w:rsidP="00473E44">
      <w:pPr>
        <w:spacing w:before="240" w:after="240" w:line="360" w:lineRule="auto"/>
        <w:ind w:right="49"/>
        <w:jc w:val="both"/>
        <w:rPr>
          <w:rFonts w:ascii="Palatino Linotype" w:eastAsia="Palatino Linotype" w:hAnsi="Palatino Linotype" w:cs="Palatino Linotype"/>
          <w:sz w:val="22"/>
          <w:szCs w:val="22"/>
        </w:rPr>
      </w:pPr>
      <w:r w:rsidRPr="00F1727B">
        <w:rPr>
          <w:rFonts w:ascii="Palatino Linotype" w:hAnsi="Palatino Linotype"/>
          <w:sz w:val="22"/>
          <w:szCs w:val="22"/>
        </w:rPr>
        <w:t xml:space="preserve">Además, </w:t>
      </w:r>
      <w:r w:rsidR="00473E44" w:rsidRPr="00F1727B">
        <w:rPr>
          <w:rFonts w:ascii="Palatino Linotype" w:eastAsia="Palatino Linotype" w:hAnsi="Palatino Linotype" w:cs="Palatino Linotype"/>
          <w:sz w:val="22"/>
          <w:szCs w:val="22"/>
        </w:rPr>
        <w:t xml:space="preserve">es oportuno mencionar que en diversas solicitudes de reportes de incidencia, derivado de la sustanciación de diversos recursos de revisión, la Dirección General Informática de este Instituto ha hecho saber que el sistema SAIMEX, </w:t>
      </w:r>
      <w:r w:rsidR="00473E44" w:rsidRPr="00F1727B">
        <w:rPr>
          <w:rFonts w:ascii="Palatino Linotype" w:eastAsia="Palatino Linotype" w:hAnsi="Palatino Linotype" w:cs="Palatino Linotype"/>
          <w:b/>
          <w:sz w:val="22"/>
          <w:szCs w:val="22"/>
        </w:rPr>
        <w:t xml:space="preserve">tiene un soporte tecnológico para que se puedan adjuntar archivos con un peso aproximado de 500Mb o su equivalente de hasta 8,000 hojas </w:t>
      </w:r>
      <w:r w:rsidR="00473E44" w:rsidRPr="00F1727B">
        <w:rPr>
          <w:rFonts w:ascii="Palatino Linotype" w:eastAsia="Palatino Linotype" w:hAnsi="Palatino Linotype" w:cs="Palatino Linotype"/>
          <w:b/>
          <w:sz w:val="22"/>
          <w:szCs w:val="22"/>
          <w:u w:val="single"/>
        </w:rPr>
        <w:t>bajo parámetros escaneo en resolución máxima de 150Dpi’s, escala de grises y formato PDF, extraído directamente del escáner,</w:t>
      </w:r>
      <w:r w:rsidR="00473E44" w:rsidRPr="00F1727B">
        <w:rPr>
          <w:rFonts w:ascii="Palatino Linotype" w:eastAsia="Palatino Linotype" w:hAnsi="Palatino Linotype" w:cs="Palatino Linotype"/>
          <w:b/>
          <w:sz w:val="22"/>
          <w:szCs w:val="22"/>
        </w:rPr>
        <w:t xml:space="preserve"> </w:t>
      </w:r>
      <w:r w:rsidR="00473E44" w:rsidRPr="00F1727B">
        <w:rPr>
          <w:rFonts w:ascii="Palatino Linotype" w:eastAsia="Palatino Linotype" w:hAnsi="Palatino Linotype" w:cs="Palatino Linotype"/>
          <w:sz w:val="22"/>
          <w:szCs w:val="22"/>
        </w:rPr>
        <w:t xml:space="preserve">como se muestra a continuación: </w:t>
      </w:r>
    </w:p>
    <w:p w14:paraId="6AF67EE2" w14:textId="77777777" w:rsidR="00473E44" w:rsidRPr="00F1727B" w:rsidRDefault="00473E44" w:rsidP="00473E44">
      <w:pPr>
        <w:spacing w:before="240" w:after="240" w:line="360" w:lineRule="auto"/>
        <w:jc w:val="center"/>
        <w:rPr>
          <w:rFonts w:ascii="Palatino Linotype" w:hAnsi="Palatino Linotype"/>
          <w:sz w:val="22"/>
          <w:szCs w:val="22"/>
        </w:rPr>
      </w:pPr>
      <w:r w:rsidRPr="00F1727B">
        <w:rPr>
          <w:rFonts w:ascii="Palatino Linotype" w:eastAsia="Palatino Linotype" w:hAnsi="Palatino Linotype" w:cs="Palatino Linotype"/>
          <w:noProof/>
          <w:sz w:val="22"/>
          <w:szCs w:val="22"/>
        </w:rPr>
        <w:drawing>
          <wp:inline distT="0" distB="0" distL="0" distR="0" wp14:anchorId="0D6EA103" wp14:editId="68239BC5">
            <wp:extent cx="4500000" cy="1227606"/>
            <wp:effectExtent l="0" t="0" r="0" b="0"/>
            <wp:docPr id="19520825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t="32484"/>
                    <a:stretch>
                      <a:fillRect/>
                    </a:stretch>
                  </pic:blipFill>
                  <pic:spPr>
                    <a:xfrm>
                      <a:off x="0" y="0"/>
                      <a:ext cx="4500000" cy="1227606"/>
                    </a:xfrm>
                    <a:prstGeom prst="rect">
                      <a:avLst/>
                    </a:prstGeom>
                    <a:ln/>
                  </pic:spPr>
                </pic:pic>
              </a:graphicData>
            </a:graphic>
          </wp:inline>
        </w:drawing>
      </w:r>
    </w:p>
    <w:p w14:paraId="11E5DDE8" w14:textId="30739FE0" w:rsidR="00C24F8A" w:rsidRPr="00F1727B" w:rsidRDefault="008A2AF3" w:rsidP="002D01B9">
      <w:pPr>
        <w:spacing w:before="240" w:after="240" w:line="360" w:lineRule="auto"/>
        <w:ind w:right="51"/>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Es por ello que no puede tenerse por valido el cambio de modalidad en la entrega de la información pretendido por el </w:t>
      </w:r>
      <w:r w:rsidRPr="00F1727B">
        <w:rPr>
          <w:rFonts w:ascii="Palatino Linotype" w:eastAsia="Palatino Linotype" w:hAnsi="Palatino Linotype" w:cs="Palatino Linotype"/>
          <w:b/>
          <w:bCs/>
          <w:sz w:val="22"/>
          <w:szCs w:val="22"/>
        </w:rPr>
        <w:t xml:space="preserve">Sujeto Obligado, </w:t>
      </w:r>
      <w:r w:rsidR="00C24F8A" w:rsidRPr="00F1727B">
        <w:rPr>
          <w:rFonts w:ascii="Palatino Linotype" w:eastAsia="Palatino Linotype" w:hAnsi="Palatino Linotype" w:cs="Palatino Linotype"/>
          <w:sz w:val="22"/>
          <w:szCs w:val="22"/>
        </w:rPr>
        <w:t>al no haber justificado la necesidad del mismo, aunado al hecho de que atendiendo a la naturaleza de la información solicitada, no es procedente el cambio de modalidad al relacionarse con la obligación de transparencia prevista en el articulo</w:t>
      </w:r>
      <w:r w:rsidR="00C909FC" w:rsidRPr="00F1727B">
        <w:rPr>
          <w:rFonts w:ascii="Palatino Linotype" w:eastAsia="Palatino Linotype" w:hAnsi="Palatino Linotype" w:cs="Palatino Linotype"/>
          <w:sz w:val="22"/>
          <w:szCs w:val="22"/>
        </w:rPr>
        <w:t xml:space="preserve"> 92, fracción XXIX de la Ley de Transparencia y Acceso a la Información Pública del Estado de México y Municipios, la cual dispone que los Sujetos Obligados se encuentran constreñidos a poner a disposición del público, de manera permanente y actualizada en los respectivos medios electrónicos, información sobre los procesos y resultados sobre procedimientos de adjudicación directa, invitación restringida y licitación de cualquier naturaleza, </w:t>
      </w:r>
      <w:r w:rsidR="00C909FC" w:rsidRPr="00F1727B">
        <w:rPr>
          <w:rFonts w:ascii="Palatino Linotype" w:eastAsia="Palatino Linotype" w:hAnsi="Palatino Linotype" w:cs="Palatino Linotype"/>
          <w:b/>
          <w:sz w:val="22"/>
          <w:szCs w:val="22"/>
        </w:rPr>
        <w:t>incluyendo la versión pública</w:t>
      </w:r>
      <w:r w:rsidR="00C909FC" w:rsidRPr="00F1727B">
        <w:rPr>
          <w:rFonts w:ascii="Palatino Linotype" w:eastAsia="Palatino Linotype" w:hAnsi="Palatino Linotype" w:cs="Palatino Linotype"/>
          <w:sz w:val="22"/>
          <w:szCs w:val="22"/>
        </w:rPr>
        <w:t xml:space="preserve"> </w:t>
      </w:r>
      <w:r w:rsidR="00C909FC" w:rsidRPr="00F1727B">
        <w:rPr>
          <w:rFonts w:ascii="Palatino Linotype" w:eastAsia="Palatino Linotype" w:hAnsi="Palatino Linotype" w:cs="Palatino Linotype"/>
          <w:bCs/>
          <w:sz w:val="22"/>
          <w:szCs w:val="22"/>
        </w:rPr>
        <w:t xml:space="preserve">del expediente respectivo y </w:t>
      </w:r>
      <w:r w:rsidR="00C909FC" w:rsidRPr="00F1727B">
        <w:rPr>
          <w:rFonts w:ascii="Palatino Linotype" w:eastAsia="Palatino Linotype" w:hAnsi="Palatino Linotype" w:cs="Palatino Linotype"/>
          <w:b/>
          <w:sz w:val="22"/>
          <w:szCs w:val="22"/>
        </w:rPr>
        <w:t>de los contratos celebrados;</w:t>
      </w:r>
      <w:r w:rsidR="00C909FC" w:rsidRPr="00F1727B">
        <w:rPr>
          <w:rFonts w:ascii="Palatino Linotype" w:eastAsia="Palatino Linotype" w:hAnsi="Palatino Linotype" w:cs="Palatino Linotype"/>
          <w:sz w:val="22"/>
          <w:szCs w:val="22"/>
        </w:rPr>
        <w:t xml:space="preserve"> a saber:</w:t>
      </w:r>
    </w:p>
    <w:p w14:paraId="41ED8316" w14:textId="77777777" w:rsidR="00C909FC" w:rsidRPr="00F1727B" w:rsidRDefault="00C909FC" w:rsidP="00C909FC">
      <w:pPr>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w:t>
      </w:r>
      <w:r w:rsidRPr="00F1727B">
        <w:rPr>
          <w:rFonts w:ascii="Palatino Linotype" w:eastAsia="Palatino Linotype" w:hAnsi="Palatino Linotype" w:cs="Palatino Linotype"/>
          <w:b/>
          <w:i/>
          <w:sz w:val="22"/>
          <w:szCs w:val="22"/>
        </w:rPr>
        <w:t>Artículo 92</w:t>
      </w:r>
      <w:r w:rsidRPr="00F1727B">
        <w:rPr>
          <w:rFonts w:ascii="Palatino Linotype" w:eastAsia="Palatino Linotype" w:hAnsi="Palatino Linotype" w:cs="Palatino Linotype"/>
          <w:i/>
          <w:sz w:val="22"/>
          <w:szCs w:val="22"/>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4FCAB710" w14:textId="77777777" w:rsidR="00C909FC" w:rsidRPr="00F1727B" w:rsidRDefault="00C909FC" w:rsidP="00C909FC">
      <w:pPr>
        <w:tabs>
          <w:tab w:val="left" w:pos="426"/>
          <w:tab w:val="left" w:pos="2145"/>
        </w:tabs>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w:t>
      </w:r>
      <w:r w:rsidRPr="00F1727B">
        <w:rPr>
          <w:rFonts w:ascii="Palatino Linotype" w:eastAsia="Palatino Linotype" w:hAnsi="Palatino Linotype" w:cs="Palatino Linotype"/>
          <w:i/>
          <w:sz w:val="22"/>
          <w:szCs w:val="22"/>
        </w:rPr>
        <w:tab/>
      </w:r>
    </w:p>
    <w:p w14:paraId="2EDDB303" w14:textId="77777777" w:rsidR="00C909FC" w:rsidRPr="00F1727B" w:rsidRDefault="00C909FC" w:rsidP="00C909FC">
      <w:pPr>
        <w:tabs>
          <w:tab w:val="left" w:pos="426"/>
        </w:tabs>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XXIX.</w:t>
      </w:r>
      <w:r w:rsidRPr="00F1727B">
        <w:rPr>
          <w:rFonts w:ascii="Palatino Linotype" w:eastAsia="Palatino Linotype" w:hAnsi="Palatino Linotype" w:cs="Palatino Linotype"/>
          <w:i/>
          <w:sz w:val="22"/>
          <w:szCs w:val="22"/>
        </w:rPr>
        <w:t xml:space="preserve"> La </w:t>
      </w:r>
      <w:r w:rsidRPr="00F1727B">
        <w:rPr>
          <w:rFonts w:ascii="Palatino Linotype" w:eastAsia="Palatino Linotype" w:hAnsi="Palatino Linotype" w:cs="Palatino Linotype"/>
          <w:b/>
          <w:i/>
          <w:sz w:val="22"/>
          <w:szCs w:val="22"/>
        </w:rPr>
        <w:t xml:space="preserve">información sobre los procesos y resultados </w:t>
      </w:r>
      <w:r w:rsidRPr="00F1727B">
        <w:rPr>
          <w:rFonts w:ascii="Palatino Linotype" w:eastAsia="Palatino Linotype" w:hAnsi="Palatino Linotype" w:cs="Palatino Linotype"/>
          <w:b/>
          <w:i/>
          <w:sz w:val="22"/>
          <w:szCs w:val="22"/>
          <w:u w:val="single"/>
        </w:rPr>
        <w:t>sobre procedimientos de adjudicación directa, invitación restringida y licitación de cualquier naturaleza</w:t>
      </w:r>
      <w:r w:rsidRPr="00F1727B">
        <w:rPr>
          <w:rFonts w:ascii="Palatino Linotype" w:eastAsia="Palatino Linotype" w:hAnsi="Palatino Linotype" w:cs="Palatino Linotype"/>
          <w:i/>
          <w:sz w:val="22"/>
          <w:szCs w:val="22"/>
          <w:u w:val="single"/>
        </w:rPr>
        <w:t xml:space="preserve">, </w:t>
      </w:r>
      <w:r w:rsidRPr="00F1727B">
        <w:rPr>
          <w:rFonts w:ascii="Palatino Linotype" w:eastAsia="Palatino Linotype" w:hAnsi="Palatino Linotype" w:cs="Palatino Linotype"/>
          <w:b/>
          <w:i/>
          <w:sz w:val="22"/>
          <w:szCs w:val="22"/>
        </w:rPr>
        <w:t>incluyendo la versión pública</w:t>
      </w:r>
      <w:r w:rsidRPr="00F1727B">
        <w:rPr>
          <w:rFonts w:ascii="Palatino Linotype" w:eastAsia="Palatino Linotype" w:hAnsi="Palatino Linotype" w:cs="Palatino Linotype"/>
          <w:i/>
          <w:sz w:val="22"/>
          <w:szCs w:val="22"/>
        </w:rPr>
        <w:t xml:space="preserve"> del expediente respectivo y </w:t>
      </w:r>
      <w:r w:rsidRPr="00F1727B">
        <w:rPr>
          <w:rFonts w:ascii="Palatino Linotype" w:eastAsia="Palatino Linotype" w:hAnsi="Palatino Linotype" w:cs="Palatino Linotype"/>
          <w:b/>
          <w:i/>
          <w:sz w:val="22"/>
          <w:szCs w:val="22"/>
        </w:rPr>
        <w:t>de los contratos celebrados</w:t>
      </w:r>
      <w:r w:rsidRPr="00F1727B">
        <w:rPr>
          <w:rFonts w:ascii="Palatino Linotype" w:eastAsia="Palatino Linotype" w:hAnsi="Palatino Linotype" w:cs="Palatino Linotype"/>
          <w:i/>
          <w:sz w:val="22"/>
          <w:szCs w:val="22"/>
        </w:rPr>
        <w:t>, que deberán contener, por los menos, lo siguiente:</w:t>
      </w:r>
    </w:p>
    <w:p w14:paraId="01C88189" w14:textId="77777777" w:rsidR="00C909FC" w:rsidRPr="00F1727B" w:rsidRDefault="00C909FC" w:rsidP="00C909FC">
      <w:pPr>
        <w:tabs>
          <w:tab w:val="left" w:pos="426"/>
        </w:tabs>
        <w:spacing w:before="120" w:after="120"/>
        <w:ind w:left="851" w:right="902"/>
        <w:jc w:val="both"/>
        <w:rPr>
          <w:rFonts w:ascii="Palatino Linotype" w:eastAsia="Palatino Linotype" w:hAnsi="Palatino Linotype" w:cs="Palatino Linotype"/>
          <w:b/>
          <w:i/>
          <w:sz w:val="22"/>
          <w:szCs w:val="22"/>
        </w:rPr>
      </w:pPr>
      <w:r w:rsidRPr="00F1727B">
        <w:rPr>
          <w:rFonts w:ascii="Palatino Linotype" w:eastAsia="Palatino Linotype" w:hAnsi="Palatino Linotype" w:cs="Palatino Linotype"/>
          <w:b/>
          <w:i/>
          <w:sz w:val="22"/>
          <w:szCs w:val="22"/>
        </w:rPr>
        <w:t>a) De licitaciones públicas o procedimientos de invitación restringida:</w:t>
      </w:r>
    </w:p>
    <w:p w14:paraId="3CDA3EAB" w14:textId="77777777" w:rsidR="00C909FC" w:rsidRPr="00F1727B" w:rsidRDefault="00C909FC" w:rsidP="00C909FC">
      <w:pPr>
        <w:tabs>
          <w:tab w:val="left" w:pos="426"/>
        </w:tabs>
        <w:spacing w:before="120" w:after="120"/>
        <w:ind w:left="851" w:right="902"/>
        <w:jc w:val="both"/>
        <w:rPr>
          <w:rFonts w:ascii="Palatino Linotype" w:eastAsia="Palatino Linotype" w:hAnsi="Palatino Linotype" w:cs="Palatino Linotype"/>
          <w:b/>
          <w:i/>
          <w:sz w:val="22"/>
          <w:szCs w:val="22"/>
        </w:rPr>
      </w:pPr>
      <w:r w:rsidRPr="00F1727B">
        <w:rPr>
          <w:rFonts w:ascii="Palatino Linotype" w:eastAsia="Palatino Linotype" w:hAnsi="Palatino Linotype" w:cs="Palatino Linotype"/>
          <w:b/>
          <w:i/>
          <w:sz w:val="22"/>
          <w:szCs w:val="22"/>
        </w:rPr>
        <w:t>...</w:t>
      </w:r>
    </w:p>
    <w:p w14:paraId="0A293789" w14:textId="1BA30761" w:rsidR="00C909FC" w:rsidRPr="00F1727B" w:rsidRDefault="00C909FC" w:rsidP="00C909FC">
      <w:pPr>
        <w:tabs>
          <w:tab w:val="left" w:pos="426"/>
        </w:tabs>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 xml:space="preserve">7) </w:t>
      </w:r>
      <w:r w:rsidRPr="00F1727B">
        <w:rPr>
          <w:rFonts w:ascii="Palatino Linotype" w:eastAsia="Palatino Linotype" w:hAnsi="Palatino Linotype" w:cs="Palatino Linotype"/>
          <w:b/>
          <w:bCs/>
          <w:i/>
          <w:sz w:val="22"/>
          <w:szCs w:val="22"/>
        </w:rPr>
        <w:t xml:space="preserve">El contrato </w:t>
      </w:r>
      <w:r w:rsidRPr="00F1727B">
        <w:rPr>
          <w:rFonts w:ascii="Palatino Linotype" w:eastAsia="Palatino Linotype" w:hAnsi="Palatino Linotype" w:cs="Palatino Linotype"/>
          <w:i/>
          <w:sz w:val="22"/>
          <w:szCs w:val="22"/>
        </w:rPr>
        <w:t xml:space="preserve">y, en su caso, sus anexos; </w:t>
      </w:r>
    </w:p>
    <w:p w14:paraId="4B8D1633" w14:textId="15FB73A3" w:rsidR="00C909FC" w:rsidRPr="00F1727B" w:rsidRDefault="00C909FC" w:rsidP="00C909FC">
      <w:pPr>
        <w:tabs>
          <w:tab w:val="left" w:pos="426"/>
        </w:tabs>
        <w:spacing w:before="120" w:after="120"/>
        <w:ind w:left="851" w:right="902"/>
        <w:jc w:val="both"/>
        <w:rPr>
          <w:rFonts w:ascii="Palatino Linotype" w:eastAsia="Palatino Linotype" w:hAnsi="Palatino Linotype" w:cs="Palatino Linotype"/>
          <w:b/>
          <w:i/>
          <w:sz w:val="22"/>
          <w:szCs w:val="22"/>
        </w:rPr>
      </w:pPr>
      <w:r w:rsidRPr="00F1727B">
        <w:rPr>
          <w:rFonts w:ascii="Palatino Linotype" w:eastAsia="Palatino Linotype" w:hAnsi="Palatino Linotype" w:cs="Palatino Linotype"/>
          <w:b/>
          <w:i/>
          <w:sz w:val="22"/>
          <w:szCs w:val="22"/>
        </w:rPr>
        <w:t>...</w:t>
      </w:r>
    </w:p>
    <w:p w14:paraId="1E032199" w14:textId="77777777" w:rsidR="00C909FC" w:rsidRPr="00F1727B" w:rsidRDefault="00C909FC" w:rsidP="00C909FC">
      <w:pPr>
        <w:tabs>
          <w:tab w:val="left" w:pos="426"/>
        </w:tabs>
        <w:spacing w:before="120" w:after="120"/>
        <w:ind w:left="851" w:right="902"/>
        <w:jc w:val="both"/>
        <w:rPr>
          <w:rFonts w:ascii="Palatino Linotype" w:eastAsia="Palatino Linotype" w:hAnsi="Palatino Linotype" w:cs="Palatino Linotype"/>
          <w:b/>
          <w:i/>
          <w:sz w:val="22"/>
          <w:szCs w:val="22"/>
        </w:rPr>
      </w:pPr>
      <w:r w:rsidRPr="00F1727B">
        <w:rPr>
          <w:rFonts w:ascii="Palatino Linotype" w:eastAsia="Palatino Linotype" w:hAnsi="Palatino Linotype" w:cs="Palatino Linotype"/>
          <w:b/>
          <w:i/>
          <w:sz w:val="22"/>
          <w:szCs w:val="22"/>
        </w:rPr>
        <w:t xml:space="preserve">b) De las adjudicaciones directas: </w:t>
      </w:r>
    </w:p>
    <w:p w14:paraId="2FE8C9C1" w14:textId="101B06C6" w:rsidR="00C909FC" w:rsidRPr="00F1727B" w:rsidRDefault="00C909FC" w:rsidP="00C909FC">
      <w:pPr>
        <w:tabs>
          <w:tab w:val="left" w:pos="426"/>
        </w:tabs>
        <w:spacing w:before="120" w:after="120"/>
        <w:ind w:left="851" w:right="902"/>
        <w:jc w:val="both"/>
        <w:rPr>
          <w:rFonts w:ascii="Palatino Linotype" w:eastAsia="Palatino Linotype" w:hAnsi="Palatino Linotype" w:cs="Palatino Linotype"/>
          <w:b/>
          <w:i/>
          <w:sz w:val="22"/>
          <w:szCs w:val="22"/>
        </w:rPr>
      </w:pPr>
      <w:r w:rsidRPr="00F1727B">
        <w:rPr>
          <w:rFonts w:ascii="Palatino Linotype" w:eastAsia="Palatino Linotype" w:hAnsi="Palatino Linotype" w:cs="Palatino Linotype"/>
          <w:b/>
          <w:i/>
          <w:sz w:val="22"/>
          <w:szCs w:val="22"/>
        </w:rPr>
        <w:t>...</w:t>
      </w:r>
    </w:p>
    <w:p w14:paraId="6C115082" w14:textId="1CEB85BB" w:rsidR="00C909FC" w:rsidRPr="00F1727B" w:rsidRDefault="00C909FC" w:rsidP="00C909FC">
      <w:pPr>
        <w:tabs>
          <w:tab w:val="left" w:pos="426"/>
        </w:tabs>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 xml:space="preserve">7) </w:t>
      </w:r>
      <w:r w:rsidRPr="00F1727B">
        <w:rPr>
          <w:rFonts w:ascii="Palatino Linotype" w:eastAsia="Palatino Linotype" w:hAnsi="Palatino Linotype" w:cs="Palatino Linotype"/>
          <w:b/>
          <w:bCs/>
          <w:i/>
          <w:sz w:val="22"/>
          <w:szCs w:val="22"/>
        </w:rPr>
        <w:t>El número, fecha, el monto del contrato</w:t>
      </w:r>
      <w:r w:rsidRPr="00F1727B">
        <w:rPr>
          <w:rFonts w:ascii="Palatino Linotype" w:eastAsia="Palatino Linotype" w:hAnsi="Palatino Linotype" w:cs="Palatino Linotype"/>
          <w:i/>
          <w:sz w:val="22"/>
          <w:szCs w:val="22"/>
        </w:rPr>
        <w:t xml:space="preserve"> y el plazo de entrega o de ejecución de los servicios u obra; “</w:t>
      </w:r>
    </w:p>
    <w:p w14:paraId="4A5E706E" w14:textId="24854162" w:rsidR="00C24F8A" w:rsidRPr="00F1727B" w:rsidRDefault="00C909FC" w:rsidP="002D01B9">
      <w:pPr>
        <w:spacing w:before="240" w:after="240" w:line="360" w:lineRule="auto"/>
        <w:ind w:right="51"/>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De esto, se advierte que, los Sujetos Obligados deberán poner a disposición del público la información relativa a procesos y resultados sobre procedimientos de adjudicación directa, invitación restringida y licitación de cualquier naturaleza, donde se incluya, </w:t>
      </w:r>
      <w:r w:rsidRPr="00F1727B">
        <w:rPr>
          <w:rFonts w:ascii="Palatino Linotype" w:eastAsia="Palatino Linotype" w:hAnsi="Palatino Linotype" w:cs="Palatino Linotype"/>
          <w:b/>
          <w:bCs/>
          <w:sz w:val="22"/>
          <w:szCs w:val="22"/>
        </w:rPr>
        <w:t>en versión pública</w:t>
      </w:r>
      <w:r w:rsidRPr="00F1727B">
        <w:rPr>
          <w:rFonts w:ascii="Palatino Linotype" w:eastAsia="Palatino Linotype" w:hAnsi="Palatino Linotype" w:cs="Palatino Linotype"/>
          <w:sz w:val="22"/>
          <w:szCs w:val="22"/>
        </w:rPr>
        <w:t xml:space="preserve">, el expediente respectivo y </w:t>
      </w:r>
      <w:r w:rsidRPr="00F1727B">
        <w:rPr>
          <w:rFonts w:ascii="Palatino Linotype" w:eastAsia="Palatino Linotype" w:hAnsi="Palatino Linotype" w:cs="Palatino Linotype"/>
          <w:b/>
          <w:bCs/>
          <w:sz w:val="22"/>
          <w:szCs w:val="22"/>
        </w:rPr>
        <w:t xml:space="preserve">los contratos celebrados, </w:t>
      </w:r>
      <w:r w:rsidRPr="00F1727B">
        <w:rPr>
          <w:rFonts w:ascii="Palatino Linotype" w:eastAsia="Palatino Linotype" w:hAnsi="Palatino Linotype" w:cs="Palatino Linotype"/>
          <w:sz w:val="22"/>
          <w:szCs w:val="22"/>
        </w:rPr>
        <w:t>por lo tanto, se trata de información que debe encontrarse digitalizada.</w:t>
      </w:r>
    </w:p>
    <w:p w14:paraId="44DF2A32" w14:textId="77777777" w:rsidR="00EC15BD" w:rsidRPr="00F1727B" w:rsidRDefault="00C909FC" w:rsidP="00EC15BD">
      <w:pPr>
        <w:spacing w:before="240" w:after="240" w:line="360" w:lineRule="auto"/>
        <w:ind w:right="-232"/>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Y, por lo que se refiere a las facturas</w:t>
      </w:r>
      <w:r w:rsidR="00EC15BD" w:rsidRPr="00F1727B">
        <w:rPr>
          <w:rFonts w:ascii="Palatino Linotype" w:eastAsia="Palatino Linotype" w:hAnsi="Palatino Linotype" w:cs="Palatino Linotype"/>
          <w:sz w:val="22"/>
          <w:szCs w:val="22"/>
        </w:rPr>
        <w:t xml:space="preserve"> emitidas en favor de los proveedores, contratistas o prestadores de servicios, la cual se encuentra definida en el Glosario de Términos Hacendarios que emite el Instituto Hacendario del Estado de México, como:</w:t>
      </w:r>
    </w:p>
    <w:p w14:paraId="4062A8EA" w14:textId="77777777" w:rsidR="00EC15BD" w:rsidRPr="00F1727B" w:rsidRDefault="00EC15BD" w:rsidP="00EC15BD">
      <w:pPr>
        <w:spacing w:before="120" w:after="120"/>
        <w:ind w:left="851" w:right="902"/>
        <w:jc w:val="both"/>
        <w:rPr>
          <w:rFonts w:ascii="Palatino Linotype" w:eastAsia="Palatino Linotype" w:hAnsi="Palatino Linotype" w:cs="Palatino Linotype"/>
          <w:b/>
          <w:i/>
          <w:sz w:val="22"/>
          <w:szCs w:val="22"/>
        </w:rPr>
      </w:pPr>
      <w:r w:rsidRPr="00F1727B">
        <w:rPr>
          <w:rFonts w:ascii="Palatino Linotype" w:eastAsia="Palatino Linotype" w:hAnsi="Palatino Linotype" w:cs="Palatino Linotype"/>
          <w:i/>
          <w:sz w:val="22"/>
          <w:szCs w:val="22"/>
        </w:rPr>
        <w:t>“</w:t>
      </w:r>
      <w:r w:rsidRPr="00F1727B">
        <w:rPr>
          <w:rFonts w:ascii="Palatino Linotype" w:eastAsia="Palatino Linotype" w:hAnsi="Palatino Linotype" w:cs="Palatino Linotype"/>
          <w:b/>
          <w:i/>
          <w:sz w:val="22"/>
          <w:szCs w:val="22"/>
        </w:rPr>
        <w:t>FACTURA</w:t>
      </w:r>
    </w:p>
    <w:p w14:paraId="23F6F04D"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Es el documento fiscal que emite la persona física o moral para comprobar la venta o adquisición de un bien y/o servicio.” (Sic)</w:t>
      </w:r>
    </w:p>
    <w:p w14:paraId="536D84E6" w14:textId="77777777" w:rsidR="00EC15BD" w:rsidRPr="00F1727B" w:rsidRDefault="00EC15BD" w:rsidP="00EC15BD">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Luego entonces las facturas son comprobantes que amparan las erogaciones que se realizan con erario público tienen naturaleza pública pues, constituyen los medios idóneos de evidencia del gasto realizado con recursos públicos, de ahí que convenga precisar que la Constitución Política del Estado Libre y Soberano de México en su artículo 129 señala que los recursos económicos del Estado, de los Municipios, así como de los Organismos Autónomos, se administrarán con eficiencia, eficacia y honradez, para cumplir con los objetivos y programas a los que estén destinados. </w:t>
      </w:r>
    </w:p>
    <w:p w14:paraId="2B905DF9" w14:textId="77777777" w:rsidR="00EC15BD" w:rsidRPr="00F1727B" w:rsidRDefault="00EC15BD" w:rsidP="00EC15BD">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para el Proceso de Planeación, Programación, Presupuestación y Evaluación en la Administración Pública”</w:t>
      </w:r>
      <w:r w:rsidRPr="00F1727B">
        <w:rPr>
          <w:rFonts w:ascii="Palatino Linotype" w:eastAsia="Palatino Linotype" w:hAnsi="Palatino Linotype" w:cs="Palatino Linotype"/>
          <w:sz w:val="22"/>
          <w:szCs w:val="22"/>
          <w:vertAlign w:val="superscript"/>
        </w:rPr>
        <w:footnoteReference w:id="1"/>
      </w:r>
      <w:r w:rsidRPr="00F1727B">
        <w:rPr>
          <w:rFonts w:ascii="Palatino Linotype" w:eastAsia="Palatino Linotype" w:hAnsi="Palatino Linotype" w:cs="Palatino Linotype"/>
          <w:sz w:val="22"/>
          <w:szCs w:val="22"/>
        </w:rPr>
        <w:t>,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14:paraId="5C71DAF1" w14:textId="77777777" w:rsidR="00EC15BD" w:rsidRPr="00F1727B" w:rsidRDefault="00EC15BD" w:rsidP="00EC15BD">
      <w:pPr>
        <w:spacing w:before="120" w:after="120"/>
        <w:ind w:left="850" w:right="902" w:hanging="10"/>
        <w:jc w:val="both"/>
        <w:rPr>
          <w:rFonts w:ascii="Palatino Linotype" w:eastAsia="Palatino Linotype" w:hAnsi="Palatino Linotype" w:cs="Palatino Linotype"/>
          <w:b/>
          <w:i/>
          <w:sz w:val="22"/>
          <w:szCs w:val="22"/>
        </w:rPr>
      </w:pPr>
      <w:r w:rsidRPr="00F1727B">
        <w:rPr>
          <w:rFonts w:ascii="Palatino Linotype" w:eastAsia="Palatino Linotype" w:hAnsi="Palatino Linotype" w:cs="Palatino Linotype"/>
          <w:b/>
          <w:i/>
          <w:sz w:val="22"/>
          <w:szCs w:val="22"/>
        </w:rPr>
        <w:t>“REGISTRO CONTABLE</w:t>
      </w:r>
    </w:p>
    <w:p w14:paraId="16E94651" w14:textId="77777777" w:rsidR="00EC15BD" w:rsidRPr="00F1727B" w:rsidRDefault="00EC15BD" w:rsidP="00EC15BD">
      <w:pPr>
        <w:spacing w:before="120" w:after="120"/>
        <w:ind w:left="850" w:right="902" w:hanging="10"/>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Asiento que se realiza en los libros de contabilidad de las actividades relacionadas con el ingreso y egresos de un ente económico.”</w:t>
      </w:r>
    </w:p>
    <w:p w14:paraId="0E3B4115" w14:textId="77777777" w:rsidR="00EC15BD" w:rsidRPr="00F1727B" w:rsidRDefault="00EC15BD" w:rsidP="00EC15BD">
      <w:pPr>
        <w:spacing w:before="120" w:after="120"/>
        <w:ind w:left="850" w:right="902" w:hanging="10"/>
        <w:jc w:val="both"/>
        <w:rPr>
          <w:rFonts w:ascii="Palatino Linotype" w:eastAsia="Palatino Linotype" w:hAnsi="Palatino Linotype" w:cs="Palatino Linotype"/>
          <w:b/>
          <w:i/>
          <w:sz w:val="22"/>
          <w:szCs w:val="22"/>
        </w:rPr>
      </w:pPr>
      <w:r w:rsidRPr="00F1727B">
        <w:rPr>
          <w:rFonts w:ascii="Palatino Linotype" w:eastAsia="Palatino Linotype" w:hAnsi="Palatino Linotype" w:cs="Palatino Linotype"/>
          <w:b/>
          <w:i/>
          <w:sz w:val="22"/>
          <w:szCs w:val="22"/>
        </w:rPr>
        <w:t>“REGISTRO PRESUPUESTARIO</w:t>
      </w:r>
    </w:p>
    <w:p w14:paraId="123C8A30" w14:textId="77777777" w:rsidR="00EC15BD" w:rsidRPr="00F1727B" w:rsidRDefault="00EC15BD" w:rsidP="00EC15BD">
      <w:pPr>
        <w:spacing w:before="120" w:after="120"/>
        <w:ind w:left="850" w:right="902" w:hanging="10"/>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Asiento contable de las erogaciones realizadas por las dependencias y entidades con relación a la asignación, modificación y ejercicio de los recursos presupuestarios que se les hayan autorizado.”</w:t>
      </w:r>
    </w:p>
    <w:p w14:paraId="378E18D2" w14:textId="77777777" w:rsidR="00EC15BD" w:rsidRPr="00F1727B" w:rsidRDefault="00EC15BD" w:rsidP="00EC15BD">
      <w:pPr>
        <w:spacing w:before="240" w:after="240" w:line="360" w:lineRule="auto"/>
        <w:ind w:right="51"/>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Como bien se desprende de las definiciones, los registros contables y presupuestarios son asientos o anotaciones contables que se realizan tanto de los ingresos como de los egresos, a decir se trata de un control financiero en el que se reconoce la obligación del Tesorero de llevar dicho registro.</w:t>
      </w:r>
    </w:p>
    <w:p w14:paraId="615B11C5" w14:textId="77777777" w:rsidR="00EC15BD" w:rsidRPr="00F1727B" w:rsidRDefault="00EC15BD" w:rsidP="00EC15BD">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Por otra parte, se establece que el sistema de contabilidad sobre base acumulativa total se sustentará en los principios de contabilidad gubernamental.</w:t>
      </w:r>
    </w:p>
    <w:p w14:paraId="7DC59877" w14:textId="77777777" w:rsidR="00EC15BD" w:rsidRPr="00F1727B" w:rsidRDefault="00EC15BD" w:rsidP="00EC15BD">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Igualmente, los preceptos legales citados señalan que los Sujetos Obligados deben contar con una unidad administrativa que registra contablemente el efecto patrimonial y presupuestal de las operaciones financieras que realizan, en el momento en que ocurran, con base en el sistema y políticas de registro establecidas.</w:t>
      </w:r>
    </w:p>
    <w:p w14:paraId="20770EA2" w14:textId="77777777" w:rsidR="00EC15BD" w:rsidRPr="00F1727B" w:rsidRDefault="00EC15BD" w:rsidP="00EC15BD">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Correlativo a lo anterior, es preciso referir una definición de </w:t>
      </w:r>
      <w:r w:rsidRPr="00F1727B">
        <w:rPr>
          <w:rFonts w:ascii="Palatino Linotype" w:eastAsia="Palatino Linotype" w:hAnsi="Palatino Linotype" w:cs="Palatino Linotype"/>
          <w:i/>
          <w:sz w:val="22"/>
          <w:szCs w:val="22"/>
        </w:rPr>
        <w:t>póliza contable</w:t>
      </w:r>
      <w:r w:rsidRPr="00F1727B">
        <w:rPr>
          <w:rFonts w:ascii="Palatino Linotype" w:eastAsia="Palatino Linotype" w:hAnsi="Palatino Linotype" w:cs="Palatino Linotype"/>
          <w:sz w:val="22"/>
          <w:szCs w:val="22"/>
        </w:rPr>
        <w:t>, la cual, primeramente, no está definida en el Código Financiero del Estado de México y Municipios; no obstante, el ya mencionado Glosario la define como:</w:t>
      </w:r>
    </w:p>
    <w:p w14:paraId="12792B01" w14:textId="77777777" w:rsidR="00EC15BD" w:rsidRPr="00F1727B" w:rsidRDefault="00EC15BD" w:rsidP="00EC15BD">
      <w:pPr>
        <w:spacing w:before="120" w:after="120"/>
        <w:ind w:left="862" w:right="902"/>
        <w:jc w:val="both"/>
        <w:rPr>
          <w:rFonts w:ascii="Palatino Linotype" w:eastAsia="Palatino Linotype" w:hAnsi="Palatino Linotype" w:cs="Palatino Linotype"/>
          <w:b/>
          <w:i/>
          <w:sz w:val="22"/>
          <w:szCs w:val="22"/>
        </w:rPr>
      </w:pPr>
      <w:r w:rsidRPr="00F1727B">
        <w:rPr>
          <w:rFonts w:ascii="Palatino Linotype" w:eastAsia="Palatino Linotype" w:hAnsi="Palatino Linotype" w:cs="Palatino Linotype"/>
          <w:i/>
          <w:sz w:val="22"/>
          <w:szCs w:val="22"/>
        </w:rPr>
        <w:t>“</w:t>
      </w:r>
      <w:r w:rsidRPr="00F1727B">
        <w:rPr>
          <w:rFonts w:ascii="Palatino Linotype" w:eastAsia="Palatino Linotype" w:hAnsi="Palatino Linotype" w:cs="Palatino Linotype"/>
          <w:b/>
          <w:i/>
          <w:sz w:val="22"/>
          <w:szCs w:val="22"/>
        </w:rPr>
        <w:t>PÓLIZA CONTABLE</w:t>
      </w:r>
    </w:p>
    <w:p w14:paraId="4D738A26" w14:textId="77777777" w:rsidR="00EC15BD" w:rsidRPr="00F1727B" w:rsidRDefault="00EC15BD" w:rsidP="00EC15BD">
      <w:pPr>
        <w:spacing w:before="120" w:after="120"/>
        <w:ind w:left="862"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 xml:space="preserve">Documento en el cual se asientan en forma individual todas y cada una de las operaciones desarrolladas por una institución, así como la información necesaria para la identificación de dichas operaciones.” </w:t>
      </w:r>
    </w:p>
    <w:p w14:paraId="6487A3E7" w14:textId="77777777" w:rsidR="00EC15BD" w:rsidRPr="00F1727B" w:rsidRDefault="00EC15BD" w:rsidP="00EC15BD">
      <w:pPr>
        <w:spacing w:before="240" w:after="240" w:line="360" w:lineRule="auto"/>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sz w:val="22"/>
          <w:szCs w:val="22"/>
        </w:rPr>
        <w:t xml:space="preserve">Así, se advierte que la </w:t>
      </w:r>
      <w:r w:rsidRPr="00F1727B">
        <w:rPr>
          <w:rFonts w:ascii="Palatino Linotype" w:eastAsia="Palatino Linotype" w:hAnsi="Palatino Linotype" w:cs="Palatino Linotype"/>
          <w:i/>
          <w:sz w:val="22"/>
          <w:szCs w:val="22"/>
        </w:rPr>
        <w:t>póliza contable</w:t>
      </w:r>
      <w:r w:rsidRPr="00F1727B">
        <w:rPr>
          <w:rFonts w:ascii="Palatino Linotype" w:eastAsia="Palatino Linotype" w:hAnsi="Palatino Linotype" w:cs="Palatino Linotype"/>
          <w:sz w:val="22"/>
          <w:szCs w:val="22"/>
        </w:rPr>
        <w:t xml:space="preserve"> constituye un registro contable y presupuestal con el que cuentan los Municipios para el registro de operaciones relacionadas con </w:t>
      </w:r>
      <w:r w:rsidRPr="00F1727B">
        <w:rPr>
          <w:rFonts w:ascii="Palatino Linotype" w:eastAsia="Palatino Linotype" w:hAnsi="Palatino Linotype" w:cs="Palatino Linotype"/>
          <w:sz w:val="22"/>
          <w:szCs w:val="22"/>
          <w:u w:val="single"/>
        </w:rPr>
        <w:t>ingresos y egresos</w:t>
      </w:r>
      <w:r w:rsidRPr="00F1727B">
        <w:rPr>
          <w:rFonts w:ascii="Palatino Linotype" w:eastAsia="Palatino Linotype" w:hAnsi="Palatino Linotype" w:cs="Palatino Linotype"/>
          <w:sz w:val="22"/>
          <w:szCs w:val="22"/>
        </w:rPr>
        <w:t xml:space="preserve"> y se anexan los documentos o comprobantes que justifiquen las anotaciones y cantidades en ellas registradas, lo que permite la identificación plena de dichas operaciones.</w:t>
      </w:r>
    </w:p>
    <w:p w14:paraId="42A7B56D" w14:textId="77777777" w:rsidR="00EC15BD" w:rsidRPr="00F1727B" w:rsidRDefault="00EC15BD" w:rsidP="00EC15BD">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En este sentido, existen diversos tipos de pólizas contables de acuerdo a las operaciones realizadas, dentro de las cuales, encontramos las </w:t>
      </w:r>
      <w:r w:rsidRPr="00F1727B">
        <w:rPr>
          <w:rFonts w:ascii="Palatino Linotype" w:eastAsia="Palatino Linotype" w:hAnsi="Palatino Linotype" w:cs="Palatino Linotype"/>
          <w:i/>
          <w:sz w:val="22"/>
          <w:szCs w:val="22"/>
        </w:rPr>
        <w:t xml:space="preserve">pólizas de ingresos y egresos. </w:t>
      </w:r>
      <w:r w:rsidRPr="00F1727B">
        <w:rPr>
          <w:rFonts w:ascii="Palatino Linotype" w:eastAsia="Palatino Linotype" w:hAnsi="Palatino Linotype" w:cs="Palatino Linotype"/>
          <w:b/>
          <w:sz w:val="22"/>
          <w:szCs w:val="22"/>
          <w:u w:val="single"/>
        </w:rPr>
        <w:t>Las primeras</w:t>
      </w:r>
      <w:r w:rsidRPr="00F1727B">
        <w:rPr>
          <w:rFonts w:ascii="Palatino Linotype" w:eastAsia="Palatino Linotype" w:hAnsi="Palatino Linotype" w:cs="Palatino Linotype"/>
          <w:b/>
          <w:sz w:val="22"/>
          <w:szCs w:val="22"/>
        </w:rPr>
        <w:t xml:space="preserve"> registran todas las entradas de dinero, </w:t>
      </w:r>
      <w:r w:rsidRPr="00F1727B">
        <w:rPr>
          <w:rFonts w:ascii="Palatino Linotype" w:eastAsia="Palatino Linotype" w:hAnsi="Palatino Linotype" w:cs="Palatino Linotype"/>
          <w:sz w:val="22"/>
          <w:szCs w:val="22"/>
        </w:rPr>
        <w:t xml:space="preserve">mientras que </w:t>
      </w:r>
      <w:r w:rsidRPr="00F1727B">
        <w:rPr>
          <w:rFonts w:ascii="Palatino Linotype" w:eastAsia="Palatino Linotype" w:hAnsi="Palatino Linotype" w:cs="Palatino Linotype"/>
          <w:b/>
          <w:sz w:val="22"/>
          <w:szCs w:val="22"/>
          <w:u w:val="single"/>
        </w:rPr>
        <w:t>las segundas</w:t>
      </w:r>
      <w:r w:rsidRPr="00F1727B">
        <w:rPr>
          <w:rFonts w:ascii="Palatino Linotype" w:eastAsia="Palatino Linotype" w:hAnsi="Palatino Linotype" w:cs="Palatino Linotype"/>
          <w:sz w:val="22"/>
          <w:szCs w:val="22"/>
        </w:rPr>
        <w:t xml:space="preserve"> </w:t>
      </w:r>
      <w:r w:rsidRPr="00F1727B">
        <w:rPr>
          <w:rFonts w:ascii="Palatino Linotype" w:eastAsia="Palatino Linotype" w:hAnsi="Palatino Linotype" w:cs="Palatino Linotype"/>
          <w:b/>
          <w:sz w:val="22"/>
          <w:szCs w:val="22"/>
        </w:rPr>
        <w:t>son aquellas en las cuales se anotan diariamente las operaciones que representan gastos, es decir, salidas de dinero</w:t>
      </w:r>
      <w:r w:rsidRPr="00F1727B">
        <w:rPr>
          <w:rFonts w:ascii="Palatino Linotype" w:eastAsia="Palatino Linotype" w:hAnsi="Palatino Linotype" w:cs="Palatino Linotype"/>
          <w:sz w:val="22"/>
          <w:szCs w:val="22"/>
        </w:rPr>
        <w:t xml:space="preserve"> las que, además, </w:t>
      </w:r>
      <w:r w:rsidRPr="00F1727B">
        <w:rPr>
          <w:rFonts w:ascii="Palatino Linotype" w:eastAsia="Palatino Linotype" w:hAnsi="Palatino Linotype" w:cs="Palatino Linotype"/>
          <w:b/>
          <w:sz w:val="22"/>
          <w:szCs w:val="22"/>
        </w:rPr>
        <w:t xml:space="preserve">deben encontrarse acompañadas de las documentales que sirven de soporte de dicho movimiento; </w:t>
      </w:r>
      <w:r w:rsidRPr="00F1727B">
        <w:rPr>
          <w:rFonts w:ascii="Palatino Linotype" w:eastAsia="Palatino Linotype" w:hAnsi="Palatino Linotype" w:cs="Palatino Linotype"/>
          <w:sz w:val="22"/>
          <w:szCs w:val="22"/>
        </w:rPr>
        <w:t xml:space="preserve">lo anterior </w:t>
      </w:r>
      <w:r w:rsidRPr="00F1727B">
        <w:rPr>
          <w:rFonts w:ascii="Palatino Linotype" w:eastAsia="Palatino Linotype" w:hAnsi="Palatino Linotype" w:cs="Palatino Linotype"/>
          <w:b/>
          <w:sz w:val="22"/>
          <w:szCs w:val="22"/>
        </w:rPr>
        <w:t>independientemente de la modalidad</w:t>
      </w:r>
      <w:r w:rsidRPr="00F1727B">
        <w:rPr>
          <w:rFonts w:ascii="Palatino Linotype" w:eastAsia="Palatino Linotype" w:hAnsi="Palatino Linotype" w:cs="Palatino Linotype"/>
          <w:sz w:val="22"/>
          <w:szCs w:val="22"/>
        </w:rPr>
        <w:t xml:space="preserve"> ya sea en efectivo, transferencia, cheque o pagaré, mediante la expedición de facturas.</w:t>
      </w:r>
    </w:p>
    <w:p w14:paraId="36E7EEA4" w14:textId="77777777" w:rsidR="00EC15BD" w:rsidRPr="00F1727B" w:rsidRDefault="00EC15BD" w:rsidP="00EC15BD">
      <w:pPr>
        <w:spacing w:before="240" w:after="240" w:line="360" w:lineRule="auto"/>
        <w:ind w:right="51"/>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Atento a lo anterior, como ya ha sido mencionado en la normatividad antes citada, todo registro contable y presupuestal deberá estar soportado con los documentos comprobatorios originales, como lo son las facturas o pagos fiscales digitales por internet, mismos que deberán permanecer en custodia y conservación de la Unidad Administrativa correspondiente y a disposición del Órgano Superior de Fiscalización del Estado de México; por un término de seis años contados a partir del ejercicio presupuestal siguiente al que corresponda, tal y como se establece en el Código Financiero del Estado de México. </w:t>
      </w:r>
    </w:p>
    <w:p w14:paraId="7ABACD76" w14:textId="77777777" w:rsidR="00EC15BD" w:rsidRPr="00F1727B" w:rsidRDefault="00EC15BD" w:rsidP="00EC15BD">
      <w:pPr>
        <w:spacing w:before="240" w:after="240" w:line="360" w:lineRule="auto"/>
        <w:ind w:right="-232"/>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Aunado a lo anterior, conviene referir que de conformidad con los Lineamientos para la integración y presentación de los Informes Trimestrales Estatales y Municipales del Ejercicio Fiscal 2025, emitidos por el Órgano Superior de Fiscalización del Estado de México, OSFEM, el </w:t>
      </w:r>
      <w:r w:rsidRPr="00F1727B">
        <w:rPr>
          <w:rFonts w:ascii="Palatino Linotype" w:eastAsia="Palatino Linotype" w:hAnsi="Palatino Linotype" w:cs="Palatino Linotype"/>
          <w:b/>
          <w:sz w:val="22"/>
          <w:szCs w:val="22"/>
        </w:rPr>
        <w:t xml:space="preserve">Sujeto Obligado, </w:t>
      </w:r>
      <w:r w:rsidRPr="00F1727B">
        <w:rPr>
          <w:rFonts w:ascii="Palatino Linotype" w:eastAsia="Palatino Linotype" w:hAnsi="Palatino Linotype" w:cs="Palatino Linotype"/>
          <w:sz w:val="22"/>
          <w:szCs w:val="22"/>
        </w:rPr>
        <w:t xml:space="preserve">como ente fiscalizable cuenta con la obligación de remitir a dicho Órgano, para su revisión la </w:t>
      </w:r>
      <w:r w:rsidRPr="00F1727B">
        <w:rPr>
          <w:rFonts w:ascii="Palatino Linotype" w:eastAsia="Palatino Linotype" w:hAnsi="Palatino Linotype" w:cs="Palatino Linotype"/>
          <w:b/>
          <w:sz w:val="22"/>
          <w:szCs w:val="22"/>
        </w:rPr>
        <w:t>pólizas con documentos comprobatorios</w:t>
      </w:r>
      <w:r w:rsidRPr="00F1727B">
        <w:rPr>
          <w:rFonts w:ascii="Palatino Linotype" w:eastAsia="Palatino Linotype" w:hAnsi="Palatino Linotype" w:cs="Palatino Linotype"/>
          <w:sz w:val="22"/>
          <w:szCs w:val="22"/>
        </w:rPr>
        <w:t>, como parte de los informes trimestrales, específicamente, en el Módulo 1 Información Contable y Financiera:</w:t>
      </w:r>
    </w:p>
    <w:p w14:paraId="6B69176F" w14:textId="77777777" w:rsidR="00EC15BD" w:rsidRPr="00F1727B" w:rsidRDefault="00EC15BD" w:rsidP="00EC15BD">
      <w:pPr>
        <w:spacing w:before="240" w:after="240" w:line="360" w:lineRule="auto"/>
        <w:ind w:right="-232"/>
        <w:jc w:val="center"/>
        <w:rPr>
          <w:rFonts w:ascii="Palatino Linotype" w:eastAsia="Palatino Linotype" w:hAnsi="Palatino Linotype" w:cs="Palatino Linotype"/>
          <w:sz w:val="22"/>
          <w:szCs w:val="22"/>
        </w:rPr>
      </w:pPr>
      <w:r w:rsidRPr="00F1727B">
        <w:rPr>
          <w:rFonts w:ascii="Palatino Linotype" w:eastAsia="Palatino Linotype" w:hAnsi="Palatino Linotype" w:cs="Palatino Linotype"/>
          <w:noProof/>
          <w:sz w:val="22"/>
          <w:szCs w:val="22"/>
        </w:rPr>
        <w:drawing>
          <wp:inline distT="0" distB="0" distL="0" distR="0" wp14:anchorId="76D34DB4" wp14:editId="2358D6A6">
            <wp:extent cx="4140000" cy="1136414"/>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40000" cy="1136414"/>
                    </a:xfrm>
                    <a:prstGeom prst="rect">
                      <a:avLst/>
                    </a:prstGeom>
                  </pic:spPr>
                </pic:pic>
              </a:graphicData>
            </a:graphic>
          </wp:inline>
        </w:drawing>
      </w:r>
      <w:r w:rsidRPr="00F1727B">
        <w:rPr>
          <w:rFonts w:ascii="Palatino Linotype" w:eastAsia="Palatino Linotype" w:hAnsi="Palatino Linotype" w:cs="Palatino Linotype"/>
          <w:noProof/>
          <w:sz w:val="22"/>
          <w:szCs w:val="22"/>
        </w:rPr>
        <w:drawing>
          <wp:inline distT="0" distB="0" distL="0" distR="0" wp14:anchorId="222F5348" wp14:editId="0C9AB4BF">
            <wp:extent cx="5612130" cy="359410"/>
            <wp:effectExtent l="0" t="0" r="762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359410"/>
                    </a:xfrm>
                    <a:prstGeom prst="rect">
                      <a:avLst/>
                    </a:prstGeom>
                  </pic:spPr>
                </pic:pic>
              </a:graphicData>
            </a:graphic>
          </wp:inline>
        </w:drawing>
      </w:r>
      <w:r w:rsidRPr="00F1727B">
        <w:rPr>
          <w:rFonts w:ascii="Palatino Linotype" w:hAnsi="Palatino Linotype"/>
          <w:noProof/>
          <w:sz w:val="22"/>
          <w:szCs w:val="22"/>
        </w:rPr>
        <w:drawing>
          <wp:inline distT="0" distB="0" distL="0" distR="0" wp14:anchorId="2614B0B8" wp14:editId="02CC5891">
            <wp:extent cx="4140000" cy="1084414"/>
            <wp:effectExtent l="0" t="0" r="0" b="1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40000" cy="1084414"/>
                    </a:xfrm>
                    <a:prstGeom prst="rect">
                      <a:avLst/>
                    </a:prstGeom>
                  </pic:spPr>
                </pic:pic>
              </a:graphicData>
            </a:graphic>
          </wp:inline>
        </w:drawing>
      </w:r>
    </w:p>
    <w:p w14:paraId="39B4E8FF" w14:textId="77777777" w:rsidR="00EC15BD" w:rsidRPr="00F1727B" w:rsidRDefault="00EC15BD" w:rsidP="00EC15BD">
      <w:pPr>
        <w:spacing w:before="240" w:after="240" w:line="360" w:lineRule="auto"/>
        <w:ind w:right="-232"/>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Para el cumplimiento de dicha obligación la información debe ser entregada a través de los siguientes formatos:</w:t>
      </w:r>
    </w:p>
    <w:p w14:paraId="6C5B5939" w14:textId="77777777" w:rsidR="00EC15BD" w:rsidRPr="00F1727B" w:rsidRDefault="00EC15BD" w:rsidP="00EC15BD">
      <w:pPr>
        <w:spacing w:before="240" w:after="240" w:line="360" w:lineRule="auto"/>
        <w:ind w:right="-232"/>
        <w:jc w:val="center"/>
        <w:rPr>
          <w:rFonts w:ascii="Palatino Linotype" w:eastAsia="Palatino Linotype" w:hAnsi="Palatino Linotype" w:cs="Palatino Linotype"/>
          <w:sz w:val="22"/>
          <w:szCs w:val="22"/>
        </w:rPr>
      </w:pPr>
      <w:r w:rsidRPr="00F1727B">
        <w:rPr>
          <w:rFonts w:ascii="Palatino Linotype" w:eastAsia="Palatino Linotype" w:hAnsi="Palatino Linotype" w:cs="Palatino Linotype"/>
          <w:noProof/>
          <w:sz w:val="22"/>
          <w:szCs w:val="22"/>
        </w:rPr>
        <w:drawing>
          <wp:inline distT="0" distB="0" distL="0" distR="0" wp14:anchorId="746E5E5B" wp14:editId="4926C54B">
            <wp:extent cx="4140000" cy="3840710"/>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 b="17031"/>
                    <a:stretch/>
                  </pic:blipFill>
                  <pic:spPr bwMode="auto">
                    <a:xfrm>
                      <a:off x="0" y="0"/>
                      <a:ext cx="4140000" cy="3840710"/>
                    </a:xfrm>
                    <a:prstGeom prst="rect">
                      <a:avLst/>
                    </a:prstGeom>
                    <a:ln>
                      <a:noFill/>
                    </a:ln>
                    <a:extLst>
                      <a:ext uri="{53640926-AAD7-44D8-BBD7-CCE9431645EC}">
                        <a14:shadowObscured xmlns:a14="http://schemas.microsoft.com/office/drawing/2010/main"/>
                      </a:ext>
                    </a:extLst>
                  </pic:spPr>
                </pic:pic>
              </a:graphicData>
            </a:graphic>
          </wp:inline>
        </w:drawing>
      </w:r>
    </w:p>
    <w:p w14:paraId="077AD0B4" w14:textId="77777777" w:rsidR="00EC15BD" w:rsidRPr="00F1727B" w:rsidRDefault="00EC15BD" w:rsidP="00EC15BD">
      <w:pPr>
        <w:spacing w:before="240" w:after="240" w:line="360" w:lineRule="auto"/>
        <w:ind w:right="-232"/>
        <w:jc w:val="center"/>
        <w:rPr>
          <w:rFonts w:ascii="Palatino Linotype" w:eastAsia="Palatino Linotype" w:hAnsi="Palatino Linotype" w:cs="Palatino Linotype"/>
          <w:sz w:val="22"/>
          <w:szCs w:val="22"/>
        </w:rPr>
      </w:pPr>
      <w:r w:rsidRPr="00F1727B">
        <w:rPr>
          <w:rFonts w:ascii="Palatino Linotype" w:eastAsia="Palatino Linotype" w:hAnsi="Palatino Linotype" w:cs="Palatino Linotype"/>
          <w:noProof/>
          <w:sz w:val="22"/>
          <w:szCs w:val="22"/>
        </w:rPr>
        <w:drawing>
          <wp:inline distT="0" distB="0" distL="0" distR="0" wp14:anchorId="6F6B9EF1" wp14:editId="0EBD7572">
            <wp:extent cx="4859510" cy="892972"/>
            <wp:effectExtent l="0" t="0" r="0"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84339" b="-773"/>
                    <a:stretch/>
                  </pic:blipFill>
                  <pic:spPr bwMode="auto">
                    <a:xfrm>
                      <a:off x="0" y="0"/>
                      <a:ext cx="4859655" cy="892999"/>
                    </a:xfrm>
                    <a:prstGeom prst="rect">
                      <a:avLst/>
                    </a:prstGeom>
                    <a:ln>
                      <a:noFill/>
                    </a:ln>
                    <a:extLst>
                      <a:ext uri="{53640926-AAD7-44D8-BBD7-CCE9431645EC}">
                        <a14:shadowObscured xmlns:a14="http://schemas.microsoft.com/office/drawing/2010/main"/>
                      </a:ext>
                    </a:extLst>
                  </pic:spPr>
                </pic:pic>
              </a:graphicData>
            </a:graphic>
          </wp:inline>
        </w:drawing>
      </w:r>
      <w:r w:rsidRPr="00F1727B">
        <w:rPr>
          <w:rFonts w:ascii="Palatino Linotype" w:eastAsia="Palatino Linotype" w:hAnsi="Palatino Linotype" w:cs="Palatino Linotype"/>
          <w:noProof/>
          <w:sz w:val="22"/>
          <w:szCs w:val="22"/>
        </w:rPr>
        <w:drawing>
          <wp:inline distT="0" distB="0" distL="0" distR="0" wp14:anchorId="154F4D7D" wp14:editId="1E5C7B4B">
            <wp:extent cx="4860000" cy="322240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60000" cy="3222403"/>
                    </a:xfrm>
                    <a:prstGeom prst="rect">
                      <a:avLst/>
                    </a:prstGeom>
                  </pic:spPr>
                </pic:pic>
              </a:graphicData>
            </a:graphic>
          </wp:inline>
        </w:drawing>
      </w:r>
    </w:p>
    <w:p w14:paraId="0DA53993" w14:textId="77777777" w:rsidR="00EC15BD" w:rsidRPr="00F1727B" w:rsidRDefault="00EC15BD" w:rsidP="00EC15BD">
      <w:pPr>
        <w:spacing w:before="240" w:after="240" w:line="360" w:lineRule="auto"/>
        <w:ind w:right="-232"/>
        <w:jc w:val="center"/>
        <w:rPr>
          <w:rFonts w:ascii="Palatino Linotype" w:eastAsia="Palatino Linotype" w:hAnsi="Palatino Linotype" w:cs="Palatino Linotype"/>
          <w:sz w:val="22"/>
          <w:szCs w:val="22"/>
        </w:rPr>
      </w:pPr>
      <w:r w:rsidRPr="00F1727B">
        <w:rPr>
          <w:rFonts w:ascii="Palatino Linotype" w:eastAsia="Palatino Linotype" w:hAnsi="Palatino Linotype" w:cs="Palatino Linotype"/>
          <w:noProof/>
          <w:sz w:val="22"/>
          <w:szCs w:val="22"/>
        </w:rPr>
        <w:drawing>
          <wp:inline distT="0" distB="0" distL="0" distR="0" wp14:anchorId="5CF2BFA4" wp14:editId="67AED6C9">
            <wp:extent cx="4860000" cy="2021753"/>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62720"/>
                    <a:stretch/>
                  </pic:blipFill>
                  <pic:spPr bwMode="auto">
                    <a:xfrm>
                      <a:off x="0" y="0"/>
                      <a:ext cx="4860000" cy="2021753"/>
                    </a:xfrm>
                    <a:prstGeom prst="rect">
                      <a:avLst/>
                    </a:prstGeom>
                    <a:ln>
                      <a:noFill/>
                    </a:ln>
                    <a:extLst>
                      <a:ext uri="{53640926-AAD7-44D8-BBD7-CCE9431645EC}">
                        <a14:shadowObscured xmlns:a14="http://schemas.microsoft.com/office/drawing/2010/main"/>
                      </a:ext>
                    </a:extLst>
                  </pic:spPr>
                </pic:pic>
              </a:graphicData>
            </a:graphic>
          </wp:inline>
        </w:drawing>
      </w:r>
    </w:p>
    <w:p w14:paraId="169E6803" w14:textId="77777777" w:rsidR="00EC15BD" w:rsidRPr="00F1727B" w:rsidRDefault="00EC15BD" w:rsidP="00EC15BD">
      <w:pPr>
        <w:spacing w:before="240" w:after="240" w:line="360" w:lineRule="auto"/>
        <w:ind w:right="-232"/>
        <w:jc w:val="center"/>
        <w:rPr>
          <w:rFonts w:ascii="Palatino Linotype" w:eastAsia="Palatino Linotype" w:hAnsi="Palatino Linotype" w:cs="Palatino Linotype"/>
          <w:sz w:val="22"/>
          <w:szCs w:val="22"/>
        </w:rPr>
      </w:pPr>
      <w:r w:rsidRPr="00F1727B">
        <w:rPr>
          <w:rFonts w:ascii="Palatino Linotype" w:eastAsia="Palatino Linotype" w:hAnsi="Palatino Linotype" w:cs="Palatino Linotype"/>
          <w:noProof/>
          <w:sz w:val="22"/>
          <w:szCs w:val="22"/>
        </w:rPr>
        <w:drawing>
          <wp:inline distT="0" distB="0" distL="0" distR="0" wp14:anchorId="3972BF8D" wp14:editId="022B5899">
            <wp:extent cx="4860000" cy="3350799"/>
            <wp:effectExtent l="0" t="0" r="0"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38212"/>
                    <a:stretch/>
                  </pic:blipFill>
                  <pic:spPr bwMode="auto">
                    <a:xfrm>
                      <a:off x="0" y="0"/>
                      <a:ext cx="4860000" cy="3350799"/>
                    </a:xfrm>
                    <a:prstGeom prst="rect">
                      <a:avLst/>
                    </a:prstGeom>
                    <a:ln>
                      <a:noFill/>
                    </a:ln>
                    <a:extLst>
                      <a:ext uri="{53640926-AAD7-44D8-BBD7-CCE9431645EC}">
                        <a14:shadowObscured xmlns:a14="http://schemas.microsoft.com/office/drawing/2010/main"/>
                      </a:ext>
                    </a:extLst>
                  </pic:spPr>
                </pic:pic>
              </a:graphicData>
            </a:graphic>
          </wp:inline>
        </w:drawing>
      </w:r>
    </w:p>
    <w:p w14:paraId="560909FD" w14:textId="77777777" w:rsidR="00EC15BD" w:rsidRPr="00F1727B" w:rsidRDefault="00EC15BD" w:rsidP="00EC15BD">
      <w:pPr>
        <w:spacing w:before="240" w:after="240" w:line="360" w:lineRule="auto"/>
        <w:ind w:right="-232"/>
        <w:jc w:val="center"/>
        <w:rPr>
          <w:rFonts w:ascii="Palatino Linotype" w:eastAsia="Palatino Linotype" w:hAnsi="Palatino Linotype" w:cs="Palatino Linotype"/>
          <w:sz w:val="22"/>
          <w:szCs w:val="22"/>
        </w:rPr>
      </w:pPr>
      <w:r w:rsidRPr="00F1727B">
        <w:rPr>
          <w:rFonts w:ascii="Palatino Linotype" w:eastAsia="Palatino Linotype" w:hAnsi="Palatino Linotype" w:cs="Palatino Linotype"/>
          <w:noProof/>
          <w:sz w:val="22"/>
          <w:szCs w:val="22"/>
        </w:rPr>
        <w:drawing>
          <wp:inline distT="0" distB="0" distL="0" distR="0" wp14:anchorId="53F286ED" wp14:editId="1A2F056C">
            <wp:extent cx="4860000" cy="2426496"/>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23921"/>
                    <a:stretch/>
                  </pic:blipFill>
                  <pic:spPr bwMode="auto">
                    <a:xfrm>
                      <a:off x="0" y="0"/>
                      <a:ext cx="4860000" cy="2426496"/>
                    </a:xfrm>
                    <a:prstGeom prst="rect">
                      <a:avLst/>
                    </a:prstGeom>
                    <a:ln>
                      <a:noFill/>
                    </a:ln>
                    <a:extLst>
                      <a:ext uri="{53640926-AAD7-44D8-BBD7-CCE9431645EC}">
                        <a14:shadowObscured xmlns:a14="http://schemas.microsoft.com/office/drawing/2010/main"/>
                      </a:ext>
                    </a:extLst>
                  </pic:spPr>
                </pic:pic>
              </a:graphicData>
            </a:graphic>
          </wp:inline>
        </w:drawing>
      </w:r>
      <w:r w:rsidRPr="00F1727B">
        <w:rPr>
          <w:rFonts w:ascii="Palatino Linotype" w:eastAsia="Palatino Linotype" w:hAnsi="Palatino Linotype" w:cs="Palatino Linotype"/>
          <w:noProof/>
          <w:sz w:val="22"/>
          <w:szCs w:val="22"/>
        </w:rPr>
        <w:drawing>
          <wp:inline distT="0" distB="0" distL="0" distR="0" wp14:anchorId="18EFCA1E" wp14:editId="4229981F">
            <wp:extent cx="4860000" cy="771730"/>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75803"/>
                    <a:stretch/>
                  </pic:blipFill>
                  <pic:spPr bwMode="auto">
                    <a:xfrm>
                      <a:off x="0" y="0"/>
                      <a:ext cx="4860000" cy="771730"/>
                    </a:xfrm>
                    <a:prstGeom prst="rect">
                      <a:avLst/>
                    </a:prstGeom>
                    <a:ln>
                      <a:noFill/>
                    </a:ln>
                    <a:extLst>
                      <a:ext uri="{53640926-AAD7-44D8-BBD7-CCE9431645EC}">
                        <a14:shadowObscured xmlns:a14="http://schemas.microsoft.com/office/drawing/2010/main"/>
                      </a:ext>
                    </a:extLst>
                  </pic:spPr>
                </pic:pic>
              </a:graphicData>
            </a:graphic>
          </wp:inline>
        </w:drawing>
      </w:r>
    </w:p>
    <w:p w14:paraId="16D81150" w14:textId="223763A8" w:rsidR="00C909FC" w:rsidRPr="00F1727B" w:rsidRDefault="00EC15BD" w:rsidP="002D01B9">
      <w:pPr>
        <w:spacing w:before="240" w:after="240" w:line="360" w:lineRule="auto"/>
        <w:ind w:right="51"/>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Bajo esta óptica, dado </w:t>
      </w:r>
      <w:r w:rsidRPr="00F1727B">
        <w:rPr>
          <w:rFonts w:ascii="Palatino Linotype" w:eastAsia="Palatino Linotype" w:hAnsi="Palatino Linotype" w:cs="Palatino Linotype"/>
          <w:b/>
          <w:bCs/>
          <w:sz w:val="22"/>
          <w:szCs w:val="22"/>
        </w:rPr>
        <w:t xml:space="preserve">que la persona solicitante </w:t>
      </w:r>
      <w:r w:rsidRPr="00F1727B">
        <w:rPr>
          <w:rFonts w:ascii="Palatino Linotype" w:eastAsia="Palatino Linotype" w:hAnsi="Palatino Linotype" w:cs="Palatino Linotype"/>
          <w:b/>
          <w:bCs/>
          <w:sz w:val="22"/>
          <w:szCs w:val="22"/>
          <w:u w:val="single"/>
        </w:rPr>
        <w:t>no pretende acceder a la totalidad</w:t>
      </w:r>
      <w:r w:rsidRPr="00F1727B">
        <w:rPr>
          <w:rFonts w:ascii="Palatino Linotype" w:eastAsia="Palatino Linotype" w:hAnsi="Palatino Linotype" w:cs="Palatino Linotype"/>
          <w:b/>
          <w:bCs/>
          <w:sz w:val="22"/>
          <w:szCs w:val="22"/>
        </w:rPr>
        <w:t xml:space="preserve"> de los expedientes de los procedimientos de adjudicación celebrados por el Sujeto Obligado, sino</w:t>
      </w:r>
      <w:r w:rsidRPr="00F1727B">
        <w:rPr>
          <w:rFonts w:ascii="Palatino Linotype" w:eastAsia="Palatino Linotype" w:hAnsi="Palatino Linotype" w:cs="Palatino Linotype"/>
          <w:sz w:val="22"/>
          <w:szCs w:val="22"/>
        </w:rPr>
        <w:t xml:space="preserve"> únicamente a los </w:t>
      </w:r>
      <w:r w:rsidRPr="00F1727B">
        <w:rPr>
          <w:rFonts w:ascii="Palatino Linotype" w:eastAsia="Palatino Linotype" w:hAnsi="Palatino Linotype" w:cs="Palatino Linotype"/>
          <w:b/>
          <w:bCs/>
          <w:sz w:val="22"/>
          <w:szCs w:val="22"/>
          <w:u w:val="single"/>
        </w:rPr>
        <w:t>contratos de compras mínimas o cualquier compra de papelería, productos de limpieza, medicamentos y agua,</w:t>
      </w:r>
      <w:r w:rsidRPr="00F1727B">
        <w:rPr>
          <w:rFonts w:ascii="Palatino Linotype" w:eastAsia="Palatino Linotype" w:hAnsi="Palatino Linotype" w:cs="Palatino Linotype"/>
          <w:sz w:val="22"/>
          <w:szCs w:val="22"/>
        </w:rPr>
        <w:t xml:space="preserve"> así como las facturas pagadas del periodo comprendido del uno de marzo al quince de octubre de dos mil veinticinco, se estima que es viable la entrega de la información a través del sistema SAIMEX, debiendo observar o previsto en el considerando siguiente.</w:t>
      </w:r>
    </w:p>
    <w:bookmarkEnd w:id="10"/>
    <w:p w14:paraId="77A28E1A" w14:textId="364061B1" w:rsidR="002D01B9" w:rsidRPr="00F1727B" w:rsidRDefault="002D01B9" w:rsidP="00EC15BD">
      <w:pPr>
        <w:spacing w:before="240" w:after="240" w:line="360" w:lineRule="auto"/>
        <w:ind w:right="51"/>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De lo hasta aquí expuesto, se concluye que los motivos de inconformidad de la parte </w:t>
      </w:r>
      <w:r w:rsidRPr="00F1727B">
        <w:rPr>
          <w:rFonts w:ascii="Palatino Linotype" w:eastAsia="Palatino Linotype" w:hAnsi="Palatino Linotype" w:cs="Palatino Linotype"/>
          <w:b/>
          <w:sz w:val="22"/>
          <w:szCs w:val="22"/>
        </w:rPr>
        <w:t xml:space="preserve">Recurrente </w:t>
      </w:r>
      <w:r w:rsidRPr="00F1727B">
        <w:rPr>
          <w:rFonts w:ascii="Palatino Linotype" w:eastAsia="Palatino Linotype" w:hAnsi="Palatino Linotype" w:cs="Palatino Linotype"/>
          <w:sz w:val="22"/>
          <w:szCs w:val="22"/>
        </w:rPr>
        <w:t xml:space="preserve">devienen fundados, siendo procedente </w:t>
      </w:r>
      <w:r w:rsidRPr="00F1727B">
        <w:rPr>
          <w:rFonts w:ascii="Palatino Linotype" w:eastAsia="Palatino Linotype" w:hAnsi="Palatino Linotype" w:cs="Palatino Linotype"/>
          <w:i/>
          <w:sz w:val="22"/>
          <w:szCs w:val="22"/>
        </w:rPr>
        <w:t xml:space="preserve">Revocar </w:t>
      </w:r>
      <w:r w:rsidRPr="00F1727B">
        <w:rPr>
          <w:rFonts w:ascii="Palatino Linotype" w:eastAsia="Palatino Linotype" w:hAnsi="Palatino Linotype" w:cs="Palatino Linotype"/>
          <w:sz w:val="22"/>
          <w:szCs w:val="22"/>
        </w:rPr>
        <w:t xml:space="preserve">la respuesta proporcionada por el </w:t>
      </w:r>
      <w:r w:rsidRPr="00F1727B">
        <w:rPr>
          <w:rFonts w:ascii="Palatino Linotype" w:eastAsia="Palatino Linotype" w:hAnsi="Palatino Linotype" w:cs="Palatino Linotype"/>
          <w:b/>
          <w:sz w:val="22"/>
          <w:szCs w:val="22"/>
        </w:rPr>
        <w:t xml:space="preserve">Sujeto Obligado </w:t>
      </w:r>
      <w:r w:rsidRPr="00F1727B">
        <w:rPr>
          <w:rFonts w:ascii="Palatino Linotype" w:eastAsia="Palatino Linotype" w:hAnsi="Palatino Linotype" w:cs="Palatino Linotype"/>
          <w:sz w:val="22"/>
          <w:szCs w:val="22"/>
        </w:rPr>
        <w:t>en términos del artículo 186 fracción III de la Ley de Transparencia y Acceso a la Información Pública del Estado de México y Municipios.</w:t>
      </w:r>
    </w:p>
    <w:p w14:paraId="3741C661" w14:textId="77777777" w:rsidR="00EC15BD" w:rsidRPr="00F1727B" w:rsidRDefault="00EC15BD" w:rsidP="00EC15BD">
      <w:pPr>
        <w:spacing w:before="240" w:after="240" w:line="360" w:lineRule="auto"/>
        <w:ind w:right="51"/>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b/>
          <w:sz w:val="22"/>
          <w:szCs w:val="22"/>
        </w:rPr>
        <w:t xml:space="preserve">Quinto. Versión Pública. </w:t>
      </w:r>
      <w:r w:rsidRPr="00F1727B">
        <w:rPr>
          <w:rFonts w:ascii="Palatino Linotype" w:eastAsia="Palatino Linotype" w:hAnsi="Palatino Linotype" w:cs="Palatino Linotype"/>
          <w:sz w:val="22"/>
          <w:szCs w:val="22"/>
        </w:rPr>
        <w:t>Como fue debidamente apuntado, el </w:t>
      </w:r>
      <w:r w:rsidRPr="00F1727B">
        <w:rPr>
          <w:rFonts w:ascii="Palatino Linotype" w:eastAsia="Palatino Linotype" w:hAnsi="Palatino Linotype" w:cs="Palatino Linotype"/>
          <w:b/>
          <w:sz w:val="22"/>
          <w:szCs w:val="22"/>
        </w:rPr>
        <w:t>Sujeto Obligado</w:t>
      </w:r>
      <w:r w:rsidRPr="00F1727B">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716436ED" w14:textId="77777777" w:rsidR="00EC15BD" w:rsidRPr="00F1727B" w:rsidRDefault="00EC15BD" w:rsidP="00EC15BD">
      <w:pPr>
        <w:spacing w:before="240" w:after="240" w:line="360" w:lineRule="auto"/>
        <w:ind w:right="49"/>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2C9C0B13" w14:textId="77777777" w:rsidR="00EC15BD" w:rsidRPr="00F1727B" w:rsidRDefault="00EC15BD" w:rsidP="00EC15BD">
      <w:pPr>
        <w:spacing w:before="240" w:after="240" w:line="360" w:lineRule="auto"/>
        <w:ind w:right="49"/>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79619DCF" w14:textId="77777777" w:rsidR="00EC15BD" w:rsidRPr="00F1727B" w:rsidRDefault="00EC15BD" w:rsidP="00EC15BD">
      <w:pPr>
        <w:spacing w:before="240" w:after="240" w:line="360" w:lineRule="auto"/>
        <w:ind w:right="49"/>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establecen:</w:t>
      </w:r>
    </w:p>
    <w:p w14:paraId="30EFFA19"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sz w:val="22"/>
          <w:szCs w:val="22"/>
        </w:rPr>
        <w:t> </w:t>
      </w:r>
      <w:r w:rsidRPr="00F1727B">
        <w:rPr>
          <w:rFonts w:ascii="Palatino Linotype" w:eastAsia="Palatino Linotype" w:hAnsi="Palatino Linotype" w:cs="Palatino Linotype"/>
          <w:i/>
          <w:sz w:val="22"/>
          <w:szCs w:val="22"/>
        </w:rPr>
        <w:t>“</w:t>
      </w:r>
      <w:r w:rsidRPr="00F1727B">
        <w:rPr>
          <w:rFonts w:ascii="Palatino Linotype" w:eastAsia="Palatino Linotype" w:hAnsi="Palatino Linotype" w:cs="Palatino Linotype"/>
          <w:b/>
          <w:i/>
          <w:sz w:val="22"/>
          <w:szCs w:val="22"/>
        </w:rPr>
        <w:t>Artículo 3.</w:t>
      </w:r>
      <w:r w:rsidRPr="00F1727B">
        <w:rPr>
          <w:rFonts w:ascii="Palatino Linotype" w:eastAsia="Palatino Linotype" w:hAnsi="Palatino Linotype" w:cs="Palatino Linotype"/>
          <w:i/>
          <w:sz w:val="22"/>
          <w:szCs w:val="22"/>
        </w:rPr>
        <w:t xml:space="preserve"> Para los efectos de la presente Ley se entenderá por:</w:t>
      </w:r>
    </w:p>
    <w:p w14:paraId="015A5A24" w14:textId="77777777" w:rsidR="00EC15BD" w:rsidRPr="00F1727B" w:rsidRDefault="00EC15BD" w:rsidP="00EC15BD">
      <w:pPr>
        <w:tabs>
          <w:tab w:val="left" w:pos="1276"/>
        </w:tabs>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w:t>
      </w:r>
    </w:p>
    <w:p w14:paraId="0240CE61" w14:textId="77777777" w:rsidR="00EC15BD" w:rsidRPr="00F1727B" w:rsidRDefault="00EC15BD" w:rsidP="00EC15BD">
      <w:pPr>
        <w:tabs>
          <w:tab w:val="left" w:pos="1276"/>
        </w:tabs>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IX. Datos personales</w:t>
      </w:r>
      <w:r w:rsidRPr="00F1727B">
        <w:rPr>
          <w:rFonts w:ascii="Palatino Linotype" w:eastAsia="Palatino Linotype" w:hAnsi="Palatino Linotype" w:cs="Palatino Linotype"/>
          <w:i/>
          <w:sz w:val="22"/>
          <w:szCs w:val="22"/>
        </w:rPr>
        <w:t>: La información concerniente a una persona, identificada o identificable según lo dispuesto por la Ley de Protección de Datos Personales del Estado de México;</w:t>
      </w:r>
    </w:p>
    <w:p w14:paraId="0B3A14AB" w14:textId="77777777" w:rsidR="00EC15BD" w:rsidRPr="00F1727B" w:rsidRDefault="00EC15BD" w:rsidP="00EC15BD">
      <w:pPr>
        <w:tabs>
          <w:tab w:val="left" w:pos="1276"/>
        </w:tabs>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w:t>
      </w:r>
    </w:p>
    <w:p w14:paraId="4E37904A" w14:textId="77777777" w:rsidR="00EC15BD" w:rsidRPr="00F1727B" w:rsidRDefault="00EC15BD" w:rsidP="00EC15BD">
      <w:pPr>
        <w:tabs>
          <w:tab w:val="left" w:pos="1276"/>
        </w:tabs>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XX. Información clasificada</w:t>
      </w:r>
      <w:r w:rsidRPr="00F1727B">
        <w:rPr>
          <w:rFonts w:ascii="Palatino Linotype" w:eastAsia="Palatino Linotype" w:hAnsi="Palatino Linotype" w:cs="Palatino Linotype"/>
          <w:i/>
          <w:sz w:val="22"/>
          <w:szCs w:val="22"/>
        </w:rPr>
        <w:t>: Aquella considerada por la presente Ley como reservada o confidencial;</w:t>
      </w:r>
    </w:p>
    <w:p w14:paraId="44A73FDF" w14:textId="77777777" w:rsidR="00EC15BD" w:rsidRPr="00F1727B" w:rsidRDefault="00EC15BD" w:rsidP="00EC15BD">
      <w:pPr>
        <w:tabs>
          <w:tab w:val="left" w:pos="1276"/>
        </w:tabs>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XXI. Información confidencial</w:t>
      </w:r>
      <w:r w:rsidRPr="00F1727B">
        <w:rPr>
          <w:rFonts w:ascii="Palatino Linotype" w:eastAsia="Palatino Linotype" w:hAnsi="Palatino Linotype" w:cs="Palatino Linotype"/>
          <w:i/>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5F4A1857" w14:textId="77777777" w:rsidR="00EC15BD" w:rsidRPr="00F1727B" w:rsidRDefault="00EC15BD" w:rsidP="00EC15BD">
      <w:pPr>
        <w:tabs>
          <w:tab w:val="left" w:pos="1276"/>
        </w:tabs>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w:t>
      </w:r>
    </w:p>
    <w:p w14:paraId="3894A2A3" w14:textId="77777777" w:rsidR="00EC15BD" w:rsidRPr="00F1727B" w:rsidRDefault="00EC15BD" w:rsidP="00EC15BD">
      <w:pPr>
        <w:tabs>
          <w:tab w:val="left" w:pos="1276"/>
        </w:tabs>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XXXII. Protección de Datos Personales</w:t>
      </w:r>
      <w:r w:rsidRPr="00F1727B">
        <w:rPr>
          <w:rFonts w:ascii="Palatino Linotype" w:eastAsia="Palatino Linotype" w:hAnsi="Palatino Linotype" w:cs="Palatino Linotype"/>
          <w:i/>
          <w:sz w:val="22"/>
          <w:szCs w:val="22"/>
        </w:rPr>
        <w:t>: Derecho humano que tutela la privacidad de datos personales en poder de los sujetos obligados y sujetos particulares;</w:t>
      </w:r>
    </w:p>
    <w:p w14:paraId="393029AC" w14:textId="77777777" w:rsidR="00EC15BD" w:rsidRPr="00F1727B" w:rsidRDefault="00EC15BD" w:rsidP="00EC15BD">
      <w:pPr>
        <w:tabs>
          <w:tab w:val="left" w:pos="1276"/>
        </w:tabs>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w:t>
      </w:r>
    </w:p>
    <w:p w14:paraId="07BB78E4" w14:textId="77777777" w:rsidR="00EC15BD" w:rsidRPr="00F1727B" w:rsidRDefault="00EC15BD" w:rsidP="00EC15BD">
      <w:pPr>
        <w:tabs>
          <w:tab w:val="left" w:pos="1276"/>
        </w:tabs>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XLV. Versión pública</w:t>
      </w:r>
      <w:r w:rsidRPr="00F1727B">
        <w:rPr>
          <w:rFonts w:ascii="Palatino Linotype" w:eastAsia="Palatino Linotype" w:hAnsi="Palatino Linotype" w:cs="Palatino Linotype"/>
          <w:i/>
          <w:sz w:val="22"/>
          <w:szCs w:val="22"/>
        </w:rPr>
        <w:t>: Documento en el que se elimine, suprime o borra la información clasificada como reservada o confidencial para permitir su acceso.</w:t>
      </w:r>
    </w:p>
    <w:p w14:paraId="3E19684B"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 Artículo 6</w:t>
      </w:r>
      <w:r w:rsidRPr="00F1727B">
        <w:rPr>
          <w:rFonts w:ascii="Palatino Linotype" w:eastAsia="Palatino Linotype" w:hAnsi="Palatino Linotype" w:cs="Palatino Linotype"/>
          <w:i/>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6FC2D830"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w:t>
      </w:r>
    </w:p>
    <w:p w14:paraId="20ECAC90"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Artículo 91.</w:t>
      </w:r>
      <w:r w:rsidRPr="00F1727B">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r w:rsidRPr="00F1727B">
        <w:rPr>
          <w:rFonts w:ascii="Palatino Linotype" w:eastAsia="Palatino Linotype" w:hAnsi="Palatino Linotype" w:cs="Palatino Linotype"/>
          <w:i/>
          <w:sz w:val="22"/>
          <w:szCs w:val="22"/>
        </w:rPr>
        <w:br/>
        <w:t>…</w:t>
      </w:r>
    </w:p>
    <w:p w14:paraId="32A4E55B"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Artículo 132.</w:t>
      </w:r>
      <w:r w:rsidRPr="00F1727B">
        <w:rPr>
          <w:rFonts w:ascii="Palatino Linotype" w:eastAsia="Palatino Linotype" w:hAnsi="Palatino Linotype" w:cs="Palatino Linotype"/>
          <w:i/>
          <w:sz w:val="22"/>
          <w:szCs w:val="22"/>
        </w:rPr>
        <w:t xml:space="preserve"> La clasificación de la información se llevará a cabo en el momento en que:</w:t>
      </w:r>
    </w:p>
    <w:p w14:paraId="7AFFB41D"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I</w:t>
      </w:r>
      <w:r w:rsidRPr="00F1727B">
        <w:rPr>
          <w:rFonts w:ascii="Palatino Linotype" w:eastAsia="Palatino Linotype" w:hAnsi="Palatino Linotype" w:cs="Palatino Linotype"/>
          <w:i/>
          <w:sz w:val="22"/>
          <w:szCs w:val="22"/>
        </w:rPr>
        <w:t>. Se reciba una solicitud de acceso a la información;</w:t>
      </w:r>
    </w:p>
    <w:p w14:paraId="3EADB77E"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II.</w:t>
      </w:r>
      <w:r w:rsidRPr="00F1727B">
        <w:rPr>
          <w:rFonts w:ascii="Palatino Linotype" w:eastAsia="Palatino Linotype" w:hAnsi="Palatino Linotype" w:cs="Palatino Linotype"/>
          <w:i/>
          <w:sz w:val="22"/>
          <w:szCs w:val="22"/>
        </w:rPr>
        <w:t xml:space="preserve"> Se determine mediante resolución de autoridad competente; o</w:t>
      </w:r>
    </w:p>
    <w:p w14:paraId="29653976"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III.</w:t>
      </w:r>
      <w:r w:rsidRPr="00F1727B">
        <w:rPr>
          <w:rFonts w:ascii="Palatino Linotype" w:eastAsia="Palatino Linotype" w:hAnsi="Palatino Linotype" w:cs="Palatino Linotype"/>
          <w:i/>
          <w:sz w:val="22"/>
          <w:szCs w:val="22"/>
        </w:rPr>
        <w:t xml:space="preserve"> Se generen versiones públicas para dar cumplimiento a las obligaciones de transparencia previstas en esta Ley.</w:t>
      </w:r>
    </w:p>
    <w:p w14:paraId="2B5A31CB"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w:t>
      </w:r>
    </w:p>
    <w:p w14:paraId="3E350EFD"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Artículo 137.</w:t>
      </w:r>
      <w:r w:rsidRPr="00F1727B">
        <w:rPr>
          <w:rFonts w:ascii="Palatino Linotype" w:eastAsia="Palatino Linotype" w:hAnsi="Palatino Linotype" w:cs="Palatino Linotype"/>
          <w:i/>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148CDC60"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 Artículo 143.</w:t>
      </w:r>
      <w:r w:rsidRPr="00F1727B">
        <w:rPr>
          <w:rFonts w:ascii="Palatino Linotype" w:eastAsia="Palatino Linotype" w:hAnsi="Palatino Linotype" w:cs="Palatino Linotype"/>
          <w:i/>
          <w:sz w:val="22"/>
          <w:szCs w:val="22"/>
        </w:rPr>
        <w:t xml:space="preserve"> Para los efectos de esta Ley se considera información confidencial, la clasificada como tal, de manera permanente, por su naturaleza, cuando:</w:t>
      </w:r>
    </w:p>
    <w:p w14:paraId="7AEF07E4"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I.</w:t>
      </w:r>
      <w:r w:rsidRPr="00F1727B">
        <w:rPr>
          <w:rFonts w:ascii="Palatino Linotype" w:eastAsia="Palatino Linotype" w:hAnsi="Palatino Linotype" w:cs="Palatino Linotype"/>
          <w:i/>
          <w:sz w:val="22"/>
          <w:szCs w:val="22"/>
        </w:rPr>
        <w:t xml:space="preserve"> Se refiera a la información privada y los datos personales concernientes a una persona física o jurídico colectiva identificada o identificable...”</w:t>
      </w:r>
    </w:p>
    <w:p w14:paraId="3F0EBECC" w14:textId="77777777" w:rsidR="00EC15BD" w:rsidRPr="00F1727B" w:rsidRDefault="00EC15BD" w:rsidP="00EC15BD">
      <w:pPr>
        <w:spacing w:before="240" w:after="240" w:line="360" w:lineRule="auto"/>
        <w:ind w:right="50"/>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F1727B">
        <w:rPr>
          <w:rFonts w:ascii="Palatino Linotype" w:eastAsia="Palatino Linotype" w:hAnsi="Palatino Linotype" w:cs="Palatino Linotype"/>
          <w:b/>
          <w:sz w:val="22"/>
          <w:szCs w:val="22"/>
        </w:rPr>
        <w:t>Sujeto Obligado</w:t>
      </w:r>
      <w:r w:rsidRPr="00F1727B">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33BA7373" w14:textId="77777777" w:rsidR="00EC15BD" w:rsidRPr="00F1727B" w:rsidRDefault="00EC15BD" w:rsidP="00EC15BD">
      <w:pPr>
        <w:spacing w:before="240" w:after="240" w:line="360" w:lineRule="auto"/>
        <w:ind w:right="50"/>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12EBC65E" w14:textId="77777777" w:rsidR="00EC15BD" w:rsidRPr="00F1727B" w:rsidRDefault="00EC15BD" w:rsidP="00EC15BD">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enunciativa más no limitativa, clave de elector, numero de OCR, CURP, domicilio particular, el número de cuenta bancaria exclusivamente de particulares, entre otros.</w:t>
      </w:r>
    </w:p>
    <w:p w14:paraId="7A25B17A" w14:textId="77777777" w:rsidR="00EC15BD" w:rsidRPr="00F1727B" w:rsidRDefault="00EC15BD" w:rsidP="00EC15BD">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La </w:t>
      </w:r>
      <w:r w:rsidRPr="00F1727B">
        <w:rPr>
          <w:rFonts w:ascii="Palatino Linotype" w:eastAsia="Palatino Linotype" w:hAnsi="Palatino Linotype" w:cs="Palatino Linotype"/>
          <w:b/>
          <w:sz w:val="22"/>
          <w:szCs w:val="22"/>
        </w:rPr>
        <w:t>clave de elector</w:t>
      </w:r>
      <w:r w:rsidRPr="00F1727B">
        <w:rPr>
          <w:rFonts w:ascii="Palatino Linotype" w:eastAsia="Palatino Linotype" w:hAnsi="Palatino Linotype" w:cs="Palatino Linotype"/>
          <w:sz w:val="22"/>
          <w:szCs w:val="22"/>
        </w:rPr>
        <w:t>, es la composición alfanumérica compuesta de 18 caracteres, mismos que hacen identificable a una persona física, que se conforma por las primeras letras de los apellidos, año, mes, día, sexo, clave del estado en donde nació su titular, así como una homoclave que distingue a su titular de cualquier otro homónimo, por lo tanto, se trata de un dato personal que debe ser protegido.</w:t>
      </w:r>
    </w:p>
    <w:p w14:paraId="13169168" w14:textId="77777777" w:rsidR="00EC15BD" w:rsidRPr="00F1727B" w:rsidRDefault="00EC15BD" w:rsidP="00EC15BD">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El </w:t>
      </w:r>
      <w:r w:rsidRPr="00F1727B">
        <w:rPr>
          <w:rFonts w:ascii="Palatino Linotype" w:eastAsia="Palatino Linotype" w:hAnsi="Palatino Linotype" w:cs="Palatino Linotype"/>
          <w:b/>
          <w:sz w:val="22"/>
          <w:szCs w:val="22"/>
        </w:rPr>
        <w:t>número de OCR,</w:t>
      </w:r>
      <w:r w:rsidRPr="00F1727B">
        <w:rPr>
          <w:rFonts w:ascii="Palatino Linotype" w:eastAsia="Palatino Linotype" w:hAnsi="Palatino Linotype" w:cs="Palatino Linotype"/>
          <w:sz w:val="22"/>
          <w:szCs w:val="22"/>
        </w:rPr>
        <w:t xml:space="preserve"> denominado Reconocimiento Óptico de Caracteres (OCR), contiene el número de la sección electoral en donde vota el ciudadano titular de dicho documento, por lo que constituye un dato personal en razón de que revela información concerniente a una persona física identificada o identificable en función de la información geoelectoral ahí contenida, por lo que es susceptible de resguardarse.</w:t>
      </w:r>
    </w:p>
    <w:p w14:paraId="63D4EE76" w14:textId="77777777" w:rsidR="00EC15BD" w:rsidRPr="00F1727B" w:rsidRDefault="00EC15BD" w:rsidP="00EC15BD">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La </w:t>
      </w:r>
      <w:r w:rsidRPr="00F1727B">
        <w:rPr>
          <w:rFonts w:ascii="Palatino Linotype" w:eastAsia="Palatino Linotype" w:hAnsi="Palatino Linotype" w:cs="Palatino Linotype"/>
          <w:b/>
          <w:sz w:val="22"/>
          <w:szCs w:val="22"/>
        </w:rPr>
        <w:t>clave única del registro de población,</w:t>
      </w:r>
      <w:r w:rsidRPr="00F1727B">
        <w:rPr>
          <w:rFonts w:ascii="Palatino Linotype" w:eastAsia="Palatino Linotype" w:hAnsi="Palatino Linotype" w:cs="Palatino Linotype"/>
          <w:i/>
          <w:sz w:val="22"/>
          <w:szCs w:val="22"/>
        </w:rPr>
        <w:t xml:space="preserve"> </w:t>
      </w:r>
      <w:r w:rsidRPr="00F1727B">
        <w:rPr>
          <w:rFonts w:ascii="Palatino Linotype" w:eastAsia="Palatino Linotype" w:hAnsi="Palatino Linotype" w:cs="Palatino Linotype"/>
          <w:sz w:val="22"/>
          <w:szCs w:val="22"/>
        </w:rPr>
        <w:t>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está considerada como información confidencial.</w:t>
      </w:r>
    </w:p>
    <w:p w14:paraId="7ACD2118" w14:textId="77777777" w:rsidR="00EC15BD" w:rsidRPr="00F1727B" w:rsidRDefault="00EC15BD" w:rsidP="00EC15BD">
      <w:pPr>
        <w:spacing w:before="240" w:after="240" w:line="360" w:lineRule="auto"/>
        <w:ind w:right="50"/>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Por cuanto hace al </w:t>
      </w:r>
      <w:r w:rsidRPr="00F1727B">
        <w:rPr>
          <w:rFonts w:ascii="Palatino Linotype" w:eastAsia="Palatino Linotype" w:hAnsi="Palatino Linotype" w:cs="Palatino Linotype"/>
          <w:b/>
          <w:sz w:val="22"/>
          <w:szCs w:val="22"/>
        </w:rPr>
        <w:t xml:space="preserve">Registro Federal de Contribuyentes (RFC) </w:t>
      </w:r>
      <w:r w:rsidRPr="00F1727B">
        <w:rPr>
          <w:rFonts w:ascii="Palatino Linotype" w:eastAsia="Palatino Linotype" w:hAnsi="Palatino Linotype" w:cs="Palatino Linotype"/>
          <w:sz w:val="22"/>
          <w:szCs w:val="22"/>
        </w:rPr>
        <w:t>y</w:t>
      </w:r>
      <w:r w:rsidRPr="00F1727B">
        <w:rPr>
          <w:rFonts w:ascii="Palatino Linotype" w:eastAsia="Palatino Linotype" w:hAnsi="Palatino Linotype" w:cs="Palatino Linotype"/>
          <w:b/>
          <w:sz w:val="22"/>
          <w:szCs w:val="22"/>
        </w:rPr>
        <w:t xml:space="preserve"> el domicilio fiscal </w:t>
      </w:r>
      <w:r w:rsidRPr="00F1727B">
        <w:rPr>
          <w:rFonts w:ascii="Palatino Linotype" w:eastAsia="Palatino Linotype" w:hAnsi="Palatino Linotype" w:cs="Palatino Linotype"/>
          <w:sz w:val="22"/>
          <w:szCs w:val="22"/>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14:paraId="2A7B9C11" w14:textId="77777777" w:rsidR="00EC15BD" w:rsidRPr="00F1727B" w:rsidRDefault="00EC15BD" w:rsidP="00EC15BD">
      <w:pPr>
        <w:spacing w:before="240" w:after="240" w:line="360" w:lineRule="auto"/>
        <w:ind w:right="50"/>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631F05E0" w14:textId="77777777" w:rsidR="00EC15BD" w:rsidRPr="00F1727B" w:rsidRDefault="00EC15BD" w:rsidP="00EC15BD">
      <w:pPr>
        <w:spacing w:before="240" w:after="240" w:line="360" w:lineRule="auto"/>
        <w:ind w:right="50"/>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Además, las personas físicas que realicen las actividades contratadas por las instituciones, renuncian implícitamente a una parte de su derecho a la intimidad al obtener beneficios y lucros de los recursos públicos por dicha contratación, por lo que </w:t>
      </w:r>
      <w:r w:rsidRPr="00F1727B">
        <w:rPr>
          <w:rFonts w:ascii="Palatino Linotype" w:eastAsia="Palatino Linotype" w:hAnsi="Palatino Linotype" w:cs="Palatino Linotype"/>
          <w:b/>
          <w:sz w:val="22"/>
          <w:szCs w:val="22"/>
        </w:rPr>
        <w:t>no puede considerarse como información clasificada lo relativo a su nombre, registro federal de contribuyentes y domicilio fiscal</w:t>
      </w:r>
      <w:r w:rsidRPr="00F1727B">
        <w:rPr>
          <w:rFonts w:ascii="Palatino Linotype" w:eastAsia="Palatino Linotype" w:hAnsi="Palatino Linotype" w:cs="Palatino Linotype"/>
          <w:sz w:val="22"/>
          <w:szCs w:val="22"/>
        </w:rPr>
        <w:t>, atento a que dicha información es la que puede generar certeza en los gobernados en que se está ejerciendo debidamente el presupuesto.</w:t>
      </w:r>
    </w:p>
    <w:p w14:paraId="38314A14" w14:textId="77777777" w:rsidR="00EC15BD" w:rsidRPr="00F1727B" w:rsidRDefault="00EC15BD" w:rsidP="00EC15BD">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Robustece lo anterior el criterio orientador 04/21 emitido por el Instituto Nacional de Transparencia, Acceso a la Información y Protección de Datos Personales, INAI, el cual refiere:</w:t>
      </w:r>
    </w:p>
    <w:p w14:paraId="55F3A3BA"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 xml:space="preserve">“Registro Federal de Contribuyentes (RFC) de personas físicas proveedoras o contratistas. </w:t>
      </w:r>
      <w:r w:rsidRPr="00F1727B">
        <w:rPr>
          <w:rFonts w:ascii="Palatino Linotype" w:eastAsia="Palatino Linotype" w:hAnsi="Palatino Linotype" w:cs="Palatino Linotype"/>
          <w:i/>
          <w:sz w:val="22"/>
          <w:szCs w:val="22"/>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14:paraId="7EDCF4D4" w14:textId="77777777" w:rsidR="00EC15BD" w:rsidRPr="00F1727B" w:rsidRDefault="00EC15BD" w:rsidP="00EC15BD">
      <w:pPr>
        <w:widowControl w:val="0"/>
        <w:pBdr>
          <w:top w:val="nil"/>
          <w:left w:val="nil"/>
          <w:bottom w:val="nil"/>
          <w:right w:val="nil"/>
          <w:between w:val="nil"/>
        </w:pBdr>
        <w:tabs>
          <w:tab w:val="left" w:pos="284"/>
        </w:tabs>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El </w:t>
      </w:r>
      <w:r w:rsidRPr="00F1727B">
        <w:rPr>
          <w:rFonts w:ascii="Palatino Linotype" w:eastAsia="Palatino Linotype" w:hAnsi="Palatino Linotype" w:cs="Palatino Linotype"/>
          <w:b/>
          <w:sz w:val="22"/>
          <w:szCs w:val="22"/>
        </w:rPr>
        <w:t>domicilio particular</w:t>
      </w:r>
      <w:r w:rsidRPr="00F1727B">
        <w:rPr>
          <w:rFonts w:ascii="Palatino Linotype" w:eastAsia="Palatino Linotype" w:hAnsi="Palatino Linotype" w:cs="Palatino Linotype"/>
          <w:sz w:val="22"/>
          <w:szCs w:val="22"/>
        </w:rPr>
        <w:t xml:space="preserve">, de acuerdo con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7DA9562F" w14:textId="77777777" w:rsidR="00EC15BD" w:rsidRPr="00F1727B" w:rsidRDefault="00EC15BD" w:rsidP="00EC15BD">
      <w:pPr>
        <w:widowControl w:val="0"/>
        <w:pBdr>
          <w:top w:val="nil"/>
          <w:left w:val="nil"/>
          <w:bottom w:val="nil"/>
          <w:right w:val="nil"/>
          <w:between w:val="nil"/>
        </w:pBdr>
        <w:tabs>
          <w:tab w:val="left" w:pos="284"/>
        </w:tabs>
        <w:spacing w:before="240" w:after="240" w:line="360" w:lineRule="auto"/>
        <w:jc w:val="both"/>
        <w:rPr>
          <w:rFonts w:ascii="Palatino Linotype" w:eastAsia="Palatino Linotype" w:hAnsi="Palatino Linotype" w:cs="Palatino Linotype"/>
          <w:b/>
          <w:sz w:val="22"/>
          <w:szCs w:val="22"/>
        </w:rPr>
      </w:pPr>
      <w:r w:rsidRPr="00F1727B">
        <w:rPr>
          <w:rFonts w:ascii="Palatino Linotype" w:eastAsia="Palatino Linotype" w:hAnsi="Palatino Linotype" w:cs="Palatino Linotype"/>
          <w:sz w:val="22"/>
          <w:szCs w:val="22"/>
        </w:rPr>
        <w:t>De la misma manera, lo establece el artículo 29 del Código Civil Federal, al precisar que el domicilio de personas físicas</w:t>
      </w:r>
      <w:r w:rsidRPr="00F1727B">
        <w:rPr>
          <w:rFonts w:ascii="Palatino Linotype" w:eastAsia="Palatino Linotype" w:hAnsi="Palatino Linotype" w:cs="Palatino Linotype"/>
          <w:b/>
          <w:sz w:val="22"/>
          <w:szCs w:val="22"/>
        </w:rPr>
        <w:t xml:space="preserve">, </w:t>
      </w:r>
      <w:r w:rsidRPr="00F1727B">
        <w:rPr>
          <w:rFonts w:ascii="Palatino Linotype" w:eastAsia="Palatino Linotype" w:hAnsi="Palatino Linotype" w:cs="Palatino Linotype"/>
          <w:sz w:val="22"/>
          <w:szCs w:val="22"/>
        </w:rPr>
        <w:t>es el lugar donde residen habitualmente, el lugar del centro principal de sus negocios, donde residan o el lugar donde se encuentren.</w:t>
      </w:r>
    </w:p>
    <w:p w14:paraId="645C3BF0" w14:textId="77777777" w:rsidR="00EC15BD" w:rsidRPr="00F1727B" w:rsidRDefault="00EC15BD" w:rsidP="00EC15BD">
      <w:pPr>
        <w:spacing w:before="240" w:after="240" w:line="360" w:lineRule="auto"/>
        <w:ind w:right="-93"/>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4174518F" w14:textId="77777777" w:rsidR="00EC15BD" w:rsidRPr="00F1727B" w:rsidRDefault="00EC15BD" w:rsidP="00EC15BD">
      <w:pPr>
        <w:spacing w:before="240" w:after="240" w:line="360" w:lineRule="auto"/>
        <w:ind w:right="-93"/>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Por lo tanto, se actualiza la clasificación del domicilio y su comprobante, de conformidad con la fracción I, del artículo 143 de la Ley de Transparencia y Acceso a la Información Pública del Estado de México y Municipios.</w:t>
      </w:r>
    </w:p>
    <w:p w14:paraId="2669BFF4" w14:textId="77777777" w:rsidR="00EC15BD" w:rsidRPr="00F1727B" w:rsidRDefault="00EC15BD" w:rsidP="00EC15BD">
      <w:pPr>
        <w:spacing w:before="240" w:after="240" w:line="360" w:lineRule="auto"/>
        <w:ind w:right="-93"/>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El </w:t>
      </w:r>
      <w:r w:rsidRPr="00F1727B">
        <w:rPr>
          <w:rFonts w:ascii="Palatino Linotype" w:eastAsia="Palatino Linotype" w:hAnsi="Palatino Linotype" w:cs="Palatino Linotype"/>
          <w:b/>
          <w:sz w:val="22"/>
          <w:szCs w:val="22"/>
        </w:rPr>
        <w:t>teléfono particular</w:t>
      </w:r>
      <w:r w:rsidRPr="00F1727B">
        <w:rPr>
          <w:rFonts w:ascii="Palatino Linotype" w:eastAsia="Palatino Linotype" w:hAnsi="Palatino Linotype" w:cs="Palatino Linotype"/>
          <w:sz w:val="22"/>
          <w:szCs w:val="22"/>
        </w:rPr>
        <w:t>, debido a que se trata de información que le compete únicamente al servidor público, pues es un medio mediante el cual puede ser ubicado, es susceptible de ser clasificado como confidencial de conformidad con la fracción I, del artículo 143 de la Ley de Transparencia y Acceso a la Información Pública del Estado de México y Municipios.</w:t>
      </w:r>
    </w:p>
    <w:p w14:paraId="41F5C7C9" w14:textId="77777777" w:rsidR="00EC15BD" w:rsidRPr="00F1727B" w:rsidRDefault="00EC15BD" w:rsidP="00EC15BD">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El </w:t>
      </w:r>
      <w:r w:rsidRPr="00F1727B">
        <w:rPr>
          <w:rFonts w:ascii="Palatino Linotype" w:eastAsia="Palatino Linotype" w:hAnsi="Palatino Linotype" w:cs="Palatino Linotype"/>
          <w:b/>
          <w:sz w:val="22"/>
          <w:szCs w:val="22"/>
        </w:rPr>
        <w:t xml:space="preserve">correo electrónico particular, </w:t>
      </w:r>
      <w:r w:rsidRPr="00F1727B">
        <w:rPr>
          <w:rFonts w:ascii="Palatino Linotype" w:eastAsia="Palatino Linotype" w:hAnsi="Palatino Linotype" w:cs="Palatino Linotype"/>
          <w:sz w:val="22"/>
          <w:szCs w:val="22"/>
        </w:rPr>
        <w:t>al ser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 En ese sentido la titularidad de dicho dato corresponde a la persona física y no así en su calidad de trabajador del Gobierno; por lo que corresponde a un dato personal que actualiza la causal de clasificación establecida en el artículo 143, fracción I de la Ley de Transparencia y Acceso a la Información Pública del Estado de México y Municipios.</w:t>
      </w:r>
    </w:p>
    <w:p w14:paraId="0CFE4330" w14:textId="77777777" w:rsidR="00EC15BD" w:rsidRPr="00F1727B" w:rsidRDefault="00EC15BD" w:rsidP="00EC15BD">
      <w:pPr>
        <w:tabs>
          <w:tab w:val="left" w:pos="4962"/>
        </w:tabs>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Por cuanto hace a las </w:t>
      </w:r>
      <w:r w:rsidRPr="00F1727B">
        <w:rPr>
          <w:rFonts w:ascii="Palatino Linotype" w:eastAsia="Palatino Linotype" w:hAnsi="Palatino Linotype" w:cs="Palatino Linotype"/>
          <w:b/>
          <w:sz w:val="22"/>
          <w:szCs w:val="22"/>
        </w:rPr>
        <w:t>identificaciones oficiales con fotografía de particulares</w:t>
      </w:r>
      <w:r w:rsidRPr="00F1727B">
        <w:rPr>
          <w:rFonts w:ascii="Palatino Linotype" w:eastAsia="Palatino Linotype" w:hAnsi="Palatino Linotype" w:cs="Palatino Linotype"/>
          <w:sz w:val="22"/>
          <w:szCs w:val="22"/>
        </w:rPr>
        <w:t>, como credencial para votar o pasaporte, entre otras, es de señalar que dichos documentos guardan la naturaleza de información confidencial en su totalidad, al conformarse de datos personales como fecha de nacimiento, domicilio, así como la reproducción fiel de las características físicas de una persona en un momento determinado, por tanto, es información que se considerada por regla general, como un dato personal confidencial susceptible de protegerse en términos de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116441C3" w14:textId="77777777" w:rsidR="00EC15BD" w:rsidRPr="00F1727B" w:rsidRDefault="00EC15BD" w:rsidP="00EC15BD">
      <w:pPr>
        <w:spacing w:before="240" w:after="240" w:line="360" w:lineRule="auto"/>
        <w:ind w:right="50"/>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El </w:t>
      </w:r>
      <w:r w:rsidRPr="00F1727B">
        <w:rPr>
          <w:rFonts w:ascii="Palatino Linotype" w:eastAsia="Palatino Linotype" w:hAnsi="Palatino Linotype" w:cs="Palatino Linotype"/>
          <w:b/>
          <w:sz w:val="22"/>
          <w:szCs w:val="22"/>
        </w:rPr>
        <w:t>número de cuenta bancaria</w:t>
      </w:r>
      <w:r w:rsidRPr="00F1727B">
        <w:rPr>
          <w:rFonts w:ascii="Palatino Linotype" w:eastAsia="Palatino Linotype" w:hAnsi="Palatino Linotype" w:cs="Palatino Linotype"/>
          <w:sz w:val="22"/>
          <w:szCs w:val="22"/>
        </w:rPr>
        <w:t xml:space="preserve">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4E3B8797" w14:textId="77777777" w:rsidR="00EC15BD" w:rsidRPr="00F1727B" w:rsidRDefault="00EC15BD" w:rsidP="00EC15BD">
      <w:pPr>
        <w:spacing w:before="240" w:after="240" w:line="360" w:lineRule="auto"/>
        <w:ind w:right="50"/>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14:paraId="5CCD9D12" w14:textId="77777777" w:rsidR="00EC15BD" w:rsidRPr="00F1727B" w:rsidRDefault="00EC15BD" w:rsidP="00EC15BD">
      <w:pPr>
        <w:spacing w:before="240" w:after="240" w:line="360" w:lineRule="auto"/>
        <w:ind w:right="50"/>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570FA6FC" w14:textId="77777777" w:rsidR="00EC15BD" w:rsidRPr="00F1727B" w:rsidRDefault="00EC15BD" w:rsidP="00EC15BD">
      <w:pPr>
        <w:spacing w:before="240" w:after="240" w:line="360" w:lineRule="auto"/>
        <w:ind w:right="50"/>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En esa virtud, este Pleno determina que dicha información no puede ser del dominio público, toda vez que se podría dar un uso inadecuado a la misma o cometer algún ilícito o fraude como ya ha sido expuesto. </w:t>
      </w:r>
    </w:p>
    <w:p w14:paraId="0E85FD86" w14:textId="77777777" w:rsidR="00EC15BD" w:rsidRPr="00F1727B" w:rsidRDefault="00EC15BD" w:rsidP="00EC15BD">
      <w:pPr>
        <w:spacing w:before="240" w:after="240" w:line="360" w:lineRule="auto"/>
        <w:ind w:right="50"/>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Es por esta razón que se debe omitir el o los números de cuentas bancarias de particulares en las versiones públicas que se hagan para ser entregadas.</w:t>
      </w:r>
    </w:p>
    <w:p w14:paraId="455BA757" w14:textId="77777777" w:rsidR="00EC15BD" w:rsidRPr="00F1727B" w:rsidRDefault="00EC15BD" w:rsidP="00EC15BD">
      <w:pPr>
        <w:spacing w:before="240" w:after="240" w:line="360" w:lineRule="auto"/>
        <w:ind w:right="50"/>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Lo anterior, </w:t>
      </w:r>
      <w:r w:rsidRPr="00F1727B">
        <w:rPr>
          <w:rFonts w:ascii="Palatino Linotype" w:eastAsia="Palatino Linotype" w:hAnsi="Palatino Linotype" w:cs="Palatino Linotype"/>
          <w:b/>
          <w:sz w:val="22"/>
          <w:szCs w:val="22"/>
        </w:rPr>
        <w:t xml:space="preserve">no es así tratándose de las cuentas bancarias o claves interbancarias de los Sujetos Obligados </w:t>
      </w:r>
      <w:r w:rsidRPr="00F1727B">
        <w:rPr>
          <w:rFonts w:ascii="Palatino Linotype" w:eastAsia="Palatino Linotype" w:hAnsi="Palatino Linotype" w:cs="Palatino Linotype"/>
          <w:sz w:val="22"/>
          <w:szCs w:val="22"/>
        </w:rPr>
        <w:t>ya que su publicidad cede a la rendición de cuentas al transparentar la forma en que son administrados los recursos públicos.</w:t>
      </w:r>
    </w:p>
    <w:p w14:paraId="682F8E25" w14:textId="77777777" w:rsidR="00EC15BD" w:rsidRPr="00F1727B" w:rsidRDefault="00EC15BD" w:rsidP="00EC15BD">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Lo argumentado encuentra sustento en los Criterios orientadores con  Claves de control SO/010/2017 y SO/011/2017, emitidos por el entonces Instituto Nacional de Transparencia, Acceso a la Información y Protección de Datos Personales, INAI, que llevan por rubro y texto los siguientes:</w:t>
      </w:r>
    </w:p>
    <w:p w14:paraId="036CFD9B"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w:t>
      </w:r>
      <w:r w:rsidRPr="00F1727B">
        <w:rPr>
          <w:rFonts w:ascii="Palatino Linotype" w:eastAsia="Palatino Linotype" w:hAnsi="Palatino Linotype" w:cs="Palatino Linotype"/>
          <w:b/>
          <w:i/>
          <w:sz w:val="22"/>
          <w:szCs w:val="22"/>
        </w:rPr>
        <w:t>Cuentas bancarias y/o CLABE interbancaria de personas físicas y morales privadas.</w:t>
      </w:r>
      <w:r w:rsidRPr="00F1727B">
        <w:rPr>
          <w:rFonts w:ascii="Palatino Linotype" w:eastAsia="Palatino Linotype" w:hAnsi="Palatino Linotype" w:cs="Palatino Linotype"/>
          <w:i/>
          <w:sz w:val="22"/>
          <w:szCs w:val="22"/>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0749E6D3"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“Cuentas bancarias y/o CLABE interbancaria de sujetos obligados que reciben y/o transfieren recursos públicos, son información pública.</w:t>
      </w:r>
      <w:r w:rsidRPr="00F1727B">
        <w:rPr>
          <w:rFonts w:ascii="Palatino Linotype" w:eastAsia="Palatino Linotype" w:hAnsi="Palatino Linotype" w:cs="Palatino Linotype"/>
          <w:i/>
          <w:sz w:val="22"/>
          <w:szCs w:val="22"/>
        </w:rPr>
        <w:t xml:space="preserve">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3928D304" w14:textId="77777777" w:rsidR="00EC15BD" w:rsidRPr="00F1727B" w:rsidRDefault="00EC15BD" w:rsidP="00EC15BD">
      <w:pPr>
        <w:spacing w:before="240" w:after="240" w:line="360" w:lineRule="auto"/>
        <w:ind w:right="50"/>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Relacionado con lo anterior, el </w:t>
      </w:r>
      <w:r w:rsidRPr="00F1727B">
        <w:rPr>
          <w:rFonts w:ascii="Palatino Linotype" w:eastAsia="Palatino Linotype" w:hAnsi="Palatino Linotype" w:cs="Palatino Linotype"/>
          <w:b/>
          <w:sz w:val="22"/>
          <w:szCs w:val="22"/>
        </w:rPr>
        <w:t>nombre de las personas físicas</w:t>
      </w:r>
      <w:r w:rsidRPr="00F1727B">
        <w:rPr>
          <w:rFonts w:ascii="Palatino Linotype" w:eastAsia="Palatino Linotype" w:hAnsi="Palatino Linotype" w:cs="Palatino Linotype"/>
          <w:sz w:val="22"/>
          <w:szCs w:val="22"/>
        </w:rPr>
        <w:t xml:space="preserve"> o los </w:t>
      </w:r>
      <w:r w:rsidRPr="00F1727B">
        <w:rPr>
          <w:rFonts w:ascii="Palatino Linotype" w:eastAsia="Palatino Linotype" w:hAnsi="Palatino Linotype" w:cs="Palatino Linotype"/>
          <w:b/>
          <w:sz w:val="22"/>
          <w:szCs w:val="22"/>
        </w:rPr>
        <w:t>representantes legales de las personas morales</w:t>
      </w:r>
      <w:r w:rsidRPr="00F1727B">
        <w:rPr>
          <w:rFonts w:ascii="Palatino Linotype" w:eastAsia="Palatino Linotype" w:hAnsi="Palatino Linotype" w:cs="Palatino Linotype"/>
          <w:sz w:val="22"/>
          <w:szCs w:val="22"/>
        </w:rPr>
        <w:t>,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6E341A4A" w14:textId="77777777" w:rsidR="00EC15BD" w:rsidRPr="00F1727B" w:rsidRDefault="00EC15BD" w:rsidP="00EC15BD">
      <w:pPr>
        <w:spacing w:before="240" w:after="240" w:line="360" w:lineRule="auto"/>
        <w:ind w:right="50"/>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Argumentación que guarda sustento en lo estipulado por el artículo 23 de la Ley de Transparencia y Acceso a la Información Pública del Estado de México y Municipios en su penúltimo párrafo, mismo que es del tenor literal siguiente:</w:t>
      </w:r>
    </w:p>
    <w:p w14:paraId="5FE180EB"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w:t>
      </w:r>
      <w:r w:rsidRPr="00F1727B">
        <w:rPr>
          <w:rFonts w:ascii="Palatino Linotype" w:eastAsia="Palatino Linotype" w:hAnsi="Palatino Linotype" w:cs="Palatino Linotype"/>
          <w:b/>
          <w:i/>
          <w:sz w:val="22"/>
          <w:szCs w:val="22"/>
        </w:rPr>
        <w:t>Artículo 23.</w:t>
      </w:r>
      <w:r w:rsidRPr="00F1727B">
        <w:rPr>
          <w:rFonts w:ascii="Palatino Linotype" w:eastAsia="Palatino Linotype" w:hAnsi="Palatino Linotype" w:cs="Palatino Linotype"/>
          <w:i/>
          <w:sz w:val="22"/>
          <w:szCs w:val="22"/>
        </w:rPr>
        <w:t xml:space="preserve"> (…)</w:t>
      </w:r>
    </w:p>
    <w:p w14:paraId="691B90E9"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19316CE" w14:textId="77777777" w:rsidR="00EC15BD" w:rsidRPr="00F1727B" w:rsidRDefault="00EC15BD" w:rsidP="00EC15BD">
      <w:pPr>
        <w:spacing w:before="280" w:after="28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Asimismo, resulta aplicable el contenido del criterio de interpretación 01/19 emitido por el Instituto Nacional de Transparencia, Acceso a la Información, y Protección de Datos Personales, INAI, que lleva por rubro y texto los siguientes;</w:t>
      </w:r>
    </w:p>
    <w:p w14:paraId="62DEC6B5"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“Datos de identificación del representante o apoderado legal.</w:t>
      </w:r>
      <w:r w:rsidRPr="00F1727B">
        <w:rPr>
          <w:rFonts w:ascii="Palatino Linotype" w:eastAsia="Palatino Linotype" w:hAnsi="Palatino Linotype" w:cs="Palatino Linotype"/>
          <w:i/>
          <w:sz w:val="22"/>
          <w:szCs w:val="22"/>
        </w:rPr>
        <w:t xml:space="preserve"> </w:t>
      </w:r>
      <w:r w:rsidRPr="00F1727B">
        <w:rPr>
          <w:rFonts w:ascii="Palatino Linotype" w:eastAsia="Palatino Linotype" w:hAnsi="Palatino Linotype" w:cs="Palatino Linotype"/>
          <w:b/>
          <w:i/>
          <w:sz w:val="22"/>
          <w:szCs w:val="22"/>
        </w:rPr>
        <w:t xml:space="preserve">Naturaleza jurídica. </w:t>
      </w:r>
      <w:r w:rsidRPr="00F1727B">
        <w:rPr>
          <w:rFonts w:ascii="Palatino Linotype" w:eastAsia="Palatino Linotype" w:hAnsi="Palatino Linotype" w:cs="Palatino Linotype"/>
          <w:i/>
          <w:sz w:val="22"/>
          <w:szCs w:val="22"/>
        </w:rPr>
        <w:t xml:space="preserve">El nombre, la firma y la rúbrica de una persona física, que actúe como representante o apoderado legal de un tercero que haya celebrado un acto jurídico, con algún sujeto obligado, </w:t>
      </w:r>
      <w:r w:rsidRPr="00F1727B">
        <w:rPr>
          <w:rFonts w:ascii="Palatino Linotype" w:eastAsia="Palatino Linotype" w:hAnsi="Palatino Linotype" w:cs="Palatino Linotype"/>
          <w:b/>
          <w:i/>
          <w:sz w:val="22"/>
          <w:szCs w:val="22"/>
        </w:rPr>
        <w:t>es información pública, en razón de que tales datos fueron proporcionados con el objeto de expresar el consentimiento obligacional del tercero y otorgar validez a dicho instrumento jurídico</w:t>
      </w:r>
      <w:r w:rsidRPr="00F1727B">
        <w:rPr>
          <w:rFonts w:ascii="Palatino Linotype" w:eastAsia="Palatino Linotype" w:hAnsi="Palatino Linotype" w:cs="Palatino Linotype"/>
          <w:i/>
          <w:sz w:val="22"/>
          <w:szCs w:val="22"/>
        </w:rPr>
        <w:t>.”</w:t>
      </w:r>
    </w:p>
    <w:p w14:paraId="177A00D9" w14:textId="77777777" w:rsidR="00EC15BD" w:rsidRPr="00F1727B" w:rsidRDefault="00EC15BD" w:rsidP="00EC15BD">
      <w:pPr>
        <w:spacing w:before="240" w:after="240" w:line="360" w:lineRule="auto"/>
        <w:ind w:right="50"/>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3E7F384F"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“Artículo 49.</w:t>
      </w:r>
      <w:r w:rsidRPr="00F1727B">
        <w:rPr>
          <w:rFonts w:ascii="Palatino Linotype" w:eastAsia="Palatino Linotype" w:hAnsi="Palatino Linotype" w:cs="Palatino Linotype"/>
          <w:i/>
          <w:sz w:val="22"/>
          <w:szCs w:val="22"/>
        </w:rPr>
        <w:t xml:space="preserve"> </w:t>
      </w:r>
      <w:r w:rsidRPr="00F1727B">
        <w:rPr>
          <w:rFonts w:ascii="Palatino Linotype" w:eastAsia="Palatino Linotype" w:hAnsi="Palatino Linotype" w:cs="Palatino Linotype"/>
          <w:b/>
          <w:i/>
          <w:sz w:val="22"/>
          <w:szCs w:val="22"/>
        </w:rPr>
        <w:t>Los Comités de Transparencia</w:t>
      </w:r>
      <w:r w:rsidRPr="00F1727B">
        <w:rPr>
          <w:rFonts w:ascii="Palatino Linotype" w:eastAsia="Palatino Linotype" w:hAnsi="Palatino Linotype" w:cs="Palatino Linotype"/>
          <w:i/>
          <w:sz w:val="22"/>
          <w:szCs w:val="22"/>
        </w:rPr>
        <w:t xml:space="preserve"> tendrán las siguientes atribuciones:</w:t>
      </w:r>
    </w:p>
    <w:p w14:paraId="31A0005F"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VIII. Aprobar, modificar o revocar la clasificación de la información</w:t>
      </w:r>
      <w:r w:rsidRPr="00F1727B">
        <w:rPr>
          <w:rFonts w:ascii="Palatino Linotype" w:eastAsia="Palatino Linotype" w:hAnsi="Palatino Linotype" w:cs="Palatino Linotype"/>
          <w:i/>
          <w:sz w:val="22"/>
          <w:szCs w:val="22"/>
        </w:rPr>
        <w:t>…”</w:t>
      </w:r>
    </w:p>
    <w:p w14:paraId="623B15E6"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w:t>
      </w:r>
      <w:r w:rsidRPr="00F1727B">
        <w:rPr>
          <w:rFonts w:ascii="Palatino Linotype" w:eastAsia="Palatino Linotype" w:hAnsi="Palatino Linotype" w:cs="Palatino Linotype"/>
          <w:b/>
          <w:i/>
          <w:sz w:val="22"/>
          <w:szCs w:val="22"/>
        </w:rPr>
        <w:t>Artículo 53.</w:t>
      </w:r>
      <w:r w:rsidRPr="00F1727B">
        <w:rPr>
          <w:rFonts w:ascii="Palatino Linotype" w:eastAsia="Palatino Linotype" w:hAnsi="Palatino Linotype" w:cs="Palatino Linotype"/>
          <w:i/>
          <w:sz w:val="22"/>
          <w:szCs w:val="22"/>
        </w:rPr>
        <w:t xml:space="preserve"> Las </w:t>
      </w:r>
      <w:r w:rsidRPr="00F1727B">
        <w:rPr>
          <w:rFonts w:ascii="Palatino Linotype" w:eastAsia="Palatino Linotype" w:hAnsi="Palatino Linotype" w:cs="Palatino Linotype"/>
          <w:b/>
          <w:i/>
          <w:sz w:val="22"/>
          <w:szCs w:val="22"/>
        </w:rPr>
        <w:t>Unidades de Transparencia</w:t>
      </w:r>
      <w:r w:rsidRPr="00F1727B">
        <w:rPr>
          <w:rFonts w:ascii="Palatino Linotype" w:eastAsia="Palatino Linotype" w:hAnsi="Palatino Linotype" w:cs="Palatino Linotype"/>
          <w:i/>
          <w:sz w:val="22"/>
          <w:szCs w:val="22"/>
        </w:rPr>
        <w:t xml:space="preserve"> tendrán las siguientes </w:t>
      </w:r>
      <w:r w:rsidRPr="00F1727B">
        <w:rPr>
          <w:rFonts w:ascii="Palatino Linotype" w:eastAsia="Palatino Linotype" w:hAnsi="Palatino Linotype" w:cs="Palatino Linotype"/>
          <w:b/>
          <w:i/>
          <w:sz w:val="22"/>
          <w:szCs w:val="22"/>
        </w:rPr>
        <w:t>funciones</w:t>
      </w:r>
      <w:r w:rsidRPr="00F1727B">
        <w:rPr>
          <w:rFonts w:ascii="Palatino Linotype" w:eastAsia="Palatino Linotype" w:hAnsi="Palatino Linotype" w:cs="Palatino Linotype"/>
          <w:i/>
          <w:sz w:val="22"/>
          <w:szCs w:val="22"/>
        </w:rPr>
        <w:t>:</w:t>
      </w:r>
    </w:p>
    <w:p w14:paraId="0FC40D25"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X. Presentar ante el Comité, el proyecto de clasificación de información</w:t>
      </w:r>
      <w:r w:rsidRPr="00F1727B">
        <w:rPr>
          <w:rFonts w:ascii="Palatino Linotype" w:eastAsia="Palatino Linotype" w:hAnsi="Palatino Linotype" w:cs="Palatino Linotype"/>
          <w:i/>
          <w:sz w:val="22"/>
          <w:szCs w:val="22"/>
        </w:rPr>
        <w:t xml:space="preserve">…” </w:t>
      </w:r>
    </w:p>
    <w:p w14:paraId="6F391031"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“Artículo 59.</w:t>
      </w:r>
      <w:r w:rsidRPr="00F1727B">
        <w:rPr>
          <w:rFonts w:ascii="Palatino Linotype" w:eastAsia="Palatino Linotype" w:hAnsi="Palatino Linotype" w:cs="Palatino Linotype"/>
          <w:i/>
          <w:sz w:val="22"/>
          <w:szCs w:val="22"/>
        </w:rPr>
        <w:t xml:space="preserve"> Los </w:t>
      </w:r>
      <w:r w:rsidRPr="00F1727B">
        <w:rPr>
          <w:rFonts w:ascii="Palatino Linotype" w:eastAsia="Palatino Linotype" w:hAnsi="Palatino Linotype" w:cs="Palatino Linotype"/>
          <w:b/>
          <w:i/>
          <w:sz w:val="22"/>
          <w:szCs w:val="22"/>
        </w:rPr>
        <w:t>servidores públicos habilitados</w:t>
      </w:r>
      <w:r w:rsidRPr="00F1727B">
        <w:rPr>
          <w:rFonts w:ascii="Palatino Linotype" w:eastAsia="Palatino Linotype" w:hAnsi="Palatino Linotype" w:cs="Palatino Linotype"/>
          <w:i/>
          <w:sz w:val="22"/>
          <w:szCs w:val="22"/>
        </w:rPr>
        <w:t xml:space="preserve"> tendrán las </w:t>
      </w:r>
      <w:r w:rsidRPr="00F1727B">
        <w:rPr>
          <w:rFonts w:ascii="Palatino Linotype" w:eastAsia="Palatino Linotype" w:hAnsi="Palatino Linotype" w:cs="Palatino Linotype"/>
          <w:b/>
          <w:i/>
          <w:sz w:val="22"/>
          <w:szCs w:val="22"/>
        </w:rPr>
        <w:t>funciones</w:t>
      </w:r>
      <w:r w:rsidRPr="00F1727B">
        <w:rPr>
          <w:rFonts w:ascii="Palatino Linotype" w:eastAsia="Palatino Linotype" w:hAnsi="Palatino Linotype" w:cs="Palatino Linotype"/>
          <w:i/>
          <w:sz w:val="22"/>
          <w:szCs w:val="22"/>
        </w:rPr>
        <w:t xml:space="preserve"> siguientes:</w:t>
      </w:r>
    </w:p>
    <w:p w14:paraId="7B2F1A23"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V. Integrar y presentar al responsable de la Unidad de Transparencia la propuesta de clasificación de información</w:t>
      </w:r>
      <w:r w:rsidRPr="00F1727B">
        <w:rPr>
          <w:rFonts w:ascii="Palatino Linotype" w:eastAsia="Palatino Linotype" w:hAnsi="Palatino Linotype" w:cs="Palatino Linotype"/>
          <w:i/>
          <w:sz w:val="22"/>
          <w:szCs w:val="22"/>
        </w:rPr>
        <w:t>, la cual tendrá los fundamentos y argumentos en que se basa dicha propuesta…”</w:t>
      </w:r>
    </w:p>
    <w:p w14:paraId="590AB81C" w14:textId="77777777" w:rsidR="00EC15BD" w:rsidRPr="00F1727B" w:rsidRDefault="00EC15BD" w:rsidP="00EC15BD">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0B45ECB5" w14:textId="77777777" w:rsidR="00EC15BD" w:rsidRPr="00F1727B" w:rsidRDefault="00EC15BD" w:rsidP="00EC15BD">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149689C3"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w:t>
      </w:r>
      <w:r w:rsidRPr="00F1727B">
        <w:rPr>
          <w:rFonts w:ascii="Palatino Linotype" w:eastAsia="Palatino Linotype" w:hAnsi="Palatino Linotype" w:cs="Palatino Linotype"/>
          <w:b/>
          <w:i/>
          <w:sz w:val="22"/>
          <w:szCs w:val="22"/>
        </w:rPr>
        <w:t>Artículo 149.</w:t>
      </w:r>
      <w:r w:rsidRPr="00F1727B">
        <w:rPr>
          <w:rFonts w:ascii="Palatino Linotype" w:eastAsia="Palatino Linotype" w:hAnsi="Palatino Linotype" w:cs="Palatino Linotype"/>
          <w:i/>
          <w:sz w:val="22"/>
          <w:szCs w:val="22"/>
        </w:rPr>
        <w:t xml:space="preserve"> El </w:t>
      </w:r>
      <w:r w:rsidRPr="00F1727B">
        <w:rPr>
          <w:rFonts w:ascii="Palatino Linotype" w:eastAsia="Palatino Linotype" w:hAnsi="Palatino Linotype" w:cs="Palatino Linotype"/>
          <w:b/>
          <w:i/>
          <w:sz w:val="22"/>
          <w:szCs w:val="22"/>
        </w:rPr>
        <w:t>acuerdo que clasifique la información como confidencial</w:t>
      </w:r>
      <w:r w:rsidRPr="00F1727B">
        <w:rPr>
          <w:rFonts w:ascii="Palatino Linotype" w:eastAsia="Palatino Linotype" w:hAnsi="Palatino Linotype" w:cs="Palatino Linotype"/>
          <w:i/>
          <w:sz w:val="22"/>
          <w:szCs w:val="22"/>
        </w:rPr>
        <w:t xml:space="preserve"> deberá contener un razonamiento lógico en el que demuestre que la información se encuentra en alguna o algunas de las hipótesis previstas en la presente Ley.” </w:t>
      </w:r>
    </w:p>
    <w:p w14:paraId="6E2FC58B" w14:textId="77777777" w:rsidR="00EC15BD" w:rsidRPr="00F1727B" w:rsidRDefault="00EC15BD" w:rsidP="00EC15BD">
      <w:pPr>
        <w:spacing w:before="240" w:after="240" w:line="360" w:lineRule="auto"/>
        <w:ind w:right="51"/>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Es decir, el </w:t>
      </w:r>
      <w:r w:rsidRPr="00F1727B">
        <w:rPr>
          <w:rFonts w:ascii="Palatino Linotype" w:eastAsia="Palatino Linotype" w:hAnsi="Palatino Linotype" w:cs="Palatino Linotype"/>
          <w:b/>
          <w:sz w:val="22"/>
          <w:szCs w:val="22"/>
        </w:rPr>
        <w:t>Sujeto Obligado</w:t>
      </w:r>
      <w:r w:rsidRPr="00F1727B">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39BA5F2E" w14:textId="77777777" w:rsidR="00EC15BD" w:rsidRPr="00F1727B" w:rsidRDefault="00EC15BD" w:rsidP="00EC15BD">
      <w:pPr>
        <w:spacing w:before="240" w:after="240" w:line="360" w:lineRule="auto"/>
        <w:ind w:right="49"/>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Atento a lo anterior, cabe señalar que el Comité de Transparencia del </w:t>
      </w:r>
      <w:r w:rsidRPr="00F1727B">
        <w:rPr>
          <w:rFonts w:ascii="Palatino Linotype" w:eastAsia="Palatino Linotype" w:hAnsi="Palatino Linotype" w:cs="Palatino Linotype"/>
          <w:b/>
          <w:sz w:val="22"/>
          <w:szCs w:val="22"/>
        </w:rPr>
        <w:t>Sujeto Obligado</w:t>
      </w:r>
      <w:r w:rsidRPr="00F1727B">
        <w:rPr>
          <w:rFonts w:ascii="Palatino Linotype" w:eastAsia="Palatino Linotype" w:hAnsi="Palatino Linotype" w:cs="Palatino Linotype"/>
          <w:sz w:val="22"/>
          <w:szCs w:val="22"/>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3DE240F3" w14:textId="77777777" w:rsidR="00EC15BD" w:rsidRPr="00F1727B" w:rsidRDefault="00EC15BD" w:rsidP="00EC15BD">
      <w:pPr>
        <w:tabs>
          <w:tab w:val="left" w:pos="8222"/>
        </w:tabs>
        <w:spacing w:before="120" w:after="120"/>
        <w:ind w:left="851" w:right="1134"/>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 xml:space="preserve"> “</w:t>
      </w:r>
      <w:r w:rsidRPr="00F1727B">
        <w:rPr>
          <w:rFonts w:ascii="Palatino Linotype" w:eastAsia="Palatino Linotype" w:hAnsi="Palatino Linotype" w:cs="Palatino Linotype"/>
          <w:b/>
          <w:i/>
          <w:sz w:val="22"/>
          <w:szCs w:val="22"/>
        </w:rPr>
        <w:t>Segundo.-</w:t>
      </w:r>
      <w:r w:rsidRPr="00F1727B">
        <w:rPr>
          <w:rFonts w:ascii="Palatino Linotype" w:eastAsia="Palatino Linotype" w:hAnsi="Palatino Linotype" w:cs="Palatino Linotype"/>
          <w:i/>
          <w:sz w:val="22"/>
          <w:szCs w:val="22"/>
        </w:rPr>
        <w:t xml:space="preserve"> Para efectos de los presentes Lineamientos Generales, se entenderá por:</w:t>
      </w:r>
    </w:p>
    <w:p w14:paraId="2BE290EE" w14:textId="77777777" w:rsidR="00EC15BD" w:rsidRPr="00F1727B" w:rsidRDefault="00EC15BD" w:rsidP="00EC15BD">
      <w:pPr>
        <w:tabs>
          <w:tab w:val="left" w:pos="8222"/>
        </w:tabs>
        <w:spacing w:before="120" w:after="120"/>
        <w:ind w:left="851" w:right="1134"/>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XVIII.</w:t>
      </w:r>
      <w:r w:rsidRPr="00F1727B">
        <w:rPr>
          <w:rFonts w:ascii="Palatino Linotype" w:eastAsia="Palatino Linotype" w:hAnsi="Palatino Linotype" w:cs="Palatino Linotype"/>
          <w:i/>
          <w:sz w:val="22"/>
          <w:szCs w:val="22"/>
        </w:rPr>
        <w:t xml:space="preserve"> </w:t>
      </w:r>
      <w:r w:rsidRPr="00F1727B">
        <w:rPr>
          <w:rFonts w:ascii="Palatino Linotype" w:eastAsia="Palatino Linotype" w:hAnsi="Palatino Linotype" w:cs="Palatino Linotype"/>
          <w:b/>
          <w:i/>
          <w:sz w:val="22"/>
          <w:szCs w:val="22"/>
        </w:rPr>
        <w:t>Versión pública:</w:t>
      </w:r>
      <w:r w:rsidRPr="00F1727B">
        <w:rPr>
          <w:rFonts w:ascii="Palatino Linotype" w:eastAsia="Palatino Linotype" w:hAnsi="Palatino Linotype" w:cs="Palatino Linotype"/>
          <w:i/>
          <w:sz w:val="22"/>
          <w:szCs w:val="22"/>
        </w:rPr>
        <w:t xml:space="preserve"> El documento a partir del que se otorga acceso a la información, en el que se testan partes o secciones clasificadas, indicando el contenido de éstas de manera genérica, </w:t>
      </w:r>
      <w:r w:rsidRPr="00F1727B">
        <w:rPr>
          <w:rFonts w:ascii="Palatino Linotype" w:eastAsia="Palatino Linotype" w:hAnsi="Palatino Linotype" w:cs="Palatino Linotype"/>
          <w:b/>
          <w:i/>
          <w:sz w:val="22"/>
          <w:szCs w:val="22"/>
        </w:rPr>
        <w:t>fundando y motivando la</w:t>
      </w:r>
      <w:r w:rsidRPr="00F1727B">
        <w:rPr>
          <w:rFonts w:ascii="Palatino Linotype" w:eastAsia="Palatino Linotype" w:hAnsi="Palatino Linotype" w:cs="Palatino Linotype"/>
          <w:i/>
          <w:sz w:val="22"/>
          <w:szCs w:val="22"/>
        </w:rPr>
        <w:t xml:space="preserve"> </w:t>
      </w:r>
      <w:r w:rsidRPr="00F1727B">
        <w:rPr>
          <w:rFonts w:ascii="Palatino Linotype" w:eastAsia="Palatino Linotype" w:hAnsi="Palatino Linotype" w:cs="Palatino Linotype"/>
          <w:b/>
          <w:i/>
          <w:sz w:val="22"/>
          <w:szCs w:val="22"/>
        </w:rPr>
        <w:t>reserva o confidencialidad</w:t>
      </w:r>
      <w:r w:rsidRPr="00F1727B">
        <w:rPr>
          <w:rFonts w:ascii="Palatino Linotype" w:eastAsia="Palatino Linotype" w:hAnsi="Palatino Linotype" w:cs="Palatino Linotype"/>
          <w:i/>
          <w:sz w:val="22"/>
          <w:szCs w:val="22"/>
        </w:rPr>
        <w:t>, a través de la resolución que para tal efecto emita el Comité de Transparencia.</w:t>
      </w:r>
    </w:p>
    <w:p w14:paraId="2DDECE75" w14:textId="77777777" w:rsidR="00EC15BD" w:rsidRPr="00F1727B" w:rsidRDefault="00EC15BD" w:rsidP="00EC15BD">
      <w:pPr>
        <w:tabs>
          <w:tab w:val="left" w:pos="8222"/>
        </w:tabs>
        <w:spacing w:before="120" w:after="120"/>
        <w:ind w:left="851" w:right="1134"/>
        <w:jc w:val="both"/>
        <w:rPr>
          <w:rFonts w:ascii="Palatino Linotype" w:eastAsia="Palatino Linotype" w:hAnsi="Palatino Linotype" w:cs="Palatino Linotype"/>
          <w:b/>
          <w:i/>
          <w:sz w:val="22"/>
          <w:szCs w:val="22"/>
        </w:rPr>
      </w:pPr>
      <w:r w:rsidRPr="00F1727B">
        <w:rPr>
          <w:rFonts w:ascii="Palatino Linotype" w:eastAsia="Palatino Linotype" w:hAnsi="Palatino Linotype" w:cs="Palatino Linotype"/>
          <w:b/>
          <w:i/>
          <w:sz w:val="22"/>
          <w:szCs w:val="22"/>
        </w:rPr>
        <w:t>...</w:t>
      </w:r>
    </w:p>
    <w:p w14:paraId="57A329BB" w14:textId="77777777" w:rsidR="00EC15BD" w:rsidRPr="00F1727B" w:rsidRDefault="00EC15BD" w:rsidP="00EC15BD">
      <w:pPr>
        <w:tabs>
          <w:tab w:val="left" w:pos="8222"/>
        </w:tabs>
        <w:spacing w:before="120" w:after="120"/>
        <w:ind w:left="851" w:right="1134"/>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Cuarto.</w:t>
      </w:r>
      <w:r w:rsidRPr="00F1727B">
        <w:rPr>
          <w:rFonts w:ascii="Palatino Linotype" w:eastAsia="Palatino Linotype" w:hAnsi="Palatino Linotype" w:cs="Palatino Linotype"/>
          <w:i/>
          <w:sz w:val="22"/>
          <w:szCs w:val="22"/>
        </w:rPr>
        <w:t xml:space="preserve"> </w:t>
      </w:r>
      <w:r w:rsidRPr="00F1727B">
        <w:rPr>
          <w:rFonts w:ascii="Palatino Linotype" w:eastAsia="Palatino Linotype" w:hAnsi="Palatino Linotype" w:cs="Palatino Linotype"/>
          <w:b/>
          <w:i/>
          <w:sz w:val="22"/>
          <w:szCs w:val="22"/>
        </w:rPr>
        <w:t>Para clasificar la información como</w:t>
      </w:r>
      <w:r w:rsidRPr="00F1727B">
        <w:rPr>
          <w:rFonts w:ascii="Palatino Linotype" w:eastAsia="Palatino Linotype" w:hAnsi="Palatino Linotype" w:cs="Palatino Linotype"/>
          <w:i/>
          <w:sz w:val="22"/>
          <w:szCs w:val="22"/>
        </w:rPr>
        <w:t xml:space="preserve"> </w:t>
      </w:r>
      <w:r w:rsidRPr="00F1727B">
        <w:rPr>
          <w:rFonts w:ascii="Palatino Linotype" w:eastAsia="Palatino Linotype" w:hAnsi="Palatino Linotype" w:cs="Palatino Linotype"/>
          <w:b/>
          <w:i/>
          <w:sz w:val="22"/>
          <w:szCs w:val="22"/>
        </w:rPr>
        <w:t>reservada o</w:t>
      </w:r>
      <w:r w:rsidRPr="00F1727B">
        <w:rPr>
          <w:rFonts w:ascii="Palatino Linotype" w:eastAsia="Palatino Linotype" w:hAnsi="Palatino Linotype" w:cs="Palatino Linotype"/>
          <w:i/>
          <w:sz w:val="22"/>
          <w:szCs w:val="22"/>
        </w:rPr>
        <w:t xml:space="preserve"> </w:t>
      </w:r>
      <w:r w:rsidRPr="00F1727B">
        <w:rPr>
          <w:rFonts w:ascii="Palatino Linotype" w:eastAsia="Palatino Linotype" w:hAnsi="Palatino Linotype" w:cs="Palatino Linotype"/>
          <w:b/>
          <w:i/>
          <w:sz w:val="22"/>
          <w:szCs w:val="22"/>
        </w:rPr>
        <w:t>confidencial, de manera total o parcial, el titular del área del sujeto obligado deberá atender lo dispuesto por el Título Sexto de la Ley General</w:t>
      </w:r>
      <w:r w:rsidRPr="00F1727B">
        <w:rPr>
          <w:rFonts w:ascii="Palatino Linotype" w:eastAsia="Palatino Linotype" w:hAnsi="Palatino Linotype" w:cs="Palatino Linotype"/>
          <w:i/>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984D2DC" w14:textId="77777777" w:rsidR="00EC15BD" w:rsidRPr="00F1727B" w:rsidRDefault="00EC15BD" w:rsidP="00EC15BD">
      <w:pPr>
        <w:tabs>
          <w:tab w:val="left" w:pos="8222"/>
        </w:tabs>
        <w:spacing w:before="120" w:after="120"/>
        <w:ind w:left="851" w:right="1134"/>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Los sujetos obligados deberán aplicar, de manera estricta, las excepciones al derecho de acceso a la información y sólo podrán invocarlas cuando acrediten su procedencia.</w:t>
      </w:r>
    </w:p>
    <w:p w14:paraId="679A1949" w14:textId="77777777" w:rsidR="00EC15BD" w:rsidRPr="00F1727B" w:rsidRDefault="00EC15BD" w:rsidP="00EC15BD">
      <w:pPr>
        <w:tabs>
          <w:tab w:val="left" w:pos="8222"/>
        </w:tabs>
        <w:spacing w:before="120" w:after="120"/>
        <w:ind w:left="851" w:right="1134"/>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Quinto.</w:t>
      </w:r>
      <w:r w:rsidRPr="00F1727B">
        <w:rPr>
          <w:rFonts w:ascii="Palatino Linotype" w:eastAsia="Palatino Linotype" w:hAnsi="Palatino Linotype" w:cs="Palatino Linotype"/>
          <w:i/>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DC8FDC8" w14:textId="77777777" w:rsidR="00EC15BD" w:rsidRPr="00F1727B" w:rsidRDefault="00EC15BD" w:rsidP="00EC15BD">
      <w:pPr>
        <w:tabs>
          <w:tab w:val="left" w:pos="8222"/>
        </w:tabs>
        <w:spacing w:before="120" w:after="120"/>
        <w:ind w:left="851" w:right="1134"/>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Sexto.</w:t>
      </w:r>
      <w:r w:rsidRPr="00F1727B">
        <w:rPr>
          <w:rFonts w:ascii="Palatino Linotype" w:eastAsia="Palatino Linotype" w:hAnsi="Palatino Linotype" w:cs="Palatino Linotype"/>
          <w:i/>
          <w:sz w:val="22"/>
          <w:szCs w:val="22"/>
        </w:rPr>
        <w:t xml:space="preserve"> Se deroga.</w:t>
      </w:r>
    </w:p>
    <w:p w14:paraId="42BCA996" w14:textId="77777777" w:rsidR="00EC15BD" w:rsidRPr="00F1727B" w:rsidRDefault="00EC15BD" w:rsidP="00EC15BD">
      <w:pPr>
        <w:tabs>
          <w:tab w:val="left" w:pos="8222"/>
        </w:tabs>
        <w:spacing w:before="120" w:after="120"/>
        <w:ind w:left="851" w:right="1134"/>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Séptimo.</w:t>
      </w:r>
      <w:r w:rsidRPr="00F1727B">
        <w:rPr>
          <w:rFonts w:ascii="Palatino Linotype" w:eastAsia="Palatino Linotype" w:hAnsi="Palatino Linotype" w:cs="Palatino Linotype"/>
          <w:i/>
          <w:sz w:val="22"/>
          <w:szCs w:val="22"/>
        </w:rPr>
        <w:t xml:space="preserve"> La clasificación de la información se llevará a cabo en el momento en que:</w:t>
      </w:r>
    </w:p>
    <w:p w14:paraId="5AC2C7B7" w14:textId="77777777" w:rsidR="00EC15BD" w:rsidRPr="00F1727B" w:rsidRDefault="00EC15BD" w:rsidP="00EC15BD">
      <w:pPr>
        <w:tabs>
          <w:tab w:val="left" w:pos="8222"/>
        </w:tabs>
        <w:spacing w:before="120" w:after="120"/>
        <w:ind w:left="851" w:right="1134"/>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I.</w:t>
      </w:r>
      <w:r w:rsidRPr="00F1727B">
        <w:rPr>
          <w:rFonts w:ascii="Palatino Linotype" w:eastAsia="Palatino Linotype" w:hAnsi="Palatino Linotype" w:cs="Palatino Linotype"/>
          <w:i/>
          <w:sz w:val="22"/>
          <w:szCs w:val="22"/>
        </w:rPr>
        <w:t xml:space="preserve"> Se reciba una solicitud de acceso a la información;</w:t>
      </w:r>
    </w:p>
    <w:p w14:paraId="7D74AAB7" w14:textId="77777777" w:rsidR="00EC15BD" w:rsidRPr="00F1727B" w:rsidRDefault="00EC15BD" w:rsidP="00EC15BD">
      <w:pPr>
        <w:tabs>
          <w:tab w:val="left" w:pos="8222"/>
        </w:tabs>
        <w:spacing w:before="120" w:after="120"/>
        <w:ind w:left="851" w:right="1134"/>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II.</w:t>
      </w:r>
      <w:r w:rsidRPr="00F1727B">
        <w:rPr>
          <w:rFonts w:ascii="Palatino Linotype" w:eastAsia="Palatino Linotype" w:hAnsi="Palatino Linotype" w:cs="Palatino Linotype"/>
          <w:i/>
          <w:sz w:val="22"/>
          <w:szCs w:val="22"/>
        </w:rPr>
        <w:t xml:space="preserve"> Se determine mediante resolución del Comité de Transparencia, el órgano garante competente, o en cumplimiento a una sentencia del Poder Judicial; o</w:t>
      </w:r>
    </w:p>
    <w:p w14:paraId="7FC63C9E" w14:textId="77777777" w:rsidR="00EC15BD" w:rsidRPr="00F1727B" w:rsidRDefault="00EC15BD" w:rsidP="00EC15BD">
      <w:pPr>
        <w:tabs>
          <w:tab w:val="left" w:pos="8222"/>
        </w:tabs>
        <w:spacing w:before="120" w:after="120"/>
        <w:ind w:left="851" w:right="1134"/>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III.</w:t>
      </w:r>
      <w:r w:rsidRPr="00F1727B">
        <w:rPr>
          <w:rFonts w:ascii="Palatino Linotype" w:eastAsia="Palatino Linotype" w:hAnsi="Palatino Linotype" w:cs="Palatino Linotype"/>
          <w:i/>
          <w:sz w:val="22"/>
          <w:szCs w:val="22"/>
        </w:rPr>
        <w:t xml:space="preserve"> Se generen versiones públicas para dar cumplimiento a las obligaciones de transparencia previstas en la Ley General, la Ley Federal y las correspondientes de las entidades federativas.</w:t>
      </w:r>
    </w:p>
    <w:p w14:paraId="73106943" w14:textId="77777777" w:rsidR="00EC15BD" w:rsidRPr="00F1727B" w:rsidRDefault="00EC15BD" w:rsidP="00EC15BD">
      <w:pPr>
        <w:tabs>
          <w:tab w:val="left" w:pos="8222"/>
        </w:tabs>
        <w:spacing w:before="120" w:after="120"/>
        <w:ind w:left="851" w:right="1134"/>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Los titulares de las áreas deberán revisar la clasificación al momento de la recepción de una solicitud de acceso, para verificar</w:t>
      </w:r>
      <w:r w:rsidRPr="00F1727B">
        <w:rPr>
          <w:rFonts w:ascii="Palatino Linotype" w:eastAsia="Palatino Linotype" w:hAnsi="Palatino Linotype" w:cs="Palatino Linotype"/>
          <w:sz w:val="22"/>
          <w:szCs w:val="22"/>
        </w:rPr>
        <w:t xml:space="preserve">, </w:t>
      </w:r>
      <w:r w:rsidRPr="00F1727B">
        <w:rPr>
          <w:rFonts w:ascii="Palatino Linotype" w:eastAsia="Palatino Linotype" w:hAnsi="Palatino Linotype" w:cs="Palatino Linotype"/>
          <w:i/>
          <w:sz w:val="22"/>
          <w:szCs w:val="22"/>
        </w:rPr>
        <w:t>conforme a su naturaleza, si encuadra en una causal de reserva o de confidencialidad.</w:t>
      </w:r>
    </w:p>
    <w:p w14:paraId="57A336E2" w14:textId="77777777" w:rsidR="00EC15BD" w:rsidRPr="00F1727B" w:rsidRDefault="00EC15BD" w:rsidP="00EC15BD">
      <w:pPr>
        <w:tabs>
          <w:tab w:val="left" w:pos="8222"/>
        </w:tabs>
        <w:spacing w:before="120" w:after="120"/>
        <w:ind w:left="851" w:right="1134"/>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Octavo.</w:t>
      </w:r>
      <w:r w:rsidRPr="00F1727B">
        <w:rPr>
          <w:rFonts w:ascii="Palatino Linotype" w:eastAsia="Palatino Linotype" w:hAnsi="Palatino Linotype" w:cs="Palatino Linotype"/>
          <w:i/>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B7D6C92" w14:textId="77777777" w:rsidR="00EC15BD" w:rsidRPr="00F1727B" w:rsidRDefault="00EC15BD" w:rsidP="00EC15BD">
      <w:pPr>
        <w:tabs>
          <w:tab w:val="left" w:pos="8222"/>
        </w:tabs>
        <w:spacing w:before="120" w:after="120"/>
        <w:ind w:left="851" w:right="1134"/>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Para motivar la clasificación se deberán señalar las razones o circunstancias especiales que lo llevaron a concluir que el caso particular se ajusta al supuesto previsto por la norma legal invocada como fundamento.</w:t>
      </w:r>
    </w:p>
    <w:p w14:paraId="05BAE92C" w14:textId="77777777" w:rsidR="00EC15BD" w:rsidRPr="00F1727B" w:rsidRDefault="00EC15BD" w:rsidP="00EC15BD">
      <w:pPr>
        <w:tabs>
          <w:tab w:val="left" w:pos="8222"/>
        </w:tabs>
        <w:spacing w:before="120" w:after="120"/>
        <w:ind w:left="851" w:right="1134"/>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6E8FDF13" w14:textId="77777777" w:rsidR="00EC15BD" w:rsidRPr="00F1727B" w:rsidRDefault="00EC15BD" w:rsidP="00EC15BD">
      <w:pPr>
        <w:tabs>
          <w:tab w:val="left" w:pos="8222"/>
        </w:tabs>
        <w:spacing w:before="120" w:after="120"/>
        <w:ind w:left="851" w:right="1134"/>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Noveno.</w:t>
      </w:r>
      <w:r w:rsidRPr="00F1727B">
        <w:rPr>
          <w:rFonts w:ascii="Palatino Linotype" w:eastAsia="Palatino Linotype" w:hAnsi="Palatino Linotype" w:cs="Palatino Linotype"/>
          <w:i/>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06DCE8B" w14:textId="77777777" w:rsidR="00EC15BD" w:rsidRPr="00F1727B" w:rsidRDefault="00EC15BD" w:rsidP="00EC15BD">
      <w:pPr>
        <w:tabs>
          <w:tab w:val="left" w:pos="8222"/>
        </w:tabs>
        <w:spacing w:before="120" w:after="120"/>
        <w:ind w:left="851" w:right="1134"/>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Décimo.</w:t>
      </w:r>
      <w:r w:rsidRPr="00F1727B">
        <w:rPr>
          <w:rFonts w:ascii="Palatino Linotype" w:eastAsia="Palatino Linotype" w:hAnsi="Palatino Linotype" w:cs="Palatino Linotype"/>
          <w:i/>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2F99810A" w14:textId="77777777" w:rsidR="00EC15BD" w:rsidRPr="00F1727B" w:rsidRDefault="00EC15BD" w:rsidP="00EC15BD">
      <w:pPr>
        <w:tabs>
          <w:tab w:val="left" w:pos="8222"/>
        </w:tabs>
        <w:spacing w:before="120" w:after="120"/>
        <w:ind w:left="851" w:right="1134"/>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En ausencia de los titulares de las áreas, la información será clasificada o desclasificada por la persona que lo supla, en términos de la normativa que rija la actuación del sujeto obligado.</w:t>
      </w:r>
    </w:p>
    <w:p w14:paraId="2EF82E9B" w14:textId="77777777" w:rsidR="00EC15BD" w:rsidRPr="00F1727B" w:rsidRDefault="00EC15BD" w:rsidP="00EC15BD">
      <w:pPr>
        <w:tabs>
          <w:tab w:val="left" w:pos="8222"/>
        </w:tabs>
        <w:spacing w:before="120" w:after="120"/>
        <w:ind w:left="851" w:right="1134"/>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Décimo primero.</w:t>
      </w:r>
      <w:r w:rsidRPr="00F1727B">
        <w:rPr>
          <w:rFonts w:ascii="Palatino Linotype" w:eastAsia="Palatino Linotype" w:hAnsi="Palatino Linotype" w:cs="Palatino Linotype"/>
          <w:i/>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0220BF36" w14:textId="77777777" w:rsidR="00EC15BD" w:rsidRPr="00F1727B" w:rsidRDefault="00EC15BD" w:rsidP="00EC15BD">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F1727B">
        <w:rPr>
          <w:rFonts w:ascii="Palatino Linotype" w:eastAsia="Palatino Linotype" w:hAnsi="Palatino Linotype" w:cs="Palatino Linotype"/>
          <w:b/>
          <w:sz w:val="22"/>
          <w:szCs w:val="22"/>
        </w:rPr>
        <w:t>Sujeto Obligado</w:t>
      </w:r>
      <w:r w:rsidRPr="00F1727B">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3D54385C"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 xml:space="preserve"> “Quincuagésimo. </w:t>
      </w:r>
      <w:r w:rsidRPr="00F1727B">
        <w:rPr>
          <w:rFonts w:ascii="Palatino Linotype" w:eastAsia="Palatino Linotype" w:hAnsi="Palatino Linotype" w:cs="Palatino Linotype"/>
          <w:i/>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6302EEAC" w14:textId="77777777" w:rsidR="00EC15BD" w:rsidRPr="00F1727B" w:rsidRDefault="00EC15BD" w:rsidP="00EC15BD">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 xml:space="preserve">Quincuagésimo primero. </w:t>
      </w:r>
      <w:r w:rsidRPr="00F1727B">
        <w:rPr>
          <w:rFonts w:ascii="Palatino Linotype" w:eastAsia="Palatino Linotype" w:hAnsi="Palatino Linotype" w:cs="Palatino Linotype"/>
          <w:i/>
          <w:sz w:val="22"/>
          <w:szCs w:val="22"/>
        </w:rPr>
        <w:t xml:space="preserve">Toda acta del Comité de Transparencia deberá contener: </w:t>
      </w:r>
    </w:p>
    <w:p w14:paraId="028B37BF" w14:textId="77777777" w:rsidR="00EC15BD" w:rsidRPr="00F1727B" w:rsidRDefault="00EC15BD" w:rsidP="00EC15BD">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I.</w:t>
      </w:r>
      <w:r w:rsidRPr="00F1727B">
        <w:rPr>
          <w:rFonts w:ascii="Palatino Linotype" w:eastAsia="Palatino Linotype" w:hAnsi="Palatino Linotype" w:cs="Palatino Linotype"/>
          <w:i/>
          <w:sz w:val="22"/>
          <w:szCs w:val="22"/>
        </w:rPr>
        <w:t xml:space="preserve"> El número de sesión y fecha; </w:t>
      </w:r>
    </w:p>
    <w:p w14:paraId="31E64625" w14:textId="77777777" w:rsidR="00EC15BD" w:rsidRPr="00F1727B" w:rsidRDefault="00EC15BD" w:rsidP="00EC15BD">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II</w:t>
      </w:r>
      <w:r w:rsidRPr="00F1727B">
        <w:rPr>
          <w:rFonts w:ascii="Palatino Linotype" w:eastAsia="Palatino Linotype" w:hAnsi="Palatino Linotype" w:cs="Palatino Linotype"/>
          <w:i/>
          <w:sz w:val="22"/>
          <w:szCs w:val="22"/>
        </w:rPr>
        <w:t xml:space="preserve">. El nombre del área que solicitó la clasificación de información; </w:t>
      </w:r>
    </w:p>
    <w:p w14:paraId="6A1DD647" w14:textId="77777777" w:rsidR="00EC15BD" w:rsidRPr="00F1727B" w:rsidRDefault="00EC15BD" w:rsidP="00EC15BD">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III</w:t>
      </w:r>
      <w:r w:rsidRPr="00F1727B">
        <w:rPr>
          <w:rFonts w:ascii="Palatino Linotype" w:eastAsia="Palatino Linotype" w:hAnsi="Palatino Linotype" w:cs="Palatino Linotype"/>
          <w:i/>
          <w:sz w:val="22"/>
          <w:szCs w:val="22"/>
        </w:rPr>
        <w:t xml:space="preserve">. La fundamentación legal y motivación correspondiente; </w:t>
      </w:r>
    </w:p>
    <w:p w14:paraId="15B254A9" w14:textId="77777777" w:rsidR="00EC15BD" w:rsidRPr="00F1727B" w:rsidRDefault="00EC15BD" w:rsidP="00EC15BD">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IV</w:t>
      </w:r>
      <w:r w:rsidRPr="00F1727B">
        <w:rPr>
          <w:rFonts w:ascii="Palatino Linotype" w:eastAsia="Palatino Linotype" w:hAnsi="Palatino Linotype" w:cs="Palatino Linotype"/>
          <w:i/>
          <w:sz w:val="22"/>
          <w:szCs w:val="22"/>
        </w:rPr>
        <w:t xml:space="preserve">. La resolución o resoluciones aprobadas; y </w:t>
      </w:r>
    </w:p>
    <w:p w14:paraId="75669C53" w14:textId="77777777" w:rsidR="00EC15BD" w:rsidRPr="00F1727B" w:rsidRDefault="00EC15BD" w:rsidP="00EC15BD">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V</w:t>
      </w:r>
      <w:r w:rsidRPr="00F1727B">
        <w:rPr>
          <w:rFonts w:ascii="Palatino Linotype" w:eastAsia="Palatino Linotype" w:hAnsi="Palatino Linotype" w:cs="Palatino Linotype"/>
          <w:i/>
          <w:sz w:val="22"/>
          <w:szCs w:val="22"/>
        </w:rPr>
        <w:t xml:space="preserve">. La rúbrica o firma digital de cada integrante del Comité de Transparencia. </w:t>
      </w:r>
    </w:p>
    <w:p w14:paraId="7C88208C" w14:textId="77777777" w:rsidR="00EC15BD" w:rsidRPr="00F1727B" w:rsidRDefault="00EC15BD" w:rsidP="00EC15BD">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0D559991" w14:textId="77777777" w:rsidR="00EC15BD" w:rsidRPr="00F1727B" w:rsidRDefault="00EC15BD" w:rsidP="00EC15BD">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I.</w:t>
      </w:r>
      <w:r w:rsidRPr="00F1727B">
        <w:rPr>
          <w:rFonts w:ascii="Palatino Linotype" w:eastAsia="Palatino Linotype" w:hAnsi="Palatino Linotype" w:cs="Palatino Linotype"/>
          <w:i/>
          <w:sz w:val="22"/>
          <w:szCs w:val="22"/>
        </w:rPr>
        <w:t xml:space="preserve"> Los motivos y razonamientos que sustenten la confirmación o modificación de la prueba de daño;</w:t>
      </w:r>
    </w:p>
    <w:p w14:paraId="27F10926" w14:textId="77777777" w:rsidR="00EC15BD" w:rsidRPr="00F1727B" w:rsidRDefault="00EC15BD" w:rsidP="00EC15BD">
      <w:pPr>
        <w:pBdr>
          <w:top w:val="nil"/>
          <w:left w:val="nil"/>
          <w:bottom w:val="nil"/>
          <w:right w:val="nil"/>
          <w:between w:val="nil"/>
        </w:pBdr>
        <w:spacing w:before="120" w:after="120"/>
        <w:ind w:left="851" w:right="902"/>
        <w:jc w:val="both"/>
        <w:rPr>
          <w:rFonts w:ascii="Palatino Linotype" w:eastAsia="Palatino Linotype" w:hAnsi="Palatino Linotype" w:cs="Palatino Linotype"/>
          <w:b/>
          <w:i/>
          <w:sz w:val="22"/>
          <w:szCs w:val="22"/>
        </w:rPr>
      </w:pPr>
      <w:r w:rsidRPr="00F1727B">
        <w:rPr>
          <w:rFonts w:ascii="Palatino Linotype" w:eastAsia="Palatino Linotype" w:hAnsi="Palatino Linotype" w:cs="Palatino Linotype"/>
          <w:b/>
          <w:i/>
          <w:sz w:val="22"/>
          <w:szCs w:val="22"/>
        </w:rPr>
        <w:t>II</w:t>
      </w:r>
      <w:r w:rsidRPr="00F1727B">
        <w:rPr>
          <w:rFonts w:ascii="Palatino Linotype" w:eastAsia="Palatino Linotype" w:hAnsi="Palatino Linotype" w:cs="Palatino Linotype"/>
          <w:i/>
          <w:sz w:val="22"/>
          <w:szCs w:val="22"/>
        </w:rPr>
        <w:t>. Descripción de las partes o secciones reservadas, en caso de clasificación parcial</w:t>
      </w:r>
      <w:r w:rsidRPr="00F1727B">
        <w:rPr>
          <w:rFonts w:ascii="Palatino Linotype" w:eastAsia="Palatino Linotype" w:hAnsi="Palatino Linotype" w:cs="Palatino Linotype"/>
          <w:b/>
          <w:i/>
          <w:sz w:val="22"/>
          <w:szCs w:val="22"/>
        </w:rPr>
        <w:t xml:space="preserve">; </w:t>
      </w:r>
    </w:p>
    <w:p w14:paraId="64F8B67E" w14:textId="77777777" w:rsidR="00EC15BD" w:rsidRPr="00F1727B" w:rsidRDefault="00EC15BD" w:rsidP="00EC15BD">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III.</w:t>
      </w:r>
      <w:r w:rsidRPr="00F1727B">
        <w:rPr>
          <w:rFonts w:ascii="Palatino Linotype" w:eastAsia="Palatino Linotype" w:hAnsi="Palatino Linotype" w:cs="Palatino Linotype"/>
          <w:i/>
          <w:sz w:val="22"/>
          <w:szCs w:val="22"/>
        </w:rPr>
        <w:t xml:space="preserve"> El periodo por el que mantendrá su clasificación y fecha de expiración; y </w:t>
      </w:r>
    </w:p>
    <w:p w14:paraId="347DE8C0" w14:textId="77777777" w:rsidR="00EC15BD" w:rsidRPr="00F1727B" w:rsidRDefault="00EC15BD" w:rsidP="00EC15BD">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IV.</w:t>
      </w:r>
      <w:r w:rsidRPr="00F1727B">
        <w:rPr>
          <w:rFonts w:ascii="Palatino Linotype" w:eastAsia="Palatino Linotype" w:hAnsi="Palatino Linotype" w:cs="Palatino Linotype"/>
          <w:i/>
          <w:sz w:val="22"/>
          <w:szCs w:val="22"/>
        </w:rPr>
        <w:t xml:space="preserve"> El nombre del titular y área encargada de realizar la versión pública del documento, en su caso. </w:t>
      </w:r>
    </w:p>
    <w:p w14:paraId="5D56D395" w14:textId="77777777" w:rsidR="00EC15BD" w:rsidRPr="00F1727B" w:rsidRDefault="00EC15BD" w:rsidP="00EC15BD">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66FFE00E" w14:textId="77777777" w:rsidR="00EC15BD" w:rsidRPr="00F1727B" w:rsidRDefault="00EC15BD" w:rsidP="00EC15BD">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01436CA1" w14:textId="77777777" w:rsidR="00EC15BD" w:rsidRPr="00F1727B" w:rsidRDefault="00EC15BD" w:rsidP="00EC15BD">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12AB136A" w14:textId="77777777" w:rsidR="00EC15BD" w:rsidRPr="00F1727B" w:rsidRDefault="00EC15BD" w:rsidP="00EC15BD">
      <w:pPr>
        <w:spacing w:before="120" w:after="120"/>
        <w:ind w:left="851" w:right="900"/>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w:t>
      </w:r>
      <w:r w:rsidRPr="00F1727B">
        <w:rPr>
          <w:rFonts w:ascii="Palatino Linotype" w:eastAsia="Palatino Linotype" w:hAnsi="Palatino Linotype" w:cs="Palatino Linotype"/>
          <w:b/>
          <w:i/>
          <w:sz w:val="22"/>
          <w:szCs w:val="22"/>
        </w:rPr>
        <w:t>Quincuagésimo segundo</w:t>
      </w:r>
      <w:r w:rsidRPr="00F1727B">
        <w:rPr>
          <w:rFonts w:ascii="Palatino Linotype" w:eastAsia="Palatino Linotype" w:hAnsi="Palatino Linotype" w:cs="Palatino Linotype"/>
          <w:i/>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48148274" w14:textId="77777777" w:rsidR="00EC15BD" w:rsidRPr="00F1727B" w:rsidRDefault="00EC15BD" w:rsidP="00EC15BD">
      <w:pPr>
        <w:spacing w:before="120" w:after="120"/>
        <w:ind w:left="851" w:right="900"/>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55DD8347" w14:textId="77777777" w:rsidR="00EC15BD" w:rsidRPr="00F1727B" w:rsidRDefault="00EC15BD" w:rsidP="00EC15BD">
      <w:pPr>
        <w:spacing w:before="120" w:after="120"/>
        <w:ind w:left="851" w:right="900"/>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I.</w:t>
      </w:r>
      <w:r w:rsidRPr="00F1727B">
        <w:rPr>
          <w:rFonts w:ascii="Palatino Linotype" w:eastAsia="Palatino Linotype" w:hAnsi="Palatino Linotype" w:cs="Palatino Linotype"/>
          <w:i/>
          <w:sz w:val="22"/>
          <w:szCs w:val="22"/>
        </w:rPr>
        <w:t xml:space="preserve"> Fijar la fecha en que se elaboró la versión pública y la fecha en la cual el Comité de Transparencia confirmó dicha versión;</w:t>
      </w:r>
    </w:p>
    <w:p w14:paraId="2E0228F0" w14:textId="77777777" w:rsidR="00EC15BD" w:rsidRPr="00F1727B" w:rsidRDefault="00EC15BD" w:rsidP="00EC15BD">
      <w:pPr>
        <w:spacing w:before="120" w:after="120"/>
        <w:ind w:left="851" w:right="900"/>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II.</w:t>
      </w:r>
      <w:r w:rsidRPr="00F1727B">
        <w:rPr>
          <w:rFonts w:ascii="Palatino Linotype" w:eastAsia="Palatino Linotype" w:hAnsi="Palatino Linotype" w:cs="Palatino Linotype"/>
          <w:i/>
          <w:sz w:val="22"/>
          <w:szCs w:val="22"/>
        </w:rPr>
        <w:t xml:space="preserve"> Señalar dentro del documento el tipo de información confidencial que fue testada en cada caso específico, de conformidad con el lineamiento trigésimo octavo; y</w:t>
      </w:r>
    </w:p>
    <w:p w14:paraId="23E9597A" w14:textId="77777777" w:rsidR="00EC15BD" w:rsidRPr="00F1727B" w:rsidRDefault="00EC15BD" w:rsidP="00EC15BD">
      <w:pPr>
        <w:spacing w:before="120" w:after="120"/>
        <w:ind w:left="851" w:right="900"/>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III.</w:t>
      </w:r>
      <w:r w:rsidRPr="00F1727B">
        <w:rPr>
          <w:rFonts w:ascii="Palatino Linotype" w:eastAsia="Palatino Linotype" w:hAnsi="Palatino Linotype" w:cs="Palatino Linotype"/>
          <w:i/>
          <w:sz w:val="22"/>
          <w:szCs w:val="22"/>
        </w:rPr>
        <w:t xml:space="preserve"> Señalar las personas o instancias autorizadas a acceder a la información clasificada.</w:t>
      </w:r>
    </w:p>
    <w:p w14:paraId="4A1A7270" w14:textId="77777777" w:rsidR="00EC15BD" w:rsidRPr="00F1727B" w:rsidRDefault="00EC15BD" w:rsidP="00EC15BD">
      <w:pPr>
        <w:spacing w:before="120" w:after="120"/>
        <w:ind w:left="851" w:right="900"/>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73A519B6" w14:textId="77777777" w:rsidR="00EC15BD" w:rsidRPr="00F1727B" w:rsidRDefault="00EC15BD" w:rsidP="00EC15BD">
      <w:pPr>
        <w:pBdr>
          <w:top w:val="nil"/>
          <w:left w:val="nil"/>
          <w:bottom w:val="nil"/>
          <w:right w:val="nil"/>
          <w:between w:val="nil"/>
        </w:pBdr>
        <w:spacing w:before="120" w:after="120"/>
        <w:ind w:left="851" w:right="900"/>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w:t>
      </w:r>
    </w:p>
    <w:p w14:paraId="1FD851F5" w14:textId="77777777" w:rsidR="00EC15BD" w:rsidRPr="00F1727B" w:rsidRDefault="00EC15BD" w:rsidP="00EC15BD">
      <w:pPr>
        <w:pBdr>
          <w:top w:val="nil"/>
          <w:left w:val="nil"/>
          <w:bottom w:val="nil"/>
          <w:right w:val="nil"/>
          <w:between w:val="nil"/>
        </w:pBdr>
        <w:spacing w:before="120" w:after="120"/>
        <w:ind w:left="851" w:right="900"/>
        <w:jc w:val="both"/>
        <w:rPr>
          <w:rFonts w:ascii="Palatino Linotype" w:eastAsia="Palatino Linotype" w:hAnsi="Palatino Linotype" w:cs="Palatino Linotype"/>
          <w:b/>
          <w:i/>
          <w:sz w:val="22"/>
          <w:szCs w:val="22"/>
        </w:rPr>
      </w:pPr>
      <w:r w:rsidRPr="00F1727B">
        <w:rPr>
          <w:rFonts w:ascii="Palatino Linotype" w:eastAsia="Palatino Linotype" w:hAnsi="Palatino Linotype" w:cs="Palatino Linotype"/>
          <w:b/>
          <w:i/>
          <w:sz w:val="22"/>
          <w:szCs w:val="22"/>
        </w:rPr>
        <w:t xml:space="preserve">Quincuagésimo cuarto. </w:t>
      </w:r>
      <w:r w:rsidRPr="00F1727B">
        <w:rPr>
          <w:rFonts w:ascii="Palatino Linotype" w:eastAsia="Palatino Linotype" w:hAnsi="Palatino Linotype" w:cs="Palatino Linotype"/>
          <w:i/>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F1727B">
        <w:rPr>
          <w:rFonts w:ascii="Palatino Linotype" w:eastAsia="Palatino Linotype" w:hAnsi="Palatino Linotype" w:cs="Palatino Linotype"/>
          <w:b/>
          <w:i/>
          <w:sz w:val="22"/>
          <w:szCs w:val="22"/>
        </w:rPr>
        <w:t xml:space="preserve"> </w:t>
      </w:r>
    </w:p>
    <w:p w14:paraId="48CCDAC7"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 xml:space="preserve">Quincuagésimo quinto. </w:t>
      </w:r>
      <w:r w:rsidRPr="00F1727B">
        <w:rPr>
          <w:rFonts w:ascii="Palatino Linotype" w:eastAsia="Palatino Linotype" w:hAnsi="Palatino Linotype" w:cs="Palatino Linotype"/>
          <w:i/>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75F1D5AA" w14:textId="77777777" w:rsidR="00EC15BD" w:rsidRPr="00F1727B" w:rsidRDefault="00EC15BD" w:rsidP="00EC15BD">
      <w:pPr>
        <w:spacing w:before="120" w:after="120"/>
        <w:ind w:left="851" w:right="902"/>
        <w:jc w:val="both"/>
        <w:rPr>
          <w:rFonts w:ascii="Palatino Linotype" w:eastAsia="Palatino Linotype" w:hAnsi="Palatino Linotype" w:cs="Palatino Linotype"/>
          <w:b/>
          <w:i/>
          <w:sz w:val="22"/>
          <w:szCs w:val="22"/>
        </w:rPr>
      </w:pPr>
      <w:r w:rsidRPr="00F1727B">
        <w:rPr>
          <w:rFonts w:ascii="Palatino Linotype" w:eastAsia="Palatino Linotype" w:hAnsi="Palatino Linotype" w:cs="Palatino Linotype"/>
          <w:b/>
          <w:i/>
          <w:sz w:val="22"/>
          <w:szCs w:val="22"/>
        </w:rPr>
        <w:t>...</w:t>
      </w:r>
    </w:p>
    <w:p w14:paraId="599EBEA3"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Quincuagésimo séptimo</w:t>
      </w:r>
      <w:r w:rsidRPr="00F1727B">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3A045200"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I</w:t>
      </w:r>
      <w:r w:rsidRPr="00F1727B">
        <w:rPr>
          <w:rFonts w:ascii="Palatino Linotype" w:eastAsia="Palatino Linotype" w:hAnsi="Palatino Linotype" w:cs="Palatino Linotype"/>
          <w:i/>
          <w:sz w:val="22"/>
          <w:szCs w:val="22"/>
        </w:rPr>
        <w:t xml:space="preserve">. La relativa a las Obligaciones de Transparencia que contempla el Título V de la Ley General y las demás disposiciones legales aplicables; </w:t>
      </w:r>
    </w:p>
    <w:p w14:paraId="52CA9B39"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II.</w:t>
      </w:r>
      <w:r w:rsidRPr="00F1727B">
        <w:rPr>
          <w:rFonts w:ascii="Palatino Linotype" w:eastAsia="Palatino Linotype" w:hAnsi="Palatino Linotype" w:cs="Palatino Linotype"/>
          <w:i/>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41B1AFA6"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III</w:t>
      </w:r>
      <w:r w:rsidRPr="00F1727B">
        <w:rPr>
          <w:rFonts w:ascii="Palatino Linotype" w:eastAsia="Palatino Linotype" w:hAnsi="Palatino Linotype" w:cs="Palatino Linotype"/>
          <w:i/>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58AC5A41"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670F5F7B" w14:textId="77777777" w:rsidR="00EC15BD" w:rsidRPr="00F1727B" w:rsidRDefault="00EC15BD" w:rsidP="00EC15BD">
      <w:pPr>
        <w:spacing w:before="120" w:after="120"/>
        <w:ind w:left="851" w:right="902"/>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b/>
          <w:i/>
          <w:sz w:val="22"/>
          <w:szCs w:val="22"/>
        </w:rPr>
        <w:t>Quincuagésimo octavo</w:t>
      </w:r>
      <w:r w:rsidRPr="00F1727B">
        <w:rPr>
          <w:rFonts w:ascii="Palatino Linotype" w:eastAsia="Palatino Linotype" w:hAnsi="Palatino Linotype" w:cs="Palatino Linotype"/>
          <w:i/>
          <w:sz w:val="22"/>
          <w:szCs w:val="22"/>
        </w:rPr>
        <w:t>. Los sujetos obligados garantizarán que los sistemas o medios empleados para eliminar la información en las versiones públicas sean irreversibles, de tal forma que no permitan su recuperación o la visualización de la misma.”</w:t>
      </w:r>
    </w:p>
    <w:p w14:paraId="378EF624" w14:textId="604BE65F" w:rsidR="00193AE1" w:rsidRPr="00F1727B" w:rsidRDefault="00193AE1" w:rsidP="00193AE1">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Así, con fundamento en lo prescrito en los artículos </w:t>
      </w:r>
      <w:r w:rsidR="005D5DC9" w:rsidRPr="00F1727B">
        <w:rPr>
          <w:rFonts w:ascii="Palatino Linotype" w:eastAsia="Palatino Linotype" w:hAnsi="Palatino Linotype" w:cs="Palatino Linotype"/>
          <w:sz w:val="22"/>
          <w:szCs w:val="22"/>
        </w:rPr>
        <w:t xml:space="preserve">5 párrafos </w:t>
      </w:r>
      <w:r w:rsidR="000E700F" w:rsidRPr="00F1727B">
        <w:rPr>
          <w:rFonts w:ascii="Palatino Linotype" w:eastAsia="Palatino Linotype" w:hAnsi="Palatino Linotype" w:cs="Palatino Linotype"/>
          <w:sz w:val="22"/>
          <w:szCs w:val="22"/>
        </w:rPr>
        <w:t xml:space="preserve">cuadragésimo cuarto, cuadragésimo quinto cuadragésimo sexto, de la </w:t>
      </w:r>
      <w:r w:rsidR="005D5DC9" w:rsidRPr="00F1727B">
        <w:rPr>
          <w:rFonts w:ascii="Palatino Linotype" w:eastAsia="Palatino Linotype" w:hAnsi="Palatino Linotype" w:cs="Palatino Linotype"/>
          <w:sz w:val="22"/>
          <w:szCs w:val="22"/>
        </w:rPr>
        <w:t>Constitución Política del Estado Libre y Soberano de México; Transitorio Cuarto, párrafo segundo del Decreto número 198 de la “LXII” Legislatura del Estado de México;</w:t>
      </w:r>
      <w:r w:rsidRPr="00F1727B">
        <w:rPr>
          <w:rFonts w:ascii="Palatino Linotype" w:eastAsia="Palatino Linotype" w:hAnsi="Palatino Linotype" w:cs="Palatino Linotype"/>
          <w:sz w:val="22"/>
          <w:szCs w:val="22"/>
        </w:rPr>
        <w:t xml:space="preserve"> 2, fracción II; 29, 36 fracciones I y II; 176, 178, 181, 185 y 186 fracción II de la Ley de Transparencia y Acceso a la Información Pública del Estado de México y Municipios, este Pleno:</w:t>
      </w:r>
    </w:p>
    <w:p w14:paraId="0285A7B6" w14:textId="77777777" w:rsidR="00193AE1" w:rsidRPr="00F1727B" w:rsidRDefault="00193AE1" w:rsidP="00193AE1">
      <w:pPr>
        <w:pBdr>
          <w:top w:val="nil"/>
          <w:left w:val="nil"/>
          <w:bottom w:val="nil"/>
          <w:right w:val="nil"/>
          <w:between w:val="nil"/>
        </w:pBdr>
        <w:spacing w:before="240" w:after="240" w:line="360" w:lineRule="auto"/>
        <w:jc w:val="center"/>
        <w:rPr>
          <w:rFonts w:ascii="Palatino Linotype" w:eastAsia="Palatino Linotype" w:hAnsi="Palatino Linotype" w:cs="Palatino Linotype"/>
          <w:b/>
          <w:sz w:val="22"/>
          <w:szCs w:val="22"/>
        </w:rPr>
      </w:pPr>
      <w:r w:rsidRPr="00F1727B">
        <w:rPr>
          <w:rFonts w:ascii="Palatino Linotype" w:eastAsia="Palatino Linotype" w:hAnsi="Palatino Linotype" w:cs="Palatino Linotype"/>
          <w:b/>
          <w:sz w:val="22"/>
          <w:szCs w:val="22"/>
        </w:rPr>
        <w:t>III. R E S U E L V E</w:t>
      </w:r>
    </w:p>
    <w:p w14:paraId="5C7FA26B" w14:textId="77D4FAFC" w:rsidR="00193AE1" w:rsidRPr="00F1727B" w:rsidRDefault="00193AE1" w:rsidP="00193AE1">
      <w:pPr>
        <w:spacing w:before="240" w:after="240" w:line="360" w:lineRule="auto"/>
        <w:jc w:val="both"/>
        <w:rPr>
          <w:rFonts w:ascii="Palatino Linotype" w:eastAsia="Palatino Linotype" w:hAnsi="Palatino Linotype" w:cs="Palatino Linotype"/>
          <w:sz w:val="22"/>
          <w:szCs w:val="22"/>
        </w:rPr>
      </w:pPr>
      <w:bookmarkStart w:id="11" w:name="_heading=h.26in1rg" w:colFirst="0" w:colLast="0"/>
      <w:bookmarkEnd w:id="11"/>
      <w:r w:rsidRPr="00F1727B">
        <w:rPr>
          <w:rFonts w:ascii="Palatino Linotype" w:eastAsia="Palatino Linotype" w:hAnsi="Palatino Linotype" w:cs="Palatino Linotype"/>
          <w:b/>
          <w:sz w:val="22"/>
          <w:szCs w:val="22"/>
        </w:rPr>
        <w:t xml:space="preserve">Primero. </w:t>
      </w:r>
      <w:r w:rsidRPr="00F1727B">
        <w:rPr>
          <w:rFonts w:ascii="Palatino Linotype" w:eastAsia="Palatino Linotype" w:hAnsi="Palatino Linotype" w:cs="Palatino Linotype"/>
          <w:sz w:val="22"/>
          <w:szCs w:val="22"/>
        </w:rPr>
        <w:t>Resultan</w:t>
      </w:r>
      <w:r w:rsidRPr="00F1727B">
        <w:rPr>
          <w:rFonts w:ascii="Palatino Linotype" w:eastAsia="Palatino Linotype" w:hAnsi="Palatino Linotype" w:cs="Palatino Linotype"/>
          <w:b/>
          <w:sz w:val="22"/>
          <w:szCs w:val="22"/>
        </w:rPr>
        <w:t xml:space="preserve"> fundadas</w:t>
      </w:r>
      <w:r w:rsidRPr="00F1727B">
        <w:rPr>
          <w:rFonts w:ascii="Palatino Linotype" w:eastAsia="Palatino Linotype" w:hAnsi="Palatino Linotype" w:cs="Palatino Linotype"/>
          <w:sz w:val="22"/>
          <w:szCs w:val="22"/>
        </w:rPr>
        <w:t xml:space="preserve"> las razones o motivos de inconformidad hechos valer por la parte</w:t>
      </w:r>
      <w:r w:rsidRPr="00F1727B">
        <w:rPr>
          <w:rFonts w:ascii="Palatino Linotype" w:eastAsia="Palatino Linotype" w:hAnsi="Palatino Linotype" w:cs="Palatino Linotype"/>
          <w:b/>
          <w:sz w:val="22"/>
          <w:szCs w:val="22"/>
        </w:rPr>
        <w:t xml:space="preserve"> Recurrente</w:t>
      </w:r>
      <w:r w:rsidRPr="00F1727B">
        <w:rPr>
          <w:rFonts w:ascii="Palatino Linotype" w:eastAsia="Palatino Linotype" w:hAnsi="Palatino Linotype" w:cs="Palatino Linotype"/>
          <w:sz w:val="22"/>
          <w:szCs w:val="22"/>
        </w:rPr>
        <w:t xml:space="preserve"> en el recurso de revisión </w:t>
      </w:r>
      <w:r w:rsidR="00AC6FF0" w:rsidRPr="00F1727B">
        <w:rPr>
          <w:rFonts w:ascii="Palatino Linotype" w:eastAsia="Palatino Linotype" w:hAnsi="Palatino Linotype" w:cs="Palatino Linotype"/>
          <w:b/>
          <w:sz w:val="22"/>
          <w:szCs w:val="22"/>
        </w:rPr>
        <w:t>1</w:t>
      </w:r>
      <w:r w:rsidR="00EC15BD" w:rsidRPr="00F1727B">
        <w:rPr>
          <w:rFonts w:ascii="Palatino Linotype" w:eastAsia="Palatino Linotype" w:hAnsi="Palatino Linotype" w:cs="Palatino Linotype"/>
          <w:b/>
          <w:sz w:val="22"/>
          <w:szCs w:val="22"/>
        </w:rPr>
        <w:t>2914</w:t>
      </w:r>
      <w:r w:rsidRPr="00F1727B">
        <w:rPr>
          <w:rFonts w:ascii="Palatino Linotype" w:eastAsia="Palatino Linotype" w:hAnsi="Palatino Linotype" w:cs="Palatino Linotype"/>
          <w:b/>
          <w:sz w:val="22"/>
          <w:szCs w:val="22"/>
        </w:rPr>
        <w:t>/INFOEM/IP/RR/202</w:t>
      </w:r>
      <w:r w:rsidR="00625B99" w:rsidRPr="00F1727B">
        <w:rPr>
          <w:rFonts w:ascii="Palatino Linotype" w:eastAsia="Palatino Linotype" w:hAnsi="Palatino Linotype" w:cs="Palatino Linotype"/>
          <w:b/>
          <w:sz w:val="22"/>
          <w:szCs w:val="22"/>
        </w:rPr>
        <w:t>5</w:t>
      </w:r>
      <w:r w:rsidRPr="00F1727B">
        <w:rPr>
          <w:rFonts w:ascii="Palatino Linotype" w:eastAsia="Palatino Linotype" w:hAnsi="Palatino Linotype" w:cs="Palatino Linotype"/>
          <w:sz w:val="22"/>
          <w:szCs w:val="22"/>
        </w:rPr>
        <w:t xml:space="preserve">; por lo que, en términos del </w:t>
      </w:r>
      <w:r w:rsidRPr="00F1727B">
        <w:rPr>
          <w:rFonts w:ascii="Palatino Linotype" w:eastAsia="Palatino Linotype" w:hAnsi="Palatino Linotype" w:cs="Palatino Linotype"/>
          <w:b/>
          <w:sz w:val="22"/>
          <w:szCs w:val="22"/>
        </w:rPr>
        <w:t>Considerando</w:t>
      </w:r>
      <w:r w:rsidRPr="00F1727B">
        <w:rPr>
          <w:rFonts w:ascii="Palatino Linotype" w:eastAsia="Palatino Linotype" w:hAnsi="Palatino Linotype" w:cs="Palatino Linotype"/>
          <w:sz w:val="22"/>
          <w:szCs w:val="22"/>
        </w:rPr>
        <w:t xml:space="preserve"> </w:t>
      </w:r>
      <w:r w:rsidRPr="00F1727B">
        <w:rPr>
          <w:rFonts w:ascii="Palatino Linotype" w:eastAsia="Palatino Linotype" w:hAnsi="Palatino Linotype" w:cs="Palatino Linotype"/>
          <w:b/>
          <w:sz w:val="22"/>
          <w:szCs w:val="22"/>
        </w:rPr>
        <w:t xml:space="preserve">Cuarto </w:t>
      </w:r>
      <w:r w:rsidRPr="00F1727B">
        <w:rPr>
          <w:rFonts w:ascii="Palatino Linotype" w:eastAsia="Palatino Linotype" w:hAnsi="Palatino Linotype" w:cs="Palatino Linotype"/>
          <w:sz w:val="22"/>
          <w:szCs w:val="22"/>
        </w:rPr>
        <w:t xml:space="preserve">de esta resolución, se </w:t>
      </w:r>
      <w:r w:rsidR="00DF4FB7" w:rsidRPr="00F1727B">
        <w:rPr>
          <w:rFonts w:ascii="Palatino Linotype" w:eastAsia="Palatino Linotype" w:hAnsi="Palatino Linotype" w:cs="Palatino Linotype"/>
          <w:b/>
          <w:sz w:val="22"/>
          <w:szCs w:val="22"/>
        </w:rPr>
        <w:t>Revoca</w:t>
      </w:r>
      <w:r w:rsidRPr="00F1727B">
        <w:rPr>
          <w:rFonts w:ascii="Palatino Linotype" w:eastAsia="Palatino Linotype" w:hAnsi="Palatino Linotype" w:cs="Palatino Linotype"/>
          <w:b/>
          <w:sz w:val="22"/>
          <w:szCs w:val="22"/>
        </w:rPr>
        <w:t xml:space="preserve"> </w:t>
      </w:r>
      <w:r w:rsidRPr="00F1727B">
        <w:rPr>
          <w:rFonts w:ascii="Palatino Linotype" w:eastAsia="Palatino Linotype" w:hAnsi="Palatino Linotype" w:cs="Palatino Linotype"/>
          <w:sz w:val="22"/>
          <w:szCs w:val="22"/>
        </w:rPr>
        <w:t xml:space="preserve">la respuesta emitida por el </w:t>
      </w:r>
      <w:r w:rsidRPr="00F1727B">
        <w:rPr>
          <w:rFonts w:ascii="Palatino Linotype" w:eastAsia="Palatino Linotype" w:hAnsi="Palatino Linotype" w:cs="Palatino Linotype"/>
          <w:b/>
          <w:sz w:val="22"/>
          <w:szCs w:val="22"/>
        </w:rPr>
        <w:t xml:space="preserve">Sujeto Obligado. </w:t>
      </w:r>
    </w:p>
    <w:p w14:paraId="3F306F48" w14:textId="78A3D1B1" w:rsidR="001A60C5" w:rsidRPr="00F1727B" w:rsidRDefault="00193AE1" w:rsidP="001A60C5">
      <w:pPr>
        <w:spacing w:before="240" w:after="240" w:line="360" w:lineRule="auto"/>
        <w:ind w:right="49"/>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b/>
          <w:sz w:val="22"/>
          <w:szCs w:val="22"/>
        </w:rPr>
        <w:t xml:space="preserve">Segundo. </w:t>
      </w:r>
      <w:r w:rsidRPr="00F1727B">
        <w:rPr>
          <w:rFonts w:ascii="Palatino Linotype" w:eastAsia="Palatino Linotype" w:hAnsi="Palatino Linotype" w:cs="Palatino Linotype"/>
          <w:sz w:val="22"/>
          <w:szCs w:val="22"/>
        </w:rPr>
        <w:t xml:space="preserve">Se </w:t>
      </w:r>
      <w:r w:rsidRPr="00F1727B">
        <w:rPr>
          <w:rFonts w:ascii="Palatino Linotype" w:eastAsia="Palatino Linotype" w:hAnsi="Palatino Linotype" w:cs="Palatino Linotype"/>
          <w:b/>
          <w:sz w:val="22"/>
          <w:szCs w:val="22"/>
        </w:rPr>
        <w:t>Ordena</w:t>
      </w:r>
      <w:r w:rsidRPr="00F1727B">
        <w:rPr>
          <w:rFonts w:ascii="Palatino Linotype" w:eastAsia="Palatino Linotype" w:hAnsi="Palatino Linotype" w:cs="Palatino Linotype"/>
          <w:sz w:val="22"/>
          <w:szCs w:val="22"/>
        </w:rPr>
        <w:t xml:space="preserve"> al </w:t>
      </w:r>
      <w:r w:rsidRPr="00F1727B">
        <w:rPr>
          <w:rFonts w:ascii="Palatino Linotype" w:eastAsia="Palatino Linotype" w:hAnsi="Palatino Linotype" w:cs="Palatino Linotype"/>
          <w:b/>
          <w:sz w:val="22"/>
          <w:szCs w:val="22"/>
        </w:rPr>
        <w:t>Sujeto Obligado</w:t>
      </w:r>
      <w:r w:rsidRPr="00F1727B">
        <w:rPr>
          <w:rFonts w:ascii="Palatino Linotype" w:eastAsia="Palatino Linotype" w:hAnsi="Palatino Linotype" w:cs="Palatino Linotype"/>
          <w:sz w:val="22"/>
          <w:szCs w:val="22"/>
        </w:rPr>
        <w:t>, en términos de</w:t>
      </w:r>
      <w:r w:rsidR="00DF4FB7" w:rsidRPr="00F1727B">
        <w:rPr>
          <w:rFonts w:ascii="Palatino Linotype" w:eastAsia="Palatino Linotype" w:hAnsi="Palatino Linotype" w:cs="Palatino Linotype"/>
          <w:sz w:val="22"/>
          <w:szCs w:val="22"/>
        </w:rPr>
        <w:t xml:space="preserve"> </w:t>
      </w:r>
      <w:r w:rsidR="00252EAE" w:rsidRPr="00F1727B">
        <w:rPr>
          <w:rFonts w:ascii="Palatino Linotype" w:eastAsia="Palatino Linotype" w:hAnsi="Palatino Linotype" w:cs="Palatino Linotype"/>
          <w:sz w:val="22"/>
          <w:szCs w:val="22"/>
        </w:rPr>
        <w:t>l</w:t>
      </w:r>
      <w:r w:rsidR="00DF4FB7" w:rsidRPr="00F1727B">
        <w:rPr>
          <w:rFonts w:ascii="Palatino Linotype" w:eastAsia="Palatino Linotype" w:hAnsi="Palatino Linotype" w:cs="Palatino Linotype"/>
          <w:sz w:val="22"/>
          <w:szCs w:val="22"/>
        </w:rPr>
        <w:t>os</w:t>
      </w:r>
      <w:r w:rsidR="00252EAE" w:rsidRPr="00F1727B">
        <w:rPr>
          <w:rFonts w:ascii="Palatino Linotype" w:eastAsia="Palatino Linotype" w:hAnsi="Palatino Linotype" w:cs="Palatino Linotype"/>
          <w:sz w:val="22"/>
          <w:szCs w:val="22"/>
        </w:rPr>
        <w:t xml:space="preserve"> </w:t>
      </w:r>
      <w:r w:rsidRPr="00F1727B">
        <w:rPr>
          <w:rFonts w:ascii="Palatino Linotype" w:eastAsia="Palatino Linotype" w:hAnsi="Palatino Linotype" w:cs="Palatino Linotype"/>
          <w:sz w:val="22"/>
          <w:szCs w:val="22"/>
        </w:rPr>
        <w:t>Considerando</w:t>
      </w:r>
      <w:r w:rsidR="00DF4FB7" w:rsidRPr="00F1727B">
        <w:rPr>
          <w:rFonts w:ascii="Palatino Linotype" w:eastAsia="Palatino Linotype" w:hAnsi="Palatino Linotype" w:cs="Palatino Linotype"/>
          <w:sz w:val="22"/>
          <w:szCs w:val="22"/>
        </w:rPr>
        <w:t>s</w:t>
      </w:r>
      <w:r w:rsidRPr="00F1727B">
        <w:rPr>
          <w:rFonts w:ascii="Palatino Linotype" w:eastAsia="Palatino Linotype" w:hAnsi="Palatino Linotype" w:cs="Palatino Linotype"/>
          <w:sz w:val="22"/>
          <w:szCs w:val="22"/>
        </w:rPr>
        <w:t xml:space="preserve"> </w:t>
      </w:r>
      <w:r w:rsidRPr="00F1727B">
        <w:rPr>
          <w:rFonts w:ascii="Palatino Linotype" w:eastAsia="Palatino Linotype" w:hAnsi="Palatino Linotype" w:cs="Palatino Linotype"/>
          <w:b/>
          <w:sz w:val="22"/>
          <w:szCs w:val="22"/>
        </w:rPr>
        <w:t xml:space="preserve">Cuarto </w:t>
      </w:r>
      <w:r w:rsidR="00DF4FB7" w:rsidRPr="00F1727B">
        <w:rPr>
          <w:rFonts w:ascii="Palatino Linotype" w:eastAsia="Palatino Linotype" w:hAnsi="Palatino Linotype" w:cs="Palatino Linotype"/>
          <w:bCs/>
          <w:sz w:val="22"/>
          <w:szCs w:val="22"/>
        </w:rPr>
        <w:t xml:space="preserve">y </w:t>
      </w:r>
      <w:r w:rsidR="00DF4FB7" w:rsidRPr="00F1727B">
        <w:rPr>
          <w:rFonts w:ascii="Palatino Linotype" w:eastAsia="Palatino Linotype" w:hAnsi="Palatino Linotype" w:cs="Palatino Linotype"/>
          <w:b/>
          <w:sz w:val="22"/>
          <w:szCs w:val="22"/>
        </w:rPr>
        <w:t xml:space="preserve">Quinto </w:t>
      </w:r>
      <w:r w:rsidRPr="00F1727B">
        <w:rPr>
          <w:rFonts w:ascii="Palatino Linotype" w:eastAsia="Palatino Linotype" w:hAnsi="Palatino Linotype" w:cs="Palatino Linotype"/>
          <w:sz w:val="22"/>
          <w:szCs w:val="22"/>
        </w:rPr>
        <w:t xml:space="preserve">de esta resolución, haga entrega, </w:t>
      </w:r>
      <w:r w:rsidR="001A60C5" w:rsidRPr="00F1727B">
        <w:rPr>
          <w:rFonts w:ascii="Palatino Linotype" w:eastAsia="Palatino Linotype" w:hAnsi="Palatino Linotype" w:cs="Palatino Linotype"/>
          <w:sz w:val="22"/>
          <w:szCs w:val="22"/>
        </w:rPr>
        <w:t xml:space="preserve">vía </w:t>
      </w:r>
      <w:r w:rsidR="001A60C5" w:rsidRPr="00F1727B">
        <w:rPr>
          <w:rFonts w:ascii="Palatino Linotype" w:eastAsia="Palatino Linotype" w:hAnsi="Palatino Linotype" w:cs="Palatino Linotype"/>
          <w:b/>
          <w:sz w:val="22"/>
          <w:szCs w:val="22"/>
        </w:rPr>
        <w:t>SAIMEX</w:t>
      </w:r>
      <w:r w:rsidR="001A60C5" w:rsidRPr="00F1727B">
        <w:rPr>
          <w:rFonts w:ascii="Palatino Linotype" w:eastAsia="Palatino Linotype" w:hAnsi="Palatino Linotype" w:cs="Palatino Linotype"/>
          <w:sz w:val="22"/>
          <w:szCs w:val="22"/>
        </w:rPr>
        <w:t>,</w:t>
      </w:r>
      <w:r w:rsidR="00DF4FB7" w:rsidRPr="00F1727B">
        <w:rPr>
          <w:rFonts w:ascii="Palatino Linotype" w:eastAsia="Palatino Linotype" w:hAnsi="Palatino Linotype" w:cs="Palatino Linotype"/>
          <w:sz w:val="22"/>
          <w:szCs w:val="22"/>
        </w:rPr>
        <w:t xml:space="preserve"> en versión pública de ser procedente,</w:t>
      </w:r>
      <w:r w:rsidR="001A60C5" w:rsidRPr="00F1727B">
        <w:rPr>
          <w:rFonts w:ascii="Palatino Linotype" w:eastAsia="Palatino Linotype" w:hAnsi="Palatino Linotype" w:cs="Palatino Linotype"/>
          <w:sz w:val="22"/>
          <w:szCs w:val="22"/>
        </w:rPr>
        <w:t xml:space="preserve"> de lo siguiente:</w:t>
      </w:r>
    </w:p>
    <w:p w14:paraId="5E22FAD3" w14:textId="53BE8754" w:rsidR="00EC15BD" w:rsidRPr="00F1727B" w:rsidRDefault="00EC15BD" w:rsidP="00EC15BD">
      <w:pPr>
        <w:spacing w:before="120" w:after="120" w:line="360" w:lineRule="auto"/>
        <w:ind w:left="284"/>
        <w:jc w:val="both"/>
        <w:rPr>
          <w:rFonts w:ascii="Palatino Linotype" w:eastAsia="Palatino Linotype" w:hAnsi="Palatino Linotype" w:cs="Palatino Linotype"/>
          <w:i/>
          <w:sz w:val="22"/>
          <w:szCs w:val="22"/>
        </w:rPr>
      </w:pPr>
      <w:r w:rsidRPr="00F1727B">
        <w:rPr>
          <w:rFonts w:ascii="Palatino Linotype" w:eastAsia="Palatino Linotype" w:hAnsi="Palatino Linotype" w:cs="Palatino Linotype"/>
          <w:iCs/>
          <w:sz w:val="22"/>
          <w:szCs w:val="22"/>
        </w:rPr>
        <w:t xml:space="preserve">1. </w:t>
      </w:r>
      <w:r w:rsidRPr="00F1727B">
        <w:rPr>
          <w:rFonts w:ascii="Palatino Linotype" w:eastAsia="Palatino Linotype" w:hAnsi="Palatino Linotype" w:cs="Palatino Linotype"/>
          <w:sz w:val="22"/>
          <w:szCs w:val="22"/>
        </w:rPr>
        <w:t>Los contratos de compras mínimas o cualquier compra de papelería, productos de limpieza, medicamentos y agua, así como las facturas pagadas del periodo comprendido del uno de marzo al quince de octubre de dos mil veinticinco.</w:t>
      </w:r>
    </w:p>
    <w:p w14:paraId="75AD678E" w14:textId="40AD9467" w:rsidR="00E5266D" w:rsidRPr="00F1727B" w:rsidRDefault="00E5266D" w:rsidP="009D3876">
      <w:pPr>
        <w:spacing w:before="120" w:after="120"/>
        <w:ind w:left="284"/>
        <w:jc w:val="both"/>
        <w:rPr>
          <w:rFonts w:ascii="Palatino Linotype" w:eastAsia="Palatino Linotype" w:hAnsi="Palatino Linotype" w:cs="Palatino Linotype"/>
          <w:i/>
          <w:sz w:val="20"/>
          <w:szCs w:val="20"/>
        </w:rPr>
      </w:pPr>
      <w:r w:rsidRPr="00F1727B">
        <w:rPr>
          <w:rFonts w:ascii="Palatino Linotype" w:eastAsia="Palatino Linotype" w:hAnsi="Palatino Linotype" w:cs="Palatino Linotype"/>
          <w:i/>
          <w:sz w:val="20"/>
          <w:szCs w:val="20"/>
        </w:rPr>
        <w:t>Para la entrega de información en versión pública, se deberá emitir el Acuerdo del Comité de Transparencia de acuerdo con la Ley de Transparencia y Acceso a la Información Pública del Estado de México y Municipios, en el que funde y motive las razones sobre los datos que se supriman</w:t>
      </w:r>
      <w:r w:rsidR="00DF4FB7" w:rsidRPr="00F1727B">
        <w:rPr>
          <w:rFonts w:ascii="Palatino Linotype" w:eastAsia="Palatino Linotype" w:hAnsi="Palatino Linotype" w:cs="Palatino Linotype"/>
          <w:i/>
          <w:sz w:val="20"/>
          <w:szCs w:val="20"/>
        </w:rPr>
        <w:t xml:space="preserve"> o eliminen</w:t>
      </w:r>
      <w:r w:rsidRPr="00F1727B">
        <w:rPr>
          <w:rFonts w:ascii="Palatino Linotype" w:eastAsia="Palatino Linotype" w:hAnsi="Palatino Linotype" w:cs="Palatino Linotype"/>
          <w:i/>
          <w:sz w:val="20"/>
          <w:szCs w:val="20"/>
        </w:rPr>
        <w:t>, mismo que también hará de conocimiento de</w:t>
      </w:r>
      <w:r w:rsidR="00DF4FB7" w:rsidRPr="00F1727B">
        <w:rPr>
          <w:rFonts w:ascii="Palatino Linotype" w:eastAsia="Palatino Linotype" w:hAnsi="Palatino Linotype" w:cs="Palatino Linotype"/>
          <w:i/>
          <w:sz w:val="20"/>
          <w:szCs w:val="20"/>
        </w:rPr>
        <w:t xml:space="preserve"> </w:t>
      </w:r>
      <w:r w:rsidRPr="00F1727B">
        <w:rPr>
          <w:rFonts w:ascii="Palatino Linotype" w:eastAsia="Palatino Linotype" w:hAnsi="Palatino Linotype" w:cs="Palatino Linotype"/>
          <w:i/>
          <w:sz w:val="20"/>
          <w:szCs w:val="20"/>
        </w:rPr>
        <w:t>l</w:t>
      </w:r>
      <w:r w:rsidR="00DF4FB7" w:rsidRPr="00F1727B">
        <w:rPr>
          <w:rFonts w:ascii="Palatino Linotype" w:eastAsia="Palatino Linotype" w:hAnsi="Palatino Linotype" w:cs="Palatino Linotype"/>
          <w:i/>
          <w:sz w:val="20"/>
          <w:szCs w:val="20"/>
        </w:rPr>
        <w:t xml:space="preserve">a parte </w:t>
      </w:r>
      <w:r w:rsidR="00DF4FB7" w:rsidRPr="00F1727B">
        <w:rPr>
          <w:rFonts w:ascii="Palatino Linotype" w:eastAsia="Palatino Linotype" w:hAnsi="Palatino Linotype" w:cs="Palatino Linotype"/>
          <w:b/>
          <w:bCs/>
          <w:i/>
          <w:sz w:val="20"/>
          <w:szCs w:val="20"/>
        </w:rPr>
        <w:t>Recurrente.</w:t>
      </w:r>
    </w:p>
    <w:p w14:paraId="6B12F0AC" w14:textId="77777777" w:rsidR="00193AE1" w:rsidRPr="00F1727B" w:rsidRDefault="00193AE1" w:rsidP="00193AE1">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b/>
          <w:sz w:val="22"/>
          <w:szCs w:val="22"/>
        </w:rPr>
        <w:t xml:space="preserve">Tercero. Notifíquese, </w:t>
      </w:r>
      <w:r w:rsidRPr="00F1727B">
        <w:rPr>
          <w:rFonts w:ascii="Palatino Linotype" w:eastAsia="Palatino Linotype" w:hAnsi="Palatino Linotype" w:cs="Palatino Linotype"/>
          <w:sz w:val="22"/>
          <w:szCs w:val="22"/>
        </w:rPr>
        <w:t xml:space="preserve">vía </w:t>
      </w:r>
      <w:r w:rsidRPr="00F1727B">
        <w:rPr>
          <w:rFonts w:ascii="Palatino Linotype" w:eastAsia="Palatino Linotype" w:hAnsi="Palatino Linotype" w:cs="Palatino Linotype"/>
          <w:b/>
          <w:sz w:val="22"/>
          <w:szCs w:val="22"/>
        </w:rPr>
        <w:t>SAIMEX</w:t>
      </w:r>
      <w:r w:rsidRPr="00F1727B">
        <w:rPr>
          <w:rFonts w:ascii="Palatino Linotype" w:eastAsia="Palatino Linotype" w:hAnsi="Palatino Linotype" w:cs="Palatino Linotype"/>
          <w:sz w:val="22"/>
          <w:szCs w:val="22"/>
        </w:rPr>
        <w:t xml:space="preserve">, al Titular de la Unidad de Transparencia del </w:t>
      </w:r>
      <w:r w:rsidRPr="00F1727B">
        <w:rPr>
          <w:rFonts w:ascii="Palatino Linotype" w:eastAsia="Palatino Linotype" w:hAnsi="Palatino Linotype" w:cs="Palatino Linotype"/>
          <w:b/>
          <w:sz w:val="22"/>
          <w:szCs w:val="22"/>
        </w:rPr>
        <w:t>Sujeto Obligado,</w:t>
      </w:r>
      <w:r w:rsidRPr="00F1727B">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0A7DBDD" w14:textId="77777777" w:rsidR="00193AE1" w:rsidRPr="00F1727B" w:rsidRDefault="00193AE1" w:rsidP="00193AE1">
      <w:pPr>
        <w:spacing w:before="240" w:after="240" w:line="360" w:lineRule="auto"/>
        <w:jc w:val="both"/>
        <w:rPr>
          <w:rFonts w:ascii="Palatino Linotype" w:eastAsia="Palatino Linotype" w:hAnsi="Palatino Linotype" w:cs="Palatino Linotype"/>
          <w:sz w:val="22"/>
          <w:szCs w:val="22"/>
        </w:rPr>
      </w:pPr>
      <w:r w:rsidRPr="00F1727B">
        <w:rPr>
          <w:rFonts w:ascii="Palatino Linotype" w:eastAsia="Palatino Linotype" w:hAnsi="Palatino Linotype" w:cs="Palatino Linotype"/>
          <w:sz w:val="22"/>
          <w:szCs w:val="22"/>
        </w:rPr>
        <w:t xml:space="preserve">De conformidad con el artículo 198 de la Ley de Transparencia y Acceso a la Información Pública del Estado de México y Municipios, de considerarlo procedente, el </w:t>
      </w:r>
      <w:r w:rsidRPr="00F1727B">
        <w:rPr>
          <w:rFonts w:ascii="Palatino Linotype" w:eastAsia="Palatino Linotype" w:hAnsi="Palatino Linotype" w:cs="Palatino Linotype"/>
          <w:b/>
          <w:sz w:val="22"/>
          <w:szCs w:val="22"/>
        </w:rPr>
        <w:t>Sujeto Obligado</w:t>
      </w:r>
      <w:r w:rsidRPr="00F1727B">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52AA7DFB" w14:textId="77777777" w:rsidR="00193AE1" w:rsidRPr="00F1727B" w:rsidRDefault="00193AE1" w:rsidP="00193AE1">
      <w:pPr>
        <w:spacing w:before="240" w:after="240" w:line="360" w:lineRule="auto"/>
        <w:jc w:val="both"/>
        <w:rPr>
          <w:rFonts w:ascii="Palatino Linotype" w:eastAsia="Palatino Linotype" w:hAnsi="Palatino Linotype" w:cs="Palatino Linotype"/>
          <w:sz w:val="22"/>
          <w:szCs w:val="22"/>
        </w:rPr>
      </w:pPr>
      <w:bookmarkStart w:id="12" w:name="_heading=h.17dp8vu" w:colFirst="0" w:colLast="0"/>
      <w:bookmarkEnd w:id="12"/>
      <w:r w:rsidRPr="00F1727B">
        <w:rPr>
          <w:rFonts w:ascii="Palatino Linotype" w:eastAsia="Palatino Linotype" w:hAnsi="Palatino Linotype" w:cs="Palatino Linotype"/>
          <w:b/>
          <w:sz w:val="22"/>
          <w:szCs w:val="22"/>
        </w:rPr>
        <w:t xml:space="preserve">Cuarto.  Notifíquese, </w:t>
      </w:r>
      <w:r w:rsidRPr="00F1727B">
        <w:rPr>
          <w:rFonts w:ascii="Palatino Linotype" w:eastAsia="Palatino Linotype" w:hAnsi="Palatino Linotype" w:cs="Palatino Linotype"/>
          <w:sz w:val="22"/>
          <w:szCs w:val="22"/>
        </w:rPr>
        <w:t xml:space="preserve">vía </w:t>
      </w:r>
      <w:r w:rsidRPr="00F1727B">
        <w:rPr>
          <w:rFonts w:ascii="Palatino Linotype" w:eastAsia="Palatino Linotype" w:hAnsi="Palatino Linotype" w:cs="Palatino Linotype"/>
          <w:b/>
          <w:sz w:val="22"/>
          <w:szCs w:val="22"/>
        </w:rPr>
        <w:t>SAIMEX</w:t>
      </w:r>
      <w:r w:rsidRPr="00F1727B">
        <w:rPr>
          <w:rFonts w:ascii="Palatino Linotype" w:eastAsia="Palatino Linotype" w:hAnsi="Palatino Linotype" w:cs="Palatino Linotype"/>
          <w:sz w:val="22"/>
          <w:szCs w:val="22"/>
        </w:rPr>
        <w:t xml:space="preserve">, a la parte </w:t>
      </w:r>
      <w:r w:rsidRPr="00F1727B">
        <w:rPr>
          <w:rFonts w:ascii="Palatino Linotype" w:eastAsia="Palatino Linotype" w:hAnsi="Palatino Linotype" w:cs="Palatino Linotype"/>
          <w:b/>
          <w:sz w:val="22"/>
          <w:szCs w:val="22"/>
        </w:rPr>
        <w:t>Recurrente</w:t>
      </w:r>
      <w:r w:rsidRPr="00F1727B">
        <w:rPr>
          <w:rFonts w:ascii="Palatino Linotype" w:eastAsia="Palatino Linotype" w:hAnsi="Palatino Linotype" w:cs="Palatino Linotype"/>
          <w:sz w:val="22"/>
          <w:szCs w:val="22"/>
        </w:rPr>
        <w:t xml:space="preserve"> 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4D598642" w14:textId="4F107AAB" w:rsidR="00562A90" w:rsidRPr="00F1727B" w:rsidRDefault="0062255D">
      <w:pPr>
        <w:tabs>
          <w:tab w:val="left" w:pos="8647"/>
        </w:tabs>
        <w:spacing w:before="240" w:after="240" w:line="360" w:lineRule="auto"/>
        <w:ind w:right="51"/>
        <w:jc w:val="both"/>
        <w:rPr>
          <w:rFonts w:ascii="Palatino Linotype" w:eastAsia="Palatino Linotype" w:hAnsi="Palatino Linotype" w:cs="Palatino Linotype"/>
          <w:sz w:val="22"/>
          <w:szCs w:val="22"/>
        </w:rPr>
      </w:pPr>
      <w:bookmarkStart w:id="13" w:name="_heading=h.lnxbz9" w:colFirst="0" w:colLast="0"/>
      <w:bookmarkEnd w:id="13"/>
      <w:r w:rsidRPr="00F1727B">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754A2B" w:rsidRPr="00F1727B">
        <w:rPr>
          <w:rFonts w:ascii="Palatino Linotype" w:eastAsia="Palatino Linotype" w:hAnsi="Palatino Linotype" w:cs="Palatino Linotype"/>
          <w:sz w:val="22"/>
          <w:szCs w:val="22"/>
        </w:rPr>
        <w:t>OCTAVA</w:t>
      </w:r>
      <w:r w:rsidR="00425F35" w:rsidRPr="00F1727B">
        <w:rPr>
          <w:rFonts w:ascii="Palatino Linotype" w:eastAsia="Palatino Linotype" w:hAnsi="Palatino Linotype" w:cs="Palatino Linotype"/>
          <w:sz w:val="22"/>
          <w:szCs w:val="22"/>
        </w:rPr>
        <w:t xml:space="preserve"> </w:t>
      </w:r>
      <w:r w:rsidRPr="00F1727B">
        <w:rPr>
          <w:rFonts w:ascii="Palatino Linotype" w:eastAsia="Palatino Linotype" w:hAnsi="Palatino Linotype" w:cs="Palatino Linotype"/>
          <w:sz w:val="22"/>
          <w:szCs w:val="22"/>
        </w:rPr>
        <w:t xml:space="preserve">SESIÓN ORDINARIA CELEBRADA EL </w:t>
      </w:r>
      <w:r w:rsidR="00754A2B" w:rsidRPr="00F1727B">
        <w:rPr>
          <w:rFonts w:ascii="Palatino Linotype" w:eastAsia="Palatino Linotype" w:hAnsi="Palatino Linotype" w:cs="Palatino Linotype"/>
          <w:sz w:val="22"/>
          <w:szCs w:val="22"/>
        </w:rPr>
        <w:t>CINCO DE MARZO</w:t>
      </w:r>
      <w:r w:rsidR="00DF4FB7" w:rsidRPr="00F1727B">
        <w:rPr>
          <w:rFonts w:ascii="Palatino Linotype" w:eastAsia="Palatino Linotype" w:hAnsi="Palatino Linotype" w:cs="Palatino Linotype"/>
          <w:sz w:val="22"/>
          <w:szCs w:val="22"/>
        </w:rPr>
        <w:t xml:space="preserve"> </w:t>
      </w:r>
      <w:r w:rsidRPr="00F1727B">
        <w:rPr>
          <w:rFonts w:ascii="Palatino Linotype" w:eastAsia="Palatino Linotype" w:hAnsi="Palatino Linotype" w:cs="Palatino Linotype"/>
          <w:sz w:val="22"/>
          <w:szCs w:val="22"/>
        </w:rPr>
        <w:t>DE DOS MIL VEINTI</w:t>
      </w:r>
      <w:r w:rsidR="00DF4FB7" w:rsidRPr="00F1727B">
        <w:rPr>
          <w:rFonts w:ascii="Palatino Linotype" w:eastAsia="Palatino Linotype" w:hAnsi="Palatino Linotype" w:cs="Palatino Linotype"/>
          <w:sz w:val="22"/>
          <w:szCs w:val="22"/>
        </w:rPr>
        <w:t>SÉIS</w:t>
      </w:r>
      <w:r w:rsidRPr="00F1727B">
        <w:rPr>
          <w:rFonts w:ascii="Palatino Linotype" w:eastAsia="Palatino Linotype" w:hAnsi="Palatino Linotype" w:cs="Palatino Linotype"/>
          <w:sz w:val="22"/>
          <w:szCs w:val="22"/>
        </w:rPr>
        <w:t>, ANTE EL SECRETARIO TÉCNICO DEL PLENO ALEXIS TAPIA RAMÍREZ.</w:t>
      </w:r>
    </w:p>
    <w:p w14:paraId="7E80776D" w14:textId="77777777" w:rsidR="00562A90" w:rsidRPr="00F1727B" w:rsidRDefault="00562A90">
      <w:pPr>
        <w:spacing w:line="360" w:lineRule="auto"/>
        <w:jc w:val="both"/>
        <w:rPr>
          <w:rFonts w:ascii="Palatino Linotype" w:eastAsia="Palatino Linotype" w:hAnsi="Palatino Linotype" w:cs="Palatino Linotype"/>
          <w:sz w:val="22"/>
          <w:szCs w:val="22"/>
        </w:rPr>
      </w:pPr>
    </w:p>
    <w:p w14:paraId="21728E8E" w14:textId="77777777" w:rsidR="00562A90" w:rsidRPr="00F1727B" w:rsidRDefault="00562A90">
      <w:pPr>
        <w:spacing w:line="360" w:lineRule="auto"/>
        <w:jc w:val="center"/>
        <w:rPr>
          <w:rFonts w:ascii="Palatino Linotype" w:eastAsia="Palatino Linotype" w:hAnsi="Palatino Linotype" w:cs="Palatino Linotype"/>
          <w:sz w:val="22"/>
          <w:szCs w:val="22"/>
        </w:rPr>
      </w:pPr>
    </w:p>
    <w:p w14:paraId="42D39E19" w14:textId="77777777" w:rsidR="00562A90" w:rsidRPr="00F1727B" w:rsidRDefault="00562A90">
      <w:pPr>
        <w:spacing w:line="360" w:lineRule="auto"/>
        <w:jc w:val="both"/>
        <w:rPr>
          <w:rFonts w:ascii="Palatino Linotype" w:eastAsia="Palatino Linotype" w:hAnsi="Palatino Linotype" w:cs="Palatino Linotype"/>
          <w:sz w:val="22"/>
          <w:szCs w:val="22"/>
        </w:rPr>
      </w:pPr>
    </w:p>
    <w:p w14:paraId="4B650DFB" w14:textId="77777777" w:rsidR="00562A90" w:rsidRPr="00F1727B" w:rsidRDefault="00562A90">
      <w:pPr>
        <w:spacing w:line="360" w:lineRule="auto"/>
        <w:jc w:val="both"/>
        <w:rPr>
          <w:rFonts w:ascii="Palatino Linotype" w:eastAsia="Palatino Linotype" w:hAnsi="Palatino Linotype" w:cs="Palatino Linotype"/>
          <w:sz w:val="22"/>
          <w:szCs w:val="22"/>
        </w:rPr>
      </w:pPr>
    </w:p>
    <w:p w14:paraId="7ED63B69" w14:textId="77777777" w:rsidR="00562A90" w:rsidRPr="00F1727B" w:rsidRDefault="00562A90">
      <w:pPr>
        <w:spacing w:line="360" w:lineRule="auto"/>
        <w:jc w:val="both"/>
        <w:rPr>
          <w:rFonts w:ascii="Palatino Linotype" w:eastAsia="Palatino Linotype" w:hAnsi="Palatino Linotype" w:cs="Palatino Linotype"/>
          <w:sz w:val="22"/>
          <w:szCs w:val="22"/>
        </w:rPr>
      </w:pPr>
    </w:p>
    <w:p w14:paraId="7BB21431" w14:textId="77777777" w:rsidR="00562A90" w:rsidRPr="00F1727B" w:rsidRDefault="00562A90">
      <w:pPr>
        <w:spacing w:line="360" w:lineRule="auto"/>
        <w:jc w:val="both"/>
        <w:rPr>
          <w:rFonts w:ascii="Palatino Linotype" w:eastAsia="Palatino Linotype" w:hAnsi="Palatino Linotype" w:cs="Palatino Linotype"/>
          <w:sz w:val="22"/>
          <w:szCs w:val="22"/>
        </w:rPr>
      </w:pPr>
    </w:p>
    <w:p w14:paraId="79BD8F1D" w14:textId="77777777" w:rsidR="00562A90" w:rsidRPr="00F1727B" w:rsidRDefault="00562A90">
      <w:pPr>
        <w:spacing w:line="360" w:lineRule="auto"/>
        <w:jc w:val="both"/>
        <w:rPr>
          <w:rFonts w:ascii="Palatino Linotype" w:eastAsia="Palatino Linotype" w:hAnsi="Palatino Linotype" w:cs="Palatino Linotype"/>
          <w:sz w:val="22"/>
          <w:szCs w:val="22"/>
        </w:rPr>
      </w:pPr>
    </w:p>
    <w:p w14:paraId="78283A5A" w14:textId="77777777" w:rsidR="00562A90" w:rsidRPr="00F1727B" w:rsidRDefault="00562A90">
      <w:pPr>
        <w:spacing w:line="360" w:lineRule="auto"/>
        <w:jc w:val="both"/>
        <w:rPr>
          <w:rFonts w:ascii="Palatino Linotype" w:eastAsia="Palatino Linotype" w:hAnsi="Palatino Linotype" w:cs="Palatino Linotype"/>
          <w:sz w:val="22"/>
          <w:szCs w:val="22"/>
        </w:rPr>
      </w:pPr>
    </w:p>
    <w:p w14:paraId="3A538169" w14:textId="77777777" w:rsidR="00562A90" w:rsidRPr="00F1727B" w:rsidRDefault="00562A90">
      <w:pPr>
        <w:spacing w:line="360" w:lineRule="auto"/>
        <w:jc w:val="both"/>
        <w:rPr>
          <w:rFonts w:ascii="Palatino Linotype" w:eastAsia="Palatino Linotype" w:hAnsi="Palatino Linotype" w:cs="Palatino Linotype"/>
          <w:sz w:val="22"/>
          <w:szCs w:val="22"/>
        </w:rPr>
      </w:pPr>
    </w:p>
    <w:p w14:paraId="30987695" w14:textId="77777777" w:rsidR="00562A90" w:rsidRPr="00F1727B" w:rsidRDefault="00562A90">
      <w:pPr>
        <w:spacing w:line="360" w:lineRule="auto"/>
        <w:jc w:val="both"/>
        <w:rPr>
          <w:rFonts w:ascii="Palatino Linotype" w:eastAsia="Palatino Linotype" w:hAnsi="Palatino Linotype" w:cs="Palatino Linotype"/>
          <w:sz w:val="22"/>
          <w:szCs w:val="22"/>
        </w:rPr>
      </w:pPr>
    </w:p>
    <w:p w14:paraId="6409F902" w14:textId="77777777" w:rsidR="00562A90" w:rsidRPr="00F1727B" w:rsidRDefault="00562A90">
      <w:pPr>
        <w:spacing w:line="360" w:lineRule="auto"/>
        <w:jc w:val="both"/>
        <w:rPr>
          <w:rFonts w:ascii="Palatino Linotype" w:eastAsia="Palatino Linotype" w:hAnsi="Palatino Linotype" w:cs="Palatino Linotype"/>
          <w:sz w:val="22"/>
          <w:szCs w:val="22"/>
        </w:rPr>
      </w:pPr>
    </w:p>
    <w:p w14:paraId="6DA2BB7C" w14:textId="77777777" w:rsidR="00562A90" w:rsidRPr="00F1727B" w:rsidRDefault="00562A90">
      <w:pPr>
        <w:spacing w:line="360" w:lineRule="auto"/>
        <w:jc w:val="both"/>
        <w:rPr>
          <w:rFonts w:ascii="Palatino Linotype" w:eastAsia="Palatino Linotype" w:hAnsi="Palatino Linotype" w:cs="Palatino Linotype"/>
          <w:sz w:val="22"/>
          <w:szCs w:val="22"/>
        </w:rPr>
      </w:pPr>
    </w:p>
    <w:p w14:paraId="16FF6442" w14:textId="77777777" w:rsidR="00562A90" w:rsidRPr="00F1727B" w:rsidRDefault="00562A90">
      <w:pPr>
        <w:spacing w:line="360" w:lineRule="auto"/>
        <w:jc w:val="both"/>
        <w:rPr>
          <w:rFonts w:ascii="Palatino Linotype" w:eastAsia="Palatino Linotype" w:hAnsi="Palatino Linotype" w:cs="Palatino Linotype"/>
          <w:sz w:val="22"/>
          <w:szCs w:val="22"/>
        </w:rPr>
      </w:pPr>
    </w:p>
    <w:p w14:paraId="5EB5F424" w14:textId="77777777" w:rsidR="00562A90" w:rsidRPr="00F1727B" w:rsidRDefault="00562A90">
      <w:pPr>
        <w:spacing w:line="360" w:lineRule="auto"/>
        <w:jc w:val="both"/>
        <w:rPr>
          <w:rFonts w:ascii="Palatino Linotype" w:eastAsia="Palatino Linotype" w:hAnsi="Palatino Linotype" w:cs="Palatino Linotype"/>
          <w:sz w:val="22"/>
          <w:szCs w:val="22"/>
        </w:rPr>
      </w:pPr>
    </w:p>
    <w:p w14:paraId="056403D1" w14:textId="77777777" w:rsidR="00562A90" w:rsidRPr="00F1727B" w:rsidRDefault="00562A90">
      <w:pPr>
        <w:spacing w:line="360" w:lineRule="auto"/>
        <w:jc w:val="both"/>
        <w:rPr>
          <w:rFonts w:ascii="Palatino Linotype" w:eastAsia="Palatino Linotype" w:hAnsi="Palatino Linotype" w:cs="Palatino Linotype"/>
          <w:sz w:val="22"/>
          <w:szCs w:val="22"/>
        </w:rPr>
      </w:pPr>
    </w:p>
    <w:p w14:paraId="68F30A44" w14:textId="77777777" w:rsidR="00562A90" w:rsidRPr="00F1727B" w:rsidRDefault="00562A90">
      <w:pPr>
        <w:spacing w:line="360" w:lineRule="auto"/>
        <w:jc w:val="both"/>
        <w:rPr>
          <w:rFonts w:ascii="Palatino Linotype" w:eastAsia="Palatino Linotype" w:hAnsi="Palatino Linotype" w:cs="Palatino Linotype"/>
          <w:sz w:val="22"/>
          <w:szCs w:val="22"/>
        </w:rPr>
      </w:pPr>
    </w:p>
    <w:p w14:paraId="4EDDCC63" w14:textId="77777777" w:rsidR="00562A90" w:rsidRPr="00F1727B" w:rsidRDefault="00562A90">
      <w:pPr>
        <w:spacing w:line="360" w:lineRule="auto"/>
        <w:jc w:val="both"/>
        <w:rPr>
          <w:rFonts w:ascii="Palatino Linotype" w:eastAsia="Palatino Linotype" w:hAnsi="Palatino Linotype" w:cs="Palatino Linotype"/>
          <w:sz w:val="22"/>
          <w:szCs w:val="22"/>
        </w:rPr>
      </w:pPr>
    </w:p>
    <w:p w14:paraId="2DF6CB35" w14:textId="77777777" w:rsidR="00562A90" w:rsidRPr="00F1727B" w:rsidRDefault="00562A90">
      <w:pPr>
        <w:spacing w:line="360" w:lineRule="auto"/>
        <w:jc w:val="both"/>
        <w:rPr>
          <w:rFonts w:ascii="Palatino Linotype" w:eastAsia="Palatino Linotype" w:hAnsi="Palatino Linotype" w:cs="Palatino Linotype"/>
          <w:sz w:val="22"/>
          <w:szCs w:val="22"/>
        </w:rPr>
      </w:pPr>
    </w:p>
    <w:p w14:paraId="6FDE708A" w14:textId="77777777" w:rsidR="00562A90" w:rsidRPr="00F1727B" w:rsidRDefault="00562A90">
      <w:pPr>
        <w:spacing w:line="360" w:lineRule="auto"/>
        <w:jc w:val="both"/>
        <w:rPr>
          <w:rFonts w:ascii="Palatino Linotype" w:eastAsia="Palatino Linotype" w:hAnsi="Palatino Linotype" w:cs="Palatino Linotype"/>
          <w:sz w:val="22"/>
          <w:szCs w:val="22"/>
        </w:rPr>
      </w:pPr>
    </w:p>
    <w:p w14:paraId="4390587E" w14:textId="77777777" w:rsidR="00562A90" w:rsidRPr="00F1727B" w:rsidRDefault="00562A90">
      <w:pPr>
        <w:spacing w:line="360" w:lineRule="auto"/>
        <w:jc w:val="both"/>
        <w:rPr>
          <w:rFonts w:ascii="Palatino Linotype" w:eastAsia="Palatino Linotype" w:hAnsi="Palatino Linotype" w:cs="Palatino Linotype"/>
          <w:sz w:val="22"/>
          <w:szCs w:val="22"/>
        </w:rPr>
      </w:pPr>
    </w:p>
    <w:p w14:paraId="5F867AD1" w14:textId="77777777" w:rsidR="00CD09AE" w:rsidRPr="00F1727B" w:rsidRDefault="00CD09AE">
      <w:pPr>
        <w:spacing w:line="360" w:lineRule="auto"/>
        <w:jc w:val="both"/>
        <w:rPr>
          <w:rFonts w:ascii="Palatino Linotype" w:eastAsia="Palatino Linotype" w:hAnsi="Palatino Linotype" w:cs="Palatino Linotype"/>
          <w:sz w:val="22"/>
          <w:szCs w:val="22"/>
        </w:rPr>
      </w:pPr>
    </w:p>
    <w:p w14:paraId="45229870" w14:textId="77777777" w:rsidR="00CD09AE" w:rsidRPr="00F1727B" w:rsidRDefault="00CD09AE">
      <w:pPr>
        <w:spacing w:line="360" w:lineRule="auto"/>
        <w:jc w:val="both"/>
        <w:rPr>
          <w:rFonts w:ascii="Palatino Linotype" w:eastAsia="Palatino Linotype" w:hAnsi="Palatino Linotype" w:cs="Palatino Linotype"/>
          <w:sz w:val="22"/>
          <w:szCs w:val="22"/>
        </w:rPr>
      </w:pPr>
    </w:p>
    <w:p w14:paraId="5B3EEBD5" w14:textId="77777777" w:rsidR="00CD09AE" w:rsidRPr="00F1727B" w:rsidRDefault="00CD09AE">
      <w:pPr>
        <w:spacing w:line="360" w:lineRule="auto"/>
        <w:jc w:val="both"/>
        <w:rPr>
          <w:rFonts w:ascii="Palatino Linotype" w:eastAsia="Palatino Linotype" w:hAnsi="Palatino Linotype" w:cs="Palatino Linotype"/>
          <w:sz w:val="22"/>
          <w:szCs w:val="22"/>
        </w:rPr>
      </w:pPr>
    </w:p>
    <w:sectPr w:rsidR="00CD09AE" w:rsidRPr="00F1727B">
      <w:headerReference w:type="default" r:id="rId19"/>
      <w:footerReference w:type="default" r:id="rId20"/>
      <w:headerReference w:type="first" r:id="rId21"/>
      <w:footerReference w:type="first" r:id="rId22"/>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FEF77" w14:textId="77777777" w:rsidR="004117AD" w:rsidRDefault="004117AD">
      <w:r>
        <w:separator/>
      </w:r>
    </w:p>
  </w:endnote>
  <w:endnote w:type="continuationSeparator" w:id="0">
    <w:p w14:paraId="58E8E18E" w14:textId="77777777" w:rsidR="004117AD" w:rsidRDefault="00411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2E014" w14:textId="31450179" w:rsidR="001F0BCC" w:rsidRDefault="001F0BCC">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E923B6">
      <w:rPr>
        <w:rFonts w:ascii="Palatino Linotype" w:eastAsia="Palatino Linotype" w:hAnsi="Palatino Linotype" w:cs="Palatino Linotype"/>
        <w:b/>
        <w:noProof/>
        <w:color w:val="000000"/>
        <w:sz w:val="20"/>
        <w:szCs w:val="20"/>
      </w:rPr>
      <w:t>26</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E923B6">
      <w:rPr>
        <w:rFonts w:ascii="Palatino Linotype" w:eastAsia="Palatino Linotype" w:hAnsi="Palatino Linotype" w:cs="Palatino Linotype"/>
        <w:b/>
        <w:noProof/>
        <w:color w:val="000000"/>
        <w:sz w:val="20"/>
        <w:szCs w:val="20"/>
      </w:rPr>
      <w:t>50</w:t>
    </w:r>
    <w:r>
      <w:rPr>
        <w:rFonts w:ascii="Palatino Linotype" w:eastAsia="Palatino Linotype" w:hAnsi="Palatino Linotype" w:cs="Palatino Linotype"/>
        <w:b/>
        <w:color w:val="000000"/>
        <w:sz w:val="20"/>
        <w:szCs w:val="20"/>
      </w:rPr>
      <w:fldChar w:fldCharType="end"/>
    </w:r>
  </w:p>
  <w:p w14:paraId="49CB52A8" w14:textId="77777777" w:rsidR="001F0BCC" w:rsidRDefault="001F0BCC">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59AB5" w14:textId="711925E7" w:rsidR="001F0BCC" w:rsidRDefault="001F0BCC">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E923B6">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E923B6">
      <w:rPr>
        <w:rFonts w:ascii="Palatino Linotype" w:eastAsia="Palatino Linotype" w:hAnsi="Palatino Linotype" w:cs="Palatino Linotype"/>
        <w:b/>
        <w:noProof/>
        <w:color w:val="000000"/>
        <w:sz w:val="20"/>
        <w:szCs w:val="20"/>
      </w:rPr>
      <w:t>50</w:t>
    </w:r>
    <w:r>
      <w:rPr>
        <w:rFonts w:ascii="Palatino Linotype" w:eastAsia="Palatino Linotype" w:hAnsi="Palatino Linotype" w:cs="Palatino Linotype"/>
        <w:b/>
        <w:color w:val="000000"/>
        <w:sz w:val="20"/>
        <w:szCs w:val="20"/>
      </w:rPr>
      <w:fldChar w:fldCharType="end"/>
    </w:r>
  </w:p>
  <w:p w14:paraId="21ECF124" w14:textId="77777777" w:rsidR="001F0BCC" w:rsidRDefault="001F0BCC">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51549" w14:textId="77777777" w:rsidR="004117AD" w:rsidRDefault="004117AD">
      <w:r>
        <w:separator/>
      </w:r>
    </w:p>
  </w:footnote>
  <w:footnote w:type="continuationSeparator" w:id="0">
    <w:p w14:paraId="23739D93" w14:textId="77777777" w:rsidR="004117AD" w:rsidRDefault="004117AD">
      <w:r>
        <w:continuationSeparator/>
      </w:r>
    </w:p>
  </w:footnote>
  <w:footnote w:id="1">
    <w:p w14:paraId="50BDB214" w14:textId="77777777" w:rsidR="00EC15BD" w:rsidRDefault="00EC15BD" w:rsidP="00EC15BD">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Consultable en: </w:t>
      </w:r>
    </w:p>
    <w:p w14:paraId="18659AC9" w14:textId="77777777" w:rsidR="00EC15BD" w:rsidRDefault="00E923B6" w:rsidP="00EC15BD">
      <w:pPr>
        <w:pBdr>
          <w:top w:val="nil"/>
          <w:left w:val="nil"/>
          <w:bottom w:val="nil"/>
          <w:right w:val="nil"/>
          <w:between w:val="nil"/>
        </w:pBdr>
        <w:jc w:val="both"/>
        <w:rPr>
          <w:rFonts w:ascii="Palatino Linotype" w:eastAsia="Palatino Linotype" w:hAnsi="Palatino Linotype" w:cs="Palatino Linotype"/>
          <w:color w:val="000000"/>
          <w:sz w:val="16"/>
          <w:szCs w:val="16"/>
        </w:rPr>
      </w:pPr>
      <w:hyperlink r:id="rId1">
        <w:r w:rsidR="00EC15BD">
          <w:rPr>
            <w:rFonts w:ascii="Palatino Linotype" w:eastAsia="Palatino Linotype" w:hAnsi="Palatino Linotype" w:cs="Palatino Linotype"/>
            <w:color w:val="0000FF"/>
            <w:sz w:val="16"/>
            <w:szCs w:val="16"/>
            <w:u w:val="single"/>
          </w:rPr>
          <w:t>https://www.indetec.gob.mx/delivery?srv=0&amp;sl=3&amp;path=/biblioteca/Especiales/386_Glosario_Terminos_Proceso_Planeacion.pdf</w:t>
        </w:r>
      </w:hyperlink>
      <w:r w:rsidR="00EC15BD">
        <w:rPr>
          <w:rFonts w:ascii="Palatino Linotype" w:eastAsia="Palatino Linotype" w:hAnsi="Palatino Linotype" w:cs="Palatino Linotype"/>
          <w:color w:val="000000"/>
          <w:sz w:val="16"/>
          <w:szCs w:val="16"/>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2AF42" w14:textId="77777777" w:rsidR="001F0BCC" w:rsidRDefault="001F0BCC">
    <w:pPr>
      <w:rPr>
        <w:rFonts w:ascii="Cambria" w:eastAsia="Cambria" w:hAnsi="Cambria" w:cs="Cambria"/>
        <w:color w:val="000000"/>
      </w:rPr>
    </w:pPr>
    <w:r>
      <w:rPr>
        <w:noProof/>
      </w:rPr>
      <w:drawing>
        <wp:anchor distT="0" distB="0" distL="0" distR="0" simplePos="0" relativeHeight="251658240" behindDoc="1" locked="0" layoutInCell="1" hidden="0" allowOverlap="1" wp14:anchorId="5A33C493" wp14:editId="0F090F1A">
          <wp:simplePos x="0" y="0"/>
          <wp:positionH relativeFrom="column">
            <wp:posOffset>-1080091</wp:posOffset>
          </wp:positionH>
          <wp:positionV relativeFrom="paragraph">
            <wp:posOffset>-488262</wp:posOffset>
          </wp:positionV>
          <wp:extent cx="7809865" cy="10165715"/>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fa"/>
      <w:tblW w:w="5953" w:type="dxa"/>
      <w:tblInd w:w="3261" w:type="dxa"/>
      <w:tblLayout w:type="fixed"/>
      <w:tblLook w:val="0400" w:firstRow="0" w:lastRow="0" w:firstColumn="0" w:lastColumn="0" w:noHBand="0" w:noVBand="1"/>
    </w:tblPr>
    <w:tblGrid>
      <w:gridCol w:w="2489"/>
      <w:gridCol w:w="3464"/>
    </w:tblGrid>
    <w:tr w:rsidR="001F0BCC" w14:paraId="4679E995" w14:textId="77777777">
      <w:tc>
        <w:tcPr>
          <w:tcW w:w="2489" w:type="dxa"/>
        </w:tcPr>
        <w:p w14:paraId="1CBA62BA" w14:textId="77777777" w:rsidR="001F0BCC" w:rsidRDefault="001F0BCC">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464" w:type="dxa"/>
          <w:vAlign w:val="center"/>
        </w:tcPr>
        <w:p w14:paraId="356A34D7" w14:textId="4F51EDC9" w:rsidR="001F0BCC" w:rsidRDefault="006F4E73" w:rsidP="005833F1">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12914</w:t>
          </w:r>
          <w:r w:rsidR="001F0BCC">
            <w:rPr>
              <w:rFonts w:ascii="Palatino Linotype" w:eastAsia="Palatino Linotype" w:hAnsi="Palatino Linotype" w:cs="Palatino Linotype"/>
              <w:b/>
              <w:sz w:val="22"/>
              <w:szCs w:val="22"/>
            </w:rPr>
            <w:t>/INFOEM/IP/RR/2025</w:t>
          </w:r>
        </w:p>
      </w:tc>
    </w:tr>
    <w:tr w:rsidR="001F0BCC" w14:paraId="6CFA67DE" w14:textId="77777777">
      <w:trPr>
        <w:trHeight w:val="228"/>
      </w:trPr>
      <w:tc>
        <w:tcPr>
          <w:tcW w:w="2489" w:type="dxa"/>
          <w:vAlign w:val="center"/>
        </w:tcPr>
        <w:p w14:paraId="4E02CBED" w14:textId="77777777" w:rsidR="001F0BCC" w:rsidRDefault="001F0BCC">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464" w:type="dxa"/>
          <w:vAlign w:val="center"/>
        </w:tcPr>
        <w:p w14:paraId="5C5611EC" w14:textId="03BCD152" w:rsidR="001F0BCC" w:rsidRDefault="00E046E0">
          <w:pPr>
            <w:ind w:left="-45" w:right="176"/>
            <w:jc w:val="both"/>
            <w:rPr>
              <w:rFonts w:ascii="Palatino Linotype" w:eastAsia="Palatino Linotype" w:hAnsi="Palatino Linotype" w:cs="Palatino Linotype"/>
              <w:b/>
              <w:sz w:val="22"/>
              <w:szCs w:val="22"/>
            </w:rPr>
          </w:pPr>
          <w:r w:rsidRPr="00E046E0">
            <w:rPr>
              <w:rFonts w:ascii="Palatino Linotype" w:eastAsia="Palatino Linotype" w:hAnsi="Palatino Linotype" w:cs="Palatino Linotype"/>
              <w:b/>
              <w:sz w:val="22"/>
              <w:szCs w:val="22"/>
            </w:rPr>
            <w:t>Sistema Municipal Para el Desarrollo Integral de la Familia de Huehuetoca</w:t>
          </w:r>
        </w:p>
      </w:tc>
    </w:tr>
    <w:tr w:rsidR="001F0BCC" w14:paraId="6FF09322" w14:textId="77777777">
      <w:tc>
        <w:tcPr>
          <w:tcW w:w="2489" w:type="dxa"/>
          <w:vAlign w:val="center"/>
        </w:tcPr>
        <w:p w14:paraId="5D6FA762" w14:textId="77777777" w:rsidR="001F0BCC" w:rsidRDefault="001F0BCC">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464" w:type="dxa"/>
          <w:vAlign w:val="center"/>
        </w:tcPr>
        <w:p w14:paraId="1F753EA2" w14:textId="77777777" w:rsidR="001F0BCC" w:rsidRDefault="001F0BCC">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7B4967B9" w14:textId="77777777" w:rsidR="001F0BCC" w:rsidRDefault="001F0BCC">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D5ECA" w14:textId="0F37943D" w:rsidR="001F0BCC" w:rsidRDefault="001F0BCC">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69951343" wp14:editId="1AFB5B80">
          <wp:simplePos x="0" y="0"/>
          <wp:positionH relativeFrom="column">
            <wp:posOffset>-1080134</wp:posOffset>
          </wp:positionH>
          <wp:positionV relativeFrom="paragraph">
            <wp:posOffset>-369892</wp:posOffset>
          </wp:positionV>
          <wp:extent cx="7809865" cy="10165715"/>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p>
  <w:tbl>
    <w:tblPr>
      <w:tblStyle w:val="affb"/>
      <w:tblW w:w="5953" w:type="dxa"/>
      <w:tblInd w:w="3261" w:type="dxa"/>
      <w:tblLayout w:type="fixed"/>
      <w:tblLook w:val="0400" w:firstRow="0" w:lastRow="0" w:firstColumn="0" w:lastColumn="0" w:noHBand="0" w:noVBand="1"/>
    </w:tblPr>
    <w:tblGrid>
      <w:gridCol w:w="2489"/>
      <w:gridCol w:w="3464"/>
    </w:tblGrid>
    <w:tr w:rsidR="001F0BCC" w14:paraId="0800C61A" w14:textId="77777777">
      <w:tc>
        <w:tcPr>
          <w:tcW w:w="2489" w:type="dxa"/>
        </w:tcPr>
        <w:p w14:paraId="45AA4645" w14:textId="77777777" w:rsidR="001F0BCC" w:rsidRDefault="001F0BCC">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464" w:type="dxa"/>
          <w:vAlign w:val="center"/>
        </w:tcPr>
        <w:p w14:paraId="3056AB92" w14:textId="2ABAD997" w:rsidR="001F0BCC" w:rsidRDefault="00E046E0" w:rsidP="00016E26">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w:t>
          </w:r>
          <w:r w:rsidR="006F4E73">
            <w:rPr>
              <w:rFonts w:ascii="Palatino Linotype" w:eastAsia="Palatino Linotype" w:hAnsi="Palatino Linotype" w:cs="Palatino Linotype"/>
              <w:b/>
              <w:sz w:val="22"/>
              <w:szCs w:val="22"/>
            </w:rPr>
            <w:t>2914</w:t>
          </w:r>
          <w:r w:rsidR="001F0BCC">
            <w:rPr>
              <w:rFonts w:ascii="Palatino Linotype" w:eastAsia="Palatino Linotype" w:hAnsi="Palatino Linotype" w:cs="Palatino Linotype"/>
              <w:b/>
              <w:sz w:val="22"/>
              <w:szCs w:val="22"/>
            </w:rPr>
            <w:t>INFOEM/IP/RR/2025</w:t>
          </w:r>
        </w:p>
      </w:tc>
    </w:tr>
    <w:tr w:rsidR="001F0BCC" w14:paraId="62298F76" w14:textId="77777777">
      <w:tc>
        <w:tcPr>
          <w:tcW w:w="2489" w:type="dxa"/>
        </w:tcPr>
        <w:p w14:paraId="20BC808E" w14:textId="77777777" w:rsidR="001F0BCC" w:rsidRDefault="001F0BCC">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464" w:type="dxa"/>
          <w:vAlign w:val="center"/>
        </w:tcPr>
        <w:p w14:paraId="7A9C8865" w14:textId="52FA8D52" w:rsidR="001F0BCC" w:rsidRPr="00606C35" w:rsidRDefault="001F0BCC">
          <w:pPr>
            <w:ind w:right="175"/>
            <w:jc w:val="both"/>
            <w:rPr>
              <w:rFonts w:ascii="Palatino Linotype" w:eastAsia="Palatino Linotype" w:hAnsi="Palatino Linotype" w:cs="Palatino Linotype"/>
              <w:b/>
              <w:sz w:val="22"/>
              <w:szCs w:val="22"/>
              <w:highlight w:val="yellow"/>
            </w:rPr>
          </w:pPr>
        </w:p>
      </w:tc>
    </w:tr>
    <w:tr w:rsidR="001F0BCC" w14:paraId="356DF698" w14:textId="77777777">
      <w:trPr>
        <w:trHeight w:val="228"/>
      </w:trPr>
      <w:tc>
        <w:tcPr>
          <w:tcW w:w="2489" w:type="dxa"/>
          <w:vAlign w:val="center"/>
        </w:tcPr>
        <w:p w14:paraId="6F719CF9" w14:textId="77777777" w:rsidR="001F0BCC" w:rsidRDefault="001F0BCC">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464" w:type="dxa"/>
          <w:vAlign w:val="center"/>
        </w:tcPr>
        <w:p w14:paraId="749FE701" w14:textId="73BFFE37" w:rsidR="001F0BCC" w:rsidRDefault="00E046E0">
          <w:pPr>
            <w:ind w:left="-45" w:right="176"/>
            <w:jc w:val="both"/>
            <w:rPr>
              <w:rFonts w:ascii="Palatino Linotype" w:eastAsia="Palatino Linotype" w:hAnsi="Palatino Linotype" w:cs="Palatino Linotype"/>
              <w:b/>
              <w:sz w:val="22"/>
              <w:szCs w:val="22"/>
            </w:rPr>
          </w:pPr>
          <w:r w:rsidRPr="00E046E0">
            <w:rPr>
              <w:rFonts w:ascii="Palatino Linotype" w:eastAsia="Palatino Linotype" w:hAnsi="Palatino Linotype" w:cs="Palatino Linotype"/>
              <w:b/>
              <w:sz w:val="22"/>
              <w:szCs w:val="22"/>
            </w:rPr>
            <w:t>Sistema Municipal Para el Desarrollo Integral de la Familia de Huehuetoca</w:t>
          </w:r>
        </w:p>
      </w:tc>
    </w:tr>
    <w:tr w:rsidR="001F0BCC" w14:paraId="70857C53" w14:textId="77777777">
      <w:tc>
        <w:tcPr>
          <w:tcW w:w="2489" w:type="dxa"/>
          <w:vAlign w:val="center"/>
        </w:tcPr>
        <w:p w14:paraId="5699E7FB" w14:textId="77777777" w:rsidR="001F0BCC" w:rsidRDefault="001F0BCC">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464" w:type="dxa"/>
          <w:vAlign w:val="center"/>
        </w:tcPr>
        <w:p w14:paraId="69655BF4" w14:textId="77777777" w:rsidR="001F0BCC" w:rsidRDefault="001F0BCC">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4BFF7071" w14:textId="77777777" w:rsidR="001F0BCC" w:rsidRDefault="001F0BC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E1E8B"/>
    <w:multiLevelType w:val="multilevel"/>
    <w:tmpl w:val="C92646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5329F5"/>
    <w:multiLevelType w:val="multilevel"/>
    <w:tmpl w:val="A6488AC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1A915B4D"/>
    <w:multiLevelType w:val="multilevel"/>
    <w:tmpl w:val="DFECDF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084782"/>
    <w:multiLevelType w:val="hybridMultilevel"/>
    <w:tmpl w:val="6A5CB0CE"/>
    <w:lvl w:ilvl="0" w:tplc="783622CA">
      <w:start w:val="1"/>
      <w:numFmt w:val="decimal"/>
      <w:lvlText w:val="%1."/>
      <w:lvlJc w:val="left"/>
      <w:pPr>
        <w:ind w:left="644" w:hanging="360"/>
      </w:pPr>
      <w:rPr>
        <w:rFonts w:hint="default"/>
        <w:b w:val="0"/>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 w15:restartNumberingAfterBreak="0">
    <w:nsid w:val="2BFA62C2"/>
    <w:multiLevelType w:val="multilevel"/>
    <w:tmpl w:val="DCC88850"/>
    <w:lvl w:ilvl="0">
      <w:start w:val="1"/>
      <w:numFmt w:val="lowerLetter"/>
      <w:pStyle w:val="Listaconvietas3"/>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526C364D"/>
    <w:multiLevelType w:val="hybridMultilevel"/>
    <w:tmpl w:val="7B608ACC"/>
    <w:lvl w:ilvl="0" w:tplc="F676A410">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49A655F"/>
    <w:multiLevelType w:val="multilevel"/>
    <w:tmpl w:val="5DBC57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20930DE"/>
    <w:multiLevelType w:val="multilevel"/>
    <w:tmpl w:val="07B632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4E1354D"/>
    <w:multiLevelType w:val="multilevel"/>
    <w:tmpl w:val="0270FEBC"/>
    <w:lvl w:ilvl="0">
      <w:start w:val="1"/>
      <w:numFmt w:val="bullet"/>
      <w:lvlText w:val="-"/>
      <w:lvlJc w:val="left"/>
      <w:pPr>
        <w:ind w:left="3195" w:hanging="359"/>
      </w:pPr>
      <w:rPr>
        <w:rFonts w:ascii="Palatino Linotype" w:eastAsia="Palatino Linotype" w:hAnsi="Palatino Linotype" w:cs="Palatino Linotype"/>
      </w:rPr>
    </w:lvl>
    <w:lvl w:ilvl="1">
      <w:start w:val="1"/>
      <w:numFmt w:val="bullet"/>
      <w:lvlText w:val="o"/>
      <w:lvlJc w:val="left"/>
      <w:pPr>
        <w:ind w:left="3915" w:hanging="360"/>
      </w:pPr>
      <w:rPr>
        <w:rFonts w:ascii="Courier New" w:eastAsia="Courier New" w:hAnsi="Courier New" w:cs="Courier New"/>
      </w:rPr>
    </w:lvl>
    <w:lvl w:ilvl="2">
      <w:start w:val="1"/>
      <w:numFmt w:val="bullet"/>
      <w:lvlText w:val="▪"/>
      <w:lvlJc w:val="left"/>
      <w:pPr>
        <w:ind w:left="4635" w:hanging="360"/>
      </w:pPr>
      <w:rPr>
        <w:rFonts w:ascii="Noto Sans Symbols" w:eastAsia="Noto Sans Symbols" w:hAnsi="Noto Sans Symbols" w:cs="Noto Sans Symbols"/>
      </w:rPr>
    </w:lvl>
    <w:lvl w:ilvl="3">
      <w:start w:val="1"/>
      <w:numFmt w:val="bullet"/>
      <w:lvlText w:val="●"/>
      <w:lvlJc w:val="left"/>
      <w:pPr>
        <w:ind w:left="5355" w:hanging="360"/>
      </w:pPr>
      <w:rPr>
        <w:rFonts w:ascii="Noto Sans Symbols" w:eastAsia="Noto Sans Symbols" w:hAnsi="Noto Sans Symbols" w:cs="Noto Sans Symbols"/>
      </w:rPr>
    </w:lvl>
    <w:lvl w:ilvl="4">
      <w:start w:val="1"/>
      <w:numFmt w:val="bullet"/>
      <w:lvlText w:val="o"/>
      <w:lvlJc w:val="left"/>
      <w:pPr>
        <w:ind w:left="6075" w:hanging="360"/>
      </w:pPr>
      <w:rPr>
        <w:rFonts w:ascii="Courier New" w:eastAsia="Courier New" w:hAnsi="Courier New" w:cs="Courier New"/>
      </w:rPr>
    </w:lvl>
    <w:lvl w:ilvl="5">
      <w:start w:val="1"/>
      <w:numFmt w:val="bullet"/>
      <w:lvlText w:val="▪"/>
      <w:lvlJc w:val="left"/>
      <w:pPr>
        <w:ind w:left="6795" w:hanging="360"/>
      </w:pPr>
      <w:rPr>
        <w:rFonts w:ascii="Noto Sans Symbols" w:eastAsia="Noto Sans Symbols" w:hAnsi="Noto Sans Symbols" w:cs="Noto Sans Symbols"/>
      </w:rPr>
    </w:lvl>
    <w:lvl w:ilvl="6">
      <w:start w:val="1"/>
      <w:numFmt w:val="bullet"/>
      <w:lvlText w:val="●"/>
      <w:lvlJc w:val="left"/>
      <w:pPr>
        <w:ind w:left="7515" w:hanging="360"/>
      </w:pPr>
      <w:rPr>
        <w:rFonts w:ascii="Noto Sans Symbols" w:eastAsia="Noto Sans Symbols" w:hAnsi="Noto Sans Symbols" w:cs="Noto Sans Symbols"/>
      </w:rPr>
    </w:lvl>
    <w:lvl w:ilvl="7">
      <w:start w:val="1"/>
      <w:numFmt w:val="bullet"/>
      <w:lvlText w:val="o"/>
      <w:lvlJc w:val="left"/>
      <w:pPr>
        <w:ind w:left="8235" w:hanging="360"/>
      </w:pPr>
      <w:rPr>
        <w:rFonts w:ascii="Courier New" w:eastAsia="Courier New" w:hAnsi="Courier New" w:cs="Courier New"/>
      </w:rPr>
    </w:lvl>
    <w:lvl w:ilvl="8">
      <w:start w:val="1"/>
      <w:numFmt w:val="bullet"/>
      <w:lvlText w:val="▪"/>
      <w:lvlJc w:val="left"/>
      <w:pPr>
        <w:ind w:left="8955" w:hanging="360"/>
      </w:pPr>
      <w:rPr>
        <w:rFonts w:ascii="Noto Sans Symbols" w:eastAsia="Noto Sans Symbols" w:hAnsi="Noto Sans Symbols" w:cs="Noto Sans Symbols"/>
      </w:rPr>
    </w:lvl>
  </w:abstractNum>
  <w:num w:numId="1">
    <w:abstractNumId w:val="4"/>
  </w:num>
  <w:num w:numId="2">
    <w:abstractNumId w:val="3"/>
  </w:num>
  <w:num w:numId="3">
    <w:abstractNumId w:val="1"/>
  </w:num>
  <w:num w:numId="4">
    <w:abstractNumId w:val="6"/>
  </w:num>
  <w:num w:numId="5">
    <w:abstractNumId w:val="8"/>
  </w:num>
  <w:num w:numId="6">
    <w:abstractNumId w:val="2"/>
  </w:num>
  <w:num w:numId="7">
    <w:abstractNumId w:val="5"/>
  </w:num>
  <w:num w:numId="8">
    <w:abstractNumId w:val="0"/>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A90"/>
    <w:rsid w:val="00007B60"/>
    <w:rsid w:val="0001097C"/>
    <w:rsid w:val="000154BF"/>
    <w:rsid w:val="00016E26"/>
    <w:rsid w:val="0002069B"/>
    <w:rsid w:val="00024E98"/>
    <w:rsid w:val="000301F3"/>
    <w:rsid w:val="00035057"/>
    <w:rsid w:val="000427D6"/>
    <w:rsid w:val="00042B5C"/>
    <w:rsid w:val="00044464"/>
    <w:rsid w:val="000477B0"/>
    <w:rsid w:val="00052C54"/>
    <w:rsid w:val="00056BCC"/>
    <w:rsid w:val="00057964"/>
    <w:rsid w:val="0007137F"/>
    <w:rsid w:val="00077C62"/>
    <w:rsid w:val="00080D86"/>
    <w:rsid w:val="00080F70"/>
    <w:rsid w:val="00082489"/>
    <w:rsid w:val="00097563"/>
    <w:rsid w:val="000A48FE"/>
    <w:rsid w:val="000B3672"/>
    <w:rsid w:val="000B73B6"/>
    <w:rsid w:val="000C2629"/>
    <w:rsid w:val="000C450D"/>
    <w:rsid w:val="000D6DE3"/>
    <w:rsid w:val="000E598C"/>
    <w:rsid w:val="000E700F"/>
    <w:rsid w:val="000F6357"/>
    <w:rsid w:val="000F7088"/>
    <w:rsid w:val="0010490E"/>
    <w:rsid w:val="001050DE"/>
    <w:rsid w:val="001062CC"/>
    <w:rsid w:val="001128C8"/>
    <w:rsid w:val="00116DA6"/>
    <w:rsid w:val="00117A90"/>
    <w:rsid w:val="0012179F"/>
    <w:rsid w:val="00123D9A"/>
    <w:rsid w:val="00142B50"/>
    <w:rsid w:val="00145E45"/>
    <w:rsid w:val="0015439E"/>
    <w:rsid w:val="00154635"/>
    <w:rsid w:val="00163A18"/>
    <w:rsid w:val="00172883"/>
    <w:rsid w:val="0017486E"/>
    <w:rsid w:val="001772A1"/>
    <w:rsid w:val="00177FD6"/>
    <w:rsid w:val="00185230"/>
    <w:rsid w:val="00187EDF"/>
    <w:rsid w:val="00193AE1"/>
    <w:rsid w:val="00195067"/>
    <w:rsid w:val="00196087"/>
    <w:rsid w:val="0019691D"/>
    <w:rsid w:val="00197136"/>
    <w:rsid w:val="001A41F7"/>
    <w:rsid w:val="001A60C5"/>
    <w:rsid w:val="001B0D75"/>
    <w:rsid w:val="001B1971"/>
    <w:rsid w:val="001E2948"/>
    <w:rsid w:val="001E76A9"/>
    <w:rsid w:val="001F0BCC"/>
    <w:rsid w:val="001F1281"/>
    <w:rsid w:val="001F3478"/>
    <w:rsid w:val="002217B7"/>
    <w:rsid w:val="0022418B"/>
    <w:rsid w:val="00227EDF"/>
    <w:rsid w:val="002305F2"/>
    <w:rsid w:val="00252EAE"/>
    <w:rsid w:val="00257D93"/>
    <w:rsid w:val="00265630"/>
    <w:rsid w:val="002733D6"/>
    <w:rsid w:val="00273FF8"/>
    <w:rsid w:val="00277C5E"/>
    <w:rsid w:val="00285C22"/>
    <w:rsid w:val="00286DF8"/>
    <w:rsid w:val="002905AC"/>
    <w:rsid w:val="00290744"/>
    <w:rsid w:val="00290CED"/>
    <w:rsid w:val="00291E03"/>
    <w:rsid w:val="002929C0"/>
    <w:rsid w:val="0029329E"/>
    <w:rsid w:val="002B3CD9"/>
    <w:rsid w:val="002B4E65"/>
    <w:rsid w:val="002C4768"/>
    <w:rsid w:val="002C71C1"/>
    <w:rsid w:val="002C7F26"/>
    <w:rsid w:val="002D01B9"/>
    <w:rsid w:val="002D1845"/>
    <w:rsid w:val="002D2C56"/>
    <w:rsid w:val="002E233E"/>
    <w:rsid w:val="002F0D5B"/>
    <w:rsid w:val="002F1DF9"/>
    <w:rsid w:val="002F7F03"/>
    <w:rsid w:val="00316C2A"/>
    <w:rsid w:val="0032051B"/>
    <w:rsid w:val="0032172A"/>
    <w:rsid w:val="00323E61"/>
    <w:rsid w:val="00326EFC"/>
    <w:rsid w:val="00331EE8"/>
    <w:rsid w:val="00332040"/>
    <w:rsid w:val="00335BF1"/>
    <w:rsid w:val="003366B5"/>
    <w:rsid w:val="00336B49"/>
    <w:rsid w:val="00337D82"/>
    <w:rsid w:val="00343411"/>
    <w:rsid w:val="003441C4"/>
    <w:rsid w:val="0034706E"/>
    <w:rsid w:val="003637C7"/>
    <w:rsid w:val="00365716"/>
    <w:rsid w:val="003659A8"/>
    <w:rsid w:val="00370562"/>
    <w:rsid w:val="003705B7"/>
    <w:rsid w:val="00370D9C"/>
    <w:rsid w:val="0037155B"/>
    <w:rsid w:val="00374292"/>
    <w:rsid w:val="00381A61"/>
    <w:rsid w:val="00381B66"/>
    <w:rsid w:val="00383558"/>
    <w:rsid w:val="003846F2"/>
    <w:rsid w:val="0038512D"/>
    <w:rsid w:val="00397A1B"/>
    <w:rsid w:val="003A0AEB"/>
    <w:rsid w:val="003A3BA9"/>
    <w:rsid w:val="003A5391"/>
    <w:rsid w:val="003B3D17"/>
    <w:rsid w:val="003B453E"/>
    <w:rsid w:val="003C2C96"/>
    <w:rsid w:val="003C71C4"/>
    <w:rsid w:val="003D2176"/>
    <w:rsid w:val="003D5BB6"/>
    <w:rsid w:val="003D68F4"/>
    <w:rsid w:val="003E1AAB"/>
    <w:rsid w:val="003E43DE"/>
    <w:rsid w:val="003E764C"/>
    <w:rsid w:val="0040335D"/>
    <w:rsid w:val="0040394B"/>
    <w:rsid w:val="00410A4F"/>
    <w:rsid w:val="004117AD"/>
    <w:rsid w:val="00425597"/>
    <w:rsid w:val="00425F35"/>
    <w:rsid w:val="004315B9"/>
    <w:rsid w:val="00442099"/>
    <w:rsid w:val="00445C80"/>
    <w:rsid w:val="00446A9F"/>
    <w:rsid w:val="00447DB1"/>
    <w:rsid w:val="00447FC0"/>
    <w:rsid w:val="0045092C"/>
    <w:rsid w:val="00453D2A"/>
    <w:rsid w:val="00464621"/>
    <w:rsid w:val="00473E44"/>
    <w:rsid w:val="00481FE9"/>
    <w:rsid w:val="00482F68"/>
    <w:rsid w:val="0048548C"/>
    <w:rsid w:val="004864B2"/>
    <w:rsid w:val="004918B1"/>
    <w:rsid w:val="004A01CE"/>
    <w:rsid w:val="004A3940"/>
    <w:rsid w:val="004A5F1A"/>
    <w:rsid w:val="004B105A"/>
    <w:rsid w:val="004B31C3"/>
    <w:rsid w:val="004B50C3"/>
    <w:rsid w:val="004D5240"/>
    <w:rsid w:val="004E07A1"/>
    <w:rsid w:val="004E3F9B"/>
    <w:rsid w:val="004E4C62"/>
    <w:rsid w:val="004E4E0D"/>
    <w:rsid w:val="004F017B"/>
    <w:rsid w:val="004F3270"/>
    <w:rsid w:val="004F3F24"/>
    <w:rsid w:val="004F7818"/>
    <w:rsid w:val="0050281B"/>
    <w:rsid w:val="00503188"/>
    <w:rsid w:val="00503745"/>
    <w:rsid w:val="005039C8"/>
    <w:rsid w:val="0051150E"/>
    <w:rsid w:val="00512DC5"/>
    <w:rsid w:val="0051647B"/>
    <w:rsid w:val="00520D54"/>
    <w:rsid w:val="00527F51"/>
    <w:rsid w:val="00530097"/>
    <w:rsid w:val="00531B5E"/>
    <w:rsid w:val="005375DC"/>
    <w:rsid w:val="00544C53"/>
    <w:rsid w:val="005504B5"/>
    <w:rsid w:val="00554CDE"/>
    <w:rsid w:val="00560092"/>
    <w:rsid w:val="00561B43"/>
    <w:rsid w:val="005626F7"/>
    <w:rsid w:val="00562A90"/>
    <w:rsid w:val="0056342B"/>
    <w:rsid w:val="005725CD"/>
    <w:rsid w:val="00572A1D"/>
    <w:rsid w:val="005759CD"/>
    <w:rsid w:val="005833F1"/>
    <w:rsid w:val="00585B4C"/>
    <w:rsid w:val="005867AF"/>
    <w:rsid w:val="00593F06"/>
    <w:rsid w:val="00594299"/>
    <w:rsid w:val="005A5876"/>
    <w:rsid w:val="005C40B8"/>
    <w:rsid w:val="005C7AE4"/>
    <w:rsid w:val="005D0945"/>
    <w:rsid w:val="005D261D"/>
    <w:rsid w:val="005D2646"/>
    <w:rsid w:val="005D30CE"/>
    <w:rsid w:val="005D5307"/>
    <w:rsid w:val="005D5DC9"/>
    <w:rsid w:val="005D7519"/>
    <w:rsid w:val="005F0996"/>
    <w:rsid w:val="005F5898"/>
    <w:rsid w:val="005F5F2E"/>
    <w:rsid w:val="006014E6"/>
    <w:rsid w:val="00602A56"/>
    <w:rsid w:val="006035E6"/>
    <w:rsid w:val="00606953"/>
    <w:rsid w:val="00606C35"/>
    <w:rsid w:val="00611C4A"/>
    <w:rsid w:val="00621F2F"/>
    <w:rsid w:val="0062255D"/>
    <w:rsid w:val="00625B99"/>
    <w:rsid w:val="00630B2A"/>
    <w:rsid w:val="006339DE"/>
    <w:rsid w:val="006341A1"/>
    <w:rsid w:val="00634D1C"/>
    <w:rsid w:val="006422BD"/>
    <w:rsid w:val="006525F8"/>
    <w:rsid w:val="00652E8E"/>
    <w:rsid w:val="00656465"/>
    <w:rsid w:val="00660BE7"/>
    <w:rsid w:val="006653FA"/>
    <w:rsid w:val="0067401E"/>
    <w:rsid w:val="00680BBB"/>
    <w:rsid w:val="00685FA0"/>
    <w:rsid w:val="0068770D"/>
    <w:rsid w:val="00690386"/>
    <w:rsid w:val="00691286"/>
    <w:rsid w:val="006A6DAE"/>
    <w:rsid w:val="006B3E15"/>
    <w:rsid w:val="006B7FBA"/>
    <w:rsid w:val="006C1457"/>
    <w:rsid w:val="006D08E6"/>
    <w:rsid w:val="006D7A13"/>
    <w:rsid w:val="006E1160"/>
    <w:rsid w:val="006E1F52"/>
    <w:rsid w:val="006E4FFF"/>
    <w:rsid w:val="006F3443"/>
    <w:rsid w:val="006F4E73"/>
    <w:rsid w:val="0070132B"/>
    <w:rsid w:val="007014FE"/>
    <w:rsid w:val="00701A9C"/>
    <w:rsid w:val="00713A5B"/>
    <w:rsid w:val="0071417D"/>
    <w:rsid w:val="007146B1"/>
    <w:rsid w:val="007169CC"/>
    <w:rsid w:val="00717BB0"/>
    <w:rsid w:val="00725A92"/>
    <w:rsid w:val="007271E9"/>
    <w:rsid w:val="00736B85"/>
    <w:rsid w:val="00736F00"/>
    <w:rsid w:val="00745EE8"/>
    <w:rsid w:val="0075193B"/>
    <w:rsid w:val="00751EDF"/>
    <w:rsid w:val="00754910"/>
    <w:rsid w:val="00754A2B"/>
    <w:rsid w:val="007561CE"/>
    <w:rsid w:val="007610BD"/>
    <w:rsid w:val="0076666E"/>
    <w:rsid w:val="0076674E"/>
    <w:rsid w:val="00776DCE"/>
    <w:rsid w:val="00780601"/>
    <w:rsid w:val="00792513"/>
    <w:rsid w:val="007A1919"/>
    <w:rsid w:val="007A1E0D"/>
    <w:rsid w:val="007A57B6"/>
    <w:rsid w:val="007B46BD"/>
    <w:rsid w:val="007C51FC"/>
    <w:rsid w:val="007C556D"/>
    <w:rsid w:val="007C7BBE"/>
    <w:rsid w:val="007D1B31"/>
    <w:rsid w:val="007E0A49"/>
    <w:rsid w:val="007F1E1C"/>
    <w:rsid w:val="007F32B4"/>
    <w:rsid w:val="00801532"/>
    <w:rsid w:val="00802B29"/>
    <w:rsid w:val="00804C97"/>
    <w:rsid w:val="0081008D"/>
    <w:rsid w:val="00817D68"/>
    <w:rsid w:val="008203F2"/>
    <w:rsid w:val="00835BDB"/>
    <w:rsid w:val="00835E7D"/>
    <w:rsid w:val="00836233"/>
    <w:rsid w:val="008525DE"/>
    <w:rsid w:val="00856962"/>
    <w:rsid w:val="00866013"/>
    <w:rsid w:val="008715C7"/>
    <w:rsid w:val="00871F31"/>
    <w:rsid w:val="00873066"/>
    <w:rsid w:val="0087690A"/>
    <w:rsid w:val="00877B8B"/>
    <w:rsid w:val="0088183C"/>
    <w:rsid w:val="00885D6D"/>
    <w:rsid w:val="008A065E"/>
    <w:rsid w:val="008A13FF"/>
    <w:rsid w:val="008A2AF3"/>
    <w:rsid w:val="008A7390"/>
    <w:rsid w:val="008A7B4A"/>
    <w:rsid w:val="008B0B99"/>
    <w:rsid w:val="008B686C"/>
    <w:rsid w:val="008C0285"/>
    <w:rsid w:val="008C3AAF"/>
    <w:rsid w:val="008C5299"/>
    <w:rsid w:val="008D3666"/>
    <w:rsid w:val="008D52CE"/>
    <w:rsid w:val="008D5E7B"/>
    <w:rsid w:val="00904214"/>
    <w:rsid w:val="00904E27"/>
    <w:rsid w:val="00906AC0"/>
    <w:rsid w:val="009124A3"/>
    <w:rsid w:val="00920130"/>
    <w:rsid w:val="00921BA8"/>
    <w:rsid w:val="00923B69"/>
    <w:rsid w:val="009300FE"/>
    <w:rsid w:val="00934D15"/>
    <w:rsid w:val="009374BB"/>
    <w:rsid w:val="00940C41"/>
    <w:rsid w:val="00950C06"/>
    <w:rsid w:val="009544B1"/>
    <w:rsid w:val="00955078"/>
    <w:rsid w:val="00957E45"/>
    <w:rsid w:val="00962C60"/>
    <w:rsid w:val="009702EC"/>
    <w:rsid w:val="00971AD4"/>
    <w:rsid w:val="00971F18"/>
    <w:rsid w:val="00972387"/>
    <w:rsid w:val="009731A8"/>
    <w:rsid w:val="00974192"/>
    <w:rsid w:val="00974B1D"/>
    <w:rsid w:val="00985285"/>
    <w:rsid w:val="009923CC"/>
    <w:rsid w:val="009924A9"/>
    <w:rsid w:val="00992890"/>
    <w:rsid w:val="009A0DF3"/>
    <w:rsid w:val="009A6CA6"/>
    <w:rsid w:val="009B47F1"/>
    <w:rsid w:val="009B7ACC"/>
    <w:rsid w:val="009C1089"/>
    <w:rsid w:val="009C557D"/>
    <w:rsid w:val="009D3876"/>
    <w:rsid w:val="009D40BF"/>
    <w:rsid w:val="009E66E4"/>
    <w:rsid w:val="009E7EAF"/>
    <w:rsid w:val="009F387F"/>
    <w:rsid w:val="009F66A2"/>
    <w:rsid w:val="009F704A"/>
    <w:rsid w:val="00A003FF"/>
    <w:rsid w:val="00A00FA7"/>
    <w:rsid w:val="00A0520F"/>
    <w:rsid w:val="00A127F7"/>
    <w:rsid w:val="00A211BA"/>
    <w:rsid w:val="00A21B6E"/>
    <w:rsid w:val="00A32CD1"/>
    <w:rsid w:val="00A332E5"/>
    <w:rsid w:val="00A4255E"/>
    <w:rsid w:val="00A43F2F"/>
    <w:rsid w:val="00A4550B"/>
    <w:rsid w:val="00A51AA4"/>
    <w:rsid w:val="00A56BC6"/>
    <w:rsid w:val="00A63029"/>
    <w:rsid w:val="00A76C70"/>
    <w:rsid w:val="00A8219B"/>
    <w:rsid w:val="00A84BFD"/>
    <w:rsid w:val="00A86924"/>
    <w:rsid w:val="00A878CB"/>
    <w:rsid w:val="00AA5ECB"/>
    <w:rsid w:val="00AB07A5"/>
    <w:rsid w:val="00AB2069"/>
    <w:rsid w:val="00AC6FF0"/>
    <w:rsid w:val="00AE2F40"/>
    <w:rsid w:val="00AE4EEE"/>
    <w:rsid w:val="00AF03E6"/>
    <w:rsid w:val="00AF0A6C"/>
    <w:rsid w:val="00AF3F55"/>
    <w:rsid w:val="00AF51BA"/>
    <w:rsid w:val="00AF72B6"/>
    <w:rsid w:val="00B163DC"/>
    <w:rsid w:val="00B20319"/>
    <w:rsid w:val="00B246E3"/>
    <w:rsid w:val="00B3138D"/>
    <w:rsid w:val="00B331A7"/>
    <w:rsid w:val="00B35DED"/>
    <w:rsid w:val="00B42DC6"/>
    <w:rsid w:val="00B506C5"/>
    <w:rsid w:val="00B51D4D"/>
    <w:rsid w:val="00B63CDB"/>
    <w:rsid w:val="00B750F3"/>
    <w:rsid w:val="00B767CD"/>
    <w:rsid w:val="00B84F30"/>
    <w:rsid w:val="00B90458"/>
    <w:rsid w:val="00B906D5"/>
    <w:rsid w:val="00BA35E4"/>
    <w:rsid w:val="00BA39B7"/>
    <w:rsid w:val="00BA61EA"/>
    <w:rsid w:val="00BB55AD"/>
    <w:rsid w:val="00BB6C52"/>
    <w:rsid w:val="00BC4A18"/>
    <w:rsid w:val="00BD4189"/>
    <w:rsid w:val="00BD56A8"/>
    <w:rsid w:val="00BD5CEC"/>
    <w:rsid w:val="00BD775F"/>
    <w:rsid w:val="00BE3ACA"/>
    <w:rsid w:val="00BF1DE2"/>
    <w:rsid w:val="00BF57BE"/>
    <w:rsid w:val="00C011DF"/>
    <w:rsid w:val="00C018C9"/>
    <w:rsid w:val="00C03654"/>
    <w:rsid w:val="00C07426"/>
    <w:rsid w:val="00C11552"/>
    <w:rsid w:val="00C13F03"/>
    <w:rsid w:val="00C1737F"/>
    <w:rsid w:val="00C24F8A"/>
    <w:rsid w:val="00C3322F"/>
    <w:rsid w:val="00C41418"/>
    <w:rsid w:val="00C42014"/>
    <w:rsid w:val="00C42D18"/>
    <w:rsid w:val="00C43492"/>
    <w:rsid w:val="00C43D28"/>
    <w:rsid w:val="00C4409A"/>
    <w:rsid w:val="00C52BF5"/>
    <w:rsid w:val="00C602CE"/>
    <w:rsid w:val="00C65EA4"/>
    <w:rsid w:val="00C715CA"/>
    <w:rsid w:val="00C754EE"/>
    <w:rsid w:val="00C8383A"/>
    <w:rsid w:val="00C909FC"/>
    <w:rsid w:val="00C90DA2"/>
    <w:rsid w:val="00C91D47"/>
    <w:rsid w:val="00C93C73"/>
    <w:rsid w:val="00C97E1B"/>
    <w:rsid w:val="00CA1F90"/>
    <w:rsid w:val="00CA340B"/>
    <w:rsid w:val="00CA4193"/>
    <w:rsid w:val="00CA763A"/>
    <w:rsid w:val="00CB0F0E"/>
    <w:rsid w:val="00CB25F3"/>
    <w:rsid w:val="00CB575B"/>
    <w:rsid w:val="00CB6CDB"/>
    <w:rsid w:val="00CD09AE"/>
    <w:rsid w:val="00CD41CF"/>
    <w:rsid w:val="00CF49DF"/>
    <w:rsid w:val="00D00363"/>
    <w:rsid w:val="00D00489"/>
    <w:rsid w:val="00D03477"/>
    <w:rsid w:val="00D05004"/>
    <w:rsid w:val="00D11705"/>
    <w:rsid w:val="00D20443"/>
    <w:rsid w:val="00D276A6"/>
    <w:rsid w:val="00D35F60"/>
    <w:rsid w:val="00D4252D"/>
    <w:rsid w:val="00D5007D"/>
    <w:rsid w:val="00D509FA"/>
    <w:rsid w:val="00D54429"/>
    <w:rsid w:val="00D57BFA"/>
    <w:rsid w:val="00D70645"/>
    <w:rsid w:val="00D73336"/>
    <w:rsid w:val="00D741C6"/>
    <w:rsid w:val="00D800D2"/>
    <w:rsid w:val="00DA16F6"/>
    <w:rsid w:val="00DA2EBC"/>
    <w:rsid w:val="00DB3A94"/>
    <w:rsid w:val="00DB5B9D"/>
    <w:rsid w:val="00DB7EEE"/>
    <w:rsid w:val="00DC246F"/>
    <w:rsid w:val="00DC662E"/>
    <w:rsid w:val="00DC69BC"/>
    <w:rsid w:val="00DD1979"/>
    <w:rsid w:val="00DD2A99"/>
    <w:rsid w:val="00DD773C"/>
    <w:rsid w:val="00DE191D"/>
    <w:rsid w:val="00DE1FB1"/>
    <w:rsid w:val="00DE3527"/>
    <w:rsid w:val="00DF0C0B"/>
    <w:rsid w:val="00DF4FB7"/>
    <w:rsid w:val="00DF5DA7"/>
    <w:rsid w:val="00DF5E2A"/>
    <w:rsid w:val="00E02AE5"/>
    <w:rsid w:val="00E02B47"/>
    <w:rsid w:val="00E046E0"/>
    <w:rsid w:val="00E123A9"/>
    <w:rsid w:val="00E15A1A"/>
    <w:rsid w:val="00E15DF2"/>
    <w:rsid w:val="00E2174F"/>
    <w:rsid w:val="00E30613"/>
    <w:rsid w:val="00E3205B"/>
    <w:rsid w:val="00E34062"/>
    <w:rsid w:val="00E35449"/>
    <w:rsid w:val="00E5266D"/>
    <w:rsid w:val="00E55C63"/>
    <w:rsid w:val="00E55F9B"/>
    <w:rsid w:val="00E669EA"/>
    <w:rsid w:val="00E6787E"/>
    <w:rsid w:val="00E70382"/>
    <w:rsid w:val="00E715FC"/>
    <w:rsid w:val="00E748EC"/>
    <w:rsid w:val="00E80390"/>
    <w:rsid w:val="00E85496"/>
    <w:rsid w:val="00E904FD"/>
    <w:rsid w:val="00E923B6"/>
    <w:rsid w:val="00E9255D"/>
    <w:rsid w:val="00EA3726"/>
    <w:rsid w:val="00EB0315"/>
    <w:rsid w:val="00EB0F34"/>
    <w:rsid w:val="00EC15BD"/>
    <w:rsid w:val="00EC2F59"/>
    <w:rsid w:val="00EC3036"/>
    <w:rsid w:val="00EC4146"/>
    <w:rsid w:val="00ED0825"/>
    <w:rsid w:val="00ED47F2"/>
    <w:rsid w:val="00EF0D72"/>
    <w:rsid w:val="00EF5073"/>
    <w:rsid w:val="00EF6EA6"/>
    <w:rsid w:val="00F013DA"/>
    <w:rsid w:val="00F05851"/>
    <w:rsid w:val="00F0658B"/>
    <w:rsid w:val="00F07312"/>
    <w:rsid w:val="00F14BC9"/>
    <w:rsid w:val="00F16F95"/>
    <w:rsid w:val="00F1727B"/>
    <w:rsid w:val="00F2456A"/>
    <w:rsid w:val="00F31CEB"/>
    <w:rsid w:val="00F34997"/>
    <w:rsid w:val="00F4372C"/>
    <w:rsid w:val="00F456A7"/>
    <w:rsid w:val="00F550B5"/>
    <w:rsid w:val="00F5663D"/>
    <w:rsid w:val="00F6238C"/>
    <w:rsid w:val="00F64878"/>
    <w:rsid w:val="00F65DCF"/>
    <w:rsid w:val="00F6604C"/>
    <w:rsid w:val="00F83945"/>
    <w:rsid w:val="00F8454B"/>
    <w:rsid w:val="00F84D2C"/>
    <w:rsid w:val="00F84EDF"/>
    <w:rsid w:val="00F85FE9"/>
    <w:rsid w:val="00F866FE"/>
    <w:rsid w:val="00F86742"/>
    <w:rsid w:val="00F8691F"/>
    <w:rsid w:val="00F869F7"/>
    <w:rsid w:val="00F87495"/>
    <w:rsid w:val="00F952FA"/>
    <w:rsid w:val="00FA1BC1"/>
    <w:rsid w:val="00FB3D2C"/>
    <w:rsid w:val="00FD0ED3"/>
    <w:rsid w:val="00FD60CA"/>
    <w:rsid w:val="00FF0C43"/>
    <w:rsid w:val="00FF2516"/>
    <w:rsid w:val="00FF3183"/>
    <w:rsid w:val="00FF63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18B14"/>
  <w15:docId w15:val="{416C2562-28EE-4A6C-AC10-AB1C5EB5F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a">
    <w:basedOn w:val="TableNormalf1"/>
    <w:tblPr>
      <w:tblStyleRowBandSize w:val="1"/>
      <w:tblStyleColBandSize w:val="1"/>
      <w:tblCellMar>
        <w:left w:w="115" w:type="dxa"/>
        <w:right w:w="115" w:type="dxa"/>
      </w:tblCellMar>
    </w:tblPr>
  </w:style>
  <w:style w:type="table" w:customStyle="1" w:styleId="a0">
    <w:basedOn w:val="TableNormalf1"/>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0D197B"/>
    <w:pPr>
      <w:tabs>
        <w:tab w:val="center" w:pos="4419"/>
        <w:tab w:val="right" w:pos="8838"/>
      </w:tabs>
    </w:pPr>
  </w:style>
  <w:style w:type="character" w:customStyle="1" w:styleId="EncabezadoCar">
    <w:name w:val="Encabezado Car"/>
    <w:basedOn w:val="Fuentedeprrafopredeter"/>
    <w:link w:val="Encabezado"/>
    <w:uiPriority w:val="99"/>
    <w:rsid w:val="000D197B"/>
  </w:style>
  <w:style w:type="paragraph" w:styleId="Piedepgina">
    <w:name w:val="footer"/>
    <w:basedOn w:val="Normal"/>
    <w:link w:val="PiedepginaCar"/>
    <w:uiPriority w:val="99"/>
    <w:unhideWhenUsed/>
    <w:rsid w:val="000D197B"/>
    <w:pPr>
      <w:tabs>
        <w:tab w:val="center" w:pos="4419"/>
        <w:tab w:val="right" w:pos="8838"/>
      </w:tabs>
    </w:pPr>
  </w:style>
  <w:style w:type="character" w:customStyle="1" w:styleId="PiedepginaCar">
    <w:name w:val="Pie de página Car"/>
    <w:basedOn w:val="Fuentedeprrafopredeter"/>
    <w:link w:val="Piedepgina"/>
    <w:uiPriority w:val="99"/>
    <w:rsid w:val="000D197B"/>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C43334"/>
    <w:pPr>
      <w:ind w:left="720"/>
      <w:contextualSpacing/>
    </w:pPr>
  </w:style>
  <w:style w:type="paragraph" w:styleId="NormalWeb">
    <w:name w:val="Normal (Web)"/>
    <w:basedOn w:val="Normal"/>
    <w:uiPriority w:val="99"/>
    <w:unhideWhenUsed/>
    <w:rsid w:val="00476335"/>
    <w:pPr>
      <w:spacing w:before="100" w:beforeAutospacing="1" w:after="100" w:afterAutospacing="1"/>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06B5C"/>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06B5C"/>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806B5C"/>
    <w:rPr>
      <w:vertAlign w:val="superscript"/>
    </w:rPr>
  </w:style>
  <w:style w:type="table" w:customStyle="1" w:styleId="a1">
    <w:basedOn w:val="TableNormalf1"/>
    <w:tblPr>
      <w:tblStyleRowBandSize w:val="1"/>
      <w:tblStyleColBandSize w:val="1"/>
      <w:tblCellMar>
        <w:left w:w="115" w:type="dxa"/>
        <w:right w:w="115" w:type="dxa"/>
      </w:tblCellMar>
    </w:tblPr>
  </w:style>
  <w:style w:type="table" w:customStyle="1" w:styleId="a2">
    <w:basedOn w:val="TableNormalf1"/>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504D6C"/>
    <w:rPr>
      <w:color w:val="0000FF" w:themeColor="hyperlink"/>
      <w:u w:val="single"/>
    </w:rPr>
  </w:style>
  <w:style w:type="character" w:styleId="Hipervnculovisitado">
    <w:name w:val="FollowedHyperlink"/>
    <w:basedOn w:val="Fuentedeprrafopredeter"/>
    <w:uiPriority w:val="99"/>
    <w:semiHidden/>
    <w:unhideWhenUsed/>
    <w:rsid w:val="00504D6C"/>
    <w:rPr>
      <w:color w:val="800080" w:themeColor="followedHyperlink"/>
      <w:u w:val="single"/>
    </w:rPr>
  </w:style>
  <w:style w:type="table" w:styleId="Tablaconcuadrcula">
    <w:name w:val="Table Grid"/>
    <w:basedOn w:val="Tablanormal"/>
    <w:uiPriority w:val="39"/>
    <w:rsid w:val="00134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f0"/>
    <w:tblPr>
      <w:tblStyleRowBandSize w:val="1"/>
      <w:tblStyleColBandSize w:val="1"/>
      <w:tblCellMar>
        <w:left w:w="115" w:type="dxa"/>
        <w:right w:w="115" w:type="dxa"/>
      </w:tblCellMar>
    </w:tblPr>
  </w:style>
  <w:style w:type="table" w:customStyle="1" w:styleId="a4">
    <w:basedOn w:val="TableNormalf0"/>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5E017B"/>
    <w:pPr>
      <w:numPr>
        <w:numId w:val="1"/>
      </w:numPr>
      <w:contextualSpacing/>
    </w:pPr>
  </w:style>
  <w:style w:type="character" w:customStyle="1" w:styleId="yt-core-attributed-string--link-inherit-color">
    <w:name w:val="yt-core-attributed-string--link-inherit-color"/>
    <w:basedOn w:val="Fuentedeprrafopredeter"/>
    <w:rsid w:val="00EA0BE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72"/>
    <w:qFormat/>
    <w:locked/>
    <w:rsid w:val="00452086"/>
  </w:style>
  <w:style w:type="character" w:customStyle="1" w:styleId="Mencinsinresolver1">
    <w:name w:val="Mención sin resolver1"/>
    <w:basedOn w:val="Fuentedeprrafopredeter"/>
    <w:uiPriority w:val="99"/>
    <w:semiHidden/>
    <w:unhideWhenUsed/>
    <w:rsid w:val="00C64B15"/>
    <w:rPr>
      <w:color w:val="605E5C"/>
      <w:shd w:val="clear" w:color="auto" w:fill="E1DFDD"/>
    </w:rPr>
  </w:style>
  <w:style w:type="paragraph" w:customStyle="1" w:styleId="Default">
    <w:name w:val="Default"/>
    <w:rsid w:val="00B92077"/>
    <w:pPr>
      <w:autoSpaceDE w:val="0"/>
      <w:autoSpaceDN w:val="0"/>
      <w:adjustRightInd w:val="0"/>
    </w:pPr>
    <w:rPr>
      <w:rFonts w:ascii="Arial" w:hAnsi="Arial" w:cs="Arial"/>
      <w:color w:val="000000"/>
    </w:rPr>
  </w:style>
  <w:style w:type="character" w:customStyle="1" w:styleId="Mencinsinresolver2">
    <w:name w:val="Mención sin resolver2"/>
    <w:basedOn w:val="Fuentedeprrafopredeter"/>
    <w:uiPriority w:val="99"/>
    <w:semiHidden/>
    <w:unhideWhenUsed/>
    <w:rsid w:val="00251B93"/>
    <w:rPr>
      <w:color w:val="605E5C"/>
      <w:shd w:val="clear" w:color="auto" w:fill="E1DFDD"/>
    </w:rPr>
  </w:style>
  <w:style w:type="paragraph" w:styleId="Textodeglobo">
    <w:name w:val="Balloon Text"/>
    <w:basedOn w:val="Normal"/>
    <w:link w:val="TextodegloboCar"/>
    <w:uiPriority w:val="99"/>
    <w:semiHidden/>
    <w:unhideWhenUsed/>
    <w:rsid w:val="00DD0D6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0D64"/>
    <w:rPr>
      <w:rFonts w:ascii="Segoe UI" w:hAnsi="Segoe UI" w:cs="Segoe UI"/>
      <w:sz w:val="18"/>
      <w:szCs w:val="18"/>
    </w:rPr>
  </w:style>
  <w:style w:type="paragraph" w:styleId="Sinespaciado">
    <w:name w:val="No Spacing"/>
    <w:aliases w:val="Francesa"/>
    <w:link w:val="SinespaciadoCar"/>
    <w:uiPriority w:val="1"/>
    <w:qFormat/>
    <w:rsid w:val="000D0148"/>
    <w:rPr>
      <w:rFonts w:asciiTheme="minorHAnsi" w:eastAsiaTheme="minorHAnsi" w:hAnsiTheme="minorHAnsi" w:cstheme="minorBidi"/>
      <w:sz w:val="22"/>
      <w:szCs w:val="22"/>
      <w:lang w:eastAsia="en-US"/>
    </w:rPr>
  </w:style>
  <w:style w:type="character" w:customStyle="1" w:styleId="SinespaciadoCar">
    <w:name w:val="Sin espaciado Car"/>
    <w:aliases w:val="Francesa Car"/>
    <w:link w:val="Sinespaciado"/>
    <w:uiPriority w:val="1"/>
    <w:locked/>
    <w:rsid w:val="000D0148"/>
    <w:rPr>
      <w:rFonts w:asciiTheme="minorHAnsi" w:eastAsiaTheme="minorHAnsi" w:hAnsiTheme="minorHAnsi" w:cstheme="minorBidi"/>
      <w:sz w:val="22"/>
      <w:szCs w:val="22"/>
      <w:lang w:eastAsia="en-US"/>
    </w:rPr>
  </w:style>
  <w:style w:type="paragraph" w:customStyle="1" w:styleId="rtejustify">
    <w:name w:val="rtejustify"/>
    <w:basedOn w:val="Normal"/>
    <w:rsid w:val="00876EB7"/>
    <w:pPr>
      <w:spacing w:before="100" w:beforeAutospacing="1" w:after="100" w:afterAutospacing="1"/>
    </w:pPr>
  </w:style>
  <w:style w:type="table" w:customStyle="1" w:styleId="a5">
    <w:basedOn w:val="TableNormalf"/>
    <w:tblPr>
      <w:tblStyleRowBandSize w:val="1"/>
      <w:tblStyleColBandSize w:val="1"/>
      <w:tblCellMar>
        <w:left w:w="108" w:type="dxa"/>
        <w:right w:w="108" w:type="dxa"/>
      </w:tblCellMar>
    </w:tblPr>
  </w:style>
  <w:style w:type="table" w:customStyle="1" w:styleId="a6">
    <w:basedOn w:val="TableNormalf"/>
    <w:tblPr>
      <w:tblStyleRowBandSize w:val="1"/>
      <w:tblStyleColBandSize w:val="1"/>
      <w:tblCellMar>
        <w:left w:w="108" w:type="dxa"/>
        <w:right w:w="108" w:type="dxa"/>
      </w:tblCellMar>
    </w:tblPr>
  </w:style>
  <w:style w:type="table" w:customStyle="1" w:styleId="a7">
    <w:basedOn w:val="TableNormalf"/>
    <w:tblPr>
      <w:tblStyleRowBandSize w:val="1"/>
      <w:tblStyleColBandSize w:val="1"/>
      <w:tblCellMar>
        <w:left w:w="108" w:type="dxa"/>
        <w:right w:w="108" w:type="dxa"/>
      </w:tblCellMar>
    </w:tblPr>
  </w:style>
  <w:style w:type="table" w:customStyle="1" w:styleId="a8">
    <w:basedOn w:val="TableNormalf"/>
    <w:tblPr>
      <w:tblStyleRowBandSize w:val="1"/>
      <w:tblStyleColBandSize w:val="1"/>
      <w:tblCellMar>
        <w:left w:w="108" w:type="dxa"/>
        <w:right w:w="108" w:type="dxa"/>
      </w:tblCellMar>
    </w:tblPr>
  </w:style>
  <w:style w:type="table" w:customStyle="1" w:styleId="a9">
    <w:basedOn w:val="TableNormalf"/>
    <w:tblPr>
      <w:tblStyleRowBandSize w:val="1"/>
      <w:tblStyleColBandSize w:val="1"/>
      <w:tblCellMar>
        <w:left w:w="108" w:type="dxa"/>
        <w:right w:w="108" w:type="dxa"/>
      </w:tblCellMar>
    </w:tblPr>
  </w:style>
  <w:style w:type="table" w:customStyle="1" w:styleId="aa">
    <w:basedOn w:val="TableNormalf"/>
    <w:tblPr>
      <w:tblStyleRowBandSize w:val="1"/>
      <w:tblStyleColBandSize w:val="1"/>
      <w:tblCellMar>
        <w:left w:w="115" w:type="dxa"/>
        <w:right w:w="115" w:type="dxa"/>
      </w:tblCellMar>
    </w:tblPr>
  </w:style>
  <w:style w:type="table" w:customStyle="1" w:styleId="ab">
    <w:basedOn w:val="TableNormalf"/>
    <w:tblPr>
      <w:tblStyleRowBandSize w:val="1"/>
      <w:tblStyleColBandSize w:val="1"/>
      <w:tblCellMar>
        <w:left w:w="115" w:type="dxa"/>
        <w:right w:w="115" w:type="dxa"/>
      </w:tblCellMar>
    </w:tblPr>
  </w:style>
  <w:style w:type="table" w:customStyle="1" w:styleId="ac">
    <w:basedOn w:val="TableNormale"/>
    <w:tblPr>
      <w:tblStyleRowBandSize w:val="1"/>
      <w:tblStyleColBandSize w:val="1"/>
      <w:tblCellMar>
        <w:left w:w="108" w:type="dxa"/>
        <w:right w:w="108" w:type="dxa"/>
      </w:tblCellMar>
    </w:tblPr>
  </w:style>
  <w:style w:type="table" w:customStyle="1" w:styleId="ad">
    <w:basedOn w:val="TableNormale"/>
    <w:tblPr>
      <w:tblStyleRowBandSize w:val="1"/>
      <w:tblStyleColBandSize w:val="1"/>
      <w:tblCellMar>
        <w:left w:w="115" w:type="dxa"/>
        <w:right w:w="115" w:type="dxa"/>
      </w:tblCellMar>
    </w:tblPr>
  </w:style>
  <w:style w:type="table" w:customStyle="1" w:styleId="ae">
    <w:basedOn w:val="TableNormale"/>
    <w:tblPr>
      <w:tblStyleRowBandSize w:val="1"/>
      <w:tblStyleColBandSize w:val="1"/>
      <w:tblCellMar>
        <w:left w:w="115" w:type="dxa"/>
        <w:right w:w="115" w:type="dxa"/>
      </w:tblCellMar>
    </w:tblPr>
  </w:style>
  <w:style w:type="table" w:customStyle="1" w:styleId="af">
    <w:basedOn w:val="TableNormald"/>
    <w:tblPr>
      <w:tblStyleRowBandSize w:val="1"/>
      <w:tblStyleColBandSize w:val="1"/>
      <w:tblCellMar>
        <w:left w:w="115" w:type="dxa"/>
        <w:right w:w="115" w:type="dxa"/>
      </w:tblCellMar>
    </w:tblPr>
  </w:style>
  <w:style w:type="table" w:customStyle="1" w:styleId="af0">
    <w:basedOn w:val="TableNormald"/>
    <w:tblPr>
      <w:tblStyleRowBandSize w:val="1"/>
      <w:tblStyleColBandSize w:val="1"/>
      <w:tblCellMar>
        <w:left w:w="115" w:type="dxa"/>
        <w:right w:w="115" w:type="dxa"/>
      </w:tblCellMar>
    </w:tblPr>
  </w:style>
  <w:style w:type="table" w:customStyle="1" w:styleId="af1">
    <w:basedOn w:val="TableNormald"/>
    <w:tblPr>
      <w:tblStyleRowBandSize w:val="1"/>
      <w:tblStyleColBandSize w:val="1"/>
      <w:tblCellMar>
        <w:left w:w="115" w:type="dxa"/>
        <w:right w:w="115" w:type="dxa"/>
      </w:tblCellMar>
    </w:tblPr>
  </w:style>
  <w:style w:type="table" w:customStyle="1" w:styleId="af2">
    <w:basedOn w:val="TableNormalc"/>
    <w:tblPr>
      <w:tblStyleRowBandSize w:val="1"/>
      <w:tblStyleColBandSize w:val="1"/>
      <w:tblCellMar>
        <w:left w:w="115" w:type="dxa"/>
        <w:right w:w="115" w:type="dxa"/>
      </w:tblCellMar>
    </w:tblPr>
  </w:style>
  <w:style w:type="table" w:customStyle="1" w:styleId="af3">
    <w:basedOn w:val="TableNormalc"/>
    <w:tblPr>
      <w:tblStyleRowBandSize w:val="1"/>
      <w:tblStyleColBandSize w:val="1"/>
      <w:tblCellMar>
        <w:left w:w="115" w:type="dxa"/>
        <w:right w:w="115" w:type="dxa"/>
      </w:tblCellMar>
    </w:tblPr>
  </w:style>
  <w:style w:type="table" w:customStyle="1" w:styleId="af4">
    <w:basedOn w:val="TableNormalb"/>
    <w:tblPr>
      <w:tblStyleRowBandSize w:val="1"/>
      <w:tblStyleColBandSize w:val="1"/>
      <w:tblCellMar>
        <w:left w:w="115" w:type="dxa"/>
        <w:right w:w="115" w:type="dxa"/>
      </w:tblCellMar>
    </w:tblPr>
  </w:style>
  <w:style w:type="table" w:customStyle="1" w:styleId="af5">
    <w:basedOn w:val="TableNormalb"/>
    <w:tblPr>
      <w:tblStyleRowBandSize w:val="1"/>
      <w:tblStyleColBandSize w:val="1"/>
      <w:tblCellMar>
        <w:left w:w="115" w:type="dxa"/>
        <w:right w:w="115" w:type="dxa"/>
      </w:tblCellMar>
    </w:tblPr>
  </w:style>
  <w:style w:type="table" w:customStyle="1" w:styleId="af6">
    <w:basedOn w:val="TableNormala"/>
    <w:tblPr>
      <w:tblStyleRowBandSize w:val="1"/>
      <w:tblStyleColBandSize w:val="1"/>
      <w:tblCellMar>
        <w:left w:w="115" w:type="dxa"/>
        <w:right w:w="115" w:type="dxa"/>
      </w:tblCellMar>
    </w:tblPr>
  </w:style>
  <w:style w:type="table" w:customStyle="1" w:styleId="af7">
    <w:basedOn w:val="TableNormala"/>
    <w:tblPr>
      <w:tblStyleRowBandSize w:val="1"/>
      <w:tblStyleColBandSize w:val="1"/>
      <w:tblCellMar>
        <w:left w:w="115" w:type="dxa"/>
        <w:right w:w="115" w:type="dxa"/>
      </w:tblCellMar>
    </w:tblPr>
  </w:style>
  <w:style w:type="character" w:styleId="Textoennegrita">
    <w:name w:val="Strong"/>
    <w:basedOn w:val="Fuentedeprrafopredeter"/>
    <w:uiPriority w:val="22"/>
    <w:qFormat/>
    <w:rsid w:val="002C02D7"/>
    <w:rPr>
      <w:b/>
      <w:bCs/>
    </w:rPr>
  </w:style>
  <w:style w:type="character" w:customStyle="1" w:styleId="object">
    <w:name w:val="object"/>
    <w:basedOn w:val="Fuentedeprrafopredeter"/>
    <w:rsid w:val="002C02D7"/>
  </w:style>
  <w:style w:type="table" w:customStyle="1" w:styleId="af8">
    <w:basedOn w:val="TableNormal9"/>
    <w:tblPr>
      <w:tblStyleRowBandSize w:val="1"/>
      <w:tblStyleColBandSize w:val="1"/>
      <w:tblCellMar>
        <w:left w:w="115" w:type="dxa"/>
        <w:right w:w="115" w:type="dxa"/>
      </w:tblCellMar>
    </w:tblPr>
  </w:style>
  <w:style w:type="table" w:customStyle="1" w:styleId="af9">
    <w:basedOn w:val="TableNormal9"/>
    <w:tblPr>
      <w:tblStyleRowBandSize w:val="1"/>
      <w:tblStyleColBandSize w:val="1"/>
      <w:tblCellMar>
        <w:left w:w="115" w:type="dxa"/>
        <w:right w:w="115" w:type="dxa"/>
      </w:tblCellMar>
    </w:tblPr>
  </w:style>
  <w:style w:type="table" w:customStyle="1" w:styleId="afa">
    <w:basedOn w:val="TableNormal8"/>
    <w:tblPr>
      <w:tblStyleRowBandSize w:val="1"/>
      <w:tblStyleColBandSize w:val="1"/>
      <w:tblCellMar>
        <w:left w:w="115" w:type="dxa"/>
        <w:right w:w="115" w:type="dxa"/>
      </w:tblCellMar>
    </w:tblPr>
  </w:style>
  <w:style w:type="table" w:customStyle="1" w:styleId="afb">
    <w:basedOn w:val="TableNormal8"/>
    <w:tblPr>
      <w:tblStyleRowBandSize w:val="1"/>
      <w:tblStyleColBandSize w:val="1"/>
      <w:tblCellMar>
        <w:left w:w="115" w:type="dxa"/>
        <w:right w:w="115" w:type="dxa"/>
      </w:tblCellMar>
    </w:tblPr>
  </w:style>
  <w:style w:type="table" w:customStyle="1" w:styleId="afc">
    <w:basedOn w:val="TableNormal7"/>
    <w:tblPr>
      <w:tblStyleRowBandSize w:val="1"/>
      <w:tblStyleColBandSize w:val="1"/>
      <w:tblCellMar>
        <w:left w:w="115" w:type="dxa"/>
        <w:right w:w="115" w:type="dxa"/>
      </w:tblCellMar>
    </w:tblPr>
  </w:style>
  <w:style w:type="table" w:customStyle="1" w:styleId="afd">
    <w:basedOn w:val="TableNormal7"/>
    <w:tblPr>
      <w:tblStyleRowBandSize w:val="1"/>
      <w:tblStyleColBandSize w:val="1"/>
      <w:tblCellMar>
        <w:left w:w="115" w:type="dxa"/>
        <w:right w:w="115" w:type="dxa"/>
      </w:tblCellMar>
    </w:tblPr>
  </w:style>
  <w:style w:type="table" w:customStyle="1" w:styleId="afe">
    <w:basedOn w:val="TableNormal6"/>
    <w:tblPr>
      <w:tblStyleRowBandSize w:val="1"/>
      <w:tblStyleColBandSize w:val="1"/>
      <w:tblCellMar>
        <w:left w:w="115" w:type="dxa"/>
        <w:right w:w="115" w:type="dxa"/>
      </w:tblCellMar>
    </w:tblPr>
  </w:style>
  <w:style w:type="table" w:customStyle="1" w:styleId="aff">
    <w:basedOn w:val="TableNormal6"/>
    <w:tblPr>
      <w:tblStyleRowBandSize w:val="1"/>
      <w:tblStyleColBandSize w:val="1"/>
      <w:tblCellMar>
        <w:left w:w="115" w:type="dxa"/>
        <w:right w:w="115" w:type="dxa"/>
      </w:tblCellMar>
    </w:tblPr>
  </w:style>
  <w:style w:type="table" w:customStyle="1" w:styleId="aff0">
    <w:basedOn w:val="TableNormal5"/>
    <w:tblPr>
      <w:tblStyleRowBandSize w:val="1"/>
      <w:tblStyleColBandSize w:val="1"/>
      <w:tblCellMar>
        <w:left w:w="115" w:type="dxa"/>
        <w:right w:w="115" w:type="dxa"/>
      </w:tblCellMar>
    </w:tblPr>
  </w:style>
  <w:style w:type="table" w:customStyle="1" w:styleId="aff1">
    <w:basedOn w:val="TableNormal5"/>
    <w:tblPr>
      <w:tblStyleRowBandSize w:val="1"/>
      <w:tblStyleColBandSize w:val="1"/>
      <w:tblCellMar>
        <w:left w:w="115" w:type="dxa"/>
        <w:right w:w="115" w:type="dxa"/>
      </w:tblCellMar>
    </w:tblPr>
  </w:style>
  <w:style w:type="table" w:customStyle="1" w:styleId="aff2">
    <w:basedOn w:val="TableNormal4"/>
    <w:tblPr>
      <w:tblStyleRowBandSize w:val="1"/>
      <w:tblStyleColBandSize w:val="1"/>
      <w:tblCellMar>
        <w:left w:w="115" w:type="dxa"/>
        <w:right w:w="115" w:type="dxa"/>
      </w:tblCellMar>
    </w:tblPr>
  </w:style>
  <w:style w:type="table" w:customStyle="1" w:styleId="aff3">
    <w:basedOn w:val="TableNormal4"/>
    <w:tblPr>
      <w:tblStyleRowBandSize w:val="1"/>
      <w:tblStyleColBandSize w:val="1"/>
      <w:tblCellMar>
        <w:left w:w="115" w:type="dxa"/>
        <w:right w:w="115" w:type="dxa"/>
      </w:tblCellMar>
    </w:tblPr>
  </w:style>
  <w:style w:type="table" w:customStyle="1" w:styleId="aff4">
    <w:basedOn w:val="TableNormal3"/>
    <w:tblPr>
      <w:tblStyleRowBandSize w:val="1"/>
      <w:tblStyleColBandSize w:val="1"/>
      <w:tblCellMar>
        <w:left w:w="115" w:type="dxa"/>
        <w:right w:w="115" w:type="dxa"/>
      </w:tblCellMar>
    </w:tblPr>
  </w:style>
  <w:style w:type="table" w:customStyle="1" w:styleId="aff5">
    <w:basedOn w:val="TableNormal3"/>
    <w:tblPr>
      <w:tblStyleRowBandSize w:val="1"/>
      <w:tblStyleColBandSize w:val="1"/>
      <w:tblCellMar>
        <w:left w:w="115" w:type="dxa"/>
        <w:right w:w="115" w:type="dxa"/>
      </w:tblCellMar>
    </w:tblPr>
  </w:style>
  <w:style w:type="table" w:customStyle="1" w:styleId="aff6">
    <w:basedOn w:val="TableNormal2"/>
    <w:tblPr>
      <w:tblStyleRowBandSize w:val="1"/>
      <w:tblStyleColBandSize w:val="1"/>
      <w:tblCellMar>
        <w:left w:w="115" w:type="dxa"/>
        <w:right w:w="115" w:type="dxa"/>
      </w:tblCellMar>
    </w:tblPr>
  </w:style>
  <w:style w:type="table" w:customStyle="1" w:styleId="aff7">
    <w:basedOn w:val="TableNormal2"/>
    <w:tblPr>
      <w:tblStyleRowBandSize w:val="1"/>
      <w:tblStyleColBandSize w:val="1"/>
      <w:tblCellMar>
        <w:left w:w="115" w:type="dxa"/>
        <w:right w:w="115" w:type="dxa"/>
      </w:tblCellMar>
    </w:tblPr>
  </w:style>
  <w:style w:type="table" w:customStyle="1" w:styleId="aff8">
    <w:basedOn w:val="TableNormal1"/>
    <w:tblPr>
      <w:tblStyleRowBandSize w:val="1"/>
      <w:tblStyleColBandSize w:val="1"/>
      <w:tblCellMar>
        <w:left w:w="115" w:type="dxa"/>
        <w:right w:w="115" w:type="dxa"/>
      </w:tblCellMar>
    </w:tblPr>
  </w:style>
  <w:style w:type="table" w:customStyle="1" w:styleId="aff9">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229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indetec.gob.mx/delivery?srv=0&amp;sl=3&amp;path=/biblioteca/Especiales/386_Glosario_Terminos_Proceso_Planeac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LwJaCJCy7O9JGy830EkbZ7Q/Jg==">CgMxLjAyCWguM3JkY3JqbjIOaC5kYWozajJ4bzZxNjYyCGguZ2pkZ3hzMgloLjNkeTZ2a20yCWguMzBqMHpsbDIJaC4yczhleW8xMghoLnR5amN3dDIJaC4yZXQ5MnAwMg5oLmgydzd1eXAyZDU5YjIJaC4xdDNoNXNmMgloLjFmb2I5dGUyDmguaG56eHNjaDVneXN6Mg5oLm90M3FxNnZ4YTA4ZjIIaC5sbnhiejk4AHIhMUFJNmZEOE5kY3VESlVnRFJaeWo0bThuWmExSndnbUU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C8C576-74C6-44A2-B9DC-84806F58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12626</Words>
  <Characters>69448</Characters>
  <Application>Microsoft Office Word</Application>
  <DocSecurity>0</DocSecurity>
  <Lines>578</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dcterms:created xsi:type="dcterms:W3CDTF">2026-04-07T18:50:00Z</dcterms:created>
  <dcterms:modified xsi:type="dcterms:W3CDTF">2026-04-07T18:50:00Z</dcterms:modified>
</cp:coreProperties>
</file>