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A60" w:rsidRPr="007B729D" w:rsidRDefault="00D00BB4">
      <w:pPr>
        <w:spacing w:line="360" w:lineRule="auto"/>
        <w:jc w:val="both"/>
        <w:rPr>
          <w:rFonts w:ascii="Palatino Linotype" w:eastAsia="Palatino Linotype" w:hAnsi="Palatino Linotype" w:cs="Palatino Linotype"/>
          <w:b/>
        </w:rPr>
      </w:pPr>
      <w:bookmarkStart w:id="0" w:name="_GoBack"/>
      <w:bookmarkEnd w:id="0"/>
      <w:r w:rsidRPr="007B729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62387D" w:rsidRPr="007B729D">
        <w:rPr>
          <w:rFonts w:ascii="Palatino Linotype" w:eastAsia="Palatino Linotype" w:hAnsi="Palatino Linotype" w:cs="Palatino Linotype"/>
        </w:rPr>
        <w:t xml:space="preserve">stado de México; </w:t>
      </w:r>
      <w:r w:rsidR="0062387D" w:rsidRPr="007B729D">
        <w:rPr>
          <w:rFonts w:ascii="Palatino Linotype" w:eastAsia="Palatino Linotype" w:hAnsi="Palatino Linotype" w:cs="Palatino Linotype"/>
          <w:b/>
        </w:rPr>
        <w:t>de fecha diecinueve</w:t>
      </w:r>
      <w:r w:rsidR="007B729D" w:rsidRPr="007B729D">
        <w:rPr>
          <w:rFonts w:ascii="Palatino Linotype" w:eastAsia="Palatino Linotype" w:hAnsi="Palatino Linotype" w:cs="Palatino Linotype"/>
          <w:b/>
        </w:rPr>
        <w:t xml:space="preserve"> (19)</w:t>
      </w:r>
      <w:r w:rsidR="0062387D" w:rsidRPr="007B729D">
        <w:rPr>
          <w:rFonts w:ascii="Palatino Linotype" w:eastAsia="Palatino Linotype" w:hAnsi="Palatino Linotype" w:cs="Palatino Linotype"/>
          <w:b/>
        </w:rPr>
        <w:t xml:space="preserve"> de marzo de dos mil veintiséis</w:t>
      </w:r>
      <w:r w:rsidRPr="007B729D">
        <w:rPr>
          <w:rFonts w:ascii="Palatino Linotype" w:eastAsia="Palatino Linotype" w:hAnsi="Palatino Linotype" w:cs="Palatino Linotype"/>
          <w:b/>
        </w:rPr>
        <w:t>.</w:t>
      </w:r>
    </w:p>
    <w:p w:rsidR="00812A60" w:rsidRPr="007B729D" w:rsidRDefault="00812A60">
      <w:pPr>
        <w:jc w:val="both"/>
        <w:rPr>
          <w:rFonts w:ascii="Palatino Linotype" w:eastAsia="Palatino Linotype" w:hAnsi="Palatino Linotype" w:cs="Palatino Linotype"/>
        </w:rPr>
      </w:pPr>
    </w:p>
    <w:p w:rsidR="00812A60" w:rsidRPr="007B729D" w:rsidRDefault="00D00BB4">
      <w:pPr>
        <w:spacing w:line="360" w:lineRule="auto"/>
        <w:jc w:val="both"/>
        <w:rPr>
          <w:rFonts w:ascii="Palatino Linotype" w:eastAsia="Palatino Linotype" w:hAnsi="Palatino Linotype" w:cs="Palatino Linotype"/>
        </w:rPr>
      </w:pPr>
      <w:r w:rsidRPr="007B729D">
        <w:rPr>
          <w:rFonts w:ascii="Palatino Linotype" w:eastAsia="Palatino Linotype" w:hAnsi="Palatino Linotype" w:cs="Palatino Linotype"/>
          <w:b/>
          <w:bCs/>
        </w:rPr>
        <w:t>VISTO</w:t>
      </w:r>
      <w:r w:rsidRPr="007B729D">
        <w:rPr>
          <w:rFonts w:ascii="Palatino Linotype" w:eastAsia="Palatino Linotype" w:hAnsi="Palatino Linotype" w:cs="Palatino Linotype"/>
        </w:rPr>
        <w:t xml:space="preserve"> el expediente electrónico formado con motivo del recurso de revisión </w:t>
      </w:r>
      <w:r w:rsidRPr="007B729D">
        <w:rPr>
          <w:rFonts w:ascii="Palatino Linotype" w:eastAsia="Palatino Linotype" w:hAnsi="Palatino Linotype" w:cs="Palatino Linotype"/>
          <w:b/>
          <w:bCs/>
        </w:rPr>
        <w:t xml:space="preserve">08948/INFOEM/IP/RR/2025, </w:t>
      </w:r>
      <w:r w:rsidRPr="007B729D">
        <w:rPr>
          <w:rFonts w:ascii="Palatino Linotype" w:eastAsia="Palatino Linotype" w:hAnsi="Palatino Linotype" w:cs="Palatino Linotype"/>
        </w:rPr>
        <w:t xml:space="preserve">promovido por un </w:t>
      </w:r>
      <w:r w:rsidRPr="007B729D">
        <w:rPr>
          <w:rFonts w:ascii="Palatino Linotype" w:eastAsia="Palatino Linotype" w:hAnsi="Palatino Linotype" w:cs="Palatino Linotype"/>
          <w:b/>
          <w:bCs/>
        </w:rPr>
        <w:t>RECURRENTE,</w:t>
      </w:r>
      <w:r w:rsidRPr="007B729D">
        <w:rPr>
          <w:rFonts w:ascii="Palatino Linotype" w:eastAsia="Palatino Linotype" w:hAnsi="Palatino Linotype" w:cs="Palatino Linotype"/>
        </w:rPr>
        <w:t xml:space="preserve"> en contra de la respuesta del </w:t>
      </w:r>
      <w:r w:rsidRPr="007B729D">
        <w:rPr>
          <w:rFonts w:ascii="Palatino Linotype" w:eastAsia="Palatino Linotype" w:hAnsi="Palatino Linotype" w:cs="Palatino Linotype"/>
          <w:b/>
          <w:bCs/>
          <w:color w:val="000000"/>
        </w:rPr>
        <w:t xml:space="preserve">Ayuntamiento de </w:t>
      </w:r>
      <w:r w:rsidRPr="007B729D">
        <w:rPr>
          <w:rFonts w:ascii="Palatino Linotype" w:eastAsia="Palatino Linotype" w:hAnsi="Palatino Linotype" w:cs="Palatino Linotype"/>
          <w:b/>
          <w:bCs/>
        </w:rPr>
        <w:t xml:space="preserve">Toluca, </w:t>
      </w:r>
      <w:r w:rsidRPr="007B729D">
        <w:rPr>
          <w:rFonts w:ascii="Palatino Linotype" w:eastAsia="Palatino Linotype" w:hAnsi="Palatino Linotype" w:cs="Palatino Linotype"/>
        </w:rPr>
        <w:t>en adelante el</w:t>
      </w:r>
      <w:r w:rsidRPr="007B729D">
        <w:rPr>
          <w:rFonts w:ascii="Palatino Linotype" w:eastAsia="Palatino Linotype" w:hAnsi="Palatino Linotype" w:cs="Palatino Linotype"/>
          <w:b/>
          <w:bCs/>
        </w:rPr>
        <w:t xml:space="preserve"> SUJETO OBLIGADO</w:t>
      </w:r>
      <w:r w:rsidRPr="007B729D">
        <w:rPr>
          <w:rFonts w:ascii="Palatino Linotype" w:eastAsia="Palatino Linotype" w:hAnsi="Palatino Linotype" w:cs="Palatino Linotype"/>
        </w:rPr>
        <w:t>, por lo que se procede a dictar la presente resolución, con base en los siguientes:</w:t>
      </w:r>
    </w:p>
    <w:p w:rsidR="00812A60" w:rsidRPr="007B729D" w:rsidRDefault="00812A60">
      <w:pPr>
        <w:jc w:val="both"/>
        <w:rPr>
          <w:rFonts w:ascii="Palatino Linotype" w:eastAsia="Palatino Linotype" w:hAnsi="Palatino Linotype" w:cs="Palatino Linotype"/>
        </w:rPr>
      </w:pPr>
    </w:p>
    <w:p w:rsidR="00812A60" w:rsidRPr="007B729D" w:rsidRDefault="00D00BB4">
      <w:pPr>
        <w:keepNext/>
        <w:keepLines/>
        <w:spacing w:line="360" w:lineRule="auto"/>
        <w:jc w:val="center"/>
        <w:rPr>
          <w:rFonts w:ascii="Palatino Linotype" w:eastAsia="Palatino Linotype" w:hAnsi="Palatino Linotype" w:cs="Palatino Linotype"/>
          <w:b/>
          <w:bCs/>
        </w:rPr>
      </w:pPr>
      <w:r w:rsidRPr="007B729D">
        <w:rPr>
          <w:rFonts w:ascii="Palatino Linotype" w:eastAsia="Palatino Linotype" w:hAnsi="Palatino Linotype" w:cs="Palatino Linotype"/>
          <w:b/>
          <w:bCs/>
        </w:rPr>
        <w:t>A N T E C E D E N T E S</w:t>
      </w:r>
    </w:p>
    <w:p w:rsidR="00812A60" w:rsidRPr="007B729D" w:rsidRDefault="00812A60">
      <w:pPr>
        <w:rPr>
          <w:rFonts w:ascii="Palatino Linotype" w:eastAsia="Palatino Linotype" w:hAnsi="Palatino Linotype" w:cs="Palatino Linotype"/>
        </w:rPr>
      </w:pPr>
    </w:p>
    <w:p w:rsidR="00812A60" w:rsidRPr="007B729D" w:rsidRDefault="00D00BB4">
      <w:pPr>
        <w:numPr>
          <w:ilvl w:val="0"/>
          <w:numId w:val="1"/>
        </w:numPr>
        <w:spacing w:line="360" w:lineRule="auto"/>
        <w:ind w:left="0" w:firstLine="0"/>
        <w:jc w:val="both"/>
        <w:rPr>
          <w:rFonts w:ascii="Palatino Linotype" w:eastAsia="Palatino Linotype" w:hAnsi="Palatino Linotype" w:cs="Palatino Linotype"/>
        </w:rPr>
      </w:pPr>
      <w:bookmarkStart w:id="1" w:name="_heading=h.63obfckeayy5" w:colFirst="0" w:colLast="0"/>
      <w:bookmarkEnd w:id="1"/>
      <w:r w:rsidRPr="007B729D">
        <w:rPr>
          <w:rFonts w:ascii="Palatino Linotype" w:eastAsia="Palatino Linotype" w:hAnsi="Palatino Linotype" w:cs="Palatino Linotype"/>
        </w:rPr>
        <w:t>El veintisiete de junio de dos mil veinticinco, la</w:t>
      </w:r>
      <w:r w:rsidRPr="007B729D">
        <w:rPr>
          <w:rFonts w:ascii="Palatino Linotype" w:eastAsia="Palatino Linotype" w:hAnsi="Palatino Linotype" w:cs="Palatino Linotype"/>
          <w:b/>
          <w:bCs/>
        </w:rPr>
        <w:t xml:space="preserve"> RECURRENTE </w:t>
      </w:r>
      <w:r w:rsidRPr="007B729D">
        <w:rPr>
          <w:rFonts w:ascii="Palatino Linotype" w:eastAsia="Palatino Linotype" w:hAnsi="Palatino Linotype" w:cs="Palatino Linotype"/>
        </w:rPr>
        <w:t xml:space="preserve">presentó ante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a través del el Sistema de Acceso a la Información Mexiquense </w:t>
      </w:r>
      <w:r w:rsidRPr="007B729D">
        <w:rPr>
          <w:rFonts w:ascii="Palatino Linotype" w:eastAsia="Palatino Linotype" w:hAnsi="Palatino Linotype" w:cs="Palatino Linotype"/>
          <w:b/>
          <w:bCs/>
        </w:rPr>
        <w:t>(SAIMEX),</w:t>
      </w:r>
      <w:r w:rsidRPr="007B729D">
        <w:rPr>
          <w:rFonts w:ascii="Palatino Linotype" w:eastAsia="Palatino Linotype" w:hAnsi="Palatino Linotype" w:cs="Palatino Linotype"/>
        </w:rPr>
        <w:t xml:space="preserve"> la solicitud de información pública </w:t>
      </w:r>
      <w:r w:rsidRPr="007B729D">
        <w:rPr>
          <w:rFonts w:ascii="Palatino Linotype" w:eastAsia="Palatino Linotype" w:hAnsi="Palatino Linotype" w:cs="Palatino Linotype"/>
          <w:b/>
          <w:bCs/>
        </w:rPr>
        <w:t>03714/TOLUCA/IP/2025</w:t>
      </w:r>
      <w:r w:rsidRPr="007B729D">
        <w:rPr>
          <w:rFonts w:ascii="Palatino Linotype" w:eastAsia="Palatino Linotype" w:hAnsi="Palatino Linotype" w:cs="Palatino Linotype"/>
        </w:rPr>
        <w:t>, en la que solicitó:</w:t>
      </w:r>
    </w:p>
    <w:p w:rsidR="00812A60" w:rsidRPr="007B729D" w:rsidRDefault="00812A60">
      <w:pPr>
        <w:jc w:val="both"/>
        <w:rPr>
          <w:rFonts w:ascii="Palatino Linotype" w:eastAsia="Palatino Linotype" w:hAnsi="Palatino Linotype" w:cs="Palatino Linotype"/>
          <w:i/>
          <w:iCs/>
        </w:rPr>
      </w:pPr>
    </w:p>
    <w:p w:rsidR="00812A60" w:rsidRPr="007B729D" w:rsidRDefault="00D00BB4">
      <w:pPr>
        <w:ind w:left="567" w:right="567"/>
        <w:jc w:val="both"/>
        <w:rPr>
          <w:rFonts w:ascii="Palatino Linotype" w:eastAsia="Palatino Linotype" w:hAnsi="Palatino Linotype" w:cs="Palatino Linotype"/>
          <w:i/>
          <w:iCs/>
        </w:rPr>
      </w:pPr>
      <w:r w:rsidRPr="007B729D">
        <w:rPr>
          <w:rFonts w:ascii="Palatino Linotype" w:eastAsia="Palatino Linotype" w:hAnsi="Palatino Linotype" w:cs="Palatino Linotype"/>
          <w:i/>
          <w:iCs/>
          <w:color w:val="000000"/>
        </w:rPr>
        <w:t xml:space="preserve">“Información personal de los síndicos y sindicas actuales del periodo 2025-2027 y los futuros del periodo 2024-2026, esta información debe llevar su nombre completo, edad actual con fecha de nacimiento y a que partido político pertenecen.” (Sic) </w:t>
      </w:r>
    </w:p>
    <w:p w:rsidR="00812A60" w:rsidRDefault="00812A60">
      <w:pPr>
        <w:pBdr>
          <w:top w:val="nil"/>
          <w:left w:val="nil"/>
          <w:bottom w:val="nil"/>
          <w:right w:val="nil"/>
          <w:between w:val="nil"/>
        </w:pBdr>
        <w:jc w:val="both"/>
        <w:rPr>
          <w:rFonts w:ascii="Palatino Linotype" w:eastAsia="Palatino Linotype" w:hAnsi="Palatino Linotype" w:cs="Palatino Linotype"/>
          <w:color w:val="000000"/>
        </w:rPr>
      </w:pPr>
    </w:p>
    <w:p w:rsidR="007B729D" w:rsidRPr="007B729D" w:rsidRDefault="007B729D">
      <w:pPr>
        <w:pBdr>
          <w:top w:val="nil"/>
          <w:left w:val="nil"/>
          <w:bottom w:val="nil"/>
          <w:right w:val="nil"/>
          <w:between w:val="nil"/>
        </w:pBdr>
        <w:jc w:val="both"/>
        <w:rPr>
          <w:rFonts w:ascii="Palatino Linotype" w:eastAsia="Palatino Linotype" w:hAnsi="Palatino Linotype" w:cs="Palatino Linotype"/>
          <w:color w:val="000000"/>
        </w:rPr>
      </w:pPr>
    </w:p>
    <w:p w:rsidR="00812A60" w:rsidRPr="007B729D" w:rsidRDefault="00D00BB4">
      <w:pPr>
        <w:numPr>
          <w:ilvl w:val="0"/>
          <w:numId w:val="1"/>
        </w:numPr>
        <w:spacing w:line="360" w:lineRule="auto"/>
        <w:ind w:left="0"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Se hace constar que se señaló como modalidad de entrega de la información a través del </w:t>
      </w:r>
      <w:r w:rsidRPr="007B729D">
        <w:rPr>
          <w:rFonts w:ascii="Palatino Linotype" w:eastAsia="Palatino Linotype" w:hAnsi="Palatino Linotype" w:cs="Palatino Linotype"/>
          <w:b/>
          <w:bCs/>
        </w:rPr>
        <w:t>SAIMEX.</w:t>
      </w:r>
    </w:p>
    <w:p w:rsidR="00812A60" w:rsidRPr="007B729D" w:rsidRDefault="00812A60">
      <w:pPr>
        <w:spacing w:line="360" w:lineRule="auto"/>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El catorce de julio de dos mil veinticinco,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b/>
          <w:bCs/>
          <w:i/>
          <w:iCs/>
        </w:rPr>
        <w:t xml:space="preserve"> </w:t>
      </w:r>
      <w:r w:rsidRPr="007B729D">
        <w:rPr>
          <w:rFonts w:ascii="Palatino Linotype" w:eastAsia="Palatino Linotype" w:hAnsi="Palatino Linotype" w:cs="Palatino Linotype"/>
        </w:rPr>
        <w:t>dio respuesta a la solicitud de información, en los siguientes términos:</w:t>
      </w:r>
    </w:p>
    <w:p w:rsidR="00812A60" w:rsidRPr="007B729D" w:rsidRDefault="00D00BB4">
      <w:pPr>
        <w:ind w:left="567" w:right="567"/>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rPr>
        <w:t>“…</w:t>
      </w:r>
      <w:r w:rsidRPr="007B729D">
        <w:rPr>
          <w:rFonts w:ascii="Palatino Linotype" w:eastAsia="Palatino Linotype" w:hAnsi="Palatino Linotype" w:cs="Palatino Linotype"/>
          <w:i/>
          <w:iCs/>
          <w:color w:val="000000"/>
        </w:rPr>
        <w:t>En atención a la solicitud con folio 03714/TOLUCA/IP/2025, me permito adjuntar al presente la respuesta correspondiente, Sin más por el momento, reciba un saludo.…” (Sic)</w:t>
      </w:r>
    </w:p>
    <w:p w:rsidR="00812A60" w:rsidRDefault="00812A60">
      <w:pPr>
        <w:ind w:right="567"/>
        <w:jc w:val="both"/>
        <w:rPr>
          <w:rFonts w:ascii="Palatino Linotype" w:eastAsia="Palatino Linotype" w:hAnsi="Palatino Linotype" w:cs="Palatino Linotype"/>
          <w:i/>
          <w:iCs/>
          <w:color w:val="000000"/>
        </w:rPr>
      </w:pPr>
    </w:p>
    <w:p w:rsidR="007B729D" w:rsidRPr="007B729D" w:rsidRDefault="007B729D">
      <w:pPr>
        <w:ind w:right="567"/>
        <w:jc w:val="both"/>
        <w:rPr>
          <w:rFonts w:ascii="Palatino Linotype" w:eastAsia="Palatino Linotype" w:hAnsi="Palatino Linotype" w:cs="Palatino Linotype"/>
          <w:i/>
          <w:iCs/>
          <w:color w:val="000000"/>
        </w:rPr>
      </w:pPr>
    </w:p>
    <w:p w:rsidR="00812A60" w:rsidRPr="007B729D" w:rsidRDefault="00D00BB4">
      <w:pPr>
        <w:ind w:right="567"/>
        <w:jc w:val="both"/>
        <w:rPr>
          <w:rFonts w:ascii="Palatino Linotype" w:eastAsia="Palatino Linotype" w:hAnsi="Palatino Linotype" w:cs="Palatino Linotype"/>
          <w:b/>
          <w:bCs/>
        </w:rPr>
      </w:pPr>
      <w:r w:rsidRPr="007B729D">
        <w:rPr>
          <w:rFonts w:ascii="Palatino Linotype" w:eastAsia="Palatino Linotype" w:hAnsi="Palatino Linotype" w:cs="Palatino Linotype"/>
          <w:b/>
          <w:bCs/>
        </w:rPr>
        <w:lastRenderedPageBreak/>
        <w:t>Archivos electrónicos adjuntos:</w:t>
      </w:r>
      <w:r w:rsidRPr="007B729D">
        <w:rPr>
          <w:rFonts w:ascii="Palatino Linotype" w:eastAsia="Palatino Linotype" w:hAnsi="Palatino Linotype" w:cs="Palatino Linotype"/>
        </w:rPr>
        <w:t xml:space="preserve"> </w:t>
      </w:r>
    </w:p>
    <w:p w:rsidR="00812A60" w:rsidRPr="007B729D" w:rsidRDefault="00C638E9">
      <w:pPr>
        <w:ind w:left="567" w:right="538"/>
        <w:jc w:val="both"/>
        <w:rPr>
          <w:rFonts w:ascii="Palatino Linotype" w:eastAsia="Palatino Linotype" w:hAnsi="Palatino Linotype" w:cs="Palatino Linotype"/>
        </w:rPr>
      </w:pPr>
      <w:hyperlink r:id="rId8">
        <w:r w:rsidR="00D00BB4" w:rsidRPr="007B729D">
          <w:rPr>
            <w:rFonts w:ascii="Palatino Linotype" w:eastAsia="Palatino Linotype" w:hAnsi="Palatino Linotype" w:cs="Palatino Linotype"/>
            <w:b/>
            <w:bCs/>
            <w:color w:val="000000"/>
          </w:rPr>
          <w:t>3714.pdf</w:t>
        </w:r>
      </w:hyperlink>
      <w:r w:rsidR="00D00BB4" w:rsidRPr="007B729D">
        <w:rPr>
          <w:rFonts w:ascii="Palatino Linotype" w:eastAsia="Palatino Linotype" w:hAnsi="Palatino Linotype" w:cs="Palatino Linotype"/>
        </w:rPr>
        <w:t xml:space="preserve">: Oficio suscrito por la Primera Síndica, mediante el cual, referente a </w:t>
      </w:r>
      <w:r w:rsidR="00D00BB4" w:rsidRPr="007B729D">
        <w:rPr>
          <w:rFonts w:ascii="Palatino Linotype" w:eastAsia="Palatino Linotype" w:hAnsi="Palatino Linotype" w:cs="Palatino Linotype"/>
          <w:i/>
          <w:iCs/>
        </w:rPr>
        <w:t xml:space="preserve">“Información personal de los síndicos y sindicas actuales del periodo 2025-2027”, </w:t>
      </w:r>
      <w:r w:rsidR="00D00BB4" w:rsidRPr="007B729D">
        <w:rPr>
          <w:rFonts w:ascii="Palatino Linotype" w:eastAsia="Palatino Linotype" w:hAnsi="Palatino Linotype" w:cs="Palatino Linotype"/>
        </w:rPr>
        <w:t>informó el nombre completo, edad, fecha de nacimiento y el partido político al cual se encuentra afiliada. Ahora bien, respecto a “</w:t>
      </w:r>
      <w:r w:rsidR="00D00BB4" w:rsidRPr="007B729D">
        <w:rPr>
          <w:rFonts w:ascii="Palatino Linotype" w:eastAsia="Palatino Linotype" w:hAnsi="Palatino Linotype" w:cs="Palatino Linotype"/>
          <w:i/>
          <w:iCs/>
        </w:rPr>
        <w:t>y los futuros del periodo 2024-2026”</w:t>
      </w:r>
      <w:r w:rsidR="00D00BB4" w:rsidRPr="007B729D">
        <w:rPr>
          <w:rFonts w:ascii="Palatino Linotype" w:eastAsia="Palatino Linotype" w:hAnsi="Palatino Linotype" w:cs="Palatino Linotype"/>
        </w:rPr>
        <w:t xml:space="preserve"> refirió que en los archivos que obran en la Primera Sindicatura, no se encontró documentación con la información requerida.</w:t>
      </w:r>
    </w:p>
    <w:p w:rsidR="00812A60" w:rsidRPr="007B729D" w:rsidRDefault="00812A60">
      <w:pPr>
        <w:ind w:left="567" w:right="538"/>
        <w:jc w:val="both"/>
        <w:rPr>
          <w:rFonts w:ascii="Palatino Linotype" w:eastAsia="Palatino Linotype" w:hAnsi="Palatino Linotype" w:cs="Palatino Linotype"/>
        </w:rPr>
      </w:pPr>
    </w:p>
    <w:p w:rsidR="00812A60" w:rsidRPr="007B729D" w:rsidRDefault="00C638E9">
      <w:pPr>
        <w:ind w:left="567" w:right="538"/>
        <w:jc w:val="both"/>
        <w:rPr>
          <w:rFonts w:ascii="Palatino Linotype" w:eastAsia="Palatino Linotype" w:hAnsi="Palatino Linotype" w:cs="Palatino Linotype"/>
        </w:rPr>
      </w:pPr>
      <w:hyperlink r:id="rId9">
        <w:r w:rsidR="00D00BB4" w:rsidRPr="007B729D">
          <w:rPr>
            <w:rFonts w:ascii="Palatino Linotype" w:eastAsia="Palatino Linotype" w:hAnsi="Palatino Linotype" w:cs="Palatino Linotype"/>
            <w:b/>
            <w:bCs/>
            <w:color w:val="000000"/>
          </w:rPr>
          <w:t>03714.pdf</w:t>
        </w:r>
      </w:hyperlink>
      <w:r w:rsidR="00D00BB4" w:rsidRPr="007B729D">
        <w:rPr>
          <w:rFonts w:ascii="Palatino Linotype" w:eastAsia="Palatino Linotype" w:hAnsi="Palatino Linotype" w:cs="Palatino Linotype"/>
        </w:rPr>
        <w:t xml:space="preserve">: Oficio suscrito por el Segundo Síndico, mediante el cual, señaló que lo solicitado no constituye un requerimiento que pueda ser satisfactorio vía acceso a la información pública, ya que se trata de manifestaciones subjetivas. </w:t>
      </w:r>
    </w:p>
    <w:p w:rsidR="00812A60" w:rsidRPr="007B729D" w:rsidRDefault="00812A60">
      <w:pPr>
        <w:ind w:right="-592"/>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El cuatro de agosto de dos mil veinticinco,</w:t>
      </w:r>
      <w:r w:rsidRPr="007B729D">
        <w:rPr>
          <w:rFonts w:ascii="Palatino Linotype" w:eastAsia="Palatino Linotype" w:hAnsi="Palatino Linotype" w:cs="Palatino Linotype"/>
          <w:b/>
          <w:bCs/>
        </w:rPr>
        <w:t xml:space="preserve"> </w:t>
      </w:r>
      <w:r w:rsidRPr="007B729D">
        <w:rPr>
          <w:rFonts w:ascii="Palatino Linotype" w:eastAsia="Palatino Linotype" w:hAnsi="Palatino Linotype" w:cs="Palatino Linotype"/>
        </w:rPr>
        <w:t xml:space="preserve">el </w:t>
      </w:r>
      <w:r w:rsidRPr="007B729D">
        <w:rPr>
          <w:rFonts w:ascii="Palatino Linotype" w:eastAsia="Palatino Linotype" w:hAnsi="Palatino Linotype" w:cs="Palatino Linotype"/>
          <w:b/>
          <w:bCs/>
        </w:rPr>
        <w:t>RECURRENTE</w:t>
      </w:r>
      <w:r w:rsidRPr="007B729D">
        <w:rPr>
          <w:rFonts w:ascii="Palatino Linotype" w:eastAsia="Palatino Linotype" w:hAnsi="Palatino Linotype" w:cs="Palatino Linotype"/>
        </w:rPr>
        <w:t xml:space="preserve"> interpuso el recurso de revisión en contra de la respuesta, señalando como:</w:t>
      </w:r>
    </w:p>
    <w:p w:rsidR="00812A60" w:rsidRPr="007B729D" w:rsidRDefault="00812A60">
      <w:pPr>
        <w:ind w:right="1"/>
        <w:jc w:val="both"/>
        <w:rPr>
          <w:rFonts w:ascii="Palatino Linotype" w:eastAsia="Palatino Linotype" w:hAnsi="Palatino Linotype" w:cs="Palatino Linotype"/>
        </w:rPr>
      </w:pPr>
    </w:p>
    <w:p w:rsidR="00812A60" w:rsidRPr="007B729D" w:rsidRDefault="007B729D" w:rsidP="007B729D">
      <w:pPr>
        <w:pStyle w:val="Prrafodelista"/>
        <w:numPr>
          <w:ilvl w:val="0"/>
          <w:numId w:val="7"/>
        </w:numPr>
        <w:ind w:right="568"/>
        <w:jc w:val="both"/>
        <w:rPr>
          <w:rFonts w:ascii="Palatino Linotype" w:eastAsia="Palatino Linotype" w:hAnsi="Palatino Linotype" w:cs="Palatino Linotype"/>
          <w:i/>
          <w:iCs/>
          <w:sz w:val="24"/>
        </w:rPr>
      </w:pPr>
      <w:r w:rsidRPr="007B729D">
        <w:rPr>
          <w:rFonts w:ascii="Palatino Linotype" w:eastAsia="Palatino Linotype" w:hAnsi="Palatino Linotype" w:cs="Palatino Linotype"/>
          <w:b/>
          <w:bCs/>
          <w:sz w:val="24"/>
        </w:rPr>
        <w:t>ACTO IMPUGNADO</w:t>
      </w:r>
      <w:r w:rsidRPr="007B729D">
        <w:rPr>
          <w:rFonts w:ascii="Palatino Linotype" w:eastAsia="Palatino Linotype" w:hAnsi="Palatino Linotype" w:cs="Palatino Linotype"/>
          <w:b/>
          <w:bCs/>
          <w:i/>
          <w:iCs/>
          <w:sz w:val="24"/>
        </w:rPr>
        <w:t>:</w:t>
      </w:r>
      <w:r w:rsidRPr="007B729D">
        <w:rPr>
          <w:rFonts w:ascii="Palatino Linotype" w:eastAsia="Palatino Linotype" w:hAnsi="Palatino Linotype" w:cs="Palatino Linotype"/>
          <w:i/>
          <w:iCs/>
          <w:color w:val="000000"/>
          <w:sz w:val="24"/>
        </w:rPr>
        <w:t xml:space="preserve"> </w:t>
      </w:r>
      <w:r w:rsidR="00D00BB4" w:rsidRPr="007B729D">
        <w:rPr>
          <w:rFonts w:ascii="Palatino Linotype" w:eastAsia="Palatino Linotype" w:hAnsi="Palatino Linotype" w:cs="Palatino Linotype"/>
          <w:i/>
          <w:iCs/>
          <w:color w:val="000000"/>
          <w:sz w:val="24"/>
        </w:rPr>
        <w:t>"LA NEGATIVA DE LA INFORMACIÓN QUE ES PUBLICA” (Sic)</w:t>
      </w:r>
    </w:p>
    <w:p w:rsidR="00812A60" w:rsidRPr="007B729D" w:rsidRDefault="00812A60" w:rsidP="007B729D">
      <w:pPr>
        <w:ind w:right="568"/>
        <w:jc w:val="both"/>
        <w:rPr>
          <w:rFonts w:ascii="Palatino Linotype" w:eastAsia="Palatino Linotype" w:hAnsi="Palatino Linotype" w:cs="Palatino Linotype"/>
          <w:sz w:val="28"/>
        </w:rPr>
      </w:pPr>
    </w:p>
    <w:p w:rsidR="00812A60" w:rsidRPr="007B729D" w:rsidRDefault="007B729D" w:rsidP="007B729D">
      <w:pPr>
        <w:pStyle w:val="Prrafodelista"/>
        <w:numPr>
          <w:ilvl w:val="0"/>
          <w:numId w:val="7"/>
        </w:numPr>
        <w:ind w:right="568"/>
        <w:jc w:val="both"/>
        <w:rPr>
          <w:rFonts w:ascii="Palatino Linotype" w:eastAsia="Palatino Linotype" w:hAnsi="Palatino Linotype" w:cs="Palatino Linotype"/>
          <w:i/>
          <w:iCs/>
          <w:sz w:val="24"/>
        </w:rPr>
      </w:pPr>
      <w:r w:rsidRPr="007B729D">
        <w:rPr>
          <w:rFonts w:ascii="Palatino Linotype" w:eastAsia="Palatino Linotype" w:hAnsi="Palatino Linotype" w:cs="Palatino Linotype"/>
          <w:b/>
          <w:bCs/>
          <w:sz w:val="24"/>
        </w:rPr>
        <w:t>RAZONES O MOTIVOS DE INCONFORMIDAD</w:t>
      </w:r>
      <w:r w:rsidR="00D00BB4" w:rsidRPr="007B729D">
        <w:rPr>
          <w:rFonts w:ascii="Palatino Linotype" w:eastAsia="Palatino Linotype" w:hAnsi="Palatino Linotype" w:cs="Palatino Linotype"/>
          <w:b/>
          <w:bCs/>
          <w:sz w:val="24"/>
        </w:rPr>
        <w:t xml:space="preserve">: </w:t>
      </w:r>
      <w:r w:rsidR="00D00BB4" w:rsidRPr="007B729D">
        <w:rPr>
          <w:rFonts w:ascii="Palatino Linotype" w:eastAsia="Palatino Linotype" w:hAnsi="Palatino Linotype" w:cs="Palatino Linotype"/>
          <w:i/>
          <w:iCs/>
          <w:color w:val="000000"/>
          <w:sz w:val="24"/>
        </w:rPr>
        <w:t>“LA NEGATIVA DE LA INFORMAICÓN QUE ES PUBLICA” (Sic)</w:t>
      </w:r>
    </w:p>
    <w:p w:rsidR="00812A60" w:rsidRPr="007B729D" w:rsidRDefault="00812A60">
      <w:pPr>
        <w:ind w:right="568"/>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7B729D">
        <w:rPr>
          <w:rFonts w:ascii="Palatino Linotype" w:eastAsia="Palatino Linotype" w:hAnsi="Palatino Linotype" w:cs="Palatino Linotype"/>
          <w:b/>
          <w:bCs/>
        </w:rPr>
        <w:t xml:space="preserve">Ley de Transparencia y Acceso a la Información Pública del Estado de México y Municipios </w:t>
      </w:r>
      <w:r w:rsidRPr="007B729D">
        <w:rPr>
          <w:rFonts w:ascii="Palatino Linotype" w:eastAsia="Palatino Linotype" w:hAnsi="Palatino Linotype" w:cs="Palatino Linotype"/>
        </w:rPr>
        <w:t xml:space="preserve">se turna a la </w:t>
      </w:r>
      <w:r w:rsidRPr="007B729D">
        <w:rPr>
          <w:rFonts w:ascii="Palatino Linotype" w:eastAsia="Palatino Linotype" w:hAnsi="Palatino Linotype" w:cs="Palatino Linotype"/>
          <w:b/>
          <w:bCs/>
        </w:rPr>
        <w:t xml:space="preserve">Comisionada María del Rosario Mejía Ayala, </w:t>
      </w:r>
      <w:r w:rsidRPr="007B729D">
        <w:rPr>
          <w:rFonts w:ascii="Palatino Linotype" w:eastAsia="Palatino Linotype" w:hAnsi="Palatino Linotype" w:cs="Palatino Linotype"/>
        </w:rPr>
        <w:t xml:space="preserve">para su análisis. </w:t>
      </w:r>
    </w:p>
    <w:p w:rsidR="00812A60" w:rsidRPr="007B729D" w:rsidRDefault="00812A60">
      <w:pPr>
        <w:ind w:right="-592"/>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cinco de agosto de dos mil veinticinco, puso a disposición de las partes el expediente electrónico vía </w:t>
      </w:r>
      <w:r w:rsidRPr="007B729D">
        <w:rPr>
          <w:rFonts w:ascii="Palatino Linotype" w:eastAsia="Palatino Linotype" w:hAnsi="Palatino Linotype" w:cs="Palatino Linotype"/>
          <w:b/>
          <w:bCs/>
        </w:rPr>
        <w:t xml:space="preserve">SAIMEX </w:t>
      </w:r>
      <w:r w:rsidRPr="007B729D">
        <w:rPr>
          <w:rFonts w:ascii="Palatino Linotype" w:eastAsia="Palatino Linotype" w:hAnsi="Palatino Linotype" w:cs="Palatino Linotype"/>
        </w:rPr>
        <w:t xml:space="preserve">a efecto de que en un plazo máximo de siete días manifestara lo que a derecho conviniera, ofreciera </w:t>
      </w:r>
      <w:r w:rsidRPr="007B729D">
        <w:rPr>
          <w:rFonts w:ascii="Palatino Linotype" w:eastAsia="Palatino Linotype" w:hAnsi="Palatino Linotype" w:cs="Palatino Linotype"/>
        </w:rPr>
        <w:lastRenderedPageBreak/>
        <w:t xml:space="preserve">pruebas y alegatos según corresponda al caso concreto, de esta forma para que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presentará el informe justificado procedente. </w:t>
      </w:r>
    </w:p>
    <w:p w:rsidR="00812A60" w:rsidRPr="007B729D" w:rsidRDefault="00812A60">
      <w:pPr>
        <w:shd w:val="clear" w:color="auto" w:fill="FFFFFF"/>
        <w:ind w:right="-592"/>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rPr>
        <w:t xml:space="preserve">El catorce de agosto de dos mil veinticinco,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rindió el informe justificado correspondiente, mediante los siguientes archivos electrónicos:</w:t>
      </w:r>
    </w:p>
    <w:p w:rsidR="00812A60" w:rsidRPr="007B729D" w:rsidRDefault="00D00BB4">
      <w:pPr>
        <w:ind w:left="567" w:right="538"/>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b/>
          <w:bCs/>
          <w:color w:val="000000"/>
        </w:rPr>
        <w:t xml:space="preserve">Ratificacion 8948 2025.pdf: </w:t>
      </w:r>
      <w:r w:rsidRPr="007B729D">
        <w:rPr>
          <w:rFonts w:ascii="Palatino Linotype" w:eastAsia="Palatino Linotype" w:hAnsi="Palatino Linotype" w:cs="Palatino Linotype"/>
          <w:color w:val="000000"/>
        </w:rPr>
        <w:t>Oficio suscrito por el Titular de la Unidad de Transparencia, mediante el cual, ratificó la respuesta emitida por las Sindicaturas.</w:t>
      </w:r>
    </w:p>
    <w:p w:rsidR="00812A60" w:rsidRPr="007B729D" w:rsidRDefault="00812A60">
      <w:pPr>
        <w:ind w:left="567" w:right="538"/>
        <w:jc w:val="both"/>
        <w:rPr>
          <w:rFonts w:ascii="Palatino Linotype" w:eastAsia="Palatino Linotype" w:hAnsi="Palatino Linotype" w:cs="Palatino Linotype"/>
          <w:b/>
          <w:bCs/>
          <w:color w:val="000000"/>
        </w:rPr>
      </w:pPr>
    </w:p>
    <w:p w:rsidR="00812A60" w:rsidRPr="007B729D" w:rsidRDefault="00D00BB4">
      <w:pPr>
        <w:ind w:left="567" w:right="538"/>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b/>
          <w:bCs/>
          <w:color w:val="000000"/>
        </w:rPr>
        <w:t xml:space="preserve">ANEXOS 8948-2025.pdf: </w:t>
      </w:r>
      <w:r w:rsidRPr="007B729D">
        <w:rPr>
          <w:rFonts w:ascii="Palatino Linotype" w:eastAsia="Palatino Linotype" w:hAnsi="Palatino Linotype" w:cs="Palatino Linotype"/>
          <w:color w:val="000000"/>
        </w:rPr>
        <w:t>Documento consistente en tres oficios, dos suscritos por el Segundo Síndico y uno por la Primera Síndica, el cual, no fue puesto a la vista del Particular por contener datos susceptibles de ser clasificados como confidenciales, de manera enunciativa más no limitativa, la edad y fecha de nacimiento de los Servidores Públicos.</w:t>
      </w:r>
    </w:p>
    <w:p w:rsidR="00812A60" w:rsidRPr="007B729D" w:rsidRDefault="00812A60">
      <w:pPr>
        <w:spacing w:line="360" w:lineRule="auto"/>
        <w:ind w:right="1"/>
        <w:jc w:val="both"/>
        <w:rPr>
          <w:rFonts w:ascii="Palatino Linotype" w:eastAsia="Palatino Linotype" w:hAnsi="Palatino Linotype" w:cs="Palatino Linotype"/>
          <w:color w:val="000000"/>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Por su parte, el </w:t>
      </w:r>
      <w:r w:rsidRPr="007B729D">
        <w:rPr>
          <w:rFonts w:ascii="Palatino Linotype" w:eastAsia="Palatino Linotype" w:hAnsi="Palatino Linotype" w:cs="Palatino Linotype"/>
          <w:b/>
          <w:bCs/>
        </w:rPr>
        <w:t xml:space="preserve">RECURRENTE </w:t>
      </w:r>
      <w:r w:rsidRPr="007B729D">
        <w:rPr>
          <w:rFonts w:ascii="Palatino Linotype" w:eastAsia="Palatino Linotype" w:hAnsi="Palatino Linotype" w:cs="Palatino Linotype"/>
        </w:rPr>
        <w:t>no realizó manifestaciones que a su derecho convinieran.</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El veintisiete de enero de dos mil veintiséis, se notificó el acuerdo mediante el cual se amplió el plazo para emitir resolución por un término de 15 días adicionales.</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rPr>
        <w:t>La Comisionada Ponente decretó el cierre de instrucción mediante el acuerdo del diecinueve de marzo de dos mil veintiséis.</w:t>
      </w:r>
      <w:r w:rsidR="007B729D">
        <w:rPr>
          <w:rFonts w:ascii="Palatino Linotype" w:eastAsia="Palatino Linotype" w:hAnsi="Palatino Linotype" w:cs="Palatino Linotype"/>
        </w:rPr>
        <w:t xml:space="preserve"> </w:t>
      </w:r>
    </w:p>
    <w:p w:rsidR="00812A60" w:rsidRDefault="00812A60">
      <w:pPr>
        <w:rPr>
          <w:rFonts w:ascii="Palatino Linotype" w:eastAsia="Palatino Linotype" w:hAnsi="Palatino Linotype" w:cs="Palatino Linotype"/>
          <w:b/>
          <w:bCs/>
        </w:rPr>
      </w:pPr>
    </w:p>
    <w:p w:rsidR="007B729D" w:rsidRPr="007B729D" w:rsidRDefault="007B729D">
      <w:pPr>
        <w:rPr>
          <w:rFonts w:ascii="Palatino Linotype" w:eastAsia="Palatino Linotype" w:hAnsi="Palatino Linotype" w:cs="Palatino Linotype"/>
          <w:b/>
          <w:bCs/>
        </w:rPr>
      </w:pPr>
    </w:p>
    <w:p w:rsidR="00812A60" w:rsidRPr="007B729D" w:rsidRDefault="00D00BB4">
      <w:pPr>
        <w:keepNext/>
        <w:keepLines/>
        <w:spacing w:line="360" w:lineRule="auto"/>
        <w:ind w:right="-592"/>
        <w:jc w:val="center"/>
        <w:rPr>
          <w:rFonts w:ascii="Palatino Linotype" w:eastAsia="Palatino Linotype" w:hAnsi="Palatino Linotype" w:cs="Palatino Linotype"/>
          <w:b/>
          <w:bCs/>
        </w:rPr>
      </w:pPr>
      <w:r w:rsidRPr="007B729D">
        <w:rPr>
          <w:rFonts w:ascii="Palatino Linotype" w:eastAsia="Palatino Linotype" w:hAnsi="Palatino Linotype" w:cs="Palatino Linotype"/>
          <w:b/>
          <w:bCs/>
        </w:rPr>
        <w:t xml:space="preserve">C O N S I D E R A N D O </w:t>
      </w:r>
    </w:p>
    <w:p w:rsidR="00812A60" w:rsidRPr="007B729D" w:rsidRDefault="00812A60">
      <w:pPr>
        <w:keepNext/>
        <w:keepLines/>
        <w:ind w:right="-592"/>
        <w:rPr>
          <w:rFonts w:ascii="Palatino Linotype" w:eastAsia="Palatino Linotype" w:hAnsi="Palatino Linotype" w:cs="Palatino Linotype"/>
        </w:rPr>
      </w:pPr>
    </w:p>
    <w:p w:rsidR="00812A60" w:rsidRPr="007B729D" w:rsidRDefault="00D00BB4">
      <w:pPr>
        <w:keepNext/>
        <w:keepLines/>
        <w:spacing w:line="360" w:lineRule="auto"/>
        <w:ind w:right="-592"/>
        <w:rPr>
          <w:rFonts w:ascii="Palatino Linotype" w:eastAsia="Palatino Linotype" w:hAnsi="Palatino Linotype" w:cs="Palatino Linotype"/>
          <w:b/>
          <w:bCs/>
        </w:rPr>
      </w:pPr>
      <w:r w:rsidRPr="007B729D">
        <w:rPr>
          <w:rFonts w:ascii="Palatino Linotype" w:eastAsia="Palatino Linotype" w:hAnsi="Palatino Linotype" w:cs="Palatino Linotype"/>
          <w:b/>
          <w:bCs/>
        </w:rPr>
        <w:t>PRIMERO. De la competencia.</w:t>
      </w: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znysh7" w:colFirst="0" w:colLast="0"/>
      <w:bookmarkEnd w:id="2"/>
      <w:r w:rsidRPr="007B729D">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w:t>
      </w:r>
      <w:r w:rsidRPr="007B729D">
        <w:rPr>
          <w:rFonts w:ascii="Palatino Linotype" w:eastAsia="Palatino Linotype" w:hAnsi="Palatino Linotype" w:cs="Palatino Linotype"/>
        </w:rPr>
        <w:lastRenderedPageBreak/>
        <w:t>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7B729D" w:rsidRDefault="007B729D">
      <w:pPr>
        <w:keepNext/>
        <w:keepLines/>
        <w:spacing w:line="360" w:lineRule="auto"/>
        <w:ind w:right="1"/>
        <w:rPr>
          <w:rFonts w:ascii="Palatino Linotype" w:eastAsia="Palatino Linotype" w:hAnsi="Palatino Linotype" w:cs="Palatino Linotype"/>
          <w:b/>
          <w:bCs/>
        </w:rPr>
      </w:pPr>
    </w:p>
    <w:p w:rsidR="00812A60" w:rsidRPr="007B729D" w:rsidRDefault="00D00BB4">
      <w:pPr>
        <w:keepNext/>
        <w:keepLines/>
        <w:spacing w:line="360" w:lineRule="auto"/>
        <w:ind w:right="1"/>
        <w:rPr>
          <w:rFonts w:ascii="Palatino Linotype" w:eastAsia="Palatino Linotype" w:hAnsi="Palatino Linotype" w:cs="Palatino Linotype"/>
          <w:b/>
          <w:bCs/>
        </w:rPr>
      </w:pPr>
      <w:r w:rsidRPr="007B729D">
        <w:rPr>
          <w:rFonts w:ascii="Palatino Linotype" w:eastAsia="Palatino Linotype" w:hAnsi="Palatino Linotype" w:cs="Palatino Linotype"/>
          <w:b/>
          <w:bCs/>
        </w:rPr>
        <w:t>SEGUNDO. De la oportunidad y procedencia.</w:t>
      </w: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7B729D">
        <w:rPr>
          <w:rFonts w:ascii="Palatino Linotype" w:eastAsia="Palatino Linotype" w:hAnsi="Palatino Linotype" w:cs="Palatino Linotype"/>
        </w:rPr>
        <w:t xml:space="preserve">El medio de impugnación fue presentado a través del </w:t>
      </w:r>
      <w:r w:rsidRPr="007B729D">
        <w:rPr>
          <w:rFonts w:ascii="Palatino Linotype" w:eastAsia="Palatino Linotype" w:hAnsi="Palatino Linotype" w:cs="Palatino Linotype"/>
          <w:b/>
          <w:bCs/>
        </w:rPr>
        <w:t>SAIMEX,</w:t>
      </w:r>
      <w:r w:rsidRPr="007B729D">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entregó respuesta el dieciocho de julio de dos mil veinticinco de dos mil veinticuatro, de tal forma que el plazo para interponer el recurso de revisión transcurrió del uno de al veintiuno de agosto de dos mil veinticinco; en consecuencia, presentó su inconformidad el veintidós de julio</w:t>
      </w:r>
      <w:r w:rsidRPr="007B729D">
        <w:rPr>
          <w:rFonts w:ascii="Palatino Linotype" w:eastAsia="Palatino Linotype" w:hAnsi="Palatino Linotype" w:cs="Palatino Linotype"/>
          <w:b/>
          <w:bCs/>
        </w:rPr>
        <w:t xml:space="preserve"> </w:t>
      </w:r>
      <w:r w:rsidRPr="007B729D">
        <w:rPr>
          <w:rFonts w:ascii="Palatino Linotype" w:eastAsia="Palatino Linotype" w:hAnsi="Palatino Linotype" w:cs="Palatino Linotype"/>
        </w:rPr>
        <w:t xml:space="preserve">de dos mil veinticinco, por lo que se encuentra dentro de los márgenes temporales previstos en el artículo 178 de la </w:t>
      </w:r>
      <w:r w:rsidRPr="007B729D">
        <w:rPr>
          <w:rFonts w:ascii="Palatino Linotype" w:eastAsia="Palatino Linotype" w:hAnsi="Palatino Linotype" w:cs="Palatino Linotype"/>
          <w:b/>
          <w:bCs/>
        </w:rPr>
        <w:t xml:space="preserve">Ley de Transparencia y Acceso a la Información Pública del Estado de México y Municipios </w:t>
      </w:r>
      <w:r w:rsidRPr="007B729D">
        <w:rPr>
          <w:rFonts w:ascii="Palatino Linotype" w:eastAsia="Palatino Linotype" w:hAnsi="Palatino Linotype" w:cs="Palatino Linotype"/>
        </w:rPr>
        <w:t>vigente.</w:t>
      </w:r>
    </w:p>
    <w:p w:rsidR="00812A60" w:rsidRPr="007B729D" w:rsidRDefault="00812A60">
      <w:pPr>
        <w:ind w:right="1"/>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12A60" w:rsidRPr="007B729D" w:rsidRDefault="00812A60">
      <w:pPr>
        <w:ind w:right="-592"/>
        <w:jc w:val="both"/>
        <w:rPr>
          <w:rFonts w:ascii="Palatino Linotype" w:eastAsia="Palatino Linotype" w:hAnsi="Palatino Linotype" w:cs="Palatino Linotype"/>
          <w:b/>
          <w:bCs/>
        </w:rPr>
      </w:pPr>
    </w:p>
    <w:p w:rsidR="007B729D" w:rsidRDefault="007B729D">
      <w:pPr>
        <w:spacing w:line="360" w:lineRule="auto"/>
        <w:ind w:right="-592"/>
        <w:jc w:val="both"/>
        <w:rPr>
          <w:rFonts w:ascii="Palatino Linotype" w:eastAsia="Palatino Linotype" w:hAnsi="Palatino Linotype" w:cs="Palatino Linotype"/>
          <w:b/>
          <w:bCs/>
        </w:rPr>
      </w:pPr>
      <w:bookmarkStart w:id="4" w:name="_heading=h.n8abcjh4tt5h" w:colFirst="0" w:colLast="0"/>
      <w:bookmarkEnd w:id="4"/>
    </w:p>
    <w:p w:rsidR="00812A60" w:rsidRPr="007B729D" w:rsidRDefault="00D00BB4">
      <w:pPr>
        <w:spacing w:line="360" w:lineRule="auto"/>
        <w:ind w:right="-592"/>
        <w:jc w:val="both"/>
        <w:rPr>
          <w:rFonts w:ascii="Palatino Linotype" w:eastAsia="Palatino Linotype" w:hAnsi="Palatino Linotype" w:cs="Palatino Linotype"/>
          <w:b/>
          <w:bCs/>
        </w:rPr>
      </w:pPr>
      <w:r w:rsidRPr="007B729D">
        <w:rPr>
          <w:rFonts w:ascii="Palatino Linotype" w:eastAsia="Palatino Linotype" w:hAnsi="Palatino Linotype" w:cs="Palatino Linotype"/>
          <w:b/>
          <w:bCs/>
        </w:rPr>
        <w:lastRenderedPageBreak/>
        <w:t>TERCERO. Del Planteamiento de la Litis.</w:t>
      </w: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bookmarkStart w:id="5" w:name="_heading=h.sg69pjfuscz6" w:colFirst="0" w:colLast="0"/>
      <w:bookmarkEnd w:id="5"/>
      <w:r w:rsidRPr="007B729D">
        <w:rPr>
          <w:rFonts w:ascii="Palatino Linotype" w:eastAsia="Palatino Linotype" w:hAnsi="Palatino Linotype" w:cs="Palatino Linotype"/>
        </w:rPr>
        <w:t xml:space="preserve">El </w:t>
      </w:r>
      <w:r w:rsidRPr="007B729D">
        <w:rPr>
          <w:rFonts w:ascii="Palatino Linotype" w:eastAsia="Palatino Linotype" w:hAnsi="Palatino Linotype" w:cs="Palatino Linotype"/>
          <w:b/>
          <w:bCs/>
        </w:rPr>
        <w:t>RECURRENTE</w:t>
      </w:r>
      <w:r w:rsidRPr="007B729D">
        <w:rPr>
          <w:rFonts w:ascii="Palatino Linotype" w:eastAsia="Palatino Linotype" w:hAnsi="Palatino Linotype" w:cs="Palatino Linotype"/>
        </w:rPr>
        <w:t xml:space="preserve"> solicitó la i</w:t>
      </w:r>
      <w:r w:rsidRPr="007B729D">
        <w:rPr>
          <w:rFonts w:ascii="Palatino Linotype" w:eastAsia="Palatino Linotype" w:hAnsi="Palatino Linotype" w:cs="Palatino Linotype"/>
          <w:color w:val="000000"/>
        </w:rPr>
        <w:t xml:space="preserve">nformación personal (nombre completo, edad, fecha de nacimiento y partido político al que pertenecen) de los actuales </w:t>
      </w:r>
      <w:r w:rsidRPr="007B729D">
        <w:rPr>
          <w:rFonts w:ascii="Palatino Linotype" w:eastAsia="Palatino Linotype" w:hAnsi="Palatino Linotype" w:cs="Palatino Linotype"/>
        </w:rPr>
        <w:t>S</w:t>
      </w:r>
      <w:r w:rsidRPr="007B729D">
        <w:rPr>
          <w:rFonts w:ascii="Palatino Linotype" w:eastAsia="Palatino Linotype" w:hAnsi="Palatino Linotype" w:cs="Palatino Linotype"/>
          <w:color w:val="000000"/>
        </w:rPr>
        <w:t>índicos y Sindicas del periodo 2025-2027 y de los futuros del periodo 2024-2026.</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rPr>
        <w:t>El</w:t>
      </w:r>
      <w:r w:rsidRPr="007B729D">
        <w:rPr>
          <w:rFonts w:ascii="Palatino Linotype" w:eastAsia="Palatino Linotype" w:hAnsi="Palatino Linotype" w:cs="Palatino Linotype"/>
          <w:b/>
          <w:bCs/>
        </w:rPr>
        <w:t xml:space="preserve"> SUJETO OBLIGADO </w:t>
      </w:r>
      <w:r w:rsidRPr="007B729D">
        <w:rPr>
          <w:rFonts w:ascii="Palatino Linotype" w:eastAsia="Palatino Linotype" w:hAnsi="Palatino Linotype" w:cs="Palatino Linotype"/>
        </w:rPr>
        <w:t xml:space="preserve">emitió respuesta en términos del </w:t>
      </w:r>
      <w:r w:rsidRPr="007B729D">
        <w:rPr>
          <w:rFonts w:ascii="Palatino Linotype" w:eastAsia="Palatino Linotype" w:hAnsi="Palatino Linotype" w:cs="Palatino Linotype"/>
          <w:b/>
          <w:bCs/>
        </w:rPr>
        <w:t>párrafo 3</w:t>
      </w:r>
      <w:r w:rsidRPr="007B729D">
        <w:rPr>
          <w:rFonts w:ascii="Palatino Linotype" w:eastAsia="Palatino Linotype" w:hAnsi="Palatino Linotype" w:cs="Palatino Linotype"/>
        </w:rPr>
        <w:t xml:space="preserve"> de la presente resolución.</w:t>
      </w:r>
    </w:p>
    <w:p w:rsidR="00812A60" w:rsidRPr="007B729D" w:rsidRDefault="00812A60">
      <w:pPr>
        <w:spacing w:line="360" w:lineRule="auto"/>
        <w:ind w:right="1"/>
        <w:jc w:val="both"/>
        <w:rPr>
          <w:rFonts w:ascii="Palatino Linotype" w:eastAsia="Palatino Linotype" w:hAnsi="Palatino Linotype" w:cs="Palatino Linotype"/>
          <w:b/>
          <w:bCs/>
        </w:rPr>
      </w:pPr>
    </w:p>
    <w:p w:rsidR="00812A60"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rPr>
        <w:t>En consecuencia, la parte</w:t>
      </w:r>
      <w:r w:rsidRPr="007B729D">
        <w:rPr>
          <w:rFonts w:ascii="Palatino Linotype" w:eastAsia="Palatino Linotype" w:hAnsi="Palatino Linotype" w:cs="Palatino Linotype"/>
          <w:b/>
          <w:bCs/>
        </w:rPr>
        <w:t xml:space="preserve"> RECURRENTE </w:t>
      </w:r>
      <w:r w:rsidRPr="007B729D">
        <w:rPr>
          <w:rFonts w:ascii="Palatino Linotype" w:eastAsia="Palatino Linotype" w:hAnsi="Palatino Linotype" w:cs="Palatino Linotype"/>
        </w:rPr>
        <w:t>se inconformó</w:t>
      </w:r>
      <w:r w:rsidRPr="007B729D">
        <w:rPr>
          <w:rFonts w:ascii="Palatino Linotype" w:eastAsia="Palatino Linotype" w:hAnsi="Palatino Linotype" w:cs="Palatino Linotype"/>
          <w:b/>
          <w:bCs/>
        </w:rPr>
        <w:t xml:space="preserve"> </w:t>
      </w:r>
      <w:r w:rsidRPr="007B729D">
        <w:rPr>
          <w:rFonts w:ascii="Palatino Linotype" w:eastAsia="Palatino Linotype" w:hAnsi="Palatino Linotype" w:cs="Palatino Linotype"/>
        </w:rPr>
        <w:t>por la</w:t>
      </w:r>
      <w:r w:rsidRPr="007B729D">
        <w:rPr>
          <w:rFonts w:ascii="Palatino Linotype" w:eastAsia="Palatino Linotype" w:hAnsi="Palatino Linotype" w:cs="Palatino Linotype"/>
          <w:b/>
          <w:bCs/>
        </w:rPr>
        <w:t xml:space="preserve"> negativa de la información.</w:t>
      </w:r>
    </w:p>
    <w:p w:rsidR="007B729D" w:rsidRPr="007B729D" w:rsidRDefault="007B729D" w:rsidP="007B729D">
      <w:pPr>
        <w:spacing w:line="360" w:lineRule="auto"/>
        <w:ind w:right="1"/>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rPr>
        <w:t xml:space="preserve">En dichas condiciones, la </w:t>
      </w:r>
      <w:r w:rsidRPr="007B729D">
        <w:rPr>
          <w:rFonts w:ascii="Palatino Linotype" w:eastAsia="Palatino Linotype" w:hAnsi="Palatino Linotype" w:cs="Palatino Linotype"/>
          <w:i/>
          <w:iCs/>
        </w:rPr>
        <w:t>Litis</w:t>
      </w:r>
      <w:r w:rsidRPr="007B729D">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7B729D">
        <w:rPr>
          <w:rFonts w:ascii="Palatino Linotype" w:eastAsia="Palatino Linotype" w:hAnsi="Palatino Linotype" w:cs="Palatino Linotype"/>
          <w:b/>
          <w:bCs/>
        </w:rPr>
        <w:t xml:space="preserve">I </w:t>
      </w:r>
      <w:r w:rsidRPr="007B729D">
        <w:rPr>
          <w:rFonts w:ascii="Palatino Linotype" w:eastAsia="Palatino Linotype" w:hAnsi="Palatino Linotype" w:cs="Palatino Linotype"/>
        </w:rPr>
        <w:t xml:space="preserve">de la </w:t>
      </w:r>
      <w:r w:rsidRPr="007B729D">
        <w:rPr>
          <w:rFonts w:ascii="Palatino Linotype" w:eastAsia="Palatino Linotype" w:hAnsi="Palatino Linotype" w:cs="Palatino Linotype"/>
          <w:b/>
          <w:bCs/>
        </w:rPr>
        <w:t>Ley de Transparencia y Acceso a la Información Pública del Estado de México y Municipios</w:t>
      </w:r>
      <w:r w:rsidRPr="007B729D">
        <w:rPr>
          <w:rFonts w:ascii="Palatino Linotype" w:eastAsia="Palatino Linotype" w:hAnsi="Palatino Linotype" w:cs="Palatino Linotype"/>
        </w:rPr>
        <w:t>.</w:t>
      </w:r>
    </w:p>
    <w:p w:rsidR="00812A60" w:rsidRPr="007B729D" w:rsidRDefault="00812A60">
      <w:pPr>
        <w:spacing w:line="360" w:lineRule="auto"/>
        <w:ind w:right="1"/>
        <w:jc w:val="both"/>
        <w:rPr>
          <w:rFonts w:ascii="Palatino Linotype" w:eastAsia="Palatino Linotype" w:hAnsi="Palatino Linotype" w:cs="Palatino Linotype"/>
          <w:b/>
          <w:bCs/>
        </w:rPr>
      </w:pPr>
    </w:p>
    <w:p w:rsidR="00812A60" w:rsidRPr="007B729D" w:rsidRDefault="00D00BB4">
      <w:pPr>
        <w:pStyle w:val="Ttulo2"/>
        <w:spacing w:before="0" w:line="360" w:lineRule="auto"/>
        <w:ind w:right="1"/>
        <w:rPr>
          <w:rFonts w:ascii="Palatino Linotype" w:eastAsia="Palatino Linotype" w:hAnsi="Palatino Linotype" w:cs="Palatino Linotype"/>
          <w:b/>
          <w:bCs/>
          <w:color w:val="000000"/>
          <w:sz w:val="24"/>
          <w:szCs w:val="24"/>
        </w:rPr>
      </w:pPr>
      <w:r w:rsidRPr="007B729D">
        <w:rPr>
          <w:rFonts w:ascii="Palatino Linotype" w:eastAsia="Palatino Linotype" w:hAnsi="Palatino Linotype" w:cs="Palatino Linotype"/>
          <w:b/>
          <w:bCs/>
          <w:color w:val="000000"/>
          <w:sz w:val="24"/>
          <w:szCs w:val="24"/>
        </w:rPr>
        <w:t>CUARTA. Estudio y resolución del asunto.</w:t>
      </w: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El </w:t>
      </w:r>
      <w:r w:rsidRPr="007B729D">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7B729D">
        <w:rPr>
          <w:rFonts w:ascii="Palatino Linotype" w:eastAsia="Palatino Linotype" w:hAnsi="Palatino Linotype" w:cs="Palatino Linotype"/>
        </w:rPr>
        <w:t>Particular</w:t>
      </w:r>
      <w:r w:rsidRPr="007B729D">
        <w:rPr>
          <w:rFonts w:ascii="Palatino Linotype" w:eastAsia="Palatino Linotype" w:hAnsi="Palatino Linotype" w:cs="Palatino Linotype"/>
          <w:color w:val="000000"/>
        </w:rPr>
        <w:t xml:space="preserve"> del Estado de México.</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color w:val="000000"/>
        </w:rPr>
        <w:lastRenderedPageBreak/>
        <w:t xml:space="preserve">Definiendo </w:t>
      </w:r>
      <w:r w:rsidRPr="007B729D">
        <w:rPr>
          <w:rFonts w:ascii="Palatino Linotype" w:eastAsia="Palatino Linotype" w:hAnsi="Palatino Linotype" w:cs="Palatino Linotype"/>
        </w:rPr>
        <w:t xml:space="preserve">el Derecho de Acceso a la Información Pública como: </w:t>
      </w:r>
      <w:r w:rsidRPr="007B729D">
        <w:rPr>
          <w:rFonts w:ascii="Palatino Linotype" w:eastAsia="Palatino Linotype" w:hAnsi="Palatino Linotype" w:cs="Palatino Linotype"/>
          <w:i/>
          <w:iCs/>
          <w:color w:val="000000"/>
        </w:rPr>
        <w:t xml:space="preserve">La igualdad de </w:t>
      </w:r>
      <w:r w:rsidRPr="007B729D">
        <w:rPr>
          <w:rFonts w:ascii="Palatino Linotype" w:eastAsia="Palatino Linotype" w:hAnsi="Palatino Linotype" w:cs="Palatino Linotype"/>
        </w:rPr>
        <w:t>oportunidades</w:t>
      </w:r>
      <w:r w:rsidRPr="007B729D">
        <w:rPr>
          <w:rFonts w:ascii="Palatino Linotype" w:eastAsia="Palatino Linotype" w:hAnsi="Palatino Linotype" w:cs="Palatino Linotype"/>
          <w:i/>
          <w:iCs/>
          <w:color w:val="000000"/>
        </w:rPr>
        <w:t xml:space="preserve"> para recibir, buscar e impartir información</w:t>
      </w:r>
      <w:r w:rsidRPr="007B729D">
        <w:rPr>
          <w:rFonts w:ascii="Palatino Linotype" w:eastAsia="Palatino Linotype" w:hAnsi="Palatino Linotype" w:cs="Palatino Linotype"/>
          <w:vertAlign w:val="superscript"/>
        </w:rPr>
        <w:footnoteReference w:id="1"/>
      </w:r>
      <w:r w:rsidRPr="007B729D">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B729D">
        <w:rPr>
          <w:rFonts w:ascii="Palatino Linotype" w:eastAsia="Palatino Linotype" w:hAnsi="Palatino Linotype" w:cs="Palatino Linotype"/>
          <w:vertAlign w:val="superscript"/>
        </w:rPr>
        <w:footnoteReference w:id="2"/>
      </w:r>
      <w:r w:rsidRPr="007B729D">
        <w:rPr>
          <w:rFonts w:ascii="Palatino Linotype" w:eastAsia="Palatino Linotype" w:hAnsi="Palatino Linotype" w:cs="Palatino Linotype"/>
          <w:color w:val="000000"/>
        </w:rPr>
        <w:t>que se constituye como una herramienta fundamental para ejercer</w:t>
      </w:r>
      <w:r w:rsidRPr="007B729D">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7B729D">
        <w:rPr>
          <w:rFonts w:ascii="Palatino Linotype" w:eastAsia="Palatino Linotype" w:hAnsi="Palatino Linotype" w:cs="Palatino Linotype"/>
          <w:vertAlign w:val="superscript"/>
        </w:rPr>
        <w:footnoteReference w:id="3"/>
      </w:r>
      <w:r w:rsidRPr="007B729D">
        <w:rPr>
          <w:rFonts w:ascii="Palatino Linotype" w:eastAsia="Palatino Linotype" w:hAnsi="Palatino Linotype" w:cs="Palatino Linotype"/>
          <w:color w:val="000000"/>
        </w:rPr>
        <w:t>fomentando</w:t>
      </w:r>
      <w:r w:rsidRPr="007B729D">
        <w:rPr>
          <w:rFonts w:ascii="Palatino Linotype" w:eastAsia="Palatino Linotype" w:hAnsi="Palatino Linotype" w:cs="Palatino Linotype"/>
          <w:i/>
          <w:iCs/>
          <w:color w:val="000000"/>
        </w:rPr>
        <w:t xml:space="preserve"> la transparencia de las actividades estatales y </w:t>
      </w:r>
      <w:r w:rsidRPr="007B729D">
        <w:rPr>
          <w:rFonts w:ascii="Palatino Linotype" w:eastAsia="Palatino Linotype" w:hAnsi="Palatino Linotype" w:cs="Palatino Linotype"/>
          <w:color w:val="000000"/>
        </w:rPr>
        <w:t>promoviendo</w:t>
      </w:r>
      <w:r w:rsidRPr="007B729D">
        <w:rPr>
          <w:rFonts w:ascii="Palatino Linotype" w:eastAsia="Palatino Linotype" w:hAnsi="Palatino Linotype" w:cs="Palatino Linotype"/>
          <w:i/>
          <w:iCs/>
          <w:color w:val="000000"/>
        </w:rPr>
        <w:t xml:space="preserve"> la responsabilidad de los funcionarios sobre su gestión pública,</w:t>
      </w:r>
      <w:r w:rsidRPr="007B729D">
        <w:rPr>
          <w:rFonts w:ascii="Palatino Linotype" w:eastAsia="Palatino Linotype" w:hAnsi="Palatino Linotype" w:cs="Palatino Linotype"/>
          <w:vertAlign w:val="superscript"/>
        </w:rPr>
        <w:footnoteReference w:id="4"/>
      </w:r>
      <w:r w:rsidRPr="007B729D">
        <w:rPr>
          <w:rFonts w:ascii="Palatino Linotype" w:eastAsia="Palatino Linotype" w:hAnsi="Palatino Linotype" w:cs="Palatino Linotype"/>
          <w:color w:val="000000"/>
        </w:rPr>
        <w:t>que permite</w:t>
      </w:r>
      <w:r w:rsidRPr="007B729D">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7B729D" w:rsidRPr="007B729D" w:rsidRDefault="007B729D" w:rsidP="007B729D">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color w:val="000000"/>
        </w:rPr>
        <w:t xml:space="preserve">En </w:t>
      </w:r>
      <w:r w:rsidRPr="007B729D">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w:t>
      </w:r>
      <w:r w:rsidRPr="007B729D">
        <w:rPr>
          <w:rFonts w:ascii="Palatino Linotype" w:eastAsia="Palatino Linotype" w:hAnsi="Palatino Linotype" w:cs="Palatino Linotype"/>
          <w:b/>
          <w:bCs/>
          <w:i/>
          <w:iCs/>
        </w:rPr>
        <w:t>Artículo 1.-</w:t>
      </w:r>
      <w:r w:rsidRPr="007B729D">
        <w:rPr>
          <w:rFonts w:ascii="Palatino Linotype" w:eastAsia="Palatino Linotype" w:hAnsi="Palatino Linotype" w:cs="Palatino Linotype"/>
          <w:i/>
          <w:iCs/>
        </w:rPr>
        <w:t xml:space="preserve"> </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Todas las</w:t>
      </w:r>
      <w:r w:rsidRPr="007B729D">
        <w:rPr>
          <w:rFonts w:ascii="Palatino Linotype" w:eastAsia="Palatino Linotype" w:hAnsi="Palatino Linotype" w:cs="Palatino Linotype"/>
        </w:rPr>
        <w:t xml:space="preserve"> </w:t>
      </w:r>
      <w:r w:rsidRPr="007B729D">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12A60" w:rsidRPr="007B729D" w:rsidRDefault="00D00BB4">
      <w:pPr>
        <w:ind w:left="567" w:right="710"/>
        <w:jc w:val="both"/>
        <w:rPr>
          <w:rFonts w:ascii="Palatino Linotype" w:eastAsia="Palatino Linotype" w:hAnsi="Palatino Linotype" w:cs="Palatino Linotype"/>
        </w:rPr>
      </w:pPr>
      <w:r w:rsidRPr="007B729D">
        <w:rPr>
          <w:rFonts w:ascii="Palatino Linotype" w:eastAsia="Palatino Linotype" w:hAnsi="Palatino Linotype" w:cs="Palatino Linotype"/>
          <w:i/>
          <w:iCs/>
        </w:rPr>
        <w:t>(…)</w:t>
      </w:r>
      <w:r w:rsidRPr="007B729D">
        <w:rPr>
          <w:rFonts w:ascii="Palatino Linotype" w:eastAsia="Palatino Linotype" w:hAnsi="Palatino Linotype" w:cs="Palatino Linotype"/>
        </w:rPr>
        <w:t>”</w:t>
      </w:r>
    </w:p>
    <w:p w:rsidR="00812A60" w:rsidRPr="007B729D" w:rsidRDefault="00812A60">
      <w:pPr>
        <w:ind w:right="-592"/>
        <w:jc w:val="both"/>
        <w:rPr>
          <w:rFonts w:ascii="Palatino Linotype" w:eastAsia="Palatino Linotype" w:hAnsi="Palatino Linotype" w:cs="Palatino Linotype"/>
          <w:b/>
          <w:bCs/>
        </w:rPr>
      </w:pPr>
    </w:p>
    <w:p w:rsidR="00812A60" w:rsidRPr="007B729D" w:rsidRDefault="00D00BB4">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color w:val="000000"/>
        </w:rPr>
      </w:pPr>
      <w:r w:rsidRPr="007B729D">
        <w:rPr>
          <w:rFonts w:ascii="Palatino Linotype" w:eastAsia="Palatino Linotype" w:hAnsi="Palatino Linotype" w:cs="Palatino Linotype"/>
          <w:color w:val="000000"/>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12A60" w:rsidRPr="007B729D" w:rsidRDefault="00812A60">
      <w:pPr>
        <w:ind w:right="1"/>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color w:val="000000"/>
        </w:rPr>
        <w:t xml:space="preserve">Así </w:t>
      </w:r>
      <w:r w:rsidRPr="007B729D">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12A60" w:rsidRPr="007B729D" w:rsidRDefault="00D00BB4">
      <w:pPr>
        <w:ind w:left="567" w:right="710"/>
        <w:jc w:val="both"/>
        <w:rPr>
          <w:rFonts w:ascii="Palatino Linotype" w:eastAsia="Palatino Linotype" w:hAnsi="Palatino Linotype" w:cs="Palatino Linotype"/>
          <w:b/>
          <w:bCs/>
          <w:i/>
          <w:iCs/>
        </w:rPr>
      </w:pPr>
      <w:r w:rsidRPr="007B729D">
        <w:rPr>
          <w:rFonts w:ascii="Palatino Linotype" w:eastAsia="Palatino Linotype" w:hAnsi="Palatino Linotype" w:cs="Palatino Linotype"/>
          <w:b/>
          <w:bCs/>
          <w:i/>
          <w:iCs/>
        </w:rPr>
        <w:t>Constitución Política de los Estados Unidos Mexicanos</w:t>
      </w:r>
    </w:p>
    <w:p w:rsidR="00812A60" w:rsidRPr="007B729D" w:rsidRDefault="00812A60">
      <w:pPr>
        <w:ind w:left="567" w:right="710"/>
        <w:jc w:val="both"/>
        <w:rPr>
          <w:rFonts w:ascii="Palatino Linotype" w:eastAsia="Palatino Linotype" w:hAnsi="Palatino Linotype" w:cs="Palatino Linotype"/>
          <w:b/>
          <w:bCs/>
          <w:i/>
          <w:iCs/>
        </w:rPr>
      </w:pPr>
    </w:p>
    <w:p w:rsidR="00812A60" w:rsidRPr="007B729D" w:rsidRDefault="00D00BB4">
      <w:pPr>
        <w:ind w:left="567" w:right="710"/>
        <w:jc w:val="both"/>
        <w:rPr>
          <w:rFonts w:ascii="Palatino Linotype" w:eastAsia="Palatino Linotype" w:hAnsi="Palatino Linotype" w:cs="Palatino Linotype"/>
          <w:b/>
          <w:bCs/>
          <w:i/>
          <w:iCs/>
        </w:rPr>
      </w:pPr>
      <w:r w:rsidRPr="007B729D">
        <w:rPr>
          <w:rFonts w:ascii="Palatino Linotype" w:eastAsia="Palatino Linotype" w:hAnsi="Palatino Linotype" w:cs="Palatino Linotype"/>
          <w:b/>
          <w:bCs/>
          <w:i/>
          <w:iCs/>
        </w:rPr>
        <w:t>“Artículo 6.</w:t>
      </w:r>
      <w:r w:rsidRPr="007B729D">
        <w:rPr>
          <w:rFonts w:ascii="Palatino Linotype" w:eastAsia="Palatino Linotype" w:hAnsi="Palatino Linotype" w:cs="Palatino Linotype"/>
          <w:i/>
          <w:iCs/>
        </w:rPr>
        <w:t xml:space="preserve"> …</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Para efectos de lo dispuesto en el presente artículo se observará lo siguiente:</w:t>
      </w:r>
    </w:p>
    <w:p w:rsidR="00812A60" w:rsidRPr="007B729D" w:rsidRDefault="00D00BB4">
      <w:pPr>
        <w:ind w:left="567" w:right="710"/>
        <w:jc w:val="both"/>
        <w:rPr>
          <w:rFonts w:ascii="Palatino Linotype" w:eastAsia="Palatino Linotype" w:hAnsi="Palatino Linotype" w:cs="Palatino Linotype"/>
          <w:b/>
          <w:bCs/>
          <w:i/>
          <w:iCs/>
        </w:rPr>
      </w:pPr>
      <w:r w:rsidRPr="007B729D">
        <w:rPr>
          <w:rFonts w:ascii="Palatino Linotype" w:eastAsia="Palatino Linotype" w:hAnsi="Palatino Linotype" w:cs="Palatino Linotype"/>
          <w:b/>
          <w:bCs/>
          <w:i/>
          <w:iCs/>
        </w:rPr>
        <w:t>A</w:t>
      </w:r>
      <w:r w:rsidRPr="007B729D">
        <w:rPr>
          <w:rFonts w:ascii="Palatino Linotype" w:eastAsia="Palatino Linotype" w:hAnsi="Palatino Linotype" w:cs="Palatino Linotype"/>
          <w:i/>
          <w:iCs/>
        </w:rPr>
        <w:t xml:space="preserve">. </w:t>
      </w:r>
      <w:r w:rsidRPr="007B729D">
        <w:rPr>
          <w:rFonts w:ascii="Palatino Linotype" w:eastAsia="Palatino Linotype" w:hAnsi="Palatino Linotype" w:cs="Palatino Linotype"/>
          <w:b/>
          <w:bCs/>
          <w:i/>
          <w:iCs/>
        </w:rPr>
        <w:t>Para el ejercicio del derecho de acceso a la información</w:t>
      </w:r>
      <w:r w:rsidRPr="007B729D">
        <w:rPr>
          <w:rFonts w:ascii="Palatino Linotype" w:eastAsia="Palatino Linotype" w:hAnsi="Palatino Linotype" w:cs="Palatino Linotype"/>
          <w:i/>
          <w:iCs/>
        </w:rPr>
        <w:t xml:space="preserve">, la Federación y </w:t>
      </w:r>
      <w:r w:rsidRPr="007B729D">
        <w:rPr>
          <w:rFonts w:ascii="Palatino Linotype" w:eastAsia="Palatino Linotype" w:hAnsi="Palatino Linotype" w:cs="Palatino Linotype"/>
          <w:b/>
          <w:bCs/>
          <w:i/>
          <w:iCs/>
        </w:rPr>
        <w:t>las entidades federativas, en el ámbito de sus respectivas competencias, se regirán por los siguientes principios y bases:</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 xml:space="preserve">I. </w:t>
      </w:r>
      <w:r w:rsidRPr="007B729D">
        <w:rPr>
          <w:rFonts w:ascii="Palatino Linotype" w:eastAsia="Palatino Linotype" w:hAnsi="Palatino Linotype" w:cs="Palatino Linotype"/>
          <w:b/>
          <w:bCs/>
          <w:i/>
          <w:iCs/>
        </w:rPr>
        <w:tab/>
        <w:t>Toda la información en posesión de cualquier</w:t>
      </w:r>
      <w:r w:rsidRPr="007B729D">
        <w:rPr>
          <w:rFonts w:ascii="Palatino Linotype" w:eastAsia="Palatino Linotype" w:hAnsi="Palatino Linotype" w:cs="Palatino Linotype"/>
          <w:i/>
          <w:iCs/>
        </w:rPr>
        <w:t xml:space="preserve"> </w:t>
      </w:r>
      <w:r w:rsidRPr="007B729D">
        <w:rPr>
          <w:rFonts w:ascii="Palatino Linotype" w:eastAsia="Palatino Linotype" w:hAnsi="Palatino Linotype" w:cs="Palatino Linotype"/>
          <w:b/>
          <w:bCs/>
          <w:i/>
          <w:iCs/>
        </w:rPr>
        <w:t>autoridad</w:t>
      </w:r>
      <w:r w:rsidRPr="007B729D">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B729D">
        <w:rPr>
          <w:rFonts w:ascii="Palatino Linotype" w:eastAsia="Palatino Linotype" w:hAnsi="Palatino Linotype" w:cs="Palatino Linotype"/>
          <w:b/>
          <w:bCs/>
          <w:i/>
          <w:iCs/>
        </w:rPr>
        <w:t>municipal</w:t>
      </w:r>
      <w:r w:rsidRPr="007B729D">
        <w:rPr>
          <w:rFonts w:ascii="Palatino Linotype" w:eastAsia="Palatino Linotype" w:hAnsi="Palatino Linotype" w:cs="Palatino Linotype"/>
          <w:i/>
          <w:iCs/>
        </w:rPr>
        <w:t xml:space="preserve">, </w:t>
      </w:r>
      <w:r w:rsidRPr="007B729D">
        <w:rPr>
          <w:rFonts w:ascii="Palatino Linotype" w:eastAsia="Palatino Linotype" w:hAnsi="Palatino Linotype" w:cs="Palatino Linotype"/>
          <w:b/>
          <w:bCs/>
          <w:i/>
          <w:iCs/>
        </w:rPr>
        <w:t>es pública</w:t>
      </w:r>
      <w:r w:rsidRPr="007B729D">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7B729D">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7B729D">
        <w:rPr>
          <w:rFonts w:ascii="Palatino Linotype" w:eastAsia="Palatino Linotype" w:hAnsi="Palatino Linotype" w:cs="Palatino Linotype"/>
          <w:i/>
          <w:iCs/>
        </w:rPr>
        <w:t>, la ley determinará los supuestos específicos bajo los cuales procederá la declaración de inexistencia de la información.”</w:t>
      </w:r>
    </w:p>
    <w:p w:rsidR="00812A60" w:rsidRPr="007B729D" w:rsidRDefault="00812A60">
      <w:pPr>
        <w:tabs>
          <w:tab w:val="left" w:pos="426"/>
          <w:tab w:val="left" w:pos="567"/>
        </w:tabs>
        <w:ind w:left="567" w:right="710"/>
        <w:jc w:val="both"/>
        <w:rPr>
          <w:rFonts w:ascii="Palatino Linotype" w:eastAsia="Palatino Linotype" w:hAnsi="Palatino Linotype" w:cs="Palatino Linotype"/>
          <w:color w:val="000000"/>
        </w:rPr>
      </w:pPr>
    </w:p>
    <w:p w:rsidR="00812A60" w:rsidRPr="007B729D" w:rsidRDefault="00D00BB4">
      <w:pPr>
        <w:ind w:left="567" w:right="710"/>
        <w:jc w:val="both"/>
        <w:rPr>
          <w:rFonts w:ascii="Palatino Linotype" w:eastAsia="Palatino Linotype" w:hAnsi="Palatino Linotype" w:cs="Palatino Linotype"/>
          <w:b/>
          <w:bCs/>
          <w:i/>
          <w:iCs/>
        </w:rPr>
      </w:pPr>
      <w:r w:rsidRPr="007B729D">
        <w:rPr>
          <w:rFonts w:ascii="Palatino Linotype" w:eastAsia="Palatino Linotype" w:hAnsi="Palatino Linotype" w:cs="Palatino Linotype"/>
          <w:b/>
          <w:bCs/>
          <w:i/>
          <w:iCs/>
        </w:rPr>
        <w:t>Constitución Política del Estado Libre y Soberano de México</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“Artículo 5</w:t>
      </w:r>
      <w:r w:rsidRPr="007B729D">
        <w:rPr>
          <w:rFonts w:ascii="Palatino Linotype" w:eastAsia="Palatino Linotype" w:hAnsi="Palatino Linotype" w:cs="Palatino Linotype"/>
          <w:i/>
          <w:iCs/>
        </w:rPr>
        <w:t>.-…</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lastRenderedPageBreak/>
        <w:t>…</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7B729D">
        <w:rPr>
          <w:rFonts w:ascii="Palatino Linotype" w:eastAsia="Palatino Linotype" w:hAnsi="Palatino Linotype" w:cs="Palatino Linotype"/>
          <w:i/>
          <w:iCs/>
        </w:rPr>
        <w:t>.</w:t>
      </w: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12A60" w:rsidRPr="007B729D" w:rsidRDefault="00812A60">
      <w:pPr>
        <w:ind w:left="567" w:right="710"/>
        <w:jc w:val="both"/>
        <w:rPr>
          <w:rFonts w:ascii="Palatino Linotype" w:eastAsia="Palatino Linotype" w:hAnsi="Palatino Linotype" w:cs="Palatino Linotype"/>
          <w:i/>
          <w:iCs/>
        </w:rPr>
      </w:pPr>
    </w:p>
    <w:p w:rsidR="00812A60" w:rsidRPr="007B729D" w:rsidRDefault="00D00BB4">
      <w:pPr>
        <w:ind w:left="567" w:right="710"/>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Este derecho se regirá por los principios y bases siguientes</w:t>
      </w:r>
      <w:r w:rsidRPr="007B729D">
        <w:rPr>
          <w:rFonts w:ascii="Palatino Linotype" w:eastAsia="Palatino Linotype" w:hAnsi="Palatino Linotype" w:cs="Palatino Linotype"/>
          <w:i/>
          <w:iCs/>
        </w:rPr>
        <w:t>:</w:t>
      </w:r>
    </w:p>
    <w:p w:rsidR="00812A60" w:rsidRPr="007B729D" w:rsidRDefault="00D00BB4">
      <w:pPr>
        <w:ind w:left="567" w:right="710"/>
        <w:jc w:val="both"/>
        <w:rPr>
          <w:rFonts w:ascii="Palatino Linotype" w:eastAsia="Palatino Linotype" w:hAnsi="Palatino Linotype" w:cs="Palatino Linotype"/>
          <w:b/>
          <w:bCs/>
        </w:rPr>
      </w:pPr>
      <w:r w:rsidRPr="007B729D">
        <w:rPr>
          <w:rFonts w:ascii="Palatino Linotype" w:eastAsia="Palatino Linotype" w:hAnsi="Palatino Linotype" w:cs="Palatino Linotype"/>
          <w:b/>
          <w:bCs/>
          <w:i/>
          <w:iCs/>
        </w:rPr>
        <w:t>Toda la información en posesión de cualquier autoridad, entidad, órgano y organismos de los</w:t>
      </w:r>
      <w:r w:rsidRPr="007B729D">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7B729D">
        <w:rPr>
          <w:rFonts w:ascii="Palatino Linotype" w:eastAsia="Palatino Linotype" w:hAnsi="Palatino Linotype" w:cs="Palatino Linotype"/>
          <w:b/>
          <w:bCs/>
          <w:i/>
          <w:iCs/>
        </w:rPr>
        <w:t>municipales</w:t>
      </w:r>
      <w:r w:rsidRPr="007B729D">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B729D">
        <w:rPr>
          <w:rFonts w:ascii="Palatino Linotype" w:eastAsia="Palatino Linotype" w:hAnsi="Palatino Linotype" w:cs="Palatino Linotype"/>
          <w:b/>
          <w:bCs/>
          <w:i/>
          <w:iCs/>
        </w:rPr>
        <w:t>es pública</w:t>
      </w:r>
      <w:r w:rsidRPr="007B729D">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7B729D">
        <w:rPr>
          <w:rFonts w:ascii="Palatino Linotype" w:eastAsia="Palatino Linotype" w:hAnsi="Palatino Linotype" w:cs="Palatino Linotype"/>
          <w:b/>
          <w:bCs/>
          <w:i/>
          <w:iCs/>
        </w:rPr>
        <w:t>En la interpretación de este derecho deberá prevalecer el principio de máxima publicidad</w:t>
      </w:r>
      <w:r w:rsidRPr="007B729D">
        <w:rPr>
          <w:rFonts w:ascii="Palatino Linotype" w:eastAsia="Palatino Linotype" w:hAnsi="Palatino Linotype" w:cs="Palatino Linotype"/>
          <w:i/>
          <w:iCs/>
        </w:rPr>
        <w:t xml:space="preserve">. </w:t>
      </w:r>
      <w:r w:rsidRPr="007B729D">
        <w:rPr>
          <w:rFonts w:ascii="Palatino Linotype" w:eastAsia="Palatino Linotype" w:hAnsi="Palatino Linotype" w:cs="Palatino Linotype"/>
          <w:b/>
          <w:bCs/>
          <w:i/>
          <w:iCs/>
        </w:rPr>
        <w:t>Los sujetos obligados deberán documentar todo acto que derive del ejercicio de sus facultades, competencias o funciones</w:t>
      </w:r>
      <w:r w:rsidRPr="007B729D">
        <w:rPr>
          <w:rFonts w:ascii="Palatino Linotype" w:eastAsia="Palatino Linotype" w:hAnsi="Palatino Linotype" w:cs="Palatino Linotype"/>
          <w:i/>
          <w:iCs/>
        </w:rPr>
        <w:t>, la ley determinará los supuestos específicos bajo los cuales procederá la declaración de inexistencia de la información.”</w:t>
      </w:r>
    </w:p>
    <w:p w:rsidR="00812A60" w:rsidRPr="007B729D" w:rsidRDefault="00812A60">
      <w:pPr>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color w:val="000000"/>
        </w:rPr>
        <w:t xml:space="preserve">Según </w:t>
      </w:r>
      <w:r w:rsidRPr="007B729D">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7B729D">
        <w:rPr>
          <w:rFonts w:ascii="Palatino Linotype" w:eastAsia="Palatino Linotype" w:hAnsi="Palatino Linotype" w:cs="Palatino Linotype"/>
          <w:i/>
          <w:iCs/>
        </w:rPr>
        <w:t>por los principios de simplicidad, rapidez gratuidad del procedimiento, auxilio y orientación a los particulares</w:t>
      </w:r>
      <w:r w:rsidRPr="007B729D">
        <w:rPr>
          <w:rFonts w:ascii="Palatino Linotype" w:eastAsia="Palatino Linotype" w:hAnsi="Palatino Linotype" w:cs="Palatino Linotype"/>
        </w:rPr>
        <w:t>, contemplando el derecho de las personas con discapacidad y hablantes de lengua indígena.</w:t>
      </w:r>
    </w:p>
    <w:p w:rsidR="00812A60" w:rsidRPr="007B729D" w:rsidRDefault="00812A60">
      <w:pPr>
        <w:ind w:right="-592"/>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color w:val="000000"/>
        </w:rPr>
        <w:t xml:space="preserve">El </w:t>
      </w:r>
      <w:r w:rsidRPr="007B729D">
        <w:rPr>
          <w:rFonts w:ascii="Palatino Linotype" w:eastAsia="Palatino Linotype" w:hAnsi="Palatino Linotype" w:cs="Palatino Linotype"/>
        </w:rPr>
        <w:t xml:space="preserve">Derecho de Acceso a la Información se garantiza y respeta oportunamente, y según lo que dispone la Ley, las </w:t>
      </w:r>
      <w:r w:rsidRPr="007B729D">
        <w:rPr>
          <w:rFonts w:ascii="Palatino Linotype" w:eastAsia="Palatino Linotype" w:hAnsi="Palatino Linotype" w:cs="Palatino Linotype"/>
          <w:i/>
          <w:iCs/>
        </w:rPr>
        <w:t>solicitudes de acceso a la información</w:t>
      </w:r>
      <w:r w:rsidRPr="007B729D">
        <w:rPr>
          <w:rFonts w:ascii="Palatino Linotype" w:eastAsia="Palatino Linotype" w:hAnsi="Palatino Linotype" w:cs="Palatino Linotype"/>
        </w:rPr>
        <w:t>.</w:t>
      </w:r>
    </w:p>
    <w:p w:rsidR="00812A60" w:rsidRPr="007B729D" w:rsidRDefault="00812A60">
      <w:pPr>
        <w:ind w:right="1"/>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color w:val="000000"/>
        </w:rPr>
        <w:lastRenderedPageBreak/>
        <w:t xml:space="preserve">Así </w:t>
      </w:r>
      <w:r w:rsidRPr="007B729D">
        <w:rPr>
          <w:rFonts w:ascii="Palatino Linotype" w:eastAsia="Palatino Linotype" w:hAnsi="Palatino Linotype" w:cs="Palatino Linotype"/>
        </w:rPr>
        <w:t xml:space="preserve">entonces, se procede analizar, en primer lugar, si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12A60" w:rsidRPr="007B729D" w:rsidRDefault="00812A60">
      <w:pPr>
        <w:rPr>
          <w:rFonts w:ascii="Palatino Linotype" w:eastAsia="Palatino Linotype" w:hAnsi="Palatino Linotype" w:cs="Palatino Linotype"/>
          <w:b/>
          <w:bCs/>
        </w:rPr>
      </w:pPr>
    </w:p>
    <w:p w:rsidR="00812A60" w:rsidRPr="007B729D" w:rsidRDefault="00D00BB4">
      <w:pPr>
        <w:keepNext/>
        <w:keepLines/>
        <w:numPr>
          <w:ilvl w:val="1"/>
          <w:numId w:val="2"/>
        </w:numPr>
        <w:spacing w:line="360" w:lineRule="auto"/>
        <w:ind w:left="567" w:right="-592"/>
        <w:jc w:val="both"/>
        <w:rPr>
          <w:rFonts w:ascii="Palatino Linotype" w:eastAsia="Palatino Linotype" w:hAnsi="Palatino Linotype" w:cs="Palatino Linotype"/>
          <w:b/>
          <w:bCs/>
        </w:rPr>
      </w:pPr>
      <w:r w:rsidRPr="007B729D">
        <w:rPr>
          <w:rFonts w:ascii="Palatino Linotype" w:eastAsia="Palatino Linotype" w:hAnsi="Palatino Linotype" w:cs="Palatino Linotype"/>
          <w:b/>
          <w:bCs/>
        </w:rPr>
        <w:t>De la información solicitada y la respuesta del SUJETO OBLIGADO.</w:t>
      </w: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bookmarkStart w:id="6" w:name="_heading=h.30j0zll" w:colFirst="0" w:colLast="0"/>
      <w:bookmarkEnd w:id="6"/>
      <w:r w:rsidRPr="007B729D">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812A60" w:rsidRPr="007B729D" w:rsidRDefault="00812A60">
      <w:pPr>
        <w:spacing w:line="360" w:lineRule="auto"/>
        <w:ind w:right="1"/>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rPr>
        <w:t xml:space="preserve">Así, resulta conveniente reiterar la información solicitada por la parte </w:t>
      </w:r>
      <w:r w:rsidRPr="007B729D">
        <w:rPr>
          <w:rFonts w:ascii="Palatino Linotype" w:eastAsia="Palatino Linotype" w:hAnsi="Palatino Linotype" w:cs="Palatino Linotype"/>
          <w:b/>
          <w:bCs/>
        </w:rPr>
        <w:t>RECURRENTE</w:t>
      </w:r>
      <w:r w:rsidRPr="007B729D">
        <w:rPr>
          <w:rFonts w:ascii="Palatino Linotype" w:eastAsia="Palatino Linotype" w:hAnsi="Palatino Linotype" w:cs="Palatino Linotype"/>
        </w:rPr>
        <w:t xml:space="preserve">, así como la respuesta emitida por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mediante el siguiente cuadro descriptivo:</w:t>
      </w:r>
    </w:p>
    <w:p w:rsidR="00812A60" w:rsidRPr="007B729D" w:rsidRDefault="00812A60">
      <w:pPr>
        <w:spacing w:line="360" w:lineRule="auto"/>
        <w:ind w:right="1"/>
        <w:jc w:val="both"/>
        <w:rPr>
          <w:rFonts w:ascii="Palatino Linotype" w:eastAsia="Palatino Linotype" w:hAnsi="Palatino Linotype" w:cs="Palatino Linotype"/>
          <w:b/>
          <w:bCs/>
        </w:rPr>
      </w:pPr>
    </w:p>
    <w:tbl>
      <w:tblPr>
        <w:tblStyle w:val="af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3402"/>
      </w:tblGrid>
      <w:tr w:rsidR="00812A60" w:rsidRPr="007B729D" w:rsidTr="007B729D">
        <w:tc>
          <w:tcPr>
            <w:tcW w:w="2972" w:type="dxa"/>
            <w:shd w:val="clear" w:color="auto" w:fill="D9D9D9"/>
          </w:tcPr>
          <w:p w:rsidR="00812A60" w:rsidRPr="007B729D" w:rsidRDefault="00D00BB4">
            <w:pPr>
              <w:ind w:right="1"/>
              <w:jc w:val="center"/>
              <w:rPr>
                <w:rFonts w:ascii="Palatino Linotype" w:eastAsia="Palatino Linotype" w:hAnsi="Palatino Linotype" w:cs="Palatino Linotype"/>
                <w:b/>
                <w:bCs/>
              </w:rPr>
            </w:pPr>
            <w:r w:rsidRPr="007B729D">
              <w:rPr>
                <w:rFonts w:ascii="Palatino Linotype" w:eastAsia="Palatino Linotype" w:hAnsi="Palatino Linotype" w:cs="Palatino Linotype"/>
                <w:b/>
                <w:bCs/>
              </w:rPr>
              <w:t>Información Solicitada</w:t>
            </w:r>
          </w:p>
        </w:tc>
        <w:tc>
          <w:tcPr>
            <w:tcW w:w="3544" w:type="dxa"/>
            <w:shd w:val="clear" w:color="auto" w:fill="D9D9D9"/>
          </w:tcPr>
          <w:p w:rsidR="00812A60" w:rsidRPr="007B729D" w:rsidRDefault="00D00BB4">
            <w:pPr>
              <w:ind w:right="1"/>
              <w:jc w:val="center"/>
              <w:rPr>
                <w:rFonts w:ascii="Palatino Linotype" w:eastAsia="Palatino Linotype" w:hAnsi="Palatino Linotype" w:cs="Palatino Linotype"/>
                <w:b/>
                <w:bCs/>
              </w:rPr>
            </w:pPr>
            <w:r w:rsidRPr="007B729D">
              <w:rPr>
                <w:rFonts w:ascii="Palatino Linotype" w:eastAsia="Palatino Linotype" w:hAnsi="Palatino Linotype" w:cs="Palatino Linotype"/>
                <w:b/>
                <w:bCs/>
              </w:rPr>
              <w:t>Respuesta</w:t>
            </w:r>
          </w:p>
        </w:tc>
        <w:tc>
          <w:tcPr>
            <w:tcW w:w="3402" w:type="dxa"/>
            <w:shd w:val="clear" w:color="auto" w:fill="D9D9D9"/>
          </w:tcPr>
          <w:p w:rsidR="00812A60" w:rsidRPr="007B729D" w:rsidRDefault="00D00BB4">
            <w:pPr>
              <w:spacing w:line="360" w:lineRule="auto"/>
              <w:ind w:right="1"/>
              <w:jc w:val="center"/>
              <w:rPr>
                <w:rFonts w:ascii="Palatino Linotype" w:eastAsia="Palatino Linotype" w:hAnsi="Palatino Linotype" w:cs="Palatino Linotype"/>
                <w:b/>
                <w:bCs/>
              </w:rPr>
            </w:pPr>
            <w:r w:rsidRPr="007B729D">
              <w:rPr>
                <w:rFonts w:ascii="Palatino Linotype" w:eastAsia="Palatino Linotype" w:hAnsi="Palatino Linotype" w:cs="Palatino Linotype"/>
                <w:b/>
                <w:bCs/>
              </w:rPr>
              <w:t>Comentario</w:t>
            </w:r>
          </w:p>
        </w:tc>
      </w:tr>
      <w:tr w:rsidR="00812A60" w:rsidRPr="007B729D" w:rsidTr="007B729D">
        <w:trPr>
          <w:trHeight w:val="1928"/>
        </w:trPr>
        <w:tc>
          <w:tcPr>
            <w:tcW w:w="2972" w:type="dxa"/>
          </w:tcPr>
          <w:p w:rsidR="00812A60" w:rsidRPr="007B729D" w:rsidRDefault="00D00BB4">
            <w:pPr>
              <w:ind w:right="1"/>
              <w:jc w:val="both"/>
              <w:rPr>
                <w:rFonts w:ascii="Palatino Linotype" w:eastAsia="Palatino Linotype" w:hAnsi="Palatino Linotype" w:cs="Palatino Linotype"/>
                <w:b/>
                <w:bCs/>
              </w:rPr>
            </w:pPr>
            <w:r w:rsidRPr="007B729D">
              <w:rPr>
                <w:rFonts w:ascii="Palatino Linotype" w:eastAsia="Palatino Linotype" w:hAnsi="Palatino Linotype" w:cs="Palatino Linotype"/>
              </w:rPr>
              <w:t>I</w:t>
            </w:r>
            <w:r w:rsidRPr="007B729D">
              <w:rPr>
                <w:rFonts w:ascii="Palatino Linotype" w:eastAsia="Palatino Linotype" w:hAnsi="Palatino Linotype" w:cs="Palatino Linotype"/>
                <w:color w:val="000000"/>
              </w:rPr>
              <w:t xml:space="preserve">nformación personal (nombre completo, edad, fecha de nacimiento y partido político) de los actuales </w:t>
            </w:r>
            <w:r w:rsidRPr="007B729D">
              <w:rPr>
                <w:rFonts w:ascii="Palatino Linotype" w:eastAsia="Palatino Linotype" w:hAnsi="Palatino Linotype" w:cs="Palatino Linotype"/>
              </w:rPr>
              <w:t>S</w:t>
            </w:r>
            <w:r w:rsidRPr="007B729D">
              <w:rPr>
                <w:rFonts w:ascii="Palatino Linotype" w:eastAsia="Palatino Linotype" w:hAnsi="Palatino Linotype" w:cs="Palatino Linotype"/>
                <w:color w:val="000000"/>
              </w:rPr>
              <w:t xml:space="preserve">índicos y Síndicas del periodo 2025-2027 </w:t>
            </w:r>
            <w:r w:rsidRPr="007B729D">
              <w:rPr>
                <w:rFonts w:ascii="Palatino Linotype" w:eastAsia="Palatino Linotype" w:hAnsi="Palatino Linotype" w:cs="Palatino Linotype"/>
                <w:i/>
                <w:iCs/>
                <w:color w:val="000000"/>
              </w:rPr>
              <w:t>y de los futuros del periodo 2024-2026.</w:t>
            </w:r>
          </w:p>
        </w:tc>
        <w:tc>
          <w:tcPr>
            <w:tcW w:w="3544" w:type="dxa"/>
          </w:tcPr>
          <w:p w:rsidR="00812A60" w:rsidRPr="007B729D" w:rsidRDefault="00D00BB4">
            <w:pPr>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-La </w:t>
            </w:r>
            <w:r w:rsidRPr="007B729D">
              <w:rPr>
                <w:rFonts w:ascii="Palatino Linotype" w:eastAsia="Palatino Linotype" w:hAnsi="Palatino Linotype" w:cs="Palatino Linotype"/>
                <w:b/>
                <w:bCs/>
              </w:rPr>
              <w:t>Primera Síndica</w:t>
            </w:r>
            <w:r w:rsidRPr="007B729D">
              <w:rPr>
                <w:rFonts w:ascii="Palatino Linotype" w:eastAsia="Palatino Linotype" w:hAnsi="Palatino Linotype" w:cs="Palatino Linotype"/>
              </w:rPr>
              <w:t>, informó</w:t>
            </w:r>
            <w:r w:rsidRPr="007B729D">
              <w:rPr>
                <w:rFonts w:ascii="Palatino Linotype" w:eastAsia="Palatino Linotype" w:hAnsi="Palatino Linotype" w:cs="Palatino Linotype"/>
                <w:i/>
                <w:iCs/>
              </w:rPr>
              <w:t xml:space="preserve"> </w:t>
            </w:r>
            <w:r w:rsidRPr="007B729D">
              <w:rPr>
                <w:rFonts w:ascii="Palatino Linotype" w:eastAsia="Palatino Linotype" w:hAnsi="Palatino Linotype" w:cs="Palatino Linotype"/>
              </w:rPr>
              <w:t>su nombre completo, edad, fecha de nacimiento y el partido político al cual se encuentra afiliada. Ahora bien, respecto a “</w:t>
            </w:r>
            <w:r w:rsidRPr="007B729D">
              <w:rPr>
                <w:rFonts w:ascii="Palatino Linotype" w:eastAsia="Palatino Linotype" w:hAnsi="Palatino Linotype" w:cs="Palatino Linotype"/>
                <w:i/>
                <w:iCs/>
              </w:rPr>
              <w:t>y los futuros del periodo 2024-2026”</w:t>
            </w:r>
            <w:r w:rsidRPr="007B729D">
              <w:rPr>
                <w:rFonts w:ascii="Palatino Linotype" w:eastAsia="Palatino Linotype" w:hAnsi="Palatino Linotype" w:cs="Palatino Linotype"/>
              </w:rPr>
              <w:t xml:space="preserve"> refirió que en los archivos que obran en la Primera Sindicatura, no se </w:t>
            </w:r>
            <w:r w:rsidRPr="007B729D">
              <w:rPr>
                <w:rFonts w:ascii="Palatino Linotype" w:eastAsia="Palatino Linotype" w:hAnsi="Palatino Linotype" w:cs="Palatino Linotype"/>
              </w:rPr>
              <w:lastRenderedPageBreak/>
              <w:t>encontró documentación con la información requerida.</w:t>
            </w:r>
          </w:p>
          <w:p w:rsidR="00812A60" w:rsidRPr="007B729D" w:rsidRDefault="00812A60">
            <w:pPr>
              <w:jc w:val="both"/>
              <w:rPr>
                <w:rFonts w:ascii="Palatino Linotype" w:eastAsia="Palatino Linotype" w:hAnsi="Palatino Linotype" w:cs="Palatino Linotype"/>
              </w:rPr>
            </w:pPr>
          </w:p>
          <w:p w:rsidR="00812A60" w:rsidRPr="007B729D" w:rsidRDefault="00D00BB4">
            <w:pPr>
              <w:ind w:right="41"/>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-El </w:t>
            </w:r>
            <w:r w:rsidRPr="007B729D">
              <w:rPr>
                <w:rFonts w:ascii="Palatino Linotype" w:eastAsia="Palatino Linotype" w:hAnsi="Palatino Linotype" w:cs="Palatino Linotype"/>
                <w:b/>
                <w:bCs/>
              </w:rPr>
              <w:t>Segundo Síndico</w:t>
            </w:r>
            <w:r w:rsidRPr="007B729D">
              <w:rPr>
                <w:rFonts w:ascii="Palatino Linotype" w:eastAsia="Palatino Linotype" w:hAnsi="Palatino Linotype" w:cs="Palatino Linotype"/>
              </w:rPr>
              <w:t xml:space="preserve">, mediante el cual, señaló que lo solicitado no constituye un requerimiento que pueda ser satisfactorio vía acceso a la información pública, ya que se trata de manifestaciones subjetivas. </w:t>
            </w:r>
          </w:p>
        </w:tc>
        <w:tc>
          <w:tcPr>
            <w:tcW w:w="3402" w:type="dxa"/>
          </w:tcPr>
          <w:p w:rsidR="00812A60" w:rsidRPr="007B729D" w:rsidRDefault="00D00BB4">
            <w:pPr>
              <w:ind w:right="1"/>
              <w:jc w:val="both"/>
              <w:rPr>
                <w:rFonts w:ascii="Palatino Linotype" w:eastAsia="Palatino Linotype" w:hAnsi="Palatino Linotype" w:cs="Palatino Linotype"/>
                <w:b/>
                <w:bCs/>
              </w:rPr>
            </w:pPr>
            <w:r w:rsidRPr="007B729D">
              <w:rPr>
                <w:rFonts w:ascii="Palatino Linotype" w:eastAsia="Palatino Linotype" w:hAnsi="Palatino Linotype" w:cs="Palatino Linotype"/>
                <w:b/>
                <w:bCs/>
              </w:rPr>
              <w:lastRenderedPageBreak/>
              <w:t>El requerimiento se atendió parcialmente, toda vez que, el Segundo Síndico omitió proporcionar la información solicitada.</w:t>
            </w:r>
          </w:p>
          <w:p w:rsidR="00812A60" w:rsidRPr="007B729D" w:rsidRDefault="00812A60">
            <w:pPr>
              <w:ind w:right="1"/>
              <w:jc w:val="both"/>
              <w:rPr>
                <w:rFonts w:ascii="Palatino Linotype" w:eastAsia="Palatino Linotype" w:hAnsi="Palatino Linotype" w:cs="Palatino Linotype"/>
                <w:b/>
                <w:bCs/>
              </w:rPr>
            </w:pPr>
          </w:p>
          <w:p w:rsidR="00812A60" w:rsidRPr="007B729D" w:rsidRDefault="00D00BB4">
            <w:pPr>
              <w:ind w:right="1"/>
              <w:jc w:val="both"/>
              <w:rPr>
                <w:rFonts w:ascii="Palatino Linotype" w:eastAsia="Palatino Linotype" w:hAnsi="Palatino Linotype" w:cs="Palatino Linotype"/>
                <w:b/>
                <w:bCs/>
              </w:rPr>
            </w:pPr>
            <w:r w:rsidRPr="007B729D">
              <w:rPr>
                <w:rFonts w:ascii="Palatino Linotype" w:eastAsia="Palatino Linotype" w:hAnsi="Palatino Linotype" w:cs="Palatino Linotype"/>
                <w:b/>
                <w:bCs/>
              </w:rPr>
              <w:t xml:space="preserve">Es necesario señalar se vulneraron datos personales susceptibles de ser </w:t>
            </w:r>
            <w:r w:rsidRPr="007B729D">
              <w:rPr>
                <w:rFonts w:ascii="Palatino Linotype" w:eastAsia="Palatino Linotype" w:hAnsi="Palatino Linotype" w:cs="Palatino Linotype"/>
                <w:b/>
                <w:bCs/>
              </w:rPr>
              <w:lastRenderedPageBreak/>
              <w:t>clasificados como confidenciales, se manera enunciativa, la edad y la fecha de nacimiento de la Primera Síndica.</w:t>
            </w:r>
          </w:p>
        </w:tc>
      </w:tr>
    </w:tbl>
    <w:p w:rsidR="00812A60" w:rsidRPr="007B729D" w:rsidRDefault="00812A60">
      <w:pPr>
        <w:spacing w:line="360" w:lineRule="auto"/>
        <w:ind w:right="1"/>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rPr>
        <w:t>Inconforme con la respuesta, la parte</w:t>
      </w:r>
      <w:r w:rsidRPr="007B729D">
        <w:rPr>
          <w:rFonts w:ascii="Palatino Linotype" w:eastAsia="Palatino Linotype" w:hAnsi="Palatino Linotype" w:cs="Palatino Linotype"/>
          <w:b/>
          <w:bCs/>
        </w:rPr>
        <w:t xml:space="preserve"> RECURRENTE </w:t>
      </w:r>
      <w:r w:rsidRPr="007B729D">
        <w:rPr>
          <w:rFonts w:ascii="Palatino Linotype" w:eastAsia="Palatino Linotype" w:hAnsi="Palatino Linotype" w:cs="Palatino Linotype"/>
        </w:rPr>
        <w:t xml:space="preserve">manifestó la </w:t>
      </w:r>
      <w:r w:rsidRPr="007B729D">
        <w:rPr>
          <w:rFonts w:ascii="Palatino Linotype" w:eastAsia="Palatino Linotype" w:hAnsi="Palatino Linotype" w:cs="Palatino Linotype"/>
          <w:b/>
          <w:bCs/>
        </w:rPr>
        <w:t>negativa de la información solicitada.</w:t>
      </w:r>
    </w:p>
    <w:p w:rsidR="00812A60" w:rsidRPr="007B729D" w:rsidRDefault="00812A60">
      <w:pPr>
        <w:spacing w:line="360" w:lineRule="auto"/>
        <w:ind w:right="1"/>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Precisado lo anterior, se reitera que la Primera Síndica proporcionó la información solicitada, por su parte, el Segundo Sindico se limitó a referir que la información solicitada correspondía a manifestaciones subjetivas; en consecuencia, el requerimiento de información fue atendido de manera parcial.</w:t>
      </w:r>
    </w:p>
    <w:p w:rsidR="00812A60" w:rsidRPr="007B729D" w:rsidRDefault="00812A60">
      <w:pPr>
        <w:rPr>
          <w:rFonts w:ascii="Palatino Linotype" w:eastAsia="Palatino Linotype" w:hAnsi="Palatino Linotype" w:cs="Palatino Linotype"/>
        </w:rPr>
      </w:pPr>
    </w:p>
    <w:p w:rsidR="00812A60"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No obstante, mediante un acto jurídico posterior como lo es el informe justificado, el Segundo Síndico informó su nombre completo y el partido político al que se encuentra afiliado; por su parte, la Primera Sindica ratificó la respuesta; sin embargo, el documento no fue puesto a la vista del particular, toda vez que se exponen datos personales susceptibles de ser clasificados como confidenciales. </w:t>
      </w:r>
    </w:p>
    <w:p w:rsidR="007B729D" w:rsidRPr="007B729D" w:rsidRDefault="007B729D" w:rsidP="007B729D">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Precisado lo anterior, resulta conveniente mencionar que la Ley Orgánica Municipal, en su artículo 15, establece que cada municipio será gobernado por </w:t>
      </w:r>
      <w:r w:rsidRPr="007B729D">
        <w:rPr>
          <w:rFonts w:ascii="Palatino Linotype" w:eastAsia="Palatino Linotype" w:hAnsi="Palatino Linotype" w:cs="Palatino Linotype"/>
          <w:b/>
          <w:bCs/>
        </w:rPr>
        <w:t xml:space="preserve">un ayuntamiento de elección popular directa </w:t>
      </w:r>
      <w:r w:rsidRPr="007B729D">
        <w:rPr>
          <w:rFonts w:ascii="Palatino Linotype" w:eastAsia="Palatino Linotype" w:hAnsi="Palatino Linotype" w:cs="Palatino Linotype"/>
        </w:rPr>
        <w:t xml:space="preserve">y no habrá ninguna autoridad intermedia entre éste y el Gobierno </w:t>
      </w:r>
      <w:r w:rsidRPr="007B729D">
        <w:rPr>
          <w:rFonts w:ascii="Palatino Linotype" w:eastAsia="Palatino Linotype" w:hAnsi="Palatino Linotype" w:cs="Palatino Linotype"/>
        </w:rPr>
        <w:lastRenderedPageBreak/>
        <w:t>del Estado; asimismo, 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rsidR="00812A60" w:rsidRPr="007B729D" w:rsidRDefault="00812A60">
      <w:pPr>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Correlativo a lo anterior, el Código Reglamentario 2025 – 2027 del Ayuntamiento de Toluca, establece en su artículo 2.3, que el mismo se integra por: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I. La o el presidente municipal; </w:t>
      </w:r>
    </w:p>
    <w:p w:rsidR="00812A60" w:rsidRPr="007B729D" w:rsidRDefault="00D00BB4">
      <w:pPr>
        <w:ind w:left="567" w:right="538"/>
        <w:jc w:val="both"/>
        <w:rPr>
          <w:rFonts w:ascii="Palatino Linotype" w:eastAsia="Palatino Linotype" w:hAnsi="Palatino Linotype" w:cs="Palatino Linotype"/>
          <w:b/>
          <w:bCs/>
          <w:i/>
          <w:iCs/>
        </w:rPr>
      </w:pPr>
      <w:r w:rsidRPr="007B729D">
        <w:rPr>
          <w:rFonts w:ascii="Palatino Linotype" w:eastAsia="Palatino Linotype" w:hAnsi="Palatino Linotype" w:cs="Palatino Linotype"/>
          <w:b/>
          <w:bCs/>
          <w:i/>
          <w:iCs/>
        </w:rPr>
        <w:t xml:space="preserve">II. Dos Síndicos o Síndicas, uno de mayoría relativa y uno de representación proporcional; y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III. Doce Regidoras o Regidores, siete de mayoría relativa y cinco de representación proporcional.</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Por su parte, el artículo 2.4 establece las atribuciones de las y los Síndicos, en los siguientes términos:</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Artículo 2.5.</w:t>
      </w:r>
      <w:r w:rsidRPr="007B729D">
        <w:rPr>
          <w:rFonts w:ascii="Palatino Linotype" w:eastAsia="Palatino Linotype" w:hAnsi="Palatino Linotype" w:cs="Palatino Linotype"/>
          <w:i/>
          <w:iCs/>
        </w:rPr>
        <w:t xml:space="preserve"> Las y los síndicos y regidores, además de las atribuciones que les confiere la Ley Orgánica Municipal, tendrán las siguientes: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I. Formular, en las sesiones de Cabildo, las propuestas que juzguen pertinentes;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II. Cumplir oportunamente con las obligaciones y comisiones que les hayan sido encomendadas; III. Rendir informes por escrito de las actividades realizadas, cuando sean requeridos por el Ayuntamiento o por el presidente municipal;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IV. Fomentar la participación ciudadana en apoyo a los programas que implemente el ayuntamiento; y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V. Las demás que resulten procedentes, conforme a los ordenamientos jurídicos y acuerdos del Ayuntamiento. </w:t>
      </w:r>
    </w:p>
    <w:p w:rsidR="00812A60" w:rsidRPr="007B729D" w:rsidRDefault="00812A60">
      <w:pPr>
        <w:ind w:left="567" w:right="538"/>
        <w:jc w:val="both"/>
        <w:rPr>
          <w:rFonts w:ascii="Palatino Linotype" w:eastAsia="Palatino Linotype" w:hAnsi="Palatino Linotype" w:cs="Palatino Linotype"/>
          <w:i/>
          <w:iCs/>
        </w:rPr>
      </w:pP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Artículo 2.6.</w:t>
      </w:r>
      <w:r w:rsidRPr="007B729D">
        <w:rPr>
          <w:rFonts w:ascii="Palatino Linotype" w:eastAsia="Palatino Linotype" w:hAnsi="Palatino Linotype" w:cs="Palatino Linotype"/>
          <w:i/>
          <w:iCs/>
        </w:rPr>
        <w:t xml:space="preserve"> De conformidad con lo dispuesto por la Ley Orgánica Municipal, la o el Primer Síndico revisará las relaciones de rezagos de ingresos públicos para que sean liquidados. </w:t>
      </w:r>
    </w:p>
    <w:p w:rsidR="00812A60" w:rsidRPr="007B729D" w:rsidRDefault="00812A60">
      <w:pPr>
        <w:ind w:left="567" w:right="538"/>
        <w:jc w:val="both"/>
        <w:rPr>
          <w:rFonts w:ascii="Palatino Linotype" w:eastAsia="Palatino Linotype" w:hAnsi="Palatino Linotype" w:cs="Palatino Linotype"/>
          <w:i/>
          <w:iCs/>
        </w:rPr>
      </w:pP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Corresponde a la o el Segundo Síndico: </w:t>
      </w:r>
    </w:p>
    <w:p w:rsidR="00812A60" w:rsidRPr="007B729D" w:rsidRDefault="00812A60">
      <w:pPr>
        <w:ind w:left="567" w:right="538"/>
        <w:jc w:val="both"/>
        <w:rPr>
          <w:rFonts w:ascii="Palatino Linotype" w:eastAsia="Palatino Linotype" w:hAnsi="Palatino Linotype" w:cs="Palatino Linotype"/>
          <w:i/>
          <w:iCs/>
        </w:rPr>
      </w:pP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lastRenderedPageBreak/>
        <w:t xml:space="preserve">a. Revisar y firmar los cortes de caja de la Tesorería Municipal;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b. Cuidar que la aplicación de los gastos se haga llenando los requisitos legales conforme al presupuesto respectivo;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c. Hacer que oportunamente se remitan al Órgano Superior de Fiscalización del Estado de México las cuentas de la Tesorería Municipal y remitir copia del resumen financiero a los integrantes del Ayuntamiento;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d. Participar en los remates públicos en los que tenga interés el Municipio, para que se finquen al mejor postor y se guarden los términos y disposiciones prevenidos en las leyes respectivas;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e. Admitir, tramitar y resolver los procedimientos arbitrales para decidir controversias en materia de propiedad en condominio conforme a lo que dispone la Ley que Regula el Régimen de Propiedad en Condominio del Estado de México; y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f. Presidir la Comisión de Egresos Municipal, y la Comisión de Límites Municipal, atento a lo que dispone la Ley Reglamentaria de las fracciones XXV y XXVI del artículo 61 de la Constitución Política del Estado Libre y Soberano de México. </w:t>
      </w:r>
    </w:p>
    <w:p w:rsidR="00812A60" w:rsidRPr="007B729D" w:rsidRDefault="00D00BB4">
      <w:pPr>
        <w:ind w:left="567" w:right="538"/>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g. Conocer de los conflictos por limites inter delegacionales, mediando y acordando lo necesario para dirimirlos.</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 xml:space="preserve">En consecuencia, se advierte que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cuenta con funciones y atribuciones para generar, poseer y/o administrar la información solicitada, es decir, los documentos donde se adviertan los datos personales de los integrantes del Cabildo, de manera precisa, de la Primera Síndica y el Segundo Síndico.</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No obstante, es necesario precisar que si bien el nombre completo y el partido político al que se encuentran afiliados ambos servidores públicos corresponden a datos personales de carácter público; la edad y la fecha de nacimiento corresponden a datos personales que se deben ser clasificados como confidenciales.</w:t>
      </w:r>
    </w:p>
    <w:p w:rsidR="00812A60" w:rsidRPr="007B729D" w:rsidRDefault="00812A60">
      <w:pPr>
        <w:spacing w:line="360" w:lineRule="auto"/>
        <w:ind w:right="1"/>
        <w:jc w:val="both"/>
        <w:rPr>
          <w:rFonts w:ascii="Palatino Linotype" w:eastAsia="Palatino Linotype" w:hAnsi="Palatino Linotype" w:cs="Palatino Linotype"/>
        </w:rPr>
      </w:pPr>
    </w:p>
    <w:p w:rsidR="00812A60" w:rsidRPr="007B729D" w:rsidRDefault="00D00BB4">
      <w:pPr>
        <w:numPr>
          <w:ilvl w:val="0"/>
          <w:numId w:val="1"/>
        </w:numPr>
        <w:spacing w:line="360" w:lineRule="auto"/>
        <w:ind w:left="0" w:right="1" w:firstLine="0"/>
        <w:jc w:val="both"/>
        <w:rPr>
          <w:rFonts w:ascii="Palatino Linotype" w:eastAsia="Palatino Linotype" w:hAnsi="Palatino Linotype" w:cs="Palatino Linotype"/>
        </w:rPr>
      </w:pPr>
      <w:r w:rsidRPr="007B729D">
        <w:rPr>
          <w:rFonts w:ascii="Palatino Linotype" w:eastAsia="Palatino Linotype" w:hAnsi="Palatino Linotype" w:cs="Palatino Linotype"/>
        </w:rPr>
        <w:t>En consecuencia, es dable</w:t>
      </w:r>
      <w:r w:rsidRPr="007B729D">
        <w:rPr>
          <w:rFonts w:ascii="Palatino Linotype" w:eastAsia="Palatino Linotype" w:hAnsi="Palatino Linotype" w:cs="Palatino Linotype"/>
          <w:b/>
          <w:bCs/>
        </w:rPr>
        <w:t xml:space="preserve"> MODIFICAR </w:t>
      </w:r>
      <w:r w:rsidRPr="007B729D">
        <w:rPr>
          <w:rFonts w:ascii="Palatino Linotype" w:eastAsia="Palatino Linotype" w:hAnsi="Palatino Linotype" w:cs="Palatino Linotype"/>
        </w:rPr>
        <w:t>la respuesta emitida por el</w:t>
      </w:r>
      <w:r w:rsidRPr="007B729D">
        <w:rPr>
          <w:rFonts w:ascii="Palatino Linotype" w:eastAsia="Palatino Linotype" w:hAnsi="Palatino Linotype" w:cs="Palatino Linotype"/>
          <w:b/>
          <w:bCs/>
        </w:rPr>
        <w:t xml:space="preserve"> SUJETO OBLIGADO y ORDENAR</w:t>
      </w:r>
      <w:r w:rsidRPr="007B729D">
        <w:rPr>
          <w:rFonts w:ascii="Palatino Linotype" w:eastAsia="Palatino Linotype" w:hAnsi="Palatino Linotype" w:cs="Palatino Linotype"/>
        </w:rPr>
        <w:t>, lo siguiente:</w:t>
      </w:r>
    </w:p>
    <w:p w:rsidR="00812A60" w:rsidRPr="007B729D" w:rsidRDefault="00D00BB4">
      <w:pPr>
        <w:numPr>
          <w:ilvl w:val="0"/>
          <w:numId w:val="3"/>
        </w:numPr>
        <w:pBdr>
          <w:top w:val="nil"/>
          <w:left w:val="nil"/>
          <w:bottom w:val="nil"/>
          <w:right w:val="nil"/>
          <w:between w:val="nil"/>
        </w:pBdr>
        <w:ind w:left="567" w:right="538" w:firstLine="0"/>
        <w:jc w:val="both"/>
        <w:rPr>
          <w:rFonts w:ascii="Palatino Linotype" w:eastAsia="Palatino Linotype" w:hAnsi="Palatino Linotype" w:cs="Palatino Linotype"/>
          <w:b/>
          <w:bCs/>
          <w:color w:val="000000"/>
        </w:rPr>
      </w:pPr>
      <w:r w:rsidRPr="007B729D">
        <w:rPr>
          <w:rFonts w:ascii="Palatino Linotype" w:eastAsia="Palatino Linotype" w:hAnsi="Palatino Linotype" w:cs="Palatino Linotype"/>
          <w:b/>
          <w:bCs/>
          <w:color w:val="000000"/>
        </w:rPr>
        <w:lastRenderedPageBreak/>
        <w:t>Soporte documental en donde se advierta el nombre completo y el partido político al cual se encuentra afiliado el Segundo Síndico Municipal, al 27 de junio de 2025; y</w:t>
      </w:r>
    </w:p>
    <w:p w:rsidR="00812A60" w:rsidRPr="007B729D" w:rsidRDefault="00812A60">
      <w:pPr>
        <w:pBdr>
          <w:top w:val="nil"/>
          <w:left w:val="nil"/>
          <w:bottom w:val="nil"/>
          <w:right w:val="nil"/>
          <w:between w:val="nil"/>
        </w:pBdr>
        <w:ind w:left="567" w:right="538"/>
        <w:jc w:val="both"/>
        <w:rPr>
          <w:rFonts w:ascii="Palatino Linotype" w:eastAsia="Palatino Linotype" w:hAnsi="Palatino Linotype" w:cs="Palatino Linotype"/>
          <w:b/>
          <w:bCs/>
          <w:color w:val="000000"/>
        </w:rPr>
      </w:pPr>
    </w:p>
    <w:p w:rsidR="00812A60" w:rsidRPr="007B729D" w:rsidRDefault="00D00BB4">
      <w:pPr>
        <w:numPr>
          <w:ilvl w:val="0"/>
          <w:numId w:val="3"/>
        </w:numPr>
        <w:pBdr>
          <w:top w:val="nil"/>
          <w:left w:val="nil"/>
          <w:bottom w:val="nil"/>
          <w:right w:val="nil"/>
          <w:between w:val="nil"/>
        </w:pBdr>
        <w:ind w:left="567" w:right="538" w:firstLine="0"/>
        <w:jc w:val="both"/>
        <w:rPr>
          <w:rFonts w:ascii="Palatino Linotype" w:eastAsia="Palatino Linotype" w:hAnsi="Palatino Linotype" w:cs="Palatino Linotype"/>
          <w:b/>
          <w:bCs/>
          <w:color w:val="000000"/>
        </w:rPr>
      </w:pPr>
      <w:r w:rsidRPr="007B729D">
        <w:rPr>
          <w:rFonts w:ascii="Palatino Linotype" w:eastAsia="Palatino Linotype" w:hAnsi="Palatino Linotype" w:cs="Palatino Linotype"/>
          <w:b/>
          <w:bCs/>
          <w:color w:val="000000"/>
        </w:rPr>
        <w:t>Acuerdo del Comité de transparencia, mediante el cual, se apruebe la clasificación como información confidencial de la edad y la fecha de nacimiento del Segundo Síndico Municipal, al 27 de junio de 2025.</w:t>
      </w:r>
    </w:p>
    <w:p w:rsidR="00812A60" w:rsidRDefault="00812A60">
      <w:pPr>
        <w:rPr>
          <w:rFonts w:ascii="Palatino Linotype" w:eastAsia="Palatino Linotype" w:hAnsi="Palatino Linotype" w:cs="Palatino Linotype"/>
        </w:rPr>
      </w:pPr>
    </w:p>
    <w:p w:rsidR="007B729D" w:rsidRPr="007B729D" w:rsidRDefault="007B729D">
      <w:pPr>
        <w:rPr>
          <w:rFonts w:ascii="Palatino Linotype" w:eastAsia="Palatino Linotype" w:hAnsi="Palatino Linotype" w:cs="Palatino Linotype"/>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Ahora bien, no pasa desapercibido mencionar que el </w:t>
      </w:r>
      <w:r w:rsidRPr="007B729D">
        <w:rPr>
          <w:rFonts w:ascii="Palatino Linotype" w:eastAsia="Palatino Linotype" w:hAnsi="Palatino Linotype" w:cs="Palatino Linotype"/>
          <w:b/>
          <w:bCs/>
          <w:color w:val="000000"/>
        </w:rPr>
        <w:t>RECURRENTE</w:t>
      </w:r>
      <w:r w:rsidRPr="007B729D">
        <w:rPr>
          <w:rFonts w:ascii="Palatino Linotype" w:eastAsia="Palatino Linotype" w:hAnsi="Palatino Linotype" w:cs="Palatino Linotype"/>
          <w:color w:val="000000"/>
        </w:rPr>
        <w:t xml:space="preserve"> solicitó los mismos datos personales de los futuros Síndicos y Síndicas del periodo 2024-2026, en los siguientes términos: “</w:t>
      </w:r>
      <w:r w:rsidRPr="007B729D">
        <w:rPr>
          <w:rFonts w:ascii="Palatino Linotype" w:eastAsia="Palatino Linotype" w:hAnsi="Palatino Linotype" w:cs="Palatino Linotype"/>
          <w:i/>
          <w:iCs/>
          <w:color w:val="000000"/>
        </w:rPr>
        <w:t>y de los futuros del periodo 2024-2026.</w:t>
      </w:r>
      <w:r w:rsidRPr="007B729D">
        <w:rPr>
          <w:rFonts w:ascii="Palatino Linotype" w:eastAsia="Palatino Linotype" w:hAnsi="Palatino Linotype" w:cs="Palatino Linotype"/>
          <w:color w:val="000000"/>
        </w:rPr>
        <w:t xml:space="preserve">”; al respecto, el </w:t>
      </w:r>
      <w:r w:rsidRPr="007B729D">
        <w:rPr>
          <w:rFonts w:ascii="Palatino Linotype" w:eastAsia="Palatino Linotype" w:hAnsi="Palatino Linotype" w:cs="Palatino Linotype"/>
          <w:b/>
          <w:bCs/>
          <w:color w:val="000000"/>
        </w:rPr>
        <w:t>SUJETO OBLIGADO</w:t>
      </w:r>
      <w:r w:rsidRPr="007B729D">
        <w:rPr>
          <w:rFonts w:ascii="Palatino Linotype" w:eastAsia="Palatino Linotype" w:hAnsi="Palatino Linotype" w:cs="Palatino Linotype"/>
          <w:color w:val="000000"/>
        </w:rPr>
        <w:t xml:space="preserve"> refirió no </w:t>
      </w:r>
      <w:r w:rsidR="0062387D" w:rsidRPr="007B729D">
        <w:rPr>
          <w:rFonts w:ascii="Palatino Linotype" w:eastAsia="Palatino Linotype" w:hAnsi="Palatino Linotype" w:cs="Palatino Linotype"/>
          <w:color w:val="000000"/>
        </w:rPr>
        <w:t>contar</w:t>
      </w:r>
      <w:r w:rsidRPr="007B729D">
        <w:rPr>
          <w:rFonts w:ascii="Palatino Linotype" w:eastAsia="Palatino Linotype" w:hAnsi="Palatino Linotype" w:cs="Palatino Linotype"/>
          <w:color w:val="000000"/>
        </w:rPr>
        <w:t xml:space="preserve"> con la información requerida.</w:t>
      </w:r>
    </w:p>
    <w:p w:rsidR="00812A60" w:rsidRPr="007B729D" w:rsidRDefault="00812A60">
      <w:pPr>
        <w:rPr>
          <w:rFonts w:ascii="Palatino Linotype" w:eastAsia="Palatino Linotype" w:hAnsi="Palatino Linotype" w:cs="Palatino Linotype"/>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Al respecto, resulta conveniente mencionar que la Ley Orgánica Municipal, en su artículo 16 establece que los </w:t>
      </w:r>
      <w:r w:rsidRPr="007B729D">
        <w:rPr>
          <w:rFonts w:ascii="Palatino Linotype" w:eastAsia="Palatino Linotype" w:hAnsi="Palatino Linotype" w:cs="Palatino Linotype"/>
        </w:rPr>
        <w:t xml:space="preserve">Ayuntamientos se renovarán </w:t>
      </w:r>
      <w:r w:rsidRPr="007B729D">
        <w:rPr>
          <w:rFonts w:ascii="Palatino Linotype" w:eastAsia="Palatino Linotype" w:hAnsi="Palatino Linotype" w:cs="Palatino Linotype"/>
          <w:b/>
          <w:bCs/>
        </w:rPr>
        <w:t>cada tres años</w:t>
      </w:r>
      <w:r w:rsidRPr="007B729D">
        <w:rPr>
          <w:rFonts w:ascii="Palatino Linotype" w:eastAsia="Palatino Linotype" w:hAnsi="Palatino Linotype" w:cs="Palatino Linotype"/>
        </w:rPr>
        <w:t xml:space="preserve">, iniciarán su periodo el 1 de enero del año inmediato siguiente al de las elecciones municipales ordinarias y concluirán el 31 de diciembre del año de las elecciones para su renovación. </w:t>
      </w:r>
    </w:p>
    <w:p w:rsidR="00812A60" w:rsidRPr="007B729D" w:rsidRDefault="00812A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En este sentido, se precisa que la actual administración municipal, inició funciones el 1 de enero de 2025, misma que concluirá en 31 de diciembre de 2027; en consecuencia, no se advierte la posibilidad de contar con la información correspondiente a un </w:t>
      </w:r>
      <w:r w:rsidRPr="007B729D">
        <w:rPr>
          <w:rFonts w:ascii="Palatino Linotype" w:eastAsia="Palatino Linotype" w:hAnsi="Palatino Linotype" w:cs="Palatino Linotype"/>
          <w:i/>
          <w:iCs/>
          <w:color w:val="000000"/>
        </w:rPr>
        <w:t xml:space="preserve">“futuro periodo 2024-2026”, </w:t>
      </w:r>
      <w:r w:rsidRPr="007B729D">
        <w:rPr>
          <w:rFonts w:ascii="Palatino Linotype" w:eastAsia="Palatino Linotype" w:hAnsi="Palatino Linotype" w:cs="Palatino Linotype"/>
          <w:color w:val="000000"/>
        </w:rPr>
        <w:t xml:space="preserve">como lo manifestó el </w:t>
      </w:r>
      <w:r w:rsidRPr="007B729D">
        <w:rPr>
          <w:rFonts w:ascii="Palatino Linotype" w:eastAsia="Palatino Linotype" w:hAnsi="Palatino Linotype" w:cs="Palatino Linotype"/>
          <w:b/>
          <w:bCs/>
          <w:color w:val="000000"/>
        </w:rPr>
        <w:t>SUJETO OBLIGADO.</w:t>
      </w:r>
    </w:p>
    <w:p w:rsidR="00812A60" w:rsidRPr="007B729D" w:rsidRDefault="00812A60">
      <w:pPr>
        <w:pBdr>
          <w:top w:val="nil"/>
          <w:left w:val="nil"/>
          <w:bottom w:val="nil"/>
          <w:right w:val="nil"/>
          <w:between w:val="nil"/>
        </w:pBdr>
        <w:ind w:left="720"/>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De </w:t>
      </w:r>
      <w:r w:rsidRPr="007B729D">
        <w:rPr>
          <w:rFonts w:ascii="Palatino Linotype" w:eastAsia="Palatino Linotype" w:hAnsi="Palatino Linotype" w:cs="Palatino Linotype"/>
        </w:rPr>
        <w:t xml:space="preserve">lo anterior, se presume que, al haber existido un pronunciamiento del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y, señalar que </w:t>
      </w:r>
      <w:r w:rsidRPr="007B729D">
        <w:rPr>
          <w:rFonts w:ascii="Palatino Linotype" w:eastAsia="Palatino Linotype" w:hAnsi="Palatino Linotype" w:cs="Palatino Linotype"/>
          <w:b/>
          <w:bCs/>
        </w:rPr>
        <w:t>en sus archivos no se encuentran la información solicitada por no haberse generado</w:t>
      </w:r>
      <w:r w:rsidRPr="007B729D">
        <w:rPr>
          <w:rFonts w:ascii="Palatino Linotype" w:eastAsia="Palatino Linotype" w:hAnsi="Palatino Linotype" w:cs="Palatino Linotype"/>
        </w:rPr>
        <w:t xml:space="preserve">; </w:t>
      </w:r>
      <w:r w:rsidRPr="007B729D">
        <w:rPr>
          <w:rFonts w:ascii="Palatino Linotype" w:eastAsia="Palatino Linotype" w:hAnsi="Palatino Linotype" w:cs="Palatino Linotype"/>
          <w:b/>
          <w:bCs/>
        </w:rPr>
        <w:t>se trata de un hecho negativo;</w:t>
      </w:r>
      <w:r w:rsidRPr="007B729D">
        <w:rPr>
          <w:rFonts w:ascii="Palatino Linotype" w:eastAsia="Palatino Linotype" w:hAnsi="Palatino Linotype" w:cs="Palatino Linotype"/>
        </w:rPr>
        <w:t xml:space="preserve"> en este sentido, se obvia que no puede fácticamente obrar en los archivos del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ya que no puede probarse por </w:t>
      </w:r>
      <w:r w:rsidRPr="007B729D">
        <w:rPr>
          <w:rFonts w:ascii="Palatino Linotype" w:eastAsia="Palatino Linotype" w:hAnsi="Palatino Linotype" w:cs="Palatino Linotype"/>
        </w:rPr>
        <w:lastRenderedPageBreak/>
        <w:t xml:space="preserve">ser lógica y materialmente imposible, en razón de que, al no haber generado, poseído y/o administrado dicha información, </w:t>
      </w:r>
      <w:r w:rsidRPr="007B729D">
        <w:rPr>
          <w:rFonts w:ascii="Palatino Linotype" w:eastAsia="Palatino Linotype" w:hAnsi="Palatino Linotype" w:cs="Palatino Linotype"/>
          <w:b/>
          <w:bCs/>
        </w:rPr>
        <w:t>no cuenta con la misma.</w:t>
      </w:r>
    </w:p>
    <w:p w:rsidR="00812A60" w:rsidRPr="007B729D" w:rsidRDefault="00812A60">
      <w:pPr>
        <w:rPr>
          <w:rFonts w:ascii="Palatino Linotype" w:eastAsia="Palatino Linotype" w:hAnsi="Palatino Linotype" w:cs="Palatino Linotype"/>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rPr>
        <w:t>Asimismo</w:t>
      </w:r>
      <w:r w:rsidRPr="007B729D">
        <w:rPr>
          <w:rFonts w:ascii="Palatino Linotype" w:eastAsia="Palatino Linotype" w:hAnsi="Palatino Linotype" w:cs="Palatino Linotype"/>
          <w:color w:val="000000"/>
        </w:rPr>
        <w:t xml:space="preserve">, </w:t>
      </w:r>
      <w:r w:rsidRPr="007B729D">
        <w:rPr>
          <w:rFonts w:ascii="Palatino Linotype" w:eastAsia="Palatino Linotype" w:hAnsi="Palatino Linotype" w:cs="Palatino Linotype"/>
        </w:rPr>
        <w:t>no se trata de un caso por el cual la negación del hecho implique la afirmación de este, simplemente se está ante una notoria y evidente inexistencia fáctica de la información solicitada.</w:t>
      </w:r>
    </w:p>
    <w:p w:rsidR="00812A60" w:rsidRPr="007B729D" w:rsidRDefault="00812A60">
      <w:pPr>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Por </w:t>
      </w:r>
      <w:r w:rsidRPr="007B729D">
        <w:rPr>
          <w:rFonts w:ascii="Palatino Linotype" w:eastAsia="Palatino Linotype" w:hAnsi="Palatino Linotype" w:cs="Palatino Linotype"/>
        </w:rPr>
        <w:t xml:space="preserve">ello, de conformidad con lo establecido en el artículo 12 de la Ley de Transparencia y Acceso a la Información Pública del Estado de México y Municipios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rsidR="00812A60" w:rsidRPr="007B729D" w:rsidRDefault="00D00BB4">
      <w:pPr>
        <w:ind w:left="567" w:right="565"/>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b/>
          <w:bCs/>
        </w:rPr>
        <w:t>HECHOS NEGATIVOS, NO SON SUSCEPTIBLES DE DEMOSTRACIÓN.</w:t>
      </w:r>
      <w:r w:rsidRPr="007B729D">
        <w:rPr>
          <w:rFonts w:ascii="Palatino Linotype" w:eastAsia="Palatino Linotype" w:hAnsi="Palatino Linotype" w:cs="Palatino Linotype"/>
        </w:rPr>
        <w:t xml:space="preserve">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w:t>
      </w:r>
    </w:p>
    <w:p w:rsidR="00812A60" w:rsidRPr="007B729D" w:rsidRDefault="00812A60">
      <w:pP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De igual forma, es aplicable el criterio 7/2017, emitido en la Segunda Época por el Instituto Nacional de Transparencia, Acceso a la Información y Protección de Datos Personales (INAI), el cual señala lo siguiente:</w:t>
      </w:r>
    </w:p>
    <w:p w:rsidR="00812A60" w:rsidRPr="007B729D" w:rsidRDefault="00D00BB4">
      <w:pPr>
        <w:pBdr>
          <w:top w:val="nil"/>
          <w:left w:val="nil"/>
          <w:bottom w:val="nil"/>
          <w:right w:val="nil"/>
          <w:between w:val="nil"/>
        </w:pBdr>
        <w:ind w:left="567" w:right="538"/>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w:t>
      </w:r>
      <w:r w:rsidRPr="007B729D">
        <w:rPr>
          <w:rFonts w:ascii="Palatino Linotype" w:eastAsia="Palatino Linotype" w:hAnsi="Palatino Linotype" w:cs="Palatino Linotype"/>
          <w:i/>
          <w:iCs/>
        </w:rPr>
        <w:lastRenderedPageBreak/>
        <w:t>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812A60" w:rsidRPr="007B729D" w:rsidRDefault="00812A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rPr>
        <w:t xml:space="preserve">Precisado lo anterior, es importante señalar que el artículo 4, párrafo segundo de la Ley de Transparencia y Acceso a la Información Pública del Estado de México y Municipios, dispone: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w:t>
      </w:r>
      <w:r w:rsidRPr="007B729D">
        <w:rPr>
          <w:rFonts w:ascii="Palatino Linotype" w:eastAsia="Palatino Linotype" w:hAnsi="Palatino Linotype" w:cs="Palatino Linotype"/>
          <w:b/>
          <w:bCs/>
          <w:i/>
          <w:iCs/>
          <w:color w:val="000000"/>
        </w:rPr>
        <w:t>Artículo 4.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12A60" w:rsidRPr="007B729D" w:rsidRDefault="00812A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812A60" w:rsidRPr="007B729D" w:rsidRDefault="00812A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w:t>
      </w:r>
      <w:r w:rsidRPr="007B729D">
        <w:rPr>
          <w:rFonts w:ascii="Palatino Linotype" w:eastAsia="Palatino Linotype" w:hAnsi="Palatino Linotype" w:cs="Palatino Linotype"/>
          <w:color w:val="000000"/>
        </w:rPr>
        <w:lastRenderedPageBreak/>
        <w:t xml:space="preserve">estado en el que se encuentre, sin la obligación de generarla, resumirla, efectuar cálculos o practicar investigaciones; tal y como se señala a continuación: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w:t>
      </w:r>
      <w:r w:rsidRPr="007B729D">
        <w:rPr>
          <w:rFonts w:ascii="Palatino Linotype" w:eastAsia="Palatino Linotype" w:hAnsi="Palatino Linotype" w:cs="Palatino Linotype"/>
          <w:b/>
          <w:bCs/>
          <w:i/>
          <w:iCs/>
          <w:color w:val="000000"/>
        </w:rPr>
        <w:t>Artículo 12.</w:t>
      </w:r>
      <w:r w:rsidRPr="007B729D">
        <w:rPr>
          <w:rFonts w:ascii="Palatino Linotype" w:eastAsia="Palatino Linotype" w:hAnsi="Palatino Linotype" w:cs="Palatino Linotype"/>
          <w:i/>
          <w:iCs/>
          <w:color w:val="000000"/>
        </w:rPr>
        <w:t xml:space="preserve"> Quienes generen, recopilen, administren, manejen, procesen, archiven o conserven información pública serán responsables de la misma en los términos de las disposiciones jurídicas aplicables. </w:t>
      </w:r>
    </w:p>
    <w:p w:rsidR="00812A60" w:rsidRPr="007B729D" w:rsidRDefault="00812A6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12A60" w:rsidRPr="007B729D" w:rsidRDefault="00812A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rsidR="00812A60" w:rsidRPr="007B729D" w:rsidRDefault="00812A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No obstante, 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812A60" w:rsidRPr="007B729D" w:rsidRDefault="00812A60">
      <w:pP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rsidR="00812A60" w:rsidRPr="007B729D" w:rsidRDefault="00812A60">
      <w:pPr>
        <w:rPr>
          <w:rFonts w:ascii="Palatino Linotype" w:eastAsia="Palatino Linotype" w:hAnsi="Palatino Linotype" w:cs="Palatino Linotype"/>
          <w:b/>
          <w:bCs/>
        </w:rPr>
      </w:pP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b/>
          <w:bCs/>
          <w:i/>
          <w:iCs/>
          <w:color w:val="000000"/>
        </w:rPr>
        <w:lastRenderedPageBreak/>
        <w:t>“No existe obligación de elaborar documentos ad hoc para atender las solicitudes de acceso a la información.</w:t>
      </w:r>
      <w:r w:rsidRPr="007B729D">
        <w:rPr>
          <w:rFonts w:ascii="Palatino Linotype" w:eastAsia="Palatino Linotype" w:hAnsi="Palatino Linotype" w:cs="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812A60" w:rsidRPr="007B729D" w:rsidRDefault="00812A6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 xml:space="preserve">Resoluciones: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Symbol" w:eastAsia="Symbol" w:hAnsi="Symbol" w:cs="Symbol"/>
          <w:i/>
          <w:iCs/>
          <w:color w:val="000000"/>
        </w:rPr>
        <w:t>∙</w:t>
      </w:r>
      <w:r w:rsidRPr="007B729D">
        <w:rPr>
          <w:rFonts w:ascii="Palatino Linotype" w:eastAsia="Palatino Linotype" w:hAnsi="Palatino Linotype" w:cs="Palatino Linotype"/>
          <w:i/>
          <w:iCs/>
          <w:color w:val="000000"/>
        </w:rPr>
        <w:t xml:space="preserve"> RRA 0050/16. Instituto Nacional para la Evaluación de la Educación. 13 julio de 2016. Por unanimidad. Comisionado Ponente: Francisco Javier Acuña Llamas.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Symbol" w:eastAsia="Symbol" w:hAnsi="Symbol" w:cs="Symbol"/>
          <w:i/>
          <w:iCs/>
          <w:color w:val="000000"/>
        </w:rPr>
        <w:t>∙</w:t>
      </w:r>
      <w:r w:rsidRPr="007B729D">
        <w:rPr>
          <w:rFonts w:ascii="Palatino Linotype" w:eastAsia="Palatino Linotype" w:hAnsi="Palatino Linotype" w:cs="Palatino Linotype"/>
          <w:i/>
          <w:iCs/>
          <w:color w:val="000000"/>
        </w:rPr>
        <w:t xml:space="preserve"> RRA 0310/16. Instituto Nacional de Transparencia, Acceso a la Información y Protección de Datos Personales. 10 de agosto de 2016. Por unanimidad. Comisionada Ponente. Areli Cano Guadiana.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Symbol" w:eastAsia="Symbol" w:hAnsi="Symbol" w:cs="Symbol"/>
          <w:i/>
          <w:iCs/>
          <w:color w:val="000000"/>
        </w:rPr>
        <w:t>∙</w:t>
      </w:r>
      <w:r w:rsidRPr="007B729D">
        <w:rPr>
          <w:rFonts w:ascii="Palatino Linotype" w:eastAsia="Palatino Linotype" w:hAnsi="Palatino Linotype" w:cs="Palatino Linotype"/>
          <w:i/>
          <w:iCs/>
          <w:color w:val="000000"/>
        </w:rPr>
        <w:t xml:space="preserve"> RRA 1889/16. Secretaría de Hacienda y Crédito Público. 05 de octubre de 2016. Por unanimidad. Comisionada Ponente. Ximena Puente de la Mora.”</w:t>
      </w:r>
    </w:p>
    <w:p w:rsidR="00812A60" w:rsidRPr="007B729D" w:rsidRDefault="00812A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812A60" w:rsidRPr="007B729D" w:rsidRDefault="00812A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w:t>
      </w:r>
      <w:r w:rsidRPr="007B729D">
        <w:rPr>
          <w:rFonts w:ascii="Palatino Linotype" w:eastAsia="Palatino Linotype" w:hAnsi="Palatino Linotype" w:cs="Palatino Linotype"/>
          <w:color w:val="000000"/>
        </w:rPr>
        <w:lastRenderedPageBreak/>
        <w:t xml:space="preserve">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b/>
          <w:bCs/>
          <w:i/>
          <w:iCs/>
          <w:color w:val="000000"/>
        </w:rPr>
        <w:t>“Artículo 3.</w:t>
      </w:r>
      <w:r w:rsidRPr="007B729D">
        <w:rPr>
          <w:rFonts w:ascii="Palatino Linotype" w:eastAsia="Palatino Linotype" w:hAnsi="Palatino Linotype" w:cs="Palatino Linotype"/>
          <w:i/>
          <w:iCs/>
          <w:color w:val="000000"/>
        </w:rPr>
        <w:t xml:space="preserve"> Para los efectos de la presente Ley se entenderá por: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 xml:space="preserve">(…)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b/>
          <w:bCs/>
          <w:i/>
          <w:iCs/>
          <w:color w:val="000000"/>
        </w:rPr>
      </w:pPr>
      <w:r w:rsidRPr="007B729D">
        <w:rPr>
          <w:rFonts w:ascii="Palatino Linotype" w:eastAsia="Palatino Linotype" w:hAnsi="Palatino Linotype" w:cs="Palatino Linotype"/>
          <w:b/>
          <w:bCs/>
          <w:i/>
          <w:iCs/>
          <w:color w:val="000000"/>
        </w:rPr>
        <w:t>XI. Documento:</w:t>
      </w:r>
      <w:r w:rsidRPr="007B729D">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B729D">
        <w:rPr>
          <w:rFonts w:ascii="Palatino Linotype" w:eastAsia="Palatino Linotype" w:hAnsi="Palatino Linotype" w:cs="Palatino Linotype"/>
          <w:b/>
          <w:bCs/>
          <w:i/>
          <w:iCs/>
          <w:color w:val="000000"/>
        </w:rPr>
        <w:t xml:space="preserve">Los documentos podrán estar en cualquier medio, sea escrito, impreso, sonoro, visual, electrónico, informático u holográfico; </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w:t>
      </w:r>
    </w:p>
    <w:p w:rsidR="00812A60" w:rsidRPr="007B729D" w:rsidRDefault="00812A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812A60" w:rsidRPr="007B729D" w:rsidRDefault="00D00BB4">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i/>
          <w:iCs/>
          <w:color w:val="000000"/>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w:t>
      </w:r>
      <w:r w:rsidRPr="007B729D">
        <w:rPr>
          <w:rFonts w:ascii="Palatino Linotype" w:eastAsia="Palatino Linotype" w:hAnsi="Palatino Linotype" w:cs="Palatino Linotype"/>
          <w:i/>
          <w:iCs/>
          <w:color w:val="000000"/>
        </w:rPr>
        <w:lastRenderedPageBreak/>
        <w:t>Que se trate de información registrada en cualquier soporte documental, que en ejercicio de las atribuciones conferidas, se encuentre en posesión de los Sujetos Obligados.”</w:t>
      </w:r>
    </w:p>
    <w:p w:rsidR="00812A60" w:rsidRPr="007B729D" w:rsidRDefault="00812A60">
      <w:pPr>
        <w:tabs>
          <w:tab w:val="left" w:pos="426"/>
          <w:tab w:val="left" w:pos="567"/>
        </w:tabs>
        <w:ind w:right="565"/>
        <w:jc w:val="both"/>
        <w:rPr>
          <w:rFonts w:ascii="Palatino Linotype" w:eastAsia="Palatino Linotype" w:hAnsi="Palatino Linotype" w:cs="Palatino Linotype"/>
          <w:i/>
          <w:iCs/>
          <w:color w:val="000000"/>
        </w:rPr>
      </w:pPr>
    </w:p>
    <w:p w:rsidR="00812A60" w:rsidRPr="007B729D" w:rsidRDefault="00D00BB4">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bCs/>
          <w:color w:val="000000"/>
        </w:rPr>
      </w:pPr>
      <w:r w:rsidRPr="007B729D">
        <w:rPr>
          <w:rFonts w:ascii="Palatino Linotype" w:eastAsia="Palatino Linotype" w:hAnsi="Palatino Linotype" w:cs="Palatino Linotype"/>
          <w:b/>
          <w:bCs/>
          <w:color w:val="000000"/>
        </w:rPr>
        <w:t>QUINTO. VERSIÓN PÚBLICA.</w:t>
      </w:r>
    </w:p>
    <w:p w:rsidR="00812A60" w:rsidRPr="007B729D" w:rsidRDefault="00D00BB4">
      <w:pPr>
        <w:keepNext/>
        <w:keepLines/>
        <w:numPr>
          <w:ilvl w:val="0"/>
          <w:numId w:val="5"/>
        </w:numPr>
        <w:spacing w:line="360" w:lineRule="auto"/>
        <w:ind w:left="284" w:firstLine="0"/>
        <w:rPr>
          <w:rFonts w:ascii="Palatino Linotype" w:eastAsia="Palatino Linotype" w:hAnsi="Palatino Linotype" w:cs="Palatino Linotype"/>
          <w:b/>
          <w:bCs/>
          <w:color w:val="000000"/>
        </w:rPr>
      </w:pPr>
      <w:r w:rsidRPr="007B729D">
        <w:rPr>
          <w:rFonts w:ascii="Palatino Linotype" w:eastAsia="Palatino Linotype" w:hAnsi="Palatino Linotype" w:cs="Palatino Linotype"/>
          <w:b/>
          <w:bCs/>
          <w:color w:val="000000"/>
        </w:rPr>
        <w:t xml:space="preserve">Nociones generales. </w:t>
      </w:r>
    </w:p>
    <w:p w:rsidR="00812A60" w:rsidRPr="007B729D" w:rsidRDefault="00D00BB4" w:rsidP="007B729D">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Debe destacarse que, debido a la naturaleza de la información solicitada</w:t>
      </w:r>
      <w:r w:rsidRPr="007B729D">
        <w:rPr>
          <w:rFonts w:ascii="Palatino Linotype" w:eastAsia="Palatino Linotype" w:hAnsi="Palatino Linotype" w:cs="Palatino Linotype"/>
          <w:b/>
          <w:bCs/>
          <w:color w:val="000000"/>
        </w:rPr>
        <w:t xml:space="preserve">, </w:t>
      </w:r>
      <w:r w:rsidRPr="007B729D">
        <w:rPr>
          <w:rFonts w:ascii="Palatino Linotype" w:eastAsia="Palatino Linotype" w:hAnsi="Palatino Linotype" w:cs="Palatino Linotype"/>
          <w:color w:val="000000"/>
        </w:rPr>
        <w:t xml:space="preserve">eventualmente pudiera obrar datos personales susceptibles de protegerse, el </w:t>
      </w:r>
      <w:r w:rsidRPr="007B729D">
        <w:rPr>
          <w:rFonts w:ascii="Palatino Linotype" w:eastAsia="Palatino Linotype" w:hAnsi="Palatino Linotype" w:cs="Palatino Linotype"/>
          <w:b/>
          <w:bCs/>
          <w:color w:val="000000"/>
        </w:rPr>
        <w:t xml:space="preserve">SUJETO OBLIGADO </w:t>
      </w:r>
      <w:r w:rsidRPr="007B729D">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812A60" w:rsidRPr="007B729D" w:rsidRDefault="00812A60" w:rsidP="007B729D">
      <w:pPr>
        <w:pBdr>
          <w:top w:val="nil"/>
          <w:left w:val="nil"/>
          <w:bottom w:val="nil"/>
          <w:right w:val="nil"/>
          <w:between w:val="nil"/>
        </w:pBdr>
        <w:spacing w:line="360" w:lineRule="auto"/>
        <w:ind w:right="-29"/>
        <w:jc w:val="both"/>
        <w:rPr>
          <w:rFonts w:ascii="Palatino Linotype" w:eastAsia="Palatino Linotype" w:hAnsi="Palatino Linotype" w:cs="Palatino Linotype"/>
          <w:color w:val="000000"/>
        </w:rPr>
      </w:pPr>
    </w:p>
    <w:p w:rsidR="00812A60" w:rsidRPr="007B729D" w:rsidRDefault="00D00BB4" w:rsidP="007B729D">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No pasa desapercibido para este Órgano Garante que los Sujetos Obligados</w:t>
      </w:r>
      <w:r w:rsidRPr="007B729D">
        <w:rPr>
          <w:rFonts w:ascii="Palatino Linotype" w:eastAsia="Palatino Linotype" w:hAnsi="Palatino Linotype" w:cs="Palatino Linotype"/>
          <w:b/>
          <w:bCs/>
          <w:color w:val="000000"/>
        </w:rPr>
        <w:t xml:space="preserve"> </w:t>
      </w:r>
      <w:r w:rsidRPr="007B729D">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12A60" w:rsidRPr="007B729D" w:rsidRDefault="00812A60" w:rsidP="007B729D">
      <w:pPr>
        <w:pBdr>
          <w:top w:val="nil"/>
          <w:left w:val="nil"/>
          <w:bottom w:val="nil"/>
          <w:right w:val="nil"/>
          <w:between w:val="nil"/>
        </w:pBdr>
        <w:spacing w:line="360" w:lineRule="auto"/>
        <w:ind w:right="-29"/>
        <w:jc w:val="both"/>
        <w:rPr>
          <w:rFonts w:ascii="Palatino Linotype" w:eastAsia="Palatino Linotype" w:hAnsi="Palatino Linotype" w:cs="Palatino Linotype"/>
          <w:color w:val="000000"/>
        </w:rPr>
      </w:pPr>
    </w:p>
    <w:tbl>
      <w:tblPr>
        <w:tblStyle w:val="af3"/>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371"/>
      </w:tblGrid>
      <w:tr w:rsidR="00812A60" w:rsidRPr="007B729D" w:rsidTr="007B729D">
        <w:tc>
          <w:tcPr>
            <w:tcW w:w="2547" w:type="dxa"/>
          </w:tcPr>
          <w:p w:rsidR="00812A60" w:rsidRPr="007B729D" w:rsidRDefault="00D00BB4" w:rsidP="007B729D">
            <w:pPr>
              <w:rPr>
                <w:rFonts w:ascii="Palatino Linotype" w:eastAsia="Palatino Linotype" w:hAnsi="Palatino Linotype" w:cs="Palatino Linotype"/>
              </w:rPr>
            </w:pPr>
            <w:r w:rsidRPr="007B729D">
              <w:rPr>
                <w:rFonts w:ascii="Palatino Linotype" w:eastAsia="Palatino Linotype" w:hAnsi="Palatino Linotype" w:cs="Palatino Linotype"/>
              </w:rPr>
              <w:t>a) Requisitos previos.</w:t>
            </w:r>
          </w:p>
        </w:tc>
        <w:tc>
          <w:tcPr>
            <w:tcW w:w="7371" w:type="dxa"/>
          </w:tcPr>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812A60" w:rsidRPr="007B729D" w:rsidRDefault="00D00BB4" w:rsidP="007B729D">
            <w:pPr>
              <w:jc w:val="both"/>
              <w:rPr>
                <w:rFonts w:ascii="Palatino Linotype" w:eastAsia="Palatino Linotype" w:hAnsi="Palatino Linotype" w:cs="Palatino Linotype"/>
              </w:rPr>
            </w:pPr>
            <w:r w:rsidRPr="007B729D">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7B729D">
              <w:rPr>
                <w:rFonts w:ascii="Palatino Linotype" w:eastAsia="Palatino Linotype" w:hAnsi="Palatino Linotype" w:cs="Palatino Linotype"/>
                <w:color w:val="000000"/>
                <w:u w:val="single"/>
              </w:rPr>
              <w:t xml:space="preserve">no se puede hacer un acuerdo para clasificar de manera general todos los </w:t>
            </w:r>
            <w:r w:rsidRPr="007B729D">
              <w:rPr>
                <w:rFonts w:ascii="Palatino Linotype" w:eastAsia="Palatino Linotype" w:hAnsi="Palatino Linotype" w:cs="Palatino Linotype"/>
                <w:color w:val="000000"/>
                <w:u w:val="single"/>
              </w:rPr>
              <w:lastRenderedPageBreak/>
              <w:t>documentos de un expediente o área, sin</w:t>
            </w:r>
            <w:r w:rsidRPr="007B729D">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812A60" w:rsidRPr="007B729D" w:rsidTr="007B729D">
        <w:tc>
          <w:tcPr>
            <w:tcW w:w="2547" w:type="dxa"/>
          </w:tcPr>
          <w:p w:rsidR="00812A60" w:rsidRPr="007B729D" w:rsidRDefault="00D00BB4" w:rsidP="007B729D">
            <w:pPr>
              <w:rPr>
                <w:rFonts w:ascii="Palatino Linotype" w:eastAsia="Palatino Linotype" w:hAnsi="Palatino Linotype" w:cs="Palatino Linotype"/>
              </w:rPr>
            </w:pPr>
            <w:r w:rsidRPr="007B729D">
              <w:rPr>
                <w:rFonts w:ascii="Palatino Linotype" w:eastAsia="Palatino Linotype" w:hAnsi="Palatino Linotype" w:cs="Palatino Linotype"/>
              </w:rPr>
              <w:lastRenderedPageBreak/>
              <w:t>b) Supuestos de clasificación.</w:t>
            </w:r>
          </w:p>
        </w:tc>
        <w:tc>
          <w:tcPr>
            <w:tcW w:w="7371" w:type="dxa"/>
          </w:tcPr>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12A60" w:rsidRPr="007B729D" w:rsidRDefault="00D00BB4" w:rsidP="007B729D">
            <w:pPr>
              <w:jc w:val="both"/>
              <w:rPr>
                <w:rFonts w:ascii="Palatino Linotype" w:eastAsia="Palatino Linotype" w:hAnsi="Palatino Linotype" w:cs="Palatino Linotype"/>
              </w:rPr>
            </w:pPr>
            <w:r w:rsidRPr="007B729D">
              <w:rPr>
                <w:rFonts w:ascii="Palatino Linotype" w:eastAsia="Palatino Linotype" w:hAnsi="Palatino Linotype" w:cs="Palatino Linotype"/>
                <w:color w:val="000000"/>
              </w:rPr>
              <w:t xml:space="preserve">El </w:t>
            </w:r>
            <w:r w:rsidRPr="007B729D">
              <w:rPr>
                <w:rFonts w:ascii="Palatino Linotype" w:eastAsia="Palatino Linotype" w:hAnsi="Palatino Linotype" w:cs="Palatino Linotype"/>
                <w:b/>
                <w:bCs/>
                <w:color w:val="000000"/>
              </w:rPr>
              <w:t>Sujeto Obligado</w:t>
            </w:r>
            <w:r w:rsidRPr="007B729D">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12A60" w:rsidRPr="007B729D" w:rsidTr="007B729D">
        <w:tc>
          <w:tcPr>
            <w:tcW w:w="2547" w:type="dxa"/>
          </w:tcPr>
          <w:p w:rsidR="00812A60" w:rsidRPr="007B729D" w:rsidRDefault="00D00BB4" w:rsidP="007B729D">
            <w:pPr>
              <w:rPr>
                <w:rFonts w:ascii="Palatino Linotype" w:eastAsia="Palatino Linotype" w:hAnsi="Palatino Linotype" w:cs="Palatino Linotype"/>
              </w:rPr>
            </w:pPr>
            <w:r w:rsidRPr="007B729D">
              <w:rPr>
                <w:rFonts w:ascii="Palatino Linotype" w:eastAsia="Palatino Linotype" w:hAnsi="Palatino Linotype" w:cs="Palatino Linotype"/>
              </w:rPr>
              <w:t>c) Formalidades para emitir el acuerdo de clasificación.</w:t>
            </w:r>
          </w:p>
        </w:tc>
        <w:tc>
          <w:tcPr>
            <w:tcW w:w="7371" w:type="dxa"/>
          </w:tcPr>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Es necesario que </w:t>
            </w:r>
            <w:r w:rsidRPr="007B729D">
              <w:rPr>
                <w:rFonts w:ascii="Palatino Linotype" w:eastAsia="Palatino Linotype" w:hAnsi="Palatino Linotype" w:cs="Palatino Linotype"/>
                <w:b/>
                <w:bCs/>
                <w:color w:val="000000"/>
                <w:u w:val="single"/>
              </w:rPr>
              <w:t>el acto reúna con los requisitos elementales</w:t>
            </w:r>
            <w:r w:rsidRPr="007B729D">
              <w:rPr>
                <w:rFonts w:ascii="Palatino Linotype" w:eastAsia="Palatino Linotype" w:hAnsi="Palatino Linotype" w:cs="Palatino Linotype"/>
                <w:color w:val="000000"/>
              </w:rPr>
              <w:t>, entre ellos, que la autoridad que va a emitir el acto de autoridad sea la legalmente facultada para ello.</w:t>
            </w:r>
          </w:p>
          <w:p w:rsidR="00812A60" w:rsidRPr="007B729D" w:rsidRDefault="00D00BB4" w:rsidP="007B729D">
            <w:pPr>
              <w:jc w:val="both"/>
              <w:rPr>
                <w:rFonts w:ascii="Palatino Linotype" w:eastAsia="Palatino Linotype" w:hAnsi="Palatino Linotype" w:cs="Palatino Linotype"/>
              </w:rPr>
            </w:pPr>
            <w:r w:rsidRPr="007B729D">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12A60" w:rsidRPr="007B729D" w:rsidTr="007B729D">
        <w:tc>
          <w:tcPr>
            <w:tcW w:w="2547" w:type="dxa"/>
          </w:tcPr>
          <w:p w:rsidR="00812A60" w:rsidRPr="007B729D" w:rsidRDefault="00812A60" w:rsidP="007B729D">
            <w:pPr>
              <w:rPr>
                <w:rFonts w:ascii="Palatino Linotype" w:eastAsia="Palatino Linotype" w:hAnsi="Palatino Linotype" w:cs="Palatino Linotype"/>
              </w:rPr>
            </w:pPr>
          </w:p>
          <w:p w:rsidR="00812A60" w:rsidRPr="007B729D" w:rsidRDefault="00D00BB4" w:rsidP="007B729D">
            <w:pPr>
              <w:jc w:val="both"/>
              <w:rPr>
                <w:rFonts w:ascii="Palatino Linotype" w:eastAsia="Palatino Linotype" w:hAnsi="Palatino Linotype" w:cs="Palatino Linotype"/>
              </w:rPr>
            </w:pPr>
            <w:r w:rsidRPr="007B729D">
              <w:rPr>
                <w:rFonts w:ascii="Palatino Linotype" w:eastAsia="Palatino Linotype" w:hAnsi="Palatino Linotype" w:cs="Palatino Linotype"/>
                <w:color w:val="000000"/>
              </w:rPr>
              <w:lastRenderedPageBreak/>
              <w:t xml:space="preserve">d) Requisitos de fondo del acuerdo de clasificación. </w:t>
            </w:r>
          </w:p>
        </w:tc>
        <w:tc>
          <w:tcPr>
            <w:tcW w:w="7371" w:type="dxa"/>
          </w:tcPr>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debe acreditar </w:t>
            </w:r>
            <w:r w:rsidRPr="007B729D">
              <w:rPr>
                <w:rFonts w:ascii="Palatino Linotype" w:eastAsia="Palatino Linotype" w:hAnsi="Palatino Linotype" w:cs="Palatino Linotype"/>
                <w:color w:val="000000"/>
              </w:rPr>
              <w:lastRenderedPageBreak/>
              <w:t xml:space="preserve">la estricta correspondencia entre un elemento y otro. Ahora, en esta parte del procedimiento, que se desahoga en sede del Comité de Transparencia, la ley señala que la carga de la prueba, para justificar las restricciones, corresponde a los </w:t>
            </w:r>
            <w:r w:rsidRPr="007B729D">
              <w:rPr>
                <w:rFonts w:ascii="Palatino Linotype" w:eastAsia="Palatino Linotype" w:hAnsi="Palatino Linotype" w:cs="Palatino Linotype"/>
                <w:b/>
                <w:bCs/>
                <w:color w:val="000000"/>
              </w:rPr>
              <w:t>Sujetos Obligados</w:t>
            </w:r>
            <w:r w:rsidRPr="007B729D">
              <w:rPr>
                <w:rFonts w:ascii="Palatino Linotype" w:eastAsia="Palatino Linotype" w:hAnsi="Palatino Linotype" w:cs="Palatino Linotype"/>
                <w:color w:val="000000"/>
              </w:rPr>
              <w:t xml:space="preserve">, por lo que deberán fundar y motivar debidamente la clasificación. </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De lo anterior, se desprende que para una correcta </w:t>
            </w:r>
            <w:r w:rsidRPr="007B729D">
              <w:rPr>
                <w:rFonts w:ascii="Palatino Linotype" w:eastAsia="Palatino Linotype" w:hAnsi="Palatino Linotype" w:cs="Palatino Linotype"/>
                <w:b/>
                <w:bCs/>
                <w:color w:val="000000"/>
              </w:rPr>
              <w:t>clasificación total o parcial</w:t>
            </w:r>
            <w:r w:rsidRPr="007B729D">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Ahora bien, </w:t>
            </w:r>
            <w:r w:rsidRPr="007B729D">
              <w:rPr>
                <w:rFonts w:ascii="Palatino Linotype" w:eastAsia="Palatino Linotype" w:hAnsi="Palatino Linotype" w:cs="Palatino Linotype"/>
                <w:b/>
                <w:bCs/>
                <w:color w:val="000000"/>
                <w:u w:val="single"/>
              </w:rPr>
              <w:t>para cada caso además de fundar y motivar</w:t>
            </w:r>
            <w:r w:rsidRPr="007B729D">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12A60" w:rsidRPr="007B729D" w:rsidTr="007B729D">
        <w:tc>
          <w:tcPr>
            <w:tcW w:w="2547" w:type="dxa"/>
          </w:tcPr>
          <w:p w:rsidR="00812A60" w:rsidRPr="007B729D" w:rsidRDefault="00D00BB4" w:rsidP="007B729D">
            <w:pPr>
              <w:ind w:right="49"/>
              <w:jc w:val="both"/>
              <w:rPr>
                <w:rFonts w:ascii="Palatino Linotype" w:eastAsia="Palatino Linotype" w:hAnsi="Palatino Linotype" w:cs="Palatino Linotype"/>
              </w:rPr>
            </w:pPr>
            <w:r w:rsidRPr="007B729D">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812A60" w:rsidRPr="007B729D" w:rsidRDefault="00D00BB4" w:rsidP="007B729D">
            <w:pPr>
              <w:ind w:right="49"/>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w:t>
            </w:r>
            <w:r w:rsidRPr="007B729D">
              <w:rPr>
                <w:rFonts w:ascii="Palatino Linotype" w:eastAsia="Palatino Linotype" w:hAnsi="Palatino Linotype" w:cs="Palatino Linotype"/>
                <w:color w:val="000000"/>
              </w:rPr>
              <w:lastRenderedPageBreak/>
              <w:t xml:space="preserve">de la Nación, los servidores públicos nos encontramos sujetos a un régimen menor de protección. </w:t>
            </w:r>
          </w:p>
          <w:p w:rsidR="00812A60" w:rsidRPr="007B729D" w:rsidRDefault="00D00BB4" w:rsidP="007B729D">
            <w:pPr>
              <w:ind w:right="49"/>
              <w:rPr>
                <w:rFonts w:ascii="Palatino Linotype" w:eastAsia="Palatino Linotype" w:hAnsi="Palatino Linotype" w:cs="Palatino Linotype"/>
              </w:rPr>
            </w:pPr>
            <w:r w:rsidRPr="007B729D">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12A60" w:rsidRPr="007B729D" w:rsidRDefault="00812A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812A60" w:rsidRPr="007B729D" w:rsidRDefault="00812A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12A60" w:rsidRPr="007B729D" w:rsidRDefault="00D00BB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b/>
          <w:bCs/>
          <w:color w:val="000000"/>
        </w:rPr>
        <w:t xml:space="preserve">SEXTO. </w:t>
      </w:r>
      <w:r w:rsidRPr="007B729D">
        <w:rPr>
          <w:rFonts w:ascii="Palatino Linotype" w:eastAsia="Palatino Linotype" w:hAnsi="Palatino Linotype" w:cs="Palatino Linotype"/>
          <w:b/>
          <w:bCs/>
        </w:rPr>
        <w:t>Vista a la Dirección de Protección de Datos Personales.</w:t>
      </w: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Es </w:t>
      </w:r>
      <w:r w:rsidRPr="007B729D">
        <w:rPr>
          <w:rFonts w:ascii="Palatino Linotype" w:eastAsia="Palatino Linotype" w:hAnsi="Palatino Linotype" w:cs="Palatino Linotype"/>
        </w:rPr>
        <w:t xml:space="preserve">necesario resaltar que el recurso de revisión previsto en la Ley de la materia no es el medio para investigar y, en su caso, sancionar a servidores públicos por la falta de cuidado de la protección de datos personales; es así que, </w:t>
      </w:r>
      <w:r w:rsidRPr="007B729D">
        <w:rPr>
          <w:rFonts w:ascii="Palatino Linotype" w:eastAsia="Palatino Linotype" w:hAnsi="Palatino Linotype" w:cs="Palatino Linotype"/>
          <w:u w:val="single"/>
        </w:rPr>
        <w:t>con el pronunciamiento realizado en respuesta a solicitud de información, se aprecia que se vulneraron datos personales susceptibles de ser clasificados como confidenciales, de manera enunciativa más no limitativa, la edad y la fecha de nacimiento de una servidora pública;</w:t>
      </w:r>
      <w:r w:rsidRPr="007B729D">
        <w:rPr>
          <w:rFonts w:ascii="Palatino Linotype" w:eastAsia="Palatino Linotype" w:hAnsi="Palatino Linotype" w:cs="Palatino Linotype"/>
        </w:rPr>
        <w:t xml:space="preserve"> por lo que, es necesario dar vista al área competente para que en ejercicio de sus atribuciones realice las investigaciones pertinentes por las omisiones detectadas atribuibles al </w:t>
      </w:r>
      <w:r w:rsidRPr="007B729D">
        <w:rPr>
          <w:rFonts w:ascii="Palatino Linotype" w:eastAsia="Palatino Linotype" w:hAnsi="Palatino Linotype" w:cs="Palatino Linotype"/>
          <w:b/>
          <w:bCs/>
        </w:rPr>
        <w:t>SUJETO OBLIGADO.</w:t>
      </w:r>
    </w:p>
    <w:p w:rsidR="00812A60" w:rsidRPr="007B729D" w:rsidRDefault="00812A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12A60" w:rsidRPr="007B729D" w:rsidRDefault="00D00BB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B729D">
        <w:rPr>
          <w:rFonts w:ascii="Palatino Linotype" w:eastAsia="Palatino Linotype" w:hAnsi="Palatino Linotype" w:cs="Palatino Linotype"/>
          <w:color w:val="000000"/>
        </w:rPr>
        <w:t xml:space="preserve">Por </w:t>
      </w:r>
      <w:r w:rsidRPr="007B729D">
        <w:rPr>
          <w:rFonts w:ascii="Palatino Linotype" w:eastAsia="Palatino Linotype" w:hAnsi="Palatino Linotype" w:cs="Palatino Linotype"/>
        </w:rPr>
        <w:t>ello, es conveniente señalar las fracciones XIV, XXII, XXIII y XXV, del artículo 82, de la Ley de Protección de Datos Personales en Posesión de Sujetos Obligados del Estado de México y Municipios, que establece:</w:t>
      </w:r>
    </w:p>
    <w:p w:rsidR="00812A60" w:rsidRPr="007B729D" w:rsidRDefault="00812A60">
      <w:pPr>
        <w:ind w:right="-28"/>
        <w:jc w:val="both"/>
        <w:rPr>
          <w:rFonts w:ascii="Palatino Linotype" w:eastAsia="Palatino Linotype" w:hAnsi="Palatino Linotype" w:cs="Palatino Linotype"/>
        </w:rPr>
      </w:pPr>
    </w:p>
    <w:p w:rsidR="00812A60" w:rsidRPr="007B729D" w:rsidRDefault="00D00BB4">
      <w:pPr>
        <w:tabs>
          <w:tab w:val="left" w:pos="426"/>
        </w:tabs>
        <w:ind w:left="567" w:right="539"/>
        <w:jc w:val="both"/>
        <w:rPr>
          <w:rFonts w:ascii="Palatino Linotype" w:eastAsia="Palatino Linotype" w:hAnsi="Palatino Linotype" w:cs="Palatino Linotype"/>
          <w:b/>
          <w:bCs/>
          <w:i/>
          <w:iCs/>
        </w:rPr>
      </w:pPr>
      <w:r w:rsidRPr="007B729D">
        <w:rPr>
          <w:rFonts w:ascii="Palatino Linotype" w:eastAsia="Palatino Linotype" w:hAnsi="Palatino Linotype" w:cs="Palatino Linotype"/>
          <w:b/>
          <w:bCs/>
          <w:i/>
          <w:iCs/>
        </w:rPr>
        <w:lastRenderedPageBreak/>
        <w:t xml:space="preserve">Atribuciones del Instituto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“Artículo 82.</w:t>
      </w:r>
      <w:r w:rsidRPr="007B729D">
        <w:rPr>
          <w:rFonts w:ascii="Palatino Linotype" w:eastAsia="Palatino Linotype" w:hAnsi="Palatino Linotype" w:cs="Palatino Linotype"/>
          <w:i/>
          <w:iCs/>
        </w:rPr>
        <w:t xml:space="preserve"> El Instituto, además de las atribuciones encomendadas por la Ley de Transparencia y normatividad aplicable, tendrá las atribuciones siguientes: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XIV. Formular observaciones y recomendaciones</w:t>
      </w:r>
      <w:r w:rsidRPr="007B729D">
        <w:rPr>
          <w:rFonts w:ascii="Palatino Linotype" w:eastAsia="Palatino Linotype" w:hAnsi="Palatino Linotype" w:cs="Palatino Linotype"/>
          <w:i/>
          <w:iCs/>
        </w:rPr>
        <w:t xml:space="preserve"> a los sujetos obligados que incumplan esta Ley.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XXII. Verificar el cumplimiento</w:t>
      </w:r>
      <w:r w:rsidRPr="007B729D">
        <w:rPr>
          <w:rFonts w:ascii="Palatino Linotype" w:eastAsia="Palatino Linotype" w:hAnsi="Palatino Linotype" w:cs="Palatino Linotype"/>
          <w:i/>
          <w:iCs/>
        </w:rPr>
        <w:t xml:space="preserve"> de las disposiciones previstas en esta Ley a través de los procedimientos de revisión que resulten compatibles con las disposiciones de esta Ley.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XXIII. Implementar los procedimientos</w:t>
      </w:r>
      <w:r w:rsidRPr="007B729D">
        <w:rPr>
          <w:rFonts w:ascii="Palatino Linotype" w:eastAsia="Palatino Linotype" w:hAnsi="Palatino Linotype" w:cs="Palatino Linotype"/>
          <w:i/>
          <w:iCs/>
        </w:rPr>
        <w:t xml:space="preserve"> que resulten necesarios para el cumplimiento de las disposiciones de esta Ley y para asegurar la protección de datos personales de los titulares.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b/>
          <w:bCs/>
          <w:i/>
          <w:iCs/>
        </w:rPr>
        <w:t>XXV. Investigar las posibles violaciones</w:t>
      </w:r>
      <w:r w:rsidRPr="007B729D">
        <w:rPr>
          <w:rFonts w:ascii="Palatino Linotype" w:eastAsia="Palatino Linotype" w:hAnsi="Palatino Linotype" w:cs="Palatino Linotype"/>
          <w:i/>
          <w:iCs/>
        </w:rPr>
        <w:t xml:space="preserve"> a la seguridad de los datos personales a fin de determinar la práctica de verificaciones. </w:t>
      </w:r>
    </w:p>
    <w:p w:rsidR="00812A60" w:rsidRPr="007B729D" w:rsidRDefault="00D00BB4">
      <w:pPr>
        <w:tabs>
          <w:tab w:val="left" w:pos="426"/>
        </w:tabs>
        <w:ind w:left="567" w:right="539"/>
        <w:jc w:val="both"/>
        <w:rPr>
          <w:rFonts w:ascii="Palatino Linotype" w:eastAsia="Palatino Linotype" w:hAnsi="Palatino Linotype" w:cs="Palatino Linotype"/>
          <w:i/>
          <w:iCs/>
        </w:rPr>
      </w:pPr>
      <w:r w:rsidRPr="007B729D">
        <w:rPr>
          <w:rFonts w:ascii="Palatino Linotype" w:eastAsia="Palatino Linotype" w:hAnsi="Palatino Linotype" w:cs="Palatino Linotype"/>
          <w:i/>
          <w:iCs/>
        </w:rPr>
        <w:t xml:space="preserve">(…)” </w:t>
      </w:r>
    </w:p>
    <w:p w:rsidR="00812A60" w:rsidRPr="007B729D" w:rsidRDefault="00812A60">
      <w:pPr>
        <w:spacing w:line="360" w:lineRule="auto"/>
        <w:ind w:right="-28"/>
        <w:jc w:val="both"/>
        <w:rPr>
          <w:rFonts w:ascii="Palatino Linotype" w:eastAsia="Palatino Linotype" w:hAnsi="Palatino Linotype" w:cs="Palatino Linotype"/>
          <w:i/>
          <w:iCs/>
        </w:rPr>
      </w:pPr>
    </w:p>
    <w:p w:rsidR="00812A60" w:rsidRPr="007B729D" w:rsidRDefault="00D00BB4">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i/>
          <w:iCs/>
          <w:color w:val="000000"/>
        </w:rPr>
      </w:pPr>
      <w:r w:rsidRPr="007B729D">
        <w:rPr>
          <w:rFonts w:ascii="Palatino Linotype" w:eastAsia="Palatino Linotype" w:hAnsi="Palatino Linotype" w:cs="Palatino Linotype"/>
          <w:color w:val="000000"/>
        </w:rPr>
        <w:t xml:space="preserve">Por 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 </w:t>
      </w:r>
    </w:p>
    <w:p w:rsidR="00812A60" w:rsidRPr="007B729D" w:rsidRDefault="00812A60">
      <w:pPr>
        <w:spacing w:line="360" w:lineRule="auto"/>
        <w:ind w:right="-28"/>
        <w:jc w:val="both"/>
        <w:rPr>
          <w:rFonts w:ascii="Palatino Linotype" w:eastAsia="Palatino Linotype" w:hAnsi="Palatino Linotype" w:cs="Palatino Linotype"/>
          <w:i/>
          <w:iCs/>
        </w:rPr>
      </w:pPr>
    </w:p>
    <w:p w:rsidR="00812A60" w:rsidRPr="007B729D" w:rsidRDefault="00D00BB4">
      <w:pPr>
        <w:numPr>
          <w:ilvl w:val="0"/>
          <w:numId w:val="1"/>
        </w:numPr>
        <w:spacing w:line="360" w:lineRule="auto"/>
        <w:ind w:left="0" w:right="-28" w:firstLine="0"/>
        <w:jc w:val="both"/>
        <w:rPr>
          <w:rFonts w:ascii="Palatino Linotype" w:eastAsia="Palatino Linotype" w:hAnsi="Palatino Linotype" w:cs="Palatino Linotype"/>
          <w:i/>
          <w:iCs/>
        </w:rPr>
      </w:pPr>
      <w:r w:rsidRPr="007B729D">
        <w:rPr>
          <w:rFonts w:ascii="Palatino Linotype" w:eastAsia="Palatino Linotype" w:hAnsi="Palatino Linotype" w:cs="Palatino Linotype"/>
        </w:rPr>
        <w:t xml:space="preserve">Por último y no menos importante, se debe enfatizar que tal y como se mencionó en este considerando,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realizó un pronunciamiento que debió ser clasificado como confidencial. Por dicha información, es menester hacer del conocimiento de la persona que solicitó la información, que ahora se encuentra sujeto a la </w:t>
      </w:r>
      <w:r w:rsidRPr="007B729D">
        <w:rPr>
          <w:rFonts w:ascii="Palatino Linotype" w:eastAsia="Palatino Linotype" w:hAnsi="Palatino Linotype" w:cs="Palatino Linotype"/>
          <w:b/>
          <w:bCs/>
        </w:rPr>
        <w:t>LEY FEDERAL DE PROTECCIÓN DE DATOS PERSONALES EN POSESIÓN DE LOS PARTICULARES</w:t>
      </w:r>
      <w:r w:rsidRPr="007B729D">
        <w:rPr>
          <w:rFonts w:ascii="Palatino Linotype" w:eastAsia="Palatino Linotype" w:hAnsi="Palatino Linotype" w:cs="Palatino Linotype"/>
        </w:rPr>
        <w:t xml:space="preserve"> que señala puntualmente en su artículo lo siguiente: </w:t>
      </w:r>
    </w:p>
    <w:p w:rsidR="00812A60" w:rsidRPr="007B729D" w:rsidRDefault="00812A60">
      <w:pPr>
        <w:tabs>
          <w:tab w:val="left" w:pos="567"/>
        </w:tabs>
        <w:spacing w:line="360" w:lineRule="auto"/>
        <w:jc w:val="both"/>
        <w:rPr>
          <w:rFonts w:ascii="Palatino Linotype" w:eastAsia="Palatino Linotype" w:hAnsi="Palatino Linotype" w:cs="Palatino Linotype"/>
          <w:b/>
          <w:bCs/>
          <w:i/>
          <w:iCs/>
        </w:rPr>
      </w:pPr>
    </w:p>
    <w:p w:rsidR="00812A60" w:rsidRPr="007B729D" w:rsidRDefault="00D00BB4">
      <w:pPr>
        <w:ind w:left="567" w:right="538"/>
        <w:jc w:val="both"/>
        <w:rPr>
          <w:rFonts w:ascii="Palatino Linotype" w:eastAsia="Palatino Linotype" w:hAnsi="Palatino Linotype" w:cs="Palatino Linotype"/>
          <w:b/>
          <w:bCs/>
        </w:rPr>
      </w:pPr>
      <w:r w:rsidRPr="007B729D">
        <w:rPr>
          <w:rFonts w:ascii="Palatino Linotype" w:eastAsia="Palatino Linotype" w:hAnsi="Palatino Linotype" w:cs="Palatino Linotype"/>
          <w:b/>
          <w:bCs/>
          <w:i/>
          <w:iCs/>
        </w:rPr>
        <w:lastRenderedPageBreak/>
        <w:t>“Artículo 1.-</w:t>
      </w:r>
      <w:r w:rsidRPr="007B729D">
        <w:rPr>
          <w:rFonts w:ascii="Palatino Linotype" w:eastAsia="Palatino Linotype" w:hAnsi="Palatino Linotype" w:cs="Palatino Linotype"/>
          <w:i/>
          <w:iCs/>
        </w:rPr>
        <w:t xml:space="preserve">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rsidR="00812A60" w:rsidRPr="007B729D" w:rsidRDefault="00812A60">
      <w:pPr>
        <w:spacing w:line="360" w:lineRule="auto"/>
        <w:jc w:val="both"/>
        <w:rPr>
          <w:rFonts w:ascii="Palatino Linotype" w:eastAsia="Palatino Linotype" w:hAnsi="Palatino Linotype" w:cs="Palatino Linotype"/>
          <w:b/>
          <w:bCs/>
        </w:rPr>
      </w:pPr>
    </w:p>
    <w:p w:rsidR="00812A60" w:rsidRPr="007B729D" w:rsidRDefault="00D00BB4">
      <w:pPr>
        <w:numPr>
          <w:ilvl w:val="0"/>
          <w:numId w:val="1"/>
        </w:numPr>
        <w:spacing w:line="360" w:lineRule="auto"/>
        <w:ind w:left="0" w:firstLine="0"/>
        <w:jc w:val="both"/>
        <w:rPr>
          <w:rFonts w:ascii="Palatino Linotype" w:eastAsia="Palatino Linotype" w:hAnsi="Palatino Linotype" w:cs="Palatino Linotype"/>
          <w:b/>
          <w:bCs/>
        </w:rPr>
      </w:pPr>
      <w:r w:rsidRPr="007B729D">
        <w:rPr>
          <w:rFonts w:ascii="Palatino Linotype" w:eastAsia="Palatino Linotype" w:hAnsi="Palatino Linotype" w:cs="Palatino Linotype"/>
          <w:color w:val="222222"/>
        </w:rPr>
        <w:t xml:space="preserve">Por lo anteriormente expuesto y fundado, este </w:t>
      </w:r>
      <w:r w:rsidRPr="007B729D">
        <w:rPr>
          <w:rFonts w:ascii="Palatino Linotype" w:eastAsia="Palatino Linotype" w:hAnsi="Palatino Linotype" w:cs="Palatino Linotype"/>
          <w:b/>
          <w:bCs/>
          <w:color w:val="222222"/>
        </w:rPr>
        <w:t>ÓRGANO GARANTE</w:t>
      </w:r>
      <w:r w:rsidRPr="007B729D">
        <w:rPr>
          <w:rFonts w:ascii="Palatino Linotype" w:eastAsia="Palatino Linotype" w:hAnsi="Palatino Linotype" w:cs="Palatino Linotype"/>
          <w:color w:val="222222"/>
        </w:rPr>
        <w:t xml:space="preserve"> emite los siguientes:</w:t>
      </w:r>
    </w:p>
    <w:p w:rsidR="00812A60" w:rsidRPr="007B729D" w:rsidRDefault="00812A60">
      <w:pPr>
        <w:spacing w:line="360" w:lineRule="auto"/>
        <w:ind w:right="-592"/>
        <w:jc w:val="both"/>
        <w:rPr>
          <w:rFonts w:ascii="Palatino Linotype" w:eastAsia="Palatino Linotype" w:hAnsi="Palatino Linotype" w:cs="Palatino Linotype"/>
          <w:b/>
          <w:bCs/>
        </w:rPr>
      </w:pPr>
    </w:p>
    <w:p w:rsidR="00812A60" w:rsidRPr="007B729D" w:rsidRDefault="00D00BB4">
      <w:pPr>
        <w:keepNext/>
        <w:keepLines/>
        <w:spacing w:line="360" w:lineRule="auto"/>
        <w:ind w:right="-592"/>
        <w:jc w:val="center"/>
        <w:rPr>
          <w:rFonts w:ascii="Palatino Linotype" w:eastAsia="Palatino Linotype" w:hAnsi="Palatino Linotype" w:cs="Palatino Linotype"/>
          <w:b/>
          <w:bCs/>
          <w:color w:val="000000"/>
        </w:rPr>
      </w:pPr>
      <w:bookmarkStart w:id="7" w:name="_heading=h.ili7lk47j2e1" w:colFirst="0" w:colLast="0"/>
      <w:bookmarkEnd w:id="7"/>
      <w:r w:rsidRPr="007B729D">
        <w:rPr>
          <w:rFonts w:ascii="Palatino Linotype" w:eastAsia="Palatino Linotype" w:hAnsi="Palatino Linotype" w:cs="Palatino Linotype"/>
          <w:b/>
          <w:bCs/>
          <w:color w:val="000000"/>
        </w:rPr>
        <w:t>R E S O L U T I V O S</w:t>
      </w:r>
    </w:p>
    <w:p w:rsidR="00812A60" w:rsidRPr="007B729D" w:rsidRDefault="00812A60">
      <w:pPr>
        <w:keepNext/>
        <w:keepLines/>
        <w:spacing w:line="360" w:lineRule="auto"/>
        <w:ind w:right="-592"/>
        <w:jc w:val="center"/>
        <w:rPr>
          <w:rFonts w:ascii="Palatino Linotype" w:eastAsia="Palatino Linotype" w:hAnsi="Palatino Linotype" w:cs="Palatino Linotype"/>
          <w:b/>
          <w:bCs/>
          <w:color w:val="000000"/>
        </w:rPr>
      </w:pPr>
    </w:p>
    <w:p w:rsidR="00812A60" w:rsidRPr="007B729D" w:rsidRDefault="00D00BB4">
      <w:pPr>
        <w:spacing w:line="360" w:lineRule="auto"/>
        <w:ind w:right="-29"/>
        <w:jc w:val="both"/>
        <w:rPr>
          <w:rFonts w:ascii="Palatino Linotype" w:eastAsia="Palatino Linotype" w:hAnsi="Palatino Linotype" w:cs="Palatino Linotype"/>
        </w:rPr>
      </w:pPr>
      <w:r w:rsidRPr="007B729D">
        <w:rPr>
          <w:rFonts w:ascii="Palatino Linotype" w:eastAsia="Palatino Linotype" w:hAnsi="Palatino Linotype" w:cs="Palatino Linotype"/>
          <w:b/>
          <w:bCs/>
        </w:rPr>
        <w:t>PRIMERO</w:t>
      </w:r>
      <w:r w:rsidRPr="007B729D">
        <w:rPr>
          <w:rFonts w:ascii="Palatino Linotype" w:eastAsia="Palatino Linotype" w:hAnsi="Palatino Linotype" w:cs="Palatino Linotype"/>
        </w:rPr>
        <w:t xml:space="preserve">. Resultan parcialmente fundadas las razones o motivos de inconformidad hechos valer en el Recursos de Revisión </w:t>
      </w:r>
      <w:r w:rsidRPr="007B729D">
        <w:rPr>
          <w:rFonts w:ascii="Palatino Linotype" w:eastAsia="Palatino Linotype" w:hAnsi="Palatino Linotype" w:cs="Palatino Linotype"/>
          <w:b/>
          <w:bCs/>
        </w:rPr>
        <w:t xml:space="preserve">08948/INFOEM/IP/RR/2025 </w:t>
      </w:r>
      <w:r w:rsidRPr="007B729D">
        <w:rPr>
          <w:rFonts w:ascii="Palatino Linotype" w:eastAsia="Palatino Linotype" w:hAnsi="Palatino Linotype" w:cs="Palatino Linotype"/>
        </w:rPr>
        <w:t xml:space="preserve">en términos del </w:t>
      </w:r>
      <w:r w:rsidRPr="007B729D">
        <w:rPr>
          <w:rFonts w:ascii="Palatino Linotype" w:eastAsia="Palatino Linotype" w:hAnsi="Palatino Linotype" w:cs="Palatino Linotype"/>
          <w:b/>
          <w:bCs/>
        </w:rPr>
        <w:t xml:space="preserve">Considerando CUARTO y QUINTO </w:t>
      </w:r>
      <w:r w:rsidRPr="007B729D">
        <w:rPr>
          <w:rFonts w:ascii="Palatino Linotype" w:eastAsia="Palatino Linotype" w:hAnsi="Palatino Linotype" w:cs="Palatino Linotype"/>
        </w:rPr>
        <w:t>de la presente resolución.</w:t>
      </w:r>
    </w:p>
    <w:p w:rsidR="00812A60" w:rsidRPr="007B729D" w:rsidRDefault="00812A60">
      <w:pPr>
        <w:spacing w:line="360" w:lineRule="auto"/>
        <w:ind w:right="-29"/>
        <w:jc w:val="both"/>
        <w:rPr>
          <w:rFonts w:ascii="Palatino Linotype" w:eastAsia="Palatino Linotype" w:hAnsi="Palatino Linotype" w:cs="Palatino Linotype"/>
        </w:rPr>
      </w:pPr>
    </w:p>
    <w:p w:rsidR="00812A60" w:rsidRPr="007B729D" w:rsidRDefault="00D00BB4">
      <w:pPr>
        <w:spacing w:line="360" w:lineRule="auto"/>
        <w:ind w:right="-29"/>
        <w:jc w:val="both"/>
        <w:rPr>
          <w:rFonts w:ascii="Palatino Linotype" w:eastAsia="Palatino Linotype" w:hAnsi="Palatino Linotype" w:cs="Palatino Linotype"/>
          <w:color w:val="000000"/>
        </w:rPr>
      </w:pPr>
      <w:bookmarkStart w:id="8" w:name="_heading=h.26in1rg" w:colFirst="0" w:colLast="0"/>
      <w:bookmarkEnd w:id="8"/>
      <w:r w:rsidRPr="007B729D">
        <w:rPr>
          <w:rFonts w:ascii="Palatino Linotype" w:eastAsia="Palatino Linotype" w:hAnsi="Palatino Linotype" w:cs="Palatino Linotype"/>
          <w:b/>
          <w:bCs/>
        </w:rPr>
        <w:t xml:space="preserve">SEGUNDO. </w:t>
      </w:r>
      <w:r w:rsidRPr="007B729D">
        <w:rPr>
          <w:rFonts w:ascii="Palatino Linotype" w:eastAsia="Palatino Linotype" w:hAnsi="Palatino Linotype" w:cs="Palatino Linotype"/>
          <w:color w:val="000000"/>
        </w:rPr>
        <w:t xml:space="preserve">Se </w:t>
      </w:r>
      <w:r w:rsidRPr="007B729D">
        <w:rPr>
          <w:rFonts w:ascii="Palatino Linotype" w:eastAsia="Palatino Linotype" w:hAnsi="Palatino Linotype" w:cs="Palatino Linotype"/>
          <w:b/>
          <w:bCs/>
          <w:color w:val="000000"/>
        </w:rPr>
        <w:t xml:space="preserve">MODIFICA </w:t>
      </w:r>
      <w:r w:rsidRPr="007B729D">
        <w:rPr>
          <w:rFonts w:ascii="Palatino Linotype" w:eastAsia="Palatino Linotype" w:hAnsi="Palatino Linotype" w:cs="Palatino Linotype"/>
          <w:color w:val="000000"/>
        </w:rPr>
        <w:t xml:space="preserve">la respuesta emitida por el </w:t>
      </w:r>
      <w:r w:rsidRPr="007B729D">
        <w:rPr>
          <w:rFonts w:ascii="Palatino Linotype" w:eastAsia="Palatino Linotype" w:hAnsi="Palatino Linotype" w:cs="Palatino Linotype"/>
          <w:b/>
          <w:bCs/>
          <w:color w:val="000000"/>
        </w:rPr>
        <w:t>Ayuntamiento de Toluca,</w:t>
      </w:r>
      <w:r w:rsidRPr="007B729D">
        <w:rPr>
          <w:rFonts w:ascii="Palatino Linotype" w:eastAsia="Palatino Linotype" w:hAnsi="Palatino Linotype" w:cs="Palatino Linotype"/>
          <w:color w:val="000000"/>
        </w:rPr>
        <w:t xml:space="preserve"> a la </w:t>
      </w:r>
      <w:r w:rsidRPr="007B729D">
        <w:rPr>
          <w:rFonts w:ascii="Palatino Linotype" w:eastAsia="Palatino Linotype" w:hAnsi="Palatino Linotype" w:cs="Palatino Linotype"/>
        </w:rPr>
        <w:t>solicitud de información pública registrada con el número</w:t>
      </w:r>
      <w:r w:rsidRPr="007B729D">
        <w:rPr>
          <w:rFonts w:ascii="Palatino Linotype" w:eastAsia="Palatino Linotype" w:hAnsi="Palatino Linotype" w:cs="Palatino Linotype"/>
          <w:b/>
          <w:bCs/>
        </w:rPr>
        <w:t xml:space="preserve"> 03714/TOLUCA/IP/2025 </w:t>
      </w:r>
      <w:r w:rsidRPr="007B729D">
        <w:rPr>
          <w:rFonts w:ascii="Palatino Linotype" w:eastAsia="Palatino Linotype" w:hAnsi="Palatino Linotype" w:cs="Palatino Linotype"/>
          <w:color w:val="000000"/>
        </w:rPr>
        <w:t xml:space="preserve">y se </w:t>
      </w:r>
      <w:r w:rsidRPr="007B729D">
        <w:rPr>
          <w:rFonts w:ascii="Palatino Linotype" w:eastAsia="Palatino Linotype" w:hAnsi="Palatino Linotype" w:cs="Palatino Linotype"/>
          <w:b/>
          <w:bCs/>
          <w:color w:val="000000"/>
        </w:rPr>
        <w:t>ORDENA</w:t>
      </w:r>
      <w:r w:rsidRPr="007B729D">
        <w:rPr>
          <w:rFonts w:ascii="Palatino Linotype" w:eastAsia="Palatino Linotype" w:hAnsi="Palatino Linotype" w:cs="Palatino Linotype"/>
          <w:color w:val="000000"/>
        </w:rPr>
        <w:t xml:space="preserve"> entregar vía Sistema de Acceso a la Información Mexiquense </w:t>
      </w:r>
      <w:r w:rsidRPr="007B729D">
        <w:rPr>
          <w:rFonts w:ascii="Palatino Linotype" w:eastAsia="Palatino Linotype" w:hAnsi="Palatino Linotype" w:cs="Palatino Linotype"/>
          <w:b/>
          <w:bCs/>
          <w:color w:val="000000"/>
        </w:rPr>
        <w:t xml:space="preserve">(SAIMEX), </w:t>
      </w:r>
      <w:r w:rsidRPr="007B729D">
        <w:rPr>
          <w:rFonts w:ascii="Palatino Linotype" w:eastAsia="Palatino Linotype" w:hAnsi="Palatino Linotype" w:cs="Palatino Linotype"/>
          <w:color w:val="000000"/>
        </w:rPr>
        <w:t>lo siguiente:</w:t>
      </w:r>
    </w:p>
    <w:p w:rsidR="00812A60" w:rsidRPr="007B729D" w:rsidRDefault="00812A60">
      <w:pPr>
        <w:spacing w:line="360" w:lineRule="auto"/>
        <w:rPr>
          <w:rFonts w:ascii="Palatino Linotype" w:eastAsia="Palatino Linotype" w:hAnsi="Palatino Linotype" w:cs="Palatino Linotype"/>
        </w:rPr>
      </w:pPr>
    </w:p>
    <w:p w:rsidR="00812A60" w:rsidRPr="007B729D" w:rsidRDefault="00D00BB4">
      <w:pPr>
        <w:numPr>
          <w:ilvl w:val="0"/>
          <w:numId w:val="4"/>
        </w:num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b/>
          <w:bCs/>
          <w:color w:val="000000"/>
        </w:rPr>
      </w:pPr>
      <w:r w:rsidRPr="007B729D">
        <w:rPr>
          <w:rFonts w:ascii="Palatino Linotype" w:eastAsia="Palatino Linotype" w:hAnsi="Palatino Linotype" w:cs="Palatino Linotype"/>
          <w:b/>
          <w:bCs/>
          <w:color w:val="000000"/>
        </w:rPr>
        <w:t xml:space="preserve">De ser procedente </w:t>
      </w:r>
      <w:r w:rsidRPr="007B729D">
        <w:rPr>
          <w:rFonts w:ascii="Palatino Linotype" w:eastAsia="Palatino Linotype" w:hAnsi="Palatino Linotype" w:cs="Palatino Linotype"/>
          <w:b/>
          <w:bCs/>
        </w:rPr>
        <w:t>en versión</w:t>
      </w:r>
      <w:r w:rsidRPr="007B729D">
        <w:rPr>
          <w:rFonts w:ascii="Palatino Linotype" w:eastAsia="Palatino Linotype" w:hAnsi="Palatino Linotype" w:cs="Palatino Linotype"/>
          <w:b/>
          <w:bCs/>
          <w:color w:val="000000"/>
        </w:rPr>
        <w:t xml:space="preserve"> pública, el soporte documental en donde se advierta el nombre completo y el partido político al cual se encuentra afiliado el Segundo Síndico Municipal</w:t>
      </w:r>
      <w:r w:rsidRPr="007B729D">
        <w:rPr>
          <w:rFonts w:ascii="Palatino Linotype" w:eastAsia="Palatino Linotype" w:hAnsi="Palatino Linotype" w:cs="Palatino Linotype"/>
          <w:b/>
          <w:bCs/>
        </w:rPr>
        <w:t xml:space="preserve"> en funciones</w:t>
      </w:r>
      <w:r w:rsidRPr="007B729D">
        <w:rPr>
          <w:rFonts w:ascii="Palatino Linotype" w:eastAsia="Palatino Linotype" w:hAnsi="Palatino Linotype" w:cs="Palatino Linotype"/>
          <w:b/>
          <w:bCs/>
          <w:color w:val="000000"/>
        </w:rPr>
        <w:t xml:space="preserve"> al 27 de junio de 2025; y</w:t>
      </w:r>
    </w:p>
    <w:p w:rsidR="00812A60" w:rsidRPr="007B729D" w:rsidRDefault="00812A60">
      <w:p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b/>
          <w:bCs/>
          <w:color w:val="000000"/>
        </w:rPr>
      </w:pPr>
    </w:p>
    <w:p w:rsidR="00812A60" w:rsidRPr="007B729D" w:rsidRDefault="00D00BB4">
      <w:pPr>
        <w:numPr>
          <w:ilvl w:val="0"/>
          <w:numId w:val="4"/>
        </w:num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b/>
          <w:bCs/>
          <w:color w:val="000000"/>
        </w:rPr>
      </w:pPr>
      <w:r w:rsidRPr="007B729D">
        <w:rPr>
          <w:rFonts w:ascii="Palatino Linotype" w:eastAsia="Palatino Linotype" w:hAnsi="Palatino Linotype" w:cs="Palatino Linotype"/>
          <w:b/>
          <w:bCs/>
          <w:color w:val="000000"/>
        </w:rPr>
        <w:lastRenderedPageBreak/>
        <w:t>Acuerdo del Comité de Transparencia, mediante el cual, se apruebe la clasificación como información confidencial de la edad y la fecha de nacimiento del Segundo Síndico Municipal</w:t>
      </w:r>
      <w:r w:rsidRPr="007B729D">
        <w:rPr>
          <w:rFonts w:ascii="Palatino Linotype" w:eastAsia="Palatino Linotype" w:hAnsi="Palatino Linotype" w:cs="Palatino Linotype"/>
          <w:b/>
          <w:bCs/>
        </w:rPr>
        <w:t xml:space="preserve"> </w:t>
      </w:r>
      <w:r w:rsidRPr="007B729D">
        <w:rPr>
          <w:rFonts w:ascii="Palatino Linotype" w:eastAsia="Palatino Linotype" w:hAnsi="Palatino Linotype" w:cs="Palatino Linotype"/>
          <w:b/>
          <w:bCs/>
          <w:color w:val="000000"/>
        </w:rPr>
        <w:t xml:space="preserve"> </w:t>
      </w:r>
      <w:r w:rsidRPr="007B729D">
        <w:rPr>
          <w:rFonts w:ascii="Palatino Linotype" w:eastAsia="Palatino Linotype" w:hAnsi="Palatino Linotype" w:cs="Palatino Linotype"/>
          <w:b/>
          <w:bCs/>
        </w:rPr>
        <w:t xml:space="preserve">en funciones </w:t>
      </w:r>
      <w:r w:rsidRPr="007B729D">
        <w:rPr>
          <w:rFonts w:ascii="Palatino Linotype" w:eastAsia="Palatino Linotype" w:hAnsi="Palatino Linotype" w:cs="Palatino Linotype"/>
          <w:b/>
          <w:bCs/>
          <w:color w:val="000000"/>
        </w:rPr>
        <w:t>al 27 de junio de 2025.</w:t>
      </w:r>
    </w:p>
    <w:p w:rsidR="00812A60" w:rsidRPr="007B729D" w:rsidRDefault="00812A60">
      <w:pPr>
        <w:spacing w:line="360" w:lineRule="auto"/>
        <w:ind w:right="-29"/>
        <w:jc w:val="both"/>
        <w:rPr>
          <w:rFonts w:ascii="Palatino Linotype" w:eastAsia="Palatino Linotype" w:hAnsi="Palatino Linotype" w:cs="Palatino Linotype"/>
        </w:rPr>
      </w:pPr>
    </w:p>
    <w:p w:rsidR="00812A60" w:rsidRPr="007B729D" w:rsidRDefault="00D00BB4">
      <w:pPr>
        <w:spacing w:line="360" w:lineRule="auto"/>
        <w:ind w:right="-29"/>
        <w:jc w:val="both"/>
        <w:rPr>
          <w:rFonts w:ascii="Palatino Linotype" w:eastAsia="Palatino Linotype" w:hAnsi="Palatino Linotype" w:cs="Palatino Linotype"/>
          <w:b/>
          <w:bCs/>
        </w:rPr>
      </w:pPr>
      <w:r w:rsidRPr="007B729D">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7B729D">
        <w:rPr>
          <w:rFonts w:ascii="Palatino Linotype" w:eastAsia="Palatino Linotype" w:hAnsi="Palatino Linotype" w:cs="Palatino Linotype"/>
          <w:b/>
          <w:bCs/>
        </w:rPr>
        <w:t>RECURRENTE.</w:t>
      </w:r>
    </w:p>
    <w:p w:rsidR="00812A60" w:rsidRPr="007B729D" w:rsidRDefault="00812A60">
      <w:pPr>
        <w:spacing w:line="360" w:lineRule="auto"/>
        <w:ind w:right="-29"/>
        <w:jc w:val="both"/>
        <w:rPr>
          <w:rFonts w:ascii="Palatino Linotype" w:eastAsia="Palatino Linotype" w:hAnsi="Palatino Linotype" w:cs="Palatino Linotype"/>
          <w:b/>
          <w:bCs/>
        </w:rPr>
      </w:pPr>
    </w:p>
    <w:p w:rsidR="00812A60" w:rsidRPr="007B729D" w:rsidRDefault="00D00BB4">
      <w:pPr>
        <w:tabs>
          <w:tab w:val="left" w:pos="8080"/>
        </w:tabs>
        <w:spacing w:line="360" w:lineRule="auto"/>
        <w:ind w:right="-29"/>
        <w:jc w:val="both"/>
        <w:rPr>
          <w:rFonts w:ascii="Palatino Linotype" w:eastAsia="Palatino Linotype" w:hAnsi="Palatino Linotype" w:cs="Palatino Linotype"/>
          <w:b/>
          <w:bCs/>
        </w:rPr>
      </w:pPr>
      <w:bookmarkStart w:id="9" w:name="_heading=h.lnxbz9" w:colFirst="0" w:colLast="0"/>
      <w:bookmarkEnd w:id="9"/>
      <w:r w:rsidRPr="007B729D">
        <w:rPr>
          <w:rFonts w:ascii="Palatino Linotype" w:eastAsia="Palatino Linotype" w:hAnsi="Palatino Linotype" w:cs="Palatino Linotype"/>
          <w:b/>
          <w:bCs/>
        </w:rPr>
        <w:t xml:space="preserve">TERCERO. NOTIFÍQUESE </w:t>
      </w:r>
      <w:r w:rsidRPr="007B729D">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B729D">
        <w:rPr>
          <w:rFonts w:ascii="Palatino Linotype" w:eastAsia="Palatino Linotype" w:hAnsi="Palatino Linotype" w:cs="Palatino Linotype"/>
          <w:b/>
          <w:bCs/>
        </w:rPr>
        <w:t>dé cumplimiento a lo ordenado dentro del plazo de diez días hábiles,</w:t>
      </w:r>
      <w:r w:rsidRPr="007B729D">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12A60" w:rsidRPr="007B729D" w:rsidRDefault="00812A60">
      <w:pPr>
        <w:tabs>
          <w:tab w:val="left" w:pos="8080"/>
        </w:tabs>
        <w:spacing w:line="360" w:lineRule="auto"/>
        <w:ind w:right="-29"/>
        <w:jc w:val="both"/>
        <w:rPr>
          <w:rFonts w:ascii="Palatino Linotype" w:eastAsia="Palatino Linotype" w:hAnsi="Palatino Linotype" w:cs="Palatino Linotype"/>
        </w:rPr>
      </w:pPr>
    </w:p>
    <w:p w:rsidR="00812A60" w:rsidRPr="007B729D" w:rsidRDefault="00D00BB4">
      <w:pPr>
        <w:spacing w:line="360" w:lineRule="auto"/>
        <w:ind w:right="-29"/>
        <w:jc w:val="both"/>
        <w:rPr>
          <w:rFonts w:ascii="Palatino Linotype" w:eastAsia="Palatino Linotype" w:hAnsi="Palatino Linotype" w:cs="Palatino Linotype"/>
        </w:rPr>
      </w:pPr>
      <w:r w:rsidRPr="007B729D">
        <w:rPr>
          <w:rFonts w:ascii="Palatino Linotype" w:eastAsia="Palatino Linotype" w:hAnsi="Palatino Linotype" w:cs="Palatino Linotype"/>
          <w:b/>
          <w:bCs/>
        </w:rPr>
        <w:t xml:space="preserve">CUARTO. </w:t>
      </w:r>
      <w:r w:rsidRPr="007B729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B729D">
        <w:rPr>
          <w:rFonts w:ascii="Palatino Linotype" w:eastAsia="Palatino Linotype" w:hAnsi="Palatino Linotype" w:cs="Palatino Linotype"/>
          <w:b/>
          <w:bCs/>
        </w:rPr>
        <w:t>SUJETO OBLIGADO</w:t>
      </w:r>
      <w:r w:rsidRPr="007B729D">
        <w:rPr>
          <w:rFonts w:ascii="Palatino Linotype" w:eastAsia="Palatino Linotype" w:hAnsi="Palatino Linotype" w:cs="Palatino Linotype"/>
        </w:rPr>
        <w:t xml:space="preserve"> de manera fundada y motivada, podrá solicitar una ampliación de plazo para el cumplimiento de la presente resolución.</w:t>
      </w:r>
    </w:p>
    <w:p w:rsidR="00812A60" w:rsidRPr="007B729D" w:rsidRDefault="00812A60">
      <w:pPr>
        <w:spacing w:line="360" w:lineRule="auto"/>
        <w:ind w:right="-29"/>
        <w:jc w:val="both"/>
        <w:rPr>
          <w:rFonts w:ascii="Palatino Linotype" w:eastAsia="Palatino Linotype" w:hAnsi="Palatino Linotype" w:cs="Palatino Linotype"/>
        </w:rPr>
      </w:pPr>
    </w:p>
    <w:p w:rsidR="00812A60" w:rsidRPr="007B729D" w:rsidRDefault="00D00BB4">
      <w:pPr>
        <w:tabs>
          <w:tab w:val="left" w:pos="8080"/>
        </w:tabs>
        <w:spacing w:line="360" w:lineRule="auto"/>
        <w:ind w:right="-29"/>
        <w:jc w:val="both"/>
        <w:rPr>
          <w:rFonts w:ascii="Palatino Linotype" w:eastAsia="Palatino Linotype" w:hAnsi="Palatino Linotype" w:cs="Palatino Linotype"/>
        </w:rPr>
      </w:pPr>
      <w:bookmarkStart w:id="10" w:name="_heading=h.35nkun2" w:colFirst="0" w:colLast="0"/>
      <w:bookmarkEnd w:id="10"/>
      <w:r w:rsidRPr="007B729D">
        <w:rPr>
          <w:rFonts w:ascii="Palatino Linotype" w:eastAsia="Palatino Linotype" w:hAnsi="Palatino Linotype" w:cs="Palatino Linotype"/>
          <w:b/>
          <w:bCs/>
        </w:rPr>
        <w:t xml:space="preserve">QUINTO. </w:t>
      </w:r>
      <w:r w:rsidRPr="007B729D">
        <w:rPr>
          <w:rFonts w:ascii="Palatino Linotype" w:eastAsia="Palatino Linotype" w:hAnsi="Palatino Linotype" w:cs="Palatino Linotype"/>
        </w:rPr>
        <w:t>Notifíquese a la parte</w:t>
      </w:r>
      <w:r w:rsidRPr="007B729D">
        <w:rPr>
          <w:rFonts w:ascii="Palatino Linotype" w:eastAsia="Palatino Linotype" w:hAnsi="Palatino Linotype" w:cs="Palatino Linotype"/>
          <w:b/>
          <w:bCs/>
        </w:rPr>
        <w:t xml:space="preserve"> RECURRENTE</w:t>
      </w:r>
      <w:r w:rsidRPr="007B729D">
        <w:rPr>
          <w:rFonts w:ascii="Palatino Linotype" w:eastAsia="Palatino Linotype" w:hAnsi="Palatino Linotype" w:cs="Palatino Linotype"/>
        </w:rPr>
        <w:t xml:space="preserve"> la presente resolución, vía </w:t>
      </w:r>
      <w:r w:rsidRPr="007B729D">
        <w:rPr>
          <w:rFonts w:ascii="Palatino Linotype" w:eastAsia="Palatino Linotype" w:hAnsi="Palatino Linotype" w:cs="Palatino Linotype"/>
          <w:b/>
          <w:bCs/>
        </w:rPr>
        <w:t>SAIMEX.</w:t>
      </w:r>
    </w:p>
    <w:p w:rsidR="00812A60" w:rsidRPr="007B729D" w:rsidRDefault="00812A60">
      <w:pPr>
        <w:tabs>
          <w:tab w:val="left" w:pos="8080"/>
        </w:tabs>
        <w:spacing w:line="360" w:lineRule="auto"/>
        <w:ind w:right="-29"/>
        <w:jc w:val="both"/>
        <w:rPr>
          <w:rFonts w:ascii="Palatino Linotype" w:eastAsia="Palatino Linotype" w:hAnsi="Palatino Linotype" w:cs="Palatino Linotype"/>
        </w:rPr>
      </w:pPr>
    </w:p>
    <w:p w:rsidR="00812A60" w:rsidRPr="007B729D" w:rsidRDefault="00D00BB4">
      <w:pPr>
        <w:shd w:val="clear" w:color="auto" w:fill="FFFFFF"/>
        <w:spacing w:line="360" w:lineRule="auto"/>
        <w:ind w:right="-29"/>
        <w:jc w:val="both"/>
        <w:rPr>
          <w:rFonts w:ascii="Palatino Linotype" w:eastAsia="Palatino Linotype" w:hAnsi="Palatino Linotype" w:cs="Palatino Linotype"/>
        </w:rPr>
      </w:pPr>
      <w:r w:rsidRPr="007B729D">
        <w:rPr>
          <w:rFonts w:ascii="Palatino Linotype" w:eastAsia="Palatino Linotype" w:hAnsi="Palatino Linotype" w:cs="Palatino Linotype"/>
          <w:b/>
          <w:bCs/>
        </w:rPr>
        <w:t>SEXTO.</w:t>
      </w:r>
      <w:r w:rsidRPr="007B729D">
        <w:rPr>
          <w:rFonts w:ascii="Palatino Linotype" w:eastAsia="Palatino Linotype" w:hAnsi="Palatino Linotype" w:cs="Palatino Linotype"/>
        </w:rPr>
        <w:t xml:space="preserve"> Se hace del conocimiento de la parte</w:t>
      </w:r>
      <w:r w:rsidRPr="007B729D">
        <w:rPr>
          <w:rFonts w:ascii="Palatino Linotype" w:eastAsia="Palatino Linotype" w:hAnsi="Palatino Linotype" w:cs="Palatino Linotype"/>
          <w:b/>
          <w:bCs/>
        </w:rPr>
        <w:t xml:space="preserve"> RECURRENTE</w:t>
      </w:r>
      <w:r w:rsidRPr="007B729D">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812A60" w:rsidRPr="007B729D" w:rsidRDefault="00812A60">
      <w:pPr>
        <w:shd w:val="clear" w:color="auto" w:fill="FFFFFF"/>
        <w:spacing w:line="360" w:lineRule="auto"/>
        <w:ind w:right="-29"/>
        <w:jc w:val="both"/>
        <w:rPr>
          <w:rFonts w:ascii="Palatino Linotype" w:eastAsia="Palatino Linotype" w:hAnsi="Palatino Linotype" w:cs="Palatino Linotype"/>
        </w:rPr>
      </w:pPr>
    </w:p>
    <w:p w:rsidR="00812A60" w:rsidRPr="007B729D" w:rsidRDefault="00D00BB4">
      <w:pPr>
        <w:spacing w:line="360" w:lineRule="auto"/>
        <w:jc w:val="both"/>
        <w:rPr>
          <w:rFonts w:ascii="Palatino Linotype" w:eastAsia="Palatino Linotype" w:hAnsi="Palatino Linotype" w:cs="Palatino Linotype"/>
        </w:rPr>
      </w:pPr>
      <w:r w:rsidRPr="007B729D">
        <w:rPr>
          <w:rFonts w:ascii="Palatino Linotype" w:eastAsia="Palatino Linotype" w:hAnsi="Palatino Linotype" w:cs="Palatino Linotype"/>
          <w:b/>
          <w:bCs/>
        </w:rPr>
        <w:t>SÉPTIMO. Gírese</w:t>
      </w:r>
      <w:r w:rsidRPr="007B729D">
        <w:rPr>
          <w:rFonts w:ascii="Palatino Linotype" w:eastAsia="Palatino Linotype" w:hAnsi="Palatino Linotype" w:cs="Palatino Linotype"/>
        </w:rPr>
        <w:t xml:space="preserve"> oficio al Titular de la Dirección General de Protección de Datos Personales, en atención al artículo 82, fracción XXVII de la Ley de Protección de Datos Personales del Estado de México y Municipios en términos de lo señalado en el </w:t>
      </w:r>
      <w:r w:rsidRPr="007B729D">
        <w:rPr>
          <w:rFonts w:ascii="Palatino Linotype" w:eastAsia="Palatino Linotype" w:hAnsi="Palatino Linotype" w:cs="Palatino Linotype"/>
          <w:b/>
          <w:bCs/>
        </w:rPr>
        <w:t>Considerando SEXTO</w:t>
      </w:r>
      <w:r w:rsidRPr="007B729D">
        <w:rPr>
          <w:rFonts w:ascii="Palatino Linotype" w:eastAsia="Palatino Linotype" w:hAnsi="Palatino Linotype" w:cs="Palatino Linotype"/>
        </w:rPr>
        <w:t xml:space="preserve"> de la presente resolución.</w:t>
      </w:r>
    </w:p>
    <w:p w:rsidR="00812A60" w:rsidRPr="007B729D" w:rsidRDefault="00812A60">
      <w:pPr>
        <w:spacing w:before="240" w:after="240"/>
        <w:ind w:right="-29"/>
        <w:jc w:val="both"/>
        <w:rPr>
          <w:rFonts w:ascii="Palatino Linotype" w:eastAsia="Palatino Linotype" w:hAnsi="Palatino Linotype" w:cs="Palatino Linotype"/>
          <w:b/>
          <w:bCs/>
        </w:rPr>
      </w:pPr>
    </w:p>
    <w:p w:rsidR="0062387D" w:rsidRPr="007B729D" w:rsidRDefault="0062387D" w:rsidP="0062387D">
      <w:pPr>
        <w:spacing w:before="240" w:after="240" w:line="360" w:lineRule="auto"/>
        <w:ind w:firstLine="1"/>
        <w:jc w:val="both"/>
        <w:rPr>
          <w:rFonts w:ascii="Palatino Linotype" w:hAnsi="Palatino Linotype"/>
        </w:rPr>
      </w:pPr>
      <w:bookmarkStart w:id="11" w:name="_Hlk99014733"/>
      <w:r w:rsidRPr="007B729D">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7B729D">
        <w:rPr>
          <w:rFonts w:ascii="Palatino Linotype" w:hAnsi="Palatino Linotype" w:cs="Palatino Linotype"/>
          <w:color w:val="000000" w:themeColor="text1"/>
        </w:rPr>
        <w:t>ALEXIS TAPIA RAMÍREZ.</w:t>
      </w:r>
    </w:p>
    <w:bookmarkEnd w:id="11"/>
    <w:p w:rsidR="00812A60" w:rsidRPr="007B729D" w:rsidRDefault="00812A60">
      <w:pPr>
        <w:spacing w:line="360" w:lineRule="auto"/>
        <w:ind w:right="-592"/>
        <w:jc w:val="both"/>
        <w:rPr>
          <w:rFonts w:ascii="Palatino Linotype" w:eastAsia="Palatino Linotype" w:hAnsi="Palatino Linotype" w:cs="Palatino Linotype"/>
        </w:rPr>
      </w:pPr>
    </w:p>
    <w:p w:rsidR="00812A60" w:rsidRPr="007B729D" w:rsidRDefault="00812A60">
      <w:pPr>
        <w:spacing w:line="360" w:lineRule="auto"/>
        <w:ind w:right="-592"/>
        <w:jc w:val="both"/>
        <w:rPr>
          <w:rFonts w:ascii="Palatino Linotype" w:eastAsia="Palatino Linotype" w:hAnsi="Palatino Linotype" w:cs="Palatino Linotype"/>
        </w:rPr>
      </w:pPr>
    </w:p>
    <w:p w:rsidR="00812A60" w:rsidRPr="007B729D" w:rsidRDefault="00812A60">
      <w:pPr>
        <w:spacing w:line="360" w:lineRule="auto"/>
        <w:ind w:right="-592"/>
        <w:jc w:val="both"/>
        <w:rPr>
          <w:rFonts w:ascii="Palatino Linotype" w:eastAsia="Palatino Linotype" w:hAnsi="Palatino Linotype" w:cs="Palatino Linotype"/>
        </w:rPr>
      </w:pPr>
    </w:p>
    <w:p w:rsidR="00812A60" w:rsidRPr="007B729D" w:rsidRDefault="00812A60">
      <w:pPr>
        <w:spacing w:line="360" w:lineRule="auto"/>
        <w:ind w:right="-592"/>
        <w:jc w:val="both"/>
        <w:rPr>
          <w:rFonts w:ascii="Palatino Linotype" w:eastAsia="Palatino Linotype" w:hAnsi="Palatino Linotype" w:cs="Palatino Linotype"/>
        </w:rPr>
      </w:pPr>
    </w:p>
    <w:p w:rsidR="00812A60" w:rsidRPr="007B729D" w:rsidRDefault="00812A60">
      <w:pPr>
        <w:spacing w:line="360" w:lineRule="auto"/>
        <w:ind w:right="-592"/>
        <w:jc w:val="both"/>
        <w:rPr>
          <w:rFonts w:ascii="Palatino Linotype" w:eastAsia="Palatino Linotype" w:hAnsi="Palatino Linotype" w:cs="Palatino Linotype"/>
        </w:rPr>
      </w:pPr>
    </w:p>
    <w:p w:rsidR="00812A60" w:rsidRPr="007B729D" w:rsidRDefault="00812A60">
      <w:pPr>
        <w:spacing w:line="360" w:lineRule="auto"/>
        <w:ind w:right="-592"/>
        <w:rPr>
          <w:rFonts w:ascii="Palatino Linotype" w:eastAsia="Palatino Linotype" w:hAnsi="Palatino Linotype" w:cs="Palatino Linotype"/>
        </w:rPr>
      </w:pPr>
    </w:p>
    <w:p w:rsidR="00812A60" w:rsidRPr="007B729D" w:rsidRDefault="00812A60">
      <w:pPr>
        <w:spacing w:line="360" w:lineRule="auto"/>
        <w:ind w:right="-592"/>
        <w:rPr>
          <w:rFonts w:ascii="Palatino Linotype" w:eastAsia="Palatino Linotype" w:hAnsi="Palatino Linotype" w:cs="Palatino Linotype"/>
        </w:rPr>
      </w:pPr>
    </w:p>
    <w:p w:rsidR="00812A60" w:rsidRPr="007B729D" w:rsidRDefault="00812A60">
      <w:pPr>
        <w:spacing w:line="360" w:lineRule="auto"/>
        <w:ind w:right="-592"/>
        <w:rPr>
          <w:rFonts w:ascii="Palatino Linotype" w:eastAsia="Palatino Linotype" w:hAnsi="Palatino Linotype" w:cs="Palatino Linotype"/>
        </w:rPr>
      </w:pPr>
    </w:p>
    <w:p w:rsidR="00812A60" w:rsidRPr="007B729D" w:rsidRDefault="00812A60">
      <w:pPr>
        <w:spacing w:line="360" w:lineRule="auto"/>
        <w:ind w:right="-592"/>
        <w:rPr>
          <w:rFonts w:ascii="Palatino Linotype" w:eastAsia="Palatino Linotype" w:hAnsi="Palatino Linotype" w:cs="Palatino Linotype"/>
        </w:rPr>
      </w:pPr>
    </w:p>
    <w:p w:rsidR="00812A60" w:rsidRPr="007B729D" w:rsidRDefault="00812A60">
      <w:pPr>
        <w:spacing w:line="360" w:lineRule="auto"/>
        <w:ind w:right="-592"/>
        <w:rPr>
          <w:rFonts w:ascii="Palatino Linotype" w:eastAsia="Palatino Linotype" w:hAnsi="Palatino Linotype" w:cs="Palatino Linotype"/>
        </w:rPr>
      </w:pPr>
    </w:p>
    <w:p w:rsidR="00812A60" w:rsidRPr="007B729D" w:rsidRDefault="00812A60">
      <w:pPr>
        <w:spacing w:line="360" w:lineRule="auto"/>
        <w:ind w:right="-592"/>
        <w:rPr>
          <w:rFonts w:ascii="Palatino Linotype" w:eastAsia="Palatino Linotype" w:hAnsi="Palatino Linotype" w:cs="Palatino Linotype"/>
        </w:rPr>
      </w:pPr>
    </w:p>
    <w:p w:rsidR="00812A60" w:rsidRPr="007B729D" w:rsidRDefault="00812A60">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p w:rsidR="00A52A49" w:rsidRPr="007B729D" w:rsidRDefault="00A52A49">
      <w:pPr>
        <w:ind w:right="-592"/>
        <w:rPr>
          <w:rFonts w:ascii="Palatino Linotype" w:eastAsia="Palatino Linotype" w:hAnsi="Palatino Linotype" w:cs="Palatino Linotype"/>
        </w:rPr>
      </w:pPr>
    </w:p>
    <w:sectPr w:rsidR="00A52A49" w:rsidRPr="007B729D" w:rsidSect="007B729D">
      <w:headerReference w:type="even" r:id="rId10"/>
      <w:headerReference w:type="default" r:id="rId11"/>
      <w:footerReference w:type="default" r:id="rId12"/>
      <w:headerReference w:type="first" r:id="rId13"/>
      <w:footerReference w:type="first" r:id="rId14"/>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8E9" w:rsidRDefault="00C638E9">
      <w:r>
        <w:separator/>
      </w:r>
    </w:p>
  </w:endnote>
  <w:endnote w:type="continuationSeparator" w:id="0">
    <w:p w:rsidR="00C638E9" w:rsidRDefault="00C63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400B36A-1912-414A-8C8D-72420097956F}"/>
    <w:embedBold r:id="rId2" w:fontKey="{FECFAEAB-6C5C-4766-B688-E8D78A8EDC9F}"/>
    <w:embedItalic r:id="rId3" w:fontKey="{DFBB8DBC-59A0-41F3-B3B2-842D6C4C15C3}"/>
    <w:embedBoldItalic r:id="rId4" w:fontKey="{4FEA2521-329E-473A-9A54-F852B783C35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5" w:fontKey="{2E78D081-F30E-427D-9D9C-037B3BC921CA}"/>
  </w:font>
  <w:font w:name="Calibri">
    <w:panose1 w:val="020F0502020204030204"/>
    <w:charset w:val="00"/>
    <w:family w:val="swiss"/>
    <w:pitch w:val="variable"/>
    <w:sig w:usb0="E4002EFF" w:usb1="C200247B" w:usb2="00000009" w:usb3="00000000" w:csb0="000001FF" w:csb1="00000000"/>
    <w:embedRegular r:id="rId6" w:fontKey="{3AB27AAF-1ABD-4918-BD2F-82AB48C49847}"/>
    <w:embedBold r:id="rId7" w:fontKey="{25F834AA-4C11-48D7-BDC3-907BF4720EB0}"/>
  </w:font>
  <w:font w:name="Calibri Light">
    <w:panose1 w:val="020F0302020204030204"/>
    <w:charset w:val="00"/>
    <w:family w:val="swiss"/>
    <w:pitch w:val="variable"/>
    <w:sig w:usb0="E4002EFF" w:usb1="C200247B" w:usb2="00000009" w:usb3="00000000" w:csb0="000001FF" w:csb1="00000000"/>
    <w:embedRegular r:id="rId8" w:fontKey="{F96AF9E9-A5B4-4DC9-A9F9-5EF438F1A763}"/>
  </w:font>
  <w:font w:name="Century Gothic">
    <w:panose1 w:val="020B0502020202020204"/>
    <w:charset w:val="00"/>
    <w:family w:val="swiss"/>
    <w:pitch w:val="variable"/>
    <w:sig w:usb0="00000287" w:usb1="00000000" w:usb2="00000000" w:usb3="00000000" w:csb0="0000009F" w:csb1="00000000"/>
    <w:embedRegular r:id="rId9" w:fontKey="{5D4487A3-5B3A-4A4E-9EB9-63F13FACD5C8}"/>
  </w:font>
  <w:font w:name="Segoe UI">
    <w:panose1 w:val="020B0502040204020203"/>
    <w:charset w:val="00"/>
    <w:family w:val="swiss"/>
    <w:pitch w:val="variable"/>
    <w:sig w:usb0="E4002EFF" w:usb1="C000E47F" w:usb2="00000009" w:usb3="00000000" w:csb0="000001FF" w:csb1="00000000"/>
    <w:embedRegular r:id="rId10" w:fontKey="{C946B629-CF82-47DF-BF24-15F45E5CC41D}"/>
  </w:font>
  <w:font w:name="Georgia">
    <w:panose1 w:val="02040502050405020303"/>
    <w:charset w:val="00"/>
    <w:family w:val="roman"/>
    <w:pitch w:val="variable"/>
    <w:sig w:usb0="00000287" w:usb1="00000000" w:usb2="00000000" w:usb3="00000000" w:csb0="0000009F" w:csb1="00000000"/>
    <w:embedItalic r:id="rId11" w:fontKey="{BB838F69-70A5-49EF-A004-FB73FC2B6D11}"/>
  </w:font>
  <w:font w:name="Garamond">
    <w:panose1 w:val="02020404030301010803"/>
    <w:charset w:val="00"/>
    <w:family w:val="roman"/>
    <w:pitch w:val="variable"/>
    <w:sig w:usb0="00000287" w:usb1="00000000" w:usb2="00000000" w:usb3="00000000" w:csb0="0000009F" w:csb1="00000000"/>
    <w:embedRegular r:id="rId12" w:fontKey="{52E28AB2-E1E3-4DA9-BA19-822505E3D6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A60" w:rsidRPr="007B729D" w:rsidRDefault="00D00BB4">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7B729D">
      <w:rPr>
        <w:rFonts w:ascii="Palatino Linotype" w:hAnsi="Palatino Linotype"/>
        <w:b/>
        <w:color w:val="000000"/>
        <w:sz w:val="22"/>
      </w:rPr>
      <w:t xml:space="preserve">Página </w:t>
    </w:r>
    <w:r w:rsidRPr="007B729D">
      <w:rPr>
        <w:rFonts w:ascii="Palatino Linotype" w:hAnsi="Palatino Linotype"/>
        <w:b/>
        <w:bCs/>
        <w:color w:val="000000"/>
        <w:sz w:val="22"/>
      </w:rPr>
      <w:fldChar w:fldCharType="begin"/>
    </w:r>
    <w:r w:rsidRPr="007B729D">
      <w:rPr>
        <w:rFonts w:ascii="Palatino Linotype" w:hAnsi="Palatino Linotype"/>
        <w:b/>
        <w:bCs/>
        <w:color w:val="000000"/>
        <w:sz w:val="22"/>
      </w:rPr>
      <w:instrText>PAGE</w:instrText>
    </w:r>
    <w:r w:rsidRPr="007B729D">
      <w:rPr>
        <w:rFonts w:ascii="Palatino Linotype" w:hAnsi="Palatino Linotype"/>
        <w:b/>
        <w:bCs/>
        <w:color w:val="000000"/>
        <w:sz w:val="22"/>
      </w:rPr>
      <w:fldChar w:fldCharType="separate"/>
    </w:r>
    <w:r w:rsidR="007B729D">
      <w:rPr>
        <w:rFonts w:ascii="Palatino Linotype" w:hAnsi="Palatino Linotype"/>
        <w:b/>
        <w:bCs/>
        <w:noProof/>
        <w:color w:val="000000"/>
        <w:sz w:val="22"/>
      </w:rPr>
      <w:t>2</w:t>
    </w:r>
    <w:r w:rsidRPr="007B729D">
      <w:rPr>
        <w:rFonts w:ascii="Palatino Linotype" w:hAnsi="Palatino Linotype"/>
        <w:b/>
        <w:bCs/>
        <w:color w:val="000000"/>
        <w:sz w:val="22"/>
      </w:rPr>
      <w:fldChar w:fldCharType="end"/>
    </w:r>
    <w:r w:rsidRPr="007B729D">
      <w:rPr>
        <w:rFonts w:ascii="Palatino Linotype" w:hAnsi="Palatino Linotype"/>
        <w:b/>
        <w:color w:val="000000"/>
        <w:sz w:val="22"/>
      </w:rPr>
      <w:t xml:space="preserve"> de </w:t>
    </w:r>
    <w:r w:rsidRPr="007B729D">
      <w:rPr>
        <w:rFonts w:ascii="Palatino Linotype" w:hAnsi="Palatino Linotype"/>
        <w:b/>
        <w:bCs/>
        <w:color w:val="000000"/>
        <w:sz w:val="22"/>
      </w:rPr>
      <w:fldChar w:fldCharType="begin"/>
    </w:r>
    <w:r w:rsidRPr="007B729D">
      <w:rPr>
        <w:rFonts w:ascii="Palatino Linotype" w:hAnsi="Palatino Linotype"/>
        <w:b/>
        <w:bCs/>
        <w:color w:val="000000"/>
        <w:sz w:val="22"/>
      </w:rPr>
      <w:instrText>NUMPAGES</w:instrText>
    </w:r>
    <w:r w:rsidRPr="007B729D">
      <w:rPr>
        <w:rFonts w:ascii="Palatino Linotype" w:hAnsi="Palatino Linotype"/>
        <w:b/>
        <w:bCs/>
        <w:color w:val="000000"/>
        <w:sz w:val="22"/>
      </w:rPr>
      <w:fldChar w:fldCharType="separate"/>
    </w:r>
    <w:r w:rsidR="007B729D">
      <w:rPr>
        <w:rFonts w:ascii="Palatino Linotype" w:hAnsi="Palatino Linotype"/>
        <w:b/>
        <w:bCs/>
        <w:noProof/>
        <w:color w:val="000000"/>
        <w:sz w:val="22"/>
      </w:rPr>
      <w:t>27</w:t>
    </w:r>
    <w:r w:rsidRPr="007B729D">
      <w:rPr>
        <w:rFonts w:ascii="Palatino Linotype" w:hAnsi="Palatino Linotype"/>
        <w:b/>
        <w:bCs/>
        <w:color w:val="000000"/>
        <w:sz w:val="22"/>
      </w:rPr>
      <w:fldChar w:fldCharType="end"/>
    </w:r>
  </w:p>
  <w:p w:rsidR="00812A60" w:rsidRDefault="00812A6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A60" w:rsidRPr="007B729D" w:rsidRDefault="00D00BB4">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7B729D">
      <w:rPr>
        <w:rFonts w:ascii="Palatino Linotype" w:hAnsi="Palatino Linotype"/>
        <w:b/>
        <w:color w:val="000000"/>
        <w:sz w:val="22"/>
      </w:rPr>
      <w:t xml:space="preserve">Página </w:t>
    </w:r>
    <w:r w:rsidRPr="007B729D">
      <w:rPr>
        <w:rFonts w:ascii="Palatino Linotype" w:hAnsi="Palatino Linotype"/>
        <w:b/>
        <w:bCs/>
        <w:color w:val="000000"/>
        <w:sz w:val="22"/>
      </w:rPr>
      <w:fldChar w:fldCharType="begin"/>
    </w:r>
    <w:r w:rsidRPr="007B729D">
      <w:rPr>
        <w:rFonts w:ascii="Palatino Linotype" w:hAnsi="Palatino Linotype"/>
        <w:b/>
        <w:bCs/>
        <w:color w:val="000000"/>
        <w:sz w:val="22"/>
      </w:rPr>
      <w:instrText>PAGE</w:instrText>
    </w:r>
    <w:r w:rsidRPr="007B729D">
      <w:rPr>
        <w:rFonts w:ascii="Palatino Linotype" w:hAnsi="Palatino Linotype"/>
        <w:b/>
        <w:bCs/>
        <w:color w:val="000000"/>
        <w:sz w:val="22"/>
      </w:rPr>
      <w:fldChar w:fldCharType="separate"/>
    </w:r>
    <w:r w:rsidR="007B729D">
      <w:rPr>
        <w:rFonts w:ascii="Palatino Linotype" w:hAnsi="Palatino Linotype"/>
        <w:b/>
        <w:bCs/>
        <w:noProof/>
        <w:color w:val="000000"/>
        <w:sz w:val="22"/>
      </w:rPr>
      <w:t>1</w:t>
    </w:r>
    <w:r w:rsidRPr="007B729D">
      <w:rPr>
        <w:rFonts w:ascii="Palatino Linotype" w:hAnsi="Palatino Linotype"/>
        <w:b/>
        <w:bCs/>
        <w:color w:val="000000"/>
        <w:sz w:val="22"/>
      </w:rPr>
      <w:fldChar w:fldCharType="end"/>
    </w:r>
    <w:r w:rsidRPr="007B729D">
      <w:rPr>
        <w:rFonts w:ascii="Palatino Linotype" w:hAnsi="Palatino Linotype"/>
        <w:b/>
        <w:color w:val="000000"/>
        <w:sz w:val="22"/>
      </w:rPr>
      <w:t xml:space="preserve"> de </w:t>
    </w:r>
    <w:r w:rsidRPr="007B729D">
      <w:rPr>
        <w:rFonts w:ascii="Palatino Linotype" w:hAnsi="Palatino Linotype"/>
        <w:b/>
        <w:bCs/>
        <w:color w:val="000000"/>
        <w:sz w:val="22"/>
      </w:rPr>
      <w:fldChar w:fldCharType="begin"/>
    </w:r>
    <w:r w:rsidRPr="007B729D">
      <w:rPr>
        <w:rFonts w:ascii="Palatino Linotype" w:hAnsi="Palatino Linotype"/>
        <w:b/>
        <w:bCs/>
        <w:color w:val="000000"/>
        <w:sz w:val="22"/>
      </w:rPr>
      <w:instrText>NUMPAGES</w:instrText>
    </w:r>
    <w:r w:rsidRPr="007B729D">
      <w:rPr>
        <w:rFonts w:ascii="Palatino Linotype" w:hAnsi="Palatino Linotype"/>
        <w:b/>
        <w:bCs/>
        <w:color w:val="000000"/>
        <w:sz w:val="22"/>
      </w:rPr>
      <w:fldChar w:fldCharType="separate"/>
    </w:r>
    <w:r w:rsidR="007B729D">
      <w:rPr>
        <w:rFonts w:ascii="Palatino Linotype" w:hAnsi="Palatino Linotype"/>
        <w:b/>
        <w:bCs/>
        <w:noProof/>
        <w:color w:val="000000"/>
        <w:sz w:val="22"/>
      </w:rPr>
      <w:t>27</w:t>
    </w:r>
    <w:r w:rsidRPr="007B729D">
      <w:rPr>
        <w:rFonts w:ascii="Palatino Linotype" w:hAnsi="Palatino Linotype"/>
        <w:b/>
        <w:bCs/>
        <w:color w:val="000000"/>
        <w:sz w:val="22"/>
      </w:rPr>
      <w:fldChar w:fldCharType="end"/>
    </w:r>
  </w:p>
  <w:p w:rsidR="00812A60" w:rsidRDefault="00812A6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8E9" w:rsidRDefault="00C638E9">
      <w:r>
        <w:separator/>
      </w:r>
    </w:p>
  </w:footnote>
  <w:footnote w:type="continuationSeparator" w:id="0">
    <w:p w:rsidR="00C638E9" w:rsidRDefault="00C638E9">
      <w:r>
        <w:continuationSeparator/>
      </w:r>
    </w:p>
  </w:footnote>
  <w:footnote w:id="1">
    <w:p w:rsidR="00812A60" w:rsidRDefault="00D00B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812A60" w:rsidRDefault="00D00B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812A60" w:rsidRDefault="00D00B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812A60" w:rsidRDefault="00D00BB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A60" w:rsidRDefault="00C638E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4"/>
      <w:tblW w:w="10490" w:type="dxa"/>
      <w:tblInd w:w="0" w:type="dxa"/>
      <w:tblLayout w:type="fixed"/>
      <w:tblLook w:val="0400" w:firstRow="0" w:lastRow="0" w:firstColumn="0" w:lastColumn="0" w:noHBand="0" w:noVBand="1"/>
    </w:tblPr>
    <w:tblGrid>
      <w:gridCol w:w="2552"/>
      <w:gridCol w:w="7938"/>
    </w:tblGrid>
    <w:tr w:rsidR="00812A60" w:rsidTr="007B729D">
      <w:trPr>
        <w:trHeight w:val="1435"/>
      </w:trPr>
      <w:tc>
        <w:tcPr>
          <w:tcW w:w="2552" w:type="dxa"/>
          <w:shd w:val="clear" w:color="auto" w:fill="auto"/>
        </w:tcPr>
        <w:p w:rsidR="00812A60" w:rsidRDefault="00812A60">
          <w:pPr>
            <w:tabs>
              <w:tab w:val="right" w:pos="4273"/>
            </w:tabs>
            <w:rPr>
              <w:rFonts w:ascii="Garamond" w:eastAsia="Garamond" w:hAnsi="Garamond" w:cs="Garamond"/>
              <w:sz w:val="16"/>
              <w:szCs w:val="16"/>
            </w:rPr>
          </w:pPr>
        </w:p>
      </w:tc>
      <w:tc>
        <w:tcPr>
          <w:tcW w:w="7938" w:type="dxa"/>
          <w:shd w:val="clear" w:color="auto" w:fill="auto"/>
        </w:tcPr>
        <w:tbl>
          <w:tblPr>
            <w:tblStyle w:val="af5"/>
            <w:tblW w:w="7783" w:type="dxa"/>
            <w:tblInd w:w="40" w:type="dxa"/>
            <w:tblLayout w:type="fixed"/>
            <w:tblLook w:val="0400" w:firstRow="0" w:lastRow="0" w:firstColumn="0" w:lastColumn="0" w:noHBand="0" w:noVBand="1"/>
          </w:tblPr>
          <w:tblGrid>
            <w:gridCol w:w="3673"/>
            <w:gridCol w:w="4110"/>
          </w:tblGrid>
          <w:tr w:rsidR="00812A60" w:rsidTr="007B729D">
            <w:trPr>
              <w:trHeight w:val="150"/>
            </w:trPr>
            <w:tc>
              <w:tcPr>
                <w:tcW w:w="3673" w:type="dxa"/>
                <w:shd w:val="clear" w:color="auto" w:fill="auto"/>
              </w:tcPr>
              <w:p w:rsidR="00812A60" w:rsidRPr="007B729D" w:rsidRDefault="00D00BB4">
                <w:pPr>
                  <w:tabs>
                    <w:tab w:val="right" w:pos="8838"/>
                  </w:tabs>
                  <w:ind w:left="850" w:right="-105"/>
                  <w:jc w:val="both"/>
                  <w:rPr>
                    <w:rFonts w:ascii="Palatino Linotype" w:eastAsia="Palatino Linotype" w:hAnsi="Palatino Linotype" w:cs="Palatino Linotype"/>
                    <w:b/>
                    <w:bCs/>
                    <w:szCs w:val="18"/>
                  </w:rPr>
                </w:pPr>
                <w:r w:rsidRPr="007B729D">
                  <w:rPr>
                    <w:rFonts w:ascii="Palatino Linotype" w:eastAsia="Palatino Linotype" w:hAnsi="Palatino Linotype" w:cs="Palatino Linotype"/>
                    <w:b/>
                    <w:bCs/>
                    <w:szCs w:val="18"/>
                  </w:rPr>
                  <w:t>Recurso de Revisión:</w:t>
                </w:r>
              </w:p>
            </w:tc>
            <w:tc>
              <w:tcPr>
                <w:tcW w:w="4110" w:type="dxa"/>
                <w:shd w:val="clear" w:color="auto" w:fill="auto"/>
              </w:tcPr>
              <w:p w:rsidR="00812A60" w:rsidRPr="007B729D" w:rsidRDefault="00D00BB4">
                <w:pPr>
                  <w:tabs>
                    <w:tab w:val="right" w:pos="8838"/>
                  </w:tabs>
                  <w:ind w:right="-781"/>
                  <w:jc w:val="both"/>
                  <w:rPr>
                    <w:rFonts w:ascii="Palatino Linotype" w:eastAsia="Palatino Linotype" w:hAnsi="Palatino Linotype" w:cs="Palatino Linotype"/>
                    <w:szCs w:val="18"/>
                  </w:rPr>
                </w:pPr>
                <w:r w:rsidRPr="007B729D">
                  <w:rPr>
                    <w:rFonts w:ascii="Palatino Linotype" w:eastAsia="Palatino Linotype" w:hAnsi="Palatino Linotype" w:cs="Palatino Linotype"/>
                    <w:szCs w:val="18"/>
                  </w:rPr>
                  <w:t>08948/INFOEM/IP/RR/2025</w:t>
                </w:r>
              </w:p>
            </w:tc>
          </w:tr>
          <w:tr w:rsidR="00812A60" w:rsidTr="007B729D">
            <w:trPr>
              <w:trHeight w:val="295"/>
            </w:trPr>
            <w:tc>
              <w:tcPr>
                <w:tcW w:w="3673" w:type="dxa"/>
                <w:shd w:val="clear" w:color="auto" w:fill="auto"/>
              </w:tcPr>
              <w:p w:rsidR="00812A60" w:rsidRPr="007B729D" w:rsidRDefault="00D00BB4">
                <w:pPr>
                  <w:tabs>
                    <w:tab w:val="right" w:pos="8838"/>
                  </w:tabs>
                  <w:ind w:left="850" w:right="-105"/>
                  <w:jc w:val="both"/>
                  <w:rPr>
                    <w:rFonts w:ascii="Palatino Linotype" w:eastAsia="Palatino Linotype" w:hAnsi="Palatino Linotype" w:cs="Palatino Linotype"/>
                    <w:b/>
                    <w:bCs/>
                    <w:szCs w:val="18"/>
                  </w:rPr>
                </w:pPr>
                <w:r w:rsidRPr="007B729D">
                  <w:rPr>
                    <w:rFonts w:ascii="Palatino Linotype" w:eastAsia="Palatino Linotype" w:hAnsi="Palatino Linotype" w:cs="Palatino Linotype"/>
                    <w:b/>
                    <w:bCs/>
                    <w:szCs w:val="18"/>
                  </w:rPr>
                  <w:t>Sujeto Obligado:</w:t>
                </w:r>
              </w:p>
            </w:tc>
            <w:tc>
              <w:tcPr>
                <w:tcW w:w="4110" w:type="dxa"/>
                <w:shd w:val="clear" w:color="auto" w:fill="auto"/>
              </w:tcPr>
              <w:p w:rsidR="00812A60" w:rsidRPr="007B729D" w:rsidRDefault="00D00BB4">
                <w:pPr>
                  <w:tabs>
                    <w:tab w:val="left" w:pos="2834"/>
                    <w:tab w:val="right" w:pos="8838"/>
                  </w:tabs>
                  <w:ind w:right="-1552"/>
                  <w:jc w:val="both"/>
                  <w:rPr>
                    <w:rFonts w:ascii="Palatino Linotype" w:eastAsia="Palatino Linotype" w:hAnsi="Palatino Linotype" w:cs="Palatino Linotype"/>
                    <w:szCs w:val="18"/>
                  </w:rPr>
                </w:pPr>
                <w:r w:rsidRPr="007B729D">
                  <w:rPr>
                    <w:rFonts w:ascii="Palatino Linotype" w:eastAsia="Palatino Linotype" w:hAnsi="Palatino Linotype" w:cs="Palatino Linotype"/>
                    <w:szCs w:val="18"/>
                  </w:rPr>
                  <w:t>Ayuntamiento de Toluca</w:t>
                </w:r>
              </w:p>
            </w:tc>
          </w:tr>
          <w:tr w:rsidR="00812A60" w:rsidTr="007B729D">
            <w:trPr>
              <w:trHeight w:val="295"/>
            </w:trPr>
            <w:tc>
              <w:tcPr>
                <w:tcW w:w="3673" w:type="dxa"/>
                <w:shd w:val="clear" w:color="auto" w:fill="auto"/>
              </w:tcPr>
              <w:p w:rsidR="00812A60" w:rsidRPr="007B729D" w:rsidRDefault="00D00BB4">
                <w:pPr>
                  <w:tabs>
                    <w:tab w:val="right" w:pos="8838"/>
                  </w:tabs>
                  <w:ind w:left="850" w:right="-105"/>
                  <w:jc w:val="both"/>
                  <w:rPr>
                    <w:rFonts w:ascii="Palatino Linotype" w:eastAsia="Palatino Linotype" w:hAnsi="Palatino Linotype" w:cs="Palatino Linotype"/>
                    <w:b/>
                    <w:bCs/>
                    <w:szCs w:val="18"/>
                  </w:rPr>
                </w:pPr>
                <w:r w:rsidRPr="007B729D">
                  <w:rPr>
                    <w:rFonts w:ascii="Palatino Linotype" w:eastAsia="Palatino Linotype" w:hAnsi="Palatino Linotype" w:cs="Palatino Linotype"/>
                    <w:b/>
                    <w:bCs/>
                    <w:szCs w:val="18"/>
                  </w:rPr>
                  <w:t>Comisionada ponente:</w:t>
                </w:r>
              </w:p>
            </w:tc>
            <w:tc>
              <w:tcPr>
                <w:tcW w:w="4110" w:type="dxa"/>
                <w:shd w:val="clear" w:color="auto" w:fill="auto"/>
              </w:tcPr>
              <w:p w:rsidR="00812A60" w:rsidRPr="007B729D" w:rsidRDefault="00D00BB4">
                <w:pPr>
                  <w:tabs>
                    <w:tab w:val="right" w:pos="8838"/>
                  </w:tabs>
                  <w:ind w:right="-781"/>
                  <w:jc w:val="both"/>
                  <w:rPr>
                    <w:rFonts w:ascii="Palatino Linotype" w:eastAsia="Palatino Linotype" w:hAnsi="Palatino Linotype" w:cs="Palatino Linotype"/>
                    <w:szCs w:val="18"/>
                  </w:rPr>
                </w:pPr>
                <w:r w:rsidRPr="007B729D">
                  <w:rPr>
                    <w:rFonts w:ascii="Palatino Linotype" w:eastAsia="Palatino Linotype" w:hAnsi="Palatino Linotype" w:cs="Palatino Linotype"/>
                    <w:szCs w:val="18"/>
                  </w:rPr>
                  <w:t>María del Rosario Mejía Ayala</w:t>
                </w:r>
              </w:p>
              <w:p w:rsidR="00812A60" w:rsidRPr="007B729D" w:rsidRDefault="00812A60">
                <w:pPr>
                  <w:tabs>
                    <w:tab w:val="right" w:pos="8838"/>
                  </w:tabs>
                  <w:ind w:left="141" w:right="-781"/>
                  <w:jc w:val="both"/>
                  <w:rPr>
                    <w:rFonts w:ascii="Palatino Linotype" w:eastAsia="Palatino Linotype" w:hAnsi="Palatino Linotype" w:cs="Palatino Linotype"/>
                    <w:szCs w:val="18"/>
                  </w:rPr>
                </w:pPr>
              </w:p>
            </w:tc>
          </w:tr>
        </w:tbl>
        <w:p w:rsidR="00812A60" w:rsidRDefault="00812A60">
          <w:pPr>
            <w:tabs>
              <w:tab w:val="right" w:pos="8838"/>
            </w:tabs>
            <w:ind w:left="-28"/>
            <w:jc w:val="both"/>
            <w:rPr>
              <w:rFonts w:ascii="Arial" w:eastAsia="Arial" w:hAnsi="Arial" w:cs="Arial"/>
              <w:b/>
              <w:bCs/>
              <w:sz w:val="18"/>
              <w:szCs w:val="18"/>
            </w:rPr>
          </w:pPr>
        </w:p>
      </w:tc>
    </w:tr>
  </w:tbl>
  <w:p w:rsidR="00812A60" w:rsidRDefault="00C638E9" w:rsidP="007B729D">
    <w:pPr>
      <w:pBdr>
        <w:top w:val="nil"/>
        <w:left w:val="nil"/>
        <w:bottom w:val="nil"/>
        <w:right w:val="nil"/>
        <w:between w:val="nil"/>
      </w:pBdr>
      <w:tabs>
        <w:tab w:val="center" w:pos="4419"/>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6"/>
      <w:tblW w:w="10065" w:type="dxa"/>
      <w:tblInd w:w="0" w:type="dxa"/>
      <w:tblLayout w:type="fixed"/>
      <w:tblLook w:val="0400" w:firstRow="0" w:lastRow="0" w:firstColumn="0" w:lastColumn="0" w:noHBand="0" w:noVBand="1"/>
    </w:tblPr>
    <w:tblGrid>
      <w:gridCol w:w="2265"/>
      <w:gridCol w:w="7800"/>
    </w:tblGrid>
    <w:tr w:rsidR="00812A60">
      <w:trPr>
        <w:trHeight w:val="1435"/>
      </w:trPr>
      <w:tc>
        <w:tcPr>
          <w:tcW w:w="2265" w:type="dxa"/>
          <w:shd w:val="clear" w:color="auto" w:fill="auto"/>
        </w:tcPr>
        <w:p w:rsidR="00812A60" w:rsidRDefault="00812A60">
          <w:pPr>
            <w:tabs>
              <w:tab w:val="right" w:pos="4273"/>
            </w:tabs>
            <w:rPr>
              <w:rFonts w:ascii="Garamond" w:eastAsia="Garamond" w:hAnsi="Garamond" w:cs="Garamond"/>
              <w:sz w:val="22"/>
              <w:szCs w:val="22"/>
            </w:rPr>
          </w:pPr>
        </w:p>
      </w:tc>
      <w:tc>
        <w:tcPr>
          <w:tcW w:w="7800" w:type="dxa"/>
          <w:shd w:val="clear" w:color="auto" w:fill="auto"/>
        </w:tcPr>
        <w:tbl>
          <w:tblPr>
            <w:tblStyle w:val="af7"/>
            <w:tblW w:w="7785" w:type="dxa"/>
            <w:tblInd w:w="1164" w:type="dxa"/>
            <w:tblLayout w:type="fixed"/>
            <w:tblLook w:val="0400" w:firstRow="0" w:lastRow="0" w:firstColumn="0" w:lastColumn="0" w:noHBand="0" w:noVBand="1"/>
          </w:tblPr>
          <w:tblGrid>
            <w:gridCol w:w="2865"/>
            <w:gridCol w:w="4920"/>
          </w:tblGrid>
          <w:tr w:rsidR="00812A60" w:rsidTr="007B729D">
            <w:trPr>
              <w:trHeight w:val="144"/>
            </w:trPr>
            <w:tc>
              <w:tcPr>
                <w:tcW w:w="2865" w:type="dxa"/>
                <w:shd w:val="clear" w:color="auto" w:fill="auto"/>
              </w:tcPr>
              <w:p w:rsidR="00812A60" w:rsidRPr="007B729D" w:rsidRDefault="00D00BB4">
                <w:pPr>
                  <w:tabs>
                    <w:tab w:val="right" w:pos="8838"/>
                  </w:tabs>
                  <w:ind w:left="-264" w:right="-105" w:firstLine="195"/>
                  <w:rPr>
                    <w:rFonts w:ascii="Palatino Linotype" w:eastAsia="Palatino Linotype" w:hAnsi="Palatino Linotype" w:cs="Palatino Linotype"/>
                    <w:b/>
                    <w:bCs/>
                    <w:szCs w:val="18"/>
                  </w:rPr>
                </w:pPr>
                <w:r w:rsidRPr="007B729D">
                  <w:rPr>
                    <w:rFonts w:ascii="Palatino Linotype" w:eastAsia="Palatino Linotype" w:hAnsi="Palatino Linotype" w:cs="Palatino Linotype"/>
                    <w:b/>
                    <w:bCs/>
                    <w:szCs w:val="18"/>
                  </w:rPr>
                  <w:t>Recurso de Revisión:</w:t>
                </w:r>
              </w:p>
            </w:tc>
            <w:tc>
              <w:tcPr>
                <w:tcW w:w="4920" w:type="dxa"/>
                <w:shd w:val="clear" w:color="auto" w:fill="auto"/>
              </w:tcPr>
              <w:p w:rsidR="00812A60" w:rsidRPr="007B729D" w:rsidRDefault="00D00BB4">
                <w:pPr>
                  <w:tabs>
                    <w:tab w:val="right" w:pos="8838"/>
                  </w:tabs>
                  <w:ind w:right="-1552"/>
                  <w:rPr>
                    <w:rFonts w:ascii="Palatino Linotype" w:eastAsia="Palatino Linotype" w:hAnsi="Palatino Linotype" w:cs="Palatino Linotype"/>
                    <w:szCs w:val="18"/>
                  </w:rPr>
                </w:pPr>
                <w:r w:rsidRPr="007B729D">
                  <w:rPr>
                    <w:rFonts w:ascii="Palatino Linotype" w:eastAsia="Palatino Linotype" w:hAnsi="Palatino Linotype" w:cs="Palatino Linotype"/>
                    <w:szCs w:val="18"/>
                  </w:rPr>
                  <w:t>08948/INFOEM/IP/RR/2025</w:t>
                </w:r>
              </w:p>
            </w:tc>
          </w:tr>
          <w:tr w:rsidR="00812A60" w:rsidTr="007B729D">
            <w:trPr>
              <w:trHeight w:val="144"/>
            </w:trPr>
            <w:tc>
              <w:tcPr>
                <w:tcW w:w="2865" w:type="dxa"/>
                <w:shd w:val="clear" w:color="auto" w:fill="auto"/>
              </w:tcPr>
              <w:p w:rsidR="00812A60" w:rsidRPr="007B729D" w:rsidRDefault="00D00BB4">
                <w:pPr>
                  <w:tabs>
                    <w:tab w:val="right" w:pos="8838"/>
                  </w:tabs>
                  <w:ind w:left="-74" w:right="-105"/>
                  <w:rPr>
                    <w:rFonts w:ascii="Palatino Linotype" w:eastAsia="Palatino Linotype" w:hAnsi="Palatino Linotype" w:cs="Palatino Linotype"/>
                    <w:b/>
                    <w:bCs/>
                    <w:szCs w:val="18"/>
                  </w:rPr>
                </w:pPr>
                <w:r w:rsidRPr="007B729D">
                  <w:rPr>
                    <w:rFonts w:ascii="Palatino Linotype" w:eastAsia="Palatino Linotype" w:hAnsi="Palatino Linotype" w:cs="Palatino Linotype"/>
                    <w:b/>
                    <w:bCs/>
                    <w:szCs w:val="18"/>
                  </w:rPr>
                  <w:t>Recurrente:</w:t>
                </w:r>
              </w:p>
            </w:tc>
            <w:tc>
              <w:tcPr>
                <w:tcW w:w="4920" w:type="dxa"/>
                <w:shd w:val="clear" w:color="auto" w:fill="auto"/>
              </w:tcPr>
              <w:p w:rsidR="00812A60" w:rsidRPr="007B729D" w:rsidRDefault="00D00BB4">
                <w:pPr>
                  <w:tabs>
                    <w:tab w:val="left" w:pos="3122"/>
                    <w:tab w:val="right" w:pos="8838"/>
                  </w:tabs>
                  <w:ind w:right="-1552"/>
                  <w:rPr>
                    <w:rFonts w:ascii="Palatino Linotype" w:eastAsia="Palatino Linotype" w:hAnsi="Palatino Linotype" w:cs="Palatino Linotype"/>
                    <w:szCs w:val="18"/>
                  </w:rPr>
                </w:pPr>
                <w:r w:rsidRPr="007B729D">
                  <w:rPr>
                    <w:rFonts w:ascii="Palatino Linotype" w:eastAsia="Palatino Linotype" w:hAnsi="Palatino Linotype" w:cs="Palatino Linotype"/>
                    <w:szCs w:val="18"/>
                  </w:rPr>
                  <w:t xml:space="preserve"> </w:t>
                </w:r>
              </w:p>
            </w:tc>
          </w:tr>
          <w:tr w:rsidR="00812A60" w:rsidTr="007B729D">
            <w:trPr>
              <w:trHeight w:val="80"/>
            </w:trPr>
            <w:tc>
              <w:tcPr>
                <w:tcW w:w="2865" w:type="dxa"/>
                <w:shd w:val="clear" w:color="auto" w:fill="auto"/>
              </w:tcPr>
              <w:p w:rsidR="00812A60" w:rsidRPr="007B729D" w:rsidRDefault="00D00BB4">
                <w:pPr>
                  <w:tabs>
                    <w:tab w:val="right" w:pos="8838"/>
                  </w:tabs>
                  <w:ind w:left="-74" w:right="-105"/>
                  <w:rPr>
                    <w:rFonts w:ascii="Palatino Linotype" w:eastAsia="Palatino Linotype" w:hAnsi="Palatino Linotype" w:cs="Palatino Linotype"/>
                    <w:b/>
                    <w:bCs/>
                    <w:szCs w:val="18"/>
                  </w:rPr>
                </w:pPr>
                <w:r w:rsidRPr="007B729D">
                  <w:rPr>
                    <w:rFonts w:ascii="Palatino Linotype" w:eastAsia="Palatino Linotype" w:hAnsi="Palatino Linotype" w:cs="Palatino Linotype"/>
                    <w:b/>
                    <w:bCs/>
                    <w:szCs w:val="18"/>
                  </w:rPr>
                  <w:t>Sujeto Obligado:</w:t>
                </w:r>
              </w:p>
            </w:tc>
            <w:tc>
              <w:tcPr>
                <w:tcW w:w="4920" w:type="dxa"/>
                <w:shd w:val="clear" w:color="auto" w:fill="auto"/>
              </w:tcPr>
              <w:p w:rsidR="00812A60" w:rsidRPr="007B729D" w:rsidRDefault="00D00BB4">
                <w:pPr>
                  <w:tabs>
                    <w:tab w:val="left" w:pos="2834"/>
                    <w:tab w:val="right" w:pos="8838"/>
                  </w:tabs>
                  <w:ind w:right="-1552"/>
                  <w:rPr>
                    <w:rFonts w:ascii="Palatino Linotype" w:eastAsia="Palatino Linotype" w:hAnsi="Palatino Linotype" w:cs="Palatino Linotype"/>
                    <w:szCs w:val="18"/>
                  </w:rPr>
                </w:pPr>
                <w:r w:rsidRPr="007B729D">
                  <w:rPr>
                    <w:rFonts w:ascii="Palatino Linotype" w:eastAsia="Palatino Linotype" w:hAnsi="Palatino Linotype" w:cs="Palatino Linotype"/>
                    <w:szCs w:val="18"/>
                  </w:rPr>
                  <w:t>Ayuntamiento de Toluca</w:t>
                </w:r>
              </w:p>
            </w:tc>
          </w:tr>
          <w:tr w:rsidR="00812A60" w:rsidTr="007B729D">
            <w:trPr>
              <w:trHeight w:val="283"/>
            </w:trPr>
            <w:tc>
              <w:tcPr>
                <w:tcW w:w="2865" w:type="dxa"/>
                <w:shd w:val="clear" w:color="auto" w:fill="auto"/>
              </w:tcPr>
              <w:p w:rsidR="00812A60" w:rsidRPr="007B729D" w:rsidRDefault="00D00BB4" w:rsidP="007B729D">
                <w:pPr>
                  <w:tabs>
                    <w:tab w:val="right" w:pos="8838"/>
                  </w:tabs>
                  <w:ind w:left="-85" w:right="-105"/>
                  <w:rPr>
                    <w:rFonts w:ascii="Palatino Linotype" w:eastAsia="Palatino Linotype" w:hAnsi="Palatino Linotype" w:cs="Palatino Linotype"/>
                    <w:b/>
                    <w:bCs/>
                    <w:szCs w:val="18"/>
                  </w:rPr>
                </w:pPr>
                <w:r w:rsidRPr="007B729D">
                  <w:rPr>
                    <w:rFonts w:ascii="Palatino Linotype" w:eastAsia="Palatino Linotype" w:hAnsi="Palatino Linotype" w:cs="Palatino Linotype"/>
                    <w:b/>
                    <w:bCs/>
                    <w:szCs w:val="18"/>
                  </w:rPr>
                  <w:t>Comisionada ponente:</w:t>
                </w:r>
              </w:p>
            </w:tc>
            <w:tc>
              <w:tcPr>
                <w:tcW w:w="4920" w:type="dxa"/>
                <w:shd w:val="clear" w:color="auto" w:fill="auto"/>
              </w:tcPr>
              <w:p w:rsidR="00812A60" w:rsidRPr="007B729D" w:rsidRDefault="00D00BB4">
                <w:pPr>
                  <w:tabs>
                    <w:tab w:val="right" w:pos="8838"/>
                  </w:tabs>
                  <w:ind w:right="-1552"/>
                  <w:rPr>
                    <w:rFonts w:ascii="Palatino Linotype" w:eastAsia="Palatino Linotype" w:hAnsi="Palatino Linotype" w:cs="Palatino Linotype"/>
                    <w:szCs w:val="18"/>
                  </w:rPr>
                </w:pPr>
                <w:r w:rsidRPr="007B729D">
                  <w:rPr>
                    <w:rFonts w:ascii="Palatino Linotype" w:eastAsia="Palatino Linotype" w:hAnsi="Palatino Linotype" w:cs="Palatino Linotype"/>
                    <w:szCs w:val="18"/>
                  </w:rPr>
                  <w:t>María del Rosario Mejía Ayala</w:t>
                </w:r>
              </w:p>
              <w:p w:rsidR="00812A60" w:rsidRPr="007B729D" w:rsidRDefault="00812A60">
                <w:pPr>
                  <w:tabs>
                    <w:tab w:val="right" w:pos="8838"/>
                  </w:tabs>
                  <w:ind w:right="-1552"/>
                  <w:rPr>
                    <w:rFonts w:ascii="Palatino Linotype" w:eastAsia="Palatino Linotype" w:hAnsi="Palatino Linotype" w:cs="Palatino Linotype"/>
                    <w:szCs w:val="18"/>
                  </w:rPr>
                </w:pPr>
              </w:p>
            </w:tc>
          </w:tr>
        </w:tbl>
        <w:p w:rsidR="00812A60" w:rsidRDefault="00812A60">
          <w:pPr>
            <w:tabs>
              <w:tab w:val="right" w:pos="8838"/>
            </w:tabs>
            <w:ind w:left="-28"/>
            <w:jc w:val="both"/>
            <w:rPr>
              <w:rFonts w:ascii="Arial" w:eastAsia="Arial" w:hAnsi="Arial" w:cs="Arial"/>
              <w:b/>
              <w:bCs/>
              <w:sz w:val="22"/>
              <w:szCs w:val="22"/>
            </w:rPr>
          </w:pPr>
        </w:p>
      </w:tc>
    </w:tr>
  </w:tbl>
  <w:p w:rsidR="00812A60" w:rsidRDefault="00C638E9">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766723"/>
    <w:multiLevelType w:val="multilevel"/>
    <w:tmpl w:val="0B10CB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E66CCC"/>
    <w:multiLevelType w:val="multilevel"/>
    <w:tmpl w:val="161A26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566A19"/>
    <w:multiLevelType w:val="multilevel"/>
    <w:tmpl w:val="0C687696"/>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1247EE"/>
    <w:multiLevelType w:val="multilevel"/>
    <w:tmpl w:val="5582D5A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7DD5562"/>
    <w:multiLevelType w:val="hybridMultilevel"/>
    <w:tmpl w:val="C38EA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8C63771"/>
    <w:multiLevelType w:val="multilevel"/>
    <w:tmpl w:val="44B42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5E1C6D"/>
    <w:multiLevelType w:val="multilevel"/>
    <w:tmpl w:val="68DEAE84"/>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60"/>
    <w:rsid w:val="0062387D"/>
    <w:rsid w:val="00793EB0"/>
    <w:rsid w:val="007B729D"/>
    <w:rsid w:val="00812A60"/>
    <w:rsid w:val="009404AA"/>
    <w:rsid w:val="00A52A49"/>
    <w:rsid w:val="00B85AD8"/>
    <w:rsid w:val="00C638E9"/>
    <w:rsid w:val="00D00B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66950AF-1523-4C1C-97C7-CFEE0614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92219.p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494805.pag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e59W62QJFCTTrcB8w+UmXqCQ==">CgMxLjAyDmguNjNvYmZja2VheXk1MgloLjN6bnlzaDcyCWguM2R5NnZrbTIOaC5uOGFiY2poNHR0NWgyDmguc2c2OXBqZnVzY3o2MgloLjMwajB6bGwyDmguaWxpN2xrNDdqMmUxMgloLjI2aW4xcmcyCGgubG54Yno5MgloLjM1bmt1bjI4AHIhMTFQVllkUnowaG5iUEFSVjBmRmFyNC1NN3dXYU51NmZk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7168</Words>
  <Characters>39424</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6</cp:revision>
  <cp:lastPrinted>2026-03-23T16:17:00Z</cp:lastPrinted>
  <dcterms:created xsi:type="dcterms:W3CDTF">2026-03-09T23:05:00Z</dcterms:created>
  <dcterms:modified xsi:type="dcterms:W3CDTF">2026-04-06T23:17:00Z</dcterms:modified>
</cp:coreProperties>
</file>