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04A" w:rsidRDefault="00FA604A">
      <w:pPr>
        <w:widowControl w:val="0"/>
        <w:pBdr>
          <w:top w:val="nil"/>
          <w:left w:val="nil"/>
          <w:bottom w:val="nil"/>
          <w:right w:val="nil"/>
          <w:between w:val="nil"/>
        </w:pBdr>
        <w:spacing w:line="276" w:lineRule="auto"/>
      </w:pP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bookmarkStart w:id="0" w:name="_heading=h.cf01nqe79ac" w:colFirst="0" w:colLast="0"/>
      <w:bookmarkEnd w:id="0"/>
      <w:r>
        <w:rPr>
          <w:rFonts w:ascii="Palatino Linotype" w:eastAsia="Palatino Linotype" w:hAnsi="Palatino Linotype" w:cs="Palatino Linotype"/>
          <w:color w:val="000000"/>
          <w:sz w:val="22"/>
          <w:szCs w:val="22"/>
        </w:rPr>
        <w:t xml:space="preserve">RESOLUCIÓN DEL RECURSO DE REVISIÓN 10851/INFOEM/IP/RR/2025 </w:t>
      </w:r>
    </w:p>
    <w:p w:rsidR="00FA604A" w:rsidRDefault="00FA604A">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rsidR="00FA604A" w:rsidRPr="00824FC5" w:rsidRDefault="00FA604A">
      <w:pPr>
        <w:spacing w:line="360" w:lineRule="auto"/>
        <w:jc w:val="both"/>
      </w:pPr>
    </w:p>
    <w:sdt>
      <w:sdtPr>
        <w:rPr>
          <w:sz w:val="20"/>
          <w:szCs w:val="20"/>
          <w:lang w:val="es-ES"/>
        </w:rPr>
        <w:id w:val="1141848775"/>
        <w:docPartObj>
          <w:docPartGallery w:val="Table of Contents"/>
          <w:docPartUnique/>
        </w:docPartObj>
      </w:sdtPr>
      <w:sdtEndPr>
        <w:rPr>
          <w:b/>
          <w:bCs/>
        </w:rPr>
      </w:sdtEndPr>
      <w:sdtContent>
        <w:p w:rsidR="00834DB8" w:rsidRPr="00824FC5" w:rsidRDefault="00834DB8">
          <w:pPr>
            <w:pStyle w:val="TtulodeTDC"/>
          </w:pPr>
          <w:r w:rsidRPr="00824FC5">
            <w:rPr>
              <w:lang w:val="es-ES"/>
            </w:rPr>
            <w:t>Contenido</w:t>
          </w:r>
        </w:p>
        <w:p w:rsidR="00824FC5" w:rsidRPr="00824FC5" w:rsidRDefault="00834DB8">
          <w:pPr>
            <w:pStyle w:val="TDC1"/>
            <w:tabs>
              <w:tab w:val="right" w:leader="dot" w:pos="8828"/>
            </w:tabs>
            <w:rPr>
              <w:rFonts w:cstheme="minorBidi"/>
              <w:noProof/>
            </w:rPr>
          </w:pPr>
          <w:r w:rsidRPr="00824FC5">
            <w:rPr>
              <w:bCs/>
              <w:lang w:val="es-ES"/>
            </w:rPr>
            <w:fldChar w:fldCharType="begin"/>
          </w:r>
          <w:r w:rsidRPr="00824FC5">
            <w:rPr>
              <w:bCs/>
              <w:lang w:val="es-ES"/>
            </w:rPr>
            <w:instrText xml:space="preserve"> TOC \o "1-3" \h \z \u </w:instrText>
          </w:r>
          <w:r w:rsidRPr="00824FC5">
            <w:rPr>
              <w:bCs/>
              <w:lang w:val="es-ES"/>
            </w:rPr>
            <w:fldChar w:fldCharType="separate"/>
          </w:r>
          <w:hyperlink w:anchor="_Toc219391658" w:history="1">
            <w:r w:rsidR="00824FC5" w:rsidRPr="00824FC5">
              <w:rPr>
                <w:rStyle w:val="Hipervnculo"/>
                <w:rFonts w:ascii="Palatino Linotype" w:eastAsia="Palatino Linotype" w:hAnsi="Palatino Linotype" w:cs="Palatino Linotype"/>
                <w:bCs/>
                <w:noProof/>
              </w:rPr>
              <w:t>A N T E C E D E N T E S</w:t>
            </w:r>
            <w:r w:rsidR="00824FC5" w:rsidRPr="00824FC5">
              <w:rPr>
                <w:noProof/>
                <w:webHidden/>
              </w:rPr>
              <w:tab/>
            </w:r>
            <w:r w:rsidR="00824FC5" w:rsidRPr="00824FC5">
              <w:rPr>
                <w:noProof/>
                <w:webHidden/>
              </w:rPr>
              <w:fldChar w:fldCharType="begin"/>
            </w:r>
            <w:r w:rsidR="00824FC5" w:rsidRPr="00824FC5">
              <w:rPr>
                <w:noProof/>
                <w:webHidden/>
              </w:rPr>
              <w:instrText xml:space="preserve"> PAGEREF _Toc219391658 \h </w:instrText>
            </w:r>
            <w:r w:rsidR="00824FC5" w:rsidRPr="00824FC5">
              <w:rPr>
                <w:noProof/>
                <w:webHidden/>
              </w:rPr>
            </w:r>
            <w:r w:rsidR="00824FC5" w:rsidRPr="00824FC5">
              <w:rPr>
                <w:noProof/>
                <w:webHidden/>
              </w:rPr>
              <w:fldChar w:fldCharType="separate"/>
            </w:r>
            <w:r w:rsidR="00385CD6">
              <w:rPr>
                <w:noProof/>
                <w:webHidden/>
              </w:rPr>
              <w:t>2</w:t>
            </w:r>
            <w:r w:rsidR="00824FC5" w:rsidRPr="00824FC5">
              <w:rPr>
                <w:noProof/>
                <w:webHidden/>
              </w:rPr>
              <w:fldChar w:fldCharType="end"/>
            </w:r>
          </w:hyperlink>
        </w:p>
        <w:p w:rsidR="00824FC5" w:rsidRPr="00824FC5" w:rsidRDefault="0023431D">
          <w:pPr>
            <w:pStyle w:val="TDC2"/>
            <w:tabs>
              <w:tab w:val="right" w:leader="dot" w:pos="8828"/>
            </w:tabs>
            <w:rPr>
              <w:rFonts w:cstheme="minorBidi"/>
              <w:noProof/>
            </w:rPr>
          </w:pPr>
          <w:hyperlink w:anchor="_Toc219391659" w:history="1">
            <w:r w:rsidR="00824FC5" w:rsidRPr="00824FC5">
              <w:rPr>
                <w:rStyle w:val="Hipervnculo"/>
                <w:rFonts w:ascii="Palatino Linotype" w:eastAsia="Palatino Linotype" w:hAnsi="Palatino Linotype" w:cs="Palatino Linotype"/>
                <w:bCs/>
                <w:noProof/>
              </w:rPr>
              <w:t>I. Presentación de la solicitud de información</w:t>
            </w:r>
            <w:r w:rsidR="00824FC5" w:rsidRPr="00824FC5">
              <w:rPr>
                <w:noProof/>
                <w:webHidden/>
              </w:rPr>
              <w:tab/>
            </w:r>
            <w:r w:rsidR="00824FC5" w:rsidRPr="00824FC5">
              <w:rPr>
                <w:noProof/>
                <w:webHidden/>
              </w:rPr>
              <w:fldChar w:fldCharType="begin"/>
            </w:r>
            <w:r w:rsidR="00824FC5" w:rsidRPr="00824FC5">
              <w:rPr>
                <w:noProof/>
                <w:webHidden/>
              </w:rPr>
              <w:instrText xml:space="preserve"> PAGEREF _Toc219391659 \h </w:instrText>
            </w:r>
            <w:r w:rsidR="00824FC5" w:rsidRPr="00824FC5">
              <w:rPr>
                <w:noProof/>
                <w:webHidden/>
              </w:rPr>
            </w:r>
            <w:r w:rsidR="00824FC5" w:rsidRPr="00824FC5">
              <w:rPr>
                <w:noProof/>
                <w:webHidden/>
              </w:rPr>
              <w:fldChar w:fldCharType="separate"/>
            </w:r>
            <w:r w:rsidR="00385CD6">
              <w:rPr>
                <w:noProof/>
                <w:webHidden/>
              </w:rPr>
              <w:t>2</w:t>
            </w:r>
            <w:r w:rsidR="00824FC5" w:rsidRPr="00824FC5">
              <w:rPr>
                <w:noProof/>
                <w:webHidden/>
              </w:rPr>
              <w:fldChar w:fldCharType="end"/>
            </w:r>
          </w:hyperlink>
        </w:p>
        <w:p w:rsidR="00824FC5" w:rsidRPr="00824FC5" w:rsidRDefault="0023431D">
          <w:pPr>
            <w:pStyle w:val="TDC2"/>
            <w:tabs>
              <w:tab w:val="right" w:leader="dot" w:pos="8828"/>
            </w:tabs>
            <w:rPr>
              <w:rFonts w:cstheme="minorBidi"/>
              <w:noProof/>
            </w:rPr>
          </w:pPr>
          <w:hyperlink w:anchor="_Toc219391660" w:history="1">
            <w:r w:rsidR="00824FC5" w:rsidRPr="00824FC5">
              <w:rPr>
                <w:rStyle w:val="Hipervnculo"/>
                <w:rFonts w:ascii="Palatino Linotype" w:eastAsia="Palatino Linotype" w:hAnsi="Palatino Linotype" w:cs="Palatino Linotype"/>
                <w:bCs/>
                <w:noProof/>
              </w:rPr>
              <w:t>II. Respuesta del Sujeto Obligado</w:t>
            </w:r>
            <w:r w:rsidR="00824FC5" w:rsidRPr="00824FC5">
              <w:rPr>
                <w:noProof/>
                <w:webHidden/>
              </w:rPr>
              <w:tab/>
            </w:r>
            <w:r w:rsidR="00824FC5" w:rsidRPr="00824FC5">
              <w:rPr>
                <w:noProof/>
                <w:webHidden/>
              </w:rPr>
              <w:fldChar w:fldCharType="begin"/>
            </w:r>
            <w:r w:rsidR="00824FC5" w:rsidRPr="00824FC5">
              <w:rPr>
                <w:noProof/>
                <w:webHidden/>
              </w:rPr>
              <w:instrText xml:space="preserve"> PAGEREF _Toc219391660 \h </w:instrText>
            </w:r>
            <w:r w:rsidR="00824FC5" w:rsidRPr="00824FC5">
              <w:rPr>
                <w:noProof/>
                <w:webHidden/>
              </w:rPr>
            </w:r>
            <w:r w:rsidR="00824FC5" w:rsidRPr="00824FC5">
              <w:rPr>
                <w:noProof/>
                <w:webHidden/>
              </w:rPr>
              <w:fldChar w:fldCharType="separate"/>
            </w:r>
            <w:r w:rsidR="00385CD6">
              <w:rPr>
                <w:noProof/>
                <w:webHidden/>
              </w:rPr>
              <w:t>3</w:t>
            </w:r>
            <w:r w:rsidR="00824FC5" w:rsidRPr="00824FC5">
              <w:rPr>
                <w:noProof/>
                <w:webHidden/>
              </w:rPr>
              <w:fldChar w:fldCharType="end"/>
            </w:r>
          </w:hyperlink>
        </w:p>
        <w:p w:rsidR="00824FC5" w:rsidRPr="00824FC5" w:rsidRDefault="0023431D">
          <w:pPr>
            <w:pStyle w:val="TDC2"/>
            <w:tabs>
              <w:tab w:val="right" w:leader="dot" w:pos="8828"/>
            </w:tabs>
            <w:rPr>
              <w:rFonts w:cstheme="minorBidi"/>
              <w:noProof/>
            </w:rPr>
          </w:pPr>
          <w:hyperlink w:anchor="_Toc219391661" w:history="1">
            <w:r w:rsidR="00824FC5" w:rsidRPr="00824FC5">
              <w:rPr>
                <w:rStyle w:val="Hipervnculo"/>
                <w:rFonts w:ascii="Palatino Linotype" w:eastAsia="Palatino Linotype" w:hAnsi="Palatino Linotype" w:cs="Palatino Linotype"/>
                <w:bCs/>
                <w:noProof/>
              </w:rPr>
              <w:t>III. Interposición del Recurso de Revisión</w:t>
            </w:r>
            <w:r w:rsidR="00824FC5" w:rsidRPr="00824FC5">
              <w:rPr>
                <w:noProof/>
                <w:webHidden/>
              </w:rPr>
              <w:tab/>
            </w:r>
            <w:r w:rsidR="00824FC5" w:rsidRPr="00824FC5">
              <w:rPr>
                <w:noProof/>
                <w:webHidden/>
              </w:rPr>
              <w:fldChar w:fldCharType="begin"/>
            </w:r>
            <w:r w:rsidR="00824FC5" w:rsidRPr="00824FC5">
              <w:rPr>
                <w:noProof/>
                <w:webHidden/>
              </w:rPr>
              <w:instrText xml:space="preserve"> PAGEREF _Toc219391661 \h </w:instrText>
            </w:r>
            <w:r w:rsidR="00824FC5" w:rsidRPr="00824FC5">
              <w:rPr>
                <w:noProof/>
                <w:webHidden/>
              </w:rPr>
            </w:r>
            <w:r w:rsidR="00824FC5" w:rsidRPr="00824FC5">
              <w:rPr>
                <w:noProof/>
                <w:webHidden/>
              </w:rPr>
              <w:fldChar w:fldCharType="separate"/>
            </w:r>
            <w:r w:rsidR="00385CD6">
              <w:rPr>
                <w:noProof/>
                <w:webHidden/>
              </w:rPr>
              <w:t>3</w:t>
            </w:r>
            <w:r w:rsidR="00824FC5" w:rsidRPr="00824FC5">
              <w:rPr>
                <w:noProof/>
                <w:webHidden/>
              </w:rPr>
              <w:fldChar w:fldCharType="end"/>
            </w:r>
          </w:hyperlink>
        </w:p>
        <w:p w:rsidR="00824FC5" w:rsidRPr="00824FC5" w:rsidRDefault="0023431D">
          <w:pPr>
            <w:pStyle w:val="TDC2"/>
            <w:tabs>
              <w:tab w:val="right" w:leader="dot" w:pos="8828"/>
            </w:tabs>
            <w:rPr>
              <w:rFonts w:cstheme="minorBidi"/>
              <w:noProof/>
            </w:rPr>
          </w:pPr>
          <w:hyperlink w:anchor="_Toc219391662" w:history="1">
            <w:r w:rsidR="00824FC5" w:rsidRPr="00824FC5">
              <w:rPr>
                <w:rStyle w:val="Hipervnculo"/>
                <w:rFonts w:ascii="Palatino Linotype" w:eastAsia="Palatino Linotype" w:hAnsi="Palatino Linotype" w:cs="Palatino Linotype"/>
                <w:bCs/>
                <w:noProof/>
              </w:rPr>
              <w:t>IV. Trámite del Recurso de Revisión ante este Instituto</w:t>
            </w:r>
            <w:r w:rsidR="00824FC5" w:rsidRPr="00824FC5">
              <w:rPr>
                <w:noProof/>
                <w:webHidden/>
              </w:rPr>
              <w:tab/>
            </w:r>
            <w:r w:rsidR="00824FC5" w:rsidRPr="00824FC5">
              <w:rPr>
                <w:noProof/>
                <w:webHidden/>
              </w:rPr>
              <w:fldChar w:fldCharType="begin"/>
            </w:r>
            <w:r w:rsidR="00824FC5" w:rsidRPr="00824FC5">
              <w:rPr>
                <w:noProof/>
                <w:webHidden/>
              </w:rPr>
              <w:instrText xml:space="preserve"> PAGEREF _Toc219391662 \h </w:instrText>
            </w:r>
            <w:r w:rsidR="00824FC5" w:rsidRPr="00824FC5">
              <w:rPr>
                <w:noProof/>
                <w:webHidden/>
              </w:rPr>
            </w:r>
            <w:r w:rsidR="00824FC5" w:rsidRPr="00824FC5">
              <w:rPr>
                <w:noProof/>
                <w:webHidden/>
              </w:rPr>
              <w:fldChar w:fldCharType="separate"/>
            </w:r>
            <w:r w:rsidR="00385CD6">
              <w:rPr>
                <w:noProof/>
                <w:webHidden/>
              </w:rPr>
              <w:t>4</w:t>
            </w:r>
            <w:r w:rsidR="00824FC5" w:rsidRPr="00824FC5">
              <w:rPr>
                <w:noProof/>
                <w:webHidden/>
              </w:rPr>
              <w:fldChar w:fldCharType="end"/>
            </w:r>
          </w:hyperlink>
        </w:p>
        <w:p w:rsidR="00824FC5" w:rsidRPr="00824FC5" w:rsidRDefault="0023431D">
          <w:pPr>
            <w:pStyle w:val="TDC1"/>
            <w:tabs>
              <w:tab w:val="right" w:leader="dot" w:pos="8828"/>
            </w:tabs>
            <w:rPr>
              <w:rFonts w:cstheme="minorBidi"/>
              <w:noProof/>
            </w:rPr>
          </w:pPr>
          <w:hyperlink w:anchor="_Toc219391663" w:history="1">
            <w:r w:rsidR="00824FC5" w:rsidRPr="00824FC5">
              <w:rPr>
                <w:rStyle w:val="Hipervnculo"/>
                <w:rFonts w:ascii="Palatino Linotype" w:eastAsia="Palatino Linotype" w:hAnsi="Palatino Linotype" w:cs="Palatino Linotype"/>
                <w:bCs/>
                <w:noProof/>
              </w:rPr>
              <w:t>C O N S I D E R A N D O S</w:t>
            </w:r>
            <w:r w:rsidR="00824FC5" w:rsidRPr="00824FC5">
              <w:rPr>
                <w:noProof/>
                <w:webHidden/>
              </w:rPr>
              <w:tab/>
            </w:r>
            <w:r w:rsidR="00824FC5" w:rsidRPr="00824FC5">
              <w:rPr>
                <w:noProof/>
                <w:webHidden/>
              </w:rPr>
              <w:fldChar w:fldCharType="begin"/>
            </w:r>
            <w:r w:rsidR="00824FC5" w:rsidRPr="00824FC5">
              <w:rPr>
                <w:noProof/>
                <w:webHidden/>
              </w:rPr>
              <w:instrText xml:space="preserve"> PAGEREF _Toc219391663 \h </w:instrText>
            </w:r>
            <w:r w:rsidR="00824FC5" w:rsidRPr="00824FC5">
              <w:rPr>
                <w:noProof/>
                <w:webHidden/>
              </w:rPr>
            </w:r>
            <w:r w:rsidR="00824FC5" w:rsidRPr="00824FC5">
              <w:rPr>
                <w:noProof/>
                <w:webHidden/>
              </w:rPr>
              <w:fldChar w:fldCharType="separate"/>
            </w:r>
            <w:r w:rsidR="00385CD6">
              <w:rPr>
                <w:noProof/>
                <w:webHidden/>
              </w:rPr>
              <w:t>6</w:t>
            </w:r>
            <w:r w:rsidR="00824FC5" w:rsidRPr="00824FC5">
              <w:rPr>
                <w:noProof/>
                <w:webHidden/>
              </w:rPr>
              <w:fldChar w:fldCharType="end"/>
            </w:r>
          </w:hyperlink>
        </w:p>
        <w:p w:rsidR="00824FC5" w:rsidRPr="00824FC5" w:rsidRDefault="0023431D">
          <w:pPr>
            <w:pStyle w:val="TDC2"/>
            <w:tabs>
              <w:tab w:val="right" w:leader="dot" w:pos="8828"/>
            </w:tabs>
            <w:rPr>
              <w:rFonts w:cstheme="minorBidi"/>
              <w:noProof/>
            </w:rPr>
          </w:pPr>
          <w:hyperlink w:anchor="_Toc219391664" w:history="1">
            <w:r w:rsidR="00824FC5" w:rsidRPr="00824FC5">
              <w:rPr>
                <w:rStyle w:val="Hipervnculo"/>
                <w:rFonts w:ascii="Palatino Linotype" w:eastAsia="Palatino Linotype" w:hAnsi="Palatino Linotype" w:cs="Palatino Linotype"/>
                <w:bCs/>
                <w:noProof/>
              </w:rPr>
              <w:t>PRIMERO. Competencia</w:t>
            </w:r>
            <w:r w:rsidR="00824FC5" w:rsidRPr="00824FC5">
              <w:rPr>
                <w:noProof/>
                <w:webHidden/>
              </w:rPr>
              <w:tab/>
            </w:r>
            <w:r w:rsidR="00824FC5" w:rsidRPr="00824FC5">
              <w:rPr>
                <w:noProof/>
                <w:webHidden/>
              </w:rPr>
              <w:fldChar w:fldCharType="begin"/>
            </w:r>
            <w:r w:rsidR="00824FC5" w:rsidRPr="00824FC5">
              <w:rPr>
                <w:noProof/>
                <w:webHidden/>
              </w:rPr>
              <w:instrText xml:space="preserve"> PAGEREF _Toc219391664 \h </w:instrText>
            </w:r>
            <w:r w:rsidR="00824FC5" w:rsidRPr="00824FC5">
              <w:rPr>
                <w:noProof/>
                <w:webHidden/>
              </w:rPr>
            </w:r>
            <w:r w:rsidR="00824FC5" w:rsidRPr="00824FC5">
              <w:rPr>
                <w:noProof/>
                <w:webHidden/>
              </w:rPr>
              <w:fldChar w:fldCharType="separate"/>
            </w:r>
            <w:r w:rsidR="00385CD6">
              <w:rPr>
                <w:noProof/>
                <w:webHidden/>
              </w:rPr>
              <w:t>6</w:t>
            </w:r>
            <w:r w:rsidR="00824FC5" w:rsidRPr="00824FC5">
              <w:rPr>
                <w:noProof/>
                <w:webHidden/>
              </w:rPr>
              <w:fldChar w:fldCharType="end"/>
            </w:r>
          </w:hyperlink>
        </w:p>
        <w:p w:rsidR="00824FC5" w:rsidRPr="00824FC5" w:rsidRDefault="0023431D">
          <w:pPr>
            <w:pStyle w:val="TDC2"/>
            <w:tabs>
              <w:tab w:val="right" w:leader="dot" w:pos="8828"/>
            </w:tabs>
            <w:rPr>
              <w:rFonts w:cstheme="minorBidi"/>
              <w:noProof/>
            </w:rPr>
          </w:pPr>
          <w:hyperlink w:anchor="_Toc219391665" w:history="1">
            <w:r w:rsidR="00824FC5" w:rsidRPr="00824FC5">
              <w:rPr>
                <w:rStyle w:val="Hipervnculo"/>
                <w:rFonts w:ascii="Palatino Linotype" w:eastAsia="Palatino Linotype" w:hAnsi="Palatino Linotype" w:cs="Palatino Linotype"/>
                <w:bCs/>
                <w:noProof/>
              </w:rPr>
              <w:t>SEGUNDO. Causales de improcedencia y sobreseimiento</w:t>
            </w:r>
            <w:r w:rsidR="00824FC5" w:rsidRPr="00824FC5">
              <w:rPr>
                <w:noProof/>
                <w:webHidden/>
              </w:rPr>
              <w:tab/>
            </w:r>
            <w:r w:rsidR="00824FC5" w:rsidRPr="00824FC5">
              <w:rPr>
                <w:noProof/>
                <w:webHidden/>
              </w:rPr>
              <w:fldChar w:fldCharType="begin"/>
            </w:r>
            <w:r w:rsidR="00824FC5" w:rsidRPr="00824FC5">
              <w:rPr>
                <w:noProof/>
                <w:webHidden/>
              </w:rPr>
              <w:instrText xml:space="preserve"> PAGEREF _Toc219391665 \h </w:instrText>
            </w:r>
            <w:r w:rsidR="00824FC5" w:rsidRPr="00824FC5">
              <w:rPr>
                <w:noProof/>
                <w:webHidden/>
              </w:rPr>
            </w:r>
            <w:r w:rsidR="00824FC5" w:rsidRPr="00824FC5">
              <w:rPr>
                <w:noProof/>
                <w:webHidden/>
              </w:rPr>
              <w:fldChar w:fldCharType="separate"/>
            </w:r>
            <w:r w:rsidR="00385CD6">
              <w:rPr>
                <w:noProof/>
                <w:webHidden/>
              </w:rPr>
              <w:t>7</w:t>
            </w:r>
            <w:r w:rsidR="00824FC5" w:rsidRPr="00824FC5">
              <w:rPr>
                <w:noProof/>
                <w:webHidden/>
              </w:rPr>
              <w:fldChar w:fldCharType="end"/>
            </w:r>
          </w:hyperlink>
        </w:p>
        <w:p w:rsidR="00824FC5" w:rsidRPr="00824FC5" w:rsidRDefault="0023431D">
          <w:pPr>
            <w:pStyle w:val="TDC2"/>
            <w:tabs>
              <w:tab w:val="right" w:leader="dot" w:pos="8828"/>
            </w:tabs>
            <w:rPr>
              <w:rFonts w:cstheme="minorBidi"/>
              <w:noProof/>
            </w:rPr>
          </w:pPr>
          <w:hyperlink w:anchor="_Toc219391666" w:history="1">
            <w:r w:rsidR="00824FC5" w:rsidRPr="00824FC5">
              <w:rPr>
                <w:rStyle w:val="Hipervnculo"/>
                <w:rFonts w:ascii="Palatino Linotype" w:eastAsia="Palatino Linotype" w:hAnsi="Palatino Linotype" w:cs="Palatino Linotype"/>
                <w:bCs/>
                <w:noProof/>
              </w:rPr>
              <w:t>TERCERO. Causales de sobreseimiento</w:t>
            </w:r>
            <w:r w:rsidR="00824FC5" w:rsidRPr="00824FC5">
              <w:rPr>
                <w:noProof/>
                <w:webHidden/>
              </w:rPr>
              <w:tab/>
            </w:r>
            <w:r w:rsidR="00824FC5" w:rsidRPr="00824FC5">
              <w:rPr>
                <w:noProof/>
                <w:webHidden/>
              </w:rPr>
              <w:fldChar w:fldCharType="begin"/>
            </w:r>
            <w:r w:rsidR="00824FC5" w:rsidRPr="00824FC5">
              <w:rPr>
                <w:noProof/>
                <w:webHidden/>
              </w:rPr>
              <w:instrText xml:space="preserve"> PAGEREF _Toc219391666 \h </w:instrText>
            </w:r>
            <w:r w:rsidR="00824FC5" w:rsidRPr="00824FC5">
              <w:rPr>
                <w:noProof/>
                <w:webHidden/>
              </w:rPr>
            </w:r>
            <w:r w:rsidR="00824FC5" w:rsidRPr="00824FC5">
              <w:rPr>
                <w:noProof/>
                <w:webHidden/>
              </w:rPr>
              <w:fldChar w:fldCharType="separate"/>
            </w:r>
            <w:r w:rsidR="00385CD6">
              <w:rPr>
                <w:noProof/>
                <w:webHidden/>
              </w:rPr>
              <w:t>8</w:t>
            </w:r>
            <w:r w:rsidR="00824FC5" w:rsidRPr="00824FC5">
              <w:rPr>
                <w:noProof/>
                <w:webHidden/>
              </w:rPr>
              <w:fldChar w:fldCharType="end"/>
            </w:r>
          </w:hyperlink>
        </w:p>
        <w:p w:rsidR="00824FC5" w:rsidRPr="00824FC5" w:rsidRDefault="0023431D">
          <w:pPr>
            <w:pStyle w:val="TDC2"/>
            <w:tabs>
              <w:tab w:val="right" w:leader="dot" w:pos="8828"/>
            </w:tabs>
            <w:rPr>
              <w:rFonts w:cstheme="minorBidi"/>
              <w:noProof/>
            </w:rPr>
          </w:pPr>
          <w:hyperlink w:anchor="_Toc219391667" w:history="1">
            <w:r w:rsidR="00824FC5" w:rsidRPr="00824FC5">
              <w:rPr>
                <w:rStyle w:val="Hipervnculo"/>
                <w:rFonts w:ascii="Palatino Linotype" w:eastAsia="Palatino Linotype" w:hAnsi="Palatino Linotype" w:cs="Palatino Linotype"/>
                <w:bCs/>
                <w:noProof/>
              </w:rPr>
              <w:t>CUARTO. Decisión</w:t>
            </w:r>
            <w:r w:rsidR="00824FC5" w:rsidRPr="00824FC5">
              <w:rPr>
                <w:noProof/>
                <w:webHidden/>
              </w:rPr>
              <w:tab/>
            </w:r>
            <w:r w:rsidR="00824FC5" w:rsidRPr="00824FC5">
              <w:rPr>
                <w:noProof/>
                <w:webHidden/>
              </w:rPr>
              <w:fldChar w:fldCharType="begin"/>
            </w:r>
            <w:r w:rsidR="00824FC5" w:rsidRPr="00824FC5">
              <w:rPr>
                <w:noProof/>
                <w:webHidden/>
              </w:rPr>
              <w:instrText xml:space="preserve"> PAGEREF _Toc219391667 \h </w:instrText>
            </w:r>
            <w:r w:rsidR="00824FC5" w:rsidRPr="00824FC5">
              <w:rPr>
                <w:noProof/>
                <w:webHidden/>
              </w:rPr>
            </w:r>
            <w:r w:rsidR="00824FC5" w:rsidRPr="00824FC5">
              <w:rPr>
                <w:noProof/>
                <w:webHidden/>
              </w:rPr>
              <w:fldChar w:fldCharType="separate"/>
            </w:r>
            <w:r w:rsidR="00385CD6">
              <w:rPr>
                <w:noProof/>
                <w:webHidden/>
              </w:rPr>
              <w:t>15</w:t>
            </w:r>
            <w:r w:rsidR="00824FC5" w:rsidRPr="00824FC5">
              <w:rPr>
                <w:noProof/>
                <w:webHidden/>
              </w:rPr>
              <w:fldChar w:fldCharType="end"/>
            </w:r>
          </w:hyperlink>
        </w:p>
        <w:p w:rsidR="00824FC5" w:rsidRPr="00824FC5" w:rsidRDefault="0023431D">
          <w:pPr>
            <w:pStyle w:val="TDC2"/>
            <w:tabs>
              <w:tab w:val="right" w:leader="dot" w:pos="8828"/>
            </w:tabs>
            <w:rPr>
              <w:rFonts w:cstheme="minorBidi"/>
              <w:noProof/>
            </w:rPr>
          </w:pPr>
          <w:hyperlink w:anchor="_Toc219391668" w:history="1">
            <w:r w:rsidR="00824FC5" w:rsidRPr="00824FC5">
              <w:rPr>
                <w:rStyle w:val="Hipervnculo"/>
                <w:rFonts w:ascii="Palatino Linotype" w:eastAsia="Palatino Linotype" w:hAnsi="Palatino Linotype" w:cs="Palatino Linotype"/>
                <w:bCs/>
                <w:noProof/>
              </w:rPr>
              <w:t>R E S U E L V E</w:t>
            </w:r>
            <w:r w:rsidR="00824FC5" w:rsidRPr="00824FC5">
              <w:rPr>
                <w:noProof/>
                <w:webHidden/>
              </w:rPr>
              <w:tab/>
            </w:r>
            <w:r w:rsidR="00824FC5" w:rsidRPr="00824FC5">
              <w:rPr>
                <w:noProof/>
                <w:webHidden/>
              </w:rPr>
              <w:fldChar w:fldCharType="begin"/>
            </w:r>
            <w:r w:rsidR="00824FC5" w:rsidRPr="00824FC5">
              <w:rPr>
                <w:noProof/>
                <w:webHidden/>
              </w:rPr>
              <w:instrText xml:space="preserve"> PAGEREF _Toc219391668 \h </w:instrText>
            </w:r>
            <w:r w:rsidR="00824FC5" w:rsidRPr="00824FC5">
              <w:rPr>
                <w:noProof/>
                <w:webHidden/>
              </w:rPr>
            </w:r>
            <w:r w:rsidR="00824FC5" w:rsidRPr="00824FC5">
              <w:rPr>
                <w:noProof/>
                <w:webHidden/>
              </w:rPr>
              <w:fldChar w:fldCharType="separate"/>
            </w:r>
            <w:r w:rsidR="00385CD6">
              <w:rPr>
                <w:noProof/>
                <w:webHidden/>
              </w:rPr>
              <w:t>16</w:t>
            </w:r>
            <w:r w:rsidR="00824FC5" w:rsidRPr="00824FC5">
              <w:rPr>
                <w:noProof/>
                <w:webHidden/>
              </w:rPr>
              <w:fldChar w:fldCharType="end"/>
            </w:r>
          </w:hyperlink>
        </w:p>
        <w:p w:rsidR="00834DB8" w:rsidRDefault="00834DB8">
          <w:r w:rsidRPr="00824FC5">
            <w:rPr>
              <w:bCs/>
              <w:lang w:val="es-ES"/>
            </w:rPr>
            <w:fldChar w:fldCharType="end"/>
          </w:r>
        </w:p>
      </w:sdtContent>
    </w:sdt>
    <w:p w:rsidR="00834DB8" w:rsidRDefault="00834DB8">
      <w:pPr>
        <w:spacing w:line="360" w:lineRule="auto"/>
        <w:jc w:val="both"/>
      </w:pPr>
    </w:p>
    <w:p w:rsidR="00834DB8" w:rsidRDefault="00834DB8">
      <w:pPr>
        <w:spacing w:line="360" w:lineRule="auto"/>
        <w:jc w:val="both"/>
      </w:pPr>
    </w:p>
    <w:p w:rsidR="00834DB8" w:rsidRDefault="00834DB8">
      <w:pPr>
        <w:spacing w:line="360" w:lineRule="auto"/>
        <w:jc w:val="both"/>
      </w:pPr>
    </w:p>
    <w:p w:rsidR="00834DB8" w:rsidRDefault="00834DB8">
      <w:pPr>
        <w:spacing w:line="360" w:lineRule="auto"/>
        <w:jc w:val="both"/>
      </w:pPr>
    </w:p>
    <w:p w:rsidR="00834DB8" w:rsidRDefault="00834DB8">
      <w:pPr>
        <w:spacing w:line="360" w:lineRule="auto"/>
        <w:jc w:val="both"/>
      </w:pPr>
    </w:p>
    <w:p w:rsidR="00834DB8" w:rsidRDefault="00834DB8">
      <w:pPr>
        <w:spacing w:line="360" w:lineRule="auto"/>
        <w:jc w:val="both"/>
      </w:pPr>
    </w:p>
    <w:p w:rsidR="00834DB8" w:rsidRDefault="00834DB8">
      <w:pPr>
        <w:spacing w:line="360" w:lineRule="auto"/>
        <w:jc w:val="both"/>
      </w:pPr>
    </w:p>
    <w:p w:rsidR="00834DB8" w:rsidRDefault="00834DB8">
      <w:pPr>
        <w:spacing w:line="360" w:lineRule="auto"/>
        <w:jc w:val="both"/>
      </w:pPr>
    </w:p>
    <w:p w:rsidR="00834DB8" w:rsidRDefault="00834DB8">
      <w:pPr>
        <w:spacing w:line="360" w:lineRule="auto"/>
        <w:jc w:val="both"/>
      </w:pPr>
    </w:p>
    <w:p w:rsidR="00834DB8" w:rsidRDefault="00834DB8">
      <w:pPr>
        <w:spacing w:line="360" w:lineRule="auto"/>
        <w:jc w:val="both"/>
      </w:pPr>
    </w:p>
    <w:p w:rsidR="00834DB8" w:rsidRDefault="00834DB8">
      <w:pPr>
        <w:spacing w:line="360" w:lineRule="auto"/>
        <w:jc w:val="both"/>
      </w:pPr>
    </w:p>
    <w:p w:rsidR="00834DB8" w:rsidRDefault="00834DB8">
      <w:pPr>
        <w:spacing w:line="360" w:lineRule="auto"/>
        <w:jc w:val="both"/>
      </w:pPr>
    </w:p>
    <w:p w:rsidR="00834DB8" w:rsidRDefault="00834DB8">
      <w:pPr>
        <w:spacing w:line="360" w:lineRule="auto"/>
        <w:jc w:val="both"/>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catorce de enero de dos mil veintiséis.</w:t>
      </w:r>
    </w:p>
    <w:p w:rsidR="00FA604A" w:rsidRDefault="00FA604A">
      <w:pPr>
        <w:spacing w:line="360" w:lineRule="auto"/>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D0D0D"/>
          <w:sz w:val="22"/>
          <w:szCs w:val="22"/>
        </w:rPr>
        <w:t xml:space="preserve">VISTO </w:t>
      </w:r>
      <w:r>
        <w:rPr>
          <w:rFonts w:ascii="Palatino Linotype" w:eastAsia="Palatino Linotype" w:hAnsi="Palatino Linotype" w:cs="Palatino Linotype"/>
          <w:color w:val="0D0D0D"/>
          <w:sz w:val="22"/>
          <w:szCs w:val="22"/>
        </w:rPr>
        <w:t xml:space="preserve">el expediente conformado con motivo del Recurso de Revisión </w:t>
      </w:r>
      <w:r w:rsidRPr="00E72A5A">
        <w:rPr>
          <w:rFonts w:ascii="Palatino Linotype" w:eastAsia="Palatino Linotype" w:hAnsi="Palatino Linotype" w:cs="Palatino Linotype"/>
          <w:b/>
          <w:sz w:val="22"/>
          <w:szCs w:val="22"/>
        </w:rPr>
        <w:t>10851/INFOEM/IP/RR/2025</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D0D0D"/>
          <w:sz w:val="22"/>
          <w:szCs w:val="22"/>
        </w:rPr>
        <w:t>interpuesto por</w:t>
      </w:r>
      <w:r>
        <w:rPr>
          <w:rFonts w:ascii="Palatino Linotype" w:eastAsia="Palatino Linotype" w:hAnsi="Palatino Linotype" w:cs="Palatino Linotype"/>
          <w:sz w:val="22"/>
          <w:szCs w:val="22"/>
        </w:rPr>
        <w:t xml:space="preserve"> </w:t>
      </w:r>
      <w:r w:rsidR="00D02C04" w:rsidRPr="00D02C04">
        <w:rPr>
          <w:rFonts w:ascii="Palatino Linotype" w:eastAsia="Palatino Linotype" w:hAnsi="Palatino Linotype" w:cs="Palatino Linotype"/>
          <w:sz w:val="22"/>
          <w:szCs w:val="22"/>
          <w:highlight w:val="black"/>
        </w:rPr>
        <w:t>XXXXXXXXXXXXXX</w:t>
      </w:r>
      <w:r>
        <w:rPr>
          <w:rFonts w:ascii="Palatino Linotype" w:eastAsia="Palatino Linotype" w:hAnsi="Palatino Linotype" w:cs="Palatino Linotype"/>
          <w:color w:val="0D0D0D"/>
          <w:sz w:val="22"/>
          <w:szCs w:val="22"/>
        </w:rPr>
        <w:t>, en lo sucesivo la persona Recurrente o Particular, en contra de la respuesta</w:t>
      </w:r>
      <w:bookmarkStart w:id="1" w:name="_GoBack"/>
      <w:bookmarkEnd w:id="1"/>
      <w:r>
        <w:rPr>
          <w:rFonts w:ascii="Palatino Linotype" w:eastAsia="Palatino Linotype" w:hAnsi="Palatino Linotype" w:cs="Palatino Linotype"/>
          <w:color w:val="0D0D0D"/>
          <w:sz w:val="22"/>
          <w:szCs w:val="22"/>
        </w:rPr>
        <w:t xml:space="preserve"> del Sujeto Obligado, </w:t>
      </w:r>
      <w:r w:rsidRPr="00E72A5A">
        <w:rPr>
          <w:rFonts w:ascii="Palatino Linotype" w:eastAsia="Palatino Linotype" w:hAnsi="Palatino Linotype" w:cs="Palatino Linotype"/>
          <w:b/>
          <w:sz w:val="22"/>
          <w:szCs w:val="22"/>
        </w:rPr>
        <w:t>Ayuntamiento de Almoloya de Juárez</w:t>
      </w:r>
      <w:r w:rsidRPr="00E72A5A">
        <w:rPr>
          <w:rFonts w:ascii="Palatino Linotype" w:eastAsia="Palatino Linotype" w:hAnsi="Palatino Linotype" w:cs="Palatino Linotype"/>
          <w:b/>
          <w:color w:val="0D0D0D"/>
          <w:sz w:val="22"/>
          <w:szCs w:val="22"/>
        </w:rPr>
        <w:t>,</w:t>
      </w:r>
      <w:r>
        <w:rPr>
          <w:rFonts w:ascii="Palatino Linotype" w:eastAsia="Palatino Linotype" w:hAnsi="Palatino Linotype" w:cs="Palatino Linotype"/>
          <w:color w:val="0D0D0D"/>
          <w:sz w:val="22"/>
          <w:szCs w:val="22"/>
        </w:rPr>
        <w:t xml:space="preserve"> a la solicitud de acceso a la información pública </w:t>
      </w:r>
      <w:r>
        <w:rPr>
          <w:rFonts w:ascii="Palatino Linotype" w:eastAsia="Palatino Linotype" w:hAnsi="Palatino Linotype" w:cs="Palatino Linotype"/>
          <w:sz w:val="22"/>
          <w:szCs w:val="22"/>
        </w:rPr>
        <w:t xml:space="preserve">00385/ALMOJU/IP/2025, </w:t>
      </w:r>
      <w:r>
        <w:rPr>
          <w:rFonts w:ascii="Palatino Linotype" w:eastAsia="Palatino Linotype" w:hAnsi="Palatino Linotype" w:cs="Palatino Linotype"/>
          <w:color w:val="0D0D0D"/>
          <w:sz w:val="22"/>
          <w:szCs w:val="22"/>
        </w:rPr>
        <w:t>se emite la presente Resolución, con base en los Antecedentes y C</w:t>
      </w:r>
      <w:r>
        <w:rPr>
          <w:rFonts w:ascii="Palatino Linotype" w:eastAsia="Palatino Linotype" w:hAnsi="Palatino Linotype" w:cs="Palatino Linotype"/>
          <w:sz w:val="22"/>
          <w:szCs w:val="22"/>
        </w:rPr>
        <w:t>onsiderandos que a continuación se exponen:</w:t>
      </w:r>
    </w:p>
    <w:p w:rsidR="00FA604A" w:rsidRDefault="00FA604A">
      <w:pPr>
        <w:tabs>
          <w:tab w:val="center" w:pos="4522"/>
          <w:tab w:val="left" w:pos="7245"/>
        </w:tabs>
        <w:spacing w:line="360" w:lineRule="auto"/>
        <w:jc w:val="center"/>
        <w:rPr>
          <w:rFonts w:ascii="Palatino Linotype" w:eastAsia="Palatino Linotype" w:hAnsi="Palatino Linotype" w:cs="Palatino Linotype"/>
          <w:b/>
          <w:bCs/>
          <w:sz w:val="22"/>
          <w:szCs w:val="22"/>
        </w:rPr>
      </w:pPr>
    </w:p>
    <w:p w:rsidR="00FA604A" w:rsidRDefault="00637DDA">
      <w:pPr>
        <w:pStyle w:val="Ttulo1"/>
        <w:spacing w:before="0" w:after="0" w:line="360" w:lineRule="auto"/>
        <w:jc w:val="center"/>
        <w:rPr>
          <w:rFonts w:ascii="Palatino Linotype" w:eastAsia="Palatino Linotype" w:hAnsi="Palatino Linotype" w:cs="Palatino Linotype"/>
          <w:b/>
          <w:bCs/>
          <w:color w:val="000000"/>
          <w:sz w:val="22"/>
          <w:szCs w:val="22"/>
        </w:rPr>
      </w:pPr>
      <w:bookmarkStart w:id="2" w:name="_heading=h.6ouxmat0iqjx" w:colFirst="0" w:colLast="0"/>
      <w:bookmarkStart w:id="3" w:name="_Toc219391658"/>
      <w:bookmarkEnd w:id="2"/>
      <w:r>
        <w:rPr>
          <w:rFonts w:ascii="Palatino Linotype" w:eastAsia="Palatino Linotype" w:hAnsi="Palatino Linotype" w:cs="Palatino Linotype"/>
          <w:b/>
          <w:bCs/>
          <w:color w:val="000000"/>
          <w:sz w:val="22"/>
          <w:szCs w:val="22"/>
        </w:rPr>
        <w:t>A N T E C E D E N T E S</w:t>
      </w:r>
      <w:bookmarkEnd w:id="3"/>
    </w:p>
    <w:p w:rsidR="00FA604A" w:rsidRDefault="00FA604A">
      <w:pPr>
        <w:pBdr>
          <w:top w:val="nil"/>
          <w:left w:val="nil"/>
          <w:bottom w:val="nil"/>
          <w:right w:val="nil"/>
          <w:between w:val="nil"/>
        </w:pBdr>
        <w:tabs>
          <w:tab w:val="left" w:pos="567"/>
        </w:tabs>
        <w:spacing w:line="360" w:lineRule="auto"/>
        <w:ind w:left="567"/>
        <w:jc w:val="both"/>
        <w:rPr>
          <w:rFonts w:ascii="Palatino Linotype" w:eastAsia="Palatino Linotype" w:hAnsi="Palatino Linotype" w:cs="Palatino Linotype"/>
          <w:color w:val="000000"/>
          <w:sz w:val="22"/>
          <w:szCs w:val="22"/>
        </w:rPr>
      </w:pPr>
    </w:p>
    <w:p w:rsidR="00FA604A" w:rsidRDefault="00637DDA">
      <w:pPr>
        <w:pStyle w:val="Ttulo2"/>
        <w:spacing w:before="0" w:after="0" w:line="360" w:lineRule="auto"/>
        <w:rPr>
          <w:rFonts w:ascii="Palatino Linotype" w:eastAsia="Palatino Linotype" w:hAnsi="Palatino Linotype" w:cs="Palatino Linotype"/>
          <w:b/>
          <w:bCs/>
          <w:color w:val="000000"/>
          <w:sz w:val="22"/>
          <w:szCs w:val="22"/>
        </w:rPr>
      </w:pPr>
      <w:bookmarkStart w:id="4" w:name="_heading=h.v79knf9upf2j" w:colFirst="0" w:colLast="0"/>
      <w:bookmarkStart w:id="5" w:name="_Toc219391659"/>
      <w:bookmarkEnd w:id="4"/>
      <w:r>
        <w:rPr>
          <w:rFonts w:ascii="Palatino Linotype" w:eastAsia="Palatino Linotype" w:hAnsi="Palatino Linotype" w:cs="Palatino Linotype"/>
          <w:b/>
          <w:bCs/>
          <w:color w:val="000000"/>
          <w:sz w:val="22"/>
          <w:szCs w:val="22"/>
        </w:rPr>
        <w:t>I. Presentación de la solicitud de información</w:t>
      </w:r>
      <w:bookmarkEnd w:id="5"/>
    </w:p>
    <w:p w:rsidR="00FA604A" w:rsidRDefault="00FA604A">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2"/>
          <w:szCs w:val="22"/>
        </w:rPr>
      </w:pPr>
    </w:p>
    <w:p w:rsidR="00FA604A" w:rsidRDefault="00637DDA">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fecha veinte de agosto de dos mil veinticinco, el Particular presentó una solicitud de acceso a la información pública, a través del Sistema de Acceso a la Información Mexiquense, en lo sucesivo el SAIMEX, ante el Ayuntamiento de Almoloya de Juárez, mediante la cual requirió lo siguiente:</w:t>
      </w:r>
    </w:p>
    <w:p w:rsidR="00FA604A" w:rsidRDefault="00FA604A">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FA604A" w:rsidRDefault="00637DDA">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“DESCRIPCIÓN CLARA Y PRECISA DE LA INFORMACIÓN SOLICITADA</w:t>
      </w:r>
    </w:p>
    <w:p w:rsidR="00FA604A" w:rsidRDefault="00637DDA">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i/>
          <w:iCs/>
        </w:rPr>
        <w:t xml:space="preserve">Solicito saber si existen obras por ejecutar en la localidad de Ejido San Pedro, Almoloya de Juárez, específicamente si se encuentra programado, monto de inversión y detalle de la obra: </w:t>
      </w:r>
      <w:proofErr w:type="spellStart"/>
      <w:r>
        <w:rPr>
          <w:rFonts w:ascii="Palatino Linotype" w:eastAsia="Palatino Linotype" w:hAnsi="Palatino Linotype" w:cs="Palatino Linotype"/>
          <w:i/>
          <w:iCs/>
        </w:rPr>
        <w:t>encementado</w:t>
      </w:r>
      <w:proofErr w:type="spellEnd"/>
      <w:r>
        <w:rPr>
          <w:rFonts w:ascii="Palatino Linotype" w:eastAsia="Palatino Linotype" w:hAnsi="Palatino Linotype" w:cs="Palatino Linotype"/>
          <w:i/>
          <w:iCs/>
        </w:rPr>
        <w:t xml:space="preserve"> hidráulico, pavimento, cinta asfáltica o similar de la calle circunvalación y/o prolongación amado </w:t>
      </w:r>
      <w:proofErr w:type="spellStart"/>
      <w:r>
        <w:rPr>
          <w:rFonts w:ascii="Palatino Linotype" w:eastAsia="Palatino Linotype" w:hAnsi="Palatino Linotype" w:cs="Palatino Linotype"/>
          <w:i/>
          <w:iCs/>
        </w:rPr>
        <w:lastRenderedPageBreak/>
        <w:t>nervo</w:t>
      </w:r>
      <w:proofErr w:type="spellEnd"/>
      <w:r>
        <w:rPr>
          <w:rFonts w:ascii="Palatino Linotype" w:eastAsia="Palatino Linotype" w:hAnsi="Palatino Linotype" w:cs="Palatino Linotype"/>
          <w:i/>
          <w:iCs/>
        </w:rPr>
        <w:t>, camino que conduce al templo Sinaí o circuito que llega a la parada El Bosque, del Ejido San Pedro Almoloya de Juárez, C.P. 50903.</w:t>
      </w:r>
      <w:r>
        <w:rPr>
          <w:rFonts w:ascii="Palatino Linotype" w:eastAsia="Palatino Linotype" w:hAnsi="Palatino Linotype" w:cs="Palatino Linotype"/>
          <w:b/>
          <w:bCs/>
          <w:i/>
          <w:iCs/>
        </w:rPr>
        <w:t xml:space="preserve">” </w:t>
      </w:r>
      <w:r>
        <w:rPr>
          <w:rFonts w:ascii="Palatino Linotype" w:eastAsia="Palatino Linotype" w:hAnsi="Palatino Linotype" w:cs="Palatino Linotype"/>
          <w:i/>
          <w:iCs/>
        </w:rPr>
        <w:t>(Sic)</w:t>
      </w:r>
    </w:p>
    <w:p w:rsidR="00FA604A" w:rsidRDefault="00FA604A">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rPr>
      </w:pPr>
    </w:p>
    <w:p w:rsidR="00FA604A" w:rsidRDefault="00637DDA">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“MODALIDAD DE ENTREGA</w:t>
      </w:r>
    </w:p>
    <w:p w:rsidR="00FA604A" w:rsidRDefault="00637DDA">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A través de SAIMEX”</w:t>
      </w:r>
    </w:p>
    <w:p w:rsidR="00FA604A" w:rsidRDefault="00FA604A">
      <w:pPr>
        <w:tabs>
          <w:tab w:val="left" w:pos="4667"/>
        </w:tabs>
        <w:spacing w:line="360" w:lineRule="auto"/>
        <w:ind w:right="567"/>
        <w:jc w:val="both"/>
        <w:rPr>
          <w:rFonts w:ascii="Palatino Linotype" w:eastAsia="Palatino Linotype" w:hAnsi="Palatino Linotype" w:cs="Palatino Linotype"/>
          <w:sz w:val="22"/>
          <w:szCs w:val="22"/>
        </w:rPr>
      </w:pPr>
    </w:p>
    <w:p w:rsidR="00FA604A" w:rsidRDefault="00637DDA">
      <w:pPr>
        <w:pStyle w:val="Ttulo2"/>
        <w:spacing w:before="0" w:after="0" w:line="360" w:lineRule="auto"/>
        <w:rPr>
          <w:rFonts w:ascii="Palatino Linotype" w:eastAsia="Palatino Linotype" w:hAnsi="Palatino Linotype" w:cs="Palatino Linotype"/>
          <w:b/>
          <w:bCs/>
          <w:color w:val="000000"/>
          <w:sz w:val="22"/>
          <w:szCs w:val="22"/>
        </w:rPr>
      </w:pPr>
      <w:bookmarkStart w:id="6" w:name="_heading=h.rlj7jkohs6ga" w:colFirst="0" w:colLast="0"/>
      <w:bookmarkStart w:id="7" w:name="_Toc219391660"/>
      <w:bookmarkEnd w:id="6"/>
      <w:r>
        <w:rPr>
          <w:rFonts w:ascii="Palatino Linotype" w:eastAsia="Palatino Linotype" w:hAnsi="Palatino Linotype" w:cs="Palatino Linotype"/>
          <w:b/>
          <w:bCs/>
          <w:color w:val="000000"/>
          <w:sz w:val="22"/>
          <w:szCs w:val="22"/>
        </w:rPr>
        <w:t>II. Respuesta del Sujeto Obligado</w:t>
      </w:r>
      <w:bookmarkEnd w:id="7"/>
    </w:p>
    <w:p w:rsidR="00FA604A" w:rsidRDefault="00FA604A">
      <w:pPr>
        <w:tabs>
          <w:tab w:val="left" w:pos="4667"/>
        </w:tabs>
        <w:spacing w:line="360" w:lineRule="auto"/>
        <w:ind w:right="567"/>
        <w:jc w:val="both"/>
        <w:rPr>
          <w:rFonts w:ascii="Palatino Linotype" w:eastAsia="Palatino Linotype" w:hAnsi="Palatino Linotype" w:cs="Palatino Linotype"/>
          <w:b/>
          <w:bCs/>
          <w:sz w:val="22"/>
          <w:szCs w:val="22"/>
        </w:rPr>
      </w:pPr>
    </w:p>
    <w:p w:rsidR="00FA604A" w:rsidRDefault="00637DDA">
      <w:pPr>
        <w:spacing w:line="360" w:lineRule="auto"/>
        <w:jc w:val="both"/>
        <w:rPr>
          <w:rFonts w:ascii="Palatino Linotype" w:eastAsia="Palatino Linotype" w:hAnsi="Palatino Linotype" w:cs="Palatino Linotype"/>
          <w:sz w:val="22"/>
          <w:szCs w:val="22"/>
        </w:rPr>
      </w:pPr>
      <w:bookmarkStart w:id="8" w:name="_heading=h.jg5sdo918ecu" w:colFirst="0" w:colLast="0"/>
      <w:bookmarkEnd w:id="8"/>
      <w:r>
        <w:rPr>
          <w:rFonts w:ascii="Palatino Linotype" w:eastAsia="Palatino Linotype" w:hAnsi="Palatino Linotype" w:cs="Palatino Linotype"/>
          <w:sz w:val="22"/>
          <w:szCs w:val="22"/>
        </w:rPr>
        <w:t>Con fecha diez de septiembre de dos mil veinticinco, el</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Sujeto Obligado a través del SAIMEX, dio respuesta a la solicitud de información, a través del oficio número PMAJ/DOP/AMJ/216/2025, del veintiséis de agosto del mismo año, suscrito por el Titular de Obras Públicas, dirigido al Titular de la Unidad de Transparencia, a través del cual manifiesta y expone lo siguiente:</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FA604A" w:rsidRDefault="00637DDA">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Al respecto y conforme su solicitud, me permito informarle que actualmente se </w:t>
      </w:r>
      <w:proofErr w:type="spellStart"/>
      <w:r>
        <w:rPr>
          <w:rFonts w:ascii="Palatino Linotype" w:eastAsia="Palatino Linotype" w:hAnsi="Palatino Linotype" w:cs="Palatino Linotype"/>
          <w:i/>
          <w:iCs/>
        </w:rPr>
        <w:t>esta</w:t>
      </w:r>
      <w:proofErr w:type="spellEnd"/>
      <w:r>
        <w:rPr>
          <w:rFonts w:ascii="Palatino Linotype" w:eastAsia="Palatino Linotype" w:hAnsi="Palatino Linotype" w:cs="Palatino Linotype"/>
          <w:i/>
          <w:iCs/>
        </w:rPr>
        <w:t xml:space="preserve"> llevando a cabo la programación del tercer trimestre de la obra pública, por lo que una vez que </w:t>
      </w:r>
      <w:proofErr w:type="spellStart"/>
      <w:r>
        <w:rPr>
          <w:rFonts w:ascii="Palatino Linotype" w:eastAsia="Palatino Linotype" w:hAnsi="Palatino Linotype" w:cs="Palatino Linotype"/>
          <w:i/>
          <w:iCs/>
        </w:rPr>
        <w:t>este</w:t>
      </w:r>
      <w:proofErr w:type="spellEnd"/>
      <w:r>
        <w:rPr>
          <w:rFonts w:ascii="Palatino Linotype" w:eastAsia="Palatino Linotype" w:hAnsi="Palatino Linotype" w:cs="Palatino Linotype"/>
          <w:i/>
          <w:iCs/>
        </w:rPr>
        <w:t xml:space="preserve"> concluido nos comunicaremos, para informarle si se encuentra en esta etapa de planificación, alguna obra con el nombre y especificaciones a las que se refiere en su solicitud.</w:t>
      </w:r>
    </w:p>
    <w:p w:rsidR="00FA604A" w:rsidRDefault="00637DDA">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FA604A" w:rsidRDefault="00FA604A">
      <w:pPr>
        <w:spacing w:line="360" w:lineRule="auto"/>
        <w:ind w:left="567" w:right="567"/>
        <w:jc w:val="both"/>
        <w:rPr>
          <w:rFonts w:ascii="Palatino Linotype" w:eastAsia="Palatino Linotype" w:hAnsi="Palatino Linotype" w:cs="Palatino Linotype"/>
          <w:i/>
          <w:iCs/>
        </w:rPr>
      </w:pPr>
    </w:p>
    <w:p w:rsidR="00FA604A" w:rsidRDefault="00637DDA">
      <w:pPr>
        <w:pStyle w:val="Ttulo2"/>
        <w:spacing w:before="0" w:after="0" w:line="360" w:lineRule="auto"/>
        <w:rPr>
          <w:rFonts w:ascii="Palatino Linotype" w:eastAsia="Palatino Linotype" w:hAnsi="Palatino Linotype" w:cs="Palatino Linotype"/>
          <w:b/>
          <w:bCs/>
          <w:color w:val="000000"/>
          <w:sz w:val="22"/>
          <w:szCs w:val="22"/>
        </w:rPr>
      </w:pPr>
      <w:bookmarkStart w:id="9" w:name="_heading=h.ch2c1mjn5zdm" w:colFirst="0" w:colLast="0"/>
      <w:bookmarkStart w:id="10" w:name="_Toc219391661"/>
      <w:bookmarkEnd w:id="9"/>
      <w:r>
        <w:rPr>
          <w:rFonts w:ascii="Palatino Linotype" w:eastAsia="Palatino Linotype" w:hAnsi="Palatino Linotype" w:cs="Palatino Linotype"/>
          <w:b/>
          <w:bCs/>
          <w:color w:val="000000"/>
          <w:sz w:val="22"/>
          <w:szCs w:val="22"/>
        </w:rPr>
        <w:t>III. Interposición del Recurso de Revisión</w:t>
      </w:r>
      <w:bookmarkEnd w:id="10"/>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fecha diecisiete de septiembre de dos mil veinticinco, se recibió en este Instituto, a través del SAIMEX, el Recurso de Revisión interpuesto por la parte Recurrente, en contra de la respuesta del Sujeto Obligado, en los siguientes términos:</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lastRenderedPageBreak/>
        <w:t>“ACTO IMPUGNADO</w:t>
      </w:r>
    </w:p>
    <w:p w:rsidR="00FA604A" w:rsidRDefault="00637DDA">
      <w:pPr>
        <w:spacing w:line="360" w:lineRule="auto"/>
        <w:ind w:left="567"/>
        <w:jc w:val="both"/>
        <w:rPr>
          <w:rFonts w:ascii="Palatino Linotype" w:eastAsia="Palatino Linotype" w:hAnsi="Palatino Linotype" w:cs="Palatino Linotype"/>
          <w:i/>
          <w:iCs/>
        </w:rPr>
      </w:pPr>
      <w:r>
        <w:rPr>
          <w:rFonts w:ascii="Palatino Linotype" w:eastAsia="Palatino Linotype" w:hAnsi="Palatino Linotype" w:cs="Palatino Linotype"/>
          <w:i/>
          <w:iCs/>
        </w:rPr>
        <w:t>La respuesta.” (Sic.)</w:t>
      </w:r>
    </w:p>
    <w:p w:rsidR="00FA604A" w:rsidRDefault="00FA604A">
      <w:pPr>
        <w:spacing w:line="360" w:lineRule="auto"/>
        <w:ind w:left="567" w:right="567"/>
        <w:jc w:val="both"/>
        <w:rPr>
          <w:rFonts w:ascii="Palatino Linotype" w:eastAsia="Palatino Linotype" w:hAnsi="Palatino Linotype" w:cs="Palatino Linotype"/>
          <w:b/>
          <w:bCs/>
          <w:i/>
          <w:iCs/>
        </w:rPr>
      </w:pPr>
    </w:p>
    <w:p w:rsidR="00FA604A" w:rsidRDefault="00637DDA">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rsidR="00FA604A" w:rsidRDefault="00637DDA">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De conformidad con el artículo 20 de la Ley de Obras Públicas y Servicios Relacionados con las Mismas, se debe dar cumplimiento con el plan anua de obras públicas, asimismo tampoco se comprometen a una fecha de entrega de la información.”  (Sic) </w:t>
      </w:r>
    </w:p>
    <w:p w:rsidR="00FA604A" w:rsidRDefault="00637DDA">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rsidR="00FA604A" w:rsidRDefault="00637DDA">
      <w:pPr>
        <w:pStyle w:val="Ttulo2"/>
        <w:spacing w:before="0" w:after="0" w:line="360" w:lineRule="auto"/>
        <w:rPr>
          <w:rFonts w:ascii="Palatino Linotype" w:eastAsia="Palatino Linotype" w:hAnsi="Palatino Linotype" w:cs="Palatino Linotype"/>
          <w:b/>
          <w:bCs/>
          <w:color w:val="000000"/>
          <w:sz w:val="22"/>
          <w:szCs w:val="22"/>
        </w:rPr>
      </w:pPr>
      <w:bookmarkStart w:id="11" w:name="_heading=h.d3y83an3z5gq" w:colFirst="0" w:colLast="0"/>
      <w:bookmarkStart w:id="12" w:name="_Toc219391662"/>
      <w:bookmarkEnd w:id="11"/>
      <w:r>
        <w:rPr>
          <w:rFonts w:ascii="Palatino Linotype" w:eastAsia="Palatino Linotype" w:hAnsi="Palatino Linotype" w:cs="Palatino Linotype"/>
          <w:b/>
          <w:bCs/>
          <w:color w:val="000000"/>
          <w:sz w:val="22"/>
          <w:szCs w:val="22"/>
        </w:rPr>
        <w:t>IV. Trámite del Recurso de Revisión ante este Instituto</w:t>
      </w:r>
      <w:bookmarkEnd w:id="12"/>
    </w:p>
    <w:p w:rsidR="00FA604A" w:rsidRDefault="00FA604A">
      <w:pPr>
        <w:spacing w:line="360" w:lineRule="auto"/>
        <w:jc w:val="both"/>
        <w:rPr>
          <w:rFonts w:ascii="Palatino Linotype" w:eastAsia="Palatino Linotype" w:hAnsi="Palatino Linotype" w:cs="Palatino Linotype"/>
          <w:b/>
          <w:bCs/>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a) Turno del Recurso de Revisión. </w:t>
      </w:r>
      <w:r>
        <w:rPr>
          <w:rFonts w:ascii="Palatino Linotype" w:eastAsia="Palatino Linotype" w:hAnsi="Palatino Linotype" w:cs="Palatino Linotype"/>
          <w:sz w:val="22"/>
          <w:szCs w:val="22"/>
        </w:rPr>
        <w:t xml:space="preserve">Con fecha diecisiete de septiembre de dos mil veinticinco, el SAIMEX, asignó el número de expediente </w:t>
      </w:r>
      <w:r>
        <w:rPr>
          <w:rFonts w:ascii="Palatino Linotype" w:eastAsia="Palatino Linotype" w:hAnsi="Palatino Linotype" w:cs="Palatino Linotype"/>
          <w:b/>
          <w:bCs/>
          <w:sz w:val="22"/>
          <w:szCs w:val="22"/>
        </w:rPr>
        <w:t>10851/INFOEM/IP/RR/2025</w:t>
      </w:r>
      <w:r>
        <w:rPr>
          <w:rFonts w:ascii="Palatino Linotype" w:eastAsia="Palatino Linotype" w:hAnsi="Palatino Linotype" w:cs="Palatino Linotype"/>
          <w:sz w:val="22"/>
          <w:szCs w:val="22"/>
        </w:rPr>
        <w:t xml:space="preserve"> al medio de impugnación que nos ocupa, con base en el sistema aprobado por el Pleno de este Organismo Garante y lo turnó al Comisionado </w:t>
      </w:r>
      <w:r>
        <w:rPr>
          <w:rFonts w:ascii="Palatino Linotype" w:eastAsia="Palatino Linotype" w:hAnsi="Palatino Linotype" w:cs="Palatino Linotype"/>
          <w:b/>
          <w:bCs/>
          <w:sz w:val="22"/>
          <w:szCs w:val="22"/>
        </w:rPr>
        <w:t xml:space="preserve">Luis Gustavo Parra Noriega, </w:t>
      </w:r>
      <w:r>
        <w:rPr>
          <w:rFonts w:ascii="Palatino Linotype" w:eastAsia="Palatino Linotype" w:hAnsi="Palatino Linotype" w:cs="Palatino Linotype"/>
          <w:sz w:val="22"/>
          <w:szCs w:val="22"/>
        </w:rPr>
        <w:t>para los efectos del artículo 185, fracción I, de la Ley de Transparencia y Acceso a la Información Pública del Estado de México y Municipios.</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 xml:space="preserve">El </w:t>
      </w:r>
      <w:proofErr w:type="spellStart"/>
      <w:r>
        <w:rPr>
          <w:rFonts w:ascii="Palatino Linotype" w:eastAsia="Palatino Linotype" w:hAnsi="Palatino Linotype" w:cs="Palatino Linotype"/>
          <w:sz w:val="22"/>
          <w:szCs w:val="22"/>
        </w:rPr>
        <w:t>veintidos</w:t>
      </w:r>
      <w:proofErr w:type="spellEnd"/>
      <w:r>
        <w:rPr>
          <w:rFonts w:ascii="Palatino Linotype" w:eastAsia="Palatino Linotype" w:hAnsi="Palatino Linotype" w:cs="Palatino Linotype"/>
          <w:sz w:val="22"/>
          <w:szCs w:val="22"/>
        </w:rPr>
        <w:t xml:space="preserve"> de septiembre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 xml:space="preserve">c) Informe Justificado. </w:t>
      </w:r>
      <w:r>
        <w:rPr>
          <w:rFonts w:ascii="Palatino Linotype" w:eastAsia="Palatino Linotype" w:hAnsi="Palatino Linotype" w:cs="Palatino Linotype"/>
          <w:sz w:val="22"/>
          <w:szCs w:val="22"/>
        </w:rPr>
        <w:t>Con fecha dos de octubre de dos mil veinticinco, se recibió en este Instituto, a través del SAIMEX, el Informe Justificado, por parte del Sujeto Obligado, a través de la digitalización del siguiente documento:</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 Oficio número 207C0401210001S-UT-1835/2025, del primero de agosto de la presente anualidad, suscrito por el Titular de la Unidad de Transparencia, dirigido al Comisionado Ponente, por medio del cual manifiesta y expone esencialmente lo siguiente:</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FA604A" w:rsidRDefault="00637DDA">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Por lo anterior, le informo que esta Dirección a mi digno cargo, que para este ejercicio fiscal 2025, no se tiene considerado presupuesto asignado para obras en dicha localidad, se podrá considerar las necesidades de esta localidad para el siguiente año fiscal 2026.</w:t>
      </w:r>
    </w:p>
    <w:p w:rsidR="00FA604A" w:rsidRDefault="00637DDA">
      <w:pPr>
        <w:spacing w:line="360" w:lineRule="auto"/>
        <w:ind w:left="567" w:right="567"/>
        <w:rPr>
          <w:rFonts w:ascii="Palatino Linotype" w:eastAsia="Palatino Linotype" w:hAnsi="Palatino Linotype" w:cs="Palatino Linotype"/>
          <w:i/>
          <w:iCs/>
        </w:rPr>
      </w:pPr>
      <w:r>
        <w:rPr>
          <w:rFonts w:ascii="Palatino Linotype" w:eastAsia="Palatino Linotype" w:hAnsi="Palatino Linotype" w:cs="Palatino Linotype"/>
          <w:i/>
          <w:iCs/>
        </w:rPr>
        <w:t xml:space="preserve">   …”</w:t>
      </w:r>
    </w:p>
    <w:p w:rsidR="00FA604A" w:rsidRDefault="00FA604A">
      <w:pPr>
        <w:spacing w:line="360" w:lineRule="auto"/>
        <w:jc w:val="both"/>
        <w:rPr>
          <w:rFonts w:ascii="Palatino Linotype" w:eastAsia="Palatino Linotype" w:hAnsi="Palatino Linotype" w:cs="Palatino Linotype"/>
          <w:b/>
          <w:bCs/>
          <w:sz w:val="22"/>
          <w:szCs w:val="22"/>
        </w:rPr>
      </w:pPr>
    </w:p>
    <w:p w:rsidR="00FA604A" w:rsidRDefault="00637DDA">
      <w:pPr>
        <w:spacing w:line="360" w:lineRule="auto"/>
        <w:jc w:val="both"/>
        <w:rPr>
          <w:rFonts w:ascii="Palatino Linotype" w:eastAsia="Palatino Linotype" w:hAnsi="Palatino Linotype" w:cs="Palatino Linotype"/>
          <w:sz w:val="22"/>
          <w:szCs w:val="22"/>
        </w:rPr>
      </w:pPr>
      <w:bookmarkStart w:id="13" w:name="_heading=h.e1lxtrnirg7c" w:colFirst="0" w:colLast="0"/>
      <w:bookmarkEnd w:id="13"/>
      <w:r>
        <w:rPr>
          <w:rFonts w:ascii="Palatino Linotype" w:eastAsia="Palatino Linotype" w:hAnsi="Palatino Linotype" w:cs="Palatino Linotype"/>
          <w:b/>
          <w:bCs/>
          <w:sz w:val="22"/>
          <w:szCs w:val="22"/>
        </w:rPr>
        <w:t xml:space="preserve">d) Vista del informe justificado. </w:t>
      </w:r>
      <w:r>
        <w:rPr>
          <w:rFonts w:ascii="Palatino Linotype" w:eastAsia="Palatino Linotype" w:hAnsi="Palatino Linotype" w:cs="Palatino Linotype"/>
          <w:sz w:val="22"/>
          <w:szCs w:val="22"/>
        </w:rPr>
        <w:t xml:space="preserve">El dieciséis de diciembre de dos mil veinticinco, se dictó acuerdo mediante el cual se puso a la vista del Particular, el Informe Justificado entregado por el Sujeto Obligado, el cual fue notificado, a través del SAIMEX, el mismo día. </w:t>
      </w:r>
    </w:p>
    <w:p w:rsidR="00FA604A" w:rsidRDefault="00FA604A">
      <w:pPr>
        <w:spacing w:line="360" w:lineRule="auto"/>
        <w:jc w:val="both"/>
        <w:rPr>
          <w:rFonts w:ascii="Palatino Linotype" w:eastAsia="Palatino Linotype" w:hAnsi="Palatino Linotype" w:cs="Palatino Linotype"/>
          <w:sz w:val="22"/>
          <w:szCs w:val="22"/>
        </w:rPr>
      </w:pPr>
      <w:bookmarkStart w:id="14" w:name="_heading=h.hzshkw3dsffd" w:colFirst="0" w:colLast="0"/>
      <w:bookmarkEnd w:id="14"/>
    </w:p>
    <w:p w:rsidR="00FA604A" w:rsidRDefault="00637DDA">
      <w:pPr>
        <w:spacing w:before="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e) Ampliación de plazo para resolver.</w:t>
      </w:r>
      <w:r>
        <w:rPr>
          <w:rFonts w:ascii="Palatino Linotype" w:eastAsia="Palatino Linotype" w:hAnsi="Palatino Linotype" w:cs="Palatino Linotype"/>
          <w:sz w:val="22"/>
          <w:szCs w:val="22"/>
        </w:rPr>
        <w:t xml:space="preserve"> El quince de enero de dos mil veintiséis, el Comisionado Ponente, con fundamento en lo dispuesto por el artículo 181, párrafo tercero, de la Ley de Transparencia y Acceso a la Información Pública del Estado de México y Municipios, acordó ampliar por un periodo de </w:t>
      </w:r>
      <w:r>
        <w:rPr>
          <w:rFonts w:ascii="Palatino Linotype" w:eastAsia="Palatino Linotype" w:hAnsi="Palatino Linotype" w:cs="Palatino Linotype"/>
          <w:b/>
          <w:bCs/>
          <w:sz w:val="22"/>
          <w:szCs w:val="22"/>
        </w:rPr>
        <w:t>quince días hábiles</w:t>
      </w:r>
      <w:r>
        <w:rPr>
          <w:rFonts w:ascii="Palatino Linotype" w:eastAsia="Palatino Linotype" w:hAnsi="Palatino Linotype" w:cs="Palatino Linotype"/>
          <w:sz w:val="22"/>
          <w:szCs w:val="22"/>
        </w:rPr>
        <w:t>, el plazo para resolver el Recurso de Revisión que nos ocupa; acto que fue notificado a las partes el mismo día, mediante el Sistema de Acceso a la Información Mexiquense (SAIMEX).</w:t>
      </w:r>
    </w:p>
    <w:p w:rsidR="00FA604A" w:rsidRDefault="00FA604A">
      <w:pPr>
        <w:spacing w:line="360" w:lineRule="auto"/>
        <w:jc w:val="both"/>
        <w:rPr>
          <w:rFonts w:ascii="Palatino Linotype" w:eastAsia="Palatino Linotype" w:hAnsi="Palatino Linotype" w:cs="Palatino Linotype"/>
          <w:sz w:val="22"/>
          <w:szCs w:val="22"/>
        </w:rPr>
      </w:pPr>
      <w:bookmarkStart w:id="15" w:name="_heading=h.o52lh8c6rxku" w:colFirst="0" w:colLast="0"/>
      <w:bookmarkEnd w:id="15"/>
    </w:p>
    <w:p w:rsidR="00FA604A" w:rsidRDefault="00FA604A">
      <w:pPr>
        <w:spacing w:line="360" w:lineRule="auto"/>
        <w:jc w:val="both"/>
        <w:rPr>
          <w:rFonts w:ascii="Palatino Linotype" w:eastAsia="Palatino Linotype" w:hAnsi="Palatino Linotype" w:cs="Palatino Linotype"/>
          <w:b/>
          <w:bCs/>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f) Cierre de instrucción.</w:t>
      </w:r>
      <w:r>
        <w:rPr>
          <w:rFonts w:ascii="Palatino Linotype" w:eastAsia="Palatino Linotype" w:hAnsi="Palatino Linotype" w:cs="Palatino Linotype"/>
          <w:sz w:val="22"/>
          <w:szCs w:val="22"/>
        </w:rPr>
        <w:t xml:space="preserve"> El quince de enero de dos mil veintiséis,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acto que fue notificado a las partes, mediante el SAIMEX, el mismo día.</w:t>
      </w:r>
    </w:p>
    <w:p w:rsidR="00FA604A" w:rsidRDefault="00FA604A">
      <w:pPr>
        <w:spacing w:line="360" w:lineRule="auto"/>
        <w:jc w:val="both"/>
        <w:rPr>
          <w:rFonts w:ascii="Palatino Linotype" w:eastAsia="Palatino Linotype" w:hAnsi="Palatino Linotype" w:cs="Palatino Linotype"/>
          <w:b/>
          <w:bCs/>
          <w:sz w:val="22"/>
          <w:szCs w:val="22"/>
        </w:rPr>
      </w:pPr>
    </w:p>
    <w:p w:rsidR="00FA604A" w:rsidRDefault="00637DDA">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00FA604A" w:rsidRDefault="00FA604A">
      <w:pPr>
        <w:pStyle w:val="Ttulo1"/>
        <w:spacing w:before="0" w:after="0" w:line="360" w:lineRule="auto"/>
        <w:jc w:val="center"/>
        <w:rPr>
          <w:rFonts w:ascii="Palatino Linotype" w:eastAsia="Palatino Linotype" w:hAnsi="Palatino Linotype" w:cs="Palatino Linotype"/>
          <w:b/>
          <w:bCs/>
          <w:color w:val="000000"/>
          <w:sz w:val="22"/>
          <w:szCs w:val="22"/>
        </w:rPr>
      </w:pPr>
    </w:p>
    <w:p w:rsidR="00FA604A" w:rsidRDefault="00637DDA">
      <w:pPr>
        <w:pStyle w:val="Ttulo1"/>
        <w:spacing w:before="0" w:after="0" w:line="360" w:lineRule="auto"/>
        <w:jc w:val="center"/>
        <w:rPr>
          <w:rFonts w:ascii="Palatino Linotype" w:eastAsia="Palatino Linotype" w:hAnsi="Palatino Linotype" w:cs="Palatino Linotype"/>
          <w:b/>
          <w:bCs/>
          <w:color w:val="000000"/>
          <w:sz w:val="22"/>
          <w:szCs w:val="22"/>
        </w:rPr>
      </w:pPr>
      <w:bookmarkStart w:id="16" w:name="_heading=h.exkqe3h9ha66" w:colFirst="0" w:colLast="0"/>
      <w:bookmarkStart w:id="17" w:name="_Toc219391663"/>
      <w:bookmarkEnd w:id="16"/>
      <w:r>
        <w:rPr>
          <w:rFonts w:ascii="Palatino Linotype" w:eastAsia="Palatino Linotype" w:hAnsi="Palatino Linotype" w:cs="Palatino Linotype"/>
          <w:b/>
          <w:bCs/>
          <w:color w:val="000000"/>
          <w:sz w:val="22"/>
          <w:szCs w:val="22"/>
        </w:rPr>
        <w:t>C O N S I D E R A N D O S</w:t>
      </w:r>
      <w:bookmarkEnd w:id="17"/>
    </w:p>
    <w:p w:rsidR="00FA604A" w:rsidRDefault="00FA604A">
      <w:pPr>
        <w:spacing w:line="360" w:lineRule="auto"/>
        <w:rPr>
          <w:rFonts w:ascii="Palatino Linotype" w:eastAsia="Palatino Linotype" w:hAnsi="Palatino Linotype" w:cs="Palatino Linotype"/>
          <w:b/>
          <w:bCs/>
          <w:sz w:val="22"/>
          <w:szCs w:val="22"/>
        </w:rPr>
      </w:pPr>
    </w:p>
    <w:p w:rsidR="00FA604A" w:rsidRDefault="00637DDA">
      <w:pPr>
        <w:pStyle w:val="Ttulo2"/>
        <w:spacing w:before="0" w:after="0" w:line="360" w:lineRule="auto"/>
        <w:rPr>
          <w:rFonts w:ascii="Palatino Linotype" w:eastAsia="Palatino Linotype" w:hAnsi="Palatino Linotype" w:cs="Palatino Linotype"/>
          <w:b/>
          <w:bCs/>
          <w:color w:val="000000"/>
          <w:sz w:val="22"/>
          <w:szCs w:val="22"/>
        </w:rPr>
      </w:pPr>
      <w:bookmarkStart w:id="18" w:name="_heading=h.uhjugfuefv" w:colFirst="0" w:colLast="0"/>
      <w:bookmarkStart w:id="19" w:name="_Toc219391664"/>
      <w:bookmarkEnd w:id="18"/>
      <w:r>
        <w:rPr>
          <w:rFonts w:ascii="Palatino Linotype" w:eastAsia="Palatino Linotype" w:hAnsi="Palatino Linotype" w:cs="Palatino Linotype"/>
          <w:b/>
          <w:bCs/>
          <w:color w:val="000000"/>
          <w:sz w:val="22"/>
          <w:szCs w:val="22"/>
        </w:rPr>
        <w:t>PRIMERO. Competencia</w:t>
      </w:r>
      <w:bookmarkEnd w:id="19"/>
    </w:p>
    <w:p w:rsidR="00FA604A" w:rsidRDefault="00FA604A">
      <w:pPr>
        <w:spacing w:line="360" w:lineRule="auto"/>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FA604A" w:rsidRDefault="00FA604A">
      <w:pPr>
        <w:spacing w:line="360" w:lineRule="auto"/>
        <w:jc w:val="both"/>
        <w:rPr>
          <w:rFonts w:ascii="Palatino Linotype" w:eastAsia="Palatino Linotype" w:hAnsi="Palatino Linotype" w:cs="Palatino Linotype"/>
          <w:color w:val="000000"/>
          <w:sz w:val="22"/>
          <w:szCs w:val="22"/>
        </w:rPr>
      </w:pPr>
    </w:p>
    <w:p w:rsidR="00FA604A" w:rsidRDefault="00637DDA">
      <w:pPr>
        <w:pStyle w:val="Ttulo2"/>
        <w:spacing w:before="0" w:after="0" w:line="360" w:lineRule="auto"/>
        <w:rPr>
          <w:rFonts w:ascii="Palatino Linotype" w:eastAsia="Palatino Linotype" w:hAnsi="Palatino Linotype" w:cs="Palatino Linotype"/>
          <w:b/>
          <w:bCs/>
          <w:color w:val="000000"/>
          <w:sz w:val="22"/>
          <w:szCs w:val="22"/>
        </w:rPr>
      </w:pPr>
      <w:bookmarkStart w:id="20" w:name="_heading=h.j6zfhhldhuak" w:colFirst="0" w:colLast="0"/>
      <w:bookmarkStart w:id="21" w:name="_Toc219391665"/>
      <w:bookmarkEnd w:id="20"/>
      <w:r>
        <w:rPr>
          <w:rFonts w:ascii="Palatino Linotype" w:eastAsia="Palatino Linotype" w:hAnsi="Palatino Linotype" w:cs="Palatino Linotype"/>
          <w:b/>
          <w:bCs/>
          <w:color w:val="000000"/>
          <w:sz w:val="22"/>
          <w:szCs w:val="22"/>
        </w:rPr>
        <w:t>SEGUNDO. Causales de improcedencia y sobreseimiento</w:t>
      </w:r>
      <w:bookmarkEnd w:id="21"/>
    </w:p>
    <w:p w:rsidR="00FA604A" w:rsidRDefault="00FA604A">
      <w:pPr>
        <w:spacing w:line="360" w:lineRule="auto"/>
        <w:jc w:val="both"/>
        <w:rPr>
          <w:rFonts w:ascii="Palatino Linotype" w:eastAsia="Palatino Linotype" w:hAnsi="Palatino Linotype" w:cs="Palatino Linotype"/>
          <w:b/>
          <w:bCs/>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proofErr w:type="spellStart"/>
      <w:r>
        <w:rPr>
          <w:rFonts w:ascii="Palatino Linotype" w:eastAsia="Palatino Linotype" w:hAnsi="Palatino Linotype" w:cs="Palatino Linotype"/>
          <w:i/>
          <w:iCs/>
          <w:sz w:val="22"/>
          <w:szCs w:val="22"/>
        </w:rPr>
        <w:t>litis</w:t>
      </w:r>
      <w:proofErr w:type="spellEnd"/>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rsidR="00FA604A" w:rsidRDefault="00FA604A">
      <w:pPr>
        <w:spacing w:line="360" w:lineRule="auto"/>
        <w:jc w:val="both"/>
        <w:rPr>
          <w:rFonts w:ascii="Palatino Linotype" w:eastAsia="Palatino Linotype" w:hAnsi="Palatino Linotype" w:cs="Palatino Linotype"/>
          <w:b/>
          <w:bCs/>
          <w:color w:val="000000"/>
          <w:sz w:val="22"/>
          <w:szCs w:val="22"/>
        </w:rPr>
      </w:pPr>
    </w:p>
    <w:p w:rsidR="00FA604A" w:rsidRDefault="00637DDA">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Asimismo, se actualiza la causal de procedencia del Recurso de Revisión establecida en el artículo 179, fracción III de la Ley de Transparencia y Acceso a la Información Pública del Estado de México y Municipios, referente a la inexistencia de la información.</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pStyle w:val="Ttulo2"/>
        <w:spacing w:before="0" w:after="0" w:line="360" w:lineRule="auto"/>
        <w:rPr>
          <w:rFonts w:ascii="Palatino Linotype" w:eastAsia="Palatino Linotype" w:hAnsi="Palatino Linotype" w:cs="Palatino Linotype"/>
          <w:b/>
          <w:bCs/>
          <w:color w:val="000000"/>
          <w:sz w:val="22"/>
          <w:szCs w:val="22"/>
        </w:rPr>
      </w:pPr>
      <w:bookmarkStart w:id="22" w:name="_heading=h.lp5py51989kh" w:colFirst="0" w:colLast="0"/>
      <w:bookmarkStart w:id="23" w:name="_Toc219391666"/>
      <w:bookmarkEnd w:id="22"/>
      <w:r>
        <w:rPr>
          <w:rFonts w:ascii="Palatino Linotype" w:eastAsia="Palatino Linotype" w:hAnsi="Palatino Linotype" w:cs="Palatino Linotype"/>
          <w:b/>
          <w:bCs/>
          <w:color w:val="000000"/>
          <w:sz w:val="22"/>
          <w:szCs w:val="22"/>
        </w:rPr>
        <w:t>TERCERO. Causales de sobreseimiento</w:t>
      </w:r>
      <w:bookmarkEnd w:id="23"/>
    </w:p>
    <w:p w:rsidR="00FA604A" w:rsidRDefault="00FA604A">
      <w:pPr>
        <w:spacing w:line="360" w:lineRule="auto"/>
        <w:jc w:val="both"/>
        <w:rPr>
          <w:rFonts w:ascii="Palatino Linotype" w:eastAsia="Palatino Linotype" w:hAnsi="Palatino Linotype" w:cs="Palatino Linotype"/>
          <w:color w:val="0D0D0D"/>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color w:val="FF0000"/>
          <w:sz w:val="22"/>
          <w:szCs w:val="22"/>
        </w:rPr>
      </w:pPr>
      <w:r>
        <w:rPr>
          <w:rFonts w:ascii="Palatino Linotype" w:eastAsia="Palatino Linotype" w:hAnsi="Palatino Linotype" w:cs="Palatino Linotype"/>
          <w:color w:val="000000"/>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w:t>
      </w:r>
      <w:r>
        <w:rPr>
          <w:rFonts w:ascii="Palatino Linotype" w:eastAsia="Palatino Linotype" w:hAnsi="Palatino Linotype" w:cs="Palatino Linotype"/>
          <w:b/>
          <w:bCs/>
          <w:color w:val="000000"/>
          <w:sz w:val="22"/>
          <w:szCs w:val="22"/>
        </w:rPr>
        <w:t>I, II, IV y V</w:t>
      </w:r>
      <w:r>
        <w:rPr>
          <w:rFonts w:ascii="Palatino Linotype" w:eastAsia="Palatino Linotype" w:hAnsi="Palatino Linotype" w:cs="Palatino Linotype"/>
          <w:color w:val="000000"/>
          <w:sz w:val="22"/>
          <w:szCs w:val="22"/>
        </w:rPr>
        <w:t>, toda vez que no hay constancias en el expediente en que se actúa, de que el recurrente se haya desistido del recurso, haya fallecido, actualice alguna causal de improcedencia o bien, haya quedado sin materia.</w:t>
      </w:r>
    </w:p>
    <w:p w:rsidR="00FA604A" w:rsidRDefault="00FA604A">
      <w:pPr>
        <w:spacing w:line="360" w:lineRule="auto"/>
        <w:jc w:val="both"/>
        <w:rPr>
          <w:rFonts w:ascii="Palatino Linotype" w:eastAsia="Palatino Linotype" w:hAnsi="Palatino Linotype" w:cs="Palatino Linotype"/>
          <w:color w:val="FF0000"/>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Ahora bien, toda vez que, durante la sustanciación del Recurso de Revisión, el Ayuntamiento de Almoloya de Juárez, modificó su respuesta a través del Informe Justificado, se estima procedente entrar al estudio de la causal de sobreseimiento prevista en la fracción III del precepto legal previamente señalado; para lo cual, resulta </w:t>
      </w:r>
      <w:r>
        <w:rPr>
          <w:rFonts w:ascii="Palatino Linotype" w:eastAsia="Palatino Linotype" w:hAnsi="Palatino Linotype" w:cs="Palatino Linotype"/>
          <w:sz w:val="22"/>
          <w:szCs w:val="22"/>
        </w:rPr>
        <w:t>necesario recordar que el ahora Recurrente solicitó saber si existían obras por ejecutar durante el dos mil veinticinco, específicamente, monto de inversión y detalle de obra, en la localidad del Ejido de San Pedro, Almoloya de Juárez.</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lastRenderedPageBreak/>
        <w:t>En respuesta, el Sujeto Obligado a través del Director de Obras Públicas, señaló que la información solicitada, se encontraba en proceso de programación del tercer trimestre de obra pública, por lo que una vez concluido, se informara si se encuentra en planificación alguna obra con el nombre y especificaciones que refiere en la solicitud.</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consistentes en la solicitud de acceso a la información, la respuesta,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p>
    <w:p w:rsidR="00FA604A" w:rsidRDefault="00FA604A">
      <w:pPr>
        <w:spacing w:line="360" w:lineRule="auto"/>
        <w:jc w:val="both"/>
        <w:rPr>
          <w:rFonts w:ascii="Palatino Linotype" w:eastAsia="Palatino Linotype" w:hAnsi="Palatino Linotype" w:cs="Palatino Linotype"/>
          <w:b/>
          <w:bCs/>
          <w:sz w:val="22"/>
          <w:szCs w:val="22"/>
        </w:rPr>
      </w:pPr>
    </w:p>
    <w:p w:rsidR="00FA604A" w:rsidRDefault="00637DD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 realizar el análisis del agravio hecho valer por el ahora Recurrente, por lo que resulta necesario contextualizar la solicitud.</w:t>
      </w:r>
    </w:p>
    <w:p w:rsidR="00FA604A" w:rsidRDefault="00637DD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el tema, López Olvera, Miguel Alejandro </w:t>
      </w:r>
      <w:proofErr w:type="spellStart"/>
      <w:r>
        <w:rPr>
          <w:rFonts w:ascii="Palatino Linotype" w:eastAsia="Palatino Linotype" w:hAnsi="Palatino Linotype" w:cs="Palatino Linotype"/>
          <w:sz w:val="22"/>
          <w:szCs w:val="22"/>
        </w:rPr>
        <w:t>Cancino</w:t>
      </w:r>
      <w:proofErr w:type="spellEnd"/>
      <w:r>
        <w:rPr>
          <w:rFonts w:ascii="Palatino Linotype" w:eastAsia="Palatino Linotype" w:hAnsi="Palatino Linotype" w:cs="Palatino Linotype"/>
          <w:sz w:val="22"/>
          <w:szCs w:val="22"/>
        </w:rPr>
        <w:t xml:space="preserve"> Gómez, Rodolfo. (2020). “La Contratación Pública y el Sistema Nacional Anticorrupción”. (p. 4) la contratación pública, es el procedimiento de carácter administrativo, por medio del cual, un ente público selecciona y posteriormente, celebra un acuerdo de voluntades, con una persona física o jurídica colectiva, para que ésta, entregue o arrende un bien, preste algún servicio público o lleve a cabo la ejecución de una obra pública, con recursos públicos del Estado y en beneficio de la colectividad.</w:t>
      </w:r>
    </w:p>
    <w:p w:rsidR="00FA604A" w:rsidRDefault="00FA604A">
      <w:pPr>
        <w:widowControl w:val="0"/>
        <w:spacing w:line="360" w:lineRule="auto"/>
        <w:jc w:val="both"/>
        <w:rPr>
          <w:rFonts w:ascii="Palatino Linotype" w:eastAsia="Palatino Linotype" w:hAnsi="Palatino Linotype" w:cs="Palatino Linotype"/>
          <w:sz w:val="22"/>
          <w:szCs w:val="22"/>
        </w:rPr>
      </w:pPr>
    </w:p>
    <w:p w:rsidR="00FA604A" w:rsidRDefault="00637DD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el artículo 12.4 del Código Administrativo del Estado de México, establece que las obras públicas son aquellas cuyo objeto principal sea construir, instalar, ampliar, adecuar, remodelar, restaurar, conservar, mantener, modificar o demoler bienes inmuebles de los municipios con cargo a recursos públicos estatales y municipales; así como </w:t>
      </w:r>
      <w:r>
        <w:rPr>
          <w:rFonts w:ascii="Palatino Linotype" w:eastAsia="Palatino Linotype" w:hAnsi="Palatino Linotype" w:cs="Palatino Linotype"/>
          <w:sz w:val="22"/>
          <w:szCs w:val="22"/>
        </w:rPr>
        <w:lastRenderedPageBreak/>
        <w:t xml:space="preserve">los trabajos de exploración, localización y perforación, mejoramiento de suelo y subsuelo, la infraestructura agropecuaria e </w:t>
      </w:r>
      <w:proofErr w:type="spellStart"/>
      <w:r>
        <w:rPr>
          <w:rFonts w:ascii="Palatino Linotype" w:eastAsia="Palatino Linotype" w:hAnsi="Palatino Linotype" w:cs="Palatino Linotype"/>
          <w:sz w:val="22"/>
          <w:szCs w:val="22"/>
        </w:rPr>
        <w:t>hidroagrícola</w:t>
      </w:r>
      <w:proofErr w:type="spellEnd"/>
      <w:r>
        <w:rPr>
          <w:rFonts w:ascii="Palatino Linotype" w:eastAsia="Palatino Linotype" w:hAnsi="Palatino Linotype" w:cs="Palatino Linotype"/>
          <w:sz w:val="22"/>
          <w:szCs w:val="22"/>
        </w:rPr>
        <w:t>, entre otros. Además, conforme al artículo 12.6 de dicho ordenamiento jurídico, uno de los entes que pueden llevar a cabo contratos de obra pública o servicios relacionados con la misma, son las Dependencias.</w:t>
      </w:r>
    </w:p>
    <w:p w:rsidR="00FA604A" w:rsidRDefault="00FA604A">
      <w:pPr>
        <w:widowControl w:val="0"/>
        <w:spacing w:line="360" w:lineRule="auto"/>
        <w:jc w:val="both"/>
        <w:rPr>
          <w:rFonts w:ascii="Palatino Linotype" w:eastAsia="Palatino Linotype" w:hAnsi="Palatino Linotype" w:cs="Palatino Linotype"/>
          <w:sz w:val="22"/>
          <w:szCs w:val="22"/>
        </w:rPr>
      </w:pPr>
    </w:p>
    <w:p w:rsidR="00FA604A" w:rsidRDefault="00637DD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es responsabilidad de las Dependencias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w:t>
      </w:r>
    </w:p>
    <w:p w:rsidR="00FA604A" w:rsidRDefault="00FA604A">
      <w:pPr>
        <w:widowControl w:val="0"/>
        <w:spacing w:line="360" w:lineRule="auto"/>
        <w:jc w:val="both"/>
        <w:rPr>
          <w:rFonts w:ascii="Palatino Linotype" w:eastAsia="Palatino Linotype" w:hAnsi="Palatino Linotype" w:cs="Palatino Linotype"/>
          <w:sz w:val="22"/>
          <w:szCs w:val="22"/>
        </w:rPr>
      </w:pPr>
    </w:p>
    <w:p w:rsidR="00FA604A" w:rsidRDefault="00637DD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conforme a los artículos 26 y 27 de la Ley de la de Contratación Pública del Estado de México y Municipios, las adquisiciones, arrendamientos y servicios, se adjudicarán a través de procedimientos de licitación pública, invitación restringida y adjudicación directa.</w:t>
      </w:r>
    </w:p>
    <w:p w:rsidR="00FA604A" w:rsidRDefault="00637DD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el artículo 92 fracciones XXIX y XXXVI, de la Ley de Transparencia y Acceso a la Información Pública del Estado de México y Municipios, establecen que, es pública de oficio, la información sobre los procesos y resultados sobre procedimientos de adjudicación directa, invitación restringida y licitación de cualquier naturaleza, que incluye la versión pública del expediente respectivo y de los contratos celebrados, además de manera permanente y actualizada el Padrón de proveedores y contratistas. </w:t>
      </w:r>
    </w:p>
    <w:p w:rsidR="00FA604A" w:rsidRDefault="00FA604A">
      <w:pPr>
        <w:widowControl w:val="0"/>
        <w:spacing w:line="360" w:lineRule="auto"/>
        <w:jc w:val="both"/>
        <w:rPr>
          <w:rFonts w:ascii="Palatino Linotype" w:eastAsia="Palatino Linotype" w:hAnsi="Palatino Linotype" w:cs="Palatino Linotype"/>
          <w:sz w:val="22"/>
          <w:szCs w:val="22"/>
        </w:rPr>
      </w:pPr>
    </w:p>
    <w:p w:rsidR="00FA604A" w:rsidRDefault="00637DD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es necesario traer a colación el párrafo tercero del artículo 285, del Código Financiero del Estado de México y Municipios, que precisa que el Ayuntamiento es el encargado de aprobar el Presupuesto de Egresos del Municipio. </w:t>
      </w:r>
    </w:p>
    <w:p w:rsidR="00FA604A" w:rsidRDefault="00FA604A">
      <w:pPr>
        <w:widowControl w:val="0"/>
        <w:spacing w:line="360" w:lineRule="auto"/>
        <w:jc w:val="both"/>
        <w:rPr>
          <w:rFonts w:ascii="Palatino Linotype" w:eastAsia="Palatino Linotype" w:hAnsi="Palatino Linotype" w:cs="Palatino Linotype"/>
          <w:sz w:val="22"/>
          <w:szCs w:val="22"/>
        </w:rPr>
      </w:pPr>
    </w:p>
    <w:p w:rsidR="00FA604A" w:rsidRDefault="00637DD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mismo sentido, el artículo 31, fracción XIX, de la Ley Orgánica Municipal del Estado </w:t>
      </w:r>
      <w:r>
        <w:rPr>
          <w:rFonts w:ascii="Palatino Linotype" w:eastAsia="Palatino Linotype" w:hAnsi="Palatino Linotype" w:cs="Palatino Linotype"/>
          <w:sz w:val="22"/>
          <w:szCs w:val="22"/>
        </w:rPr>
        <w:lastRenderedPageBreak/>
        <w:t>de México, establece que los Ayuntamientos serán los encargados de aprobar anualmente, el Presupuesto de Egresos, en base a los ingresos presupuestados para el ejercicio de corresponda.</w:t>
      </w:r>
    </w:p>
    <w:p w:rsidR="00FA604A" w:rsidRDefault="00FA604A">
      <w:pPr>
        <w:widowControl w:val="0"/>
        <w:spacing w:line="360" w:lineRule="auto"/>
        <w:jc w:val="both"/>
        <w:rPr>
          <w:rFonts w:ascii="Palatino Linotype" w:eastAsia="Palatino Linotype" w:hAnsi="Palatino Linotype" w:cs="Palatino Linotype"/>
          <w:sz w:val="22"/>
          <w:szCs w:val="22"/>
        </w:rPr>
      </w:pPr>
    </w:p>
    <w:p w:rsidR="00FA604A" w:rsidRDefault="00637DD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los diversos 100 y 101, fracción II, de dicho ordenamiento jurídico, prevén que el Presupuesto de Egresos, deberá contener las previsiones de gasto público y se conformará, entre otras cosas, por los programas en que se señalen objetivos, metas y unidades responsables para su ejecución, así como la valuación estimada del programa.</w:t>
      </w:r>
    </w:p>
    <w:p w:rsidR="00FA604A" w:rsidRDefault="00FA604A">
      <w:pPr>
        <w:widowControl w:val="0"/>
        <w:spacing w:line="360" w:lineRule="auto"/>
        <w:jc w:val="both"/>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en el Marco Conceptual, en el apartado “Definición del Presupuesto”, del Manual para la Planeación, Programación y Presupuesto de Egresos Municipal para el Ejercicio Fiscal 2025, establece que el Presupuesto es la estimación financiera anticipada de los ingresos y egresos del gobierno, necesarios para cumplir con los objetivos establecidos; además, que el mismo involucra planes, políticas, programas, proyectos, estrategias y objetivos del municipio.</w:t>
      </w:r>
    </w:p>
    <w:p w:rsidR="00FA604A" w:rsidRDefault="00FA604A">
      <w:pPr>
        <w:widowControl w:val="0"/>
        <w:spacing w:line="360" w:lineRule="auto"/>
        <w:jc w:val="both"/>
        <w:rPr>
          <w:rFonts w:ascii="Palatino Linotype" w:eastAsia="Palatino Linotype" w:hAnsi="Palatino Linotype" w:cs="Palatino Linotype"/>
          <w:sz w:val="22"/>
          <w:szCs w:val="22"/>
        </w:rPr>
      </w:pPr>
    </w:p>
    <w:p w:rsidR="00FA604A" w:rsidRDefault="00637DD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otra parte, en los Lineamientos generales, del apartado del Presupuesto de Egresos Municipal (Tercera etapa), de dicho ordenamiento, establece los Formatos que integran el Proyecto de Presupuesto de Egresos, entre los cuales, se encuentra el Programa Anual de Obra (</w:t>
      </w:r>
      <w:proofErr w:type="spellStart"/>
      <w:r>
        <w:rPr>
          <w:rFonts w:ascii="Palatino Linotype" w:eastAsia="Palatino Linotype" w:hAnsi="Palatino Linotype" w:cs="Palatino Linotype"/>
          <w:sz w:val="22"/>
          <w:szCs w:val="22"/>
        </w:rPr>
        <w:t>PbRM</w:t>
      </w:r>
      <w:proofErr w:type="spellEnd"/>
      <w:r>
        <w:rPr>
          <w:rFonts w:ascii="Palatino Linotype" w:eastAsia="Palatino Linotype" w:hAnsi="Palatino Linotype" w:cs="Palatino Linotype"/>
          <w:sz w:val="22"/>
          <w:szCs w:val="22"/>
        </w:rPr>
        <w:t xml:space="preserve"> E-07a), el cual contiene, el nombre de la obra, tipo de ejecución, justificación, tipo de asignación, presupuesto anual autorizado, calendarización, entre otros.</w:t>
      </w:r>
    </w:p>
    <w:p w:rsidR="00FA604A" w:rsidRDefault="00FA604A">
      <w:pPr>
        <w:widowControl w:val="0"/>
        <w:spacing w:line="360" w:lineRule="auto"/>
        <w:jc w:val="both"/>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vislumbrar que la pretensión de la persona Recurrente es obtener respecto a las obras públicas programadas para ejecutar durante el dos mil veinticinco, el monto de inversión y detalle de obra, en el camino que conduce al Templo Sinaí, en la localidad del Ejido de San Pedro, Almoloya de Juárez.</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de las constancias que obran en el expediente electrónico, se advierte que el Sujeto Obligado, turnó la solicitud de información a la Dirección de Obras Públicas;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es necesario traer a colación los artículos 253, 254 y 255, del Bando Municipal de Almoloya de Juárez, del ejercicio fiscal dos mil veinticinco, el cual establece que el Ayuntamiento para el cumplimiento de sus funciones, contara con una Dirección de Obras Públicas, encargada de la programación de cada obra pública a realizar, de la elaboración de  los estudios y proyectos específicos, de establecer las bases y procedimientos de contratación a los que deberán ajustarse los concursos de licitación pública, invitación  restringida y en su caso de las adjudicaciones directas, y de prever la realización de los estudios  y proyectos arquitectónicos y de ingeniería que se requieran, anticipadamente a la contratación de obra pública bajo cualquier procedimiento.</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Ahora bien, en respuesta, la Dirección de Obras Públicas mencionó que se encontraba programando las obras públicas a ejecutar durante el tercer trimestre del año; </w:t>
      </w:r>
      <w:r>
        <w:rPr>
          <w:rFonts w:ascii="Palatino Linotype" w:eastAsia="Palatino Linotype" w:hAnsi="Palatino Linotype" w:cs="Palatino Linotype"/>
          <w:color w:val="000000"/>
          <w:sz w:val="22"/>
          <w:szCs w:val="22"/>
        </w:rPr>
        <w:t xml:space="preserve">Sobre el tema, el Criterio orientador SO/014/2017, emitido por el entonces Instituto Nacional de Transparencia, Acceso a la Información Pública y Protección de Datos Personales en el </w:t>
      </w:r>
      <w:r>
        <w:rPr>
          <w:rFonts w:ascii="Palatino Linotype" w:eastAsia="Palatino Linotype" w:hAnsi="Palatino Linotype" w:cs="Palatino Linotype"/>
          <w:color w:val="000000"/>
          <w:sz w:val="22"/>
          <w:szCs w:val="22"/>
        </w:rPr>
        <w:lastRenderedPageBreak/>
        <w:t xml:space="preserve">Estado de México y Municipios, se desprende que la inexistencia de la información, es una cuestión de hecho que se le atribuye a la misma, cuando ésta no se encuentra en los archivos del sujeto obligado. </w:t>
      </w:r>
    </w:p>
    <w:p w:rsidR="00FA604A" w:rsidRDefault="00FA604A">
      <w:pPr>
        <w:widowControl w:val="0"/>
        <w:spacing w:line="360" w:lineRule="auto"/>
        <w:jc w:val="both"/>
        <w:rPr>
          <w:rFonts w:ascii="Palatino Linotype" w:eastAsia="Palatino Linotype" w:hAnsi="Palatino Linotype" w:cs="Palatino Linotype"/>
          <w:color w:val="000000"/>
          <w:sz w:val="22"/>
          <w:szCs w:val="22"/>
        </w:rPr>
      </w:pPr>
    </w:p>
    <w:p w:rsidR="00FA604A" w:rsidRDefault="00637DDA">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rsidR="00FA604A" w:rsidRDefault="00FA604A">
      <w:pPr>
        <w:widowControl w:val="0"/>
        <w:spacing w:line="360" w:lineRule="auto"/>
        <w:jc w:val="both"/>
        <w:rPr>
          <w:rFonts w:ascii="Palatino Linotype" w:eastAsia="Palatino Linotype" w:hAnsi="Palatino Linotype" w:cs="Palatino Linotype"/>
          <w:color w:val="000000"/>
          <w:sz w:val="22"/>
          <w:szCs w:val="22"/>
        </w:rPr>
      </w:pPr>
    </w:p>
    <w:p w:rsidR="00FA604A" w:rsidRDefault="00637DDA">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rsidR="00FA604A" w:rsidRDefault="00FA604A">
      <w:pPr>
        <w:widowControl w:val="0"/>
        <w:spacing w:line="360" w:lineRule="auto"/>
        <w:jc w:val="both"/>
        <w:rPr>
          <w:rFonts w:ascii="Palatino Linotype" w:eastAsia="Palatino Linotype" w:hAnsi="Palatino Linotype" w:cs="Palatino Linotype"/>
          <w:color w:val="000000"/>
          <w:sz w:val="22"/>
          <w:szCs w:val="22"/>
        </w:rPr>
      </w:pPr>
    </w:p>
    <w:p w:rsidR="00FA604A" w:rsidRDefault="00637DDA">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es posible concluir que la inexistencia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este Instituto si bien se pronunció en el sentido de que estaba verificando las obras públicas a realizar de julio a septiembre de dos mil veinticinco, no se pronunció de manera expresa si durante el dos mil veinticinco tenía planeado ejecutar alguna obra pública en el lugar solicitado; información que podría obrar dentro del Programa Anual de Obras Públicas o alguna modificación realizada a este.</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No obstante, durante la sustanciación del Medio de Impugnación, la Dirección de Obras Públicas modificó su actuar y señaló que durante el dos mil veinticinco no se había asignado presupuesto para realizar alguna obra en la localidad solicitada y que sería hasta el dos mil veintiséis, que se podría considerar en atención las necesidades; lo cual se traduce al hecho de que no se programaron obras dentro de la ubicación señalada por la persona Recurrente.</w:t>
      </w:r>
    </w:p>
    <w:p w:rsidR="00FA604A" w:rsidRDefault="00FA604A">
      <w:pPr>
        <w:spacing w:line="360" w:lineRule="auto"/>
        <w:jc w:val="both"/>
        <w:rPr>
          <w:rFonts w:ascii="Palatino Linotype" w:eastAsia="Palatino Linotype" w:hAnsi="Palatino Linotype" w:cs="Palatino Linotype"/>
          <w:sz w:val="22"/>
          <w:szCs w:val="22"/>
        </w:rPr>
      </w:pPr>
    </w:p>
    <w:p w:rsidR="00FA604A" w:rsidRDefault="00637DDA">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Situación que guarda relevancia, pues este Instituto realizó una búsqueda en la página oficial del Ayuntamiento, sus redes sociales y las fracciones localizadas en el Portal de Información Pública de Oficio Mexiquense, y no se localizó algún indicio de que durante el dos mil veinticinco se haya programado o ejecutado alguna obra dentro de la localidad solicitada.</w:t>
      </w:r>
    </w:p>
    <w:p w:rsidR="00824FC5" w:rsidRDefault="00824FC5">
      <w:pPr>
        <w:widowControl w:val="0"/>
        <w:spacing w:line="360" w:lineRule="auto"/>
        <w:jc w:val="both"/>
        <w:rPr>
          <w:rFonts w:ascii="Palatino Linotype" w:eastAsia="Palatino Linotype" w:hAnsi="Palatino Linotype" w:cs="Palatino Linotype"/>
          <w:color w:val="000000"/>
          <w:sz w:val="22"/>
          <w:szCs w:val="22"/>
        </w:rPr>
      </w:pPr>
    </w:p>
    <w:p w:rsidR="00FA604A" w:rsidRDefault="00637DDA">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se logra colegir que la información solicitada por el ahora Recurrente es inexistente, pues el Sujeto Obligado, realizó una búsqueda exhaustiva y razonable en los archivos de la unidad administrativa competente y esta señaló que no obraba información en sus archivos, al no asignarse presupuesto alguna obra dentro de la localidad solicitada;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rsidR="00FA604A" w:rsidRDefault="00FA604A">
      <w:pPr>
        <w:widowControl w:val="0"/>
        <w:spacing w:line="360" w:lineRule="auto"/>
        <w:jc w:val="both"/>
        <w:rPr>
          <w:rFonts w:ascii="Palatino Linotype" w:eastAsia="Palatino Linotype" w:hAnsi="Palatino Linotype" w:cs="Palatino Linotype"/>
          <w:color w:val="000000"/>
          <w:sz w:val="22"/>
          <w:szCs w:val="22"/>
        </w:rPr>
      </w:pPr>
    </w:p>
    <w:p w:rsidR="00FA604A" w:rsidRDefault="00637DDA">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la misma manera, el Criterio orientador con clave de registro SO/007/2017, de la Segunda Época, emitido por el entonces Instituto Nacional de Transparencia, Acceso a la Información y Protección de Datos Personales,  vigente a la fecha de ingreso de la solicitud, establece que no será necesario que el Comité de Transparencia declare formalmente la inexistencia, cuando del análisis a la normatividad aplicables no se desprenda obligación alguna de </w:t>
      </w:r>
      <w:r>
        <w:rPr>
          <w:rFonts w:ascii="Palatino Linotype" w:eastAsia="Palatino Linotype" w:hAnsi="Palatino Linotype" w:cs="Palatino Linotype"/>
          <w:color w:val="000000"/>
          <w:sz w:val="22"/>
          <w:szCs w:val="22"/>
        </w:rPr>
        <w:lastRenderedPageBreak/>
        <w:t>contar con la información solicitada, ni se advierta algún otro elemento de convicción que apunto a su existencia.</w:t>
      </w:r>
    </w:p>
    <w:p w:rsidR="00FA604A" w:rsidRDefault="00FA604A">
      <w:pPr>
        <w:widowControl w:val="0"/>
        <w:spacing w:line="360" w:lineRule="auto"/>
        <w:jc w:val="both"/>
        <w:rPr>
          <w:rFonts w:ascii="Palatino Linotype" w:eastAsia="Palatino Linotype" w:hAnsi="Palatino Linotype" w:cs="Palatino Linotype"/>
          <w:color w:val="000000"/>
          <w:sz w:val="22"/>
          <w:szCs w:val="22"/>
        </w:rPr>
      </w:pPr>
    </w:p>
    <w:p w:rsidR="00FA604A" w:rsidRDefault="00637DDA">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respecto, dicho criterio aplica al caso en concreto, ya que, no se localizó algún indicio de que se hayan programado obras públicas en la localidad solicitada, por lo cual, se considera que el Sujeto Obligado señaló las razones por las cuales no contaba con lo requerido y cumplió con el segundo párrafo, del artículo 19 de la Ley de Transparencia y Acceso a la Información Pública del Estado de México y Municipios;</w:t>
      </w:r>
      <w:r>
        <w:t xml:space="preserve"> </w:t>
      </w:r>
      <w:r>
        <w:rPr>
          <w:rFonts w:ascii="Palatino Linotype" w:eastAsia="Palatino Linotype" w:hAnsi="Palatino Linotype" w:cs="Palatino Linotype"/>
          <w:color w:val="000000"/>
          <w:sz w:val="22"/>
          <w:szCs w:val="22"/>
        </w:rPr>
        <w:t>por lo tanto, se considera que la impugnación que se dirime ha quedado sin materia.</w:t>
      </w:r>
    </w:p>
    <w:p w:rsidR="00FA604A" w:rsidRDefault="00FA604A">
      <w:pPr>
        <w:rPr>
          <w:rFonts w:ascii="Palatino Linotype" w:eastAsia="Palatino Linotype" w:hAnsi="Palatino Linotype" w:cs="Palatino Linotype"/>
          <w:sz w:val="22"/>
          <w:szCs w:val="22"/>
        </w:rPr>
      </w:pPr>
      <w:bookmarkStart w:id="24" w:name="_heading=h.qpczxc8d2gjc" w:colFirst="0" w:colLast="0"/>
      <w:bookmarkEnd w:id="24"/>
    </w:p>
    <w:p w:rsidR="00FA604A" w:rsidRDefault="00637DDA">
      <w:pPr>
        <w:pStyle w:val="Ttulo2"/>
        <w:spacing w:before="0" w:after="0" w:line="360" w:lineRule="auto"/>
        <w:rPr>
          <w:rFonts w:ascii="Palatino Linotype" w:eastAsia="Palatino Linotype" w:hAnsi="Palatino Linotype" w:cs="Palatino Linotype"/>
          <w:b/>
          <w:bCs/>
          <w:color w:val="000000"/>
          <w:sz w:val="22"/>
          <w:szCs w:val="22"/>
        </w:rPr>
      </w:pPr>
      <w:bookmarkStart w:id="25" w:name="_heading=h.jv5f7un25xp4" w:colFirst="0" w:colLast="0"/>
      <w:bookmarkStart w:id="26" w:name="_Toc219391667"/>
      <w:bookmarkEnd w:id="25"/>
      <w:r>
        <w:rPr>
          <w:rFonts w:ascii="Palatino Linotype" w:eastAsia="Palatino Linotype" w:hAnsi="Palatino Linotype" w:cs="Palatino Linotype"/>
          <w:b/>
          <w:bCs/>
          <w:color w:val="000000"/>
          <w:sz w:val="22"/>
          <w:szCs w:val="22"/>
        </w:rPr>
        <w:t>CUARTO. Decisión</w:t>
      </w:r>
      <w:bookmarkEnd w:id="26"/>
    </w:p>
    <w:p w:rsidR="00FA604A" w:rsidRDefault="00FA604A">
      <w:pPr>
        <w:spacing w:line="360" w:lineRule="auto"/>
        <w:jc w:val="both"/>
        <w:rPr>
          <w:rFonts w:ascii="Palatino Linotype" w:eastAsia="Palatino Linotype" w:hAnsi="Palatino Linotype" w:cs="Palatino Linotype"/>
          <w:color w:val="000000"/>
          <w:sz w:val="22"/>
          <w:szCs w:val="22"/>
        </w:rPr>
      </w:pPr>
    </w:p>
    <w:p w:rsidR="00FA604A" w:rsidRDefault="00637DDA">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fundamento en lo dispuesto en el artículo 186, fracción I, de la Ley de Transparencia y Acceso a la Información Pública del Estado de México y Municipios, se considera procedente </w:t>
      </w:r>
      <w:r>
        <w:rPr>
          <w:rFonts w:ascii="Palatino Linotype" w:eastAsia="Palatino Linotype" w:hAnsi="Palatino Linotype" w:cs="Palatino Linotype"/>
          <w:b/>
          <w:bCs/>
          <w:color w:val="000000"/>
          <w:sz w:val="22"/>
          <w:szCs w:val="22"/>
        </w:rPr>
        <w:t>SOBRESEER</w:t>
      </w:r>
      <w:r>
        <w:rPr>
          <w:rFonts w:ascii="Palatino Linotype" w:eastAsia="Palatino Linotype" w:hAnsi="Palatino Linotype" w:cs="Palatino Linotype"/>
          <w:color w:val="000000"/>
          <w:sz w:val="22"/>
          <w:szCs w:val="22"/>
        </w:rPr>
        <w:t xml:space="preserve"> el Recurso de Revisión, en virtud de que se actualiza la hipótesis normativa prevista en la fracción III, del artículo 192, del citado ordenamiento legal.</w:t>
      </w:r>
    </w:p>
    <w:p w:rsidR="00FA604A" w:rsidRDefault="00637DDA">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FA604A" w:rsidRDefault="00637DDA">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Términos de la Resolución para conocimiento del Particular</w:t>
      </w:r>
    </w:p>
    <w:p w:rsidR="00FA604A" w:rsidRDefault="00637DDA">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FA604A" w:rsidRDefault="00637DDA">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 le hace del conocimiento a la Particular, que si bien, en el presente caso se le daba la razón pues el Sujeto Obligado en respuesta atendió parcialmente lo solicitado, lo cierto es que, durante la sustanciación del Medio de Impugnación el Ente Recurrido señaló las razones por las cuales no contaba con lo peticionado.</w:t>
      </w:r>
    </w:p>
    <w:p w:rsidR="00FA604A" w:rsidRDefault="00FA604A">
      <w:pPr>
        <w:spacing w:line="360" w:lineRule="auto"/>
        <w:jc w:val="both"/>
        <w:rPr>
          <w:rFonts w:ascii="Palatino Linotype" w:eastAsia="Palatino Linotype" w:hAnsi="Palatino Linotype" w:cs="Palatino Linotype"/>
          <w:color w:val="000000"/>
          <w:sz w:val="22"/>
          <w:szCs w:val="22"/>
        </w:rPr>
      </w:pPr>
    </w:p>
    <w:p w:rsidR="00FA604A" w:rsidRDefault="00637DDA">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La labor del Instituto, es apoyar a la población a acceder a la información pública y garantizar la protección de sus datos personales.</w:t>
      </w:r>
    </w:p>
    <w:p w:rsidR="00FA604A" w:rsidRDefault="00637DDA">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w:t>
      </w:r>
    </w:p>
    <w:p w:rsidR="00FA604A" w:rsidRDefault="00637DDA">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rsidR="00FA604A" w:rsidRDefault="00637DDA">
      <w:pPr>
        <w:spacing w:line="360" w:lineRule="auto"/>
        <w:ind w:righ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rsidR="00FA604A" w:rsidRDefault="00637DDA">
      <w:pPr>
        <w:pStyle w:val="Ttulo2"/>
        <w:spacing w:before="0" w:after="0" w:line="360" w:lineRule="auto"/>
        <w:jc w:val="center"/>
        <w:rPr>
          <w:rFonts w:ascii="Palatino Linotype" w:eastAsia="Palatino Linotype" w:hAnsi="Palatino Linotype" w:cs="Palatino Linotype"/>
          <w:b/>
          <w:bCs/>
          <w:color w:val="000000"/>
          <w:sz w:val="22"/>
          <w:szCs w:val="22"/>
        </w:rPr>
      </w:pPr>
      <w:bookmarkStart w:id="27" w:name="_heading=h.nhmnqkio03fz" w:colFirst="0" w:colLast="0"/>
      <w:bookmarkStart w:id="28" w:name="_Toc219391668"/>
      <w:bookmarkEnd w:id="27"/>
      <w:r>
        <w:rPr>
          <w:rFonts w:ascii="Palatino Linotype" w:eastAsia="Palatino Linotype" w:hAnsi="Palatino Linotype" w:cs="Palatino Linotype"/>
          <w:b/>
          <w:bCs/>
          <w:color w:val="000000"/>
          <w:sz w:val="22"/>
          <w:szCs w:val="22"/>
        </w:rPr>
        <w:t>R E S U E L V E</w:t>
      </w:r>
      <w:bookmarkEnd w:id="28"/>
    </w:p>
    <w:p w:rsidR="00FA604A" w:rsidRDefault="00637DDA">
      <w:pPr>
        <w:spacing w:line="360" w:lineRule="auto"/>
        <w:ind w:righ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rsidR="00FA604A" w:rsidRDefault="00637DDA">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sz w:val="22"/>
          <w:szCs w:val="22"/>
        </w:rPr>
        <w:t>PRIMERO.</w:t>
      </w:r>
      <w:r>
        <w:rPr>
          <w:rFonts w:ascii="Palatino Linotype" w:eastAsia="Palatino Linotype" w:hAnsi="Palatino Linotype" w:cs="Palatino Linotype"/>
          <w:sz w:val="22"/>
          <w:szCs w:val="22"/>
        </w:rPr>
        <w:t xml:space="preserve"> Se </w:t>
      </w:r>
      <w:r>
        <w:rPr>
          <w:rFonts w:ascii="Palatino Linotype" w:eastAsia="Palatino Linotype" w:hAnsi="Palatino Linotype" w:cs="Palatino Linotype"/>
          <w:b/>
          <w:bCs/>
          <w:sz w:val="22"/>
          <w:szCs w:val="22"/>
        </w:rPr>
        <w:t xml:space="preserve">SOBRESEE </w:t>
      </w:r>
      <w:r>
        <w:rPr>
          <w:rFonts w:ascii="Palatino Linotype" w:eastAsia="Palatino Linotype" w:hAnsi="Palatino Linotype" w:cs="Palatino Linotype"/>
          <w:sz w:val="22"/>
          <w:szCs w:val="22"/>
        </w:rPr>
        <w:t xml:space="preserve">el Recurso de Revisión número 10851/INFOEM/IP/RR/2025, en términos del artículo 192, fracción III, de la Ley de Transparencia y Acceso a la Información Pública del Estado de México y Municipios, porque el Sujeto Obligado al modificar la </w:t>
      </w:r>
      <w:r>
        <w:rPr>
          <w:rFonts w:ascii="Palatino Linotype" w:eastAsia="Palatino Linotype" w:hAnsi="Palatino Linotype" w:cs="Palatino Linotype"/>
          <w:color w:val="000000"/>
          <w:sz w:val="22"/>
          <w:szCs w:val="22"/>
        </w:rPr>
        <w:t>respuesta de la solicitud de acceso a la información, el Medio de Impugnación quedó sin materia, en términos de los Considerandos TERCERO y CUARTO de la presente Resolución.</w:t>
      </w:r>
    </w:p>
    <w:p w:rsidR="00FA604A" w:rsidRDefault="00FA604A">
      <w:pPr>
        <w:spacing w:line="360" w:lineRule="auto"/>
        <w:ind w:right="-28"/>
        <w:jc w:val="both"/>
        <w:rPr>
          <w:rFonts w:ascii="Palatino Linotype" w:eastAsia="Palatino Linotype" w:hAnsi="Palatino Linotype" w:cs="Palatino Linotype"/>
          <w:b/>
          <w:bCs/>
          <w:sz w:val="22"/>
          <w:szCs w:val="22"/>
        </w:rPr>
      </w:pPr>
    </w:p>
    <w:p w:rsidR="00FA604A" w:rsidRDefault="00637DDA">
      <w:pPr>
        <w:spacing w:line="360" w:lineRule="auto"/>
        <w:ind w:righ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SEGUNDO. NOTIFÍQUESE POR SAIMEX </w:t>
      </w:r>
      <w:r>
        <w:rPr>
          <w:rFonts w:ascii="Palatino Linotype" w:eastAsia="Palatino Linotype" w:hAnsi="Palatino Linotype" w:cs="Palatino Linotype"/>
          <w:sz w:val="22"/>
          <w:szCs w:val="22"/>
        </w:rPr>
        <w:t>la presente resolución al Titular de la Unidad de Transparencia del Sujeto Obligado.</w:t>
      </w:r>
    </w:p>
    <w:p w:rsidR="00FA604A" w:rsidRDefault="00637DDA">
      <w:pPr>
        <w:spacing w:line="360" w:lineRule="auto"/>
        <w:ind w:righ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rsidR="00FA604A" w:rsidRDefault="00637DDA">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NOTIFÍQUESE POR SAIMEX </w:t>
      </w:r>
      <w:r>
        <w:rPr>
          <w:rFonts w:ascii="Palatino Linotype" w:eastAsia="Palatino Linotype" w:hAnsi="Palatino Linotype" w:cs="Palatino Linotype"/>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FA604A" w:rsidRDefault="00637DDA">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FA604A" w:rsidRDefault="00637DDA">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w:t>
      </w:r>
      <w:r>
        <w:rPr>
          <w:rFonts w:ascii="Palatino Linotype" w:eastAsia="Palatino Linotype" w:hAnsi="Palatino Linotype" w:cs="Palatino Linotype"/>
          <w:sz w:val="22"/>
          <w:szCs w:val="22"/>
        </w:rPr>
        <w:lastRenderedPageBreak/>
        <w:t>CELEBRADA EL CATORCE DE ENERO DE DOS MIL VEINTISÉIS, ANTE EL SECRETARIO TÉCNICO DEL PLENO, ALEXIS TAPIA RAMÍREZ.</w:t>
      </w:r>
    </w:p>
    <w:p w:rsidR="00FA604A" w:rsidRDefault="00FA604A">
      <w:pPr>
        <w:spacing w:line="360" w:lineRule="auto"/>
        <w:jc w:val="both"/>
        <w:rPr>
          <w:rFonts w:ascii="Palatino Linotype" w:eastAsia="Palatino Linotype" w:hAnsi="Palatino Linotype" w:cs="Palatino Linotype"/>
          <w:sz w:val="22"/>
          <w:szCs w:val="22"/>
        </w:rPr>
      </w:pPr>
    </w:p>
    <w:p w:rsidR="00FA604A" w:rsidRDefault="00FA604A">
      <w:pPr>
        <w:spacing w:line="360" w:lineRule="auto"/>
        <w:jc w:val="both"/>
        <w:rPr>
          <w:rFonts w:ascii="Palatino Linotype" w:eastAsia="Palatino Linotype" w:hAnsi="Palatino Linotype" w:cs="Palatino Linotype"/>
          <w:color w:val="000000"/>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rPr>
          <w:rFonts w:ascii="Palatino Linotype" w:eastAsia="Palatino Linotype" w:hAnsi="Palatino Linotype" w:cs="Palatino Linotype"/>
          <w:sz w:val="22"/>
          <w:szCs w:val="22"/>
        </w:rPr>
      </w:pPr>
    </w:p>
    <w:p w:rsidR="00FA604A" w:rsidRDefault="00FA604A">
      <w:pPr>
        <w:spacing w:line="360" w:lineRule="auto"/>
      </w:pPr>
    </w:p>
    <w:p w:rsidR="00FA604A" w:rsidRDefault="00FA604A">
      <w:pPr>
        <w:spacing w:line="360" w:lineRule="auto"/>
      </w:pPr>
    </w:p>
    <w:p w:rsidR="00FA604A" w:rsidRDefault="00FA604A">
      <w:pPr>
        <w:spacing w:line="360" w:lineRule="auto"/>
      </w:pPr>
    </w:p>
    <w:p w:rsidR="00FA604A" w:rsidRDefault="00FA604A">
      <w:pPr>
        <w:spacing w:line="360" w:lineRule="auto"/>
      </w:pPr>
    </w:p>
    <w:sectPr w:rsidR="00FA604A">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31D" w:rsidRDefault="0023431D">
      <w:r>
        <w:separator/>
      </w:r>
    </w:p>
  </w:endnote>
  <w:endnote w:type="continuationSeparator" w:id="0">
    <w:p w:rsidR="0023431D" w:rsidRDefault="00234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49E91C6-8B00-4921-A184-F9233870AC1F}"/>
  </w:font>
  <w:font w:name="Calibri Light">
    <w:panose1 w:val="020F0302020204030204"/>
    <w:charset w:val="00"/>
    <w:family w:val="swiss"/>
    <w:pitch w:val="variable"/>
    <w:sig w:usb0="E4002EFF" w:usb1="C200247B" w:usb2="00000009" w:usb3="00000000" w:csb0="000001FF" w:csb1="00000000"/>
    <w:embedRegular r:id="rId2" w:fontKey="{34B7672D-9702-4F37-A157-570A415628DE}"/>
  </w:font>
  <w:font w:name="Palatino Linotype">
    <w:panose1 w:val="02040502050505030304"/>
    <w:charset w:val="00"/>
    <w:family w:val="roman"/>
    <w:pitch w:val="variable"/>
    <w:sig w:usb0="E0000287" w:usb1="40000013" w:usb2="00000000" w:usb3="00000000" w:csb0="0000019F" w:csb1="00000000"/>
    <w:embedRegular r:id="rId3" w:fontKey="{815A7F95-FC7A-4C74-A824-7373EDB4EBB5}"/>
    <w:embedBold r:id="rId4" w:fontKey="{7A288B1F-86A1-45A7-A704-14CABF985414}"/>
    <w:embedItalic r:id="rId5" w:fontKey="{FD1F7972-A2F3-4954-BDB3-DA4E85AAA00A}"/>
    <w:embedBoldItalic r:id="rId6" w:fontKey="{42FB96BE-F6B3-46BB-B401-5DDE8BCBFF8B}"/>
  </w:font>
  <w:font w:name="Garamond">
    <w:panose1 w:val="02020404030301010803"/>
    <w:charset w:val="00"/>
    <w:family w:val="roman"/>
    <w:pitch w:val="variable"/>
    <w:sig w:usb0="00000287" w:usb1="00000000" w:usb2="00000000" w:usb3="00000000" w:csb0="0000009F" w:csb1="00000000"/>
    <w:embedRegular r:id="rId7" w:fontKey="{C0F8E1D3-A139-409E-9FDB-6E91942F4E3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04A" w:rsidRDefault="00637DDA">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385CD6">
      <w:rPr>
        <w:rFonts w:ascii="Palatino Linotype" w:eastAsia="Palatino Linotype" w:hAnsi="Palatino Linotype" w:cs="Palatino Linotype"/>
        <w:b/>
        <w:bCs/>
        <w:noProof/>
        <w:color w:val="000000"/>
        <w:sz w:val="22"/>
        <w:szCs w:val="22"/>
      </w:rPr>
      <w:t>18</w:t>
    </w:r>
    <w:r>
      <w:rPr>
        <w:rFonts w:ascii="Palatino Linotype" w:eastAsia="Palatino Linotype" w:hAnsi="Palatino Linotype" w:cs="Palatino Linotype"/>
        <w:b/>
        <w:bCs/>
        <w:color w:val="000000"/>
        <w:sz w:val="22"/>
        <w:szCs w:val="22"/>
      </w:rPr>
      <w:fldChar w:fldCharType="end"/>
    </w:r>
  </w:p>
  <w:p w:rsidR="00FA604A" w:rsidRDefault="00FA604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04A" w:rsidRDefault="00637DDA">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D02C04">
      <w:rPr>
        <w:rFonts w:ascii="Palatino Linotype" w:eastAsia="Palatino Linotype" w:hAnsi="Palatino Linotype" w:cs="Palatino Linotype"/>
        <w:b/>
        <w:bCs/>
        <w:noProof/>
        <w:color w:val="000000"/>
        <w:sz w:val="22"/>
        <w:szCs w:val="22"/>
      </w:rPr>
      <w:t>18</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D02C04">
      <w:rPr>
        <w:rFonts w:ascii="Palatino Linotype" w:eastAsia="Palatino Linotype" w:hAnsi="Palatino Linotype" w:cs="Palatino Linotype"/>
        <w:b/>
        <w:bCs/>
        <w:noProof/>
        <w:color w:val="000000"/>
        <w:sz w:val="22"/>
        <w:szCs w:val="22"/>
      </w:rPr>
      <w:t>18</w:t>
    </w:r>
    <w:r>
      <w:rPr>
        <w:rFonts w:ascii="Palatino Linotype" w:eastAsia="Palatino Linotype" w:hAnsi="Palatino Linotype" w:cs="Palatino Linotype"/>
        <w:b/>
        <w:bCs/>
        <w:color w:val="000000"/>
        <w:sz w:val="22"/>
        <w:szCs w:val="22"/>
      </w:rPr>
      <w:fldChar w:fldCharType="end"/>
    </w:r>
  </w:p>
  <w:p w:rsidR="00FA604A" w:rsidRDefault="00FA604A">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04A" w:rsidRDefault="00637DD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D02C04">
      <w:rPr>
        <w:rFonts w:ascii="Palatino Linotype" w:eastAsia="Palatino Linotype" w:hAnsi="Palatino Linotype" w:cs="Palatino Linotype"/>
        <w:b/>
        <w:bCs/>
        <w:noProof/>
        <w:color w:val="000000"/>
        <w:sz w:val="22"/>
        <w:szCs w:val="22"/>
      </w:rPr>
      <w:t>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D02C04">
      <w:rPr>
        <w:rFonts w:ascii="Palatino Linotype" w:eastAsia="Palatino Linotype" w:hAnsi="Palatino Linotype" w:cs="Palatino Linotype"/>
        <w:b/>
        <w:bCs/>
        <w:noProof/>
        <w:color w:val="000000"/>
        <w:sz w:val="22"/>
        <w:szCs w:val="22"/>
      </w:rPr>
      <w:t>18</w:t>
    </w:r>
    <w:r>
      <w:rPr>
        <w:rFonts w:ascii="Palatino Linotype" w:eastAsia="Palatino Linotype" w:hAnsi="Palatino Linotype" w:cs="Palatino Linotype"/>
        <w:b/>
        <w:bCs/>
        <w:color w:val="000000"/>
        <w:sz w:val="22"/>
        <w:szCs w:val="22"/>
      </w:rPr>
      <w:fldChar w:fldCharType="end"/>
    </w:r>
  </w:p>
  <w:p w:rsidR="00FA604A" w:rsidRDefault="00FA604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31D" w:rsidRDefault="0023431D">
      <w:r>
        <w:separator/>
      </w:r>
    </w:p>
  </w:footnote>
  <w:footnote w:type="continuationSeparator" w:id="0">
    <w:p w:rsidR="0023431D" w:rsidRDefault="002343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04A" w:rsidRDefault="00FA604A">
    <w:pPr>
      <w:widowControl w:val="0"/>
      <w:pBdr>
        <w:top w:val="nil"/>
        <w:left w:val="nil"/>
        <w:bottom w:val="nil"/>
        <w:right w:val="nil"/>
        <w:between w:val="nil"/>
      </w:pBdr>
      <w:spacing w:line="276" w:lineRule="auto"/>
    </w:pPr>
  </w:p>
  <w:tbl>
    <w:tblPr>
      <w:tblStyle w:val="a"/>
      <w:tblW w:w="9705" w:type="dxa"/>
      <w:tblInd w:w="0" w:type="dxa"/>
      <w:tblLayout w:type="fixed"/>
      <w:tblLook w:val="0400" w:firstRow="0" w:lastRow="0" w:firstColumn="0" w:lastColumn="0" w:noHBand="0" w:noVBand="1"/>
    </w:tblPr>
    <w:tblGrid>
      <w:gridCol w:w="2972"/>
      <w:gridCol w:w="6733"/>
    </w:tblGrid>
    <w:tr w:rsidR="00FA604A">
      <w:trPr>
        <w:trHeight w:val="1435"/>
      </w:trPr>
      <w:tc>
        <w:tcPr>
          <w:tcW w:w="0" w:type="auto"/>
        </w:tcPr>
        <w:p w:rsidR="00FA604A" w:rsidRDefault="00FA604A">
          <w:pPr>
            <w:tabs>
              <w:tab w:val="right" w:pos="4273"/>
            </w:tabs>
            <w:spacing w:line="256" w:lineRule="auto"/>
            <w:rPr>
              <w:rFonts w:ascii="Garamond" w:eastAsia="Garamond" w:hAnsi="Garamond" w:cs="Garamond"/>
              <w:sz w:val="22"/>
              <w:szCs w:val="22"/>
            </w:rPr>
          </w:pPr>
        </w:p>
      </w:tc>
      <w:tc>
        <w:tcPr>
          <w:tcW w:w="0" w:type="auto"/>
        </w:tcPr>
        <w:p w:rsidR="00FA604A" w:rsidRDefault="00FA604A">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0"/>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FA604A">
            <w:trPr>
              <w:trHeight w:val="144"/>
            </w:trPr>
            <w:tc>
              <w:tcPr>
                <w:tcW w:w="0" w:type="auto"/>
              </w:tcPr>
              <w:p w:rsidR="00FA604A" w:rsidRDefault="00637DDA">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0" w:type="auto"/>
              </w:tcPr>
              <w:p w:rsidR="00FA604A" w:rsidRDefault="00637DDA">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02946/INFOEM/IP/RR/2021</w:t>
                </w:r>
              </w:p>
            </w:tc>
          </w:tr>
          <w:tr w:rsidR="00FA604A">
            <w:trPr>
              <w:trHeight w:val="283"/>
            </w:trPr>
            <w:tc>
              <w:tcPr>
                <w:tcW w:w="0" w:type="auto"/>
              </w:tcPr>
              <w:p w:rsidR="00FA604A" w:rsidRDefault="00637DDA">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0" w:type="auto"/>
              </w:tcPr>
              <w:p w:rsidR="00FA604A" w:rsidRDefault="00637DDA">
                <w:pPr>
                  <w:tabs>
                    <w:tab w:val="left" w:pos="2834"/>
                    <w:tab w:val="right" w:pos="8838"/>
                  </w:tabs>
                  <w:ind w:left="-74"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Ayuntamiento de San Antonio la Isla</w:t>
                </w:r>
              </w:p>
            </w:tc>
          </w:tr>
          <w:tr w:rsidR="00FA604A">
            <w:trPr>
              <w:trHeight w:val="283"/>
            </w:trPr>
            <w:tc>
              <w:tcPr>
                <w:tcW w:w="0" w:type="auto"/>
              </w:tcPr>
              <w:p w:rsidR="00FA604A" w:rsidRDefault="00637DDA">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0" w:type="auto"/>
              </w:tcPr>
              <w:p w:rsidR="00FA604A" w:rsidRDefault="00637DDA">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rsidR="00FA604A" w:rsidRDefault="00FA604A">
                <w:pPr>
                  <w:tabs>
                    <w:tab w:val="right" w:pos="8838"/>
                  </w:tabs>
                  <w:ind w:left="-74" w:right="-105"/>
                  <w:jc w:val="both"/>
                  <w:rPr>
                    <w:rFonts w:ascii="Palatino Linotype" w:eastAsia="Palatino Linotype" w:hAnsi="Palatino Linotype" w:cs="Palatino Linotype"/>
                    <w:b/>
                    <w:bCs/>
                    <w:sz w:val="22"/>
                    <w:szCs w:val="22"/>
                  </w:rPr>
                </w:pPr>
              </w:p>
            </w:tc>
          </w:tr>
        </w:tbl>
        <w:p w:rsidR="00FA604A" w:rsidRDefault="00FA604A">
          <w:pPr>
            <w:tabs>
              <w:tab w:val="right" w:pos="8838"/>
            </w:tabs>
            <w:spacing w:line="256" w:lineRule="auto"/>
            <w:ind w:left="-28"/>
            <w:jc w:val="both"/>
            <w:rPr>
              <w:rFonts w:ascii="Arial" w:eastAsia="Arial" w:hAnsi="Arial" w:cs="Arial"/>
              <w:b/>
              <w:bCs/>
              <w:sz w:val="22"/>
              <w:szCs w:val="22"/>
            </w:rPr>
          </w:pPr>
        </w:p>
      </w:tc>
    </w:tr>
  </w:tbl>
  <w:p w:rsidR="00FA604A" w:rsidRDefault="00637DDA">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7728" behindDoc="1" locked="0" layoutInCell="1" hidden="0" allowOverlap="1">
          <wp:simplePos x="0" y="0"/>
          <wp:positionH relativeFrom="margin">
            <wp:posOffset>-1381124</wp:posOffset>
          </wp:positionH>
          <wp:positionV relativeFrom="margin">
            <wp:posOffset>-1611629</wp:posOffset>
          </wp:positionV>
          <wp:extent cx="5612130" cy="730821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04A" w:rsidRDefault="00FA604A">
    <w:pPr>
      <w:widowControl w:val="0"/>
      <w:pBdr>
        <w:top w:val="nil"/>
        <w:left w:val="nil"/>
        <w:bottom w:val="nil"/>
        <w:right w:val="nil"/>
        <w:between w:val="nil"/>
      </w:pBdr>
      <w:spacing w:line="276" w:lineRule="auto"/>
      <w:rPr>
        <w:color w:val="000000"/>
      </w:rPr>
    </w:pPr>
  </w:p>
  <w:tbl>
    <w:tblPr>
      <w:tblStyle w:val="a1"/>
      <w:tblW w:w="9356" w:type="dxa"/>
      <w:tblInd w:w="0" w:type="dxa"/>
      <w:tblLayout w:type="fixed"/>
      <w:tblLook w:val="0400" w:firstRow="0" w:lastRow="0" w:firstColumn="0" w:lastColumn="0" w:noHBand="0" w:noVBand="1"/>
    </w:tblPr>
    <w:tblGrid>
      <w:gridCol w:w="1985"/>
      <w:gridCol w:w="7371"/>
    </w:tblGrid>
    <w:tr w:rsidR="00FA604A">
      <w:trPr>
        <w:trHeight w:val="1435"/>
      </w:trPr>
      <w:tc>
        <w:tcPr>
          <w:tcW w:w="1985" w:type="dxa"/>
        </w:tcPr>
        <w:p w:rsidR="00FA604A" w:rsidRDefault="00FA604A">
          <w:pPr>
            <w:tabs>
              <w:tab w:val="right" w:pos="4273"/>
            </w:tabs>
            <w:spacing w:line="256" w:lineRule="auto"/>
            <w:rPr>
              <w:rFonts w:ascii="Garamond" w:eastAsia="Garamond" w:hAnsi="Garamond" w:cs="Garamond"/>
              <w:sz w:val="22"/>
              <w:szCs w:val="22"/>
            </w:rPr>
          </w:pPr>
        </w:p>
      </w:tc>
      <w:tc>
        <w:tcPr>
          <w:tcW w:w="7371" w:type="dxa"/>
        </w:tcPr>
        <w:p w:rsidR="00FA604A" w:rsidRDefault="00FA604A">
          <w:pPr>
            <w:rPr>
              <w:sz w:val="28"/>
              <w:szCs w:val="28"/>
            </w:rPr>
          </w:pPr>
        </w:p>
        <w:tbl>
          <w:tblPr>
            <w:tblStyle w:val="a2"/>
            <w:tblW w:w="808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74"/>
            <w:gridCol w:w="3256"/>
            <w:gridCol w:w="1255"/>
          </w:tblGrid>
          <w:tr w:rsidR="00FA604A">
            <w:trPr>
              <w:trHeight w:val="270"/>
            </w:trPr>
            <w:tc>
              <w:tcPr>
                <w:tcW w:w="3574" w:type="dxa"/>
              </w:tcPr>
              <w:p w:rsidR="00FA604A" w:rsidRDefault="00637DDA">
                <w:pPr>
                  <w:tabs>
                    <w:tab w:val="right" w:pos="8838"/>
                  </w:tabs>
                  <w:ind w:left="-113" w:right="-2211"/>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3256" w:type="dxa"/>
              </w:tcPr>
              <w:p w:rsidR="00FA604A" w:rsidRDefault="00637DDA">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10851/INFOEM/IP/RR/2025</w:t>
                </w:r>
              </w:p>
            </w:tc>
            <w:tc>
              <w:tcPr>
                <w:tcW w:w="1255" w:type="dxa"/>
              </w:tcPr>
              <w:p w:rsidR="00FA604A" w:rsidRDefault="00FA604A">
                <w:pPr>
                  <w:tabs>
                    <w:tab w:val="right" w:pos="8838"/>
                  </w:tabs>
                  <w:ind w:left="-114" w:right="-105"/>
                  <w:jc w:val="both"/>
                  <w:rPr>
                    <w:rFonts w:ascii="Palatino Linotype" w:eastAsia="Palatino Linotype" w:hAnsi="Palatino Linotype" w:cs="Palatino Linotype"/>
                    <w:sz w:val="22"/>
                    <w:szCs w:val="22"/>
                  </w:rPr>
                </w:pPr>
              </w:p>
            </w:tc>
          </w:tr>
          <w:tr w:rsidR="00FA604A">
            <w:trPr>
              <w:trHeight w:val="121"/>
            </w:trPr>
            <w:tc>
              <w:tcPr>
                <w:tcW w:w="3574" w:type="dxa"/>
              </w:tcPr>
              <w:p w:rsidR="00FA604A" w:rsidRDefault="00637DDA">
                <w:pPr>
                  <w:tabs>
                    <w:tab w:val="right" w:pos="8838"/>
                  </w:tabs>
                  <w:ind w:left="-113" w:right="-2211"/>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3256" w:type="dxa"/>
              </w:tcPr>
              <w:p w:rsidR="00FA604A" w:rsidRDefault="00637DDA">
                <w:pPr>
                  <w:tabs>
                    <w:tab w:val="left" w:pos="2834"/>
                    <w:tab w:val="right" w:pos="8838"/>
                  </w:tabs>
                  <w:ind w:left="-11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Almoloya de Juárez</w:t>
                </w:r>
              </w:p>
            </w:tc>
            <w:tc>
              <w:tcPr>
                <w:tcW w:w="1255" w:type="dxa"/>
              </w:tcPr>
              <w:p w:rsidR="00FA604A" w:rsidRDefault="00FA604A">
                <w:pPr>
                  <w:tabs>
                    <w:tab w:val="left" w:pos="2834"/>
                    <w:tab w:val="right" w:pos="8838"/>
                  </w:tabs>
                  <w:ind w:left="-114"/>
                  <w:jc w:val="both"/>
                  <w:rPr>
                    <w:rFonts w:ascii="Palatino Linotype" w:eastAsia="Palatino Linotype" w:hAnsi="Palatino Linotype" w:cs="Palatino Linotype"/>
                    <w:sz w:val="22"/>
                    <w:szCs w:val="22"/>
                  </w:rPr>
                </w:pPr>
              </w:p>
            </w:tc>
          </w:tr>
          <w:tr w:rsidR="00FA604A">
            <w:trPr>
              <w:trHeight w:val="535"/>
            </w:trPr>
            <w:tc>
              <w:tcPr>
                <w:tcW w:w="3574" w:type="dxa"/>
              </w:tcPr>
              <w:p w:rsidR="00FA604A" w:rsidRDefault="00637DDA">
                <w:pPr>
                  <w:tabs>
                    <w:tab w:val="right" w:pos="8838"/>
                  </w:tabs>
                  <w:ind w:left="-113" w:right="-2211"/>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3256" w:type="dxa"/>
              </w:tcPr>
              <w:p w:rsidR="00FA604A" w:rsidRDefault="00637DDA">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c>
              <w:tcPr>
                <w:tcW w:w="1255" w:type="dxa"/>
              </w:tcPr>
              <w:p w:rsidR="00FA604A" w:rsidRDefault="00FA604A">
                <w:pPr>
                  <w:tabs>
                    <w:tab w:val="right" w:pos="8838"/>
                  </w:tabs>
                  <w:ind w:left="-114" w:right="-105"/>
                  <w:jc w:val="both"/>
                  <w:rPr>
                    <w:rFonts w:ascii="Palatino Linotype" w:eastAsia="Palatino Linotype" w:hAnsi="Palatino Linotype" w:cs="Palatino Linotype"/>
                    <w:sz w:val="22"/>
                    <w:szCs w:val="22"/>
                  </w:rPr>
                </w:pPr>
              </w:p>
            </w:tc>
          </w:tr>
        </w:tbl>
        <w:p w:rsidR="00FA604A" w:rsidRDefault="00FA604A">
          <w:pPr>
            <w:tabs>
              <w:tab w:val="right" w:pos="8838"/>
            </w:tabs>
            <w:spacing w:line="256" w:lineRule="auto"/>
            <w:ind w:left="-28"/>
            <w:jc w:val="both"/>
            <w:rPr>
              <w:rFonts w:ascii="Arial" w:eastAsia="Arial" w:hAnsi="Arial" w:cs="Arial"/>
              <w:b/>
              <w:bCs/>
              <w:sz w:val="22"/>
              <w:szCs w:val="22"/>
            </w:rPr>
          </w:pPr>
        </w:p>
      </w:tc>
    </w:tr>
  </w:tbl>
  <w:p w:rsidR="00FA604A" w:rsidRDefault="00637DDA">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6704" behindDoc="1" locked="0" layoutInCell="1" hidden="0" allowOverlap="1">
          <wp:simplePos x="0" y="0"/>
          <wp:positionH relativeFrom="margin">
            <wp:posOffset>-1153159</wp:posOffset>
          </wp:positionH>
          <wp:positionV relativeFrom="margin">
            <wp:posOffset>-1539239</wp:posOffset>
          </wp:positionV>
          <wp:extent cx="7835900" cy="10203815"/>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04A" w:rsidRDefault="00FA604A">
    <w:pPr>
      <w:widowControl w:val="0"/>
      <w:pBdr>
        <w:top w:val="nil"/>
        <w:left w:val="nil"/>
        <w:bottom w:val="nil"/>
        <w:right w:val="nil"/>
        <w:between w:val="nil"/>
      </w:pBdr>
      <w:spacing w:line="276" w:lineRule="auto"/>
      <w:rPr>
        <w:color w:val="000000"/>
      </w:rPr>
    </w:pPr>
  </w:p>
  <w:tbl>
    <w:tblPr>
      <w:tblStyle w:val="a3"/>
      <w:tblW w:w="9214" w:type="dxa"/>
      <w:tblInd w:w="0" w:type="dxa"/>
      <w:tblLayout w:type="fixed"/>
      <w:tblLook w:val="0400" w:firstRow="0" w:lastRow="0" w:firstColumn="0" w:lastColumn="0" w:noHBand="0" w:noVBand="1"/>
    </w:tblPr>
    <w:tblGrid>
      <w:gridCol w:w="1560"/>
      <w:gridCol w:w="7654"/>
    </w:tblGrid>
    <w:tr w:rsidR="00FA604A">
      <w:trPr>
        <w:trHeight w:val="1435"/>
      </w:trPr>
      <w:tc>
        <w:tcPr>
          <w:tcW w:w="1560" w:type="dxa"/>
        </w:tcPr>
        <w:p w:rsidR="00FA604A" w:rsidRDefault="00FA604A">
          <w:pPr>
            <w:tabs>
              <w:tab w:val="right" w:pos="4273"/>
            </w:tabs>
            <w:spacing w:line="256" w:lineRule="auto"/>
            <w:rPr>
              <w:rFonts w:ascii="Garamond" w:eastAsia="Garamond" w:hAnsi="Garamond" w:cs="Garamond"/>
              <w:sz w:val="22"/>
              <w:szCs w:val="22"/>
            </w:rPr>
          </w:pPr>
        </w:p>
      </w:tc>
      <w:tc>
        <w:tcPr>
          <w:tcW w:w="7654" w:type="dxa"/>
        </w:tcPr>
        <w:p w:rsidR="00FA604A" w:rsidRDefault="00FA604A">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4"/>
            <w:tblW w:w="7111" w:type="dxa"/>
            <w:tblInd w:w="607" w:type="dxa"/>
            <w:tblBorders>
              <w:top w:val="nil"/>
              <w:left w:val="nil"/>
              <w:bottom w:val="nil"/>
              <w:right w:val="nil"/>
              <w:insideH w:val="nil"/>
              <w:insideV w:val="nil"/>
            </w:tblBorders>
            <w:tblLayout w:type="fixed"/>
            <w:tblLook w:val="0400" w:firstRow="0" w:lastRow="0" w:firstColumn="0" w:lastColumn="0" w:noHBand="0" w:noVBand="1"/>
          </w:tblPr>
          <w:tblGrid>
            <w:gridCol w:w="3258"/>
            <w:gridCol w:w="3405"/>
            <w:gridCol w:w="448"/>
          </w:tblGrid>
          <w:tr w:rsidR="00FA604A">
            <w:trPr>
              <w:gridAfter w:val="1"/>
              <w:wAfter w:w="448" w:type="dxa"/>
              <w:trHeight w:val="132"/>
            </w:trPr>
            <w:tc>
              <w:tcPr>
                <w:tcW w:w="3259" w:type="dxa"/>
              </w:tcPr>
              <w:p w:rsidR="00FA604A" w:rsidRDefault="00637DDA">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3405" w:type="dxa"/>
              </w:tcPr>
              <w:p w:rsidR="00FA604A" w:rsidRDefault="00637DDA">
                <w:pPr>
                  <w:tabs>
                    <w:tab w:val="right" w:pos="8838"/>
                  </w:tabs>
                  <w:ind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10851/INFOEM/IP/RR/2025</w:t>
                </w:r>
              </w:p>
            </w:tc>
          </w:tr>
          <w:tr w:rsidR="00FA604A">
            <w:trPr>
              <w:gridAfter w:val="1"/>
              <w:wAfter w:w="448" w:type="dxa"/>
              <w:trHeight w:val="132"/>
            </w:trPr>
            <w:tc>
              <w:tcPr>
                <w:tcW w:w="3259" w:type="dxa"/>
              </w:tcPr>
              <w:p w:rsidR="00FA604A" w:rsidRDefault="00637DDA">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Recurrente:</w:t>
                </w:r>
              </w:p>
            </w:tc>
            <w:tc>
              <w:tcPr>
                <w:tcW w:w="3405" w:type="dxa"/>
              </w:tcPr>
              <w:p w:rsidR="00FA604A" w:rsidRDefault="00D02C04">
                <w:pPr>
                  <w:tabs>
                    <w:tab w:val="left" w:pos="3122"/>
                    <w:tab w:val="right" w:pos="8838"/>
                  </w:tabs>
                  <w:ind w:right="-105"/>
                  <w:jc w:val="both"/>
                  <w:rPr>
                    <w:rFonts w:ascii="Palatino Linotype" w:eastAsia="Palatino Linotype" w:hAnsi="Palatino Linotype" w:cs="Palatino Linotype"/>
                    <w:sz w:val="22"/>
                    <w:szCs w:val="22"/>
                  </w:rPr>
                </w:pPr>
                <w:bookmarkStart w:id="29" w:name="_heading=h.65f7khxwlrr3" w:colFirst="0" w:colLast="0"/>
                <w:bookmarkEnd w:id="29"/>
                <w:r w:rsidRPr="00D02C04">
                  <w:rPr>
                    <w:rFonts w:ascii="Palatino Linotype" w:eastAsia="Palatino Linotype" w:hAnsi="Palatino Linotype" w:cs="Palatino Linotype"/>
                    <w:sz w:val="22"/>
                    <w:szCs w:val="22"/>
                    <w:highlight w:val="black"/>
                  </w:rPr>
                  <w:t>XXXXXXXXXXXXXXXXXX</w:t>
                </w:r>
              </w:p>
            </w:tc>
          </w:tr>
          <w:tr w:rsidR="00FA604A">
            <w:trPr>
              <w:gridAfter w:val="1"/>
              <w:wAfter w:w="448" w:type="dxa"/>
              <w:trHeight w:val="261"/>
            </w:trPr>
            <w:tc>
              <w:tcPr>
                <w:tcW w:w="3259" w:type="dxa"/>
              </w:tcPr>
              <w:p w:rsidR="00FA604A" w:rsidRDefault="00637DDA">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3405" w:type="dxa"/>
              </w:tcPr>
              <w:p w:rsidR="00FA604A" w:rsidRDefault="00637DDA">
                <w:pPr>
                  <w:tabs>
                    <w:tab w:val="left" w:pos="2834"/>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Almoloya de Juárez</w:t>
                </w:r>
              </w:p>
            </w:tc>
          </w:tr>
          <w:tr w:rsidR="00FA604A">
            <w:trPr>
              <w:trHeight w:val="261"/>
            </w:trPr>
            <w:tc>
              <w:tcPr>
                <w:tcW w:w="3259" w:type="dxa"/>
              </w:tcPr>
              <w:p w:rsidR="00FA604A" w:rsidRDefault="00637DDA">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3853" w:type="dxa"/>
                <w:gridSpan w:val="2"/>
              </w:tcPr>
              <w:p w:rsidR="00FA604A" w:rsidRDefault="00637DDA">
                <w:pPr>
                  <w:tabs>
                    <w:tab w:val="right" w:pos="8838"/>
                  </w:tabs>
                  <w:ind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FA604A" w:rsidRDefault="00FA604A">
          <w:pPr>
            <w:tabs>
              <w:tab w:val="right" w:pos="8838"/>
            </w:tabs>
            <w:spacing w:line="256" w:lineRule="auto"/>
            <w:ind w:left="-28"/>
            <w:jc w:val="both"/>
            <w:rPr>
              <w:rFonts w:ascii="Arial" w:eastAsia="Arial" w:hAnsi="Arial" w:cs="Arial"/>
              <w:b/>
              <w:bCs/>
              <w:sz w:val="22"/>
              <w:szCs w:val="22"/>
            </w:rPr>
          </w:pPr>
        </w:p>
      </w:tc>
    </w:tr>
  </w:tbl>
  <w:p w:rsidR="00FA604A" w:rsidRDefault="0023431D">
    <w:pPr>
      <w:pBdr>
        <w:top w:val="nil"/>
        <w:left w:val="nil"/>
        <w:bottom w:val="nil"/>
        <w:right w:val="nil"/>
        <w:between w:val="nil"/>
      </w:pBdr>
      <w:tabs>
        <w:tab w:val="center" w:pos="4419"/>
        <w:tab w:val="right" w:pos="8838"/>
      </w:tabs>
      <w:rPr>
        <w:color w:val="000000"/>
      </w:rPr>
    </w:pPr>
    <w:r>
      <w:rPr>
        <w:rFonts w:ascii="Garamond" w:eastAsia="Garamond" w:hAnsi="Garamond" w:cs="Garamond"/>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5.8pt;margin-top:-134.85pt;width:663.5pt;height:12in;z-index:-251657728;mso-position-horizontal:absolute;mso-position-horizontal-relative:margin;mso-position-vertical:absolute;mso-position-vertical-relative:margin">
          <v:imagedata r:id="rId1"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04A"/>
    <w:rsid w:val="0023431D"/>
    <w:rsid w:val="00385CD6"/>
    <w:rsid w:val="00637DDA"/>
    <w:rsid w:val="00824FC5"/>
    <w:rsid w:val="00834DB8"/>
    <w:rsid w:val="008F3523"/>
    <w:rsid w:val="00B6575C"/>
    <w:rsid w:val="00D02C04"/>
    <w:rsid w:val="00E72A5A"/>
    <w:rsid w:val="00FA60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34BC222-0DCA-4BAE-BC37-1AB2865F5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Calibri" w:eastAsia="Calibri" w:hAnsi="Calibri" w:cs="Calibri"/>
      <w:color w:val="2F5496"/>
      <w:sz w:val="40"/>
      <w:szCs w:val="40"/>
    </w:rPr>
  </w:style>
  <w:style w:type="paragraph" w:styleId="Ttulo2">
    <w:name w:val="heading 2"/>
    <w:basedOn w:val="Normal"/>
    <w:next w:val="Normal"/>
    <w:pPr>
      <w:keepNext/>
      <w:keepLines/>
      <w:spacing w:before="160" w:after="80"/>
      <w:outlineLvl w:val="1"/>
    </w:pPr>
    <w:rPr>
      <w:rFonts w:ascii="Calibri" w:eastAsia="Calibri" w:hAnsi="Calibri" w:cs="Calibri"/>
      <w:color w:val="2F5496"/>
      <w:sz w:val="32"/>
      <w:szCs w:val="32"/>
    </w:rPr>
  </w:style>
  <w:style w:type="paragraph" w:styleId="Ttulo3">
    <w:name w:val="heading 3"/>
    <w:basedOn w:val="Normal"/>
    <w:next w:val="Normal"/>
    <w:pPr>
      <w:keepNext/>
      <w:keepLines/>
      <w:spacing w:before="160" w:after="80"/>
      <w:outlineLvl w:val="2"/>
    </w:pPr>
    <w:rPr>
      <w:color w:val="2F5496"/>
      <w:sz w:val="28"/>
      <w:szCs w:val="28"/>
    </w:rPr>
  </w:style>
  <w:style w:type="paragraph" w:styleId="Ttulo4">
    <w:name w:val="heading 4"/>
    <w:basedOn w:val="Normal"/>
    <w:next w:val="Normal"/>
    <w:pPr>
      <w:keepNext/>
      <w:keepLines/>
      <w:spacing w:before="80" w:after="40"/>
      <w:outlineLvl w:val="3"/>
    </w:pPr>
    <w:rPr>
      <w:i/>
      <w:iCs/>
      <w:color w:val="2F5496"/>
    </w:rPr>
  </w:style>
  <w:style w:type="paragraph" w:styleId="Ttulo5">
    <w:name w:val="heading 5"/>
    <w:basedOn w:val="Normal"/>
    <w:next w:val="Normal"/>
    <w:pPr>
      <w:keepNext/>
      <w:keepLines/>
      <w:spacing w:before="80" w:after="40"/>
      <w:outlineLvl w:val="4"/>
    </w:pPr>
    <w:rPr>
      <w:color w:val="2F5496"/>
    </w:rPr>
  </w:style>
  <w:style w:type="paragraph" w:styleId="Ttulo6">
    <w:name w:val="heading 6"/>
    <w:basedOn w:val="Normal"/>
    <w:next w:val="Normal"/>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9B4EE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B4EE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B4EE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spacing w:after="80"/>
    </w:pPr>
    <w:rPr>
      <w:rFonts w:ascii="Calibri" w:eastAsia="Calibri" w:hAnsi="Calibri" w:cs="Calibri"/>
      <w:sz w:val="56"/>
      <w:szCs w:val="56"/>
    </w:rPr>
  </w:style>
  <w:style w:type="character" w:customStyle="1" w:styleId="Ttulo1Car">
    <w:name w:val="Título 1 Car"/>
    <w:basedOn w:val="Fuentedeprrafopredeter"/>
    <w:uiPriority w:val="9"/>
    <w:rsid w:val="009B4EE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rsid w:val="009B4EE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9B4EEF"/>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9B4EEF"/>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9B4EEF"/>
    <w:rPr>
      <w:rFonts w:eastAsiaTheme="majorEastAsia" w:cstheme="majorBidi"/>
      <w:color w:val="2F5496" w:themeColor="accent1" w:themeShade="BF"/>
    </w:rPr>
  </w:style>
  <w:style w:type="character" w:customStyle="1" w:styleId="Ttulo6Car">
    <w:name w:val="Título 6 Car"/>
    <w:basedOn w:val="Fuentedeprrafopredeter"/>
    <w:uiPriority w:val="9"/>
    <w:semiHidden/>
    <w:rsid w:val="009B4EE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B4EE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B4EE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B4EEF"/>
    <w:rPr>
      <w:rFonts w:eastAsiaTheme="majorEastAsia" w:cstheme="majorBidi"/>
      <w:color w:val="272727" w:themeColor="text1" w:themeTint="D8"/>
    </w:rPr>
  </w:style>
  <w:style w:type="character" w:customStyle="1" w:styleId="TtuloCar">
    <w:name w:val="Título Car"/>
    <w:basedOn w:val="Fuentedeprrafopredeter"/>
    <w:uiPriority w:val="10"/>
    <w:rsid w:val="009B4EEF"/>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9B4EE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B4EEF"/>
    <w:pPr>
      <w:spacing w:before="160"/>
      <w:jc w:val="center"/>
    </w:pPr>
    <w:rPr>
      <w:i/>
      <w:iCs/>
      <w:color w:val="404040" w:themeColor="text1" w:themeTint="BF"/>
    </w:rPr>
  </w:style>
  <w:style w:type="character" w:customStyle="1" w:styleId="CitaCar">
    <w:name w:val="Cita Car"/>
    <w:basedOn w:val="Fuentedeprrafopredeter"/>
    <w:link w:val="Cita"/>
    <w:uiPriority w:val="29"/>
    <w:rsid w:val="009B4EEF"/>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B4EEF"/>
    <w:pPr>
      <w:ind w:left="720"/>
      <w:contextualSpacing/>
    </w:pPr>
  </w:style>
  <w:style w:type="character" w:styleId="nfasisintenso">
    <w:name w:val="Intense Emphasis"/>
    <w:basedOn w:val="Fuentedeprrafopredeter"/>
    <w:uiPriority w:val="21"/>
    <w:qFormat/>
    <w:rsid w:val="009B4EEF"/>
    <w:rPr>
      <w:i/>
      <w:iCs/>
      <w:color w:val="2F5496" w:themeColor="accent1" w:themeShade="BF"/>
    </w:rPr>
  </w:style>
  <w:style w:type="paragraph" w:styleId="Citadestacada">
    <w:name w:val="Intense Quote"/>
    <w:basedOn w:val="Normal"/>
    <w:next w:val="Normal"/>
    <w:link w:val="CitadestacadaCar"/>
    <w:uiPriority w:val="30"/>
    <w:qFormat/>
    <w:rsid w:val="009B4E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B4EEF"/>
    <w:rPr>
      <w:i/>
      <w:iCs/>
      <w:color w:val="2F5496" w:themeColor="accent1" w:themeShade="BF"/>
    </w:rPr>
  </w:style>
  <w:style w:type="character" w:styleId="Referenciaintensa">
    <w:name w:val="Intense Reference"/>
    <w:basedOn w:val="Fuentedeprrafopredeter"/>
    <w:uiPriority w:val="32"/>
    <w:qFormat/>
    <w:rsid w:val="009B4EEF"/>
    <w:rPr>
      <w:b/>
      <w:bCs/>
      <w:smallCaps/>
      <w:color w:val="2F5496"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9B4EEF"/>
  </w:style>
  <w:style w:type="table" w:styleId="Tablaconcuadrcula">
    <w:name w:val="Table Grid"/>
    <w:basedOn w:val="Tablanormal"/>
    <w:uiPriority w:val="39"/>
    <w:qFormat/>
    <w:rsid w:val="009B4EE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B4EEF"/>
    <w:pPr>
      <w:tabs>
        <w:tab w:val="center" w:pos="4419"/>
        <w:tab w:val="right" w:pos="8838"/>
      </w:tabs>
    </w:pPr>
  </w:style>
  <w:style w:type="character" w:customStyle="1" w:styleId="EncabezadoCar">
    <w:name w:val="Encabezado Car"/>
    <w:basedOn w:val="Fuentedeprrafopredeter"/>
    <w:link w:val="Encabezado"/>
    <w:uiPriority w:val="99"/>
    <w:rsid w:val="009B4EEF"/>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9B4EEF"/>
    <w:pPr>
      <w:tabs>
        <w:tab w:val="center" w:pos="4419"/>
        <w:tab w:val="right" w:pos="8838"/>
      </w:tabs>
    </w:pPr>
  </w:style>
  <w:style w:type="character" w:customStyle="1" w:styleId="PiedepginaCar">
    <w:name w:val="Pie de página Car"/>
    <w:basedOn w:val="Fuentedeprrafopredeter"/>
    <w:link w:val="Piedepgina"/>
    <w:uiPriority w:val="99"/>
    <w:rsid w:val="009B4EEF"/>
    <w:rPr>
      <w:rFonts w:ascii="Times New Roman" w:eastAsia="Times New Roman" w:hAnsi="Times New Roman" w:cs="Times New Roman"/>
      <w:kern w:val="0"/>
      <w:sz w:val="20"/>
      <w:szCs w:val="20"/>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9B4EEF"/>
    <w:rPr>
      <w:color w:val="0563C1" w:themeColor="hyperlink"/>
      <w:u w:val="single"/>
    </w:rPr>
  </w:style>
  <w:style w:type="paragraph" w:styleId="TtulodeTDC">
    <w:name w:val="TOC Heading"/>
    <w:next w:val="Normal"/>
    <w:uiPriority w:val="39"/>
    <w:unhideWhenUsed/>
    <w:qFormat/>
    <w:rsid w:val="009B4EEF"/>
    <w:pPr>
      <w:spacing w:before="240"/>
    </w:pPr>
    <w:rPr>
      <w:sz w:val="32"/>
      <w:szCs w:val="32"/>
    </w:rPr>
  </w:style>
  <w:style w:type="paragraph" w:styleId="TDC2">
    <w:name w:val="toc 2"/>
    <w:basedOn w:val="Normal"/>
    <w:next w:val="Normal"/>
    <w:autoRedefine/>
    <w:uiPriority w:val="39"/>
    <w:unhideWhenUsed/>
    <w:rsid w:val="009B4EEF"/>
    <w:pPr>
      <w:spacing w:after="100" w:line="259" w:lineRule="auto"/>
      <w:ind w:left="220"/>
    </w:pPr>
    <w:rPr>
      <w:rFonts w:asciiTheme="minorHAnsi" w:eastAsiaTheme="minorEastAsia" w:hAnsiTheme="minorHAnsi"/>
      <w:sz w:val="22"/>
      <w:szCs w:val="22"/>
    </w:rPr>
  </w:style>
  <w:style w:type="paragraph" w:styleId="TDC1">
    <w:name w:val="toc 1"/>
    <w:basedOn w:val="Normal"/>
    <w:next w:val="Normal"/>
    <w:autoRedefine/>
    <w:uiPriority w:val="39"/>
    <w:unhideWhenUsed/>
    <w:rsid w:val="009B4EEF"/>
    <w:pPr>
      <w:spacing w:after="100" w:line="259" w:lineRule="auto"/>
    </w:pPr>
    <w:rPr>
      <w:rFonts w:asciiTheme="minorHAnsi" w:eastAsiaTheme="minorEastAsia" w:hAnsiTheme="minorHAnsi"/>
      <w:sz w:val="22"/>
      <w:szCs w:val="22"/>
    </w:rPr>
  </w:style>
  <w:style w:type="paragraph" w:styleId="Subttulo">
    <w:name w:val="Subtitle"/>
    <w:basedOn w:val="Normal"/>
    <w:next w:val="Normal"/>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205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Iin49djEox0rEC5CFkKRGtcmAg==">CgMxLjAyDWguY2YwMW5xZTc5YWMyDmguNm91eG1hdDBpcWp4Mg5oLnY3OWtuZjl1cGYyajIOaC5ybGo3amtvaHM2Z2EyDmguamc1c2RvOTE4ZWN1Mg5oLmNoMmMxbWpuNXpkbTIOaC5kM3k4M2FuM3o1Z3EyDmguZTFseHRybmlyZzdjMg5oLmh6c2hrdzNkc2ZmZDIOaC5vNTJsaDhjNnJ4a3UyDmgubzUybGg4YzZyeGt1Mg5oLmV4a3FlM2g5aGE2NjIMaC51aGp1Z2Z1ZWZ2Mg5oLmo2emZoaGxkaHVhazIOaC5scDVweTUxOTg5a2gyDmgucXBjenhjOGQyZ2pjMg5oLmp2NWY3dW4yNXhwNDIOaC5uaG1ucWtpbzAzZnoyDmguNjVmN2toeHdscnIzOAByITFhamd1QThlTzBJQnJfeDdYS2Zydm5qMURlWVhzUFU5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AE7EBB-4F63-4123-8E8B-65704C416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3965</Words>
  <Characters>21811</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25725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4</cp:revision>
  <cp:lastPrinted>2026-01-16T16:39:00Z</cp:lastPrinted>
  <dcterms:created xsi:type="dcterms:W3CDTF">2026-01-16T16:39:00Z</dcterms:created>
  <dcterms:modified xsi:type="dcterms:W3CDTF">2026-03-12T22:59:00Z</dcterms:modified>
</cp:coreProperties>
</file>