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F6D9C" w14:textId="7A89335F" w:rsidR="004E3EF7" w:rsidRPr="009C2EFE" w:rsidRDefault="00F2495A" w:rsidP="00BF0DE4">
      <w:pPr>
        <w:spacing w:line="360" w:lineRule="auto"/>
        <w:jc w:val="both"/>
        <w:rPr>
          <w:rFonts w:ascii="Palatino Linotype" w:eastAsia="Palatino Linotype" w:hAnsi="Palatino Linotype" w:cs="Palatino Linotype"/>
          <w:b/>
          <w:bCs/>
        </w:rPr>
      </w:pPr>
      <w:bookmarkStart w:id="0" w:name="_GoBack"/>
      <w:bookmarkEnd w:id="0"/>
      <w:r w:rsidRPr="009C2EFE">
        <w:rPr>
          <w:rFonts w:ascii="Palatino Linotype" w:eastAsia="Palatino Linotype" w:hAnsi="Palatino Linotype" w:cs="Palatino Linotype"/>
        </w:rPr>
        <w:t xml:space="preserve">Resolución del Pleno del Instituto de Transparencia, Acceso a la Información </w:t>
      </w:r>
      <w:r w:rsidR="00BB4B54" w:rsidRPr="009C2EFE">
        <w:rPr>
          <w:rFonts w:ascii="Palatino Linotype" w:eastAsia="Palatino Linotype" w:hAnsi="Palatino Linotype" w:cs="Palatino Linotype"/>
        </w:rPr>
        <w:t>Pública</w:t>
      </w:r>
      <w:r w:rsidRPr="009C2EFE">
        <w:rPr>
          <w:rFonts w:ascii="Palatino Linotype" w:eastAsia="Palatino Linotype" w:hAnsi="Palatino Linotype" w:cs="Palatino Linotype"/>
        </w:rPr>
        <w:t xml:space="preserve"> y Protección de Datos Personales del Estado de México y Municipios, con domicilio en Metepec, Estado de México; de </w:t>
      </w:r>
      <w:r w:rsidR="00BB4B54" w:rsidRPr="009C2EFE">
        <w:rPr>
          <w:rFonts w:ascii="Palatino Linotype" w:eastAsia="Palatino Linotype" w:hAnsi="Palatino Linotype" w:cs="Palatino Linotype"/>
          <w:b/>
          <w:bCs/>
        </w:rPr>
        <w:t xml:space="preserve">fecha veinticinco </w:t>
      </w:r>
      <w:r w:rsidR="009C2EFE">
        <w:rPr>
          <w:rFonts w:ascii="Palatino Linotype" w:eastAsia="Palatino Linotype" w:hAnsi="Palatino Linotype" w:cs="Palatino Linotype"/>
          <w:b/>
          <w:bCs/>
        </w:rPr>
        <w:t xml:space="preserve">(25) </w:t>
      </w:r>
      <w:r w:rsidRPr="009C2EFE">
        <w:rPr>
          <w:rFonts w:ascii="Palatino Linotype" w:eastAsia="Palatino Linotype" w:hAnsi="Palatino Linotype" w:cs="Palatino Linotype"/>
          <w:b/>
          <w:bCs/>
        </w:rPr>
        <w:t>de junio de dos mil veintiséis.</w:t>
      </w:r>
    </w:p>
    <w:p w14:paraId="351CF9CD" w14:textId="77777777" w:rsidR="004E3EF7" w:rsidRPr="009C2EFE" w:rsidRDefault="004E3EF7" w:rsidP="00BF0DE4">
      <w:pPr>
        <w:spacing w:line="360" w:lineRule="auto"/>
        <w:jc w:val="both"/>
        <w:rPr>
          <w:rFonts w:ascii="Palatino Linotype" w:eastAsia="Palatino Linotype" w:hAnsi="Palatino Linotype" w:cs="Palatino Linotype"/>
        </w:rPr>
      </w:pPr>
    </w:p>
    <w:p w14:paraId="33A7F854" w14:textId="58EE1B60" w:rsidR="004E3EF7" w:rsidRPr="009C2EFE" w:rsidRDefault="00F2495A" w:rsidP="00BF0DE4">
      <w:pPr>
        <w:spacing w:line="360" w:lineRule="auto"/>
        <w:jc w:val="both"/>
        <w:rPr>
          <w:rFonts w:ascii="Palatino Linotype" w:eastAsia="Palatino Linotype" w:hAnsi="Palatino Linotype" w:cs="Palatino Linotype"/>
        </w:rPr>
      </w:pPr>
      <w:r w:rsidRPr="009C2EFE">
        <w:rPr>
          <w:rFonts w:ascii="Palatino Linotype" w:eastAsia="Palatino Linotype" w:hAnsi="Palatino Linotype" w:cs="Palatino Linotype"/>
          <w:b/>
          <w:bCs/>
        </w:rPr>
        <w:t>VISTO</w:t>
      </w:r>
      <w:r w:rsidRPr="009C2EFE">
        <w:rPr>
          <w:rFonts w:ascii="Palatino Linotype" w:eastAsia="Palatino Linotype" w:hAnsi="Palatino Linotype" w:cs="Palatino Linotype"/>
        </w:rPr>
        <w:t xml:space="preserve"> el expediente electrónico formado con motivo del recurso de revisión </w:t>
      </w:r>
      <w:r w:rsidR="003F5BBB" w:rsidRPr="009C2EFE">
        <w:rPr>
          <w:rFonts w:ascii="Palatino Linotype" w:eastAsia="Palatino Linotype" w:hAnsi="Palatino Linotype" w:cs="Palatino Linotype"/>
          <w:b/>
          <w:bCs/>
        </w:rPr>
        <w:t>00498</w:t>
      </w:r>
      <w:r w:rsidRPr="009C2EFE">
        <w:rPr>
          <w:rFonts w:ascii="Palatino Linotype" w:eastAsia="Palatino Linotype" w:hAnsi="Palatino Linotype" w:cs="Palatino Linotype"/>
          <w:b/>
          <w:bCs/>
        </w:rPr>
        <w:t>/INFOEM/IP/RR/202</w:t>
      </w:r>
      <w:r w:rsidR="003F5BBB" w:rsidRPr="009C2EFE">
        <w:rPr>
          <w:rFonts w:ascii="Palatino Linotype" w:eastAsia="Palatino Linotype" w:hAnsi="Palatino Linotype" w:cs="Palatino Linotype"/>
          <w:b/>
          <w:bCs/>
        </w:rPr>
        <w:t>6</w:t>
      </w:r>
      <w:r w:rsidRPr="009C2EFE">
        <w:rPr>
          <w:rFonts w:ascii="Palatino Linotype" w:eastAsia="Palatino Linotype" w:hAnsi="Palatino Linotype" w:cs="Palatino Linotype"/>
          <w:b/>
          <w:bCs/>
        </w:rPr>
        <w:t xml:space="preserve">, </w:t>
      </w:r>
      <w:r w:rsidRPr="009C2EFE">
        <w:rPr>
          <w:rFonts w:ascii="Palatino Linotype" w:eastAsia="Palatino Linotype" w:hAnsi="Palatino Linotype" w:cs="Palatino Linotype"/>
        </w:rPr>
        <w:t xml:space="preserve">promovido por </w:t>
      </w:r>
      <w:r w:rsidR="00BB57F8">
        <w:rPr>
          <w:rFonts w:ascii="Palatino Linotype" w:eastAsia="Palatino Linotype" w:hAnsi="Palatino Linotype" w:cs="Palatino Linotype"/>
          <w:b/>
          <w:bCs/>
        </w:rPr>
        <w:t>XXXX</w:t>
      </w:r>
      <w:r w:rsidRPr="009C2EFE">
        <w:rPr>
          <w:rFonts w:ascii="Palatino Linotype" w:eastAsia="Palatino Linotype" w:hAnsi="Palatino Linotype" w:cs="Palatino Linotype"/>
          <w:b/>
          <w:bCs/>
        </w:rPr>
        <w:t xml:space="preserve">, </w:t>
      </w:r>
      <w:r w:rsidRPr="009C2EFE">
        <w:rPr>
          <w:rFonts w:ascii="Palatino Linotype" w:eastAsia="Palatino Linotype" w:hAnsi="Palatino Linotype" w:cs="Palatino Linotype"/>
        </w:rPr>
        <w:t xml:space="preserve">en lo sucesivo </w:t>
      </w:r>
      <w:r w:rsidRPr="009C2EFE">
        <w:rPr>
          <w:rFonts w:ascii="Palatino Linotype" w:eastAsia="Palatino Linotype" w:hAnsi="Palatino Linotype" w:cs="Palatino Linotype"/>
          <w:b/>
          <w:bCs/>
        </w:rPr>
        <w:t xml:space="preserve">el RECURRENTE, </w:t>
      </w:r>
      <w:r w:rsidRPr="009C2EFE">
        <w:rPr>
          <w:rFonts w:ascii="Palatino Linotype" w:eastAsia="Palatino Linotype" w:hAnsi="Palatino Linotype" w:cs="Palatino Linotype"/>
        </w:rPr>
        <w:t xml:space="preserve">en contra de la respuesta del </w:t>
      </w:r>
      <w:r w:rsidRPr="009C2EFE">
        <w:rPr>
          <w:rFonts w:ascii="Palatino Linotype" w:eastAsia="Palatino Linotype" w:hAnsi="Palatino Linotype" w:cs="Palatino Linotype"/>
          <w:b/>
          <w:bCs/>
        </w:rPr>
        <w:t xml:space="preserve">Ayuntamiento de </w:t>
      </w:r>
      <w:r w:rsidR="003F5BBB" w:rsidRPr="009C2EFE">
        <w:rPr>
          <w:rFonts w:ascii="Palatino Linotype" w:eastAsia="Palatino Linotype" w:hAnsi="Palatino Linotype" w:cs="Palatino Linotype"/>
          <w:b/>
          <w:bCs/>
        </w:rPr>
        <w:t>Ecatepec de Morelos</w:t>
      </w:r>
      <w:r w:rsidRPr="009C2EFE">
        <w:rPr>
          <w:rFonts w:ascii="Palatino Linotype" w:eastAsia="Palatino Linotype" w:hAnsi="Palatino Linotype" w:cs="Palatino Linotype"/>
          <w:b/>
          <w:bCs/>
        </w:rPr>
        <w:t xml:space="preserve">, </w:t>
      </w:r>
      <w:r w:rsidRPr="009C2EFE">
        <w:rPr>
          <w:rFonts w:ascii="Palatino Linotype" w:eastAsia="Palatino Linotype" w:hAnsi="Palatino Linotype" w:cs="Palatino Linotype"/>
        </w:rPr>
        <w:t>en adelante el</w:t>
      </w:r>
      <w:r w:rsidRPr="009C2EFE">
        <w:rPr>
          <w:rFonts w:ascii="Palatino Linotype" w:eastAsia="Palatino Linotype" w:hAnsi="Palatino Linotype" w:cs="Palatino Linotype"/>
          <w:b/>
          <w:bCs/>
        </w:rPr>
        <w:t xml:space="preserve"> SUJETO OBLIGADO</w:t>
      </w:r>
      <w:r w:rsidRPr="009C2EFE">
        <w:rPr>
          <w:rFonts w:ascii="Palatino Linotype" w:eastAsia="Palatino Linotype" w:hAnsi="Palatino Linotype" w:cs="Palatino Linotype"/>
        </w:rPr>
        <w:t>, por lo que se procede a dictar la presente resolución, con base en los siguientes:</w:t>
      </w:r>
    </w:p>
    <w:p w14:paraId="4DEE7399" w14:textId="77777777" w:rsidR="004E3EF7" w:rsidRPr="009C2EFE" w:rsidRDefault="004E3EF7" w:rsidP="00BF0DE4">
      <w:pPr>
        <w:spacing w:line="360" w:lineRule="auto"/>
        <w:jc w:val="both"/>
        <w:rPr>
          <w:rFonts w:ascii="Palatino Linotype" w:eastAsia="Palatino Linotype" w:hAnsi="Palatino Linotype" w:cs="Palatino Linotype"/>
        </w:rPr>
      </w:pPr>
    </w:p>
    <w:p w14:paraId="4FD5A08E" w14:textId="77777777" w:rsidR="004E3EF7" w:rsidRPr="009C2EFE" w:rsidRDefault="00F2495A" w:rsidP="00BF0DE4">
      <w:pPr>
        <w:keepNext/>
        <w:keepLines/>
        <w:spacing w:line="360" w:lineRule="auto"/>
        <w:jc w:val="center"/>
        <w:rPr>
          <w:rFonts w:ascii="Palatino Linotype" w:eastAsia="Palatino Linotype" w:hAnsi="Palatino Linotype" w:cs="Palatino Linotype"/>
          <w:b/>
          <w:bCs/>
        </w:rPr>
      </w:pPr>
      <w:r w:rsidRPr="009C2EFE">
        <w:rPr>
          <w:rFonts w:ascii="Palatino Linotype" w:eastAsia="Palatino Linotype" w:hAnsi="Palatino Linotype" w:cs="Palatino Linotype"/>
          <w:b/>
          <w:bCs/>
        </w:rPr>
        <w:t>A N T E C E D E N T E S</w:t>
      </w:r>
    </w:p>
    <w:p w14:paraId="517D379C" w14:textId="77777777" w:rsidR="004E3EF7" w:rsidRPr="009C2EFE" w:rsidRDefault="004E3EF7" w:rsidP="00BF0DE4">
      <w:pPr>
        <w:spacing w:line="360" w:lineRule="auto"/>
        <w:rPr>
          <w:rFonts w:ascii="Palatino Linotype" w:eastAsia="Palatino Linotype" w:hAnsi="Palatino Linotype" w:cs="Palatino Linotype"/>
        </w:rPr>
      </w:pPr>
    </w:p>
    <w:p w14:paraId="4BCB3536" w14:textId="52564B35"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1" w:name="_heading=h.ntdj20mvnznb" w:colFirst="0" w:colLast="0"/>
      <w:bookmarkEnd w:id="1"/>
      <w:r w:rsidRPr="009C2EFE">
        <w:rPr>
          <w:rFonts w:ascii="Palatino Linotype" w:eastAsia="Palatino Linotype" w:hAnsi="Palatino Linotype" w:cs="Palatino Linotype"/>
        </w:rPr>
        <w:t xml:space="preserve">El </w:t>
      </w:r>
      <w:r w:rsidR="003F5BBB" w:rsidRPr="009C2EFE">
        <w:rPr>
          <w:rFonts w:ascii="Palatino Linotype" w:eastAsia="Palatino Linotype" w:hAnsi="Palatino Linotype" w:cs="Palatino Linotype"/>
        </w:rPr>
        <w:t>veintiuno</w:t>
      </w:r>
      <w:r w:rsidRPr="009C2EFE">
        <w:rPr>
          <w:rFonts w:ascii="Palatino Linotype" w:eastAsia="Palatino Linotype" w:hAnsi="Palatino Linotype" w:cs="Palatino Linotype"/>
        </w:rPr>
        <w:t xml:space="preserve"> de noviembre de dos mil veinticinco, la</w:t>
      </w:r>
      <w:r w:rsidRPr="009C2EFE">
        <w:rPr>
          <w:rFonts w:ascii="Palatino Linotype" w:eastAsia="Palatino Linotype" w:hAnsi="Palatino Linotype" w:cs="Palatino Linotype"/>
          <w:b/>
          <w:bCs/>
        </w:rPr>
        <w:t xml:space="preserve"> </w:t>
      </w:r>
      <w:r w:rsidRPr="009C2EFE">
        <w:rPr>
          <w:rFonts w:ascii="Palatino Linotype" w:eastAsia="Palatino Linotype" w:hAnsi="Palatino Linotype" w:cs="Palatino Linotype"/>
        </w:rPr>
        <w:t>parte</w:t>
      </w:r>
      <w:r w:rsidRPr="009C2EFE">
        <w:rPr>
          <w:rFonts w:ascii="Palatino Linotype" w:eastAsia="Palatino Linotype" w:hAnsi="Palatino Linotype" w:cs="Palatino Linotype"/>
          <w:b/>
          <w:bCs/>
        </w:rPr>
        <w:t xml:space="preserve"> RECURRENTE </w:t>
      </w:r>
      <w:r w:rsidRPr="009C2EFE">
        <w:rPr>
          <w:rFonts w:ascii="Palatino Linotype" w:eastAsia="Palatino Linotype" w:hAnsi="Palatino Linotype" w:cs="Palatino Linotype"/>
        </w:rPr>
        <w:t xml:space="preserve">presentó ante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a través del el Sistema de Acceso a la Información Mexiquense </w:t>
      </w:r>
      <w:r w:rsidRPr="009C2EFE">
        <w:rPr>
          <w:rFonts w:ascii="Palatino Linotype" w:eastAsia="Palatino Linotype" w:hAnsi="Palatino Linotype" w:cs="Palatino Linotype"/>
          <w:b/>
          <w:bCs/>
        </w:rPr>
        <w:t>(SAIMEX),</w:t>
      </w:r>
      <w:r w:rsidRPr="009C2EFE">
        <w:rPr>
          <w:rFonts w:ascii="Palatino Linotype" w:eastAsia="Palatino Linotype" w:hAnsi="Palatino Linotype" w:cs="Palatino Linotype"/>
        </w:rPr>
        <w:t xml:space="preserve"> la solicitud de información pública </w:t>
      </w:r>
      <w:r w:rsidRPr="009C2EFE">
        <w:rPr>
          <w:rFonts w:ascii="Palatino Linotype" w:eastAsia="Palatino Linotype" w:hAnsi="Palatino Linotype" w:cs="Palatino Linotype"/>
          <w:b/>
          <w:bCs/>
        </w:rPr>
        <w:t>0</w:t>
      </w:r>
      <w:r w:rsidR="003F5BBB" w:rsidRPr="009C2EFE">
        <w:rPr>
          <w:rFonts w:ascii="Palatino Linotype" w:eastAsia="Palatino Linotype" w:hAnsi="Palatino Linotype" w:cs="Palatino Linotype"/>
          <w:b/>
          <w:bCs/>
        </w:rPr>
        <w:t>0934</w:t>
      </w:r>
      <w:r w:rsidRPr="009C2EFE">
        <w:rPr>
          <w:rFonts w:ascii="Palatino Linotype" w:eastAsia="Palatino Linotype" w:hAnsi="Palatino Linotype" w:cs="Palatino Linotype"/>
          <w:b/>
          <w:bCs/>
        </w:rPr>
        <w:t>/</w:t>
      </w:r>
      <w:r w:rsidR="003F5BBB" w:rsidRPr="009C2EFE">
        <w:rPr>
          <w:rFonts w:ascii="Palatino Linotype" w:eastAsia="Palatino Linotype" w:hAnsi="Palatino Linotype" w:cs="Palatino Linotype"/>
          <w:b/>
          <w:bCs/>
        </w:rPr>
        <w:t>ECATEPEC</w:t>
      </w:r>
      <w:r w:rsidRPr="009C2EFE">
        <w:rPr>
          <w:rFonts w:ascii="Palatino Linotype" w:eastAsia="Palatino Linotype" w:hAnsi="Palatino Linotype" w:cs="Palatino Linotype"/>
          <w:b/>
          <w:bCs/>
        </w:rPr>
        <w:t>/IP/2025</w:t>
      </w:r>
      <w:r w:rsidRPr="009C2EFE">
        <w:rPr>
          <w:rFonts w:ascii="Palatino Linotype" w:eastAsia="Palatino Linotype" w:hAnsi="Palatino Linotype" w:cs="Palatino Linotype"/>
        </w:rPr>
        <w:t>, en la que solicitó:</w:t>
      </w:r>
    </w:p>
    <w:p w14:paraId="4DC534C7" w14:textId="77777777" w:rsidR="004E3EF7" w:rsidRPr="009C2EFE" w:rsidRDefault="004E3EF7">
      <w:pPr>
        <w:spacing w:line="360" w:lineRule="auto"/>
        <w:ind w:right="-561"/>
        <w:jc w:val="both"/>
        <w:rPr>
          <w:rFonts w:ascii="Palatino Linotype" w:eastAsia="Palatino Linotype" w:hAnsi="Palatino Linotype" w:cs="Palatino Linotype"/>
          <w:i/>
          <w:iCs/>
        </w:rPr>
      </w:pPr>
    </w:p>
    <w:p w14:paraId="2186A02B" w14:textId="46780A10" w:rsidR="004E3EF7" w:rsidRPr="009C2EFE" w:rsidRDefault="00F2495A" w:rsidP="003F5BBB">
      <w:pPr>
        <w:ind w:left="567" w:right="567"/>
        <w:jc w:val="both"/>
        <w:rPr>
          <w:rFonts w:ascii="Palatino Linotype" w:hAnsi="Palatino Linotype"/>
          <w:i/>
          <w:iCs/>
        </w:rPr>
      </w:pPr>
      <w:r w:rsidRPr="009C2EFE">
        <w:rPr>
          <w:rFonts w:ascii="Palatino Linotype" w:eastAsia="Palatino Linotype" w:hAnsi="Palatino Linotype" w:cs="Palatino Linotype"/>
          <w:i/>
          <w:iCs/>
          <w:color w:val="000000"/>
        </w:rPr>
        <w:t>“</w:t>
      </w:r>
      <w:r w:rsidR="003F5BBB" w:rsidRPr="009C2EFE">
        <w:rPr>
          <w:rFonts w:ascii="Palatino Linotype" w:hAnsi="Palatino Linotype"/>
          <w:i/>
          <w:iCs/>
        </w:rPr>
        <w:t>derivado del presupuesto asignado para comunicación otorgado por cabildo informar en que medios de radio, televisión, digitales , impresos y todos aquellos que se consideren plataformas informativas el tiempo contratado y para que fin además de los montos asignados para cada medio de comunicación y en que fechas fueron erogadas del primero de enero del 2025 al 21 de noviembre del 2025</w:t>
      </w:r>
      <w:r w:rsidRPr="009C2EFE">
        <w:rPr>
          <w:rFonts w:ascii="Palatino Linotype" w:eastAsia="Palatino Linotype" w:hAnsi="Palatino Linotype" w:cs="Palatino Linotype"/>
          <w:i/>
          <w:iCs/>
          <w:color w:val="000000"/>
        </w:rPr>
        <w:t xml:space="preserve">” (Sic) </w:t>
      </w:r>
    </w:p>
    <w:p w14:paraId="631F562B" w14:textId="77777777" w:rsidR="004E3EF7" w:rsidRPr="009C2EFE" w:rsidRDefault="004E3EF7">
      <w:pPr>
        <w:pBdr>
          <w:top w:val="nil"/>
          <w:left w:val="nil"/>
          <w:bottom w:val="nil"/>
          <w:right w:val="nil"/>
          <w:between w:val="nil"/>
        </w:pBdr>
        <w:spacing w:line="360" w:lineRule="auto"/>
        <w:ind w:right="-561"/>
        <w:jc w:val="both"/>
        <w:rPr>
          <w:rFonts w:ascii="Palatino Linotype" w:eastAsia="Palatino Linotype" w:hAnsi="Palatino Linotype" w:cs="Palatino Linotype"/>
        </w:rPr>
      </w:pPr>
    </w:p>
    <w:p w14:paraId="4439A7A8" w14:textId="606F36D1" w:rsidR="004E3EF7" w:rsidRPr="009C2EFE"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Se hace constar que se señaló como modalidad de entrega de la información a través del </w:t>
      </w:r>
      <w:r w:rsidRPr="009C2EFE">
        <w:rPr>
          <w:rFonts w:ascii="Palatino Linotype" w:eastAsia="Palatino Linotype" w:hAnsi="Palatino Linotype" w:cs="Palatino Linotype"/>
          <w:b/>
          <w:bCs/>
        </w:rPr>
        <w:t>SAIMEX.</w:t>
      </w:r>
    </w:p>
    <w:p w14:paraId="2596EBEF" w14:textId="77777777" w:rsidR="00BF0DE4" w:rsidRPr="009C2EFE" w:rsidRDefault="00BF0DE4" w:rsidP="002934A0">
      <w:pPr>
        <w:spacing w:line="360" w:lineRule="auto"/>
        <w:jc w:val="both"/>
        <w:rPr>
          <w:rFonts w:ascii="Palatino Linotype" w:eastAsia="Palatino Linotype" w:hAnsi="Palatino Linotype" w:cs="Palatino Linotype"/>
        </w:rPr>
      </w:pPr>
    </w:p>
    <w:p w14:paraId="56B2C700" w14:textId="2229DE6F" w:rsidR="003F5BBB" w:rsidRPr="009C2EFE" w:rsidRDefault="003F5BBB" w:rsidP="002934A0">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lastRenderedPageBreak/>
        <w:t xml:space="preserve">El doce de diciembre de dos mil veinticinco,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notificó una prórroga para tender la solicitud de información, en los siguientes términos:</w:t>
      </w:r>
    </w:p>
    <w:p w14:paraId="7ACD561B" w14:textId="4E2AB5E0" w:rsidR="003F5BBB" w:rsidRPr="009C2EFE" w:rsidRDefault="003F5BBB" w:rsidP="003F5BBB">
      <w:pPr>
        <w:spacing w:line="360" w:lineRule="auto"/>
        <w:ind w:left="567"/>
        <w:jc w:val="both"/>
        <w:rPr>
          <w:rFonts w:ascii="Palatino Linotype" w:hAnsi="Palatino Linotype"/>
          <w:i/>
          <w:iCs/>
          <w:color w:val="000000"/>
        </w:rPr>
      </w:pPr>
      <w:r w:rsidRPr="009C2EFE">
        <w:rPr>
          <w:rFonts w:ascii="Palatino Linotype" w:hAnsi="Palatino Linotype"/>
          <w:i/>
          <w:iCs/>
          <w:color w:val="000000"/>
        </w:rPr>
        <w:t>“SE ANEXA PRORROGA” (Sic)</w:t>
      </w:r>
    </w:p>
    <w:p w14:paraId="0F194ECE" w14:textId="58F0F37A" w:rsidR="003F5BBB" w:rsidRPr="009C2EFE" w:rsidRDefault="003F5BBB" w:rsidP="003F5BBB">
      <w:pPr>
        <w:spacing w:line="360" w:lineRule="auto"/>
        <w:jc w:val="both"/>
        <w:rPr>
          <w:rFonts w:ascii="Palatino Linotype" w:hAnsi="Palatino Linotype"/>
          <w:i/>
          <w:iCs/>
          <w:color w:val="000000"/>
        </w:rPr>
      </w:pPr>
    </w:p>
    <w:p w14:paraId="2EB96377" w14:textId="1903A98B" w:rsidR="003F5BBB" w:rsidRPr="009C2EFE" w:rsidRDefault="003F5BBB" w:rsidP="003F5BBB">
      <w:pPr>
        <w:tabs>
          <w:tab w:val="left" w:pos="0"/>
        </w:tabs>
        <w:spacing w:line="360" w:lineRule="auto"/>
        <w:jc w:val="both"/>
        <w:rPr>
          <w:rFonts w:ascii="Palatino Linotype" w:hAnsi="Palatino Linotype"/>
          <w:b/>
          <w:bCs/>
          <w:color w:val="000000"/>
        </w:rPr>
      </w:pPr>
      <w:r w:rsidRPr="009C2EFE">
        <w:rPr>
          <w:rFonts w:ascii="Palatino Linotype" w:hAnsi="Palatino Linotype"/>
          <w:b/>
          <w:bCs/>
          <w:color w:val="000000"/>
        </w:rPr>
        <w:t xml:space="preserve">Archivos electrónicos adjuntos: </w:t>
      </w:r>
    </w:p>
    <w:p w14:paraId="7ECBD09E" w14:textId="4C4017CF" w:rsidR="003F5BBB" w:rsidRPr="009C2EFE" w:rsidRDefault="00C4412A" w:rsidP="003F5BBB">
      <w:pPr>
        <w:ind w:left="567" w:right="567"/>
        <w:jc w:val="both"/>
        <w:rPr>
          <w:rFonts w:ascii="Palatino Linotype" w:eastAsia="Palatino Linotype" w:hAnsi="Palatino Linotype" w:cs="Palatino Linotype"/>
          <w:i/>
          <w:iCs/>
        </w:rPr>
      </w:pPr>
      <w:hyperlink r:id="rId8" w:tgtFrame="_blank" w:history="1">
        <w:r w:rsidR="003F5BBB" w:rsidRPr="009C2EFE">
          <w:rPr>
            <w:rStyle w:val="Hipervnculo"/>
            <w:rFonts w:ascii="Palatino Linotype" w:hAnsi="Palatino Linotype" w:cs="Arial"/>
            <w:b/>
            <w:bCs/>
            <w:color w:val="auto"/>
            <w:u w:val="none"/>
          </w:rPr>
          <w:t>PRORROGA SOL 934.pdf</w:t>
        </w:r>
      </w:hyperlink>
      <w:r w:rsidR="003F5BBB" w:rsidRPr="009C2EFE">
        <w:rPr>
          <w:rFonts w:ascii="Palatino Linotype" w:hAnsi="Palatino Linotype"/>
        </w:rPr>
        <w:t>: Oficio suscrito por la Titular de la Unidad de Transparencia, mediante el cual, refirió remitir copia del Acta que contiene la autorización de la Prórroga de la información solicitada.</w:t>
      </w:r>
    </w:p>
    <w:p w14:paraId="2389316E" w14:textId="77777777" w:rsidR="003F5BBB" w:rsidRPr="009C2EFE" w:rsidRDefault="003F5BBB" w:rsidP="003F5BBB">
      <w:pPr>
        <w:rPr>
          <w:rFonts w:ascii="Palatino Linotype" w:eastAsia="Palatino Linotype" w:hAnsi="Palatino Linotype" w:cs="Palatino Linotype"/>
        </w:rPr>
      </w:pPr>
    </w:p>
    <w:p w14:paraId="72E1B16B" w14:textId="7C670C45" w:rsidR="004E3EF7" w:rsidRPr="009C2EFE"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El tre</w:t>
      </w:r>
      <w:r w:rsidR="003F5BBB" w:rsidRPr="009C2EFE">
        <w:rPr>
          <w:rFonts w:ascii="Palatino Linotype" w:eastAsia="Palatino Linotype" w:hAnsi="Palatino Linotype" w:cs="Palatino Linotype"/>
        </w:rPr>
        <w:t>ce de enero de dos mil veintiséis</w:t>
      </w:r>
      <w:r w:rsidRPr="009C2EFE">
        <w:rPr>
          <w:rFonts w:ascii="Palatino Linotype" w:eastAsia="Palatino Linotype" w:hAnsi="Palatino Linotype" w:cs="Palatino Linotype"/>
        </w:rPr>
        <w:t xml:space="preserve">,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b/>
          <w:bCs/>
          <w:i/>
          <w:iCs/>
        </w:rPr>
        <w:t xml:space="preserve"> </w:t>
      </w:r>
      <w:r w:rsidRPr="009C2EFE">
        <w:rPr>
          <w:rFonts w:ascii="Palatino Linotype" w:eastAsia="Palatino Linotype" w:hAnsi="Palatino Linotype" w:cs="Palatino Linotype"/>
        </w:rPr>
        <w:t>dio respuesta a la solicitud de información, en los siguientes términos:</w:t>
      </w:r>
    </w:p>
    <w:p w14:paraId="57604A75" w14:textId="191F7331"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color w:val="000000"/>
        </w:rPr>
        <w:t>“</w:t>
      </w:r>
      <w:r w:rsidR="003F5BBB" w:rsidRPr="009C2EFE">
        <w:rPr>
          <w:rFonts w:ascii="Palatino Linotype" w:eastAsia="Palatino Linotype" w:hAnsi="Palatino Linotype" w:cs="Palatino Linotype"/>
          <w:i/>
          <w:iCs/>
          <w:color w:val="000000"/>
        </w:rPr>
        <w:t>D</w:t>
      </w:r>
      <w:r w:rsidR="003F5BBB" w:rsidRPr="009C2EFE">
        <w:rPr>
          <w:rFonts w:ascii="Palatino Linotype" w:hAnsi="Palatino Linotype"/>
          <w:i/>
          <w:iCs/>
          <w:color w:val="000000"/>
        </w:rPr>
        <w:t xml:space="preserve">e acuerdo al criterio SO/003/2017 emitido por el Instituto Nacional de Transparencia, que a letra dice: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003F5BBB" w:rsidRPr="009C2EFE">
        <w:rPr>
          <w:rFonts w:ascii="Palatino Linotype" w:hAnsi="Palatino Linotype"/>
          <w:b/>
          <w:bCs/>
          <w:i/>
          <w:iCs/>
          <w:color w:val="000000"/>
        </w:rPr>
        <w:t>Al respecto, y con fundamento en el criterio en mención, esta Tesorería Municipal, informa que no se genero la información solicitada</w:t>
      </w:r>
      <w:r w:rsidRPr="009C2EFE">
        <w:rPr>
          <w:rFonts w:ascii="Palatino Linotype" w:eastAsia="Palatino Linotype" w:hAnsi="Palatino Linotype" w:cs="Palatino Linotype"/>
          <w:i/>
          <w:iCs/>
          <w:color w:val="000000"/>
        </w:rPr>
        <w:t xml:space="preserve">” (Sic) </w:t>
      </w:r>
    </w:p>
    <w:p w14:paraId="7FBA2FA8" w14:textId="77777777" w:rsidR="004E3EF7" w:rsidRPr="009C2EFE" w:rsidRDefault="004E3EF7">
      <w:pPr>
        <w:spacing w:line="360" w:lineRule="auto"/>
        <w:ind w:right="-561"/>
        <w:jc w:val="both"/>
        <w:rPr>
          <w:rFonts w:ascii="Palatino Linotype" w:eastAsia="Palatino Linotype" w:hAnsi="Palatino Linotype" w:cs="Palatino Linotype"/>
          <w:b/>
          <w:bCs/>
        </w:rPr>
      </w:pPr>
    </w:p>
    <w:p w14:paraId="24C32CAE" w14:textId="3206918C"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El </w:t>
      </w:r>
      <w:r w:rsidR="003F5BBB" w:rsidRPr="009C2EFE">
        <w:rPr>
          <w:rFonts w:ascii="Palatino Linotype" w:eastAsia="Palatino Linotype" w:hAnsi="Palatino Linotype" w:cs="Palatino Linotype"/>
        </w:rPr>
        <w:t>quince de enero de dos mil veintiséis</w:t>
      </w:r>
      <w:r w:rsidRPr="009C2EFE">
        <w:rPr>
          <w:rFonts w:ascii="Palatino Linotype" w:eastAsia="Palatino Linotype" w:hAnsi="Palatino Linotype" w:cs="Palatino Linotype"/>
        </w:rPr>
        <w:t>,</w:t>
      </w:r>
      <w:r w:rsidRPr="009C2EFE">
        <w:rPr>
          <w:rFonts w:ascii="Palatino Linotype" w:eastAsia="Palatino Linotype" w:hAnsi="Palatino Linotype" w:cs="Palatino Linotype"/>
          <w:b/>
          <w:bCs/>
        </w:rPr>
        <w:t xml:space="preserve"> </w:t>
      </w:r>
      <w:r w:rsidRPr="009C2EFE">
        <w:rPr>
          <w:rFonts w:ascii="Palatino Linotype" w:eastAsia="Palatino Linotype" w:hAnsi="Palatino Linotype" w:cs="Palatino Linotype"/>
        </w:rPr>
        <w:t xml:space="preserve">el </w:t>
      </w:r>
      <w:r w:rsidRPr="009C2EFE">
        <w:rPr>
          <w:rFonts w:ascii="Palatino Linotype" w:eastAsia="Palatino Linotype" w:hAnsi="Palatino Linotype" w:cs="Palatino Linotype"/>
          <w:b/>
          <w:bCs/>
        </w:rPr>
        <w:t>RECURRENTE</w:t>
      </w:r>
      <w:r w:rsidRPr="009C2EFE">
        <w:rPr>
          <w:rFonts w:ascii="Palatino Linotype" w:eastAsia="Palatino Linotype" w:hAnsi="Palatino Linotype" w:cs="Palatino Linotype"/>
        </w:rPr>
        <w:t xml:space="preserve"> interpuso el recurso de revisión en contra de la respuesta, señalando como:</w:t>
      </w:r>
    </w:p>
    <w:p w14:paraId="6E95D15F" w14:textId="77777777" w:rsidR="004E3EF7" w:rsidRPr="009C2EFE" w:rsidRDefault="004E3EF7">
      <w:pPr>
        <w:spacing w:line="360" w:lineRule="auto"/>
        <w:ind w:right="-561"/>
        <w:jc w:val="both"/>
        <w:rPr>
          <w:rFonts w:ascii="Palatino Linotype" w:eastAsia="Palatino Linotype" w:hAnsi="Palatino Linotype" w:cs="Palatino Linotype"/>
        </w:rPr>
      </w:pPr>
    </w:p>
    <w:p w14:paraId="048E1244" w14:textId="5EB653BC" w:rsidR="004E3EF7" w:rsidRPr="009C2EFE" w:rsidRDefault="00F2495A" w:rsidP="00BF0DE4">
      <w:pPr>
        <w:numPr>
          <w:ilvl w:val="0"/>
          <w:numId w:val="1"/>
        </w:numPr>
        <w:ind w:left="567" w:right="567" w:hanging="141"/>
        <w:jc w:val="both"/>
        <w:rPr>
          <w:rFonts w:ascii="Palatino Linotype" w:eastAsia="Palatino Linotype" w:hAnsi="Palatino Linotype" w:cs="Palatino Linotype"/>
        </w:rPr>
      </w:pPr>
      <w:r w:rsidRPr="009C2EFE">
        <w:rPr>
          <w:rFonts w:ascii="Palatino Linotype" w:eastAsia="Palatino Linotype" w:hAnsi="Palatino Linotype" w:cs="Palatino Linotype"/>
          <w:b/>
          <w:bCs/>
        </w:rPr>
        <w:t>Acto impugnado</w:t>
      </w:r>
      <w:r w:rsidRPr="009C2EFE">
        <w:rPr>
          <w:rFonts w:ascii="Palatino Linotype" w:eastAsia="Palatino Linotype" w:hAnsi="Palatino Linotype" w:cs="Palatino Linotype"/>
          <w:b/>
          <w:bCs/>
          <w:i/>
          <w:iCs/>
        </w:rPr>
        <w:t>:</w:t>
      </w:r>
      <w:r w:rsidRPr="009C2EFE">
        <w:rPr>
          <w:rFonts w:ascii="Palatino Linotype" w:eastAsia="Palatino Linotype" w:hAnsi="Palatino Linotype" w:cs="Palatino Linotype"/>
          <w:i/>
          <w:iCs/>
          <w:color w:val="000000"/>
        </w:rPr>
        <w:t xml:space="preserve"> “</w:t>
      </w:r>
      <w:r w:rsidR="003F5BBB" w:rsidRPr="009C2EFE">
        <w:rPr>
          <w:rFonts w:ascii="Palatino Linotype" w:hAnsi="Palatino Linotype"/>
          <w:i/>
          <w:iCs/>
          <w:color w:val="000000"/>
        </w:rPr>
        <w:t>negativa a proporcionar información solicitada</w:t>
      </w:r>
      <w:r w:rsidRPr="009C2EFE">
        <w:rPr>
          <w:rFonts w:ascii="Palatino Linotype" w:eastAsia="Palatino Linotype" w:hAnsi="Palatino Linotype" w:cs="Palatino Linotype"/>
          <w:i/>
          <w:iCs/>
          <w:color w:val="000000"/>
        </w:rPr>
        <w:t>” (Sic)</w:t>
      </w:r>
    </w:p>
    <w:p w14:paraId="595F6BC8" w14:textId="77777777" w:rsidR="004E3EF7" w:rsidRPr="009C2EFE" w:rsidRDefault="004E3EF7" w:rsidP="00BF0DE4">
      <w:pPr>
        <w:ind w:left="567" w:right="567" w:hanging="141"/>
        <w:jc w:val="both"/>
        <w:rPr>
          <w:rFonts w:ascii="Palatino Linotype" w:eastAsia="Palatino Linotype" w:hAnsi="Palatino Linotype" w:cs="Palatino Linotype"/>
        </w:rPr>
      </w:pPr>
    </w:p>
    <w:p w14:paraId="3CB6B086" w14:textId="749DD1B8" w:rsidR="004E3EF7" w:rsidRPr="009C2EFE" w:rsidRDefault="00F2495A" w:rsidP="00BF0DE4">
      <w:pPr>
        <w:numPr>
          <w:ilvl w:val="0"/>
          <w:numId w:val="2"/>
        </w:numPr>
        <w:ind w:left="567" w:right="567" w:hanging="141"/>
        <w:jc w:val="both"/>
        <w:rPr>
          <w:rFonts w:ascii="Palatino Linotype" w:eastAsia="Palatino Linotype" w:hAnsi="Palatino Linotype" w:cs="Palatino Linotype"/>
        </w:rPr>
      </w:pPr>
      <w:r w:rsidRPr="009C2EFE">
        <w:rPr>
          <w:rFonts w:ascii="Palatino Linotype" w:eastAsia="Palatino Linotype" w:hAnsi="Palatino Linotype" w:cs="Palatino Linotype"/>
          <w:b/>
          <w:bCs/>
        </w:rPr>
        <w:lastRenderedPageBreak/>
        <w:t xml:space="preserve">Razones o Motivos de inconformidad: </w:t>
      </w:r>
      <w:r w:rsidRPr="009C2EFE">
        <w:rPr>
          <w:rFonts w:ascii="Palatino Linotype" w:eastAsia="Palatino Linotype" w:hAnsi="Palatino Linotype" w:cs="Palatino Linotype"/>
          <w:i/>
          <w:iCs/>
          <w:color w:val="000000"/>
        </w:rPr>
        <w:t>“</w:t>
      </w:r>
      <w:r w:rsidR="003F5BBB" w:rsidRPr="009C2EFE">
        <w:rPr>
          <w:rFonts w:ascii="Palatino Linotype" w:hAnsi="Palatino Linotype"/>
          <w:i/>
          <w:iCs/>
          <w:color w:val="000000"/>
        </w:rPr>
        <w:t>negar la información solicitada</w:t>
      </w:r>
      <w:r w:rsidRPr="009C2EFE">
        <w:rPr>
          <w:rFonts w:ascii="Palatino Linotype" w:eastAsia="Palatino Linotype" w:hAnsi="Palatino Linotype" w:cs="Palatino Linotype"/>
          <w:i/>
          <w:iCs/>
          <w:color w:val="000000"/>
        </w:rPr>
        <w:t>” (Sic)</w:t>
      </w:r>
    </w:p>
    <w:p w14:paraId="479EC87D" w14:textId="77777777" w:rsidR="004E3EF7" w:rsidRPr="009C2EFE" w:rsidRDefault="004E3EF7">
      <w:pPr>
        <w:spacing w:line="360" w:lineRule="auto"/>
        <w:ind w:right="-561"/>
        <w:jc w:val="both"/>
        <w:rPr>
          <w:rFonts w:ascii="Palatino Linotype" w:eastAsia="Palatino Linotype" w:hAnsi="Palatino Linotype" w:cs="Palatino Linotype"/>
          <w:b/>
          <w:bCs/>
        </w:rPr>
      </w:pPr>
    </w:p>
    <w:p w14:paraId="317E4C03"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9C2EFE">
        <w:rPr>
          <w:rFonts w:ascii="Palatino Linotype" w:eastAsia="Palatino Linotype" w:hAnsi="Palatino Linotype" w:cs="Palatino Linotype"/>
          <w:b/>
          <w:bCs/>
        </w:rPr>
        <w:t xml:space="preserve">Ley de Transparencia y Acceso a la Información Pública del Estado de México y Municipios </w:t>
      </w:r>
      <w:r w:rsidRPr="009C2EFE">
        <w:rPr>
          <w:rFonts w:ascii="Palatino Linotype" w:eastAsia="Palatino Linotype" w:hAnsi="Palatino Linotype" w:cs="Palatino Linotype"/>
        </w:rPr>
        <w:t xml:space="preserve">se turna a la </w:t>
      </w:r>
      <w:r w:rsidRPr="009C2EFE">
        <w:rPr>
          <w:rFonts w:ascii="Palatino Linotype" w:eastAsia="Palatino Linotype" w:hAnsi="Palatino Linotype" w:cs="Palatino Linotype"/>
          <w:b/>
          <w:bCs/>
        </w:rPr>
        <w:t xml:space="preserve">Comisionada María del Rosario Mejía Ayala, </w:t>
      </w:r>
      <w:r w:rsidRPr="009C2EFE">
        <w:rPr>
          <w:rFonts w:ascii="Palatino Linotype" w:eastAsia="Palatino Linotype" w:hAnsi="Palatino Linotype" w:cs="Palatino Linotype"/>
        </w:rPr>
        <w:t xml:space="preserve">para su análisis. </w:t>
      </w:r>
    </w:p>
    <w:p w14:paraId="5536D872" w14:textId="77777777" w:rsidR="004E3EF7" w:rsidRPr="009C2EFE" w:rsidRDefault="004E3EF7" w:rsidP="00771F83">
      <w:pPr>
        <w:spacing w:line="360" w:lineRule="auto"/>
        <w:jc w:val="both"/>
        <w:rPr>
          <w:rFonts w:ascii="Palatino Linotype" w:eastAsia="Palatino Linotype" w:hAnsi="Palatino Linotype" w:cs="Palatino Linotype"/>
        </w:rPr>
      </w:pPr>
    </w:p>
    <w:p w14:paraId="341A6096" w14:textId="3C6A891A"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color w:val="000000"/>
        </w:rPr>
      </w:pPr>
      <w:r w:rsidRPr="009C2EFE">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771F83" w:rsidRPr="009C2EFE">
        <w:rPr>
          <w:rFonts w:ascii="Palatino Linotype" w:eastAsia="Palatino Linotype" w:hAnsi="Palatino Linotype" w:cs="Palatino Linotype"/>
        </w:rPr>
        <w:t>diecinueve de enero de dos mil veintiséis</w:t>
      </w:r>
      <w:r w:rsidRPr="009C2EFE">
        <w:rPr>
          <w:rFonts w:ascii="Palatino Linotype" w:eastAsia="Palatino Linotype" w:hAnsi="Palatino Linotype" w:cs="Palatino Linotype"/>
        </w:rPr>
        <w:t xml:space="preserve">, puso a disposición de las partes el expediente electrónico vía </w:t>
      </w:r>
      <w:r w:rsidRPr="009C2EFE">
        <w:rPr>
          <w:rFonts w:ascii="Palatino Linotype" w:eastAsia="Palatino Linotype" w:hAnsi="Palatino Linotype" w:cs="Palatino Linotype"/>
          <w:b/>
          <w:bCs/>
        </w:rPr>
        <w:t xml:space="preserve">SAIMEX </w:t>
      </w:r>
      <w:r w:rsidRPr="009C2EFE">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presentará el informe justificado procedente. </w:t>
      </w:r>
    </w:p>
    <w:p w14:paraId="72F825CB" w14:textId="77777777" w:rsidR="004E3EF7" w:rsidRPr="009C2EFE" w:rsidRDefault="004E3EF7" w:rsidP="00BF0DE4">
      <w:pPr>
        <w:pBdr>
          <w:top w:val="nil"/>
          <w:left w:val="nil"/>
          <w:bottom w:val="nil"/>
          <w:right w:val="nil"/>
          <w:between w:val="nil"/>
        </w:pBdr>
        <w:rPr>
          <w:rFonts w:ascii="Palatino Linotype" w:eastAsia="Palatino Linotype" w:hAnsi="Palatino Linotype" w:cs="Palatino Linotype"/>
          <w:color w:val="000000"/>
        </w:rPr>
      </w:pPr>
    </w:p>
    <w:p w14:paraId="1C22E1ED" w14:textId="57F015CA" w:rsidR="004E3EF7" w:rsidRPr="009C2EFE" w:rsidRDefault="00F2495A" w:rsidP="00771F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w:t>
      </w:r>
      <w:r w:rsidR="00771F83" w:rsidRPr="009C2EFE">
        <w:rPr>
          <w:rFonts w:ascii="Palatino Linotype" w:eastAsia="Palatino Linotype" w:hAnsi="Palatino Linotype" w:cs="Palatino Linotype"/>
        </w:rPr>
        <w:t>omitió rendir</w:t>
      </w:r>
      <w:r w:rsidRPr="009C2EFE">
        <w:rPr>
          <w:rFonts w:ascii="Palatino Linotype" w:eastAsia="Palatino Linotype" w:hAnsi="Palatino Linotype" w:cs="Palatino Linotype"/>
        </w:rPr>
        <w:t xml:space="preserve"> el informe justificado correspondiente, </w:t>
      </w:r>
      <w:r w:rsidR="00771F83" w:rsidRPr="009C2EFE">
        <w:rPr>
          <w:rFonts w:ascii="Palatino Linotype" w:eastAsia="Palatino Linotype" w:hAnsi="Palatino Linotype" w:cs="Palatino Linotype"/>
        </w:rPr>
        <w:t>p</w:t>
      </w:r>
      <w:r w:rsidRPr="009C2EFE">
        <w:rPr>
          <w:rFonts w:ascii="Palatino Linotype" w:eastAsia="Palatino Linotype" w:hAnsi="Palatino Linotype" w:cs="Palatino Linotype"/>
        </w:rPr>
        <w:t>or su parte,</w:t>
      </w:r>
      <w:r w:rsidRPr="009C2EFE">
        <w:rPr>
          <w:rFonts w:ascii="Palatino Linotype" w:eastAsia="Palatino Linotype" w:hAnsi="Palatino Linotype" w:cs="Palatino Linotype"/>
          <w:color w:val="000000"/>
        </w:rPr>
        <w:t xml:space="preserve"> </w:t>
      </w:r>
      <w:r w:rsidR="00771F83" w:rsidRPr="009C2EFE">
        <w:rPr>
          <w:rFonts w:ascii="Palatino Linotype" w:eastAsia="Palatino Linotype" w:hAnsi="Palatino Linotype" w:cs="Palatino Linotype"/>
          <w:color w:val="000000"/>
        </w:rPr>
        <w:t>el</w:t>
      </w:r>
      <w:r w:rsidRPr="009C2EFE">
        <w:rPr>
          <w:rFonts w:ascii="Palatino Linotype" w:eastAsia="Palatino Linotype" w:hAnsi="Palatino Linotype" w:cs="Palatino Linotype"/>
          <w:color w:val="000000"/>
        </w:rPr>
        <w:t xml:space="preserve"> </w:t>
      </w:r>
      <w:r w:rsidRPr="009C2EFE">
        <w:rPr>
          <w:rFonts w:ascii="Palatino Linotype" w:eastAsia="Palatino Linotype" w:hAnsi="Palatino Linotype" w:cs="Palatino Linotype"/>
          <w:b/>
          <w:bCs/>
          <w:color w:val="000000"/>
        </w:rPr>
        <w:t>RECURRENTE</w:t>
      </w:r>
      <w:r w:rsidRPr="009C2EFE">
        <w:rPr>
          <w:rFonts w:ascii="Palatino Linotype" w:eastAsia="Palatino Linotype" w:hAnsi="Palatino Linotype" w:cs="Palatino Linotype"/>
          <w:color w:val="000000"/>
        </w:rPr>
        <w:t xml:space="preserve"> dejó de realizar manifestaciones que a su derecho conviniera y asistiera.</w:t>
      </w:r>
    </w:p>
    <w:p w14:paraId="2096CFDA" w14:textId="77777777" w:rsidR="00BF0DE4" w:rsidRPr="009C2EFE" w:rsidRDefault="00BF0DE4" w:rsidP="00BF0DE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916A5E" w14:textId="585A4359"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La Comisionada Ponente decretó el cierre de instrucción mediante el acuerdo del </w:t>
      </w:r>
      <w:r w:rsidR="00771F83" w:rsidRPr="009C2EFE">
        <w:rPr>
          <w:rFonts w:ascii="Palatino Linotype" w:eastAsia="Palatino Linotype" w:hAnsi="Palatino Linotype" w:cs="Palatino Linotype"/>
        </w:rPr>
        <w:t xml:space="preserve">nueve de abril </w:t>
      </w:r>
      <w:r w:rsidRPr="009C2EFE">
        <w:rPr>
          <w:rFonts w:ascii="Palatino Linotype" w:eastAsia="Palatino Linotype" w:hAnsi="Palatino Linotype" w:cs="Palatino Linotype"/>
        </w:rPr>
        <w:t>de dos mil veintiséis.</w:t>
      </w:r>
      <w:r w:rsidR="009C2EFE">
        <w:rPr>
          <w:rFonts w:ascii="Palatino Linotype" w:eastAsia="Palatino Linotype" w:hAnsi="Palatino Linotype" w:cs="Palatino Linotype"/>
        </w:rPr>
        <w:t xml:space="preserve"> ------------------------------------------------------------------------------------</w:t>
      </w:r>
    </w:p>
    <w:p w14:paraId="4CAA542A" w14:textId="77777777" w:rsidR="004E3EF7" w:rsidRPr="009C2EFE" w:rsidRDefault="004E3EF7">
      <w:pPr>
        <w:spacing w:line="360" w:lineRule="auto"/>
        <w:ind w:right="-561"/>
        <w:rPr>
          <w:rFonts w:ascii="Palatino Linotype" w:eastAsia="Palatino Linotype" w:hAnsi="Palatino Linotype" w:cs="Palatino Linotype"/>
          <w:b/>
          <w:bCs/>
        </w:rPr>
      </w:pPr>
    </w:p>
    <w:p w14:paraId="3D6BBC0E" w14:textId="77777777" w:rsidR="004E3EF7" w:rsidRPr="009C2EFE" w:rsidRDefault="00F2495A">
      <w:pPr>
        <w:keepNext/>
        <w:keepLines/>
        <w:spacing w:line="360" w:lineRule="auto"/>
        <w:ind w:right="-561"/>
        <w:jc w:val="center"/>
        <w:rPr>
          <w:rFonts w:ascii="Palatino Linotype" w:eastAsia="Palatino Linotype" w:hAnsi="Palatino Linotype" w:cs="Palatino Linotype"/>
          <w:b/>
          <w:bCs/>
        </w:rPr>
      </w:pPr>
      <w:r w:rsidRPr="009C2EFE">
        <w:rPr>
          <w:rFonts w:ascii="Palatino Linotype" w:eastAsia="Palatino Linotype" w:hAnsi="Palatino Linotype" w:cs="Palatino Linotype"/>
          <w:b/>
          <w:bCs/>
        </w:rPr>
        <w:lastRenderedPageBreak/>
        <w:t xml:space="preserve">C O N S I D E R A N D O </w:t>
      </w:r>
    </w:p>
    <w:p w14:paraId="691A3508" w14:textId="77777777" w:rsidR="004E3EF7" w:rsidRPr="009C2EFE" w:rsidRDefault="004E3EF7">
      <w:pPr>
        <w:keepNext/>
        <w:keepLines/>
        <w:spacing w:line="360" w:lineRule="auto"/>
        <w:ind w:right="-561"/>
        <w:rPr>
          <w:rFonts w:ascii="Palatino Linotype" w:eastAsia="Palatino Linotype" w:hAnsi="Palatino Linotype" w:cs="Palatino Linotype"/>
        </w:rPr>
      </w:pPr>
    </w:p>
    <w:p w14:paraId="2D716CD8" w14:textId="77777777" w:rsidR="004E3EF7" w:rsidRPr="009C2EFE" w:rsidRDefault="00F2495A">
      <w:pPr>
        <w:keepNext/>
        <w:keepLines/>
        <w:spacing w:line="360" w:lineRule="auto"/>
        <w:ind w:right="-561"/>
        <w:rPr>
          <w:rFonts w:ascii="Palatino Linotype" w:eastAsia="Palatino Linotype" w:hAnsi="Palatino Linotype" w:cs="Palatino Linotype"/>
          <w:b/>
          <w:bCs/>
        </w:rPr>
      </w:pPr>
      <w:r w:rsidRPr="009C2EFE">
        <w:rPr>
          <w:rFonts w:ascii="Palatino Linotype" w:eastAsia="Palatino Linotype" w:hAnsi="Palatino Linotype" w:cs="Palatino Linotype"/>
          <w:b/>
          <w:bCs/>
        </w:rPr>
        <w:t>PRIMERO. De la competencia.</w:t>
      </w:r>
    </w:p>
    <w:p w14:paraId="73695463"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2" w:name="_heading=h.3znysh7" w:colFirst="0" w:colLast="0"/>
      <w:bookmarkEnd w:id="2"/>
      <w:r w:rsidRPr="009C2EF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2AD74377" w14:textId="77777777" w:rsidR="004E3EF7" w:rsidRPr="009C2EFE" w:rsidRDefault="004E3EF7" w:rsidP="006E20BA">
      <w:pPr>
        <w:spacing w:line="360" w:lineRule="auto"/>
        <w:jc w:val="both"/>
        <w:rPr>
          <w:rFonts w:ascii="Palatino Linotype" w:eastAsia="Palatino Linotype" w:hAnsi="Palatino Linotype" w:cs="Palatino Linotype"/>
        </w:rPr>
      </w:pPr>
      <w:bookmarkStart w:id="3" w:name="_heading=h.2v230knidey2" w:colFirst="0" w:colLast="0"/>
      <w:bookmarkEnd w:id="3"/>
    </w:p>
    <w:p w14:paraId="1F43FC7B" w14:textId="77777777" w:rsidR="004E3EF7" w:rsidRPr="009C2EFE" w:rsidRDefault="00F2495A" w:rsidP="00BF0DE4">
      <w:pPr>
        <w:keepNext/>
        <w:keepLines/>
        <w:spacing w:line="360" w:lineRule="auto"/>
        <w:rPr>
          <w:rFonts w:ascii="Palatino Linotype" w:eastAsia="Palatino Linotype" w:hAnsi="Palatino Linotype" w:cs="Palatino Linotype"/>
          <w:b/>
          <w:bCs/>
        </w:rPr>
      </w:pPr>
      <w:r w:rsidRPr="009C2EFE">
        <w:rPr>
          <w:rFonts w:ascii="Palatino Linotype" w:eastAsia="Palatino Linotype" w:hAnsi="Palatino Linotype" w:cs="Palatino Linotype"/>
          <w:b/>
          <w:bCs/>
        </w:rPr>
        <w:t>SEGUNDO. De la oportunidad y procedencia.</w:t>
      </w:r>
    </w:p>
    <w:p w14:paraId="0E39C2C5" w14:textId="1EAB98C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b/>
          <w:bCs/>
        </w:rPr>
      </w:pPr>
      <w:bookmarkStart w:id="4" w:name="_heading=h.3dy6vkm" w:colFirst="0" w:colLast="0"/>
      <w:bookmarkEnd w:id="4"/>
      <w:r w:rsidRPr="009C2EFE">
        <w:rPr>
          <w:rFonts w:ascii="Palatino Linotype" w:eastAsia="Palatino Linotype" w:hAnsi="Palatino Linotype" w:cs="Palatino Linotype"/>
        </w:rPr>
        <w:t xml:space="preserve">El medio de impugnación fue presentado a través del </w:t>
      </w:r>
      <w:r w:rsidRPr="009C2EFE">
        <w:rPr>
          <w:rFonts w:ascii="Palatino Linotype" w:eastAsia="Palatino Linotype" w:hAnsi="Palatino Linotype" w:cs="Palatino Linotype"/>
          <w:b/>
          <w:bCs/>
        </w:rPr>
        <w:t>SAIMEX,</w:t>
      </w:r>
      <w:r w:rsidRPr="009C2EFE">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entregó respuesta el </w:t>
      </w:r>
      <w:r w:rsidR="00771F83" w:rsidRPr="009C2EFE">
        <w:rPr>
          <w:rFonts w:ascii="Palatino Linotype" w:eastAsia="Palatino Linotype" w:hAnsi="Palatino Linotype" w:cs="Palatino Linotype"/>
        </w:rPr>
        <w:t>trece de enero de dos mil veintiséis</w:t>
      </w:r>
      <w:r w:rsidRPr="009C2EFE">
        <w:rPr>
          <w:rFonts w:ascii="Palatino Linotype" w:eastAsia="Palatino Linotype" w:hAnsi="Palatino Linotype" w:cs="Palatino Linotype"/>
        </w:rPr>
        <w:t xml:space="preserve">, de tal forma que el plazo para interponer el recurso de revisión transcurrió del </w:t>
      </w:r>
      <w:r w:rsidR="00771F83" w:rsidRPr="009C2EFE">
        <w:rPr>
          <w:rFonts w:ascii="Palatino Linotype" w:eastAsia="Palatino Linotype" w:hAnsi="Palatino Linotype" w:cs="Palatino Linotype"/>
        </w:rPr>
        <w:t>catorce de enero</w:t>
      </w:r>
      <w:r w:rsidRPr="009C2EFE">
        <w:rPr>
          <w:rFonts w:ascii="Palatino Linotype" w:eastAsia="Palatino Linotype" w:hAnsi="Palatino Linotype" w:cs="Palatino Linotype"/>
        </w:rPr>
        <w:t xml:space="preserve"> al </w:t>
      </w:r>
      <w:r w:rsidR="00771F83" w:rsidRPr="009C2EFE">
        <w:rPr>
          <w:rFonts w:ascii="Palatino Linotype" w:eastAsia="Palatino Linotype" w:hAnsi="Palatino Linotype" w:cs="Palatino Linotype"/>
        </w:rPr>
        <w:t xml:space="preserve">cuatro de febrero </w:t>
      </w:r>
      <w:r w:rsidRPr="009C2EFE">
        <w:rPr>
          <w:rFonts w:ascii="Palatino Linotype" w:eastAsia="Palatino Linotype" w:hAnsi="Palatino Linotype" w:cs="Palatino Linotype"/>
        </w:rPr>
        <w:t xml:space="preserve">de dos mil veintiséis; en consecuencia, presentó su inconformidad el </w:t>
      </w:r>
      <w:r w:rsidR="00771F83" w:rsidRPr="009C2EFE">
        <w:rPr>
          <w:rFonts w:ascii="Palatino Linotype" w:eastAsia="Palatino Linotype" w:hAnsi="Palatino Linotype" w:cs="Palatino Linotype"/>
        </w:rPr>
        <w:t>quince de enero de dos mil veintiséis</w:t>
      </w:r>
      <w:r w:rsidRPr="009C2EFE">
        <w:rPr>
          <w:rFonts w:ascii="Palatino Linotype" w:eastAsia="Palatino Linotype" w:hAnsi="Palatino Linotype" w:cs="Palatino Linotype"/>
        </w:rPr>
        <w:t xml:space="preserve">, por lo que se encuentra dentro de los márgenes temporales previstos en el artículo 178 de la </w:t>
      </w:r>
      <w:r w:rsidRPr="009C2EFE">
        <w:rPr>
          <w:rFonts w:ascii="Palatino Linotype" w:eastAsia="Palatino Linotype" w:hAnsi="Palatino Linotype" w:cs="Palatino Linotype"/>
          <w:b/>
          <w:bCs/>
        </w:rPr>
        <w:t xml:space="preserve">Ley de Transparencia y Acceso a la Información Pública del Estado de México y Municipios </w:t>
      </w:r>
      <w:r w:rsidRPr="009C2EFE">
        <w:rPr>
          <w:rFonts w:ascii="Palatino Linotype" w:eastAsia="Palatino Linotype" w:hAnsi="Palatino Linotype" w:cs="Palatino Linotype"/>
        </w:rPr>
        <w:t>vigente.</w:t>
      </w:r>
    </w:p>
    <w:p w14:paraId="58F1A900"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49ED4FFF"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022D22A" w14:textId="77777777" w:rsidR="004E3EF7" w:rsidRPr="009C2EFE" w:rsidRDefault="004E3EF7">
      <w:pPr>
        <w:pBdr>
          <w:top w:val="nil"/>
          <w:left w:val="nil"/>
          <w:bottom w:val="nil"/>
          <w:right w:val="nil"/>
          <w:between w:val="nil"/>
        </w:pBdr>
        <w:ind w:left="720" w:right="-561"/>
        <w:rPr>
          <w:rFonts w:ascii="Palatino Linotype" w:eastAsia="Palatino Linotype" w:hAnsi="Palatino Linotype" w:cs="Palatino Linotype"/>
          <w:b/>
          <w:bCs/>
          <w:color w:val="000000"/>
        </w:rPr>
      </w:pPr>
    </w:p>
    <w:p w14:paraId="42E557A5" w14:textId="33287F0C" w:rsidR="004E3EF7" w:rsidRPr="009C2EFE" w:rsidRDefault="00F2495A" w:rsidP="00BF0DE4">
      <w:pPr>
        <w:pStyle w:val="Ttulo1"/>
        <w:spacing w:before="0" w:after="0" w:line="360" w:lineRule="auto"/>
        <w:rPr>
          <w:rFonts w:ascii="Palatino Linotype" w:eastAsia="Palatino Linotype" w:hAnsi="Palatino Linotype" w:cs="Palatino Linotype"/>
          <w:sz w:val="24"/>
          <w:szCs w:val="24"/>
        </w:rPr>
      </w:pPr>
      <w:r w:rsidRPr="009C2EFE">
        <w:rPr>
          <w:rFonts w:ascii="Palatino Linotype" w:eastAsia="Palatino Linotype" w:hAnsi="Palatino Linotype" w:cs="Palatino Linotype"/>
          <w:sz w:val="24"/>
          <w:szCs w:val="24"/>
        </w:rPr>
        <w:t xml:space="preserve">TERCERO. Planteamiento de la </w:t>
      </w:r>
      <w:r w:rsidRPr="009C2EFE">
        <w:rPr>
          <w:rFonts w:ascii="Palatino Linotype" w:eastAsia="Palatino Linotype" w:hAnsi="Palatino Linotype" w:cs="Palatino Linotype"/>
          <w:i/>
          <w:iCs/>
          <w:sz w:val="24"/>
          <w:szCs w:val="24"/>
        </w:rPr>
        <w:t>Litis</w:t>
      </w:r>
      <w:r w:rsidRPr="009C2EFE">
        <w:rPr>
          <w:rFonts w:ascii="Palatino Linotype" w:eastAsia="Palatino Linotype" w:hAnsi="Palatino Linotype" w:cs="Palatino Linotype"/>
          <w:sz w:val="24"/>
          <w:szCs w:val="24"/>
        </w:rPr>
        <w:t>.</w:t>
      </w:r>
    </w:p>
    <w:p w14:paraId="1E095CA9" w14:textId="1A5EA2FA" w:rsidR="00771F83" w:rsidRPr="009C2EFE" w:rsidRDefault="00F2495A" w:rsidP="006E20BA">
      <w:pPr>
        <w:numPr>
          <w:ilvl w:val="0"/>
          <w:numId w:val="3"/>
        </w:numPr>
        <w:spacing w:line="360" w:lineRule="auto"/>
        <w:ind w:left="0" w:firstLine="0"/>
        <w:jc w:val="both"/>
        <w:rPr>
          <w:rFonts w:ascii="Palatino Linotype" w:eastAsia="Palatino Linotype" w:hAnsi="Palatino Linotype" w:cs="Palatino Linotype"/>
          <w:b/>
          <w:bCs/>
        </w:rPr>
      </w:pPr>
      <w:r w:rsidRPr="009C2EFE">
        <w:rPr>
          <w:rFonts w:ascii="Palatino Linotype" w:eastAsia="Palatino Linotype" w:hAnsi="Palatino Linotype" w:cs="Palatino Linotype"/>
        </w:rPr>
        <w:t xml:space="preserve">La parte </w:t>
      </w:r>
      <w:r w:rsidRPr="009C2EFE">
        <w:rPr>
          <w:rFonts w:ascii="Palatino Linotype" w:eastAsia="Palatino Linotype" w:hAnsi="Palatino Linotype" w:cs="Palatino Linotype"/>
          <w:b/>
          <w:bCs/>
        </w:rPr>
        <w:t>RECURRENTE</w:t>
      </w:r>
      <w:r w:rsidRPr="009C2EFE">
        <w:rPr>
          <w:rFonts w:ascii="Palatino Linotype" w:eastAsia="Palatino Linotype" w:hAnsi="Palatino Linotype" w:cs="Palatino Linotype"/>
        </w:rPr>
        <w:t xml:space="preserve"> solicitó</w:t>
      </w:r>
      <w:r w:rsidR="00771F83" w:rsidRPr="009C2EFE">
        <w:rPr>
          <w:rFonts w:ascii="Palatino Linotype" w:eastAsia="Palatino Linotype" w:hAnsi="Palatino Linotype" w:cs="Palatino Linotype"/>
        </w:rPr>
        <w:t>,</w:t>
      </w:r>
      <w:r w:rsidR="00771F83" w:rsidRPr="009C2EFE">
        <w:rPr>
          <w:rFonts w:ascii="Palatino Linotype" w:hAnsi="Palatino Linotype"/>
          <w:color w:val="000000"/>
        </w:rPr>
        <w:t xml:space="preserve"> del presupuesto asignado para </w:t>
      </w:r>
      <w:r w:rsidR="00A27A42" w:rsidRPr="009C2EFE">
        <w:rPr>
          <w:rFonts w:ascii="Palatino Linotype" w:hAnsi="Palatino Linotype"/>
          <w:color w:val="000000"/>
        </w:rPr>
        <w:t xml:space="preserve">medios de </w:t>
      </w:r>
      <w:r w:rsidR="00771F83" w:rsidRPr="009C2EFE">
        <w:rPr>
          <w:rFonts w:ascii="Palatino Linotype" w:hAnsi="Palatino Linotype"/>
          <w:color w:val="000000"/>
        </w:rPr>
        <w:t>comunicación</w:t>
      </w:r>
      <w:r w:rsidR="005B6190" w:rsidRPr="009C2EFE">
        <w:rPr>
          <w:rFonts w:ascii="Palatino Linotype" w:hAnsi="Palatino Linotype"/>
          <w:color w:val="000000"/>
        </w:rPr>
        <w:t>,</w:t>
      </w:r>
      <w:r w:rsidR="00A27A42" w:rsidRPr="009C2EFE">
        <w:rPr>
          <w:rFonts w:ascii="Palatino Linotype" w:hAnsi="Palatino Linotype"/>
          <w:color w:val="000000"/>
        </w:rPr>
        <w:t xml:space="preserve"> </w:t>
      </w:r>
      <w:r w:rsidR="00771F83" w:rsidRPr="009C2EFE">
        <w:rPr>
          <w:rFonts w:ascii="Palatino Linotype" w:hAnsi="Palatino Linotype"/>
          <w:color w:val="000000"/>
        </w:rPr>
        <w:t xml:space="preserve">radio, televisión, </w:t>
      </w:r>
      <w:r w:rsidR="005B6190" w:rsidRPr="009C2EFE">
        <w:rPr>
          <w:rFonts w:ascii="Palatino Linotype" w:hAnsi="Palatino Linotype"/>
          <w:color w:val="000000"/>
        </w:rPr>
        <w:t>digitales,</w:t>
      </w:r>
      <w:r w:rsidR="00771F83" w:rsidRPr="009C2EFE">
        <w:rPr>
          <w:rFonts w:ascii="Palatino Linotype" w:hAnsi="Palatino Linotype"/>
          <w:color w:val="000000"/>
        </w:rPr>
        <w:t xml:space="preserve"> impresos y todos aquellos que se consideren plataformas informativas</w:t>
      </w:r>
      <w:r w:rsidR="005B6190" w:rsidRPr="009C2EFE">
        <w:rPr>
          <w:rFonts w:ascii="Palatino Linotype" w:hAnsi="Palatino Linotype"/>
          <w:color w:val="000000"/>
        </w:rPr>
        <w:t>, del 1 de enero al 21 de noviembre del 2025, lo siguiente:</w:t>
      </w:r>
      <w:r w:rsidR="006E20BA" w:rsidRPr="009C2EFE">
        <w:rPr>
          <w:rFonts w:ascii="Palatino Linotype" w:eastAsia="Palatino Linotype" w:hAnsi="Palatino Linotype" w:cs="Palatino Linotype"/>
          <w:b/>
          <w:bCs/>
        </w:rPr>
        <w:t xml:space="preserve"> t</w:t>
      </w:r>
      <w:r w:rsidR="00771F83" w:rsidRPr="009C2EFE">
        <w:rPr>
          <w:rFonts w:ascii="Palatino Linotype" w:hAnsi="Palatino Linotype"/>
          <w:b/>
          <w:bCs/>
          <w:color w:val="000000"/>
        </w:rPr>
        <w:t>iempo contratado</w:t>
      </w:r>
      <w:r w:rsidR="006E20BA" w:rsidRPr="009C2EFE">
        <w:rPr>
          <w:rFonts w:ascii="Palatino Linotype" w:hAnsi="Palatino Linotype"/>
          <w:b/>
          <w:bCs/>
          <w:color w:val="000000"/>
        </w:rPr>
        <w:t>,</w:t>
      </w:r>
      <w:r w:rsidR="006E20BA" w:rsidRPr="009C2EFE">
        <w:rPr>
          <w:rFonts w:ascii="Palatino Linotype" w:eastAsia="Palatino Linotype" w:hAnsi="Palatino Linotype" w:cs="Palatino Linotype"/>
          <w:b/>
          <w:bCs/>
        </w:rPr>
        <w:t xml:space="preserve"> p</w:t>
      </w:r>
      <w:r w:rsidR="005B6190" w:rsidRPr="009C2EFE">
        <w:rPr>
          <w:rFonts w:ascii="Palatino Linotype" w:hAnsi="Palatino Linotype"/>
          <w:b/>
          <w:bCs/>
          <w:color w:val="000000"/>
        </w:rPr>
        <w:t>ropósito</w:t>
      </w:r>
      <w:r w:rsidR="006E20BA" w:rsidRPr="009C2EFE">
        <w:rPr>
          <w:rFonts w:ascii="Palatino Linotype" w:hAnsi="Palatino Linotype"/>
          <w:b/>
          <w:bCs/>
          <w:color w:val="000000"/>
        </w:rPr>
        <w:t>,</w:t>
      </w:r>
      <w:r w:rsidR="005B6190" w:rsidRPr="009C2EFE">
        <w:rPr>
          <w:rFonts w:ascii="Palatino Linotype" w:hAnsi="Palatino Linotype"/>
          <w:b/>
          <w:bCs/>
          <w:color w:val="000000"/>
        </w:rPr>
        <w:t xml:space="preserve"> </w:t>
      </w:r>
      <w:r w:rsidR="006E20BA" w:rsidRPr="009C2EFE">
        <w:rPr>
          <w:rFonts w:ascii="Palatino Linotype" w:eastAsia="Palatino Linotype" w:hAnsi="Palatino Linotype" w:cs="Palatino Linotype"/>
          <w:b/>
          <w:bCs/>
        </w:rPr>
        <w:t>m</w:t>
      </w:r>
      <w:r w:rsidR="00771F83" w:rsidRPr="009C2EFE">
        <w:rPr>
          <w:rFonts w:ascii="Palatino Linotype" w:hAnsi="Palatino Linotype"/>
          <w:b/>
          <w:bCs/>
          <w:color w:val="000000"/>
        </w:rPr>
        <w:t>onto asignado para cada medio de comunicación</w:t>
      </w:r>
      <w:r w:rsidR="006E20BA" w:rsidRPr="009C2EFE">
        <w:rPr>
          <w:rFonts w:ascii="Palatino Linotype" w:hAnsi="Palatino Linotype"/>
          <w:b/>
          <w:bCs/>
          <w:color w:val="000000"/>
        </w:rPr>
        <w:t xml:space="preserve"> </w:t>
      </w:r>
      <w:r w:rsidR="00771F83" w:rsidRPr="009C2EFE">
        <w:rPr>
          <w:rFonts w:ascii="Palatino Linotype" w:hAnsi="Palatino Linotype"/>
          <w:b/>
          <w:bCs/>
          <w:color w:val="000000"/>
        </w:rPr>
        <w:t>y</w:t>
      </w:r>
      <w:r w:rsidR="006E20BA" w:rsidRPr="009C2EFE">
        <w:rPr>
          <w:rFonts w:ascii="Palatino Linotype" w:eastAsia="Palatino Linotype" w:hAnsi="Palatino Linotype" w:cs="Palatino Linotype"/>
          <w:b/>
          <w:bCs/>
        </w:rPr>
        <w:t xml:space="preserve"> f</w:t>
      </w:r>
      <w:r w:rsidR="00771F83" w:rsidRPr="009C2EFE">
        <w:rPr>
          <w:rFonts w:ascii="Palatino Linotype" w:hAnsi="Palatino Linotype"/>
          <w:b/>
          <w:bCs/>
          <w:color w:val="000000"/>
        </w:rPr>
        <w:t>echa</w:t>
      </w:r>
      <w:r w:rsidR="005B6190" w:rsidRPr="009C2EFE">
        <w:rPr>
          <w:rFonts w:ascii="Palatino Linotype" w:hAnsi="Palatino Linotype"/>
          <w:b/>
          <w:bCs/>
          <w:color w:val="000000"/>
        </w:rPr>
        <w:t xml:space="preserve"> en la que </w:t>
      </w:r>
      <w:r w:rsidR="00771F83" w:rsidRPr="009C2EFE">
        <w:rPr>
          <w:rFonts w:ascii="Palatino Linotype" w:hAnsi="Palatino Linotype"/>
          <w:b/>
          <w:bCs/>
          <w:color w:val="000000"/>
        </w:rPr>
        <w:t>fue erogad</w:t>
      </w:r>
      <w:r w:rsidR="005B6190" w:rsidRPr="009C2EFE">
        <w:rPr>
          <w:rFonts w:ascii="Palatino Linotype" w:hAnsi="Palatino Linotype"/>
          <w:b/>
          <w:bCs/>
          <w:color w:val="000000"/>
        </w:rPr>
        <w:t>o.</w:t>
      </w:r>
    </w:p>
    <w:p w14:paraId="4B8DC4BA" w14:textId="77777777" w:rsidR="004E3EF7" w:rsidRPr="009C2EFE" w:rsidRDefault="004E3EF7" w:rsidP="00BF0DE4">
      <w:pPr>
        <w:spacing w:line="360" w:lineRule="auto"/>
        <w:jc w:val="both"/>
        <w:rPr>
          <w:rFonts w:ascii="Palatino Linotype" w:eastAsia="Palatino Linotype" w:hAnsi="Palatino Linotype" w:cs="Palatino Linotype"/>
          <w:b/>
          <w:bCs/>
          <w:i/>
          <w:iCs/>
        </w:rPr>
      </w:pPr>
    </w:p>
    <w:p w14:paraId="18C0DFA0" w14:textId="784F886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9C2EFE">
        <w:rPr>
          <w:rFonts w:ascii="Palatino Linotype" w:eastAsia="Palatino Linotype" w:hAnsi="Palatino Linotype" w:cs="Palatino Linotype"/>
        </w:rPr>
        <w:t xml:space="preserve">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emitió respuesta en términos del </w:t>
      </w:r>
      <w:r w:rsidRPr="009C2EFE">
        <w:rPr>
          <w:rFonts w:ascii="Palatino Linotype" w:eastAsia="Palatino Linotype" w:hAnsi="Palatino Linotype" w:cs="Palatino Linotype"/>
          <w:b/>
          <w:bCs/>
        </w:rPr>
        <w:t xml:space="preserve">párrafo </w:t>
      </w:r>
      <w:r w:rsidR="005B6190" w:rsidRPr="009C2EFE">
        <w:rPr>
          <w:rFonts w:ascii="Palatino Linotype" w:eastAsia="Palatino Linotype" w:hAnsi="Palatino Linotype" w:cs="Palatino Linotype"/>
          <w:b/>
          <w:bCs/>
        </w:rPr>
        <w:t>4</w:t>
      </w:r>
      <w:r w:rsidRPr="009C2EFE">
        <w:rPr>
          <w:rFonts w:ascii="Palatino Linotype" w:eastAsia="Palatino Linotype" w:hAnsi="Palatino Linotype" w:cs="Palatino Linotype"/>
        </w:rPr>
        <w:t xml:space="preserve"> de la presente resolución.</w:t>
      </w:r>
    </w:p>
    <w:p w14:paraId="3A4FBE9D"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20505D6F" w14:textId="0639A22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Inconforme con la respuesta, el Solicitante interpuso el recurso de revisión en el que manifestó </w:t>
      </w:r>
      <w:r w:rsidR="005B6190" w:rsidRPr="009C2EFE">
        <w:rPr>
          <w:rFonts w:ascii="Palatino Linotype" w:eastAsia="Palatino Linotype" w:hAnsi="Palatino Linotype" w:cs="Palatino Linotype"/>
          <w:b/>
          <w:bCs/>
        </w:rPr>
        <w:t>la negativa de la información solicitada.</w:t>
      </w:r>
    </w:p>
    <w:p w14:paraId="461D4158" w14:textId="77777777" w:rsidR="004E3EF7" w:rsidRPr="009C2EFE" w:rsidRDefault="004E3EF7" w:rsidP="00BF0DE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B609486" w14:textId="6708DAF5"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9C2EFE">
        <w:rPr>
          <w:rFonts w:ascii="Palatino Linotype" w:eastAsia="Palatino Linotype" w:hAnsi="Palatino Linotype" w:cs="Palatino Linotype"/>
        </w:rPr>
        <w:t xml:space="preserve">En dichas condiciones, la </w:t>
      </w:r>
      <w:r w:rsidRPr="009C2EFE">
        <w:rPr>
          <w:rFonts w:ascii="Palatino Linotype" w:eastAsia="Palatino Linotype" w:hAnsi="Palatino Linotype" w:cs="Palatino Linotype"/>
          <w:i/>
          <w:iCs/>
        </w:rPr>
        <w:t>Litis</w:t>
      </w:r>
      <w:r w:rsidRPr="009C2EFE">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9C2EFE">
        <w:rPr>
          <w:rFonts w:ascii="Palatino Linotype" w:eastAsia="Palatino Linotype" w:hAnsi="Palatino Linotype" w:cs="Palatino Linotype"/>
          <w:b/>
          <w:bCs/>
        </w:rPr>
        <w:t xml:space="preserve"> I </w:t>
      </w:r>
      <w:r w:rsidRPr="009C2EFE">
        <w:rPr>
          <w:rFonts w:ascii="Palatino Linotype" w:eastAsia="Palatino Linotype" w:hAnsi="Palatino Linotype" w:cs="Palatino Linotype"/>
        </w:rPr>
        <w:t xml:space="preserve">de la </w:t>
      </w:r>
      <w:r w:rsidRPr="009C2EFE">
        <w:rPr>
          <w:rFonts w:ascii="Palatino Linotype" w:eastAsia="Palatino Linotype" w:hAnsi="Palatino Linotype" w:cs="Palatino Linotype"/>
          <w:b/>
          <w:bCs/>
        </w:rPr>
        <w:t>Ley de Transparencia y Acceso a la Información Pública del Estado de México y Municipios</w:t>
      </w:r>
      <w:r w:rsidRPr="009C2EFE">
        <w:rPr>
          <w:rFonts w:ascii="Palatino Linotype" w:eastAsia="Palatino Linotype" w:hAnsi="Palatino Linotype" w:cs="Palatino Linotype"/>
        </w:rPr>
        <w:t>.</w:t>
      </w:r>
    </w:p>
    <w:p w14:paraId="732EC46C" w14:textId="77777777" w:rsidR="004E3EF7" w:rsidRPr="009C2EFE" w:rsidRDefault="004E3EF7">
      <w:pPr>
        <w:spacing w:line="360" w:lineRule="auto"/>
        <w:ind w:right="-561"/>
        <w:jc w:val="both"/>
        <w:rPr>
          <w:rFonts w:ascii="Palatino Linotype" w:eastAsia="Palatino Linotype" w:hAnsi="Palatino Linotype" w:cs="Palatino Linotype"/>
          <w:b/>
          <w:bCs/>
        </w:rPr>
      </w:pPr>
    </w:p>
    <w:p w14:paraId="64326B3A" w14:textId="29E5FAE7" w:rsidR="004E3EF7" w:rsidRPr="009C2EFE" w:rsidRDefault="00F2495A" w:rsidP="00BF0DE4">
      <w:pPr>
        <w:pStyle w:val="Ttulo2"/>
        <w:spacing w:before="0" w:line="360" w:lineRule="auto"/>
        <w:rPr>
          <w:rFonts w:ascii="Palatino Linotype" w:eastAsia="Palatino Linotype" w:hAnsi="Palatino Linotype" w:cs="Palatino Linotype"/>
          <w:b/>
          <w:bCs/>
          <w:color w:val="000000"/>
          <w:sz w:val="24"/>
          <w:szCs w:val="24"/>
        </w:rPr>
      </w:pPr>
      <w:r w:rsidRPr="009C2EFE">
        <w:rPr>
          <w:rFonts w:ascii="Palatino Linotype" w:eastAsia="Palatino Linotype" w:hAnsi="Palatino Linotype" w:cs="Palatino Linotype"/>
          <w:b/>
          <w:bCs/>
          <w:color w:val="000000"/>
          <w:sz w:val="24"/>
          <w:szCs w:val="24"/>
        </w:rPr>
        <w:lastRenderedPageBreak/>
        <w:t>CUARTA. Estudio y resolución del asunto.</w:t>
      </w:r>
    </w:p>
    <w:p w14:paraId="61FC344F" w14:textId="00F62C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rPr>
        <w:t xml:space="preserve">El </w:t>
      </w:r>
      <w:r w:rsidRPr="009C2EFE">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9C2EFE">
        <w:rPr>
          <w:rFonts w:ascii="Palatino Linotype" w:eastAsia="Palatino Linotype" w:hAnsi="Palatino Linotype" w:cs="Palatino Linotype"/>
        </w:rPr>
        <w:t>Particular</w:t>
      </w:r>
      <w:r w:rsidRPr="009C2EFE">
        <w:rPr>
          <w:rFonts w:ascii="Palatino Linotype" w:eastAsia="Palatino Linotype" w:hAnsi="Palatino Linotype" w:cs="Palatino Linotype"/>
          <w:color w:val="000000"/>
        </w:rPr>
        <w:t xml:space="preserve"> del Estado de México.</w:t>
      </w:r>
    </w:p>
    <w:p w14:paraId="19D69B8E" w14:textId="77777777" w:rsidR="009C2EFE" w:rsidRPr="009C2EFE" w:rsidRDefault="009C2EFE" w:rsidP="009C2EFE">
      <w:pPr>
        <w:spacing w:line="360" w:lineRule="auto"/>
        <w:jc w:val="both"/>
        <w:rPr>
          <w:rFonts w:ascii="Palatino Linotype" w:eastAsia="Palatino Linotype" w:hAnsi="Palatino Linotype" w:cs="Palatino Linotype"/>
        </w:rPr>
      </w:pPr>
    </w:p>
    <w:p w14:paraId="236FABEB" w14:textId="77777777" w:rsidR="004E3EF7" w:rsidRPr="009C2EFE" w:rsidRDefault="00F2495A" w:rsidP="00BF0DE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C2EFE">
        <w:rPr>
          <w:rFonts w:ascii="Palatino Linotype" w:eastAsia="Palatino Linotype" w:hAnsi="Palatino Linotype" w:cs="Palatino Linotype"/>
          <w:color w:val="000000"/>
        </w:rPr>
        <w:t xml:space="preserve">Definiendo el Derecho de Acceso a la Información Pública como: </w:t>
      </w:r>
      <w:r w:rsidRPr="009C2EFE">
        <w:rPr>
          <w:rFonts w:ascii="Palatino Linotype" w:eastAsia="Palatino Linotype" w:hAnsi="Palatino Linotype" w:cs="Palatino Linotype"/>
          <w:i/>
          <w:iCs/>
          <w:color w:val="000000"/>
        </w:rPr>
        <w:t xml:space="preserve">La igualdad de </w:t>
      </w:r>
      <w:r w:rsidRPr="009C2EFE">
        <w:rPr>
          <w:rFonts w:ascii="Palatino Linotype" w:eastAsia="Palatino Linotype" w:hAnsi="Palatino Linotype" w:cs="Palatino Linotype"/>
          <w:color w:val="000000"/>
        </w:rPr>
        <w:t>oportunidades</w:t>
      </w:r>
      <w:r w:rsidRPr="009C2EFE">
        <w:rPr>
          <w:rFonts w:ascii="Palatino Linotype" w:eastAsia="Palatino Linotype" w:hAnsi="Palatino Linotype" w:cs="Palatino Linotype"/>
          <w:i/>
          <w:iCs/>
          <w:color w:val="000000"/>
        </w:rPr>
        <w:t xml:space="preserve"> para recibir, buscar e impartir información</w:t>
      </w:r>
      <w:r w:rsidRPr="009C2EFE">
        <w:rPr>
          <w:rFonts w:ascii="Palatino Linotype" w:eastAsia="Palatino Linotype" w:hAnsi="Palatino Linotype" w:cs="Palatino Linotype"/>
          <w:color w:val="000000"/>
          <w:vertAlign w:val="superscript"/>
        </w:rPr>
        <w:footnoteReference w:id="1"/>
      </w:r>
      <w:r w:rsidRPr="009C2EFE">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2EFE">
        <w:rPr>
          <w:rFonts w:ascii="Palatino Linotype" w:eastAsia="Palatino Linotype" w:hAnsi="Palatino Linotype" w:cs="Palatino Linotype"/>
          <w:color w:val="000000"/>
          <w:vertAlign w:val="superscript"/>
        </w:rPr>
        <w:footnoteReference w:id="2"/>
      </w:r>
      <w:r w:rsidRPr="009C2EFE">
        <w:rPr>
          <w:rFonts w:ascii="Palatino Linotype" w:eastAsia="Palatino Linotype" w:hAnsi="Palatino Linotype" w:cs="Palatino Linotype"/>
          <w:color w:val="000000"/>
        </w:rPr>
        <w:t>que se constituye como una herramienta fundamental para ejercer</w:t>
      </w:r>
      <w:r w:rsidRPr="009C2EFE">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9C2EFE">
        <w:rPr>
          <w:rFonts w:ascii="Palatino Linotype" w:eastAsia="Palatino Linotype" w:hAnsi="Palatino Linotype" w:cs="Palatino Linotype"/>
          <w:color w:val="000000"/>
          <w:vertAlign w:val="superscript"/>
        </w:rPr>
        <w:footnoteReference w:id="3"/>
      </w:r>
      <w:r w:rsidRPr="009C2EFE">
        <w:rPr>
          <w:rFonts w:ascii="Palatino Linotype" w:eastAsia="Palatino Linotype" w:hAnsi="Palatino Linotype" w:cs="Palatino Linotype"/>
          <w:color w:val="000000"/>
        </w:rPr>
        <w:t>fomentando</w:t>
      </w:r>
      <w:r w:rsidRPr="009C2EFE">
        <w:rPr>
          <w:rFonts w:ascii="Palatino Linotype" w:eastAsia="Palatino Linotype" w:hAnsi="Palatino Linotype" w:cs="Palatino Linotype"/>
          <w:i/>
          <w:iCs/>
          <w:color w:val="000000"/>
        </w:rPr>
        <w:t xml:space="preserve"> la transparencia de las actividades estatales y </w:t>
      </w:r>
      <w:r w:rsidRPr="009C2EFE">
        <w:rPr>
          <w:rFonts w:ascii="Palatino Linotype" w:eastAsia="Palatino Linotype" w:hAnsi="Palatino Linotype" w:cs="Palatino Linotype"/>
          <w:color w:val="000000"/>
        </w:rPr>
        <w:t>promoviendo</w:t>
      </w:r>
      <w:r w:rsidRPr="009C2EFE">
        <w:rPr>
          <w:rFonts w:ascii="Palatino Linotype" w:eastAsia="Palatino Linotype" w:hAnsi="Palatino Linotype" w:cs="Palatino Linotype"/>
          <w:i/>
          <w:iCs/>
          <w:color w:val="000000"/>
        </w:rPr>
        <w:t xml:space="preserve"> la responsabilidad de los funcionarios sobre su gestión pública,</w:t>
      </w:r>
      <w:r w:rsidRPr="009C2EFE">
        <w:rPr>
          <w:rFonts w:ascii="Palatino Linotype" w:eastAsia="Palatino Linotype" w:hAnsi="Palatino Linotype" w:cs="Palatino Linotype"/>
          <w:color w:val="000000"/>
          <w:vertAlign w:val="superscript"/>
        </w:rPr>
        <w:footnoteReference w:id="4"/>
      </w:r>
      <w:r w:rsidRPr="009C2EFE">
        <w:rPr>
          <w:rFonts w:ascii="Palatino Linotype" w:eastAsia="Palatino Linotype" w:hAnsi="Palatino Linotype" w:cs="Palatino Linotype"/>
          <w:color w:val="000000"/>
        </w:rPr>
        <w:t>que permite</w:t>
      </w:r>
      <w:r w:rsidRPr="009C2EFE">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0E231B75" w14:textId="77777777" w:rsidR="004E3EF7" w:rsidRPr="009C2EFE" w:rsidRDefault="004E3EF7" w:rsidP="00BF0DE4">
      <w:pPr>
        <w:spacing w:line="360" w:lineRule="auto"/>
        <w:rPr>
          <w:rFonts w:ascii="Palatino Linotype" w:eastAsia="Palatino Linotype" w:hAnsi="Palatino Linotype" w:cs="Palatino Linotype"/>
          <w:color w:val="000000"/>
        </w:rPr>
      </w:pPr>
    </w:p>
    <w:p w14:paraId="73E11D1C" w14:textId="36A5981D"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color w:val="000000"/>
        </w:rPr>
        <w:lastRenderedPageBreak/>
        <w:t xml:space="preserve">En </w:t>
      </w:r>
      <w:r w:rsidRPr="009C2EFE">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1E26B190" w14:textId="77777777" w:rsidR="004E3EF7" w:rsidRPr="009C2EFE" w:rsidRDefault="00F2495A" w:rsidP="00BF0DE4">
      <w:pPr>
        <w:tabs>
          <w:tab w:val="left" w:pos="8789"/>
        </w:tabs>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w:t>
      </w:r>
      <w:r w:rsidRPr="009C2EFE">
        <w:rPr>
          <w:rFonts w:ascii="Palatino Linotype" w:eastAsia="Palatino Linotype" w:hAnsi="Palatino Linotype" w:cs="Palatino Linotype"/>
          <w:b/>
          <w:bCs/>
          <w:i/>
          <w:iCs/>
        </w:rPr>
        <w:t>Artículo 1.-</w:t>
      </w:r>
      <w:r w:rsidRPr="009C2EFE">
        <w:rPr>
          <w:rFonts w:ascii="Palatino Linotype" w:eastAsia="Palatino Linotype" w:hAnsi="Palatino Linotype" w:cs="Palatino Linotype"/>
          <w:i/>
          <w:iCs/>
        </w:rPr>
        <w:t xml:space="preserve"> </w:t>
      </w:r>
    </w:p>
    <w:p w14:paraId="4D76947D" w14:textId="77777777" w:rsidR="004E3EF7" w:rsidRPr="009C2EFE" w:rsidRDefault="00F2495A" w:rsidP="00BF0DE4">
      <w:pPr>
        <w:tabs>
          <w:tab w:val="left" w:pos="8789"/>
        </w:tabs>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w:t>
      </w:r>
    </w:p>
    <w:p w14:paraId="592B5B92" w14:textId="77777777" w:rsidR="004E3EF7" w:rsidRPr="009C2EFE" w:rsidRDefault="00F2495A" w:rsidP="00BF0DE4">
      <w:pPr>
        <w:tabs>
          <w:tab w:val="left" w:pos="8789"/>
        </w:tabs>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Todas las</w:t>
      </w:r>
      <w:r w:rsidRPr="009C2EFE">
        <w:rPr>
          <w:rFonts w:ascii="Palatino Linotype" w:eastAsia="Palatino Linotype" w:hAnsi="Palatino Linotype" w:cs="Palatino Linotype"/>
        </w:rPr>
        <w:t xml:space="preserve"> </w:t>
      </w:r>
      <w:r w:rsidRPr="009C2EFE">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F64D9E9" w14:textId="77777777" w:rsidR="004E3EF7" w:rsidRPr="009C2EFE" w:rsidRDefault="00F2495A" w:rsidP="00BF0DE4">
      <w:pPr>
        <w:tabs>
          <w:tab w:val="left" w:pos="8789"/>
        </w:tabs>
        <w:ind w:left="567" w:right="567"/>
        <w:jc w:val="both"/>
        <w:rPr>
          <w:rFonts w:ascii="Palatino Linotype" w:eastAsia="Palatino Linotype" w:hAnsi="Palatino Linotype" w:cs="Palatino Linotype"/>
        </w:rPr>
      </w:pPr>
      <w:r w:rsidRPr="009C2EFE">
        <w:rPr>
          <w:rFonts w:ascii="Palatino Linotype" w:eastAsia="Palatino Linotype" w:hAnsi="Palatino Linotype" w:cs="Palatino Linotype"/>
          <w:i/>
          <w:iCs/>
        </w:rPr>
        <w:t>(…)</w:t>
      </w:r>
      <w:r w:rsidRPr="009C2EFE">
        <w:rPr>
          <w:rFonts w:ascii="Palatino Linotype" w:eastAsia="Palatino Linotype" w:hAnsi="Palatino Linotype" w:cs="Palatino Linotype"/>
        </w:rPr>
        <w:t>”</w:t>
      </w:r>
    </w:p>
    <w:p w14:paraId="0B08B2BD" w14:textId="77777777" w:rsidR="004E3EF7" w:rsidRPr="009C2EFE" w:rsidRDefault="004E3EF7">
      <w:pPr>
        <w:spacing w:line="360" w:lineRule="auto"/>
        <w:ind w:right="-561"/>
        <w:jc w:val="both"/>
        <w:rPr>
          <w:rFonts w:ascii="Palatino Linotype" w:eastAsia="Palatino Linotype" w:hAnsi="Palatino Linotype" w:cs="Palatino Linotype"/>
          <w:b/>
          <w:bCs/>
        </w:rPr>
      </w:pPr>
    </w:p>
    <w:p w14:paraId="67BDB022"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color w:val="000000"/>
        </w:rPr>
        <w:t xml:space="preserve">Por </w:t>
      </w:r>
      <w:r w:rsidRPr="009C2EFE">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31B0062"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61A02B3D" w14:textId="01750E01" w:rsidR="00BF0DE4"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color w:val="000000"/>
        </w:rPr>
        <w:t xml:space="preserve">Así </w:t>
      </w:r>
      <w:r w:rsidRPr="009C2EFE">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F56045B" w14:textId="77777777" w:rsidR="004E3EF7" w:rsidRPr="009C2EFE" w:rsidRDefault="00F2495A">
      <w:pPr>
        <w:ind w:left="567" w:right="-561"/>
        <w:jc w:val="both"/>
        <w:rPr>
          <w:rFonts w:ascii="Palatino Linotype" w:eastAsia="Palatino Linotype" w:hAnsi="Palatino Linotype" w:cs="Palatino Linotype"/>
          <w:b/>
          <w:bCs/>
          <w:i/>
          <w:iCs/>
        </w:rPr>
      </w:pPr>
      <w:r w:rsidRPr="009C2EFE">
        <w:rPr>
          <w:rFonts w:ascii="Palatino Linotype" w:eastAsia="Palatino Linotype" w:hAnsi="Palatino Linotype" w:cs="Palatino Linotype"/>
          <w:b/>
          <w:bCs/>
          <w:i/>
          <w:iCs/>
        </w:rPr>
        <w:t>Constitución Política de los Estados Unidos Mexicanos</w:t>
      </w:r>
    </w:p>
    <w:p w14:paraId="01F21039" w14:textId="77777777" w:rsidR="004E3EF7" w:rsidRPr="009C2EFE" w:rsidRDefault="004E3EF7" w:rsidP="00BF0DE4">
      <w:pPr>
        <w:ind w:left="567" w:right="567"/>
        <w:jc w:val="both"/>
        <w:rPr>
          <w:rFonts w:ascii="Palatino Linotype" w:eastAsia="Palatino Linotype" w:hAnsi="Palatino Linotype" w:cs="Palatino Linotype"/>
          <w:b/>
          <w:bCs/>
          <w:i/>
          <w:iCs/>
        </w:rPr>
      </w:pPr>
    </w:p>
    <w:p w14:paraId="3E65032B" w14:textId="77777777" w:rsidR="004E3EF7" w:rsidRPr="009C2EFE" w:rsidRDefault="00F2495A" w:rsidP="00BF0DE4">
      <w:pPr>
        <w:ind w:left="567" w:right="567"/>
        <w:jc w:val="both"/>
        <w:rPr>
          <w:rFonts w:ascii="Palatino Linotype" w:eastAsia="Palatino Linotype" w:hAnsi="Palatino Linotype" w:cs="Palatino Linotype"/>
          <w:b/>
          <w:bCs/>
          <w:i/>
          <w:iCs/>
        </w:rPr>
      </w:pPr>
      <w:r w:rsidRPr="009C2EFE">
        <w:rPr>
          <w:rFonts w:ascii="Palatino Linotype" w:eastAsia="Palatino Linotype" w:hAnsi="Palatino Linotype" w:cs="Palatino Linotype"/>
          <w:b/>
          <w:bCs/>
          <w:i/>
          <w:iCs/>
        </w:rPr>
        <w:t>“Artículo 6.</w:t>
      </w:r>
      <w:r w:rsidRPr="009C2EFE">
        <w:rPr>
          <w:rFonts w:ascii="Palatino Linotype" w:eastAsia="Palatino Linotype" w:hAnsi="Palatino Linotype" w:cs="Palatino Linotype"/>
          <w:i/>
          <w:iCs/>
        </w:rPr>
        <w:t xml:space="preserve"> …</w:t>
      </w:r>
    </w:p>
    <w:p w14:paraId="443765C2"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w:t>
      </w:r>
    </w:p>
    <w:p w14:paraId="1C47ABDB"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Para efectos de lo dispuesto en el presente artículo se observará lo siguiente:</w:t>
      </w:r>
    </w:p>
    <w:p w14:paraId="0498A503" w14:textId="77777777" w:rsidR="004E3EF7" w:rsidRPr="009C2EFE" w:rsidRDefault="00F2495A" w:rsidP="00BF0DE4">
      <w:pPr>
        <w:ind w:left="567" w:right="567"/>
        <w:jc w:val="both"/>
        <w:rPr>
          <w:rFonts w:ascii="Palatino Linotype" w:eastAsia="Palatino Linotype" w:hAnsi="Palatino Linotype" w:cs="Palatino Linotype"/>
          <w:b/>
          <w:bCs/>
          <w:i/>
          <w:iCs/>
        </w:rPr>
      </w:pPr>
      <w:r w:rsidRPr="009C2EFE">
        <w:rPr>
          <w:rFonts w:ascii="Palatino Linotype" w:eastAsia="Palatino Linotype" w:hAnsi="Palatino Linotype" w:cs="Palatino Linotype"/>
          <w:b/>
          <w:bCs/>
          <w:i/>
          <w:iCs/>
        </w:rPr>
        <w:lastRenderedPageBreak/>
        <w:t>A</w:t>
      </w:r>
      <w:r w:rsidRPr="009C2EFE">
        <w:rPr>
          <w:rFonts w:ascii="Palatino Linotype" w:eastAsia="Palatino Linotype" w:hAnsi="Palatino Linotype" w:cs="Palatino Linotype"/>
          <w:i/>
          <w:iCs/>
        </w:rPr>
        <w:t xml:space="preserve">. </w:t>
      </w:r>
      <w:r w:rsidRPr="009C2EFE">
        <w:rPr>
          <w:rFonts w:ascii="Palatino Linotype" w:eastAsia="Palatino Linotype" w:hAnsi="Palatino Linotype" w:cs="Palatino Linotype"/>
          <w:b/>
          <w:bCs/>
          <w:i/>
          <w:iCs/>
        </w:rPr>
        <w:t>Para el ejercicio del derecho de acceso a la información</w:t>
      </w:r>
      <w:r w:rsidRPr="009C2EFE">
        <w:rPr>
          <w:rFonts w:ascii="Palatino Linotype" w:eastAsia="Palatino Linotype" w:hAnsi="Palatino Linotype" w:cs="Palatino Linotype"/>
          <w:i/>
          <w:iCs/>
        </w:rPr>
        <w:t xml:space="preserve">, la Federación y </w:t>
      </w:r>
      <w:r w:rsidRPr="009C2EFE">
        <w:rPr>
          <w:rFonts w:ascii="Palatino Linotype" w:eastAsia="Palatino Linotype" w:hAnsi="Palatino Linotype" w:cs="Palatino Linotype"/>
          <w:b/>
          <w:bCs/>
          <w:i/>
          <w:iCs/>
        </w:rPr>
        <w:t>las entidades federativas, en el ámbito de sus respectivas competencias, se regirán por los siguientes principios y bases:</w:t>
      </w:r>
    </w:p>
    <w:p w14:paraId="6EFF1D42"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b/>
          <w:bCs/>
          <w:i/>
          <w:iCs/>
        </w:rPr>
        <w:t xml:space="preserve">I. </w:t>
      </w:r>
      <w:r w:rsidRPr="009C2EFE">
        <w:rPr>
          <w:rFonts w:ascii="Palatino Linotype" w:eastAsia="Palatino Linotype" w:hAnsi="Palatino Linotype" w:cs="Palatino Linotype"/>
          <w:b/>
          <w:bCs/>
          <w:i/>
          <w:iCs/>
        </w:rPr>
        <w:tab/>
        <w:t>Toda la información en posesión de cualquier</w:t>
      </w:r>
      <w:r w:rsidRPr="009C2EFE">
        <w:rPr>
          <w:rFonts w:ascii="Palatino Linotype" w:eastAsia="Palatino Linotype" w:hAnsi="Palatino Linotype" w:cs="Palatino Linotype"/>
          <w:i/>
          <w:iCs/>
        </w:rPr>
        <w:t xml:space="preserve"> </w:t>
      </w:r>
      <w:r w:rsidRPr="009C2EFE">
        <w:rPr>
          <w:rFonts w:ascii="Palatino Linotype" w:eastAsia="Palatino Linotype" w:hAnsi="Palatino Linotype" w:cs="Palatino Linotype"/>
          <w:b/>
          <w:bCs/>
          <w:i/>
          <w:iCs/>
        </w:rPr>
        <w:t>autoridad</w:t>
      </w:r>
      <w:r w:rsidRPr="009C2EFE">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C2EFE">
        <w:rPr>
          <w:rFonts w:ascii="Palatino Linotype" w:eastAsia="Palatino Linotype" w:hAnsi="Palatino Linotype" w:cs="Palatino Linotype"/>
          <w:b/>
          <w:bCs/>
          <w:i/>
          <w:iCs/>
        </w:rPr>
        <w:t>municipal</w:t>
      </w:r>
      <w:r w:rsidRPr="009C2EFE">
        <w:rPr>
          <w:rFonts w:ascii="Palatino Linotype" w:eastAsia="Palatino Linotype" w:hAnsi="Palatino Linotype" w:cs="Palatino Linotype"/>
          <w:i/>
          <w:iCs/>
        </w:rPr>
        <w:t xml:space="preserve">, </w:t>
      </w:r>
      <w:r w:rsidRPr="009C2EFE">
        <w:rPr>
          <w:rFonts w:ascii="Palatino Linotype" w:eastAsia="Palatino Linotype" w:hAnsi="Palatino Linotype" w:cs="Palatino Linotype"/>
          <w:b/>
          <w:bCs/>
          <w:i/>
          <w:iCs/>
        </w:rPr>
        <w:t>es pública</w:t>
      </w:r>
      <w:r w:rsidRPr="009C2EFE">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9C2EFE">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9C2EFE">
        <w:rPr>
          <w:rFonts w:ascii="Palatino Linotype" w:eastAsia="Palatino Linotype" w:hAnsi="Palatino Linotype" w:cs="Palatino Linotype"/>
          <w:i/>
          <w:iCs/>
        </w:rPr>
        <w:t>, la ley determinará los supuestos específicos bajo los cuales procederá la declaración de inexistencia de la información.”</w:t>
      </w:r>
    </w:p>
    <w:p w14:paraId="4C125D85" w14:textId="77777777" w:rsidR="004E3EF7" w:rsidRPr="009C2EFE" w:rsidRDefault="004E3EF7" w:rsidP="00BF0DE4">
      <w:pPr>
        <w:tabs>
          <w:tab w:val="left" w:pos="426"/>
          <w:tab w:val="left" w:pos="567"/>
        </w:tabs>
        <w:ind w:left="567" w:right="567"/>
        <w:jc w:val="both"/>
        <w:rPr>
          <w:rFonts w:ascii="Palatino Linotype" w:eastAsia="Palatino Linotype" w:hAnsi="Palatino Linotype" w:cs="Palatino Linotype"/>
          <w:color w:val="000000"/>
        </w:rPr>
      </w:pPr>
    </w:p>
    <w:p w14:paraId="779A8A8F" w14:textId="77777777" w:rsidR="004E3EF7" w:rsidRPr="009C2EFE" w:rsidRDefault="00F2495A" w:rsidP="00BF0DE4">
      <w:pPr>
        <w:ind w:left="567" w:right="567"/>
        <w:jc w:val="both"/>
        <w:rPr>
          <w:rFonts w:ascii="Palatino Linotype" w:eastAsia="Palatino Linotype" w:hAnsi="Palatino Linotype" w:cs="Palatino Linotype"/>
          <w:b/>
          <w:bCs/>
          <w:i/>
          <w:iCs/>
        </w:rPr>
      </w:pPr>
      <w:r w:rsidRPr="009C2EFE">
        <w:rPr>
          <w:rFonts w:ascii="Palatino Linotype" w:eastAsia="Palatino Linotype" w:hAnsi="Palatino Linotype" w:cs="Palatino Linotype"/>
          <w:b/>
          <w:bCs/>
          <w:i/>
          <w:iCs/>
        </w:rPr>
        <w:t>Constitución Política del Estado Libre y Soberano de México</w:t>
      </w:r>
    </w:p>
    <w:p w14:paraId="7EC28895"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b/>
          <w:bCs/>
          <w:i/>
          <w:iCs/>
        </w:rPr>
        <w:t>“Artículo 5</w:t>
      </w:r>
      <w:r w:rsidRPr="009C2EFE">
        <w:rPr>
          <w:rFonts w:ascii="Palatino Linotype" w:eastAsia="Palatino Linotype" w:hAnsi="Palatino Linotype" w:cs="Palatino Linotype"/>
          <w:i/>
          <w:iCs/>
        </w:rPr>
        <w:t>.-…</w:t>
      </w:r>
    </w:p>
    <w:p w14:paraId="07FEA70E"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w:t>
      </w:r>
    </w:p>
    <w:p w14:paraId="4F5B7F5B"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9C2EFE">
        <w:rPr>
          <w:rFonts w:ascii="Palatino Linotype" w:eastAsia="Palatino Linotype" w:hAnsi="Palatino Linotype" w:cs="Palatino Linotype"/>
          <w:i/>
          <w:iCs/>
        </w:rPr>
        <w:t>.</w:t>
      </w:r>
    </w:p>
    <w:p w14:paraId="7CF5C190" w14:textId="127B723E"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0FA67F" w14:textId="77777777" w:rsidR="004E3EF7" w:rsidRPr="009C2EFE" w:rsidRDefault="00F2495A" w:rsidP="00BF0DE4">
      <w:pPr>
        <w:ind w:left="567" w:right="567"/>
        <w:jc w:val="both"/>
        <w:rPr>
          <w:rFonts w:ascii="Palatino Linotype" w:eastAsia="Palatino Linotype" w:hAnsi="Palatino Linotype" w:cs="Palatino Linotype"/>
          <w:i/>
          <w:iCs/>
        </w:rPr>
      </w:pPr>
      <w:r w:rsidRPr="009C2EFE">
        <w:rPr>
          <w:rFonts w:ascii="Palatino Linotype" w:eastAsia="Palatino Linotype" w:hAnsi="Palatino Linotype" w:cs="Palatino Linotype"/>
          <w:b/>
          <w:bCs/>
          <w:i/>
          <w:iCs/>
        </w:rPr>
        <w:t>Este derecho se regirá por los principios y bases siguientes</w:t>
      </w:r>
      <w:r w:rsidRPr="009C2EFE">
        <w:rPr>
          <w:rFonts w:ascii="Palatino Linotype" w:eastAsia="Palatino Linotype" w:hAnsi="Palatino Linotype" w:cs="Palatino Linotype"/>
          <w:i/>
          <w:iCs/>
        </w:rPr>
        <w:t>:</w:t>
      </w:r>
    </w:p>
    <w:p w14:paraId="227359A3" w14:textId="77777777" w:rsidR="004E3EF7" w:rsidRPr="009C2EFE" w:rsidRDefault="00F2495A" w:rsidP="00BF0DE4">
      <w:pPr>
        <w:ind w:left="567" w:right="567"/>
        <w:jc w:val="both"/>
        <w:rPr>
          <w:rFonts w:ascii="Palatino Linotype" w:eastAsia="Palatino Linotype" w:hAnsi="Palatino Linotype" w:cs="Palatino Linotype"/>
          <w:b/>
          <w:bCs/>
        </w:rPr>
      </w:pPr>
      <w:r w:rsidRPr="009C2EFE">
        <w:rPr>
          <w:rFonts w:ascii="Palatino Linotype" w:eastAsia="Palatino Linotype" w:hAnsi="Palatino Linotype" w:cs="Palatino Linotype"/>
          <w:b/>
          <w:bCs/>
          <w:i/>
          <w:iCs/>
        </w:rPr>
        <w:t>Toda la información en posesión de cualquier autoridad, entidad, órgano y organismos de los</w:t>
      </w:r>
      <w:r w:rsidRPr="009C2EFE">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9C2EFE">
        <w:rPr>
          <w:rFonts w:ascii="Palatino Linotype" w:eastAsia="Palatino Linotype" w:hAnsi="Palatino Linotype" w:cs="Palatino Linotype"/>
          <w:b/>
          <w:bCs/>
          <w:i/>
          <w:iCs/>
        </w:rPr>
        <w:t>municipales</w:t>
      </w:r>
      <w:r w:rsidRPr="009C2EFE">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C2EFE">
        <w:rPr>
          <w:rFonts w:ascii="Palatino Linotype" w:eastAsia="Palatino Linotype" w:hAnsi="Palatino Linotype" w:cs="Palatino Linotype"/>
          <w:b/>
          <w:bCs/>
          <w:i/>
          <w:iCs/>
        </w:rPr>
        <w:t>es pública</w:t>
      </w:r>
      <w:r w:rsidRPr="009C2EFE">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9C2EFE">
        <w:rPr>
          <w:rFonts w:ascii="Palatino Linotype" w:eastAsia="Palatino Linotype" w:hAnsi="Palatino Linotype" w:cs="Palatino Linotype"/>
          <w:b/>
          <w:bCs/>
          <w:i/>
          <w:iCs/>
        </w:rPr>
        <w:t>En la interpretación de este derecho deberá prevalecer el principio de máxima publicidad</w:t>
      </w:r>
      <w:r w:rsidRPr="009C2EFE">
        <w:rPr>
          <w:rFonts w:ascii="Palatino Linotype" w:eastAsia="Palatino Linotype" w:hAnsi="Palatino Linotype" w:cs="Palatino Linotype"/>
          <w:i/>
          <w:iCs/>
        </w:rPr>
        <w:t xml:space="preserve">. </w:t>
      </w:r>
      <w:r w:rsidRPr="009C2EFE">
        <w:rPr>
          <w:rFonts w:ascii="Palatino Linotype" w:eastAsia="Palatino Linotype" w:hAnsi="Palatino Linotype" w:cs="Palatino Linotype"/>
          <w:b/>
          <w:bCs/>
          <w:i/>
          <w:iCs/>
        </w:rPr>
        <w:t xml:space="preserve">Los sujetos obligados deberán documentar todo acto que derive del ejercicio de sus </w:t>
      </w:r>
      <w:r w:rsidRPr="009C2EFE">
        <w:rPr>
          <w:rFonts w:ascii="Palatino Linotype" w:eastAsia="Palatino Linotype" w:hAnsi="Palatino Linotype" w:cs="Palatino Linotype"/>
          <w:b/>
          <w:bCs/>
          <w:i/>
          <w:iCs/>
        </w:rPr>
        <w:lastRenderedPageBreak/>
        <w:t>facultades, competencias o funciones</w:t>
      </w:r>
      <w:r w:rsidRPr="009C2EFE">
        <w:rPr>
          <w:rFonts w:ascii="Palatino Linotype" w:eastAsia="Palatino Linotype" w:hAnsi="Palatino Linotype" w:cs="Palatino Linotype"/>
          <w:i/>
          <w:iCs/>
        </w:rPr>
        <w:t>, la ley determinará los supuestos específicos bajo los cuales procederá la declaración de inexistencia de la información.”</w:t>
      </w:r>
    </w:p>
    <w:p w14:paraId="3E4293AA" w14:textId="77777777" w:rsidR="004E3EF7" w:rsidRPr="009C2EFE" w:rsidRDefault="004E3EF7">
      <w:pPr>
        <w:spacing w:line="360" w:lineRule="auto"/>
        <w:ind w:right="-561"/>
        <w:rPr>
          <w:rFonts w:ascii="Palatino Linotype" w:eastAsia="Palatino Linotype" w:hAnsi="Palatino Linotype" w:cs="Palatino Linotype"/>
          <w:b/>
          <w:bCs/>
        </w:rPr>
      </w:pPr>
    </w:p>
    <w:p w14:paraId="1B27A53F"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color w:val="000000"/>
        </w:rPr>
        <w:t xml:space="preserve">Según </w:t>
      </w:r>
      <w:r w:rsidRPr="009C2EFE">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9C2EFE">
        <w:rPr>
          <w:rFonts w:ascii="Palatino Linotype" w:eastAsia="Palatino Linotype" w:hAnsi="Palatino Linotype" w:cs="Palatino Linotype"/>
          <w:i/>
          <w:iCs/>
        </w:rPr>
        <w:t>por los principios de simplicidad, rapidez gratuidad del procedimiento, auxilio y orientación a los particulares</w:t>
      </w:r>
      <w:r w:rsidRPr="009C2EFE">
        <w:rPr>
          <w:rFonts w:ascii="Palatino Linotype" w:eastAsia="Palatino Linotype" w:hAnsi="Palatino Linotype" w:cs="Palatino Linotype"/>
        </w:rPr>
        <w:t>, contemplando el derecho de las personas con discapacidad y hablantes de lengua indígena.</w:t>
      </w:r>
    </w:p>
    <w:p w14:paraId="5AFB161C"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6D8C2129"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eastAsia="Palatino Linotype" w:hAnsi="Palatino Linotype" w:cs="Palatino Linotype"/>
          <w:color w:val="000000"/>
        </w:rPr>
        <w:t xml:space="preserve">El </w:t>
      </w:r>
      <w:r w:rsidRPr="009C2EFE">
        <w:rPr>
          <w:rFonts w:ascii="Palatino Linotype" w:eastAsia="Palatino Linotype" w:hAnsi="Palatino Linotype" w:cs="Palatino Linotype"/>
        </w:rPr>
        <w:t xml:space="preserve">Derecho de Acceso a la Información se garantiza y respeta oportunamente, y según lo que dispone la Ley, las </w:t>
      </w:r>
      <w:r w:rsidRPr="009C2EFE">
        <w:rPr>
          <w:rFonts w:ascii="Palatino Linotype" w:eastAsia="Palatino Linotype" w:hAnsi="Palatino Linotype" w:cs="Palatino Linotype"/>
          <w:i/>
          <w:iCs/>
        </w:rPr>
        <w:t>solicitudes de acceso a la información</w:t>
      </w:r>
      <w:r w:rsidRPr="009C2EFE">
        <w:rPr>
          <w:rFonts w:ascii="Palatino Linotype" w:eastAsia="Palatino Linotype" w:hAnsi="Palatino Linotype" w:cs="Palatino Linotype"/>
        </w:rPr>
        <w:t>.</w:t>
      </w:r>
    </w:p>
    <w:p w14:paraId="33E11ECD"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5E677085"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9C2EFE">
        <w:rPr>
          <w:rFonts w:ascii="Palatino Linotype" w:eastAsia="Palatino Linotype" w:hAnsi="Palatino Linotype" w:cs="Palatino Linotype"/>
          <w:color w:val="000000"/>
        </w:rPr>
        <w:t xml:space="preserve">Así </w:t>
      </w:r>
      <w:r w:rsidRPr="009C2EFE">
        <w:rPr>
          <w:rFonts w:ascii="Palatino Linotype" w:eastAsia="Palatino Linotype" w:hAnsi="Palatino Linotype" w:cs="Palatino Linotype"/>
        </w:rPr>
        <w:t xml:space="preserve">entonces, se procede analizar, en primer lugar, si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154742F" w14:textId="77777777" w:rsidR="004E3EF7" w:rsidRPr="009C2EFE" w:rsidRDefault="004E3EF7" w:rsidP="00BF0DE4">
      <w:pPr>
        <w:spacing w:line="360" w:lineRule="auto"/>
        <w:rPr>
          <w:rFonts w:ascii="Palatino Linotype" w:eastAsia="Palatino Linotype" w:hAnsi="Palatino Linotype" w:cs="Palatino Linotype"/>
          <w:b/>
          <w:bCs/>
        </w:rPr>
      </w:pPr>
    </w:p>
    <w:p w14:paraId="63829927" w14:textId="55840182" w:rsidR="006E20BA" w:rsidRPr="009C2EFE" w:rsidRDefault="00F2495A" w:rsidP="006E20BA">
      <w:pPr>
        <w:keepNext/>
        <w:keepLines/>
        <w:numPr>
          <w:ilvl w:val="1"/>
          <w:numId w:val="4"/>
        </w:numPr>
        <w:spacing w:line="360" w:lineRule="auto"/>
        <w:ind w:left="567"/>
        <w:jc w:val="both"/>
        <w:rPr>
          <w:rFonts w:ascii="Palatino Linotype" w:eastAsia="Palatino Linotype" w:hAnsi="Palatino Linotype" w:cs="Palatino Linotype"/>
          <w:b/>
          <w:bCs/>
        </w:rPr>
      </w:pPr>
      <w:r w:rsidRPr="009C2EFE">
        <w:rPr>
          <w:rFonts w:ascii="Palatino Linotype" w:eastAsia="Palatino Linotype" w:hAnsi="Palatino Linotype" w:cs="Palatino Linotype"/>
          <w:b/>
          <w:bCs/>
        </w:rPr>
        <w:t>De la información solicitada y la respuesta del SUJETO OBLIGADO.</w:t>
      </w:r>
    </w:p>
    <w:p w14:paraId="17208014"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5" w:name="_heading=h.30j0zll" w:colFirst="0" w:colLast="0"/>
      <w:bookmarkEnd w:id="5"/>
      <w:r w:rsidRPr="009C2EFE">
        <w:rPr>
          <w:rFonts w:ascii="Palatino Linotype" w:eastAsia="Palatino Linotype" w:hAnsi="Palatino Linotype" w:cs="Palatino Linotype"/>
        </w:rPr>
        <w:t xml:space="preserve">Derivado del Planteamiento de la </w:t>
      </w:r>
      <w:r w:rsidRPr="009C2EFE">
        <w:rPr>
          <w:rFonts w:ascii="Palatino Linotype" w:eastAsia="Palatino Linotype" w:hAnsi="Palatino Linotype" w:cs="Palatino Linotype"/>
          <w:i/>
          <w:iCs/>
        </w:rPr>
        <w:t>Litis</w:t>
      </w:r>
      <w:r w:rsidRPr="009C2EFE">
        <w:rPr>
          <w:rFonts w:ascii="Palatino Linotype" w:eastAsia="Palatino Linotype" w:hAnsi="Palatino Linotype" w:cs="Palatino Linotype"/>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4DE39A2" w14:textId="77777777" w:rsidR="004E3EF7" w:rsidRPr="009C2EFE" w:rsidRDefault="004E3EF7" w:rsidP="00BF0DE4">
      <w:pPr>
        <w:spacing w:line="360" w:lineRule="auto"/>
        <w:jc w:val="both"/>
        <w:rPr>
          <w:rFonts w:ascii="Palatino Linotype" w:eastAsia="Palatino Linotype" w:hAnsi="Palatino Linotype" w:cs="Palatino Linotype"/>
          <w:b/>
          <w:bCs/>
        </w:rPr>
      </w:pPr>
    </w:p>
    <w:p w14:paraId="6C55E8CB" w14:textId="77777777" w:rsidR="004E3EF7" w:rsidRPr="009C2EFE"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9C2EFE">
        <w:rPr>
          <w:rFonts w:ascii="Palatino Linotype" w:eastAsia="Palatino Linotype" w:hAnsi="Palatino Linotype" w:cs="Palatino Linotype"/>
        </w:rPr>
        <w:lastRenderedPageBreak/>
        <w:t xml:space="preserve">Así, resulta conveniente reiterar la información solicitada por la parte </w:t>
      </w:r>
      <w:r w:rsidRPr="009C2EFE">
        <w:rPr>
          <w:rFonts w:ascii="Palatino Linotype" w:eastAsia="Palatino Linotype" w:hAnsi="Palatino Linotype" w:cs="Palatino Linotype"/>
          <w:b/>
          <w:bCs/>
        </w:rPr>
        <w:t>RECURRENTE</w:t>
      </w:r>
      <w:r w:rsidRPr="009C2EFE">
        <w:rPr>
          <w:rFonts w:ascii="Palatino Linotype" w:eastAsia="Palatino Linotype" w:hAnsi="Palatino Linotype" w:cs="Palatino Linotype"/>
        </w:rPr>
        <w:t xml:space="preserve">, así como la respuesta emitida por el </w:t>
      </w:r>
      <w:r w:rsidRPr="009C2EFE">
        <w:rPr>
          <w:rFonts w:ascii="Palatino Linotype" w:eastAsia="Palatino Linotype" w:hAnsi="Palatino Linotype" w:cs="Palatino Linotype"/>
          <w:b/>
          <w:bCs/>
        </w:rPr>
        <w:t>SUJETO OBLIGADO</w:t>
      </w:r>
      <w:r w:rsidRPr="009C2EFE">
        <w:rPr>
          <w:rFonts w:ascii="Palatino Linotype" w:eastAsia="Palatino Linotype" w:hAnsi="Palatino Linotype" w:cs="Palatino Linotype"/>
        </w:rPr>
        <w:t>, mediante el siguiente cuadro descriptivo:</w:t>
      </w:r>
    </w:p>
    <w:p w14:paraId="2D3BFE92" w14:textId="77777777" w:rsidR="006E20BA" w:rsidRPr="009C2EFE" w:rsidRDefault="006E20BA">
      <w:pPr>
        <w:spacing w:line="360" w:lineRule="auto"/>
        <w:ind w:right="-561"/>
        <w:rPr>
          <w:rFonts w:ascii="Palatino Linotype" w:eastAsia="Palatino Linotype" w:hAnsi="Palatino Linotype" w:cs="Palatino Linotype"/>
        </w:rPr>
      </w:pPr>
    </w:p>
    <w:tbl>
      <w:tblPr>
        <w:tblStyle w:val="a"/>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4"/>
      </w:tblGrid>
      <w:tr w:rsidR="004E3EF7" w:rsidRPr="009C2EFE" w14:paraId="4A7EEC30" w14:textId="77777777" w:rsidTr="006E20BA">
        <w:tc>
          <w:tcPr>
            <w:tcW w:w="4531" w:type="dxa"/>
            <w:shd w:val="clear" w:color="auto" w:fill="D9D9D9"/>
          </w:tcPr>
          <w:p w14:paraId="002F7C0B" w14:textId="77777777" w:rsidR="004E3EF7" w:rsidRPr="009C2EFE" w:rsidRDefault="00F2495A">
            <w:pPr>
              <w:ind w:right="-561"/>
              <w:jc w:val="center"/>
              <w:rPr>
                <w:rFonts w:ascii="Palatino Linotype" w:eastAsia="Palatino Linotype" w:hAnsi="Palatino Linotype" w:cs="Palatino Linotype"/>
                <w:b/>
                <w:bCs/>
              </w:rPr>
            </w:pPr>
            <w:r w:rsidRPr="009C2EFE">
              <w:rPr>
                <w:rFonts w:ascii="Palatino Linotype" w:eastAsia="Palatino Linotype" w:hAnsi="Palatino Linotype" w:cs="Palatino Linotype"/>
                <w:b/>
                <w:bCs/>
              </w:rPr>
              <w:t>Información Solicitada</w:t>
            </w:r>
          </w:p>
        </w:tc>
        <w:tc>
          <w:tcPr>
            <w:tcW w:w="5384" w:type="dxa"/>
            <w:shd w:val="clear" w:color="auto" w:fill="D9D9D9"/>
          </w:tcPr>
          <w:p w14:paraId="38B673A2" w14:textId="77777777" w:rsidR="004E3EF7" w:rsidRPr="009C2EFE" w:rsidRDefault="00F2495A">
            <w:pPr>
              <w:ind w:right="-561"/>
              <w:jc w:val="center"/>
              <w:rPr>
                <w:rFonts w:ascii="Palatino Linotype" w:eastAsia="Palatino Linotype" w:hAnsi="Palatino Linotype" w:cs="Palatino Linotype"/>
                <w:b/>
                <w:bCs/>
              </w:rPr>
            </w:pPr>
            <w:r w:rsidRPr="009C2EFE">
              <w:rPr>
                <w:rFonts w:ascii="Palatino Linotype" w:eastAsia="Palatino Linotype" w:hAnsi="Palatino Linotype" w:cs="Palatino Linotype"/>
                <w:b/>
                <w:bCs/>
              </w:rPr>
              <w:t>Respuesta</w:t>
            </w:r>
          </w:p>
        </w:tc>
      </w:tr>
      <w:tr w:rsidR="004E3EF7" w:rsidRPr="009C2EFE" w14:paraId="2D3F413C" w14:textId="77777777" w:rsidTr="0053594E">
        <w:trPr>
          <w:trHeight w:val="586"/>
        </w:trPr>
        <w:tc>
          <w:tcPr>
            <w:tcW w:w="4531" w:type="dxa"/>
          </w:tcPr>
          <w:p w14:paraId="0237C99A" w14:textId="67BC1713" w:rsidR="004E3EF7" w:rsidRPr="009C2EFE" w:rsidRDefault="006E20BA" w:rsidP="006E20BA">
            <w:pPr>
              <w:ind w:right="30"/>
              <w:jc w:val="both"/>
              <w:rPr>
                <w:rFonts w:ascii="Palatino Linotype" w:eastAsia="Palatino Linotype" w:hAnsi="Palatino Linotype" w:cs="Palatino Linotype"/>
                <w:b/>
                <w:bCs/>
                <w:i/>
                <w:iCs/>
              </w:rPr>
            </w:pPr>
            <w:r w:rsidRPr="009C2EFE">
              <w:rPr>
                <w:rFonts w:ascii="Palatino Linotype" w:hAnsi="Palatino Linotype"/>
                <w:color w:val="000000"/>
              </w:rPr>
              <w:t xml:space="preserve">Del presupuesto asignado para </w:t>
            </w:r>
            <w:r w:rsidR="00A27A42" w:rsidRPr="009C2EFE">
              <w:rPr>
                <w:rFonts w:ascii="Palatino Linotype" w:hAnsi="Palatino Linotype"/>
                <w:color w:val="000000"/>
              </w:rPr>
              <w:t xml:space="preserve">medios de </w:t>
            </w:r>
            <w:r w:rsidRPr="009C2EFE">
              <w:rPr>
                <w:rFonts w:ascii="Palatino Linotype" w:hAnsi="Palatino Linotype"/>
                <w:color w:val="000000"/>
              </w:rPr>
              <w:t>comunicación, radio, televisión, digitales, impresos y todos aquellos que se consideren plataformas informativas, del 1 de enero al 21 de noviembre del 2025, lo siguiente:</w:t>
            </w:r>
            <w:r w:rsidRPr="009C2EFE">
              <w:rPr>
                <w:rFonts w:ascii="Palatino Linotype" w:eastAsia="Palatino Linotype" w:hAnsi="Palatino Linotype" w:cs="Palatino Linotype"/>
                <w:b/>
                <w:bCs/>
              </w:rPr>
              <w:t xml:space="preserve"> t</w:t>
            </w:r>
            <w:r w:rsidRPr="009C2EFE">
              <w:rPr>
                <w:rFonts w:ascii="Palatino Linotype" w:hAnsi="Palatino Linotype"/>
                <w:b/>
                <w:bCs/>
                <w:color w:val="000000"/>
              </w:rPr>
              <w:t>iempo contratado,</w:t>
            </w:r>
            <w:r w:rsidRPr="009C2EFE">
              <w:rPr>
                <w:rFonts w:ascii="Palatino Linotype" w:eastAsia="Palatino Linotype" w:hAnsi="Palatino Linotype" w:cs="Palatino Linotype"/>
                <w:b/>
                <w:bCs/>
              </w:rPr>
              <w:t xml:space="preserve"> p</w:t>
            </w:r>
            <w:r w:rsidRPr="009C2EFE">
              <w:rPr>
                <w:rFonts w:ascii="Palatino Linotype" w:hAnsi="Palatino Linotype"/>
                <w:b/>
                <w:bCs/>
                <w:color w:val="000000"/>
              </w:rPr>
              <w:t xml:space="preserve">ropósito, </w:t>
            </w:r>
            <w:r w:rsidRPr="009C2EFE">
              <w:rPr>
                <w:rFonts w:ascii="Palatino Linotype" w:eastAsia="Palatino Linotype" w:hAnsi="Palatino Linotype" w:cs="Palatino Linotype"/>
                <w:b/>
                <w:bCs/>
              </w:rPr>
              <w:t>m</w:t>
            </w:r>
            <w:r w:rsidRPr="009C2EFE">
              <w:rPr>
                <w:rFonts w:ascii="Palatino Linotype" w:hAnsi="Palatino Linotype"/>
                <w:b/>
                <w:bCs/>
                <w:color w:val="000000"/>
              </w:rPr>
              <w:t>onto asignado para cada medio de comunicación y</w:t>
            </w:r>
            <w:r w:rsidRPr="009C2EFE">
              <w:rPr>
                <w:rFonts w:ascii="Palatino Linotype" w:eastAsia="Palatino Linotype" w:hAnsi="Palatino Linotype" w:cs="Palatino Linotype"/>
                <w:b/>
                <w:bCs/>
              </w:rPr>
              <w:t xml:space="preserve"> f</w:t>
            </w:r>
            <w:r w:rsidRPr="009C2EFE">
              <w:rPr>
                <w:rFonts w:ascii="Palatino Linotype" w:hAnsi="Palatino Linotype"/>
                <w:b/>
                <w:bCs/>
                <w:color w:val="000000"/>
              </w:rPr>
              <w:t>echa en la que fue erogado.</w:t>
            </w:r>
          </w:p>
        </w:tc>
        <w:tc>
          <w:tcPr>
            <w:tcW w:w="5384" w:type="dxa"/>
          </w:tcPr>
          <w:p w14:paraId="313DDC75" w14:textId="5739122E" w:rsidR="004E3EF7" w:rsidRPr="009C2EFE" w:rsidRDefault="0053594E" w:rsidP="006E20BA">
            <w:pPr>
              <w:ind w:right="30"/>
              <w:jc w:val="both"/>
              <w:rPr>
                <w:rFonts w:ascii="Palatino Linotype" w:eastAsia="Palatino Linotype" w:hAnsi="Palatino Linotype" w:cs="Palatino Linotype"/>
              </w:rPr>
            </w:pPr>
            <w:r w:rsidRPr="009C2EFE">
              <w:rPr>
                <w:rFonts w:ascii="Palatino Linotype" w:hAnsi="Palatino Linotype"/>
                <w:color w:val="000000"/>
              </w:rPr>
              <w:t>La</w:t>
            </w:r>
            <w:r w:rsidR="006E20BA" w:rsidRPr="009C2EFE">
              <w:rPr>
                <w:rFonts w:ascii="Palatino Linotype" w:hAnsi="Palatino Linotype"/>
                <w:color w:val="000000"/>
              </w:rPr>
              <w:t xml:space="preserve"> Tesorería Municipal</w:t>
            </w:r>
            <w:r w:rsidRPr="009C2EFE">
              <w:rPr>
                <w:rFonts w:ascii="Palatino Linotype" w:hAnsi="Palatino Linotype"/>
                <w:color w:val="000000"/>
              </w:rPr>
              <w:t xml:space="preserve"> </w:t>
            </w:r>
            <w:r w:rsidR="006E20BA" w:rsidRPr="009C2EFE">
              <w:rPr>
                <w:rFonts w:ascii="Palatino Linotype" w:hAnsi="Palatino Linotype"/>
                <w:color w:val="000000"/>
              </w:rPr>
              <w:t>inform</w:t>
            </w:r>
            <w:r w:rsidRPr="009C2EFE">
              <w:rPr>
                <w:rFonts w:ascii="Palatino Linotype" w:hAnsi="Palatino Linotype"/>
                <w:color w:val="000000"/>
              </w:rPr>
              <w:t>ó</w:t>
            </w:r>
            <w:r w:rsidR="006E20BA" w:rsidRPr="009C2EFE">
              <w:rPr>
                <w:rFonts w:ascii="Palatino Linotype" w:hAnsi="Palatino Linotype"/>
                <w:color w:val="000000"/>
              </w:rPr>
              <w:t xml:space="preserve"> que no se generó la información solicitad</w:t>
            </w:r>
            <w:r w:rsidRPr="009C2EFE">
              <w:rPr>
                <w:rFonts w:ascii="Palatino Linotype" w:hAnsi="Palatino Linotype"/>
                <w:color w:val="000000"/>
              </w:rPr>
              <w:t>a.</w:t>
            </w:r>
          </w:p>
        </w:tc>
      </w:tr>
    </w:tbl>
    <w:p w14:paraId="6EB66546" w14:textId="77777777" w:rsidR="004E3EF7" w:rsidRDefault="004E3EF7">
      <w:pPr>
        <w:spacing w:line="360" w:lineRule="auto"/>
        <w:ind w:right="-561"/>
        <w:rPr>
          <w:rFonts w:ascii="Palatino Linotype" w:eastAsia="Palatino Linotype" w:hAnsi="Palatino Linotype" w:cs="Palatino Linotype"/>
        </w:rPr>
      </w:pPr>
    </w:p>
    <w:p w14:paraId="591A517A" w14:textId="77777777" w:rsidR="009C2EFE" w:rsidRPr="009C2EFE" w:rsidRDefault="009C2EFE">
      <w:pPr>
        <w:spacing w:line="360" w:lineRule="auto"/>
        <w:ind w:right="-561"/>
        <w:rPr>
          <w:rFonts w:ascii="Palatino Linotype" w:eastAsia="Palatino Linotype" w:hAnsi="Palatino Linotype" w:cs="Palatino Linotype"/>
        </w:rPr>
      </w:pPr>
    </w:p>
    <w:p w14:paraId="16F4E089" w14:textId="77777777" w:rsidR="00F01743" w:rsidRPr="009C2EFE" w:rsidRDefault="008D0C8C" w:rsidP="00F01743">
      <w:pPr>
        <w:pStyle w:val="Prrafodelista"/>
        <w:numPr>
          <w:ilvl w:val="0"/>
          <w:numId w:val="3"/>
        </w:numPr>
        <w:spacing w:line="360" w:lineRule="auto"/>
        <w:ind w:left="0" w:firstLine="0"/>
        <w:jc w:val="both"/>
        <w:rPr>
          <w:rFonts w:ascii="Palatino Linotype" w:eastAsia="Palatino Linotype" w:hAnsi="Palatino Linotype" w:cs="Palatino Linotype"/>
        </w:rPr>
      </w:pPr>
      <w:bookmarkStart w:id="6" w:name="_heading=h.2s8eyo1" w:colFirst="0" w:colLast="0"/>
      <w:bookmarkEnd w:id="6"/>
      <w:r w:rsidRPr="009C2EFE">
        <w:rPr>
          <w:rFonts w:ascii="Palatino Linotype" w:eastAsia="Palatino Linotype" w:hAnsi="Palatino Linotype" w:cs="Palatino Linotype"/>
        </w:rPr>
        <w:t xml:space="preserve">Inconforme </w:t>
      </w:r>
      <w:r w:rsidRPr="009C2EFE">
        <w:rPr>
          <w:rFonts w:ascii="Palatino Linotype" w:hAnsi="Palatino Linotype" w:cs="Palatino Linotype"/>
          <w:bCs/>
        </w:rPr>
        <w:t>con la respuesta, la parte</w:t>
      </w:r>
      <w:r w:rsidRPr="009C2EFE">
        <w:rPr>
          <w:rFonts w:ascii="Palatino Linotype" w:hAnsi="Palatino Linotype" w:cs="Palatino Linotype"/>
          <w:b/>
          <w:bCs/>
        </w:rPr>
        <w:t xml:space="preserve"> RECURRENTE </w:t>
      </w:r>
      <w:r w:rsidRPr="009C2EFE">
        <w:rPr>
          <w:rFonts w:ascii="Palatino Linotype" w:hAnsi="Palatino Linotype" w:cs="Palatino Linotype"/>
          <w:bCs/>
        </w:rPr>
        <w:t xml:space="preserve">manifestó </w:t>
      </w:r>
      <w:r w:rsidRPr="009C2EFE">
        <w:rPr>
          <w:rFonts w:ascii="Palatino Linotype" w:hAnsi="Palatino Linotype" w:cs="Palatino Linotype"/>
          <w:b/>
        </w:rPr>
        <w:t>la negativa de la información solicitada.</w:t>
      </w:r>
    </w:p>
    <w:p w14:paraId="571DF412" w14:textId="77777777" w:rsidR="00F01743" w:rsidRPr="009C2EFE" w:rsidRDefault="00F01743" w:rsidP="00F01743">
      <w:pPr>
        <w:pStyle w:val="Prrafodelista"/>
        <w:spacing w:line="360" w:lineRule="auto"/>
        <w:ind w:left="0"/>
        <w:jc w:val="both"/>
        <w:rPr>
          <w:rFonts w:ascii="Palatino Linotype" w:eastAsia="Palatino Linotype" w:hAnsi="Palatino Linotype" w:cs="Palatino Linotype"/>
        </w:rPr>
      </w:pPr>
    </w:p>
    <w:p w14:paraId="03014BA9" w14:textId="67F6DFE7" w:rsidR="008D0C8C" w:rsidRPr="009C2EFE" w:rsidRDefault="008D0C8C" w:rsidP="00F01743">
      <w:pPr>
        <w:pStyle w:val="Prrafodelista"/>
        <w:numPr>
          <w:ilvl w:val="0"/>
          <w:numId w:val="3"/>
        </w:numPr>
        <w:spacing w:line="360" w:lineRule="auto"/>
        <w:ind w:left="0" w:firstLine="0"/>
        <w:jc w:val="both"/>
        <w:rPr>
          <w:rFonts w:ascii="Palatino Linotype" w:eastAsia="Palatino Linotype" w:hAnsi="Palatino Linotype" w:cs="Palatino Linotype"/>
        </w:rPr>
      </w:pPr>
      <w:r w:rsidRPr="009C2EFE">
        <w:rPr>
          <w:rFonts w:ascii="Palatino Linotype" w:hAnsi="Palatino Linotype" w:cs="Palatino Linotype"/>
          <w:bCs/>
        </w:rPr>
        <w:t xml:space="preserve">No obstante, cabe precisar que el </w:t>
      </w:r>
      <w:r w:rsidRPr="009C2EFE">
        <w:rPr>
          <w:rFonts w:ascii="Palatino Linotype" w:hAnsi="Palatino Linotype" w:cs="Palatino Linotype"/>
          <w:b/>
        </w:rPr>
        <w:t>SUJETO OBLIGADO</w:t>
      </w:r>
      <w:r w:rsidRPr="009C2EFE">
        <w:rPr>
          <w:rFonts w:ascii="Palatino Linotype" w:hAnsi="Palatino Linotype" w:cs="Palatino Linotype"/>
          <w:bCs/>
        </w:rPr>
        <w:t xml:space="preserve"> mediante el servidor público habilitado competente de</w:t>
      </w:r>
      <w:r w:rsidR="00F01743" w:rsidRPr="009C2EFE">
        <w:rPr>
          <w:rFonts w:ascii="Palatino Linotype" w:hAnsi="Palatino Linotype" w:cs="Palatino Linotype"/>
          <w:bCs/>
        </w:rPr>
        <w:t xml:space="preserve"> </w:t>
      </w:r>
      <w:r w:rsidRPr="009C2EFE">
        <w:rPr>
          <w:rFonts w:ascii="Palatino Linotype" w:hAnsi="Palatino Linotype" w:cs="Palatino Linotype"/>
          <w:bCs/>
        </w:rPr>
        <w:t>l</w:t>
      </w:r>
      <w:r w:rsidR="00F01743" w:rsidRPr="009C2EFE">
        <w:rPr>
          <w:rFonts w:ascii="Palatino Linotype" w:hAnsi="Palatino Linotype" w:cs="Palatino Linotype"/>
          <w:bCs/>
        </w:rPr>
        <w:t>a</w:t>
      </w:r>
      <w:r w:rsidRPr="009C2EFE">
        <w:rPr>
          <w:rFonts w:ascii="Palatino Linotype" w:hAnsi="Palatino Linotype" w:cs="Palatino Linotype"/>
          <w:bCs/>
        </w:rPr>
        <w:t xml:space="preserve"> </w:t>
      </w:r>
      <w:r w:rsidR="00F01743" w:rsidRPr="009C2EFE">
        <w:rPr>
          <w:rFonts w:ascii="Palatino Linotype" w:hAnsi="Palatino Linotype" w:cs="Palatino Linotype"/>
          <w:bCs/>
        </w:rPr>
        <w:t>Tesorería Municipal</w:t>
      </w:r>
      <w:r w:rsidRPr="009C2EFE">
        <w:rPr>
          <w:rFonts w:ascii="Palatino Linotype" w:hAnsi="Palatino Linotype" w:cs="Palatino Linotype"/>
          <w:bCs/>
        </w:rPr>
        <w:t xml:space="preserve">, previa búsqueda exhaustiva y razonable, </w:t>
      </w:r>
      <w:r w:rsidR="00A27A42" w:rsidRPr="009C2EFE">
        <w:rPr>
          <w:rFonts w:ascii="Palatino Linotype" w:hAnsi="Palatino Linotype" w:cs="Palatino Linotype"/>
          <w:bCs/>
        </w:rPr>
        <w:t>informó</w:t>
      </w:r>
      <w:r w:rsidRPr="009C2EFE">
        <w:rPr>
          <w:rFonts w:ascii="Palatino Linotype" w:hAnsi="Palatino Linotype" w:cs="Palatino Linotype"/>
          <w:bCs/>
        </w:rPr>
        <w:t xml:space="preserve"> la imposibilidad para hacer entrega de la misma, </w:t>
      </w:r>
      <w:r w:rsidR="00A27A42" w:rsidRPr="009C2EFE">
        <w:rPr>
          <w:rFonts w:ascii="Palatino Linotype" w:hAnsi="Palatino Linotype" w:cs="Palatino Linotype"/>
          <w:bCs/>
        </w:rPr>
        <w:t>toda vez</w:t>
      </w:r>
      <w:r w:rsidR="00F01743" w:rsidRPr="009C2EFE">
        <w:rPr>
          <w:rFonts w:ascii="Palatino Linotype" w:hAnsi="Palatino Linotype" w:cs="Palatino Linotype"/>
          <w:bCs/>
        </w:rPr>
        <w:t xml:space="preserve"> que no </w:t>
      </w:r>
      <w:r w:rsidR="00A27A42" w:rsidRPr="009C2EFE">
        <w:rPr>
          <w:rFonts w:ascii="Palatino Linotype" w:hAnsi="Palatino Linotype" w:cs="Palatino Linotype"/>
          <w:bCs/>
        </w:rPr>
        <w:t>fue generada</w:t>
      </w:r>
      <w:r w:rsidRPr="009C2EFE">
        <w:rPr>
          <w:rFonts w:ascii="Palatino Linotype" w:hAnsi="Palatino Linotype"/>
          <w:bCs/>
        </w:rPr>
        <w:t xml:space="preserve">, es decir, </w:t>
      </w:r>
      <w:r w:rsidR="00A27A42" w:rsidRPr="009C2EFE">
        <w:rPr>
          <w:rFonts w:ascii="Palatino Linotype" w:hAnsi="Palatino Linotype" w:cs="Palatino Linotype"/>
          <w:bCs/>
        </w:rPr>
        <w:t>no se asignó presupuesto para medios de comunicación o plataformas informativas como radio y televisión.</w:t>
      </w:r>
    </w:p>
    <w:p w14:paraId="510BEA10" w14:textId="77777777" w:rsidR="00F01743" w:rsidRPr="009C2EFE" w:rsidRDefault="00F01743" w:rsidP="00F01743">
      <w:pPr>
        <w:spacing w:line="360" w:lineRule="auto"/>
        <w:ind w:right="1"/>
        <w:jc w:val="both"/>
        <w:rPr>
          <w:rFonts w:ascii="Palatino Linotype" w:hAnsi="Palatino Linotype" w:cs="Palatino Linotype"/>
          <w:b/>
        </w:rPr>
      </w:pPr>
    </w:p>
    <w:p w14:paraId="67785858" w14:textId="73F08FC3" w:rsidR="00BE4773" w:rsidRPr="009C2EFE" w:rsidRDefault="008D0C8C" w:rsidP="00BE4773">
      <w:pPr>
        <w:pStyle w:val="Prrafodelista"/>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Palatino Linotype"/>
          <w:bCs/>
        </w:rPr>
        <w:lastRenderedPageBreak/>
        <w:t>Al respecto</w:t>
      </w:r>
      <w:r w:rsidR="00BE4773" w:rsidRPr="009C2EFE">
        <w:rPr>
          <w:rFonts w:ascii="Palatino Linotype" w:hAnsi="Palatino Linotype" w:cs="Palatino Linotype"/>
          <w:bCs/>
        </w:rPr>
        <w:t xml:space="preserve"> la Ley Orgánica Municipal del Estado de México, establece en su artículo 93 que la Tesorería Municipal es el órgano encargado de la recaudación de los ingresos municipales y</w:t>
      </w:r>
      <w:r w:rsidR="00BE4773" w:rsidRPr="009C2EFE">
        <w:rPr>
          <w:rFonts w:ascii="Palatino Linotype" w:hAnsi="Palatino Linotype" w:cs="Palatino Linotype"/>
          <w:b/>
        </w:rPr>
        <w:t xml:space="preserve"> responsable de realizar las erogaciones que haga el ayuntamiento.</w:t>
      </w:r>
    </w:p>
    <w:p w14:paraId="58CD2A9C" w14:textId="77777777" w:rsidR="00BE4773" w:rsidRPr="009C2EFE" w:rsidRDefault="00BE4773" w:rsidP="00BE4773">
      <w:pPr>
        <w:pStyle w:val="Prrafodelista"/>
        <w:rPr>
          <w:rFonts w:ascii="Palatino Linotype" w:hAnsi="Palatino Linotype" w:cs="Palatino Linotype"/>
          <w:bCs/>
        </w:rPr>
      </w:pPr>
    </w:p>
    <w:p w14:paraId="63538187" w14:textId="2200BA4C" w:rsidR="008D0C8C" w:rsidRPr="009C2EFE" w:rsidRDefault="00BE4773" w:rsidP="00F01743">
      <w:pPr>
        <w:pStyle w:val="Prrafodelista"/>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Palatino Linotype"/>
          <w:bCs/>
        </w:rPr>
        <w:t xml:space="preserve">Por su parte, </w:t>
      </w:r>
      <w:r w:rsidR="008D0C8C" w:rsidRPr="009C2EFE">
        <w:rPr>
          <w:rFonts w:ascii="Palatino Linotype" w:hAnsi="Palatino Linotype" w:cs="Palatino Linotype"/>
          <w:bCs/>
        </w:rPr>
        <w:t>el Manual de Organización de</w:t>
      </w:r>
      <w:r w:rsidRPr="009C2EFE">
        <w:rPr>
          <w:rFonts w:ascii="Palatino Linotype" w:hAnsi="Palatino Linotype" w:cs="Palatino Linotype"/>
          <w:bCs/>
        </w:rPr>
        <w:t xml:space="preserve"> </w:t>
      </w:r>
      <w:r w:rsidR="008D0C8C" w:rsidRPr="009C2EFE">
        <w:rPr>
          <w:rFonts w:ascii="Palatino Linotype" w:hAnsi="Palatino Linotype" w:cs="Palatino Linotype"/>
          <w:bCs/>
        </w:rPr>
        <w:t>l</w:t>
      </w:r>
      <w:r w:rsidRPr="009C2EFE">
        <w:rPr>
          <w:rFonts w:ascii="Palatino Linotype" w:hAnsi="Palatino Linotype" w:cs="Palatino Linotype"/>
          <w:bCs/>
        </w:rPr>
        <w:t>a Tesorería Municipal del</w:t>
      </w:r>
      <w:r w:rsidR="008D0C8C" w:rsidRPr="009C2EFE">
        <w:rPr>
          <w:rFonts w:ascii="Palatino Linotype" w:hAnsi="Palatino Linotype" w:cs="Palatino Linotype"/>
          <w:b/>
        </w:rPr>
        <w:t xml:space="preserve"> SUJETO OBLIGADO, </w:t>
      </w:r>
      <w:r w:rsidR="008D0C8C" w:rsidRPr="009C2EFE">
        <w:rPr>
          <w:rFonts w:ascii="Palatino Linotype" w:hAnsi="Palatino Linotype" w:cs="Palatino Linotype"/>
          <w:bCs/>
        </w:rPr>
        <w:t>establece lo siguiente:</w:t>
      </w:r>
    </w:p>
    <w:p w14:paraId="3DAF8E19" w14:textId="77777777"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1. TESORERÍA MUNICIPAL </w:t>
      </w:r>
    </w:p>
    <w:p w14:paraId="672CDD41" w14:textId="77777777" w:rsidR="00BE4773" w:rsidRPr="009C2EFE" w:rsidRDefault="00BE4773" w:rsidP="00BE4773">
      <w:pPr>
        <w:ind w:left="567" w:right="567"/>
        <w:jc w:val="both"/>
        <w:rPr>
          <w:rFonts w:ascii="Palatino Linotype" w:hAnsi="Palatino Linotype"/>
          <w:b/>
          <w:bCs/>
          <w:i/>
          <w:iCs/>
        </w:rPr>
      </w:pPr>
    </w:p>
    <w:p w14:paraId="6746893D" w14:textId="0455B5D2"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OBJETIVO: </w:t>
      </w:r>
    </w:p>
    <w:p w14:paraId="174D1CC7" w14:textId="77777777" w:rsidR="00BE4773" w:rsidRPr="009C2EFE" w:rsidRDefault="00BE4773" w:rsidP="00BE4773">
      <w:pPr>
        <w:ind w:left="567" w:right="567"/>
        <w:jc w:val="both"/>
        <w:rPr>
          <w:rFonts w:ascii="Palatino Linotype" w:hAnsi="Palatino Linotype"/>
          <w:i/>
          <w:iCs/>
        </w:rPr>
      </w:pPr>
    </w:p>
    <w:p w14:paraId="533B26B5" w14:textId="42062246"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 xml:space="preserve">Dirigir la política financiera y patrimonial, Tributaria y de egresos mediante el diseño y establecimiento de bases, políticas y lineamientos en materia de programación- presupuestación que permitan el uso óptimo de los recursos municipales en beneficio del desarrollo económico y social del Municipio de Ecatepec de Morelos, a través de los pilares establecidos en el Plan de Desarrollo Municipal, de la presente Administración 2022-2024. </w:t>
      </w:r>
    </w:p>
    <w:p w14:paraId="005DA596" w14:textId="77777777" w:rsidR="00BE4773" w:rsidRPr="009C2EFE" w:rsidRDefault="00BE4773" w:rsidP="00BE4773">
      <w:pPr>
        <w:ind w:left="567" w:right="567"/>
        <w:jc w:val="both"/>
        <w:rPr>
          <w:rFonts w:ascii="Palatino Linotype" w:hAnsi="Palatino Linotype"/>
          <w:i/>
          <w:iCs/>
        </w:rPr>
      </w:pPr>
    </w:p>
    <w:p w14:paraId="6BA2077C" w14:textId="77777777"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FUNCIONES: </w:t>
      </w:r>
    </w:p>
    <w:p w14:paraId="627176D1" w14:textId="6548838D"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1. Administrar las finanzas públicas municipales, a través del manejo de los recursos financieros y materiales, con la finalidad de alcanzar los objetivos y compromisos municipales establecidos en el presupuesto de ingresos y egresos.</w:t>
      </w:r>
    </w:p>
    <w:p w14:paraId="269C9E65" w14:textId="77777777"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 xml:space="preserve">2. Autorizar el Programa General de Recaudación de Ingresos Tributarios y Créditos y coordinar su instrumentación, así como las medidas que se consideren necesarias para incrementar la recaudación del H. Ayuntamiento y hacer un uso eficiente de los recursos municipales. </w:t>
      </w:r>
    </w:p>
    <w:p w14:paraId="6EC4F36A" w14:textId="77777777"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3. Prever, planear, organizar, dirigir y evaluar las actividades en materia financiera, tributaria, patrimonial, programática, presupuestaria, ingreso, gasto, deuda, catastral y demás operaciones de tesorería de la administración pública municipal.</w:t>
      </w:r>
    </w:p>
    <w:p w14:paraId="7C053EA5" w14:textId="77777777"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4. Determinar y aprobar los mecanismos de recaudación, así como los criterios jurídicos y administrativos que se deben aplicar para la recaudación de los créditos fiscales a favor del H. Ayuntamiento.</w:t>
      </w:r>
    </w:p>
    <w:p w14:paraId="12076009" w14:textId="29EB9D9A"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5. Administrar el recurso económico del Municipio con base a las disposiciones legales federales, estatales y municipales vigentes. </w:t>
      </w:r>
    </w:p>
    <w:p w14:paraId="41C9C9A0" w14:textId="77777777"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lastRenderedPageBreak/>
        <w:t xml:space="preserve">6. Administrar los ingresos derivados de las contribuciones y otros ingresos, así como sus ordenamientos jurídicos que correspondan. </w:t>
      </w:r>
    </w:p>
    <w:p w14:paraId="01BDC1F0" w14:textId="77777777"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 xml:space="preserve">7. Determinar que se apliquen las sanciones administrativas por infracciones a las disposiciones fiscales. </w:t>
      </w:r>
    </w:p>
    <w:p w14:paraId="0428EAE5" w14:textId="30C7F2E3"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8. Consolidar la información financiera y contable de los movimientos económicos del H. Ayuntamiento. </w:t>
      </w:r>
    </w:p>
    <w:p w14:paraId="594158FB" w14:textId="77777777" w:rsidR="00BE4773" w:rsidRPr="009C2EFE" w:rsidRDefault="00BE4773" w:rsidP="00BE4773">
      <w:pPr>
        <w:ind w:left="567" w:right="567"/>
        <w:jc w:val="both"/>
        <w:rPr>
          <w:rFonts w:ascii="Palatino Linotype" w:hAnsi="Palatino Linotype"/>
          <w:b/>
          <w:bCs/>
          <w:i/>
          <w:iCs/>
        </w:rPr>
      </w:pPr>
      <w:r w:rsidRPr="009C2EFE">
        <w:rPr>
          <w:rFonts w:ascii="Palatino Linotype" w:hAnsi="Palatino Linotype"/>
          <w:b/>
          <w:bCs/>
          <w:i/>
          <w:iCs/>
        </w:rPr>
        <w:t xml:space="preserve">9. Asegurar el registro contable del manejo del recurso económico (ingresos y egresos). </w:t>
      </w:r>
    </w:p>
    <w:p w14:paraId="5ACF0EFE" w14:textId="101A2D6A" w:rsidR="00BE4773" w:rsidRPr="009C2EFE" w:rsidRDefault="00BE4773" w:rsidP="00BE4773">
      <w:pPr>
        <w:ind w:left="567" w:right="567"/>
        <w:jc w:val="both"/>
        <w:rPr>
          <w:rFonts w:ascii="Palatino Linotype" w:hAnsi="Palatino Linotype"/>
          <w:i/>
          <w:iCs/>
        </w:rPr>
      </w:pPr>
      <w:r w:rsidRPr="009C2EFE">
        <w:rPr>
          <w:rFonts w:ascii="Palatino Linotype" w:hAnsi="Palatino Linotype"/>
          <w:i/>
          <w:iCs/>
        </w:rPr>
        <w:t>10. Autorizar la elaboración del Presupuesto de Ingresos y Egresos con base a las disposiciones legales vigentes.</w:t>
      </w:r>
    </w:p>
    <w:p w14:paraId="3E46C6C7" w14:textId="77777777" w:rsidR="00BE4773" w:rsidRPr="009C2EFE" w:rsidRDefault="00BE4773" w:rsidP="008D0C8C">
      <w:pPr>
        <w:spacing w:line="360" w:lineRule="auto"/>
        <w:ind w:right="1"/>
        <w:jc w:val="both"/>
        <w:rPr>
          <w:rFonts w:ascii="Palatino Linotype" w:hAnsi="Palatino Linotype" w:cs="Palatino Linotype"/>
          <w:bCs/>
        </w:rPr>
      </w:pPr>
    </w:p>
    <w:p w14:paraId="3AD82AC0" w14:textId="0B09528B" w:rsidR="008D0C8C" w:rsidRPr="009C2EFE" w:rsidRDefault="008D0C8C" w:rsidP="00F01743">
      <w:pPr>
        <w:pStyle w:val="Prrafodelista"/>
        <w:numPr>
          <w:ilvl w:val="0"/>
          <w:numId w:val="3"/>
        </w:numPr>
        <w:spacing w:line="360" w:lineRule="auto"/>
        <w:ind w:left="0" w:right="1" w:firstLine="0"/>
        <w:jc w:val="both"/>
        <w:rPr>
          <w:rFonts w:ascii="Palatino Linotype" w:hAnsi="Palatino Linotype" w:cs="Palatino Linotype"/>
          <w:bCs/>
        </w:rPr>
      </w:pPr>
      <w:r w:rsidRPr="009C2EFE">
        <w:rPr>
          <w:rFonts w:ascii="Palatino Linotype" w:hAnsi="Palatino Linotype" w:cs="Palatino Linotype"/>
        </w:rPr>
        <w:t xml:space="preserve">En este sentido, </w:t>
      </w:r>
      <w:r w:rsidRPr="009C2EFE">
        <w:rPr>
          <w:rFonts w:ascii="Palatino Linotype" w:hAnsi="Palatino Linotype"/>
        </w:rPr>
        <w:t xml:space="preserve">nos encontramos ante la presencia de un </w:t>
      </w:r>
      <w:r w:rsidRPr="009C2EFE">
        <w:rPr>
          <w:rFonts w:ascii="Palatino Linotype" w:hAnsi="Palatino Linotype"/>
          <w:b/>
        </w:rPr>
        <w:t>hecho negativo</w:t>
      </w:r>
      <w:r w:rsidRPr="009C2EFE">
        <w:rPr>
          <w:rFonts w:ascii="Palatino Linotype" w:hAnsi="Palatino Linotype"/>
        </w:rPr>
        <w:t xml:space="preserve">, en virtud de que la información solicitada no puede fácticamente obrar en los archivos del </w:t>
      </w:r>
      <w:r w:rsidRPr="009C2EFE">
        <w:rPr>
          <w:rFonts w:ascii="Palatino Linotype" w:hAnsi="Palatino Linotype"/>
          <w:b/>
        </w:rPr>
        <w:t>SUJETO OBLIGADO</w:t>
      </w:r>
      <w:r w:rsidRPr="009C2EFE">
        <w:rPr>
          <w:rFonts w:ascii="Palatino Linotype" w:hAnsi="Palatino Linotype"/>
        </w:rPr>
        <w:t xml:space="preserve">, ya que no puede probarse por ser lógica y materialmente imposible. </w:t>
      </w:r>
    </w:p>
    <w:p w14:paraId="11ECEB1C" w14:textId="77777777" w:rsidR="008D0C8C" w:rsidRPr="009C2EFE" w:rsidRDefault="008D0C8C" w:rsidP="00F01743">
      <w:pPr>
        <w:spacing w:line="360" w:lineRule="auto"/>
        <w:ind w:right="1"/>
        <w:jc w:val="both"/>
        <w:rPr>
          <w:rFonts w:ascii="Palatino Linotype" w:hAnsi="Palatino Linotype" w:cs="Palatino Linotype"/>
        </w:rPr>
      </w:pPr>
    </w:p>
    <w:p w14:paraId="49043F1A" w14:textId="77777777" w:rsidR="008D0C8C" w:rsidRPr="009C2EFE" w:rsidRDefault="008D0C8C" w:rsidP="00F01743">
      <w:pPr>
        <w:numPr>
          <w:ilvl w:val="0"/>
          <w:numId w:val="3"/>
        </w:numPr>
        <w:tabs>
          <w:tab w:val="left" w:pos="426"/>
          <w:tab w:val="left" w:pos="567"/>
        </w:tabs>
        <w:spacing w:line="360" w:lineRule="auto"/>
        <w:ind w:left="0" w:right="1" w:firstLine="0"/>
        <w:contextualSpacing/>
        <w:jc w:val="both"/>
        <w:rPr>
          <w:rFonts w:ascii="Palatino Linotype" w:hAnsi="Palatino Linotype" w:cs="Arial"/>
          <w:color w:val="000000" w:themeColor="text1"/>
          <w:lang w:val="es-ES"/>
        </w:rPr>
      </w:pPr>
      <w:r w:rsidRPr="009C2EFE">
        <w:rPr>
          <w:rFonts w:ascii="Palatino Linotype" w:hAnsi="Palatino Linotype"/>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14:paraId="42F5AF8C" w14:textId="77777777" w:rsidR="008D0C8C" w:rsidRPr="009C2EFE" w:rsidRDefault="008D0C8C" w:rsidP="00F01743">
      <w:pPr>
        <w:tabs>
          <w:tab w:val="left" w:pos="426"/>
          <w:tab w:val="left" w:pos="567"/>
        </w:tabs>
        <w:spacing w:line="360" w:lineRule="auto"/>
        <w:ind w:right="1"/>
        <w:contextualSpacing/>
        <w:jc w:val="both"/>
        <w:rPr>
          <w:rFonts w:ascii="Palatino Linotype" w:hAnsi="Palatino Linotype" w:cs="Arial"/>
          <w:color w:val="000000" w:themeColor="text1"/>
          <w:lang w:val="es-ES"/>
        </w:rPr>
      </w:pPr>
    </w:p>
    <w:p w14:paraId="665C654C" w14:textId="77777777" w:rsidR="008D0C8C" w:rsidRPr="009C2EFE" w:rsidRDefault="008D0C8C" w:rsidP="00F01743">
      <w:pPr>
        <w:numPr>
          <w:ilvl w:val="0"/>
          <w:numId w:val="3"/>
        </w:numPr>
        <w:tabs>
          <w:tab w:val="left" w:pos="426"/>
          <w:tab w:val="left" w:pos="567"/>
        </w:tabs>
        <w:spacing w:line="360" w:lineRule="auto"/>
        <w:ind w:left="0" w:right="1" w:firstLine="0"/>
        <w:contextualSpacing/>
        <w:jc w:val="both"/>
        <w:rPr>
          <w:rFonts w:ascii="Palatino Linotype" w:hAnsi="Palatino Linotype" w:cs="Arial"/>
          <w:color w:val="000000" w:themeColor="text1"/>
          <w:lang w:val="es-ES"/>
        </w:rPr>
      </w:pPr>
      <w:r w:rsidRPr="009C2EFE">
        <w:rPr>
          <w:rFonts w:ascii="Palatino Linotype" w:hAnsi="Palatino Linotype"/>
        </w:rPr>
        <w:t xml:space="preserve">Es conveniente, invocar la tesis con número de registro 267287, de la Sexta Época, Instancia: Segunda Sala, publicada en el Semanario Judicial de la Federación, Volumen LII, Tercera Parte, Materia Común, que indica lo siguiente: </w:t>
      </w:r>
    </w:p>
    <w:p w14:paraId="79FE139B" w14:textId="77777777" w:rsidR="008D0C8C" w:rsidRPr="009C2EFE" w:rsidRDefault="008D0C8C" w:rsidP="008D0C8C">
      <w:pPr>
        <w:ind w:left="567" w:right="567"/>
        <w:jc w:val="both"/>
        <w:rPr>
          <w:rFonts w:ascii="Palatino Linotype" w:hAnsi="Palatino Linotype" w:cs="Palatino Linotype"/>
          <w:b/>
        </w:rPr>
      </w:pPr>
      <w:r w:rsidRPr="009C2EFE">
        <w:rPr>
          <w:rFonts w:ascii="Palatino Linotype" w:hAnsi="Palatino Linotype"/>
          <w:i/>
        </w:rPr>
        <w:t>“</w:t>
      </w:r>
      <w:r w:rsidRPr="009C2EFE">
        <w:rPr>
          <w:rFonts w:ascii="Palatino Linotype" w:hAnsi="Palatino Linotype"/>
          <w:b/>
          <w:i/>
        </w:rPr>
        <w:t>HECHOS NEGATIVOS, NO SON SUSCEPTIBLES DE DEMOSTRACION.</w:t>
      </w:r>
      <w:r w:rsidRPr="009C2EFE">
        <w:rPr>
          <w:rFonts w:ascii="Palatino Linotype" w:hAnsi="Palatino Linotype"/>
          <w:i/>
        </w:rPr>
        <w:t xml:space="preserve"> Tratándose de un hecho negativo, el Juez no tiene por qué invocar prueba alguna de la que se desprenda, ya que es bien sabido que esta clase de hechos no son susceptibles de demostración.”</w:t>
      </w:r>
    </w:p>
    <w:p w14:paraId="6EF13C5D" w14:textId="77777777" w:rsidR="008D0C8C" w:rsidRPr="009C2EFE" w:rsidRDefault="008D0C8C" w:rsidP="008D0C8C">
      <w:pPr>
        <w:spacing w:line="360" w:lineRule="auto"/>
        <w:ind w:right="1"/>
        <w:jc w:val="both"/>
        <w:rPr>
          <w:rFonts w:ascii="Palatino Linotype" w:hAnsi="Palatino Linotype" w:cs="Palatino Linotype"/>
          <w:b/>
        </w:rPr>
      </w:pPr>
    </w:p>
    <w:p w14:paraId="37A5BF23"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Palatino Linotype"/>
        </w:rPr>
        <w:lastRenderedPageBreak/>
        <w:t xml:space="preserve">Ahora bien, </w:t>
      </w:r>
      <w:r w:rsidRPr="009C2EFE">
        <w:rPr>
          <w:rFonts w:ascii="Palatino Linotype" w:hAnsi="Palatino Linotype" w:cs="Arial"/>
          <w:color w:val="000000" w:themeColor="text1"/>
          <w:lang w:val="es-ES"/>
        </w:rPr>
        <w:t xml:space="preserve">cabe </w:t>
      </w:r>
      <w:r w:rsidRPr="009C2EFE">
        <w:rPr>
          <w:rFonts w:ascii="Palatino Linotype" w:hAnsi="Palatino Linotype"/>
          <w:color w:val="000000" w:themeColor="text1"/>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CA26539" w14:textId="77777777" w:rsidR="008D0C8C" w:rsidRPr="009C2EFE" w:rsidRDefault="008D0C8C" w:rsidP="008D0C8C">
      <w:pPr>
        <w:spacing w:line="360" w:lineRule="auto"/>
        <w:ind w:right="1"/>
        <w:jc w:val="both"/>
        <w:rPr>
          <w:rFonts w:ascii="Palatino Linotype" w:hAnsi="Palatino Linotype" w:cs="Palatino Linotype"/>
          <w:b/>
        </w:rPr>
      </w:pPr>
    </w:p>
    <w:p w14:paraId="2D122ECC"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En </w:t>
      </w:r>
      <w:r w:rsidRPr="009C2EFE">
        <w:rPr>
          <w:rFonts w:ascii="Palatino Linotype" w:hAnsi="Palatino Linotype"/>
          <w:color w:val="000000" w:themeColor="text1"/>
        </w:rPr>
        <w:t xml:space="preserve">este sentido, para </w:t>
      </w:r>
      <w:r w:rsidRPr="009C2EFE">
        <w:rPr>
          <w:rFonts w:ascii="Palatino Linotype" w:hAnsi="Palatino Linotype" w:cs="Arial"/>
        </w:rPr>
        <w:t>atender las solicitudes de información, los Sujetos Obligados contarán con un área denominada Unidad de Transparencia</w:t>
      </w:r>
      <w:r w:rsidRPr="009C2EFE">
        <w:rPr>
          <w:rFonts w:ascii="Palatino Linotype" w:hAnsi="Palatino Linotype"/>
          <w:vertAlign w:val="superscript"/>
        </w:rPr>
        <w:footnoteReference w:id="5"/>
      </w:r>
      <w:r w:rsidRPr="009C2EFE">
        <w:rPr>
          <w:rFonts w:ascii="Palatino Linotype" w:hAnsi="Palatino Linotype" w:cs="Arial"/>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9C2EFE">
        <w:rPr>
          <w:rFonts w:ascii="Palatino Linotype" w:hAnsi="Palatino Linotype" w:cs="Arial"/>
          <w:b/>
          <w:bCs/>
        </w:rPr>
        <w:t xml:space="preserve"> </w:t>
      </w:r>
      <w:r w:rsidRPr="009C2EFE">
        <w:rPr>
          <w:rFonts w:ascii="Palatino Linotype" w:hAnsi="Palatino Linotype" w:cs="Arial"/>
        </w:rPr>
        <w:t>en los términos de la Ley General y la Ley de Transparencia y Acceso a la Información Pública del Estado de México y Municipios</w:t>
      </w:r>
      <w:r w:rsidRPr="009C2EFE">
        <w:rPr>
          <w:rFonts w:ascii="Palatino Linotype" w:hAnsi="Palatino Linotype"/>
          <w:vertAlign w:val="superscript"/>
        </w:rPr>
        <w:footnoteReference w:id="6"/>
      </w:r>
      <w:r w:rsidRPr="009C2EFE">
        <w:rPr>
          <w:rFonts w:ascii="Palatino Linotype" w:hAnsi="Palatino Linotype" w:cs="Arial"/>
        </w:rPr>
        <w:t>.</w:t>
      </w:r>
    </w:p>
    <w:p w14:paraId="2D9A21F3" w14:textId="77777777" w:rsidR="008D0C8C" w:rsidRPr="009C2EFE" w:rsidRDefault="008D0C8C" w:rsidP="008D0C8C">
      <w:pPr>
        <w:rPr>
          <w:rFonts w:ascii="Palatino Linotype" w:hAnsi="Palatino Linotype" w:cs="Arial"/>
          <w:color w:val="000000" w:themeColor="text1"/>
          <w:lang w:val="es-ES"/>
        </w:rPr>
      </w:pPr>
    </w:p>
    <w:p w14:paraId="0D1538F4"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De </w:t>
      </w:r>
      <w:r w:rsidRPr="009C2EFE">
        <w:rPr>
          <w:rFonts w:ascii="Palatino Linotype" w:hAnsi="Palatino Linotype" w:cs="Arial"/>
          <w:color w:val="000000" w:themeColor="text1"/>
        </w:rPr>
        <w:t>conformidad con lo dispuesto en la Ley de Transparencia y Acceso a la Información Pública del Estado de México y Municipios, las Unidades de Transparencia tendrán, entre sus atribuciones, las siguientes:</w:t>
      </w:r>
    </w:p>
    <w:p w14:paraId="0C25EDF7" w14:textId="77777777" w:rsidR="008D0C8C" w:rsidRPr="009C2EFE" w:rsidRDefault="008D0C8C" w:rsidP="008D0C8C">
      <w:pPr>
        <w:numPr>
          <w:ilvl w:val="1"/>
          <w:numId w:val="8"/>
        </w:numPr>
        <w:spacing w:before="240" w:after="240"/>
        <w:ind w:left="709" w:right="616" w:hanging="142"/>
        <w:contextualSpacing/>
        <w:jc w:val="both"/>
        <w:rPr>
          <w:rFonts w:ascii="Palatino Linotype" w:hAnsi="Palatino Linotype" w:cs="Arial"/>
          <w:color w:val="000000" w:themeColor="text1"/>
        </w:rPr>
      </w:pPr>
      <w:r w:rsidRPr="009C2EFE">
        <w:rPr>
          <w:rFonts w:ascii="Palatino Linotype" w:hAnsi="Palatino Linotype" w:cs="Arial"/>
          <w:color w:val="000000" w:themeColor="text1"/>
        </w:rPr>
        <w:t>Recibir, tramitar y dar respuesta a las solicitudes de acceso a la información;</w:t>
      </w:r>
    </w:p>
    <w:p w14:paraId="2626E543" w14:textId="77777777" w:rsidR="008D0C8C" w:rsidRPr="009C2EFE" w:rsidRDefault="008D0C8C" w:rsidP="008D0C8C">
      <w:pPr>
        <w:numPr>
          <w:ilvl w:val="1"/>
          <w:numId w:val="8"/>
        </w:numPr>
        <w:spacing w:before="240" w:after="240"/>
        <w:ind w:left="709" w:right="616" w:hanging="142"/>
        <w:contextualSpacing/>
        <w:jc w:val="both"/>
        <w:rPr>
          <w:rFonts w:ascii="Palatino Linotype" w:hAnsi="Palatino Linotype" w:cs="Arial"/>
          <w:color w:val="000000" w:themeColor="text1"/>
        </w:rPr>
      </w:pPr>
      <w:r w:rsidRPr="009C2EFE">
        <w:rPr>
          <w:rFonts w:ascii="Palatino Linotype" w:hAnsi="Palatino Linotype" w:cs="Arial"/>
          <w:color w:val="000000" w:themeColor="text1"/>
        </w:rPr>
        <w:t xml:space="preserve">Realizar, con efectividad, los trámites internos necesarios para la atención de las solicitudes de acceso a la información; </w:t>
      </w:r>
    </w:p>
    <w:p w14:paraId="3D360E96" w14:textId="77777777" w:rsidR="008D0C8C" w:rsidRPr="009C2EFE" w:rsidRDefault="008D0C8C" w:rsidP="008D0C8C">
      <w:pPr>
        <w:numPr>
          <w:ilvl w:val="1"/>
          <w:numId w:val="8"/>
        </w:numPr>
        <w:spacing w:before="240" w:after="240"/>
        <w:ind w:left="709" w:right="616" w:hanging="142"/>
        <w:contextualSpacing/>
        <w:jc w:val="both"/>
        <w:rPr>
          <w:rFonts w:ascii="Palatino Linotype" w:hAnsi="Palatino Linotype" w:cs="Arial"/>
          <w:color w:val="000000" w:themeColor="text1"/>
        </w:rPr>
      </w:pPr>
      <w:r w:rsidRPr="009C2EFE">
        <w:rPr>
          <w:rFonts w:ascii="Palatino Linotype" w:hAnsi="Palatino Linotype" w:cs="Arial"/>
          <w:color w:val="000000" w:themeColor="text1"/>
        </w:rPr>
        <w:t xml:space="preserve">Entregar, en su caso, a los particulares la información solicitada; y </w:t>
      </w:r>
    </w:p>
    <w:p w14:paraId="5DDA62C3" w14:textId="77777777" w:rsidR="008D0C8C" w:rsidRPr="009C2EFE" w:rsidRDefault="008D0C8C" w:rsidP="008D0C8C">
      <w:pPr>
        <w:numPr>
          <w:ilvl w:val="1"/>
          <w:numId w:val="8"/>
        </w:numPr>
        <w:spacing w:before="240" w:after="240"/>
        <w:ind w:left="709" w:right="616" w:hanging="142"/>
        <w:contextualSpacing/>
        <w:jc w:val="both"/>
        <w:rPr>
          <w:rFonts w:ascii="Palatino Linotype" w:hAnsi="Palatino Linotype"/>
          <w:color w:val="000000" w:themeColor="text1"/>
        </w:rPr>
      </w:pPr>
      <w:r w:rsidRPr="009C2EFE">
        <w:rPr>
          <w:rFonts w:ascii="Palatino Linotype" w:hAnsi="Palatino Linotype" w:cs="Arial"/>
          <w:color w:val="000000" w:themeColor="text1"/>
        </w:rPr>
        <w:t>Efectuar las notificaciones a los solicitantes.</w:t>
      </w:r>
    </w:p>
    <w:p w14:paraId="437603A8"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lastRenderedPageBreak/>
        <w:t xml:space="preserve">Otros </w:t>
      </w:r>
      <w:r w:rsidRPr="009C2EFE">
        <w:rPr>
          <w:rFonts w:ascii="Palatino Linotype" w:hAnsi="Palatino Linotype" w:cs="Arial"/>
          <w:color w:val="000000" w:themeColor="text1"/>
        </w:rPr>
        <w:t xml:space="preserve">sujetos del proceso de atención a las solicitudes de información son los servidores públicos habilitados, quienes serán designados por el titular del </w:t>
      </w:r>
      <w:r w:rsidRPr="009C2EFE">
        <w:rPr>
          <w:rFonts w:ascii="Palatino Linotype" w:hAnsi="Palatino Linotype" w:cs="Arial"/>
          <w:b/>
          <w:color w:val="000000" w:themeColor="text1"/>
        </w:rPr>
        <w:t xml:space="preserve">SUJETO OBLIGADO </w:t>
      </w:r>
      <w:r w:rsidRPr="009C2EFE">
        <w:rPr>
          <w:rFonts w:ascii="Palatino Linotype" w:hAnsi="Palatino Linotype" w:cs="Arial"/>
          <w:color w:val="000000" w:themeColor="text1"/>
        </w:rPr>
        <w:t>a propuesta del responsable de la Unidad de Transparencia</w:t>
      </w:r>
      <w:r w:rsidRPr="009C2EFE">
        <w:rPr>
          <w:rFonts w:ascii="Palatino Linotype" w:hAnsi="Palatino Linotype" w:cs="Arial"/>
          <w:color w:val="000000" w:themeColor="text1"/>
          <w:vertAlign w:val="superscript"/>
        </w:rPr>
        <w:footnoteReference w:id="7"/>
      </w:r>
      <w:r w:rsidRPr="009C2EFE">
        <w:rPr>
          <w:rFonts w:ascii="Palatino Linotype" w:hAnsi="Palatino Linotype" w:cs="Arial"/>
          <w:color w:val="000000" w:themeColor="text1"/>
        </w:rPr>
        <w:t xml:space="preserve"> y tendrán, entre sus atribuciones, las siguientes</w:t>
      </w:r>
      <w:r w:rsidRPr="009C2EFE">
        <w:rPr>
          <w:rFonts w:ascii="Palatino Linotype" w:hAnsi="Palatino Linotype" w:cs="Arial"/>
          <w:color w:val="000000" w:themeColor="text1"/>
          <w:vertAlign w:val="superscript"/>
        </w:rPr>
        <w:footnoteReference w:id="8"/>
      </w:r>
      <w:r w:rsidRPr="009C2EFE">
        <w:rPr>
          <w:rFonts w:ascii="Palatino Linotype" w:hAnsi="Palatino Linotype" w:cs="Arial"/>
          <w:color w:val="000000" w:themeColor="text1"/>
        </w:rPr>
        <w:t>:</w:t>
      </w:r>
    </w:p>
    <w:p w14:paraId="701858D2" w14:textId="77777777" w:rsidR="008D0C8C" w:rsidRPr="009C2EFE" w:rsidRDefault="008D0C8C" w:rsidP="008D0C8C">
      <w:pPr>
        <w:numPr>
          <w:ilvl w:val="1"/>
          <w:numId w:val="9"/>
        </w:numPr>
        <w:spacing w:before="240" w:after="240"/>
        <w:ind w:left="709" w:right="565" w:hanging="142"/>
        <w:contextualSpacing/>
        <w:jc w:val="both"/>
        <w:rPr>
          <w:rFonts w:ascii="Palatino Linotype" w:hAnsi="Palatino Linotype" w:cs="Arial"/>
          <w:color w:val="000000" w:themeColor="text1"/>
        </w:rPr>
      </w:pPr>
      <w:r w:rsidRPr="009C2EFE">
        <w:rPr>
          <w:rFonts w:ascii="Palatino Linotype" w:hAnsi="Palatino Linotype" w:cs="Arial"/>
          <w:color w:val="000000" w:themeColor="text1"/>
        </w:rPr>
        <w:t>Localizar la información que le solicite la Unidad de Transparencia; y</w:t>
      </w:r>
    </w:p>
    <w:p w14:paraId="71146C25" w14:textId="77777777" w:rsidR="008D0C8C" w:rsidRPr="009C2EFE" w:rsidRDefault="008D0C8C" w:rsidP="008D0C8C">
      <w:pPr>
        <w:numPr>
          <w:ilvl w:val="1"/>
          <w:numId w:val="9"/>
        </w:numPr>
        <w:spacing w:before="240" w:after="240"/>
        <w:ind w:left="709" w:right="565" w:hanging="142"/>
        <w:contextualSpacing/>
        <w:jc w:val="both"/>
        <w:rPr>
          <w:rFonts w:ascii="Palatino Linotype" w:hAnsi="Palatino Linotype"/>
          <w:color w:val="000000" w:themeColor="text1"/>
        </w:rPr>
      </w:pPr>
      <w:r w:rsidRPr="009C2EFE">
        <w:rPr>
          <w:rFonts w:ascii="Palatino Linotype" w:hAnsi="Palatino Linotype" w:cs="Arial"/>
          <w:color w:val="000000" w:themeColor="text1"/>
        </w:rPr>
        <w:t>Proporcionar la información que obre en los archivos y que le sea solicitada por la Unidad de Transparencia.</w:t>
      </w:r>
    </w:p>
    <w:p w14:paraId="3785AB06" w14:textId="77777777" w:rsidR="008D0C8C" w:rsidRPr="009C2EFE" w:rsidRDefault="008D0C8C" w:rsidP="008D0C8C">
      <w:pPr>
        <w:ind w:right="1"/>
        <w:jc w:val="both"/>
        <w:rPr>
          <w:rFonts w:ascii="Palatino Linotype" w:hAnsi="Palatino Linotype" w:cs="Palatino Linotype"/>
          <w:b/>
        </w:rPr>
      </w:pPr>
    </w:p>
    <w:p w14:paraId="1DFEC818"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olor w:val="000000" w:themeColor="text1"/>
        </w:rPr>
        <w:t xml:space="preserve">De </w:t>
      </w:r>
      <w:r w:rsidRPr="009C2EFE">
        <w:rPr>
          <w:rFonts w:ascii="Palatino Linotype" w:hAnsi="Palatino Linotype" w:cs="Arial"/>
          <w:color w:val="000000" w:themeColor="text1"/>
        </w:rPr>
        <w:t xml:space="preserve">tal manera que cada una de las áreas administrativas del </w:t>
      </w:r>
      <w:r w:rsidRPr="009C2EFE">
        <w:rPr>
          <w:rFonts w:ascii="Palatino Linotype" w:hAnsi="Palatino Linotype" w:cs="Arial"/>
          <w:b/>
          <w:bCs/>
          <w:color w:val="000000" w:themeColor="text1"/>
        </w:rPr>
        <w:t>SUJETO OBLIGADO</w:t>
      </w:r>
      <w:r w:rsidRPr="009C2EFE">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524EFC10" w14:textId="77777777" w:rsidR="008D0C8C" w:rsidRPr="009C2EFE" w:rsidRDefault="008D0C8C" w:rsidP="008D0C8C">
      <w:pPr>
        <w:spacing w:line="360" w:lineRule="auto"/>
        <w:ind w:right="1"/>
        <w:jc w:val="both"/>
        <w:rPr>
          <w:rFonts w:ascii="Palatino Linotype" w:hAnsi="Palatino Linotype" w:cs="Palatino Linotype"/>
          <w:b/>
        </w:rPr>
      </w:pPr>
    </w:p>
    <w:p w14:paraId="3B28C642"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Aunado a lo anterior, </w:t>
      </w:r>
      <w:r w:rsidRPr="009C2EFE">
        <w:rPr>
          <w:rFonts w:ascii="Palatino Linotype" w:hAnsi="Palatino Linotype"/>
          <w:color w:val="000000" w:themeColor="text1"/>
        </w:rPr>
        <w:t>la Ley de Transparencia y Acceso a la Información Pública del Estado de México y Municipios, en su artículo 53, establece las funciones correspondientes a esta Unidad; mismas que se inserta a continuación:</w:t>
      </w:r>
    </w:p>
    <w:p w14:paraId="1801F5DF"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b/>
          <w:bCs/>
          <w:i/>
          <w:iCs/>
        </w:rPr>
        <w:t>“Artículo 53</w:t>
      </w:r>
      <w:r w:rsidRPr="009C2EFE">
        <w:rPr>
          <w:rFonts w:ascii="Palatino Linotype" w:hAnsi="Palatino Linotype"/>
          <w:i/>
          <w:iCs/>
        </w:rPr>
        <w:t xml:space="preserve">. Las Unidades de Transparencia tendrán las siguientes funciones: </w:t>
      </w:r>
    </w:p>
    <w:p w14:paraId="1E421F44"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p>
    <w:p w14:paraId="69B63078"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D6E515A" w14:textId="77777777" w:rsidR="008D0C8C" w:rsidRPr="009C2EFE" w:rsidRDefault="008D0C8C" w:rsidP="008D0C8C">
      <w:pPr>
        <w:tabs>
          <w:tab w:val="left" w:pos="426"/>
        </w:tabs>
        <w:spacing w:before="240" w:after="240"/>
        <w:ind w:left="567" w:right="616"/>
        <w:contextualSpacing/>
        <w:jc w:val="both"/>
        <w:rPr>
          <w:rFonts w:ascii="Palatino Linotype" w:hAnsi="Palatino Linotype"/>
          <w:b/>
          <w:bCs/>
          <w:i/>
          <w:iCs/>
        </w:rPr>
      </w:pPr>
      <w:r w:rsidRPr="009C2EFE">
        <w:rPr>
          <w:rFonts w:ascii="Palatino Linotype" w:hAnsi="Palatino Linotype"/>
          <w:b/>
          <w:bCs/>
          <w:i/>
          <w:iCs/>
        </w:rPr>
        <w:t xml:space="preserve">II. Recibir, tramitar y dar respuesta a las solicitudes de acceso a la información; </w:t>
      </w:r>
    </w:p>
    <w:p w14:paraId="5C33906F"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III. Auxiliar a los particulares en la elaboración de solicitudes de acceso a la información y, en su caso, orientarlos sobre los sujetos obligados competentes conforme a la normatividad aplicable; </w:t>
      </w:r>
    </w:p>
    <w:p w14:paraId="4138C8A4" w14:textId="77777777" w:rsidR="008D0C8C" w:rsidRPr="009C2EFE" w:rsidRDefault="008D0C8C" w:rsidP="008D0C8C">
      <w:pPr>
        <w:tabs>
          <w:tab w:val="left" w:pos="426"/>
        </w:tabs>
        <w:spacing w:before="240" w:after="240"/>
        <w:ind w:left="567" w:right="616"/>
        <w:contextualSpacing/>
        <w:jc w:val="both"/>
        <w:rPr>
          <w:rFonts w:ascii="Palatino Linotype" w:hAnsi="Palatino Linotype"/>
          <w:b/>
          <w:bCs/>
          <w:i/>
          <w:iCs/>
        </w:rPr>
      </w:pPr>
      <w:r w:rsidRPr="009C2EFE">
        <w:rPr>
          <w:rFonts w:ascii="Palatino Linotype" w:hAnsi="Palatino Linotype"/>
          <w:b/>
          <w:bCs/>
          <w:i/>
          <w:iCs/>
        </w:rPr>
        <w:lastRenderedPageBreak/>
        <w:t xml:space="preserve">IV. Realizar, con efectividad, los trámites internos necesarios para la atención de las solicitudes de acceso a la información; </w:t>
      </w:r>
    </w:p>
    <w:p w14:paraId="3A761F02"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V. Entregar, en su caso, a los particulares la información solicitada; </w:t>
      </w:r>
    </w:p>
    <w:p w14:paraId="60906AFD"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VI. Efectuar las notificaciones a los solicitantes; </w:t>
      </w:r>
    </w:p>
    <w:p w14:paraId="1F654EE5"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VII. Proponer al Comité de Transparencia, los procedimientos internos que aseguren la mayor eficiencia en la gestión de las solicitudes de acceso a la información, conforme a la normatividad aplicable; </w:t>
      </w:r>
    </w:p>
    <w:p w14:paraId="0C9058A6"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VIII. Proponer a quien preside el Comité de Transparencia, personal habilitado que sea necesario para recibir y dar trámite a las solicitudes de acceso a la información; </w:t>
      </w:r>
    </w:p>
    <w:p w14:paraId="18A5874A" w14:textId="77777777" w:rsidR="008D0C8C" w:rsidRPr="009C2EFE" w:rsidRDefault="008D0C8C" w:rsidP="008D0C8C">
      <w:pPr>
        <w:tabs>
          <w:tab w:val="left" w:pos="426"/>
        </w:tabs>
        <w:spacing w:before="240" w:after="240"/>
        <w:ind w:left="567" w:right="616"/>
        <w:contextualSpacing/>
        <w:jc w:val="both"/>
        <w:rPr>
          <w:rFonts w:ascii="Palatino Linotype" w:hAnsi="Palatino Linotype"/>
          <w:b/>
          <w:bCs/>
          <w:i/>
          <w:iCs/>
        </w:rPr>
      </w:pPr>
      <w:r w:rsidRPr="009C2EFE">
        <w:rPr>
          <w:rFonts w:ascii="Palatino Linotype" w:hAnsi="Palatino Linotype"/>
          <w:b/>
          <w:bCs/>
          <w:i/>
          <w:iC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143D117"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X. Presentar ante el Comité, el proyecto de clasificación de información; </w:t>
      </w:r>
    </w:p>
    <w:p w14:paraId="41B92377"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XI. Promover e implementar políticas de transparencia proactiva procurando su accesibilidad; </w:t>
      </w:r>
    </w:p>
    <w:p w14:paraId="6A066AD6"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XII. Fomentar la transparencia y accesibilidad al interior del sujeto obligado; </w:t>
      </w:r>
    </w:p>
    <w:p w14:paraId="133D8EDA"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XIII. Hacer del conocimiento de la instancia competente la probable responsabilidad por el incumplimiento de las obligaciones previstas en la presente Ley; y</w:t>
      </w:r>
    </w:p>
    <w:p w14:paraId="38413F51"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XIV. Las demás que resulten necesarias para facilitar el acceso a la información y aquellas que se desprenden de la presente Ley y demás disposiciones jurídicas aplicables. (…)</w:t>
      </w:r>
    </w:p>
    <w:p w14:paraId="00A7402E" w14:textId="77777777" w:rsidR="008D0C8C" w:rsidRPr="009C2EFE" w:rsidRDefault="008D0C8C" w:rsidP="008D0C8C">
      <w:pPr>
        <w:tabs>
          <w:tab w:val="left" w:pos="426"/>
        </w:tabs>
        <w:spacing w:before="240" w:after="240"/>
        <w:ind w:left="567" w:right="616"/>
        <w:contextualSpacing/>
        <w:jc w:val="both"/>
        <w:rPr>
          <w:rFonts w:ascii="Palatino Linotype" w:hAnsi="Palatino Linotype"/>
          <w:i/>
          <w:iCs/>
        </w:rPr>
      </w:pPr>
      <w:r w:rsidRPr="009C2EFE">
        <w:rPr>
          <w:rFonts w:ascii="Palatino Linotype" w:hAnsi="Palatino Linotype"/>
          <w:i/>
          <w:iC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2B55DE68" w14:textId="77777777" w:rsidR="008D0C8C" w:rsidRPr="009C2EFE" w:rsidRDefault="008D0C8C" w:rsidP="008D0C8C">
      <w:pPr>
        <w:tabs>
          <w:tab w:val="left" w:pos="426"/>
        </w:tabs>
        <w:spacing w:before="240" w:after="240"/>
        <w:ind w:right="616"/>
        <w:contextualSpacing/>
        <w:jc w:val="both"/>
        <w:rPr>
          <w:rFonts w:ascii="Palatino Linotype" w:hAnsi="Palatino Linotype"/>
          <w:i/>
          <w:iCs/>
        </w:rPr>
      </w:pPr>
    </w:p>
    <w:p w14:paraId="18421061"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De </w:t>
      </w:r>
      <w:r w:rsidRPr="009C2EFE">
        <w:rPr>
          <w:rFonts w:ascii="Palatino Linotype" w:hAnsi="Palatino Linotype"/>
          <w:color w:val="000000" w:themeColor="text1"/>
        </w:rPr>
        <w:t xml:space="preserve">lo expuesto y con relación a lo solicitado, se tiene que, en efecto, la Unidad de Transparencia es la encargada de </w:t>
      </w:r>
      <w:r w:rsidRPr="009C2EFE">
        <w:rPr>
          <w:rFonts w:ascii="Palatino Linotype" w:hAnsi="Palatino Linotype"/>
        </w:rPr>
        <w:t>recibir, tramitar y dar respuesta a las solicitudes de acceso a la información.</w:t>
      </w:r>
    </w:p>
    <w:p w14:paraId="397B1AFD" w14:textId="77777777" w:rsidR="008D0C8C" w:rsidRPr="009C2EFE" w:rsidRDefault="008D0C8C" w:rsidP="008D0C8C">
      <w:pPr>
        <w:spacing w:line="360" w:lineRule="auto"/>
        <w:ind w:right="1"/>
        <w:jc w:val="both"/>
        <w:rPr>
          <w:rFonts w:ascii="Palatino Linotype" w:hAnsi="Palatino Linotype" w:cs="Palatino Linotype"/>
          <w:b/>
        </w:rPr>
      </w:pPr>
    </w:p>
    <w:p w14:paraId="42C73184" w14:textId="4E12C502"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lastRenderedPageBreak/>
        <w:t xml:space="preserve">En atención a lo anterior, se advierte </w:t>
      </w:r>
      <w:r w:rsidRPr="009C2EFE">
        <w:rPr>
          <w:rFonts w:ascii="Palatino Linotype" w:hAnsi="Palatino Linotype"/>
        </w:rPr>
        <w:t xml:space="preserve">el </w:t>
      </w:r>
      <w:r w:rsidRPr="009C2EFE">
        <w:rPr>
          <w:rFonts w:ascii="Palatino Linotype" w:hAnsi="Palatino Linotype"/>
          <w:b/>
          <w:bCs/>
        </w:rPr>
        <w:t>SUJETO OBLIGADO</w:t>
      </w:r>
      <w:r w:rsidRPr="009C2EFE">
        <w:rPr>
          <w:rFonts w:ascii="Palatino Linotype" w:hAnsi="Palatino Linotype"/>
        </w:rPr>
        <w:t xml:space="preserve"> se pronunció por medio del Servidor Público Habilitado competente, en el presente caso la</w:t>
      </w:r>
      <w:r w:rsidRPr="009C2EFE">
        <w:rPr>
          <w:rFonts w:ascii="Palatino Linotype" w:hAnsi="Palatino Linotype"/>
          <w:b/>
          <w:bCs/>
        </w:rPr>
        <w:t xml:space="preserve"> </w:t>
      </w:r>
      <w:r w:rsidR="00BE4773" w:rsidRPr="009C2EFE">
        <w:rPr>
          <w:rFonts w:ascii="Palatino Linotype" w:hAnsi="Palatino Linotype"/>
          <w:b/>
          <w:bCs/>
        </w:rPr>
        <w:t>Tesorería Municipal.</w:t>
      </w:r>
    </w:p>
    <w:p w14:paraId="6EC36FC4" w14:textId="77777777" w:rsidR="008D0C8C" w:rsidRPr="009C2EFE" w:rsidRDefault="008D0C8C" w:rsidP="008D0C8C">
      <w:pPr>
        <w:spacing w:line="360" w:lineRule="auto"/>
        <w:ind w:right="1"/>
        <w:jc w:val="both"/>
        <w:rPr>
          <w:rFonts w:ascii="Palatino Linotype" w:hAnsi="Palatino Linotype" w:cs="Palatino Linotype"/>
          <w:bCs/>
        </w:rPr>
      </w:pPr>
    </w:p>
    <w:p w14:paraId="5AA391BC"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bCs/>
        </w:rPr>
      </w:pPr>
      <w:r w:rsidRPr="009C2EFE">
        <w:rPr>
          <w:rFonts w:ascii="Palatino Linotype" w:hAnsi="Palatino Linotype" w:cs="Palatino Linotype"/>
        </w:rPr>
        <w:t xml:space="preserve">Expuesto lo anterior, </w:t>
      </w:r>
      <w:r w:rsidRPr="009C2EFE">
        <w:rPr>
          <w:rFonts w:ascii="Palatino Linotype" w:hAnsi="Palatino Linotype" w:cs="Arial"/>
        </w:rPr>
        <w:t>es dable</w:t>
      </w:r>
      <w:r w:rsidRPr="009C2EFE">
        <w:rPr>
          <w:rFonts w:ascii="Palatino Linotype" w:hAnsi="Palatino Linotype" w:cs="Arial"/>
          <w:bCs/>
        </w:rPr>
        <w:t xml:space="preserve"> sostener que, al haber existido un pronunciamiento por parte del </w:t>
      </w:r>
      <w:r w:rsidRPr="009C2EFE">
        <w:rPr>
          <w:rFonts w:ascii="Palatino Linotype" w:hAnsi="Palatino Linotype" w:cs="Arial"/>
          <w:b/>
          <w:bCs/>
        </w:rPr>
        <w:t xml:space="preserve">SUJETO OBLIGADO, </w:t>
      </w:r>
      <w:r w:rsidRPr="009C2EFE">
        <w:rPr>
          <w:rFonts w:ascii="Palatino Linotype" w:hAnsi="Palatino Linotype" w:cs="Arial"/>
          <w:bCs/>
        </w:rPr>
        <w:t>aún más del Servidor Público Habilitado correspondiente, este Instituto no está facultado para manifestarse sobre la veracidad de este, pues no existe precepto legal alguno en la Ley de la materia que lo faculte para que, vía recurso de revisión, pueda pronunciarse al respecto.</w:t>
      </w:r>
    </w:p>
    <w:p w14:paraId="501AC9EA" w14:textId="77777777" w:rsidR="008D0C8C" w:rsidRPr="009C2EFE" w:rsidRDefault="008D0C8C" w:rsidP="008D0C8C">
      <w:pPr>
        <w:spacing w:line="360" w:lineRule="auto"/>
        <w:ind w:right="1"/>
        <w:jc w:val="both"/>
        <w:rPr>
          <w:rFonts w:ascii="Palatino Linotype" w:hAnsi="Palatino Linotype" w:cs="Palatino Linotype"/>
          <w:b/>
          <w:bCs/>
        </w:rPr>
      </w:pPr>
    </w:p>
    <w:p w14:paraId="2EC0F013"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bCs/>
        </w:rPr>
      </w:pPr>
      <w:r w:rsidRPr="009C2EFE">
        <w:rPr>
          <w:rFonts w:ascii="Palatino Linotype" w:hAnsi="Palatino Linotype" w:cs="Arial"/>
          <w:color w:val="000000" w:themeColor="text1"/>
          <w:lang w:val="es-ES"/>
        </w:rPr>
        <w:t xml:space="preserve">Ahora bien, </w:t>
      </w:r>
      <w:r w:rsidRPr="009C2EFE">
        <w:rPr>
          <w:rFonts w:ascii="Palatino Linotype" w:hAnsi="Palatino Linotype"/>
        </w:rPr>
        <w:t>es importante señalar que el artículo 4, párrafo segundo de la Ley de Transparencia y Acceso a la Información Pública del Estado de México y Municipios, dispone:</w:t>
      </w:r>
    </w:p>
    <w:p w14:paraId="61136372" w14:textId="77777777" w:rsidR="008D0C8C" w:rsidRPr="009C2EFE" w:rsidRDefault="008D0C8C" w:rsidP="008D0C8C">
      <w:pPr>
        <w:tabs>
          <w:tab w:val="left" w:pos="426"/>
          <w:tab w:val="left" w:pos="567"/>
        </w:tabs>
        <w:ind w:left="567" w:right="565"/>
        <w:contextualSpacing/>
        <w:jc w:val="both"/>
        <w:rPr>
          <w:rFonts w:ascii="Palatino Linotype" w:hAnsi="Palatino Linotype"/>
          <w:i/>
        </w:rPr>
      </w:pPr>
      <w:r w:rsidRPr="009C2EFE">
        <w:rPr>
          <w:rFonts w:ascii="Palatino Linotype" w:hAnsi="Palatino Linotype"/>
          <w:i/>
        </w:rPr>
        <w:t>“</w:t>
      </w:r>
      <w:r w:rsidRPr="009C2EFE">
        <w:rPr>
          <w:rFonts w:ascii="Palatino Linotype" w:hAnsi="Palatino Linotype"/>
          <w:b/>
          <w:i/>
        </w:rPr>
        <w:t>Artículo 4. …</w:t>
      </w:r>
    </w:p>
    <w:p w14:paraId="3FDAF40A" w14:textId="77777777" w:rsidR="008D0C8C" w:rsidRPr="009C2EFE" w:rsidRDefault="008D0C8C" w:rsidP="008D0C8C">
      <w:pPr>
        <w:tabs>
          <w:tab w:val="left" w:pos="426"/>
          <w:tab w:val="left" w:pos="567"/>
        </w:tabs>
        <w:ind w:left="567" w:right="565"/>
        <w:contextualSpacing/>
        <w:jc w:val="both"/>
        <w:rPr>
          <w:rFonts w:ascii="Palatino Linotype" w:hAnsi="Palatino Linotype"/>
          <w:i/>
        </w:rPr>
      </w:pPr>
      <w:r w:rsidRPr="009C2EFE">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D1057D" w14:textId="77777777" w:rsidR="008D0C8C" w:rsidRPr="009C2EFE" w:rsidRDefault="008D0C8C" w:rsidP="008D0C8C">
      <w:pPr>
        <w:tabs>
          <w:tab w:val="left" w:pos="426"/>
          <w:tab w:val="left" w:pos="567"/>
        </w:tabs>
        <w:ind w:right="565"/>
        <w:jc w:val="both"/>
        <w:rPr>
          <w:rFonts w:ascii="Palatino Linotype" w:hAnsi="Palatino Linotype"/>
          <w:i/>
        </w:rPr>
      </w:pPr>
    </w:p>
    <w:p w14:paraId="66CC6ECA" w14:textId="77777777" w:rsidR="008D0C8C" w:rsidRPr="009C2EFE" w:rsidRDefault="008D0C8C" w:rsidP="00F01743">
      <w:pPr>
        <w:numPr>
          <w:ilvl w:val="0"/>
          <w:numId w:val="3"/>
        </w:numPr>
        <w:spacing w:line="360" w:lineRule="auto"/>
        <w:ind w:left="0" w:right="1" w:firstLine="0"/>
        <w:contextualSpacing/>
        <w:jc w:val="both"/>
        <w:rPr>
          <w:rFonts w:ascii="Palatino Linotype" w:hAnsi="Palatino Linotype" w:cs="Palatino Linotype"/>
          <w:b/>
        </w:rPr>
      </w:pPr>
      <w:r w:rsidRPr="009C2EFE">
        <w:rPr>
          <w:rFonts w:ascii="Palatino Linotype" w:hAnsi="Palatino Linotype" w:cs="Arial"/>
          <w:color w:val="000000" w:themeColor="text1"/>
          <w:lang w:val="es-ES"/>
        </w:rPr>
        <w:t xml:space="preserve">De lo anterior, se desprende </w:t>
      </w:r>
      <w:r w:rsidRPr="009C2EFE">
        <w:rPr>
          <w:rFonts w:ascii="Palatino Linotype" w:hAnsi="Palatino Linotype"/>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4BC3282E" w14:textId="77777777" w:rsidR="008D0C8C" w:rsidRPr="009C2EFE" w:rsidRDefault="008D0C8C" w:rsidP="008D0C8C">
      <w:pPr>
        <w:spacing w:line="360" w:lineRule="auto"/>
        <w:ind w:right="1"/>
        <w:jc w:val="both"/>
        <w:rPr>
          <w:rFonts w:ascii="Palatino Linotype" w:hAnsi="Palatino Linotype" w:cs="Palatino Linotype"/>
          <w:b/>
        </w:rPr>
      </w:pPr>
    </w:p>
    <w:p w14:paraId="18E93CAA"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5F77104" w14:textId="77777777" w:rsidR="008D0C8C" w:rsidRPr="009C2EFE" w:rsidRDefault="008D0C8C" w:rsidP="008D0C8C">
      <w:pPr>
        <w:tabs>
          <w:tab w:val="left" w:pos="1134"/>
        </w:tabs>
        <w:ind w:left="567" w:right="565"/>
        <w:contextualSpacing/>
        <w:jc w:val="both"/>
        <w:rPr>
          <w:rFonts w:ascii="Palatino Linotype" w:hAnsi="Palatino Linotype"/>
          <w:i/>
        </w:rPr>
      </w:pPr>
      <w:r w:rsidRPr="009C2EFE">
        <w:rPr>
          <w:rFonts w:ascii="Palatino Linotype" w:hAnsi="Palatino Linotype"/>
          <w:i/>
        </w:rPr>
        <w:t>“</w:t>
      </w:r>
      <w:r w:rsidRPr="009C2EFE">
        <w:rPr>
          <w:rFonts w:ascii="Palatino Linotype" w:hAnsi="Palatino Linotype"/>
          <w:b/>
          <w:i/>
        </w:rPr>
        <w:t>Artículo 12.</w:t>
      </w:r>
      <w:r w:rsidRPr="009C2EF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20B76997" w14:textId="77777777" w:rsidR="008D0C8C" w:rsidRPr="009C2EFE" w:rsidRDefault="008D0C8C" w:rsidP="008D0C8C">
      <w:pPr>
        <w:tabs>
          <w:tab w:val="left" w:pos="1134"/>
        </w:tabs>
        <w:ind w:left="567" w:right="565"/>
        <w:contextualSpacing/>
        <w:jc w:val="both"/>
        <w:rPr>
          <w:rFonts w:ascii="Palatino Linotype" w:hAnsi="Palatino Linotype"/>
          <w:i/>
        </w:rPr>
      </w:pPr>
    </w:p>
    <w:p w14:paraId="375A961B" w14:textId="77777777" w:rsidR="008D0C8C" w:rsidRPr="009C2EFE" w:rsidRDefault="008D0C8C" w:rsidP="008D0C8C">
      <w:pPr>
        <w:tabs>
          <w:tab w:val="left" w:pos="1134"/>
        </w:tabs>
        <w:ind w:left="567" w:right="565"/>
        <w:jc w:val="both"/>
        <w:rPr>
          <w:rFonts w:ascii="Palatino Linotype" w:hAnsi="Palatino Linotype"/>
          <w:i/>
        </w:rPr>
      </w:pPr>
      <w:r w:rsidRPr="009C2EFE">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D51E4" w14:textId="77777777" w:rsidR="008D0C8C" w:rsidRPr="009C2EFE" w:rsidRDefault="008D0C8C" w:rsidP="008D0C8C">
      <w:pPr>
        <w:tabs>
          <w:tab w:val="left" w:pos="1134"/>
        </w:tabs>
        <w:ind w:right="565"/>
        <w:jc w:val="both"/>
        <w:rPr>
          <w:rFonts w:ascii="Palatino Linotype" w:hAnsi="Palatino Linotype"/>
          <w:i/>
        </w:rPr>
      </w:pPr>
    </w:p>
    <w:p w14:paraId="307B67A1"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En síntesis, </w:t>
      </w:r>
      <w:r w:rsidRPr="009C2EFE">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76659DC9" w14:textId="77777777" w:rsidR="008D0C8C" w:rsidRPr="009C2EFE" w:rsidRDefault="008D0C8C" w:rsidP="008D0C8C">
      <w:pPr>
        <w:spacing w:line="360" w:lineRule="auto"/>
        <w:ind w:right="1"/>
        <w:jc w:val="both"/>
        <w:rPr>
          <w:rFonts w:ascii="Palatino Linotype" w:hAnsi="Palatino Linotype" w:cs="Palatino Linotype"/>
          <w:b/>
        </w:rPr>
      </w:pPr>
    </w:p>
    <w:p w14:paraId="336310C5"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rPr>
        <w:t xml:space="preserve">Como apoyo a lo anterior, es aplicable el Criterio 03-17, emitido por el Instituto Nacional de Transparencia, Acceso a la Información y Protección de Datos Personales, que dice: </w:t>
      </w:r>
    </w:p>
    <w:p w14:paraId="75C3512D" w14:textId="77777777" w:rsidR="008D0C8C" w:rsidRPr="009C2EFE" w:rsidRDefault="008D0C8C" w:rsidP="008D0C8C">
      <w:pPr>
        <w:tabs>
          <w:tab w:val="left" w:pos="709"/>
          <w:tab w:val="left" w:pos="1985"/>
        </w:tabs>
        <w:ind w:left="567" w:right="565"/>
        <w:contextualSpacing/>
        <w:jc w:val="both"/>
        <w:rPr>
          <w:rFonts w:ascii="Palatino Linotype" w:hAnsi="Palatino Linotype"/>
          <w:i/>
        </w:rPr>
      </w:pPr>
      <w:r w:rsidRPr="009C2EFE">
        <w:rPr>
          <w:rFonts w:ascii="Palatino Linotype" w:hAnsi="Palatino Linotype"/>
          <w:b/>
          <w:i/>
        </w:rPr>
        <w:t>“No existe obligación de elaborar documentos ad hoc para atender las solicitudes de acceso a la información.</w:t>
      </w:r>
      <w:r w:rsidRPr="009C2EFE">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9C2EFE">
        <w:rPr>
          <w:rFonts w:ascii="Palatino Linotype" w:hAnsi="Palatino Linotype"/>
          <w:i/>
        </w:rPr>
        <w:lastRenderedPageBreak/>
        <w:t xml:space="preserve">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636C2B9" w14:textId="77777777" w:rsidR="008D0C8C" w:rsidRPr="009C2EFE" w:rsidRDefault="008D0C8C" w:rsidP="008D0C8C">
      <w:pPr>
        <w:tabs>
          <w:tab w:val="left" w:pos="709"/>
          <w:tab w:val="left" w:pos="1985"/>
        </w:tabs>
        <w:ind w:left="567" w:right="565"/>
        <w:contextualSpacing/>
        <w:jc w:val="both"/>
        <w:rPr>
          <w:rFonts w:ascii="Palatino Linotype" w:hAnsi="Palatino Linotype"/>
          <w:i/>
        </w:rPr>
      </w:pPr>
    </w:p>
    <w:p w14:paraId="2DD93B6E" w14:textId="77777777" w:rsidR="008D0C8C" w:rsidRPr="009C2EFE" w:rsidRDefault="008D0C8C" w:rsidP="008D0C8C">
      <w:pPr>
        <w:tabs>
          <w:tab w:val="left" w:pos="709"/>
          <w:tab w:val="left" w:pos="1985"/>
        </w:tabs>
        <w:ind w:left="567" w:right="565"/>
        <w:contextualSpacing/>
        <w:jc w:val="both"/>
        <w:rPr>
          <w:rFonts w:ascii="Palatino Linotype" w:hAnsi="Palatino Linotype"/>
          <w:i/>
        </w:rPr>
      </w:pPr>
      <w:r w:rsidRPr="009C2EFE">
        <w:rPr>
          <w:rFonts w:ascii="Palatino Linotype" w:hAnsi="Palatino Linotype"/>
          <w:i/>
        </w:rPr>
        <w:t xml:space="preserve">Resoluciones: </w:t>
      </w:r>
    </w:p>
    <w:p w14:paraId="01C9A722" w14:textId="77777777" w:rsidR="008D0C8C" w:rsidRPr="009C2EFE" w:rsidRDefault="008D0C8C" w:rsidP="008D0C8C">
      <w:pPr>
        <w:tabs>
          <w:tab w:val="left" w:pos="709"/>
          <w:tab w:val="left" w:pos="1985"/>
        </w:tabs>
        <w:ind w:left="567" w:right="565"/>
        <w:contextualSpacing/>
        <w:jc w:val="both"/>
        <w:rPr>
          <w:rFonts w:ascii="Palatino Linotype" w:hAnsi="Palatino Linotype"/>
          <w:i/>
        </w:rPr>
      </w:pPr>
      <w:r w:rsidRPr="009C2EFE">
        <w:rPr>
          <w:rFonts w:ascii="Palatino Linotype" w:hAnsi="Palatino Linotype"/>
          <w:i/>
        </w:rPr>
        <w:sym w:font="Symbol" w:char="F0B7"/>
      </w:r>
      <w:r w:rsidRPr="009C2EFE">
        <w:rPr>
          <w:rFonts w:ascii="Palatino Linotype" w:hAnsi="Palatino Linotype"/>
          <w:i/>
        </w:rPr>
        <w:t xml:space="preserve"> RRA 0050/16. Instituto Nacional para la Evaluación de la Educación. 13 julio de 2016. Por unanimidad. Comisionado Ponente: Francisco Javier Acuña Llamas. </w:t>
      </w:r>
    </w:p>
    <w:p w14:paraId="301D715C" w14:textId="77777777" w:rsidR="008D0C8C" w:rsidRPr="009C2EFE" w:rsidRDefault="008D0C8C" w:rsidP="008D0C8C">
      <w:pPr>
        <w:tabs>
          <w:tab w:val="left" w:pos="709"/>
          <w:tab w:val="left" w:pos="1985"/>
        </w:tabs>
        <w:ind w:left="567" w:right="565"/>
        <w:contextualSpacing/>
        <w:jc w:val="both"/>
        <w:rPr>
          <w:rFonts w:ascii="Palatino Linotype" w:hAnsi="Palatino Linotype"/>
          <w:i/>
        </w:rPr>
      </w:pPr>
      <w:r w:rsidRPr="009C2EFE">
        <w:rPr>
          <w:rFonts w:ascii="Palatino Linotype" w:hAnsi="Palatino Linotype"/>
          <w:i/>
        </w:rPr>
        <w:sym w:font="Symbol" w:char="F0B7"/>
      </w:r>
      <w:r w:rsidRPr="009C2EFE">
        <w:rPr>
          <w:rFonts w:ascii="Palatino Linotype" w:hAnsi="Palatino Linotype"/>
          <w:i/>
        </w:rPr>
        <w:t xml:space="preserve"> RRA 0310/16. Instituto Nacional de Transparencia, Acceso a la Información y Protección de Datos Personales. 10 de agosto de 2016. Por unanimidad. Comisionada Ponente. Areli Cano Guadiana. </w:t>
      </w:r>
    </w:p>
    <w:p w14:paraId="74929E21" w14:textId="77777777" w:rsidR="008D0C8C" w:rsidRPr="009C2EFE" w:rsidRDefault="008D0C8C" w:rsidP="008D0C8C">
      <w:pPr>
        <w:tabs>
          <w:tab w:val="left" w:pos="709"/>
          <w:tab w:val="left" w:pos="1985"/>
        </w:tabs>
        <w:ind w:left="567" w:right="565"/>
        <w:jc w:val="both"/>
        <w:rPr>
          <w:rFonts w:ascii="Palatino Linotype" w:hAnsi="Palatino Linotype" w:cs="Arial"/>
          <w:color w:val="000000" w:themeColor="text1"/>
          <w:lang w:val="es-ES"/>
        </w:rPr>
      </w:pPr>
      <w:r w:rsidRPr="009C2EFE">
        <w:rPr>
          <w:rFonts w:ascii="Palatino Linotype" w:hAnsi="Palatino Linotype"/>
          <w:i/>
        </w:rPr>
        <w:sym w:font="Symbol" w:char="F0B7"/>
      </w:r>
      <w:r w:rsidRPr="009C2EFE">
        <w:rPr>
          <w:rFonts w:ascii="Palatino Linotype" w:hAnsi="Palatino Linotype"/>
          <w:i/>
        </w:rPr>
        <w:t xml:space="preserve"> RRA 1889/16. Secretaría de Hacienda y Crédito Público. 05 de octubre de 2016. Por unanimidad. Comisionada Ponente. Ximena Puente de la Mora.”</w:t>
      </w:r>
    </w:p>
    <w:p w14:paraId="3F01C750" w14:textId="77777777" w:rsidR="008D0C8C" w:rsidRPr="009C2EFE" w:rsidRDefault="008D0C8C" w:rsidP="008D0C8C">
      <w:pPr>
        <w:spacing w:line="360" w:lineRule="auto"/>
        <w:ind w:right="1"/>
        <w:jc w:val="both"/>
        <w:rPr>
          <w:rFonts w:ascii="Palatino Linotype" w:hAnsi="Palatino Linotype" w:cs="Palatino Linotype"/>
          <w:b/>
        </w:rPr>
      </w:pPr>
    </w:p>
    <w:p w14:paraId="42481025"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Asimos, </w:t>
      </w:r>
      <w:r w:rsidRPr="009C2EFE">
        <w:rPr>
          <w:rFonts w:ascii="Palatino Linotype" w:hAnsi="Palatino Linotype"/>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58A7AE28" w14:textId="77777777" w:rsidR="008D0C8C" w:rsidRPr="009C2EFE" w:rsidRDefault="008D0C8C" w:rsidP="008D0C8C">
      <w:pPr>
        <w:spacing w:line="360" w:lineRule="auto"/>
        <w:ind w:right="1"/>
        <w:jc w:val="both"/>
        <w:rPr>
          <w:rFonts w:ascii="Palatino Linotype" w:hAnsi="Palatino Linotype" w:cs="Palatino Linotype"/>
          <w:b/>
        </w:rPr>
      </w:pPr>
    </w:p>
    <w:p w14:paraId="33D11D0F"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9C2EFE">
        <w:rPr>
          <w:rFonts w:ascii="Palatino Linotype" w:hAnsi="Palatino Linotype"/>
        </w:rPr>
        <w:lastRenderedPageBreak/>
        <w:t xml:space="preserve">holográfico, de conformidad con el artículo 3, fracción XI, de la Ley de la materia, el cual dispone lo siguiente: </w:t>
      </w:r>
    </w:p>
    <w:p w14:paraId="5E5F0B08" w14:textId="77777777" w:rsidR="008D0C8C" w:rsidRPr="009C2EFE" w:rsidRDefault="008D0C8C" w:rsidP="008D0C8C">
      <w:pPr>
        <w:tabs>
          <w:tab w:val="left" w:pos="426"/>
          <w:tab w:val="left" w:pos="567"/>
        </w:tabs>
        <w:ind w:left="567" w:right="565"/>
        <w:contextualSpacing/>
        <w:jc w:val="both"/>
        <w:rPr>
          <w:rFonts w:ascii="Palatino Linotype" w:hAnsi="Palatino Linotype"/>
          <w:i/>
        </w:rPr>
      </w:pPr>
      <w:r w:rsidRPr="009C2EFE">
        <w:rPr>
          <w:rFonts w:ascii="Palatino Linotype" w:hAnsi="Palatino Linotype"/>
          <w:b/>
          <w:i/>
        </w:rPr>
        <w:t>“Artículo 3.</w:t>
      </w:r>
      <w:r w:rsidRPr="009C2EFE">
        <w:rPr>
          <w:rFonts w:ascii="Palatino Linotype" w:hAnsi="Palatino Linotype"/>
          <w:i/>
        </w:rPr>
        <w:t xml:space="preserve"> Para los efectos de la presente Ley se entenderá por: </w:t>
      </w:r>
    </w:p>
    <w:p w14:paraId="7F372345" w14:textId="77777777" w:rsidR="008D0C8C" w:rsidRPr="009C2EFE" w:rsidRDefault="008D0C8C" w:rsidP="008D0C8C">
      <w:pPr>
        <w:tabs>
          <w:tab w:val="left" w:pos="426"/>
          <w:tab w:val="left" w:pos="567"/>
        </w:tabs>
        <w:ind w:left="567" w:right="565"/>
        <w:contextualSpacing/>
        <w:jc w:val="both"/>
        <w:rPr>
          <w:rFonts w:ascii="Palatino Linotype" w:hAnsi="Palatino Linotype"/>
          <w:i/>
        </w:rPr>
      </w:pPr>
      <w:r w:rsidRPr="009C2EFE">
        <w:rPr>
          <w:rFonts w:ascii="Palatino Linotype" w:hAnsi="Palatino Linotype"/>
          <w:i/>
        </w:rPr>
        <w:t xml:space="preserve">(…) </w:t>
      </w:r>
    </w:p>
    <w:p w14:paraId="01510774" w14:textId="77777777" w:rsidR="008D0C8C" w:rsidRPr="009C2EFE" w:rsidRDefault="008D0C8C" w:rsidP="008D0C8C">
      <w:pPr>
        <w:tabs>
          <w:tab w:val="left" w:pos="426"/>
          <w:tab w:val="left" w:pos="567"/>
        </w:tabs>
        <w:ind w:left="567" w:right="565"/>
        <w:contextualSpacing/>
        <w:jc w:val="both"/>
        <w:rPr>
          <w:rFonts w:ascii="Palatino Linotype" w:hAnsi="Palatino Linotype"/>
          <w:b/>
          <w:i/>
        </w:rPr>
      </w:pPr>
      <w:r w:rsidRPr="009C2EFE">
        <w:rPr>
          <w:rFonts w:ascii="Palatino Linotype" w:hAnsi="Palatino Linotype"/>
          <w:b/>
          <w:i/>
        </w:rPr>
        <w:t>XI. Documento:</w:t>
      </w:r>
      <w:r w:rsidRPr="009C2EF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C2EFE">
        <w:rPr>
          <w:rFonts w:ascii="Palatino Linotype" w:hAnsi="Palatino Linotype"/>
          <w:b/>
          <w:i/>
        </w:rPr>
        <w:t xml:space="preserve">Los documentos podrán estar en cualquier medio, sea escrito, impreso, sonoro, visual, electrónico, informático u holográfico; </w:t>
      </w:r>
    </w:p>
    <w:p w14:paraId="1C97AA82" w14:textId="77777777" w:rsidR="008D0C8C" w:rsidRPr="009C2EFE" w:rsidRDefault="008D0C8C" w:rsidP="008D0C8C">
      <w:pPr>
        <w:tabs>
          <w:tab w:val="left" w:pos="426"/>
          <w:tab w:val="left" w:pos="567"/>
        </w:tabs>
        <w:ind w:left="567" w:right="565"/>
        <w:contextualSpacing/>
        <w:jc w:val="both"/>
        <w:rPr>
          <w:rFonts w:ascii="Palatino Linotype" w:hAnsi="Palatino Linotype" w:cs="Arial"/>
          <w:i/>
          <w:color w:val="000000" w:themeColor="text1"/>
          <w:lang w:val="es-ES"/>
        </w:rPr>
      </w:pPr>
      <w:r w:rsidRPr="009C2EFE">
        <w:rPr>
          <w:rFonts w:ascii="Palatino Linotype" w:hAnsi="Palatino Linotype"/>
          <w:i/>
        </w:rPr>
        <w:t>(…)”</w:t>
      </w:r>
    </w:p>
    <w:p w14:paraId="01750E01" w14:textId="77777777" w:rsidR="008D0C8C" w:rsidRPr="009C2EFE" w:rsidRDefault="008D0C8C" w:rsidP="008D0C8C">
      <w:pPr>
        <w:spacing w:line="360" w:lineRule="auto"/>
        <w:ind w:right="1"/>
        <w:jc w:val="both"/>
        <w:rPr>
          <w:rFonts w:ascii="Palatino Linotype" w:hAnsi="Palatino Linotype" w:cs="Palatino Linotype"/>
          <w:b/>
        </w:rPr>
      </w:pPr>
    </w:p>
    <w:p w14:paraId="59EB659A" w14:textId="77777777"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t xml:space="preserve">Siendo </w:t>
      </w:r>
      <w:r w:rsidRPr="009C2EFE">
        <w:rPr>
          <w:rFonts w:ascii="Palatino Linotype" w:hAnsi="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F225521" w14:textId="77777777" w:rsidR="008D0C8C" w:rsidRPr="009C2EFE" w:rsidRDefault="008D0C8C" w:rsidP="008D0C8C">
      <w:pPr>
        <w:tabs>
          <w:tab w:val="left" w:pos="426"/>
          <w:tab w:val="left" w:pos="567"/>
        </w:tabs>
        <w:ind w:left="567" w:right="565"/>
        <w:contextualSpacing/>
        <w:jc w:val="both"/>
        <w:rPr>
          <w:rFonts w:ascii="Palatino Linotype" w:hAnsi="Palatino Linotype"/>
          <w:i/>
        </w:rPr>
      </w:pPr>
      <w:r w:rsidRPr="009C2EFE">
        <w:rPr>
          <w:rFonts w:ascii="Palatino Linotype" w:hAnsi="Palatino Linotype"/>
          <w:i/>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6C7A0821" w14:textId="0F8B4B8F"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s="Arial"/>
          <w:color w:val="000000" w:themeColor="text1"/>
          <w:lang w:val="es-ES"/>
        </w:rPr>
        <w:lastRenderedPageBreak/>
        <w:t xml:space="preserve">Bajo este contexto, </w:t>
      </w:r>
      <w:r w:rsidRPr="009C2EFE">
        <w:rPr>
          <w:rFonts w:ascii="Palatino Linotype" w:hAnsi="Palatino Linotype"/>
        </w:rPr>
        <w:t xml:space="preserve">se considera que, con el pronunciamiento realizado por parte del </w:t>
      </w:r>
      <w:r w:rsidRPr="009C2EFE">
        <w:rPr>
          <w:rFonts w:ascii="Palatino Linotype" w:hAnsi="Palatino Linotype"/>
          <w:b/>
        </w:rPr>
        <w:t>SUJETO OBLIGADO,</w:t>
      </w:r>
      <w:r w:rsidRPr="009C2EFE">
        <w:rPr>
          <w:rFonts w:ascii="Palatino Linotype" w:hAnsi="Palatino Linotype"/>
        </w:rPr>
        <w:t xml:space="preserve"> mediante respuesta a la solicitud de información número </w:t>
      </w:r>
      <w:r w:rsidR="00BB4B54" w:rsidRPr="009C2EFE">
        <w:rPr>
          <w:rFonts w:ascii="Palatino Linotype" w:eastAsia="Palatino Linotype" w:hAnsi="Palatino Linotype" w:cs="Palatino Linotype"/>
          <w:b/>
          <w:bCs/>
        </w:rPr>
        <w:t>00934/ECATEPEC/IP/2025</w:t>
      </w:r>
      <w:r w:rsidRPr="009C2EFE">
        <w:rPr>
          <w:rFonts w:ascii="Palatino Linotype" w:hAnsi="Palatino Linotype"/>
        </w:rPr>
        <w:t xml:space="preserve">, colma en su totalidad con lo requerido por el </w:t>
      </w:r>
      <w:r w:rsidRPr="009C2EFE">
        <w:rPr>
          <w:rFonts w:ascii="Palatino Linotype" w:hAnsi="Palatino Linotype"/>
          <w:b/>
        </w:rPr>
        <w:t>RECURRENTE.</w:t>
      </w:r>
    </w:p>
    <w:p w14:paraId="54B0AD65" w14:textId="77777777" w:rsidR="008D0C8C" w:rsidRPr="009C2EFE" w:rsidRDefault="008D0C8C" w:rsidP="008D0C8C">
      <w:pPr>
        <w:spacing w:line="360" w:lineRule="auto"/>
        <w:ind w:right="1"/>
        <w:jc w:val="both"/>
        <w:rPr>
          <w:rFonts w:ascii="Palatino Linotype" w:hAnsi="Palatino Linotype" w:cs="Palatino Linotype"/>
          <w:b/>
        </w:rPr>
      </w:pPr>
    </w:p>
    <w:p w14:paraId="18F8D54F" w14:textId="6CCD6BB2" w:rsidR="008D0C8C" w:rsidRPr="009C2EFE" w:rsidRDefault="008D0C8C" w:rsidP="00F01743">
      <w:pPr>
        <w:numPr>
          <w:ilvl w:val="0"/>
          <w:numId w:val="3"/>
        </w:numPr>
        <w:spacing w:line="360" w:lineRule="auto"/>
        <w:ind w:left="0" w:right="1" w:firstLine="0"/>
        <w:jc w:val="both"/>
        <w:rPr>
          <w:rFonts w:ascii="Palatino Linotype" w:hAnsi="Palatino Linotype" w:cs="Palatino Linotype"/>
          <w:b/>
        </w:rPr>
      </w:pPr>
      <w:r w:rsidRPr="009C2EFE">
        <w:rPr>
          <w:rFonts w:ascii="Palatino Linotype" w:hAnsi="Palatino Linotype"/>
          <w:color w:val="000000" w:themeColor="text1"/>
        </w:rPr>
        <w:t xml:space="preserve">Por </w:t>
      </w:r>
      <w:r w:rsidRPr="009C2EFE">
        <w:rPr>
          <w:rFonts w:ascii="Palatino Linotype" w:hAnsi="Palatino Linotype" w:cs="Arial"/>
          <w:lang w:val="es-ES"/>
        </w:rPr>
        <w:t xml:space="preserve">lo tanto, este Organismo Garante considera procedente </w:t>
      </w:r>
      <w:r w:rsidRPr="009C2EFE">
        <w:rPr>
          <w:rFonts w:ascii="Palatino Linotype" w:hAnsi="Palatino Linotype" w:cs="Arial"/>
          <w:b/>
          <w:bCs/>
          <w:lang w:val="es-ES"/>
        </w:rPr>
        <w:t xml:space="preserve">CONFIRMAR </w:t>
      </w:r>
      <w:r w:rsidRPr="009C2EFE">
        <w:rPr>
          <w:rFonts w:ascii="Palatino Linotype" w:hAnsi="Palatino Linotype" w:cs="Arial"/>
          <w:lang w:val="es-ES"/>
        </w:rPr>
        <w:t xml:space="preserve">la respuesta otorgada por </w:t>
      </w:r>
      <w:r w:rsidRPr="009C2EFE">
        <w:rPr>
          <w:rFonts w:ascii="Palatino Linotype" w:hAnsi="Palatino Linotype" w:cs="Arial"/>
          <w:b/>
          <w:lang w:val="es-ES"/>
        </w:rPr>
        <w:t xml:space="preserve">el </w:t>
      </w:r>
      <w:r w:rsidR="00BE4773" w:rsidRPr="009C2EFE">
        <w:rPr>
          <w:rFonts w:ascii="Palatino Linotype" w:hAnsi="Palatino Linotype" w:cs="Palatino Linotype"/>
          <w:b/>
          <w:bCs/>
          <w:lang w:val="es-ES"/>
        </w:rPr>
        <w:t>Ayuntamiento de Ecatepec de Morelos</w:t>
      </w:r>
      <w:r w:rsidRPr="009C2EFE">
        <w:rPr>
          <w:rFonts w:ascii="Palatino Linotype" w:hAnsi="Palatino Linotype" w:cs="Palatino Linotype"/>
          <w:b/>
        </w:rPr>
        <w:t xml:space="preserve">, </w:t>
      </w:r>
      <w:r w:rsidRPr="009C2EFE">
        <w:rPr>
          <w:rFonts w:ascii="Palatino Linotype" w:hAnsi="Palatino Linotype" w:cs="Arial"/>
          <w:lang w:val="es-ES"/>
        </w:rPr>
        <w:t>a la solicitud de información</w:t>
      </w:r>
      <w:r w:rsidRPr="009C2EFE">
        <w:rPr>
          <w:rFonts w:ascii="Palatino Linotype" w:hAnsi="Palatino Linotype" w:cs="Arial"/>
          <w:b/>
          <w:lang w:val="es-ES"/>
        </w:rPr>
        <w:t xml:space="preserve"> </w:t>
      </w:r>
      <w:r w:rsidR="00BB4B54" w:rsidRPr="009C2EFE">
        <w:rPr>
          <w:rFonts w:ascii="Palatino Linotype" w:eastAsia="Palatino Linotype" w:hAnsi="Palatino Linotype" w:cs="Palatino Linotype"/>
          <w:b/>
          <w:bCs/>
        </w:rPr>
        <w:t>00934/ECATEPEC/IP/2025</w:t>
      </w:r>
      <w:r w:rsidR="00BE4773" w:rsidRPr="009C2EFE">
        <w:rPr>
          <w:rFonts w:ascii="Palatino Linotype" w:hAnsi="Palatino Linotype" w:cs="Arial"/>
          <w:b/>
          <w:lang w:val="es-ES"/>
        </w:rPr>
        <w:t>.</w:t>
      </w:r>
    </w:p>
    <w:p w14:paraId="0F376FE5" w14:textId="77777777" w:rsidR="0053594E" w:rsidRPr="009C2EFE" w:rsidRDefault="0053594E" w:rsidP="00F2495A">
      <w:pPr>
        <w:spacing w:line="360" w:lineRule="auto"/>
        <w:jc w:val="both"/>
        <w:rPr>
          <w:rFonts w:ascii="Palatino Linotype" w:eastAsia="Palatino Linotype" w:hAnsi="Palatino Linotype" w:cs="Palatino Linotype"/>
        </w:rPr>
      </w:pPr>
    </w:p>
    <w:p w14:paraId="741BCE68" w14:textId="77777777" w:rsidR="00B26155" w:rsidRPr="009C2EFE" w:rsidRDefault="00B26155" w:rsidP="00BE4773">
      <w:pPr>
        <w:spacing w:line="360" w:lineRule="auto"/>
        <w:ind w:right="-561"/>
        <w:jc w:val="center"/>
        <w:rPr>
          <w:rFonts w:ascii="Palatino Linotype" w:eastAsia="Palatino Linotype" w:hAnsi="Palatino Linotype" w:cs="Palatino Linotype"/>
          <w:b/>
          <w:bCs/>
        </w:rPr>
      </w:pPr>
      <w:r w:rsidRPr="009C2EFE">
        <w:rPr>
          <w:rFonts w:ascii="Palatino Linotype" w:eastAsia="Palatino Linotype" w:hAnsi="Palatino Linotype" w:cs="Palatino Linotype"/>
          <w:b/>
          <w:bCs/>
        </w:rPr>
        <w:t>R E S O L U T I V O S</w:t>
      </w:r>
    </w:p>
    <w:p w14:paraId="69CA6DC8" w14:textId="77777777" w:rsidR="00B26155" w:rsidRPr="009C2EFE" w:rsidRDefault="00B26155" w:rsidP="00B26155">
      <w:pPr>
        <w:spacing w:line="360" w:lineRule="auto"/>
        <w:ind w:right="-561"/>
        <w:jc w:val="both"/>
        <w:rPr>
          <w:rFonts w:ascii="Palatino Linotype" w:eastAsia="Palatino Linotype" w:hAnsi="Palatino Linotype" w:cs="Palatino Linotype"/>
          <w:b/>
          <w:bCs/>
        </w:rPr>
      </w:pPr>
    </w:p>
    <w:p w14:paraId="1773CB2C" w14:textId="0E45FB62" w:rsidR="00BE4773" w:rsidRPr="009C2EFE" w:rsidRDefault="00BE4773" w:rsidP="00BE4773">
      <w:pPr>
        <w:spacing w:line="360" w:lineRule="auto"/>
        <w:jc w:val="both"/>
        <w:rPr>
          <w:rFonts w:ascii="Palatino Linotype" w:hAnsi="Palatino Linotype"/>
        </w:rPr>
      </w:pPr>
      <w:r w:rsidRPr="009C2EFE">
        <w:rPr>
          <w:rFonts w:ascii="Palatino Linotype" w:hAnsi="Palatino Linotype" w:cs="Arial"/>
          <w:b/>
        </w:rPr>
        <w:t xml:space="preserve">PRIMERO. </w:t>
      </w:r>
      <w:r w:rsidRPr="009C2EFE">
        <w:rPr>
          <w:rFonts w:ascii="Palatino Linotype" w:hAnsi="Palatino Linotype" w:cs="Arial"/>
        </w:rPr>
        <w:t>Resultan infundadas las</w:t>
      </w:r>
      <w:r w:rsidRPr="009C2EFE">
        <w:rPr>
          <w:rFonts w:ascii="Palatino Linotype" w:hAnsi="Palatino Linotype" w:cs="Arial"/>
          <w:b/>
        </w:rPr>
        <w:t xml:space="preserve"> </w:t>
      </w:r>
      <w:r w:rsidRPr="009C2EFE">
        <w:rPr>
          <w:rFonts w:ascii="Palatino Linotype" w:hAnsi="Palatino Linotype" w:cs="Arial"/>
          <w:lang w:val="es-ES"/>
        </w:rPr>
        <w:t xml:space="preserve">razones o motivos de inconformidad hechos valer en el recurso de revisión </w:t>
      </w:r>
      <w:r w:rsidRPr="009C2EFE">
        <w:rPr>
          <w:rFonts w:ascii="Palatino Linotype" w:hAnsi="Palatino Linotype"/>
          <w:b/>
        </w:rPr>
        <w:t xml:space="preserve">00498/INFOEM/IP/RR/2026 </w:t>
      </w:r>
      <w:r w:rsidRPr="009C2EFE">
        <w:rPr>
          <w:rFonts w:ascii="Palatino Linotype" w:hAnsi="Palatino Linotype"/>
        </w:rPr>
        <w:t>en términos del</w:t>
      </w:r>
      <w:r w:rsidRPr="009C2EFE">
        <w:rPr>
          <w:rFonts w:ascii="Palatino Linotype" w:hAnsi="Palatino Linotype"/>
          <w:b/>
          <w:bCs/>
        </w:rPr>
        <w:t xml:space="preserve"> Considerando</w:t>
      </w:r>
      <w:r w:rsidRPr="009C2EFE">
        <w:rPr>
          <w:rFonts w:ascii="Palatino Linotype" w:hAnsi="Palatino Linotype"/>
        </w:rPr>
        <w:t xml:space="preserve"> </w:t>
      </w:r>
      <w:r w:rsidRPr="009C2EFE">
        <w:rPr>
          <w:rFonts w:ascii="Palatino Linotype" w:hAnsi="Palatino Linotype"/>
          <w:b/>
        </w:rPr>
        <w:t>CUARTO</w:t>
      </w:r>
      <w:r w:rsidRPr="009C2EFE">
        <w:rPr>
          <w:rFonts w:ascii="Palatino Linotype" w:hAnsi="Palatino Linotype"/>
        </w:rPr>
        <w:t xml:space="preserve"> de la presente resolución.</w:t>
      </w:r>
    </w:p>
    <w:p w14:paraId="5046188C" w14:textId="77777777" w:rsidR="00BE4773" w:rsidRPr="009C2EFE" w:rsidRDefault="00BE4773" w:rsidP="00BE4773">
      <w:pPr>
        <w:spacing w:line="360" w:lineRule="auto"/>
        <w:jc w:val="both"/>
        <w:rPr>
          <w:rFonts w:ascii="Palatino Linotype" w:hAnsi="Palatino Linotype"/>
        </w:rPr>
      </w:pPr>
    </w:p>
    <w:p w14:paraId="2C288A3A" w14:textId="38CDB6E5" w:rsidR="00BE4773" w:rsidRPr="009C2EFE" w:rsidRDefault="00BE4773" w:rsidP="00BE4773">
      <w:pPr>
        <w:spacing w:line="360" w:lineRule="auto"/>
        <w:contextualSpacing/>
        <w:jc w:val="both"/>
        <w:rPr>
          <w:rFonts w:ascii="Palatino Linotype" w:hAnsi="Palatino Linotype" w:cs="Arial"/>
          <w:b/>
          <w:lang w:val="es-ES"/>
        </w:rPr>
      </w:pPr>
      <w:r w:rsidRPr="009C2EFE">
        <w:rPr>
          <w:rFonts w:ascii="Palatino Linotype" w:hAnsi="Palatino Linotype" w:cs="Arial"/>
          <w:b/>
          <w:bCs/>
          <w:lang w:val="es-ES"/>
        </w:rPr>
        <w:t xml:space="preserve">SEGUNDO. </w:t>
      </w:r>
      <w:r w:rsidRPr="009C2EFE">
        <w:rPr>
          <w:rFonts w:ascii="Palatino Linotype" w:hAnsi="Palatino Linotype" w:cs="Arial"/>
          <w:lang w:val="es-ES"/>
        </w:rPr>
        <w:t xml:space="preserve">Se </w:t>
      </w:r>
      <w:r w:rsidRPr="009C2EFE">
        <w:rPr>
          <w:rFonts w:ascii="Palatino Linotype" w:hAnsi="Palatino Linotype" w:cs="Arial"/>
          <w:b/>
          <w:lang w:val="es-ES"/>
        </w:rPr>
        <w:t>CONFIRMA</w:t>
      </w:r>
      <w:r w:rsidRPr="009C2EFE">
        <w:rPr>
          <w:rFonts w:ascii="Palatino Linotype" w:hAnsi="Palatino Linotype" w:cs="Arial"/>
          <w:lang w:val="es-ES"/>
        </w:rPr>
        <w:t xml:space="preserve"> la respuesta emitida por </w:t>
      </w:r>
      <w:r w:rsidRPr="009C2EFE">
        <w:rPr>
          <w:rFonts w:ascii="Palatino Linotype" w:hAnsi="Palatino Linotype" w:cs="Arial"/>
          <w:b/>
          <w:bCs/>
          <w:lang w:val="es-ES"/>
        </w:rPr>
        <w:t>el Ayuntamiento de Ecatepec de Morelos</w:t>
      </w:r>
      <w:r w:rsidRPr="009C2EFE">
        <w:rPr>
          <w:rFonts w:ascii="Palatino Linotype" w:hAnsi="Palatino Linotype" w:cs="Palatino Linotype"/>
          <w:b/>
        </w:rPr>
        <w:t xml:space="preserve">, </w:t>
      </w:r>
      <w:r w:rsidRPr="009C2EFE">
        <w:rPr>
          <w:rFonts w:ascii="Palatino Linotype" w:hAnsi="Palatino Linotype" w:cs="Arial"/>
          <w:bCs/>
        </w:rPr>
        <w:t xml:space="preserve">a la solicitud </w:t>
      </w:r>
      <w:bookmarkStart w:id="7" w:name="_Toc460947013"/>
      <w:r w:rsidR="004862F5" w:rsidRPr="009C2EFE">
        <w:rPr>
          <w:rFonts w:ascii="Palatino Linotype" w:eastAsia="Palatino Linotype" w:hAnsi="Palatino Linotype" w:cs="Palatino Linotype"/>
          <w:b/>
          <w:bCs/>
        </w:rPr>
        <w:t>00934/ECATEPEC/IP/2025.</w:t>
      </w:r>
    </w:p>
    <w:p w14:paraId="2A4BA4F8" w14:textId="77777777" w:rsidR="00BE4773" w:rsidRPr="009C2EFE" w:rsidRDefault="00BE4773" w:rsidP="00BE4773">
      <w:pPr>
        <w:spacing w:line="360" w:lineRule="auto"/>
        <w:contextualSpacing/>
        <w:jc w:val="both"/>
        <w:rPr>
          <w:rFonts w:ascii="Palatino Linotype" w:hAnsi="Palatino Linotype" w:cs="Arial"/>
          <w:b/>
          <w:lang w:val="es-ES"/>
        </w:rPr>
      </w:pPr>
    </w:p>
    <w:p w14:paraId="33048607" w14:textId="77777777" w:rsidR="00BE4773" w:rsidRPr="009C2EFE" w:rsidRDefault="00BE4773" w:rsidP="00BE4773">
      <w:pPr>
        <w:tabs>
          <w:tab w:val="left" w:pos="8080"/>
        </w:tabs>
        <w:spacing w:line="360" w:lineRule="auto"/>
        <w:ind w:right="49"/>
        <w:contextualSpacing/>
        <w:jc w:val="both"/>
        <w:rPr>
          <w:rFonts w:ascii="Palatino Linotype" w:hAnsi="Palatino Linotype" w:cs="Palatino Linotype"/>
          <w:b/>
        </w:rPr>
      </w:pPr>
      <w:r w:rsidRPr="009C2EFE">
        <w:rPr>
          <w:rFonts w:ascii="Palatino Linotype" w:eastAsia="MS Mincho" w:hAnsi="Palatino Linotype"/>
          <w:b/>
          <w:color w:val="000000"/>
        </w:rPr>
        <w:t>TERCERO.</w:t>
      </w:r>
      <w:r w:rsidRPr="009C2EFE">
        <w:rPr>
          <w:rFonts w:ascii="Palatino Linotype" w:eastAsia="MS Mincho" w:hAnsi="Palatino Linotype"/>
          <w:color w:val="000000"/>
        </w:rPr>
        <w:t xml:space="preserve"> </w:t>
      </w:r>
      <w:bookmarkEnd w:id="7"/>
      <w:r w:rsidRPr="009C2EFE">
        <w:rPr>
          <w:rFonts w:ascii="Palatino Linotype" w:hAnsi="Palatino Linotype" w:cs="Palatino Linotype"/>
          <w:b/>
        </w:rPr>
        <w:t xml:space="preserve">Notifíquese, </w:t>
      </w:r>
      <w:r w:rsidRPr="009C2EFE">
        <w:rPr>
          <w:rFonts w:ascii="Palatino Linotype" w:hAnsi="Palatino Linotype" w:cs="Palatino Linotype"/>
        </w:rPr>
        <w:t xml:space="preserve">vía Sistema de Acceso a la Información Mexiquense </w:t>
      </w:r>
      <w:r w:rsidRPr="009C2EFE">
        <w:rPr>
          <w:rFonts w:ascii="Palatino Linotype" w:hAnsi="Palatino Linotype" w:cs="Palatino Linotype"/>
          <w:b/>
        </w:rPr>
        <w:t>(SAIMEX),</w:t>
      </w:r>
      <w:r w:rsidRPr="009C2EFE">
        <w:rPr>
          <w:rFonts w:ascii="Palatino Linotype" w:hAnsi="Palatino Linotype" w:cs="Palatino Linotype"/>
        </w:rPr>
        <w:t xml:space="preserve"> la presente resolución al Titular de la Unidad de Transparencia del </w:t>
      </w:r>
      <w:r w:rsidRPr="009C2EFE">
        <w:rPr>
          <w:rFonts w:ascii="Palatino Linotype" w:hAnsi="Palatino Linotype" w:cs="Palatino Linotype"/>
          <w:b/>
        </w:rPr>
        <w:t>SUJETO OBLIGADO.</w:t>
      </w:r>
    </w:p>
    <w:p w14:paraId="4F967C68" w14:textId="77777777" w:rsidR="00BE4773" w:rsidRPr="009C2EFE" w:rsidRDefault="00BE4773" w:rsidP="00BE4773">
      <w:pPr>
        <w:tabs>
          <w:tab w:val="left" w:pos="8080"/>
        </w:tabs>
        <w:spacing w:line="360" w:lineRule="auto"/>
        <w:ind w:right="49"/>
        <w:contextualSpacing/>
        <w:jc w:val="both"/>
        <w:rPr>
          <w:rFonts w:ascii="Palatino Linotype" w:hAnsi="Palatino Linotype" w:cs="Palatino Linotype"/>
          <w:b/>
        </w:rPr>
      </w:pPr>
    </w:p>
    <w:p w14:paraId="5B2F6EA8" w14:textId="77777777" w:rsidR="00BE4773" w:rsidRPr="009C2EFE" w:rsidRDefault="00BE4773" w:rsidP="00BE4773">
      <w:pPr>
        <w:shd w:val="clear" w:color="auto" w:fill="FFFFFF"/>
        <w:spacing w:line="360" w:lineRule="auto"/>
        <w:jc w:val="both"/>
        <w:rPr>
          <w:rFonts w:ascii="Palatino Linotype" w:hAnsi="Palatino Linotype"/>
        </w:rPr>
      </w:pPr>
      <w:r w:rsidRPr="009C2EFE">
        <w:rPr>
          <w:rFonts w:ascii="Palatino Linotype" w:hAnsi="Palatino Linotype" w:cs="Arial"/>
          <w:b/>
        </w:rPr>
        <w:t xml:space="preserve">CUARTO. </w:t>
      </w:r>
      <w:r w:rsidRPr="009C2EFE">
        <w:rPr>
          <w:rFonts w:ascii="Palatino Linotype" w:hAnsi="Palatino Linotype"/>
          <w:b/>
          <w:bCs/>
          <w:color w:val="222222"/>
          <w:lang w:val="es-ES"/>
        </w:rPr>
        <w:t>Notifíquese al</w:t>
      </w:r>
      <w:r w:rsidRPr="009C2EFE">
        <w:rPr>
          <w:rFonts w:ascii="Palatino Linotype" w:hAnsi="Palatino Linotype"/>
          <w:b/>
        </w:rPr>
        <w:t xml:space="preserve"> RECURRENTE</w:t>
      </w:r>
      <w:r w:rsidRPr="009C2EFE">
        <w:rPr>
          <w:rFonts w:ascii="Palatino Linotype" w:hAnsi="Palatino Linotype"/>
        </w:rPr>
        <w:t xml:space="preserve"> la presente resolución, </w:t>
      </w:r>
      <w:r w:rsidRPr="009C2EFE">
        <w:rPr>
          <w:rFonts w:ascii="Palatino Linotype" w:hAnsi="Palatino Linotype" w:cs="Palatino Linotype"/>
        </w:rPr>
        <w:t xml:space="preserve">vía Sistema de Acceso a la Información Mexiquense </w:t>
      </w:r>
      <w:r w:rsidRPr="009C2EFE">
        <w:rPr>
          <w:rFonts w:ascii="Palatino Linotype" w:hAnsi="Palatino Linotype" w:cs="Palatino Linotype"/>
          <w:b/>
        </w:rPr>
        <w:t>(SAIMEX).</w:t>
      </w:r>
    </w:p>
    <w:p w14:paraId="45B50ACF" w14:textId="77777777" w:rsidR="00BE4773" w:rsidRPr="009C2EFE" w:rsidRDefault="00BE4773" w:rsidP="00BE4773">
      <w:pPr>
        <w:shd w:val="clear" w:color="auto" w:fill="FFFFFF"/>
        <w:spacing w:line="360" w:lineRule="auto"/>
        <w:jc w:val="both"/>
        <w:rPr>
          <w:rFonts w:ascii="Palatino Linotype" w:hAnsi="Palatino Linotype"/>
        </w:rPr>
      </w:pPr>
    </w:p>
    <w:p w14:paraId="42655001" w14:textId="4D6C70A1" w:rsidR="00B26155" w:rsidRPr="009C2EFE" w:rsidRDefault="00BE4773" w:rsidP="00BE4773">
      <w:pPr>
        <w:spacing w:line="360" w:lineRule="auto"/>
        <w:jc w:val="both"/>
        <w:rPr>
          <w:rFonts w:ascii="Palatino Linotype" w:eastAsia="Palatino Linotype" w:hAnsi="Palatino Linotype" w:cs="Palatino Linotype"/>
        </w:rPr>
      </w:pPr>
      <w:r w:rsidRPr="009C2EFE">
        <w:rPr>
          <w:rFonts w:ascii="Palatino Linotype" w:eastAsia="MS Mincho" w:hAnsi="Palatino Linotype"/>
          <w:b/>
          <w:lang w:val="es-ES_tradnl" w:eastAsia="es-ES"/>
        </w:rPr>
        <w:lastRenderedPageBreak/>
        <w:t>QUINTO.</w:t>
      </w:r>
      <w:r w:rsidRPr="009C2EFE">
        <w:rPr>
          <w:rFonts w:ascii="Palatino Linotype" w:eastAsia="MS Mincho" w:hAnsi="Palatino Linotype"/>
          <w:lang w:val="es-ES_tradnl" w:eastAsia="es-ES"/>
        </w:rPr>
        <w:t xml:space="preserve"> </w:t>
      </w:r>
      <w:r w:rsidRPr="009C2EFE">
        <w:rPr>
          <w:rFonts w:ascii="Palatino Linotype" w:eastAsia="MS Mincho" w:hAnsi="Palatino Linotype"/>
          <w:lang w:val="es-ES" w:eastAsia="es-ES"/>
        </w:rPr>
        <w:t xml:space="preserve">Se hace del conocimiento del </w:t>
      </w:r>
      <w:r w:rsidRPr="009C2EFE">
        <w:rPr>
          <w:rFonts w:ascii="Palatino Linotype" w:eastAsia="MS Mincho" w:hAnsi="Palatino Linotype"/>
          <w:b/>
          <w:lang w:val="es-ES" w:eastAsia="es-ES"/>
        </w:rPr>
        <w:t>RECURRENTE</w:t>
      </w:r>
      <w:r w:rsidRPr="009C2EFE">
        <w:rPr>
          <w:rFonts w:ascii="Palatino Linotype" w:eastAsia="MS Mincho" w:hAnsi="Palatino Linotype"/>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C2EFE">
        <w:rPr>
          <w:rFonts w:ascii="Palatino Linotype" w:eastAsia="MS Mincho" w:hAnsi="Palatino Linotype"/>
          <w:bCs/>
          <w:lang w:val="es-ES" w:eastAsia="es-ES"/>
        </w:rPr>
        <w:t>vía juicio de amparo</w:t>
      </w:r>
      <w:r w:rsidRPr="009C2EFE">
        <w:rPr>
          <w:rFonts w:ascii="Palatino Linotype" w:eastAsia="MS Mincho" w:hAnsi="Palatino Linotype"/>
          <w:lang w:val="es-ES" w:eastAsia="es-ES"/>
        </w:rPr>
        <w:t xml:space="preserve"> en los términos de las leyes aplicables.</w:t>
      </w:r>
    </w:p>
    <w:p w14:paraId="43BB1F30" w14:textId="77777777" w:rsidR="00B26155" w:rsidRPr="009C2EFE" w:rsidRDefault="00B26155" w:rsidP="00BF0DE4">
      <w:pPr>
        <w:spacing w:line="360" w:lineRule="auto"/>
        <w:rPr>
          <w:rFonts w:ascii="Palatino Linotype" w:eastAsia="Palatino Linotype" w:hAnsi="Palatino Linotype" w:cs="Palatino Linotype"/>
        </w:rPr>
      </w:pPr>
    </w:p>
    <w:p w14:paraId="7EFAD9BA" w14:textId="77777777" w:rsidR="00BB4B54" w:rsidRPr="009C2EFE" w:rsidRDefault="00BB4B54" w:rsidP="00BB4B54">
      <w:pPr>
        <w:spacing w:before="240" w:after="240" w:line="360" w:lineRule="auto"/>
        <w:ind w:firstLine="1"/>
        <w:jc w:val="both"/>
        <w:rPr>
          <w:rFonts w:ascii="Palatino Linotype" w:hAnsi="Palatino Linotype"/>
        </w:rPr>
      </w:pPr>
      <w:bookmarkStart w:id="8" w:name="_Hlk99014733"/>
      <w:r w:rsidRPr="009C2EFE">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9C2EFE">
        <w:rPr>
          <w:rFonts w:ascii="Palatino Linotype" w:hAnsi="Palatino Linotype" w:cs="Palatino Linotype"/>
          <w:color w:val="000000" w:themeColor="text1"/>
        </w:rPr>
        <w:t>ALEXIS TAPIA RAMÍREZ.</w:t>
      </w:r>
    </w:p>
    <w:bookmarkEnd w:id="8"/>
    <w:p w14:paraId="5DBC96D2" w14:textId="77777777" w:rsidR="00B26155" w:rsidRPr="009C2EFE" w:rsidRDefault="00B26155" w:rsidP="00B26155">
      <w:pPr>
        <w:spacing w:line="360" w:lineRule="auto"/>
        <w:ind w:right="-561"/>
        <w:rPr>
          <w:rFonts w:ascii="Palatino Linotype" w:eastAsia="Palatino Linotype" w:hAnsi="Palatino Linotype" w:cs="Palatino Linotype"/>
        </w:rPr>
      </w:pPr>
    </w:p>
    <w:p w14:paraId="26F2D453" w14:textId="77777777" w:rsidR="00B26155" w:rsidRPr="009C2EFE" w:rsidRDefault="00B26155" w:rsidP="00B26155">
      <w:pPr>
        <w:spacing w:line="360" w:lineRule="auto"/>
        <w:ind w:right="-561"/>
        <w:rPr>
          <w:rFonts w:ascii="Palatino Linotype" w:eastAsia="Palatino Linotype" w:hAnsi="Palatino Linotype" w:cs="Palatino Linotype"/>
        </w:rPr>
      </w:pPr>
    </w:p>
    <w:p w14:paraId="4CC84C6B" w14:textId="77777777" w:rsidR="00B26155" w:rsidRPr="009C2EFE" w:rsidRDefault="00B26155" w:rsidP="00B26155">
      <w:pPr>
        <w:spacing w:line="360" w:lineRule="auto"/>
        <w:ind w:right="-561"/>
        <w:rPr>
          <w:rFonts w:ascii="Palatino Linotype" w:eastAsia="Palatino Linotype" w:hAnsi="Palatino Linotype" w:cs="Palatino Linotype"/>
        </w:rPr>
      </w:pPr>
    </w:p>
    <w:p w14:paraId="3B287DA9" w14:textId="77777777" w:rsidR="00B26155" w:rsidRPr="009C2EFE" w:rsidRDefault="00B26155" w:rsidP="00B26155">
      <w:pPr>
        <w:spacing w:line="360" w:lineRule="auto"/>
        <w:ind w:right="-561"/>
        <w:rPr>
          <w:rFonts w:ascii="Palatino Linotype" w:eastAsia="Palatino Linotype" w:hAnsi="Palatino Linotype" w:cs="Palatino Linotype"/>
        </w:rPr>
      </w:pPr>
    </w:p>
    <w:p w14:paraId="46CCEC84" w14:textId="77777777" w:rsidR="004E3EF7" w:rsidRPr="009C2EFE" w:rsidRDefault="004E3EF7">
      <w:pPr>
        <w:spacing w:line="360" w:lineRule="auto"/>
        <w:ind w:right="-561"/>
        <w:rPr>
          <w:rFonts w:ascii="Palatino Linotype" w:eastAsia="Palatino Linotype" w:hAnsi="Palatino Linotype" w:cs="Palatino Linotype"/>
        </w:rPr>
      </w:pPr>
    </w:p>
    <w:p w14:paraId="3E9A70E6" w14:textId="77777777" w:rsidR="004E3EF7" w:rsidRPr="009C2EFE" w:rsidRDefault="004E3EF7">
      <w:pPr>
        <w:spacing w:line="360" w:lineRule="auto"/>
        <w:ind w:right="-561"/>
        <w:rPr>
          <w:rFonts w:ascii="Palatino Linotype" w:eastAsia="Palatino Linotype" w:hAnsi="Palatino Linotype" w:cs="Palatino Linotype"/>
        </w:rPr>
      </w:pPr>
    </w:p>
    <w:p w14:paraId="45EA0571" w14:textId="77777777" w:rsidR="004E3EF7" w:rsidRPr="009C2EFE" w:rsidRDefault="004E3EF7">
      <w:pPr>
        <w:spacing w:line="360" w:lineRule="auto"/>
        <w:ind w:right="-561"/>
        <w:rPr>
          <w:rFonts w:ascii="Palatino Linotype" w:eastAsia="Palatino Linotype" w:hAnsi="Palatino Linotype" w:cs="Palatino Linotype"/>
        </w:rPr>
      </w:pPr>
    </w:p>
    <w:p w14:paraId="3DDF8A61" w14:textId="77777777" w:rsidR="004E3EF7" w:rsidRPr="009C2EFE" w:rsidRDefault="004E3EF7">
      <w:pPr>
        <w:spacing w:line="360" w:lineRule="auto"/>
        <w:ind w:right="-561"/>
        <w:rPr>
          <w:rFonts w:ascii="Palatino Linotype" w:eastAsia="Palatino Linotype" w:hAnsi="Palatino Linotype" w:cs="Palatino Linotype"/>
        </w:rPr>
      </w:pPr>
    </w:p>
    <w:p w14:paraId="43CC8C45" w14:textId="77777777" w:rsidR="004E3EF7" w:rsidRPr="009C2EFE" w:rsidRDefault="004E3EF7">
      <w:pPr>
        <w:spacing w:line="360" w:lineRule="auto"/>
        <w:ind w:right="-561"/>
        <w:rPr>
          <w:rFonts w:ascii="Palatino Linotype" w:eastAsia="Palatino Linotype" w:hAnsi="Palatino Linotype" w:cs="Palatino Linotype"/>
        </w:rPr>
      </w:pPr>
    </w:p>
    <w:p w14:paraId="192E1586" w14:textId="77777777" w:rsidR="004E3EF7" w:rsidRPr="009C2EFE" w:rsidRDefault="004E3EF7">
      <w:pPr>
        <w:spacing w:line="360" w:lineRule="auto"/>
        <w:ind w:right="-561"/>
        <w:rPr>
          <w:rFonts w:ascii="Palatino Linotype" w:eastAsia="Palatino Linotype" w:hAnsi="Palatino Linotype" w:cs="Palatino Linotype"/>
        </w:rPr>
      </w:pPr>
    </w:p>
    <w:p w14:paraId="17FC8315" w14:textId="77777777" w:rsidR="004E3EF7" w:rsidRPr="009C2EFE" w:rsidRDefault="004E3EF7">
      <w:pPr>
        <w:spacing w:line="360" w:lineRule="auto"/>
        <w:ind w:right="-561"/>
        <w:rPr>
          <w:rFonts w:ascii="Palatino Linotype" w:eastAsia="Palatino Linotype" w:hAnsi="Palatino Linotype" w:cs="Palatino Linotype"/>
        </w:rPr>
      </w:pPr>
    </w:p>
    <w:sectPr w:rsidR="004E3EF7" w:rsidRPr="009C2EFE" w:rsidSect="009C2EFE">
      <w:headerReference w:type="even" r:id="rId9"/>
      <w:headerReference w:type="default" r:id="rId10"/>
      <w:footerReference w:type="default" r:id="rId11"/>
      <w:headerReference w:type="first" r:id="rId12"/>
      <w:footerReference w:type="first" r:id="rId13"/>
      <w:pgSz w:w="12240" w:h="15840"/>
      <w:pgMar w:top="80" w:right="758" w:bottom="1843"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E3CCA" w14:textId="77777777" w:rsidR="00C4412A" w:rsidRDefault="00C4412A">
      <w:r>
        <w:separator/>
      </w:r>
    </w:p>
  </w:endnote>
  <w:endnote w:type="continuationSeparator" w:id="0">
    <w:p w14:paraId="6C35BA88" w14:textId="77777777" w:rsidR="00C4412A" w:rsidRDefault="00C4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D0D46B4-87E5-432E-846D-7EECEEC4E064}"/>
    <w:embedBold r:id="rId2" w:fontKey="{9E24B802-8E94-4281-B9E0-CA0057B6319A}"/>
    <w:embedItalic r:id="rId3" w:fontKey="{C60DD619-D8BD-45AE-A29A-84B7CE5724FF}"/>
    <w:embedBoldItalic r:id="rId4" w:fontKey="{8F85A5AD-480D-43BC-80D1-BFCEA18CF04B}"/>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96392AEF-25CB-43B9-AE11-30B063FC8BB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F1C0F5F-428F-4896-905D-30B979D80F5C}"/>
  </w:font>
  <w:font w:name="Georgia">
    <w:panose1 w:val="02040502050405020303"/>
    <w:charset w:val="00"/>
    <w:family w:val="roman"/>
    <w:pitch w:val="variable"/>
    <w:sig w:usb0="00000287" w:usb1="00000000" w:usb2="00000000" w:usb3="00000000" w:csb0="0000009F" w:csb1="00000000"/>
    <w:embedItalic r:id="rId7" w:fontKey="{5283F87D-9F7E-4073-ABC7-4F578BCA5E8F}"/>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8" w:fontKey="{60704B9A-7B85-4E4B-812B-891A52BE93B0}"/>
  </w:font>
  <w:font w:name="Cambria">
    <w:panose1 w:val="02040503050406030204"/>
    <w:charset w:val="00"/>
    <w:family w:val="roman"/>
    <w:pitch w:val="variable"/>
    <w:sig w:usb0="E00006FF" w:usb1="420024FF" w:usb2="02000000" w:usb3="00000000" w:csb0="0000019F" w:csb1="00000000"/>
    <w:embedRegular r:id="rId9" w:fontKey="{8CC8B845-51E4-4170-A009-2B919A8CE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D57E"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BB57F8">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B57F8">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14:paraId="263AFD25" w14:textId="77777777" w:rsidR="004E3EF7" w:rsidRDefault="004E3E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1A33"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BB57F8">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14:paraId="1845EF18" w14:textId="77777777" w:rsidR="004E3EF7" w:rsidRDefault="004E3E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CCCD8" w14:textId="77777777" w:rsidR="00C4412A" w:rsidRDefault="00C4412A">
      <w:r>
        <w:separator/>
      </w:r>
    </w:p>
  </w:footnote>
  <w:footnote w:type="continuationSeparator" w:id="0">
    <w:p w14:paraId="5771EA0B" w14:textId="77777777" w:rsidR="00C4412A" w:rsidRDefault="00C4412A">
      <w:r>
        <w:continuationSeparator/>
      </w:r>
    </w:p>
  </w:footnote>
  <w:footnote w:id="1">
    <w:p w14:paraId="7A691ECC"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2DCF6B6D"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0958FD0F"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5F0CE5D"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547E5EFB" w14:textId="77777777" w:rsidR="008D0C8C" w:rsidRDefault="008D0C8C" w:rsidP="008D0C8C">
      <w:pPr>
        <w:pStyle w:val="Textonotapie"/>
      </w:pPr>
      <w:r>
        <w:rPr>
          <w:rStyle w:val="Refdenotaalpie"/>
        </w:rPr>
        <w:footnoteRef/>
      </w:r>
      <w:r>
        <w:t xml:space="preserve"> Artículo 50, Ley de Transparencia y Acceso a la Información Pública del Estado de México y Municipios.</w:t>
      </w:r>
    </w:p>
  </w:footnote>
  <w:footnote w:id="6">
    <w:p w14:paraId="0F0EB6A7" w14:textId="77777777" w:rsidR="008D0C8C" w:rsidRDefault="008D0C8C" w:rsidP="008D0C8C">
      <w:pPr>
        <w:pStyle w:val="Textonotapie"/>
      </w:pPr>
      <w:r>
        <w:rPr>
          <w:rStyle w:val="Refdenotaalpie"/>
        </w:rPr>
        <w:footnoteRef/>
      </w:r>
      <w:r>
        <w:t xml:space="preserve"> Artículo 51, Ídem.</w:t>
      </w:r>
    </w:p>
  </w:footnote>
  <w:footnote w:id="7">
    <w:p w14:paraId="4281D49F" w14:textId="77777777" w:rsidR="008D0C8C" w:rsidRDefault="008D0C8C" w:rsidP="008D0C8C">
      <w:pPr>
        <w:pStyle w:val="Textonotapie"/>
      </w:pPr>
      <w:r>
        <w:rPr>
          <w:rStyle w:val="Refdenotaalpie"/>
        </w:rPr>
        <w:footnoteRef/>
      </w:r>
      <w:r>
        <w:t xml:space="preserve"> Artículo 58, Ley de Transparencia y Acceso a la Información Pública del Estado de México y Municipios.</w:t>
      </w:r>
    </w:p>
  </w:footnote>
  <w:footnote w:id="8">
    <w:p w14:paraId="09C6BB32" w14:textId="77777777" w:rsidR="008D0C8C" w:rsidRDefault="008D0C8C" w:rsidP="008D0C8C">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A95F3" w14:textId="77777777" w:rsidR="004E3EF7" w:rsidRDefault="00C4412A">
    <w:pPr>
      <w:pBdr>
        <w:top w:val="nil"/>
        <w:left w:val="nil"/>
        <w:bottom w:val="nil"/>
        <w:right w:val="nil"/>
        <w:between w:val="nil"/>
      </w:pBdr>
      <w:tabs>
        <w:tab w:val="center" w:pos="4419"/>
        <w:tab w:val="right" w:pos="8838"/>
      </w:tabs>
      <w:rPr>
        <w:color w:val="000000"/>
      </w:rPr>
    </w:pPr>
    <w:r>
      <w:rPr>
        <w:color w:val="000000"/>
      </w:rPr>
      <w:pict w14:anchorId="40BD0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490" w:type="dxa"/>
      <w:tblInd w:w="0" w:type="dxa"/>
      <w:tblLayout w:type="fixed"/>
      <w:tblLook w:val="0400" w:firstRow="0" w:lastRow="0" w:firstColumn="0" w:lastColumn="0" w:noHBand="0" w:noVBand="1"/>
    </w:tblPr>
    <w:tblGrid>
      <w:gridCol w:w="2268"/>
      <w:gridCol w:w="8222"/>
    </w:tblGrid>
    <w:tr w:rsidR="004E3EF7" w14:paraId="178AFE68" w14:textId="77777777" w:rsidTr="009C2EFE">
      <w:trPr>
        <w:trHeight w:val="1435"/>
      </w:trPr>
      <w:tc>
        <w:tcPr>
          <w:tcW w:w="2268" w:type="dxa"/>
          <w:shd w:val="clear" w:color="auto" w:fill="auto"/>
        </w:tcPr>
        <w:p w14:paraId="12166C45" w14:textId="77777777" w:rsidR="004E3EF7" w:rsidRDefault="004E3EF7">
          <w:pPr>
            <w:tabs>
              <w:tab w:val="right" w:pos="4273"/>
            </w:tabs>
            <w:rPr>
              <w:rFonts w:ascii="Garamond" w:eastAsia="Garamond" w:hAnsi="Garamond" w:cs="Garamond"/>
              <w:sz w:val="16"/>
              <w:szCs w:val="16"/>
            </w:rPr>
          </w:pPr>
        </w:p>
      </w:tc>
      <w:tc>
        <w:tcPr>
          <w:tcW w:w="8222" w:type="dxa"/>
          <w:shd w:val="clear" w:color="auto" w:fill="auto"/>
        </w:tcPr>
        <w:tbl>
          <w:tblPr>
            <w:tblStyle w:val="a1"/>
            <w:tblW w:w="7132" w:type="dxa"/>
            <w:tblInd w:w="452" w:type="dxa"/>
            <w:tblLayout w:type="fixed"/>
            <w:tblLook w:val="0400" w:firstRow="0" w:lastRow="0" w:firstColumn="0" w:lastColumn="0" w:noHBand="0" w:noVBand="1"/>
          </w:tblPr>
          <w:tblGrid>
            <w:gridCol w:w="2720"/>
            <w:gridCol w:w="4412"/>
          </w:tblGrid>
          <w:tr w:rsidR="004E3EF7" w14:paraId="280B747B" w14:textId="77777777" w:rsidTr="009C2EFE">
            <w:trPr>
              <w:trHeight w:val="150"/>
            </w:trPr>
            <w:tc>
              <w:tcPr>
                <w:tcW w:w="2720" w:type="dxa"/>
                <w:shd w:val="clear" w:color="auto" w:fill="auto"/>
              </w:tcPr>
              <w:p w14:paraId="33953132" w14:textId="77777777" w:rsidR="004E3EF7" w:rsidRPr="009C2EFE" w:rsidRDefault="00F2495A" w:rsidP="009C2EFE">
                <w:pPr>
                  <w:tabs>
                    <w:tab w:val="right" w:pos="8838"/>
                  </w:tabs>
                  <w:ind w:right="-105"/>
                  <w:jc w:val="both"/>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Recurso de Revisión:</w:t>
                </w:r>
              </w:p>
            </w:tc>
            <w:tc>
              <w:tcPr>
                <w:tcW w:w="4412" w:type="dxa"/>
                <w:shd w:val="clear" w:color="auto" w:fill="auto"/>
              </w:tcPr>
              <w:p w14:paraId="7D8D127E" w14:textId="73B41A9B" w:rsidR="004E3EF7" w:rsidRPr="009C2EFE" w:rsidRDefault="003F5BBB" w:rsidP="00742970">
                <w:pPr>
                  <w:ind w:right="26"/>
                  <w:jc w:val="both"/>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00498</w:t>
                </w:r>
                <w:r w:rsidR="00F2495A" w:rsidRPr="009C2EFE">
                  <w:rPr>
                    <w:rFonts w:ascii="Palatino Linotype" w:eastAsia="Palatino Linotype" w:hAnsi="Palatino Linotype" w:cs="Palatino Linotype"/>
                    <w:szCs w:val="22"/>
                  </w:rPr>
                  <w:t>/INFOEM/IP/RR/202</w:t>
                </w:r>
                <w:r w:rsidRPr="009C2EFE">
                  <w:rPr>
                    <w:rFonts w:ascii="Palatino Linotype" w:eastAsia="Palatino Linotype" w:hAnsi="Palatino Linotype" w:cs="Palatino Linotype"/>
                    <w:szCs w:val="22"/>
                  </w:rPr>
                  <w:t>6</w:t>
                </w:r>
              </w:p>
            </w:tc>
          </w:tr>
          <w:tr w:rsidR="004E3EF7" w14:paraId="1D8ED556" w14:textId="77777777" w:rsidTr="009C2EFE">
            <w:trPr>
              <w:trHeight w:val="295"/>
            </w:trPr>
            <w:tc>
              <w:tcPr>
                <w:tcW w:w="2720" w:type="dxa"/>
                <w:shd w:val="clear" w:color="auto" w:fill="auto"/>
              </w:tcPr>
              <w:p w14:paraId="5A8068ED" w14:textId="77777777" w:rsidR="004E3EF7" w:rsidRPr="009C2EFE" w:rsidRDefault="00F2495A" w:rsidP="009C2EFE">
                <w:pPr>
                  <w:tabs>
                    <w:tab w:val="right" w:pos="8838"/>
                  </w:tabs>
                  <w:ind w:right="-105"/>
                  <w:jc w:val="both"/>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Sujeto Obligado:</w:t>
                </w:r>
              </w:p>
            </w:tc>
            <w:tc>
              <w:tcPr>
                <w:tcW w:w="4412" w:type="dxa"/>
                <w:shd w:val="clear" w:color="auto" w:fill="auto"/>
              </w:tcPr>
              <w:p w14:paraId="0B462890" w14:textId="6E85ACB9" w:rsidR="004E3EF7" w:rsidRPr="009C2EFE" w:rsidRDefault="00F2495A" w:rsidP="00742970">
                <w:pPr>
                  <w:ind w:right="26"/>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 xml:space="preserve">Ayuntamiento de </w:t>
                </w:r>
                <w:r w:rsidR="003F5BBB" w:rsidRPr="009C2EFE">
                  <w:rPr>
                    <w:rFonts w:ascii="Palatino Linotype" w:eastAsia="Palatino Linotype" w:hAnsi="Palatino Linotype" w:cs="Palatino Linotype"/>
                    <w:szCs w:val="22"/>
                  </w:rPr>
                  <w:t>Ecatepec de Morelos</w:t>
                </w:r>
              </w:p>
            </w:tc>
          </w:tr>
          <w:tr w:rsidR="004E3EF7" w14:paraId="704479EA" w14:textId="77777777" w:rsidTr="009C2EFE">
            <w:trPr>
              <w:trHeight w:val="295"/>
            </w:trPr>
            <w:tc>
              <w:tcPr>
                <w:tcW w:w="2720" w:type="dxa"/>
                <w:shd w:val="clear" w:color="auto" w:fill="auto"/>
              </w:tcPr>
              <w:p w14:paraId="0B9B007D" w14:textId="77777777" w:rsidR="004E3EF7" w:rsidRPr="009C2EFE" w:rsidRDefault="00F2495A" w:rsidP="009C2EFE">
                <w:pPr>
                  <w:tabs>
                    <w:tab w:val="right" w:pos="8838"/>
                  </w:tabs>
                  <w:ind w:right="-105"/>
                  <w:jc w:val="both"/>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Comisionada ponente:</w:t>
                </w:r>
              </w:p>
            </w:tc>
            <w:tc>
              <w:tcPr>
                <w:tcW w:w="4412" w:type="dxa"/>
                <w:shd w:val="clear" w:color="auto" w:fill="auto"/>
              </w:tcPr>
              <w:p w14:paraId="546E7062" w14:textId="77777777" w:rsidR="004E3EF7" w:rsidRPr="009C2EFE" w:rsidRDefault="00F2495A" w:rsidP="00742970">
                <w:pPr>
                  <w:ind w:right="26"/>
                  <w:jc w:val="both"/>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María del Rosario Mejía Ayala</w:t>
                </w:r>
              </w:p>
              <w:p w14:paraId="2BDA498D" w14:textId="77777777" w:rsidR="004E3EF7" w:rsidRPr="009C2EFE" w:rsidRDefault="004E3EF7" w:rsidP="00742970">
                <w:pPr>
                  <w:ind w:right="26"/>
                  <w:jc w:val="both"/>
                  <w:rPr>
                    <w:rFonts w:ascii="Palatino Linotype" w:eastAsia="Palatino Linotype" w:hAnsi="Palatino Linotype" w:cs="Palatino Linotype"/>
                    <w:szCs w:val="22"/>
                  </w:rPr>
                </w:pPr>
              </w:p>
            </w:tc>
          </w:tr>
        </w:tbl>
        <w:p w14:paraId="0E060218" w14:textId="77777777" w:rsidR="004E3EF7" w:rsidRDefault="004E3EF7">
          <w:pPr>
            <w:tabs>
              <w:tab w:val="right" w:pos="8838"/>
            </w:tabs>
            <w:ind w:left="-28"/>
            <w:jc w:val="both"/>
            <w:rPr>
              <w:rFonts w:ascii="Arial" w:eastAsia="Arial" w:hAnsi="Arial" w:cs="Arial"/>
              <w:b/>
              <w:bCs/>
              <w:sz w:val="18"/>
              <w:szCs w:val="18"/>
            </w:rPr>
          </w:pPr>
        </w:p>
      </w:tc>
    </w:tr>
  </w:tbl>
  <w:p w14:paraId="4A4E8B49" w14:textId="77777777" w:rsidR="004E3EF7" w:rsidRDefault="00C4412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F351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65" w:type="dxa"/>
      <w:tblInd w:w="0" w:type="dxa"/>
      <w:tblLayout w:type="fixed"/>
      <w:tblLook w:val="0400" w:firstRow="0" w:lastRow="0" w:firstColumn="0" w:lastColumn="0" w:noHBand="0" w:noVBand="1"/>
    </w:tblPr>
    <w:tblGrid>
      <w:gridCol w:w="2265"/>
      <w:gridCol w:w="7800"/>
    </w:tblGrid>
    <w:tr w:rsidR="004E3EF7" w14:paraId="52BE5BBF" w14:textId="77777777">
      <w:trPr>
        <w:trHeight w:val="1435"/>
      </w:trPr>
      <w:tc>
        <w:tcPr>
          <w:tcW w:w="2265" w:type="dxa"/>
          <w:shd w:val="clear" w:color="auto" w:fill="auto"/>
        </w:tcPr>
        <w:p w14:paraId="4BE2DD81" w14:textId="77777777" w:rsidR="004E3EF7" w:rsidRDefault="004E3EF7">
          <w:pPr>
            <w:tabs>
              <w:tab w:val="right" w:pos="4273"/>
            </w:tabs>
            <w:rPr>
              <w:rFonts w:ascii="Garamond" w:eastAsia="Garamond" w:hAnsi="Garamond" w:cs="Garamond"/>
              <w:sz w:val="22"/>
              <w:szCs w:val="22"/>
            </w:rPr>
          </w:pPr>
        </w:p>
      </w:tc>
      <w:tc>
        <w:tcPr>
          <w:tcW w:w="7800" w:type="dxa"/>
          <w:shd w:val="clear" w:color="auto" w:fill="auto"/>
        </w:tcPr>
        <w:tbl>
          <w:tblPr>
            <w:tblStyle w:val="a3"/>
            <w:tblW w:w="7410" w:type="dxa"/>
            <w:tblInd w:w="455" w:type="dxa"/>
            <w:tblLayout w:type="fixed"/>
            <w:tblLook w:val="0400" w:firstRow="0" w:lastRow="0" w:firstColumn="0" w:lastColumn="0" w:noHBand="0" w:noVBand="1"/>
          </w:tblPr>
          <w:tblGrid>
            <w:gridCol w:w="2807"/>
            <w:gridCol w:w="4603"/>
          </w:tblGrid>
          <w:tr w:rsidR="004E3EF7" w14:paraId="08664596" w14:textId="77777777" w:rsidTr="009C2EFE">
            <w:trPr>
              <w:trHeight w:val="144"/>
            </w:trPr>
            <w:tc>
              <w:tcPr>
                <w:tcW w:w="2807" w:type="dxa"/>
                <w:shd w:val="clear" w:color="auto" w:fill="auto"/>
              </w:tcPr>
              <w:p w14:paraId="3308F9A6" w14:textId="77777777" w:rsidR="004E3EF7" w:rsidRPr="009C2EFE" w:rsidRDefault="00F2495A" w:rsidP="009C2EFE">
                <w:pPr>
                  <w:tabs>
                    <w:tab w:val="right" w:pos="8838"/>
                  </w:tabs>
                  <w:ind w:left="27" w:right="-126"/>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Recurso de Revisión:</w:t>
                </w:r>
              </w:p>
            </w:tc>
            <w:tc>
              <w:tcPr>
                <w:tcW w:w="4603" w:type="dxa"/>
                <w:shd w:val="clear" w:color="auto" w:fill="auto"/>
              </w:tcPr>
              <w:p w14:paraId="7A5E22B4" w14:textId="4D294E34" w:rsidR="004E3EF7" w:rsidRPr="009C2EFE" w:rsidRDefault="003F5BBB" w:rsidP="00742970">
                <w:pPr>
                  <w:tabs>
                    <w:tab w:val="right" w:pos="8838"/>
                  </w:tabs>
                  <w:ind w:right="-126"/>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00498</w:t>
                </w:r>
                <w:r w:rsidR="00F2495A" w:rsidRPr="009C2EFE">
                  <w:rPr>
                    <w:rFonts w:ascii="Palatino Linotype" w:eastAsia="Palatino Linotype" w:hAnsi="Palatino Linotype" w:cs="Palatino Linotype"/>
                    <w:szCs w:val="22"/>
                  </w:rPr>
                  <w:t>/INFOEM/IP/RR/202</w:t>
                </w:r>
                <w:r w:rsidRPr="009C2EFE">
                  <w:rPr>
                    <w:rFonts w:ascii="Palatino Linotype" w:eastAsia="Palatino Linotype" w:hAnsi="Palatino Linotype" w:cs="Palatino Linotype"/>
                    <w:szCs w:val="22"/>
                  </w:rPr>
                  <w:t>6</w:t>
                </w:r>
              </w:p>
            </w:tc>
          </w:tr>
          <w:tr w:rsidR="004E3EF7" w14:paraId="0F0507A8" w14:textId="77777777" w:rsidTr="009C2EFE">
            <w:trPr>
              <w:trHeight w:val="144"/>
            </w:trPr>
            <w:tc>
              <w:tcPr>
                <w:tcW w:w="2807" w:type="dxa"/>
                <w:shd w:val="clear" w:color="auto" w:fill="auto"/>
              </w:tcPr>
              <w:p w14:paraId="56883813" w14:textId="77777777" w:rsidR="004E3EF7" w:rsidRPr="009C2EFE" w:rsidRDefault="00F2495A" w:rsidP="009C2EFE">
                <w:pPr>
                  <w:tabs>
                    <w:tab w:val="right" w:pos="8838"/>
                  </w:tabs>
                  <w:ind w:left="27" w:right="-126"/>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Recurrente:</w:t>
                </w:r>
              </w:p>
            </w:tc>
            <w:tc>
              <w:tcPr>
                <w:tcW w:w="4603" w:type="dxa"/>
                <w:shd w:val="clear" w:color="auto" w:fill="auto"/>
              </w:tcPr>
              <w:p w14:paraId="42DC0DAA" w14:textId="4F5104DB" w:rsidR="004E3EF7" w:rsidRPr="009C2EFE" w:rsidRDefault="00BB57F8" w:rsidP="00742970">
                <w:pPr>
                  <w:tabs>
                    <w:tab w:val="left" w:pos="3122"/>
                    <w:tab w:val="right" w:pos="8838"/>
                  </w:tabs>
                  <w:ind w:right="-126"/>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4E3EF7" w14:paraId="478C5535" w14:textId="77777777" w:rsidTr="009C2EFE">
            <w:trPr>
              <w:trHeight w:val="80"/>
            </w:trPr>
            <w:tc>
              <w:tcPr>
                <w:tcW w:w="2807" w:type="dxa"/>
                <w:shd w:val="clear" w:color="auto" w:fill="auto"/>
              </w:tcPr>
              <w:p w14:paraId="4F0363CA" w14:textId="77777777" w:rsidR="004E3EF7" w:rsidRPr="009C2EFE" w:rsidRDefault="00F2495A" w:rsidP="009C2EFE">
                <w:pPr>
                  <w:tabs>
                    <w:tab w:val="right" w:pos="8838"/>
                  </w:tabs>
                  <w:ind w:left="27" w:right="-126"/>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Sujeto Obligado:</w:t>
                </w:r>
              </w:p>
            </w:tc>
            <w:tc>
              <w:tcPr>
                <w:tcW w:w="4603" w:type="dxa"/>
                <w:shd w:val="clear" w:color="auto" w:fill="auto"/>
              </w:tcPr>
              <w:p w14:paraId="50181938" w14:textId="4520BCD8" w:rsidR="004E3EF7" w:rsidRPr="009C2EFE" w:rsidRDefault="00F2495A" w:rsidP="00742970">
                <w:pPr>
                  <w:tabs>
                    <w:tab w:val="left" w:pos="3122"/>
                    <w:tab w:val="right" w:pos="8838"/>
                  </w:tabs>
                  <w:ind w:right="-126"/>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 xml:space="preserve">Ayuntamiento de </w:t>
                </w:r>
                <w:r w:rsidR="003F5BBB" w:rsidRPr="009C2EFE">
                  <w:rPr>
                    <w:rFonts w:ascii="Palatino Linotype" w:eastAsia="Palatino Linotype" w:hAnsi="Palatino Linotype" w:cs="Palatino Linotype"/>
                    <w:szCs w:val="22"/>
                  </w:rPr>
                  <w:t>Ecatepec de Morelos</w:t>
                </w:r>
              </w:p>
            </w:tc>
          </w:tr>
          <w:tr w:rsidR="004E3EF7" w14:paraId="17B2D809" w14:textId="77777777" w:rsidTr="009C2EFE">
            <w:trPr>
              <w:trHeight w:val="283"/>
            </w:trPr>
            <w:tc>
              <w:tcPr>
                <w:tcW w:w="2807" w:type="dxa"/>
                <w:shd w:val="clear" w:color="auto" w:fill="auto"/>
              </w:tcPr>
              <w:p w14:paraId="6DADA040" w14:textId="77777777" w:rsidR="004E3EF7" w:rsidRPr="009C2EFE" w:rsidRDefault="00F2495A" w:rsidP="009C2EFE">
                <w:pPr>
                  <w:tabs>
                    <w:tab w:val="right" w:pos="8838"/>
                  </w:tabs>
                  <w:ind w:left="27" w:right="-126"/>
                  <w:rPr>
                    <w:rFonts w:ascii="Palatino Linotype" w:eastAsia="Palatino Linotype" w:hAnsi="Palatino Linotype" w:cs="Palatino Linotype"/>
                    <w:b/>
                    <w:bCs/>
                    <w:szCs w:val="22"/>
                  </w:rPr>
                </w:pPr>
                <w:r w:rsidRPr="009C2EFE">
                  <w:rPr>
                    <w:rFonts w:ascii="Palatino Linotype" w:eastAsia="Palatino Linotype" w:hAnsi="Palatino Linotype" w:cs="Palatino Linotype"/>
                    <w:b/>
                    <w:bCs/>
                    <w:szCs w:val="22"/>
                  </w:rPr>
                  <w:t>Comisionada ponente:</w:t>
                </w:r>
              </w:p>
            </w:tc>
            <w:tc>
              <w:tcPr>
                <w:tcW w:w="4603" w:type="dxa"/>
                <w:shd w:val="clear" w:color="auto" w:fill="auto"/>
              </w:tcPr>
              <w:p w14:paraId="38E9BAD3" w14:textId="77777777" w:rsidR="004E3EF7" w:rsidRPr="009C2EFE" w:rsidRDefault="00F2495A" w:rsidP="00742970">
                <w:pPr>
                  <w:tabs>
                    <w:tab w:val="right" w:pos="8838"/>
                  </w:tabs>
                  <w:ind w:right="-126"/>
                  <w:rPr>
                    <w:rFonts w:ascii="Palatino Linotype" w:eastAsia="Palatino Linotype" w:hAnsi="Palatino Linotype" w:cs="Palatino Linotype"/>
                    <w:szCs w:val="22"/>
                  </w:rPr>
                </w:pPr>
                <w:r w:rsidRPr="009C2EFE">
                  <w:rPr>
                    <w:rFonts w:ascii="Palatino Linotype" w:eastAsia="Palatino Linotype" w:hAnsi="Palatino Linotype" w:cs="Palatino Linotype"/>
                    <w:szCs w:val="22"/>
                  </w:rPr>
                  <w:t>María del Rosario Mejía Ayala</w:t>
                </w:r>
              </w:p>
              <w:p w14:paraId="79B108FD" w14:textId="77777777" w:rsidR="004E3EF7" w:rsidRPr="009C2EFE" w:rsidRDefault="004E3EF7" w:rsidP="00742970">
                <w:pPr>
                  <w:tabs>
                    <w:tab w:val="right" w:pos="8838"/>
                  </w:tabs>
                  <w:ind w:right="-126"/>
                  <w:rPr>
                    <w:rFonts w:ascii="Palatino Linotype" w:eastAsia="Palatino Linotype" w:hAnsi="Palatino Linotype" w:cs="Palatino Linotype"/>
                    <w:szCs w:val="22"/>
                  </w:rPr>
                </w:pPr>
              </w:p>
            </w:tc>
          </w:tr>
        </w:tbl>
        <w:p w14:paraId="43168A24" w14:textId="77777777" w:rsidR="004E3EF7" w:rsidRDefault="004E3EF7">
          <w:pPr>
            <w:tabs>
              <w:tab w:val="right" w:pos="8838"/>
            </w:tabs>
            <w:ind w:left="-28"/>
            <w:jc w:val="both"/>
            <w:rPr>
              <w:rFonts w:ascii="Arial" w:eastAsia="Arial" w:hAnsi="Arial" w:cs="Arial"/>
              <w:b/>
              <w:bCs/>
              <w:sz w:val="22"/>
              <w:szCs w:val="22"/>
            </w:rPr>
          </w:pPr>
        </w:p>
      </w:tc>
    </w:tr>
  </w:tbl>
  <w:p w14:paraId="6BD291F7" w14:textId="77777777" w:rsidR="004E3EF7" w:rsidRDefault="00C4412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1BA1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B4E78"/>
    <w:multiLevelType w:val="multilevel"/>
    <w:tmpl w:val="2F683004"/>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2564F"/>
    <w:multiLevelType w:val="multilevel"/>
    <w:tmpl w:val="A5CA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06AFC"/>
    <w:multiLevelType w:val="multilevel"/>
    <w:tmpl w:val="3C2A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AE483A"/>
    <w:multiLevelType w:val="multilevel"/>
    <w:tmpl w:val="49E69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DC2FF6"/>
    <w:multiLevelType w:val="multilevel"/>
    <w:tmpl w:val="FFFFFFFF"/>
    <w:lvl w:ilvl="0">
      <w:start w:val="1"/>
      <w:numFmt w:val="decimal"/>
      <w:lvlText w:val="%1."/>
      <w:lvlJc w:val="left"/>
      <w:pPr>
        <w:ind w:left="357" w:hanging="357"/>
      </w:pPr>
      <w:rPr>
        <w:rFonts w:ascii="Palatino Linotype" w:eastAsia="Times New Roman" w:hAnsi="Palatino Linotype" w:cs="Palatino Linotype"/>
        <w:b/>
        <w:bCs/>
        <w:i w:val="0"/>
        <w:iCs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bCs/>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5C5866BE"/>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5E053133"/>
    <w:multiLevelType w:val="hybridMultilevel"/>
    <w:tmpl w:val="5FB4D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6853C6"/>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70CE652C"/>
    <w:multiLevelType w:val="multilevel"/>
    <w:tmpl w:val="3850A7B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6"/>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F7"/>
    <w:rsid w:val="00061318"/>
    <w:rsid w:val="002934A0"/>
    <w:rsid w:val="0029594C"/>
    <w:rsid w:val="002A5C3F"/>
    <w:rsid w:val="003105D0"/>
    <w:rsid w:val="00382448"/>
    <w:rsid w:val="003F5BBB"/>
    <w:rsid w:val="00450B89"/>
    <w:rsid w:val="004862F5"/>
    <w:rsid w:val="004E3EF7"/>
    <w:rsid w:val="004E4239"/>
    <w:rsid w:val="0053594E"/>
    <w:rsid w:val="00594520"/>
    <w:rsid w:val="005B6190"/>
    <w:rsid w:val="00647451"/>
    <w:rsid w:val="006E20BA"/>
    <w:rsid w:val="00742970"/>
    <w:rsid w:val="00771F83"/>
    <w:rsid w:val="007F05A3"/>
    <w:rsid w:val="00834EE8"/>
    <w:rsid w:val="00847D2D"/>
    <w:rsid w:val="008D0C8C"/>
    <w:rsid w:val="009C2EFE"/>
    <w:rsid w:val="009C3D04"/>
    <w:rsid w:val="00A24611"/>
    <w:rsid w:val="00A27A42"/>
    <w:rsid w:val="00AB2897"/>
    <w:rsid w:val="00B26155"/>
    <w:rsid w:val="00BB4B54"/>
    <w:rsid w:val="00BB57F8"/>
    <w:rsid w:val="00BE4773"/>
    <w:rsid w:val="00BF0DE4"/>
    <w:rsid w:val="00C4412A"/>
    <w:rsid w:val="00D4564D"/>
    <w:rsid w:val="00F01743"/>
    <w:rsid w:val="00F2495A"/>
    <w:rsid w:val="00F353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A24D5A"/>
  <w15:docId w15:val="{3D2C3422-ED30-489C-9AB0-787385CC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B26155"/>
    <w:pPr>
      <w:tabs>
        <w:tab w:val="center" w:pos="4419"/>
        <w:tab w:val="right" w:pos="8838"/>
      </w:tabs>
    </w:pPr>
  </w:style>
  <w:style w:type="character" w:customStyle="1" w:styleId="PiedepginaCar">
    <w:name w:val="Pie de página Car"/>
    <w:basedOn w:val="Fuentedeprrafopredeter"/>
    <w:link w:val="Piedepgina"/>
    <w:uiPriority w:val="99"/>
    <w:rsid w:val="00B2615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4EE8"/>
    <w:pPr>
      <w:ind w:left="720"/>
      <w:contextualSpacing/>
    </w:pPr>
  </w:style>
  <w:style w:type="character" w:styleId="Hipervnculo">
    <w:name w:val="Hyperlink"/>
    <w:basedOn w:val="Fuentedeprrafopredeter"/>
    <w:uiPriority w:val="99"/>
    <w:semiHidden/>
    <w:unhideWhenUsed/>
    <w:rsid w:val="003F5BBB"/>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0C8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D0C8C"/>
    <w:rPr>
      <w:rFonts w:cs="Times New Roman"/>
      <w:vertAlign w:val="superscript"/>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qFormat/>
    <w:locked/>
    <w:rsid w:val="008D0C8C"/>
    <w:rPr>
      <w:sz w:val="20"/>
      <w:szCs w:val="20"/>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8D0C8C"/>
    <w:rPr>
      <w:sz w:val="20"/>
      <w:szCs w:val="20"/>
    </w:rPr>
  </w:style>
  <w:style w:type="character" w:customStyle="1" w:styleId="TextonotapieCar1">
    <w:name w:val="Texto nota pie Car1"/>
    <w:basedOn w:val="Fuentedeprrafopredeter"/>
    <w:uiPriority w:val="99"/>
    <w:semiHidden/>
    <w:rsid w:val="008D0C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29726">
      <w:bodyDiv w:val="1"/>
      <w:marLeft w:val="0"/>
      <w:marRight w:val="0"/>
      <w:marTop w:val="0"/>
      <w:marBottom w:val="0"/>
      <w:divBdr>
        <w:top w:val="none" w:sz="0" w:space="0" w:color="auto"/>
        <w:left w:val="none" w:sz="0" w:space="0" w:color="auto"/>
        <w:bottom w:val="none" w:sz="0" w:space="0" w:color="auto"/>
        <w:right w:val="none" w:sz="0" w:space="0" w:color="auto"/>
      </w:divBdr>
    </w:div>
    <w:div w:id="653069247">
      <w:bodyDiv w:val="1"/>
      <w:marLeft w:val="0"/>
      <w:marRight w:val="0"/>
      <w:marTop w:val="0"/>
      <w:marBottom w:val="0"/>
      <w:divBdr>
        <w:top w:val="none" w:sz="0" w:space="0" w:color="auto"/>
        <w:left w:val="none" w:sz="0" w:space="0" w:color="auto"/>
        <w:bottom w:val="none" w:sz="0" w:space="0" w:color="auto"/>
        <w:right w:val="none" w:sz="0" w:space="0" w:color="auto"/>
      </w:divBdr>
    </w:div>
    <w:div w:id="733700879">
      <w:bodyDiv w:val="1"/>
      <w:marLeft w:val="0"/>
      <w:marRight w:val="0"/>
      <w:marTop w:val="0"/>
      <w:marBottom w:val="0"/>
      <w:divBdr>
        <w:top w:val="none" w:sz="0" w:space="0" w:color="auto"/>
        <w:left w:val="none" w:sz="0" w:space="0" w:color="auto"/>
        <w:bottom w:val="none" w:sz="0" w:space="0" w:color="auto"/>
        <w:right w:val="none" w:sz="0" w:space="0" w:color="auto"/>
      </w:divBdr>
    </w:div>
    <w:div w:id="829370387">
      <w:bodyDiv w:val="1"/>
      <w:marLeft w:val="0"/>
      <w:marRight w:val="0"/>
      <w:marTop w:val="0"/>
      <w:marBottom w:val="0"/>
      <w:divBdr>
        <w:top w:val="none" w:sz="0" w:space="0" w:color="auto"/>
        <w:left w:val="none" w:sz="0" w:space="0" w:color="auto"/>
        <w:bottom w:val="none" w:sz="0" w:space="0" w:color="auto"/>
        <w:right w:val="none" w:sz="0" w:space="0" w:color="auto"/>
      </w:divBdr>
    </w:div>
    <w:div w:id="879127153">
      <w:bodyDiv w:val="1"/>
      <w:marLeft w:val="0"/>
      <w:marRight w:val="0"/>
      <w:marTop w:val="0"/>
      <w:marBottom w:val="0"/>
      <w:divBdr>
        <w:top w:val="none" w:sz="0" w:space="0" w:color="auto"/>
        <w:left w:val="none" w:sz="0" w:space="0" w:color="auto"/>
        <w:bottom w:val="none" w:sz="0" w:space="0" w:color="auto"/>
        <w:right w:val="none" w:sz="0" w:space="0" w:color="auto"/>
      </w:divBdr>
    </w:div>
    <w:div w:id="1203715020">
      <w:bodyDiv w:val="1"/>
      <w:marLeft w:val="0"/>
      <w:marRight w:val="0"/>
      <w:marTop w:val="0"/>
      <w:marBottom w:val="0"/>
      <w:divBdr>
        <w:top w:val="none" w:sz="0" w:space="0" w:color="auto"/>
        <w:left w:val="none" w:sz="0" w:space="0" w:color="auto"/>
        <w:bottom w:val="none" w:sz="0" w:space="0" w:color="auto"/>
        <w:right w:val="none" w:sz="0" w:space="0" w:color="auto"/>
      </w:divBdr>
    </w:div>
    <w:div w:id="206976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45620.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htvc9fr65bA9GHf4skvX+4c4g==">CgMxLjAyDmgubnRkajIwbXZuem5iMgloLjN6bnlzaDcyDmguMnYyMzBrbmlkZXkyMgloLjNkeTZ2a20yCWguMzBqMHpsbDIJaC4yczhleW8xMg5oLmQzMHZjc3Q0aGhpNDIOaC44dGdxOWFtMnh5NnYyDWguazA2cmRlNzV0Mzg4AHIhMWp6OHl2bC1qUVlSMXcwMjZQWnpQTnA2NlF0N1kzRlBN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5419</Words>
  <Characters>29810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INFOEM-434</dc:creator>
  <cp:lastModifiedBy>Cuenta Microsoft</cp:lastModifiedBy>
  <cp:revision>9</cp:revision>
  <cp:lastPrinted>2026-06-29T15:54:00Z</cp:lastPrinted>
  <dcterms:created xsi:type="dcterms:W3CDTF">2026-06-22T20:16:00Z</dcterms:created>
  <dcterms:modified xsi:type="dcterms:W3CDTF">2026-07-02T19:15:00Z</dcterms:modified>
</cp:coreProperties>
</file>