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3F06" w:rsidRDefault="000E53DF">
      <w:pPr>
        <w:tabs>
          <w:tab w:val="left" w:pos="3465"/>
        </w:tabs>
        <w:spacing w:line="360" w:lineRule="auto"/>
        <w:ind w:right="-787"/>
        <w:jc w:val="both"/>
        <w:rPr>
          <w:rFonts w:ascii="Palatino Linotype" w:eastAsia="Palatino Linotype" w:hAnsi="Palatino Linotype" w:cs="Palatino Linotype"/>
          <w:b/>
          <w:bCs/>
        </w:rPr>
      </w:pPr>
      <w:r>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 fecha</w:t>
      </w:r>
      <w:r w:rsidR="00A372D2">
        <w:rPr>
          <w:rFonts w:ascii="Palatino Linotype" w:eastAsia="Palatino Linotype" w:hAnsi="Palatino Linotype" w:cs="Palatino Linotype"/>
          <w:b/>
          <w:bCs/>
        </w:rPr>
        <w:t xml:space="preserve"> veinticinco</w:t>
      </w:r>
      <w:r w:rsidR="00CA33A7">
        <w:rPr>
          <w:rFonts w:ascii="Palatino Linotype" w:eastAsia="Palatino Linotype" w:hAnsi="Palatino Linotype" w:cs="Palatino Linotype"/>
          <w:b/>
          <w:bCs/>
        </w:rPr>
        <w:t xml:space="preserve"> (25)</w:t>
      </w:r>
      <w:r w:rsidR="00A372D2">
        <w:rPr>
          <w:rFonts w:ascii="Palatino Linotype" w:eastAsia="Palatino Linotype" w:hAnsi="Palatino Linotype" w:cs="Palatino Linotype"/>
          <w:b/>
          <w:bCs/>
        </w:rPr>
        <w:t xml:space="preserve"> </w:t>
      </w:r>
      <w:r>
        <w:rPr>
          <w:rFonts w:ascii="Palatino Linotype" w:eastAsia="Palatino Linotype" w:hAnsi="Palatino Linotype" w:cs="Palatino Linotype"/>
          <w:b/>
          <w:bCs/>
        </w:rPr>
        <w:t>de junio de dos mil veintiséis.</w:t>
      </w:r>
    </w:p>
    <w:p w:rsidR="006F3F06" w:rsidRDefault="006F3F06">
      <w:pPr>
        <w:tabs>
          <w:tab w:val="left" w:pos="3465"/>
        </w:tabs>
        <w:spacing w:line="360" w:lineRule="auto"/>
        <w:ind w:right="-787"/>
        <w:jc w:val="both"/>
        <w:rPr>
          <w:rFonts w:ascii="Palatino Linotype" w:eastAsia="Palatino Linotype" w:hAnsi="Palatino Linotype" w:cs="Palatino Linotype"/>
        </w:rPr>
      </w:pPr>
    </w:p>
    <w:p w:rsidR="006F3F06" w:rsidRDefault="000E53DF">
      <w:pPr>
        <w:spacing w:line="360" w:lineRule="auto"/>
        <w:ind w:right="-787"/>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rPr>
        <w:t xml:space="preserve">VISTAS </w:t>
      </w:r>
      <w:r>
        <w:rPr>
          <w:rFonts w:ascii="Palatino Linotype" w:eastAsia="Palatino Linotype" w:hAnsi="Palatino Linotype" w:cs="Palatino Linotype"/>
        </w:rPr>
        <w:t xml:space="preserve">las constancias para resolver </w:t>
      </w:r>
      <w:r>
        <w:rPr>
          <w:rFonts w:ascii="Palatino Linotype" w:eastAsia="Palatino Linotype" w:hAnsi="Palatino Linotype" w:cs="Palatino Linotype"/>
          <w:color w:val="000000"/>
        </w:rPr>
        <w:t xml:space="preserve">el Recurso de Revisión </w:t>
      </w:r>
      <w:r>
        <w:rPr>
          <w:rFonts w:ascii="Palatino Linotype" w:eastAsia="Palatino Linotype" w:hAnsi="Palatino Linotype" w:cs="Palatino Linotype"/>
          <w:b/>
          <w:bCs/>
          <w:color w:val="000000"/>
        </w:rPr>
        <w:t>02878/INFOEM/IP/RR/2026</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bCs/>
          <w:color w:val="000000"/>
        </w:rPr>
        <w:t>promovido de manera anónima</w:t>
      </w:r>
      <w:r>
        <w:rPr>
          <w:rFonts w:ascii="Palatino Linotype" w:eastAsia="Palatino Linotype" w:hAnsi="Palatino Linotype" w:cs="Palatino Linotype"/>
          <w:color w:val="000000"/>
        </w:rPr>
        <w:t>,</w:t>
      </w:r>
      <w:r>
        <w:rPr>
          <w:rFonts w:ascii="Palatino Linotype" w:eastAsia="Palatino Linotype" w:hAnsi="Palatino Linotype" w:cs="Palatino Linotype"/>
        </w:rPr>
        <w:t xml:space="preserve"> en lo sucesivo </w:t>
      </w:r>
      <w:r>
        <w:rPr>
          <w:rFonts w:ascii="Palatino Linotype" w:eastAsia="Palatino Linotype" w:hAnsi="Palatino Linotype" w:cs="Palatino Linotype"/>
          <w:b/>
          <w:bCs/>
        </w:rPr>
        <w:t>EL RECURRENTE</w:t>
      </w:r>
      <w:r>
        <w:rPr>
          <w:rFonts w:ascii="Palatino Linotype" w:eastAsia="Palatino Linotype" w:hAnsi="Palatino Linotype" w:cs="Palatino Linotype"/>
        </w:rPr>
        <w:t xml:space="preserve">, en contra de la respuesta otorgada a la solicitud de información </w:t>
      </w:r>
      <w:r>
        <w:rPr>
          <w:rFonts w:ascii="Palatino Linotype" w:eastAsia="Palatino Linotype" w:hAnsi="Palatino Linotype" w:cs="Palatino Linotype"/>
          <w:b/>
          <w:bCs/>
        </w:rPr>
        <w:t>00806/TOLUCA/IP/2026</w:t>
      </w:r>
      <w:r>
        <w:rPr>
          <w:rFonts w:ascii="Palatino Linotype" w:eastAsia="Palatino Linotype" w:hAnsi="Palatino Linotype" w:cs="Palatino Linotype"/>
        </w:rPr>
        <w:t xml:space="preserve">, por parte del </w:t>
      </w:r>
      <w:r>
        <w:rPr>
          <w:rFonts w:ascii="Palatino Linotype" w:eastAsia="Palatino Linotype" w:hAnsi="Palatino Linotype" w:cs="Palatino Linotype"/>
          <w:b/>
          <w:bCs/>
        </w:rPr>
        <w:t xml:space="preserve">Ayuntamiento de Toluca, </w:t>
      </w:r>
      <w:r>
        <w:rPr>
          <w:rFonts w:ascii="Palatino Linotype" w:eastAsia="Palatino Linotype" w:hAnsi="Palatino Linotype" w:cs="Palatino Linotype"/>
        </w:rPr>
        <w:t xml:space="preserve">en adelante el </w:t>
      </w:r>
      <w:r>
        <w:rPr>
          <w:rFonts w:ascii="Palatino Linotype" w:eastAsia="Palatino Linotype" w:hAnsi="Palatino Linotype" w:cs="Palatino Linotype"/>
          <w:b/>
          <w:bCs/>
        </w:rPr>
        <w:t>SUJETO OBLIGADO</w:t>
      </w:r>
      <w:r>
        <w:rPr>
          <w:rFonts w:ascii="Palatino Linotype" w:eastAsia="Palatino Linotype" w:hAnsi="Palatino Linotype" w:cs="Palatino Linotype"/>
        </w:rPr>
        <w:t xml:space="preserve">, se emite la presente resolución con base en los siguientes: </w:t>
      </w:r>
    </w:p>
    <w:p w:rsidR="006F3F06" w:rsidRDefault="006F3F06">
      <w:pPr>
        <w:ind w:right="-788"/>
        <w:jc w:val="both"/>
        <w:rPr>
          <w:rFonts w:ascii="Palatino Linotype" w:eastAsia="Palatino Linotype" w:hAnsi="Palatino Linotype" w:cs="Palatino Linotype"/>
        </w:rPr>
      </w:pPr>
    </w:p>
    <w:p w:rsidR="006F3F06" w:rsidRDefault="000E53DF">
      <w:pPr>
        <w:pStyle w:val="Ttulo1"/>
        <w:spacing w:before="0" w:line="360" w:lineRule="auto"/>
        <w:ind w:right="-787"/>
        <w:jc w:val="center"/>
        <w:rPr>
          <w:rFonts w:ascii="Palatino Linotype" w:eastAsia="Palatino Linotype" w:hAnsi="Palatino Linotype" w:cs="Palatino Linotype"/>
          <w:b/>
          <w:bCs/>
          <w:color w:val="000000"/>
          <w:sz w:val="24"/>
          <w:szCs w:val="24"/>
        </w:rPr>
      </w:pPr>
      <w:bookmarkStart w:id="0" w:name="_heading=h.gjdgxs" w:colFirst="0" w:colLast="0"/>
      <w:bookmarkEnd w:id="0"/>
      <w:r>
        <w:rPr>
          <w:rFonts w:ascii="Palatino Linotype" w:eastAsia="Palatino Linotype" w:hAnsi="Palatino Linotype" w:cs="Palatino Linotype"/>
          <w:b/>
          <w:bCs/>
          <w:color w:val="000000"/>
          <w:sz w:val="24"/>
          <w:szCs w:val="24"/>
        </w:rPr>
        <w:t>A N T E C E D E N T E S</w:t>
      </w:r>
    </w:p>
    <w:p w:rsidR="006F3F06" w:rsidRDefault="006F3F06">
      <w:pPr>
        <w:pBdr>
          <w:top w:val="nil"/>
          <w:left w:val="nil"/>
          <w:bottom w:val="nil"/>
          <w:right w:val="nil"/>
          <w:between w:val="nil"/>
        </w:pBdr>
        <w:ind w:right="-788"/>
        <w:jc w:val="both"/>
        <w:rPr>
          <w:rFonts w:ascii="Palatino Linotype" w:eastAsia="Palatino Linotype" w:hAnsi="Palatino Linotype" w:cs="Palatino Linotype"/>
          <w:b/>
          <w:bCs/>
          <w:color w:val="000000"/>
          <w:u w:val="single"/>
        </w:rPr>
      </w:pPr>
    </w:p>
    <w:p w:rsidR="006F3F06" w:rsidRDefault="000E53DF">
      <w:pPr>
        <w:numPr>
          <w:ilvl w:val="0"/>
          <w:numId w:val="2"/>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bCs/>
          <w:color w:val="000000"/>
        </w:rPr>
        <w:t>veintiséis de enero de dos mil veintiséis</w:t>
      </w:r>
      <w:r>
        <w:rPr>
          <w:rFonts w:ascii="Palatino Linotype" w:eastAsia="Palatino Linotype" w:hAnsi="Palatino Linotype" w:cs="Palatino Linotype"/>
          <w:color w:val="000000"/>
        </w:rPr>
        <w:t>,</w:t>
      </w:r>
      <w:r>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color w:val="000000"/>
        </w:rPr>
        <w:t xml:space="preserve">se presentó ante el Sujeto Obligado vía Sistema de Acceso a la Información Mexiquense, en adelante SAIMEX, la siguiente </w:t>
      </w:r>
      <w:r>
        <w:rPr>
          <w:rFonts w:ascii="Palatino Linotype" w:eastAsia="Palatino Linotype" w:hAnsi="Palatino Linotype" w:cs="Palatino Linotype"/>
          <w:b/>
          <w:bCs/>
          <w:color w:val="000000"/>
        </w:rPr>
        <w:t>solicitud de información</w:t>
      </w:r>
      <w:r>
        <w:rPr>
          <w:rFonts w:ascii="Palatino Linotype" w:eastAsia="Palatino Linotype" w:hAnsi="Palatino Linotype" w:cs="Palatino Linotype"/>
          <w:color w:val="000000"/>
        </w:rPr>
        <w:t xml:space="preserve"> pública:</w:t>
      </w:r>
    </w:p>
    <w:p w:rsidR="006F3F06" w:rsidRDefault="006F3F06">
      <w:pPr>
        <w:pBdr>
          <w:top w:val="nil"/>
          <w:left w:val="nil"/>
          <w:bottom w:val="nil"/>
          <w:right w:val="nil"/>
          <w:between w:val="nil"/>
        </w:pBdr>
        <w:ind w:right="-788"/>
        <w:jc w:val="both"/>
        <w:rPr>
          <w:rFonts w:ascii="Palatino Linotype" w:eastAsia="Palatino Linotype" w:hAnsi="Palatino Linotype" w:cs="Palatino Linotype"/>
          <w:color w:val="000000"/>
        </w:rPr>
      </w:pPr>
    </w:p>
    <w:p w:rsidR="006F3F06" w:rsidRDefault="000E53DF">
      <w:pPr>
        <w:pBdr>
          <w:top w:val="nil"/>
          <w:left w:val="nil"/>
          <w:bottom w:val="nil"/>
          <w:right w:val="nil"/>
          <w:between w:val="nil"/>
        </w:pBdr>
        <w:ind w:left="567" w:right="-220"/>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 “TODOS LOS CONTRATOS QUE REALIZO LA ADMINISTRACIÓN Y LOS PROYECTOS TECNICOS, FACTURAS PAGADAS ACTAS DEL COMITE DE ADQUISIONES LA LICITACIÓN Y SI FUE ASIGNACIÓ DIRECTA LA JUSTIFICACIÓN CON EL MONTO AUTORIZADO PARA SER DIRECTA DE TODAS LAS OBRAS, PAVIMEITACIÓN, RENCAPRTAMIENTO Y BACHEO EN EL MUNICIPIO DEL 1 ENERO DE 2025 AL 26 DE ENERO DE 2026 Y NO ESTAN IPOEX POR ESO SE PIDEN POR SAIMEX.” (Sic)</w:t>
      </w:r>
    </w:p>
    <w:p w:rsidR="006F3F06" w:rsidRDefault="000E53DF">
      <w:pPr>
        <w:pBdr>
          <w:top w:val="nil"/>
          <w:left w:val="nil"/>
          <w:bottom w:val="nil"/>
          <w:right w:val="nil"/>
          <w:between w:val="nil"/>
        </w:pBdr>
        <w:tabs>
          <w:tab w:val="left" w:pos="3217"/>
        </w:tabs>
        <w:ind w:right="-78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b/>
      </w:r>
    </w:p>
    <w:p w:rsidR="006F3F06" w:rsidRDefault="006F3F06">
      <w:pPr>
        <w:pBdr>
          <w:top w:val="nil"/>
          <w:left w:val="nil"/>
          <w:bottom w:val="nil"/>
          <w:right w:val="nil"/>
          <w:between w:val="nil"/>
        </w:pBdr>
        <w:tabs>
          <w:tab w:val="left" w:pos="3217"/>
        </w:tabs>
        <w:ind w:right="-788"/>
        <w:jc w:val="both"/>
        <w:rPr>
          <w:rFonts w:ascii="Palatino Linotype" w:eastAsia="Palatino Linotype" w:hAnsi="Palatino Linotype" w:cs="Palatino Linotype"/>
        </w:rPr>
      </w:pPr>
    </w:p>
    <w:p w:rsidR="006F3F06" w:rsidRDefault="006F3F06">
      <w:pPr>
        <w:pBdr>
          <w:top w:val="nil"/>
          <w:left w:val="nil"/>
          <w:bottom w:val="nil"/>
          <w:right w:val="nil"/>
          <w:between w:val="nil"/>
        </w:pBdr>
        <w:tabs>
          <w:tab w:val="left" w:pos="3217"/>
        </w:tabs>
        <w:ind w:right="-788"/>
        <w:jc w:val="both"/>
        <w:rPr>
          <w:rFonts w:ascii="Palatino Linotype" w:eastAsia="Palatino Linotype" w:hAnsi="Palatino Linotype" w:cs="Palatino Linotype"/>
        </w:rPr>
      </w:pPr>
    </w:p>
    <w:p w:rsidR="006F3F06" w:rsidRDefault="000E53DF">
      <w:pPr>
        <w:numPr>
          <w:ilvl w:val="0"/>
          <w:numId w:val="9"/>
        </w:numPr>
        <w:pBdr>
          <w:top w:val="nil"/>
          <w:left w:val="nil"/>
          <w:bottom w:val="nil"/>
          <w:right w:val="nil"/>
          <w:between w:val="nil"/>
        </w:pBdr>
        <w:tabs>
          <w:tab w:val="left" w:pos="0"/>
        </w:tabs>
        <w:spacing w:line="360" w:lineRule="auto"/>
        <w:ind w:left="709" w:right="-78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Se eligió como modalidad de entrega de la información: A través del </w:t>
      </w:r>
      <w:r>
        <w:rPr>
          <w:rFonts w:ascii="Palatino Linotype" w:eastAsia="Palatino Linotype" w:hAnsi="Palatino Linotype" w:cs="Palatino Linotype"/>
          <w:b/>
          <w:bCs/>
          <w:color w:val="000000"/>
        </w:rPr>
        <w:t>SAIMEX.</w:t>
      </w:r>
    </w:p>
    <w:p w:rsidR="006F3F06" w:rsidRDefault="006F3F06">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b/>
          <w:bCs/>
          <w:i/>
          <w:iCs/>
          <w:color w:val="000000"/>
        </w:rPr>
      </w:pPr>
    </w:p>
    <w:p w:rsidR="006F3F06" w:rsidRDefault="000E53DF">
      <w:pPr>
        <w:numPr>
          <w:ilvl w:val="0"/>
          <w:numId w:val="2"/>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b/>
          <w:bCs/>
          <w:color w:val="000000"/>
        </w:rPr>
      </w:pPr>
      <w:r>
        <w:rPr>
          <w:rFonts w:ascii="Palatino Linotype" w:eastAsia="Palatino Linotype" w:hAnsi="Palatino Linotype" w:cs="Palatino Linotype"/>
          <w:color w:val="000000"/>
        </w:rPr>
        <w:lastRenderedPageBreak/>
        <w:t xml:space="preserve">El </w:t>
      </w:r>
      <w:r>
        <w:rPr>
          <w:rFonts w:ascii="Palatino Linotype" w:eastAsia="Palatino Linotype" w:hAnsi="Palatino Linotype" w:cs="Palatino Linotype"/>
          <w:b/>
          <w:bCs/>
          <w:color w:val="000000"/>
        </w:rPr>
        <w:t>dieciséis de febrero de dos mil veintiséis</w:t>
      </w:r>
      <w:r>
        <w:rPr>
          <w:rFonts w:ascii="Palatino Linotype" w:eastAsia="Palatino Linotype" w:hAnsi="Palatino Linotype" w:cs="Palatino Linotype"/>
          <w:color w:val="000000"/>
        </w:rPr>
        <w:t xml:space="preserve">, el Sujeto Obligado notificó </w:t>
      </w:r>
      <w:r>
        <w:rPr>
          <w:rFonts w:ascii="Palatino Linotype" w:eastAsia="Palatino Linotype" w:hAnsi="Palatino Linotype" w:cs="Palatino Linotype"/>
          <w:b/>
          <w:bCs/>
          <w:color w:val="000000"/>
        </w:rPr>
        <w:t>prórroga</w:t>
      </w:r>
      <w:r>
        <w:rPr>
          <w:rFonts w:ascii="Palatino Linotype" w:eastAsia="Palatino Linotype" w:hAnsi="Palatino Linotype" w:cs="Palatino Linotype"/>
          <w:color w:val="000000"/>
        </w:rPr>
        <w:t xml:space="preserve"> por siete días hábiles más, misma que refirió ser procedente, bajo el acuerdo CT/SE/68/03/2026., en la Sexagésima Octava Sesión Extraordinaria 2026 del Comité de Transparencia, sin anexar el acta señalada, contraviniendo lo establecido en el artículo 163 de la Ley de Transparencia Local.</w:t>
      </w:r>
    </w:p>
    <w:p w:rsidR="006F3F06" w:rsidRDefault="006F3F06">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b/>
          <w:bCs/>
          <w:color w:val="000000"/>
        </w:rPr>
      </w:pPr>
    </w:p>
    <w:p w:rsidR="006F3F06" w:rsidRDefault="000E53DF">
      <w:pPr>
        <w:numPr>
          <w:ilvl w:val="0"/>
          <w:numId w:val="2"/>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b/>
          <w:bCs/>
          <w:color w:val="000000"/>
        </w:rPr>
      </w:pPr>
      <w:r>
        <w:rPr>
          <w:rFonts w:ascii="Palatino Linotype" w:eastAsia="Palatino Linotype" w:hAnsi="Palatino Linotype" w:cs="Palatino Linotype"/>
          <w:color w:val="000000"/>
        </w:rPr>
        <w:t>El</w:t>
      </w:r>
      <w:r>
        <w:rPr>
          <w:rFonts w:ascii="Palatino Linotype" w:eastAsia="Palatino Linotype" w:hAnsi="Palatino Linotype" w:cs="Palatino Linotype"/>
          <w:b/>
          <w:bCs/>
          <w:color w:val="000000"/>
        </w:rPr>
        <w:t xml:space="preserve"> veintiséis de febrero de dos mil veintiséis</w:t>
      </w:r>
      <w:r>
        <w:rPr>
          <w:rFonts w:ascii="Palatino Linotype" w:eastAsia="Palatino Linotype" w:hAnsi="Palatino Linotype" w:cs="Palatino Linotype"/>
          <w:color w:val="000000"/>
        </w:rPr>
        <w:t>, el Sujeto Obligado</w:t>
      </w:r>
      <w:r>
        <w:rPr>
          <w:rFonts w:ascii="Palatino Linotype" w:eastAsia="Palatino Linotype" w:hAnsi="Palatino Linotype" w:cs="Palatino Linotype"/>
          <w:b/>
          <w:bCs/>
          <w:color w:val="000000"/>
        </w:rPr>
        <w:t>,</w:t>
      </w:r>
      <w:r>
        <w:rPr>
          <w:rFonts w:ascii="Palatino Linotype" w:eastAsia="Palatino Linotype" w:hAnsi="Palatino Linotype" w:cs="Palatino Linotype"/>
          <w:color w:val="000000"/>
        </w:rPr>
        <w:t xml:space="preserve"> dio </w:t>
      </w:r>
      <w:r>
        <w:rPr>
          <w:rFonts w:ascii="Palatino Linotype" w:eastAsia="Palatino Linotype" w:hAnsi="Palatino Linotype" w:cs="Palatino Linotype"/>
          <w:b/>
          <w:bCs/>
          <w:color w:val="000000"/>
        </w:rPr>
        <w:t>respuesta</w:t>
      </w:r>
      <w:r>
        <w:rPr>
          <w:rFonts w:ascii="Palatino Linotype" w:eastAsia="Palatino Linotype" w:hAnsi="Palatino Linotype" w:cs="Palatino Linotype"/>
          <w:color w:val="000000"/>
        </w:rPr>
        <w:t xml:space="preserve"> adjuntando los archivos digitales siguientes</w:t>
      </w:r>
      <w:r>
        <w:rPr>
          <w:rFonts w:ascii="Palatino Linotype" w:eastAsia="Palatino Linotype" w:hAnsi="Palatino Linotype" w:cs="Palatino Linotype"/>
          <w:b/>
          <w:bCs/>
          <w:i/>
          <w:iCs/>
          <w:color w:val="000000"/>
        </w:rPr>
        <w:t>:</w:t>
      </w:r>
    </w:p>
    <w:p w:rsidR="006F3F06" w:rsidRDefault="000E53DF">
      <w:pPr>
        <w:numPr>
          <w:ilvl w:val="0"/>
          <w:numId w:val="5"/>
        </w:numPr>
        <w:pBdr>
          <w:top w:val="nil"/>
          <w:left w:val="nil"/>
          <w:bottom w:val="nil"/>
          <w:right w:val="nil"/>
          <w:between w:val="nil"/>
        </w:pBdr>
        <w:ind w:right="-788"/>
        <w:jc w:val="both"/>
        <w:rPr>
          <w:rFonts w:ascii="Palatino Linotype" w:eastAsia="Palatino Linotype" w:hAnsi="Palatino Linotype" w:cs="Palatino Linotype"/>
          <w:b/>
          <w:bCs/>
          <w:i/>
          <w:iCs/>
          <w:color w:val="000000"/>
        </w:rPr>
      </w:pPr>
      <w:r>
        <w:rPr>
          <w:rFonts w:ascii="Palatino Linotype" w:eastAsia="Palatino Linotype" w:hAnsi="Palatino Linotype" w:cs="Palatino Linotype"/>
          <w:b/>
          <w:bCs/>
          <w:i/>
          <w:iCs/>
          <w:color w:val="000000"/>
        </w:rPr>
        <w:t>EST-ANALI-EJERC-PRES-EGR-CLASIFICACION-ECONOMICA-POR-T-DE-GASTO-DEL-1-DE-ENERO-AL-30-DE-JUNIO-2025.pdf</w:t>
      </w:r>
    </w:p>
    <w:p w:rsidR="006F3F06" w:rsidRDefault="000E53DF">
      <w:pPr>
        <w:pBdr>
          <w:top w:val="nil"/>
          <w:left w:val="nil"/>
          <w:bottom w:val="nil"/>
          <w:right w:val="nil"/>
          <w:between w:val="nil"/>
        </w:pBdr>
        <w:ind w:left="567" w:right="-78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Estado analítico del ejercicio del presupuesto de egresos. Clasificación económica (por tipo de gasto), del 01 de enero al 30 de junio de 2025.</w:t>
      </w:r>
    </w:p>
    <w:p w:rsidR="006F3F06" w:rsidRDefault="006F3F06">
      <w:pPr>
        <w:pBdr>
          <w:top w:val="nil"/>
          <w:left w:val="nil"/>
          <w:bottom w:val="nil"/>
          <w:right w:val="nil"/>
          <w:between w:val="nil"/>
        </w:pBdr>
        <w:ind w:right="-788"/>
        <w:jc w:val="both"/>
        <w:rPr>
          <w:rFonts w:ascii="Palatino Linotype" w:eastAsia="Palatino Linotype" w:hAnsi="Palatino Linotype" w:cs="Palatino Linotype"/>
          <w:b/>
          <w:bCs/>
          <w:i/>
          <w:iCs/>
          <w:color w:val="000000"/>
        </w:rPr>
      </w:pPr>
    </w:p>
    <w:p w:rsidR="006F3F06" w:rsidRDefault="000E53DF">
      <w:pPr>
        <w:numPr>
          <w:ilvl w:val="0"/>
          <w:numId w:val="5"/>
        </w:numPr>
        <w:pBdr>
          <w:top w:val="nil"/>
          <w:left w:val="nil"/>
          <w:bottom w:val="nil"/>
          <w:right w:val="nil"/>
          <w:between w:val="nil"/>
        </w:pBdr>
        <w:ind w:right="-788"/>
        <w:jc w:val="both"/>
        <w:rPr>
          <w:rFonts w:ascii="Palatino Linotype" w:eastAsia="Palatino Linotype" w:hAnsi="Palatino Linotype" w:cs="Palatino Linotype"/>
          <w:b/>
          <w:bCs/>
          <w:i/>
          <w:iCs/>
          <w:color w:val="000000"/>
        </w:rPr>
      </w:pPr>
      <w:r>
        <w:rPr>
          <w:rFonts w:ascii="Palatino Linotype" w:eastAsia="Palatino Linotype" w:hAnsi="Palatino Linotype" w:cs="Palatino Linotype"/>
          <w:b/>
          <w:bCs/>
          <w:i/>
          <w:iCs/>
          <w:color w:val="000000"/>
        </w:rPr>
        <w:t>EST-ANALI-EJERC-PRES-EGR-CLASIFICACION-ADMINISTRATIVA-DEL-1-DE-ENERO-AL-30-DE-JUNIO-2025 (1).pdf</w:t>
      </w:r>
    </w:p>
    <w:p w:rsidR="006F3F06" w:rsidRDefault="000E53DF">
      <w:pPr>
        <w:pBdr>
          <w:top w:val="nil"/>
          <w:left w:val="nil"/>
          <w:bottom w:val="nil"/>
          <w:right w:val="nil"/>
          <w:between w:val="nil"/>
        </w:pBdr>
        <w:ind w:left="567" w:right="-78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Estado analítico del ejercicio del presupuesto de egresos. Clasificación administrativa, del 01 de enero al 30 de junio de 2025.</w:t>
      </w:r>
    </w:p>
    <w:p w:rsidR="006F3F06" w:rsidRDefault="006F3F06">
      <w:pPr>
        <w:pBdr>
          <w:top w:val="nil"/>
          <w:left w:val="nil"/>
          <w:bottom w:val="nil"/>
          <w:right w:val="nil"/>
          <w:between w:val="nil"/>
        </w:pBdr>
        <w:ind w:right="-788"/>
        <w:jc w:val="both"/>
        <w:rPr>
          <w:rFonts w:ascii="Palatino Linotype" w:eastAsia="Palatino Linotype" w:hAnsi="Palatino Linotype" w:cs="Palatino Linotype"/>
          <w:b/>
          <w:bCs/>
          <w:i/>
          <w:iCs/>
          <w:color w:val="000000"/>
        </w:rPr>
      </w:pPr>
    </w:p>
    <w:p w:rsidR="006F3F06" w:rsidRDefault="000E53DF">
      <w:pPr>
        <w:numPr>
          <w:ilvl w:val="0"/>
          <w:numId w:val="5"/>
        </w:numPr>
        <w:pBdr>
          <w:top w:val="nil"/>
          <w:left w:val="nil"/>
          <w:bottom w:val="nil"/>
          <w:right w:val="nil"/>
          <w:between w:val="nil"/>
        </w:pBdr>
        <w:ind w:right="-788"/>
        <w:jc w:val="both"/>
        <w:rPr>
          <w:rFonts w:ascii="Palatino Linotype" w:eastAsia="Palatino Linotype" w:hAnsi="Palatino Linotype" w:cs="Palatino Linotype"/>
          <w:b/>
          <w:bCs/>
          <w:i/>
          <w:iCs/>
          <w:color w:val="000000"/>
        </w:rPr>
      </w:pPr>
      <w:r>
        <w:rPr>
          <w:rFonts w:ascii="Palatino Linotype" w:eastAsia="Palatino Linotype" w:hAnsi="Palatino Linotype" w:cs="Palatino Linotype"/>
          <w:b/>
          <w:bCs/>
          <w:i/>
          <w:iCs/>
          <w:color w:val="000000"/>
        </w:rPr>
        <w:t>EST-ANALI-EJERC-PRES-EGR-CLASIFICACION-FUNCIONAL-DEL-1-DE-ENERO-AL-30-DE-JUNIO-2025.pdf</w:t>
      </w:r>
    </w:p>
    <w:p w:rsidR="006F3F06" w:rsidRDefault="000E53DF">
      <w:pPr>
        <w:pBdr>
          <w:top w:val="nil"/>
          <w:left w:val="nil"/>
          <w:bottom w:val="nil"/>
          <w:right w:val="nil"/>
          <w:between w:val="nil"/>
        </w:pBdr>
        <w:ind w:left="567" w:right="-78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Estado analítico del ejercicio del presupuesto de egresos. Clasificación funcional (finalidad y función), del 01 de enero al 30 de junio de 2025.</w:t>
      </w:r>
    </w:p>
    <w:p w:rsidR="006F3F06" w:rsidRDefault="006F3F06">
      <w:pPr>
        <w:pBdr>
          <w:top w:val="nil"/>
          <w:left w:val="nil"/>
          <w:bottom w:val="nil"/>
          <w:right w:val="nil"/>
          <w:between w:val="nil"/>
        </w:pBdr>
        <w:ind w:right="-788"/>
        <w:jc w:val="both"/>
        <w:rPr>
          <w:rFonts w:ascii="Palatino Linotype" w:eastAsia="Palatino Linotype" w:hAnsi="Palatino Linotype" w:cs="Palatino Linotype"/>
          <w:b/>
          <w:bCs/>
          <w:i/>
          <w:iCs/>
          <w:color w:val="000000"/>
        </w:rPr>
      </w:pPr>
    </w:p>
    <w:p w:rsidR="006F3F06" w:rsidRDefault="000E53DF">
      <w:pPr>
        <w:numPr>
          <w:ilvl w:val="0"/>
          <w:numId w:val="5"/>
        </w:numPr>
        <w:pBdr>
          <w:top w:val="nil"/>
          <w:left w:val="nil"/>
          <w:bottom w:val="nil"/>
          <w:right w:val="nil"/>
          <w:between w:val="nil"/>
        </w:pBdr>
        <w:ind w:right="-788"/>
        <w:jc w:val="both"/>
        <w:rPr>
          <w:rFonts w:ascii="Palatino Linotype" w:eastAsia="Palatino Linotype" w:hAnsi="Palatino Linotype" w:cs="Palatino Linotype"/>
          <w:b/>
          <w:bCs/>
          <w:i/>
          <w:iCs/>
          <w:color w:val="000000"/>
        </w:rPr>
      </w:pPr>
      <w:r>
        <w:rPr>
          <w:rFonts w:ascii="Palatino Linotype" w:eastAsia="Palatino Linotype" w:hAnsi="Palatino Linotype" w:cs="Palatino Linotype"/>
          <w:b/>
          <w:bCs/>
          <w:i/>
          <w:iCs/>
          <w:color w:val="000000"/>
        </w:rPr>
        <w:t>EST-ANALI-EJERC-PRES-EG-OBJETO-DEL-GASTO-CAP-Y-CONC-DEL-1-DE-ENERO-AL-30-DE-JUNIO-2025.pdf</w:t>
      </w:r>
    </w:p>
    <w:p w:rsidR="006F3F06" w:rsidRDefault="000E53DF">
      <w:pPr>
        <w:pBdr>
          <w:top w:val="nil"/>
          <w:left w:val="nil"/>
          <w:bottom w:val="nil"/>
          <w:right w:val="nil"/>
          <w:between w:val="nil"/>
        </w:pBdr>
        <w:ind w:left="567" w:right="-78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Estado analítico del ejercicio del presupuesto de egresos. Clasificación por objeto del gasto (capitulo y concepto), del 01 de enero al 30 de junio de 2025.</w:t>
      </w:r>
    </w:p>
    <w:p w:rsidR="006F3F06" w:rsidRDefault="006F3F06">
      <w:pPr>
        <w:pBdr>
          <w:top w:val="nil"/>
          <w:left w:val="nil"/>
          <w:bottom w:val="nil"/>
          <w:right w:val="nil"/>
          <w:between w:val="nil"/>
        </w:pBdr>
        <w:ind w:right="-788"/>
        <w:jc w:val="both"/>
        <w:rPr>
          <w:rFonts w:ascii="Palatino Linotype" w:eastAsia="Palatino Linotype" w:hAnsi="Palatino Linotype" w:cs="Palatino Linotype"/>
          <w:b/>
          <w:bCs/>
          <w:i/>
          <w:iCs/>
          <w:color w:val="000000"/>
        </w:rPr>
      </w:pPr>
    </w:p>
    <w:p w:rsidR="006F3F06" w:rsidRDefault="000E53DF">
      <w:pPr>
        <w:pBdr>
          <w:top w:val="nil"/>
          <w:left w:val="nil"/>
          <w:bottom w:val="nil"/>
          <w:right w:val="nil"/>
          <w:between w:val="nil"/>
        </w:pBdr>
        <w:ind w:left="567" w:right="-788"/>
        <w:jc w:val="both"/>
        <w:rPr>
          <w:rFonts w:ascii="Palatino Linotype" w:eastAsia="Palatino Linotype" w:hAnsi="Palatino Linotype" w:cs="Palatino Linotype"/>
          <w:b/>
          <w:bCs/>
          <w:i/>
          <w:iCs/>
          <w:color w:val="000000"/>
        </w:rPr>
      </w:pPr>
      <w:r>
        <w:rPr>
          <w:rFonts w:ascii="Palatino Linotype" w:eastAsia="Palatino Linotype" w:hAnsi="Palatino Linotype" w:cs="Palatino Linotype"/>
          <w:b/>
          <w:bCs/>
          <w:i/>
          <w:iCs/>
          <w:color w:val="000000"/>
        </w:rPr>
        <w:t>806.pdf</w:t>
      </w:r>
    </w:p>
    <w:p w:rsidR="006F3F06" w:rsidRDefault="000E53DF">
      <w:pPr>
        <w:pBdr>
          <w:top w:val="nil"/>
          <w:left w:val="nil"/>
          <w:bottom w:val="nil"/>
          <w:right w:val="nil"/>
          <w:between w:val="nil"/>
        </w:pBdr>
        <w:ind w:left="567" w:right="-78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Oficio: 202010000/00234/2026 de fecha 27 de enero de 2026, firmado por el </w:t>
      </w:r>
      <w:r>
        <w:rPr>
          <w:rFonts w:ascii="Palatino Linotype" w:eastAsia="Palatino Linotype" w:hAnsi="Palatino Linotype" w:cs="Palatino Linotype"/>
          <w:b/>
          <w:bCs/>
          <w:color w:val="000000"/>
        </w:rPr>
        <w:t>Tesorero Municipal</w:t>
      </w:r>
      <w:r>
        <w:rPr>
          <w:rFonts w:ascii="Palatino Linotype" w:eastAsia="Palatino Linotype" w:hAnsi="Palatino Linotype" w:cs="Palatino Linotype"/>
          <w:color w:val="000000"/>
        </w:rPr>
        <w:t>, a través del cual refiere remitir las documentales y liga en donde se podrá consultar la información requerida:</w:t>
      </w:r>
    </w:p>
    <w:p w:rsidR="006F3F06" w:rsidRDefault="006F3F06">
      <w:pPr>
        <w:pBdr>
          <w:top w:val="nil"/>
          <w:left w:val="nil"/>
          <w:bottom w:val="nil"/>
          <w:right w:val="nil"/>
          <w:between w:val="nil"/>
        </w:pBdr>
        <w:ind w:left="567" w:right="-788"/>
        <w:jc w:val="both"/>
        <w:rPr>
          <w:rFonts w:ascii="Palatino Linotype" w:eastAsia="Palatino Linotype" w:hAnsi="Palatino Linotype" w:cs="Palatino Linotype"/>
          <w:color w:val="000000"/>
        </w:rPr>
      </w:pPr>
    </w:p>
    <w:p w:rsidR="006F3F06" w:rsidRDefault="000E53DF">
      <w:pPr>
        <w:pBdr>
          <w:top w:val="nil"/>
          <w:left w:val="nil"/>
          <w:bottom w:val="nil"/>
          <w:right w:val="nil"/>
          <w:between w:val="nil"/>
        </w:pBdr>
        <w:ind w:left="567" w:right="-788"/>
        <w:jc w:val="center"/>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rPr>
        <w:drawing>
          <wp:inline distT="0" distB="0" distL="0" distR="0">
            <wp:extent cx="3805751" cy="686605"/>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805751" cy="686605"/>
                    </a:xfrm>
                    <a:prstGeom prst="rect">
                      <a:avLst/>
                    </a:prstGeom>
                    <a:ln/>
                  </pic:spPr>
                </pic:pic>
              </a:graphicData>
            </a:graphic>
          </wp:inline>
        </w:drawing>
      </w:r>
    </w:p>
    <w:p w:rsidR="006F3F06" w:rsidRDefault="006F3F06">
      <w:pPr>
        <w:pBdr>
          <w:top w:val="nil"/>
          <w:left w:val="nil"/>
          <w:bottom w:val="nil"/>
          <w:right w:val="nil"/>
          <w:between w:val="nil"/>
        </w:pBdr>
        <w:ind w:left="567" w:right="-788"/>
        <w:jc w:val="center"/>
        <w:rPr>
          <w:rFonts w:ascii="Palatino Linotype" w:eastAsia="Palatino Linotype" w:hAnsi="Palatino Linotype" w:cs="Palatino Linotype"/>
          <w:color w:val="000000"/>
        </w:rPr>
      </w:pPr>
    </w:p>
    <w:p w:rsidR="006F3F06" w:rsidRDefault="000E53DF">
      <w:pPr>
        <w:pBdr>
          <w:top w:val="nil"/>
          <w:left w:val="nil"/>
          <w:bottom w:val="nil"/>
          <w:right w:val="nil"/>
          <w:between w:val="nil"/>
        </w:pBdr>
        <w:ind w:left="567" w:right="-78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Asimismo, señala que los documentos solicitados, forman parte de la integración del cuarto informe trimestral de 2025, dicha integración es normada por los Lineamientos del Órgano Superior de Fiscalización del Estado de México. Anexando el link de los lineamientos.</w:t>
      </w:r>
    </w:p>
    <w:p w:rsidR="006F3F06" w:rsidRDefault="006F3F06">
      <w:pPr>
        <w:pBdr>
          <w:top w:val="nil"/>
          <w:left w:val="nil"/>
          <w:bottom w:val="nil"/>
          <w:right w:val="nil"/>
          <w:between w:val="nil"/>
        </w:pBdr>
        <w:ind w:left="567" w:right="-788"/>
        <w:jc w:val="both"/>
        <w:rPr>
          <w:rFonts w:ascii="Palatino Linotype" w:eastAsia="Palatino Linotype" w:hAnsi="Palatino Linotype" w:cs="Palatino Linotype"/>
          <w:b/>
          <w:bCs/>
          <w:i/>
          <w:iCs/>
          <w:color w:val="000000"/>
        </w:rPr>
      </w:pPr>
    </w:p>
    <w:p w:rsidR="006F3F06" w:rsidRDefault="000E53DF">
      <w:pPr>
        <w:pBdr>
          <w:top w:val="nil"/>
          <w:left w:val="nil"/>
          <w:bottom w:val="nil"/>
          <w:right w:val="nil"/>
          <w:between w:val="nil"/>
        </w:pBdr>
        <w:ind w:left="567" w:right="-788"/>
        <w:jc w:val="both"/>
        <w:rPr>
          <w:rFonts w:ascii="Palatino Linotype" w:eastAsia="Palatino Linotype" w:hAnsi="Palatino Linotype" w:cs="Palatino Linotype"/>
          <w:b/>
          <w:bCs/>
          <w:i/>
          <w:iCs/>
          <w:color w:val="000000"/>
        </w:rPr>
      </w:pPr>
      <w:r>
        <w:rPr>
          <w:rFonts w:ascii="Palatino Linotype" w:eastAsia="Palatino Linotype" w:hAnsi="Palatino Linotype" w:cs="Palatino Linotype"/>
          <w:b/>
          <w:bCs/>
          <w:i/>
          <w:iCs/>
          <w:color w:val="000000"/>
        </w:rPr>
        <w:t>NOT CIU INCOM SOL.806.pdf</w:t>
      </w:r>
    </w:p>
    <w:p w:rsidR="006F3F06" w:rsidRDefault="000E53DF">
      <w:pPr>
        <w:pBdr>
          <w:top w:val="nil"/>
          <w:left w:val="nil"/>
          <w:bottom w:val="nil"/>
          <w:right w:val="nil"/>
          <w:between w:val="nil"/>
        </w:pBdr>
        <w:ind w:left="567" w:right="-78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Número de Oficio: 206010000/0661/2026 de fecha 26 de enero de 2026, firmado por la </w:t>
      </w:r>
      <w:r>
        <w:rPr>
          <w:rFonts w:ascii="Palatino Linotype" w:eastAsia="Palatino Linotype" w:hAnsi="Palatino Linotype" w:cs="Palatino Linotype"/>
          <w:b/>
          <w:bCs/>
          <w:color w:val="000000"/>
        </w:rPr>
        <w:t>Directora General de Administración</w:t>
      </w:r>
      <w:r>
        <w:rPr>
          <w:rFonts w:ascii="Palatino Linotype" w:eastAsia="Palatino Linotype" w:hAnsi="Palatino Linotype" w:cs="Palatino Linotype"/>
          <w:color w:val="000000"/>
        </w:rPr>
        <w:t xml:space="preserve">, a través del cual refiere que el requerimiento de información solicitado, </w:t>
      </w:r>
      <w:r>
        <w:rPr>
          <w:rFonts w:ascii="Palatino Linotype" w:eastAsia="Palatino Linotype" w:hAnsi="Palatino Linotype" w:cs="Palatino Linotype"/>
          <w:b/>
          <w:bCs/>
          <w:color w:val="000000"/>
        </w:rPr>
        <w:t>no es competencia de la Dirección</w:t>
      </w:r>
      <w:r>
        <w:rPr>
          <w:rFonts w:ascii="Palatino Linotype" w:eastAsia="Palatino Linotype" w:hAnsi="Palatino Linotype" w:cs="Palatino Linotype"/>
          <w:color w:val="000000"/>
        </w:rPr>
        <w:t xml:space="preserve"> General de Administración.</w:t>
      </w:r>
    </w:p>
    <w:p w:rsidR="006F3F06" w:rsidRDefault="006F3F06">
      <w:pPr>
        <w:pBdr>
          <w:top w:val="nil"/>
          <w:left w:val="nil"/>
          <w:bottom w:val="nil"/>
          <w:right w:val="nil"/>
          <w:between w:val="nil"/>
        </w:pBdr>
        <w:ind w:left="567" w:right="-788"/>
        <w:jc w:val="both"/>
        <w:rPr>
          <w:rFonts w:ascii="Palatino Linotype" w:eastAsia="Palatino Linotype" w:hAnsi="Palatino Linotype" w:cs="Palatino Linotype"/>
          <w:b/>
          <w:bCs/>
          <w:i/>
          <w:iCs/>
          <w:color w:val="000000"/>
        </w:rPr>
      </w:pPr>
    </w:p>
    <w:p w:rsidR="006F3F06" w:rsidRDefault="000E53DF">
      <w:pPr>
        <w:pBdr>
          <w:top w:val="nil"/>
          <w:left w:val="nil"/>
          <w:bottom w:val="nil"/>
          <w:right w:val="nil"/>
          <w:between w:val="nil"/>
        </w:pBdr>
        <w:ind w:left="567" w:right="-788"/>
        <w:jc w:val="both"/>
        <w:rPr>
          <w:rFonts w:ascii="Palatino Linotype" w:eastAsia="Palatino Linotype" w:hAnsi="Palatino Linotype" w:cs="Palatino Linotype"/>
          <w:b/>
          <w:bCs/>
          <w:i/>
          <w:iCs/>
          <w:color w:val="000000"/>
        </w:rPr>
      </w:pPr>
      <w:r>
        <w:rPr>
          <w:rFonts w:ascii="Palatino Linotype" w:eastAsia="Palatino Linotype" w:hAnsi="Palatino Linotype" w:cs="Palatino Linotype"/>
          <w:b/>
          <w:bCs/>
          <w:i/>
          <w:iCs/>
          <w:color w:val="000000"/>
        </w:rPr>
        <w:t>Respuesta Saimex 00806.pdf</w:t>
      </w:r>
    </w:p>
    <w:p w:rsidR="006F3F06" w:rsidRDefault="000E53DF">
      <w:pPr>
        <w:pBdr>
          <w:top w:val="nil"/>
          <w:left w:val="nil"/>
          <w:bottom w:val="nil"/>
          <w:right w:val="nil"/>
          <w:between w:val="nil"/>
        </w:pBdr>
        <w:ind w:left="567" w:right="-78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Oficio 210010000/0549/2026 de fecha 20 de febrero de 2026, firmado por el </w:t>
      </w:r>
      <w:r>
        <w:rPr>
          <w:rFonts w:ascii="Palatino Linotype" w:eastAsia="Palatino Linotype" w:hAnsi="Palatino Linotype" w:cs="Palatino Linotype"/>
          <w:b/>
          <w:bCs/>
          <w:color w:val="000000"/>
        </w:rPr>
        <w:t>Director General de Obras Públicas</w:t>
      </w:r>
      <w:r>
        <w:rPr>
          <w:rFonts w:ascii="Palatino Linotype" w:eastAsia="Palatino Linotype" w:hAnsi="Palatino Linotype" w:cs="Palatino Linotype"/>
          <w:color w:val="000000"/>
        </w:rPr>
        <w:t>, señalando lo siguiente:</w:t>
      </w:r>
    </w:p>
    <w:p w:rsidR="006F3F06" w:rsidRDefault="006F3F06">
      <w:pPr>
        <w:pBdr>
          <w:top w:val="nil"/>
          <w:left w:val="nil"/>
          <w:bottom w:val="nil"/>
          <w:right w:val="nil"/>
          <w:between w:val="nil"/>
        </w:pBdr>
        <w:ind w:left="567" w:right="-788"/>
        <w:jc w:val="both"/>
        <w:rPr>
          <w:rFonts w:ascii="Palatino Linotype" w:eastAsia="Palatino Linotype" w:hAnsi="Palatino Linotype" w:cs="Palatino Linotype"/>
          <w:color w:val="000000"/>
        </w:rPr>
      </w:pPr>
    </w:p>
    <w:p w:rsidR="006F3F06" w:rsidRDefault="000E53DF">
      <w:pPr>
        <w:pBdr>
          <w:top w:val="nil"/>
          <w:left w:val="nil"/>
          <w:bottom w:val="nil"/>
          <w:right w:val="nil"/>
          <w:between w:val="nil"/>
        </w:pBdr>
        <w:ind w:left="567" w:right="-788"/>
        <w:jc w:val="both"/>
        <w:rPr>
          <w:rFonts w:ascii="Palatino Linotype" w:eastAsia="Palatino Linotype" w:hAnsi="Palatino Linotype" w:cs="Palatino Linotype"/>
          <w:i/>
          <w:iCs/>
          <w:color w:val="000000"/>
        </w:rPr>
      </w:pPr>
      <w:r>
        <w:rPr>
          <w:rFonts w:ascii="Palatino Linotype" w:eastAsia="Palatino Linotype" w:hAnsi="Palatino Linotype" w:cs="Palatino Linotype"/>
          <w:b/>
          <w:bCs/>
          <w:i/>
          <w:iCs/>
          <w:color w:val="000000"/>
        </w:rPr>
        <w:t>A)</w:t>
      </w:r>
      <w:r>
        <w:rPr>
          <w:rFonts w:ascii="Palatino Linotype" w:eastAsia="Palatino Linotype" w:hAnsi="Palatino Linotype" w:cs="Palatino Linotype"/>
          <w:i/>
          <w:iCs/>
          <w:color w:val="000000"/>
        </w:rPr>
        <w:t xml:space="preserve"> Respecto de "TODOS LOS </w:t>
      </w:r>
      <w:r>
        <w:rPr>
          <w:rFonts w:ascii="Palatino Linotype" w:eastAsia="Palatino Linotype" w:hAnsi="Palatino Linotype" w:cs="Palatino Linotype"/>
          <w:b/>
          <w:bCs/>
          <w:i/>
          <w:iCs/>
          <w:color w:val="000000"/>
        </w:rPr>
        <w:t>CONTRATOS</w:t>
      </w:r>
      <w:r>
        <w:rPr>
          <w:rFonts w:ascii="Palatino Linotype" w:eastAsia="Palatino Linotype" w:hAnsi="Palatino Linotype" w:cs="Palatino Linotype"/>
          <w:i/>
          <w:iCs/>
          <w:color w:val="000000"/>
        </w:rPr>
        <w:t xml:space="preserve"> QUE REALIZO LA ADMINISTRACIÓN Y LOS </w:t>
      </w:r>
      <w:r>
        <w:rPr>
          <w:rFonts w:ascii="Palatino Linotype" w:eastAsia="Palatino Linotype" w:hAnsi="Palatino Linotype" w:cs="Palatino Linotype"/>
          <w:b/>
          <w:bCs/>
          <w:i/>
          <w:iCs/>
          <w:color w:val="000000"/>
        </w:rPr>
        <w:t>PROYECTOS TECNICOS</w:t>
      </w:r>
      <w:r>
        <w:rPr>
          <w:rFonts w:ascii="Palatino Linotype" w:eastAsia="Palatino Linotype" w:hAnsi="Palatino Linotype" w:cs="Palatino Linotype"/>
          <w:i/>
          <w:iCs/>
          <w:color w:val="000000"/>
        </w:rPr>
        <w:t xml:space="preserve">,.. LA </w:t>
      </w:r>
      <w:r>
        <w:rPr>
          <w:rFonts w:ascii="Palatino Linotype" w:eastAsia="Palatino Linotype" w:hAnsi="Palatino Linotype" w:cs="Palatino Linotype"/>
          <w:b/>
          <w:bCs/>
          <w:i/>
          <w:iCs/>
          <w:color w:val="000000"/>
        </w:rPr>
        <w:t>LICITACIÓN</w:t>
      </w:r>
      <w:r>
        <w:rPr>
          <w:rFonts w:ascii="Palatino Linotype" w:eastAsia="Palatino Linotype" w:hAnsi="Palatino Linotype" w:cs="Palatino Linotype"/>
          <w:i/>
          <w:iCs/>
          <w:color w:val="000000"/>
        </w:rPr>
        <w:t xml:space="preserve">,.. DE TODAS LAS OBRAS, PAVIMEITACIÓN, RENCAPRTAMIENTO Y BACHEO EN EL MUNICIPIO DEL 1 ENERO DE 2025 AL 26 DE ENERO DE 2026..." (sic), </w:t>
      </w:r>
      <w:r>
        <w:rPr>
          <w:rFonts w:ascii="Palatino Linotype" w:eastAsia="Palatino Linotype" w:hAnsi="Palatino Linotype" w:cs="Palatino Linotype"/>
          <w:b/>
          <w:bCs/>
          <w:i/>
          <w:iCs/>
          <w:color w:val="000000"/>
        </w:rPr>
        <w:t>se localizaron los contratos</w:t>
      </w:r>
      <w:r>
        <w:rPr>
          <w:rFonts w:ascii="Palatino Linotype" w:eastAsia="Palatino Linotype" w:hAnsi="Palatino Linotype" w:cs="Palatino Linotype"/>
          <w:i/>
          <w:iCs/>
          <w:color w:val="000000"/>
        </w:rPr>
        <w:t xml:space="preserve">, los documentos que dan cuenta de </w:t>
      </w:r>
      <w:r>
        <w:rPr>
          <w:rFonts w:ascii="Palatino Linotype" w:eastAsia="Palatino Linotype" w:hAnsi="Palatino Linotype" w:cs="Palatino Linotype"/>
          <w:b/>
          <w:bCs/>
          <w:i/>
          <w:iCs/>
          <w:color w:val="000000"/>
        </w:rPr>
        <w:t>los procedimientos de contratación</w:t>
      </w:r>
      <w:r>
        <w:rPr>
          <w:rFonts w:ascii="Palatino Linotype" w:eastAsia="Palatino Linotype" w:hAnsi="Palatino Linotype" w:cs="Palatino Linotype"/>
          <w:i/>
          <w:iCs/>
          <w:color w:val="000000"/>
        </w:rPr>
        <w:t xml:space="preserve"> de cada uno, así como las </w:t>
      </w:r>
      <w:r>
        <w:rPr>
          <w:rFonts w:ascii="Palatino Linotype" w:eastAsia="Palatino Linotype" w:hAnsi="Palatino Linotype" w:cs="Palatino Linotype"/>
          <w:b/>
          <w:bCs/>
          <w:i/>
          <w:iCs/>
          <w:color w:val="000000"/>
        </w:rPr>
        <w:t>fichas técnicas de las obras públicas contratadas</w:t>
      </w:r>
      <w:r>
        <w:rPr>
          <w:rFonts w:ascii="Palatino Linotype" w:eastAsia="Palatino Linotype" w:hAnsi="Palatino Linotype" w:cs="Palatino Linotype"/>
          <w:i/>
          <w:iCs/>
          <w:color w:val="000000"/>
        </w:rPr>
        <w:t xml:space="preserve"> para la ejecución de trabajos de: </w:t>
      </w:r>
    </w:p>
    <w:p w:rsidR="006F3F06" w:rsidRDefault="006F3F06">
      <w:pPr>
        <w:pBdr>
          <w:top w:val="nil"/>
          <w:left w:val="nil"/>
          <w:bottom w:val="nil"/>
          <w:right w:val="nil"/>
          <w:between w:val="nil"/>
        </w:pBdr>
        <w:ind w:left="567" w:right="-788"/>
        <w:jc w:val="both"/>
        <w:rPr>
          <w:rFonts w:ascii="Palatino Linotype" w:eastAsia="Palatino Linotype" w:hAnsi="Palatino Linotype" w:cs="Palatino Linotype"/>
          <w:i/>
          <w:iCs/>
          <w:color w:val="000000"/>
        </w:rPr>
      </w:pPr>
    </w:p>
    <w:p w:rsidR="006F3F06" w:rsidRDefault="000E53DF">
      <w:pPr>
        <w:pBdr>
          <w:top w:val="nil"/>
          <w:left w:val="nil"/>
          <w:bottom w:val="nil"/>
          <w:right w:val="nil"/>
          <w:between w:val="nil"/>
        </w:pBdr>
        <w:ind w:left="567" w:right="-788"/>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1. Rehabilitación de pavimentación con mezcla asfáltica, </w:t>
      </w:r>
    </w:p>
    <w:p w:rsidR="006F3F06" w:rsidRDefault="000E53DF">
      <w:pPr>
        <w:pBdr>
          <w:top w:val="nil"/>
          <w:left w:val="nil"/>
          <w:bottom w:val="nil"/>
          <w:right w:val="nil"/>
          <w:between w:val="nil"/>
        </w:pBdr>
        <w:ind w:left="567" w:right="-788"/>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2. Rehabilitación de vialidades mediante bacheo, </w:t>
      </w:r>
    </w:p>
    <w:p w:rsidR="006F3F06" w:rsidRDefault="000E53DF">
      <w:pPr>
        <w:pBdr>
          <w:top w:val="nil"/>
          <w:left w:val="nil"/>
          <w:bottom w:val="nil"/>
          <w:right w:val="nil"/>
          <w:between w:val="nil"/>
        </w:pBdr>
        <w:ind w:left="567" w:right="-788"/>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3. Construcción de pavimentación con concreto ecológico, </w:t>
      </w:r>
    </w:p>
    <w:p w:rsidR="006F3F06" w:rsidRDefault="000E53DF">
      <w:pPr>
        <w:pBdr>
          <w:top w:val="nil"/>
          <w:left w:val="nil"/>
          <w:bottom w:val="nil"/>
          <w:right w:val="nil"/>
          <w:between w:val="nil"/>
        </w:pBdr>
        <w:ind w:left="567" w:right="-788"/>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4. Rehabilitación de pavimentación de carpeta asfáltica, </w:t>
      </w:r>
    </w:p>
    <w:p w:rsidR="006F3F06" w:rsidRDefault="000E53DF">
      <w:pPr>
        <w:pBdr>
          <w:top w:val="nil"/>
          <w:left w:val="nil"/>
          <w:bottom w:val="nil"/>
          <w:right w:val="nil"/>
          <w:between w:val="nil"/>
        </w:pBdr>
        <w:ind w:left="567" w:right="-788"/>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5. Rehabilitación de pavimentación con concreto hidráulico. </w:t>
      </w:r>
    </w:p>
    <w:p w:rsidR="006F3F06" w:rsidRDefault="006F3F06">
      <w:pPr>
        <w:pBdr>
          <w:top w:val="nil"/>
          <w:left w:val="nil"/>
          <w:bottom w:val="nil"/>
          <w:right w:val="nil"/>
          <w:between w:val="nil"/>
        </w:pBdr>
        <w:ind w:left="567" w:right="-788"/>
        <w:jc w:val="both"/>
        <w:rPr>
          <w:rFonts w:ascii="Palatino Linotype" w:eastAsia="Palatino Linotype" w:hAnsi="Palatino Linotype" w:cs="Palatino Linotype"/>
          <w:i/>
          <w:iCs/>
          <w:color w:val="000000"/>
        </w:rPr>
      </w:pPr>
    </w:p>
    <w:p w:rsidR="006F3F06" w:rsidRDefault="000E53DF">
      <w:pPr>
        <w:pBdr>
          <w:top w:val="nil"/>
          <w:left w:val="nil"/>
          <w:bottom w:val="nil"/>
          <w:right w:val="nil"/>
          <w:between w:val="nil"/>
        </w:pBdr>
        <w:ind w:left="567" w:right="-788"/>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Conceptos que coinciden con los indicados en la solicitud.</w:t>
      </w:r>
    </w:p>
    <w:p w:rsidR="006F3F06" w:rsidRDefault="000E53DF">
      <w:pPr>
        <w:pBdr>
          <w:top w:val="nil"/>
          <w:left w:val="nil"/>
          <w:bottom w:val="nil"/>
          <w:right w:val="nil"/>
          <w:between w:val="nil"/>
        </w:pBdr>
        <w:ind w:left="567" w:right="-788"/>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lastRenderedPageBreak/>
        <w:t xml:space="preserve">De las obras públicas contratadas para la ejecución de los trabajos enlistados con antelación se localizaron los documentos que a continuación se enlistan: </w:t>
      </w:r>
    </w:p>
    <w:p w:rsidR="006F3F06" w:rsidRDefault="000E53DF">
      <w:pPr>
        <w:numPr>
          <w:ilvl w:val="0"/>
          <w:numId w:val="5"/>
        </w:numPr>
        <w:pBdr>
          <w:top w:val="nil"/>
          <w:left w:val="nil"/>
          <w:bottom w:val="nil"/>
          <w:right w:val="nil"/>
          <w:between w:val="nil"/>
        </w:pBdr>
        <w:ind w:right="-788"/>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Ficha técnica </w:t>
      </w:r>
    </w:p>
    <w:p w:rsidR="006F3F06" w:rsidRDefault="000E53DF">
      <w:pPr>
        <w:numPr>
          <w:ilvl w:val="0"/>
          <w:numId w:val="5"/>
        </w:numPr>
        <w:pBdr>
          <w:top w:val="nil"/>
          <w:left w:val="nil"/>
          <w:bottom w:val="nil"/>
          <w:right w:val="nil"/>
          <w:between w:val="nil"/>
        </w:pBdr>
        <w:ind w:right="-788"/>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Convocatorias </w:t>
      </w:r>
    </w:p>
    <w:p w:rsidR="006F3F06" w:rsidRDefault="000E53DF">
      <w:pPr>
        <w:numPr>
          <w:ilvl w:val="0"/>
          <w:numId w:val="5"/>
        </w:numPr>
        <w:pBdr>
          <w:top w:val="nil"/>
          <w:left w:val="nil"/>
          <w:bottom w:val="nil"/>
          <w:right w:val="nil"/>
          <w:between w:val="nil"/>
        </w:pBdr>
        <w:ind w:right="-788"/>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Acta de junta de aclaraciones </w:t>
      </w:r>
    </w:p>
    <w:p w:rsidR="006F3F06" w:rsidRDefault="000E53DF">
      <w:pPr>
        <w:numPr>
          <w:ilvl w:val="0"/>
          <w:numId w:val="5"/>
        </w:numPr>
        <w:pBdr>
          <w:top w:val="nil"/>
          <w:left w:val="nil"/>
          <w:bottom w:val="nil"/>
          <w:right w:val="nil"/>
          <w:between w:val="nil"/>
        </w:pBdr>
        <w:ind w:right="-788"/>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Acta de recepción y apertura de propuestas </w:t>
      </w:r>
    </w:p>
    <w:p w:rsidR="006F3F06" w:rsidRDefault="000E53DF">
      <w:pPr>
        <w:numPr>
          <w:ilvl w:val="0"/>
          <w:numId w:val="5"/>
        </w:numPr>
        <w:pBdr>
          <w:top w:val="nil"/>
          <w:left w:val="nil"/>
          <w:bottom w:val="nil"/>
          <w:right w:val="nil"/>
          <w:between w:val="nil"/>
        </w:pBdr>
        <w:ind w:right="-788"/>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Dictamen de adjudicación </w:t>
      </w:r>
    </w:p>
    <w:p w:rsidR="006F3F06" w:rsidRDefault="000E53DF">
      <w:pPr>
        <w:numPr>
          <w:ilvl w:val="0"/>
          <w:numId w:val="5"/>
        </w:numPr>
        <w:pBdr>
          <w:top w:val="nil"/>
          <w:left w:val="nil"/>
          <w:bottom w:val="nil"/>
          <w:right w:val="nil"/>
          <w:between w:val="nil"/>
        </w:pBdr>
        <w:ind w:right="-788"/>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Acta de fallo </w:t>
      </w:r>
    </w:p>
    <w:p w:rsidR="006F3F06" w:rsidRDefault="000E53DF">
      <w:pPr>
        <w:numPr>
          <w:ilvl w:val="0"/>
          <w:numId w:val="5"/>
        </w:numPr>
        <w:pBdr>
          <w:top w:val="nil"/>
          <w:left w:val="nil"/>
          <w:bottom w:val="nil"/>
          <w:right w:val="nil"/>
          <w:between w:val="nil"/>
        </w:pBdr>
        <w:ind w:right="-788"/>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Contrato</w:t>
      </w:r>
    </w:p>
    <w:p w:rsidR="006F3F06" w:rsidRDefault="006F3F06">
      <w:pPr>
        <w:pBdr>
          <w:top w:val="nil"/>
          <w:left w:val="nil"/>
          <w:bottom w:val="nil"/>
          <w:right w:val="nil"/>
          <w:between w:val="nil"/>
        </w:pBdr>
        <w:ind w:right="-788"/>
        <w:jc w:val="both"/>
        <w:rPr>
          <w:rFonts w:ascii="Palatino Linotype" w:eastAsia="Palatino Linotype" w:hAnsi="Palatino Linotype" w:cs="Palatino Linotype"/>
          <w:i/>
          <w:iCs/>
          <w:color w:val="000000"/>
        </w:rPr>
      </w:pPr>
    </w:p>
    <w:p w:rsidR="006F3F06" w:rsidRDefault="006F3F06">
      <w:pPr>
        <w:pBdr>
          <w:top w:val="nil"/>
          <w:left w:val="nil"/>
          <w:bottom w:val="nil"/>
          <w:right w:val="nil"/>
          <w:between w:val="nil"/>
        </w:pBdr>
        <w:ind w:right="-788"/>
        <w:jc w:val="both"/>
        <w:rPr>
          <w:rFonts w:ascii="Palatino Linotype" w:eastAsia="Palatino Linotype" w:hAnsi="Palatino Linotype" w:cs="Palatino Linotype"/>
          <w:i/>
          <w:iCs/>
          <w:color w:val="000000"/>
        </w:rPr>
      </w:pPr>
    </w:p>
    <w:p w:rsidR="006F3F06" w:rsidRDefault="000E53DF">
      <w:pPr>
        <w:pBdr>
          <w:top w:val="nil"/>
          <w:left w:val="nil"/>
          <w:bottom w:val="nil"/>
          <w:right w:val="nil"/>
          <w:between w:val="nil"/>
        </w:pBdr>
        <w:ind w:left="567" w:right="-788"/>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Cabe mencionar que los documentos que dan cuenta de los procedimientos de contratación (convocatorias, actas de junta de aclaraciones, actas de recepción y apertura de propuestas, dictamen de adjudicación, acta de fallo) y contratos se encuentran públicos para consulta en el Sistema de Información Pública de oficio Mexiquense (IPOMEX) en el link https://ipomex.org.mx/ipomex/#/info-fraccion/676/197/12 y con el fin de garantizar el derecho de acceso a la Información pública del solicitante, se adjuntan al presente tal y como se encuentran públicos.</w:t>
      </w:r>
    </w:p>
    <w:p w:rsidR="006F3F06" w:rsidRDefault="000E53DF">
      <w:pPr>
        <w:pBdr>
          <w:top w:val="nil"/>
          <w:left w:val="nil"/>
          <w:bottom w:val="nil"/>
          <w:right w:val="nil"/>
          <w:between w:val="nil"/>
        </w:pBdr>
        <w:ind w:left="567" w:right="-78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Link proporcionado en formato cerrado.</w:t>
      </w:r>
    </w:p>
    <w:p w:rsidR="006F3F06" w:rsidRDefault="006F3F06">
      <w:pPr>
        <w:pBdr>
          <w:top w:val="nil"/>
          <w:left w:val="nil"/>
          <w:bottom w:val="nil"/>
          <w:right w:val="nil"/>
          <w:between w:val="nil"/>
        </w:pBdr>
        <w:ind w:left="567" w:right="-788"/>
        <w:jc w:val="both"/>
        <w:rPr>
          <w:rFonts w:ascii="Palatino Linotype" w:eastAsia="Palatino Linotype" w:hAnsi="Palatino Linotype" w:cs="Palatino Linotype"/>
          <w:color w:val="000000"/>
        </w:rPr>
      </w:pPr>
    </w:p>
    <w:p w:rsidR="006F3F06" w:rsidRDefault="006F3F06">
      <w:pPr>
        <w:pBdr>
          <w:top w:val="nil"/>
          <w:left w:val="nil"/>
          <w:bottom w:val="nil"/>
          <w:right w:val="nil"/>
          <w:between w:val="nil"/>
        </w:pBdr>
        <w:ind w:left="567" w:right="-788"/>
        <w:jc w:val="both"/>
        <w:rPr>
          <w:rFonts w:ascii="Palatino Linotype" w:eastAsia="Palatino Linotype" w:hAnsi="Palatino Linotype" w:cs="Palatino Linotype"/>
          <w:color w:val="000000"/>
        </w:rPr>
      </w:pPr>
    </w:p>
    <w:p w:rsidR="006F3F06" w:rsidRDefault="000E53DF">
      <w:pPr>
        <w:pBdr>
          <w:top w:val="nil"/>
          <w:left w:val="nil"/>
          <w:bottom w:val="nil"/>
          <w:right w:val="nil"/>
          <w:between w:val="nil"/>
        </w:pBdr>
        <w:ind w:left="567" w:right="-788"/>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B) Respecto de “..</w:t>
      </w:r>
      <w:r>
        <w:rPr>
          <w:rFonts w:ascii="Palatino Linotype" w:eastAsia="Palatino Linotype" w:hAnsi="Palatino Linotype" w:cs="Palatino Linotype"/>
          <w:b/>
          <w:bCs/>
          <w:i/>
          <w:iCs/>
          <w:color w:val="000000"/>
        </w:rPr>
        <w:t>SI FUE ASIGNACIÓ DIRECTA LA JUSTIFICACIÓN CON EL MONTO AUTORIZADO PARA SER DIRECTA DE TODAS LAS OBRAS</w:t>
      </w:r>
      <w:r>
        <w:rPr>
          <w:rFonts w:ascii="Palatino Linotype" w:eastAsia="Palatino Linotype" w:hAnsi="Palatino Linotype" w:cs="Palatino Linotype"/>
          <w:i/>
          <w:iCs/>
          <w:color w:val="000000"/>
        </w:rPr>
        <w:t xml:space="preserve">..." (sic), se informa que de la búsqueda antes mencionada se concluyó que durante temporalidad indicada en la solicitud (1 enero de 2025 al 26 de enero de 2026), </w:t>
      </w:r>
      <w:r>
        <w:rPr>
          <w:rFonts w:ascii="Palatino Linotype" w:eastAsia="Palatino Linotype" w:hAnsi="Palatino Linotype" w:cs="Palatino Linotype"/>
          <w:b/>
          <w:bCs/>
          <w:i/>
          <w:iCs/>
          <w:color w:val="000000"/>
        </w:rPr>
        <w:t>no se contrató la ejecución de obras públicas, a través de la modalidad de adjudicación directa</w:t>
      </w:r>
      <w:r>
        <w:rPr>
          <w:rFonts w:ascii="Palatino Linotype" w:eastAsia="Palatino Linotype" w:hAnsi="Palatino Linotype" w:cs="Palatino Linotype"/>
          <w:i/>
          <w:iCs/>
          <w:color w:val="000000"/>
        </w:rPr>
        <w:t xml:space="preserve">, razón por la que no se han generado, poseen, ni administran documentos que den cuenta de procedimientos de contratación, ni contratos resultado de la modalidad de adjudicación directa, y </w:t>
      </w:r>
      <w:r>
        <w:rPr>
          <w:rFonts w:ascii="Palatino Linotype" w:eastAsia="Palatino Linotype" w:hAnsi="Palatino Linotype" w:cs="Palatino Linotype"/>
          <w:b/>
          <w:bCs/>
          <w:i/>
          <w:iCs/>
          <w:color w:val="000000"/>
        </w:rPr>
        <w:t>por lo tanto tampoco se generó, ni administra documento que dé cuenta de "justificación con el monto autorizado para ser directa</w:t>
      </w:r>
      <w:r>
        <w:rPr>
          <w:rFonts w:ascii="Palatino Linotype" w:eastAsia="Palatino Linotype" w:hAnsi="Palatino Linotype" w:cs="Palatino Linotype"/>
          <w:i/>
          <w:iCs/>
          <w:color w:val="000000"/>
        </w:rPr>
        <w:t xml:space="preserve"> de todas las obras” (sic) solicitado.</w:t>
      </w:r>
    </w:p>
    <w:p w:rsidR="006F3F06" w:rsidRDefault="006F3F06">
      <w:pPr>
        <w:pBdr>
          <w:top w:val="nil"/>
          <w:left w:val="nil"/>
          <w:bottom w:val="nil"/>
          <w:right w:val="nil"/>
          <w:between w:val="nil"/>
        </w:pBdr>
        <w:ind w:left="567" w:right="-788"/>
        <w:jc w:val="both"/>
        <w:rPr>
          <w:rFonts w:ascii="Palatino Linotype" w:eastAsia="Palatino Linotype" w:hAnsi="Palatino Linotype" w:cs="Palatino Linotype"/>
          <w:i/>
          <w:iCs/>
          <w:color w:val="000000"/>
        </w:rPr>
      </w:pPr>
    </w:p>
    <w:p w:rsidR="006F3F06" w:rsidRDefault="000E53DF">
      <w:pPr>
        <w:pBdr>
          <w:top w:val="nil"/>
          <w:left w:val="nil"/>
          <w:bottom w:val="nil"/>
          <w:right w:val="nil"/>
          <w:between w:val="nil"/>
        </w:pBdr>
        <w:ind w:left="567" w:right="-788"/>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C) Respecto de las “..</w:t>
      </w:r>
      <w:r>
        <w:rPr>
          <w:rFonts w:ascii="Palatino Linotype" w:eastAsia="Palatino Linotype" w:hAnsi="Palatino Linotype" w:cs="Palatino Linotype"/>
          <w:b/>
          <w:bCs/>
          <w:i/>
          <w:iCs/>
          <w:color w:val="000000"/>
        </w:rPr>
        <w:t>FACTURAS PAGADAS ACTAS DEL COMITE DE ADQUISIONES</w:t>
      </w:r>
      <w:r>
        <w:rPr>
          <w:rFonts w:ascii="Palatino Linotype" w:eastAsia="Palatino Linotype" w:hAnsi="Palatino Linotype" w:cs="Palatino Linotype"/>
          <w:i/>
          <w:iCs/>
          <w:color w:val="000000"/>
        </w:rPr>
        <w:t xml:space="preserve">..." (sic), se informa que de conformidad con lo establecido en el artículo 3.40 del Código Reglamentario Municipal de Toluca, artículo 92 fracción X del Bando Municipal </w:t>
      </w:r>
      <w:r>
        <w:rPr>
          <w:rFonts w:ascii="Palatino Linotype" w:eastAsia="Palatino Linotype" w:hAnsi="Palatino Linotype" w:cs="Palatino Linotype"/>
          <w:i/>
          <w:iCs/>
          <w:color w:val="000000"/>
        </w:rPr>
        <w:lastRenderedPageBreak/>
        <w:t xml:space="preserve">Toluca vigente, así como de lo estipulado en el Manual General de Organización del Sector Central de la Administración Pública Municipal de Toluca 2025-2027 en la codificación 210010000, </w:t>
      </w:r>
      <w:r>
        <w:rPr>
          <w:rFonts w:ascii="Palatino Linotype" w:eastAsia="Palatino Linotype" w:hAnsi="Palatino Linotype" w:cs="Palatino Linotype"/>
          <w:b/>
          <w:bCs/>
          <w:i/>
          <w:iCs/>
          <w:color w:val="000000"/>
        </w:rPr>
        <w:t>no es competencia, ni atribución de esta Dirección</w:t>
      </w:r>
      <w:r>
        <w:rPr>
          <w:rFonts w:ascii="Palatino Linotype" w:eastAsia="Palatino Linotype" w:hAnsi="Palatino Linotype" w:cs="Palatino Linotype"/>
          <w:i/>
          <w:iCs/>
          <w:color w:val="000000"/>
        </w:rPr>
        <w:t xml:space="preserve"> General </w:t>
      </w:r>
      <w:r>
        <w:rPr>
          <w:rFonts w:ascii="Palatino Linotype" w:eastAsia="Palatino Linotype" w:hAnsi="Palatino Linotype" w:cs="Palatino Linotype"/>
          <w:b/>
          <w:bCs/>
          <w:i/>
          <w:iCs/>
          <w:color w:val="000000"/>
        </w:rPr>
        <w:t xml:space="preserve">el generar ni administrar </w:t>
      </w:r>
      <w:r>
        <w:rPr>
          <w:rFonts w:ascii="Palatino Linotype" w:eastAsia="Palatino Linotype" w:hAnsi="Palatino Linotype" w:cs="Palatino Linotype"/>
          <w:i/>
          <w:iCs/>
          <w:color w:val="000000"/>
        </w:rPr>
        <w:t xml:space="preserve">la expresión documental que dé cuenta de </w:t>
      </w:r>
      <w:r>
        <w:rPr>
          <w:rFonts w:ascii="Palatino Linotype" w:eastAsia="Palatino Linotype" w:hAnsi="Palatino Linotype" w:cs="Palatino Linotype"/>
          <w:b/>
          <w:bCs/>
          <w:i/>
          <w:iCs/>
          <w:color w:val="000000"/>
        </w:rPr>
        <w:t>las actas del comité de adquisiciones, ni de las facturas pagadas</w:t>
      </w:r>
      <w:r>
        <w:rPr>
          <w:rFonts w:ascii="Palatino Linotype" w:eastAsia="Palatino Linotype" w:hAnsi="Palatino Linotype" w:cs="Palatino Linotype"/>
          <w:i/>
          <w:iCs/>
          <w:color w:val="000000"/>
        </w:rPr>
        <w:t xml:space="preserve">, </w:t>
      </w:r>
      <w:r>
        <w:rPr>
          <w:rFonts w:ascii="Palatino Linotype" w:eastAsia="Palatino Linotype" w:hAnsi="Palatino Linotype" w:cs="Palatino Linotype"/>
          <w:b/>
          <w:bCs/>
          <w:i/>
          <w:iCs/>
          <w:color w:val="000000"/>
        </w:rPr>
        <w:t>por lo que</w:t>
      </w:r>
      <w:r>
        <w:rPr>
          <w:rFonts w:ascii="Palatino Linotype" w:eastAsia="Palatino Linotype" w:hAnsi="Palatino Linotype" w:cs="Palatino Linotype"/>
          <w:i/>
          <w:iCs/>
          <w:color w:val="000000"/>
        </w:rPr>
        <w:t xml:space="preserve"> en la mencionada búsqueda </w:t>
      </w:r>
      <w:r>
        <w:rPr>
          <w:rFonts w:ascii="Palatino Linotype" w:eastAsia="Palatino Linotype" w:hAnsi="Palatino Linotype" w:cs="Palatino Linotype"/>
          <w:b/>
          <w:bCs/>
          <w:i/>
          <w:iCs/>
          <w:color w:val="000000"/>
        </w:rPr>
        <w:t>no se localizó expresión documental que dé cuenta de lo solicitado</w:t>
      </w:r>
      <w:r>
        <w:rPr>
          <w:rFonts w:ascii="Palatino Linotype" w:eastAsia="Palatino Linotype" w:hAnsi="Palatino Linotype" w:cs="Palatino Linotype"/>
          <w:i/>
          <w:iCs/>
          <w:color w:val="000000"/>
        </w:rPr>
        <w:t>, en razón de no ser competencia ni atribución de esta área administrativa el generarlos ni administrarlos.</w:t>
      </w:r>
    </w:p>
    <w:p w:rsidR="006F3F06" w:rsidRDefault="006F3F06">
      <w:pPr>
        <w:pBdr>
          <w:top w:val="nil"/>
          <w:left w:val="nil"/>
          <w:bottom w:val="nil"/>
          <w:right w:val="nil"/>
          <w:between w:val="nil"/>
        </w:pBdr>
        <w:ind w:left="567" w:right="-788"/>
        <w:jc w:val="both"/>
        <w:rPr>
          <w:rFonts w:ascii="Palatino Linotype" w:eastAsia="Palatino Linotype" w:hAnsi="Palatino Linotype" w:cs="Palatino Linotype"/>
          <w:b/>
          <w:bCs/>
          <w:i/>
          <w:iCs/>
          <w:color w:val="000000"/>
        </w:rPr>
      </w:pPr>
    </w:p>
    <w:p w:rsidR="006F3F06" w:rsidRDefault="000E53DF">
      <w:pPr>
        <w:pBdr>
          <w:top w:val="nil"/>
          <w:left w:val="nil"/>
          <w:bottom w:val="nil"/>
          <w:right w:val="nil"/>
          <w:between w:val="nil"/>
        </w:pBdr>
        <w:ind w:left="567" w:right="-788"/>
        <w:jc w:val="both"/>
        <w:rPr>
          <w:rFonts w:ascii="Palatino Linotype" w:eastAsia="Palatino Linotype" w:hAnsi="Palatino Linotype" w:cs="Palatino Linotype"/>
          <w:b/>
          <w:bCs/>
          <w:i/>
          <w:iCs/>
          <w:color w:val="000000"/>
        </w:rPr>
      </w:pPr>
      <w:r>
        <w:rPr>
          <w:rFonts w:ascii="Palatino Linotype" w:eastAsia="Palatino Linotype" w:hAnsi="Palatino Linotype" w:cs="Palatino Linotype"/>
          <w:b/>
          <w:bCs/>
          <w:i/>
          <w:iCs/>
          <w:color w:val="000000"/>
        </w:rPr>
        <w:t>Anexo Contratos Saimex 00806.pdf</w:t>
      </w:r>
    </w:p>
    <w:p w:rsidR="006F3F06" w:rsidRDefault="000E53DF">
      <w:pPr>
        <w:pBdr>
          <w:top w:val="nil"/>
          <w:left w:val="nil"/>
          <w:bottom w:val="nil"/>
          <w:right w:val="nil"/>
          <w:between w:val="nil"/>
        </w:pBdr>
        <w:ind w:left="567" w:right="-78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Diversos contratos de obra pública, de julio a </w:t>
      </w:r>
      <w:r>
        <w:rPr>
          <w:rFonts w:ascii="Palatino Linotype" w:eastAsia="Palatino Linotype" w:hAnsi="Palatino Linotype" w:cs="Palatino Linotype"/>
        </w:rPr>
        <w:t>diciembre de 2025</w:t>
      </w:r>
      <w:r>
        <w:rPr>
          <w:rFonts w:ascii="Palatino Linotype" w:eastAsia="Palatino Linotype" w:hAnsi="Palatino Linotype" w:cs="Palatino Linotype"/>
          <w:color w:val="000000"/>
        </w:rPr>
        <w:t>. En versión pública.</w:t>
      </w:r>
    </w:p>
    <w:p w:rsidR="006F3F06" w:rsidRDefault="006F3F06">
      <w:pPr>
        <w:pBdr>
          <w:top w:val="nil"/>
          <w:left w:val="nil"/>
          <w:bottom w:val="nil"/>
          <w:right w:val="nil"/>
          <w:between w:val="nil"/>
        </w:pBdr>
        <w:ind w:left="567" w:right="-788"/>
        <w:jc w:val="both"/>
        <w:rPr>
          <w:rFonts w:ascii="Palatino Linotype" w:eastAsia="Palatino Linotype" w:hAnsi="Palatino Linotype" w:cs="Palatino Linotype"/>
          <w:b/>
          <w:bCs/>
          <w:i/>
          <w:iCs/>
          <w:color w:val="000000"/>
        </w:rPr>
      </w:pPr>
    </w:p>
    <w:p w:rsidR="006F3F06" w:rsidRDefault="000E53DF">
      <w:pPr>
        <w:pBdr>
          <w:top w:val="nil"/>
          <w:left w:val="nil"/>
          <w:bottom w:val="nil"/>
          <w:right w:val="nil"/>
          <w:between w:val="nil"/>
        </w:pBdr>
        <w:ind w:left="567" w:right="-788"/>
        <w:jc w:val="both"/>
        <w:rPr>
          <w:rFonts w:ascii="Palatino Linotype" w:eastAsia="Palatino Linotype" w:hAnsi="Palatino Linotype" w:cs="Palatino Linotype"/>
          <w:b/>
          <w:bCs/>
          <w:i/>
          <w:iCs/>
          <w:color w:val="000000"/>
        </w:rPr>
      </w:pPr>
      <w:r>
        <w:rPr>
          <w:rFonts w:ascii="Palatino Linotype" w:eastAsia="Palatino Linotype" w:hAnsi="Palatino Linotype" w:cs="Palatino Linotype"/>
          <w:b/>
          <w:bCs/>
          <w:i/>
          <w:iCs/>
          <w:color w:val="000000"/>
        </w:rPr>
        <w:t>Anexo contratación y fichas tecnicas Saimex 00806.pdf</w:t>
      </w:r>
    </w:p>
    <w:p w:rsidR="006F3F06" w:rsidRDefault="000E53DF">
      <w:pPr>
        <w:pBdr>
          <w:top w:val="nil"/>
          <w:left w:val="nil"/>
          <w:bottom w:val="nil"/>
          <w:right w:val="nil"/>
          <w:between w:val="nil"/>
        </w:pBdr>
        <w:ind w:left="567" w:right="-78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Archivo que integra diversas documentales integrantes de procesos de contratación de obra pública, tales como ficha técnica, convocatoria, acta de junta de aclaraciones, acta de recepción y apertura de propuestas, dictamen de adjudicación y acta de fallo de licitación. En versión pública.</w:t>
      </w:r>
    </w:p>
    <w:p w:rsidR="006F3F06" w:rsidRDefault="006F3F06">
      <w:pPr>
        <w:pBdr>
          <w:top w:val="nil"/>
          <w:left w:val="nil"/>
          <w:bottom w:val="nil"/>
          <w:right w:val="nil"/>
          <w:between w:val="nil"/>
        </w:pBdr>
        <w:ind w:left="567" w:right="-788"/>
        <w:jc w:val="both"/>
        <w:rPr>
          <w:rFonts w:ascii="Palatino Linotype" w:eastAsia="Palatino Linotype" w:hAnsi="Palatino Linotype" w:cs="Palatino Linotype"/>
          <w:color w:val="000000"/>
        </w:rPr>
      </w:pPr>
    </w:p>
    <w:p w:rsidR="006F3F06" w:rsidRDefault="006F3F06">
      <w:pPr>
        <w:pBdr>
          <w:top w:val="nil"/>
          <w:left w:val="nil"/>
          <w:bottom w:val="nil"/>
          <w:right w:val="nil"/>
          <w:between w:val="nil"/>
        </w:pBdr>
        <w:spacing w:line="360" w:lineRule="auto"/>
        <w:ind w:left="567" w:right="-787"/>
        <w:jc w:val="both"/>
        <w:rPr>
          <w:rFonts w:ascii="Palatino Linotype" w:eastAsia="Palatino Linotype" w:hAnsi="Palatino Linotype" w:cs="Palatino Linotype"/>
          <w:color w:val="000000"/>
        </w:rPr>
      </w:pPr>
    </w:p>
    <w:p w:rsidR="006F3F06" w:rsidRDefault="000E53DF">
      <w:pPr>
        <w:numPr>
          <w:ilvl w:val="0"/>
          <w:numId w:val="2"/>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w:t>
      </w:r>
      <w:r>
        <w:rPr>
          <w:rFonts w:ascii="Palatino Linotype" w:eastAsia="Palatino Linotype" w:hAnsi="Palatino Linotype" w:cs="Palatino Linotype"/>
          <w:b/>
          <w:bCs/>
          <w:color w:val="000000"/>
        </w:rPr>
        <w:t xml:space="preserve"> veintisiete de febrero de dos mil veintiséis</w:t>
      </w:r>
      <w:r>
        <w:rPr>
          <w:rFonts w:ascii="Palatino Linotype" w:eastAsia="Palatino Linotype" w:hAnsi="Palatino Linotype" w:cs="Palatino Linotype"/>
          <w:color w:val="000000"/>
        </w:rPr>
        <w:t xml:space="preserve">, el particular interpuso </w:t>
      </w:r>
      <w:r>
        <w:rPr>
          <w:rFonts w:ascii="Palatino Linotype" w:eastAsia="Palatino Linotype" w:hAnsi="Palatino Linotype" w:cs="Palatino Linotype"/>
          <w:b/>
          <w:bCs/>
          <w:color w:val="000000"/>
        </w:rPr>
        <w:t>recurso de revisión</w:t>
      </w:r>
      <w:r>
        <w:rPr>
          <w:rFonts w:ascii="Palatino Linotype" w:eastAsia="Palatino Linotype" w:hAnsi="Palatino Linotype" w:cs="Palatino Linotype"/>
          <w:color w:val="000000"/>
        </w:rPr>
        <w:t xml:space="preserve"> al que se le asignó el folio </w:t>
      </w:r>
      <w:r>
        <w:rPr>
          <w:rFonts w:ascii="Palatino Linotype" w:eastAsia="Palatino Linotype" w:hAnsi="Palatino Linotype" w:cs="Palatino Linotype"/>
          <w:b/>
          <w:bCs/>
          <w:color w:val="000000"/>
        </w:rPr>
        <w:t xml:space="preserve">02878/INFOEM/IP/RR/2026, </w:t>
      </w:r>
      <w:r>
        <w:rPr>
          <w:rFonts w:ascii="Palatino Linotype" w:eastAsia="Palatino Linotype" w:hAnsi="Palatino Linotype" w:cs="Palatino Linotype"/>
          <w:color w:val="000000"/>
        </w:rPr>
        <w:t>en contra de la respuesta emitida por el sujeto obligado, realizando las siguientes manifestaciones como acto impugnado y razones o motivos de inconformidad:</w:t>
      </w:r>
    </w:p>
    <w:p w:rsidR="006F3F06" w:rsidRDefault="006F3F06">
      <w:pPr>
        <w:pBdr>
          <w:top w:val="nil"/>
          <w:left w:val="nil"/>
          <w:bottom w:val="nil"/>
          <w:right w:val="nil"/>
          <w:between w:val="nil"/>
        </w:pBdr>
        <w:tabs>
          <w:tab w:val="left" w:pos="0"/>
        </w:tabs>
        <w:ind w:right="-788"/>
        <w:jc w:val="both"/>
        <w:rPr>
          <w:rFonts w:ascii="Palatino Linotype" w:eastAsia="Palatino Linotype" w:hAnsi="Palatino Linotype" w:cs="Palatino Linotype"/>
          <w:color w:val="000000"/>
        </w:rPr>
      </w:pPr>
    </w:p>
    <w:p w:rsidR="006F3F06" w:rsidRDefault="000E53DF">
      <w:pPr>
        <w:numPr>
          <w:ilvl w:val="0"/>
          <w:numId w:val="1"/>
        </w:numPr>
        <w:pBdr>
          <w:top w:val="nil"/>
          <w:left w:val="nil"/>
          <w:bottom w:val="nil"/>
          <w:right w:val="nil"/>
          <w:between w:val="nil"/>
        </w:pBdr>
        <w:ind w:right="-787"/>
        <w:jc w:val="both"/>
        <w:rPr>
          <w:rFonts w:ascii="Palatino Linotype" w:eastAsia="Palatino Linotype" w:hAnsi="Palatino Linotype" w:cs="Palatino Linotype"/>
          <w:color w:val="000000"/>
        </w:rPr>
      </w:pPr>
      <w:bookmarkStart w:id="1" w:name="_heading=h.1fob9te" w:colFirst="0" w:colLast="0"/>
      <w:bookmarkEnd w:id="1"/>
      <w:r>
        <w:rPr>
          <w:rFonts w:ascii="Palatino Linotype" w:eastAsia="Palatino Linotype" w:hAnsi="Palatino Linotype" w:cs="Palatino Linotype"/>
          <w:b/>
          <w:bCs/>
          <w:color w:val="000000"/>
        </w:rPr>
        <w:t xml:space="preserve">Acto impugnado: </w:t>
      </w:r>
      <w:r>
        <w:rPr>
          <w:rFonts w:ascii="Palatino Linotype" w:eastAsia="Palatino Linotype" w:hAnsi="Palatino Linotype" w:cs="Palatino Linotype"/>
          <w:i/>
          <w:iCs/>
          <w:color w:val="000000"/>
        </w:rPr>
        <w:t>“No entrega la información solicita la unidad de transparencia además de opacos se quiere hacer los chistosos en el link que mandan de informe no esta toda la información que se solicita ahí solo esta el número de recurso y se pide el expediente completo y no lo entregan lo ocultan se exige se entregue dicen que para que lo entrega si el infoem ya se va y no los obligara a entregar que además le dan dinero para que todo se los apruebe eso dice el Titular y Éramos y que decir de Cielito que dice que ella siempre los atedio así y no pasaba nada que no dieran nada que el ifoem es un corrupto también que no les puede hacer nada” (Sic)</w:t>
      </w:r>
    </w:p>
    <w:p w:rsidR="006F3F06" w:rsidRDefault="006F3F06">
      <w:pPr>
        <w:pBdr>
          <w:top w:val="nil"/>
          <w:left w:val="nil"/>
          <w:bottom w:val="nil"/>
          <w:right w:val="nil"/>
          <w:between w:val="nil"/>
        </w:pBdr>
        <w:ind w:left="567" w:right="-787"/>
        <w:jc w:val="both"/>
        <w:rPr>
          <w:rFonts w:ascii="Palatino Linotype" w:eastAsia="Palatino Linotype" w:hAnsi="Palatino Linotype" w:cs="Palatino Linotype"/>
          <w:b/>
          <w:bCs/>
          <w:color w:val="000000"/>
        </w:rPr>
      </w:pPr>
    </w:p>
    <w:p w:rsidR="006F3F06" w:rsidRDefault="000E53DF">
      <w:pPr>
        <w:numPr>
          <w:ilvl w:val="0"/>
          <w:numId w:val="8"/>
        </w:numPr>
        <w:pBdr>
          <w:top w:val="nil"/>
          <w:left w:val="nil"/>
          <w:bottom w:val="nil"/>
          <w:right w:val="nil"/>
          <w:between w:val="nil"/>
        </w:pBdr>
        <w:ind w:right="-787"/>
        <w:jc w:val="both"/>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t xml:space="preserve">Razones o Motivos de inconformidad: </w:t>
      </w:r>
      <w:r>
        <w:rPr>
          <w:rFonts w:ascii="Palatino Linotype" w:eastAsia="Palatino Linotype" w:hAnsi="Palatino Linotype" w:cs="Palatino Linotype"/>
          <w:i/>
          <w:iCs/>
          <w:color w:val="000000"/>
        </w:rPr>
        <w:t xml:space="preserve">“No entrega la información solicita la unidad de transparencia además de opacos se quiere hacer los chistosos en el link que mandan de informe no esta toda la información que se solicita ahí solo esta el número de recurso y se pide el </w:t>
      </w:r>
      <w:r>
        <w:rPr>
          <w:rFonts w:ascii="Palatino Linotype" w:eastAsia="Palatino Linotype" w:hAnsi="Palatino Linotype" w:cs="Palatino Linotype"/>
          <w:i/>
          <w:iCs/>
          <w:color w:val="000000"/>
        </w:rPr>
        <w:lastRenderedPageBreak/>
        <w:t>expediente completo y no lo entregan lo ocultan se exige se entregue dicen que para que lo entrega si el infoem ya se va y no los obligara a entregar que además le dan dinero para que todo se los apruebe eso dice el Titular y Éramos y que decir de Cielito que dice que ella siempre los atedio así y no pasaba nada que no dieran nada que el ifoem es un corrupto también que no les puede hacer nada” (Sic)</w:t>
      </w:r>
    </w:p>
    <w:p w:rsidR="006F3F06" w:rsidRDefault="000E53DF">
      <w:pPr>
        <w:pBdr>
          <w:top w:val="nil"/>
          <w:left w:val="nil"/>
          <w:bottom w:val="nil"/>
          <w:right w:val="nil"/>
          <w:between w:val="nil"/>
        </w:pBdr>
        <w:tabs>
          <w:tab w:val="left" w:pos="3416"/>
        </w:tabs>
        <w:ind w:right="-788"/>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ab/>
      </w:r>
    </w:p>
    <w:p w:rsidR="006F3F06" w:rsidRDefault="006F3F06">
      <w:pPr>
        <w:pBdr>
          <w:top w:val="nil"/>
          <w:left w:val="nil"/>
          <w:bottom w:val="nil"/>
          <w:right w:val="nil"/>
          <w:between w:val="nil"/>
        </w:pBdr>
        <w:tabs>
          <w:tab w:val="left" w:pos="0"/>
        </w:tabs>
        <w:ind w:right="-788"/>
        <w:jc w:val="both"/>
        <w:rPr>
          <w:rFonts w:ascii="Palatino Linotype" w:eastAsia="Palatino Linotype" w:hAnsi="Palatino Linotype" w:cs="Palatino Linotype"/>
          <w:i/>
          <w:iCs/>
          <w:color w:val="000000"/>
          <w:u w:val="single"/>
        </w:rPr>
      </w:pPr>
    </w:p>
    <w:p w:rsidR="006F3F06" w:rsidRDefault="000E53DF">
      <w:pPr>
        <w:numPr>
          <w:ilvl w:val="0"/>
          <w:numId w:val="2"/>
        </w:numPr>
        <w:pBdr>
          <w:top w:val="nil"/>
          <w:left w:val="nil"/>
          <w:bottom w:val="nil"/>
          <w:right w:val="nil"/>
          <w:between w:val="nil"/>
        </w:pBdr>
        <w:tabs>
          <w:tab w:val="left" w:pos="0"/>
        </w:tabs>
        <w:spacing w:line="360" w:lineRule="auto"/>
        <w:ind w:left="0" w:right="-787" w:firstLine="0"/>
        <w:jc w:val="both"/>
        <w:rPr>
          <w:color w:val="000000"/>
        </w:rPr>
      </w:pPr>
      <w:r>
        <w:rPr>
          <w:rFonts w:ascii="Palatino Linotype" w:eastAsia="Palatino Linotype" w:hAnsi="Palatino Linotype" w:cs="Palatino Linotype"/>
          <w:color w:val="000000"/>
        </w:rPr>
        <w:t xml:space="preserve">La Comisionada Ponente con fundamento en lo dispuesto por el artículo 185, fracción II, de la ley de la materia, a través del </w:t>
      </w:r>
      <w:r>
        <w:rPr>
          <w:rFonts w:ascii="Palatino Linotype" w:eastAsia="Palatino Linotype" w:hAnsi="Palatino Linotype" w:cs="Palatino Linotype"/>
          <w:b/>
          <w:bCs/>
          <w:color w:val="000000"/>
        </w:rPr>
        <w:t xml:space="preserve">acuerdo de admisión </w:t>
      </w:r>
      <w:r>
        <w:rPr>
          <w:rFonts w:ascii="Palatino Linotype" w:eastAsia="Palatino Linotype" w:hAnsi="Palatino Linotype" w:cs="Palatino Linotype"/>
          <w:color w:val="000000"/>
        </w:rPr>
        <w:t xml:space="preserve">de fecha </w:t>
      </w:r>
      <w:r>
        <w:rPr>
          <w:rFonts w:ascii="Palatino Linotype" w:eastAsia="Palatino Linotype" w:hAnsi="Palatino Linotype" w:cs="Palatino Linotype"/>
          <w:b/>
          <w:bCs/>
          <w:color w:val="000000"/>
        </w:rPr>
        <w:t xml:space="preserve">cinco de marzo de dos mil veintiséis, </w:t>
      </w:r>
      <w:r>
        <w:rPr>
          <w:rFonts w:ascii="Palatino Linotype" w:eastAsia="Palatino Linotype" w:hAnsi="Palatino Linotype" w:cs="Palatino Linotype"/>
          <w:color w:val="000000"/>
        </w:rPr>
        <w:t xml:space="preserve">puso a disposición de las partes el expediente electrónico vía SAIMEX a efecto de que en un plazo máximo de siete días </w:t>
      </w:r>
      <w:r>
        <w:rPr>
          <w:rFonts w:ascii="Palatino Linotype" w:eastAsia="Palatino Linotype" w:hAnsi="Palatino Linotype" w:cs="Palatino Linotype"/>
        </w:rPr>
        <w:t>manifestara</w:t>
      </w:r>
      <w:r>
        <w:rPr>
          <w:rFonts w:ascii="Palatino Linotype" w:eastAsia="Palatino Linotype" w:hAnsi="Palatino Linotype" w:cs="Palatino Linotype"/>
          <w:color w:val="000000"/>
        </w:rPr>
        <w:t xml:space="preserve"> lo que a su derecho conviniera, </w:t>
      </w:r>
      <w:r>
        <w:rPr>
          <w:rFonts w:ascii="Palatino Linotype" w:eastAsia="Palatino Linotype" w:hAnsi="Palatino Linotype" w:cs="Palatino Linotype"/>
        </w:rPr>
        <w:t>ofreciera</w:t>
      </w:r>
      <w:r>
        <w:rPr>
          <w:rFonts w:ascii="Palatino Linotype" w:eastAsia="Palatino Linotype" w:hAnsi="Palatino Linotype" w:cs="Palatino Linotype"/>
          <w:color w:val="000000"/>
        </w:rPr>
        <w:t xml:space="preserve"> pruebas y alegatos según corresponda al caso concreto, de esta forma para que el </w:t>
      </w:r>
      <w:r>
        <w:rPr>
          <w:rFonts w:ascii="Palatino Linotype" w:eastAsia="Palatino Linotype" w:hAnsi="Palatino Linotype" w:cs="Palatino Linotype"/>
          <w:b/>
          <w:bCs/>
          <w:color w:val="000000"/>
        </w:rPr>
        <w:t xml:space="preserve">SUJETO OBLIGADO </w:t>
      </w:r>
      <w:r>
        <w:rPr>
          <w:rFonts w:ascii="Palatino Linotype" w:eastAsia="Palatino Linotype" w:hAnsi="Palatino Linotype" w:cs="Palatino Linotype"/>
        </w:rPr>
        <w:t>presentará</w:t>
      </w:r>
      <w:r>
        <w:rPr>
          <w:rFonts w:ascii="Palatino Linotype" w:eastAsia="Palatino Linotype" w:hAnsi="Palatino Linotype" w:cs="Palatino Linotype"/>
          <w:color w:val="000000"/>
        </w:rPr>
        <w:t xml:space="preserve"> el Informe Justificado procedente.</w:t>
      </w:r>
    </w:p>
    <w:p w:rsidR="006F3F06" w:rsidRDefault="006F3F06">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i/>
          <w:iCs/>
          <w:color w:val="000000"/>
          <w:u w:val="single"/>
        </w:rPr>
      </w:pPr>
    </w:p>
    <w:p w:rsidR="006F3F06" w:rsidRDefault="000E53DF">
      <w:pPr>
        <w:numPr>
          <w:ilvl w:val="0"/>
          <w:numId w:val="2"/>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Recurrente</w:t>
      </w:r>
      <w:r>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color w:val="000000"/>
        </w:rPr>
        <w:t xml:space="preserve">dejó de realizar manifestaciones que a su derecho conviniera y asistiera. Por su parte, el Sujeto Obligado en fecha </w:t>
      </w:r>
      <w:r>
        <w:rPr>
          <w:rFonts w:ascii="Palatino Linotype" w:eastAsia="Palatino Linotype" w:hAnsi="Palatino Linotype" w:cs="Palatino Linotype"/>
          <w:b/>
          <w:bCs/>
          <w:color w:val="000000"/>
        </w:rPr>
        <w:t>doce de marzo de dos mil veintiséis,</w:t>
      </w:r>
      <w:r>
        <w:rPr>
          <w:b/>
          <w:bCs/>
        </w:rPr>
        <w:t xml:space="preserve"> </w:t>
      </w:r>
      <w:r>
        <w:rPr>
          <w:rFonts w:ascii="Palatino Linotype" w:eastAsia="Palatino Linotype" w:hAnsi="Palatino Linotype" w:cs="Palatino Linotype"/>
          <w:color w:val="000000"/>
        </w:rPr>
        <w:t xml:space="preserve">rindió el </w:t>
      </w:r>
      <w:r>
        <w:rPr>
          <w:rFonts w:ascii="Palatino Linotype" w:eastAsia="Palatino Linotype" w:hAnsi="Palatino Linotype" w:cs="Palatino Linotype"/>
          <w:b/>
          <w:bCs/>
          <w:color w:val="000000"/>
        </w:rPr>
        <w:t>Informe Justificado</w:t>
      </w:r>
      <w:r>
        <w:rPr>
          <w:rFonts w:ascii="Palatino Linotype" w:eastAsia="Palatino Linotype" w:hAnsi="Palatino Linotype" w:cs="Palatino Linotype"/>
          <w:color w:val="000000"/>
        </w:rPr>
        <w:t xml:space="preserve"> a través de los siguientes archivos electrónicos:</w:t>
      </w:r>
    </w:p>
    <w:p w:rsidR="006F3F06" w:rsidRDefault="000E53DF">
      <w:pPr>
        <w:pBdr>
          <w:top w:val="nil"/>
          <w:left w:val="nil"/>
          <w:bottom w:val="nil"/>
          <w:right w:val="nil"/>
          <w:between w:val="nil"/>
        </w:pBdr>
        <w:ind w:left="567" w:right="-787"/>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2878-2026-TESORERIA.pdf</w:t>
      </w:r>
    </w:p>
    <w:p w:rsidR="006F3F06" w:rsidRDefault="000E53DF">
      <w:pPr>
        <w:pBdr>
          <w:top w:val="nil"/>
          <w:left w:val="nil"/>
          <w:bottom w:val="nil"/>
          <w:right w:val="nil"/>
          <w:between w:val="nil"/>
        </w:pBdr>
        <w:ind w:left="567" w:right="-78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Oficio: 202010000/569/2026 de fecha 09 de marzo de 2026, firmado por el </w:t>
      </w:r>
      <w:r>
        <w:rPr>
          <w:rFonts w:ascii="Palatino Linotype" w:eastAsia="Palatino Linotype" w:hAnsi="Palatino Linotype" w:cs="Palatino Linotype"/>
          <w:b/>
          <w:bCs/>
          <w:color w:val="000000"/>
        </w:rPr>
        <w:t>Tesorero Municipal</w:t>
      </w:r>
      <w:r>
        <w:rPr>
          <w:rFonts w:ascii="Palatino Linotype" w:eastAsia="Palatino Linotype" w:hAnsi="Palatino Linotype" w:cs="Palatino Linotype"/>
          <w:color w:val="000000"/>
        </w:rPr>
        <w:t xml:space="preserve">, a través del cual </w:t>
      </w:r>
      <w:r>
        <w:rPr>
          <w:rFonts w:ascii="Palatino Linotype" w:eastAsia="Palatino Linotype" w:hAnsi="Palatino Linotype" w:cs="Palatino Linotype"/>
          <w:b/>
          <w:bCs/>
          <w:color w:val="000000"/>
        </w:rPr>
        <w:t>ratifica</w:t>
      </w:r>
      <w:r>
        <w:rPr>
          <w:rFonts w:ascii="Palatino Linotype" w:eastAsia="Palatino Linotype" w:hAnsi="Palatino Linotype" w:cs="Palatino Linotype"/>
          <w:color w:val="000000"/>
        </w:rPr>
        <w:t xml:space="preserve"> su respuesta inicial.</w:t>
      </w:r>
    </w:p>
    <w:p w:rsidR="006F3F06" w:rsidRDefault="006F3F06">
      <w:pPr>
        <w:pBdr>
          <w:top w:val="nil"/>
          <w:left w:val="nil"/>
          <w:bottom w:val="nil"/>
          <w:right w:val="nil"/>
          <w:between w:val="nil"/>
        </w:pBdr>
        <w:ind w:left="567" w:right="-787"/>
        <w:jc w:val="both"/>
        <w:rPr>
          <w:rFonts w:ascii="Palatino Linotype" w:eastAsia="Palatino Linotype" w:hAnsi="Palatino Linotype" w:cs="Palatino Linotype"/>
          <w:b/>
          <w:bCs/>
          <w:color w:val="000000"/>
        </w:rPr>
      </w:pPr>
    </w:p>
    <w:p w:rsidR="006F3F06" w:rsidRDefault="000E53DF">
      <w:pPr>
        <w:pBdr>
          <w:top w:val="nil"/>
          <w:left w:val="nil"/>
          <w:bottom w:val="nil"/>
          <w:right w:val="nil"/>
          <w:between w:val="nil"/>
        </w:pBdr>
        <w:ind w:left="567" w:right="-787"/>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2878-2026-DGOP.pdf</w:t>
      </w:r>
    </w:p>
    <w:p w:rsidR="006F3F06" w:rsidRDefault="000E53DF">
      <w:pPr>
        <w:pBdr>
          <w:top w:val="nil"/>
          <w:left w:val="nil"/>
          <w:bottom w:val="nil"/>
          <w:right w:val="nil"/>
          <w:between w:val="nil"/>
        </w:pBdr>
        <w:ind w:left="567" w:right="-78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Oficio 210010000/0703/2026 de fecha 11 de marzo de 2026, firmado por el </w:t>
      </w:r>
      <w:r>
        <w:rPr>
          <w:rFonts w:ascii="Palatino Linotype" w:eastAsia="Palatino Linotype" w:hAnsi="Palatino Linotype" w:cs="Palatino Linotype"/>
          <w:b/>
          <w:bCs/>
          <w:color w:val="000000"/>
        </w:rPr>
        <w:t>Director de Obras Públicas</w:t>
      </w:r>
      <w:r>
        <w:rPr>
          <w:rFonts w:ascii="Palatino Linotype" w:eastAsia="Palatino Linotype" w:hAnsi="Palatino Linotype" w:cs="Palatino Linotype"/>
          <w:color w:val="000000"/>
        </w:rPr>
        <w:t xml:space="preserve">, a través del cual </w:t>
      </w:r>
      <w:r>
        <w:rPr>
          <w:rFonts w:ascii="Palatino Linotype" w:eastAsia="Palatino Linotype" w:hAnsi="Palatino Linotype" w:cs="Palatino Linotype"/>
          <w:b/>
          <w:bCs/>
          <w:color w:val="000000"/>
        </w:rPr>
        <w:t>ratifica</w:t>
      </w:r>
      <w:r>
        <w:rPr>
          <w:rFonts w:ascii="Palatino Linotype" w:eastAsia="Palatino Linotype" w:hAnsi="Palatino Linotype" w:cs="Palatino Linotype"/>
          <w:color w:val="000000"/>
        </w:rPr>
        <w:t xml:space="preserve"> su respuesta inicial.</w:t>
      </w:r>
    </w:p>
    <w:p w:rsidR="006F3F06" w:rsidRDefault="000E53DF">
      <w:pPr>
        <w:pBdr>
          <w:top w:val="nil"/>
          <w:left w:val="nil"/>
          <w:bottom w:val="nil"/>
          <w:right w:val="nil"/>
          <w:between w:val="nil"/>
        </w:pBdr>
        <w:ind w:left="567" w:right="-78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 </w:t>
      </w:r>
    </w:p>
    <w:p w:rsidR="006F3F06" w:rsidRDefault="000E53DF">
      <w:pPr>
        <w:pBdr>
          <w:top w:val="nil"/>
          <w:left w:val="nil"/>
          <w:bottom w:val="nil"/>
          <w:right w:val="nil"/>
          <w:between w:val="nil"/>
        </w:pBdr>
        <w:ind w:left="567" w:right="-787"/>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2878-2026-DGA.pdf</w:t>
      </w:r>
    </w:p>
    <w:p w:rsidR="006F3F06" w:rsidRDefault="000E53DF">
      <w:pPr>
        <w:pBdr>
          <w:top w:val="nil"/>
          <w:left w:val="nil"/>
          <w:bottom w:val="nil"/>
          <w:right w:val="nil"/>
          <w:between w:val="nil"/>
        </w:pBdr>
        <w:ind w:left="567" w:right="-78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Número de Oficio: 206010000/1598/2026 de fecha 10 de marzo de 2026, firmado por la Directora General de Administración, a través del cual </w:t>
      </w:r>
      <w:r>
        <w:rPr>
          <w:rFonts w:ascii="Palatino Linotype" w:eastAsia="Palatino Linotype" w:hAnsi="Palatino Linotype" w:cs="Palatino Linotype"/>
          <w:b/>
          <w:bCs/>
          <w:color w:val="000000"/>
        </w:rPr>
        <w:t>ratifica</w:t>
      </w:r>
      <w:r>
        <w:rPr>
          <w:rFonts w:ascii="Palatino Linotype" w:eastAsia="Palatino Linotype" w:hAnsi="Palatino Linotype" w:cs="Palatino Linotype"/>
          <w:color w:val="000000"/>
        </w:rPr>
        <w:t xml:space="preserve"> su respuesta inicial.</w:t>
      </w:r>
    </w:p>
    <w:p w:rsidR="006F3F06" w:rsidRDefault="000E53DF">
      <w:pPr>
        <w:pBdr>
          <w:top w:val="nil"/>
          <w:left w:val="nil"/>
          <w:bottom w:val="nil"/>
          <w:right w:val="nil"/>
          <w:between w:val="nil"/>
        </w:pBdr>
        <w:ind w:left="567" w:right="-787"/>
        <w:jc w:val="both"/>
      </w:pPr>
      <w:r>
        <w:tab/>
      </w:r>
    </w:p>
    <w:p w:rsidR="006F3F06" w:rsidRDefault="006F3F06">
      <w:pPr>
        <w:pBdr>
          <w:top w:val="nil"/>
          <w:left w:val="nil"/>
          <w:bottom w:val="nil"/>
          <w:right w:val="nil"/>
          <w:between w:val="nil"/>
        </w:pBdr>
        <w:ind w:left="567" w:right="-787"/>
        <w:jc w:val="both"/>
      </w:pPr>
    </w:p>
    <w:p w:rsidR="006F3F06" w:rsidRDefault="000E53DF">
      <w:pPr>
        <w:numPr>
          <w:ilvl w:val="0"/>
          <w:numId w:val="2"/>
        </w:numPr>
        <w:pBdr>
          <w:top w:val="nil"/>
          <w:left w:val="nil"/>
          <w:bottom w:val="nil"/>
          <w:right w:val="nil"/>
          <w:between w:val="nil"/>
        </w:pBdr>
        <w:tabs>
          <w:tab w:val="left" w:pos="0"/>
        </w:tabs>
        <w:spacing w:line="360" w:lineRule="auto"/>
        <w:ind w:left="0" w:right="-787" w:firstLine="0"/>
        <w:jc w:val="both"/>
        <w:rPr>
          <w:color w:val="000000"/>
        </w:rPr>
      </w:pPr>
      <w:r>
        <w:rPr>
          <w:rFonts w:ascii="Palatino Linotype" w:eastAsia="Palatino Linotype" w:hAnsi="Palatino Linotype" w:cs="Palatino Linotype"/>
          <w:color w:val="000000"/>
        </w:rPr>
        <w:lastRenderedPageBreak/>
        <w:t>El</w:t>
      </w:r>
      <w:r>
        <w:rPr>
          <w:rFonts w:ascii="Palatino Linotype" w:eastAsia="Palatino Linotype" w:hAnsi="Palatino Linotype" w:cs="Palatino Linotype"/>
          <w:b/>
          <w:bCs/>
          <w:color w:val="000000"/>
        </w:rPr>
        <w:t xml:space="preserve"> veinticuatro de abril de dos mil veintiséis</w:t>
      </w:r>
      <w:r>
        <w:rPr>
          <w:rFonts w:ascii="Palatino Linotype" w:eastAsia="Palatino Linotype" w:hAnsi="Palatino Linotype" w:cs="Palatino Linotype"/>
          <w:color w:val="000000"/>
        </w:rPr>
        <w:t xml:space="preserve"> se acordó </w:t>
      </w:r>
      <w:r>
        <w:rPr>
          <w:rFonts w:ascii="Palatino Linotype" w:eastAsia="Palatino Linotype" w:hAnsi="Palatino Linotype" w:cs="Palatino Linotype"/>
          <w:b/>
          <w:bCs/>
          <w:color w:val="000000"/>
        </w:rPr>
        <w:t>ampliar el término para resolver</w:t>
      </w:r>
      <w:r>
        <w:rPr>
          <w:rFonts w:ascii="Palatino Linotype" w:eastAsia="Palatino Linotype" w:hAnsi="Palatino Linotype" w:cs="Palatino Linotype"/>
          <w:color w:val="000000"/>
        </w:rPr>
        <w:t xml:space="preserve"> el presente asunto.</w:t>
      </w:r>
    </w:p>
    <w:p w:rsidR="006F3F06" w:rsidRDefault="006F3F06">
      <w:pPr>
        <w:pBdr>
          <w:top w:val="nil"/>
          <w:left w:val="nil"/>
          <w:bottom w:val="nil"/>
          <w:right w:val="nil"/>
          <w:between w:val="nil"/>
        </w:pBdr>
        <w:spacing w:line="360" w:lineRule="auto"/>
        <w:ind w:right="-787"/>
        <w:rPr>
          <w:rFonts w:ascii="Palatino Linotype" w:eastAsia="Palatino Linotype" w:hAnsi="Palatino Linotype" w:cs="Palatino Linotype"/>
          <w:color w:val="000000"/>
        </w:rPr>
      </w:pPr>
    </w:p>
    <w:p w:rsidR="006F3F06" w:rsidRDefault="000E53DF">
      <w:pPr>
        <w:numPr>
          <w:ilvl w:val="0"/>
          <w:numId w:val="2"/>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b/>
          <w:bCs/>
          <w:color w:val="000000"/>
        </w:rPr>
      </w:pPr>
      <w:bookmarkStart w:id="2" w:name="_heading=h.3znysh7" w:colFirst="0" w:colLast="0"/>
      <w:bookmarkEnd w:id="2"/>
      <w:r>
        <w:rPr>
          <w:rFonts w:ascii="Palatino Linotype" w:eastAsia="Palatino Linotype" w:hAnsi="Palatino Linotype" w:cs="Palatino Linotype"/>
          <w:color w:val="000000"/>
        </w:rPr>
        <w:t xml:space="preserve">Seguidamente, en fecha </w:t>
      </w:r>
      <w:r>
        <w:rPr>
          <w:rFonts w:ascii="Palatino Linotype" w:eastAsia="Palatino Linotype" w:hAnsi="Palatino Linotype" w:cs="Palatino Linotype"/>
          <w:b/>
          <w:bCs/>
          <w:color w:val="000000"/>
        </w:rPr>
        <w:t>dieciséis de junio de dos mil veintiséis</w:t>
      </w:r>
      <w:r>
        <w:rPr>
          <w:rFonts w:ascii="Palatino Linotype" w:eastAsia="Palatino Linotype" w:hAnsi="Palatino Linotype" w:cs="Palatino Linotype"/>
          <w:color w:val="000000"/>
        </w:rPr>
        <w:t xml:space="preserve">, la Comisionada Ponente dictó el </w:t>
      </w:r>
      <w:r>
        <w:rPr>
          <w:rFonts w:ascii="Palatino Linotype" w:eastAsia="Palatino Linotype" w:hAnsi="Palatino Linotype" w:cs="Palatino Linotype"/>
          <w:b/>
          <w:bCs/>
          <w:color w:val="000000"/>
        </w:rPr>
        <w:t>cierre del periodo de instrucción</w:t>
      </w:r>
      <w:r>
        <w:rPr>
          <w:rFonts w:ascii="Palatino Linotype" w:eastAsia="Palatino Linotype" w:hAnsi="Palatino Linotype" w:cs="Palatino Linotype"/>
          <w:color w:val="000000"/>
        </w:rPr>
        <w:t xml:space="preserve"> y, ordenó la resolución que conforme a Derecho proceda:</w:t>
      </w:r>
    </w:p>
    <w:p w:rsidR="006F3F06" w:rsidRDefault="006F3F06">
      <w:pPr>
        <w:pBdr>
          <w:top w:val="nil"/>
          <w:left w:val="nil"/>
          <w:bottom w:val="nil"/>
          <w:right w:val="nil"/>
          <w:between w:val="nil"/>
        </w:pBdr>
        <w:ind w:right="-788"/>
        <w:jc w:val="both"/>
        <w:rPr>
          <w:rFonts w:ascii="Palatino Linotype" w:eastAsia="Palatino Linotype" w:hAnsi="Palatino Linotype" w:cs="Palatino Linotype"/>
          <w:b/>
          <w:bCs/>
          <w:color w:val="000000"/>
        </w:rPr>
      </w:pPr>
    </w:p>
    <w:p w:rsidR="006F3F06" w:rsidRDefault="000E53DF">
      <w:pPr>
        <w:keepNext/>
        <w:keepLines/>
        <w:spacing w:line="360" w:lineRule="auto"/>
        <w:jc w:val="center"/>
        <w:rPr>
          <w:rFonts w:ascii="Palatino Linotype" w:eastAsia="Palatino Linotype" w:hAnsi="Palatino Linotype" w:cs="Palatino Linotype"/>
          <w:b/>
          <w:bCs/>
        </w:rPr>
      </w:pPr>
      <w:r>
        <w:rPr>
          <w:rFonts w:ascii="Palatino Linotype" w:eastAsia="Palatino Linotype" w:hAnsi="Palatino Linotype" w:cs="Palatino Linotype"/>
          <w:b/>
          <w:bCs/>
        </w:rPr>
        <w:t xml:space="preserve">C O N S I D E R A N D O </w:t>
      </w:r>
    </w:p>
    <w:p w:rsidR="006F3F06" w:rsidRDefault="006F3F06">
      <w:pPr>
        <w:spacing w:line="360" w:lineRule="auto"/>
        <w:rPr>
          <w:rFonts w:ascii="Palatino Linotype" w:eastAsia="Palatino Linotype" w:hAnsi="Palatino Linotype" w:cs="Palatino Linotype"/>
        </w:rPr>
      </w:pPr>
    </w:p>
    <w:p w:rsidR="006F3F06" w:rsidRDefault="000E53DF">
      <w:pPr>
        <w:keepNext/>
        <w:keepLines/>
        <w:spacing w:line="360" w:lineRule="auto"/>
        <w:rPr>
          <w:rFonts w:ascii="Palatino Linotype" w:eastAsia="Palatino Linotype" w:hAnsi="Palatino Linotype" w:cs="Palatino Linotype"/>
          <w:b/>
          <w:bCs/>
        </w:rPr>
      </w:pPr>
      <w:r>
        <w:rPr>
          <w:rFonts w:ascii="Palatino Linotype" w:eastAsia="Palatino Linotype" w:hAnsi="Palatino Linotype" w:cs="Palatino Linotype"/>
          <w:b/>
          <w:bCs/>
        </w:rPr>
        <w:t>PRIMERO. De la competencia</w:t>
      </w:r>
    </w:p>
    <w:p w:rsidR="006F3F06" w:rsidRDefault="000E53DF">
      <w:pPr>
        <w:numPr>
          <w:ilvl w:val="0"/>
          <w:numId w:val="2"/>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cuadragésimo cuarto, cuadragésimo quinto y cuadragésimo sexto,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rsidR="006F3F06" w:rsidRDefault="006F3F06">
      <w:pPr>
        <w:tabs>
          <w:tab w:val="left" w:pos="426"/>
        </w:tabs>
        <w:spacing w:line="360" w:lineRule="auto"/>
        <w:jc w:val="both"/>
        <w:rPr>
          <w:rFonts w:ascii="Palatino Linotype" w:eastAsia="Palatino Linotype" w:hAnsi="Palatino Linotype" w:cs="Palatino Linotype"/>
          <w:color w:val="000000"/>
        </w:rPr>
      </w:pPr>
    </w:p>
    <w:p w:rsidR="006F3F06" w:rsidRDefault="000E53DF">
      <w:pPr>
        <w:keepNext/>
        <w:keepLines/>
        <w:spacing w:line="360" w:lineRule="auto"/>
        <w:rPr>
          <w:rFonts w:ascii="Palatino Linotype" w:eastAsia="Palatino Linotype" w:hAnsi="Palatino Linotype" w:cs="Palatino Linotype"/>
          <w:b/>
          <w:bCs/>
        </w:rPr>
      </w:pPr>
      <w:r>
        <w:rPr>
          <w:rFonts w:ascii="Palatino Linotype" w:eastAsia="Palatino Linotype" w:hAnsi="Palatino Linotype" w:cs="Palatino Linotype"/>
          <w:b/>
          <w:bCs/>
        </w:rPr>
        <w:t>SEGUNDO. De la oportunidad y procedencia.</w:t>
      </w:r>
    </w:p>
    <w:p w:rsidR="006F3F06" w:rsidRDefault="000E53DF">
      <w:pPr>
        <w:numPr>
          <w:ilvl w:val="0"/>
          <w:numId w:val="2"/>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rPr>
      </w:pPr>
      <w:bookmarkStart w:id="3" w:name="_heading=h.2et92p0" w:colFirst="0" w:colLast="0"/>
      <w:bookmarkEnd w:id="3"/>
      <w:r>
        <w:rPr>
          <w:rFonts w:ascii="Palatino Linotype" w:eastAsia="Palatino Linotype" w:hAnsi="Palatino Linotype" w:cs="Palatino Linotype"/>
        </w:rPr>
        <w:t xml:space="preserve">El medio de impugnación fue presentado a través del </w:t>
      </w:r>
      <w:r>
        <w:rPr>
          <w:rFonts w:ascii="Palatino Linotype" w:eastAsia="Palatino Linotype" w:hAnsi="Palatino Linotype" w:cs="Palatino Linotype"/>
          <w:b/>
          <w:bCs/>
        </w:rPr>
        <w:t>SAIMEX,</w:t>
      </w:r>
      <w:r>
        <w:rPr>
          <w:rFonts w:ascii="Palatino Linotype" w:eastAsia="Palatino Linotype" w:hAnsi="Palatino Linotype" w:cs="Palatino Linotype"/>
        </w:rPr>
        <w:t xml:space="preserve"> en el formato previamente aprobado para tal efecto y dentro del plazo legal de quince días hábiles otorgados; para el caso en particular es de señalar que el </w:t>
      </w:r>
      <w:r>
        <w:rPr>
          <w:rFonts w:ascii="Palatino Linotype" w:eastAsia="Palatino Linotype" w:hAnsi="Palatino Linotype" w:cs="Palatino Linotype"/>
          <w:b/>
          <w:bCs/>
        </w:rPr>
        <w:t>SUJETO OBLIGADO</w:t>
      </w:r>
      <w:r>
        <w:rPr>
          <w:rFonts w:ascii="Palatino Linotype" w:eastAsia="Palatino Linotype" w:hAnsi="Palatino Linotype" w:cs="Palatino Linotype"/>
        </w:rPr>
        <w:t xml:space="preserve"> entregó </w:t>
      </w:r>
      <w:r>
        <w:rPr>
          <w:rFonts w:ascii="Palatino Linotype" w:eastAsia="Palatino Linotype" w:hAnsi="Palatino Linotype" w:cs="Palatino Linotype"/>
        </w:rPr>
        <w:lastRenderedPageBreak/>
        <w:t xml:space="preserve">respuesta el </w:t>
      </w:r>
      <w:r>
        <w:rPr>
          <w:rFonts w:ascii="Palatino Linotype" w:eastAsia="Palatino Linotype" w:hAnsi="Palatino Linotype" w:cs="Palatino Linotype"/>
          <w:b/>
          <w:bCs/>
        </w:rPr>
        <w:t>veintiséis de febrero de dos mil veintiséis</w:t>
      </w:r>
      <w:r>
        <w:rPr>
          <w:rFonts w:ascii="Palatino Linotype" w:eastAsia="Palatino Linotype" w:hAnsi="Palatino Linotype" w:cs="Palatino Linotype"/>
        </w:rPr>
        <w:t xml:space="preserve">, de tal forma que el plazo para interponer el recurso transcurrió del </w:t>
      </w:r>
      <w:r>
        <w:rPr>
          <w:rFonts w:ascii="Palatino Linotype" w:eastAsia="Palatino Linotype" w:hAnsi="Palatino Linotype" w:cs="Palatino Linotype"/>
          <w:b/>
          <w:bCs/>
        </w:rPr>
        <w:t xml:space="preserve">veintisiete de febrero al veintitrés de marzo de dos mil veintiséis, </w:t>
      </w:r>
      <w:r>
        <w:rPr>
          <w:rFonts w:ascii="Palatino Linotype" w:eastAsia="Palatino Linotype" w:hAnsi="Palatino Linotype" w:cs="Palatino Linotype"/>
        </w:rPr>
        <w:t xml:space="preserve">en consecuencia, si el </w:t>
      </w:r>
      <w:r>
        <w:rPr>
          <w:rFonts w:ascii="Palatino Linotype" w:eastAsia="Palatino Linotype" w:hAnsi="Palatino Linotype" w:cs="Palatino Linotype"/>
          <w:b/>
          <w:bCs/>
        </w:rPr>
        <w:t>PARTICULAR</w:t>
      </w:r>
      <w:r>
        <w:rPr>
          <w:rFonts w:ascii="Palatino Linotype" w:eastAsia="Palatino Linotype" w:hAnsi="Palatino Linotype" w:cs="Palatino Linotype"/>
        </w:rPr>
        <w:t xml:space="preserve"> presentó su inconformidad el </w:t>
      </w:r>
      <w:r>
        <w:rPr>
          <w:rFonts w:ascii="Palatino Linotype" w:eastAsia="Palatino Linotype" w:hAnsi="Palatino Linotype" w:cs="Palatino Linotype"/>
          <w:b/>
          <w:bCs/>
        </w:rPr>
        <w:t>veintisiete de febrero de dos mil veintiséis</w:t>
      </w:r>
      <w:r>
        <w:rPr>
          <w:rFonts w:ascii="Palatino Linotype" w:eastAsia="Palatino Linotype" w:hAnsi="Palatino Linotype" w:cs="Palatino Linotype"/>
        </w:rPr>
        <w:t xml:space="preserve">, este  se encuentra dentro de los márgenes temporales previstos en el artículo 178 de la </w:t>
      </w:r>
      <w:r>
        <w:rPr>
          <w:rFonts w:ascii="Palatino Linotype" w:eastAsia="Palatino Linotype" w:hAnsi="Palatino Linotype" w:cs="Palatino Linotype"/>
          <w:b/>
          <w:bCs/>
        </w:rPr>
        <w:t xml:space="preserve">Ley de Transparencia y Acceso a la Información Pública del Estado de México y Municipios </w:t>
      </w:r>
      <w:r>
        <w:rPr>
          <w:rFonts w:ascii="Palatino Linotype" w:eastAsia="Palatino Linotype" w:hAnsi="Palatino Linotype" w:cs="Palatino Linotype"/>
        </w:rPr>
        <w:t xml:space="preserve">vigente. </w:t>
      </w:r>
    </w:p>
    <w:p w:rsidR="006F3F06" w:rsidRDefault="006F3F06">
      <w:pPr>
        <w:spacing w:line="360" w:lineRule="auto"/>
        <w:ind w:right="49"/>
        <w:jc w:val="both"/>
        <w:rPr>
          <w:rFonts w:ascii="Palatino Linotype" w:eastAsia="Palatino Linotype" w:hAnsi="Palatino Linotype" w:cs="Palatino Linotype"/>
        </w:rPr>
      </w:pPr>
    </w:p>
    <w:p w:rsidR="006F3F06" w:rsidRDefault="000E53DF">
      <w:pPr>
        <w:pStyle w:val="Ttulo2"/>
        <w:rPr>
          <w:rFonts w:ascii="Palatino Linotype" w:eastAsia="Palatino Linotype" w:hAnsi="Palatino Linotype" w:cs="Palatino Linotype"/>
          <w:b/>
          <w:bCs/>
          <w:i/>
          <w:iCs/>
          <w:color w:val="000000"/>
          <w:sz w:val="24"/>
          <w:szCs w:val="24"/>
        </w:rPr>
      </w:pPr>
      <w:r>
        <w:rPr>
          <w:rFonts w:ascii="Palatino Linotype" w:eastAsia="Palatino Linotype" w:hAnsi="Palatino Linotype" w:cs="Palatino Linotype"/>
          <w:b/>
          <w:bCs/>
          <w:color w:val="000000"/>
          <w:sz w:val="24"/>
          <w:szCs w:val="24"/>
        </w:rPr>
        <w:t xml:space="preserve">TERCERO. Del planteamiento de la </w:t>
      </w:r>
      <w:r>
        <w:rPr>
          <w:rFonts w:ascii="Palatino Linotype" w:eastAsia="Palatino Linotype" w:hAnsi="Palatino Linotype" w:cs="Palatino Linotype"/>
          <w:b/>
          <w:bCs/>
          <w:i/>
          <w:iCs/>
          <w:color w:val="000000"/>
          <w:sz w:val="24"/>
          <w:szCs w:val="24"/>
        </w:rPr>
        <w:t>Litis.</w:t>
      </w:r>
    </w:p>
    <w:p w:rsidR="006F3F06" w:rsidRDefault="000E53DF">
      <w:pPr>
        <w:numPr>
          <w:ilvl w:val="0"/>
          <w:numId w:val="2"/>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Se solicitó tener acceso, a la información que a continuación se simplifica:</w:t>
      </w:r>
    </w:p>
    <w:p w:rsidR="006F3F06" w:rsidRDefault="000E53DF">
      <w:pPr>
        <w:numPr>
          <w:ilvl w:val="0"/>
          <w:numId w:val="6"/>
        </w:numPr>
        <w:pBdr>
          <w:top w:val="nil"/>
          <w:left w:val="nil"/>
          <w:bottom w:val="nil"/>
          <w:right w:val="nil"/>
          <w:between w:val="nil"/>
        </w:pBdr>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De todas las obras, pavimentación, reencaprtamiento y bacheo, del 1 enero de 2025 al 26 de enero de 2026:</w:t>
      </w:r>
    </w:p>
    <w:p w:rsidR="006F3F06" w:rsidRDefault="000E53DF">
      <w:pPr>
        <w:numPr>
          <w:ilvl w:val="0"/>
          <w:numId w:val="7"/>
        </w:numPr>
        <w:pBdr>
          <w:top w:val="nil"/>
          <w:left w:val="nil"/>
          <w:bottom w:val="nil"/>
          <w:right w:val="nil"/>
          <w:between w:val="nil"/>
        </w:pBdr>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Contratos </w:t>
      </w:r>
    </w:p>
    <w:p w:rsidR="006F3F06" w:rsidRDefault="000E53DF">
      <w:pPr>
        <w:numPr>
          <w:ilvl w:val="0"/>
          <w:numId w:val="7"/>
        </w:numPr>
        <w:pBdr>
          <w:top w:val="nil"/>
          <w:left w:val="nil"/>
          <w:bottom w:val="nil"/>
          <w:right w:val="nil"/>
          <w:between w:val="nil"/>
        </w:pBdr>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Proyectos técnicos, </w:t>
      </w:r>
    </w:p>
    <w:p w:rsidR="006F3F06" w:rsidRDefault="000E53DF">
      <w:pPr>
        <w:numPr>
          <w:ilvl w:val="0"/>
          <w:numId w:val="7"/>
        </w:numPr>
        <w:pBdr>
          <w:top w:val="nil"/>
          <w:left w:val="nil"/>
          <w:bottom w:val="nil"/>
          <w:right w:val="nil"/>
          <w:between w:val="nil"/>
        </w:pBdr>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Facturas pagadas </w:t>
      </w:r>
    </w:p>
    <w:p w:rsidR="006F3F06" w:rsidRDefault="000E53DF">
      <w:pPr>
        <w:numPr>
          <w:ilvl w:val="0"/>
          <w:numId w:val="7"/>
        </w:numPr>
        <w:pBdr>
          <w:top w:val="nil"/>
          <w:left w:val="nil"/>
          <w:bottom w:val="nil"/>
          <w:right w:val="nil"/>
          <w:between w:val="nil"/>
        </w:pBdr>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Actas del comité de adquisidores</w:t>
      </w:r>
    </w:p>
    <w:p w:rsidR="006F3F06" w:rsidRDefault="000E53DF">
      <w:pPr>
        <w:numPr>
          <w:ilvl w:val="0"/>
          <w:numId w:val="7"/>
        </w:numPr>
        <w:pBdr>
          <w:top w:val="nil"/>
          <w:left w:val="nil"/>
          <w:bottom w:val="nil"/>
          <w:right w:val="nil"/>
          <w:between w:val="nil"/>
        </w:pBdr>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Licitación</w:t>
      </w:r>
    </w:p>
    <w:p w:rsidR="006F3F06" w:rsidRDefault="000E53DF">
      <w:pPr>
        <w:numPr>
          <w:ilvl w:val="0"/>
          <w:numId w:val="7"/>
        </w:numPr>
        <w:pBdr>
          <w:top w:val="nil"/>
          <w:left w:val="nil"/>
          <w:bottom w:val="nil"/>
          <w:right w:val="nil"/>
          <w:between w:val="nil"/>
        </w:pBdr>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Si fue asignación directa la justificación con el monto autorizado</w:t>
      </w:r>
    </w:p>
    <w:p w:rsidR="006F3F06" w:rsidRDefault="006F3F06">
      <w:pPr>
        <w:ind w:left="709" w:right="-788"/>
        <w:jc w:val="both"/>
        <w:rPr>
          <w:rFonts w:ascii="Palatino Linotype" w:eastAsia="Palatino Linotype" w:hAnsi="Palatino Linotype" w:cs="Palatino Linotype"/>
          <w:b/>
          <w:bCs/>
        </w:rPr>
      </w:pPr>
    </w:p>
    <w:p w:rsidR="006F3F06" w:rsidRDefault="000E53DF">
      <w:pPr>
        <w:numPr>
          <w:ilvl w:val="0"/>
          <w:numId w:val="2"/>
        </w:numP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rPr>
        <w:t>En respuesta, el Sujeto Obligado</w:t>
      </w:r>
      <w:r>
        <w:rPr>
          <w:rFonts w:ascii="Palatino Linotype" w:eastAsia="Palatino Linotype" w:hAnsi="Palatino Linotype" w:cs="Palatino Linotype"/>
          <w:b/>
          <w:bCs/>
        </w:rPr>
        <w:t xml:space="preserve"> </w:t>
      </w:r>
      <w:r>
        <w:rPr>
          <w:rFonts w:ascii="Palatino Linotype" w:eastAsia="Palatino Linotype" w:hAnsi="Palatino Linotype" w:cs="Palatino Linotype"/>
        </w:rPr>
        <w:t>remitió el archivo ya descrito en el párrafo 3, inconforme con la respuesta, se interpuso recurso de revisión argumentando sustancialmente la entrega de información incompleta.</w:t>
      </w:r>
    </w:p>
    <w:p w:rsidR="006F3F06" w:rsidRDefault="006F3F06">
      <w:pPr>
        <w:spacing w:line="360" w:lineRule="auto"/>
        <w:ind w:right="-787"/>
        <w:jc w:val="both"/>
        <w:rPr>
          <w:rFonts w:ascii="Palatino Linotype" w:eastAsia="Palatino Linotype" w:hAnsi="Palatino Linotype" w:cs="Palatino Linotype"/>
          <w:i/>
          <w:iCs/>
          <w:color w:val="000000"/>
        </w:rPr>
      </w:pPr>
    </w:p>
    <w:p w:rsidR="006F3F06" w:rsidRDefault="000E53DF">
      <w:pPr>
        <w:numPr>
          <w:ilvl w:val="0"/>
          <w:numId w:val="2"/>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dichas condiciones, la controversia a resolver en el presente proveído, corresponde a determinar si se actualiza la causal de procedencia prevista en el artículo </w:t>
      </w:r>
      <w:r>
        <w:rPr>
          <w:rFonts w:ascii="Palatino Linotype" w:eastAsia="Palatino Linotype" w:hAnsi="Palatino Linotype" w:cs="Palatino Linotype"/>
          <w:b/>
          <w:bCs/>
        </w:rPr>
        <w:t>179, fracción V, de la Ley de Transparencia y Acceso a la Información Pública del Estado de México y Municipios</w:t>
      </w:r>
      <w:r>
        <w:rPr>
          <w:rFonts w:ascii="Palatino Linotype" w:eastAsia="Palatino Linotype" w:hAnsi="Palatino Linotype" w:cs="Palatino Linotype"/>
        </w:rPr>
        <w:t xml:space="preserve">; </w:t>
      </w:r>
      <w:r>
        <w:rPr>
          <w:rFonts w:ascii="Palatino Linotype" w:eastAsia="Palatino Linotype" w:hAnsi="Palatino Linotype" w:cs="Palatino Linotype"/>
          <w:color w:val="000000"/>
        </w:rPr>
        <w:t xml:space="preserve">fracción que determina la hipótesis relativa a </w:t>
      </w:r>
      <w:r>
        <w:rPr>
          <w:rFonts w:ascii="Palatino Linotype" w:eastAsia="Palatino Linotype" w:hAnsi="Palatino Linotype" w:cs="Palatino Linotype"/>
          <w:b/>
          <w:bCs/>
          <w:color w:val="000000"/>
        </w:rPr>
        <w:t>la entrega de información incompleta,</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 xml:space="preserve">contexto del cual se dolió el Recurrente al momento de interponer su </w:t>
      </w:r>
      <w:r>
        <w:rPr>
          <w:rFonts w:ascii="Palatino Linotype" w:eastAsia="Palatino Linotype" w:hAnsi="Palatino Linotype" w:cs="Palatino Linotype"/>
        </w:rPr>
        <w:lastRenderedPageBreak/>
        <w:t>inconformidad.</w:t>
      </w:r>
      <w:r>
        <w:rPr>
          <w:rFonts w:ascii="Palatino Linotype" w:eastAsia="Palatino Linotype" w:hAnsi="Palatino Linotype" w:cs="Palatino Linotype"/>
          <w:color w:val="000000"/>
        </w:rPr>
        <w:t xml:space="preserve"> De modo tal que el presente recurso de revisión se </w:t>
      </w:r>
      <w:r>
        <w:rPr>
          <w:rFonts w:ascii="Palatino Linotype" w:eastAsia="Palatino Linotype" w:hAnsi="Palatino Linotype" w:cs="Palatino Linotype"/>
        </w:rPr>
        <w:t>abocará</w:t>
      </w:r>
      <w:r>
        <w:rPr>
          <w:rFonts w:ascii="Palatino Linotype" w:eastAsia="Palatino Linotype" w:hAnsi="Palatino Linotype" w:cs="Palatino Linotype"/>
          <w:color w:val="000000"/>
        </w:rPr>
        <w:t xml:space="preserve"> en determinar si el Sujeto Obligado con su respuesta ciertamente actualiza la causal de procedencia</w:t>
      </w:r>
      <w:r>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color w:val="000000"/>
        </w:rPr>
        <w:t xml:space="preserve">señalada. </w:t>
      </w:r>
    </w:p>
    <w:p w:rsidR="006F3F06" w:rsidRDefault="006F3F06">
      <w:pPr>
        <w:spacing w:line="360" w:lineRule="auto"/>
        <w:ind w:right="-787"/>
        <w:rPr>
          <w:rFonts w:ascii="Palatino Linotype" w:eastAsia="Palatino Linotype" w:hAnsi="Palatino Linotype" w:cs="Palatino Linotype"/>
        </w:rPr>
      </w:pPr>
    </w:p>
    <w:p w:rsidR="006F3F06" w:rsidRDefault="000E53DF">
      <w:pPr>
        <w:pStyle w:val="Ttulo2"/>
        <w:rPr>
          <w:rFonts w:ascii="Palatino Linotype" w:eastAsia="Palatino Linotype" w:hAnsi="Palatino Linotype" w:cs="Palatino Linotype"/>
          <w:b/>
          <w:bCs/>
          <w:color w:val="000000"/>
          <w:sz w:val="24"/>
          <w:szCs w:val="24"/>
        </w:rPr>
      </w:pPr>
      <w:bookmarkStart w:id="4" w:name="_heading=h.1t3h5sf" w:colFirst="0" w:colLast="0"/>
      <w:bookmarkEnd w:id="4"/>
      <w:r>
        <w:rPr>
          <w:rFonts w:ascii="Palatino Linotype" w:eastAsia="Palatino Linotype" w:hAnsi="Palatino Linotype" w:cs="Palatino Linotype"/>
          <w:b/>
          <w:bCs/>
          <w:color w:val="000000"/>
          <w:sz w:val="24"/>
          <w:szCs w:val="24"/>
        </w:rPr>
        <w:t>CUARTO. Del estudio y resolución del asunto.</w:t>
      </w:r>
    </w:p>
    <w:p w:rsidR="006F3F06" w:rsidRDefault="000E53DF">
      <w:pPr>
        <w:numPr>
          <w:ilvl w:val="0"/>
          <w:numId w:val="2"/>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Determinado lo anterior; revisaremos la atención otorgada por el Sujeto Obligado a la solicitud que dio origen a este recurso, considerando imprescindible establecer lo que la regulación determina, por ello, en primer lugar, vamos a revisar lo que mandata nuestra Ley de Transparencia local, en su artículo 12, el cual establece que quienes generen, recopilen, administren, manejen, procesen, 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rsidR="006F3F06" w:rsidRDefault="006F3F06">
      <w:pPr>
        <w:spacing w:line="360" w:lineRule="auto"/>
        <w:ind w:right="-787"/>
        <w:jc w:val="both"/>
        <w:rPr>
          <w:rFonts w:ascii="Palatino Linotype" w:eastAsia="Palatino Linotype" w:hAnsi="Palatino Linotype" w:cs="Palatino Linotype"/>
        </w:rPr>
      </w:pPr>
    </w:p>
    <w:p w:rsidR="006F3F06" w:rsidRDefault="000E53DF">
      <w:pPr>
        <w:numPr>
          <w:ilvl w:val="0"/>
          <w:numId w:val="2"/>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Asimismo,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6F3F06" w:rsidRDefault="006F3F06">
      <w:pPr>
        <w:pBdr>
          <w:top w:val="nil"/>
          <w:left w:val="nil"/>
          <w:bottom w:val="nil"/>
          <w:right w:val="nil"/>
          <w:between w:val="nil"/>
        </w:pBdr>
        <w:spacing w:line="360" w:lineRule="auto"/>
        <w:ind w:left="720" w:right="-787"/>
        <w:rPr>
          <w:rFonts w:ascii="Palatino Linotype" w:eastAsia="Palatino Linotype" w:hAnsi="Palatino Linotype" w:cs="Palatino Linotype"/>
          <w:color w:val="000000"/>
        </w:rPr>
      </w:pPr>
    </w:p>
    <w:p w:rsidR="006F3F06" w:rsidRDefault="000E53DF">
      <w:pPr>
        <w:numPr>
          <w:ilvl w:val="0"/>
          <w:numId w:val="2"/>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Los artículos antes citados, refieren que el derecho de acceso a la información pública es un derecho humano que abarca el solicitar, investigar, difundir y buscar información que se encuentre en los archivos de los sujetos obligados, ya sea porque estos las generaron o la poseen en atención a sus funciones, por lo que se le considera un bien común de dominio público, toda vez que al tratarse de acciones ejercidas por un servidor público, este lo hace en </w:t>
      </w:r>
      <w:r>
        <w:rPr>
          <w:rFonts w:ascii="Palatino Linotype" w:eastAsia="Palatino Linotype" w:hAnsi="Palatino Linotype" w:cs="Palatino Linotype"/>
        </w:rPr>
        <w:lastRenderedPageBreak/>
        <w:t>representación del Estado, por lo que le pertenece a todos y debe ser accesible a cualquier persona, ya sea que los particulares la puedan consultar por encontrarse publicada en cualquier medio de difusión o porque la requieren a través de una solicitud de acceso a la información, siempre y cuando no encuadre en una de las excepciones contempladas por la ley.</w:t>
      </w:r>
    </w:p>
    <w:p w:rsidR="006F3F06" w:rsidRDefault="006F3F06">
      <w:pPr>
        <w:spacing w:line="360" w:lineRule="auto"/>
        <w:ind w:right="-787"/>
        <w:jc w:val="both"/>
        <w:rPr>
          <w:rFonts w:ascii="Palatino Linotype" w:eastAsia="Palatino Linotype" w:hAnsi="Palatino Linotype" w:cs="Palatino Linotype"/>
        </w:rPr>
      </w:pPr>
    </w:p>
    <w:p w:rsidR="006F3F06" w:rsidRDefault="000E53DF">
      <w:pPr>
        <w:numPr>
          <w:ilvl w:val="0"/>
          <w:numId w:val="3"/>
        </w:numPr>
        <w:pBdr>
          <w:top w:val="nil"/>
          <w:left w:val="nil"/>
          <w:bottom w:val="nil"/>
          <w:right w:val="nil"/>
          <w:between w:val="nil"/>
        </w:pBdr>
        <w:spacing w:line="360" w:lineRule="auto"/>
        <w:ind w:right="-787"/>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Del Sujeto Obligado.</w:t>
      </w:r>
    </w:p>
    <w:p w:rsidR="006F3F06" w:rsidRDefault="000E53DF">
      <w:pPr>
        <w:numPr>
          <w:ilvl w:val="0"/>
          <w:numId w:val="2"/>
        </w:numPr>
        <w:spacing w:line="360" w:lineRule="auto"/>
        <w:ind w:left="0" w:right="-787" w:firstLine="0"/>
        <w:jc w:val="both"/>
      </w:pPr>
      <w:r>
        <w:rPr>
          <w:rFonts w:ascii="Palatino Linotype" w:eastAsia="Palatino Linotype" w:hAnsi="Palatino Linotype" w:cs="Palatino Linotype"/>
        </w:rPr>
        <w:t>El ejercicio del gobierno municipal se deposita en un cuerpo colegiado denominado Ayuntamiento. La ejecución de las atribuciones corresponde al Presidente Municipal, quien dirige la Administración Pública Municipal, misma que será centralizada, descentralizada y autónoma, y se auxiliará de diversas dependencias, organismos descentralizados y órganos autónomos, , de conformidad con el artículo 90, del Bando Municipal 2026:</w:t>
      </w:r>
    </w:p>
    <w:p w:rsidR="006F3F06" w:rsidRDefault="000E53DF">
      <w:pPr>
        <w:ind w:left="567" w:right="-220"/>
        <w:jc w:val="center"/>
        <w:rPr>
          <w:rFonts w:ascii="Palatino Linotype" w:eastAsia="Palatino Linotype" w:hAnsi="Palatino Linotype" w:cs="Palatino Linotype"/>
          <w:b/>
          <w:bCs/>
          <w:i/>
          <w:iCs/>
        </w:rPr>
      </w:pPr>
      <w:r>
        <w:rPr>
          <w:rFonts w:ascii="Palatino Linotype" w:eastAsia="Palatino Linotype" w:hAnsi="Palatino Linotype" w:cs="Palatino Linotype"/>
          <w:b/>
          <w:bCs/>
          <w:i/>
          <w:iCs/>
        </w:rPr>
        <w:t>Bando Municipal 2026</w:t>
      </w:r>
    </w:p>
    <w:p w:rsidR="006F3F06" w:rsidRDefault="006F3F06">
      <w:pPr>
        <w:ind w:left="567" w:right="-220"/>
        <w:jc w:val="center"/>
        <w:rPr>
          <w:rFonts w:ascii="Palatino Linotype" w:eastAsia="Palatino Linotype" w:hAnsi="Palatino Linotype" w:cs="Palatino Linotype"/>
          <w:b/>
          <w:bCs/>
          <w:i/>
          <w:iCs/>
        </w:rPr>
      </w:pPr>
    </w:p>
    <w:p w:rsidR="006F3F06" w:rsidRDefault="000E53DF">
      <w:pPr>
        <w:ind w:left="567" w:right="-788"/>
        <w:jc w:val="both"/>
        <w:rPr>
          <w:rFonts w:ascii="Palatino Linotype" w:eastAsia="Palatino Linotype" w:hAnsi="Palatino Linotype" w:cs="Palatino Linotype"/>
          <w:i/>
          <w:iCs/>
        </w:rPr>
      </w:pPr>
      <w:r>
        <w:rPr>
          <w:rFonts w:ascii="Palatino Linotype" w:eastAsia="Palatino Linotype" w:hAnsi="Palatino Linotype" w:cs="Palatino Linotype"/>
          <w:b/>
          <w:bCs/>
          <w:i/>
          <w:iCs/>
        </w:rPr>
        <w:t xml:space="preserve">Artículo 90. </w:t>
      </w:r>
      <w:r>
        <w:rPr>
          <w:rFonts w:ascii="Palatino Linotype" w:eastAsia="Palatino Linotype" w:hAnsi="Palatino Linotype" w:cs="Palatino Linotype"/>
          <w:i/>
          <w:iCs/>
        </w:rPr>
        <w:t>Para la consulta, estudio, planeación, gestión y ejecución en los diferentes ámbitos de aplicación de la Administración Pública Municipal, la o el Presidente Municipal se regirá por la Constitución Política de los Estados Unidos Mexicanos, la Constitución Política del Estado Libre y Soberano de México, la Ley Orgánica Municipal, el presente Bando y demás disposiciones aplicables, y se auxiliará de las siguientes:</w:t>
      </w:r>
    </w:p>
    <w:p w:rsidR="006F3F06" w:rsidRDefault="006F3F06">
      <w:pPr>
        <w:ind w:left="567" w:right="-788"/>
        <w:jc w:val="both"/>
        <w:rPr>
          <w:rFonts w:ascii="Palatino Linotype" w:eastAsia="Palatino Linotype" w:hAnsi="Palatino Linotype" w:cs="Palatino Linotype"/>
          <w:i/>
          <w:iCs/>
        </w:rPr>
      </w:pPr>
    </w:p>
    <w:p w:rsidR="006F3F06" w:rsidRDefault="000E53DF">
      <w:pPr>
        <w:ind w:left="567" w:right="-788"/>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 xml:space="preserve">I. DEPENDENCIAS: </w:t>
      </w:r>
    </w:p>
    <w:p w:rsidR="006F3F06" w:rsidRDefault="000E53DF">
      <w:pPr>
        <w:ind w:left="567" w:right="-788"/>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Secretaría del Ayuntamiento; </w:t>
      </w:r>
    </w:p>
    <w:p w:rsidR="006F3F06" w:rsidRDefault="000E53DF">
      <w:pPr>
        <w:ind w:left="567" w:right="-788"/>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 xml:space="preserve">Tesorería Municipal; </w:t>
      </w:r>
    </w:p>
    <w:p w:rsidR="006F3F06" w:rsidRDefault="000E53DF">
      <w:pPr>
        <w:ind w:left="567" w:right="-788"/>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Órgano Interno de Control Municipal; </w:t>
      </w:r>
    </w:p>
    <w:p w:rsidR="006F3F06" w:rsidRDefault="000E53DF">
      <w:pPr>
        <w:ind w:left="567" w:right="-788"/>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Dirección General de Gobierno; </w:t>
      </w:r>
    </w:p>
    <w:p w:rsidR="006F3F06" w:rsidRDefault="000E53DF">
      <w:pPr>
        <w:ind w:left="567" w:right="-788"/>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Dirección General de Seguridad y Protección; </w:t>
      </w:r>
    </w:p>
    <w:p w:rsidR="006F3F06" w:rsidRDefault="000E53DF">
      <w:pPr>
        <w:ind w:left="567" w:right="-788"/>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 xml:space="preserve">Dirección General de Administración; </w:t>
      </w:r>
    </w:p>
    <w:p w:rsidR="006F3F06" w:rsidRDefault="000E53DF">
      <w:pPr>
        <w:ind w:left="567" w:right="-788"/>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Dirección General de Medio Ambiente; </w:t>
      </w:r>
    </w:p>
    <w:p w:rsidR="006F3F06" w:rsidRDefault="000E53DF">
      <w:pPr>
        <w:ind w:left="567" w:right="-788"/>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Dirección General de Servicios Públicos; </w:t>
      </w:r>
    </w:p>
    <w:p w:rsidR="006F3F06" w:rsidRDefault="000E53DF">
      <w:pPr>
        <w:ind w:left="567" w:right="-788"/>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Dirección General de Innovación, Planeación y Gestión Urbana; </w:t>
      </w:r>
    </w:p>
    <w:p w:rsidR="006F3F06" w:rsidRDefault="000E53DF">
      <w:pPr>
        <w:ind w:left="567" w:right="-788"/>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lastRenderedPageBreak/>
        <w:t xml:space="preserve">Dirección General de Obras Públicas; </w:t>
      </w:r>
    </w:p>
    <w:p w:rsidR="006F3F06" w:rsidRDefault="000E53DF">
      <w:pPr>
        <w:ind w:left="567" w:right="-788"/>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Dirección General de Desarrollo Económico; </w:t>
      </w:r>
    </w:p>
    <w:p w:rsidR="006F3F06" w:rsidRDefault="000E53DF">
      <w:pPr>
        <w:ind w:left="567" w:right="-788"/>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Dirección General de Bienestar; y </w:t>
      </w:r>
    </w:p>
    <w:p w:rsidR="006F3F06" w:rsidRDefault="000E53DF">
      <w:pPr>
        <w:ind w:left="567" w:right="-788"/>
        <w:jc w:val="both"/>
        <w:rPr>
          <w:rFonts w:ascii="Palatino Linotype" w:eastAsia="Palatino Linotype" w:hAnsi="Palatino Linotype" w:cs="Palatino Linotype"/>
          <w:i/>
          <w:iCs/>
        </w:rPr>
      </w:pPr>
      <w:r>
        <w:rPr>
          <w:rFonts w:ascii="Palatino Linotype" w:eastAsia="Palatino Linotype" w:hAnsi="Palatino Linotype" w:cs="Palatino Linotype"/>
          <w:i/>
          <w:iCs/>
        </w:rPr>
        <w:t>Dirección General de Educación, Cultura y Turismo</w:t>
      </w:r>
    </w:p>
    <w:p w:rsidR="00CA33A7" w:rsidRDefault="00CA33A7">
      <w:pPr>
        <w:ind w:left="567" w:right="-788"/>
        <w:jc w:val="both"/>
      </w:pPr>
    </w:p>
    <w:p w:rsidR="006F3F06" w:rsidRDefault="000E53DF">
      <w:pPr>
        <w:numPr>
          <w:ilvl w:val="0"/>
          <w:numId w:val="2"/>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La </w:t>
      </w:r>
      <w:r>
        <w:rPr>
          <w:rFonts w:ascii="Palatino Linotype" w:eastAsia="Palatino Linotype" w:hAnsi="Palatino Linotype" w:cs="Palatino Linotype"/>
          <w:b/>
          <w:bCs/>
        </w:rPr>
        <w:t xml:space="preserve">Tesorería Municipal </w:t>
      </w:r>
      <w:r>
        <w:rPr>
          <w:rFonts w:ascii="Palatino Linotype" w:eastAsia="Palatino Linotype" w:hAnsi="Palatino Linotype" w:cs="Palatino Linotype"/>
        </w:rPr>
        <w:t xml:space="preserve">es responsable de la </w:t>
      </w:r>
      <w:r>
        <w:rPr>
          <w:rFonts w:ascii="Palatino Linotype" w:eastAsia="Palatino Linotype" w:hAnsi="Palatino Linotype" w:cs="Palatino Linotype"/>
          <w:b/>
          <w:bCs/>
        </w:rPr>
        <w:t>administración y control de los recursos financieros del municipio, asegurando el cumplimiento de las disposiciones fiscales y presupuestales</w:t>
      </w:r>
      <w:r>
        <w:rPr>
          <w:rFonts w:ascii="Palatino Linotype" w:eastAsia="Palatino Linotype" w:hAnsi="Palatino Linotype" w:cs="Palatino Linotype"/>
        </w:rPr>
        <w:t>. Sus funciones incluyen la recaudación, fiscalización y administración de ingresos municipales, así como la elaboración y supervisión de los informes financieros y la cuenta pública. Además, coordina la aplicación de políticas de racionalidad y austeridad presupuestal, otorga suficiencia presupuestaria a las dependencias municipales, y gestiona la nómina del personal, garantizando su pago oportuno, de conformidad con lo establecido en el artículo 92, fracción II, del Bando Municipal 2026.</w:t>
      </w:r>
    </w:p>
    <w:p w:rsidR="006F3F06" w:rsidRDefault="006F3F06">
      <w:pPr>
        <w:spacing w:line="360" w:lineRule="auto"/>
        <w:ind w:right="-787"/>
        <w:jc w:val="both"/>
        <w:rPr>
          <w:rFonts w:ascii="Palatino Linotype" w:eastAsia="Palatino Linotype" w:hAnsi="Palatino Linotype" w:cs="Palatino Linotype"/>
        </w:rPr>
      </w:pPr>
    </w:p>
    <w:p w:rsidR="006F3F06" w:rsidRDefault="000E53DF">
      <w:pPr>
        <w:numPr>
          <w:ilvl w:val="0"/>
          <w:numId w:val="2"/>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La </w:t>
      </w:r>
      <w:r>
        <w:rPr>
          <w:rFonts w:ascii="Palatino Linotype" w:eastAsia="Palatino Linotype" w:hAnsi="Palatino Linotype" w:cs="Palatino Linotype"/>
          <w:b/>
          <w:bCs/>
        </w:rPr>
        <w:t>Dirección General de Administración</w:t>
      </w:r>
      <w:r>
        <w:rPr>
          <w:rFonts w:ascii="Palatino Linotype" w:eastAsia="Palatino Linotype" w:hAnsi="Palatino Linotype" w:cs="Palatino Linotype"/>
        </w:rPr>
        <w:t xml:space="preserve"> es responsable de la gestión integral del capital humano del Ayuntamiento, coordinando el reclutamiento, contratación, capacitación y desarrollo del personal, así como la aplicación de las disposiciones laborales y sindicales. Supervisar la elaboración y distribución de la nómina, garantizando su apego a la normatividad y el presupuesto autorizado. Dirigirá los procesos de adquisición, arrendamiento y contratación de servicios, asegurando la eficiencia y transparencia en el uso de los recursos públicos. Administrará el parque vehicular, los bienes municipales y la logística de eventos públicos e implementará políticas de gobierno digital y normativas para el uso de tecnologías de la información, promoviendo la eficiencia operativa de la administración pública municipal, de conformidad con lo establecido en el artículo 92, fracción VI, del Bando Municipal 2026.</w:t>
      </w:r>
    </w:p>
    <w:p w:rsidR="006F3F06" w:rsidRDefault="006F3F06">
      <w:pPr>
        <w:spacing w:line="360" w:lineRule="auto"/>
        <w:ind w:right="-787"/>
        <w:jc w:val="both"/>
        <w:rPr>
          <w:rFonts w:ascii="Palatino Linotype" w:eastAsia="Palatino Linotype" w:hAnsi="Palatino Linotype" w:cs="Palatino Linotype"/>
        </w:rPr>
      </w:pPr>
    </w:p>
    <w:p w:rsidR="006F3F06" w:rsidRDefault="000E53DF">
      <w:pPr>
        <w:numPr>
          <w:ilvl w:val="0"/>
          <w:numId w:val="2"/>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La </w:t>
      </w:r>
      <w:r>
        <w:rPr>
          <w:rFonts w:ascii="Palatino Linotype" w:eastAsia="Palatino Linotype" w:hAnsi="Palatino Linotype" w:cs="Palatino Linotype"/>
          <w:b/>
          <w:bCs/>
        </w:rPr>
        <w:t>Dirección General de Obras Públicas</w:t>
      </w:r>
      <w:r>
        <w:rPr>
          <w:rFonts w:ascii="Palatino Linotype" w:eastAsia="Palatino Linotype" w:hAnsi="Palatino Linotype" w:cs="Palatino Linotype"/>
        </w:rPr>
        <w:t xml:space="preserve"> es responsable de coordinar la planificación y ejecución del Programa Anual de Obra Pública en alineación con el Plan de Desarrollo Municipal. Llevará a cabo, además, la </w:t>
      </w:r>
      <w:r>
        <w:rPr>
          <w:rFonts w:ascii="Palatino Linotype" w:eastAsia="Palatino Linotype" w:hAnsi="Palatino Linotype" w:cs="Palatino Linotype"/>
          <w:b/>
          <w:bCs/>
        </w:rPr>
        <w:t>presupuestación, adjudicación, contratación, ejecución y supervisión de la obra pública municipal</w:t>
      </w:r>
      <w:r>
        <w:rPr>
          <w:rFonts w:ascii="Palatino Linotype" w:eastAsia="Palatino Linotype" w:hAnsi="Palatino Linotype" w:cs="Palatino Linotype"/>
        </w:rPr>
        <w:t>, así como en su caso, la rescisión y/o terminación anticipada de contratos de obra pública, de conformidad con lo establecido en el artículo 92, fracción X, del Bando Municipal 2026.</w:t>
      </w:r>
    </w:p>
    <w:p w:rsidR="006F3F06" w:rsidRDefault="006F3F06">
      <w:pPr>
        <w:spacing w:line="360" w:lineRule="auto"/>
        <w:ind w:right="-787"/>
        <w:jc w:val="both"/>
        <w:rPr>
          <w:rFonts w:ascii="Palatino Linotype" w:eastAsia="Palatino Linotype" w:hAnsi="Palatino Linotype" w:cs="Palatino Linotype"/>
        </w:rPr>
      </w:pPr>
    </w:p>
    <w:p w:rsidR="006F3F06" w:rsidRDefault="000E53DF">
      <w:pPr>
        <w:numPr>
          <w:ilvl w:val="0"/>
          <w:numId w:val="2"/>
        </w:numPr>
        <w:spacing w:line="360" w:lineRule="auto"/>
        <w:ind w:left="0" w:right="-787" w:firstLine="0"/>
        <w:jc w:val="both"/>
      </w:pPr>
      <w:r>
        <w:rPr>
          <w:rFonts w:ascii="Palatino Linotype" w:eastAsia="Palatino Linotype" w:hAnsi="Palatino Linotype" w:cs="Palatino Linotype"/>
        </w:rPr>
        <w:t xml:space="preserve">De lo expuesto es de precisar que la respuesta fue emitida por la </w:t>
      </w:r>
      <w:r>
        <w:rPr>
          <w:rFonts w:ascii="Palatino Linotype" w:eastAsia="Palatino Linotype" w:hAnsi="Palatino Linotype" w:cs="Palatino Linotype"/>
          <w:b/>
          <w:bCs/>
        </w:rPr>
        <w:t xml:space="preserve">Tesorería Municipal, </w:t>
      </w:r>
      <w:r>
        <w:rPr>
          <w:rFonts w:ascii="Palatino Linotype" w:eastAsia="Palatino Linotype" w:hAnsi="Palatino Linotype" w:cs="Palatino Linotype"/>
        </w:rPr>
        <w:t>y la</w:t>
      </w:r>
      <w:r>
        <w:rPr>
          <w:rFonts w:ascii="Palatino Linotype" w:eastAsia="Palatino Linotype" w:hAnsi="Palatino Linotype" w:cs="Palatino Linotype"/>
          <w:b/>
          <w:bCs/>
        </w:rPr>
        <w:t xml:space="preserve"> Dirección General de Obras Públicas</w:t>
      </w:r>
      <w:r>
        <w:rPr>
          <w:rFonts w:ascii="Palatino Linotype" w:eastAsia="Palatino Linotype" w:hAnsi="Palatino Linotype" w:cs="Palatino Linotype"/>
        </w:rPr>
        <w:t xml:space="preserve">, por lo que podemos advertir que </w:t>
      </w:r>
      <w:r>
        <w:rPr>
          <w:rFonts w:ascii="Palatino Linotype" w:eastAsia="Palatino Linotype" w:hAnsi="Palatino Linotype" w:cs="Palatino Linotype"/>
          <w:b/>
          <w:bCs/>
        </w:rPr>
        <w:t xml:space="preserve">EL SUJETO OBLIGADO </w:t>
      </w:r>
      <w:r>
        <w:rPr>
          <w:rFonts w:ascii="Palatino Linotype" w:eastAsia="Palatino Linotype" w:hAnsi="Palatino Linotype" w:cs="Palatino Linotype"/>
        </w:rPr>
        <w:t>siguió el procedimiento inmerso en la normatividad aplicable, ya que turnó el requerimiento de información a la unidad administrativa competente, vigilando lo establecido por el artículo 162 de la Ley de Transparencia y Acceso a la Información Pública del Estado de México y Municipios, al turnar la solicitud de información al área en la que pudiera obrar la información de conformidad con la fracción XXXIX del artículo tercero de la legislación local vigente en materia de transparencia:</w:t>
      </w:r>
    </w:p>
    <w:p w:rsidR="006F3F06" w:rsidRDefault="000E53DF">
      <w:pPr>
        <w:ind w:left="708" w:right="62"/>
        <w:jc w:val="both"/>
        <w:rPr>
          <w:rFonts w:ascii="Palatino Linotype" w:eastAsia="Palatino Linotype" w:hAnsi="Palatino Linotype" w:cs="Palatino Linotype"/>
          <w:i/>
          <w:iCs/>
        </w:rPr>
      </w:pPr>
      <w:r>
        <w:rPr>
          <w:rFonts w:ascii="Palatino Linotype" w:eastAsia="Palatino Linotype" w:hAnsi="Palatino Linotype" w:cs="Palatino Linotype"/>
          <w:b/>
          <w:bCs/>
          <w:i/>
          <w:iCs/>
        </w:rPr>
        <w:t>XXXIX.</w:t>
      </w:r>
      <w:r>
        <w:rPr>
          <w:rFonts w:ascii="Palatino Linotype" w:eastAsia="Palatino Linotype" w:hAnsi="Palatino Linotype" w:cs="Palatino Linotype"/>
          <w:i/>
          <w:iCs/>
        </w:rPr>
        <w:t xml:space="preserve"> </w:t>
      </w:r>
      <w:r>
        <w:rPr>
          <w:rFonts w:ascii="Palatino Linotype" w:eastAsia="Palatino Linotype" w:hAnsi="Palatino Linotype" w:cs="Palatino Linotype"/>
          <w:b/>
          <w:bCs/>
          <w:i/>
          <w:iCs/>
        </w:rPr>
        <w:t>Servidor público habilitado</w:t>
      </w:r>
      <w:r>
        <w:rPr>
          <w:rFonts w:ascii="Palatino Linotype" w:eastAsia="Palatino Linotype" w:hAnsi="Palatino Linotype" w:cs="Palatino Linotype"/>
          <w:i/>
          <w:iCs/>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6F3F06" w:rsidRDefault="006F3F06">
      <w:pPr>
        <w:spacing w:line="360" w:lineRule="auto"/>
        <w:ind w:left="708" w:right="62"/>
        <w:jc w:val="both"/>
        <w:rPr>
          <w:rFonts w:ascii="Palatino Linotype" w:eastAsia="Palatino Linotype" w:hAnsi="Palatino Linotype" w:cs="Palatino Linotype"/>
        </w:rPr>
      </w:pPr>
    </w:p>
    <w:p w:rsidR="006F3F06" w:rsidRDefault="000E53DF">
      <w:pPr>
        <w:numPr>
          <w:ilvl w:val="0"/>
          <w:numId w:val="2"/>
        </w:numPr>
        <w:spacing w:line="360" w:lineRule="auto"/>
        <w:ind w:left="0" w:right="-787" w:firstLine="0"/>
        <w:jc w:val="both"/>
      </w:pPr>
      <w:r>
        <w:rPr>
          <w:rFonts w:ascii="Palatino Linotype" w:eastAsia="Palatino Linotype" w:hAnsi="Palatino Linotype" w:cs="Palatino Linotype"/>
        </w:rPr>
        <w:t>Así las cosas, se advierte que efectivamente la Unidad de Transparencia cumplió con lo establecido en el artículo 162 de la Ley de Transparencia y Acceso a la Información Pública del Estado de México y Municipios, el cual menciona lo siguiente:</w:t>
      </w:r>
    </w:p>
    <w:p w:rsidR="006F3F06" w:rsidRDefault="000E53DF">
      <w:pPr>
        <w:ind w:left="425" w:right="-220"/>
        <w:jc w:val="both"/>
        <w:rPr>
          <w:rFonts w:ascii="Palatino Linotype" w:eastAsia="Palatino Linotype" w:hAnsi="Palatino Linotype" w:cs="Palatino Linotype"/>
          <w:i/>
          <w:iCs/>
        </w:rPr>
      </w:pPr>
      <w:r>
        <w:rPr>
          <w:rFonts w:ascii="Palatino Linotype" w:eastAsia="Palatino Linotype" w:hAnsi="Palatino Linotype" w:cs="Palatino Linotype"/>
          <w:i/>
          <w:iCs/>
        </w:rPr>
        <w:t>“</w:t>
      </w:r>
      <w:r>
        <w:rPr>
          <w:rFonts w:ascii="Palatino Linotype" w:eastAsia="Palatino Linotype" w:hAnsi="Palatino Linotype" w:cs="Palatino Linotype"/>
          <w:b/>
          <w:bCs/>
          <w:i/>
          <w:iCs/>
        </w:rPr>
        <w:t>Artículo 162.</w:t>
      </w:r>
      <w:r>
        <w:rPr>
          <w:rFonts w:ascii="Palatino Linotype" w:eastAsia="Palatino Linotype" w:hAnsi="Palatino Linotype" w:cs="Palatino Linotype"/>
          <w:i/>
          <w:iCs/>
        </w:rPr>
        <w:t xml:space="preserve"> Las unidades de transparencia deberán garantizar que las solicitudes se turnen a </w:t>
      </w:r>
      <w:r>
        <w:rPr>
          <w:rFonts w:ascii="Palatino Linotype" w:eastAsia="Palatino Linotype" w:hAnsi="Palatino Linotype" w:cs="Palatino Linotype"/>
          <w:b/>
          <w:bCs/>
          <w:i/>
          <w:iCs/>
        </w:rPr>
        <w:t>todas las Áreas competentes</w:t>
      </w:r>
      <w:r>
        <w:rPr>
          <w:rFonts w:ascii="Palatino Linotype" w:eastAsia="Palatino Linotype" w:hAnsi="Palatino Linotype" w:cs="Palatino Linotype"/>
          <w:i/>
          <w:iCs/>
        </w:rPr>
        <w:t xml:space="preserve"> que cuenten con la información o deban tenerla de </w:t>
      </w:r>
      <w:r>
        <w:rPr>
          <w:rFonts w:ascii="Palatino Linotype" w:eastAsia="Palatino Linotype" w:hAnsi="Palatino Linotype" w:cs="Palatino Linotype"/>
          <w:i/>
          <w:iCs/>
        </w:rPr>
        <w:lastRenderedPageBreak/>
        <w:t>acuerdo a sus facultades, competencias y funciones, con el objeto de que realicen una búsqueda exhaustiva y razonable de la información solicitada.”</w:t>
      </w:r>
    </w:p>
    <w:p w:rsidR="006F3F06" w:rsidRDefault="006F3F06">
      <w:pPr>
        <w:spacing w:line="360" w:lineRule="auto"/>
        <w:ind w:right="-787"/>
        <w:jc w:val="both"/>
        <w:rPr>
          <w:rFonts w:ascii="Palatino Linotype" w:eastAsia="Palatino Linotype" w:hAnsi="Palatino Linotype" w:cs="Palatino Linotype"/>
          <w:color w:val="000000"/>
        </w:rPr>
      </w:pPr>
    </w:p>
    <w:p w:rsidR="006F3F06" w:rsidRDefault="000E53DF">
      <w:pPr>
        <w:numPr>
          <w:ilvl w:val="0"/>
          <w:numId w:val="2"/>
        </w:numPr>
        <w:spacing w:line="360" w:lineRule="auto"/>
        <w:ind w:left="0" w:right="-787" w:firstLine="0"/>
        <w:jc w:val="both"/>
        <w:rPr>
          <w:color w:val="000000"/>
        </w:rPr>
      </w:pPr>
      <w:r>
        <w:rPr>
          <w:rFonts w:ascii="Palatino Linotype" w:eastAsia="Palatino Linotype" w:hAnsi="Palatino Linotype" w:cs="Palatino Linotype"/>
          <w:color w:val="000000"/>
        </w:rPr>
        <w:t xml:space="preserve">Es de subrayar que el derecho de acceso a la información pública, consiste en que la información </w:t>
      </w:r>
      <w:r>
        <w:rPr>
          <w:rFonts w:ascii="Palatino Linotype" w:eastAsia="Palatino Linotype" w:hAnsi="Palatino Linotype" w:cs="Palatino Linotype"/>
        </w:rPr>
        <w:t>solicitada</w:t>
      </w:r>
      <w:r>
        <w:rPr>
          <w:rFonts w:ascii="Palatino Linotype" w:eastAsia="Palatino Linotype" w:hAnsi="Palatino Linotype" w:cs="Palatino Linotype"/>
          <w:color w:val="000000"/>
        </w:rPr>
        <w:t xml:space="preserve">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6F3F06" w:rsidRDefault="000E53DF">
      <w:pPr>
        <w:ind w:left="1134" w:right="-220"/>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w:t>
      </w:r>
      <w:r>
        <w:rPr>
          <w:rFonts w:ascii="Palatino Linotype" w:eastAsia="Palatino Linotype" w:hAnsi="Palatino Linotype" w:cs="Palatino Linotype"/>
          <w:b/>
          <w:bCs/>
          <w:i/>
          <w:iCs/>
          <w:color w:val="000000"/>
        </w:rPr>
        <w:t xml:space="preserve">Artículo 3. </w:t>
      </w:r>
      <w:r>
        <w:rPr>
          <w:rFonts w:ascii="Palatino Linotype" w:eastAsia="Palatino Linotype" w:hAnsi="Palatino Linotype" w:cs="Palatino Linotype"/>
          <w:i/>
          <w:iCs/>
          <w:color w:val="000000"/>
        </w:rPr>
        <w:t>Para los efectos de la presente Ley se entenderá por:</w:t>
      </w:r>
    </w:p>
    <w:p w:rsidR="006F3F06" w:rsidRDefault="000E53DF">
      <w:pPr>
        <w:ind w:left="1134" w:right="-220"/>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w:t>
      </w:r>
    </w:p>
    <w:p w:rsidR="006F3F06" w:rsidRDefault="000E53DF">
      <w:pPr>
        <w:ind w:left="1134" w:right="-220"/>
        <w:jc w:val="both"/>
        <w:rPr>
          <w:rFonts w:ascii="Palatino Linotype" w:eastAsia="Palatino Linotype" w:hAnsi="Palatino Linotype" w:cs="Palatino Linotype"/>
          <w:i/>
          <w:iCs/>
          <w:color w:val="000000"/>
        </w:rPr>
      </w:pPr>
      <w:r>
        <w:rPr>
          <w:rFonts w:ascii="Palatino Linotype" w:eastAsia="Palatino Linotype" w:hAnsi="Palatino Linotype" w:cs="Palatino Linotype"/>
          <w:b/>
          <w:bCs/>
          <w:i/>
          <w:iCs/>
          <w:color w:val="000000"/>
        </w:rPr>
        <w:t>XI. Documento:</w:t>
      </w:r>
      <w:r>
        <w:rPr>
          <w:rFonts w:ascii="Palatino Linotype" w:eastAsia="Palatino Linotype" w:hAnsi="Palatino Linotype" w:cs="Palatino Linotype"/>
          <w:i/>
          <w:iCs/>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6F3F06" w:rsidRDefault="000E53DF">
      <w:pPr>
        <w:spacing w:line="360" w:lineRule="auto"/>
        <w:ind w:left="1134" w:right="-220"/>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w:t>
      </w:r>
    </w:p>
    <w:p w:rsidR="006F3F06" w:rsidRDefault="006F3F06">
      <w:pPr>
        <w:ind w:right="-787"/>
        <w:jc w:val="both"/>
        <w:rPr>
          <w:rFonts w:ascii="Palatino Linotype" w:eastAsia="Palatino Linotype" w:hAnsi="Palatino Linotype" w:cs="Palatino Linotype"/>
        </w:rPr>
      </w:pPr>
    </w:p>
    <w:p w:rsidR="006F3F06" w:rsidRPr="00CA33A7" w:rsidRDefault="000E53DF">
      <w:pPr>
        <w:numPr>
          <w:ilvl w:val="0"/>
          <w:numId w:val="2"/>
        </w:numPr>
        <w:spacing w:line="360" w:lineRule="auto"/>
        <w:ind w:left="0" w:right="-787" w:firstLine="0"/>
        <w:jc w:val="both"/>
        <w:rPr>
          <w:color w:val="000000"/>
        </w:rPr>
      </w:pPr>
      <w:r>
        <w:rPr>
          <w:rFonts w:ascii="Palatino Linotype" w:eastAsia="Palatino Linotype" w:hAnsi="Palatino Linotype" w:cs="Palatino Linotype"/>
          <w:color w:val="000000"/>
        </w:rPr>
        <w:t xml:space="preserve">Siendo aplicable el Criterio de interpretación en el orden administrativo número 0002-11, emitido por </w:t>
      </w:r>
      <w:r>
        <w:rPr>
          <w:rFonts w:ascii="Palatino Linotype" w:eastAsia="Palatino Linotype" w:hAnsi="Palatino Linotype" w:cs="Palatino Linotype"/>
        </w:rPr>
        <w:t>Acuerdo</w:t>
      </w:r>
      <w:r>
        <w:rPr>
          <w:rFonts w:ascii="Palatino Linotype" w:eastAsia="Palatino Linotype" w:hAnsi="Palatino Linotype" w:cs="Palatino Linotype"/>
          <w:color w:val="000000"/>
        </w:rPr>
        <w:t xml:space="preserve">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CA33A7" w:rsidRDefault="00CA33A7" w:rsidP="00CA33A7">
      <w:pPr>
        <w:spacing w:line="360" w:lineRule="auto"/>
        <w:ind w:right="-787"/>
        <w:jc w:val="both"/>
        <w:rPr>
          <w:color w:val="000000"/>
        </w:rPr>
      </w:pPr>
    </w:p>
    <w:p w:rsidR="006F3F06" w:rsidRDefault="000E53DF">
      <w:pPr>
        <w:ind w:left="850" w:right="-220"/>
        <w:jc w:val="both"/>
        <w:rPr>
          <w:rFonts w:ascii="Palatino Linotype" w:eastAsia="Palatino Linotype" w:hAnsi="Palatino Linotype" w:cs="Palatino Linotype"/>
          <w:b/>
          <w:bCs/>
          <w:i/>
          <w:iCs/>
        </w:rPr>
      </w:pPr>
      <w:r>
        <w:rPr>
          <w:rFonts w:ascii="Palatino Linotype" w:eastAsia="Palatino Linotype" w:hAnsi="Palatino Linotype" w:cs="Palatino Linotype"/>
          <w:b/>
          <w:bCs/>
        </w:rPr>
        <w:lastRenderedPageBreak/>
        <w:t>“</w:t>
      </w:r>
      <w:r>
        <w:rPr>
          <w:rFonts w:ascii="Palatino Linotype" w:eastAsia="Palatino Linotype" w:hAnsi="Palatino Linotype" w:cs="Palatino Linotype"/>
          <w:b/>
          <w:bCs/>
          <w:i/>
          <w:iCs/>
        </w:rPr>
        <w:t>CRITERIO 0002-11</w:t>
      </w:r>
    </w:p>
    <w:p w:rsidR="006F3F06" w:rsidRDefault="000E53DF">
      <w:pPr>
        <w:ind w:left="850" w:right="-220"/>
        <w:jc w:val="both"/>
        <w:rPr>
          <w:rFonts w:ascii="Palatino Linotype" w:eastAsia="Palatino Linotype" w:hAnsi="Palatino Linotype" w:cs="Palatino Linotype"/>
          <w:i/>
          <w:iCs/>
        </w:rPr>
      </w:pPr>
      <w:r>
        <w:rPr>
          <w:rFonts w:ascii="Palatino Linotype" w:eastAsia="Palatino Linotype" w:hAnsi="Palatino Linotype" w:cs="Palatino Linotype"/>
          <w:b/>
          <w:bCs/>
          <w:i/>
          <w:iCs/>
        </w:rPr>
        <w:t>INFORMACIÓN PÚBLICA, CONCEPTO DE, EN MATERIA DE TRANSPARENCIA. INTERPRETACIÓN SISTEMÁTICA DE LOS ARTÍCULOS 2°, FRACCIÓN V, XV, Y XVI, 3°, 4°, 11 Y 41.</w:t>
      </w:r>
      <w:r>
        <w:rPr>
          <w:rFonts w:ascii="Palatino Linotype" w:eastAsia="Palatino Linotype" w:hAnsi="Palatino Linotype" w:cs="Palatino Linotype"/>
          <w:i/>
          <w:iC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6F3F06" w:rsidRDefault="000E53DF">
      <w:pPr>
        <w:ind w:left="850" w:right="-220"/>
        <w:jc w:val="both"/>
        <w:rPr>
          <w:rFonts w:ascii="Palatino Linotype" w:eastAsia="Palatino Linotype" w:hAnsi="Palatino Linotype" w:cs="Palatino Linotype"/>
          <w:i/>
          <w:iCs/>
        </w:rPr>
      </w:pPr>
      <w:r>
        <w:rPr>
          <w:rFonts w:ascii="Palatino Linotype" w:eastAsia="Palatino Linotype" w:hAnsi="Palatino Linotype" w:cs="Palatino Linotype"/>
          <w:i/>
          <w:iCs/>
        </w:rPr>
        <w:t>En consecuencia el acceso a la información se refiere a que se cumplan cualquiera de los siguientes tres supuestos:</w:t>
      </w:r>
    </w:p>
    <w:p w:rsidR="006F3F06" w:rsidRDefault="000E53DF">
      <w:pPr>
        <w:ind w:left="850" w:right="-220"/>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 xml:space="preserve">1) </w:t>
      </w:r>
      <w:r>
        <w:rPr>
          <w:rFonts w:ascii="Palatino Linotype" w:eastAsia="Palatino Linotype" w:hAnsi="Palatino Linotype" w:cs="Palatino Linotype"/>
          <w:b/>
          <w:bCs/>
          <w:i/>
          <w:iCs/>
          <w:u w:val="single"/>
        </w:rPr>
        <w:t>Que se trate de información registrada en cualquier soporte documental, que en ejercicio de las atribuciones conferidas, sea generada por los Sujetos Obligados;</w:t>
      </w:r>
    </w:p>
    <w:p w:rsidR="006F3F06" w:rsidRDefault="000E53DF">
      <w:pPr>
        <w:ind w:left="850" w:right="-220"/>
        <w:jc w:val="both"/>
        <w:rPr>
          <w:rFonts w:ascii="Palatino Linotype" w:eastAsia="Palatino Linotype" w:hAnsi="Palatino Linotype" w:cs="Palatino Linotype"/>
          <w:i/>
          <w:iCs/>
        </w:rPr>
      </w:pPr>
      <w:r>
        <w:rPr>
          <w:rFonts w:ascii="Palatino Linotype" w:eastAsia="Palatino Linotype" w:hAnsi="Palatino Linotype" w:cs="Palatino Linotype"/>
          <w:i/>
          <w:iCs/>
        </w:rPr>
        <w:t>2) Que se trate de información registrada en cualquier soporte documental, que en ejercicio de las atribuciones conferidas, sea administrada por los Sujetos Obligados, y</w:t>
      </w:r>
    </w:p>
    <w:p w:rsidR="006F3F06" w:rsidRDefault="000E53DF">
      <w:pPr>
        <w:ind w:left="850" w:right="-220"/>
        <w:jc w:val="both"/>
        <w:rPr>
          <w:rFonts w:ascii="Palatino Linotype" w:eastAsia="Palatino Linotype" w:hAnsi="Palatino Linotype" w:cs="Palatino Linotype"/>
          <w:i/>
          <w:iCs/>
        </w:rPr>
      </w:pPr>
      <w:r>
        <w:rPr>
          <w:rFonts w:ascii="Palatino Linotype" w:eastAsia="Palatino Linotype" w:hAnsi="Palatino Linotype" w:cs="Palatino Linotype"/>
          <w:i/>
          <w:iCs/>
        </w:rPr>
        <w:t>3) Que se trate de información registrada en cualquier soporte documental, que en ejercicio de las atribuciones conferidas, se encuentre en posesión de los Sujetos Obligados.”</w:t>
      </w:r>
    </w:p>
    <w:p w:rsidR="006F3F06" w:rsidRDefault="000E53DF">
      <w:pPr>
        <w:tabs>
          <w:tab w:val="left" w:pos="851"/>
        </w:tabs>
        <w:spacing w:line="360" w:lineRule="auto"/>
        <w:ind w:left="850" w:right="-220"/>
        <w:rPr>
          <w:rFonts w:ascii="Palatino Linotype" w:eastAsia="Palatino Linotype" w:hAnsi="Palatino Linotype" w:cs="Palatino Linotype"/>
        </w:rPr>
      </w:pPr>
      <w:r>
        <w:rPr>
          <w:rFonts w:ascii="Palatino Linotype" w:eastAsia="Palatino Linotype" w:hAnsi="Palatino Linotype" w:cs="Palatino Linotype"/>
        </w:rPr>
        <w:t>(Énfasis Añadido)</w:t>
      </w:r>
    </w:p>
    <w:p w:rsidR="006F3F06" w:rsidRDefault="006F3F06">
      <w:pPr>
        <w:pBdr>
          <w:top w:val="nil"/>
          <w:left w:val="nil"/>
          <w:bottom w:val="nil"/>
          <w:right w:val="nil"/>
          <w:between w:val="nil"/>
        </w:pBdr>
        <w:ind w:right="-787"/>
        <w:jc w:val="both"/>
        <w:rPr>
          <w:rFonts w:ascii="Palatino Linotype" w:eastAsia="Palatino Linotype" w:hAnsi="Palatino Linotype" w:cs="Palatino Linotype"/>
          <w:color w:val="000000"/>
        </w:rPr>
      </w:pPr>
    </w:p>
    <w:p w:rsidR="006F3F06" w:rsidRDefault="000E53DF">
      <w:pPr>
        <w:numPr>
          <w:ilvl w:val="0"/>
          <w:numId w:val="2"/>
        </w:numPr>
        <w:spacing w:line="360" w:lineRule="auto"/>
        <w:ind w:left="0" w:right="-787" w:firstLine="0"/>
        <w:jc w:val="both"/>
        <w:rPr>
          <w:color w:val="000000"/>
        </w:rPr>
      </w:pPr>
      <w:r>
        <w:rPr>
          <w:rFonts w:ascii="Palatino Linotype" w:eastAsia="Palatino Linotype" w:hAnsi="Palatino Linotype" w:cs="Palatino Linotype"/>
          <w:color w:val="000000"/>
        </w:rPr>
        <w:t xml:space="preserve">Por su parte </w:t>
      </w:r>
      <w:r>
        <w:rPr>
          <w:rFonts w:ascii="Palatino Linotype" w:eastAsia="Palatino Linotype" w:hAnsi="Palatino Linotype" w:cs="Palatino Linotype"/>
        </w:rPr>
        <w:t>los</w:t>
      </w:r>
      <w:r>
        <w:rPr>
          <w:rFonts w:ascii="Palatino Linotype" w:eastAsia="Palatino Linotype" w:hAnsi="Palatino Linotype" w:cs="Palatino Linotype"/>
          <w:color w:val="000000"/>
        </w:rPr>
        <w:t xml:space="preserve"> artículos 160 y 166, de la Ley local en la materia, que se reproduce de la siguiente forma:</w:t>
      </w:r>
    </w:p>
    <w:p w:rsidR="006F3F06" w:rsidRDefault="000E53DF">
      <w:pPr>
        <w:ind w:left="566" w:right="-220"/>
        <w:jc w:val="both"/>
        <w:rPr>
          <w:rFonts w:ascii="Palatino Linotype" w:eastAsia="Palatino Linotype" w:hAnsi="Palatino Linotype" w:cs="Palatino Linotype"/>
          <w:i/>
          <w:iCs/>
        </w:rPr>
      </w:pPr>
      <w:r>
        <w:rPr>
          <w:rFonts w:ascii="Palatino Linotype" w:eastAsia="Palatino Linotype" w:hAnsi="Palatino Linotype" w:cs="Palatino Linotype"/>
          <w:i/>
          <w:iCs/>
        </w:rPr>
        <w:t>“</w:t>
      </w:r>
      <w:r>
        <w:rPr>
          <w:rFonts w:ascii="Palatino Linotype" w:eastAsia="Palatino Linotype" w:hAnsi="Palatino Linotype" w:cs="Palatino Linotype"/>
          <w:b/>
          <w:bCs/>
          <w:i/>
          <w:iCs/>
        </w:rPr>
        <w:t>Artículo 160.</w:t>
      </w:r>
      <w:r>
        <w:rPr>
          <w:rFonts w:ascii="Palatino Linotype" w:eastAsia="Palatino Linotype" w:hAnsi="Palatino Linotype" w:cs="Palatino Linotype"/>
          <w:i/>
          <w:iCs/>
        </w:rPr>
        <w:t xml:space="preserve"> </w:t>
      </w:r>
      <w:r>
        <w:rPr>
          <w:rFonts w:ascii="Palatino Linotype" w:eastAsia="Palatino Linotype" w:hAnsi="Palatino Linotype" w:cs="Palatino Linotype"/>
          <w:i/>
          <w:iCs/>
          <w:u w:val="single"/>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Pr>
          <w:rFonts w:ascii="Palatino Linotype" w:eastAsia="Palatino Linotype" w:hAnsi="Palatino Linotype" w:cs="Palatino Linotype"/>
          <w:i/>
          <w:iCs/>
        </w:rPr>
        <w:t>.</w:t>
      </w:r>
    </w:p>
    <w:p w:rsidR="006F3F06" w:rsidRDefault="006F3F06">
      <w:pPr>
        <w:ind w:left="566" w:right="-220"/>
        <w:jc w:val="both"/>
        <w:rPr>
          <w:rFonts w:ascii="Palatino Linotype" w:eastAsia="Palatino Linotype" w:hAnsi="Palatino Linotype" w:cs="Palatino Linotype"/>
          <w:i/>
          <w:iCs/>
        </w:rPr>
      </w:pPr>
    </w:p>
    <w:p w:rsidR="006F3F06" w:rsidRDefault="000E53DF">
      <w:pPr>
        <w:ind w:left="566" w:right="-220"/>
        <w:jc w:val="both"/>
        <w:rPr>
          <w:rFonts w:ascii="Palatino Linotype" w:eastAsia="Palatino Linotype" w:hAnsi="Palatino Linotype" w:cs="Palatino Linotype"/>
          <w:i/>
          <w:iCs/>
        </w:rPr>
      </w:pPr>
      <w:r>
        <w:rPr>
          <w:rFonts w:ascii="Palatino Linotype" w:eastAsia="Palatino Linotype" w:hAnsi="Palatino Linotype" w:cs="Palatino Linotype"/>
          <w:i/>
          <w:iCs/>
        </w:rPr>
        <w:t>En caso que la información solicitada consista en bases de datos se deberá privilegiar la entrega de la misma en formatos abiertos.</w:t>
      </w:r>
    </w:p>
    <w:p w:rsidR="006F3F06" w:rsidRDefault="000E53DF">
      <w:pPr>
        <w:ind w:left="566" w:right="-220"/>
        <w:jc w:val="both"/>
        <w:rPr>
          <w:rFonts w:ascii="Palatino Linotype" w:eastAsia="Palatino Linotype" w:hAnsi="Palatino Linotype" w:cs="Palatino Linotype"/>
          <w:i/>
          <w:iCs/>
          <w:u w:val="single"/>
        </w:rPr>
      </w:pPr>
      <w:r>
        <w:rPr>
          <w:rFonts w:ascii="Palatino Linotype" w:eastAsia="Palatino Linotype" w:hAnsi="Palatino Linotype" w:cs="Palatino Linotype"/>
          <w:b/>
          <w:bCs/>
          <w:i/>
          <w:iCs/>
        </w:rPr>
        <w:t>Artículo 166.</w:t>
      </w:r>
      <w:r>
        <w:rPr>
          <w:rFonts w:ascii="Palatino Linotype" w:eastAsia="Palatino Linotype" w:hAnsi="Palatino Linotype" w:cs="Palatino Linotype"/>
          <w:i/>
          <w:iCs/>
        </w:rPr>
        <w:t xml:space="preserve"> </w:t>
      </w:r>
      <w:r>
        <w:rPr>
          <w:rFonts w:ascii="Palatino Linotype" w:eastAsia="Palatino Linotype" w:hAnsi="Palatino Linotype" w:cs="Palatino Linotype"/>
          <w:i/>
          <w:iCs/>
          <w:u w:val="single"/>
        </w:rPr>
        <w:t>La obligación de acceso a la información pública se tendrá por cumplida cuando el solicitante tenga a su disposición la información requerida, o cuando realice la consulta de la misma en el lugar en el que ésta se localice.</w:t>
      </w:r>
    </w:p>
    <w:p w:rsidR="006F3F06" w:rsidRDefault="000E53DF">
      <w:pPr>
        <w:spacing w:line="360" w:lineRule="auto"/>
        <w:ind w:left="566" w:right="-220"/>
        <w:jc w:val="both"/>
        <w:rPr>
          <w:rFonts w:ascii="Palatino Linotype" w:eastAsia="Palatino Linotype" w:hAnsi="Palatino Linotype" w:cs="Palatino Linotype"/>
        </w:rPr>
      </w:pPr>
      <w:r>
        <w:rPr>
          <w:rFonts w:ascii="Palatino Linotype" w:eastAsia="Palatino Linotype" w:hAnsi="Palatino Linotype" w:cs="Palatino Linotype"/>
        </w:rPr>
        <w:t>(Énfasis añadido)</w:t>
      </w:r>
    </w:p>
    <w:p w:rsidR="006F3F06" w:rsidRDefault="000E53DF">
      <w:pPr>
        <w:numPr>
          <w:ilvl w:val="0"/>
          <w:numId w:val="2"/>
        </w:numPr>
        <w:spacing w:line="360" w:lineRule="auto"/>
        <w:ind w:left="0" w:right="-787" w:firstLine="0"/>
        <w:jc w:val="both"/>
        <w:rPr>
          <w:color w:val="000000"/>
        </w:rPr>
      </w:pPr>
      <w:r>
        <w:rPr>
          <w:rFonts w:ascii="Palatino Linotype" w:eastAsia="Palatino Linotype" w:hAnsi="Palatino Linotype" w:cs="Palatino Linotype"/>
          <w:color w:val="000000"/>
        </w:rPr>
        <w:lastRenderedPageBreak/>
        <w:t xml:space="preserve">Así que la obligación de los Sujetos Obligados de dar acceso a la información pública que generen, </w:t>
      </w:r>
      <w:r>
        <w:rPr>
          <w:rFonts w:ascii="Palatino Linotype" w:eastAsia="Palatino Linotype" w:hAnsi="Palatino Linotype" w:cs="Palatino Linotype"/>
        </w:rPr>
        <w:t>administren</w:t>
      </w:r>
      <w:r>
        <w:rPr>
          <w:rFonts w:ascii="Palatino Linotype" w:eastAsia="Palatino Linotype" w:hAnsi="Palatino Linotype" w:cs="Palatino Linotype"/>
          <w:color w:val="000000"/>
        </w:rPr>
        <w:t xml:space="preserve"> o posean, se tendrá por cumplida cuando el solicitante tenga a su disposición la información requerida, o cuando realice la consulta de la misma en el lugar que ésta se localice, siempre y cuando así resultare procedente.</w:t>
      </w:r>
    </w:p>
    <w:p w:rsidR="006F3F06" w:rsidRDefault="006F3F06">
      <w:pPr>
        <w:spacing w:line="360" w:lineRule="auto"/>
        <w:ind w:right="-787"/>
        <w:jc w:val="both"/>
        <w:rPr>
          <w:color w:val="000000"/>
        </w:rPr>
      </w:pPr>
    </w:p>
    <w:p w:rsidR="006F3F06" w:rsidRDefault="000E53DF">
      <w:pPr>
        <w:numPr>
          <w:ilvl w:val="0"/>
          <w:numId w:val="4"/>
        </w:numPr>
        <w:pBdr>
          <w:top w:val="nil"/>
          <w:left w:val="nil"/>
          <w:bottom w:val="nil"/>
          <w:right w:val="nil"/>
          <w:between w:val="nil"/>
        </w:pBdr>
        <w:tabs>
          <w:tab w:val="left" w:pos="0"/>
          <w:tab w:val="left" w:pos="567"/>
        </w:tabs>
        <w:spacing w:line="360" w:lineRule="auto"/>
        <w:ind w:left="0" w:right="-788" w:firstLine="0"/>
        <w:jc w:val="both"/>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t xml:space="preserve">De la naturaleza de la información solicitada. </w:t>
      </w:r>
    </w:p>
    <w:p w:rsidR="006F3F06" w:rsidRDefault="000E53DF">
      <w:pPr>
        <w:numPr>
          <w:ilvl w:val="0"/>
          <w:numId w:val="2"/>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Se precisa </w:t>
      </w:r>
      <w:r>
        <w:rPr>
          <w:rFonts w:ascii="Palatino Linotype" w:eastAsia="Palatino Linotype" w:hAnsi="Palatino Linotype" w:cs="Palatino Linotype"/>
          <w:color w:val="000000"/>
        </w:rPr>
        <w:t>que</w:t>
      </w:r>
      <w:r>
        <w:rPr>
          <w:rFonts w:ascii="Palatino Linotype" w:eastAsia="Palatino Linotype" w:hAnsi="Palatino Linotype" w:cs="Palatino Linotype"/>
        </w:rPr>
        <w:t xml:space="preserve"> se obvia el análisis de la competencia por parte del </w:t>
      </w:r>
      <w:r>
        <w:rPr>
          <w:rFonts w:ascii="Palatino Linotype" w:eastAsia="Palatino Linotype" w:hAnsi="Palatino Linotype" w:cs="Palatino Linotype"/>
          <w:b/>
          <w:bCs/>
        </w:rPr>
        <w:t>SUJETO OBLIGADO</w:t>
      </w:r>
      <w:r>
        <w:rPr>
          <w:rFonts w:ascii="Palatino Linotype" w:eastAsia="Palatino Linotype" w:hAnsi="Palatino Linotype" w:cs="Palatino Linotype"/>
        </w:rPr>
        <w:t xml:space="preserve">, para generar, administrar o poseer la información solicitada, dado que éste ha asumido la misma, en razón de que en su respuesta admitió contar con dicha información, tan es así que remitió diversa información en atención a la solicitud correspondiente. </w:t>
      </w:r>
    </w:p>
    <w:p w:rsidR="006F3F06" w:rsidRDefault="006F3F06">
      <w:pPr>
        <w:tabs>
          <w:tab w:val="left" w:pos="0"/>
          <w:tab w:val="left" w:pos="567"/>
        </w:tabs>
        <w:spacing w:line="360" w:lineRule="auto"/>
        <w:ind w:left="-566" w:right="-787"/>
        <w:jc w:val="both"/>
        <w:rPr>
          <w:rFonts w:ascii="Palatino Linotype" w:eastAsia="Palatino Linotype" w:hAnsi="Palatino Linotype" w:cs="Palatino Linotype"/>
        </w:rPr>
      </w:pPr>
    </w:p>
    <w:p w:rsidR="006F3F06" w:rsidRDefault="000E53DF">
      <w:pPr>
        <w:numPr>
          <w:ilvl w:val="0"/>
          <w:numId w:val="2"/>
        </w:numPr>
        <w:spacing w:line="360" w:lineRule="auto"/>
        <w:ind w:left="0" w:right="-787" w:firstLine="0"/>
        <w:jc w:val="both"/>
      </w:pPr>
      <w:bookmarkStart w:id="5" w:name="_heading=h.2s8eyo1" w:colFirst="0" w:colLast="0"/>
      <w:bookmarkEnd w:id="5"/>
      <w:r>
        <w:rPr>
          <w:rFonts w:ascii="Palatino Linotype" w:eastAsia="Palatino Linotype" w:hAnsi="Palatino Linotype" w:cs="Palatino Linotype"/>
        </w:rPr>
        <w:t xml:space="preserve">En efecto, el </w:t>
      </w:r>
      <w:r>
        <w:rPr>
          <w:rFonts w:ascii="Palatino Linotype" w:eastAsia="Palatino Linotype" w:hAnsi="Palatino Linotype" w:cs="Palatino Linotype"/>
          <w:color w:val="000000"/>
        </w:rPr>
        <w:t>hecho</w:t>
      </w:r>
      <w:r>
        <w:rPr>
          <w:rFonts w:ascii="Palatino Linotype" w:eastAsia="Palatino Linotype" w:hAnsi="Palatino Linotype" w:cs="Palatino Linotype"/>
        </w:rPr>
        <w:t xml:space="preserve"> de que </w:t>
      </w:r>
      <w:r>
        <w:rPr>
          <w:rFonts w:ascii="Palatino Linotype" w:eastAsia="Palatino Linotype" w:hAnsi="Palatino Linotype" w:cs="Palatino Linotype"/>
          <w:b/>
          <w:bCs/>
        </w:rPr>
        <w:t>EL SUJETO OBLIGADO</w:t>
      </w:r>
      <w:r>
        <w:rPr>
          <w:rFonts w:ascii="Palatino Linotype" w:eastAsia="Palatino Linotype" w:hAnsi="Palatino Linotype" w:cs="Palatino Linotype"/>
        </w:rPr>
        <w:t xml:space="preserve"> haya admitido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rsidR="006F3F06" w:rsidRDefault="000E53DF">
      <w:pPr>
        <w:tabs>
          <w:tab w:val="left" w:pos="8505"/>
        </w:tabs>
        <w:ind w:left="709" w:right="-858"/>
        <w:jc w:val="both"/>
        <w:rPr>
          <w:rFonts w:ascii="Palatino Linotype" w:eastAsia="Palatino Linotype" w:hAnsi="Palatino Linotype" w:cs="Palatino Linotype"/>
          <w:i/>
          <w:iCs/>
        </w:rPr>
      </w:pPr>
      <w:r>
        <w:rPr>
          <w:rFonts w:ascii="Palatino Linotype" w:eastAsia="Palatino Linotype" w:hAnsi="Palatino Linotype" w:cs="Palatino Linotype"/>
          <w:i/>
          <w:iCs/>
        </w:rPr>
        <w:t>“</w:t>
      </w:r>
      <w:r>
        <w:rPr>
          <w:rFonts w:ascii="Palatino Linotype" w:eastAsia="Palatino Linotype" w:hAnsi="Palatino Linotype" w:cs="Palatino Linotype"/>
          <w:b/>
          <w:bCs/>
          <w:i/>
          <w:iCs/>
        </w:rPr>
        <w:t>Artículo 12.</w:t>
      </w:r>
      <w:r>
        <w:rPr>
          <w:rFonts w:ascii="Palatino Linotype" w:eastAsia="Palatino Linotype" w:hAnsi="Palatino Linotype" w:cs="Palatino Linotype"/>
          <w:i/>
          <w:iCs/>
        </w:rPr>
        <w:t> Quienes generen, recopilen, administren, manejen, procesen, archiven o conserven información pública serán responsables de la misma en los términos de las disposiciones jurídicas aplicables.</w:t>
      </w:r>
    </w:p>
    <w:p w:rsidR="006F3F06" w:rsidRDefault="006F3F06">
      <w:pPr>
        <w:tabs>
          <w:tab w:val="left" w:pos="8505"/>
        </w:tabs>
        <w:ind w:left="709" w:right="-858"/>
        <w:jc w:val="both"/>
        <w:rPr>
          <w:rFonts w:ascii="Palatino Linotype" w:eastAsia="Palatino Linotype" w:hAnsi="Palatino Linotype" w:cs="Palatino Linotype"/>
          <w:i/>
          <w:iCs/>
        </w:rPr>
      </w:pPr>
    </w:p>
    <w:p w:rsidR="006F3F06" w:rsidRDefault="000E53DF">
      <w:pPr>
        <w:tabs>
          <w:tab w:val="left" w:pos="8505"/>
        </w:tabs>
        <w:ind w:left="709" w:right="-858"/>
        <w:jc w:val="both"/>
        <w:rPr>
          <w:rFonts w:ascii="Palatino Linotype" w:eastAsia="Palatino Linotype" w:hAnsi="Palatino Linotype" w:cs="Palatino Linotype"/>
          <w:i/>
          <w:iCs/>
        </w:rPr>
      </w:pPr>
      <w:r>
        <w:rPr>
          <w:rFonts w:ascii="Palatino Linotype" w:eastAsia="Palatino Linotype" w:hAnsi="Palatino Linotype" w:cs="Palatino Linotype"/>
          <w:i/>
          <w:iC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6F3F06" w:rsidRDefault="006F3F06">
      <w:pPr>
        <w:tabs>
          <w:tab w:val="left" w:pos="8505"/>
        </w:tabs>
        <w:ind w:left="709" w:right="-858"/>
        <w:jc w:val="both"/>
        <w:rPr>
          <w:rFonts w:ascii="Palatino Linotype" w:eastAsia="Palatino Linotype" w:hAnsi="Palatino Linotype" w:cs="Palatino Linotype"/>
          <w:i/>
          <w:iCs/>
        </w:rPr>
      </w:pPr>
    </w:p>
    <w:p w:rsidR="006F3F06" w:rsidRDefault="006F3F06">
      <w:pPr>
        <w:pBdr>
          <w:top w:val="nil"/>
          <w:left w:val="nil"/>
          <w:bottom w:val="nil"/>
          <w:right w:val="nil"/>
          <w:between w:val="nil"/>
        </w:pBdr>
        <w:ind w:left="-566" w:right="-787"/>
        <w:rPr>
          <w:rFonts w:ascii="Palatino Linotype" w:eastAsia="Palatino Linotype" w:hAnsi="Palatino Linotype" w:cs="Palatino Linotype"/>
          <w:color w:val="000000"/>
        </w:rPr>
      </w:pPr>
    </w:p>
    <w:p w:rsidR="006F3F06" w:rsidRDefault="000E53DF">
      <w:pPr>
        <w:numPr>
          <w:ilvl w:val="0"/>
          <w:numId w:val="2"/>
        </w:numPr>
        <w:spacing w:line="360" w:lineRule="auto"/>
        <w:ind w:left="0" w:right="-787" w:firstLine="0"/>
        <w:jc w:val="both"/>
        <w:rPr>
          <w:color w:val="000000"/>
        </w:rPr>
      </w:pPr>
      <w:r>
        <w:rPr>
          <w:rFonts w:ascii="Palatino Linotype" w:eastAsia="Palatino Linotype" w:hAnsi="Palatino Linotype" w:cs="Palatino Linotype"/>
        </w:rPr>
        <w:lastRenderedPageBreak/>
        <w:t xml:space="preserve">Así, el estudio </w:t>
      </w:r>
      <w:r>
        <w:rPr>
          <w:rFonts w:ascii="Palatino Linotype" w:eastAsia="Palatino Linotype" w:hAnsi="Palatino Linotype" w:cs="Palatino Linotype"/>
          <w:color w:val="000000"/>
        </w:rPr>
        <w:t>de</w:t>
      </w:r>
      <w:r>
        <w:rPr>
          <w:rFonts w:ascii="Palatino Linotype" w:eastAsia="Palatino Linotype" w:hAnsi="Palatino Linotype" w:cs="Palatino Linotype"/>
        </w:rPr>
        <w:t xml:space="preserve"> </w:t>
      </w:r>
      <w:r>
        <w:rPr>
          <w:rFonts w:ascii="Palatino Linotype" w:eastAsia="Palatino Linotype" w:hAnsi="Palatino Linotype" w:cs="Palatino Linotype"/>
          <w:color w:val="000000"/>
        </w:rPr>
        <w:t>la</w:t>
      </w:r>
      <w:r>
        <w:rPr>
          <w:rFonts w:ascii="Palatino Linotype" w:eastAsia="Palatino Linotype" w:hAnsi="Palatino Linotype" w:cs="Palatino Linotype"/>
        </w:rPr>
        <w:t xml:space="preserve"> naturaleza jurídica de la información pública solicitada, tiene por objeto determinar si ésta la genera, posee o administra </w:t>
      </w:r>
      <w:r>
        <w:rPr>
          <w:rFonts w:ascii="Palatino Linotype" w:eastAsia="Palatino Linotype" w:hAnsi="Palatino Linotype" w:cs="Palatino Linotype"/>
          <w:b/>
          <w:bCs/>
        </w:rPr>
        <w:t>EL SUJETO OBLIGADO</w:t>
      </w:r>
      <w:r>
        <w:rPr>
          <w:rFonts w:ascii="Palatino Linotype" w:eastAsia="Palatino Linotype" w:hAnsi="Palatino Linotype" w:cs="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rsidR="006F3F06" w:rsidRDefault="006F3F06">
      <w:pPr>
        <w:spacing w:line="360" w:lineRule="auto"/>
        <w:ind w:right="-787"/>
        <w:jc w:val="both"/>
        <w:rPr>
          <w:color w:val="000000"/>
        </w:rPr>
      </w:pPr>
    </w:p>
    <w:p w:rsidR="006F3F06" w:rsidRDefault="000E53DF">
      <w:pPr>
        <w:numPr>
          <w:ilvl w:val="0"/>
          <w:numId w:val="2"/>
        </w:numPr>
        <w:spacing w:line="360" w:lineRule="auto"/>
        <w:ind w:left="0" w:right="-787" w:firstLine="0"/>
        <w:jc w:val="both"/>
        <w:rPr>
          <w:rFonts w:ascii="Palatino Linotype" w:eastAsia="Palatino Linotype" w:hAnsi="Palatino Linotype" w:cs="Palatino Linotype"/>
          <w:color w:val="000000"/>
          <w:u w:val="single"/>
        </w:rPr>
      </w:pPr>
      <w:r>
        <w:rPr>
          <w:rFonts w:ascii="Palatino Linotype" w:eastAsia="Palatino Linotype" w:hAnsi="Palatino Linotype" w:cs="Palatino Linotype"/>
          <w:color w:val="000000"/>
        </w:rPr>
        <w:t xml:space="preserve">En razón </w:t>
      </w:r>
      <w:r>
        <w:rPr>
          <w:rFonts w:ascii="Palatino Linotype" w:eastAsia="Palatino Linotype" w:hAnsi="Palatino Linotype" w:cs="Palatino Linotype"/>
        </w:rPr>
        <w:t>de</w:t>
      </w:r>
      <w:r>
        <w:rPr>
          <w:rFonts w:ascii="Palatino Linotype" w:eastAsia="Palatino Linotype" w:hAnsi="Palatino Linotype" w:cs="Palatino Linotype"/>
          <w:color w:val="000000"/>
        </w:rPr>
        <w:t xml:space="preserve"> ello es de recordar en primer momento que el particular solicitó </w:t>
      </w:r>
      <w:r>
        <w:rPr>
          <w:rFonts w:ascii="Palatino Linotype" w:eastAsia="Palatino Linotype" w:hAnsi="Palatino Linotype" w:cs="Palatino Linotype"/>
          <w:i/>
          <w:iCs/>
          <w:color w:val="000000"/>
          <w:u w:val="single"/>
        </w:rPr>
        <w:t>De todas las obras, pavimentación, reencaprtamiento y bacheo, del 1 enero de 2025 al 26 de enero de 2026: Contratos; Proyectos técnicos; Facturas pagadas; Actas del comité de adquisidores; Licitación; y Si fue asignación directa la justificación con el monto autorizado</w:t>
      </w:r>
      <w:r>
        <w:rPr>
          <w:rFonts w:ascii="Palatino Linotype" w:eastAsia="Palatino Linotype" w:hAnsi="Palatino Linotype" w:cs="Palatino Linotype"/>
          <w:color w:val="000000"/>
        </w:rPr>
        <w:t>, derivado de ello el Sujeto Obligado remitió diversos contratos de obra pública, y documentales que integran procesos de contratación de obra pública, tales como ficha técnica, convocatoria, acta de junta de aclaraciones, acta de recepción y apertura de propuestas, dictamen de adjudicación y acta de fallo de licitación</w:t>
      </w:r>
      <w:r>
        <w:rPr>
          <w:rFonts w:ascii="Palatino Linotype" w:eastAsia="Palatino Linotype" w:hAnsi="Palatino Linotype" w:cs="Palatino Linotype"/>
          <w:b/>
          <w:bCs/>
          <w:color w:val="000000"/>
        </w:rPr>
        <w:t>.</w:t>
      </w:r>
    </w:p>
    <w:p w:rsidR="006F3F06" w:rsidRDefault="006F3F06">
      <w:pPr>
        <w:spacing w:line="360" w:lineRule="auto"/>
        <w:ind w:right="-787"/>
        <w:jc w:val="both"/>
        <w:rPr>
          <w:rFonts w:ascii="Palatino Linotype" w:eastAsia="Palatino Linotype" w:hAnsi="Palatino Linotype" w:cs="Palatino Linotype"/>
          <w:i/>
          <w:iCs/>
          <w:color w:val="000000"/>
        </w:rPr>
      </w:pPr>
    </w:p>
    <w:p w:rsidR="006F3F06" w:rsidRDefault="000E53DF">
      <w:pPr>
        <w:numPr>
          <w:ilvl w:val="0"/>
          <w:numId w:val="2"/>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w:t>
      </w:r>
      <w:r>
        <w:rPr>
          <w:rFonts w:ascii="Palatino Linotype" w:eastAsia="Palatino Linotype" w:hAnsi="Palatino Linotype" w:cs="Palatino Linotype"/>
          <w:color w:val="000000"/>
        </w:rPr>
        <w:t>razón</w:t>
      </w:r>
      <w:r>
        <w:rPr>
          <w:rFonts w:ascii="Palatino Linotype" w:eastAsia="Palatino Linotype" w:hAnsi="Palatino Linotype" w:cs="Palatino Linotype"/>
        </w:rPr>
        <w:t xml:space="preserve"> de la respuesta brindada, el particular señaló como acto impugnado y motivos de inconformidad los siguientes:</w:t>
      </w:r>
    </w:p>
    <w:p w:rsidR="006F3F06" w:rsidRDefault="006F3F06">
      <w:pPr>
        <w:spacing w:line="360" w:lineRule="auto"/>
        <w:ind w:right="-787"/>
        <w:jc w:val="both"/>
        <w:rPr>
          <w:rFonts w:ascii="Palatino Linotype" w:eastAsia="Palatino Linotype" w:hAnsi="Palatino Linotype" w:cs="Palatino Linotype"/>
        </w:rPr>
      </w:pPr>
    </w:p>
    <w:p w:rsidR="006F3F06" w:rsidRDefault="000E53DF">
      <w:pPr>
        <w:numPr>
          <w:ilvl w:val="0"/>
          <w:numId w:val="10"/>
        </w:numPr>
        <w:spacing w:line="360" w:lineRule="auto"/>
        <w:ind w:right="-787"/>
        <w:jc w:val="both"/>
        <w:rPr>
          <w:rFonts w:ascii="Palatino Linotype" w:eastAsia="Palatino Linotype" w:hAnsi="Palatino Linotype" w:cs="Palatino Linotype"/>
          <w:b/>
          <w:bCs/>
        </w:rPr>
      </w:pPr>
      <w:r>
        <w:rPr>
          <w:rFonts w:ascii="Palatino Linotype" w:eastAsia="Palatino Linotype" w:hAnsi="Palatino Linotype" w:cs="Palatino Linotype"/>
          <w:b/>
          <w:bCs/>
        </w:rPr>
        <w:t xml:space="preserve">Acto impugnado y Razones o Motivos de inconformidad: </w:t>
      </w:r>
    </w:p>
    <w:p w:rsidR="006F3F06" w:rsidRDefault="000E53DF">
      <w:pPr>
        <w:ind w:left="567" w:right="-788"/>
        <w:jc w:val="both"/>
        <w:rPr>
          <w:rFonts w:ascii="Palatino Linotype" w:eastAsia="Palatino Linotype" w:hAnsi="Palatino Linotype" w:cs="Palatino Linotype"/>
          <w:i/>
          <w:iCs/>
        </w:rPr>
      </w:pPr>
      <w:bookmarkStart w:id="6" w:name="_heading=h.iwxujlqoccea" w:colFirst="0" w:colLast="0"/>
      <w:bookmarkEnd w:id="6"/>
      <w:r>
        <w:rPr>
          <w:rFonts w:ascii="Palatino Linotype" w:eastAsia="Palatino Linotype" w:hAnsi="Palatino Linotype" w:cs="Palatino Linotype"/>
          <w:i/>
          <w:iCs/>
        </w:rPr>
        <w:t xml:space="preserve">“No entrega la información solicita la unidad de transparencia además de opacos se quiere hacer los chistosos en el link que mandan de informe no esta toda la información que se solicita ahí solo esta el número de recurso y se pide el expediente completo y no lo entregan lo ocultan se exige se entregue dicen que para que lo entrega si el infoem ya se va y no los obligara a entregar que además le dan dinero para que todo se los apruebe eso dice el Titular y Éramos y que decir de Cielito que </w:t>
      </w:r>
      <w:r>
        <w:rPr>
          <w:rFonts w:ascii="Palatino Linotype" w:eastAsia="Palatino Linotype" w:hAnsi="Palatino Linotype" w:cs="Palatino Linotype"/>
          <w:i/>
          <w:iCs/>
        </w:rPr>
        <w:lastRenderedPageBreak/>
        <w:t xml:space="preserve">dice que ella siempre los atedio así y no pasaba nada que no dieran nada que el ifoem es un corrupto también que no les puede hacer nada” (Sic) </w:t>
      </w:r>
    </w:p>
    <w:p w:rsidR="006F3F06" w:rsidRDefault="006F3F06">
      <w:pPr>
        <w:spacing w:line="360" w:lineRule="auto"/>
        <w:ind w:right="-787"/>
        <w:jc w:val="both"/>
        <w:rPr>
          <w:rFonts w:ascii="Palatino Linotype" w:eastAsia="Palatino Linotype" w:hAnsi="Palatino Linotype" w:cs="Palatino Linotype"/>
        </w:rPr>
      </w:pPr>
    </w:p>
    <w:p w:rsidR="006F3F06" w:rsidRDefault="000E53DF">
      <w:pPr>
        <w:numPr>
          <w:ilvl w:val="0"/>
          <w:numId w:val="2"/>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En este orden de ideas tanto el acto impugnado como las razones o motivos de inconformidad de manera toral hacen referencia a los puntos siguientes:</w:t>
      </w:r>
    </w:p>
    <w:p w:rsidR="006F3F06" w:rsidRDefault="000E53DF">
      <w:pPr>
        <w:numPr>
          <w:ilvl w:val="0"/>
          <w:numId w:val="6"/>
        </w:numPr>
        <w:pBdr>
          <w:top w:val="nil"/>
          <w:left w:val="nil"/>
          <w:bottom w:val="nil"/>
          <w:right w:val="nil"/>
          <w:between w:val="nil"/>
        </w:pBdr>
        <w:spacing w:line="360" w:lineRule="auto"/>
        <w:ind w:right="-787"/>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No entrega la información solicita la unidad de transparencia.</w:t>
      </w:r>
    </w:p>
    <w:p w:rsidR="006F3F06" w:rsidRDefault="000E53DF">
      <w:pPr>
        <w:numPr>
          <w:ilvl w:val="0"/>
          <w:numId w:val="6"/>
        </w:numPr>
        <w:pBdr>
          <w:top w:val="nil"/>
          <w:left w:val="nil"/>
          <w:bottom w:val="nil"/>
          <w:right w:val="nil"/>
          <w:between w:val="nil"/>
        </w:pBdr>
        <w:spacing w:line="360" w:lineRule="auto"/>
        <w:ind w:right="-787"/>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El link que mandan de informe no está toda la información que se solicita ahí solo está el número de recurso y se pide el expediente completo y no lo entregan.</w:t>
      </w:r>
    </w:p>
    <w:p w:rsidR="006F3F06" w:rsidRDefault="006F3F06">
      <w:pPr>
        <w:spacing w:line="360" w:lineRule="auto"/>
        <w:ind w:left="1440" w:right="-787"/>
        <w:jc w:val="both"/>
        <w:rPr>
          <w:rFonts w:ascii="Palatino Linotype" w:eastAsia="Palatino Linotype" w:hAnsi="Palatino Linotype" w:cs="Palatino Linotype"/>
        </w:rPr>
      </w:pPr>
    </w:p>
    <w:p w:rsidR="006F3F06" w:rsidRDefault="000E53DF">
      <w:pPr>
        <w:numPr>
          <w:ilvl w:val="0"/>
          <w:numId w:val="2"/>
        </w:numPr>
        <w:spacing w:line="360" w:lineRule="auto"/>
        <w:ind w:left="0" w:right="-787" w:firstLine="0"/>
        <w:jc w:val="both"/>
        <w:rPr>
          <w:rFonts w:ascii="Palatino Linotype" w:eastAsia="Palatino Linotype" w:hAnsi="Palatino Linotype" w:cs="Palatino Linotype"/>
          <w:u w:val="single"/>
        </w:rPr>
      </w:pPr>
      <w:r>
        <w:rPr>
          <w:rFonts w:ascii="Palatino Linotype" w:eastAsia="Palatino Linotype" w:hAnsi="Palatino Linotype" w:cs="Palatino Linotype"/>
        </w:rPr>
        <w:t xml:space="preserve">Del análisis de lo expuesto es de notoria obviedad que </w:t>
      </w:r>
      <w:r>
        <w:rPr>
          <w:rFonts w:ascii="Palatino Linotype" w:eastAsia="Palatino Linotype" w:hAnsi="Palatino Linotype" w:cs="Palatino Linotype"/>
          <w:u w:val="single"/>
        </w:rPr>
        <w:t>ni el acto impugnado, ni los motivos de inconformidad guardan relación tanto con la información solicitada ni con la respuesta proporcionada</w:t>
      </w:r>
      <w:r>
        <w:rPr>
          <w:rFonts w:ascii="Palatino Linotype" w:eastAsia="Palatino Linotype" w:hAnsi="Palatino Linotype" w:cs="Palatino Linotype"/>
        </w:rPr>
        <w:t xml:space="preserve"> por el Sujeto Obligado, ya que el Sujeto Obligado proporcionó la respuesta de manera específica a la solicitud de información que ocupa el presente recurso, en consecuencia </w:t>
      </w:r>
      <w:r>
        <w:rPr>
          <w:rFonts w:ascii="Palatino Linotype" w:eastAsia="Palatino Linotype" w:hAnsi="Palatino Linotype" w:cs="Palatino Linotype"/>
          <w:color w:val="000000"/>
        </w:rPr>
        <w:t xml:space="preserve">se determina que el escrito </w:t>
      </w:r>
      <w:r>
        <w:rPr>
          <w:rFonts w:ascii="Palatino Linotype" w:eastAsia="Palatino Linotype" w:hAnsi="Palatino Linotype" w:cs="Palatino Linotype"/>
          <w:b/>
          <w:bCs/>
          <w:color w:val="000000"/>
        </w:rPr>
        <w:t xml:space="preserve">recursal no </w:t>
      </w:r>
      <w:r>
        <w:rPr>
          <w:rFonts w:ascii="Palatino Linotype" w:eastAsia="Palatino Linotype" w:hAnsi="Palatino Linotype" w:cs="Palatino Linotype"/>
          <w:b/>
          <w:bCs/>
        </w:rPr>
        <w:t>actualiza</w:t>
      </w:r>
      <w:r>
        <w:rPr>
          <w:rFonts w:ascii="Palatino Linotype" w:eastAsia="Palatino Linotype" w:hAnsi="Palatino Linotype" w:cs="Palatino Linotype"/>
          <w:b/>
          <w:bCs/>
          <w:color w:val="000000"/>
        </w:rPr>
        <w:t xml:space="preserve"> ninguna causal de procedencia ya que </w:t>
      </w:r>
      <w:r>
        <w:rPr>
          <w:rFonts w:ascii="Palatino Linotype" w:eastAsia="Palatino Linotype" w:hAnsi="Palatino Linotype" w:cs="Palatino Linotype"/>
          <w:b/>
          <w:bCs/>
          <w:color w:val="000000"/>
          <w:u w:val="single"/>
        </w:rPr>
        <w:t>no guarda relación con la solicitud de información ni con la respuesta proporcionada.</w:t>
      </w:r>
    </w:p>
    <w:p w:rsidR="006F3F06" w:rsidRDefault="006F3F06">
      <w:pPr>
        <w:spacing w:line="360" w:lineRule="auto"/>
        <w:ind w:right="-787"/>
        <w:jc w:val="both"/>
        <w:rPr>
          <w:rFonts w:ascii="Palatino Linotype" w:eastAsia="Palatino Linotype" w:hAnsi="Palatino Linotype" w:cs="Palatino Linotype"/>
        </w:rPr>
      </w:pPr>
    </w:p>
    <w:p w:rsidR="006F3F06" w:rsidRDefault="000E53DF">
      <w:pPr>
        <w:numPr>
          <w:ilvl w:val="0"/>
          <w:numId w:val="2"/>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Sirve de sustento la Jurisprudencia No. 29 visible a foja 19 del Apéndice al Semanario Judicial de la Federación 1917-1995, </w:t>
      </w:r>
      <w:r>
        <w:rPr>
          <w:rFonts w:ascii="Palatino Linotype" w:eastAsia="Palatino Linotype" w:hAnsi="Palatino Linotype" w:cs="Palatino Linotype"/>
        </w:rPr>
        <w:t>Tomo</w:t>
      </w:r>
      <w:r>
        <w:rPr>
          <w:rFonts w:ascii="Palatino Linotype" w:eastAsia="Palatino Linotype" w:hAnsi="Palatino Linotype" w:cs="Palatino Linotype"/>
          <w:color w:val="000000"/>
        </w:rPr>
        <w:t xml:space="preserve"> VI, Materia Común, Primera Parte, Tesis de la Suprema Corte de Justicia, que contiene:</w:t>
      </w:r>
      <w:bookmarkStart w:id="7" w:name="_GoBack"/>
      <w:bookmarkEnd w:id="7"/>
    </w:p>
    <w:p w:rsidR="006F3F06" w:rsidRDefault="000E53DF">
      <w:pPr>
        <w:shd w:val="clear" w:color="auto" w:fill="FFFFFF"/>
        <w:ind w:left="567" w:right="-716"/>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b/>
          <w:bCs/>
          <w:i/>
          <w:iCs/>
          <w:color w:val="000000"/>
          <w:sz w:val="22"/>
          <w:szCs w:val="22"/>
        </w:rPr>
        <w:t>AGRAVIOS EN LA REVISION. DEBEN ESTAR EN RELACION DIRECTA CON LOS FUNDAMENTOS Y CONSIDERACIONES DE LA SENTENCIA</w:t>
      </w:r>
      <w:r>
        <w:rPr>
          <w:rFonts w:ascii="Palatino Linotype" w:eastAsia="Palatino Linotype" w:hAnsi="Palatino Linotype" w:cs="Palatino Linotype"/>
          <w:i/>
          <w:iCs/>
          <w:color w:val="000000"/>
          <w:sz w:val="22"/>
          <w:szCs w:val="22"/>
        </w:rPr>
        <w:t xml:space="preserve">.- Los agravios deben estar en relación directa e inmediata con los fundamentos contenidos en la sentencia que se recurre, y forzosamente deben contener, no sólo la cita de las disposiciones legales que se estimen infringidas y su concepto, sino también la concordancia entre aquellas, este y las consideraciones que fundamenten esa propia sentencia, pues de adoptar lo contrario, resultaría la introducción de nuevas cuestiones en la revisión, que no </w:t>
      </w:r>
      <w:r>
        <w:rPr>
          <w:rFonts w:ascii="Palatino Linotype" w:eastAsia="Palatino Linotype" w:hAnsi="Palatino Linotype" w:cs="Palatino Linotype"/>
          <w:i/>
          <w:iCs/>
          <w:color w:val="000000"/>
          <w:sz w:val="22"/>
          <w:szCs w:val="22"/>
        </w:rPr>
        <w:lastRenderedPageBreak/>
        <w:t xml:space="preserve">constituyen su materia, toda vez que esta se limita al estudio integral del fallo que se combate, con vista de los motivos de inconformidad que plantean los recurrentes. </w:t>
      </w:r>
    </w:p>
    <w:p w:rsidR="006F3F06" w:rsidRDefault="006F3F06">
      <w:pPr>
        <w:spacing w:line="360" w:lineRule="auto"/>
        <w:ind w:right="-787"/>
        <w:jc w:val="both"/>
        <w:rPr>
          <w:rFonts w:ascii="Palatino Linotype" w:eastAsia="Palatino Linotype" w:hAnsi="Palatino Linotype" w:cs="Palatino Linotype"/>
        </w:rPr>
      </w:pPr>
    </w:p>
    <w:p w:rsidR="006F3F06" w:rsidRDefault="000E53DF">
      <w:pPr>
        <w:numPr>
          <w:ilvl w:val="0"/>
          <w:numId w:val="2"/>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color w:val="000000"/>
        </w:rPr>
        <w:t>En consecuencia, l</w:t>
      </w:r>
      <w:r>
        <w:rPr>
          <w:rFonts w:ascii="Palatino Linotype" w:eastAsia="Palatino Linotype" w:hAnsi="Palatino Linotype" w:cs="Palatino Linotype"/>
        </w:rPr>
        <w:t>a falta de actualización de causal de procedencia, trae consigo que el Recurso de Revisión sea desechado por improcedente, de acuerdo al artículo 191, fracción III, de la ley de transparencia local:</w:t>
      </w:r>
    </w:p>
    <w:p w:rsidR="006F3F06" w:rsidRDefault="000E53DF">
      <w:pPr>
        <w:pBdr>
          <w:top w:val="nil"/>
          <w:left w:val="nil"/>
          <w:bottom w:val="nil"/>
          <w:right w:val="nil"/>
          <w:between w:val="nil"/>
        </w:pBdr>
        <w:tabs>
          <w:tab w:val="left" w:pos="567"/>
        </w:tabs>
        <w:ind w:left="567" w:right="-518"/>
        <w:jc w:val="both"/>
        <w:rPr>
          <w:rFonts w:ascii="Palatino Linotype" w:eastAsia="Palatino Linotype" w:hAnsi="Palatino Linotype" w:cs="Palatino Linotype"/>
          <w:b/>
          <w:bCs/>
          <w:i/>
          <w:iCs/>
          <w:color w:val="000000"/>
          <w:sz w:val="22"/>
          <w:szCs w:val="22"/>
        </w:rPr>
      </w:pPr>
      <w:r>
        <w:rPr>
          <w:rFonts w:ascii="Palatino Linotype" w:eastAsia="Palatino Linotype" w:hAnsi="Palatino Linotype" w:cs="Palatino Linotype"/>
          <w:b/>
          <w:bCs/>
          <w:i/>
          <w:iCs/>
          <w:color w:val="000000"/>
          <w:sz w:val="22"/>
          <w:szCs w:val="22"/>
        </w:rPr>
        <w:t>Artículo 191. El recurso será desechado por improcedente cuando:</w:t>
      </w:r>
    </w:p>
    <w:p w:rsidR="006F3F06" w:rsidRDefault="000E53DF">
      <w:pPr>
        <w:pBdr>
          <w:top w:val="nil"/>
          <w:left w:val="nil"/>
          <w:bottom w:val="nil"/>
          <w:right w:val="nil"/>
          <w:between w:val="nil"/>
        </w:pBdr>
        <w:tabs>
          <w:tab w:val="left" w:pos="567"/>
        </w:tabs>
        <w:ind w:left="567" w:right="-518"/>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 xml:space="preserve">I. Sea extemporáneo por haber transcurrido el plazo establecido en la presente Ley, a partir de la respuesta; </w:t>
      </w:r>
    </w:p>
    <w:p w:rsidR="006F3F06" w:rsidRDefault="000E53DF">
      <w:pPr>
        <w:pBdr>
          <w:top w:val="nil"/>
          <w:left w:val="nil"/>
          <w:bottom w:val="nil"/>
          <w:right w:val="nil"/>
          <w:between w:val="nil"/>
        </w:pBdr>
        <w:tabs>
          <w:tab w:val="left" w:pos="567"/>
        </w:tabs>
        <w:ind w:left="567" w:right="-518"/>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 xml:space="preserve">II. Se esté tramitando ante el Poder Judicial de la Federación algún recurso o medio de defensa interpuesto por el recurrente; </w:t>
      </w:r>
    </w:p>
    <w:p w:rsidR="006F3F06" w:rsidRDefault="000E53DF">
      <w:pPr>
        <w:pBdr>
          <w:top w:val="nil"/>
          <w:left w:val="nil"/>
          <w:bottom w:val="nil"/>
          <w:right w:val="nil"/>
          <w:between w:val="nil"/>
        </w:pBdr>
        <w:tabs>
          <w:tab w:val="left" w:pos="567"/>
        </w:tabs>
        <w:ind w:left="567" w:right="-518"/>
        <w:jc w:val="both"/>
        <w:rPr>
          <w:rFonts w:ascii="Palatino Linotype" w:eastAsia="Palatino Linotype" w:hAnsi="Palatino Linotype" w:cs="Palatino Linotype"/>
          <w:b/>
          <w:bCs/>
          <w:i/>
          <w:iCs/>
          <w:color w:val="000000"/>
          <w:sz w:val="22"/>
          <w:szCs w:val="22"/>
        </w:rPr>
      </w:pPr>
      <w:r>
        <w:rPr>
          <w:rFonts w:ascii="Palatino Linotype" w:eastAsia="Palatino Linotype" w:hAnsi="Palatino Linotype" w:cs="Palatino Linotype"/>
          <w:b/>
          <w:bCs/>
          <w:i/>
          <w:iCs/>
          <w:color w:val="000000"/>
          <w:sz w:val="22"/>
          <w:szCs w:val="22"/>
        </w:rPr>
        <w:t xml:space="preserve">III. No actualice alguno de los supuestos previstos en la presente Ley; </w:t>
      </w:r>
    </w:p>
    <w:p w:rsidR="006F3F06" w:rsidRDefault="000E53DF">
      <w:pPr>
        <w:pBdr>
          <w:top w:val="nil"/>
          <w:left w:val="nil"/>
          <w:bottom w:val="nil"/>
          <w:right w:val="nil"/>
          <w:between w:val="nil"/>
        </w:pBdr>
        <w:tabs>
          <w:tab w:val="left" w:pos="567"/>
        </w:tabs>
        <w:ind w:left="567" w:right="-518"/>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 xml:space="preserve">IV. No se haya desahogado la prevención en los términos establecidos en la presente Ley; </w:t>
      </w:r>
    </w:p>
    <w:p w:rsidR="006F3F06" w:rsidRDefault="000E53DF">
      <w:pPr>
        <w:pBdr>
          <w:top w:val="nil"/>
          <w:left w:val="nil"/>
          <w:bottom w:val="nil"/>
          <w:right w:val="nil"/>
          <w:between w:val="nil"/>
        </w:pBdr>
        <w:tabs>
          <w:tab w:val="left" w:pos="567"/>
        </w:tabs>
        <w:ind w:left="567" w:right="-518"/>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 xml:space="preserve">V. Se impugne la veracidad de la información proporcionada; </w:t>
      </w:r>
    </w:p>
    <w:p w:rsidR="006F3F06" w:rsidRDefault="000E53DF">
      <w:pPr>
        <w:pBdr>
          <w:top w:val="nil"/>
          <w:left w:val="nil"/>
          <w:bottom w:val="nil"/>
          <w:right w:val="nil"/>
          <w:between w:val="nil"/>
        </w:pBdr>
        <w:tabs>
          <w:tab w:val="left" w:pos="567"/>
        </w:tabs>
        <w:ind w:left="567" w:right="-518"/>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 xml:space="preserve">VI. Se trate de una consulta, o trámite en específico; y </w:t>
      </w:r>
    </w:p>
    <w:p w:rsidR="006F3F06" w:rsidRDefault="000E53DF">
      <w:pPr>
        <w:pBdr>
          <w:top w:val="nil"/>
          <w:left w:val="nil"/>
          <w:bottom w:val="nil"/>
          <w:right w:val="nil"/>
          <w:between w:val="nil"/>
        </w:pBdr>
        <w:tabs>
          <w:tab w:val="left" w:pos="567"/>
        </w:tabs>
        <w:ind w:left="567" w:right="-518"/>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VII. El recurrente amplíe su solicitud en el recurso de revisión, únicamente respecto de los nuevos contenidos.</w:t>
      </w:r>
    </w:p>
    <w:p w:rsidR="006F3F06" w:rsidRDefault="006F3F06">
      <w:pPr>
        <w:pBdr>
          <w:top w:val="nil"/>
          <w:left w:val="nil"/>
          <w:bottom w:val="nil"/>
          <w:right w:val="nil"/>
          <w:between w:val="nil"/>
        </w:pBdr>
        <w:tabs>
          <w:tab w:val="left" w:pos="567"/>
        </w:tabs>
        <w:spacing w:line="360" w:lineRule="auto"/>
        <w:ind w:left="567" w:right="822"/>
        <w:jc w:val="both"/>
        <w:rPr>
          <w:rFonts w:ascii="Palatino Linotype" w:eastAsia="Palatino Linotype" w:hAnsi="Palatino Linotype" w:cs="Palatino Linotype"/>
          <w:i/>
          <w:iCs/>
          <w:color w:val="000000"/>
        </w:rPr>
      </w:pPr>
    </w:p>
    <w:p w:rsidR="006F3F06" w:rsidRDefault="000E53DF">
      <w:pPr>
        <w:numPr>
          <w:ilvl w:val="0"/>
          <w:numId w:val="2"/>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Es así que, </w:t>
      </w:r>
      <w:r>
        <w:rPr>
          <w:rFonts w:ascii="Palatino Linotype" w:eastAsia="Palatino Linotype" w:hAnsi="Palatino Linotype" w:cs="Palatino Linotype"/>
          <w:b/>
          <w:bCs/>
        </w:rPr>
        <w:t>el Recurso de Revisión 02878/INFOEM/IP/RR/2026 actualiza la causal de SOBRESEIMIENTO</w:t>
      </w:r>
      <w:r>
        <w:rPr>
          <w:rFonts w:ascii="Palatino Linotype" w:eastAsia="Palatino Linotype" w:hAnsi="Palatino Linotype" w:cs="Palatino Linotype"/>
        </w:rPr>
        <w:t xml:space="preserve"> establecida en la fracción IV, del artículo 192, en relación a la fracción III del artículo 191, ambos de la Ley de Transparencia y Acceso a la Información Pública del Estado de México y Municipios.</w:t>
      </w:r>
    </w:p>
    <w:p w:rsidR="006F3F06" w:rsidRDefault="000E53DF">
      <w:pPr>
        <w:pBdr>
          <w:top w:val="nil"/>
          <w:left w:val="nil"/>
          <w:bottom w:val="nil"/>
          <w:right w:val="nil"/>
          <w:between w:val="nil"/>
        </w:pBdr>
        <w:tabs>
          <w:tab w:val="left" w:pos="567"/>
        </w:tabs>
        <w:ind w:left="567" w:right="-518"/>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b/>
          <w:bCs/>
          <w:i/>
          <w:iCs/>
          <w:color w:val="000000"/>
          <w:sz w:val="22"/>
          <w:szCs w:val="22"/>
        </w:rPr>
        <w:t>Artículo 192. El recurso será sobreseído</w:t>
      </w:r>
      <w:r>
        <w:rPr>
          <w:rFonts w:ascii="Palatino Linotype" w:eastAsia="Palatino Linotype" w:hAnsi="Palatino Linotype" w:cs="Palatino Linotype"/>
          <w:i/>
          <w:iCs/>
          <w:color w:val="000000"/>
          <w:sz w:val="22"/>
          <w:szCs w:val="22"/>
        </w:rPr>
        <w:t xml:space="preserve">, en todo o en parte, cuando una vez admitido, se actualicen alguno de los siguientes supuestos: </w:t>
      </w:r>
    </w:p>
    <w:p w:rsidR="006F3F06" w:rsidRDefault="006F3F06">
      <w:pPr>
        <w:pBdr>
          <w:top w:val="nil"/>
          <w:left w:val="nil"/>
          <w:bottom w:val="nil"/>
          <w:right w:val="nil"/>
          <w:between w:val="nil"/>
        </w:pBdr>
        <w:tabs>
          <w:tab w:val="left" w:pos="567"/>
        </w:tabs>
        <w:ind w:left="567" w:right="-518"/>
        <w:jc w:val="both"/>
        <w:rPr>
          <w:rFonts w:ascii="Palatino Linotype" w:eastAsia="Palatino Linotype" w:hAnsi="Palatino Linotype" w:cs="Palatino Linotype"/>
          <w:i/>
          <w:iCs/>
          <w:color w:val="000000"/>
          <w:sz w:val="22"/>
          <w:szCs w:val="22"/>
        </w:rPr>
      </w:pPr>
    </w:p>
    <w:p w:rsidR="006F3F06" w:rsidRDefault="000E53DF">
      <w:pPr>
        <w:pBdr>
          <w:top w:val="nil"/>
          <w:left w:val="nil"/>
          <w:bottom w:val="nil"/>
          <w:right w:val="nil"/>
          <w:between w:val="nil"/>
        </w:pBdr>
        <w:tabs>
          <w:tab w:val="left" w:pos="567"/>
        </w:tabs>
        <w:ind w:left="567" w:right="-518"/>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 xml:space="preserve">I. El recurrente se desista expresamente del recurso; </w:t>
      </w:r>
    </w:p>
    <w:p w:rsidR="006F3F06" w:rsidRDefault="000E53DF">
      <w:pPr>
        <w:pBdr>
          <w:top w:val="nil"/>
          <w:left w:val="nil"/>
          <w:bottom w:val="nil"/>
          <w:right w:val="nil"/>
          <w:between w:val="nil"/>
        </w:pBdr>
        <w:tabs>
          <w:tab w:val="left" w:pos="567"/>
        </w:tabs>
        <w:ind w:left="567" w:right="-518"/>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 xml:space="preserve">II. El recurrente fallezca o, tratándose de personas jurídicas colectivas, se disuelva; </w:t>
      </w:r>
    </w:p>
    <w:p w:rsidR="006F3F06" w:rsidRDefault="000E53DF">
      <w:pPr>
        <w:pBdr>
          <w:top w:val="nil"/>
          <w:left w:val="nil"/>
          <w:bottom w:val="nil"/>
          <w:right w:val="nil"/>
          <w:between w:val="nil"/>
        </w:pBdr>
        <w:tabs>
          <w:tab w:val="left" w:pos="567"/>
        </w:tabs>
        <w:ind w:left="567" w:right="-518"/>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 xml:space="preserve">III. El sujeto obligado responsable del acto lo modifique o revoque de tal manera que el recurso de revisión quede sin materia; </w:t>
      </w:r>
    </w:p>
    <w:p w:rsidR="006F3F06" w:rsidRDefault="000E53DF">
      <w:pPr>
        <w:pBdr>
          <w:top w:val="nil"/>
          <w:left w:val="nil"/>
          <w:bottom w:val="nil"/>
          <w:right w:val="nil"/>
          <w:between w:val="nil"/>
        </w:pBdr>
        <w:tabs>
          <w:tab w:val="left" w:pos="567"/>
        </w:tabs>
        <w:ind w:left="567" w:right="-518"/>
        <w:jc w:val="both"/>
        <w:rPr>
          <w:rFonts w:ascii="Palatino Linotype" w:eastAsia="Palatino Linotype" w:hAnsi="Palatino Linotype" w:cs="Palatino Linotype"/>
          <w:b/>
          <w:bCs/>
          <w:i/>
          <w:iCs/>
          <w:color w:val="000000"/>
          <w:sz w:val="22"/>
          <w:szCs w:val="22"/>
        </w:rPr>
      </w:pPr>
      <w:r>
        <w:rPr>
          <w:rFonts w:ascii="Palatino Linotype" w:eastAsia="Palatino Linotype" w:hAnsi="Palatino Linotype" w:cs="Palatino Linotype"/>
          <w:b/>
          <w:bCs/>
          <w:i/>
          <w:iCs/>
          <w:color w:val="000000"/>
          <w:sz w:val="22"/>
          <w:szCs w:val="22"/>
        </w:rPr>
        <w:t xml:space="preserve">IV. Admitido el recurso de revisión, aparezca alguna causal de improcedencia en los términos de la presente Ley; y </w:t>
      </w:r>
    </w:p>
    <w:p w:rsidR="006F3F06" w:rsidRDefault="000E53DF">
      <w:pPr>
        <w:pBdr>
          <w:top w:val="nil"/>
          <w:left w:val="nil"/>
          <w:bottom w:val="nil"/>
          <w:right w:val="nil"/>
          <w:between w:val="nil"/>
        </w:pBdr>
        <w:tabs>
          <w:tab w:val="left" w:pos="567"/>
        </w:tabs>
        <w:ind w:left="567" w:right="-518"/>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V. Cuando por cualquier motivo quede sin materia el recurso.</w:t>
      </w:r>
    </w:p>
    <w:p w:rsidR="006F3F06" w:rsidRDefault="006F3F06">
      <w:pPr>
        <w:spacing w:line="360" w:lineRule="auto"/>
        <w:jc w:val="both"/>
        <w:rPr>
          <w:color w:val="000000"/>
        </w:rPr>
      </w:pPr>
    </w:p>
    <w:p w:rsidR="006F3F06" w:rsidRDefault="000E53DF">
      <w:pPr>
        <w:numPr>
          <w:ilvl w:val="0"/>
          <w:numId w:val="2"/>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Por lo expuesto, y con fundamento en lo prescrito en los artículos </w:t>
      </w:r>
      <w:r>
        <w:rPr>
          <w:rFonts w:ascii="Palatino Linotype" w:eastAsia="Palatino Linotype" w:hAnsi="Palatino Linotype" w:cs="Palatino Linotype"/>
          <w:color w:val="000000"/>
        </w:rPr>
        <w:t xml:space="preserve">5, párrafos cuadragésimo cuarto, cuadragésimo quinto y cuadragésimo sexto, fracciones IV y V, de la Constitución Política del </w:t>
      </w:r>
      <w:r>
        <w:rPr>
          <w:rFonts w:ascii="Palatino Linotype" w:eastAsia="Palatino Linotype" w:hAnsi="Palatino Linotype" w:cs="Palatino Linotype"/>
        </w:rPr>
        <w:t>Estado</w:t>
      </w:r>
      <w:r>
        <w:rPr>
          <w:rFonts w:ascii="Palatino Linotype" w:eastAsia="Palatino Linotype" w:hAnsi="Palatino Linotype" w:cs="Palatino Linotype"/>
          <w:color w:val="000000"/>
        </w:rPr>
        <w:t xml:space="preserve"> Libre y Soberano de México</w:t>
      </w:r>
      <w:r>
        <w:rPr>
          <w:rFonts w:ascii="Palatino Linotype" w:eastAsia="Palatino Linotype" w:hAnsi="Palatino Linotype" w:cs="Palatino Linotype"/>
        </w:rPr>
        <w:t>; 2, fracción II; 29, 36 fracciones I y II; 176, 178, 179, 181 y 185 de la Ley de Transparencia y Acceso a la Información Pública del Estado de México y Municipios, este Pleno:</w:t>
      </w:r>
    </w:p>
    <w:p w:rsidR="006F3F06" w:rsidRDefault="006F3F06">
      <w:pPr>
        <w:ind w:right="278"/>
        <w:rPr>
          <w:rFonts w:ascii="Palatino Linotype" w:eastAsia="Palatino Linotype" w:hAnsi="Palatino Linotype" w:cs="Palatino Linotype"/>
        </w:rPr>
      </w:pPr>
    </w:p>
    <w:p w:rsidR="006F3F06" w:rsidRDefault="000E53DF">
      <w:pPr>
        <w:spacing w:line="360" w:lineRule="auto"/>
        <w:ind w:right="276"/>
        <w:jc w:val="center"/>
        <w:rPr>
          <w:rFonts w:ascii="Palatino Linotype" w:eastAsia="Palatino Linotype" w:hAnsi="Palatino Linotype" w:cs="Palatino Linotype"/>
          <w:b/>
          <w:bCs/>
        </w:rPr>
      </w:pPr>
      <w:r>
        <w:rPr>
          <w:rFonts w:ascii="Palatino Linotype" w:eastAsia="Palatino Linotype" w:hAnsi="Palatino Linotype" w:cs="Palatino Linotype"/>
          <w:b/>
          <w:bCs/>
        </w:rPr>
        <w:t>R E S U E L V E</w:t>
      </w:r>
    </w:p>
    <w:p w:rsidR="006F3F06" w:rsidRDefault="006F3F06">
      <w:pPr>
        <w:spacing w:line="360" w:lineRule="auto"/>
        <w:ind w:right="-787"/>
        <w:rPr>
          <w:rFonts w:ascii="Palatino Linotype" w:eastAsia="Palatino Linotype" w:hAnsi="Palatino Linotype" w:cs="Palatino Linotype"/>
          <w:b/>
          <w:bCs/>
        </w:rPr>
      </w:pPr>
    </w:p>
    <w:p w:rsidR="006F3F06" w:rsidRDefault="000E53DF">
      <w:pPr>
        <w:spacing w:line="360" w:lineRule="auto"/>
        <w:ind w:right="-787"/>
        <w:jc w:val="both"/>
        <w:rPr>
          <w:rFonts w:ascii="Palatino Linotype" w:eastAsia="Palatino Linotype" w:hAnsi="Palatino Linotype" w:cs="Palatino Linotype"/>
        </w:rPr>
      </w:pPr>
      <w:r>
        <w:rPr>
          <w:rFonts w:ascii="Palatino Linotype" w:eastAsia="Palatino Linotype" w:hAnsi="Palatino Linotype" w:cs="Palatino Linotype"/>
          <w:b/>
          <w:bCs/>
        </w:rPr>
        <w:t>PRIMERO</w:t>
      </w:r>
      <w:r>
        <w:rPr>
          <w:rFonts w:ascii="Palatino Linotype" w:eastAsia="Palatino Linotype" w:hAnsi="Palatino Linotype" w:cs="Palatino Linotype"/>
        </w:rPr>
        <w:t>. Se</w:t>
      </w:r>
      <w:r>
        <w:rPr>
          <w:rFonts w:ascii="Palatino Linotype" w:eastAsia="Palatino Linotype" w:hAnsi="Palatino Linotype" w:cs="Palatino Linotype"/>
          <w:b/>
          <w:bCs/>
        </w:rPr>
        <w:t xml:space="preserve"> SOBRESEE </w:t>
      </w:r>
      <w:r>
        <w:rPr>
          <w:rFonts w:ascii="Palatino Linotype" w:eastAsia="Palatino Linotype" w:hAnsi="Palatino Linotype" w:cs="Palatino Linotype"/>
        </w:rPr>
        <w:t xml:space="preserve">el Recurso de Revisión número </w:t>
      </w:r>
      <w:r>
        <w:rPr>
          <w:rFonts w:ascii="Palatino Linotype" w:eastAsia="Palatino Linotype" w:hAnsi="Palatino Linotype" w:cs="Palatino Linotype"/>
          <w:b/>
          <w:bCs/>
          <w:color w:val="000000"/>
        </w:rPr>
        <w:t>02878/INFOEM/IP/RR/2026</w:t>
      </w:r>
      <w:r>
        <w:rPr>
          <w:rFonts w:ascii="Palatino Linotype" w:eastAsia="Palatino Linotype" w:hAnsi="Palatino Linotype" w:cs="Palatino Linotype"/>
          <w:b/>
          <w:bCs/>
        </w:rPr>
        <w:t xml:space="preserve">, </w:t>
      </w:r>
      <w:r>
        <w:rPr>
          <w:rFonts w:ascii="Palatino Linotype" w:eastAsia="Palatino Linotype" w:hAnsi="Palatino Linotype" w:cs="Palatino Linotype"/>
        </w:rPr>
        <w:t>porque una vez admitido se actualizó la causal de improcedencia prevista en artículo 192, fracción IV, en relación con la fracción III, del artículo 191, de la Ley de Transparencia vigente en la entidad, quedando sin materia en términos del considerando</w:t>
      </w:r>
      <w:r>
        <w:rPr>
          <w:rFonts w:ascii="Palatino Linotype" w:eastAsia="Palatino Linotype" w:hAnsi="Palatino Linotype" w:cs="Palatino Linotype"/>
          <w:b/>
          <w:bCs/>
        </w:rPr>
        <w:t xml:space="preserve"> CUARTO</w:t>
      </w:r>
      <w:r>
        <w:rPr>
          <w:rFonts w:ascii="Palatino Linotype" w:eastAsia="Palatino Linotype" w:hAnsi="Palatino Linotype" w:cs="Palatino Linotype"/>
        </w:rPr>
        <w:t xml:space="preserve"> de la presente Resolución.</w:t>
      </w:r>
    </w:p>
    <w:p w:rsidR="006F3F06" w:rsidRDefault="006F3F06">
      <w:pPr>
        <w:spacing w:line="360" w:lineRule="auto"/>
        <w:ind w:right="-787"/>
        <w:jc w:val="both"/>
        <w:rPr>
          <w:rFonts w:ascii="Palatino Linotype" w:eastAsia="Palatino Linotype" w:hAnsi="Palatino Linotype" w:cs="Palatino Linotype"/>
          <w:b/>
          <w:bCs/>
        </w:rPr>
      </w:pPr>
    </w:p>
    <w:p w:rsidR="006F3F06" w:rsidRDefault="000E53DF">
      <w:pPr>
        <w:shd w:val="clear" w:color="auto" w:fill="FFFFFF"/>
        <w:spacing w:line="360" w:lineRule="auto"/>
        <w:ind w:right="-787"/>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b/>
          <w:bCs/>
        </w:rPr>
        <w:t xml:space="preserve">SEGUNDO. Notifíquese </w:t>
      </w:r>
      <w:r>
        <w:rPr>
          <w:rFonts w:ascii="Palatino Linotype" w:eastAsia="Palatino Linotype" w:hAnsi="Palatino Linotype" w:cs="Palatino Linotype"/>
        </w:rPr>
        <w:t xml:space="preserve">al Titular de la Unidad de Transparencia del </w:t>
      </w:r>
      <w:r>
        <w:rPr>
          <w:rFonts w:ascii="Palatino Linotype" w:eastAsia="Palatino Linotype" w:hAnsi="Palatino Linotype" w:cs="Palatino Linotype"/>
          <w:b/>
          <w:bCs/>
        </w:rPr>
        <w:t xml:space="preserve">SUJETO OBLIGADO </w:t>
      </w:r>
      <w:r>
        <w:rPr>
          <w:rFonts w:ascii="Palatino Linotype" w:eastAsia="Palatino Linotype" w:hAnsi="Palatino Linotype" w:cs="Palatino Linotype"/>
        </w:rPr>
        <w:t>vía SAIMEX, para su conocimiento</w:t>
      </w:r>
      <w:r>
        <w:rPr>
          <w:rFonts w:ascii="Palatino Linotype" w:eastAsia="Palatino Linotype" w:hAnsi="Palatino Linotype" w:cs="Palatino Linotype"/>
          <w:color w:val="000000"/>
          <w:highlight w:val="white"/>
        </w:rPr>
        <w:t>.</w:t>
      </w:r>
    </w:p>
    <w:p w:rsidR="006F3F06" w:rsidRDefault="006F3F06">
      <w:pPr>
        <w:shd w:val="clear" w:color="auto" w:fill="FFFFFF"/>
        <w:spacing w:line="360" w:lineRule="auto"/>
        <w:ind w:right="-787"/>
        <w:jc w:val="both"/>
        <w:rPr>
          <w:rFonts w:ascii="Palatino Linotype" w:eastAsia="Palatino Linotype" w:hAnsi="Palatino Linotype" w:cs="Palatino Linotype"/>
          <w:color w:val="000000"/>
          <w:highlight w:val="white"/>
        </w:rPr>
      </w:pPr>
    </w:p>
    <w:p w:rsidR="006F3F06" w:rsidRDefault="000E53DF" w:rsidP="00A372D2">
      <w:pPr>
        <w:widowControl w:val="0"/>
        <w:pBdr>
          <w:top w:val="nil"/>
          <w:left w:val="nil"/>
          <w:bottom w:val="nil"/>
          <w:right w:val="nil"/>
          <w:between w:val="nil"/>
        </w:pBdr>
        <w:tabs>
          <w:tab w:val="left" w:pos="1701"/>
        </w:tabs>
        <w:spacing w:line="360" w:lineRule="auto"/>
        <w:ind w:right="-787"/>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b/>
          <w:bCs/>
          <w:color w:val="000000"/>
        </w:rPr>
        <w:t>TERCERO</w:t>
      </w:r>
      <w:r>
        <w:rPr>
          <w:rFonts w:ascii="Palatino Linotype" w:eastAsia="Palatino Linotype" w:hAnsi="Palatino Linotype" w:cs="Palatino Linotype"/>
          <w:b/>
          <w:bCs/>
          <w:color w:val="222222"/>
        </w:rPr>
        <w:t xml:space="preserve">. Notifíquese </w:t>
      </w:r>
      <w:r>
        <w:rPr>
          <w:rFonts w:ascii="Palatino Linotype" w:eastAsia="Palatino Linotype" w:hAnsi="Palatino Linotype" w:cs="Palatino Linotype"/>
          <w:color w:val="222222"/>
        </w:rPr>
        <w:t xml:space="preserve">a </w:t>
      </w:r>
      <w:r>
        <w:rPr>
          <w:rFonts w:ascii="Palatino Linotype" w:eastAsia="Palatino Linotype" w:hAnsi="Palatino Linotype" w:cs="Palatino Linotype"/>
          <w:b/>
          <w:bCs/>
          <w:color w:val="222222"/>
        </w:rPr>
        <w:t>EL RECURRENTE</w:t>
      </w:r>
      <w:r>
        <w:rPr>
          <w:rFonts w:ascii="Palatino Linotype" w:eastAsia="Palatino Linotype" w:hAnsi="Palatino Linotype" w:cs="Palatino Linotype"/>
          <w:color w:val="222222"/>
        </w:rPr>
        <w:t xml:space="preserve"> la presente resolución vía SAIMEX</w:t>
      </w:r>
      <w:r>
        <w:rPr>
          <w:rFonts w:ascii="Palatino Linotype" w:eastAsia="Palatino Linotype" w:hAnsi="Palatino Linotype" w:cs="Palatino Linotype"/>
          <w:color w:val="000000"/>
          <w:highlight w:val="white"/>
        </w:rPr>
        <w:t>.</w:t>
      </w:r>
    </w:p>
    <w:p w:rsidR="006F3F06" w:rsidRDefault="006F3F06" w:rsidP="00A372D2">
      <w:pPr>
        <w:widowControl w:val="0"/>
        <w:pBdr>
          <w:top w:val="nil"/>
          <w:left w:val="nil"/>
          <w:bottom w:val="nil"/>
          <w:right w:val="nil"/>
          <w:between w:val="nil"/>
        </w:pBdr>
        <w:tabs>
          <w:tab w:val="left" w:pos="1701"/>
        </w:tabs>
        <w:spacing w:line="360" w:lineRule="auto"/>
        <w:ind w:right="-787"/>
        <w:jc w:val="both"/>
        <w:rPr>
          <w:rFonts w:ascii="Palatino Linotype" w:eastAsia="Palatino Linotype" w:hAnsi="Palatino Linotype" w:cs="Palatino Linotype"/>
          <w:color w:val="222222"/>
        </w:rPr>
      </w:pPr>
    </w:p>
    <w:p w:rsidR="006F3F06" w:rsidRDefault="000E53DF">
      <w:pPr>
        <w:spacing w:line="360" w:lineRule="auto"/>
        <w:ind w:right="-858"/>
        <w:jc w:val="both"/>
        <w:rPr>
          <w:rFonts w:ascii="Palatino Linotype" w:eastAsia="Palatino Linotype" w:hAnsi="Palatino Linotype" w:cs="Palatino Linotype"/>
          <w:color w:val="000000"/>
        </w:rPr>
      </w:pPr>
      <w:r>
        <w:rPr>
          <w:rFonts w:ascii="Palatino Linotype" w:eastAsia="Palatino Linotype" w:hAnsi="Palatino Linotype" w:cs="Palatino Linotype"/>
          <w:b/>
          <w:bCs/>
          <w:color w:val="222222"/>
        </w:rPr>
        <w:t xml:space="preserve">CUARTO. </w:t>
      </w:r>
      <w:r>
        <w:rPr>
          <w:rFonts w:ascii="Palatino Linotype" w:eastAsia="Palatino Linotype" w:hAnsi="Palatino Linotype" w:cs="Palatino Linotype"/>
          <w:color w:val="000000"/>
        </w:rPr>
        <w:t xml:space="preserve">Se hace del conocimiento de </w:t>
      </w:r>
      <w:r>
        <w:rPr>
          <w:rFonts w:ascii="Palatino Linotype" w:eastAsia="Palatino Linotype" w:hAnsi="Palatino Linotype" w:cs="Palatino Linotype"/>
          <w:b/>
          <w:bCs/>
          <w:color w:val="000000"/>
        </w:rPr>
        <w:t>EL RECURRENTE</w:t>
      </w:r>
      <w:r>
        <w:rPr>
          <w:rFonts w:ascii="Palatino Linotype" w:eastAsia="Palatino Linotype" w:hAnsi="Palatino Linotype" w:cs="Palatino Linotype"/>
          <w:color w:val="000000"/>
        </w:rPr>
        <w:t xml:space="preserve"> que, de conformidad con lo establecido en el artículo 196 de la Ley de Transparencia y Acceso a la Información Pública del Estado de México y Municipios, en caso de que considere que la resolución le cause algún perjuicio podrá </w:t>
      </w:r>
      <w:r>
        <w:rPr>
          <w:rFonts w:ascii="Palatino Linotype" w:eastAsia="Palatino Linotype" w:hAnsi="Palatino Linotype" w:cs="Palatino Linotype"/>
        </w:rPr>
        <w:t>impugnar vía</w:t>
      </w:r>
      <w:r>
        <w:rPr>
          <w:rFonts w:ascii="Palatino Linotype" w:eastAsia="Palatino Linotype" w:hAnsi="Palatino Linotype" w:cs="Palatino Linotype"/>
          <w:color w:val="000000"/>
        </w:rPr>
        <w:t xml:space="preserve"> Juicio de Amparo en los términos de las leyes aplicables.</w:t>
      </w:r>
    </w:p>
    <w:p w:rsidR="006F3F06" w:rsidRDefault="006F3F06">
      <w:pPr>
        <w:spacing w:line="360" w:lineRule="auto"/>
        <w:ind w:right="-858"/>
        <w:jc w:val="both"/>
        <w:rPr>
          <w:rFonts w:ascii="Palatino Linotype" w:eastAsia="Palatino Linotype" w:hAnsi="Palatino Linotype" w:cs="Palatino Linotype"/>
        </w:rPr>
      </w:pPr>
    </w:p>
    <w:p w:rsidR="00A372D2" w:rsidRPr="003E2295" w:rsidRDefault="00A372D2" w:rsidP="00A372D2">
      <w:pPr>
        <w:spacing w:before="240" w:after="240" w:line="360" w:lineRule="auto"/>
        <w:ind w:right="-716" w:firstLine="1"/>
        <w:jc w:val="both"/>
        <w:rPr>
          <w:rFonts w:ascii="Palatino Linotype" w:hAnsi="Palatino Linotype"/>
        </w:rPr>
      </w:pPr>
      <w:bookmarkStart w:id="8" w:name="_Hlk99014733"/>
      <w:r w:rsidRPr="003E2295">
        <w:rPr>
          <w:rFonts w:ascii="Palatino Linotype" w:hAnsi="Palatino Linotype" w:cs="Palatino Linotype"/>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Pr>
          <w:rFonts w:ascii="Palatino Linotype" w:hAnsi="Palatino Linotype" w:cs="Palatino Linotype"/>
        </w:rPr>
        <w:t xml:space="preserve">VIGÉSIMA TERCERA </w:t>
      </w:r>
      <w:r w:rsidRPr="003E2295">
        <w:rPr>
          <w:rFonts w:ascii="Palatino Linotype" w:hAnsi="Palatino Linotype" w:cs="Palatino Linotype"/>
        </w:rPr>
        <w:t>SESIÓN O</w:t>
      </w:r>
      <w:r>
        <w:rPr>
          <w:rFonts w:ascii="Palatino Linotype" w:hAnsi="Palatino Linotype" w:cs="Palatino Linotype"/>
        </w:rPr>
        <w:t>RDINARIA, CELEBRADA EL VEINTICINCO (25</w:t>
      </w:r>
      <w:r w:rsidRPr="003E2295">
        <w:rPr>
          <w:rFonts w:ascii="Palatino Linotype" w:hAnsi="Palatino Linotype" w:cs="Palatino Linotype"/>
        </w:rPr>
        <w:t xml:space="preserve">) DE </w:t>
      </w:r>
      <w:r>
        <w:rPr>
          <w:rFonts w:ascii="Palatino Linotype" w:hAnsi="Palatino Linotype" w:cs="Palatino Linotype"/>
        </w:rPr>
        <w:t>JUNIO</w:t>
      </w:r>
      <w:r w:rsidRPr="003E2295">
        <w:rPr>
          <w:rFonts w:ascii="Palatino Linotype" w:hAnsi="Palatino Linotype" w:cs="Palatino Linotype"/>
        </w:rPr>
        <w:t xml:space="preserve"> DE DOS MIL VEINTISÉIS, ANTE EL SECRETARIO TÉCNICO DEL PLENO </w:t>
      </w:r>
      <w:r w:rsidRPr="003E2295">
        <w:rPr>
          <w:rFonts w:ascii="Palatino Linotype" w:hAnsi="Palatino Linotype" w:cs="Palatino Linotype"/>
          <w:color w:val="000000" w:themeColor="text1"/>
        </w:rPr>
        <w:t>ALEXIS TAPIA RAMÍREZ.</w:t>
      </w:r>
    </w:p>
    <w:bookmarkEnd w:id="8"/>
    <w:p w:rsidR="006F3F06" w:rsidRDefault="006F3F06" w:rsidP="00A372D2">
      <w:pPr>
        <w:spacing w:line="360" w:lineRule="auto"/>
        <w:ind w:right="-716"/>
        <w:jc w:val="both"/>
        <w:rPr>
          <w:rFonts w:ascii="Palatino Linotype" w:eastAsia="Palatino Linotype" w:hAnsi="Palatino Linotype" w:cs="Palatino Linotype"/>
        </w:rPr>
      </w:pPr>
    </w:p>
    <w:p w:rsidR="006F3F06" w:rsidRDefault="006F3F06">
      <w:pPr>
        <w:spacing w:line="360" w:lineRule="auto"/>
        <w:ind w:right="-787"/>
        <w:jc w:val="both"/>
        <w:rPr>
          <w:rFonts w:ascii="Palatino Linotype" w:eastAsia="Palatino Linotype" w:hAnsi="Palatino Linotype" w:cs="Palatino Linotype"/>
        </w:rPr>
      </w:pPr>
    </w:p>
    <w:p w:rsidR="006F3F06" w:rsidRDefault="006F3F06">
      <w:pPr>
        <w:spacing w:line="360" w:lineRule="auto"/>
        <w:ind w:right="-787"/>
        <w:jc w:val="both"/>
        <w:rPr>
          <w:rFonts w:ascii="Palatino Linotype" w:eastAsia="Palatino Linotype" w:hAnsi="Palatino Linotype" w:cs="Palatino Linotype"/>
        </w:rPr>
      </w:pPr>
    </w:p>
    <w:p w:rsidR="006F3F06" w:rsidRDefault="006F3F06">
      <w:pPr>
        <w:spacing w:line="360" w:lineRule="auto"/>
        <w:ind w:right="-787"/>
        <w:jc w:val="both"/>
        <w:rPr>
          <w:rFonts w:ascii="Palatino Linotype" w:eastAsia="Palatino Linotype" w:hAnsi="Palatino Linotype" w:cs="Palatino Linotype"/>
        </w:rPr>
      </w:pPr>
    </w:p>
    <w:p w:rsidR="006F3F06" w:rsidRDefault="006F3F06">
      <w:pPr>
        <w:spacing w:line="360" w:lineRule="auto"/>
        <w:ind w:right="-787"/>
        <w:jc w:val="both"/>
        <w:rPr>
          <w:rFonts w:ascii="Palatino Linotype" w:eastAsia="Palatino Linotype" w:hAnsi="Palatino Linotype" w:cs="Palatino Linotype"/>
        </w:rPr>
      </w:pPr>
    </w:p>
    <w:p w:rsidR="006F3F06" w:rsidRDefault="006F3F06">
      <w:pPr>
        <w:spacing w:line="360" w:lineRule="auto"/>
        <w:ind w:right="-787"/>
        <w:jc w:val="both"/>
        <w:rPr>
          <w:rFonts w:ascii="Palatino Linotype" w:eastAsia="Palatino Linotype" w:hAnsi="Palatino Linotype" w:cs="Palatino Linotype"/>
        </w:rPr>
      </w:pPr>
    </w:p>
    <w:p w:rsidR="006F3F06" w:rsidRDefault="006F3F06">
      <w:pPr>
        <w:spacing w:line="360" w:lineRule="auto"/>
        <w:ind w:right="-787"/>
        <w:jc w:val="both"/>
        <w:rPr>
          <w:rFonts w:ascii="Palatino Linotype" w:eastAsia="Palatino Linotype" w:hAnsi="Palatino Linotype" w:cs="Palatino Linotype"/>
        </w:rPr>
      </w:pPr>
    </w:p>
    <w:p w:rsidR="006F3F06" w:rsidRDefault="006F3F06">
      <w:pPr>
        <w:spacing w:line="360" w:lineRule="auto"/>
        <w:ind w:right="-787"/>
        <w:jc w:val="both"/>
        <w:rPr>
          <w:rFonts w:ascii="Palatino Linotype" w:eastAsia="Palatino Linotype" w:hAnsi="Palatino Linotype" w:cs="Palatino Linotype"/>
        </w:rPr>
      </w:pPr>
    </w:p>
    <w:p w:rsidR="006F3F06" w:rsidRDefault="006F3F06">
      <w:pPr>
        <w:spacing w:line="360" w:lineRule="auto"/>
        <w:ind w:right="-787"/>
        <w:jc w:val="both"/>
        <w:rPr>
          <w:rFonts w:ascii="Palatino Linotype" w:eastAsia="Palatino Linotype" w:hAnsi="Palatino Linotype" w:cs="Palatino Linotype"/>
        </w:rPr>
      </w:pPr>
    </w:p>
    <w:p w:rsidR="006F3F06" w:rsidRDefault="006F3F06">
      <w:pPr>
        <w:spacing w:line="360" w:lineRule="auto"/>
        <w:ind w:right="-787"/>
        <w:jc w:val="both"/>
        <w:rPr>
          <w:rFonts w:ascii="Palatino Linotype" w:eastAsia="Palatino Linotype" w:hAnsi="Palatino Linotype" w:cs="Palatino Linotype"/>
        </w:rPr>
      </w:pPr>
    </w:p>
    <w:p w:rsidR="006F3F06" w:rsidRDefault="006F3F06">
      <w:pPr>
        <w:spacing w:line="360" w:lineRule="auto"/>
        <w:ind w:right="-787"/>
        <w:rPr>
          <w:rFonts w:ascii="Palatino Linotype" w:eastAsia="Palatino Linotype" w:hAnsi="Palatino Linotype" w:cs="Palatino Linotype"/>
        </w:rPr>
      </w:pPr>
    </w:p>
    <w:p w:rsidR="006F3F06" w:rsidRDefault="006F3F06">
      <w:pPr>
        <w:tabs>
          <w:tab w:val="left" w:pos="3374"/>
        </w:tabs>
        <w:spacing w:line="360" w:lineRule="auto"/>
        <w:ind w:right="-787"/>
        <w:rPr>
          <w:rFonts w:ascii="Palatino Linotype" w:eastAsia="Palatino Linotype" w:hAnsi="Palatino Linotype" w:cs="Palatino Linotype"/>
        </w:rPr>
      </w:pPr>
      <w:bookmarkStart w:id="9" w:name="_heading=h.lnxbz9" w:colFirst="0" w:colLast="0"/>
      <w:bookmarkEnd w:id="9"/>
    </w:p>
    <w:p w:rsidR="00FD4ECD" w:rsidRDefault="00FD4ECD">
      <w:pPr>
        <w:tabs>
          <w:tab w:val="left" w:pos="3374"/>
        </w:tabs>
        <w:spacing w:line="360" w:lineRule="auto"/>
        <w:ind w:right="-787"/>
        <w:rPr>
          <w:rFonts w:ascii="Palatino Linotype" w:eastAsia="Palatino Linotype" w:hAnsi="Palatino Linotype" w:cs="Palatino Linotype"/>
        </w:rPr>
      </w:pPr>
    </w:p>
    <w:p w:rsidR="00FD4ECD" w:rsidRDefault="00FD4ECD">
      <w:pPr>
        <w:tabs>
          <w:tab w:val="left" w:pos="3374"/>
        </w:tabs>
        <w:spacing w:line="360" w:lineRule="auto"/>
        <w:ind w:right="-787"/>
        <w:rPr>
          <w:rFonts w:ascii="Palatino Linotype" w:eastAsia="Palatino Linotype" w:hAnsi="Palatino Linotype" w:cs="Palatino Linotype"/>
        </w:rPr>
      </w:pPr>
    </w:p>
    <w:p w:rsidR="00FD4ECD" w:rsidRDefault="00FD4ECD">
      <w:pPr>
        <w:tabs>
          <w:tab w:val="left" w:pos="3374"/>
        </w:tabs>
        <w:spacing w:line="360" w:lineRule="auto"/>
        <w:ind w:right="-787"/>
        <w:rPr>
          <w:rFonts w:ascii="Palatino Linotype" w:eastAsia="Palatino Linotype" w:hAnsi="Palatino Linotype" w:cs="Palatino Linotype"/>
        </w:rPr>
      </w:pPr>
    </w:p>
    <w:p w:rsidR="00FD4ECD" w:rsidRDefault="00FD4ECD">
      <w:pPr>
        <w:tabs>
          <w:tab w:val="left" w:pos="3374"/>
        </w:tabs>
        <w:spacing w:line="360" w:lineRule="auto"/>
        <w:ind w:right="-787"/>
        <w:rPr>
          <w:rFonts w:ascii="Palatino Linotype" w:eastAsia="Palatino Linotype" w:hAnsi="Palatino Linotype" w:cs="Palatino Linotype"/>
        </w:rPr>
      </w:pPr>
    </w:p>
    <w:p w:rsidR="00FD4ECD" w:rsidRDefault="00FD4ECD">
      <w:pPr>
        <w:tabs>
          <w:tab w:val="left" w:pos="3374"/>
        </w:tabs>
        <w:spacing w:line="360" w:lineRule="auto"/>
        <w:ind w:right="-787"/>
        <w:rPr>
          <w:rFonts w:ascii="Palatino Linotype" w:eastAsia="Palatino Linotype" w:hAnsi="Palatino Linotype" w:cs="Palatino Linotype"/>
        </w:rPr>
      </w:pPr>
    </w:p>
    <w:p w:rsidR="00FD4ECD" w:rsidRDefault="00FD4ECD">
      <w:pPr>
        <w:tabs>
          <w:tab w:val="left" w:pos="3374"/>
        </w:tabs>
        <w:spacing w:line="360" w:lineRule="auto"/>
        <w:ind w:right="-787"/>
        <w:rPr>
          <w:rFonts w:ascii="Palatino Linotype" w:eastAsia="Palatino Linotype" w:hAnsi="Palatino Linotype" w:cs="Palatino Linotype"/>
        </w:rPr>
      </w:pPr>
    </w:p>
    <w:p w:rsidR="00FD4ECD" w:rsidRDefault="00FD4ECD">
      <w:pPr>
        <w:tabs>
          <w:tab w:val="left" w:pos="3374"/>
        </w:tabs>
        <w:spacing w:line="360" w:lineRule="auto"/>
        <w:ind w:right="-787"/>
        <w:rPr>
          <w:rFonts w:ascii="Palatino Linotype" w:eastAsia="Palatino Linotype" w:hAnsi="Palatino Linotype" w:cs="Palatino Linotype"/>
        </w:rPr>
      </w:pPr>
    </w:p>
    <w:p w:rsidR="00FD4ECD" w:rsidRDefault="00FD4ECD">
      <w:pPr>
        <w:tabs>
          <w:tab w:val="left" w:pos="3374"/>
        </w:tabs>
        <w:spacing w:line="360" w:lineRule="auto"/>
        <w:ind w:right="-787"/>
        <w:rPr>
          <w:rFonts w:ascii="Palatino Linotype" w:eastAsia="Palatino Linotype" w:hAnsi="Palatino Linotype" w:cs="Palatino Linotype"/>
        </w:rPr>
      </w:pPr>
    </w:p>
    <w:p w:rsidR="00FD4ECD" w:rsidRDefault="00FD4ECD">
      <w:pPr>
        <w:tabs>
          <w:tab w:val="left" w:pos="3374"/>
        </w:tabs>
        <w:spacing w:line="360" w:lineRule="auto"/>
        <w:ind w:right="-787"/>
        <w:rPr>
          <w:rFonts w:ascii="Palatino Linotype" w:eastAsia="Palatino Linotype" w:hAnsi="Palatino Linotype" w:cs="Palatino Linotype"/>
        </w:rPr>
      </w:pPr>
    </w:p>
    <w:p w:rsidR="00FD4ECD" w:rsidRDefault="00FD4ECD">
      <w:pPr>
        <w:tabs>
          <w:tab w:val="left" w:pos="3374"/>
        </w:tabs>
        <w:spacing w:line="360" w:lineRule="auto"/>
        <w:ind w:right="-787"/>
        <w:rPr>
          <w:rFonts w:ascii="Palatino Linotype" w:eastAsia="Palatino Linotype" w:hAnsi="Palatino Linotype" w:cs="Palatino Linotype"/>
        </w:rPr>
      </w:pPr>
    </w:p>
    <w:sectPr w:rsidR="00FD4ECD">
      <w:headerReference w:type="even" r:id="rId9"/>
      <w:headerReference w:type="default" r:id="rId10"/>
      <w:footerReference w:type="default" r:id="rId11"/>
      <w:headerReference w:type="first" r:id="rId12"/>
      <w:footerReference w:type="first" r:id="rId13"/>
      <w:pgSz w:w="12240" w:h="15840"/>
      <w:pgMar w:top="2268" w:right="1474" w:bottom="170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2AAE" w:rsidRDefault="00D42AAE">
      <w:r>
        <w:separator/>
      </w:r>
    </w:p>
  </w:endnote>
  <w:endnote w:type="continuationSeparator" w:id="0">
    <w:p w:rsidR="00D42AAE" w:rsidRDefault="00D42A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2C7FD691-D282-4836-AC74-46FEE02805C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B23927F6-8F6F-4FB0-A274-9095A34C1766}"/>
    <w:embedBold r:id="rId3" w:fontKey="{F841A168-66B6-48AD-905A-A6265ECF2488}"/>
    <w:embedItalic r:id="rId4" w:fontKey="{02E442EA-5904-4015-9853-D467FF2B6827}"/>
    <w:embedBoldItalic r:id="rId5" w:fontKey="{577C94F6-19D2-4FFB-824F-E4631CB71D12}"/>
  </w:font>
  <w:font w:name="Calibri">
    <w:panose1 w:val="020F0502020204030204"/>
    <w:charset w:val="00"/>
    <w:family w:val="swiss"/>
    <w:pitch w:val="variable"/>
    <w:sig w:usb0="E4002EFF" w:usb1="C200247B" w:usb2="00000009" w:usb3="00000000" w:csb0="000001FF" w:csb1="00000000"/>
    <w:embedRegular r:id="rId6" w:fontKey="{EBB69547-3F2E-4290-9FC9-E43FB5D4B5C1}"/>
    <w:embedBold r:id="rId7" w:fontKey="{14ACC69E-CD6D-40DA-BD81-92E458AB2BDF}"/>
  </w:font>
  <w:font w:name="Georgia">
    <w:panose1 w:val="02040502050405020303"/>
    <w:charset w:val="00"/>
    <w:family w:val="roman"/>
    <w:pitch w:val="variable"/>
    <w:sig w:usb0="00000287" w:usb1="00000000" w:usb2="00000000" w:usb3="00000000" w:csb0="0000009F" w:csb1="00000000"/>
    <w:embedItalic r:id="rId8" w:fontKey="{A658E652-5D53-43E2-BC71-FB472446761E}"/>
  </w:font>
  <w:font w:name="Cambria">
    <w:panose1 w:val="02040503050406030204"/>
    <w:charset w:val="00"/>
    <w:family w:val="roman"/>
    <w:pitch w:val="variable"/>
    <w:sig w:usb0="E00006FF" w:usb1="420024FF" w:usb2="02000000" w:usb3="00000000" w:csb0="0000019F" w:csb1="00000000"/>
    <w:embedRegular r:id="rId9" w:fontKey="{E4821E3C-C47D-4BBE-89D6-EE0A57C0F1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3F06" w:rsidRDefault="000E53DF">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CA33A7">
      <w:rPr>
        <w:rFonts w:ascii="Palatino Linotype" w:eastAsia="Palatino Linotype" w:hAnsi="Palatino Linotype" w:cs="Palatino Linotype"/>
        <w:noProof/>
        <w:color w:val="000000"/>
        <w:sz w:val="22"/>
        <w:szCs w:val="22"/>
      </w:rPr>
      <w:t>21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CA33A7">
      <w:rPr>
        <w:rFonts w:ascii="Palatino Linotype" w:eastAsia="Palatino Linotype" w:hAnsi="Palatino Linotype" w:cs="Palatino Linotype"/>
        <w:noProof/>
        <w:color w:val="000000"/>
        <w:sz w:val="22"/>
        <w:szCs w:val="22"/>
      </w:rPr>
      <w:t>21</w:t>
    </w:r>
    <w:r>
      <w:rPr>
        <w:rFonts w:ascii="Palatino Linotype" w:eastAsia="Palatino Linotype" w:hAnsi="Palatino Linotype" w:cs="Palatino Linotype"/>
        <w:color w:val="000000"/>
        <w:sz w:val="22"/>
        <w:szCs w:val="22"/>
      </w:rPr>
      <w:fldChar w:fldCharType="end"/>
    </w:r>
  </w:p>
  <w:p w:rsidR="006F3F06" w:rsidRDefault="006F3F06">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3F06" w:rsidRDefault="000E53DF">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CA33A7">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CA33A7">
      <w:rPr>
        <w:rFonts w:ascii="Palatino Linotype" w:eastAsia="Palatino Linotype" w:hAnsi="Palatino Linotype" w:cs="Palatino Linotype"/>
        <w:noProof/>
        <w:color w:val="000000"/>
        <w:sz w:val="22"/>
        <w:szCs w:val="22"/>
      </w:rPr>
      <w:t>21</w:t>
    </w:r>
    <w:r>
      <w:rPr>
        <w:rFonts w:ascii="Palatino Linotype" w:eastAsia="Palatino Linotype" w:hAnsi="Palatino Linotype" w:cs="Palatino Linotype"/>
        <w:color w:val="000000"/>
        <w:sz w:val="22"/>
        <w:szCs w:val="22"/>
      </w:rPr>
      <w:fldChar w:fldCharType="end"/>
    </w:r>
  </w:p>
  <w:p w:rsidR="006F3F06" w:rsidRDefault="006F3F06">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2AAE" w:rsidRDefault="00D42AAE">
      <w:r>
        <w:separator/>
      </w:r>
    </w:p>
  </w:footnote>
  <w:footnote w:type="continuationSeparator" w:id="0">
    <w:p w:rsidR="00D42AAE" w:rsidRDefault="00D42A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3F06" w:rsidRDefault="00D42AAE">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09.4pt;height:793.75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
      <w:tblW w:w="6750" w:type="dxa"/>
      <w:tblInd w:w="3544" w:type="dxa"/>
      <w:tblLayout w:type="fixed"/>
      <w:tblLook w:val="0400" w:firstRow="0" w:lastRow="0" w:firstColumn="0" w:lastColumn="0" w:noHBand="0" w:noVBand="1"/>
    </w:tblPr>
    <w:tblGrid>
      <w:gridCol w:w="2799"/>
      <w:gridCol w:w="3951"/>
    </w:tblGrid>
    <w:tr w:rsidR="006F3F06" w:rsidTr="00CA33A7">
      <w:trPr>
        <w:trHeight w:val="227"/>
      </w:trPr>
      <w:tc>
        <w:tcPr>
          <w:tcW w:w="2799" w:type="dxa"/>
        </w:tcPr>
        <w:p w:rsidR="006F3F06" w:rsidRDefault="000E53DF">
          <w:pPr>
            <w:jc w:val="right"/>
            <w:rPr>
              <w:rFonts w:ascii="Palatino Linotype" w:eastAsia="Palatino Linotype" w:hAnsi="Palatino Linotype" w:cs="Palatino Linotype"/>
              <w:b/>
              <w:bCs/>
            </w:rPr>
          </w:pPr>
          <w:r>
            <w:rPr>
              <w:rFonts w:ascii="Palatino Linotype" w:eastAsia="Palatino Linotype" w:hAnsi="Palatino Linotype" w:cs="Palatino Linotype"/>
              <w:b/>
              <w:bCs/>
            </w:rPr>
            <w:t>Recurso de Revisión:</w:t>
          </w:r>
        </w:p>
      </w:tc>
      <w:tc>
        <w:tcPr>
          <w:tcW w:w="3951" w:type="dxa"/>
        </w:tcPr>
        <w:p w:rsidR="006F3F06" w:rsidRDefault="000E53DF">
          <w:pPr>
            <w:pBdr>
              <w:top w:val="nil"/>
              <w:left w:val="nil"/>
              <w:bottom w:val="nil"/>
              <w:right w:val="nil"/>
              <w:between w:val="nil"/>
            </w:pBdr>
            <w:tabs>
              <w:tab w:val="right" w:pos="8838"/>
            </w:tabs>
            <w:ind w:right="-1285"/>
            <w:rPr>
              <w:rFonts w:ascii="Palatino Linotype" w:eastAsia="Palatino Linotype" w:hAnsi="Palatino Linotype" w:cs="Palatino Linotype"/>
              <w:color w:val="000000"/>
              <w:highlight w:val="green"/>
            </w:rPr>
          </w:pPr>
          <w:r>
            <w:rPr>
              <w:rFonts w:ascii="Palatino Linotype" w:eastAsia="Palatino Linotype" w:hAnsi="Palatino Linotype" w:cs="Palatino Linotype"/>
              <w:color w:val="000000"/>
            </w:rPr>
            <w:t>02878/INFOEM/IP/RR/2026</w:t>
          </w:r>
        </w:p>
      </w:tc>
    </w:tr>
    <w:tr w:rsidR="006F3F06" w:rsidTr="00CA33A7">
      <w:trPr>
        <w:trHeight w:val="342"/>
      </w:trPr>
      <w:tc>
        <w:tcPr>
          <w:tcW w:w="2799" w:type="dxa"/>
        </w:tcPr>
        <w:p w:rsidR="006F3F06" w:rsidRDefault="000E53DF">
          <w:pPr>
            <w:jc w:val="right"/>
            <w:rPr>
              <w:rFonts w:ascii="Palatino Linotype" w:eastAsia="Palatino Linotype" w:hAnsi="Palatino Linotype" w:cs="Palatino Linotype"/>
              <w:b/>
              <w:bCs/>
            </w:rPr>
          </w:pPr>
          <w:r>
            <w:rPr>
              <w:rFonts w:ascii="Palatino Linotype" w:eastAsia="Palatino Linotype" w:hAnsi="Palatino Linotype" w:cs="Palatino Linotype"/>
              <w:b/>
              <w:bCs/>
            </w:rPr>
            <w:t>Sujeto Obligado:</w:t>
          </w:r>
        </w:p>
      </w:tc>
      <w:tc>
        <w:tcPr>
          <w:tcW w:w="3951" w:type="dxa"/>
        </w:tcPr>
        <w:p w:rsidR="006F3F06" w:rsidRDefault="000E53DF">
          <w:pPr>
            <w:rPr>
              <w:rFonts w:ascii="Palatino Linotype" w:eastAsia="Palatino Linotype" w:hAnsi="Palatino Linotype" w:cs="Palatino Linotype"/>
              <w:color w:val="000000"/>
            </w:rPr>
          </w:pPr>
          <w:r>
            <w:rPr>
              <w:rFonts w:ascii="Palatino Linotype" w:eastAsia="Palatino Linotype" w:hAnsi="Palatino Linotype" w:cs="Palatino Linotype"/>
              <w:color w:val="000000"/>
            </w:rPr>
            <w:t>Ayuntamiento de Toluca</w:t>
          </w:r>
        </w:p>
      </w:tc>
    </w:tr>
    <w:tr w:rsidR="006F3F06" w:rsidTr="00CA33A7">
      <w:trPr>
        <w:trHeight w:val="342"/>
      </w:trPr>
      <w:tc>
        <w:tcPr>
          <w:tcW w:w="2799" w:type="dxa"/>
        </w:tcPr>
        <w:p w:rsidR="006F3F06" w:rsidRDefault="000E53DF">
          <w:pPr>
            <w:jc w:val="right"/>
            <w:rPr>
              <w:rFonts w:ascii="Palatino Linotype" w:eastAsia="Palatino Linotype" w:hAnsi="Palatino Linotype" w:cs="Palatino Linotype"/>
              <w:b/>
              <w:bCs/>
            </w:rPr>
          </w:pPr>
          <w:r>
            <w:rPr>
              <w:rFonts w:ascii="Palatino Linotype" w:eastAsia="Palatino Linotype" w:hAnsi="Palatino Linotype" w:cs="Palatino Linotype"/>
              <w:b/>
              <w:bCs/>
            </w:rPr>
            <w:t>Comisionada Ponente:</w:t>
          </w:r>
        </w:p>
      </w:tc>
      <w:tc>
        <w:tcPr>
          <w:tcW w:w="3951" w:type="dxa"/>
        </w:tcPr>
        <w:p w:rsidR="006F3F06" w:rsidRDefault="000E53DF">
          <w:pPr>
            <w:pBdr>
              <w:top w:val="nil"/>
              <w:left w:val="nil"/>
              <w:bottom w:val="nil"/>
              <w:right w:val="nil"/>
              <w:between w:val="nil"/>
            </w:pBdr>
            <w:tabs>
              <w:tab w:val="right" w:pos="8838"/>
            </w:tabs>
            <w:ind w:right="-1285"/>
            <w:rPr>
              <w:rFonts w:ascii="Palatino Linotype" w:eastAsia="Palatino Linotype" w:hAnsi="Palatino Linotype" w:cs="Palatino Linotype"/>
              <w:color w:val="000000"/>
            </w:rPr>
          </w:pPr>
          <w:r>
            <w:rPr>
              <w:rFonts w:ascii="Palatino Linotype" w:eastAsia="Palatino Linotype" w:hAnsi="Palatino Linotype" w:cs="Palatino Linotype"/>
              <w:color w:val="000000"/>
            </w:rPr>
            <w:t>María del Rosario Mejía Ayala</w:t>
          </w:r>
        </w:p>
      </w:tc>
    </w:tr>
  </w:tbl>
  <w:p w:rsidR="006F3F06" w:rsidRDefault="00D42AAE">
    <w:pPr>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82.3pt;margin-top:-113.5pt;width:609.4pt;height:793.75pt;z-index:-251659776;mso-position-horizontal-relative:margin;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0"/>
      <w:tblW w:w="6750" w:type="dxa"/>
      <w:tblInd w:w="3261" w:type="dxa"/>
      <w:tblLayout w:type="fixed"/>
      <w:tblLook w:val="0400" w:firstRow="0" w:lastRow="0" w:firstColumn="0" w:lastColumn="0" w:noHBand="0" w:noVBand="1"/>
    </w:tblPr>
    <w:tblGrid>
      <w:gridCol w:w="2799"/>
      <w:gridCol w:w="3951"/>
    </w:tblGrid>
    <w:tr w:rsidR="006F3F06">
      <w:trPr>
        <w:trHeight w:val="227"/>
      </w:trPr>
      <w:tc>
        <w:tcPr>
          <w:tcW w:w="2799" w:type="dxa"/>
        </w:tcPr>
        <w:p w:rsidR="006F3F06" w:rsidRDefault="000E53DF">
          <w:pPr>
            <w:jc w:val="right"/>
            <w:rPr>
              <w:rFonts w:ascii="Palatino Linotype" w:eastAsia="Palatino Linotype" w:hAnsi="Palatino Linotype" w:cs="Palatino Linotype"/>
              <w:b/>
              <w:bCs/>
            </w:rPr>
          </w:pPr>
          <w:r>
            <w:rPr>
              <w:rFonts w:ascii="Palatino Linotype" w:eastAsia="Palatino Linotype" w:hAnsi="Palatino Linotype" w:cs="Palatino Linotype"/>
              <w:b/>
              <w:bCs/>
            </w:rPr>
            <w:t>Recurso de Revisión:</w:t>
          </w:r>
        </w:p>
      </w:tc>
      <w:tc>
        <w:tcPr>
          <w:tcW w:w="3951" w:type="dxa"/>
        </w:tcPr>
        <w:p w:rsidR="006F3F06" w:rsidRDefault="000E53DF">
          <w:pPr>
            <w:pBdr>
              <w:top w:val="nil"/>
              <w:left w:val="nil"/>
              <w:bottom w:val="nil"/>
              <w:right w:val="nil"/>
              <w:between w:val="nil"/>
            </w:pBdr>
            <w:tabs>
              <w:tab w:val="right" w:pos="8838"/>
            </w:tabs>
            <w:ind w:right="-1285"/>
            <w:rPr>
              <w:rFonts w:ascii="Palatino Linotype" w:eastAsia="Palatino Linotype" w:hAnsi="Palatino Linotype" w:cs="Palatino Linotype"/>
              <w:color w:val="000000"/>
              <w:highlight w:val="green"/>
            </w:rPr>
          </w:pPr>
          <w:r>
            <w:rPr>
              <w:rFonts w:ascii="Palatino Linotype" w:eastAsia="Palatino Linotype" w:hAnsi="Palatino Linotype" w:cs="Palatino Linotype"/>
              <w:color w:val="000000"/>
            </w:rPr>
            <w:t>02878/INFOEM/IP/RR/2026</w:t>
          </w:r>
        </w:p>
      </w:tc>
    </w:tr>
    <w:tr w:rsidR="006F3F06">
      <w:trPr>
        <w:trHeight w:val="242"/>
      </w:trPr>
      <w:tc>
        <w:tcPr>
          <w:tcW w:w="2799" w:type="dxa"/>
        </w:tcPr>
        <w:p w:rsidR="006F3F06" w:rsidRDefault="000E53DF">
          <w:pPr>
            <w:jc w:val="right"/>
            <w:rPr>
              <w:rFonts w:ascii="Palatino Linotype" w:eastAsia="Palatino Linotype" w:hAnsi="Palatino Linotype" w:cs="Palatino Linotype"/>
              <w:b/>
              <w:bCs/>
            </w:rPr>
          </w:pPr>
          <w:r>
            <w:rPr>
              <w:rFonts w:ascii="Palatino Linotype" w:eastAsia="Palatino Linotype" w:hAnsi="Palatino Linotype" w:cs="Palatino Linotype"/>
              <w:b/>
              <w:bCs/>
            </w:rPr>
            <w:t>Recurrente:</w:t>
          </w:r>
        </w:p>
      </w:tc>
      <w:tc>
        <w:tcPr>
          <w:tcW w:w="3951" w:type="dxa"/>
        </w:tcPr>
        <w:p w:rsidR="006F3F06" w:rsidRDefault="006F3F06">
          <w:pPr>
            <w:pBdr>
              <w:top w:val="nil"/>
              <w:left w:val="nil"/>
              <w:bottom w:val="nil"/>
              <w:right w:val="nil"/>
              <w:between w:val="nil"/>
            </w:pBdr>
            <w:tabs>
              <w:tab w:val="right" w:pos="8838"/>
              <w:tab w:val="left" w:pos="521"/>
            </w:tabs>
            <w:rPr>
              <w:rFonts w:ascii="Palatino Linotype" w:eastAsia="Palatino Linotype" w:hAnsi="Palatino Linotype" w:cs="Palatino Linotype"/>
              <w:color w:val="000000"/>
              <w:highlight w:val="green"/>
            </w:rPr>
          </w:pPr>
        </w:p>
      </w:tc>
    </w:tr>
    <w:tr w:rsidR="006F3F06">
      <w:trPr>
        <w:trHeight w:val="342"/>
      </w:trPr>
      <w:tc>
        <w:tcPr>
          <w:tcW w:w="2799" w:type="dxa"/>
        </w:tcPr>
        <w:p w:rsidR="006F3F06" w:rsidRDefault="000E53DF">
          <w:pPr>
            <w:jc w:val="right"/>
            <w:rPr>
              <w:rFonts w:ascii="Palatino Linotype" w:eastAsia="Palatino Linotype" w:hAnsi="Palatino Linotype" w:cs="Palatino Linotype"/>
              <w:b/>
              <w:bCs/>
            </w:rPr>
          </w:pPr>
          <w:r>
            <w:rPr>
              <w:rFonts w:ascii="Palatino Linotype" w:eastAsia="Palatino Linotype" w:hAnsi="Palatino Linotype" w:cs="Palatino Linotype"/>
              <w:b/>
              <w:bCs/>
            </w:rPr>
            <w:t>Sujeto Obligado:</w:t>
          </w:r>
        </w:p>
      </w:tc>
      <w:tc>
        <w:tcPr>
          <w:tcW w:w="3951" w:type="dxa"/>
        </w:tcPr>
        <w:p w:rsidR="006F3F06" w:rsidRDefault="000E53DF">
          <w:pPr>
            <w:rPr>
              <w:rFonts w:ascii="Palatino Linotype" w:eastAsia="Palatino Linotype" w:hAnsi="Palatino Linotype" w:cs="Palatino Linotype"/>
              <w:color w:val="000000"/>
            </w:rPr>
          </w:pPr>
          <w:r>
            <w:rPr>
              <w:rFonts w:ascii="Palatino Linotype" w:eastAsia="Palatino Linotype" w:hAnsi="Palatino Linotype" w:cs="Palatino Linotype"/>
              <w:color w:val="000000"/>
            </w:rPr>
            <w:t>Ayuntamiento de Toluca</w:t>
          </w:r>
        </w:p>
      </w:tc>
    </w:tr>
    <w:tr w:rsidR="006F3F06">
      <w:trPr>
        <w:trHeight w:val="342"/>
      </w:trPr>
      <w:tc>
        <w:tcPr>
          <w:tcW w:w="2799" w:type="dxa"/>
        </w:tcPr>
        <w:p w:rsidR="006F3F06" w:rsidRDefault="000E53DF">
          <w:pPr>
            <w:jc w:val="right"/>
            <w:rPr>
              <w:rFonts w:ascii="Palatino Linotype" w:eastAsia="Palatino Linotype" w:hAnsi="Palatino Linotype" w:cs="Palatino Linotype"/>
              <w:b/>
              <w:bCs/>
            </w:rPr>
          </w:pPr>
          <w:r>
            <w:rPr>
              <w:rFonts w:ascii="Palatino Linotype" w:eastAsia="Palatino Linotype" w:hAnsi="Palatino Linotype" w:cs="Palatino Linotype"/>
              <w:b/>
              <w:bCs/>
            </w:rPr>
            <w:t>Comisionada Ponente:</w:t>
          </w:r>
        </w:p>
      </w:tc>
      <w:tc>
        <w:tcPr>
          <w:tcW w:w="3951" w:type="dxa"/>
        </w:tcPr>
        <w:p w:rsidR="006F3F06" w:rsidRDefault="000E53DF">
          <w:pPr>
            <w:pBdr>
              <w:top w:val="nil"/>
              <w:left w:val="nil"/>
              <w:bottom w:val="nil"/>
              <w:right w:val="nil"/>
              <w:between w:val="nil"/>
            </w:pBdr>
            <w:tabs>
              <w:tab w:val="right" w:pos="8838"/>
            </w:tabs>
            <w:ind w:right="-1285"/>
            <w:rPr>
              <w:rFonts w:ascii="Palatino Linotype" w:eastAsia="Palatino Linotype" w:hAnsi="Palatino Linotype" w:cs="Palatino Linotype"/>
              <w:color w:val="000000"/>
            </w:rPr>
          </w:pPr>
          <w:r>
            <w:rPr>
              <w:rFonts w:ascii="Palatino Linotype" w:eastAsia="Palatino Linotype" w:hAnsi="Palatino Linotype" w:cs="Palatino Linotype"/>
              <w:color w:val="000000"/>
            </w:rPr>
            <w:t>María del Rosario Mejía Ayala</w:t>
          </w:r>
        </w:p>
      </w:tc>
    </w:tr>
  </w:tbl>
  <w:p w:rsidR="006F3F06" w:rsidRDefault="00D42AAE">
    <w:pPr>
      <w:pBdr>
        <w:top w:val="nil"/>
        <w:left w:val="nil"/>
        <w:bottom w:val="nil"/>
        <w:right w:val="nil"/>
        <w:between w:val="nil"/>
      </w:pBdr>
      <w:tabs>
        <w:tab w:val="center" w:pos="4419"/>
        <w:tab w:val="right" w:pos="8838"/>
      </w:tabs>
      <w:rPr>
        <w:color w:val="000000"/>
        <w:sz w:val="16"/>
        <w:szCs w:val="16"/>
      </w:rPr>
    </w:pPr>
    <w:r>
      <w:rPr>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64.7pt;margin-top:-117.2pt;width:609.4pt;height:793.75pt;z-index:-251658752;mso-position-horizontal-relative:margin;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EC4F58"/>
    <w:multiLevelType w:val="multilevel"/>
    <w:tmpl w:val="59F43A86"/>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1" w15:restartNumberingAfterBreak="0">
    <w:nsid w:val="103167AD"/>
    <w:multiLevelType w:val="multilevel"/>
    <w:tmpl w:val="2DDCC3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BAF010D"/>
    <w:multiLevelType w:val="multilevel"/>
    <w:tmpl w:val="092E6F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E4140D1"/>
    <w:multiLevelType w:val="multilevel"/>
    <w:tmpl w:val="A4F84A3A"/>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4" w15:restartNumberingAfterBreak="0">
    <w:nsid w:val="43332CEA"/>
    <w:multiLevelType w:val="multilevel"/>
    <w:tmpl w:val="90569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5685C68"/>
    <w:multiLevelType w:val="multilevel"/>
    <w:tmpl w:val="98CC3BCA"/>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6" w15:restartNumberingAfterBreak="0">
    <w:nsid w:val="459F2BC6"/>
    <w:multiLevelType w:val="multilevel"/>
    <w:tmpl w:val="06B6DF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3005DFF"/>
    <w:multiLevelType w:val="multilevel"/>
    <w:tmpl w:val="9820A2E4"/>
    <w:lvl w:ilvl="0">
      <w:start w:val="1"/>
      <w:numFmt w:val="decimal"/>
      <w:lvlText w:val="%1."/>
      <w:lvlJc w:val="left"/>
      <w:pPr>
        <w:ind w:left="360"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8576FA4"/>
    <w:multiLevelType w:val="multilevel"/>
    <w:tmpl w:val="924C09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982320F"/>
    <w:multiLevelType w:val="multilevel"/>
    <w:tmpl w:val="5A7A71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7"/>
  </w:num>
  <w:num w:numId="3">
    <w:abstractNumId w:val="5"/>
  </w:num>
  <w:num w:numId="4">
    <w:abstractNumId w:val="1"/>
  </w:num>
  <w:num w:numId="5">
    <w:abstractNumId w:val="3"/>
  </w:num>
  <w:num w:numId="6">
    <w:abstractNumId w:val="9"/>
  </w:num>
  <w:num w:numId="7">
    <w:abstractNumId w:val="8"/>
  </w:num>
  <w:num w:numId="8">
    <w:abstractNumId w:val="4"/>
  </w:num>
  <w:num w:numId="9">
    <w:abstractNumId w:val="0"/>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F06"/>
    <w:rsid w:val="000E53DF"/>
    <w:rsid w:val="006F3F06"/>
    <w:rsid w:val="00857009"/>
    <w:rsid w:val="00A372D2"/>
    <w:rsid w:val="00A52499"/>
    <w:rsid w:val="00CA33A7"/>
    <w:rsid w:val="00D42AAE"/>
    <w:rsid w:val="00DF5FB8"/>
    <w:rsid w:val="00FD4E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68BB11C0-326A-4920-9CA4-3DC38B61C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color w:val="2F5496"/>
      <w:sz w:val="32"/>
      <w:szCs w:val="32"/>
    </w:rPr>
  </w:style>
  <w:style w:type="paragraph" w:styleId="Ttulo2">
    <w:name w:val="heading 2"/>
    <w:basedOn w:val="Normal"/>
    <w:next w:val="Normal"/>
    <w:pPr>
      <w:keepNext/>
      <w:keepLines/>
      <w:spacing w:before="40"/>
      <w:outlineLvl w:val="1"/>
    </w:pPr>
    <w:rPr>
      <w:color w:val="2F5496"/>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paragraph" w:styleId="Piedepgina">
    <w:name w:val="footer"/>
    <w:basedOn w:val="Normal"/>
    <w:link w:val="PiedepginaCar"/>
    <w:uiPriority w:val="99"/>
    <w:unhideWhenUsed/>
    <w:rsid w:val="00CA33A7"/>
    <w:pPr>
      <w:tabs>
        <w:tab w:val="center" w:pos="4419"/>
        <w:tab w:val="right" w:pos="8838"/>
      </w:tabs>
    </w:pPr>
  </w:style>
  <w:style w:type="character" w:customStyle="1" w:styleId="PiedepginaCar">
    <w:name w:val="Pie de página Car"/>
    <w:basedOn w:val="Fuentedeprrafopredeter"/>
    <w:link w:val="Piedepgina"/>
    <w:uiPriority w:val="99"/>
    <w:rsid w:val="00CA33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y+/5aDjUBfZgPjIjJbWpg1NaOA==">CgMxLjAyCGguZ2pkZ3hzMgloLjFmb2I5dGUyCWguM3pueXNoNzIJaC4yZXQ5MnAwMgloLjF0M2g1c2YyCWguMnM4ZXlvMTIOaC5pd3h1amxxb2NjZWEyCGgubG54Yno5OAByITFlakJWN0xZeEpOT1dwMnBqd0xHUlN6R0RmZTAtOVViNA==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21</Pages>
  <Words>5217</Words>
  <Characters>28696</Characters>
  <Application>Microsoft Office Word</Application>
  <DocSecurity>0</DocSecurity>
  <Lines>239</Lines>
  <Paragraphs>67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33846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INFOEM574</dc:creator>
  <cp:lastModifiedBy>Cuenta Microsoft</cp:lastModifiedBy>
  <cp:revision>6</cp:revision>
  <cp:lastPrinted>2026-06-29T15:57:00Z</cp:lastPrinted>
  <dcterms:created xsi:type="dcterms:W3CDTF">2026-06-24T19:35:00Z</dcterms:created>
  <dcterms:modified xsi:type="dcterms:W3CDTF">2026-06-30T17:42:00Z</dcterms:modified>
</cp:coreProperties>
</file>