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4CEF" w:rsidRDefault="00A2005B">
      <w:pPr>
        <w:tabs>
          <w:tab w:val="left" w:pos="3465"/>
        </w:tabs>
        <w:spacing w:before="240" w:after="360" w:line="360" w:lineRule="auto"/>
        <w:ind w:right="-1274"/>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t xml:space="preserve">Resolución del Pleno del Instituto de Transparencia, Acceso a la Información Pública y Protección de Datos Personales del Estado de México y Municipios, con domicilio en Metepec, Estado de México; de fecha </w:t>
      </w:r>
      <w:r>
        <w:rPr>
          <w:rFonts w:ascii="Palatino Linotype" w:eastAsia="Palatino Linotype" w:hAnsi="Palatino Linotype" w:cs="Palatino Linotype"/>
          <w:b/>
          <w:bCs/>
          <w:color w:val="000000"/>
        </w:rPr>
        <w:t>tres (03) de junio de dos mil veintiséis.</w:t>
      </w:r>
    </w:p>
    <w:p w:rsidR="00654CEF" w:rsidRDefault="00A2005B">
      <w:pPr>
        <w:tabs>
          <w:tab w:val="left" w:pos="3465"/>
        </w:tabs>
        <w:spacing w:before="240" w:after="360" w:line="360" w:lineRule="auto"/>
        <w:ind w:right="-1274"/>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VISTO</w:t>
      </w:r>
      <w:r>
        <w:rPr>
          <w:rFonts w:ascii="Palatino Linotype" w:eastAsia="Palatino Linotype" w:hAnsi="Palatino Linotype" w:cs="Palatino Linotype"/>
          <w:color w:val="000000"/>
        </w:rPr>
        <w:t xml:space="preserve"> el expediente electrónico formado con motivo del recurso de revisión </w:t>
      </w:r>
      <w:r>
        <w:rPr>
          <w:rFonts w:ascii="Palatino Linotype" w:eastAsia="Palatino Linotype" w:hAnsi="Palatino Linotype" w:cs="Palatino Linotype"/>
          <w:b/>
          <w:bCs/>
        </w:rPr>
        <w:t>00207/SECTI/IP/2026</w:t>
      </w:r>
      <w:r>
        <w:rPr>
          <w:rFonts w:ascii="Palatino Linotype" w:eastAsia="Palatino Linotype" w:hAnsi="Palatino Linotype" w:cs="Palatino Linotype"/>
          <w:color w:val="000000"/>
        </w:rPr>
        <w:t xml:space="preserve">, interpuesto por </w:t>
      </w:r>
      <w:r w:rsidR="006951F1">
        <w:rPr>
          <w:rFonts w:ascii="Palatino Linotype" w:eastAsia="Palatino Linotype" w:hAnsi="Palatino Linotype" w:cs="Palatino Linotype"/>
          <w:b/>
          <w:bCs/>
        </w:rPr>
        <w:t>XXXX</w:t>
      </w:r>
      <w:r>
        <w:rPr>
          <w:rFonts w:ascii="Palatino Linotype" w:eastAsia="Palatino Linotype" w:hAnsi="Palatino Linotype" w:cs="Palatino Linotype"/>
          <w:b/>
          <w:bCs/>
        </w:rPr>
        <w:t xml:space="preserve">, </w:t>
      </w:r>
      <w:r>
        <w:rPr>
          <w:rFonts w:ascii="Palatino Linotype" w:eastAsia="Palatino Linotype" w:hAnsi="Palatino Linotype" w:cs="Palatino Linotype"/>
          <w:color w:val="000000"/>
        </w:rPr>
        <w:t xml:space="preserve">en lo sucesivo </w:t>
      </w:r>
      <w:r>
        <w:rPr>
          <w:rFonts w:ascii="Palatino Linotype" w:eastAsia="Palatino Linotype" w:hAnsi="Palatino Linotype" w:cs="Palatino Linotype"/>
          <w:b/>
          <w:bCs/>
          <w:color w:val="000000"/>
        </w:rPr>
        <w:t>EL RECURRENTE</w:t>
      </w:r>
      <w:r>
        <w:rPr>
          <w:rFonts w:ascii="Palatino Linotype" w:eastAsia="Palatino Linotype" w:hAnsi="Palatino Linotype" w:cs="Palatino Linotype"/>
        </w:rPr>
        <w:t>,</w:t>
      </w:r>
      <w:r>
        <w:rPr>
          <w:rFonts w:ascii="Palatino Linotype" w:eastAsia="Palatino Linotype" w:hAnsi="Palatino Linotype" w:cs="Palatino Linotype"/>
          <w:color w:val="000000"/>
        </w:rPr>
        <w:t xml:space="preserve"> en contra del incumplimiento al recurso de revisión </w:t>
      </w:r>
      <w:r>
        <w:rPr>
          <w:rFonts w:ascii="Palatino Linotype" w:eastAsia="Palatino Linotype" w:hAnsi="Palatino Linotype" w:cs="Palatino Linotype"/>
          <w:b/>
          <w:bCs/>
          <w:color w:val="000000"/>
        </w:rPr>
        <w:t> </w:t>
      </w:r>
      <w:r>
        <w:rPr>
          <w:rFonts w:ascii="Palatino Linotype" w:eastAsia="Palatino Linotype" w:hAnsi="Palatino Linotype" w:cs="Palatino Linotype"/>
          <w:b/>
          <w:bCs/>
        </w:rPr>
        <w:t xml:space="preserve">03193/INFOEM/IP/RR/2026 </w:t>
      </w:r>
      <w:r>
        <w:rPr>
          <w:rFonts w:ascii="Palatino Linotype" w:eastAsia="Palatino Linotype" w:hAnsi="Palatino Linotype" w:cs="Palatino Linotype"/>
          <w:color w:val="000000"/>
        </w:rPr>
        <w:t>de la S</w:t>
      </w:r>
      <w:r>
        <w:rPr>
          <w:rFonts w:ascii="Palatino Linotype" w:eastAsia="Palatino Linotype" w:hAnsi="Palatino Linotype" w:cs="Palatino Linotype"/>
          <w:b/>
          <w:bCs/>
          <w:color w:val="000000"/>
        </w:rPr>
        <w:t>ecretaría de Educación, Ciencia, Tecnología e Innovación</w:t>
      </w:r>
      <w:r>
        <w:rPr>
          <w:rFonts w:ascii="Palatino Linotype" w:eastAsia="Palatino Linotype" w:hAnsi="Palatino Linotype" w:cs="Palatino Linotype"/>
          <w:color w:val="000000"/>
        </w:rPr>
        <w:t>, en adelante el</w:t>
      </w:r>
      <w:r>
        <w:rPr>
          <w:rFonts w:ascii="Palatino Linotype" w:eastAsia="Palatino Linotype" w:hAnsi="Palatino Linotype" w:cs="Palatino Linotype"/>
          <w:b/>
          <w:bCs/>
          <w:color w:val="000000"/>
        </w:rPr>
        <w:t xml:space="preserve"> SUJETO OBLIGADO</w:t>
      </w:r>
      <w:r>
        <w:rPr>
          <w:rFonts w:ascii="Palatino Linotype" w:eastAsia="Palatino Linotype" w:hAnsi="Palatino Linotype" w:cs="Palatino Linotype"/>
          <w:color w:val="000000"/>
        </w:rPr>
        <w:t>,</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se procede a dictar la presente resolución, con base en los siguientes:</w:t>
      </w:r>
    </w:p>
    <w:p w:rsidR="00654CEF" w:rsidRDefault="00654CEF">
      <w:pPr>
        <w:spacing w:line="360" w:lineRule="auto"/>
        <w:ind w:right="-1274"/>
        <w:jc w:val="both"/>
        <w:rPr>
          <w:rFonts w:ascii="Palatino Linotype" w:eastAsia="Palatino Linotype" w:hAnsi="Palatino Linotype" w:cs="Palatino Linotype"/>
          <w:b/>
          <w:bCs/>
          <w:color w:val="000000"/>
        </w:rPr>
      </w:pPr>
    </w:p>
    <w:p w:rsidR="00654CEF" w:rsidRDefault="00A2005B">
      <w:pPr>
        <w:keepNext/>
        <w:keepLines/>
        <w:spacing w:line="360" w:lineRule="auto"/>
        <w:ind w:right="-1274"/>
        <w:jc w:val="center"/>
        <w:rPr>
          <w:rFonts w:ascii="Palatino Linotype" w:eastAsia="Palatino Linotype" w:hAnsi="Palatino Linotype" w:cs="Palatino Linotype"/>
          <w:b/>
          <w:bCs/>
          <w:color w:val="000000"/>
        </w:rPr>
      </w:pPr>
      <w:bookmarkStart w:id="0" w:name="_heading=h.7wnrh47wn5eh" w:colFirst="0" w:colLast="0"/>
      <w:bookmarkEnd w:id="0"/>
      <w:r>
        <w:rPr>
          <w:rFonts w:ascii="Palatino Linotype" w:eastAsia="Palatino Linotype" w:hAnsi="Palatino Linotype" w:cs="Palatino Linotype"/>
          <w:b/>
          <w:bCs/>
          <w:color w:val="000000"/>
        </w:rPr>
        <w:t>A N T E C E D E N T E S</w:t>
      </w:r>
    </w:p>
    <w:p w:rsidR="00654CEF" w:rsidRDefault="00654CEF">
      <w:pPr>
        <w:tabs>
          <w:tab w:val="left" w:pos="426"/>
        </w:tabs>
        <w:spacing w:line="360" w:lineRule="auto"/>
        <w:ind w:right="-1274"/>
        <w:jc w:val="both"/>
        <w:rPr>
          <w:rFonts w:ascii="Palatino Linotype" w:eastAsia="Palatino Linotype" w:hAnsi="Palatino Linotype" w:cs="Palatino Linotype"/>
          <w:color w:val="000000"/>
        </w:rPr>
      </w:pPr>
      <w:bookmarkStart w:id="1" w:name="_GoBack"/>
      <w:bookmarkEnd w:id="1"/>
    </w:p>
    <w:p w:rsidR="00654CEF" w:rsidRDefault="00A2005B">
      <w:pPr>
        <w:numPr>
          <w:ilvl w:val="0"/>
          <w:numId w:val="2"/>
        </w:numPr>
        <w:tabs>
          <w:tab w:val="left" w:pos="426"/>
        </w:tabs>
        <w:spacing w:line="360" w:lineRule="auto"/>
        <w:ind w:left="0" w:right="-1274" w:firstLine="0"/>
        <w:jc w:val="both"/>
        <w:rPr>
          <w:color w:val="000000"/>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diez de marzo de dos mil veintiséis</w:t>
      </w:r>
      <w:r>
        <w:rPr>
          <w:rFonts w:ascii="Palatino Linotype" w:eastAsia="Palatino Linotype" w:hAnsi="Palatino Linotype" w:cs="Palatino Linotype"/>
          <w:color w:val="000000"/>
        </w:rPr>
        <w:t>, el particular presentó</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 xml:space="preserve">a través del Sistema de Acceso a la Información Mexiquense (SAIMEX), la solicitud de información pública registrada con el número </w:t>
      </w:r>
      <w:r w:rsidR="00D22F16">
        <w:rPr>
          <w:rFonts w:ascii="Palatino Linotype" w:eastAsia="Palatino Linotype" w:hAnsi="Palatino Linotype" w:cs="Palatino Linotype"/>
          <w:b/>
          <w:bCs/>
        </w:rPr>
        <w:t>00207/SECTI/IP/2026</w:t>
      </w:r>
      <w:r>
        <w:rPr>
          <w:rFonts w:ascii="Palatino Linotype" w:eastAsia="Palatino Linotype" w:hAnsi="Palatino Linotype" w:cs="Palatino Linotype"/>
          <w:b/>
          <w:bCs/>
          <w:color w:val="000000"/>
        </w:rPr>
        <w:t>,</w:t>
      </w:r>
      <w:r>
        <w:rPr>
          <w:rFonts w:ascii="Palatino Linotype" w:eastAsia="Palatino Linotype" w:hAnsi="Palatino Linotype" w:cs="Palatino Linotype"/>
          <w:color w:val="000000"/>
        </w:rPr>
        <w:t xml:space="preserve"> mediante la que requirió lo siguiente:</w:t>
      </w:r>
    </w:p>
    <w:p w:rsidR="00654CEF" w:rsidRDefault="00654CEF">
      <w:pPr>
        <w:spacing w:line="276" w:lineRule="auto"/>
        <w:ind w:left="567" w:right="-1274"/>
        <w:jc w:val="both"/>
        <w:rPr>
          <w:rFonts w:ascii="Palatino Linotype" w:eastAsia="Palatino Linotype" w:hAnsi="Palatino Linotype" w:cs="Palatino Linotype"/>
          <w:i/>
          <w:iCs/>
          <w:color w:val="000000"/>
        </w:rPr>
      </w:pPr>
    </w:p>
    <w:p w:rsidR="00654CEF" w:rsidRDefault="00A2005B">
      <w:pPr>
        <w:spacing w:line="276" w:lineRule="auto"/>
        <w:ind w:left="1134" w:right="-1274"/>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 “Solicito copia del oficio enviado del Jardín de Niños Rosa Agazzi CCT 15EJN0661P al Ayuntamiento de Tepotzotlán para el retiro del ambulantaje que existe en su acceso al plantel escolar” (Sic).</w:t>
      </w:r>
    </w:p>
    <w:p w:rsidR="00654CEF" w:rsidRDefault="00654CEF">
      <w:pPr>
        <w:spacing w:line="360" w:lineRule="auto"/>
        <w:ind w:right="-1274"/>
        <w:jc w:val="both"/>
        <w:rPr>
          <w:rFonts w:ascii="Palatino Linotype" w:eastAsia="Palatino Linotype" w:hAnsi="Palatino Linotype" w:cs="Palatino Linotype"/>
        </w:rPr>
      </w:pPr>
    </w:p>
    <w:p w:rsidR="00654CEF" w:rsidRDefault="00654CEF">
      <w:pPr>
        <w:spacing w:line="360" w:lineRule="auto"/>
        <w:ind w:right="-1274"/>
        <w:jc w:val="both"/>
        <w:rPr>
          <w:rFonts w:ascii="Palatino Linotype" w:eastAsia="Palatino Linotype" w:hAnsi="Palatino Linotype" w:cs="Palatino Linotype"/>
        </w:rPr>
      </w:pPr>
    </w:p>
    <w:p w:rsidR="00654CEF" w:rsidRDefault="00A2005B">
      <w:pPr>
        <w:numPr>
          <w:ilvl w:val="0"/>
          <w:numId w:val="3"/>
        </w:numPr>
        <w:pBdr>
          <w:top w:val="nil"/>
          <w:left w:val="nil"/>
          <w:bottom w:val="nil"/>
          <w:right w:val="nil"/>
          <w:between w:val="nil"/>
        </w:pBdr>
        <w:tabs>
          <w:tab w:val="left" w:pos="426"/>
        </w:tabs>
        <w:spacing w:line="360" w:lineRule="auto"/>
        <w:ind w:right="-1274"/>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Modalidad de entrega de la información</w:t>
      </w:r>
      <w:r>
        <w:rPr>
          <w:rFonts w:ascii="Palatino Linotype" w:eastAsia="Palatino Linotype" w:hAnsi="Palatino Linotype" w:cs="Palatino Linotype"/>
          <w:color w:val="000000"/>
        </w:rPr>
        <w:t xml:space="preserve">: A través del </w:t>
      </w:r>
      <w:r>
        <w:rPr>
          <w:rFonts w:ascii="Palatino Linotype" w:eastAsia="Palatino Linotype" w:hAnsi="Palatino Linotype" w:cs="Palatino Linotype"/>
          <w:b/>
          <w:bCs/>
          <w:color w:val="000000"/>
        </w:rPr>
        <w:t>SAIME</w:t>
      </w:r>
      <w:r>
        <w:rPr>
          <w:rFonts w:ascii="Palatino Linotype" w:eastAsia="Palatino Linotype" w:hAnsi="Palatino Linotype" w:cs="Palatino Linotype"/>
          <w:color w:val="000000"/>
        </w:rPr>
        <w:t>X.</w:t>
      </w:r>
    </w:p>
    <w:p w:rsidR="00654CEF" w:rsidRDefault="00A2005B">
      <w:pPr>
        <w:numPr>
          <w:ilvl w:val="0"/>
          <w:numId w:val="2"/>
        </w:numPr>
        <w:tabs>
          <w:tab w:val="left" w:pos="426"/>
        </w:tabs>
        <w:spacing w:line="360" w:lineRule="auto"/>
        <w:ind w:left="0" w:right="-1274" w:firstLine="0"/>
        <w:jc w:val="both"/>
        <w:rPr>
          <w:color w:val="000000"/>
        </w:rPr>
      </w:pPr>
      <w:r>
        <w:rPr>
          <w:rFonts w:ascii="Palatino Linotype" w:eastAsia="Palatino Linotype" w:hAnsi="Palatino Linotype" w:cs="Palatino Linotype"/>
          <w:color w:val="000000"/>
        </w:rPr>
        <w:lastRenderedPageBreak/>
        <w:t xml:space="preserve">De las constancias que integran el expediente electrónico se observa que en fecha </w:t>
      </w:r>
      <w:r>
        <w:rPr>
          <w:rFonts w:ascii="Palatino Linotype" w:eastAsia="Palatino Linotype" w:hAnsi="Palatino Linotype" w:cs="Palatino Linotype"/>
          <w:b/>
          <w:bCs/>
          <w:color w:val="000000"/>
        </w:rPr>
        <w:t>doce de marzo de dos mil veintiséis</w:t>
      </w:r>
      <w:r>
        <w:rPr>
          <w:rFonts w:ascii="Palatino Linotype" w:eastAsia="Palatino Linotype" w:hAnsi="Palatino Linotype" w:cs="Palatino Linotype"/>
          <w:color w:val="000000"/>
        </w:rPr>
        <w:t xml:space="preserve"> 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color w:val="000000"/>
        </w:rPr>
        <w:t xml:space="preserve"> señaló incompetencia  a la solicitud de información </w:t>
      </w:r>
      <w:r>
        <w:rPr>
          <w:rFonts w:ascii="Palatino Linotype" w:eastAsia="Palatino Linotype" w:hAnsi="Palatino Linotype" w:cs="Palatino Linotype"/>
          <w:b/>
          <w:bCs/>
          <w:color w:val="000000"/>
        </w:rPr>
        <w:t xml:space="preserve">00207/SECTI/IP/2026 </w:t>
      </w:r>
      <w:r>
        <w:rPr>
          <w:rFonts w:ascii="Palatino Linotype" w:eastAsia="Palatino Linotype" w:hAnsi="Palatino Linotype" w:cs="Palatino Linotype"/>
          <w:color w:val="000000"/>
        </w:rPr>
        <w:t>mediante archivo electrónico en que a</w:t>
      </w:r>
      <w:r>
        <w:rPr>
          <w:rFonts w:ascii="Palatino Linotype" w:eastAsia="Palatino Linotype" w:hAnsi="Palatino Linotype" w:cs="Palatino Linotype"/>
          <w:i/>
          <w:iCs/>
          <w:color w:val="000000"/>
        </w:rPr>
        <w:t xml:space="preserve"> grosso modo </w:t>
      </w:r>
      <w:r>
        <w:rPr>
          <w:rFonts w:ascii="Palatino Linotype" w:eastAsia="Palatino Linotype" w:hAnsi="Palatino Linotype" w:cs="Palatino Linotype"/>
          <w:color w:val="000000"/>
        </w:rPr>
        <w:t>se manifiesta lo siguiente:</w:t>
      </w:r>
    </w:p>
    <w:p w:rsidR="00654CEF" w:rsidRDefault="00654CEF">
      <w:pPr>
        <w:pBdr>
          <w:top w:val="nil"/>
          <w:left w:val="nil"/>
          <w:bottom w:val="nil"/>
          <w:right w:val="nil"/>
          <w:between w:val="nil"/>
        </w:pBdr>
        <w:ind w:left="720" w:right="-1274"/>
        <w:rPr>
          <w:rFonts w:ascii="Palatino Linotype" w:eastAsia="Palatino Linotype" w:hAnsi="Palatino Linotype" w:cs="Palatino Linotype"/>
          <w:color w:val="000000"/>
        </w:rPr>
      </w:pPr>
    </w:p>
    <w:p w:rsidR="00654CEF" w:rsidRDefault="00A2005B">
      <w:pPr>
        <w:tabs>
          <w:tab w:val="left" w:pos="426"/>
        </w:tabs>
        <w:spacing w:line="360" w:lineRule="auto"/>
        <w:ind w:left="708" w:right="-1274"/>
        <w:jc w:val="both"/>
        <w:rPr>
          <w:rFonts w:ascii="Palatino Linotype" w:eastAsia="Palatino Linotype" w:hAnsi="Palatino Linotype" w:cs="Palatino Linotype"/>
        </w:rPr>
      </w:pPr>
      <w:r>
        <w:rPr>
          <w:rFonts w:ascii="Palatino Linotype" w:eastAsia="Palatino Linotype" w:hAnsi="Palatino Linotype" w:cs="Palatino Linotype"/>
          <w:b/>
          <w:bCs/>
          <w:color w:val="000000"/>
        </w:rPr>
        <w:t>INCOMPETENCIA TOTAL_UT_207.pdf</w:t>
      </w:r>
      <w:r>
        <w:rPr>
          <w:rFonts w:ascii="Palatino Linotype" w:eastAsia="Palatino Linotype" w:hAnsi="Palatino Linotype" w:cs="Palatino Linotype"/>
        </w:rPr>
        <w:t xml:space="preserve"> </w:t>
      </w:r>
    </w:p>
    <w:p w:rsidR="00654CEF" w:rsidRDefault="00A2005B">
      <w:pPr>
        <w:tabs>
          <w:tab w:val="left" w:pos="426"/>
        </w:tabs>
        <w:spacing w:line="276" w:lineRule="auto"/>
        <w:ind w:left="708" w:right="-1274"/>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Donde el Titular de la Unidad de Transparencia aclara que el Sujeto Obligado no es competente para proporcionar la información solicitada toda vez que el comercio ambulante recae en la autoridad del Ayuntamiento de Tepotzotlán; presenta la respuesta del servidor público habilitado de la supervisión escolar J167 quien menciona que no se ha realizado ninguna gestión en torno al comercio ambulante desde años anteriores y a la fecha de la solicitud, así mismo entrega liga para que en caso de que sea la pretensión del solicitante denunciar la actuación de servidores públicos. </w:t>
      </w:r>
    </w:p>
    <w:p w:rsidR="00654CEF" w:rsidRDefault="00A2005B">
      <w:pPr>
        <w:tabs>
          <w:tab w:val="left" w:pos="426"/>
        </w:tabs>
        <w:spacing w:line="360" w:lineRule="auto"/>
        <w:ind w:right="-1274"/>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ab/>
      </w:r>
    </w:p>
    <w:p w:rsidR="00654CEF" w:rsidRDefault="00A2005B">
      <w:pPr>
        <w:numPr>
          <w:ilvl w:val="0"/>
          <w:numId w:val="2"/>
        </w:numPr>
        <w:tabs>
          <w:tab w:val="left" w:pos="142"/>
        </w:tabs>
        <w:spacing w:line="360" w:lineRule="auto"/>
        <w:ind w:left="0" w:right="-1274" w:firstLine="0"/>
        <w:jc w:val="both"/>
        <w:rPr>
          <w:color w:val="000000"/>
        </w:rPr>
      </w:pPr>
      <w:r>
        <w:rPr>
          <w:rFonts w:ascii="Palatino Linotype" w:eastAsia="Palatino Linotype" w:hAnsi="Palatino Linotype" w:cs="Palatino Linotype"/>
          <w:color w:val="000000"/>
        </w:rPr>
        <w:t xml:space="preserve">Derivado de la respuesta, el </w:t>
      </w:r>
      <w:r>
        <w:rPr>
          <w:rFonts w:ascii="Palatino Linotype" w:eastAsia="Palatino Linotype" w:hAnsi="Palatino Linotype" w:cs="Palatino Linotype"/>
          <w:b/>
          <w:bCs/>
          <w:color w:val="000000"/>
        </w:rPr>
        <w:t>doce de marzo de dos mil veintiséis,</w:t>
      </w:r>
      <w:r>
        <w:rPr>
          <w:rFonts w:ascii="Palatino Linotype" w:eastAsia="Palatino Linotype" w:hAnsi="Palatino Linotype" w:cs="Palatino Linotype"/>
          <w:color w:val="000000"/>
        </w:rPr>
        <w:t xml:space="preserve"> el particular interpuso el recurso de revisión bajo el número de expediente </w:t>
      </w:r>
      <w:r>
        <w:rPr>
          <w:rFonts w:ascii="Palatino Linotype" w:eastAsia="Palatino Linotype" w:hAnsi="Palatino Linotype" w:cs="Palatino Linotype"/>
          <w:b/>
          <w:bCs/>
          <w:color w:val="000000"/>
        </w:rPr>
        <w:t>03193/INFOEM/IP/RR/2026</w:t>
      </w:r>
      <w:r>
        <w:rPr>
          <w:rFonts w:ascii="Palatino Linotype" w:eastAsia="Palatino Linotype" w:hAnsi="Palatino Linotype" w:cs="Palatino Linotype"/>
          <w:color w:val="000000"/>
        </w:rPr>
        <w:t>; impugnación en la que refirió lo siguiente:</w:t>
      </w:r>
    </w:p>
    <w:p w:rsidR="00654CEF" w:rsidRDefault="00654CEF">
      <w:pPr>
        <w:tabs>
          <w:tab w:val="left" w:pos="426"/>
        </w:tabs>
        <w:ind w:right="-1274"/>
        <w:jc w:val="both"/>
        <w:rPr>
          <w:rFonts w:ascii="Palatino Linotype" w:eastAsia="Palatino Linotype" w:hAnsi="Palatino Linotype" w:cs="Palatino Linotype"/>
          <w:color w:val="000000"/>
        </w:rPr>
      </w:pPr>
    </w:p>
    <w:p w:rsidR="00654CEF" w:rsidRDefault="00A2005B">
      <w:pPr>
        <w:numPr>
          <w:ilvl w:val="0"/>
          <w:numId w:val="1"/>
        </w:numPr>
        <w:tabs>
          <w:tab w:val="left" w:pos="851"/>
        </w:tabs>
        <w:spacing w:line="276" w:lineRule="auto"/>
        <w:ind w:right="-1274"/>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ACTO IMPUGNADO:</w:t>
      </w:r>
      <w:r>
        <w:rPr>
          <w:rFonts w:ascii="Palatino Linotype" w:eastAsia="Palatino Linotype" w:hAnsi="Palatino Linotype" w:cs="Palatino Linotype"/>
          <w:color w:val="000000"/>
        </w:rPr>
        <w:t xml:space="preserve"> </w:t>
      </w:r>
    </w:p>
    <w:p w:rsidR="00654CEF" w:rsidRDefault="00A2005B">
      <w:pPr>
        <w:tabs>
          <w:tab w:val="left" w:pos="851"/>
        </w:tabs>
        <w:spacing w:line="276" w:lineRule="auto"/>
        <w:ind w:left="1134" w:right="-1274"/>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w:t>
      </w:r>
      <w:r>
        <w:rPr>
          <w:rFonts w:ascii="Palatino Linotype" w:eastAsia="Palatino Linotype" w:hAnsi="Palatino Linotype" w:cs="Palatino Linotype"/>
          <w:i/>
          <w:iCs/>
          <w:color w:val="000000"/>
        </w:rPr>
        <w:t>Solicito copia del oficio enviado del Jardín de Niños Rosa Agazzi CCT 15EJN0661P al Ayuntamiento de Tepotzotlán para el retiro del ambulantaje que existe en su acceso al plantel escolar La respuesta emitida por el sujeto obligado mediante la cual declara incompetencia para atender la solicitud de información.”</w:t>
      </w:r>
      <w:r>
        <w:rPr>
          <w:rFonts w:ascii="Palatino Linotype" w:eastAsia="Palatino Linotype" w:hAnsi="Palatino Linotype" w:cs="Palatino Linotype"/>
          <w:color w:val="000000"/>
        </w:rPr>
        <w:t xml:space="preserve"> (Sic).</w:t>
      </w:r>
    </w:p>
    <w:p w:rsidR="00654CEF" w:rsidRDefault="00654CEF">
      <w:pPr>
        <w:tabs>
          <w:tab w:val="left" w:pos="851"/>
        </w:tabs>
        <w:spacing w:line="276" w:lineRule="auto"/>
        <w:ind w:left="1134" w:right="-1274"/>
        <w:jc w:val="both"/>
        <w:rPr>
          <w:rFonts w:ascii="Palatino Linotype" w:eastAsia="Palatino Linotype" w:hAnsi="Palatino Linotype" w:cs="Palatino Linotype"/>
          <w:color w:val="000000"/>
        </w:rPr>
      </w:pPr>
    </w:p>
    <w:p w:rsidR="00654CEF" w:rsidRDefault="00A2005B">
      <w:pPr>
        <w:numPr>
          <w:ilvl w:val="0"/>
          <w:numId w:val="5"/>
        </w:numPr>
        <w:ind w:right="-1274"/>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RAZONES O MOTIVOS DE INCONFORMIDAD:</w:t>
      </w:r>
      <w:r>
        <w:rPr>
          <w:rFonts w:ascii="Palatino Linotype" w:eastAsia="Palatino Linotype" w:hAnsi="Palatino Linotype" w:cs="Palatino Linotype"/>
          <w:color w:val="000000"/>
        </w:rPr>
        <w:t xml:space="preserve"> </w:t>
      </w:r>
    </w:p>
    <w:p w:rsidR="00654CEF" w:rsidRDefault="00A2005B">
      <w:pPr>
        <w:ind w:left="1134" w:right="-1274"/>
        <w:jc w:val="both"/>
        <w:rPr>
          <w:rFonts w:ascii="Palatino Linotype" w:eastAsia="Palatino Linotype" w:hAnsi="Palatino Linotype" w:cs="Palatino Linotype"/>
          <w:color w:val="000000"/>
        </w:rPr>
      </w:pPr>
      <w:r>
        <w:rPr>
          <w:rFonts w:ascii="Palatino Linotype" w:eastAsia="Palatino Linotype" w:hAnsi="Palatino Linotype" w:cs="Palatino Linotype"/>
          <w:i/>
          <w:iCs/>
          <w:color w:val="000000"/>
        </w:rPr>
        <w:t xml:space="preserve">“La respuesta emitida por el sujeto obligado resulta improcedente, infundada y contraria a los principios de legalidad, máxima publicidad y exhaustividad en la búsqueda de la información, al declarar incompetencia respecto de información que claramente se encuentra relacionada con documentación generada por el propio sistema educativo. En la solicitud presentada se requirió copia del oficio enviado por el Jardín de Niños Rosa Agazzi </w:t>
      </w:r>
      <w:r>
        <w:rPr>
          <w:rFonts w:ascii="Palatino Linotype" w:eastAsia="Palatino Linotype" w:hAnsi="Palatino Linotype" w:cs="Palatino Linotype"/>
          <w:i/>
          <w:iCs/>
          <w:color w:val="000000"/>
        </w:rPr>
        <w:lastRenderedPageBreak/>
        <w:t xml:space="preserve">CCT 15EJN0661P al Ayuntamiento de Tepotzotlán para solicitar el retiro del ambulantaje ubicado en el acceso al plantel escolar. No obstante, el sujeto obligado respondió declarando incompetencia, lo cual resulta incorrecto, ya que la información solicitada no corresponde a documentación generada por el Ayuntamiento, sino a un oficio presuntamente elaborado y emitido por la directora del propio plantel educativo, es decir, un documento generado por personal adscrito a la Secretaría de Educación del Estado de México en ejercicio de sus funciones. En consecuencia, dicho documento constituye documentación oficial generada por un plantel educativo perteneciente al sistema educativo estatal, por lo que debe formar parte de los archivos administrativos del propio plantel, de la supervisión escolar correspondiente, así como de las áreas administrativas o regionales que reciben, registran o concentran la correspondencia oficial emitida por los centros educativos. Por lo anterior, resulta evidente que sí existe competencia del sujeto obligado para conocer, buscar y proporcionar la información solicitada, ya que se trata de documentación generada en el ejercicio de sus funciones. La declaración de incompetencia emitida por el sujeto obligado denota una indebida aplicación de dicha figura jurídica y la probable omisión de realizar una búsqueda exhaustiva en todas las unidades administrativas que pudieran contar con la información, lo cual contraviene las obligaciones establecidas en la legislación en materia de transparencia, que obligan a los sujetos obligados a realizar búsquedas razonables, amplias y exhaustivas en todas las áreas competentes antes de emitir una respuesta. Además, considerando la estructura administrativa del sistema educativo estatal, es razonable suponer que la información solicitada puede obrar no solo en los archivos del plantel educativo, sino también en la supervisión escolar correspondiente, la subdirección regional o las áreas administrativas de la Secretaría de Educación que concentran o registran la correspondencia oficial emitida por los planteles. Por lo anterior, la respuesta de incompetencia resulta improcedente y vulnera el derecho de acceso a la información pública. Petición: Por lo anteriormente expuesto, solicito respetuosamente al órgano garante que: Se revoque la respuesta emitida por el sujeto obligado, mediante la cual declaró incompetencia. Se ordene al sujeto obligado realizar una búsqueda exhaustiva, amplia y razonable en todas las unidades administrativas que pudieran contar con la información solicitada, incluyendo: el Jardín de Niños Rosa Agazzi CCT 15EJN0661P, la supervisión escolar correspondiente, la subdirección o estructura regional administrativa, y cualquier área administrativa de la Secretaría de Educación que resguarde correspondencia oficial emitida por los planteles educativos. En caso de localizarse el documento solicitado, se proporcione copia del oficio enviado al Ayuntamiento de Tepotzotlán solicitando el retiro del ambulantaje ubicado en el acceso del plantel escolar. Se aperciba al sujeto obligado para que dé cumplimiento a la resolución que emita ese órgano garante, y en caso de </w:t>
      </w:r>
      <w:r>
        <w:rPr>
          <w:rFonts w:ascii="Palatino Linotype" w:eastAsia="Palatino Linotype" w:hAnsi="Palatino Linotype" w:cs="Palatino Linotype"/>
          <w:i/>
          <w:iCs/>
          <w:color w:val="000000"/>
        </w:rPr>
        <w:lastRenderedPageBreak/>
        <w:t>incumplimiento se apliquen las medidas de apremio o sanciones que correspondan conforme a la legislación en materia de transparencia. Asimismo, solicito que el sujeto obligado señale de manera específica qué unidades administrativas realizaron la búsqueda de la información y bajo qué criterios, a fin de garantizar la exhaustividad de la misma.”</w:t>
      </w:r>
      <w:r>
        <w:rPr>
          <w:rFonts w:ascii="Palatino Linotype" w:eastAsia="Palatino Linotype" w:hAnsi="Palatino Linotype" w:cs="Palatino Linotype"/>
          <w:color w:val="000000"/>
        </w:rPr>
        <w:t xml:space="preserve"> (Sic).</w:t>
      </w:r>
    </w:p>
    <w:p w:rsidR="00654CEF" w:rsidRDefault="00654CEF">
      <w:pPr>
        <w:tabs>
          <w:tab w:val="left" w:pos="426"/>
        </w:tabs>
        <w:spacing w:line="360" w:lineRule="auto"/>
        <w:ind w:right="-1274"/>
        <w:jc w:val="both"/>
        <w:rPr>
          <w:rFonts w:ascii="Palatino Linotype" w:eastAsia="Palatino Linotype" w:hAnsi="Palatino Linotype" w:cs="Palatino Linotype"/>
          <w:color w:val="000000"/>
        </w:rPr>
      </w:pPr>
    </w:p>
    <w:p w:rsidR="00654CEF" w:rsidRDefault="00A2005B">
      <w:pPr>
        <w:numPr>
          <w:ilvl w:val="0"/>
          <w:numId w:val="2"/>
        </w:numPr>
        <w:tabs>
          <w:tab w:val="left" w:pos="426"/>
        </w:tabs>
        <w:spacing w:line="360" w:lineRule="auto"/>
        <w:ind w:left="0" w:right="-1274" w:firstLine="0"/>
        <w:jc w:val="both"/>
        <w:rPr>
          <w:color w:val="000000"/>
        </w:rPr>
      </w:pPr>
      <w:r>
        <w:rPr>
          <w:rFonts w:ascii="Palatino Linotype" w:eastAsia="Palatino Linotype" w:hAnsi="Palatino Linotype" w:cs="Palatino Linotype"/>
          <w:color w:val="000000"/>
        </w:rPr>
        <w:t xml:space="preserve">Asimismo, con fundamento en lo dispuesto por el artículo 185, fracción I, de la Ley de Transparencia y Acceso a la Información Pública del Estado de México y Municipios se </w:t>
      </w:r>
      <w:r>
        <w:rPr>
          <w:rFonts w:ascii="Palatino Linotype" w:eastAsia="Palatino Linotype" w:hAnsi="Palatino Linotype" w:cs="Palatino Linotype"/>
        </w:rPr>
        <w:t>turna</w:t>
      </w:r>
      <w:r>
        <w:rPr>
          <w:rFonts w:ascii="Palatino Linotype" w:eastAsia="Palatino Linotype" w:hAnsi="Palatino Linotype" w:cs="Palatino Linotype"/>
          <w:color w:val="000000"/>
        </w:rPr>
        <w:t xml:space="preserve"> a la </w:t>
      </w:r>
      <w:r>
        <w:rPr>
          <w:rFonts w:ascii="Palatino Linotype" w:eastAsia="Palatino Linotype" w:hAnsi="Palatino Linotype" w:cs="Palatino Linotype"/>
          <w:b/>
          <w:bCs/>
          <w:color w:val="000000"/>
        </w:rPr>
        <w:t>Comisionada María del Rosario Mejía Ayala</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rPr>
        <w:t>para</w:t>
      </w:r>
      <w:r>
        <w:rPr>
          <w:rFonts w:ascii="Palatino Linotype" w:eastAsia="Palatino Linotype" w:hAnsi="Palatino Linotype" w:cs="Palatino Linotype"/>
          <w:color w:val="000000"/>
        </w:rPr>
        <w:t xml:space="preserve"> su análisis.</w:t>
      </w:r>
    </w:p>
    <w:p w:rsidR="00654CEF" w:rsidRDefault="00654CEF">
      <w:pPr>
        <w:tabs>
          <w:tab w:val="left" w:pos="284"/>
          <w:tab w:val="left" w:pos="426"/>
        </w:tabs>
        <w:spacing w:line="360" w:lineRule="auto"/>
        <w:ind w:right="-1274"/>
        <w:jc w:val="both"/>
        <w:rPr>
          <w:rFonts w:ascii="Palatino Linotype" w:eastAsia="Palatino Linotype" w:hAnsi="Palatino Linotype" w:cs="Palatino Linotype"/>
          <w:color w:val="000000"/>
        </w:rPr>
      </w:pPr>
    </w:p>
    <w:p w:rsidR="00654CEF" w:rsidRDefault="00A2005B">
      <w:pPr>
        <w:numPr>
          <w:ilvl w:val="0"/>
          <w:numId w:val="2"/>
        </w:numPr>
        <w:tabs>
          <w:tab w:val="left" w:pos="426"/>
        </w:tabs>
        <w:spacing w:line="360" w:lineRule="auto"/>
        <w:ind w:left="0" w:right="-1274" w:firstLine="0"/>
        <w:jc w:val="both"/>
        <w:rPr>
          <w:color w:val="000000"/>
        </w:rPr>
      </w:pPr>
      <w:bookmarkStart w:id="2" w:name="_heading=h.mqavxypiv467" w:colFirst="0" w:colLast="0"/>
      <w:bookmarkEnd w:id="2"/>
      <w:r>
        <w:rPr>
          <w:rFonts w:ascii="Palatino Linotype" w:eastAsia="Palatino Linotype" w:hAnsi="Palatino Linotype" w:cs="Palatino Linotype"/>
          <w:color w:val="000000"/>
        </w:rPr>
        <w:t xml:space="preserve">La Comisionada Ponente, con fundamento en lo dispuesto por el artículo 185, fracción II, de la ley de la materia, a través del acuerdo de admisión de </w:t>
      </w:r>
      <w:r>
        <w:rPr>
          <w:rFonts w:ascii="Palatino Linotype" w:eastAsia="Palatino Linotype" w:hAnsi="Palatino Linotype" w:cs="Palatino Linotype"/>
          <w:b/>
          <w:bCs/>
          <w:color w:val="000000"/>
        </w:rPr>
        <w:t>diecisiete de marzo de dos mil veintiséis</w:t>
      </w:r>
      <w:r>
        <w:rPr>
          <w:rFonts w:ascii="Palatino Linotype" w:eastAsia="Palatino Linotype" w:hAnsi="Palatino Linotype" w:cs="Palatino Linotype"/>
          <w:color w:val="000000"/>
        </w:rPr>
        <w:t xml:space="preserve">, puso a disposición de las partes el expediente electrónico vía SAIMEX, a efecto de que en un plazo máximo de siete días </w:t>
      </w:r>
      <w:r>
        <w:rPr>
          <w:rFonts w:ascii="Palatino Linotype" w:eastAsia="Palatino Linotype" w:hAnsi="Palatino Linotype" w:cs="Palatino Linotype"/>
        </w:rPr>
        <w:t>manifestara</w:t>
      </w:r>
      <w:r>
        <w:rPr>
          <w:rFonts w:ascii="Palatino Linotype" w:eastAsia="Palatino Linotype" w:hAnsi="Palatino Linotype" w:cs="Palatino Linotype"/>
          <w:color w:val="000000"/>
        </w:rPr>
        <w:t xml:space="preserve"> lo que a derecho conviniera, </w:t>
      </w:r>
      <w:r>
        <w:rPr>
          <w:rFonts w:ascii="Palatino Linotype" w:eastAsia="Palatino Linotype" w:hAnsi="Palatino Linotype" w:cs="Palatino Linotype"/>
        </w:rPr>
        <w:t>ofreciera</w:t>
      </w:r>
      <w:r>
        <w:rPr>
          <w:rFonts w:ascii="Palatino Linotype" w:eastAsia="Palatino Linotype" w:hAnsi="Palatino Linotype" w:cs="Palatino Linotype"/>
          <w:color w:val="000000"/>
        </w:rPr>
        <w:t xml:space="preserve"> pruebas y alegatos según corresponda a los casos concretos, de esta forma para que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rPr>
        <w:t>presentará</w:t>
      </w:r>
      <w:r>
        <w:rPr>
          <w:rFonts w:ascii="Palatino Linotype" w:eastAsia="Palatino Linotype" w:hAnsi="Palatino Linotype" w:cs="Palatino Linotype"/>
          <w:color w:val="000000"/>
        </w:rPr>
        <w:t xml:space="preserve"> su informe justificado procedente.</w:t>
      </w:r>
    </w:p>
    <w:p w:rsidR="00654CEF" w:rsidRDefault="00654CEF">
      <w:pPr>
        <w:tabs>
          <w:tab w:val="left" w:pos="426"/>
        </w:tabs>
        <w:spacing w:line="360" w:lineRule="auto"/>
        <w:ind w:right="-1274"/>
        <w:jc w:val="both"/>
        <w:rPr>
          <w:rFonts w:ascii="Palatino Linotype" w:eastAsia="Palatino Linotype" w:hAnsi="Palatino Linotype" w:cs="Palatino Linotype"/>
          <w:color w:val="000000"/>
        </w:rPr>
      </w:pPr>
    </w:p>
    <w:p w:rsidR="00654CEF" w:rsidRDefault="00A2005B">
      <w:pPr>
        <w:numPr>
          <w:ilvl w:val="0"/>
          <w:numId w:val="2"/>
        </w:numPr>
        <w:tabs>
          <w:tab w:val="left" w:pos="426"/>
        </w:tabs>
        <w:spacing w:line="360" w:lineRule="auto"/>
        <w:ind w:left="0" w:right="-1274" w:firstLine="0"/>
        <w:jc w:val="both"/>
        <w:rPr>
          <w:color w:val="000000"/>
        </w:rPr>
      </w:pPr>
      <w:r>
        <w:rPr>
          <w:rFonts w:ascii="Palatino Linotype" w:eastAsia="Palatino Linotype" w:hAnsi="Palatino Linotype" w:cs="Palatino Linotype"/>
          <w:color w:val="000000"/>
        </w:rPr>
        <w:t xml:space="preserve">De las constancias que obran en el expediente digital del recurso de revisión que hoy se resuelve, se aprecia que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presentó en fecha </w:t>
      </w:r>
      <w:r>
        <w:rPr>
          <w:rFonts w:ascii="Palatino Linotype" w:eastAsia="Palatino Linotype" w:hAnsi="Palatino Linotype" w:cs="Palatino Linotype"/>
          <w:b/>
          <w:bCs/>
          <w:color w:val="000000"/>
        </w:rPr>
        <w:t xml:space="preserve">veintitrés de marzo de dos mil veintiséis </w:t>
      </w:r>
      <w:r>
        <w:rPr>
          <w:rFonts w:ascii="Palatino Linotype" w:eastAsia="Palatino Linotype" w:hAnsi="Palatino Linotype" w:cs="Palatino Linotype"/>
          <w:color w:val="000000"/>
        </w:rPr>
        <w:t xml:space="preserve">archivo electrónico en el que refiere lo siguiente: </w:t>
      </w:r>
    </w:p>
    <w:p w:rsidR="00654CEF" w:rsidRDefault="00654CEF">
      <w:pPr>
        <w:pBdr>
          <w:top w:val="nil"/>
          <w:left w:val="nil"/>
          <w:bottom w:val="nil"/>
          <w:right w:val="nil"/>
          <w:between w:val="nil"/>
        </w:pBdr>
        <w:ind w:left="720" w:right="-1274"/>
        <w:rPr>
          <w:rFonts w:ascii="Palatino Linotype" w:eastAsia="Palatino Linotype" w:hAnsi="Palatino Linotype" w:cs="Palatino Linotype"/>
          <w:color w:val="000000"/>
        </w:rPr>
      </w:pPr>
    </w:p>
    <w:p w:rsidR="00654CEF" w:rsidRDefault="00A2005B">
      <w:pPr>
        <w:tabs>
          <w:tab w:val="left" w:pos="426"/>
        </w:tabs>
        <w:spacing w:line="360" w:lineRule="auto"/>
        <w:ind w:left="708" w:right="-1274"/>
        <w:jc w:val="both"/>
        <w:rPr>
          <w:rFonts w:ascii="Palatino Linotype" w:eastAsia="Palatino Linotype" w:hAnsi="Palatino Linotype" w:cs="Palatino Linotype"/>
          <w:i/>
          <w:iCs/>
        </w:rPr>
      </w:pPr>
      <w:r>
        <w:rPr>
          <w:rFonts w:ascii="Palatino Linotype" w:eastAsia="Palatino Linotype" w:hAnsi="Palatino Linotype" w:cs="Palatino Linotype"/>
          <w:b/>
          <w:bCs/>
          <w:color w:val="000000"/>
        </w:rPr>
        <w:t>INFORME JUSTIFICADO_UT_207.pdf:</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i/>
          <w:iCs/>
        </w:rPr>
        <w:t>Donde el Titular de la Unidad de Transparencia medularmente ratifica la respuesta primigenia.</w:t>
      </w:r>
    </w:p>
    <w:p w:rsidR="00654CEF" w:rsidRDefault="00654CEF">
      <w:pPr>
        <w:pBdr>
          <w:top w:val="nil"/>
          <w:left w:val="nil"/>
          <w:bottom w:val="nil"/>
          <w:right w:val="nil"/>
          <w:between w:val="nil"/>
        </w:pBdr>
        <w:ind w:left="720" w:right="-1274"/>
        <w:rPr>
          <w:rFonts w:ascii="Palatino Linotype" w:eastAsia="Palatino Linotype" w:hAnsi="Palatino Linotype" w:cs="Palatino Linotype"/>
          <w:color w:val="000000"/>
        </w:rPr>
      </w:pPr>
    </w:p>
    <w:p w:rsidR="00654CEF" w:rsidRDefault="00A2005B">
      <w:pPr>
        <w:numPr>
          <w:ilvl w:val="0"/>
          <w:numId w:val="2"/>
        </w:numPr>
        <w:tabs>
          <w:tab w:val="left" w:pos="426"/>
        </w:tabs>
        <w:spacing w:line="360" w:lineRule="auto"/>
        <w:ind w:left="0" w:right="-1274" w:firstLine="0"/>
        <w:jc w:val="both"/>
        <w:rPr>
          <w:color w:val="000000"/>
        </w:rPr>
      </w:pPr>
      <w:r>
        <w:rPr>
          <w:rFonts w:ascii="Palatino Linotype" w:eastAsia="Palatino Linotype" w:hAnsi="Palatino Linotype" w:cs="Palatino Linotype"/>
          <w:color w:val="000000"/>
        </w:rPr>
        <w:t xml:space="preserve">Por su parte </w:t>
      </w:r>
      <w:r>
        <w:rPr>
          <w:rFonts w:ascii="Palatino Linotype" w:eastAsia="Palatino Linotype" w:hAnsi="Palatino Linotype" w:cs="Palatino Linotype"/>
          <w:b/>
          <w:bCs/>
          <w:color w:val="000000"/>
        </w:rPr>
        <w:t>EL</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b/>
          <w:bCs/>
          <w:color w:val="000000"/>
        </w:rPr>
        <w:t xml:space="preserve">RECURRENTE </w:t>
      </w:r>
      <w:r>
        <w:rPr>
          <w:rFonts w:ascii="Palatino Linotype" w:eastAsia="Palatino Linotype" w:hAnsi="Palatino Linotype" w:cs="Palatino Linotype"/>
          <w:color w:val="000000"/>
        </w:rPr>
        <w:t xml:space="preserve">dejó de realizar manifestaciones que a su derecho </w:t>
      </w:r>
      <w:r>
        <w:rPr>
          <w:rFonts w:ascii="Palatino Linotype" w:eastAsia="Palatino Linotype" w:hAnsi="Palatino Linotype" w:cs="Palatino Linotype"/>
        </w:rPr>
        <w:t>conviniera</w:t>
      </w:r>
      <w:r>
        <w:rPr>
          <w:rFonts w:ascii="Palatino Linotype" w:eastAsia="Palatino Linotype" w:hAnsi="Palatino Linotype" w:cs="Palatino Linotype"/>
          <w:color w:val="000000"/>
        </w:rPr>
        <w:t xml:space="preserve"> y asistieran.</w:t>
      </w:r>
    </w:p>
    <w:p w:rsidR="00654CEF" w:rsidRDefault="00654CEF">
      <w:pPr>
        <w:ind w:right="-1274"/>
        <w:rPr>
          <w:rFonts w:ascii="Palatino Linotype" w:eastAsia="Palatino Linotype" w:hAnsi="Palatino Linotype" w:cs="Palatino Linotype"/>
          <w:color w:val="000000"/>
        </w:rPr>
      </w:pPr>
    </w:p>
    <w:p w:rsidR="00654CEF" w:rsidRDefault="00A2005B">
      <w:pPr>
        <w:numPr>
          <w:ilvl w:val="0"/>
          <w:numId w:val="2"/>
        </w:numPr>
        <w:pBdr>
          <w:top w:val="nil"/>
          <w:left w:val="nil"/>
          <w:bottom w:val="nil"/>
          <w:right w:val="nil"/>
          <w:between w:val="nil"/>
        </w:pBdr>
        <w:spacing w:line="360" w:lineRule="auto"/>
        <w:ind w:left="0" w:right="-1274"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lastRenderedPageBreak/>
        <w:t xml:space="preserve">En </w:t>
      </w:r>
      <w:r>
        <w:rPr>
          <w:rFonts w:ascii="Palatino Linotype" w:eastAsia="Palatino Linotype" w:hAnsi="Palatino Linotype" w:cs="Palatino Linotype"/>
          <w:b/>
          <w:bCs/>
          <w:color w:val="000000"/>
        </w:rPr>
        <w:t>fecha once de mayo de dos mil veintiséis</w:t>
      </w:r>
      <w:r>
        <w:rPr>
          <w:rFonts w:ascii="Palatino Linotype" w:eastAsia="Palatino Linotype" w:hAnsi="Palatino Linotype" w:cs="Palatino Linotype"/>
          <w:color w:val="000000"/>
        </w:rPr>
        <w:t>, se acordó ampliar el término para resolver el presente asunto.</w:t>
      </w:r>
    </w:p>
    <w:p w:rsidR="00654CEF" w:rsidRDefault="00654CEF">
      <w:pPr>
        <w:pBdr>
          <w:top w:val="nil"/>
          <w:left w:val="nil"/>
          <w:bottom w:val="nil"/>
          <w:right w:val="nil"/>
          <w:between w:val="nil"/>
        </w:pBdr>
        <w:ind w:right="-1274"/>
        <w:rPr>
          <w:rFonts w:ascii="Palatino Linotype" w:eastAsia="Palatino Linotype" w:hAnsi="Palatino Linotype" w:cs="Palatino Linotype"/>
          <w:b/>
          <w:bCs/>
          <w:color w:val="000000"/>
        </w:rPr>
      </w:pPr>
    </w:p>
    <w:p w:rsidR="00654CEF" w:rsidRDefault="00A2005B">
      <w:pPr>
        <w:numPr>
          <w:ilvl w:val="0"/>
          <w:numId w:val="2"/>
        </w:numPr>
        <w:pBdr>
          <w:top w:val="nil"/>
          <w:left w:val="nil"/>
          <w:bottom w:val="nil"/>
          <w:right w:val="nil"/>
          <w:between w:val="nil"/>
        </w:pBdr>
        <w:spacing w:line="360" w:lineRule="auto"/>
        <w:ind w:left="0" w:right="-1274" w:firstLine="0"/>
        <w:jc w:val="both"/>
        <w:rPr>
          <w:color w:val="000000"/>
        </w:rPr>
      </w:pPr>
      <w:r>
        <w:rPr>
          <w:rFonts w:ascii="Palatino Linotype" w:eastAsia="Palatino Linotype" w:hAnsi="Palatino Linotype" w:cs="Palatino Linotype"/>
          <w:color w:val="000000"/>
        </w:rPr>
        <w:t>Por ello, es menester precisar que, si bien se ha excedido el plazo para resolver el presente medio de impugnación, de conformidad con la ley de la materia, dicha dilación es de carácter excepcional y se encuentra justificada en los elementos para medir la razonabilidad del plazo de resolución de asuntos conforme a los parámetros establecidos por diversos órganos jurisdiccionales federales, aplicables también en procedimientos análogos, como el que nos ocupa.</w:t>
      </w:r>
    </w:p>
    <w:p w:rsidR="00654CEF" w:rsidRDefault="00654CEF">
      <w:pPr>
        <w:spacing w:line="360" w:lineRule="auto"/>
        <w:ind w:right="-1274"/>
        <w:jc w:val="both"/>
        <w:rPr>
          <w:rFonts w:ascii="Palatino Linotype" w:eastAsia="Palatino Linotype" w:hAnsi="Palatino Linotype" w:cs="Palatino Linotype"/>
        </w:rPr>
      </w:pPr>
    </w:p>
    <w:p w:rsidR="00654CEF" w:rsidRDefault="00A2005B">
      <w:pPr>
        <w:numPr>
          <w:ilvl w:val="0"/>
          <w:numId w:val="2"/>
        </w:numPr>
        <w:spacing w:line="360" w:lineRule="auto"/>
        <w:ind w:left="0" w:right="-1274" w:firstLine="0"/>
        <w:jc w:val="both"/>
      </w:pPr>
      <w:r>
        <w:rPr>
          <w:rFonts w:ascii="Palatino Linotype" w:eastAsia="Palatino Linotype" w:hAnsi="Palatino Linotype" w:cs="Palatino Linotype"/>
        </w:rPr>
        <w:t xml:space="preserve">Finalmente, la Comisionada Ponente una vez transcurrido el plazo decretado con anterioridad, en fecha </w:t>
      </w:r>
      <w:r>
        <w:rPr>
          <w:rFonts w:ascii="Palatino Linotype" w:eastAsia="Palatino Linotype" w:hAnsi="Palatino Linotype" w:cs="Palatino Linotype"/>
          <w:b/>
          <w:bCs/>
        </w:rPr>
        <w:t xml:space="preserve"> veinte de mayo de dos mil veintiséis</w:t>
      </w:r>
      <w:r>
        <w:rPr>
          <w:rFonts w:ascii="Palatino Linotype" w:eastAsia="Palatino Linotype" w:hAnsi="Palatino Linotype" w:cs="Palatino Linotype"/>
        </w:rPr>
        <w:t xml:space="preserve">  decretó el cierre  de instrucción de los expedientes, por lo que no habiendo diligencia pendiente de desahogo, se emite la resolución que conforme a Derecho proceda, de acuerdo a los siguientes:</w:t>
      </w:r>
    </w:p>
    <w:p w:rsidR="00654CEF" w:rsidRDefault="00654CEF">
      <w:pPr>
        <w:tabs>
          <w:tab w:val="left" w:pos="426"/>
        </w:tabs>
        <w:spacing w:line="360" w:lineRule="auto"/>
        <w:ind w:right="-1274"/>
        <w:jc w:val="both"/>
        <w:rPr>
          <w:rFonts w:ascii="Palatino Linotype" w:eastAsia="Palatino Linotype" w:hAnsi="Palatino Linotype" w:cs="Palatino Linotype"/>
          <w:color w:val="000000"/>
        </w:rPr>
      </w:pPr>
    </w:p>
    <w:p w:rsidR="00654CEF" w:rsidRDefault="00654CEF">
      <w:pPr>
        <w:pBdr>
          <w:top w:val="nil"/>
          <w:left w:val="nil"/>
          <w:bottom w:val="nil"/>
          <w:right w:val="nil"/>
          <w:between w:val="nil"/>
        </w:pBdr>
        <w:ind w:left="720" w:right="-1274"/>
        <w:rPr>
          <w:rFonts w:ascii="Palatino Linotype" w:eastAsia="Palatino Linotype" w:hAnsi="Palatino Linotype" w:cs="Palatino Linotype"/>
          <w:color w:val="000000"/>
        </w:rPr>
      </w:pPr>
    </w:p>
    <w:p w:rsidR="00654CEF" w:rsidRDefault="00A2005B">
      <w:pPr>
        <w:spacing w:line="360" w:lineRule="auto"/>
        <w:ind w:right="-1274"/>
        <w:jc w:val="center"/>
        <w:rPr>
          <w:rFonts w:ascii="Palatino Linotype" w:eastAsia="Palatino Linotype" w:hAnsi="Palatino Linotype" w:cs="Palatino Linotype"/>
          <w:b/>
          <w:bCs/>
        </w:rPr>
      </w:pPr>
      <w:bookmarkStart w:id="3" w:name="_heading=h.o6wyubqeqfsb" w:colFirst="0" w:colLast="0"/>
      <w:bookmarkEnd w:id="3"/>
      <w:r>
        <w:rPr>
          <w:rFonts w:ascii="Palatino Linotype" w:eastAsia="Palatino Linotype" w:hAnsi="Palatino Linotype" w:cs="Palatino Linotype"/>
          <w:b/>
          <w:bCs/>
        </w:rPr>
        <w:t>C O N S I D E R A N D O S</w:t>
      </w:r>
    </w:p>
    <w:p w:rsidR="00654CEF" w:rsidRDefault="00A2005B">
      <w:pPr>
        <w:pStyle w:val="Ttulo2"/>
        <w:spacing w:before="0" w:line="360" w:lineRule="auto"/>
        <w:ind w:right="-1274"/>
        <w:rPr>
          <w:rFonts w:ascii="Palatino Linotype" w:eastAsia="Palatino Linotype" w:hAnsi="Palatino Linotype" w:cs="Palatino Linotype"/>
          <w:b/>
          <w:bCs/>
          <w:color w:val="000000"/>
          <w:sz w:val="24"/>
          <w:szCs w:val="24"/>
        </w:rPr>
      </w:pPr>
      <w:r>
        <w:rPr>
          <w:rFonts w:ascii="Palatino Linotype" w:eastAsia="Palatino Linotype" w:hAnsi="Palatino Linotype" w:cs="Palatino Linotype"/>
          <w:b/>
          <w:bCs/>
          <w:color w:val="000000"/>
          <w:sz w:val="24"/>
          <w:szCs w:val="24"/>
        </w:rPr>
        <w:t>PRIMERO. De la competencia</w:t>
      </w:r>
    </w:p>
    <w:p w:rsidR="00654CEF" w:rsidRDefault="00A2005B">
      <w:pPr>
        <w:numPr>
          <w:ilvl w:val="0"/>
          <w:numId w:val="2"/>
        </w:numPr>
        <w:pBdr>
          <w:top w:val="nil"/>
          <w:left w:val="nil"/>
          <w:bottom w:val="nil"/>
          <w:right w:val="nil"/>
          <w:between w:val="nil"/>
        </w:pBdr>
        <w:spacing w:line="360" w:lineRule="auto"/>
        <w:ind w:left="0" w:right="-1274" w:firstLine="0"/>
        <w:jc w:val="both"/>
        <w:rPr>
          <w:color w:val="000000"/>
        </w:rPr>
      </w:pPr>
      <w:r>
        <w:rPr>
          <w:rFonts w:ascii="Palatino Linotype" w:eastAsia="Palatino Linotype" w:hAnsi="Palatino Linotype" w:cs="Palatino Linotype"/>
          <w:color w:val="000000"/>
        </w:rPr>
        <w:t xml:space="preserve">Este Instituto de Transparencia, Acceso a la Información Pública y Protección de Datos Personales del Estado de México y Municipios, es competente para conocer y resolver del presente recurso de conformidad con el artículo: 6, apartado A, fracción IV de la Constitución Política de los Estados Unidos Mexicanos; 5, párrafos trigésimo segundo,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w:t>
      </w:r>
      <w:r>
        <w:rPr>
          <w:rFonts w:ascii="Palatino Linotype" w:eastAsia="Palatino Linotype" w:hAnsi="Palatino Linotype" w:cs="Palatino Linotype"/>
          <w:color w:val="000000"/>
        </w:rPr>
        <w:lastRenderedPageBreak/>
        <w:t>Municipios; y 7, 9 fracciones I y XXIV, y 11 del Reglamento Interior del Instituto de Transparencia, Acceso a la Información Pública y Protección de Datos Personales del Estado de México y Municipios.</w:t>
      </w:r>
    </w:p>
    <w:p w:rsidR="00654CEF" w:rsidRDefault="00654CEF">
      <w:pPr>
        <w:pBdr>
          <w:top w:val="nil"/>
          <w:left w:val="nil"/>
          <w:bottom w:val="nil"/>
          <w:right w:val="nil"/>
          <w:between w:val="nil"/>
        </w:pBdr>
        <w:spacing w:line="360" w:lineRule="auto"/>
        <w:ind w:right="-1274"/>
        <w:jc w:val="both"/>
        <w:rPr>
          <w:rFonts w:ascii="Palatino Linotype" w:eastAsia="Palatino Linotype" w:hAnsi="Palatino Linotype" w:cs="Palatino Linotype"/>
          <w:color w:val="000000"/>
        </w:rPr>
      </w:pPr>
    </w:p>
    <w:p w:rsidR="00654CEF" w:rsidRDefault="00A2005B">
      <w:pPr>
        <w:pStyle w:val="Ttulo2"/>
        <w:spacing w:before="0" w:line="360" w:lineRule="auto"/>
        <w:ind w:right="-1274"/>
        <w:rPr>
          <w:rFonts w:ascii="Palatino Linotype" w:eastAsia="Palatino Linotype" w:hAnsi="Palatino Linotype" w:cs="Palatino Linotype"/>
          <w:b/>
          <w:bCs/>
          <w:color w:val="000000"/>
          <w:sz w:val="24"/>
          <w:szCs w:val="24"/>
        </w:rPr>
      </w:pPr>
      <w:bookmarkStart w:id="4" w:name="_heading=h.ta3kc223tmfl" w:colFirst="0" w:colLast="0"/>
      <w:bookmarkEnd w:id="4"/>
      <w:r>
        <w:rPr>
          <w:rFonts w:ascii="Palatino Linotype" w:eastAsia="Palatino Linotype" w:hAnsi="Palatino Linotype" w:cs="Palatino Linotype"/>
          <w:b/>
          <w:bCs/>
          <w:color w:val="000000"/>
          <w:sz w:val="24"/>
          <w:szCs w:val="24"/>
        </w:rPr>
        <w:t>SEGUNDO. De la oportunidad y procedencia.</w:t>
      </w:r>
    </w:p>
    <w:p w:rsidR="00654CEF" w:rsidRDefault="00A2005B">
      <w:pPr>
        <w:numPr>
          <w:ilvl w:val="0"/>
          <w:numId w:val="2"/>
        </w:numPr>
        <w:pBdr>
          <w:top w:val="nil"/>
          <w:left w:val="nil"/>
          <w:bottom w:val="nil"/>
          <w:right w:val="nil"/>
          <w:between w:val="nil"/>
        </w:pBdr>
        <w:spacing w:line="360" w:lineRule="auto"/>
        <w:ind w:left="0" w:right="-1274" w:firstLine="0"/>
        <w:jc w:val="both"/>
        <w:rPr>
          <w:color w:val="000000"/>
        </w:rPr>
      </w:pPr>
      <w:r>
        <w:rPr>
          <w:rFonts w:ascii="Palatino Linotype" w:eastAsia="Palatino Linotype" w:hAnsi="Palatino Linotype" w:cs="Palatino Linotype"/>
          <w:color w:val="000000"/>
        </w:rPr>
        <w:t xml:space="preserve">Los medios de impugnación fueron presentados a través del </w:t>
      </w:r>
      <w:r>
        <w:rPr>
          <w:rFonts w:ascii="Palatino Linotype" w:eastAsia="Palatino Linotype" w:hAnsi="Palatino Linotype" w:cs="Palatino Linotype"/>
          <w:b/>
          <w:bCs/>
          <w:color w:val="000000"/>
        </w:rPr>
        <w:t>SAIMEX,</w:t>
      </w:r>
      <w:r>
        <w:rPr>
          <w:rFonts w:ascii="Palatino Linotype" w:eastAsia="Palatino Linotype" w:hAnsi="Palatino Linotype" w:cs="Palatino Linotype"/>
          <w:color w:val="000000"/>
        </w:rPr>
        <w:t xml:space="preserve"> en el formato previamente aprobado para tal efecto y dentro del plazo legal de quince días hábiles otorgados; para el caso en particular es de señalar que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entregó su respuesta el </w:t>
      </w:r>
      <w:r>
        <w:rPr>
          <w:rFonts w:ascii="Palatino Linotype" w:eastAsia="Palatino Linotype" w:hAnsi="Palatino Linotype" w:cs="Palatino Linotype"/>
          <w:b/>
          <w:bCs/>
          <w:color w:val="000000"/>
        </w:rPr>
        <w:t>doce de marzo de dos mil veintiséis</w:t>
      </w:r>
      <w:r>
        <w:rPr>
          <w:rFonts w:ascii="Palatino Linotype" w:eastAsia="Palatino Linotype" w:hAnsi="Palatino Linotype" w:cs="Palatino Linotype"/>
          <w:color w:val="000000"/>
        </w:rPr>
        <w:t xml:space="preserve">, de tal forma que el plazo para interponer el recurso de revisión transcurrió del día </w:t>
      </w:r>
      <w:r>
        <w:rPr>
          <w:rFonts w:ascii="Palatino Linotype" w:eastAsia="Palatino Linotype" w:hAnsi="Palatino Linotype" w:cs="Palatino Linotype"/>
          <w:b/>
          <w:bCs/>
          <w:color w:val="000000"/>
        </w:rPr>
        <w:t>trece de marzo al diez de abril de dos mil veintiséis</w:t>
      </w:r>
      <w:r>
        <w:rPr>
          <w:rFonts w:ascii="Palatino Linotype" w:eastAsia="Palatino Linotype" w:hAnsi="Palatino Linotype" w:cs="Palatino Linotype"/>
          <w:color w:val="000000"/>
        </w:rPr>
        <w:t xml:space="preserve">; en consecuencia, el ahora </w:t>
      </w:r>
      <w:r>
        <w:rPr>
          <w:rFonts w:ascii="Palatino Linotype" w:eastAsia="Palatino Linotype" w:hAnsi="Palatino Linotype" w:cs="Palatino Linotype"/>
          <w:b/>
          <w:bCs/>
          <w:color w:val="000000"/>
        </w:rPr>
        <w:t>RECURRENTE</w:t>
      </w:r>
      <w:r>
        <w:rPr>
          <w:rFonts w:ascii="Palatino Linotype" w:eastAsia="Palatino Linotype" w:hAnsi="Palatino Linotype" w:cs="Palatino Linotype"/>
          <w:color w:val="000000"/>
        </w:rPr>
        <w:t xml:space="preserve"> presentó su inconformidad el día </w:t>
      </w:r>
      <w:r>
        <w:rPr>
          <w:rFonts w:ascii="Palatino Linotype" w:eastAsia="Palatino Linotype" w:hAnsi="Palatino Linotype" w:cs="Palatino Linotype"/>
          <w:b/>
          <w:bCs/>
          <w:color w:val="000000"/>
        </w:rPr>
        <w:t>doce de marzo de dos mil veinticinco</w:t>
      </w:r>
      <w:r>
        <w:rPr>
          <w:rFonts w:ascii="Palatino Linotype" w:eastAsia="Palatino Linotype" w:hAnsi="Palatino Linotype" w:cs="Palatino Linotype"/>
          <w:color w:val="000000"/>
        </w:rPr>
        <w:t>; es decir dentro del lapso legalmente establecido para tal efecto.</w:t>
      </w:r>
    </w:p>
    <w:p w:rsidR="00654CEF" w:rsidRDefault="00654CEF">
      <w:pPr>
        <w:pBdr>
          <w:top w:val="nil"/>
          <w:left w:val="nil"/>
          <w:bottom w:val="nil"/>
          <w:right w:val="nil"/>
          <w:between w:val="nil"/>
        </w:pBdr>
        <w:spacing w:line="360" w:lineRule="auto"/>
        <w:ind w:right="-1274"/>
        <w:jc w:val="both"/>
        <w:rPr>
          <w:rFonts w:ascii="Palatino Linotype" w:eastAsia="Palatino Linotype" w:hAnsi="Palatino Linotype" w:cs="Palatino Linotype"/>
          <w:color w:val="000000"/>
        </w:rPr>
      </w:pPr>
    </w:p>
    <w:p w:rsidR="00654CEF" w:rsidRDefault="00A2005B">
      <w:pPr>
        <w:numPr>
          <w:ilvl w:val="0"/>
          <w:numId w:val="2"/>
        </w:numPr>
        <w:pBdr>
          <w:top w:val="nil"/>
          <w:left w:val="nil"/>
          <w:bottom w:val="nil"/>
          <w:right w:val="nil"/>
          <w:between w:val="nil"/>
        </w:pBdr>
        <w:spacing w:line="360" w:lineRule="auto"/>
        <w:ind w:left="0" w:right="-1274" w:firstLine="0"/>
        <w:jc w:val="both"/>
        <w:rPr>
          <w:color w:val="000000"/>
        </w:rPr>
      </w:pPr>
      <w:r>
        <w:rPr>
          <w:rFonts w:ascii="Palatino Linotype" w:eastAsia="Palatino Linotype" w:hAnsi="Palatino Linotype" w:cs="Palatino Linotype"/>
          <w:color w:val="000000"/>
        </w:rPr>
        <w:t xml:space="preserve">Al respecto, resulta necesario precisar que cuando el medio de impugnación, se haya interpuesto antes que inicie el término para tal efecto, resulta insuficiente para tener por extemporáneo el recurso de revisión de mérito, toda vez que el precepto legal citado, sólo establece que este medio de defensa se ha de promover dentro de los quince días hábiles siguientes en que se tenga conocimiento de la respuesta impugnada; sin embargo, no prohíbe que el recurso de revisión, se presente el mismo día en que </w:t>
      </w:r>
      <w:r>
        <w:rPr>
          <w:rFonts w:ascii="Palatino Linotype" w:eastAsia="Palatino Linotype" w:hAnsi="Palatino Linotype" w:cs="Palatino Linotype"/>
        </w:rPr>
        <w:t>ésta</w:t>
      </w:r>
      <w:r>
        <w:rPr>
          <w:rFonts w:ascii="Palatino Linotype" w:eastAsia="Palatino Linotype" w:hAnsi="Palatino Linotype" w:cs="Palatino Linotype"/>
          <w:color w:val="000000"/>
        </w:rPr>
        <w:t xml:space="preserve"> fue notificada. Por lo que es de señalar que en aras de privilegiar el derecho de acceso a la información se entra al estudio del presente recurso de revisión sin que la fecha en que se presentó afecte la resolución.</w:t>
      </w:r>
    </w:p>
    <w:p w:rsidR="00654CEF" w:rsidRDefault="00654CEF">
      <w:pPr>
        <w:spacing w:line="360" w:lineRule="auto"/>
        <w:ind w:left="284" w:right="-1274"/>
        <w:jc w:val="both"/>
        <w:rPr>
          <w:rFonts w:ascii="Palatino Linotype" w:eastAsia="Palatino Linotype" w:hAnsi="Palatino Linotype" w:cs="Palatino Linotype"/>
        </w:rPr>
      </w:pPr>
    </w:p>
    <w:p w:rsidR="00654CEF" w:rsidRDefault="00A2005B">
      <w:pPr>
        <w:numPr>
          <w:ilvl w:val="0"/>
          <w:numId w:val="2"/>
        </w:numPr>
        <w:pBdr>
          <w:top w:val="nil"/>
          <w:left w:val="nil"/>
          <w:bottom w:val="nil"/>
          <w:right w:val="nil"/>
          <w:between w:val="nil"/>
        </w:pBdr>
        <w:spacing w:line="360" w:lineRule="auto"/>
        <w:ind w:left="0" w:right="-1274" w:firstLine="0"/>
        <w:jc w:val="both"/>
        <w:rPr>
          <w:color w:val="000000"/>
        </w:rPr>
      </w:pPr>
      <w:r>
        <w:rPr>
          <w:rFonts w:ascii="Palatino Linotype" w:eastAsia="Palatino Linotype" w:hAnsi="Palatino Linotype" w:cs="Palatino Linotype"/>
          <w:color w:val="000000"/>
        </w:rPr>
        <w:t xml:space="preserve">Lo anterior se robustece con la jurisprudencia número 1a./J. 41/2015 (10a.), Décima época, sustentada por la Primera Sala de la Suprema Corte de Justicia de la Nación, visible en </w:t>
      </w:r>
      <w:r>
        <w:rPr>
          <w:rFonts w:ascii="Palatino Linotype" w:eastAsia="Palatino Linotype" w:hAnsi="Palatino Linotype" w:cs="Palatino Linotype"/>
          <w:color w:val="000000"/>
        </w:rPr>
        <w:lastRenderedPageBreak/>
        <w:t xml:space="preserve">la página 569, libro 19, tomo I, de la Gaceta del Semanario Judicial de la Federación, del diecinueve de junio de 2015, cuyo rubro y texto disponen: </w:t>
      </w:r>
    </w:p>
    <w:p w:rsidR="00654CEF" w:rsidRDefault="00A2005B">
      <w:pPr>
        <w:tabs>
          <w:tab w:val="left" w:pos="7605"/>
        </w:tabs>
        <w:spacing w:line="276" w:lineRule="auto"/>
        <w:ind w:left="1134" w:right="-1274"/>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 “RECURSO DE RECLAMACIÓN. SU INTERPOSICIÓN NO ES EXTEMPORÁNEA SI SE REALIZA ANTES DE QUE INICIE EL PLAZO PARA HACERLO</w:t>
      </w:r>
      <w:r>
        <w:rPr>
          <w:rFonts w:ascii="Palatino Linotype" w:eastAsia="Palatino Linotype" w:hAnsi="Palatino Linotype" w:cs="Palatino Linotype"/>
          <w:i/>
          <w:iCs/>
        </w:rPr>
        <w:t>. Conforme al artículo 104, párrafo segundo, de la Ley de Amparo, el recurso de reclamación podrá interponerse por cualquiera de las partes, por escrito, dentro del término de tres días siguientes al en que surta efectos la notificación de la resolución impugnada. Ahora bien, dicho numeral sólo refiere que el aludido medio de defensa no puede hacerse valer después de tres días, por tanto, no impide que el escrito correspondiente se presente antes de iniciado ese término. De ahí que si dicho recurso se interpone antes de que inicie el plazo para hacerlo, su presentación no es extemporánea.”</w:t>
      </w:r>
      <w:r>
        <w:rPr>
          <w:rFonts w:ascii="Palatino Linotype" w:eastAsia="Palatino Linotype" w:hAnsi="Palatino Linotype" w:cs="Palatino Linotype"/>
        </w:rPr>
        <w:t xml:space="preserve"> (Sic)</w:t>
      </w:r>
    </w:p>
    <w:p w:rsidR="00654CEF" w:rsidRDefault="00654CEF">
      <w:pPr>
        <w:spacing w:line="360" w:lineRule="auto"/>
        <w:ind w:left="284" w:right="-1274"/>
        <w:jc w:val="both"/>
        <w:rPr>
          <w:rFonts w:ascii="Palatino Linotype" w:eastAsia="Palatino Linotype" w:hAnsi="Palatino Linotype" w:cs="Palatino Linotype"/>
          <w:i/>
          <w:iCs/>
        </w:rPr>
      </w:pPr>
    </w:p>
    <w:p w:rsidR="00654CEF" w:rsidRPr="00C40821" w:rsidRDefault="00A2005B">
      <w:pPr>
        <w:numPr>
          <w:ilvl w:val="0"/>
          <w:numId w:val="2"/>
        </w:numPr>
        <w:pBdr>
          <w:top w:val="nil"/>
          <w:left w:val="nil"/>
          <w:bottom w:val="nil"/>
          <w:right w:val="nil"/>
          <w:between w:val="nil"/>
        </w:pBdr>
        <w:spacing w:line="360" w:lineRule="auto"/>
        <w:ind w:left="0" w:right="-1274" w:firstLine="0"/>
        <w:jc w:val="both"/>
        <w:rPr>
          <w:color w:val="000000"/>
        </w:rPr>
      </w:pPr>
      <w:r>
        <w:rPr>
          <w:rFonts w:ascii="Palatino Linotype" w:eastAsia="Palatino Linotype" w:hAnsi="Palatino Linotype" w:cs="Palatino Linotype"/>
          <w:color w:val="000000"/>
        </w:rPr>
        <w:t xml:space="preserve">Esto es así porque en primer lugar es necesario que </w:t>
      </w:r>
      <w:r>
        <w:rPr>
          <w:rFonts w:ascii="Palatino Linotype" w:eastAsia="Palatino Linotype" w:hAnsi="Palatino Linotype" w:cs="Palatino Linotype"/>
          <w:b/>
          <w:bCs/>
          <w:color w:val="000000"/>
        </w:rPr>
        <w:t>EL RECURRENTE</w:t>
      </w:r>
      <w:r>
        <w:rPr>
          <w:rFonts w:ascii="Palatino Linotype" w:eastAsia="Palatino Linotype" w:hAnsi="Palatino Linotype" w:cs="Palatino Linotype"/>
          <w:color w:val="000000"/>
        </w:rPr>
        <w:t xml:space="preserve"> conozca el acto que le provoca agravio y a partir de ahí formular su recurso de revisión señalando tanto el acto impugnado como el motivo de inconformidad. Y si bien la ley señala que el plazo corre un día después de haber sido notificada la respuesta, en nada se afecta al proceso que el mismo día de notificada EL RECURRENTE actúe, ya que al contrario lo que demuestra es el interés del mismo para ejercer su derecho bajo el principio constitucional de justicia expedita.</w:t>
      </w:r>
    </w:p>
    <w:p w:rsidR="00C40821" w:rsidRDefault="00C40821" w:rsidP="00C40821">
      <w:pPr>
        <w:pBdr>
          <w:top w:val="nil"/>
          <w:left w:val="nil"/>
          <w:bottom w:val="nil"/>
          <w:right w:val="nil"/>
          <w:between w:val="nil"/>
        </w:pBdr>
        <w:spacing w:line="360" w:lineRule="auto"/>
        <w:ind w:right="-1274"/>
        <w:jc w:val="both"/>
        <w:rPr>
          <w:color w:val="000000"/>
        </w:rPr>
      </w:pPr>
    </w:p>
    <w:p w:rsidR="00654CEF" w:rsidRDefault="00A2005B">
      <w:pPr>
        <w:numPr>
          <w:ilvl w:val="0"/>
          <w:numId w:val="2"/>
        </w:numPr>
        <w:pBdr>
          <w:top w:val="nil"/>
          <w:left w:val="nil"/>
          <w:bottom w:val="nil"/>
          <w:right w:val="nil"/>
          <w:between w:val="nil"/>
        </w:pBdr>
        <w:spacing w:line="360" w:lineRule="auto"/>
        <w:ind w:left="0" w:right="-1274" w:firstLine="0"/>
        <w:jc w:val="both"/>
        <w:rPr>
          <w:color w:val="000000"/>
        </w:rPr>
      </w:pPr>
      <w:r>
        <w:rPr>
          <w:rFonts w:ascii="Palatino Linotype" w:eastAsia="Palatino Linotype" w:hAnsi="Palatino Linotype" w:cs="Palatino Linotype"/>
          <w:color w:val="000000"/>
        </w:rPr>
        <w:t>Por lo que la presentación del recurso, el mismo día del conocimiento de la respuesta, -se insiste- no constituye un acto que altere el procedimiento, solo permite su gestión de manera rápida lo que no afecta ningún principio procesal y es protector del derecho de acceso a la justicia pronta y expedita.</w:t>
      </w:r>
    </w:p>
    <w:p w:rsidR="00654CEF" w:rsidRDefault="00654CEF">
      <w:pPr>
        <w:spacing w:line="360" w:lineRule="auto"/>
        <w:ind w:left="284" w:right="-1274"/>
        <w:jc w:val="both"/>
        <w:rPr>
          <w:rFonts w:ascii="Palatino Linotype" w:eastAsia="Palatino Linotype" w:hAnsi="Palatino Linotype" w:cs="Palatino Linotype"/>
        </w:rPr>
      </w:pPr>
    </w:p>
    <w:p w:rsidR="00654CEF" w:rsidRDefault="00A2005B">
      <w:pPr>
        <w:numPr>
          <w:ilvl w:val="0"/>
          <w:numId w:val="2"/>
        </w:numPr>
        <w:pBdr>
          <w:top w:val="nil"/>
          <w:left w:val="nil"/>
          <w:bottom w:val="nil"/>
          <w:right w:val="nil"/>
          <w:between w:val="nil"/>
        </w:pBdr>
        <w:spacing w:line="360" w:lineRule="auto"/>
        <w:ind w:left="0" w:right="-1274" w:firstLine="0"/>
        <w:jc w:val="both"/>
        <w:rPr>
          <w:color w:val="000000"/>
        </w:rPr>
      </w:pPr>
      <w:r>
        <w:rPr>
          <w:rFonts w:ascii="Palatino Linotype" w:eastAsia="Palatino Linotype" w:hAnsi="Palatino Linotype" w:cs="Palatino Linotype"/>
          <w:color w:val="000000"/>
        </w:rPr>
        <w:lastRenderedPageBreak/>
        <w:t>Por lo tanto, la interposición del recurso de revisión antes de que inicie el plazo para su presentación no es determinante para declararlo extemporáneo, siempre y cuando ello ocurra de manera posterior a que se ha notificado la respuesta del SUJETO OBLIGADO.</w:t>
      </w:r>
    </w:p>
    <w:p w:rsidR="00654CEF" w:rsidRDefault="00654CEF">
      <w:pPr>
        <w:spacing w:line="360" w:lineRule="auto"/>
        <w:ind w:right="-1274"/>
        <w:jc w:val="both"/>
        <w:rPr>
          <w:rFonts w:ascii="Palatino Linotype" w:eastAsia="Palatino Linotype" w:hAnsi="Palatino Linotype" w:cs="Palatino Linotype"/>
        </w:rPr>
      </w:pPr>
    </w:p>
    <w:p w:rsidR="00654CEF" w:rsidRDefault="00A2005B">
      <w:pPr>
        <w:numPr>
          <w:ilvl w:val="0"/>
          <w:numId w:val="2"/>
        </w:numPr>
        <w:pBdr>
          <w:top w:val="nil"/>
          <w:left w:val="nil"/>
          <w:bottom w:val="nil"/>
          <w:right w:val="nil"/>
          <w:between w:val="nil"/>
        </w:pBdr>
        <w:spacing w:line="360" w:lineRule="auto"/>
        <w:ind w:left="0" w:right="-1274" w:firstLine="0"/>
        <w:jc w:val="both"/>
        <w:rPr>
          <w:color w:val="000000"/>
        </w:rPr>
      </w:pPr>
      <w:r>
        <w:rPr>
          <w:rFonts w:ascii="Palatino Linotype" w:eastAsia="Palatino Linotype" w:hAnsi="Palatino Linotype" w:cs="Palatino Linotype"/>
          <w:color w:val="000000"/>
        </w:rPr>
        <w:t>Asimismo,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rsidR="00654CEF" w:rsidRDefault="00654CEF">
      <w:pPr>
        <w:pBdr>
          <w:top w:val="nil"/>
          <w:left w:val="nil"/>
          <w:bottom w:val="nil"/>
          <w:right w:val="nil"/>
          <w:between w:val="nil"/>
        </w:pBdr>
        <w:spacing w:line="360" w:lineRule="auto"/>
        <w:ind w:right="-1274"/>
        <w:jc w:val="both"/>
        <w:rPr>
          <w:rFonts w:ascii="Palatino Linotype" w:eastAsia="Palatino Linotype" w:hAnsi="Palatino Linotype" w:cs="Palatino Linotype"/>
          <w:color w:val="000000"/>
        </w:rPr>
      </w:pPr>
    </w:p>
    <w:p w:rsidR="00654CEF" w:rsidRDefault="00A2005B">
      <w:pPr>
        <w:pStyle w:val="Ttulo2"/>
        <w:spacing w:before="0" w:line="360" w:lineRule="auto"/>
        <w:ind w:right="-1274"/>
        <w:rPr>
          <w:rFonts w:ascii="Palatino Linotype" w:eastAsia="Palatino Linotype" w:hAnsi="Palatino Linotype" w:cs="Palatino Linotype"/>
          <w:b/>
          <w:bCs/>
          <w:color w:val="000000"/>
          <w:sz w:val="24"/>
          <w:szCs w:val="24"/>
        </w:rPr>
      </w:pPr>
      <w:bookmarkStart w:id="5" w:name="_heading=h.d47t898nh6wb" w:colFirst="0" w:colLast="0"/>
      <w:bookmarkEnd w:id="5"/>
      <w:r>
        <w:rPr>
          <w:rFonts w:ascii="Palatino Linotype" w:eastAsia="Palatino Linotype" w:hAnsi="Palatino Linotype" w:cs="Palatino Linotype"/>
          <w:b/>
          <w:bCs/>
          <w:color w:val="000000"/>
          <w:sz w:val="24"/>
          <w:szCs w:val="24"/>
        </w:rPr>
        <w:t>TERCERO. Del planteamiento de la Litis</w:t>
      </w:r>
    </w:p>
    <w:p w:rsidR="00654CEF" w:rsidRDefault="00A2005B">
      <w:pPr>
        <w:numPr>
          <w:ilvl w:val="0"/>
          <w:numId w:val="2"/>
        </w:numPr>
        <w:pBdr>
          <w:top w:val="nil"/>
          <w:left w:val="nil"/>
          <w:bottom w:val="nil"/>
          <w:right w:val="nil"/>
          <w:between w:val="nil"/>
        </w:pBdr>
        <w:spacing w:line="360" w:lineRule="auto"/>
        <w:ind w:left="0" w:right="-1274" w:firstLine="0"/>
        <w:jc w:val="both"/>
        <w:rPr>
          <w:color w:val="000000"/>
        </w:rPr>
      </w:pPr>
      <w:r>
        <w:rPr>
          <w:rFonts w:ascii="Palatino Linotype" w:eastAsia="Palatino Linotype" w:hAnsi="Palatino Linotype" w:cs="Palatino Linotype"/>
          <w:color w:val="000000"/>
        </w:rPr>
        <w:t>De las constancias en el expediente al rubro indicado, se desprende que el particular  solicitó tener acceso a la información que a continuación se desagrega:</w:t>
      </w:r>
    </w:p>
    <w:p w:rsidR="00654CEF" w:rsidRDefault="00A2005B">
      <w:pPr>
        <w:numPr>
          <w:ilvl w:val="3"/>
          <w:numId w:val="2"/>
        </w:numPr>
        <w:pBdr>
          <w:top w:val="nil"/>
          <w:left w:val="nil"/>
          <w:bottom w:val="nil"/>
          <w:right w:val="nil"/>
          <w:between w:val="nil"/>
        </w:pBdr>
        <w:spacing w:line="360" w:lineRule="auto"/>
        <w:ind w:left="1134" w:right="-1274"/>
        <w:jc w:val="center"/>
        <w:rPr>
          <w:rFonts w:ascii="Palatino Linotype" w:eastAsia="Palatino Linotype" w:hAnsi="Palatino Linotype" w:cs="Palatino Linotype"/>
          <w:i/>
          <w:iCs/>
          <w:color w:val="000000"/>
        </w:rPr>
      </w:pPr>
      <w:r>
        <w:rPr>
          <w:rFonts w:ascii="Verdana" w:eastAsia="Verdana" w:hAnsi="Verdana" w:cs="Verdana"/>
          <w:color w:val="000000"/>
        </w:rPr>
        <w:t> </w:t>
      </w:r>
      <w:r>
        <w:rPr>
          <w:rFonts w:ascii="Palatino Linotype" w:eastAsia="Palatino Linotype" w:hAnsi="Palatino Linotype" w:cs="Palatino Linotype"/>
          <w:i/>
          <w:iCs/>
          <w:color w:val="000000"/>
        </w:rPr>
        <w:t>Oficio enviado del Jardín de Niños Rosa Agazzi con CCT 15EJN0661P al Ayuntamiento de Tepotzotlán para el retiro de ambulantaje en el acceso al plantel escolar.</w:t>
      </w:r>
    </w:p>
    <w:p w:rsidR="00654CEF" w:rsidRDefault="00654CEF">
      <w:pPr>
        <w:pBdr>
          <w:top w:val="nil"/>
          <w:left w:val="nil"/>
          <w:bottom w:val="nil"/>
          <w:right w:val="nil"/>
          <w:between w:val="nil"/>
        </w:pBdr>
        <w:spacing w:line="360" w:lineRule="auto"/>
        <w:ind w:left="1440" w:right="-1274"/>
        <w:jc w:val="both"/>
        <w:rPr>
          <w:rFonts w:ascii="Palatino Linotype" w:eastAsia="Palatino Linotype" w:hAnsi="Palatino Linotype" w:cs="Palatino Linotype"/>
          <w:color w:val="000000"/>
        </w:rPr>
      </w:pPr>
    </w:p>
    <w:p w:rsidR="00654CEF" w:rsidRDefault="00A2005B">
      <w:pPr>
        <w:numPr>
          <w:ilvl w:val="0"/>
          <w:numId w:val="2"/>
        </w:numPr>
        <w:pBdr>
          <w:top w:val="nil"/>
          <w:left w:val="nil"/>
          <w:bottom w:val="nil"/>
          <w:right w:val="nil"/>
          <w:between w:val="nil"/>
        </w:pBdr>
        <w:spacing w:line="360" w:lineRule="auto"/>
        <w:ind w:left="0" w:right="-1274" w:firstLine="0"/>
        <w:jc w:val="both"/>
        <w:rPr>
          <w:color w:val="000000"/>
        </w:rPr>
      </w:pPr>
      <w:r>
        <w:rPr>
          <w:rFonts w:ascii="Palatino Linotype" w:eastAsia="Palatino Linotype" w:hAnsi="Palatino Linotype" w:cs="Palatino Linotype"/>
          <w:color w:val="000000"/>
        </w:rPr>
        <w:t xml:space="preserve">En respuesta,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remitió el archivo electrónico cuyo contenido se desglosa en el punto dos de la presente resolución.</w:t>
      </w:r>
    </w:p>
    <w:p w:rsidR="00654CEF" w:rsidRDefault="00654CEF">
      <w:pPr>
        <w:pBdr>
          <w:top w:val="nil"/>
          <w:left w:val="nil"/>
          <w:bottom w:val="nil"/>
          <w:right w:val="nil"/>
          <w:between w:val="nil"/>
        </w:pBdr>
        <w:spacing w:line="360" w:lineRule="auto"/>
        <w:ind w:right="-1274"/>
        <w:jc w:val="both"/>
        <w:rPr>
          <w:rFonts w:ascii="Palatino Linotype" w:eastAsia="Palatino Linotype" w:hAnsi="Palatino Linotype" w:cs="Palatino Linotype"/>
          <w:color w:val="000000"/>
        </w:rPr>
      </w:pPr>
    </w:p>
    <w:p w:rsidR="00654CEF" w:rsidRDefault="00A2005B">
      <w:pPr>
        <w:numPr>
          <w:ilvl w:val="0"/>
          <w:numId w:val="2"/>
        </w:numPr>
        <w:pBdr>
          <w:top w:val="nil"/>
          <w:left w:val="nil"/>
          <w:bottom w:val="nil"/>
          <w:right w:val="nil"/>
          <w:between w:val="nil"/>
        </w:pBdr>
        <w:spacing w:line="360" w:lineRule="auto"/>
        <w:ind w:left="0" w:right="-1274" w:firstLine="0"/>
        <w:jc w:val="both"/>
        <w:rPr>
          <w:color w:val="000000"/>
        </w:rPr>
      </w:pPr>
      <w:r>
        <w:rPr>
          <w:rFonts w:ascii="Palatino Linotype" w:eastAsia="Palatino Linotype" w:hAnsi="Palatino Linotype" w:cs="Palatino Linotype"/>
          <w:color w:val="000000"/>
        </w:rPr>
        <w:t xml:space="preserve">Por lo que, el particular se inconformó porque no se entregó la  información  por parte del  </w:t>
      </w:r>
      <w:r>
        <w:rPr>
          <w:rFonts w:ascii="Palatino Linotype" w:eastAsia="Palatino Linotype" w:hAnsi="Palatino Linotype" w:cs="Palatino Linotype"/>
          <w:b/>
          <w:bCs/>
          <w:color w:val="000000"/>
        </w:rPr>
        <w:t>SUJETO OBLIGADO.</w:t>
      </w:r>
    </w:p>
    <w:p w:rsidR="00654CEF" w:rsidRDefault="00654CEF">
      <w:pPr>
        <w:pBdr>
          <w:top w:val="nil"/>
          <w:left w:val="nil"/>
          <w:bottom w:val="nil"/>
          <w:right w:val="nil"/>
          <w:between w:val="nil"/>
        </w:pBdr>
        <w:spacing w:line="360" w:lineRule="auto"/>
        <w:ind w:right="-1274"/>
        <w:jc w:val="both"/>
        <w:rPr>
          <w:rFonts w:ascii="Palatino Linotype" w:eastAsia="Palatino Linotype" w:hAnsi="Palatino Linotype" w:cs="Palatino Linotype"/>
          <w:color w:val="000000"/>
        </w:rPr>
      </w:pPr>
    </w:p>
    <w:p w:rsidR="00654CEF" w:rsidRDefault="00A2005B">
      <w:pPr>
        <w:numPr>
          <w:ilvl w:val="0"/>
          <w:numId w:val="2"/>
        </w:numPr>
        <w:spacing w:line="360" w:lineRule="auto"/>
        <w:ind w:left="0" w:right="-1274" w:firstLine="0"/>
        <w:jc w:val="both"/>
      </w:pPr>
      <w:r>
        <w:rPr>
          <w:rFonts w:ascii="Palatino Linotype" w:eastAsia="Palatino Linotype" w:hAnsi="Palatino Linotype" w:cs="Palatino Linotype"/>
        </w:rPr>
        <w:t xml:space="preserve">En dichas condiciones, la </w:t>
      </w:r>
      <w:r>
        <w:rPr>
          <w:rFonts w:ascii="Palatino Linotype" w:eastAsia="Palatino Linotype" w:hAnsi="Palatino Linotype" w:cs="Palatino Linotype"/>
          <w:i/>
          <w:iCs/>
        </w:rPr>
        <w:t>Litis</w:t>
      </w:r>
      <w:r>
        <w:rPr>
          <w:rFonts w:ascii="Palatino Linotype" w:eastAsia="Palatino Linotype" w:hAnsi="Palatino Linotype" w:cs="Palatino Linotype"/>
        </w:rPr>
        <w:t xml:space="preserve"> a resolver en este recurso se circunscribe a determinar si se actualizan las causales de procedencia previstas en el artículo 179, </w:t>
      </w:r>
      <w:r>
        <w:rPr>
          <w:rFonts w:ascii="Palatino Linotype" w:eastAsia="Palatino Linotype" w:hAnsi="Palatino Linotype" w:cs="Palatino Linotype"/>
          <w:b/>
          <w:bCs/>
        </w:rPr>
        <w:t xml:space="preserve">fracción I </w:t>
      </w:r>
      <w:r>
        <w:rPr>
          <w:rFonts w:ascii="Palatino Linotype" w:eastAsia="Palatino Linotype" w:hAnsi="Palatino Linotype" w:cs="Palatino Linotype"/>
        </w:rPr>
        <w:t xml:space="preserve">de la </w:t>
      </w:r>
      <w:r>
        <w:rPr>
          <w:rFonts w:ascii="Palatino Linotype" w:eastAsia="Palatino Linotype" w:hAnsi="Palatino Linotype" w:cs="Palatino Linotype"/>
          <w:b/>
          <w:bCs/>
        </w:rPr>
        <w:t>Ley de Transparencia y Acceso a la Información Pública del Estado de México y Municipios</w:t>
      </w:r>
      <w:r>
        <w:rPr>
          <w:rFonts w:ascii="Palatino Linotype" w:eastAsia="Palatino Linotype" w:hAnsi="Palatino Linotype" w:cs="Palatino Linotype"/>
        </w:rPr>
        <w:t xml:space="preserve">; </w:t>
      </w:r>
      <w:r>
        <w:rPr>
          <w:rFonts w:ascii="Palatino Linotype" w:eastAsia="Palatino Linotype" w:hAnsi="Palatino Linotype" w:cs="Palatino Linotype"/>
          <w:color w:val="000000"/>
        </w:rPr>
        <w:lastRenderedPageBreak/>
        <w:t xml:space="preserve">fracción que determina la negativa a la información solicitada; </w:t>
      </w:r>
      <w:r>
        <w:rPr>
          <w:rFonts w:ascii="Palatino Linotype" w:eastAsia="Palatino Linotype" w:hAnsi="Palatino Linotype" w:cs="Palatino Linotype"/>
        </w:rPr>
        <w:t xml:space="preserve">contexto del  cual se dolió </w:t>
      </w:r>
      <w:r>
        <w:rPr>
          <w:rFonts w:ascii="Palatino Linotype" w:eastAsia="Palatino Linotype" w:hAnsi="Palatino Linotype" w:cs="Palatino Linotype"/>
          <w:b/>
          <w:bCs/>
        </w:rPr>
        <w:t xml:space="preserve">EL RECURRENTE </w:t>
      </w:r>
      <w:r>
        <w:rPr>
          <w:rFonts w:ascii="Palatino Linotype" w:eastAsia="Palatino Linotype" w:hAnsi="Palatino Linotype" w:cs="Palatino Linotype"/>
        </w:rPr>
        <w:t>al momento de interponer su inconformidad.</w:t>
      </w:r>
      <w:r>
        <w:rPr>
          <w:rFonts w:ascii="Palatino Linotype" w:eastAsia="Palatino Linotype" w:hAnsi="Palatino Linotype" w:cs="Palatino Linotype"/>
          <w:color w:val="000000"/>
        </w:rPr>
        <w:t xml:space="preserve"> </w:t>
      </w:r>
    </w:p>
    <w:p w:rsidR="00654CEF" w:rsidRDefault="00654CEF">
      <w:pPr>
        <w:pBdr>
          <w:top w:val="nil"/>
          <w:left w:val="nil"/>
          <w:bottom w:val="nil"/>
          <w:right w:val="nil"/>
          <w:between w:val="nil"/>
        </w:pBdr>
        <w:ind w:left="720" w:right="-1274"/>
        <w:rPr>
          <w:rFonts w:ascii="Palatino Linotype" w:eastAsia="Palatino Linotype" w:hAnsi="Palatino Linotype" w:cs="Palatino Linotype"/>
          <w:color w:val="000000"/>
        </w:rPr>
      </w:pPr>
    </w:p>
    <w:p w:rsidR="00654CEF" w:rsidRDefault="00A2005B">
      <w:pPr>
        <w:numPr>
          <w:ilvl w:val="0"/>
          <w:numId w:val="2"/>
        </w:numPr>
        <w:spacing w:line="360" w:lineRule="auto"/>
        <w:ind w:left="0" w:right="-1274" w:firstLine="0"/>
        <w:jc w:val="both"/>
      </w:pPr>
      <w:r>
        <w:rPr>
          <w:rFonts w:ascii="Palatino Linotype" w:eastAsia="Palatino Linotype" w:hAnsi="Palatino Linotype" w:cs="Palatino Linotype"/>
          <w:color w:val="000000"/>
        </w:rPr>
        <w:t xml:space="preserve">De modo tal que el presente recurso de revisión se abocará en determinar si el </w:t>
      </w:r>
      <w:r>
        <w:rPr>
          <w:rFonts w:ascii="Palatino Linotype" w:eastAsia="Palatino Linotype" w:hAnsi="Palatino Linotype" w:cs="Palatino Linotype"/>
          <w:b/>
          <w:bCs/>
          <w:color w:val="000000"/>
        </w:rPr>
        <w:t>SUJETO</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b/>
          <w:bCs/>
          <w:color w:val="000000"/>
        </w:rPr>
        <w:t>OBLIGADO</w:t>
      </w:r>
      <w:r>
        <w:rPr>
          <w:rFonts w:ascii="Palatino Linotype" w:eastAsia="Palatino Linotype" w:hAnsi="Palatino Linotype" w:cs="Palatino Linotype"/>
          <w:color w:val="000000"/>
        </w:rPr>
        <w:t xml:space="preserve"> con su respuesta ciertamente actualiza las causales de procedencia</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antes señalada; asimismo, determinar si se vulnera el derecho de acceso a la información de la particular por la inobservancia a los principios contenidos en el artículo 11 de la Ley de Transparencia y Acceso a la Información Pública del Estado de México y Municipios, los cuales señala entre otros, que en la generación y entrega de información se deberá garantizar que sea oportuna, expedita, completa e integral.</w:t>
      </w:r>
    </w:p>
    <w:p w:rsidR="00654CEF" w:rsidRDefault="00654CEF">
      <w:pPr>
        <w:pStyle w:val="Ttulo2"/>
        <w:spacing w:before="0" w:line="360" w:lineRule="auto"/>
        <w:ind w:right="-1274"/>
        <w:rPr>
          <w:rFonts w:ascii="Palatino Linotype" w:eastAsia="Palatino Linotype" w:hAnsi="Palatino Linotype" w:cs="Palatino Linotype"/>
          <w:b/>
          <w:bCs/>
          <w:color w:val="000000"/>
          <w:sz w:val="24"/>
          <w:szCs w:val="24"/>
        </w:rPr>
      </w:pPr>
    </w:p>
    <w:p w:rsidR="00654CEF" w:rsidRDefault="00A2005B">
      <w:pPr>
        <w:pStyle w:val="Ttulo2"/>
        <w:spacing w:before="0"/>
        <w:ind w:right="-1274"/>
        <w:rPr>
          <w:rFonts w:ascii="Palatino Linotype" w:eastAsia="Palatino Linotype" w:hAnsi="Palatino Linotype" w:cs="Palatino Linotype"/>
          <w:b/>
          <w:bCs/>
          <w:color w:val="000000"/>
          <w:sz w:val="24"/>
          <w:szCs w:val="24"/>
          <w:highlight w:val="white"/>
        </w:rPr>
      </w:pPr>
      <w:r>
        <w:rPr>
          <w:rFonts w:ascii="Palatino Linotype" w:eastAsia="Palatino Linotype" w:hAnsi="Palatino Linotype" w:cs="Palatino Linotype"/>
          <w:b/>
          <w:bCs/>
          <w:color w:val="000000"/>
          <w:sz w:val="24"/>
          <w:szCs w:val="24"/>
          <w:highlight w:val="white"/>
        </w:rPr>
        <w:t>CUARTO. Del estudio y resolución del asunto.</w:t>
      </w:r>
    </w:p>
    <w:p w:rsidR="00654CEF" w:rsidRDefault="00A2005B">
      <w:pPr>
        <w:pStyle w:val="Ttulo1"/>
        <w:numPr>
          <w:ilvl w:val="0"/>
          <w:numId w:val="4"/>
        </w:numPr>
        <w:spacing w:before="0" w:after="240"/>
        <w:ind w:left="786" w:right="-1274" w:hanging="360"/>
        <w:rPr>
          <w:rFonts w:ascii="Palatino Linotype" w:eastAsia="Palatino Linotype" w:hAnsi="Palatino Linotype" w:cs="Palatino Linotype"/>
          <w:b/>
          <w:bCs/>
          <w:color w:val="000000"/>
          <w:sz w:val="24"/>
          <w:szCs w:val="24"/>
        </w:rPr>
      </w:pPr>
      <w:bookmarkStart w:id="6" w:name="_heading=h.2s8eyo1" w:colFirst="0" w:colLast="0"/>
      <w:bookmarkEnd w:id="6"/>
      <w:r>
        <w:rPr>
          <w:rFonts w:ascii="Palatino Linotype" w:eastAsia="Palatino Linotype" w:hAnsi="Palatino Linotype" w:cs="Palatino Linotype"/>
          <w:b/>
          <w:bCs/>
          <w:color w:val="000000"/>
          <w:sz w:val="24"/>
          <w:szCs w:val="24"/>
        </w:rPr>
        <w:t>Del derecho de acceso a la información.</w:t>
      </w:r>
    </w:p>
    <w:p w:rsidR="00654CEF" w:rsidRDefault="00A2005B">
      <w:pPr>
        <w:numPr>
          <w:ilvl w:val="0"/>
          <w:numId w:val="2"/>
        </w:numPr>
        <w:spacing w:line="360" w:lineRule="auto"/>
        <w:ind w:left="0" w:right="-1274" w:firstLine="0"/>
        <w:jc w:val="both"/>
        <w:rPr>
          <w:color w:val="000000"/>
        </w:rPr>
      </w:pPr>
      <w:r>
        <w:rPr>
          <w:rFonts w:ascii="Palatino Linotype" w:eastAsia="Palatino Linotype" w:hAnsi="Palatino Linotype" w:cs="Palatino Linotype"/>
          <w:color w:val="000000"/>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Particular del Estado de México. </w:t>
      </w:r>
    </w:p>
    <w:p w:rsidR="00654CEF" w:rsidRDefault="00A2005B">
      <w:pPr>
        <w:numPr>
          <w:ilvl w:val="0"/>
          <w:numId w:val="2"/>
        </w:numPr>
        <w:spacing w:before="240" w:line="360" w:lineRule="auto"/>
        <w:ind w:left="0" w:right="-1274" w:firstLine="0"/>
        <w:jc w:val="both"/>
      </w:pPr>
      <w:r>
        <w:rPr>
          <w:rFonts w:ascii="Palatino Linotype" w:eastAsia="Palatino Linotype" w:hAnsi="Palatino Linotype" w:cs="Palatino Linotype"/>
        </w:rPr>
        <w:t xml:space="preserve">Definiendo el Derecho de Acceso a la Información Pública como: </w:t>
      </w:r>
      <w:r>
        <w:rPr>
          <w:rFonts w:ascii="Palatino Linotype" w:eastAsia="Palatino Linotype" w:hAnsi="Palatino Linotype" w:cs="Palatino Linotype"/>
          <w:i/>
          <w:iCs/>
          <w:color w:val="000000"/>
        </w:rPr>
        <w:t>La igualdad de oportunidades para recibir, buscar e impartir información</w:t>
      </w:r>
      <w:r>
        <w:rPr>
          <w:rFonts w:ascii="Palatino Linotype" w:eastAsia="Palatino Linotype" w:hAnsi="Palatino Linotype" w:cs="Palatino Linotype"/>
          <w:i/>
          <w:iCs/>
          <w:vertAlign w:val="superscript"/>
        </w:rPr>
        <w:footnoteReference w:id="1"/>
      </w:r>
      <w:r>
        <w:rPr>
          <w:rFonts w:ascii="Palatino Linotype" w:eastAsia="Palatino Linotype" w:hAnsi="Palatino Linotype" w:cs="Palatino Linotype"/>
          <w:i/>
          <w:iCs/>
          <w:color w:val="000000"/>
        </w:rPr>
        <w:t xml:space="preserve">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Pr>
          <w:rFonts w:ascii="Palatino Linotype" w:eastAsia="Palatino Linotype" w:hAnsi="Palatino Linotype" w:cs="Palatino Linotype"/>
          <w:i/>
          <w:iCs/>
          <w:color w:val="000000"/>
        </w:rPr>
        <w:lastRenderedPageBreak/>
        <w:t>municipal,</w:t>
      </w:r>
      <w:r>
        <w:rPr>
          <w:rFonts w:ascii="Palatino Linotype" w:eastAsia="Palatino Linotype" w:hAnsi="Palatino Linotype" w:cs="Palatino Linotype"/>
          <w:i/>
          <w:iCs/>
          <w:vertAlign w:val="superscript"/>
        </w:rPr>
        <w:footnoteReference w:id="2"/>
      </w:r>
      <w:r>
        <w:rPr>
          <w:rFonts w:ascii="Palatino Linotype" w:eastAsia="Palatino Linotype" w:hAnsi="Palatino Linotype" w:cs="Palatino Linotype"/>
          <w:color w:val="000000"/>
        </w:rPr>
        <w:t>que se constituye como una herramienta fundamental para ejercer</w:t>
      </w:r>
      <w:r>
        <w:rPr>
          <w:rFonts w:ascii="Palatino Linotype" w:eastAsia="Palatino Linotype" w:hAnsi="Palatino Linotype" w:cs="Palatino Linotype"/>
          <w:i/>
          <w:iCs/>
          <w:color w:val="000000"/>
        </w:rPr>
        <w:t xml:space="preserve"> el control democrático de las gestiones estatales, de forma tal que puedan cuestionar, indagar y considerar si se está dando un adecuado cumplimiento a las funciones públicas,</w:t>
      </w:r>
      <w:r>
        <w:rPr>
          <w:rFonts w:ascii="Palatino Linotype" w:eastAsia="Palatino Linotype" w:hAnsi="Palatino Linotype" w:cs="Palatino Linotype"/>
          <w:i/>
          <w:iCs/>
          <w:vertAlign w:val="superscript"/>
        </w:rPr>
        <w:footnoteReference w:id="3"/>
      </w:r>
      <w:r>
        <w:rPr>
          <w:rFonts w:ascii="Palatino Linotype" w:eastAsia="Palatino Linotype" w:hAnsi="Palatino Linotype" w:cs="Palatino Linotype"/>
          <w:color w:val="000000"/>
        </w:rPr>
        <w:t>fomentando</w:t>
      </w:r>
      <w:r>
        <w:rPr>
          <w:rFonts w:ascii="Palatino Linotype" w:eastAsia="Palatino Linotype" w:hAnsi="Palatino Linotype" w:cs="Palatino Linotype"/>
          <w:i/>
          <w:iCs/>
          <w:color w:val="000000"/>
        </w:rPr>
        <w:t xml:space="preserve"> la transparencia de las actividades estatales y </w:t>
      </w:r>
      <w:r>
        <w:rPr>
          <w:rFonts w:ascii="Palatino Linotype" w:eastAsia="Palatino Linotype" w:hAnsi="Palatino Linotype" w:cs="Palatino Linotype"/>
          <w:color w:val="000000"/>
        </w:rPr>
        <w:t>promoviendo</w:t>
      </w:r>
      <w:r>
        <w:rPr>
          <w:rFonts w:ascii="Palatino Linotype" w:eastAsia="Palatino Linotype" w:hAnsi="Palatino Linotype" w:cs="Palatino Linotype"/>
          <w:i/>
          <w:iCs/>
          <w:color w:val="000000"/>
        </w:rPr>
        <w:t xml:space="preserve"> la responsabilidad de los funcionarios sobre su gestión pública,</w:t>
      </w:r>
      <w:r>
        <w:rPr>
          <w:rFonts w:ascii="Palatino Linotype" w:eastAsia="Palatino Linotype" w:hAnsi="Palatino Linotype" w:cs="Palatino Linotype"/>
          <w:i/>
          <w:iCs/>
          <w:vertAlign w:val="superscript"/>
        </w:rPr>
        <w:footnoteReference w:id="4"/>
      </w:r>
      <w:r>
        <w:rPr>
          <w:rFonts w:ascii="Palatino Linotype" w:eastAsia="Palatino Linotype" w:hAnsi="Palatino Linotype" w:cs="Palatino Linotype"/>
          <w:color w:val="000000"/>
        </w:rPr>
        <w:t>que permite</w:t>
      </w:r>
      <w:r>
        <w:rPr>
          <w:rFonts w:ascii="Palatino Linotype" w:eastAsia="Palatino Linotype" w:hAnsi="Palatino Linotype" w:cs="Palatino Linotype"/>
          <w:i/>
          <w:iCs/>
          <w:color w:val="000000"/>
        </w:rPr>
        <w:t xml:space="preserve"> saber qué están haciendo los gobiernos por sus pueblos, sin lo cual la verdad languidecería y la participación en el gobierno permanecería fragmentada.</w:t>
      </w:r>
    </w:p>
    <w:p w:rsidR="00654CEF" w:rsidRDefault="00654CEF">
      <w:pPr>
        <w:spacing w:line="360" w:lineRule="auto"/>
        <w:ind w:right="-1274"/>
        <w:jc w:val="both"/>
        <w:rPr>
          <w:rFonts w:ascii="Palatino Linotype" w:eastAsia="Palatino Linotype" w:hAnsi="Palatino Linotype" w:cs="Palatino Linotype"/>
        </w:rPr>
      </w:pPr>
    </w:p>
    <w:p w:rsidR="00654CEF" w:rsidRDefault="00A2005B">
      <w:pPr>
        <w:numPr>
          <w:ilvl w:val="0"/>
          <w:numId w:val="2"/>
        </w:numPr>
        <w:spacing w:line="360" w:lineRule="auto"/>
        <w:ind w:left="0" w:right="-1274" w:firstLine="0"/>
        <w:jc w:val="both"/>
      </w:pPr>
      <w:r>
        <w:rPr>
          <w:rFonts w:ascii="Palatino Linotype" w:eastAsia="Palatino Linotype" w:hAnsi="Palatino Linotype" w:cs="Palatino Linotype"/>
        </w:rPr>
        <w:t>En México, además de los derechos, están reconocidas las garantías para su protección, en ese sentido el párrafo tercero de artículo primero de la Constitución Política de los Estados Unidos Mexicanos dispone lo siguiente:</w:t>
      </w:r>
    </w:p>
    <w:p w:rsidR="00654CEF" w:rsidRDefault="00A2005B">
      <w:pPr>
        <w:ind w:left="1134" w:right="-1274"/>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Artículo 1.-</w:t>
      </w:r>
      <w:r>
        <w:rPr>
          <w:rFonts w:ascii="Palatino Linotype" w:eastAsia="Palatino Linotype" w:hAnsi="Palatino Linotype" w:cs="Palatino Linotype"/>
          <w:i/>
          <w:iCs/>
        </w:rPr>
        <w:t xml:space="preserve"> </w:t>
      </w:r>
    </w:p>
    <w:p w:rsidR="00654CEF" w:rsidRDefault="00A2005B">
      <w:pPr>
        <w:ind w:left="1134" w:right="-1274"/>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654CEF" w:rsidRDefault="00A2005B">
      <w:pPr>
        <w:ind w:left="1134" w:right="-1274"/>
        <w:jc w:val="both"/>
        <w:rPr>
          <w:rFonts w:ascii="Palatino Linotype" w:eastAsia="Palatino Linotype" w:hAnsi="Palatino Linotype" w:cs="Palatino Linotype"/>
          <w:i/>
          <w:iCs/>
        </w:rPr>
      </w:pPr>
      <w:r>
        <w:rPr>
          <w:rFonts w:ascii="Palatino Linotype" w:eastAsia="Palatino Linotype" w:hAnsi="Palatino Linotype" w:cs="Palatino Linotype"/>
          <w:i/>
          <w:iCs/>
        </w:rPr>
        <w:t>Todas las</w:t>
      </w:r>
      <w:r>
        <w:rPr>
          <w:rFonts w:ascii="Palatino Linotype" w:eastAsia="Palatino Linotype" w:hAnsi="Palatino Linotype" w:cs="Palatino Linotype"/>
        </w:rPr>
        <w:t xml:space="preserve"> </w:t>
      </w:r>
      <w:r>
        <w:rPr>
          <w:rFonts w:ascii="Palatino Linotype" w:eastAsia="Palatino Linotype" w:hAnsi="Palatino Linotype" w:cs="Palatino Linotype"/>
          <w:i/>
          <w:iCs/>
        </w:rPr>
        <w:t>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rsidR="00654CEF" w:rsidRDefault="00A2005B">
      <w:pPr>
        <w:ind w:left="1134" w:right="-1274"/>
        <w:jc w:val="both"/>
        <w:rPr>
          <w:rFonts w:ascii="Palatino Linotype" w:eastAsia="Palatino Linotype" w:hAnsi="Palatino Linotype" w:cs="Palatino Linotype"/>
        </w:rPr>
      </w:pPr>
      <w:r>
        <w:rPr>
          <w:rFonts w:ascii="Palatino Linotype" w:eastAsia="Palatino Linotype" w:hAnsi="Palatino Linotype" w:cs="Palatino Linotype"/>
          <w:i/>
          <w:iCs/>
        </w:rPr>
        <w:t>(…)</w:t>
      </w:r>
      <w:r>
        <w:rPr>
          <w:rFonts w:ascii="Palatino Linotype" w:eastAsia="Palatino Linotype" w:hAnsi="Palatino Linotype" w:cs="Palatino Linotype"/>
        </w:rPr>
        <w:t>”.</w:t>
      </w:r>
    </w:p>
    <w:p w:rsidR="00C40821" w:rsidRDefault="00C40821">
      <w:pPr>
        <w:ind w:left="1134" w:right="-1274"/>
        <w:jc w:val="both"/>
        <w:rPr>
          <w:rFonts w:ascii="Palatino Linotype" w:eastAsia="Palatino Linotype" w:hAnsi="Palatino Linotype" w:cs="Palatino Linotype"/>
        </w:rPr>
      </w:pPr>
    </w:p>
    <w:p w:rsidR="00654CEF" w:rsidRDefault="00A2005B">
      <w:pPr>
        <w:numPr>
          <w:ilvl w:val="0"/>
          <w:numId w:val="2"/>
        </w:numPr>
        <w:spacing w:line="360" w:lineRule="auto"/>
        <w:ind w:left="0" w:right="-1274" w:firstLine="0"/>
        <w:jc w:val="both"/>
      </w:pPr>
      <w:r>
        <w:rPr>
          <w:rFonts w:ascii="Palatino Linotype" w:eastAsia="Palatino Linotype" w:hAnsi="Palatino Linotype" w:cs="Palatino Linotype"/>
        </w:rPr>
        <w:t>Por lo anterior, se deduce que el Derecho de Acceso a la Información Pública es un Derecho Humano de Fuente Internacional y Constitucionalmente reconocido. Además del derecho, también se reconocen garantías para su protección, lo que vincula con el mandato del párrafo tercero del mismo artículo.</w:t>
      </w:r>
    </w:p>
    <w:p w:rsidR="00654CEF" w:rsidRDefault="00654CEF">
      <w:pPr>
        <w:spacing w:line="360" w:lineRule="auto"/>
        <w:ind w:right="-1274"/>
        <w:jc w:val="both"/>
        <w:rPr>
          <w:rFonts w:ascii="Palatino Linotype" w:eastAsia="Palatino Linotype" w:hAnsi="Palatino Linotype" w:cs="Palatino Linotype"/>
        </w:rPr>
      </w:pPr>
    </w:p>
    <w:p w:rsidR="00654CEF" w:rsidRDefault="00A2005B">
      <w:pPr>
        <w:numPr>
          <w:ilvl w:val="0"/>
          <w:numId w:val="2"/>
        </w:numPr>
        <w:spacing w:line="360" w:lineRule="auto"/>
        <w:ind w:left="0" w:right="-1274" w:firstLine="0"/>
        <w:jc w:val="both"/>
      </w:pPr>
      <w:r>
        <w:rPr>
          <w:rFonts w:ascii="Palatino Linotype" w:eastAsia="Palatino Linotype" w:hAnsi="Palatino Linotype" w:cs="Palatino Linotype"/>
        </w:rPr>
        <w:lastRenderedPageBreak/>
        <w:t>Así, conforme a la Constitución Política de las Estado Unidos Mexicanos y la Constitución Política del Estado Libre y Soberano de México respectivamente, el cumplimiento de las garantías primarias, entendidas como obligaciones inmediatamente relacionadas con el Derecho de Acceso a la Información Pública, permiten que todas las autoridades, en el ámbito de sus atribuciones lo respeten, protejan y garanticen.</w:t>
      </w:r>
    </w:p>
    <w:p w:rsidR="00654CEF" w:rsidRDefault="00A2005B">
      <w:pPr>
        <w:spacing w:after="240"/>
        <w:ind w:left="1134" w:right="-1274"/>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Constitución Política de los Estados Unidos Mexicanos</w:t>
      </w:r>
    </w:p>
    <w:p w:rsidR="00654CEF" w:rsidRDefault="00A2005B">
      <w:pPr>
        <w:spacing w:before="240" w:after="240"/>
        <w:ind w:left="1134" w:right="-1274"/>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“Artículo 6.</w:t>
      </w:r>
    </w:p>
    <w:p w:rsidR="00654CEF" w:rsidRDefault="00A2005B">
      <w:pPr>
        <w:spacing w:before="240" w:after="240"/>
        <w:ind w:left="1134" w:right="-1274"/>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654CEF" w:rsidRDefault="00A2005B">
      <w:pPr>
        <w:spacing w:before="240" w:after="240"/>
        <w:ind w:left="1134" w:right="-1274"/>
        <w:jc w:val="both"/>
        <w:rPr>
          <w:rFonts w:ascii="Palatino Linotype" w:eastAsia="Palatino Linotype" w:hAnsi="Palatino Linotype" w:cs="Palatino Linotype"/>
          <w:i/>
          <w:iCs/>
        </w:rPr>
      </w:pPr>
      <w:r>
        <w:rPr>
          <w:rFonts w:ascii="Palatino Linotype" w:eastAsia="Palatino Linotype" w:hAnsi="Palatino Linotype" w:cs="Palatino Linotype"/>
          <w:i/>
          <w:iCs/>
        </w:rPr>
        <w:t>Para efectos de lo dispuesto en el presente artículo se observará lo siguiente:</w:t>
      </w:r>
    </w:p>
    <w:p w:rsidR="00654CEF" w:rsidRDefault="00A2005B">
      <w:pPr>
        <w:spacing w:before="240" w:after="240"/>
        <w:ind w:left="1134" w:right="-1274"/>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A</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Para el ejercicio del derecho de acceso a la información</w:t>
      </w:r>
      <w:r>
        <w:rPr>
          <w:rFonts w:ascii="Palatino Linotype" w:eastAsia="Palatino Linotype" w:hAnsi="Palatino Linotype" w:cs="Palatino Linotype"/>
          <w:i/>
          <w:iCs/>
        </w:rPr>
        <w:t xml:space="preserve">, la Federación y </w:t>
      </w:r>
      <w:r>
        <w:rPr>
          <w:rFonts w:ascii="Palatino Linotype" w:eastAsia="Palatino Linotype" w:hAnsi="Palatino Linotype" w:cs="Palatino Linotype"/>
          <w:b/>
          <w:bCs/>
          <w:i/>
          <w:iCs/>
        </w:rPr>
        <w:t>las entidades federativas, en el ámbito de sus respectivas competencias, se regirán por los siguientes principios y bases:</w:t>
      </w:r>
    </w:p>
    <w:p w:rsidR="00654CEF" w:rsidRDefault="00A2005B">
      <w:pPr>
        <w:spacing w:before="240" w:after="240"/>
        <w:ind w:left="1134" w:right="-1274"/>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I. </w:t>
      </w:r>
      <w:r>
        <w:rPr>
          <w:rFonts w:ascii="Palatino Linotype" w:eastAsia="Palatino Linotype" w:hAnsi="Palatino Linotype" w:cs="Palatino Linotype"/>
          <w:b/>
          <w:bCs/>
          <w:i/>
          <w:iCs/>
        </w:rPr>
        <w:tab/>
        <w:t>Toda la información en posesión de cualquier</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autoridad</w:t>
      </w:r>
      <w:r>
        <w:rPr>
          <w:rFonts w:ascii="Palatino Linotype" w:eastAsia="Palatino Linotype" w:hAnsi="Palatino Linotype" w:cs="Palatino Linotype"/>
          <w:i/>
          <w:iCs/>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Pr>
          <w:rFonts w:ascii="Palatino Linotype" w:eastAsia="Palatino Linotype" w:hAnsi="Palatino Linotype" w:cs="Palatino Linotype"/>
          <w:b/>
          <w:bCs/>
          <w:i/>
          <w:iCs/>
        </w:rPr>
        <w:t>municipal</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es pública</w:t>
      </w:r>
      <w:r>
        <w:rPr>
          <w:rFonts w:ascii="Palatino Linotype" w:eastAsia="Palatino Linotype" w:hAnsi="Palatino Linotype" w:cs="Palatino Linotype"/>
          <w:i/>
          <w:iCs/>
        </w:rPr>
        <w:t xml:space="preserve"> y sólo podrá ser reservada temporalmente por razones de interés público y seguridad nacional, en los términos que fijen las leyes. </w:t>
      </w:r>
      <w:r>
        <w:rPr>
          <w:rFonts w:ascii="Palatino Linotype" w:eastAsia="Palatino Linotype" w:hAnsi="Palatino Linotype" w:cs="Palatino Linotype"/>
          <w:b/>
          <w:bCs/>
          <w:i/>
          <w:iCs/>
        </w:rPr>
        <w:t>En la interpretación de este derecho deberá prevalecer el principio de máxima publicidad. Los sujetos obligados deberán documentar todo acto que derive del ejercicio de sus facultades, competencias o funciones</w:t>
      </w:r>
      <w:r>
        <w:rPr>
          <w:rFonts w:ascii="Palatino Linotype" w:eastAsia="Palatino Linotype" w:hAnsi="Palatino Linotype" w:cs="Palatino Linotype"/>
          <w:i/>
          <w:iCs/>
        </w:rPr>
        <w:t>, la ley determinará los supuestos específicos bajo los cuales procederá la declaración de inexistencia de la información.”</w:t>
      </w:r>
    </w:p>
    <w:p w:rsidR="00654CEF" w:rsidRDefault="00654CEF">
      <w:pPr>
        <w:pBdr>
          <w:top w:val="nil"/>
          <w:left w:val="nil"/>
          <w:bottom w:val="nil"/>
          <w:right w:val="nil"/>
          <w:between w:val="nil"/>
        </w:pBdr>
        <w:tabs>
          <w:tab w:val="left" w:pos="567"/>
        </w:tabs>
        <w:spacing w:before="240" w:after="240"/>
        <w:ind w:left="1134" w:right="-1274"/>
        <w:jc w:val="both"/>
        <w:rPr>
          <w:rFonts w:ascii="Palatino Linotype" w:eastAsia="Palatino Linotype" w:hAnsi="Palatino Linotype" w:cs="Palatino Linotype"/>
          <w:b/>
          <w:bCs/>
          <w:i/>
          <w:iCs/>
          <w:color w:val="000000"/>
        </w:rPr>
      </w:pPr>
    </w:p>
    <w:p w:rsidR="00654CEF" w:rsidRDefault="00A2005B">
      <w:pPr>
        <w:spacing w:before="240" w:after="240"/>
        <w:ind w:left="1134" w:right="-1274"/>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Constitución Política del Estado Libre y Soberano de México</w:t>
      </w:r>
    </w:p>
    <w:p w:rsidR="00654CEF" w:rsidRDefault="00A2005B">
      <w:pPr>
        <w:spacing w:before="240" w:after="240"/>
        <w:ind w:left="1134" w:right="-1274"/>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5</w:t>
      </w:r>
      <w:r>
        <w:rPr>
          <w:rFonts w:ascii="Palatino Linotype" w:eastAsia="Palatino Linotype" w:hAnsi="Palatino Linotype" w:cs="Palatino Linotype"/>
          <w:i/>
          <w:iCs/>
        </w:rPr>
        <w:t xml:space="preserve">.- </w:t>
      </w:r>
    </w:p>
    <w:p w:rsidR="00654CEF" w:rsidRDefault="00A2005B">
      <w:pPr>
        <w:spacing w:before="240" w:after="240"/>
        <w:ind w:left="1134" w:right="-1274"/>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654CEF" w:rsidRDefault="00A2005B">
      <w:pPr>
        <w:spacing w:before="240" w:after="240"/>
        <w:ind w:left="1134" w:right="-1274"/>
        <w:jc w:val="both"/>
        <w:rPr>
          <w:rFonts w:ascii="Palatino Linotype" w:eastAsia="Palatino Linotype" w:hAnsi="Palatino Linotype" w:cs="Palatino Linotype"/>
          <w:i/>
          <w:iCs/>
        </w:rPr>
      </w:pPr>
      <w:r>
        <w:rPr>
          <w:rFonts w:ascii="Palatino Linotype" w:eastAsia="Palatino Linotype" w:hAnsi="Palatino Linotype" w:cs="Palatino Linotype"/>
          <w:b/>
          <w:bCs/>
          <w:i/>
          <w:iCs/>
        </w:rPr>
        <w:lastRenderedPageBreak/>
        <w:t>El derecho a la información será garantizado por el Estado. La ley establecerá las previsiones que permitan asegurar la protección, el respeto y la difusión de este derecho</w:t>
      </w:r>
      <w:r>
        <w:rPr>
          <w:rFonts w:ascii="Palatino Linotype" w:eastAsia="Palatino Linotype" w:hAnsi="Palatino Linotype" w:cs="Palatino Linotype"/>
          <w:i/>
          <w:iCs/>
        </w:rPr>
        <w:t>.</w:t>
      </w:r>
    </w:p>
    <w:p w:rsidR="00654CEF" w:rsidRDefault="00A2005B">
      <w:pPr>
        <w:spacing w:before="240" w:after="240"/>
        <w:ind w:left="1134" w:right="-1274"/>
        <w:jc w:val="both"/>
        <w:rPr>
          <w:rFonts w:ascii="Palatino Linotype" w:eastAsia="Palatino Linotype" w:hAnsi="Palatino Linotype" w:cs="Palatino Linotype"/>
          <w:i/>
          <w:iCs/>
        </w:rPr>
      </w:pPr>
      <w:r>
        <w:rPr>
          <w:rFonts w:ascii="Palatino Linotype" w:eastAsia="Palatino Linotype" w:hAnsi="Palatino Linotype" w:cs="Palatino Linotype"/>
          <w:i/>
          <w:iCs/>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rsidR="00654CEF" w:rsidRDefault="00A2005B">
      <w:pPr>
        <w:spacing w:before="240" w:after="240"/>
        <w:ind w:left="1134" w:right="-1274"/>
        <w:jc w:val="both"/>
        <w:rPr>
          <w:rFonts w:ascii="Palatino Linotype" w:eastAsia="Palatino Linotype" w:hAnsi="Palatino Linotype" w:cs="Palatino Linotype"/>
          <w:i/>
          <w:iCs/>
        </w:rPr>
      </w:pPr>
      <w:r>
        <w:rPr>
          <w:rFonts w:ascii="Palatino Linotype" w:eastAsia="Palatino Linotype" w:hAnsi="Palatino Linotype" w:cs="Palatino Linotype"/>
          <w:b/>
          <w:bCs/>
          <w:i/>
          <w:iCs/>
        </w:rPr>
        <w:t>Este derecho se regirá por los principios y bases siguientes</w:t>
      </w:r>
      <w:r>
        <w:rPr>
          <w:rFonts w:ascii="Palatino Linotype" w:eastAsia="Palatino Linotype" w:hAnsi="Palatino Linotype" w:cs="Palatino Linotype"/>
          <w:i/>
          <w:iCs/>
        </w:rPr>
        <w:t>:</w:t>
      </w:r>
    </w:p>
    <w:p w:rsidR="00654CEF" w:rsidRDefault="00A2005B">
      <w:pPr>
        <w:spacing w:before="240" w:after="240"/>
        <w:ind w:left="1134" w:right="-1274"/>
        <w:jc w:val="both"/>
        <w:rPr>
          <w:rFonts w:ascii="Palatino Linotype" w:eastAsia="Palatino Linotype" w:hAnsi="Palatino Linotype" w:cs="Palatino Linotype"/>
          <w:i/>
          <w:iCs/>
        </w:rPr>
      </w:pPr>
      <w:r>
        <w:rPr>
          <w:rFonts w:ascii="Palatino Linotype" w:eastAsia="Palatino Linotype" w:hAnsi="Palatino Linotype" w:cs="Palatino Linotype"/>
          <w:b/>
          <w:bCs/>
          <w:i/>
          <w:iCs/>
        </w:rPr>
        <w:t>I. Toda la información en posesión de cualquier autoridad, entidad, órgano y organismos de los</w:t>
      </w:r>
      <w:r>
        <w:rPr>
          <w:rFonts w:ascii="Palatino Linotype" w:eastAsia="Palatino Linotype" w:hAnsi="Palatino Linotype" w:cs="Palatino Linotype"/>
          <w:i/>
          <w:iCs/>
        </w:rPr>
        <w:t xml:space="preserve"> Poderes Ejecutivo, Legislativo y Judicial, órganos autónomos, partidos políticos, fideicomisos y fondos públicos estatales y </w:t>
      </w:r>
      <w:r>
        <w:rPr>
          <w:rFonts w:ascii="Palatino Linotype" w:eastAsia="Palatino Linotype" w:hAnsi="Palatino Linotype" w:cs="Palatino Linotype"/>
          <w:b/>
          <w:bCs/>
          <w:i/>
          <w:iCs/>
        </w:rPr>
        <w:t>municipales</w:t>
      </w:r>
      <w:r>
        <w:rPr>
          <w:rFonts w:ascii="Palatino Linotype" w:eastAsia="Palatino Linotype" w:hAnsi="Palatino Linotype" w:cs="Palatino Linotype"/>
          <w:i/>
          <w:iCs/>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Pr>
          <w:rFonts w:ascii="Palatino Linotype" w:eastAsia="Palatino Linotype" w:hAnsi="Palatino Linotype" w:cs="Palatino Linotype"/>
          <w:b/>
          <w:bCs/>
          <w:i/>
          <w:iCs/>
        </w:rPr>
        <w:t>es pública</w:t>
      </w:r>
      <w:r>
        <w:rPr>
          <w:rFonts w:ascii="Palatino Linotype" w:eastAsia="Palatino Linotype" w:hAnsi="Palatino Linotype" w:cs="Palatino Linotype"/>
          <w:i/>
          <w:iCs/>
        </w:rPr>
        <w:t xml:space="preserve"> y sólo podrá ser reservada temporalmente por razones previstas en la Constitución Política de los Estados Unidos Mexicanos de interés público y seguridad, en los términos que fijen las leyes. </w:t>
      </w:r>
      <w:r>
        <w:rPr>
          <w:rFonts w:ascii="Palatino Linotype" w:eastAsia="Palatino Linotype" w:hAnsi="Palatino Linotype" w:cs="Palatino Linotype"/>
          <w:b/>
          <w:bCs/>
          <w:i/>
          <w:iCs/>
        </w:rPr>
        <w:t>En la interpretación de este derecho deberá prevalecer el principio de máxima publicidad</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Los sujetos obligados deberán documentar todo acto que derive del ejercicio de sus facultades, competencias o funciones</w:t>
      </w:r>
      <w:r>
        <w:rPr>
          <w:rFonts w:ascii="Palatino Linotype" w:eastAsia="Palatino Linotype" w:hAnsi="Palatino Linotype" w:cs="Palatino Linotype"/>
          <w:i/>
          <w:iCs/>
        </w:rPr>
        <w:t>, la ley determinará los supuestos específicos bajo los cuales procederá la declaración de inexistencia de la información.”</w:t>
      </w:r>
    </w:p>
    <w:p w:rsidR="00654CEF" w:rsidRDefault="00654CEF">
      <w:pPr>
        <w:tabs>
          <w:tab w:val="left" w:pos="567"/>
        </w:tabs>
        <w:spacing w:before="240" w:after="240"/>
        <w:ind w:right="-1274"/>
        <w:jc w:val="both"/>
        <w:rPr>
          <w:rFonts w:ascii="Palatino Linotype" w:eastAsia="Palatino Linotype" w:hAnsi="Palatino Linotype" w:cs="Palatino Linotype"/>
          <w:b/>
          <w:bCs/>
          <w:i/>
          <w:iCs/>
        </w:rPr>
      </w:pPr>
    </w:p>
    <w:p w:rsidR="00654CEF" w:rsidRDefault="00A2005B">
      <w:pPr>
        <w:numPr>
          <w:ilvl w:val="0"/>
          <w:numId w:val="2"/>
        </w:numPr>
        <w:spacing w:before="240" w:line="360" w:lineRule="auto"/>
        <w:ind w:left="0" w:right="-1274" w:firstLine="0"/>
        <w:jc w:val="both"/>
      </w:pPr>
      <w:r>
        <w:rPr>
          <w:rFonts w:ascii="Palatino Linotype" w:eastAsia="Palatino Linotype" w:hAnsi="Palatino Linotype" w:cs="Palatino Linotype"/>
        </w:rPr>
        <w:t xml:space="preserve">Según el artículo 150 de la Ley de Transparencia del Estado, la solicitud es la garantía primaria del Derecho de Acceso a la Información, además, establece que se regirá </w:t>
      </w:r>
      <w:r>
        <w:rPr>
          <w:rFonts w:ascii="Palatino Linotype" w:eastAsia="Palatino Linotype" w:hAnsi="Palatino Linotype" w:cs="Palatino Linotype"/>
          <w:i/>
          <w:iCs/>
        </w:rPr>
        <w:t>por los principios de simplicidad, rapidez gratuidad del procedimiento, auxilio y orientación a los particulares</w:t>
      </w:r>
      <w:r>
        <w:rPr>
          <w:rFonts w:ascii="Palatino Linotype" w:eastAsia="Palatino Linotype" w:hAnsi="Palatino Linotype" w:cs="Palatino Linotype"/>
        </w:rPr>
        <w:t>, contemplando el derecho de las personas con discapacidad y hablantes de lengua indígena.</w:t>
      </w:r>
    </w:p>
    <w:p w:rsidR="00654CEF" w:rsidRDefault="00654CEF">
      <w:pPr>
        <w:spacing w:line="360" w:lineRule="auto"/>
        <w:ind w:right="-1274"/>
        <w:jc w:val="both"/>
        <w:rPr>
          <w:rFonts w:ascii="Palatino Linotype" w:eastAsia="Palatino Linotype" w:hAnsi="Palatino Linotype" w:cs="Palatino Linotype"/>
        </w:rPr>
      </w:pPr>
    </w:p>
    <w:p w:rsidR="00654CEF" w:rsidRDefault="00A2005B">
      <w:pPr>
        <w:numPr>
          <w:ilvl w:val="0"/>
          <w:numId w:val="2"/>
        </w:numPr>
        <w:spacing w:line="360" w:lineRule="auto"/>
        <w:ind w:left="0" w:right="-1274" w:firstLine="0"/>
        <w:jc w:val="both"/>
      </w:pPr>
      <w:r>
        <w:rPr>
          <w:rFonts w:ascii="Palatino Linotype" w:eastAsia="Palatino Linotype" w:hAnsi="Palatino Linotype" w:cs="Palatino Linotype"/>
        </w:rPr>
        <w:t xml:space="preserve">El Derecho de Acceso a la Información se garantiza y respeta oportunamente, y según lo que dispone la Ley, las </w:t>
      </w:r>
      <w:r>
        <w:rPr>
          <w:rFonts w:ascii="Palatino Linotype" w:eastAsia="Palatino Linotype" w:hAnsi="Palatino Linotype" w:cs="Palatino Linotype"/>
          <w:i/>
          <w:iCs/>
        </w:rPr>
        <w:t>solicitudes de acceso a la información</w:t>
      </w:r>
      <w:r>
        <w:rPr>
          <w:rFonts w:ascii="Palatino Linotype" w:eastAsia="Palatino Linotype" w:hAnsi="Palatino Linotype" w:cs="Palatino Linotype"/>
        </w:rPr>
        <w:t>.</w:t>
      </w:r>
    </w:p>
    <w:p w:rsidR="00654CEF" w:rsidRDefault="00654CEF">
      <w:pPr>
        <w:spacing w:line="360" w:lineRule="auto"/>
        <w:ind w:right="-1274"/>
        <w:jc w:val="both"/>
        <w:rPr>
          <w:rFonts w:ascii="Palatino Linotype" w:eastAsia="Palatino Linotype" w:hAnsi="Palatino Linotype" w:cs="Palatino Linotype"/>
        </w:rPr>
      </w:pPr>
    </w:p>
    <w:p w:rsidR="00654CEF" w:rsidRDefault="00A2005B">
      <w:pPr>
        <w:numPr>
          <w:ilvl w:val="0"/>
          <w:numId w:val="2"/>
        </w:numPr>
        <w:spacing w:line="360" w:lineRule="auto"/>
        <w:ind w:left="0" w:right="-1274" w:firstLine="0"/>
        <w:jc w:val="both"/>
      </w:pPr>
      <w:bookmarkStart w:id="7" w:name="_heading=h.17dp8vu" w:colFirst="0" w:colLast="0"/>
      <w:bookmarkEnd w:id="7"/>
      <w:r>
        <w:rPr>
          <w:rFonts w:ascii="Palatino Linotype" w:eastAsia="Palatino Linotype" w:hAnsi="Palatino Linotype" w:cs="Palatino Linotype"/>
        </w:rPr>
        <w:lastRenderedPageBreak/>
        <w:t xml:space="preserve">Así entonces, se procede analizar, en primer lugar, si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al atender la solicitud de acceso a la información, satisfizo la garantía primaria del derecho según lo dispuesto por el artículo 150 de la Ley de Transparencia y Acceso a la Información Pública del Estado de México y Municipios y en segundo término si cumplió con su deber de respetar y garantizar el derecho, entregando la información solicitada.</w:t>
      </w:r>
    </w:p>
    <w:p w:rsidR="00654CEF" w:rsidRDefault="00654CEF">
      <w:pPr>
        <w:spacing w:line="360" w:lineRule="auto"/>
        <w:ind w:right="-1274"/>
        <w:jc w:val="both"/>
        <w:rPr>
          <w:rFonts w:ascii="Palatino Linotype" w:eastAsia="Palatino Linotype" w:hAnsi="Palatino Linotype" w:cs="Palatino Linotype"/>
        </w:rPr>
      </w:pPr>
    </w:p>
    <w:p w:rsidR="00654CEF" w:rsidRDefault="00A2005B">
      <w:pPr>
        <w:pStyle w:val="Ttulo1"/>
        <w:spacing w:before="0" w:after="240"/>
        <w:ind w:right="-1274"/>
        <w:rPr>
          <w:rFonts w:ascii="Palatino Linotype" w:eastAsia="Palatino Linotype" w:hAnsi="Palatino Linotype" w:cs="Palatino Linotype"/>
          <w:b/>
          <w:bCs/>
          <w:color w:val="000000"/>
          <w:sz w:val="24"/>
          <w:szCs w:val="24"/>
        </w:rPr>
      </w:pPr>
      <w:bookmarkStart w:id="8" w:name="_heading=h.3rdcrjn" w:colFirst="0" w:colLast="0"/>
      <w:bookmarkEnd w:id="8"/>
      <w:r>
        <w:rPr>
          <w:rFonts w:ascii="Palatino Linotype" w:eastAsia="Palatino Linotype" w:hAnsi="Palatino Linotype" w:cs="Palatino Linotype"/>
          <w:b/>
          <w:bCs/>
          <w:color w:val="000000"/>
          <w:sz w:val="24"/>
          <w:szCs w:val="24"/>
        </w:rPr>
        <w:t>II. De la información solicitada y la respuesta del SUJETO OBLIGADO</w:t>
      </w:r>
    </w:p>
    <w:p w:rsidR="00654CEF" w:rsidRDefault="00A2005B">
      <w:pPr>
        <w:numPr>
          <w:ilvl w:val="0"/>
          <w:numId w:val="2"/>
        </w:numPr>
        <w:spacing w:line="360" w:lineRule="auto"/>
        <w:ind w:left="0" w:right="-1274" w:firstLine="0"/>
        <w:jc w:val="both"/>
      </w:pPr>
      <w:r>
        <w:rPr>
          <w:rFonts w:ascii="Palatino Linotype" w:eastAsia="Palatino Linotype" w:hAnsi="Palatino Linotype" w:cs="Palatino Linotype"/>
          <w:color w:val="000000"/>
        </w:rPr>
        <w:t xml:space="preserve">Acotada la </w:t>
      </w:r>
      <w:r>
        <w:rPr>
          <w:rFonts w:ascii="Palatino Linotype" w:eastAsia="Palatino Linotype" w:hAnsi="Palatino Linotype" w:cs="Palatino Linotype"/>
          <w:i/>
          <w:iCs/>
          <w:color w:val="000000"/>
        </w:rPr>
        <w:t>Litis</w:t>
      </w:r>
      <w:r>
        <w:rPr>
          <w:rFonts w:ascii="Palatino Linotype" w:eastAsia="Palatino Linotype" w:hAnsi="Palatino Linotype" w:cs="Palatino Linotype"/>
          <w:color w:val="000000"/>
        </w:rPr>
        <w:t xml:space="preserve"> del presente asunto, primeramente es menester precisar que del escrito de inconformidad, se observa que el particular se duele porque no se le entrega la información. </w:t>
      </w:r>
    </w:p>
    <w:p w:rsidR="00654CEF" w:rsidRDefault="00654CEF">
      <w:pPr>
        <w:spacing w:line="360" w:lineRule="auto"/>
        <w:ind w:right="-1274"/>
        <w:jc w:val="both"/>
        <w:rPr>
          <w:rFonts w:ascii="Palatino Linotype" w:eastAsia="Palatino Linotype" w:hAnsi="Palatino Linotype" w:cs="Palatino Linotype"/>
        </w:rPr>
      </w:pPr>
    </w:p>
    <w:p w:rsidR="00654CEF" w:rsidRDefault="00A2005B">
      <w:pPr>
        <w:numPr>
          <w:ilvl w:val="0"/>
          <w:numId w:val="2"/>
        </w:numPr>
        <w:spacing w:line="360" w:lineRule="auto"/>
        <w:ind w:left="0" w:right="-1274" w:firstLine="0"/>
        <w:jc w:val="both"/>
      </w:pPr>
      <w:r>
        <w:rPr>
          <w:rFonts w:ascii="Palatino Linotype" w:eastAsia="Palatino Linotype" w:hAnsi="Palatino Linotype" w:cs="Palatino Linotype"/>
        </w:rPr>
        <w:t xml:space="preserve">En ese sentido, es importante recordar la información que fue solicitada por el </w:t>
      </w:r>
      <w:r>
        <w:rPr>
          <w:rFonts w:ascii="Palatino Linotype" w:eastAsia="Palatino Linotype" w:hAnsi="Palatino Linotype" w:cs="Palatino Linotype"/>
          <w:b/>
          <w:bCs/>
        </w:rPr>
        <w:t xml:space="preserve">RECURRENTE. </w:t>
      </w:r>
    </w:p>
    <w:p w:rsidR="00654CEF" w:rsidRDefault="00A2005B">
      <w:pPr>
        <w:numPr>
          <w:ilvl w:val="3"/>
          <w:numId w:val="2"/>
        </w:numPr>
        <w:pBdr>
          <w:top w:val="nil"/>
          <w:left w:val="nil"/>
          <w:bottom w:val="nil"/>
          <w:right w:val="nil"/>
          <w:between w:val="nil"/>
        </w:pBdr>
        <w:spacing w:line="360" w:lineRule="auto"/>
        <w:ind w:left="1134" w:right="-1274"/>
        <w:jc w:val="center"/>
        <w:rPr>
          <w:rFonts w:ascii="Palatino Linotype" w:eastAsia="Palatino Linotype" w:hAnsi="Palatino Linotype" w:cs="Palatino Linotype"/>
          <w:i/>
          <w:iCs/>
          <w:color w:val="000000"/>
        </w:rPr>
      </w:pPr>
      <w:r>
        <w:rPr>
          <w:rFonts w:ascii="Verdana" w:eastAsia="Verdana" w:hAnsi="Verdana" w:cs="Verdana"/>
          <w:color w:val="000000"/>
        </w:rPr>
        <w:t> </w:t>
      </w:r>
      <w:r>
        <w:rPr>
          <w:rFonts w:ascii="Palatino Linotype" w:eastAsia="Palatino Linotype" w:hAnsi="Palatino Linotype" w:cs="Palatino Linotype"/>
          <w:i/>
          <w:iCs/>
          <w:color w:val="000000"/>
        </w:rPr>
        <w:t>Oficio enviado del Jardín de Niños Rosa Agazzi con CCT 15EJN0661P al Ayuntamiento de Tepotzotlán para el retiro de ambulantaje en el acceso al plantel escolar.</w:t>
      </w:r>
    </w:p>
    <w:p w:rsidR="00C40821" w:rsidRDefault="00C40821">
      <w:pPr>
        <w:numPr>
          <w:ilvl w:val="3"/>
          <w:numId w:val="2"/>
        </w:numPr>
        <w:pBdr>
          <w:top w:val="nil"/>
          <w:left w:val="nil"/>
          <w:bottom w:val="nil"/>
          <w:right w:val="nil"/>
          <w:between w:val="nil"/>
        </w:pBdr>
        <w:spacing w:line="360" w:lineRule="auto"/>
        <w:ind w:left="1134" w:right="-1274"/>
        <w:jc w:val="center"/>
        <w:rPr>
          <w:rFonts w:ascii="Palatino Linotype" w:eastAsia="Palatino Linotype" w:hAnsi="Palatino Linotype" w:cs="Palatino Linotype"/>
          <w:i/>
          <w:iCs/>
          <w:color w:val="000000"/>
        </w:rPr>
      </w:pPr>
    </w:p>
    <w:p w:rsidR="00654CEF" w:rsidRDefault="00A2005B">
      <w:pPr>
        <w:numPr>
          <w:ilvl w:val="0"/>
          <w:numId w:val="2"/>
        </w:numPr>
        <w:spacing w:line="360" w:lineRule="auto"/>
        <w:ind w:left="0" w:right="-1274" w:firstLine="0"/>
        <w:jc w:val="both"/>
      </w:pPr>
      <w:r>
        <w:rPr>
          <w:rFonts w:ascii="Palatino Linotype" w:eastAsia="Palatino Linotype" w:hAnsi="Palatino Linotype" w:cs="Palatino Linotype"/>
        </w:rPr>
        <w:t xml:space="preserve">De lo anterior, el </w:t>
      </w:r>
      <w:r>
        <w:rPr>
          <w:rFonts w:ascii="Palatino Linotype" w:eastAsia="Palatino Linotype" w:hAnsi="Palatino Linotype" w:cs="Palatino Linotype"/>
          <w:b/>
          <w:bCs/>
        </w:rPr>
        <w:t xml:space="preserve">SUJETO OBLIGADO </w:t>
      </w:r>
      <w:r>
        <w:rPr>
          <w:rFonts w:ascii="Palatino Linotype" w:eastAsia="Palatino Linotype" w:hAnsi="Palatino Linotype" w:cs="Palatino Linotype"/>
        </w:rPr>
        <w:t>refirió incompetencia a por cuanto hace a la gestión del comercio ambulante en el municipio donde se ubica el plantel educativo, señalando tal atribución al Ayuntamiento de Tepotzotlán.</w:t>
      </w:r>
    </w:p>
    <w:p w:rsidR="00654CEF" w:rsidRDefault="00654CEF">
      <w:pPr>
        <w:spacing w:line="360" w:lineRule="auto"/>
        <w:ind w:right="-1274"/>
        <w:jc w:val="both"/>
        <w:rPr>
          <w:rFonts w:ascii="Palatino Linotype" w:eastAsia="Palatino Linotype" w:hAnsi="Palatino Linotype" w:cs="Palatino Linotype"/>
          <w:i/>
          <w:iCs/>
        </w:rPr>
      </w:pPr>
    </w:p>
    <w:p w:rsidR="00654CEF" w:rsidRDefault="00A2005B">
      <w:pPr>
        <w:numPr>
          <w:ilvl w:val="0"/>
          <w:numId w:val="2"/>
        </w:numPr>
        <w:spacing w:line="360" w:lineRule="auto"/>
        <w:ind w:left="0" w:right="-1274" w:firstLine="0"/>
        <w:jc w:val="both"/>
      </w:pPr>
      <w:r>
        <w:rPr>
          <w:rFonts w:ascii="Palatino Linotype" w:eastAsia="Palatino Linotype" w:hAnsi="Palatino Linotype" w:cs="Palatino Linotype"/>
        </w:rPr>
        <w:t xml:space="preserve"> Así también el Servidor Público Habilitado señaló la inexistencia de oficios que gestionen el retiro del ambulantaje ante el Ayuntamiento de Tepotzotlán.</w:t>
      </w:r>
    </w:p>
    <w:p w:rsidR="00654CEF" w:rsidRDefault="00654CEF">
      <w:pPr>
        <w:tabs>
          <w:tab w:val="left" w:pos="426"/>
        </w:tabs>
        <w:ind w:right="-1274"/>
        <w:jc w:val="both"/>
        <w:rPr>
          <w:rFonts w:ascii="Palatino Linotype" w:eastAsia="Palatino Linotype" w:hAnsi="Palatino Linotype" w:cs="Palatino Linotype"/>
          <w:i/>
          <w:iCs/>
          <w:color w:val="000000"/>
        </w:rPr>
      </w:pPr>
    </w:p>
    <w:p w:rsidR="00654CEF" w:rsidRDefault="00A2005B">
      <w:pPr>
        <w:numPr>
          <w:ilvl w:val="0"/>
          <w:numId w:val="2"/>
        </w:numPr>
        <w:pBdr>
          <w:top w:val="nil"/>
          <w:left w:val="nil"/>
          <w:bottom w:val="nil"/>
          <w:right w:val="nil"/>
          <w:between w:val="nil"/>
        </w:pBdr>
        <w:spacing w:line="360" w:lineRule="auto"/>
        <w:ind w:left="0" w:right="-1274"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lastRenderedPageBreak/>
        <w:t xml:space="preserve">Resulta importante establecer, que el servidor público habilitado que emitió la respuesta en cita  admite ser poseedor de la información, por lo cual, no es necesario estudiar si este es competente para conocer y en su caso dar respuesta a la solicitud, pues al mencionar que pone a disposición la información solicitada, </w:t>
      </w:r>
      <w:r>
        <w:rPr>
          <w:rFonts w:ascii="Palatino Linotype" w:eastAsia="Palatino Linotype" w:hAnsi="Palatino Linotype" w:cs="Palatino Linotype"/>
        </w:rPr>
        <w:t>esté</w:t>
      </w:r>
      <w:r>
        <w:rPr>
          <w:rFonts w:ascii="Palatino Linotype" w:eastAsia="Palatino Linotype" w:hAnsi="Palatino Linotype" w:cs="Palatino Linotype"/>
          <w:color w:val="000000"/>
        </w:rPr>
        <w:t xml:space="preserve"> reconoce contar con la misma.</w:t>
      </w:r>
    </w:p>
    <w:p w:rsidR="00654CEF" w:rsidRDefault="00654CEF">
      <w:pPr>
        <w:pBdr>
          <w:top w:val="nil"/>
          <w:left w:val="nil"/>
          <w:bottom w:val="nil"/>
          <w:right w:val="nil"/>
          <w:between w:val="nil"/>
        </w:pBdr>
        <w:spacing w:line="360" w:lineRule="auto"/>
        <w:ind w:right="-1274"/>
        <w:jc w:val="both"/>
        <w:rPr>
          <w:rFonts w:ascii="Palatino Linotype" w:eastAsia="Palatino Linotype" w:hAnsi="Palatino Linotype" w:cs="Palatino Linotype"/>
          <w:i/>
          <w:iCs/>
          <w:color w:val="000000"/>
        </w:rPr>
      </w:pPr>
    </w:p>
    <w:p w:rsidR="00654CEF" w:rsidRDefault="00A2005B">
      <w:pPr>
        <w:numPr>
          <w:ilvl w:val="0"/>
          <w:numId w:val="2"/>
        </w:numPr>
        <w:pBdr>
          <w:top w:val="nil"/>
          <w:left w:val="nil"/>
          <w:bottom w:val="nil"/>
          <w:right w:val="nil"/>
          <w:between w:val="nil"/>
        </w:pBdr>
        <w:spacing w:line="360" w:lineRule="auto"/>
        <w:ind w:left="0" w:right="-1274" w:firstLine="0"/>
        <w:jc w:val="both"/>
        <w:rPr>
          <w:color w:val="000000"/>
        </w:rPr>
      </w:pPr>
      <w:r>
        <w:rPr>
          <w:rFonts w:ascii="Palatino Linotype" w:eastAsia="Palatino Linotype" w:hAnsi="Palatino Linotype" w:cs="Palatino Linotype"/>
        </w:rPr>
        <w:t>Al respecto, se precisa que se obvia el análisis de la competencia por parte del SUJETO OBLIGADO, para generar, administrar o poseer la información solicitada, dado que éste ha asumido la misma, en razón de que en su respuesta admitió contar con dicha información.</w:t>
      </w:r>
    </w:p>
    <w:p w:rsidR="00654CEF" w:rsidRDefault="00654CEF">
      <w:pPr>
        <w:pBdr>
          <w:top w:val="nil"/>
          <w:left w:val="nil"/>
          <w:bottom w:val="nil"/>
          <w:right w:val="nil"/>
          <w:between w:val="nil"/>
        </w:pBdr>
        <w:ind w:right="-1274"/>
        <w:rPr>
          <w:rFonts w:ascii="Palatino Linotype" w:eastAsia="Palatino Linotype" w:hAnsi="Palatino Linotype" w:cs="Palatino Linotype"/>
          <w:color w:val="000000"/>
        </w:rPr>
      </w:pPr>
    </w:p>
    <w:p w:rsidR="00654CEF" w:rsidRDefault="00A2005B">
      <w:pPr>
        <w:numPr>
          <w:ilvl w:val="0"/>
          <w:numId w:val="2"/>
        </w:numPr>
        <w:pBdr>
          <w:top w:val="nil"/>
          <w:left w:val="nil"/>
          <w:bottom w:val="nil"/>
          <w:right w:val="nil"/>
          <w:between w:val="nil"/>
        </w:pBdr>
        <w:spacing w:line="360" w:lineRule="auto"/>
        <w:ind w:left="0" w:right="-1274" w:firstLine="0"/>
        <w:jc w:val="both"/>
        <w:rPr>
          <w:color w:val="000000"/>
        </w:rPr>
      </w:pPr>
      <w:r>
        <w:rPr>
          <w:rFonts w:ascii="Palatino Linotype" w:eastAsia="Palatino Linotype" w:hAnsi="Palatino Linotype" w:cs="Palatino Linotype"/>
          <w:color w:val="000000"/>
        </w:rPr>
        <w:t>En efecto, el hecho de que EL SUJETO OBLIGADO haya admitido contar con la información pública solicitada, acepta que la genera, posee y administra, en ejercicio de sus funciones de derecho público, motivo por el cual se actualiza el supuesto jurídico, previsto en el artículo 12 de la Ley de Transparencia y Acceso a la Información Pública del Estado de México y Municipios.</w:t>
      </w:r>
    </w:p>
    <w:p w:rsidR="00654CEF" w:rsidRDefault="00A2005B">
      <w:pPr>
        <w:shd w:val="clear" w:color="auto" w:fill="FFFFFF"/>
        <w:ind w:left="1134" w:right="-1274"/>
        <w:jc w:val="both"/>
        <w:rPr>
          <w:rFonts w:ascii="Palatino Linotype" w:eastAsia="Palatino Linotype" w:hAnsi="Palatino Linotype" w:cs="Palatino Linotype"/>
          <w:i/>
          <w:iCs/>
          <w:color w:val="222222"/>
        </w:rPr>
      </w:pPr>
      <w:r>
        <w:rPr>
          <w:rFonts w:ascii="Palatino Linotype" w:eastAsia="Palatino Linotype" w:hAnsi="Palatino Linotype" w:cs="Palatino Linotype"/>
          <w:i/>
          <w:iCs/>
          <w:color w:val="222222"/>
        </w:rPr>
        <w:t>“</w:t>
      </w:r>
      <w:r>
        <w:rPr>
          <w:rFonts w:ascii="Palatino Linotype" w:eastAsia="Palatino Linotype" w:hAnsi="Palatino Linotype" w:cs="Palatino Linotype"/>
          <w:b/>
          <w:bCs/>
          <w:i/>
          <w:iCs/>
          <w:color w:val="222222"/>
        </w:rPr>
        <w:t>Artículo 12.</w:t>
      </w:r>
      <w:r>
        <w:rPr>
          <w:rFonts w:ascii="Palatino Linotype" w:eastAsia="Palatino Linotype" w:hAnsi="Palatino Linotype" w:cs="Palatino Linotype"/>
          <w:i/>
          <w:iCs/>
          <w:color w:val="222222"/>
        </w:rPr>
        <w:t> Quienes generen, recopilen, administren, manejen, procesen, archiven o conserven información pública serán responsables de la misma en los términos de las disposiciones jurídicas aplicables.</w:t>
      </w:r>
    </w:p>
    <w:p w:rsidR="00654CEF" w:rsidRDefault="00654CEF">
      <w:pPr>
        <w:shd w:val="clear" w:color="auto" w:fill="FFFFFF"/>
        <w:ind w:left="1134" w:right="-1274"/>
        <w:jc w:val="both"/>
        <w:rPr>
          <w:rFonts w:ascii="Palatino Linotype" w:eastAsia="Palatino Linotype" w:hAnsi="Palatino Linotype" w:cs="Palatino Linotype"/>
          <w:color w:val="222222"/>
        </w:rPr>
      </w:pPr>
    </w:p>
    <w:p w:rsidR="00654CEF" w:rsidRDefault="00A2005B">
      <w:pPr>
        <w:shd w:val="clear" w:color="auto" w:fill="FFFFFF"/>
        <w:ind w:left="1134" w:right="-1274"/>
        <w:jc w:val="both"/>
        <w:rPr>
          <w:rFonts w:ascii="Palatino Linotype" w:eastAsia="Palatino Linotype" w:hAnsi="Palatino Linotype" w:cs="Palatino Linotype"/>
          <w:i/>
          <w:iCs/>
          <w:color w:val="222222"/>
        </w:rPr>
      </w:pPr>
      <w:r>
        <w:rPr>
          <w:rFonts w:ascii="Palatino Linotype" w:eastAsia="Palatino Linotype" w:hAnsi="Palatino Linotype" w:cs="Palatino Linotype"/>
          <w:i/>
          <w:iCs/>
          <w:color w:val="222222"/>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rsidR="00654CEF" w:rsidRDefault="00654CEF">
      <w:pPr>
        <w:spacing w:line="360" w:lineRule="auto"/>
        <w:ind w:right="-1274"/>
        <w:jc w:val="both"/>
        <w:rPr>
          <w:rFonts w:ascii="Palatino Linotype" w:eastAsia="Palatino Linotype" w:hAnsi="Palatino Linotype" w:cs="Palatino Linotype"/>
        </w:rPr>
      </w:pPr>
    </w:p>
    <w:p w:rsidR="00654CEF" w:rsidRDefault="00A2005B">
      <w:pPr>
        <w:numPr>
          <w:ilvl w:val="0"/>
          <w:numId w:val="2"/>
        </w:numPr>
        <w:pBdr>
          <w:top w:val="nil"/>
          <w:left w:val="nil"/>
          <w:bottom w:val="nil"/>
          <w:right w:val="nil"/>
          <w:between w:val="nil"/>
        </w:pBdr>
        <w:spacing w:line="360" w:lineRule="auto"/>
        <w:ind w:left="0" w:right="-1274" w:firstLine="0"/>
        <w:jc w:val="both"/>
        <w:rPr>
          <w:color w:val="000000"/>
        </w:rPr>
      </w:pPr>
      <w:r>
        <w:rPr>
          <w:rFonts w:ascii="Palatino Linotype" w:eastAsia="Palatino Linotype" w:hAnsi="Palatino Linotype" w:cs="Palatino Linotype"/>
          <w:color w:val="000000"/>
        </w:rPr>
        <w:t xml:space="preserve">Así, el estudio de la naturaleza jurídica de la información pública solicitada, tiene por objeto determinar si ésta la genera, posee o administra EL SUJETO OBLIGADO; sin embargo, en aquellos casos en que éste la asume, a nada práctico nos conduciría su estudio, ya que se insiste, dicha información, fue admitida por el mismo; por lo que, la genera, posee y </w:t>
      </w:r>
      <w:r>
        <w:rPr>
          <w:rFonts w:ascii="Palatino Linotype" w:eastAsia="Palatino Linotype" w:hAnsi="Palatino Linotype" w:cs="Palatino Linotype"/>
          <w:color w:val="000000"/>
        </w:rPr>
        <w:lastRenderedPageBreak/>
        <w:t>administra, en ejercicio de sus funciones de derecho público, motivo por el cual, se actualiza el supuesto jurídico, previsto en el artículo 12 de la Ley de la materia, anteriormente referido.</w:t>
      </w:r>
    </w:p>
    <w:p w:rsidR="00654CEF" w:rsidRDefault="00654CEF">
      <w:pPr>
        <w:pBdr>
          <w:top w:val="nil"/>
          <w:left w:val="nil"/>
          <w:bottom w:val="nil"/>
          <w:right w:val="nil"/>
          <w:between w:val="nil"/>
        </w:pBdr>
        <w:ind w:left="720" w:right="-1274"/>
        <w:rPr>
          <w:rFonts w:ascii="Palatino Linotype" w:eastAsia="Palatino Linotype" w:hAnsi="Palatino Linotype" w:cs="Palatino Linotype"/>
          <w:color w:val="000000"/>
        </w:rPr>
      </w:pPr>
    </w:p>
    <w:p w:rsidR="00654CEF" w:rsidRDefault="00A2005B">
      <w:pPr>
        <w:numPr>
          <w:ilvl w:val="0"/>
          <w:numId w:val="2"/>
        </w:numPr>
        <w:pBdr>
          <w:top w:val="nil"/>
          <w:left w:val="nil"/>
          <w:bottom w:val="nil"/>
          <w:right w:val="nil"/>
          <w:between w:val="nil"/>
        </w:pBdr>
        <w:spacing w:line="360" w:lineRule="auto"/>
        <w:ind w:left="0" w:right="-1274" w:firstLine="0"/>
        <w:jc w:val="both"/>
        <w:rPr>
          <w:color w:val="000000"/>
        </w:rPr>
      </w:pPr>
      <w:r>
        <w:rPr>
          <w:rFonts w:ascii="Palatino Linotype" w:eastAsia="Palatino Linotype" w:hAnsi="Palatino Linotype" w:cs="Palatino Linotype"/>
          <w:color w:val="000000"/>
        </w:rPr>
        <w:t>Ahora bien, sobre el requerimiento de nuestra atención, se aprecia que el particular fue omiso en precisar temporalidad; siendo aplicable el criterio orientador 03/19 emitido por el entonces Instituto Nacional de Transparencia Acceso a la Información y Protección de Datos Personales, INAI, en el cual es del tenor literal siguiente:</w:t>
      </w:r>
    </w:p>
    <w:p w:rsidR="00654CEF" w:rsidRDefault="00A2005B">
      <w:pPr>
        <w:pBdr>
          <w:top w:val="nil"/>
          <w:left w:val="nil"/>
          <w:bottom w:val="nil"/>
          <w:right w:val="nil"/>
          <w:between w:val="nil"/>
        </w:pBdr>
        <w:ind w:left="1134" w:right="-1274"/>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r>
        <w:rPr>
          <w:rFonts w:ascii="Palatino Linotype" w:eastAsia="Palatino Linotype" w:hAnsi="Palatino Linotype" w:cs="Palatino Linotype"/>
          <w:b/>
          <w:bCs/>
          <w:i/>
          <w:iCs/>
          <w:color w:val="000000"/>
        </w:rPr>
        <w:t>Periodo de búsqueda de la información</w:t>
      </w:r>
      <w:r>
        <w:rPr>
          <w:rFonts w:ascii="Palatino Linotype" w:eastAsia="Palatino Linotype" w:hAnsi="Palatino Linotype" w:cs="Palatino Linotype"/>
          <w:i/>
          <w:iCs/>
          <w:color w:val="000000"/>
        </w:rPr>
        <w:t>. En el supuesto de que el particular no haya señalado el periodo respecto del cual requiere la información, o bien, de la solicitud presentada no se adviertan elementos que permitan identificarlo, deberá considerarse, para efectos de la búsqueda de la información, que el requerimiento se refiere al año inmediato anterior, contado a partir de la fecha en que se presentó la solicitud.”  </w:t>
      </w:r>
    </w:p>
    <w:p w:rsidR="00654CEF" w:rsidRDefault="00654CEF">
      <w:pPr>
        <w:pBdr>
          <w:top w:val="nil"/>
          <w:left w:val="nil"/>
          <w:bottom w:val="nil"/>
          <w:right w:val="nil"/>
          <w:between w:val="nil"/>
        </w:pBdr>
        <w:ind w:left="1134" w:right="-1274"/>
        <w:jc w:val="both"/>
        <w:rPr>
          <w:rFonts w:ascii="Palatino Linotype" w:eastAsia="Palatino Linotype" w:hAnsi="Palatino Linotype" w:cs="Palatino Linotype"/>
          <w:color w:val="000000"/>
        </w:rPr>
      </w:pPr>
    </w:p>
    <w:p w:rsidR="00654CEF" w:rsidRDefault="00A2005B">
      <w:pPr>
        <w:numPr>
          <w:ilvl w:val="0"/>
          <w:numId w:val="2"/>
        </w:numPr>
        <w:pBdr>
          <w:top w:val="nil"/>
          <w:left w:val="nil"/>
          <w:bottom w:val="nil"/>
          <w:right w:val="nil"/>
          <w:between w:val="nil"/>
        </w:pBdr>
        <w:spacing w:line="360" w:lineRule="auto"/>
        <w:ind w:left="0" w:right="-1274" w:firstLine="0"/>
        <w:jc w:val="both"/>
        <w:rPr>
          <w:color w:val="000000"/>
        </w:rPr>
      </w:pPr>
      <w:r>
        <w:rPr>
          <w:rFonts w:ascii="Palatino Linotype" w:eastAsia="Palatino Linotype" w:hAnsi="Palatino Linotype" w:cs="Palatino Linotype"/>
          <w:color w:val="000000"/>
        </w:rPr>
        <w:t xml:space="preserve">De manera que, ante la omisión por parte de la solicitante, la información que es susceptible de entrega, en su caso, corresponde a la que 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color w:val="000000"/>
        </w:rPr>
        <w:t xml:space="preserve"> hubiera generado, administre o posea en el año inmediato anterior contado a partir de la fecha de presentación de la solicitud, es decir, del </w:t>
      </w:r>
      <w:r>
        <w:rPr>
          <w:rFonts w:ascii="Palatino Linotype" w:eastAsia="Palatino Linotype" w:hAnsi="Palatino Linotype" w:cs="Palatino Linotype"/>
          <w:b/>
          <w:bCs/>
          <w:color w:val="000000"/>
        </w:rPr>
        <w:t>trece de marzo de dos mil veinticinco al trece de marzo de dos mil veintiséis.</w:t>
      </w:r>
    </w:p>
    <w:p w:rsidR="00654CEF" w:rsidRDefault="00654CEF">
      <w:pPr>
        <w:pBdr>
          <w:top w:val="nil"/>
          <w:left w:val="nil"/>
          <w:bottom w:val="nil"/>
          <w:right w:val="nil"/>
          <w:between w:val="nil"/>
        </w:pBdr>
        <w:ind w:right="-1274"/>
        <w:jc w:val="both"/>
        <w:rPr>
          <w:rFonts w:ascii="Palatino Linotype" w:eastAsia="Palatino Linotype" w:hAnsi="Palatino Linotype" w:cs="Palatino Linotype"/>
          <w:color w:val="000000"/>
        </w:rPr>
      </w:pPr>
    </w:p>
    <w:p w:rsidR="00654CEF" w:rsidRDefault="00A2005B">
      <w:pPr>
        <w:numPr>
          <w:ilvl w:val="0"/>
          <w:numId w:val="2"/>
        </w:numPr>
        <w:pBdr>
          <w:top w:val="nil"/>
          <w:left w:val="nil"/>
          <w:bottom w:val="nil"/>
          <w:right w:val="nil"/>
          <w:between w:val="nil"/>
        </w:pBdr>
        <w:spacing w:before="240" w:after="240" w:line="360" w:lineRule="auto"/>
        <w:ind w:left="0" w:right="-1274" w:firstLine="0"/>
        <w:jc w:val="both"/>
        <w:rPr>
          <w:color w:val="000000"/>
        </w:rPr>
      </w:pPr>
      <w:r>
        <w:rPr>
          <w:rFonts w:ascii="Palatino Linotype" w:eastAsia="Palatino Linotype" w:hAnsi="Palatino Linotype" w:cs="Palatino Linotype"/>
          <w:color w:val="000000"/>
        </w:rPr>
        <w:t xml:space="preserve">De lo anterior, al referir el Servidor Público Habilitado que de  años anteriores a la fecha de la solicitud no se han realizado gestiones tendientes a la gestión del comercio ambulante en las inmediaciones del plantel escolar y toda vez que , los sujetos obligados están constreñidos a documentar todos los actos que deriven del ejercicio de sus atribuciones, competencias o facultades considerando desde su origen la eventual publicidad de la información como a continuación se lee: </w:t>
      </w:r>
    </w:p>
    <w:p w:rsidR="00654CEF" w:rsidRDefault="00A2005B">
      <w:pPr>
        <w:spacing w:before="240" w:after="240" w:line="276" w:lineRule="auto"/>
        <w:ind w:left="1134" w:right="-1274"/>
        <w:jc w:val="both"/>
        <w:rPr>
          <w:rFonts w:ascii="Palatino Linotype" w:eastAsia="Palatino Linotype" w:hAnsi="Palatino Linotype" w:cs="Palatino Linotype"/>
          <w:i/>
          <w:iCs/>
        </w:rPr>
      </w:pPr>
      <w:r>
        <w:rPr>
          <w:rFonts w:ascii="Palatino Linotype" w:eastAsia="Palatino Linotype" w:hAnsi="Palatino Linotype" w:cs="Palatino Linotype"/>
          <w:i/>
          <w:iCs/>
        </w:rPr>
        <w:lastRenderedPageBreak/>
        <w:t>“Artículo 18. Los sujetos obligados deberán documentar todo acto que derive del ejercicio de sus facultades, competencias o funciones, considerando desde su origen la eventual publicidad y reutilización de la información que generen.</w:t>
      </w:r>
    </w:p>
    <w:p w:rsidR="00654CEF" w:rsidRDefault="00A2005B">
      <w:pPr>
        <w:spacing w:before="240" w:after="240" w:line="276" w:lineRule="auto"/>
        <w:ind w:left="1134" w:right="-1274"/>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654CEF" w:rsidRDefault="00A2005B">
      <w:pPr>
        <w:spacing w:before="240" w:after="240" w:line="276" w:lineRule="auto"/>
        <w:ind w:left="1134" w:right="-1274"/>
        <w:jc w:val="both"/>
        <w:rPr>
          <w:rFonts w:ascii="Palatino Linotype" w:eastAsia="Palatino Linotype" w:hAnsi="Palatino Linotype" w:cs="Palatino Linotype"/>
          <w:i/>
          <w:iCs/>
        </w:rPr>
      </w:pPr>
      <w:r>
        <w:rPr>
          <w:rFonts w:ascii="Palatino Linotype" w:eastAsia="Palatino Linotype" w:hAnsi="Palatino Linotype" w:cs="Palatino Linotype"/>
          <w:i/>
          <w:iCs/>
        </w:rPr>
        <w:t>Artículo 24. Para el cumplimiento de los objetivos de esta Ley, los sujetos obligados deberán cumplir con las siguientes obligaciones, según corresponda, de acuerdo a su naturaleza:</w:t>
      </w:r>
    </w:p>
    <w:p w:rsidR="00654CEF" w:rsidRDefault="00A2005B">
      <w:pPr>
        <w:spacing w:before="240" w:after="240" w:line="276" w:lineRule="auto"/>
        <w:ind w:left="1134" w:right="-1274"/>
        <w:jc w:val="both"/>
        <w:rPr>
          <w:rFonts w:ascii="Palatino Linotype" w:eastAsia="Palatino Linotype" w:hAnsi="Palatino Linotype" w:cs="Palatino Linotype"/>
          <w:i/>
          <w:iCs/>
        </w:rPr>
      </w:pPr>
      <w:r>
        <w:rPr>
          <w:rFonts w:ascii="Palatino Linotype" w:eastAsia="Palatino Linotype" w:hAnsi="Palatino Linotype" w:cs="Palatino Linotype"/>
          <w:i/>
          <w:iCs/>
        </w:rPr>
        <w:t>XXII. Documentar todo acto que derive del ejercicio de sus facultades, competencias o funciones y abstenerse de destruirlos u ocultarlos, dentro de los que destacan los procesos deliberativos y de decisión definitiva;</w:t>
      </w:r>
    </w:p>
    <w:p w:rsidR="00654CEF" w:rsidRDefault="00A2005B">
      <w:pPr>
        <w:spacing w:before="240" w:after="240" w:line="276" w:lineRule="auto"/>
        <w:ind w:left="1134" w:right="-1274"/>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654CEF" w:rsidRDefault="00A2005B">
      <w:pPr>
        <w:spacing w:before="240" w:after="240" w:line="276" w:lineRule="auto"/>
        <w:ind w:left="1134" w:right="-1274"/>
        <w:jc w:val="both"/>
        <w:rPr>
          <w:rFonts w:ascii="Palatino Linotype" w:eastAsia="Palatino Linotype" w:hAnsi="Palatino Linotype" w:cs="Palatino Linotype"/>
          <w:i/>
          <w:iCs/>
        </w:rPr>
      </w:pPr>
      <w:r>
        <w:rPr>
          <w:rFonts w:ascii="Palatino Linotype" w:eastAsia="Palatino Linotype" w:hAnsi="Palatino Linotype" w:cs="Palatino Linotype"/>
          <w:i/>
          <w:iCs/>
        </w:rPr>
        <w:t>Artículo 160. Los sujetos obligados deberán otorgar acceso a los documentos que se 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p>
    <w:p w:rsidR="00654CEF" w:rsidRDefault="00A2005B">
      <w:pPr>
        <w:numPr>
          <w:ilvl w:val="0"/>
          <w:numId w:val="2"/>
        </w:numPr>
        <w:pBdr>
          <w:top w:val="nil"/>
          <w:left w:val="nil"/>
          <w:bottom w:val="nil"/>
          <w:right w:val="nil"/>
          <w:between w:val="nil"/>
        </w:pBdr>
        <w:spacing w:line="360" w:lineRule="auto"/>
        <w:ind w:left="0" w:right="-1274" w:firstLine="0"/>
        <w:jc w:val="both"/>
        <w:rPr>
          <w:color w:val="000000"/>
        </w:rPr>
      </w:pPr>
      <w:r>
        <w:rPr>
          <w:rFonts w:ascii="Palatino Linotype" w:eastAsia="Palatino Linotype" w:hAnsi="Palatino Linotype" w:cs="Palatino Linotype"/>
          <w:color w:val="000000"/>
        </w:rPr>
        <w:t>Sin embargo, ante tal pronunciamiento nos encontramos ante un hecho negativo, destacando entonces que el Pleno de este Organismo Garante, ha sostenido que ante la presencia de un hecho negativo, resultaría innecesaria una declaratoria de inexistencia en términos de los artículos 19, 169 y 170 de la Ley de Transparencia y Acceso a la Información Pública del Estado de México y Municipios, y ante una hecho negativo resulta aplicable la siguiente tesis:</w:t>
      </w:r>
    </w:p>
    <w:p w:rsidR="00654CEF" w:rsidRDefault="00A2005B">
      <w:pPr>
        <w:spacing w:line="360" w:lineRule="auto"/>
        <w:ind w:left="1134" w:right="-1274"/>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HECHOS NEGATIVOS, NO SON SUSCEPTIBLES DE DEMOSTRACIÓN.</w:t>
      </w:r>
    </w:p>
    <w:p w:rsidR="00654CEF" w:rsidRDefault="00A2005B">
      <w:pPr>
        <w:spacing w:line="360" w:lineRule="auto"/>
        <w:ind w:left="1134" w:right="-1274"/>
        <w:jc w:val="both"/>
        <w:rPr>
          <w:rFonts w:ascii="Palatino Linotype" w:eastAsia="Palatino Linotype" w:hAnsi="Palatino Linotype" w:cs="Palatino Linotype"/>
          <w:i/>
          <w:iCs/>
        </w:rPr>
      </w:pPr>
      <w:r>
        <w:rPr>
          <w:rFonts w:ascii="Palatino Linotype" w:eastAsia="Palatino Linotype" w:hAnsi="Palatino Linotype" w:cs="Palatino Linotype"/>
          <w:i/>
          <w:iCs/>
        </w:rPr>
        <w:t>Tratándose de un hecho negativo, el Juez no tiene por que invocar prueba alguna de la que se desprenda, ya que es bien sabido que esta clase de hechos no son susceptibles de demostración.</w:t>
      </w:r>
    </w:p>
    <w:p w:rsidR="00654CEF" w:rsidRDefault="00A2005B">
      <w:pPr>
        <w:spacing w:line="360" w:lineRule="auto"/>
        <w:ind w:left="1134" w:right="-1274"/>
        <w:jc w:val="both"/>
        <w:rPr>
          <w:rFonts w:ascii="Palatino Linotype" w:eastAsia="Palatino Linotype" w:hAnsi="Palatino Linotype" w:cs="Palatino Linotype"/>
          <w:i/>
          <w:iCs/>
        </w:rPr>
      </w:pPr>
      <w:r>
        <w:rPr>
          <w:rFonts w:ascii="Palatino Linotype" w:eastAsia="Palatino Linotype" w:hAnsi="Palatino Linotype" w:cs="Palatino Linotype"/>
          <w:i/>
          <w:iCs/>
        </w:rPr>
        <w:lastRenderedPageBreak/>
        <w:t>Amparo en revisión 2022/61. José García Florín (Menor). 9 de octubre de 1961. Cinco votos. Ponente: José Rivera Pérez Campos.”</w:t>
      </w:r>
    </w:p>
    <w:p w:rsidR="00654CEF" w:rsidRDefault="00654CEF">
      <w:pPr>
        <w:spacing w:line="360" w:lineRule="auto"/>
        <w:ind w:left="1134" w:right="-1274"/>
        <w:jc w:val="both"/>
        <w:rPr>
          <w:rFonts w:ascii="Palatino Linotype" w:eastAsia="Palatino Linotype" w:hAnsi="Palatino Linotype" w:cs="Palatino Linotype"/>
        </w:rPr>
      </w:pPr>
    </w:p>
    <w:p w:rsidR="00654CEF" w:rsidRDefault="00A2005B">
      <w:pPr>
        <w:numPr>
          <w:ilvl w:val="0"/>
          <w:numId w:val="2"/>
        </w:numPr>
        <w:pBdr>
          <w:top w:val="nil"/>
          <w:left w:val="nil"/>
          <w:bottom w:val="nil"/>
          <w:right w:val="nil"/>
          <w:between w:val="nil"/>
        </w:pBdr>
        <w:spacing w:line="360" w:lineRule="auto"/>
        <w:ind w:left="0" w:right="-1274"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Además, y de conformidad con lo establecido en el artículo 12 de la Ley de Transparencia y Acceso a la Información Pública del Estado de México y Municipios, anteriormente invocado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sólo proporcionará la información que obra en sus archivos, lo que a</w:t>
      </w:r>
      <w:r>
        <w:rPr>
          <w:rFonts w:ascii="Palatino Linotype" w:eastAsia="Palatino Linotype" w:hAnsi="Palatino Linotype" w:cs="Palatino Linotype"/>
          <w:i/>
          <w:iCs/>
          <w:color w:val="000000"/>
        </w:rPr>
        <w:t xml:space="preserve"> contrario sensu</w:t>
      </w:r>
      <w:r>
        <w:rPr>
          <w:rFonts w:ascii="Palatino Linotype" w:eastAsia="Palatino Linotype" w:hAnsi="Palatino Linotype" w:cs="Palatino Linotype"/>
          <w:color w:val="000000"/>
        </w:rPr>
        <w:t xml:space="preserve"> significa que no se está obligado a proporcionar lo que no obre en sus archivos; por ende, las razones o motivos de inconformidad al respecto devienen infundados.</w:t>
      </w:r>
    </w:p>
    <w:p w:rsidR="00C40821" w:rsidRDefault="00C40821" w:rsidP="00C40821">
      <w:pPr>
        <w:pBdr>
          <w:top w:val="nil"/>
          <w:left w:val="nil"/>
          <w:bottom w:val="nil"/>
          <w:right w:val="nil"/>
          <w:between w:val="nil"/>
        </w:pBdr>
        <w:spacing w:line="360" w:lineRule="auto"/>
        <w:ind w:right="-1274"/>
        <w:jc w:val="both"/>
        <w:rPr>
          <w:rFonts w:ascii="Palatino Linotype" w:eastAsia="Palatino Linotype" w:hAnsi="Palatino Linotype" w:cs="Palatino Linotype"/>
          <w:color w:val="000000"/>
        </w:rPr>
      </w:pPr>
    </w:p>
    <w:p w:rsidR="00654CEF" w:rsidRDefault="00A2005B">
      <w:pPr>
        <w:numPr>
          <w:ilvl w:val="0"/>
          <w:numId w:val="2"/>
        </w:numPr>
        <w:pBdr>
          <w:top w:val="nil"/>
          <w:left w:val="nil"/>
          <w:bottom w:val="nil"/>
          <w:right w:val="nil"/>
          <w:between w:val="nil"/>
        </w:pBdr>
        <w:spacing w:line="360" w:lineRule="auto"/>
        <w:ind w:left="0" w:right="-1274"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Aunado a ello, este Pleno considera necesario dejar claro que, al haber existido un pronunciamiento por parte del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a fin de dar respuesta a la solicitud planteada, éste no está facultado para manifestarse sobre la veracidad de la información proporcionada, pues no existe precepto legal alguno en la Ley de la Materia que permita que, vía recurso de revisión, se pronuncie al respecto.</w:t>
      </w:r>
    </w:p>
    <w:p w:rsidR="00654CEF" w:rsidRDefault="00654CEF">
      <w:pPr>
        <w:pBdr>
          <w:top w:val="nil"/>
          <w:left w:val="nil"/>
          <w:bottom w:val="nil"/>
          <w:right w:val="nil"/>
          <w:between w:val="nil"/>
        </w:pBdr>
        <w:spacing w:line="360" w:lineRule="auto"/>
        <w:ind w:left="644" w:right="-1274"/>
        <w:jc w:val="both"/>
        <w:rPr>
          <w:rFonts w:ascii="Palatino Linotype" w:eastAsia="Palatino Linotype" w:hAnsi="Palatino Linotype" w:cs="Palatino Linotype"/>
        </w:rPr>
      </w:pPr>
    </w:p>
    <w:p w:rsidR="00654CEF" w:rsidRDefault="00A2005B">
      <w:pPr>
        <w:numPr>
          <w:ilvl w:val="0"/>
          <w:numId w:val="2"/>
        </w:numPr>
        <w:spacing w:line="360" w:lineRule="auto"/>
        <w:ind w:left="0" w:right="-1274"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Sirviendo de apoyo a lo anterior por analogía, el criterio 31-10 emitido por el entonces Instituto </w:t>
      </w:r>
      <w:r>
        <w:rPr>
          <w:rFonts w:ascii="Palatino Linotype" w:eastAsia="Palatino Linotype" w:hAnsi="Palatino Linotype" w:cs="Palatino Linotype"/>
          <w:color w:val="000000"/>
        </w:rPr>
        <w:t>Nacional</w:t>
      </w:r>
      <w:r>
        <w:rPr>
          <w:rFonts w:ascii="Palatino Linotype" w:eastAsia="Palatino Linotype" w:hAnsi="Palatino Linotype" w:cs="Palatino Linotype"/>
        </w:rPr>
        <w:t xml:space="preserve"> de Transparencia, Acceso a la Información y Protección de Datos Personales, que a la letra dice:</w:t>
      </w:r>
    </w:p>
    <w:p w:rsidR="00654CEF" w:rsidRDefault="00A2005B">
      <w:pPr>
        <w:pBdr>
          <w:top w:val="nil"/>
          <w:left w:val="nil"/>
          <w:bottom w:val="nil"/>
          <w:right w:val="nil"/>
          <w:between w:val="nil"/>
        </w:pBdr>
        <w:spacing w:line="276" w:lineRule="auto"/>
        <w:ind w:left="1134" w:right="-1274"/>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“El Instituto Federal de Acceso a la Información y Protección de Datos </w:t>
      </w:r>
      <w:r>
        <w:rPr>
          <w:rFonts w:ascii="Palatino Linotype" w:eastAsia="Palatino Linotype" w:hAnsi="Palatino Linotype" w:cs="Palatino Linotype"/>
          <w:b/>
          <w:bCs/>
          <w:i/>
          <w:iCs/>
          <w:color w:val="000000"/>
        </w:rPr>
        <w:t>no cuenta con facultades para pronunciarse respecto de la veracidad de los documentos proporcionados por los sujetos obligados.</w:t>
      </w:r>
      <w:r>
        <w:rPr>
          <w:rFonts w:ascii="Palatino Linotype" w:eastAsia="Palatino Linotype" w:hAnsi="Palatino Linotype" w:cs="Palatino Linotype"/>
          <w:i/>
          <w:iCs/>
          <w:color w:val="000000"/>
        </w:rPr>
        <w:t xml:space="preserve"> El Instituto Federal de Acceso a la Información y Protección de Datos es un órgano de la Administración Pública Federal con autonomía operativa, presupuestaria y de decisión, encargado de promover y difundir el ejercicio del derecho de acceso a la información; resolver sobre la negativa de las solicitudes de acceso a la información; y proteger los datos personales en poder de las dependencias y </w:t>
      </w:r>
      <w:r>
        <w:rPr>
          <w:rFonts w:ascii="Palatino Linotype" w:eastAsia="Palatino Linotype" w:hAnsi="Palatino Linotype" w:cs="Palatino Linotype"/>
          <w:i/>
          <w:iCs/>
          <w:color w:val="000000"/>
        </w:rPr>
        <w:lastRenderedPageBreak/>
        <w:t>entidades. Sin embargo, no está facultado para pronunciarse sobre la veracidad de la información proporcionada por las autoridades en respuesta a las solicitudes de información que les presentan los particulares, en virtud de que en los artículos 49 y 50 de la Ley Federal de Transparencia y Acceso a la Información Pública Gubernamental no se prevé una causal que permita al Instituto Federal de Acceso a la Información y Protección de Datos conocer, vía recurso revisión, al respecto.”</w:t>
      </w:r>
    </w:p>
    <w:p w:rsidR="00654CEF" w:rsidRDefault="00654CEF">
      <w:pPr>
        <w:pBdr>
          <w:top w:val="nil"/>
          <w:left w:val="nil"/>
          <w:bottom w:val="nil"/>
          <w:right w:val="nil"/>
          <w:between w:val="nil"/>
        </w:pBdr>
        <w:spacing w:line="360" w:lineRule="auto"/>
        <w:ind w:left="851" w:right="-1274"/>
        <w:jc w:val="both"/>
        <w:rPr>
          <w:rFonts w:ascii="Palatino Linotype" w:eastAsia="Palatino Linotype" w:hAnsi="Palatino Linotype" w:cs="Palatino Linotype"/>
          <w:i/>
          <w:iCs/>
          <w:color w:val="000000"/>
        </w:rPr>
      </w:pPr>
    </w:p>
    <w:p w:rsidR="00654CEF" w:rsidRDefault="00A2005B">
      <w:pPr>
        <w:numPr>
          <w:ilvl w:val="0"/>
          <w:numId w:val="2"/>
        </w:numPr>
        <w:spacing w:line="360" w:lineRule="auto"/>
        <w:ind w:left="0" w:right="-1274"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Así como lo dispuesto por la </w:t>
      </w:r>
      <w:r>
        <w:rPr>
          <w:rFonts w:ascii="Palatino Linotype" w:eastAsia="Palatino Linotype" w:hAnsi="Palatino Linotype" w:cs="Palatino Linotype"/>
          <w:b/>
          <w:bCs/>
        </w:rPr>
        <w:t xml:space="preserve">Ley de Transparencia y Acceso a la Información Pública del </w:t>
      </w:r>
      <w:r>
        <w:rPr>
          <w:rFonts w:ascii="Palatino Linotype" w:eastAsia="Palatino Linotype" w:hAnsi="Palatino Linotype" w:cs="Palatino Linotype"/>
          <w:color w:val="000000"/>
        </w:rPr>
        <w:t>Estado</w:t>
      </w:r>
      <w:r>
        <w:rPr>
          <w:rFonts w:ascii="Palatino Linotype" w:eastAsia="Palatino Linotype" w:hAnsi="Palatino Linotype" w:cs="Palatino Linotype"/>
          <w:b/>
          <w:bCs/>
        </w:rPr>
        <w:t xml:space="preserve"> de México y Municipios</w:t>
      </w:r>
      <w:r>
        <w:rPr>
          <w:rFonts w:ascii="Palatino Linotype" w:eastAsia="Palatino Linotype" w:hAnsi="Palatino Linotype" w:cs="Palatino Linotype"/>
        </w:rPr>
        <w:t xml:space="preserve"> en su artículo 3, el cual establece que la información pública generada, administrada o en posesión de los sujetos obligados en ejercicio de sus atribuciones, será accesible de manera permanente a cualquier persona, privilegiando el principio de máxima publicidad de la información, por lo que deberán apegarse en todo momento a los criterios de publicidad, veracidad, oportunidad entre otros, numeral en comento que a la letra señala:</w:t>
      </w:r>
    </w:p>
    <w:p w:rsidR="00654CEF" w:rsidRDefault="00A2005B">
      <w:pPr>
        <w:pBdr>
          <w:top w:val="nil"/>
          <w:left w:val="nil"/>
          <w:bottom w:val="nil"/>
          <w:right w:val="nil"/>
          <w:between w:val="nil"/>
        </w:pBdr>
        <w:tabs>
          <w:tab w:val="left" w:pos="7938"/>
        </w:tabs>
        <w:ind w:left="1134" w:right="-1274"/>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i/>
          <w:iCs/>
          <w:color w:val="000000"/>
        </w:rPr>
        <w:t xml:space="preserve">Artículo 3.- La información pública generada, administrada o en posesión de los Sujetos Obligados en ejercicio de sus atribuciones, será accesible de manera permanente a cualquier persona, privilegiando el principio de máxima publicidad de la información. </w:t>
      </w:r>
      <w:r>
        <w:rPr>
          <w:rFonts w:ascii="Palatino Linotype" w:eastAsia="Palatino Linotype" w:hAnsi="Palatino Linotype" w:cs="Palatino Linotype"/>
          <w:b/>
          <w:bCs/>
          <w:i/>
          <w:iCs/>
          <w:color w:val="000000"/>
        </w:rPr>
        <w:t>Los Sujetos Obligados deben poner en práctica, políticas y programas de acceso a la información que se apeguen a criterios de publicidad, veracidad, oportunidad, precisión y suficiencia en beneficio de los solicitantes.</w:t>
      </w:r>
    </w:p>
    <w:p w:rsidR="00654CEF" w:rsidRDefault="00654CEF">
      <w:pPr>
        <w:pBdr>
          <w:top w:val="nil"/>
          <w:left w:val="nil"/>
          <w:bottom w:val="nil"/>
          <w:right w:val="nil"/>
          <w:between w:val="nil"/>
        </w:pBdr>
        <w:tabs>
          <w:tab w:val="left" w:pos="7938"/>
        </w:tabs>
        <w:ind w:left="1134" w:right="-1274"/>
        <w:jc w:val="both"/>
        <w:rPr>
          <w:rFonts w:ascii="Palatino Linotype" w:eastAsia="Palatino Linotype" w:hAnsi="Palatino Linotype" w:cs="Palatino Linotype"/>
          <w:b/>
          <w:bCs/>
          <w:i/>
          <w:iCs/>
          <w:color w:val="000000"/>
        </w:rPr>
      </w:pPr>
    </w:p>
    <w:p w:rsidR="00654CEF" w:rsidRDefault="00A2005B">
      <w:pPr>
        <w:numPr>
          <w:ilvl w:val="0"/>
          <w:numId w:val="2"/>
        </w:numPr>
        <w:spacing w:line="360" w:lineRule="auto"/>
        <w:ind w:left="0" w:right="-1274"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Numerales que compelen al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apegarse en todo momento a los criterios ya expuestos, impidiendo a este Órgano Colegiado cuestionar la veracidad de la información.</w:t>
      </w:r>
    </w:p>
    <w:p w:rsidR="00654CEF" w:rsidRDefault="00654CEF">
      <w:pPr>
        <w:spacing w:line="360" w:lineRule="auto"/>
        <w:ind w:right="-1274"/>
        <w:jc w:val="both"/>
        <w:rPr>
          <w:rFonts w:ascii="Palatino Linotype" w:eastAsia="Palatino Linotype" w:hAnsi="Palatino Linotype" w:cs="Palatino Linotype"/>
          <w:color w:val="000000"/>
        </w:rPr>
      </w:pPr>
    </w:p>
    <w:p w:rsidR="00654CEF" w:rsidRDefault="00A2005B">
      <w:pPr>
        <w:numPr>
          <w:ilvl w:val="0"/>
          <w:numId w:val="2"/>
        </w:numPr>
        <w:spacing w:line="360" w:lineRule="auto"/>
        <w:ind w:left="0" w:right="-1274" w:firstLine="0"/>
        <w:jc w:val="both"/>
        <w:rPr>
          <w:rFonts w:ascii="Palatino Linotype" w:eastAsia="Palatino Linotype" w:hAnsi="Palatino Linotype" w:cs="Palatino Linotype"/>
        </w:rPr>
      </w:pPr>
      <w:r>
        <w:rPr>
          <w:rFonts w:ascii="Palatino Linotype" w:eastAsia="Palatino Linotype" w:hAnsi="Palatino Linotype" w:cs="Palatino Linotype"/>
        </w:rPr>
        <w:t>Es así</w:t>
      </w:r>
      <w:r w:rsidR="00D22F16">
        <w:rPr>
          <w:rFonts w:ascii="Palatino Linotype" w:eastAsia="Palatino Linotype" w:hAnsi="Palatino Linotype" w:cs="Palatino Linotype"/>
        </w:rPr>
        <w:t xml:space="preserve"> que, al haber señalado cuantas</w:t>
      </w:r>
      <w:r>
        <w:rPr>
          <w:rFonts w:ascii="Palatino Linotype" w:eastAsia="Palatino Linotype" w:hAnsi="Palatino Linotype" w:cs="Palatino Linotype"/>
        </w:rPr>
        <w:t>,  es que se colma el derecho accionado por el Recurrente, por lo que se CONFIRMA  la respuesta del Sujeto Obligado.</w:t>
      </w:r>
    </w:p>
    <w:p w:rsidR="00654CEF" w:rsidRDefault="00654CEF">
      <w:pPr>
        <w:spacing w:line="360" w:lineRule="auto"/>
        <w:ind w:right="-1274"/>
        <w:jc w:val="both"/>
        <w:rPr>
          <w:rFonts w:ascii="Palatino Linotype" w:eastAsia="Palatino Linotype" w:hAnsi="Palatino Linotype" w:cs="Palatino Linotype"/>
          <w:color w:val="000000"/>
        </w:rPr>
      </w:pPr>
    </w:p>
    <w:p w:rsidR="00654CEF" w:rsidRDefault="00A2005B">
      <w:pPr>
        <w:numPr>
          <w:ilvl w:val="0"/>
          <w:numId w:val="2"/>
        </w:numPr>
        <w:pBdr>
          <w:top w:val="nil"/>
          <w:left w:val="nil"/>
          <w:bottom w:val="nil"/>
          <w:right w:val="nil"/>
          <w:between w:val="nil"/>
        </w:pBdr>
        <w:spacing w:line="360" w:lineRule="auto"/>
        <w:ind w:left="0" w:right="-1274"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 xml:space="preserve">En mérito de lo expuesto, resultan infundadas las razones o motivos de inconformidad hechos valer por el RECURRENTE dentro del recurso de revisión </w:t>
      </w:r>
      <w:r>
        <w:rPr>
          <w:rFonts w:ascii="Palatino Linotype" w:eastAsia="Palatino Linotype" w:hAnsi="Palatino Linotype" w:cs="Palatino Linotype"/>
          <w:b/>
          <w:bCs/>
          <w:color w:val="000000"/>
        </w:rPr>
        <w:t xml:space="preserve">03193/INFOEM/IP/RR/2026, </w:t>
      </w:r>
      <w:r>
        <w:rPr>
          <w:rFonts w:ascii="Palatino Linotype" w:eastAsia="Palatino Linotype" w:hAnsi="Palatino Linotype" w:cs="Palatino Linotype"/>
          <w:color w:val="000000"/>
        </w:rPr>
        <w:t>por ello, éste Órgano Garante determina</w:t>
      </w:r>
      <w:r>
        <w:rPr>
          <w:rFonts w:ascii="Palatino Linotype" w:eastAsia="Palatino Linotype" w:hAnsi="Palatino Linotype" w:cs="Palatino Linotype"/>
          <w:b/>
          <w:bCs/>
          <w:color w:val="000000"/>
        </w:rPr>
        <w:t xml:space="preserve"> CONFIRMAR  </w:t>
      </w:r>
      <w:r>
        <w:rPr>
          <w:rFonts w:ascii="Palatino Linotype" w:eastAsia="Palatino Linotype" w:hAnsi="Palatino Linotype" w:cs="Palatino Linotype"/>
          <w:color w:val="000000"/>
        </w:rPr>
        <w:t>la respuesta otorgada por el</w:t>
      </w:r>
      <w:r>
        <w:rPr>
          <w:rFonts w:ascii="Palatino Linotype" w:eastAsia="Palatino Linotype" w:hAnsi="Palatino Linotype" w:cs="Palatino Linotype"/>
          <w:b/>
          <w:bCs/>
          <w:color w:val="000000"/>
        </w:rPr>
        <w:t xml:space="preserve"> SUJETO OBLIGADO  </w:t>
      </w:r>
      <w:r>
        <w:rPr>
          <w:rFonts w:ascii="Palatino Linotype" w:eastAsia="Palatino Linotype" w:hAnsi="Palatino Linotype" w:cs="Palatino Linotype"/>
          <w:color w:val="000000"/>
        </w:rPr>
        <w:t>en la solicitud de información</w:t>
      </w:r>
      <w:r>
        <w:rPr>
          <w:rFonts w:ascii="Palatino Linotype" w:eastAsia="Palatino Linotype" w:hAnsi="Palatino Linotype" w:cs="Palatino Linotype"/>
          <w:b/>
          <w:bCs/>
          <w:color w:val="000000"/>
        </w:rPr>
        <w:t xml:space="preserve"> 00207/SECTI/IP/2026.</w:t>
      </w:r>
      <w:r>
        <w:rPr>
          <w:rFonts w:ascii="Palatino Linotype" w:eastAsia="Palatino Linotype" w:hAnsi="Palatino Linotype" w:cs="Palatino Linotype"/>
          <w:b/>
          <w:bCs/>
          <w:color w:val="000000"/>
        </w:rPr>
        <w:tab/>
      </w:r>
    </w:p>
    <w:p w:rsidR="00654CEF" w:rsidRDefault="00654CEF">
      <w:pPr>
        <w:ind w:right="-1274"/>
        <w:jc w:val="both"/>
        <w:rPr>
          <w:rFonts w:ascii="Palatino Linotype" w:eastAsia="Palatino Linotype" w:hAnsi="Palatino Linotype" w:cs="Palatino Linotype"/>
        </w:rPr>
      </w:pPr>
    </w:p>
    <w:p w:rsidR="00654CEF" w:rsidRDefault="00A2005B">
      <w:pPr>
        <w:numPr>
          <w:ilvl w:val="0"/>
          <w:numId w:val="2"/>
        </w:numPr>
        <w:pBdr>
          <w:top w:val="nil"/>
          <w:left w:val="nil"/>
          <w:bottom w:val="nil"/>
          <w:right w:val="nil"/>
          <w:between w:val="nil"/>
        </w:pBdr>
        <w:spacing w:line="360" w:lineRule="auto"/>
        <w:ind w:left="0" w:right="-1274" w:firstLine="0"/>
        <w:jc w:val="both"/>
        <w:rPr>
          <w:rFonts w:ascii="Palatino Linotype" w:eastAsia="Palatino Linotype" w:hAnsi="Palatino Linotype" w:cs="Palatino Linotype"/>
        </w:rPr>
      </w:pPr>
      <w:bookmarkStart w:id="9" w:name="_heading=h.g5gal64z3g23" w:colFirst="0" w:colLast="0"/>
      <w:bookmarkEnd w:id="9"/>
      <w:r>
        <w:rPr>
          <w:rFonts w:ascii="Palatino Linotype" w:eastAsia="Palatino Linotype" w:hAnsi="Palatino Linotype" w:cs="Palatino Linotype"/>
        </w:rPr>
        <w:t>Con fundamento en lo prescrito en los artículos 5, párrafos trigésimo, trigésimo primero y trigésimo segundo de la Constitución Política del Estado Libre y Soberano de México; 2, fracción II; 29, 36 fracciones I y II; 176, 178, 179, 181 y 185 de la Ley de Transparencia y Acceso a la Información Pública del Estado de México y Municipios, este Pleno:</w:t>
      </w:r>
    </w:p>
    <w:p w:rsidR="00654CEF" w:rsidRDefault="00654CEF">
      <w:pPr>
        <w:ind w:right="-1274"/>
        <w:jc w:val="both"/>
        <w:rPr>
          <w:rFonts w:ascii="Palatino Linotype" w:eastAsia="Palatino Linotype" w:hAnsi="Palatino Linotype" w:cs="Palatino Linotype"/>
        </w:rPr>
      </w:pPr>
    </w:p>
    <w:p w:rsidR="00C40821" w:rsidRDefault="00C40821">
      <w:pPr>
        <w:ind w:right="-1274"/>
        <w:jc w:val="both"/>
        <w:rPr>
          <w:rFonts w:ascii="Palatino Linotype" w:eastAsia="Palatino Linotype" w:hAnsi="Palatino Linotype" w:cs="Palatino Linotype"/>
        </w:rPr>
      </w:pPr>
    </w:p>
    <w:p w:rsidR="00654CEF" w:rsidRDefault="00A2005B">
      <w:pPr>
        <w:keepNext/>
        <w:keepLines/>
        <w:spacing w:line="360" w:lineRule="auto"/>
        <w:ind w:right="-1274"/>
        <w:jc w:val="center"/>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 xml:space="preserve">R E S U E L V E </w:t>
      </w:r>
    </w:p>
    <w:p w:rsidR="00654CEF" w:rsidRDefault="00654CEF">
      <w:pPr>
        <w:keepNext/>
        <w:keepLines/>
        <w:ind w:right="-1274"/>
        <w:jc w:val="center"/>
        <w:rPr>
          <w:rFonts w:ascii="Palatino Linotype" w:eastAsia="Palatino Linotype" w:hAnsi="Palatino Linotype" w:cs="Palatino Linotype"/>
          <w:b/>
          <w:bCs/>
        </w:rPr>
      </w:pPr>
    </w:p>
    <w:p w:rsidR="00654CEF" w:rsidRDefault="00A2005B">
      <w:pPr>
        <w:spacing w:line="360" w:lineRule="auto"/>
        <w:ind w:right="-1274"/>
        <w:jc w:val="both"/>
        <w:rPr>
          <w:rFonts w:ascii="Palatino Linotype" w:eastAsia="Palatino Linotype" w:hAnsi="Palatino Linotype" w:cs="Palatino Linotype"/>
        </w:rPr>
      </w:pPr>
      <w:r>
        <w:rPr>
          <w:rFonts w:ascii="Palatino Linotype" w:eastAsia="Palatino Linotype" w:hAnsi="Palatino Linotype" w:cs="Palatino Linotype"/>
          <w:b/>
          <w:bCs/>
        </w:rPr>
        <w:t xml:space="preserve">PRIMERO. </w:t>
      </w:r>
      <w:r>
        <w:rPr>
          <w:rFonts w:ascii="Palatino Linotype" w:eastAsia="Palatino Linotype" w:hAnsi="Palatino Linotype" w:cs="Palatino Linotype"/>
        </w:rPr>
        <w:t>Resultan infundadas las</w:t>
      </w:r>
      <w:r>
        <w:rPr>
          <w:rFonts w:ascii="Palatino Linotype" w:eastAsia="Palatino Linotype" w:hAnsi="Palatino Linotype" w:cs="Palatino Linotype"/>
          <w:b/>
          <w:bCs/>
        </w:rPr>
        <w:t xml:space="preserve"> </w:t>
      </w:r>
      <w:r>
        <w:rPr>
          <w:rFonts w:ascii="Palatino Linotype" w:eastAsia="Palatino Linotype" w:hAnsi="Palatino Linotype" w:cs="Palatino Linotype"/>
        </w:rPr>
        <w:t>razones o motivos de inconformidad hechos valer en el recurso de revisión</w:t>
      </w:r>
      <w:r>
        <w:rPr>
          <w:rFonts w:ascii="Palatino Linotype" w:eastAsia="Palatino Linotype" w:hAnsi="Palatino Linotype" w:cs="Palatino Linotype"/>
          <w:b/>
          <w:bCs/>
        </w:rPr>
        <w:t xml:space="preserve"> 03193/INFOEM/IP/RR/2026, </w:t>
      </w:r>
      <w:r>
        <w:rPr>
          <w:rFonts w:ascii="Palatino Linotype" w:eastAsia="Palatino Linotype" w:hAnsi="Palatino Linotype" w:cs="Palatino Linotype"/>
        </w:rPr>
        <w:t xml:space="preserve">en términos del </w:t>
      </w:r>
      <w:r>
        <w:rPr>
          <w:rFonts w:ascii="Palatino Linotype" w:eastAsia="Palatino Linotype" w:hAnsi="Palatino Linotype" w:cs="Palatino Linotype"/>
          <w:b/>
          <w:bCs/>
        </w:rPr>
        <w:t>Considerando</w:t>
      </w:r>
      <w:r>
        <w:rPr>
          <w:rFonts w:ascii="Palatino Linotype" w:eastAsia="Palatino Linotype" w:hAnsi="Palatino Linotype" w:cs="Palatino Linotype"/>
        </w:rPr>
        <w:t xml:space="preserve"> </w:t>
      </w:r>
      <w:r>
        <w:rPr>
          <w:rFonts w:ascii="Palatino Linotype" w:eastAsia="Palatino Linotype" w:hAnsi="Palatino Linotype" w:cs="Palatino Linotype"/>
          <w:b/>
          <w:bCs/>
        </w:rPr>
        <w:t>CUARTO</w:t>
      </w:r>
      <w:r>
        <w:rPr>
          <w:rFonts w:ascii="Palatino Linotype" w:eastAsia="Palatino Linotype" w:hAnsi="Palatino Linotype" w:cs="Palatino Linotype"/>
        </w:rPr>
        <w:t xml:space="preserve"> de la presente resolución.</w:t>
      </w:r>
    </w:p>
    <w:p w:rsidR="00654CEF" w:rsidRDefault="00654CEF">
      <w:pPr>
        <w:ind w:right="-1274"/>
        <w:jc w:val="both"/>
        <w:rPr>
          <w:rFonts w:ascii="Palatino Linotype" w:eastAsia="Palatino Linotype" w:hAnsi="Palatino Linotype" w:cs="Palatino Linotype"/>
        </w:rPr>
      </w:pPr>
    </w:p>
    <w:p w:rsidR="00654CEF" w:rsidRDefault="00A2005B">
      <w:pPr>
        <w:spacing w:line="360" w:lineRule="auto"/>
        <w:ind w:right="-1274"/>
        <w:jc w:val="both"/>
        <w:rPr>
          <w:rFonts w:ascii="Palatino Linotype" w:eastAsia="Palatino Linotype" w:hAnsi="Palatino Linotype" w:cs="Palatino Linotype"/>
          <w:b/>
          <w:bCs/>
        </w:rPr>
      </w:pPr>
      <w:r>
        <w:rPr>
          <w:rFonts w:ascii="Palatino Linotype" w:eastAsia="Palatino Linotype" w:hAnsi="Palatino Linotype" w:cs="Palatino Linotype"/>
          <w:b/>
          <w:bCs/>
        </w:rPr>
        <w:t>SEGUNDO.</w:t>
      </w:r>
      <w:r>
        <w:rPr>
          <w:rFonts w:ascii="Palatino Linotype" w:eastAsia="Palatino Linotype" w:hAnsi="Palatino Linotype" w:cs="Palatino Linotype"/>
          <w:b/>
          <w:bCs/>
          <w:color w:val="2E75B5"/>
        </w:rPr>
        <w:t xml:space="preserve"> </w:t>
      </w:r>
      <w:r>
        <w:rPr>
          <w:rFonts w:ascii="Palatino Linotype" w:eastAsia="Palatino Linotype" w:hAnsi="Palatino Linotype" w:cs="Palatino Linotype"/>
        </w:rPr>
        <w:t>Se</w:t>
      </w:r>
      <w:r>
        <w:rPr>
          <w:rFonts w:ascii="Palatino Linotype" w:eastAsia="Palatino Linotype" w:hAnsi="Palatino Linotype" w:cs="Palatino Linotype"/>
          <w:b/>
          <w:bCs/>
        </w:rPr>
        <w:t xml:space="preserve"> CONFIRMA </w:t>
      </w:r>
      <w:r>
        <w:rPr>
          <w:rFonts w:ascii="Palatino Linotype" w:eastAsia="Palatino Linotype" w:hAnsi="Palatino Linotype" w:cs="Palatino Linotype"/>
        </w:rPr>
        <w:t xml:space="preserve">la respuesta emitida por la </w:t>
      </w:r>
      <w:r>
        <w:rPr>
          <w:rFonts w:ascii="Palatino Linotype" w:eastAsia="Palatino Linotype" w:hAnsi="Palatino Linotype" w:cs="Palatino Linotype"/>
          <w:b/>
          <w:bCs/>
        </w:rPr>
        <w:t xml:space="preserve">Secretaría de Educación, Ciencia, Tecnología e Innovación </w:t>
      </w:r>
      <w:r>
        <w:rPr>
          <w:rFonts w:ascii="Palatino Linotype" w:eastAsia="Palatino Linotype" w:hAnsi="Palatino Linotype" w:cs="Palatino Linotype"/>
        </w:rPr>
        <w:t xml:space="preserve">dentro de  la solicitud de información </w:t>
      </w:r>
      <w:r>
        <w:rPr>
          <w:rFonts w:ascii="Palatino Linotype" w:eastAsia="Palatino Linotype" w:hAnsi="Palatino Linotype" w:cs="Palatino Linotype"/>
          <w:b/>
          <w:bCs/>
        </w:rPr>
        <w:t>00207/SECTI/IP/2026.</w:t>
      </w:r>
    </w:p>
    <w:p w:rsidR="00654CEF" w:rsidRDefault="00654CEF">
      <w:pPr>
        <w:ind w:right="-1274"/>
        <w:jc w:val="both"/>
        <w:rPr>
          <w:rFonts w:ascii="Palatino Linotype" w:eastAsia="Palatino Linotype" w:hAnsi="Palatino Linotype" w:cs="Palatino Linotype"/>
          <w:b/>
          <w:bCs/>
        </w:rPr>
      </w:pPr>
    </w:p>
    <w:p w:rsidR="00654CEF" w:rsidRDefault="00A2005B">
      <w:pPr>
        <w:tabs>
          <w:tab w:val="left" w:pos="8080"/>
        </w:tabs>
        <w:spacing w:line="360" w:lineRule="auto"/>
        <w:ind w:right="-1274"/>
        <w:jc w:val="both"/>
        <w:rPr>
          <w:rFonts w:ascii="Palatino Linotype" w:eastAsia="Palatino Linotype" w:hAnsi="Palatino Linotype" w:cs="Palatino Linotype"/>
          <w:b/>
          <w:bCs/>
        </w:rPr>
      </w:pPr>
      <w:r>
        <w:rPr>
          <w:rFonts w:ascii="Palatino Linotype" w:eastAsia="Palatino Linotype" w:hAnsi="Palatino Linotype" w:cs="Palatino Linotype"/>
          <w:b/>
          <w:bCs/>
        </w:rPr>
        <w:t xml:space="preserve">TERCERO. NOTIFÍQUESE, </w:t>
      </w:r>
      <w:r>
        <w:rPr>
          <w:rFonts w:ascii="Palatino Linotype" w:eastAsia="Palatino Linotype" w:hAnsi="Palatino Linotype" w:cs="Palatino Linotype"/>
        </w:rPr>
        <w:t xml:space="preserve">vía Sistema de Acceso a la Información Mexiquense </w:t>
      </w:r>
      <w:r>
        <w:rPr>
          <w:rFonts w:ascii="Palatino Linotype" w:eastAsia="Palatino Linotype" w:hAnsi="Palatino Linotype" w:cs="Palatino Linotype"/>
          <w:b/>
          <w:bCs/>
        </w:rPr>
        <w:t>(SAIMEX),</w:t>
      </w:r>
      <w:r>
        <w:rPr>
          <w:rFonts w:ascii="Palatino Linotype" w:eastAsia="Palatino Linotype" w:hAnsi="Palatino Linotype" w:cs="Palatino Linotype"/>
        </w:rPr>
        <w:t xml:space="preserve"> la presente resolución al Titular de la Unidad de Transparencia del </w:t>
      </w:r>
      <w:r>
        <w:rPr>
          <w:rFonts w:ascii="Palatino Linotype" w:eastAsia="Palatino Linotype" w:hAnsi="Palatino Linotype" w:cs="Palatino Linotype"/>
          <w:b/>
          <w:bCs/>
        </w:rPr>
        <w:t>SUJETO OBLIGADO.</w:t>
      </w:r>
    </w:p>
    <w:p w:rsidR="00654CEF" w:rsidRDefault="00654CEF">
      <w:pPr>
        <w:tabs>
          <w:tab w:val="left" w:pos="8080"/>
        </w:tabs>
        <w:ind w:right="-1274"/>
        <w:jc w:val="both"/>
        <w:rPr>
          <w:rFonts w:ascii="Palatino Linotype" w:eastAsia="Palatino Linotype" w:hAnsi="Palatino Linotype" w:cs="Palatino Linotype"/>
          <w:b/>
          <w:bCs/>
        </w:rPr>
      </w:pPr>
    </w:p>
    <w:p w:rsidR="00654CEF" w:rsidRDefault="00A2005B">
      <w:pPr>
        <w:shd w:val="clear" w:color="auto" w:fill="FFFFFF"/>
        <w:spacing w:line="360" w:lineRule="auto"/>
        <w:ind w:right="-1274"/>
        <w:jc w:val="both"/>
        <w:rPr>
          <w:rFonts w:ascii="Palatino Linotype" w:eastAsia="Palatino Linotype" w:hAnsi="Palatino Linotype" w:cs="Palatino Linotype"/>
        </w:rPr>
      </w:pPr>
      <w:r>
        <w:rPr>
          <w:rFonts w:ascii="Palatino Linotype" w:eastAsia="Palatino Linotype" w:hAnsi="Palatino Linotype" w:cs="Palatino Linotype"/>
          <w:b/>
          <w:bCs/>
        </w:rPr>
        <w:t xml:space="preserve">CUARTO. </w:t>
      </w:r>
      <w:r>
        <w:rPr>
          <w:rFonts w:ascii="Palatino Linotype" w:eastAsia="Palatino Linotype" w:hAnsi="Palatino Linotype" w:cs="Palatino Linotype"/>
          <w:b/>
          <w:bCs/>
          <w:color w:val="222222"/>
        </w:rPr>
        <w:t>Notifíquese al RECURRENTE</w:t>
      </w:r>
      <w:r>
        <w:rPr>
          <w:rFonts w:ascii="Palatino Linotype" w:eastAsia="Palatino Linotype" w:hAnsi="Palatino Linotype" w:cs="Palatino Linotype"/>
          <w:b/>
          <w:bCs/>
        </w:rPr>
        <w:t xml:space="preserve"> </w:t>
      </w:r>
      <w:r>
        <w:rPr>
          <w:rFonts w:ascii="Palatino Linotype" w:eastAsia="Palatino Linotype" w:hAnsi="Palatino Linotype" w:cs="Palatino Linotype"/>
        </w:rPr>
        <w:t xml:space="preserve">la presente resolución a través del </w:t>
      </w:r>
      <w:r>
        <w:rPr>
          <w:rFonts w:ascii="Palatino Linotype" w:eastAsia="Palatino Linotype" w:hAnsi="Palatino Linotype" w:cs="Palatino Linotype"/>
          <w:b/>
          <w:bCs/>
        </w:rPr>
        <w:t>SAIMEX.</w:t>
      </w:r>
    </w:p>
    <w:p w:rsidR="00654CEF" w:rsidRDefault="00A2005B">
      <w:pPr>
        <w:spacing w:before="240" w:after="240" w:line="360" w:lineRule="auto"/>
        <w:ind w:right="-1274"/>
        <w:jc w:val="both"/>
        <w:rPr>
          <w:rFonts w:ascii="Palatino Linotype" w:eastAsia="Palatino Linotype" w:hAnsi="Palatino Linotype" w:cs="Palatino Linotype"/>
        </w:rPr>
      </w:pPr>
      <w:r>
        <w:rPr>
          <w:rFonts w:ascii="Palatino Linotype" w:eastAsia="Palatino Linotype" w:hAnsi="Palatino Linotype" w:cs="Palatino Linotype"/>
          <w:b/>
          <w:bCs/>
        </w:rPr>
        <w:lastRenderedPageBreak/>
        <w:t>QUINTO.</w:t>
      </w:r>
      <w:r>
        <w:rPr>
          <w:rFonts w:ascii="Palatino Linotype" w:eastAsia="Palatino Linotype" w:hAnsi="Palatino Linotype" w:cs="Palatino Linotype"/>
        </w:rPr>
        <w:t xml:space="preserve"> Se hace del conocimiento del </w:t>
      </w:r>
      <w:r>
        <w:rPr>
          <w:rFonts w:ascii="Palatino Linotype" w:eastAsia="Palatino Linotype" w:hAnsi="Palatino Linotype" w:cs="Palatino Linotype"/>
          <w:b/>
          <w:bCs/>
          <w:color w:val="222222"/>
        </w:rPr>
        <w:t>RECURRENTE</w:t>
      </w:r>
      <w:r>
        <w:rPr>
          <w:rFonts w:ascii="Palatino Linotype" w:eastAsia="Palatino Linotype" w:hAnsi="Palatino Linotype" w:cs="Palatino Linotype"/>
          <w:b/>
          <w:bCs/>
        </w:rPr>
        <w:t xml:space="preserve"> </w:t>
      </w:r>
      <w:r>
        <w:rPr>
          <w:rFonts w:ascii="Palatino Linotype" w:eastAsia="Palatino Linotype" w:hAnsi="Palatino Linotype" w:cs="Palatino Linotype"/>
        </w:rPr>
        <w:t>que, de conformidad con lo establecido en el artículo 196 de la Ley de Transparencia y Acceso a la Información Pública del Estado de México y Municipios, en caso de que considere que la resolución le cause algún perjuicio podrá impugnar vía juicio de amparo en los términos de las leyes aplicables.</w:t>
      </w:r>
    </w:p>
    <w:p w:rsidR="00D22F16" w:rsidRDefault="00D22F16">
      <w:pPr>
        <w:spacing w:before="240" w:after="240" w:line="360" w:lineRule="auto"/>
        <w:ind w:right="-1274"/>
        <w:jc w:val="both"/>
        <w:rPr>
          <w:rFonts w:ascii="Palatino Linotype" w:eastAsia="Palatino Linotype" w:hAnsi="Palatino Linotype" w:cs="Palatino Linotype"/>
        </w:rPr>
      </w:pPr>
    </w:p>
    <w:p w:rsidR="00D22F16" w:rsidRPr="003E2295" w:rsidRDefault="00D22F16" w:rsidP="00D22F16">
      <w:pPr>
        <w:spacing w:before="240" w:after="240" w:line="360" w:lineRule="auto"/>
        <w:ind w:right="-1276" w:firstLine="1"/>
        <w:jc w:val="both"/>
        <w:rPr>
          <w:rFonts w:ascii="Palatino Linotype" w:hAnsi="Palatino Linotype"/>
        </w:rPr>
      </w:pPr>
      <w:bookmarkStart w:id="10" w:name="_Hlk99014733"/>
      <w:r w:rsidRPr="003E2295">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w:t>
      </w:r>
      <w:r>
        <w:rPr>
          <w:rFonts w:ascii="Palatino Linotype" w:hAnsi="Palatino Linotype" w:cs="Palatino Linotype"/>
        </w:rPr>
        <w:t xml:space="preserve">VIGÉSIMA </w:t>
      </w:r>
      <w:r w:rsidRPr="003E2295">
        <w:rPr>
          <w:rFonts w:ascii="Palatino Linotype" w:hAnsi="Palatino Linotype" w:cs="Palatino Linotype"/>
        </w:rPr>
        <w:t>SESIÓN O</w:t>
      </w:r>
      <w:r>
        <w:rPr>
          <w:rFonts w:ascii="Palatino Linotype" w:hAnsi="Palatino Linotype" w:cs="Palatino Linotype"/>
        </w:rPr>
        <w:t>RDINARIA, CELEBRADA EL TRES (03</w:t>
      </w:r>
      <w:r w:rsidRPr="003E2295">
        <w:rPr>
          <w:rFonts w:ascii="Palatino Linotype" w:hAnsi="Palatino Linotype" w:cs="Palatino Linotype"/>
        </w:rPr>
        <w:t xml:space="preserve">) DE </w:t>
      </w:r>
      <w:r>
        <w:rPr>
          <w:rFonts w:ascii="Palatino Linotype" w:hAnsi="Palatino Linotype" w:cs="Palatino Linotype"/>
        </w:rPr>
        <w:t>JUNIO</w:t>
      </w:r>
      <w:r w:rsidRPr="003E2295">
        <w:rPr>
          <w:rFonts w:ascii="Palatino Linotype" w:hAnsi="Palatino Linotype" w:cs="Palatino Linotype"/>
        </w:rPr>
        <w:t xml:space="preserve"> DE DOS MIL VEINTISÉIS, ANTE EL SECRETARIO TÉCNICO DEL PLENO </w:t>
      </w:r>
      <w:r w:rsidRPr="003E2295">
        <w:rPr>
          <w:rFonts w:ascii="Palatino Linotype" w:hAnsi="Palatino Linotype" w:cs="Palatino Linotype"/>
          <w:color w:val="000000" w:themeColor="text1"/>
        </w:rPr>
        <w:t>ALEXIS TAPIA RAMÍREZ.</w:t>
      </w:r>
    </w:p>
    <w:bookmarkEnd w:id="10"/>
    <w:p w:rsidR="00654CEF" w:rsidRDefault="00654CEF" w:rsidP="00D22F16">
      <w:pPr>
        <w:spacing w:line="360" w:lineRule="auto"/>
        <w:ind w:right="-1276"/>
        <w:rPr>
          <w:rFonts w:ascii="Palatino Linotype" w:eastAsia="Palatino Linotype" w:hAnsi="Palatino Linotype" w:cs="Palatino Linotype"/>
        </w:rPr>
      </w:pPr>
    </w:p>
    <w:p w:rsidR="00654CEF" w:rsidRDefault="00654CEF">
      <w:pPr>
        <w:spacing w:line="360" w:lineRule="auto"/>
        <w:ind w:right="-1274"/>
        <w:rPr>
          <w:rFonts w:ascii="Palatino Linotype" w:eastAsia="Palatino Linotype" w:hAnsi="Palatino Linotype" w:cs="Palatino Linotype"/>
        </w:rPr>
      </w:pPr>
    </w:p>
    <w:p w:rsidR="00654CEF" w:rsidRDefault="00654CEF">
      <w:pPr>
        <w:spacing w:line="360" w:lineRule="auto"/>
        <w:ind w:right="-1274"/>
        <w:rPr>
          <w:rFonts w:ascii="Palatino Linotype" w:eastAsia="Palatino Linotype" w:hAnsi="Palatino Linotype" w:cs="Palatino Linotype"/>
        </w:rPr>
      </w:pPr>
    </w:p>
    <w:p w:rsidR="00654CEF" w:rsidRDefault="00654CEF">
      <w:pPr>
        <w:spacing w:line="360" w:lineRule="auto"/>
        <w:ind w:right="-1274"/>
        <w:rPr>
          <w:rFonts w:ascii="Palatino Linotype" w:eastAsia="Palatino Linotype" w:hAnsi="Palatino Linotype" w:cs="Palatino Linotype"/>
        </w:rPr>
      </w:pPr>
    </w:p>
    <w:p w:rsidR="00654CEF" w:rsidRDefault="00654CEF">
      <w:pPr>
        <w:spacing w:line="360" w:lineRule="auto"/>
        <w:ind w:right="-1274"/>
        <w:rPr>
          <w:rFonts w:ascii="Palatino Linotype" w:eastAsia="Palatino Linotype" w:hAnsi="Palatino Linotype" w:cs="Palatino Linotype"/>
        </w:rPr>
      </w:pPr>
    </w:p>
    <w:p w:rsidR="00654CEF" w:rsidRDefault="00654CEF">
      <w:pPr>
        <w:spacing w:line="360" w:lineRule="auto"/>
        <w:ind w:right="-1274"/>
        <w:rPr>
          <w:rFonts w:ascii="Palatino Linotype" w:eastAsia="Palatino Linotype" w:hAnsi="Palatino Linotype" w:cs="Palatino Linotype"/>
        </w:rPr>
      </w:pPr>
    </w:p>
    <w:p w:rsidR="00654CEF" w:rsidRDefault="00654CEF">
      <w:pPr>
        <w:spacing w:line="360" w:lineRule="auto"/>
        <w:ind w:right="-1274"/>
        <w:rPr>
          <w:rFonts w:ascii="Palatino Linotype" w:eastAsia="Palatino Linotype" w:hAnsi="Palatino Linotype" w:cs="Palatino Linotype"/>
        </w:rPr>
      </w:pPr>
    </w:p>
    <w:p w:rsidR="00654CEF" w:rsidRDefault="00654CEF">
      <w:pPr>
        <w:spacing w:line="360" w:lineRule="auto"/>
        <w:ind w:right="-1274"/>
        <w:rPr>
          <w:rFonts w:ascii="Palatino Linotype" w:eastAsia="Palatino Linotype" w:hAnsi="Palatino Linotype" w:cs="Palatino Linotype"/>
        </w:rPr>
      </w:pPr>
    </w:p>
    <w:p w:rsidR="00654CEF" w:rsidRDefault="00654CEF">
      <w:pPr>
        <w:spacing w:line="360" w:lineRule="auto"/>
        <w:ind w:right="-1274"/>
        <w:rPr>
          <w:rFonts w:ascii="Palatino Linotype" w:eastAsia="Palatino Linotype" w:hAnsi="Palatino Linotype" w:cs="Palatino Linotype"/>
        </w:rPr>
      </w:pPr>
    </w:p>
    <w:p w:rsidR="00654CEF" w:rsidRDefault="00654CEF">
      <w:pPr>
        <w:spacing w:line="360" w:lineRule="auto"/>
        <w:ind w:right="-1274"/>
        <w:rPr>
          <w:rFonts w:ascii="Palatino Linotype" w:eastAsia="Palatino Linotype" w:hAnsi="Palatino Linotype" w:cs="Palatino Linotype"/>
        </w:rPr>
      </w:pPr>
    </w:p>
    <w:p w:rsidR="00654CEF" w:rsidRDefault="00654CEF">
      <w:pPr>
        <w:spacing w:line="360" w:lineRule="auto"/>
        <w:ind w:right="-1274"/>
        <w:rPr>
          <w:rFonts w:ascii="Palatino Linotype" w:eastAsia="Palatino Linotype" w:hAnsi="Palatino Linotype" w:cs="Palatino Linotype"/>
        </w:rPr>
      </w:pPr>
    </w:p>
    <w:p w:rsidR="00654CEF" w:rsidRDefault="00654CEF">
      <w:pPr>
        <w:spacing w:line="360" w:lineRule="auto"/>
        <w:ind w:right="-1274"/>
        <w:rPr>
          <w:rFonts w:ascii="Palatino Linotype" w:eastAsia="Palatino Linotype" w:hAnsi="Palatino Linotype" w:cs="Palatino Linotype"/>
        </w:rPr>
      </w:pPr>
    </w:p>
    <w:p w:rsidR="00654CEF" w:rsidRDefault="00654CEF">
      <w:pPr>
        <w:spacing w:line="360" w:lineRule="auto"/>
        <w:ind w:right="-1274"/>
        <w:rPr>
          <w:rFonts w:ascii="Palatino Linotype" w:eastAsia="Palatino Linotype" w:hAnsi="Palatino Linotype" w:cs="Palatino Linotype"/>
        </w:rPr>
      </w:pPr>
    </w:p>
    <w:p w:rsidR="00654CEF" w:rsidRDefault="00654CEF">
      <w:pPr>
        <w:spacing w:line="360" w:lineRule="auto"/>
        <w:ind w:right="-1274"/>
        <w:rPr>
          <w:rFonts w:ascii="Palatino Linotype" w:eastAsia="Palatino Linotype" w:hAnsi="Palatino Linotype" w:cs="Palatino Linotype"/>
        </w:rPr>
      </w:pPr>
    </w:p>
    <w:p w:rsidR="00654CEF" w:rsidRDefault="00654CEF">
      <w:pPr>
        <w:spacing w:line="360" w:lineRule="auto"/>
        <w:ind w:right="-1274"/>
        <w:rPr>
          <w:rFonts w:ascii="Palatino Linotype" w:eastAsia="Palatino Linotype" w:hAnsi="Palatino Linotype" w:cs="Palatino Linotype"/>
        </w:rPr>
      </w:pPr>
    </w:p>
    <w:p w:rsidR="00654CEF" w:rsidRDefault="00654CEF">
      <w:pPr>
        <w:spacing w:line="360" w:lineRule="auto"/>
        <w:ind w:right="-1274"/>
        <w:rPr>
          <w:rFonts w:ascii="Palatino Linotype" w:eastAsia="Palatino Linotype" w:hAnsi="Palatino Linotype" w:cs="Palatino Linotype"/>
        </w:rPr>
      </w:pPr>
    </w:p>
    <w:p w:rsidR="00654CEF" w:rsidRDefault="00654CEF">
      <w:pPr>
        <w:spacing w:line="360" w:lineRule="auto"/>
        <w:ind w:right="-1274"/>
        <w:rPr>
          <w:rFonts w:ascii="Palatino Linotype" w:eastAsia="Palatino Linotype" w:hAnsi="Palatino Linotype" w:cs="Palatino Linotype"/>
        </w:rPr>
      </w:pPr>
    </w:p>
    <w:p w:rsidR="00654CEF" w:rsidRDefault="00654CEF">
      <w:pPr>
        <w:spacing w:line="360" w:lineRule="auto"/>
        <w:ind w:right="-1274"/>
        <w:rPr>
          <w:rFonts w:ascii="Palatino Linotype" w:eastAsia="Palatino Linotype" w:hAnsi="Palatino Linotype" w:cs="Palatino Linotype"/>
        </w:rPr>
      </w:pPr>
    </w:p>
    <w:p w:rsidR="00654CEF" w:rsidRDefault="00654CEF">
      <w:pPr>
        <w:spacing w:line="360" w:lineRule="auto"/>
        <w:ind w:right="-1274"/>
        <w:rPr>
          <w:rFonts w:ascii="Palatino Linotype" w:eastAsia="Palatino Linotype" w:hAnsi="Palatino Linotype" w:cs="Palatino Linotype"/>
        </w:rPr>
      </w:pPr>
    </w:p>
    <w:p w:rsidR="00654CEF" w:rsidRDefault="00654CEF">
      <w:pPr>
        <w:spacing w:line="360" w:lineRule="auto"/>
        <w:ind w:right="-1274"/>
        <w:rPr>
          <w:rFonts w:ascii="Palatino Linotype" w:eastAsia="Palatino Linotype" w:hAnsi="Palatino Linotype" w:cs="Palatino Linotype"/>
        </w:rPr>
      </w:pPr>
    </w:p>
    <w:p w:rsidR="00654CEF" w:rsidRDefault="00654CEF">
      <w:pPr>
        <w:spacing w:line="360" w:lineRule="auto"/>
        <w:ind w:right="-1274"/>
        <w:rPr>
          <w:rFonts w:ascii="Palatino Linotype" w:eastAsia="Palatino Linotype" w:hAnsi="Palatino Linotype" w:cs="Palatino Linotype"/>
        </w:rPr>
      </w:pPr>
    </w:p>
    <w:p w:rsidR="00654CEF" w:rsidRDefault="00654CEF">
      <w:pPr>
        <w:spacing w:line="360" w:lineRule="auto"/>
        <w:ind w:right="-1274"/>
        <w:rPr>
          <w:rFonts w:ascii="Palatino Linotype" w:eastAsia="Palatino Linotype" w:hAnsi="Palatino Linotype" w:cs="Palatino Linotype"/>
        </w:rPr>
      </w:pPr>
    </w:p>
    <w:p w:rsidR="00654CEF" w:rsidRDefault="00654CEF">
      <w:pPr>
        <w:spacing w:line="360" w:lineRule="auto"/>
        <w:ind w:right="-1274"/>
        <w:rPr>
          <w:rFonts w:ascii="Palatino Linotype" w:eastAsia="Palatino Linotype" w:hAnsi="Palatino Linotype" w:cs="Palatino Linotype"/>
        </w:rPr>
      </w:pPr>
    </w:p>
    <w:p w:rsidR="00654CEF" w:rsidRDefault="00654CEF">
      <w:pPr>
        <w:spacing w:line="360" w:lineRule="auto"/>
        <w:ind w:right="-1274"/>
        <w:rPr>
          <w:rFonts w:ascii="Palatino Linotype" w:eastAsia="Palatino Linotype" w:hAnsi="Palatino Linotype" w:cs="Palatino Linotype"/>
        </w:rPr>
      </w:pPr>
    </w:p>
    <w:p w:rsidR="00654CEF" w:rsidRDefault="00654CEF">
      <w:pPr>
        <w:spacing w:line="360" w:lineRule="auto"/>
        <w:ind w:right="-1274"/>
        <w:rPr>
          <w:rFonts w:ascii="Palatino Linotype" w:eastAsia="Palatino Linotype" w:hAnsi="Palatino Linotype" w:cs="Palatino Linotype"/>
        </w:rPr>
      </w:pPr>
    </w:p>
    <w:p w:rsidR="00654CEF" w:rsidRDefault="00654CEF">
      <w:pPr>
        <w:spacing w:line="360" w:lineRule="auto"/>
        <w:ind w:right="-1274"/>
        <w:rPr>
          <w:rFonts w:ascii="Palatino Linotype" w:eastAsia="Palatino Linotype" w:hAnsi="Palatino Linotype" w:cs="Palatino Linotype"/>
        </w:rPr>
      </w:pPr>
    </w:p>
    <w:p w:rsidR="00654CEF" w:rsidRDefault="00654CEF">
      <w:pPr>
        <w:spacing w:line="360" w:lineRule="auto"/>
        <w:ind w:right="-1274"/>
        <w:rPr>
          <w:rFonts w:ascii="Palatino Linotype" w:eastAsia="Palatino Linotype" w:hAnsi="Palatino Linotype" w:cs="Palatino Linotype"/>
        </w:rPr>
      </w:pPr>
    </w:p>
    <w:p w:rsidR="00654CEF" w:rsidRDefault="00654CEF">
      <w:pPr>
        <w:spacing w:line="360" w:lineRule="auto"/>
        <w:ind w:right="-1274"/>
        <w:rPr>
          <w:rFonts w:ascii="Palatino Linotype" w:eastAsia="Palatino Linotype" w:hAnsi="Palatino Linotype" w:cs="Palatino Linotype"/>
        </w:rPr>
      </w:pPr>
    </w:p>
    <w:p w:rsidR="00654CEF" w:rsidRDefault="00654CEF">
      <w:pPr>
        <w:spacing w:line="360" w:lineRule="auto"/>
        <w:ind w:right="-1274"/>
        <w:rPr>
          <w:rFonts w:ascii="Palatino Linotype" w:eastAsia="Palatino Linotype" w:hAnsi="Palatino Linotype" w:cs="Palatino Linotype"/>
        </w:rPr>
      </w:pPr>
    </w:p>
    <w:sectPr w:rsidR="00654CEF">
      <w:headerReference w:type="even" r:id="rId8"/>
      <w:headerReference w:type="default" r:id="rId9"/>
      <w:footerReference w:type="default" r:id="rId10"/>
      <w:headerReference w:type="first" r:id="rId11"/>
      <w:footerReference w:type="first" r:id="rId12"/>
      <w:pgSz w:w="12240" w:h="15840"/>
      <w:pgMar w:top="2269" w:right="2034" w:bottom="1702"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241D" w:rsidRDefault="0058241D">
      <w:r>
        <w:separator/>
      </w:r>
    </w:p>
  </w:endnote>
  <w:endnote w:type="continuationSeparator" w:id="0">
    <w:p w:rsidR="0058241D" w:rsidRDefault="005824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embedRegular r:id="rId1" w:fontKey="{1EA14BA6-D462-4FF8-B267-76588EFF5B34}"/>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embedRegular r:id="rId2" w:fontKey="{98657D95-5DDF-4455-937F-AEECD508F17A}"/>
    <w:embedBold r:id="rId3" w:fontKey="{5C54EC29-C9CC-4B54-ADB5-DABBCA28076E}"/>
    <w:embedItalic r:id="rId4" w:fontKey="{5B3E403A-4B11-4B04-B8C1-BDC540F914CF}"/>
    <w:embedBoldItalic r:id="rId5" w:fontKey="{0D31EF54-CE9A-4556-84FD-3EF4C49A70C0}"/>
  </w:font>
  <w:font w:name="Calibri">
    <w:panose1 w:val="020F0502020204030204"/>
    <w:charset w:val="00"/>
    <w:family w:val="swiss"/>
    <w:pitch w:val="variable"/>
    <w:sig w:usb0="E4002EFF" w:usb1="C200247B" w:usb2="00000009" w:usb3="00000000" w:csb0="000001FF" w:csb1="00000000"/>
    <w:embedRegular r:id="rId6" w:fontKey="{68032803-222C-40B5-A3A4-DECDDC131318}"/>
    <w:embedBold r:id="rId7" w:fontKey="{B48D1C11-4C03-4303-81C1-7510E3D2D656}"/>
  </w:font>
  <w:font w:name="Georgia">
    <w:panose1 w:val="02040502050405020303"/>
    <w:charset w:val="00"/>
    <w:family w:val="roman"/>
    <w:pitch w:val="variable"/>
    <w:sig w:usb0="00000287" w:usb1="00000000" w:usb2="00000000" w:usb3="00000000" w:csb0="0000009F" w:csb1="00000000"/>
    <w:embedItalic r:id="rId8" w:fontKey="{5D1C0B86-7265-44F6-A4A3-DB5C987AE563}"/>
  </w:font>
  <w:font w:name="Verdana">
    <w:panose1 w:val="020B0604030504040204"/>
    <w:charset w:val="00"/>
    <w:family w:val="swiss"/>
    <w:pitch w:val="variable"/>
    <w:sig w:usb0="A00006FF" w:usb1="4000205B" w:usb2="00000010" w:usb3="00000000" w:csb0="0000019F" w:csb1="00000000"/>
    <w:embedRegular r:id="rId9" w:fontKey="{F72D1C94-0993-481A-8E21-A118F78FF3B9}"/>
  </w:font>
  <w:font w:name="Cambria">
    <w:panose1 w:val="02040503050406030204"/>
    <w:charset w:val="00"/>
    <w:family w:val="roman"/>
    <w:pitch w:val="variable"/>
    <w:sig w:usb0="E00006FF" w:usb1="420024FF" w:usb2="02000000" w:usb3="00000000" w:csb0="0000019F" w:csb1="00000000"/>
    <w:embedRegular r:id="rId10" w:fontKey="{D85421E4-75DC-4CFE-B1E3-F7B384C89C0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CEF" w:rsidRDefault="00A2005B">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PAGE</w:instrText>
    </w:r>
    <w:r>
      <w:rPr>
        <w:rFonts w:ascii="Palatino Linotype" w:eastAsia="Palatino Linotype" w:hAnsi="Palatino Linotype" w:cs="Palatino Linotype"/>
        <w:color w:val="000000"/>
        <w:sz w:val="22"/>
        <w:szCs w:val="22"/>
      </w:rPr>
      <w:fldChar w:fldCharType="separate"/>
    </w:r>
    <w:r w:rsidR="006951F1">
      <w:rPr>
        <w:rFonts w:ascii="Palatino Linotype" w:eastAsia="Palatino Linotype" w:hAnsi="Palatino Linotype" w:cs="Palatino Linotype"/>
        <w:noProof/>
        <w:color w:val="000000"/>
        <w:sz w:val="22"/>
        <w:szCs w:val="22"/>
      </w:rPr>
      <w:t>7</w:t>
    </w:r>
    <w:r>
      <w:rPr>
        <w:rFonts w:ascii="Palatino Linotype" w:eastAsia="Palatino Linotype" w:hAnsi="Palatino Linotype" w:cs="Palatino Linotype"/>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NUMPAGES</w:instrText>
    </w:r>
    <w:r>
      <w:rPr>
        <w:rFonts w:ascii="Palatino Linotype" w:eastAsia="Palatino Linotype" w:hAnsi="Palatino Linotype" w:cs="Palatino Linotype"/>
        <w:color w:val="000000"/>
        <w:sz w:val="22"/>
        <w:szCs w:val="22"/>
      </w:rPr>
      <w:fldChar w:fldCharType="separate"/>
    </w:r>
    <w:r w:rsidR="006951F1">
      <w:rPr>
        <w:rFonts w:ascii="Palatino Linotype" w:eastAsia="Palatino Linotype" w:hAnsi="Palatino Linotype" w:cs="Palatino Linotype"/>
        <w:noProof/>
        <w:color w:val="000000"/>
        <w:sz w:val="22"/>
        <w:szCs w:val="22"/>
      </w:rPr>
      <w:t>21</w:t>
    </w:r>
    <w:r>
      <w:rPr>
        <w:rFonts w:ascii="Palatino Linotype" w:eastAsia="Palatino Linotype" w:hAnsi="Palatino Linotype" w:cs="Palatino Linotype"/>
        <w:color w:val="000000"/>
        <w:sz w:val="22"/>
        <w:szCs w:val="22"/>
      </w:rPr>
      <w:fldChar w:fldCharType="end"/>
    </w:r>
  </w:p>
  <w:p w:rsidR="00654CEF" w:rsidRDefault="00654CEF">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CEF" w:rsidRDefault="00A2005B">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PAGE</w:instrText>
    </w:r>
    <w:r>
      <w:rPr>
        <w:rFonts w:ascii="Palatino Linotype" w:eastAsia="Palatino Linotype" w:hAnsi="Palatino Linotype" w:cs="Palatino Linotype"/>
        <w:color w:val="000000"/>
        <w:sz w:val="22"/>
        <w:szCs w:val="22"/>
      </w:rPr>
      <w:fldChar w:fldCharType="separate"/>
    </w:r>
    <w:r w:rsidR="006951F1">
      <w:rPr>
        <w:rFonts w:ascii="Palatino Linotype" w:eastAsia="Palatino Linotype" w:hAnsi="Palatino Linotype" w:cs="Palatino Linotype"/>
        <w:noProof/>
        <w:color w:val="000000"/>
        <w:sz w:val="22"/>
        <w:szCs w:val="22"/>
      </w:rPr>
      <w:t>1</w:t>
    </w:r>
    <w:r>
      <w:rPr>
        <w:rFonts w:ascii="Palatino Linotype" w:eastAsia="Palatino Linotype" w:hAnsi="Palatino Linotype" w:cs="Palatino Linotype"/>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NUMPAGES</w:instrText>
    </w:r>
    <w:r>
      <w:rPr>
        <w:rFonts w:ascii="Palatino Linotype" w:eastAsia="Palatino Linotype" w:hAnsi="Palatino Linotype" w:cs="Palatino Linotype"/>
        <w:color w:val="000000"/>
        <w:sz w:val="22"/>
        <w:szCs w:val="22"/>
      </w:rPr>
      <w:fldChar w:fldCharType="separate"/>
    </w:r>
    <w:r w:rsidR="006951F1">
      <w:rPr>
        <w:rFonts w:ascii="Palatino Linotype" w:eastAsia="Palatino Linotype" w:hAnsi="Palatino Linotype" w:cs="Palatino Linotype"/>
        <w:noProof/>
        <w:color w:val="000000"/>
        <w:sz w:val="22"/>
        <w:szCs w:val="22"/>
      </w:rPr>
      <w:t>21</w:t>
    </w:r>
    <w:r>
      <w:rPr>
        <w:rFonts w:ascii="Palatino Linotype" w:eastAsia="Palatino Linotype" w:hAnsi="Palatino Linotype" w:cs="Palatino Linotype"/>
        <w:color w:val="000000"/>
        <w:sz w:val="22"/>
        <w:szCs w:val="22"/>
      </w:rPr>
      <w:fldChar w:fldCharType="end"/>
    </w:r>
  </w:p>
  <w:p w:rsidR="00654CEF" w:rsidRDefault="00654CEF">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241D" w:rsidRDefault="0058241D">
      <w:r>
        <w:separator/>
      </w:r>
    </w:p>
  </w:footnote>
  <w:footnote w:type="continuationSeparator" w:id="0">
    <w:p w:rsidR="0058241D" w:rsidRDefault="0058241D">
      <w:r>
        <w:continuationSeparator/>
      </w:r>
    </w:p>
  </w:footnote>
  <w:footnote w:id="1">
    <w:p w:rsidR="00654CEF" w:rsidRDefault="00A2005B">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Convención Americana sobre Derechos Humanos. Artículo 13.</w:t>
      </w:r>
    </w:p>
  </w:footnote>
  <w:footnote w:id="2">
    <w:p w:rsidR="00654CEF" w:rsidRDefault="00A2005B">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Constitución Política de los Estados Unidos Mexicanos. Artículo sexto, sección A, fracción I.</w:t>
      </w:r>
    </w:p>
  </w:footnote>
  <w:footnote w:id="3">
    <w:p w:rsidR="00654CEF" w:rsidRDefault="00A2005B">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Corte Interamericana de Derechos Humanos. Caso Claude Reyes y otros vs. Chile. Sentencia de 19 de septiembre de 2006. Serie C. No. 151. Párr. 86.</w:t>
      </w:r>
    </w:p>
  </w:footnote>
  <w:footnote w:id="4">
    <w:p w:rsidR="00654CEF" w:rsidRDefault="00A2005B">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Ibídem. Parr. 87.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CEF" w:rsidRDefault="0058241D">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alt="" style="position:absolute;margin-left:0;margin-top:0;width:609.4pt;height:793.75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
      <w:tblW w:w="7590" w:type="dxa"/>
      <w:tblInd w:w="2694" w:type="dxa"/>
      <w:tblLayout w:type="fixed"/>
      <w:tblLook w:val="0400" w:firstRow="0" w:lastRow="0" w:firstColumn="0" w:lastColumn="0" w:noHBand="0" w:noVBand="1"/>
    </w:tblPr>
    <w:tblGrid>
      <w:gridCol w:w="3465"/>
      <w:gridCol w:w="4125"/>
    </w:tblGrid>
    <w:tr w:rsidR="00654CEF">
      <w:trPr>
        <w:trHeight w:val="227"/>
      </w:trPr>
      <w:tc>
        <w:tcPr>
          <w:tcW w:w="3465" w:type="dxa"/>
          <w:vAlign w:val="center"/>
        </w:tcPr>
        <w:p w:rsidR="00654CEF" w:rsidRDefault="00A2005B">
          <w:pPr>
            <w:ind w:right="34"/>
            <w:jc w:val="right"/>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4125" w:type="dxa"/>
          <w:vAlign w:val="center"/>
        </w:tcPr>
        <w:p w:rsidR="00654CEF" w:rsidRDefault="00A2005B">
          <w:pPr>
            <w:pBdr>
              <w:top w:val="nil"/>
              <w:left w:val="nil"/>
              <w:bottom w:val="nil"/>
              <w:right w:val="nil"/>
              <w:between w:val="nil"/>
            </w:pBdr>
            <w:tabs>
              <w:tab w:val="center" w:pos="4419"/>
              <w:tab w:val="right" w:pos="8838"/>
            </w:tabs>
            <w:ind w:right="-213"/>
            <w:rPr>
              <w:rFonts w:ascii="Palatino Linotype" w:eastAsia="Palatino Linotype" w:hAnsi="Palatino Linotype" w:cs="Palatino Linotype"/>
              <w:color w:val="000000"/>
            </w:rPr>
          </w:pPr>
          <w:r>
            <w:rPr>
              <w:rFonts w:ascii="Palatino Linotype" w:eastAsia="Palatino Linotype" w:hAnsi="Palatino Linotype" w:cs="Palatino Linotype"/>
              <w:color w:val="000000"/>
            </w:rPr>
            <w:t>03193/INFOEM/IP/RR/2026</w:t>
          </w:r>
        </w:p>
      </w:tc>
    </w:tr>
    <w:tr w:rsidR="00654CEF">
      <w:trPr>
        <w:trHeight w:val="242"/>
      </w:trPr>
      <w:tc>
        <w:tcPr>
          <w:tcW w:w="3465" w:type="dxa"/>
          <w:vAlign w:val="center"/>
        </w:tcPr>
        <w:p w:rsidR="00654CEF" w:rsidRDefault="00A2005B">
          <w:pPr>
            <w:ind w:right="34"/>
            <w:jc w:val="right"/>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4125" w:type="dxa"/>
          <w:vAlign w:val="center"/>
        </w:tcPr>
        <w:p w:rsidR="00654CEF" w:rsidRDefault="00A2005B">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rPr>
          </w:pPr>
          <w:r>
            <w:rPr>
              <w:rFonts w:ascii="Palatino Linotype" w:eastAsia="Palatino Linotype" w:hAnsi="Palatino Linotype" w:cs="Palatino Linotype"/>
              <w:color w:val="000000"/>
            </w:rPr>
            <w:t>Secretaría de Educación, Ciencia, Tecnología e Innovación</w:t>
          </w:r>
        </w:p>
      </w:tc>
    </w:tr>
    <w:tr w:rsidR="00654CEF">
      <w:trPr>
        <w:trHeight w:val="342"/>
      </w:trPr>
      <w:tc>
        <w:tcPr>
          <w:tcW w:w="3465" w:type="dxa"/>
          <w:vAlign w:val="center"/>
        </w:tcPr>
        <w:p w:rsidR="00654CEF" w:rsidRDefault="00A2005B">
          <w:pPr>
            <w:ind w:right="34"/>
            <w:jc w:val="right"/>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4125" w:type="dxa"/>
          <w:vAlign w:val="center"/>
        </w:tcPr>
        <w:p w:rsidR="00654CEF" w:rsidRDefault="00A2005B">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rPr>
          </w:pPr>
          <w:r>
            <w:rPr>
              <w:rFonts w:ascii="Palatino Linotype" w:eastAsia="Palatino Linotype" w:hAnsi="Palatino Linotype" w:cs="Palatino Linotype"/>
              <w:color w:val="000000"/>
            </w:rPr>
            <w:t>María del Rosario Mejía Ayala</w:t>
          </w:r>
        </w:p>
      </w:tc>
    </w:tr>
  </w:tbl>
  <w:p w:rsidR="00654CEF" w:rsidRDefault="0058241D">
    <w:pPr>
      <w:pBdr>
        <w:top w:val="nil"/>
        <w:left w:val="nil"/>
        <w:bottom w:val="nil"/>
        <w:right w:val="nil"/>
        <w:between w:val="nil"/>
      </w:pBdr>
      <w:tabs>
        <w:tab w:val="center" w:pos="4419"/>
        <w:tab w:val="right" w:pos="8838"/>
        <w:tab w:val="left" w:pos="6005"/>
      </w:tabs>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1" type="#_x0000_t75" alt="" style="position:absolute;margin-left:-76.85pt;margin-top:-131.15pt;width:609.4pt;height:793.75pt;z-index:-251659776;mso-position-horizontal-relative:margin;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7710" w:type="dxa"/>
      <w:tblInd w:w="2552" w:type="dxa"/>
      <w:tblLayout w:type="fixed"/>
      <w:tblLook w:val="0400" w:firstRow="0" w:lastRow="0" w:firstColumn="0" w:lastColumn="0" w:noHBand="0" w:noVBand="1"/>
    </w:tblPr>
    <w:tblGrid>
      <w:gridCol w:w="3435"/>
      <w:gridCol w:w="4275"/>
    </w:tblGrid>
    <w:tr w:rsidR="00654CEF">
      <w:trPr>
        <w:trHeight w:val="227"/>
      </w:trPr>
      <w:tc>
        <w:tcPr>
          <w:tcW w:w="3435" w:type="dxa"/>
          <w:vAlign w:val="center"/>
        </w:tcPr>
        <w:p w:rsidR="00654CEF" w:rsidRDefault="00A2005B">
          <w:pPr>
            <w:jc w:val="right"/>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4275" w:type="dxa"/>
          <w:vAlign w:val="center"/>
        </w:tcPr>
        <w:p w:rsidR="00654CEF" w:rsidRDefault="00A2005B">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rPr>
          </w:pPr>
          <w:r>
            <w:rPr>
              <w:rFonts w:ascii="Palatino Linotype" w:eastAsia="Palatino Linotype" w:hAnsi="Palatino Linotype" w:cs="Palatino Linotype"/>
              <w:color w:val="000000"/>
            </w:rPr>
            <w:t>03193/INFOEM/IP/RR/2026</w:t>
          </w:r>
        </w:p>
      </w:tc>
    </w:tr>
    <w:tr w:rsidR="00654CEF">
      <w:trPr>
        <w:trHeight w:val="242"/>
      </w:trPr>
      <w:tc>
        <w:tcPr>
          <w:tcW w:w="3435" w:type="dxa"/>
          <w:vAlign w:val="center"/>
        </w:tcPr>
        <w:p w:rsidR="00654CEF" w:rsidRDefault="00A2005B">
          <w:pPr>
            <w:jc w:val="right"/>
            <w:rPr>
              <w:rFonts w:ascii="Palatino Linotype" w:eastAsia="Palatino Linotype" w:hAnsi="Palatino Linotype" w:cs="Palatino Linotype"/>
              <w:b/>
              <w:bCs/>
            </w:rPr>
          </w:pPr>
          <w:r>
            <w:rPr>
              <w:rFonts w:ascii="Palatino Linotype" w:eastAsia="Palatino Linotype" w:hAnsi="Palatino Linotype" w:cs="Palatino Linotype"/>
              <w:b/>
              <w:bCs/>
            </w:rPr>
            <w:t>Recurrente:</w:t>
          </w:r>
        </w:p>
      </w:tc>
      <w:tc>
        <w:tcPr>
          <w:tcW w:w="4275" w:type="dxa"/>
        </w:tcPr>
        <w:p w:rsidR="00654CEF" w:rsidRDefault="006951F1">
          <w:pPr>
            <w:pBdr>
              <w:top w:val="nil"/>
              <w:left w:val="nil"/>
              <w:bottom w:val="nil"/>
              <w:right w:val="nil"/>
              <w:between w:val="nil"/>
            </w:pBdr>
            <w:tabs>
              <w:tab w:val="center" w:pos="4419"/>
              <w:tab w:val="right" w:pos="8838"/>
              <w:tab w:val="left" w:pos="521"/>
            </w:tabs>
            <w:rPr>
              <w:rFonts w:ascii="Palatino Linotype" w:eastAsia="Palatino Linotype" w:hAnsi="Palatino Linotype" w:cs="Palatino Linotype"/>
              <w:color w:val="000000"/>
            </w:rPr>
          </w:pPr>
          <w:r>
            <w:rPr>
              <w:rFonts w:ascii="Palatino Linotype" w:eastAsia="Palatino Linotype" w:hAnsi="Palatino Linotype" w:cs="Palatino Linotype"/>
              <w:color w:val="000000"/>
            </w:rPr>
            <w:t>XXXX</w:t>
          </w:r>
        </w:p>
      </w:tc>
    </w:tr>
    <w:tr w:rsidR="00654CEF">
      <w:trPr>
        <w:trHeight w:val="524"/>
      </w:trPr>
      <w:tc>
        <w:tcPr>
          <w:tcW w:w="3435" w:type="dxa"/>
          <w:vAlign w:val="center"/>
        </w:tcPr>
        <w:p w:rsidR="00654CEF" w:rsidRDefault="00A2005B">
          <w:pPr>
            <w:jc w:val="right"/>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4275" w:type="dxa"/>
          <w:vAlign w:val="center"/>
        </w:tcPr>
        <w:p w:rsidR="00654CEF" w:rsidRDefault="00A2005B">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rPr>
          </w:pPr>
          <w:r>
            <w:rPr>
              <w:rFonts w:ascii="Palatino Linotype" w:eastAsia="Palatino Linotype" w:hAnsi="Palatino Linotype" w:cs="Palatino Linotype"/>
              <w:color w:val="000000"/>
            </w:rPr>
            <w:t>Secretaría de Educación, Ciencia, Tecnología e Innovación</w:t>
          </w:r>
        </w:p>
      </w:tc>
    </w:tr>
    <w:tr w:rsidR="00654CEF">
      <w:trPr>
        <w:trHeight w:val="342"/>
      </w:trPr>
      <w:tc>
        <w:tcPr>
          <w:tcW w:w="3435" w:type="dxa"/>
          <w:vAlign w:val="center"/>
        </w:tcPr>
        <w:p w:rsidR="00654CEF" w:rsidRDefault="00A2005B">
          <w:pPr>
            <w:jc w:val="right"/>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4275" w:type="dxa"/>
          <w:vAlign w:val="center"/>
        </w:tcPr>
        <w:p w:rsidR="00654CEF" w:rsidRDefault="00A2005B">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rPr>
          </w:pPr>
          <w:r>
            <w:rPr>
              <w:rFonts w:ascii="Palatino Linotype" w:eastAsia="Palatino Linotype" w:hAnsi="Palatino Linotype" w:cs="Palatino Linotype"/>
              <w:color w:val="000000"/>
            </w:rPr>
            <w:t>María del Rosario Mejía Ayala</w:t>
          </w:r>
        </w:p>
      </w:tc>
    </w:tr>
  </w:tbl>
  <w:p w:rsidR="00654CEF" w:rsidRDefault="0058241D">
    <w:pPr>
      <w:pBdr>
        <w:top w:val="nil"/>
        <w:left w:val="nil"/>
        <w:bottom w:val="nil"/>
        <w:right w:val="nil"/>
        <w:between w:val="nil"/>
      </w:pBdr>
      <w:tabs>
        <w:tab w:val="center" w:pos="4419"/>
        <w:tab w:val="right" w:pos="8838"/>
      </w:tabs>
      <w:rPr>
        <w:color w:val="000000"/>
        <w:sz w:val="16"/>
        <w:szCs w:val="16"/>
      </w:rPr>
    </w:pPr>
    <w:r>
      <w:rPr>
        <w:color w:val="000000"/>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84.55pt;margin-top:-122.3pt;width:609.4pt;height:793.75pt;z-index:-251658752;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E947BA"/>
    <w:multiLevelType w:val="multilevel"/>
    <w:tmpl w:val="C94E5AB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34224251"/>
    <w:multiLevelType w:val="multilevel"/>
    <w:tmpl w:val="B2C0F08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48702422"/>
    <w:multiLevelType w:val="multilevel"/>
    <w:tmpl w:val="C144EE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A7A6FE4"/>
    <w:multiLevelType w:val="multilevel"/>
    <w:tmpl w:val="AF0E489E"/>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7E1E23E4"/>
    <w:multiLevelType w:val="multilevel"/>
    <w:tmpl w:val="31A4EC8E"/>
    <w:lvl w:ilvl="0">
      <w:start w:val="1"/>
      <w:numFmt w:val="decimal"/>
      <w:lvlText w:val="%1."/>
      <w:lvlJc w:val="left"/>
      <w:pPr>
        <w:ind w:left="644" w:hanging="359"/>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4"/>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TrueTypeFonts/>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4CEF"/>
    <w:rsid w:val="003775E7"/>
    <w:rsid w:val="0058241D"/>
    <w:rsid w:val="005E27D1"/>
    <w:rsid w:val="00651F60"/>
    <w:rsid w:val="00654CEF"/>
    <w:rsid w:val="006951F1"/>
    <w:rsid w:val="008E5641"/>
    <w:rsid w:val="00A2005B"/>
    <w:rsid w:val="00AD0BC4"/>
    <w:rsid w:val="00C40821"/>
    <w:rsid w:val="00D22F1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BF277DDB-42CC-4057-BD6C-BEAA0DBC8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s-ES_tradnl"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color w:val="2E75B5"/>
      <w:sz w:val="32"/>
      <w:szCs w:val="32"/>
    </w:rPr>
  </w:style>
  <w:style w:type="paragraph" w:styleId="Ttulo2">
    <w:name w:val="heading 2"/>
    <w:basedOn w:val="Normal"/>
    <w:next w:val="Normal"/>
    <w:pPr>
      <w:keepNext/>
      <w:keepLines/>
      <w:spacing w:before="40"/>
      <w:outlineLvl w:val="1"/>
    </w:pPr>
    <w:rPr>
      <w:color w:val="2E75B5"/>
      <w:sz w:val="26"/>
      <w:szCs w:val="2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70" w:type="dxa"/>
        <w:bottom w:w="0" w:type="dxa"/>
        <w:right w:w="70" w:type="dxa"/>
      </w:tblCellMar>
    </w:tblPr>
  </w:style>
  <w:style w:type="table" w:customStyle="1" w:styleId="a0">
    <w:basedOn w:val="TableNormal"/>
    <w:tblPr>
      <w:tblStyleRowBandSize w:val="1"/>
      <w:tblStyleColBandSize w:val="1"/>
      <w:tblCellMar>
        <w:top w:w="0" w:type="dxa"/>
        <w:left w:w="70" w:type="dxa"/>
        <w:bottom w:w="0" w:type="dxa"/>
        <w:right w:w="70" w:type="dxa"/>
      </w:tblCellMar>
    </w:tblPr>
  </w:style>
  <w:style w:type="paragraph" w:styleId="Piedepgina">
    <w:name w:val="footer"/>
    <w:basedOn w:val="Normal"/>
    <w:link w:val="PiedepginaCar"/>
    <w:uiPriority w:val="99"/>
    <w:unhideWhenUsed/>
    <w:rsid w:val="00C40821"/>
    <w:pPr>
      <w:tabs>
        <w:tab w:val="center" w:pos="4419"/>
        <w:tab w:val="right" w:pos="8838"/>
      </w:tabs>
    </w:pPr>
  </w:style>
  <w:style w:type="character" w:customStyle="1" w:styleId="PiedepginaCar">
    <w:name w:val="Pie de página Car"/>
    <w:basedOn w:val="Fuentedeprrafopredeter"/>
    <w:link w:val="Piedepgina"/>
    <w:uiPriority w:val="99"/>
    <w:rsid w:val="00C408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zjG1uD7/MA3J1P8QTeyU3f+eheA==">CgMxLjAyDmguN3ducmg0N3duNWVoMg5oLm1xYXZ4eXBpdjQ2NzIOaC5vNnd5dWJxZXFmc2IyDmgudGEza2MyMjN0bWZsMg5oLmQ0N3Q4OThuaDZ3YjIJaC4yczhleW8xMgloLjE3ZHA4dnUyCWguM3JkY3JqbjIOaC5nNWdhbDY0ejNnMjM4AHIhMTFsZFprSV9fZ0F2NE5tUmJwV3BoVFhxVzRkMnV6RVEy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21</Pages>
  <Words>5236</Words>
  <Characters>28803</Characters>
  <Application>Microsoft Office Word</Application>
  <DocSecurity>0</DocSecurity>
  <Lines>240</Lines>
  <Paragraphs>67</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33972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INFOEM574</dc:creator>
  <cp:lastModifiedBy>Cuenta Microsoft</cp:lastModifiedBy>
  <cp:revision>7</cp:revision>
  <cp:lastPrinted>2026-06-05T16:41:00Z</cp:lastPrinted>
  <dcterms:created xsi:type="dcterms:W3CDTF">2026-06-03T19:58:00Z</dcterms:created>
  <dcterms:modified xsi:type="dcterms:W3CDTF">2026-06-09T23:11:00Z</dcterms:modified>
</cp:coreProperties>
</file>