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FE640" w14:textId="4233D2C3" w:rsidR="005A75CA" w:rsidRPr="00C56FC5" w:rsidRDefault="00E96B90" w:rsidP="00D7204E">
      <w:pPr>
        <w:spacing w:before="240" w:after="240" w:line="360" w:lineRule="auto"/>
        <w:jc w:val="both"/>
        <w:rPr>
          <w:rFonts w:ascii="Palatino Linotype" w:eastAsia="Palatino Linotype" w:hAnsi="Palatino Linotype" w:cs="Palatino Linotype"/>
          <w:sz w:val="22"/>
          <w:szCs w:val="22"/>
        </w:rPr>
      </w:pPr>
      <w:bookmarkStart w:id="0" w:name="_heading=h.3rdcrjn" w:colFirst="0" w:colLast="0"/>
      <w:bookmarkEnd w:id="0"/>
      <w:r w:rsidRPr="00C56FC5">
        <w:rPr>
          <w:rFonts w:ascii="Palatino Linotype" w:eastAsia="Palatino Linotype" w:hAnsi="Palatino Linotype" w:cs="Palatino Linotype"/>
          <w:sz w:val="22"/>
          <w:szCs w:val="22"/>
        </w:rPr>
        <w:t>Resolución del Pleno del Instituto de Transparencia, Acceso a la Información Pública y Protección de Datos Personales del Estado de México y Municipios, con domicilio en Me</w:t>
      </w:r>
      <w:r w:rsidR="00FB77D5" w:rsidRPr="00C56FC5">
        <w:rPr>
          <w:rFonts w:ascii="Palatino Linotype" w:eastAsia="Palatino Linotype" w:hAnsi="Palatino Linotype" w:cs="Palatino Linotype"/>
          <w:sz w:val="22"/>
          <w:szCs w:val="22"/>
        </w:rPr>
        <w:t xml:space="preserve">tepec, Estado de México, a </w:t>
      </w:r>
      <w:r w:rsidR="001D1176" w:rsidRPr="00C56FC5">
        <w:rPr>
          <w:rFonts w:ascii="Palatino Linotype" w:eastAsia="Palatino Linotype" w:hAnsi="Palatino Linotype" w:cs="Palatino Linotype"/>
          <w:sz w:val="22"/>
          <w:szCs w:val="22"/>
        </w:rPr>
        <w:t xml:space="preserve">cinco de marzo </w:t>
      </w:r>
      <w:r w:rsidRPr="00C56FC5">
        <w:rPr>
          <w:rFonts w:ascii="Palatino Linotype" w:eastAsia="Palatino Linotype" w:hAnsi="Palatino Linotype" w:cs="Palatino Linotype"/>
          <w:sz w:val="22"/>
          <w:szCs w:val="22"/>
        </w:rPr>
        <w:t>de dos mil veinti</w:t>
      </w:r>
      <w:r w:rsidR="001D1176" w:rsidRPr="00C56FC5">
        <w:rPr>
          <w:rFonts w:ascii="Palatino Linotype" w:eastAsia="Palatino Linotype" w:hAnsi="Palatino Linotype" w:cs="Palatino Linotype"/>
          <w:sz w:val="22"/>
          <w:szCs w:val="22"/>
        </w:rPr>
        <w:t>séis</w:t>
      </w:r>
      <w:r w:rsidRPr="00C56FC5">
        <w:rPr>
          <w:rFonts w:ascii="Palatino Linotype" w:eastAsia="Palatino Linotype" w:hAnsi="Palatino Linotype" w:cs="Palatino Linotype"/>
          <w:sz w:val="22"/>
          <w:szCs w:val="22"/>
        </w:rPr>
        <w:t xml:space="preserve">. </w:t>
      </w:r>
    </w:p>
    <w:p w14:paraId="30E0E444" w14:textId="24DE3217" w:rsidR="005A75CA" w:rsidRPr="00C56FC5" w:rsidRDefault="00E96B90" w:rsidP="00D7204E">
      <w:pPr>
        <w:tabs>
          <w:tab w:val="left" w:pos="5812"/>
        </w:tabs>
        <w:spacing w:before="240" w:after="240" w:line="360" w:lineRule="auto"/>
        <w:jc w:val="both"/>
        <w:rPr>
          <w:rFonts w:ascii="Palatino Linotype" w:eastAsia="Palatino Linotype" w:hAnsi="Palatino Linotype" w:cs="Palatino Linotype"/>
          <w:sz w:val="22"/>
          <w:szCs w:val="22"/>
        </w:rPr>
      </w:pPr>
      <w:bookmarkStart w:id="1" w:name="_heading=h.daj3j2xo6q66" w:colFirst="0" w:colLast="0"/>
      <w:bookmarkEnd w:id="1"/>
      <w:r w:rsidRPr="00C56FC5">
        <w:rPr>
          <w:rFonts w:ascii="Palatino Linotype" w:eastAsia="Palatino Linotype" w:hAnsi="Palatino Linotype" w:cs="Palatino Linotype"/>
          <w:b/>
          <w:sz w:val="22"/>
          <w:szCs w:val="22"/>
        </w:rPr>
        <w:t>VISTO</w:t>
      </w:r>
      <w:r w:rsidRPr="00C56FC5">
        <w:rPr>
          <w:rFonts w:ascii="Palatino Linotype" w:eastAsia="Palatino Linotype" w:hAnsi="Palatino Linotype" w:cs="Palatino Linotype"/>
          <w:sz w:val="22"/>
          <w:szCs w:val="22"/>
        </w:rPr>
        <w:t xml:space="preserve"> el expediente formado con motivo del recurso de revisión </w:t>
      </w:r>
      <w:r w:rsidR="001D1176" w:rsidRPr="00C56FC5">
        <w:rPr>
          <w:rFonts w:ascii="Palatino Linotype" w:eastAsia="Palatino Linotype" w:hAnsi="Palatino Linotype" w:cs="Palatino Linotype"/>
          <w:b/>
          <w:sz w:val="22"/>
          <w:szCs w:val="22"/>
        </w:rPr>
        <w:t>13179/INFOEM/IP/RR/2025</w:t>
      </w:r>
      <w:r w:rsidRPr="00C56FC5">
        <w:rPr>
          <w:rFonts w:ascii="Palatino Linotype" w:eastAsia="Palatino Linotype" w:hAnsi="Palatino Linotype" w:cs="Palatino Linotype"/>
          <w:sz w:val="22"/>
          <w:szCs w:val="22"/>
        </w:rPr>
        <w:t>, interpuesto por</w:t>
      </w:r>
      <w:r w:rsidR="00B065C5" w:rsidRPr="00B065C5">
        <w:rPr>
          <w:rFonts w:ascii="Palatino Linotype" w:eastAsia="Palatino Linotype" w:hAnsi="Palatino Linotype" w:cs="Palatino Linotype"/>
          <w:b/>
          <w:sz w:val="21"/>
          <w:szCs w:val="21"/>
          <w:lang w:val="es-ES"/>
        </w:rPr>
        <w:t xml:space="preserve"> </w:t>
      </w:r>
      <w:r w:rsidR="00B065C5">
        <w:rPr>
          <w:rFonts w:ascii="Palatino Linotype" w:eastAsia="Palatino Linotype" w:hAnsi="Palatino Linotype" w:cs="Palatino Linotype"/>
          <w:b/>
          <w:sz w:val="21"/>
          <w:szCs w:val="21"/>
          <w:lang w:val="es-ES"/>
        </w:rPr>
        <w:t>XXXXX XXXXXXX XXXXX</w:t>
      </w:r>
      <w:r w:rsidRPr="00C56FC5">
        <w:rPr>
          <w:rFonts w:ascii="Palatino Linotype" w:eastAsia="Palatino Linotype" w:hAnsi="Palatino Linotype" w:cs="Palatino Linotype"/>
          <w:b/>
          <w:sz w:val="22"/>
          <w:szCs w:val="22"/>
        </w:rPr>
        <w:t>,</w:t>
      </w:r>
      <w:r w:rsidRPr="00C56FC5">
        <w:rPr>
          <w:rFonts w:ascii="Palatino Linotype" w:eastAsia="Palatino Linotype" w:hAnsi="Palatino Linotype" w:cs="Palatino Linotype"/>
          <w:sz w:val="22"/>
          <w:szCs w:val="22"/>
        </w:rPr>
        <w:t xml:space="preserve"> en lo sucesivo</w:t>
      </w:r>
      <w:r w:rsidRPr="00C56FC5">
        <w:rPr>
          <w:rFonts w:ascii="Palatino Linotype" w:eastAsia="Palatino Linotype" w:hAnsi="Palatino Linotype" w:cs="Palatino Linotype"/>
          <w:b/>
          <w:sz w:val="22"/>
          <w:szCs w:val="22"/>
        </w:rPr>
        <w:t xml:space="preserve"> </w:t>
      </w:r>
      <w:r w:rsidRPr="00C56FC5">
        <w:rPr>
          <w:rFonts w:ascii="Palatino Linotype" w:eastAsia="Palatino Linotype" w:hAnsi="Palatino Linotype" w:cs="Palatino Linotype"/>
          <w:sz w:val="22"/>
          <w:szCs w:val="22"/>
        </w:rPr>
        <w:t xml:space="preserve">la parte </w:t>
      </w:r>
      <w:r w:rsidRPr="00C56FC5">
        <w:rPr>
          <w:rFonts w:ascii="Palatino Linotype" w:eastAsia="Palatino Linotype" w:hAnsi="Palatino Linotype" w:cs="Palatino Linotype"/>
          <w:b/>
          <w:sz w:val="22"/>
          <w:szCs w:val="22"/>
        </w:rPr>
        <w:t>Recurrente,</w:t>
      </w:r>
      <w:r w:rsidRPr="00C56FC5">
        <w:rPr>
          <w:rFonts w:ascii="Palatino Linotype" w:eastAsia="Palatino Linotype" w:hAnsi="Palatino Linotype" w:cs="Palatino Linotype"/>
          <w:sz w:val="22"/>
          <w:szCs w:val="22"/>
        </w:rPr>
        <w:t xml:space="preserve"> en contra de la falta de respuesta a la solicitud de información con número de folio</w:t>
      </w:r>
      <w:r w:rsidRPr="00C56FC5">
        <w:rPr>
          <w:rFonts w:ascii="Palatino Linotype" w:eastAsia="Palatino Linotype" w:hAnsi="Palatino Linotype" w:cs="Palatino Linotype"/>
          <w:b/>
          <w:sz w:val="22"/>
          <w:szCs w:val="22"/>
        </w:rPr>
        <w:t xml:space="preserve"> </w:t>
      </w:r>
      <w:r w:rsidR="00A45E0C" w:rsidRPr="00C56FC5">
        <w:rPr>
          <w:rFonts w:ascii="Palatino Linotype" w:eastAsia="Palatino Linotype" w:hAnsi="Palatino Linotype" w:cs="Palatino Linotype"/>
          <w:b/>
          <w:sz w:val="22"/>
          <w:szCs w:val="22"/>
        </w:rPr>
        <w:t>00080/JALTENCO/IP/2025</w:t>
      </w:r>
      <w:r w:rsidRPr="00C56FC5">
        <w:rPr>
          <w:rFonts w:ascii="Palatino Linotype" w:eastAsia="Palatino Linotype" w:hAnsi="Palatino Linotype" w:cs="Palatino Linotype"/>
          <w:b/>
          <w:sz w:val="22"/>
          <w:szCs w:val="22"/>
        </w:rPr>
        <w:t xml:space="preserve">, </w:t>
      </w:r>
      <w:r w:rsidRPr="00C56FC5">
        <w:rPr>
          <w:rFonts w:ascii="Palatino Linotype" w:eastAsia="Palatino Linotype" w:hAnsi="Palatino Linotype" w:cs="Palatino Linotype"/>
          <w:sz w:val="22"/>
          <w:szCs w:val="22"/>
        </w:rPr>
        <w:t xml:space="preserve">por parte del </w:t>
      </w:r>
      <w:r w:rsidR="00A45E0C" w:rsidRPr="00C56FC5">
        <w:rPr>
          <w:rFonts w:ascii="Palatino Linotype" w:eastAsia="Palatino Linotype" w:hAnsi="Palatino Linotype" w:cs="Palatino Linotype"/>
          <w:b/>
          <w:sz w:val="22"/>
          <w:szCs w:val="22"/>
        </w:rPr>
        <w:t>Ayuntamiento de Jaltenco</w:t>
      </w:r>
      <w:r w:rsidRPr="00C56FC5">
        <w:rPr>
          <w:rFonts w:ascii="Palatino Linotype" w:eastAsia="Palatino Linotype" w:hAnsi="Palatino Linotype" w:cs="Palatino Linotype"/>
          <w:b/>
          <w:sz w:val="22"/>
          <w:szCs w:val="22"/>
        </w:rPr>
        <w:t xml:space="preserve">, </w:t>
      </w:r>
      <w:r w:rsidRPr="00C56FC5">
        <w:rPr>
          <w:rFonts w:ascii="Palatino Linotype" w:eastAsia="Palatino Linotype" w:hAnsi="Palatino Linotype" w:cs="Palatino Linotype"/>
          <w:sz w:val="22"/>
          <w:szCs w:val="22"/>
        </w:rPr>
        <w:t xml:space="preserve">en lo sucesivo el </w:t>
      </w:r>
      <w:r w:rsidRPr="00C56FC5">
        <w:rPr>
          <w:rFonts w:ascii="Palatino Linotype" w:eastAsia="Palatino Linotype" w:hAnsi="Palatino Linotype" w:cs="Palatino Linotype"/>
          <w:b/>
          <w:sz w:val="22"/>
          <w:szCs w:val="22"/>
        </w:rPr>
        <w:t xml:space="preserve">Sujeto Obligado, </w:t>
      </w:r>
      <w:r w:rsidRPr="00C56FC5">
        <w:rPr>
          <w:rFonts w:ascii="Palatino Linotype" w:eastAsia="Palatino Linotype" w:hAnsi="Palatino Linotype" w:cs="Palatino Linotype"/>
          <w:sz w:val="22"/>
          <w:szCs w:val="22"/>
        </w:rPr>
        <w:t xml:space="preserve">se procede a dictar la presente resolución con base en los siguientes: </w:t>
      </w:r>
    </w:p>
    <w:p w14:paraId="3EA1D554" w14:textId="77777777" w:rsidR="005A75CA" w:rsidRPr="00C56FC5" w:rsidRDefault="00E96B90" w:rsidP="00D7204E">
      <w:pPr>
        <w:spacing w:before="240" w:after="240" w:line="360" w:lineRule="auto"/>
        <w:jc w:val="center"/>
        <w:rPr>
          <w:rFonts w:ascii="Palatino Linotype" w:eastAsia="Palatino Linotype" w:hAnsi="Palatino Linotype" w:cs="Palatino Linotype"/>
          <w:b/>
          <w:sz w:val="22"/>
          <w:szCs w:val="22"/>
        </w:rPr>
      </w:pPr>
      <w:r w:rsidRPr="00C56FC5">
        <w:rPr>
          <w:rFonts w:ascii="Palatino Linotype" w:eastAsia="Palatino Linotype" w:hAnsi="Palatino Linotype" w:cs="Palatino Linotype"/>
          <w:b/>
          <w:sz w:val="22"/>
          <w:szCs w:val="22"/>
        </w:rPr>
        <w:t>I. A N T E C E D E N T E S</w:t>
      </w:r>
    </w:p>
    <w:p w14:paraId="6181BC13" w14:textId="4EA97A5B" w:rsidR="005A75CA" w:rsidRPr="00C56FC5" w:rsidRDefault="00E96B90" w:rsidP="00D7204E">
      <w:pPr>
        <w:spacing w:before="240" w:after="240" w:line="360" w:lineRule="auto"/>
        <w:jc w:val="both"/>
        <w:rPr>
          <w:rFonts w:ascii="Palatino Linotype" w:eastAsia="Palatino Linotype" w:hAnsi="Palatino Linotype" w:cs="Palatino Linotype"/>
          <w:sz w:val="22"/>
          <w:szCs w:val="22"/>
        </w:rPr>
      </w:pPr>
      <w:bookmarkStart w:id="2" w:name="_heading=h.gjdgxs" w:colFirst="0" w:colLast="0"/>
      <w:bookmarkEnd w:id="2"/>
      <w:r w:rsidRPr="00C56FC5">
        <w:rPr>
          <w:rFonts w:ascii="Palatino Linotype" w:eastAsia="Palatino Linotype" w:hAnsi="Palatino Linotype" w:cs="Palatino Linotype"/>
          <w:b/>
          <w:sz w:val="22"/>
          <w:szCs w:val="22"/>
        </w:rPr>
        <w:t>1. Solicitud de acceso a la información.</w:t>
      </w:r>
      <w:r w:rsidRPr="00C56FC5">
        <w:rPr>
          <w:rFonts w:ascii="Palatino Linotype" w:eastAsia="Palatino Linotype" w:hAnsi="Palatino Linotype" w:cs="Palatino Linotype"/>
          <w:sz w:val="22"/>
          <w:szCs w:val="22"/>
        </w:rPr>
        <w:t xml:space="preserve"> El </w:t>
      </w:r>
      <w:r w:rsidR="00A45E0C" w:rsidRPr="00C56FC5">
        <w:rPr>
          <w:rFonts w:ascii="Palatino Linotype" w:eastAsia="Palatino Linotype" w:hAnsi="Palatino Linotype" w:cs="Palatino Linotype"/>
          <w:b/>
          <w:sz w:val="22"/>
          <w:szCs w:val="22"/>
        </w:rPr>
        <w:t xml:space="preserve">doce de octubre </w:t>
      </w:r>
      <w:r w:rsidRPr="00C56FC5">
        <w:rPr>
          <w:rFonts w:ascii="Palatino Linotype" w:eastAsia="Palatino Linotype" w:hAnsi="Palatino Linotype" w:cs="Palatino Linotype"/>
          <w:b/>
          <w:sz w:val="22"/>
          <w:szCs w:val="22"/>
        </w:rPr>
        <w:t>de dos mil veinticinco,</w:t>
      </w:r>
      <w:r w:rsidRPr="00C56FC5">
        <w:rPr>
          <w:rFonts w:ascii="Palatino Linotype" w:eastAsia="Palatino Linotype" w:hAnsi="Palatino Linotype" w:cs="Palatino Linotype"/>
          <w:sz w:val="22"/>
          <w:szCs w:val="22"/>
        </w:rPr>
        <w:t xml:space="preserve"> la parte </w:t>
      </w:r>
      <w:r w:rsidRPr="00C56FC5">
        <w:rPr>
          <w:rFonts w:ascii="Palatino Linotype" w:eastAsia="Palatino Linotype" w:hAnsi="Palatino Linotype" w:cs="Palatino Linotype"/>
          <w:b/>
          <w:sz w:val="22"/>
          <w:szCs w:val="22"/>
        </w:rPr>
        <w:t xml:space="preserve">Recurrente </w:t>
      </w:r>
      <w:r w:rsidRPr="00C56FC5">
        <w:rPr>
          <w:rFonts w:ascii="Palatino Linotype" w:eastAsia="Palatino Linotype" w:hAnsi="Palatino Linotype" w:cs="Palatino Linotype"/>
          <w:sz w:val="22"/>
          <w:szCs w:val="22"/>
        </w:rPr>
        <w:t xml:space="preserve">presentó la solicitud de acceso a la información pública ante el </w:t>
      </w:r>
      <w:r w:rsidRPr="00C56FC5">
        <w:rPr>
          <w:rFonts w:ascii="Palatino Linotype" w:eastAsia="Palatino Linotype" w:hAnsi="Palatino Linotype" w:cs="Palatino Linotype"/>
          <w:b/>
          <w:sz w:val="22"/>
          <w:szCs w:val="22"/>
        </w:rPr>
        <w:t>Sujeto Obligado</w:t>
      </w:r>
      <w:r w:rsidRPr="00C56FC5">
        <w:rPr>
          <w:rFonts w:ascii="Palatino Linotype" w:eastAsia="Palatino Linotype" w:hAnsi="Palatino Linotype" w:cs="Palatino Linotype"/>
          <w:sz w:val="22"/>
          <w:szCs w:val="22"/>
        </w:rPr>
        <w:t xml:space="preserve">, a través del Sistema de Acceso a la Información Mexiquense, en lo subsecuente el </w:t>
      </w:r>
      <w:r w:rsidRPr="00C56FC5">
        <w:rPr>
          <w:rFonts w:ascii="Palatino Linotype" w:eastAsia="Palatino Linotype" w:hAnsi="Palatino Linotype" w:cs="Palatino Linotype"/>
          <w:b/>
          <w:sz w:val="22"/>
          <w:szCs w:val="22"/>
        </w:rPr>
        <w:t>SAIMEX,</w:t>
      </w:r>
      <w:r w:rsidR="0058690B" w:rsidRPr="00C56FC5">
        <w:rPr>
          <w:rFonts w:ascii="Palatino Linotype" w:eastAsia="Palatino Linotype" w:hAnsi="Palatino Linotype" w:cs="Palatino Linotype"/>
          <w:b/>
          <w:sz w:val="22"/>
          <w:szCs w:val="22"/>
        </w:rPr>
        <w:t xml:space="preserve"> </w:t>
      </w:r>
      <w:r w:rsidR="00A45E0C" w:rsidRPr="00C56FC5">
        <w:rPr>
          <w:rFonts w:ascii="Palatino Linotype" w:eastAsia="Palatino Linotype" w:hAnsi="Palatino Linotype" w:cs="Palatino Linotype"/>
          <w:sz w:val="22"/>
          <w:szCs w:val="22"/>
        </w:rPr>
        <w:t xml:space="preserve">sin embargo, al corresponder con un día inhábil se tuvo por presentada el </w:t>
      </w:r>
      <w:r w:rsidR="00A45E0C" w:rsidRPr="00C56FC5">
        <w:rPr>
          <w:rFonts w:ascii="Palatino Linotype" w:eastAsia="Palatino Linotype" w:hAnsi="Palatino Linotype" w:cs="Palatino Linotype"/>
          <w:b/>
          <w:sz w:val="22"/>
          <w:szCs w:val="22"/>
        </w:rPr>
        <w:t>trece de octubre de dos mil veinticinco,</w:t>
      </w:r>
      <w:r w:rsidR="00A45E0C" w:rsidRPr="00C56FC5">
        <w:rPr>
          <w:rFonts w:ascii="Palatino Linotype" w:eastAsia="Palatino Linotype" w:hAnsi="Palatino Linotype" w:cs="Palatino Linotype"/>
          <w:sz w:val="22"/>
          <w:szCs w:val="22"/>
        </w:rPr>
        <w:t xml:space="preserve"> </w:t>
      </w:r>
      <w:r w:rsidRPr="00C56FC5">
        <w:rPr>
          <w:rFonts w:ascii="Palatino Linotype" w:eastAsia="Palatino Linotype" w:hAnsi="Palatino Linotype" w:cs="Palatino Linotype"/>
          <w:sz w:val="22"/>
          <w:szCs w:val="22"/>
        </w:rPr>
        <w:t>mediante la cual requirió lo siguiente:</w:t>
      </w:r>
    </w:p>
    <w:p w14:paraId="49190675" w14:textId="225A2242" w:rsidR="005A75CA" w:rsidRPr="00C56FC5" w:rsidRDefault="00E96B90" w:rsidP="00D7204E">
      <w:pPr>
        <w:spacing w:before="120" w:after="120"/>
        <w:ind w:left="851" w:right="902"/>
        <w:jc w:val="both"/>
        <w:rPr>
          <w:rFonts w:ascii="Palatino Linotype" w:eastAsia="Palatino Linotype" w:hAnsi="Palatino Linotype" w:cs="Palatino Linotype"/>
          <w:b/>
          <w:i/>
          <w:sz w:val="22"/>
          <w:szCs w:val="22"/>
        </w:rPr>
      </w:pPr>
      <w:r w:rsidRPr="00C56FC5">
        <w:rPr>
          <w:rFonts w:ascii="Palatino Linotype" w:eastAsia="Palatino Linotype" w:hAnsi="Palatino Linotype" w:cs="Palatino Linotype"/>
          <w:i/>
          <w:sz w:val="22"/>
          <w:szCs w:val="22"/>
        </w:rPr>
        <w:t xml:space="preserve"> “</w:t>
      </w:r>
      <w:r w:rsidR="00A45E0C" w:rsidRPr="00C56FC5">
        <w:rPr>
          <w:rFonts w:ascii="Palatino Linotype" w:eastAsia="Palatino Linotype" w:hAnsi="Palatino Linotype" w:cs="Palatino Linotype"/>
          <w:i/>
          <w:sz w:val="22"/>
          <w:szCs w:val="22"/>
        </w:rPr>
        <w:t>titular de transparencia se requier de manera pronta oportuna sin ocultamiento o disfrazada la nomin ya que la copia de acuse se le hara llegar al OSFEM cuantos trabajadores en GENERAL tiene la actual administracion 2025-2027 hablando de los que laboran en el palacio municipal dejando fuera todos los organismos autonomos de estos de que manera estan distruibuidos y porque ??? cuantos tienen las prestaciones de ley, el porque se les obligay quien manda realicen sin proteccion alguna una accion diferernte a la que tienen encomendada que bajo protesta de decir la verdad con lo que esto conlleva diga si todos tiene atencion medica y cual por cualquier eventualidad que llegara a pasar</w:t>
      </w:r>
      <w:r w:rsidRPr="00C56FC5">
        <w:rPr>
          <w:rFonts w:ascii="Palatino Linotype" w:eastAsia="Palatino Linotype" w:hAnsi="Palatino Linotype" w:cs="Palatino Linotype"/>
          <w:b/>
          <w:i/>
          <w:sz w:val="22"/>
          <w:szCs w:val="22"/>
        </w:rPr>
        <w:t>”</w:t>
      </w:r>
      <w:r w:rsidRPr="00C56FC5">
        <w:rPr>
          <w:rFonts w:ascii="Palatino Linotype" w:eastAsia="Palatino Linotype" w:hAnsi="Palatino Linotype" w:cs="Palatino Linotype"/>
          <w:i/>
          <w:sz w:val="22"/>
          <w:szCs w:val="22"/>
        </w:rPr>
        <w:t xml:space="preserve"> (sic) </w:t>
      </w:r>
    </w:p>
    <w:p w14:paraId="6019A360" w14:textId="77777777" w:rsidR="005A75CA" w:rsidRPr="00C56FC5" w:rsidRDefault="00E96B90" w:rsidP="00D7204E">
      <w:pPr>
        <w:spacing w:before="240" w:after="240" w:line="360" w:lineRule="auto"/>
        <w:jc w:val="both"/>
        <w:rPr>
          <w:rFonts w:ascii="Palatino Linotype" w:eastAsia="Palatino Linotype" w:hAnsi="Palatino Linotype" w:cs="Palatino Linotype"/>
          <w:sz w:val="22"/>
          <w:szCs w:val="22"/>
        </w:rPr>
      </w:pPr>
      <w:bookmarkStart w:id="3" w:name="_heading=h.3dy6vkm" w:colFirst="0" w:colLast="0"/>
      <w:bookmarkEnd w:id="3"/>
      <w:r w:rsidRPr="00C56FC5">
        <w:rPr>
          <w:rFonts w:ascii="Palatino Linotype" w:eastAsia="Palatino Linotype" w:hAnsi="Palatino Linotype" w:cs="Palatino Linotype"/>
          <w:b/>
          <w:sz w:val="22"/>
          <w:szCs w:val="22"/>
        </w:rPr>
        <w:t>Modalidad de Entrega:</w:t>
      </w:r>
      <w:r w:rsidRPr="00C56FC5">
        <w:rPr>
          <w:rFonts w:ascii="Palatino Linotype" w:eastAsia="Palatino Linotype" w:hAnsi="Palatino Linotype" w:cs="Palatino Linotype"/>
          <w:sz w:val="22"/>
          <w:szCs w:val="22"/>
        </w:rPr>
        <w:t xml:space="preserve"> a través del</w:t>
      </w:r>
      <w:r w:rsidRPr="00C56FC5">
        <w:rPr>
          <w:rFonts w:ascii="Palatino Linotype" w:eastAsia="Palatino Linotype" w:hAnsi="Palatino Linotype" w:cs="Palatino Linotype"/>
          <w:b/>
          <w:sz w:val="22"/>
          <w:szCs w:val="22"/>
        </w:rPr>
        <w:t xml:space="preserve"> SAIMEX.</w:t>
      </w:r>
    </w:p>
    <w:p w14:paraId="1DE89602" w14:textId="56F8E648" w:rsidR="009A64CC" w:rsidRPr="00C56FC5" w:rsidRDefault="00E96B90" w:rsidP="009A64CC">
      <w:pPr>
        <w:pBdr>
          <w:top w:val="nil"/>
          <w:left w:val="nil"/>
          <w:bottom w:val="nil"/>
          <w:right w:val="nil"/>
          <w:between w:val="nil"/>
        </w:pBdr>
        <w:tabs>
          <w:tab w:val="left" w:pos="3119"/>
        </w:tabs>
        <w:spacing w:before="240" w:after="240" w:line="360" w:lineRule="auto"/>
        <w:jc w:val="both"/>
        <w:rPr>
          <w:rFonts w:ascii="Palatino Linotype" w:eastAsia="Palatino Linotype" w:hAnsi="Palatino Linotype" w:cs="Palatino Linotype"/>
          <w:bCs/>
          <w:sz w:val="22"/>
          <w:szCs w:val="22"/>
        </w:rPr>
      </w:pPr>
      <w:r w:rsidRPr="00C56FC5">
        <w:rPr>
          <w:rFonts w:ascii="Palatino Linotype" w:eastAsia="Palatino Linotype" w:hAnsi="Palatino Linotype" w:cs="Palatino Linotype"/>
          <w:b/>
          <w:sz w:val="22"/>
          <w:szCs w:val="22"/>
        </w:rPr>
        <w:lastRenderedPageBreak/>
        <w:t xml:space="preserve">2. </w:t>
      </w:r>
      <w:r w:rsidR="009A64CC" w:rsidRPr="00C56FC5">
        <w:rPr>
          <w:rFonts w:ascii="Palatino Linotype" w:eastAsia="Palatino Linotype" w:hAnsi="Palatino Linotype" w:cs="Palatino Linotype"/>
          <w:b/>
          <w:bCs/>
          <w:sz w:val="22"/>
          <w:szCs w:val="22"/>
        </w:rPr>
        <w:t xml:space="preserve">Solicitud de Aclaración. </w:t>
      </w:r>
      <w:r w:rsidR="009A64CC" w:rsidRPr="00C56FC5">
        <w:rPr>
          <w:rFonts w:ascii="Palatino Linotype" w:eastAsia="Palatino Linotype" w:hAnsi="Palatino Linotype" w:cs="Palatino Linotype"/>
          <w:bCs/>
          <w:sz w:val="22"/>
          <w:szCs w:val="22"/>
        </w:rPr>
        <w:t xml:space="preserve">El </w:t>
      </w:r>
      <w:r w:rsidR="00A45E0C" w:rsidRPr="00C56FC5">
        <w:rPr>
          <w:rFonts w:ascii="Palatino Linotype" w:eastAsia="Palatino Linotype" w:hAnsi="Palatino Linotype" w:cs="Palatino Linotype"/>
          <w:b/>
          <w:bCs/>
          <w:sz w:val="22"/>
          <w:szCs w:val="22"/>
        </w:rPr>
        <w:t xml:space="preserve">dieciséis </w:t>
      </w:r>
      <w:r w:rsidR="009A64CC" w:rsidRPr="00C56FC5">
        <w:rPr>
          <w:rFonts w:ascii="Palatino Linotype" w:eastAsia="Palatino Linotype" w:hAnsi="Palatino Linotype" w:cs="Palatino Linotype"/>
          <w:b/>
          <w:bCs/>
          <w:sz w:val="22"/>
          <w:szCs w:val="22"/>
        </w:rPr>
        <w:t>de octubre de dos mil veinticinco</w:t>
      </w:r>
      <w:r w:rsidR="009A64CC" w:rsidRPr="00C56FC5">
        <w:rPr>
          <w:rFonts w:ascii="Palatino Linotype" w:eastAsia="Palatino Linotype" w:hAnsi="Palatino Linotype" w:cs="Palatino Linotype"/>
          <w:bCs/>
          <w:sz w:val="22"/>
          <w:szCs w:val="22"/>
        </w:rPr>
        <w:t xml:space="preserve">, el </w:t>
      </w:r>
      <w:r w:rsidR="009A64CC" w:rsidRPr="00C56FC5">
        <w:rPr>
          <w:rFonts w:ascii="Palatino Linotype" w:eastAsia="Palatino Linotype" w:hAnsi="Palatino Linotype" w:cs="Palatino Linotype"/>
          <w:b/>
          <w:bCs/>
          <w:sz w:val="22"/>
          <w:szCs w:val="22"/>
        </w:rPr>
        <w:t>Sujeto Obligado</w:t>
      </w:r>
      <w:r w:rsidR="009A64CC" w:rsidRPr="00C56FC5">
        <w:rPr>
          <w:rFonts w:ascii="Palatino Linotype" w:eastAsia="Palatino Linotype" w:hAnsi="Palatino Linotype" w:cs="Palatino Linotype"/>
          <w:bCs/>
          <w:sz w:val="22"/>
          <w:szCs w:val="22"/>
        </w:rPr>
        <w:t xml:space="preserve"> requirió a la persona solicitante</w:t>
      </w:r>
      <w:r w:rsidR="009A64CC" w:rsidRPr="00C56FC5">
        <w:rPr>
          <w:rFonts w:ascii="Palatino Linotype" w:eastAsia="Palatino Linotype" w:hAnsi="Palatino Linotype" w:cs="Palatino Linotype"/>
          <w:b/>
          <w:bCs/>
          <w:sz w:val="22"/>
          <w:szCs w:val="22"/>
        </w:rPr>
        <w:t xml:space="preserve"> </w:t>
      </w:r>
      <w:r w:rsidR="009A64CC" w:rsidRPr="00C56FC5">
        <w:rPr>
          <w:rFonts w:ascii="Palatino Linotype" w:eastAsia="Palatino Linotype" w:hAnsi="Palatino Linotype" w:cs="Palatino Linotype"/>
          <w:bCs/>
          <w:sz w:val="22"/>
          <w:szCs w:val="22"/>
        </w:rPr>
        <w:t>aclarara la solicitud de información pública planteada, en los siguientes términos:</w:t>
      </w:r>
    </w:p>
    <w:p w14:paraId="03AA833F" w14:textId="77777777" w:rsidR="00A45E0C" w:rsidRPr="00C56FC5" w:rsidRDefault="009A64CC" w:rsidP="00A45E0C">
      <w:pPr>
        <w:pBdr>
          <w:top w:val="nil"/>
          <w:left w:val="nil"/>
          <w:bottom w:val="nil"/>
          <w:right w:val="nil"/>
          <w:between w:val="nil"/>
        </w:pBdr>
        <w:tabs>
          <w:tab w:val="left" w:pos="3119"/>
        </w:tabs>
        <w:spacing w:before="120" w:after="120"/>
        <w:ind w:left="851" w:right="902"/>
        <w:jc w:val="both"/>
        <w:rPr>
          <w:rFonts w:ascii="Palatino Linotype" w:eastAsia="Palatino Linotype" w:hAnsi="Palatino Linotype" w:cs="Palatino Linotype"/>
          <w:bCs/>
          <w:i/>
          <w:sz w:val="22"/>
          <w:szCs w:val="22"/>
        </w:rPr>
      </w:pPr>
      <w:r w:rsidRPr="00C56FC5">
        <w:rPr>
          <w:rFonts w:ascii="Palatino Linotype" w:eastAsia="Palatino Linotype" w:hAnsi="Palatino Linotype" w:cs="Palatino Linotype"/>
          <w:bCs/>
          <w:i/>
          <w:sz w:val="22"/>
          <w:szCs w:val="22"/>
        </w:rPr>
        <w:t>“</w:t>
      </w:r>
      <w:r w:rsidR="00A45E0C" w:rsidRPr="00C56FC5">
        <w:rPr>
          <w:rFonts w:ascii="Palatino Linotype" w:eastAsia="Palatino Linotype" w:hAnsi="Palatino Linotype" w:cs="Palatino Linotype"/>
          <w:bCs/>
          <w:i/>
          <w:sz w:val="22"/>
          <w:szCs w:val="22"/>
        </w:rPr>
        <w:t>Con fundamento en el artículo 159 de la Ley de Transparencia y Acceso a la Información Pública del Estado de México y Municipios y debido a que la solicitud de información 00080/JALTENCO/IP/2025 no es completamente clara; me dirijo a usted con el propósito de solicitar una aclaración total respecto a la información que ha solicitado anteriormente bajo el procedimiento de acceso a la información pública; es necesario saber específicamente el número de nómina que requiere, saber que documentos requiere revisar, esto para darle pronta atención a su solicitud.</w:t>
      </w:r>
    </w:p>
    <w:p w14:paraId="3DA4988A" w14:textId="34E89CAE" w:rsidR="009A64CC" w:rsidRPr="00C56FC5" w:rsidRDefault="00A45E0C" w:rsidP="00A45E0C">
      <w:pPr>
        <w:pBdr>
          <w:top w:val="nil"/>
          <w:left w:val="nil"/>
          <w:bottom w:val="nil"/>
          <w:right w:val="nil"/>
          <w:between w:val="nil"/>
        </w:pBdr>
        <w:tabs>
          <w:tab w:val="left" w:pos="3119"/>
        </w:tabs>
        <w:spacing w:before="120" w:after="120"/>
        <w:ind w:left="851" w:right="902"/>
        <w:jc w:val="both"/>
        <w:rPr>
          <w:rFonts w:ascii="Palatino Linotype" w:eastAsia="Palatino Linotype" w:hAnsi="Palatino Linotype" w:cs="Palatino Linotype"/>
          <w:bCs/>
          <w:i/>
          <w:sz w:val="22"/>
          <w:szCs w:val="22"/>
        </w:rPr>
      </w:pPr>
      <w:r w:rsidRPr="00C56FC5">
        <w:rPr>
          <w:rFonts w:ascii="Palatino Linotype" w:eastAsia="Palatino Linotype" w:hAnsi="Palatino Linotype" w:cs="Palatino Linotype"/>
          <w:bCs/>
          <w:i/>
          <w:sz w:val="22"/>
          <w:szCs w:val="22"/>
        </w:rPr>
        <w:t>En caso de que no se desahogue el requerimiento señalado dentro del plazo citado se tendrá por no presentada la solicitud de información, quedando a salvo sus derechos para volver a presentar la solicitud, lo anterior con fundamento en el artículo 159 de la Ley invocada</w:t>
      </w:r>
      <w:r w:rsidR="009A64CC" w:rsidRPr="00C56FC5">
        <w:rPr>
          <w:rFonts w:ascii="Palatino Linotype" w:eastAsia="Palatino Linotype" w:hAnsi="Palatino Linotype" w:cs="Palatino Linotype"/>
          <w:bCs/>
          <w:i/>
          <w:sz w:val="22"/>
          <w:szCs w:val="22"/>
        </w:rPr>
        <w:t>.” (sic)</w:t>
      </w:r>
    </w:p>
    <w:p w14:paraId="57BE262D" w14:textId="623360B3" w:rsidR="00A45E0C" w:rsidRPr="00C56FC5" w:rsidRDefault="00A45E0C" w:rsidP="006C3C73">
      <w:pPr>
        <w:pBdr>
          <w:top w:val="nil"/>
          <w:left w:val="nil"/>
          <w:bottom w:val="nil"/>
          <w:right w:val="nil"/>
          <w:between w:val="nil"/>
        </w:pBdr>
        <w:tabs>
          <w:tab w:val="left" w:pos="3119"/>
        </w:tabs>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De las constancias que obran en el expediente se advierte que la parte </w:t>
      </w:r>
      <w:r w:rsidRPr="00C56FC5">
        <w:rPr>
          <w:rFonts w:ascii="Palatino Linotype" w:eastAsia="Palatino Linotype" w:hAnsi="Palatino Linotype" w:cs="Palatino Linotype"/>
          <w:b/>
          <w:sz w:val="22"/>
          <w:szCs w:val="22"/>
        </w:rPr>
        <w:t>Recurrente</w:t>
      </w:r>
      <w:r w:rsidRPr="00C56FC5">
        <w:rPr>
          <w:rFonts w:ascii="Palatino Linotype" w:eastAsia="Palatino Linotype" w:hAnsi="Palatino Linotype" w:cs="Palatino Linotype"/>
          <w:sz w:val="22"/>
          <w:szCs w:val="22"/>
        </w:rPr>
        <w:t xml:space="preserve"> no desahogó la aclaración:</w:t>
      </w:r>
    </w:p>
    <w:p w14:paraId="72E2EA43" w14:textId="6ED80C65" w:rsidR="00A45E0C" w:rsidRPr="00C56FC5" w:rsidRDefault="00A45E0C" w:rsidP="00A45E0C">
      <w:pPr>
        <w:pBdr>
          <w:top w:val="nil"/>
          <w:left w:val="nil"/>
          <w:bottom w:val="nil"/>
          <w:right w:val="nil"/>
          <w:between w:val="nil"/>
        </w:pBdr>
        <w:tabs>
          <w:tab w:val="left" w:pos="3119"/>
        </w:tabs>
        <w:spacing w:before="240" w:after="240" w:line="360" w:lineRule="auto"/>
        <w:jc w:val="center"/>
        <w:rPr>
          <w:rFonts w:ascii="Palatino Linotype" w:eastAsia="Palatino Linotype" w:hAnsi="Palatino Linotype" w:cs="Palatino Linotype"/>
          <w:sz w:val="22"/>
          <w:szCs w:val="22"/>
        </w:rPr>
      </w:pPr>
      <w:r w:rsidRPr="00C56FC5">
        <w:rPr>
          <w:rFonts w:ascii="Palatino Linotype" w:eastAsia="Palatino Linotype" w:hAnsi="Palatino Linotype" w:cs="Palatino Linotype"/>
          <w:noProof/>
          <w:sz w:val="22"/>
          <w:szCs w:val="22"/>
        </w:rPr>
        <w:drawing>
          <wp:inline distT="0" distB="0" distL="0" distR="0" wp14:anchorId="7FF8273B" wp14:editId="1CB514B4">
            <wp:extent cx="4860000" cy="112881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60000" cy="1128813"/>
                    </a:xfrm>
                    <a:prstGeom prst="rect">
                      <a:avLst/>
                    </a:prstGeom>
                    <a:noFill/>
                    <a:ln>
                      <a:noFill/>
                    </a:ln>
                  </pic:spPr>
                </pic:pic>
              </a:graphicData>
            </a:graphic>
          </wp:inline>
        </w:drawing>
      </w:r>
    </w:p>
    <w:p w14:paraId="7CFCEA31" w14:textId="2F61DA17" w:rsidR="005A75CA" w:rsidRPr="00C56FC5" w:rsidRDefault="00FA477F" w:rsidP="00D7204E">
      <w:pPr>
        <w:spacing w:before="240" w:after="240" w:line="360" w:lineRule="auto"/>
        <w:ind w:right="49"/>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b/>
          <w:sz w:val="22"/>
          <w:szCs w:val="22"/>
        </w:rPr>
        <w:t>3</w:t>
      </w:r>
      <w:r w:rsidR="00E96B90" w:rsidRPr="00C56FC5">
        <w:rPr>
          <w:rFonts w:ascii="Palatino Linotype" w:eastAsia="Palatino Linotype" w:hAnsi="Palatino Linotype" w:cs="Palatino Linotype"/>
          <w:b/>
          <w:sz w:val="22"/>
          <w:szCs w:val="22"/>
        </w:rPr>
        <w:t xml:space="preserve">. Interposición del recurso de revisión. </w:t>
      </w:r>
      <w:r w:rsidR="00E96B90" w:rsidRPr="00C56FC5">
        <w:rPr>
          <w:rFonts w:ascii="Palatino Linotype" w:eastAsia="Palatino Linotype" w:hAnsi="Palatino Linotype" w:cs="Palatino Linotype"/>
          <w:sz w:val="22"/>
          <w:szCs w:val="22"/>
        </w:rPr>
        <w:t xml:space="preserve">Inconforme con </w:t>
      </w:r>
      <w:r w:rsidR="000919C2" w:rsidRPr="00C56FC5">
        <w:rPr>
          <w:rFonts w:ascii="Palatino Linotype" w:eastAsia="Palatino Linotype" w:hAnsi="Palatino Linotype" w:cs="Palatino Linotype"/>
          <w:sz w:val="22"/>
          <w:szCs w:val="22"/>
        </w:rPr>
        <w:t xml:space="preserve">la falta de </w:t>
      </w:r>
      <w:r w:rsidR="00E96B90" w:rsidRPr="00C56FC5">
        <w:rPr>
          <w:rFonts w:ascii="Palatino Linotype" w:eastAsia="Palatino Linotype" w:hAnsi="Palatino Linotype" w:cs="Palatino Linotype"/>
          <w:sz w:val="22"/>
          <w:szCs w:val="22"/>
        </w:rPr>
        <w:t xml:space="preserve">respuesta por parte del </w:t>
      </w:r>
      <w:r w:rsidR="00E96B90" w:rsidRPr="00C56FC5">
        <w:rPr>
          <w:rFonts w:ascii="Palatino Linotype" w:eastAsia="Palatino Linotype" w:hAnsi="Palatino Linotype" w:cs="Palatino Linotype"/>
          <w:b/>
          <w:sz w:val="22"/>
          <w:szCs w:val="22"/>
        </w:rPr>
        <w:t>Sujeto Obligado</w:t>
      </w:r>
      <w:r w:rsidR="00E96B90" w:rsidRPr="00C56FC5">
        <w:rPr>
          <w:rFonts w:ascii="Palatino Linotype" w:eastAsia="Palatino Linotype" w:hAnsi="Palatino Linotype" w:cs="Palatino Linotype"/>
          <w:sz w:val="22"/>
          <w:szCs w:val="22"/>
        </w:rPr>
        <w:t xml:space="preserve">, el </w:t>
      </w:r>
      <w:r w:rsidR="000919C2" w:rsidRPr="00C56FC5">
        <w:rPr>
          <w:rFonts w:ascii="Palatino Linotype" w:eastAsia="Palatino Linotype" w:hAnsi="Palatino Linotype" w:cs="Palatino Linotype"/>
          <w:b/>
          <w:sz w:val="22"/>
          <w:szCs w:val="22"/>
        </w:rPr>
        <w:t xml:space="preserve">veintidós </w:t>
      </w:r>
      <w:r w:rsidR="0058690B" w:rsidRPr="00C56FC5">
        <w:rPr>
          <w:rFonts w:ascii="Palatino Linotype" w:eastAsia="Palatino Linotype" w:hAnsi="Palatino Linotype" w:cs="Palatino Linotype"/>
          <w:b/>
          <w:sz w:val="22"/>
          <w:szCs w:val="22"/>
        </w:rPr>
        <w:t>de noviembre</w:t>
      </w:r>
      <w:r w:rsidR="00C62D06" w:rsidRPr="00C56FC5">
        <w:rPr>
          <w:rFonts w:ascii="Palatino Linotype" w:eastAsia="Palatino Linotype" w:hAnsi="Palatino Linotype" w:cs="Palatino Linotype"/>
          <w:b/>
          <w:sz w:val="22"/>
          <w:szCs w:val="22"/>
        </w:rPr>
        <w:t xml:space="preserve"> </w:t>
      </w:r>
      <w:r w:rsidR="00E96B90" w:rsidRPr="00C56FC5">
        <w:rPr>
          <w:rFonts w:ascii="Palatino Linotype" w:eastAsia="Palatino Linotype" w:hAnsi="Palatino Linotype" w:cs="Palatino Linotype"/>
          <w:b/>
          <w:sz w:val="22"/>
          <w:szCs w:val="22"/>
        </w:rPr>
        <w:t>de dos mil veinticinco,</w:t>
      </w:r>
      <w:r w:rsidR="00E96B90" w:rsidRPr="00C56FC5">
        <w:rPr>
          <w:rFonts w:ascii="Palatino Linotype" w:eastAsia="Palatino Linotype" w:hAnsi="Palatino Linotype" w:cs="Palatino Linotype"/>
          <w:sz w:val="22"/>
          <w:szCs w:val="22"/>
        </w:rPr>
        <w:t xml:space="preserve"> la parte </w:t>
      </w:r>
      <w:r w:rsidR="00E96B90" w:rsidRPr="00C56FC5">
        <w:rPr>
          <w:rFonts w:ascii="Palatino Linotype" w:eastAsia="Palatino Linotype" w:hAnsi="Palatino Linotype" w:cs="Palatino Linotype"/>
          <w:b/>
          <w:sz w:val="22"/>
          <w:szCs w:val="22"/>
        </w:rPr>
        <w:t>Recurrente</w:t>
      </w:r>
      <w:r w:rsidR="00E96B90" w:rsidRPr="00C56FC5">
        <w:rPr>
          <w:rFonts w:ascii="Palatino Linotype" w:eastAsia="Palatino Linotype" w:hAnsi="Palatino Linotype" w:cs="Palatino Linotype"/>
          <w:sz w:val="22"/>
          <w:szCs w:val="22"/>
        </w:rPr>
        <w:t xml:space="preserve"> interpuso el recurso de revisión a través de </w:t>
      </w:r>
      <w:r w:rsidR="00E96B90" w:rsidRPr="00C56FC5">
        <w:rPr>
          <w:rFonts w:ascii="Palatino Linotype" w:eastAsia="Palatino Linotype" w:hAnsi="Palatino Linotype" w:cs="Palatino Linotype"/>
          <w:b/>
          <w:sz w:val="22"/>
          <w:szCs w:val="22"/>
        </w:rPr>
        <w:t xml:space="preserve">SAIMEX, </w:t>
      </w:r>
      <w:r w:rsidR="000919C2" w:rsidRPr="00C56FC5">
        <w:rPr>
          <w:rFonts w:ascii="Palatino Linotype" w:eastAsia="Palatino Linotype" w:hAnsi="Palatino Linotype" w:cs="Palatino Linotype"/>
          <w:sz w:val="22"/>
          <w:szCs w:val="22"/>
        </w:rPr>
        <w:t xml:space="preserve">sin embargo, al corresponder con un día inhábil, se tuvo por interpuesto el </w:t>
      </w:r>
      <w:r w:rsidR="000919C2" w:rsidRPr="00C56FC5">
        <w:rPr>
          <w:rFonts w:ascii="Palatino Linotype" w:eastAsia="Palatino Linotype" w:hAnsi="Palatino Linotype" w:cs="Palatino Linotype"/>
          <w:b/>
          <w:sz w:val="22"/>
          <w:szCs w:val="22"/>
        </w:rPr>
        <w:t xml:space="preserve">veinticuatro de noviembre de dos mil veinticinco, </w:t>
      </w:r>
      <w:r w:rsidR="00E96B90" w:rsidRPr="00C56FC5">
        <w:rPr>
          <w:rFonts w:ascii="Palatino Linotype" w:eastAsia="Palatino Linotype" w:hAnsi="Palatino Linotype" w:cs="Palatino Linotype"/>
          <w:sz w:val="22"/>
          <w:szCs w:val="22"/>
        </w:rPr>
        <w:t>en donde se manifestó de la siguiente manera:</w:t>
      </w:r>
    </w:p>
    <w:p w14:paraId="2E34DBDA" w14:textId="77777777" w:rsidR="000919C2" w:rsidRPr="00C56FC5" w:rsidRDefault="000919C2" w:rsidP="00D7204E">
      <w:pPr>
        <w:spacing w:before="240" w:after="240" w:line="360" w:lineRule="auto"/>
        <w:ind w:right="49"/>
        <w:jc w:val="both"/>
        <w:rPr>
          <w:rFonts w:ascii="Palatino Linotype" w:eastAsia="Palatino Linotype" w:hAnsi="Palatino Linotype" w:cs="Palatino Linotype"/>
          <w:sz w:val="22"/>
          <w:szCs w:val="22"/>
        </w:rPr>
      </w:pPr>
    </w:p>
    <w:p w14:paraId="0DB160D3" w14:textId="77777777" w:rsidR="005A75CA" w:rsidRPr="00C56FC5" w:rsidRDefault="00E96B90" w:rsidP="00D7204E">
      <w:pPr>
        <w:spacing w:before="240" w:after="240" w:line="360" w:lineRule="auto"/>
        <w:ind w:right="49"/>
        <w:jc w:val="both"/>
        <w:rPr>
          <w:rFonts w:ascii="Palatino Linotype" w:eastAsia="Palatino Linotype" w:hAnsi="Palatino Linotype" w:cs="Palatino Linotype"/>
          <w:b/>
          <w:sz w:val="22"/>
          <w:szCs w:val="22"/>
        </w:rPr>
      </w:pPr>
      <w:r w:rsidRPr="00C56FC5">
        <w:rPr>
          <w:rFonts w:ascii="Palatino Linotype" w:eastAsia="Palatino Linotype" w:hAnsi="Palatino Linotype" w:cs="Palatino Linotype"/>
          <w:b/>
          <w:sz w:val="22"/>
          <w:szCs w:val="22"/>
        </w:rPr>
        <w:lastRenderedPageBreak/>
        <w:t xml:space="preserve">Acto impugnado: </w:t>
      </w:r>
    </w:p>
    <w:p w14:paraId="68DC3E6A" w14:textId="2465A8BA" w:rsidR="005A75CA" w:rsidRPr="00C56FC5" w:rsidRDefault="00E96B90" w:rsidP="00D7204E">
      <w:pPr>
        <w:tabs>
          <w:tab w:val="left" w:pos="2745"/>
        </w:tabs>
        <w:spacing w:before="240" w:after="240"/>
        <w:ind w:left="851" w:right="900"/>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t>“</w:t>
      </w:r>
      <w:r w:rsidR="00B422FC" w:rsidRPr="00C56FC5">
        <w:rPr>
          <w:rFonts w:ascii="Palatino Linotype" w:eastAsia="Palatino Linotype" w:hAnsi="Palatino Linotype" w:cs="Palatino Linotype"/>
          <w:i/>
          <w:sz w:val="22"/>
          <w:szCs w:val="22"/>
        </w:rPr>
        <w:t>SE FUE ESPECIFICO EN LO SOLICITADO Y SEA EXCLUSIVAMENTE VIA SAIMEX A LA TITULAR DE TRANSPARENCIA DEL MUNICIPIO DE JALTENCO MISMA DE LA CUAL OBJETA DIVERSAS CIRCUNSTANCIAS OBSTRUYENDO LO SOLICITADO MISMO QUE SE NECESITA PARA DAR TRAMITE EN OTRA INSTANCIA DE GOBIERNO</w:t>
      </w:r>
      <w:r w:rsidRPr="00C56FC5">
        <w:rPr>
          <w:rFonts w:ascii="Palatino Linotype" w:eastAsia="Palatino Linotype" w:hAnsi="Palatino Linotype" w:cs="Palatino Linotype"/>
          <w:i/>
          <w:sz w:val="22"/>
          <w:szCs w:val="22"/>
        </w:rPr>
        <w:t>” (sic)</w:t>
      </w:r>
    </w:p>
    <w:p w14:paraId="64535873" w14:textId="77777777" w:rsidR="005A75CA" w:rsidRPr="00C56FC5" w:rsidRDefault="00E96B90" w:rsidP="00D7204E">
      <w:pPr>
        <w:spacing w:line="360" w:lineRule="auto"/>
        <w:jc w:val="both"/>
        <w:rPr>
          <w:rFonts w:ascii="Palatino Linotype" w:eastAsia="Palatino Linotype" w:hAnsi="Palatino Linotype" w:cs="Palatino Linotype"/>
          <w:sz w:val="22"/>
          <w:szCs w:val="22"/>
        </w:rPr>
      </w:pPr>
      <w:bookmarkStart w:id="4" w:name="_heading=h.30j0zll" w:colFirst="0" w:colLast="0"/>
      <w:bookmarkEnd w:id="4"/>
      <w:r w:rsidRPr="00C56FC5">
        <w:rPr>
          <w:rFonts w:ascii="Palatino Linotype" w:eastAsia="Palatino Linotype" w:hAnsi="Palatino Linotype" w:cs="Palatino Linotype"/>
          <w:b/>
          <w:sz w:val="22"/>
          <w:szCs w:val="22"/>
        </w:rPr>
        <w:t>Y, Razones o motivos de inconformidad</w:t>
      </w:r>
      <w:r w:rsidRPr="00C56FC5">
        <w:rPr>
          <w:rFonts w:ascii="Palatino Linotype" w:eastAsia="Palatino Linotype" w:hAnsi="Palatino Linotype" w:cs="Palatino Linotype"/>
          <w:sz w:val="22"/>
          <w:szCs w:val="22"/>
        </w:rPr>
        <w:t>:</w:t>
      </w:r>
    </w:p>
    <w:p w14:paraId="6C751BDA" w14:textId="2D7EBE9E" w:rsidR="005A75CA" w:rsidRPr="00C56FC5" w:rsidRDefault="00E96B90" w:rsidP="00D7204E">
      <w:pPr>
        <w:tabs>
          <w:tab w:val="left" w:pos="2745"/>
        </w:tabs>
        <w:spacing w:before="240" w:after="240"/>
        <w:ind w:left="851" w:right="900"/>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t>“</w:t>
      </w:r>
      <w:r w:rsidR="00B422FC" w:rsidRPr="00C56FC5">
        <w:rPr>
          <w:rFonts w:ascii="Palatino Linotype" w:eastAsia="Palatino Linotype" w:hAnsi="Palatino Linotype" w:cs="Palatino Linotype"/>
          <w:i/>
          <w:sz w:val="22"/>
          <w:szCs w:val="22"/>
        </w:rPr>
        <w:t>LA NEGATIVA DE LO SOLICITADO ARGUMENTANDO UNA SERIE DE SITUACIONES PUDIENDO SER CONSIDERADAS CON DOLO Y GANAR TIEMPO PARA NO DAR LO SOLICITADO Y PODR DAR ENTRADA EN OTRA INSTANCIA DE GOBIERNO A LA RESPUESTA QUE SE LE PIDE DIRECTAMENTE A ELLA PARA SUPUESTAMENTE TENER MAYOR CERTEZA DE LA RESPUESTA DEBIDA A LA PRESENTE SOLICITUD POR LO QUE SE LE PIDE A ESTA AUTORIDAD DE VOLVER A NEGAR A PROPORCIONAR LO SOLICITADO SE LE SANCIONE DE MANERA DIRECTA A LA TITULAR DE TRANSPARIENCIA DEL MUNICIPIO DE JALTECO, MEXICO.</w:t>
      </w:r>
      <w:r w:rsidRPr="00C56FC5">
        <w:rPr>
          <w:rFonts w:ascii="Palatino Linotype" w:eastAsia="Palatino Linotype" w:hAnsi="Palatino Linotype" w:cs="Palatino Linotype"/>
          <w:i/>
          <w:sz w:val="22"/>
          <w:szCs w:val="22"/>
        </w:rPr>
        <w:t>” (sic)</w:t>
      </w:r>
    </w:p>
    <w:p w14:paraId="63BA5F7F" w14:textId="70E90E89" w:rsidR="005A75CA" w:rsidRPr="00C56FC5" w:rsidRDefault="00FA477F" w:rsidP="00D7204E">
      <w:pPr>
        <w:spacing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b/>
          <w:sz w:val="22"/>
          <w:szCs w:val="22"/>
        </w:rPr>
        <w:t>4</w:t>
      </w:r>
      <w:r w:rsidR="00E96B90" w:rsidRPr="00C56FC5">
        <w:rPr>
          <w:rFonts w:ascii="Palatino Linotype" w:eastAsia="Palatino Linotype" w:hAnsi="Palatino Linotype" w:cs="Palatino Linotype"/>
          <w:b/>
          <w:sz w:val="22"/>
          <w:szCs w:val="22"/>
        </w:rPr>
        <w:t xml:space="preserve">. Turno. </w:t>
      </w:r>
      <w:r w:rsidR="00E96B90" w:rsidRPr="00C56FC5">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el presente recurso de revisión se turnó por el sistema electrónico del Instituto de Transparencia, Acceso a la Información Pública y Protección de Datos Personales del Estado de México y Municipios, a la Comisionada </w:t>
      </w:r>
      <w:r w:rsidR="00E96B90" w:rsidRPr="00C56FC5">
        <w:rPr>
          <w:rFonts w:ascii="Palatino Linotype" w:eastAsia="Palatino Linotype" w:hAnsi="Palatino Linotype" w:cs="Palatino Linotype"/>
          <w:b/>
          <w:sz w:val="22"/>
          <w:szCs w:val="22"/>
        </w:rPr>
        <w:t xml:space="preserve">Guadalupe Ramírez Peña, </w:t>
      </w:r>
      <w:r w:rsidR="00E96B90" w:rsidRPr="00C56FC5">
        <w:rPr>
          <w:rFonts w:ascii="Palatino Linotype" w:eastAsia="Palatino Linotype" w:hAnsi="Palatino Linotype" w:cs="Palatino Linotype"/>
          <w:sz w:val="22"/>
          <w:szCs w:val="22"/>
        </w:rPr>
        <w:t>a efecto de que analizara sobre su admisión o su desechamiento.</w:t>
      </w:r>
    </w:p>
    <w:p w14:paraId="7FEE7B27" w14:textId="15E4EC00" w:rsidR="005A75CA" w:rsidRPr="00C56FC5" w:rsidRDefault="00FA477F" w:rsidP="00D7204E">
      <w:pPr>
        <w:spacing w:before="240" w:after="240" w:line="360" w:lineRule="auto"/>
        <w:jc w:val="both"/>
        <w:rPr>
          <w:rFonts w:ascii="Palatino Linotype" w:eastAsia="Palatino Linotype" w:hAnsi="Palatino Linotype" w:cs="Palatino Linotype"/>
          <w:b/>
          <w:sz w:val="22"/>
          <w:szCs w:val="22"/>
        </w:rPr>
      </w:pPr>
      <w:r w:rsidRPr="00C56FC5">
        <w:rPr>
          <w:rFonts w:ascii="Palatino Linotype" w:eastAsia="Palatino Linotype" w:hAnsi="Palatino Linotype" w:cs="Palatino Linotype"/>
          <w:b/>
          <w:sz w:val="22"/>
          <w:szCs w:val="22"/>
        </w:rPr>
        <w:t>5</w:t>
      </w:r>
      <w:r w:rsidR="00E96B90" w:rsidRPr="00C56FC5">
        <w:rPr>
          <w:rFonts w:ascii="Palatino Linotype" w:eastAsia="Palatino Linotype" w:hAnsi="Palatino Linotype" w:cs="Palatino Linotype"/>
          <w:b/>
          <w:sz w:val="22"/>
          <w:szCs w:val="22"/>
        </w:rPr>
        <w:t>. Admisión del Recurso de revisión.</w:t>
      </w:r>
      <w:r w:rsidR="00E96B90" w:rsidRPr="00C56FC5">
        <w:rPr>
          <w:rFonts w:ascii="Palatino Linotype" w:eastAsia="Palatino Linotype" w:hAnsi="Palatino Linotype" w:cs="Palatino Linotype"/>
          <w:sz w:val="22"/>
          <w:szCs w:val="22"/>
        </w:rPr>
        <w:t xml:space="preserve"> El</w:t>
      </w:r>
      <w:r w:rsidR="00E96B90" w:rsidRPr="00C56FC5">
        <w:rPr>
          <w:rFonts w:ascii="Palatino Linotype" w:eastAsia="Palatino Linotype" w:hAnsi="Palatino Linotype" w:cs="Palatino Linotype"/>
          <w:b/>
          <w:sz w:val="22"/>
          <w:szCs w:val="22"/>
        </w:rPr>
        <w:t xml:space="preserve"> </w:t>
      </w:r>
      <w:r w:rsidR="008E7C19" w:rsidRPr="00C56FC5">
        <w:rPr>
          <w:rFonts w:ascii="Palatino Linotype" w:eastAsia="Palatino Linotype" w:hAnsi="Palatino Linotype" w:cs="Palatino Linotype"/>
          <w:b/>
          <w:sz w:val="22"/>
          <w:szCs w:val="22"/>
        </w:rPr>
        <w:t>veintiocho</w:t>
      </w:r>
      <w:r w:rsidR="00997932" w:rsidRPr="00C56FC5">
        <w:rPr>
          <w:rFonts w:ascii="Palatino Linotype" w:eastAsia="Palatino Linotype" w:hAnsi="Palatino Linotype" w:cs="Palatino Linotype"/>
          <w:b/>
          <w:sz w:val="22"/>
          <w:szCs w:val="22"/>
        </w:rPr>
        <w:t xml:space="preserve"> de noviembre</w:t>
      </w:r>
      <w:r w:rsidR="00A0077E" w:rsidRPr="00C56FC5">
        <w:rPr>
          <w:rFonts w:ascii="Palatino Linotype" w:eastAsia="Palatino Linotype" w:hAnsi="Palatino Linotype" w:cs="Palatino Linotype"/>
          <w:b/>
          <w:sz w:val="22"/>
          <w:szCs w:val="22"/>
        </w:rPr>
        <w:t xml:space="preserve"> de dos mil veinticinco</w:t>
      </w:r>
      <w:r w:rsidR="00E96B90" w:rsidRPr="00C56FC5">
        <w:rPr>
          <w:rFonts w:ascii="Palatino Linotype" w:eastAsia="Palatino Linotype" w:hAnsi="Palatino Linotype" w:cs="Palatino Linotype"/>
          <w:b/>
          <w:sz w:val="22"/>
          <w:szCs w:val="22"/>
        </w:rPr>
        <w:t xml:space="preserve">, </w:t>
      </w:r>
      <w:r w:rsidR="00E96B90" w:rsidRPr="00C56FC5">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w:t>
      </w:r>
      <w:r w:rsidR="00E96B90" w:rsidRPr="00C56FC5">
        <w:rPr>
          <w:rFonts w:ascii="Palatino Linotype" w:eastAsia="Palatino Linotype" w:hAnsi="Palatino Linotype" w:cs="Palatino Linotype"/>
          <w:sz w:val="22"/>
          <w:szCs w:val="22"/>
        </w:rPr>
        <w:lastRenderedPageBreak/>
        <w:t xml:space="preserve">manifestaran lo que a su derecho resultara conveniente, ofrecieran pruebas, formularan alegatos y el </w:t>
      </w:r>
      <w:r w:rsidR="00E96B90" w:rsidRPr="00C56FC5">
        <w:rPr>
          <w:rFonts w:ascii="Palatino Linotype" w:eastAsia="Palatino Linotype" w:hAnsi="Palatino Linotype" w:cs="Palatino Linotype"/>
          <w:b/>
          <w:sz w:val="22"/>
          <w:szCs w:val="22"/>
        </w:rPr>
        <w:t xml:space="preserve">Sujeto Obligado </w:t>
      </w:r>
      <w:r w:rsidR="00E96B90" w:rsidRPr="00C56FC5">
        <w:rPr>
          <w:rFonts w:ascii="Palatino Linotype" w:eastAsia="Palatino Linotype" w:hAnsi="Palatino Linotype" w:cs="Palatino Linotype"/>
          <w:sz w:val="22"/>
          <w:szCs w:val="22"/>
        </w:rPr>
        <w:t>presentara su informe justificado.</w:t>
      </w:r>
    </w:p>
    <w:p w14:paraId="1556F0F0" w14:textId="1B5269F3" w:rsidR="008E7C19" w:rsidRPr="00C56FC5" w:rsidRDefault="00FA477F" w:rsidP="008E7C19">
      <w:pPr>
        <w:widowControl w:val="0"/>
        <w:spacing w:line="360" w:lineRule="auto"/>
        <w:ind w:right="49"/>
        <w:jc w:val="both"/>
        <w:rPr>
          <w:rFonts w:ascii="Palatino Linotype" w:eastAsia="Palatino Linotype" w:hAnsi="Palatino Linotype" w:cs="Palatino Linotype"/>
          <w:sz w:val="22"/>
          <w:szCs w:val="22"/>
        </w:rPr>
      </w:pPr>
      <w:bookmarkStart w:id="5" w:name="_heading=h.2s8eyo1" w:colFirst="0" w:colLast="0"/>
      <w:bookmarkEnd w:id="5"/>
      <w:r w:rsidRPr="00C56FC5">
        <w:rPr>
          <w:rFonts w:ascii="Palatino Linotype" w:eastAsia="Palatino Linotype" w:hAnsi="Palatino Linotype" w:cs="Palatino Linotype"/>
          <w:b/>
          <w:sz w:val="22"/>
          <w:szCs w:val="22"/>
        </w:rPr>
        <w:t>6</w:t>
      </w:r>
      <w:r w:rsidR="00E96B90" w:rsidRPr="00C56FC5">
        <w:rPr>
          <w:rFonts w:ascii="Palatino Linotype" w:eastAsia="Palatino Linotype" w:hAnsi="Palatino Linotype" w:cs="Palatino Linotype"/>
          <w:b/>
          <w:sz w:val="22"/>
          <w:szCs w:val="22"/>
        </w:rPr>
        <w:t>. Manifestaciones</w:t>
      </w:r>
      <w:r w:rsidR="00E96B90" w:rsidRPr="00C56FC5">
        <w:rPr>
          <w:rFonts w:ascii="Palatino Linotype" w:eastAsia="Palatino Linotype" w:hAnsi="Palatino Linotype" w:cs="Palatino Linotype"/>
          <w:sz w:val="22"/>
          <w:szCs w:val="22"/>
        </w:rPr>
        <w:t xml:space="preserve">. </w:t>
      </w:r>
      <w:r w:rsidR="008E7C19" w:rsidRPr="00C56FC5">
        <w:rPr>
          <w:rFonts w:ascii="Palatino Linotype" w:eastAsia="Palatino Linotype" w:hAnsi="Palatino Linotype" w:cs="Palatino Linotype"/>
          <w:sz w:val="22"/>
          <w:szCs w:val="22"/>
        </w:rPr>
        <w:t xml:space="preserve">De constancias del expediente electrónico del SAIMEX, se observa que el </w:t>
      </w:r>
      <w:r w:rsidR="008E7C19" w:rsidRPr="00C56FC5">
        <w:rPr>
          <w:rFonts w:ascii="Palatino Linotype" w:eastAsia="Palatino Linotype" w:hAnsi="Palatino Linotype" w:cs="Palatino Linotype"/>
          <w:b/>
          <w:sz w:val="22"/>
          <w:szCs w:val="22"/>
        </w:rPr>
        <w:t>Sujeto Obligado</w:t>
      </w:r>
      <w:r w:rsidR="008E7C19" w:rsidRPr="00C56FC5">
        <w:rPr>
          <w:rFonts w:ascii="Palatino Linotype" w:eastAsia="Palatino Linotype" w:hAnsi="Palatino Linotype" w:cs="Palatino Linotype"/>
          <w:sz w:val="22"/>
          <w:szCs w:val="22"/>
        </w:rPr>
        <w:t xml:space="preserve"> fue omiso en rendir su informe justificado; así como, la parte </w:t>
      </w:r>
      <w:r w:rsidR="008E7C19" w:rsidRPr="00C56FC5">
        <w:rPr>
          <w:rFonts w:ascii="Palatino Linotype" w:eastAsia="Palatino Linotype" w:hAnsi="Palatino Linotype" w:cs="Palatino Linotype"/>
          <w:b/>
          <w:sz w:val="22"/>
          <w:szCs w:val="22"/>
        </w:rPr>
        <w:t xml:space="preserve">Recurrente </w:t>
      </w:r>
      <w:r w:rsidR="008E7C19" w:rsidRPr="00C56FC5">
        <w:rPr>
          <w:rFonts w:ascii="Palatino Linotype" w:eastAsia="Palatino Linotype" w:hAnsi="Palatino Linotype" w:cs="Palatino Linotype"/>
          <w:sz w:val="22"/>
          <w:szCs w:val="22"/>
        </w:rPr>
        <w:t>fue omisa en hacer valer manifestaciones o rendir alegatos que conforme a derecho resultaran procedentes, como se muestra:</w:t>
      </w:r>
    </w:p>
    <w:p w14:paraId="228EC591" w14:textId="5F8F09FD" w:rsidR="00B63576" w:rsidRPr="00C56FC5" w:rsidRDefault="008E7C19" w:rsidP="008E7C19">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noProof/>
          <w:sz w:val="22"/>
          <w:szCs w:val="22"/>
        </w:rPr>
        <w:drawing>
          <wp:inline distT="0" distB="0" distL="0" distR="0" wp14:anchorId="0D7F2B5F" wp14:editId="2FD45FED">
            <wp:extent cx="5612130" cy="1616075"/>
            <wp:effectExtent l="0" t="0" r="762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1616075"/>
                    </a:xfrm>
                    <a:prstGeom prst="rect">
                      <a:avLst/>
                    </a:prstGeom>
                  </pic:spPr>
                </pic:pic>
              </a:graphicData>
            </a:graphic>
          </wp:inline>
        </w:drawing>
      </w:r>
    </w:p>
    <w:p w14:paraId="1A595AE7" w14:textId="00AC9B49" w:rsidR="0095701F" w:rsidRPr="00C56FC5" w:rsidRDefault="00837327" w:rsidP="0095701F">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b/>
          <w:bCs/>
          <w:sz w:val="22"/>
          <w:szCs w:val="22"/>
        </w:rPr>
        <w:t>7</w:t>
      </w:r>
      <w:r w:rsidR="00E96B90" w:rsidRPr="00C56FC5">
        <w:rPr>
          <w:rFonts w:ascii="Palatino Linotype" w:eastAsia="Palatino Linotype" w:hAnsi="Palatino Linotype" w:cs="Palatino Linotype"/>
          <w:sz w:val="22"/>
          <w:szCs w:val="22"/>
        </w:rPr>
        <w:t>.</w:t>
      </w:r>
      <w:r w:rsidR="0095701F" w:rsidRPr="00C56FC5">
        <w:rPr>
          <w:rFonts w:ascii="Palatino Linotype" w:eastAsia="Palatino Linotype" w:hAnsi="Palatino Linotype" w:cs="Palatino Linotype"/>
          <w:b/>
          <w:sz w:val="22"/>
          <w:szCs w:val="22"/>
        </w:rPr>
        <w:t xml:space="preserve"> Cierre de instrucción. </w:t>
      </w:r>
      <w:r w:rsidR="0095701F" w:rsidRPr="00C56FC5">
        <w:rPr>
          <w:rFonts w:ascii="Palatino Linotype" w:eastAsia="Palatino Linotype" w:hAnsi="Palatino Linotype" w:cs="Palatino Linotype"/>
          <w:sz w:val="22"/>
          <w:szCs w:val="22"/>
        </w:rPr>
        <w:t>Una vez transcurrido el periodo otorgado a las partes para realizar sus manifestaciones y no habiendo documentos que integrar al expediente, el</w:t>
      </w:r>
      <w:r w:rsidRPr="00C56FC5">
        <w:rPr>
          <w:rFonts w:ascii="Palatino Linotype" w:eastAsia="Palatino Linotype" w:hAnsi="Palatino Linotype" w:cs="Palatino Linotype"/>
          <w:sz w:val="22"/>
          <w:szCs w:val="22"/>
        </w:rPr>
        <w:t xml:space="preserve"> </w:t>
      </w:r>
      <w:r w:rsidR="008E7C19" w:rsidRPr="00C56FC5">
        <w:rPr>
          <w:rFonts w:ascii="Palatino Linotype" w:eastAsia="Palatino Linotype" w:hAnsi="Palatino Linotype" w:cs="Palatino Linotype"/>
          <w:b/>
          <w:bCs/>
          <w:sz w:val="22"/>
          <w:szCs w:val="22"/>
        </w:rPr>
        <w:t>doce</w:t>
      </w:r>
      <w:r w:rsidR="00FF4216" w:rsidRPr="00C56FC5">
        <w:rPr>
          <w:rFonts w:ascii="Palatino Linotype" w:eastAsia="Palatino Linotype" w:hAnsi="Palatino Linotype" w:cs="Palatino Linotype"/>
          <w:b/>
          <w:bCs/>
          <w:sz w:val="22"/>
          <w:szCs w:val="22"/>
        </w:rPr>
        <w:t xml:space="preserve"> </w:t>
      </w:r>
      <w:r w:rsidR="0095701F" w:rsidRPr="00C56FC5">
        <w:rPr>
          <w:rFonts w:ascii="Palatino Linotype" w:eastAsia="Palatino Linotype" w:hAnsi="Palatino Linotype" w:cs="Palatino Linotype"/>
          <w:b/>
          <w:sz w:val="22"/>
          <w:szCs w:val="22"/>
        </w:rPr>
        <w:t>de diciembre de dos mil veinticinco</w:t>
      </w:r>
      <w:r w:rsidR="0095701F" w:rsidRPr="00C56FC5">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37DFA522" w14:textId="667451DE" w:rsidR="008E7C19" w:rsidRPr="00C56FC5" w:rsidRDefault="008E7C19" w:rsidP="008E7C19">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b/>
          <w:sz w:val="22"/>
          <w:szCs w:val="22"/>
        </w:rPr>
        <w:t>8. Ampliación del término para resolver</w:t>
      </w:r>
      <w:r w:rsidRPr="00C56FC5">
        <w:rPr>
          <w:rFonts w:ascii="Palatino Linotype" w:eastAsia="Palatino Linotype" w:hAnsi="Palatino Linotype" w:cs="Palatino Linotype"/>
          <w:sz w:val="22"/>
          <w:szCs w:val="22"/>
        </w:rPr>
        <w:t xml:space="preserve">. El </w:t>
      </w:r>
      <w:r w:rsidRPr="00C56FC5">
        <w:rPr>
          <w:rFonts w:ascii="Palatino Linotype" w:eastAsia="Palatino Linotype" w:hAnsi="Palatino Linotype" w:cs="Palatino Linotype"/>
          <w:b/>
          <w:sz w:val="22"/>
          <w:szCs w:val="22"/>
        </w:rPr>
        <w:t xml:space="preserve">veinticuatro de febrero de dos mil </w:t>
      </w:r>
      <w:r w:rsidR="00873AB8" w:rsidRPr="00C56FC5">
        <w:rPr>
          <w:rFonts w:ascii="Palatino Linotype" w:eastAsia="Palatino Linotype" w:hAnsi="Palatino Linotype" w:cs="Palatino Linotype"/>
          <w:b/>
          <w:sz w:val="22"/>
          <w:szCs w:val="22"/>
        </w:rPr>
        <w:t>veintiséis</w:t>
      </w:r>
      <w:r w:rsidRPr="00C56FC5">
        <w:rPr>
          <w:rFonts w:ascii="Palatino Linotype" w:eastAsia="Palatino Linotype" w:hAnsi="Palatino Linotype" w:cs="Palatino Linotype"/>
          <w:sz w:val="22"/>
          <w:szCs w:val="22"/>
        </w:rPr>
        <w:t>, se amplió el término para resolver el recurso de revisión en términos del artículo 181 párrafo tercero de la Ley de Transparencia y Acceso a la Información Pública del Estado de México y Municipios.</w:t>
      </w:r>
    </w:p>
    <w:p w14:paraId="19CECAFE" w14:textId="77777777" w:rsidR="008E7C19" w:rsidRPr="00C56FC5" w:rsidRDefault="008E7C19" w:rsidP="008E7C19">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Este Organismo Garante no pasa por alto justificar, que el plazo para emitir la resolución en el presente asunto encuentra justificación en el alto número de recursos de revisión </w:t>
      </w:r>
      <w:r w:rsidRPr="00C56FC5">
        <w:rPr>
          <w:rFonts w:ascii="Palatino Linotype" w:eastAsia="Palatino Linotype" w:hAnsi="Palatino Linotype" w:cs="Palatino Linotype"/>
          <w:sz w:val="22"/>
          <w:szCs w:val="22"/>
        </w:rPr>
        <w:lastRenderedPageBreak/>
        <w:t>recibidos, circunstancia atípica que ha rebasado las capacidades técnicas y humanas del personal encargado de la proyección de las resoluciones a dichos medios de impugnación.</w:t>
      </w:r>
    </w:p>
    <w:p w14:paraId="2D4E2A3F" w14:textId="77777777" w:rsidR="008E7C19" w:rsidRPr="00C56FC5" w:rsidRDefault="008E7C19" w:rsidP="008E7C19">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Por ello, es menester precisar que, si bien se ha excedido el plazo para resolver el presente medio de impugnación, de conformidad con la ley de la materia, el plazo para emitir la resolución se encuentra justificado en los elementos para medir la razonabilidad de asuntos conforme a los parámetros establecidos por diversos órganos jurisdiccionales federales, aplicables también en procedimientos análogos, como el que nos ocupa.</w:t>
      </w:r>
    </w:p>
    <w:p w14:paraId="2AB780AA" w14:textId="77777777" w:rsidR="008E7C19" w:rsidRPr="00C56FC5" w:rsidRDefault="008E7C19" w:rsidP="008E7C19">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5CCFC210" w14:textId="77777777" w:rsidR="008E7C19" w:rsidRPr="00C56FC5" w:rsidRDefault="008E7C19" w:rsidP="008E7C19">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14:paraId="2954C485" w14:textId="77777777" w:rsidR="008E7C19" w:rsidRPr="00C56FC5" w:rsidRDefault="008E7C19" w:rsidP="008E7C19">
      <w:pPr>
        <w:spacing w:before="240" w:after="240" w:line="360" w:lineRule="auto"/>
        <w:jc w:val="both"/>
        <w:rPr>
          <w:rFonts w:ascii="Palatino Linotype" w:eastAsia="Palatino Linotype" w:hAnsi="Palatino Linotype" w:cs="Palatino Linotype"/>
          <w:strike/>
          <w:sz w:val="22"/>
          <w:szCs w:val="22"/>
        </w:rPr>
      </w:pPr>
      <w:r w:rsidRPr="00C56FC5">
        <w:rPr>
          <w:rFonts w:ascii="Palatino Linotype" w:eastAsia="Palatino Linotype" w:hAnsi="Palatino Linotype" w:cs="Palatino Linotype"/>
          <w:sz w:val="22"/>
          <w:szCs w:val="22"/>
        </w:rPr>
        <w:t xml:space="preserve">Por ello, excepcionalmente, si un asunto es resuelto con posterioridad a los plazos señalados por la norma debe analizarse la razonabilidad del tiempo necesario para su resolución, atentos a los siguientes criterios: </w:t>
      </w:r>
    </w:p>
    <w:p w14:paraId="3403DA97" w14:textId="77777777" w:rsidR="008E7C19" w:rsidRPr="00C56FC5" w:rsidRDefault="008E7C19" w:rsidP="008E7C19">
      <w:pPr>
        <w:numPr>
          <w:ilvl w:val="0"/>
          <w:numId w:val="6"/>
        </w:numPr>
        <w:tabs>
          <w:tab w:val="left" w:pos="567"/>
        </w:tabs>
        <w:spacing w:before="240" w:after="240" w:line="360" w:lineRule="auto"/>
        <w:ind w:left="284" w:firstLine="0"/>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Complejidad del Asunto: La complejidad de la prueba, la pluralidad de sujetos procesales, el tiempo transcurrido, las características y contexto del recurso. </w:t>
      </w:r>
    </w:p>
    <w:p w14:paraId="12E59625" w14:textId="77777777" w:rsidR="008E7C19" w:rsidRPr="00C56FC5" w:rsidRDefault="008E7C19" w:rsidP="008E7C19">
      <w:pPr>
        <w:numPr>
          <w:ilvl w:val="0"/>
          <w:numId w:val="6"/>
        </w:numPr>
        <w:tabs>
          <w:tab w:val="left" w:pos="567"/>
        </w:tabs>
        <w:spacing w:before="240" w:after="240" w:line="360" w:lineRule="auto"/>
        <w:ind w:left="284" w:firstLine="0"/>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Actividad Procesal del interesado. Acciones u omisiones del interesado.</w:t>
      </w:r>
    </w:p>
    <w:p w14:paraId="0CBDC144" w14:textId="77777777" w:rsidR="008E7C19" w:rsidRPr="00C56FC5" w:rsidRDefault="008E7C19" w:rsidP="008E7C19">
      <w:pPr>
        <w:numPr>
          <w:ilvl w:val="0"/>
          <w:numId w:val="6"/>
        </w:numPr>
        <w:tabs>
          <w:tab w:val="left" w:pos="567"/>
        </w:tabs>
        <w:spacing w:before="240" w:after="240" w:line="360" w:lineRule="auto"/>
        <w:ind w:left="284" w:firstLine="0"/>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Conducta de la Autoridad: Las Acciones u omisiones realizadas en el procedimiento. Así como si la autoridad actuó con la debida diligencia.</w:t>
      </w:r>
    </w:p>
    <w:p w14:paraId="66AC0D8A" w14:textId="77777777" w:rsidR="008E7C19" w:rsidRPr="00C56FC5" w:rsidRDefault="008E7C19" w:rsidP="008E7C19">
      <w:pPr>
        <w:tabs>
          <w:tab w:val="left" w:pos="567"/>
        </w:tabs>
        <w:spacing w:before="240" w:after="240" w:line="360" w:lineRule="auto"/>
        <w:ind w:left="284"/>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lastRenderedPageBreak/>
        <w:t>d) La afectación generada en la situación jurídica de la persona involucrada en el proceso: Violación a sus derechos humanos.</w:t>
      </w:r>
    </w:p>
    <w:p w14:paraId="71905E0B" w14:textId="77777777" w:rsidR="008E7C19" w:rsidRPr="00C56FC5" w:rsidRDefault="008E7C19" w:rsidP="008E7C19">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4A74AFF3" w14:textId="77777777" w:rsidR="008E7C19" w:rsidRPr="00C56FC5" w:rsidRDefault="008E7C19" w:rsidP="008E7C19">
      <w:pPr>
        <w:spacing w:before="240" w:after="240" w:line="360" w:lineRule="auto"/>
        <w:jc w:val="both"/>
        <w:rPr>
          <w:rFonts w:ascii="Palatino Linotype" w:eastAsia="Palatino Linotype" w:hAnsi="Palatino Linotype" w:cs="Palatino Linotype"/>
          <w:b/>
          <w:sz w:val="22"/>
          <w:szCs w:val="22"/>
        </w:rPr>
      </w:pPr>
      <w:r w:rsidRPr="00C56FC5">
        <w:rPr>
          <w:rFonts w:ascii="Palatino Linotype" w:eastAsia="Palatino Linotype" w:hAnsi="Palatino Linotype" w:cs="Palatino Linotype"/>
          <w:sz w:val="22"/>
          <w:szCs w:val="22"/>
        </w:rPr>
        <w:t xml:space="preserve">Argumento que encuentra sustento en la jurisprudencia P./J. 32/92 emitida por el Pleno de la Suprema Corte de Justicia de la Nación de rubro </w:t>
      </w:r>
      <w:r w:rsidRPr="00C56FC5">
        <w:rPr>
          <w:rFonts w:ascii="Palatino Linotype" w:eastAsia="Palatino Linotype" w:hAnsi="Palatino Linotype" w:cs="Palatino Linotype"/>
          <w:i/>
          <w:sz w:val="22"/>
          <w:szCs w:val="22"/>
        </w:rPr>
        <w:t>“TÉRMINOS PROCESALES. PARA DETERMINAR SI UN FUNCIONARIO JUDICIAL ACTUÓ INDEBIDAMENTE POR NO RESPETARLOS SE DEBE ATENDER AL PRESUPUESTO QUE CONSIDERÓ EL LEGISLADOR AL FIJARLOS Y LAS CARACTERÍSTICAS DEL CASO.”</w:t>
      </w:r>
      <w:r w:rsidRPr="00C56FC5">
        <w:rPr>
          <w:rFonts w:ascii="Palatino Linotype" w:eastAsia="Palatino Linotype" w:hAnsi="Palatino Linotype" w:cs="Palatino Linotype"/>
          <w:sz w:val="22"/>
          <w:szCs w:val="22"/>
        </w:rPr>
        <w:t>, visible en la Gaceta del Seminario Judicial de la Federación con el registro digital 205635.</w:t>
      </w:r>
    </w:p>
    <w:p w14:paraId="798EE31A" w14:textId="77777777" w:rsidR="008E7C19" w:rsidRPr="00C56FC5" w:rsidRDefault="008E7C19" w:rsidP="008E7C19">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79AB56E0" w14:textId="77777777" w:rsidR="008E7C19" w:rsidRPr="00C56FC5" w:rsidRDefault="008E7C19" w:rsidP="008E7C19">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Al respecto, también son de considerar los criterios sostenidos por el Cuarto Tribunal Colegiado en Materia Administrativa del Primer Circuito, cuyos rubros y datos de identificación son los siguientes:</w:t>
      </w:r>
    </w:p>
    <w:p w14:paraId="3D30C816" w14:textId="77777777" w:rsidR="008E7C19" w:rsidRPr="00C56FC5" w:rsidRDefault="008E7C19" w:rsidP="008E7C19">
      <w:pPr>
        <w:spacing w:before="120" w:after="120"/>
        <w:ind w:left="851" w:right="902"/>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lastRenderedPageBreak/>
        <w:t xml:space="preserve"> </w:t>
      </w:r>
      <w:r w:rsidRPr="00C56FC5">
        <w:rPr>
          <w:rFonts w:ascii="Palatino Linotype" w:eastAsia="Palatino Linotype" w:hAnsi="Palatino Linotype" w:cs="Palatino Linotype"/>
          <w:i/>
          <w:sz w:val="22"/>
          <w:szCs w:val="22"/>
        </w:rPr>
        <w:t>“</w:t>
      </w:r>
      <w:r w:rsidRPr="00C56FC5">
        <w:rPr>
          <w:rFonts w:ascii="Palatino Linotype" w:eastAsia="Palatino Linotype" w:hAnsi="Palatino Linotype" w:cs="Palatino Linotype"/>
          <w:b/>
          <w:i/>
          <w:sz w:val="22"/>
          <w:szCs w:val="22"/>
        </w:rPr>
        <w:t>PLAZO RAZONABLE PARA RESOLVER. DIMENSIÓN Y EFECTOS DE ESTE CONCEPTO CUANDO SE ADUCE EXCESIVA CARGA DE TRABAJO</w:t>
      </w:r>
      <w:r w:rsidRPr="00C56FC5">
        <w:rPr>
          <w:rFonts w:ascii="Palatino Linotype" w:eastAsia="Palatino Linotype" w:hAnsi="Palatino Linotype" w:cs="Palatino Linotype"/>
          <w:i/>
          <w:sz w:val="22"/>
          <w:szCs w:val="22"/>
        </w:rPr>
        <w:t>.”</w:t>
      </w:r>
      <w:r w:rsidRPr="00C56FC5">
        <w:rPr>
          <w:rFonts w:ascii="Palatino Linotype" w:eastAsia="Palatino Linotype" w:hAnsi="Palatino Linotype" w:cs="Palatino Linotype"/>
          <w:sz w:val="22"/>
          <w:szCs w:val="22"/>
        </w:rPr>
        <w:t xml:space="preserve"> consultable en el Seminario Judicial de la Federación y su gaceta, con el registro digital 2002351.</w:t>
      </w:r>
    </w:p>
    <w:p w14:paraId="1378BF73" w14:textId="77777777" w:rsidR="008E7C19" w:rsidRPr="00C56FC5" w:rsidRDefault="008E7C19" w:rsidP="008E7C19">
      <w:pPr>
        <w:spacing w:before="120" w:after="120"/>
        <w:ind w:left="851" w:right="902"/>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i/>
          <w:sz w:val="22"/>
          <w:szCs w:val="22"/>
        </w:rPr>
        <w:t>“</w:t>
      </w:r>
      <w:r w:rsidRPr="00C56FC5">
        <w:rPr>
          <w:rFonts w:ascii="Palatino Linotype" w:eastAsia="Palatino Linotype" w:hAnsi="Palatino Linotype" w:cs="Palatino Linotype"/>
          <w:b/>
          <w:i/>
          <w:sz w:val="22"/>
          <w:szCs w:val="22"/>
        </w:rPr>
        <w:t>PLAZO RAZONABLE PARA RESOLVER. CONCEPTO Y ELEMENTOS QUE LO INTEGRAN A LA LUZ DEL DERECHO INTERNACIONAL DE LOS DERECHOS HUMANOS</w:t>
      </w:r>
      <w:r w:rsidRPr="00C56FC5">
        <w:rPr>
          <w:rFonts w:ascii="Palatino Linotype" w:eastAsia="Palatino Linotype" w:hAnsi="Palatino Linotype" w:cs="Palatino Linotype"/>
          <w:i/>
          <w:sz w:val="22"/>
          <w:szCs w:val="22"/>
        </w:rPr>
        <w:t>.”</w:t>
      </w:r>
      <w:r w:rsidRPr="00C56FC5">
        <w:rPr>
          <w:rFonts w:ascii="Palatino Linotype" w:eastAsia="Palatino Linotype" w:hAnsi="Palatino Linotype" w:cs="Palatino Linotype"/>
          <w:sz w:val="22"/>
          <w:szCs w:val="22"/>
        </w:rPr>
        <w:t>, visible en el Seminario Judicial de la Federación y su gaceta, con el registro digital 2002350.</w:t>
      </w:r>
    </w:p>
    <w:p w14:paraId="1A554EE2" w14:textId="77777777" w:rsidR="008E7C19" w:rsidRPr="00C56FC5" w:rsidRDefault="008E7C19" w:rsidP="008E7C19">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Por ello, este Organismo Garante comprometido con la tutela de los derechos humanos confiados, señala que este exceso del plazo legal para resolver el presente asunto, resulta de carácter excepcional.</w:t>
      </w:r>
    </w:p>
    <w:p w14:paraId="0A66F519" w14:textId="77777777" w:rsidR="005A75CA" w:rsidRPr="00C56FC5" w:rsidRDefault="00E96B90" w:rsidP="00D7204E">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2AD56F5D" w14:textId="77777777" w:rsidR="005A75CA" w:rsidRPr="00C56FC5" w:rsidRDefault="00E96B90" w:rsidP="001205A1">
      <w:pPr>
        <w:widowControl w:val="0"/>
        <w:spacing w:before="240" w:after="240" w:line="360" w:lineRule="auto"/>
        <w:jc w:val="center"/>
        <w:rPr>
          <w:rFonts w:ascii="Palatino Linotype" w:eastAsia="Palatino Linotype" w:hAnsi="Palatino Linotype" w:cs="Palatino Linotype"/>
          <w:b/>
          <w:sz w:val="22"/>
          <w:szCs w:val="22"/>
        </w:rPr>
      </w:pPr>
      <w:r w:rsidRPr="00C56FC5">
        <w:rPr>
          <w:rFonts w:ascii="Palatino Linotype" w:eastAsia="Palatino Linotype" w:hAnsi="Palatino Linotype" w:cs="Palatino Linotype"/>
          <w:b/>
          <w:sz w:val="22"/>
          <w:szCs w:val="22"/>
        </w:rPr>
        <w:t>II. C O N S I D E R A N D O S</w:t>
      </w:r>
    </w:p>
    <w:p w14:paraId="591E0DDD" w14:textId="70ECD718" w:rsidR="005A75CA" w:rsidRPr="00C56FC5" w:rsidRDefault="00E96B90" w:rsidP="00D7204E">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b/>
          <w:sz w:val="22"/>
          <w:szCs w:val="22"/>
        </w:rPr>
        <w:t>Primero. Competencia.</w:t>
      </w:r>
      <w:r w:rsidRPr="00C56FC5">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w:t>
      </w:r>
      <w:r w:rsidR="00170F4F" w:rsidRPr="00C56FC5">
        <w:rPr>
          <w:rFonts w:ascii="Palatino Linotype" w:eastAsia="Palatino Linotype" w:hAnsi="Palatino Linotype" w:cs="Palatino Linotype"/>
          <w:sz w:val="22"/>
          <w:szCs w:val="22"/>
        </w:rPr>
        <w:t xml:space="preserve"> 5 párrafos cuadragésimo cuarto, cuadragésimo quinto y cuadragésimo sexto, fracciones IV y V de la Constitución Política del Estado Libre y Soberano de México; transitorio Cuarto del Decreto número 198 de la “LXII” Legislatura del Estado de México</w:t>
      </w:r>
      <w:r w:rsidRPr="00C56FC5">
        <w:rPr>
          <w:rFonts w:ascii="Palatino Linotype" w:eastAsia="Palatino Linotype" w:hAnsi="Palatino Linotype" w:cs="Palatino Linotype"/>
          <w:sz w:val="22"/>
          <w:szCs w:val="22"/>
        </w:rPr>
        <w:t xml:space="preserve">; 2, fracción II; 29, 36 fracciones I y II; 176, 178, 181, 185, fracción I, 186 y 188 de la Ley Transparencia y Acceso a la Información Pública del Estado de México y Municipios; 9, fracciones I y XXIII y 11 del Reglamento Interior del Instituto de </w:t>
      </w:r>
      <w:r w:rsidRPr="00C56FC5">
        <w:rPr>
          <w:rFonts w:ascii="Palatino Linotype" w:eastAsia="Palatino Linotype" w:hAnsi="Palatino Linotype" w:cs="Palatino Linotype"/>
          <w:sz w:val="22"/>
          <w:szCs w:val="22"/>
        </w:rPr>
        <w:lastRenderedPageBreak/>
        <w:t>Transparencia, Acceso a la Información Pública y Protección de Datos Personales del Estado de México y Municipios.</w:t>
      </w:r>
    </w:p>
    <w:p w14:paraId="7106B145" w14:textId="77777777" w:rsidR="005A75CA" w:rsidRPr="00C56FC5" w:rsidRDefault="00E96B90" w:rsidP="00D7204E">
      <w:pPr>
        <w:spacing w:before="240" w:after="240" w:line="360" w:lineRule="auto"/>
        <w:jc w:val="both"/>
        <w:rPr>
          <w:rFonts w:ascii="Palatino Linotype" w:eastAsia="Palatino Linotype" w:hAnsi="Palatino Linotype" w:cs="Palatino Linotype"/>
          <w:sz w:val="22"/>
          <w:szCs w:val="22"/>
        </w:rPr>
      </w:pPr>
      <w:bookmarkStart w:id="6" w:name="_heading=h.3znysh7" w:colFirst="0" w:colLast="0"/>
      <w:bookmarkEnd w:id="6"/>
      <w:r w:rsidRPr="00C56FC5">
        <w:rPr>
          <w:rFonts w:ascii="Palatino Linotype" w:eastAsia="Palatino Linotype" w:hAnsi="Palatino Linotype" w:cs="Palatino Linotype"/>
          <w:b/>
          <w:sz w:val="22"/>
          <w:szCs w:val="22"/>
        </w:rPr>
        <w:t xml:space="preserve">Segundo. Oportunidad y Procedibilidad. </w:t>
      </w:r>
      <w:r w:rsidRPr="00C56FC5">
        <w:rPr>
          <w:rFonts w:ascii="Palatino Linotype" w:eastAsia="Palatino Linotype" w:hAnsi="Palatino Linotype" w:cs="Palatino Linotype"/>
          <w:sz w:val="22"/>
          <w:szCs w:val="22"/>
        </w:rPr>
        <w:t>Es de precisar que la</w:t>
      </w:r>
      <w:r w:rsidRPr="00C56FC5">
        <w:rPr>
          <w:rFonts w:ascii="Palatino Linotype" w:eastAsia="Palatino Linotype" w:hAnsi="Palatino Linotype" w:cs="Palatino Linotype"/>
          <w:b/>
          <w:sz w:val="22"/>
          <w:szCs w:val="22"/>
        </w:rPr>
        <w:t xml:space="preserve"> </w:t>
      </w:r>
      <w:r w:rsidRPr="00C56FC5">
        <w:rPr>
          <w:rFonts w:ascii="Palatino Linotype" w:eastAsia="Palatino Linotype" w:hAnsi="Palatino Linotype" w:cs="Palatino Linotype"/>
          <w:sz w:val="22"/>
          <w:szCs w:val="22"/>
        </w:rPr>
        <w:t xml:space="preserve">Ley de Transparencia y Acceso a la Información Pública del Estado de México y Municipios, describe el mecanismo de procedencia de los recursos de revisión, como se dispone en los artículos 163 y 166, del tenor literal siguiente: </w:t>
      </w:r>
    </w:p>
    <w:p w14:paraId="28CBAA0A" w14:textId="77777777" w:rsidR="005A75CA" w:rsidRPr="00C56FC5" w:rsidRDefault="00E96B90" w:rsidP="00D7204E">
      <w:pPr>
        <w:ind w:left="851" w:right="851"/>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t>“</w:t>
      </w:r>
      <w:r w:rsidRPr="00C56FC5">
        <w:rPr>
          <w:rFonts w:ascii="Palatino Linotype" w:eastAsia="Palatino Linotype" w:hAnsi="Palatino Linotype" w:cs="Palatino Linotype"/>
          <w:b/>
          <w:i/>
          <w:sz w:val="22"/>
          <w:szCs w:val="22"/>
        </w:rPr>
        <w:t xml:space="preserve">Artículo 163. </w:t>
      </w:r>
      <w:r w:rsidRPr="00C56FC5">
        <w:rPr>
          <w:rFonts w:ascii="Palatino Linotype" w:eastAsia="Palatino Linotype" w:hAnsi="Palatino Linotype" w:cs="Palatino Linotype"/>
          <w:i/>
          <w:sz w:val="22"/>
          <w:szCs w:val="22"/>
        </w:rPr>
        <w:t xml:space="preserve">La Unidad de Transparencia deberá notificar la respuesta a la solicitud al interesado en el menor tiempo posible, que no podrá exceder de quince días hábiles, contados a partir del día siguiente a la presentación de aquélla. </w:t>
      </w:r>
    </w:p>
    <w:p w14:paraId="284712C8" w14:textId="77777777" w:rsidR="005A75CA" w:rsidRPr="00C56FC5" w:rsidRDefault="00E96B90" w:rsidP="00D7204E">
      <w:pPr>
        <w:ind w:left="851" w:right="851"/>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t>…</w:t>
      </w:r>
    </w:p>
    <w:p w14:paraId="49A851A1" w14:textId="77777777" w:rsidR="005A75CA" w:rsidRPr="00C56FC5" w:rsidRDefault="00E96B90" w:rsidP="00D7204E">
      <w:pPr>
        <w:ind w:left="851" w:right="851"/>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Artículo 166.</w:t>
      </w:r>
      <w:r w:rsidRPr="00C56FC5">
        <w:rPr>
          <w:rFonts w:ascii="Palatino Linotype" w:eastAsia="Palatino Linotype" w:hAnsi="Palatino Linotype" w:cs="Palatino Linotype"/>
          <w:i/>
          <w:sz w:val="22"/>
          <w:szCs w:val="22"/>
        </w:rPr>
        <w:t xml:space="preserve"> […]</w:t>
      </w:r>
    </w:p>
    <w:p w14:paraId="5950788F" w14:textId="77777777" w:rsidR="005A75CA" w:rsidRPr="00C56FC5" w:rsidRDefault="00E96B90" w:rsidP="00D7204E">
      <w:pPr>
        <w:ind w:left="851" w:right="851"/>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t xml:space="preserve">Cuando el sujeto obligado no entregue la respuesta a la solicitud dentro del plazo previsto en la Ley, la solicitud se entenderá negada y el solicitante podrá interponer el recurso de revisión previsto en este ordenamiento.” </w:t>
      </w:r>
    </w:p>
    <w:p w14:paraId="7F2DF570" w14:textId="77777777" w:rsidR="005A75CA" w:rsidRPr="00C56FC5" w:rsidRDefault="00E96B90" w:rsidP="00D7204E">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De la interpretación sistemática a los preceptos legales insertos,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 la persona solicitante le asiste el derecho para presentar el recurso de revisión.</w:t>
      </w:r>
    </w:p>
    <w:p w14:paraId="212DD4AF" w14:textId="77777777" w:rsidR="005A75CA" w:rsidRPr="00C56FC5" w:rsidRDefault="00E96B90" w:rsidP="00D7204E">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En tal sentido, se constituye lo que en la doctrina se conoce como negativa ficta, figura jurídica cuya esencia consiste en atribuir un efecto negativo al silencio de la autoridad administrativa frente a las instancias y solicitudes que hagan los particulares.</w:t>
      </w:r>
    </w:p>
    <w:p w14:paraId="7644EEF3" w14:textId="77777777" w:rsidR="005A75CA" w:rsidRPr="00C56FC5" w:rsidRDefault="00E96B90" w:rsidP="00D7204E">
      <w:pPr>
        <w:spacing w:before="240" w:after="240" w:line="360" w:lineRule="auto"/>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sz w:val="22"/>
          <w:szCs w:val="22"/>
        </w:rPr>
        <w:t>Por su parte, el artículo 178 del citado ordenamiento, establece:</w:t>
      </w:r>
    </w:p>
    <w:p w14:paraId="4D8FD504" w14:textId="77777777" w:rsidR="005A75CA" w:rsidRPr="00C56FC5" w:rsidRDefault="00E96B90" w:rsidP="00D7204E">
      <w:pPr>
        <w:spacing w:before="120" w:after="120"/>
        <w:ind w:left="851" w:right="851"/>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t>“</w:t>
      </w:r>
      <w:r w:rsidRPr="00C56FC5">
        <w:rPr>
          <w:rFonts w:ascii="Palatino Linotype" w:eastAsia="Palatino Linotype" w:hAnsi="Palatino Linotype" w:cs="Palatino Linotype"/>
          <w:b/>
          <w:i/>
          <w:sz w:val="22"/>
          <w:szCs w:val="22"/>
        </w:rPr>
        <w:t xml:space="preserve">Artículo 178. </w:t>
      </w:r>
      <w:r w:rsidRPr="00C56FC5">
        <w:rPr>
          <w:rFonts w:ascii="Palatino Linotype" w:eastAsia="Palatino Linotype" w:hAnsi="Palatino Linotype" w:cs="Palatino Linotype"/>
          <w:i/>
          <w:sz w:val="22"/>
          <w:szCs w:val="22"/>
        </w:rPr>
        <w:t xml:space="preserve">El solicitante podrá interponer, por sí mismo o a través de su representante, de manera directa o por medios electrónicos, recurso de revisión ante el Instituto o ante la Unidad de Transparencia que haya conocido de la </w:t>
      </w:r>
      <w:r w:rsidRPr="00C56FC5">
        <w:rPr>
          <w:rFonts w:ascii="Palatino Linotype" w:eastAsia="Palatino Linotype" w:hAnsi="Palatino Linotype" w:cs="Palatino Linotype"/>
          <w:i/>
          <w:sz w:val="22"/>
          <w:szCs w:val="22"/>
        </w:rPr>
        <w:lastRenderedPageBreak/>
        <w:t>solicitud dentro de los quince días hábiles, siguientes a la fecha de la notificación de la respuesta.</w:t>
      </w:r>
    </w:p>
    <w:p w14:paraId="21EBD44B" w14:textId="77777777" w:rsidR="005A75CA" w:rsidRPr="00C56FC5" w:rsidRDefault="00E96B90" w:rsidP="00D7204E">
      <w:pPr>
        <w:spacing w:before="120" w:after="120"/>
        <w:ind w:left="851" w:right="851"/>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w:t>
      </w:r>
    </w:p>
    <w:p w14:paraId="6F3C12EA" w14:textId="77777777" w:rsidR="005A75CA" w:rsidRPr="00C56FC5" w:rsidRDefault="00E96B90" w:rsidP="00D7204E">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De lo anterior, se advierte que el recurso de revisión se ha de interponer dentro del plazo de quince días hábiles, a partir de la fecha en que el </w:t>
      </w:r>
      <w:r w:rsidRPr="00C56FC5">
        <w:rPr>
          <w:rFonts w:ascii="Palatino Linotype" w:eastAsia="Palatino Linotype" w:hAnsi="Palatino Linotype" w:cs="Palatino Linotype"/>
          <w:b/>
          <w:sz w:val="22"/>
          <w:szCs w:val="22"/>
        </w:rPr>
        <w:t xml:space="preserve">Sujeto Obligado </w:t>
      </w:r>
      <w:r w:rsidRPr="00C56FC5">
        <w:rPr>
          <w:rFonts w:ascii="Palatino Linotype" w:eastAsia="Palatino Linotype" w:hAnsi="Palatino Linotype" w:cs="Palatino Linotype"/>
          <w:sz w:val="22"/>
          <w:szCs w:val="22"/>
        </w:rPr>
        <w:t>da respuesta a la solicitud de información; sin embargo, tratándose de negativa ficta no existe resolución que se haga del conocimiento de la persona solicitante a partir de la cual pueda computarse dicho plazo, por lo que se concluye que la interposición del recurso de revisión puede ser en cualquier momento.</w:t>
      </w:r>
    </w:p>
    <w:p w14:paraId="6EAE9AC2" w14:textId="77777777" w:rsidR="005A75CA" w:rsidRPr="00C56FC5" w:rsidRDefault="00E96B90" w:rsidP="00D7204E">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La negativa ficta constituye una presunción legal, en el entendido de que donde no hubo respuesta por parte del </w:t>
      </w:r>
      <w:r w:rsidRPr="00C56FC5">
        <w:rPr>
          <w:rFonts w:ascii="Palatino Linotype" w:eastAsia="Palatino Linotype" w:hAnsi="Palatino Linotype" w:cs="Palatino Linotype"/>
          <w:b/>
          <w:sz w:val="22"/>
          <w:szCs w:val="22"/>
        </w:rPr>
        <w:t xml:space="preserve">Sujeto Obligado </w:t>
      </w:r>
      <w:r w:rsidRPr="00C56FC5">
        <w:rPr>
          <w:rFonts w:ascii="Palatino Linotype" w:eastAsia="Palatino Linotype" w:hAnsi="Palatino Linotype" w:cs="Palatino Linotype"/>
          <w:sz w:val="22"/>
          <w:szCs w:val="22"/>
        </w:rPr>
        <w:t>existe por lo tanto, una resolución de rechazo ante la solicitud del ciudadano; ya que efectivamente, dicha figura se encuentra íntimamente vinculada con el Derecho de Petición, consagrado en nuestra Carta Magna, es por ello que constituye un instrumento que garantiza la posibilidad de defensa del particular en contra de la incertidumbre jurídica y que tiende a realizar ese Estado de Derecho en el que, el particular, tiene siempre una vía de defensa en contra de los actos autoritarios que le perjudican.</w:t>
      </w:r>
    </w:p>
    <w:p w14:paraId="3B73F924" w14:textId="77777777" w:rsidR="005A75CA" w:rsidRPr="00C56FC5" w:rsidRDefault="00E96B90" w:rsidP="00D7204E">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En el marco del derecho de acceso a la información pública, la figura de la negativa ficta brinda al ciudadano la oportunidad de inconformarse en los casos en que estime violentado su derecho; permitiendo a este Instituto cumplir los principios por los cuales la misma ley se rige que atienden a la simplicidad y rapidez al acceso a la información, por lo tanto antes de que se actualice un recurso extemporáneo, se actualiza la omisión del Sujeto Obligado de dar respuesta, por lo que este Organismo Garante del derecho de acceso a la información y </w:t>
      </w:r>
      <w:r w:rsidRPr="00C56FC5">
        <w:rPr>
          <w:rFonts w:ascii="Palatino Linotype" w:eastAsia="Palatino Linotype" w:hAnsi="Palatino Linotype" w:cs="Palatino Linotype"/>
          <w:sz w:val="22"/>
          <w:szCs w:val="22"/>
        </w:rPr>
        <w:lastRenderedPageBreak/>
        <w:t>en aras de privilegiar el principio de máxima publicidad deberá dar entrada al estudio del fondo del recurso interpuesto en dichos casos y no optar por el desechamiento del mismo.</w:t>
      </w:r>
    </w:p>
    <w:p w14:paraId="6B29ACDF" w14:textId="77777777" w:rsidR="005A75CA" w:rsidRPr="00C56FC5" w:rsidRDefault="00E96B90" w:rsidP="00D7204E">
      <w:pPr>
        <w:spacing w:before="240" w:after="240" w:line="360" w:lineRule="auto"/>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sz w:val="22"/>
          <w:szCs w:val="22"/>
        </w:rPr>
        <w:t xml:space="preserve">Por lo tanto, con la finalidad de no reducir ni limitar el derecho de acceso a la información y concederle una protección más eficaz al solicitante para impugnar el silencio del </w:t>
      </w:r>
      <w:r w:rsidRPr="00C56FC5">
        <w:rPr>
          <w:rFonts w:ascii="Palatino Linotype" w:eastAsia="Palatino Linotype" w:hAnsi="Palatino Linotype" w:cs="Palatino Linotype"/>
          <w:b/>
          <w:sz w:val="22"/>
          <w:szCs w:val="22"/>
        </w:rPr>
        <w:t>Sujeto Obligado</w:t>
      </w:r>
      <w:r w:rsidRPr="00C56FC5">
        <w:rPr>
          <w:rFonts w:ascii="Palatino Linotype" w:eastAsia="Palatino Linotype" w:hAnsi="Palatino Linotype" w:cs="Palatino Linotype"/>
          <w:sz w:val="22"/>
          <w:szCs w:val="22"/>
        </w:rPr>
        <w:t>, este tiene la posibilidad de impugnar dicha omisión en cualquier tiempo mediante el recurso de revisión y con ello satisfacer su pretensión; postura que ha sido adoptada mediante criterio número 001-15, aprobado por el Pleno del Instituto de Transparencia, Acceso a la Información Pública y Protección de Datos Personales del Estado de México y Municipios y publicado en el Periódico Oficial del Estado de México “Gaceta del Gobierno”, el veintitrés de abril de dos mil quince, que establece:</w:t>
      </w:r>
    </w:p>
    <w:p w14:paraId="38D9DC33" w14:textId="77777777" w:rsidR="005A75CA" w:rsidRPr="00C56FC5" w:rsidRDefault="00E96B90" w:rsidP="00D7204E">
      <w:pPr>
        <w:ind w:left="851" w:right="851"/>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“CRITERIO 0001-15. NEGATIVA FICTA. PLAZO PARA INTERPONER EL RECURSO DE REVISIÓN TRATÁNDOSE DE</w:t>
      </w:r>
      <w:r w:rsidRPr="00C56FC5">
        <w:rPr>
          <w:rFonts w:ascii="Palatino Linotype" w:eastAsia="Palatino Linotype" w:hAnsi="Palatino Linotype" w:cs="Palatino Linotype"/>
          <w:i/>
          <w:sz w:val="22"/>
          <w:szCs w:val="22"/>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 </w:t>
      </w:r>
    </w:p>
    <w:p w14:paraId="4FE04A86" w14:textId="77777777" w:rsidR="006C72C4" w:rsidRPr="00C56FC5" w:rsidRDefault="006C72C4" w:rsidP="00D7204E">
      <w:pPr>
        <w:spacing w:line="360" w:lineRule="auto"/>
        <w:jc w:val="both"/>
        <w:rPr>
          <w:rFonts w:ascii="Palatino Linotype" w:eastAsia="Palatino Linotype" w:hAnsi="Palatino Linotype" w:cs="Palatino Linotype"/>
          <w:sz w:val="22"/>
          <w:szCs w:val="22"/>
        </w:rPr>
      </w:pPr>
    </w:p>
    <w:p w14:paraId="30081B66" w14:textId="77777777" w:rsidR="00DE0050" w:rsidRPr="00C56FC5" w:rsidRDefault="00DE0050" w:rsidP="00DE0050">
      <w:pPr>
        <w:spacing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Al mismo tiempo, por cuanto hace a la procedibilidad de los recursos de revisión, una vez realizado el análisis de los formatos de interposición de los recursos, se concluye la acreditación plena de los elementos formales precisados por el artículo 180 de la Ley de </w:t>
      </w:r>
      <w:r w:rsidRPr="00C56FC5">
        <w:rPr>
          <w:rFonts w:ascii="Palatino Linotype" w:eastAsia="Palatino Linotype" w:hAnsi="Palatino Linotype" w:cs="Palatino Linotype"/>
          <w:sz w:val="22"/>
          <w:szCs w:val="22"/>
        </w:rPr>
        <w:lastRenderedPageBreak/>
        <w:t>Transparencia y Acceso a la Información Pública del Estado de México y Municipios, en atención a que fueron presentados mediante el formato visible en el SAIMEX.</w:t>
      </w:r>
    </w:p>
    <w:p w14:paraId="1B38E422" w14:textId="4DC781BC" w:rsidR="005A75CA" w:rsidRPr="00C56FC5" w:rsidRDefault="00E96B90" w:rsidP="00D7204E">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Finalmente, antes de entrar al estudio de la presente resolución es preciso determinar si resulta procedente la interposición del recurso de revisión, toda vez que se actualiza la hipótesis prevista en el artículo 179, fracción VII de la ley de la materia, que a la letra dice:</w:t>
      </w:r>
    </w:p>
    <w:p w14:paraId="7094A9DD" w14:textId="77777777" w:rsidR="005A75CA" w:rsidRPr="00C56FC5" w:rsidRDefault="00E96B90" w:rsidP="00E3627B">
      <w:pPr>
        <w:ind w:left="851" w:right="851"/>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t>“</w:t>
      </w:r>
      <w:r w:rsidRPr="00C56FC5">
        <w:rPr>
          <w:rFonts w:ascii="Palatino Linotype" w:eastAsia="Palatino Linotype" w:hAnsi="Palatino Linotype" w:cs="Palatino Linotype"/>
          <w:b/>
          <w:i/>
          <w:sz w:val="22"/>
          <w:szCs w:val="22"/>
        </w:rPr>
        <w:t xml:space="preserve">Artículo 179. </w:t>
      </w:r>
      <w:r w:rsidRPr="00C56FC5">
        <w:rPr>
          <w:rFonts w:ascii="Palatino Linotype" w:eastAsia="Palatino Linotype" w:hAnsi="Palatino Linotype" w:cs="Palatino Linotype"/>
          <w:i/>
          <w:sz w:val="22"/>
          <w:szCs w:val="22"/>
        </w:rPr>
        <w:t>El recurso de revisión es un medio de protección que la Ley otorga a los particulares, para hacer valer su derecho de acceso a la información pública, y procederá en contra de las siguientes causas:</w:t>
      </w:r>
    </w:p>
    <w:p w14:paraId="1245885C" w14:textId="77777777" w:rsidR="005A75CA" w:rsidRPr="00C56FC5" w:rsidRDefault="00E96B90" w:rsidP="00E3627B">
      <w:pPr>
        <w:ind w:left="851" w:right="851"/>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t>…</w:t>
      </w:r>
    </w:p>
    <w:p w14:paraId="108CFBAE" w14:textId="77777777" w:rsidR="005A75CA" w:rsidRPr="00C56FC5" w:rsidRDefault="00E96B90" w:rsidP="00E3627B">
      <w:pPr>
        <w:ind w:left="851" w:right="851"/>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 xml:space="preserve">VII. </w:t>
      </w:r>
      <w:r w:rsidRPr="00C56FC5">
        <w:rPr>
          <w:rFonts w:ascii="Palatino Linotype" w:eastAsia="Palatino Linotype" w:hAnsi="Palatino Linotype" w:cs="Palatino Linotype"/>
          <w:i/>
          <w:sz w:val="22"/>
          <w:szCs w:val="22"/>
        </w:rPr>
        <w:t>La falta de respuesta a una solicitud de acceso a la información;”</w:t>
      </w:r>
    </w:p>
    <w:p w14:paraId="0B9FF5EA" w14:textId="77777777" w:rsidR="005A75CA" w:rsidRPr="00C56FC5" w:rsidRDefault="00E96B90" w:rsidP="00D7204E">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El precepto legal citado, establece como supuesto de procedencia del recurso de revisión, en aquellos casos en que la parte </w:t>
      </w:r>
      <w:r w:rsidRPr="00C56FC5">
        <w:rPr>
          <w:rFonts w:ascii="Palatino Linotype" w:eastAsia="Palatino Linotype" w:hAnsi="Palatino Linotype" w:cs="Palatino Linotype"/>
          <w:b/>
          <w:sz w:val="22"/>
          <w:szCs w:val="22"/>
        </w:rPr>
        <w:t xml:space="preserve">Recurrente </w:t>
      </w:r>
      <w:r w:rsidRPr="00C56FC5">
        <w:rPr>
          <w:rFonts w:ascii="Palatino Linotype" w:eastAsia="Palatino Linotype" w:hAnsi="Palatino Linotype" w:cs="Palatino Linotype"/>
          <w:sz w:val="22"/>
          <w:szCs w:val="22"/>
        </w:rPr>
        <w:t xml:space="preserve">estime negado el acceso a la información por la falta de respuesta por el </w:t>
      </w:r>
      <w:r w:rsidRPr="00C56FC5">
        <w:rPr>
          <w:rFonts w:ascii="Palatino Linotype" w:eastAsia="Palatino Linotype" w:hAnsi="Palatino Linotype" w:cs="Palatino Linotype"/>
          <w:b/>
          <w:sz w:val="22"/>
          <w:szCs w:val="22"/>
        </w:rPr>
        <w:t>Sujeto Obligado</w:t>
      </w:r>
      <w:r w:rsidRPr="00C56FC5">
        <w:rPr>
          <w:rFonts w:ascii="Palatino Linotype" w:eastAsia="Palatino Linotype" w:hAnsi="Palatino Linotype" w:cs="Palatino Linotype"/>
          <w:sz w:val="22"/>
          <w:szCs w:val="22"/>
        </w:rPr>
        <w:t xml:space="preserve">, en este asunto se actualiza la hipótesis jurídica citada, en atención a que la parte </w:t>
      </w:r>
      <w:r w:rsidRPr="00C56FC5">
        <w:rPr>
          <w:rFonts w:ascii="Palatino Linotype" w:eastAsia="Palatino Linotype" w:hAnsi="Palatino Linotype" w:cs="Palatino Linotype"/>
          <w:b/>
          <w:sz w:val="22"/>
          <w:szCs w:val="22"/>
        </w:rPr>
        <w:t>Recurrente</w:t>
      </w:r>
      <w:r w:rsidRPr="00C56FC5">
        <w:rPr>
          <w:rFonts w:ascii="Palatino Linotype" w:eastAsia="Palatino Linotype" w:hAnsi="Palatino Linotype" w:cs="Palatino Linotype"/>
          <w:sz w:val="22"/>
          <w:szCs w:val="22"/>
        </w:rPr>
        <w:t xml:space="preserve"> combate falta de trámite por el </w:t>
      </w:r>
      <w:r w:rsidRPr="00C56FC5">
        <w:rPr>
          <w:rFonts w:ascii="Palatino Linotype" w:eastAsia="Palatino Linotype" w:hAnsi="Palatino Linotype" w:cs="Palatino Linotype"/>
          <w:b/>
          <w:sz w:val="22"/>
          <w:szCs w:val="22"/>
        </w:rPr>
        <w:t>Sujeto Obligado</w:t>
      </w:r>
      <w:r w:rsidRPr="00C56FC5">
        <w:rPr>
          <w:rFonts w:ascii="Palatino Linotype" w:eastAsia="Palatino Linotype" w:hAnsi="Palatino Linotype" w:cs="Palatino Linotype"/>
          <w:sz w:val="22"/>
          <w:szCs w:val="22"/>
        </w:rPr>
        <w:t xml:space="preserve"> y expresa motivos de inconformidad en contra de dicha circunstancia.</w:t>
      </w:r>
    </w:p>
    <w:p w14:paraId="12A9D239" w14:textId="77777777" w:rsidR="005A75CA" w:rsidRPr="00C56FC5" w:rsidRDefault="00E96B90" w:rsidP="00D7204E">
      <w:pPr>
        <w:spacing w:before="240" w:after="240" w:line="360" w:lineRule="auto"/>
        <w:jc w:val="both"/>
        <w:rPr>
          <w:rFonts w:ascii="Palatino Linotype" w:eastAsia="Palatino Linotype" w:hAnsi="Palatino Linotype" w:cs="Palatino Linotype"/>
          <w:b/>
          <w:sz w:val="22"/>
          <w:szCs w:val="22"/>
        </w:rPr>
      </w:pPr>
      <w:r w:rsidRPr="00C56FC5">
        <w:rPr>
          <w:rFonts w:ascii="Palatino Linotype" w:eastAsia="Palatino Linotype" w:hAnsi="Palatino Linotype" w:cs="Palatino Linotype"/>
          <w:b/>
          <w:sz w:val="22"/>
          <w:szCs w:val="22"/>
        </w:rPr>
        <w:t xml:space="preserve">Tercero. Materia de la revisión. </w:t>
      </w:r>
      <w:r w:rsidRPr="00C56FC5">
        <w:rPr>
          <w:rFonts w:ascii="Palatino Linotype" w:eastAsia="Palatino Linotype" w:hAnsi="Palatino Linotype" w:cs="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sidRPr="00C56FC5">
        <w:rPr>
          <w:rFonts w:ascii="Palatino Linotype" w:eastAsia="Palatino Linotype" w:hAnsi="Palatino Linotype" w:cs="Palatino Linotype"/>
          <w:b/>
          <w:sz w:val="22"/>
          <w:szCs w:val="22"/>
        </w:rPr>
        <w:t xml:space="preserve">verificar si la información proporcionada por el Sujeto Obligado es adecuada y suficiente para satisfacer el derecho de acceso a la información pública </w:t>
      </w:r>
      <w:r w:rsidRPr="00C56FC5">
        <w:rPr>
          <w:rFonts w:ascii="Palatino Linotype" w:eastAsia="Palatino Linotype" w:hAnsi="Palatino Linotype" w:cs="Palatino Linotype"/>
          <w:sz w:val="22"/>
          <w:szCs w:val="22"/>
        </w:rPr>
        <w:t xml:space="preserve">de la parte </w:t>
      </w:r>
      <w:r w:rsidRPr="00C56FC5">
        <w:rPr>
          <w:rFonts w:ascii="Palatino Linotype" w:eastAsia="Palatino Linotype" w:hAnsi="Palatino Linotype" w:cs="Palatino Linotype"/>
          <w:b/>
          <w:sz w:val="22"/>
          <w:szCs w:val="22"/>
        </w:rPr>
        <w:t>Recurrente</w:t>
      </w:r>
      <w:r w:rsidRPr="00C56FC5">
        <w:rPr>
          <w:rFonts w:ascii="Palatino Linotype" w:eastAsia="Palatino Linotype" w:hAnsi="Palatino Linotype" w:cs="Palatino Linotype"/>
          <w:sz w:val="22"/>
          <w:szCs w:val="22"/>
        </w:rPr>
        <w:t>, o en su defecto, en caso de ser procedente, ordenar la entrega de información.</w:t>
      </w:r>
    </w:p>
    <w:p w14:paraId="17F2A1BC" w14:textId="77777777" w:rsidR="005A75CA" w:rsidRPr="00C56FC5" w:rsidRDefault="00E96B90" w:rsidP="00D7204E">
      <w:pPr>
        <w:spacing w:before="240" w:after="240" w:line="360" w:lineRule="auto"/>
        <w:jc w:val="both"/>
        <w:rPr>
          <w:rFonts w:ascii="Palatino Linotype" w:eastAsia="Palatino Linotype" w:hAnsi="Palatino Linotype" w:cs="Palatino Linotype"/>
          <w:sz w:val="22"/>
          <w:szCs w:val="22"/>
        </w:rPr>
      </w:pPr>
      <w:bookmarkStart w:id="7" w:name="_heading=h.2et92p0" w:colFirst="0" w:colLast="0"/>
      <w:bookmarkEnd w:id="7"/>
      <w:r w:rsidRPr="00C56FC5">
        <w:rPr>
          <w:rFonts w:ascii="Palatino Linotype" w:eastAsia="Palatino Linotype" w:hAnsi="Palatino Linotype" w:cs="Palatino Linotype"/>
          <w:b/>
          <w:sz w:val="22"/>
          <w:szCs w:val="22"/>
        </w:rPr>
        <w:t xml:space="preserve">Cuarto. Estudio del asunto. </w:t>
      </w:r>
      <w:r w:rsidRPr="00C56FC5">
        <w:rPr>
          <w:rFonts w:ascii="Palatino Linotype" w:eastAsia="Palatino Linotype" w:hAnsi="Palatino Linotype" w:cs="Palatino Linotype"/>
          <w:sz w:val="22"/>
          <w:szCs w:val="22"/>
        </w:rPr>
        <w:t xml:space="preserve">En primer lugar, es conveniente mencionar que de conformidad con el artículo 4 de la Ley de Transparencia y Acceso a la Información Pública del Estado de México y Municipios toda la información generada, obtenida, adquirida, transformada, administrada o en posesión de los sujetos obligados es pública y accesible de manera permanente a cualquier persona, privilegiando el principio de máxima publicidad, como así </w:t>
      </w:r>
      <w:r w:rsidRPr="00C56FC5">
        <w:rPr>
          <w:rFonts w:ascii="Palatino Linotype" w:eastAsia="Palatino Linotype" w:hAnsi="Palatino Linotype" w:cs="Palatino Linotype"/>
          <w:sz w:val="22"/>
          <w:szCs w:val="22"/>
        </w:rPr>
        <w:lastRenderedPageBreak/>
        <w:t>lo establece dicha determinación, que a continuación se transcribe para un mejor entendimiento:</w:t>
      </w:r>
    </w:p>
    <w:p w14:paraId="523378A5" w14:textId="77777777" w:rsidR="005A75CA" w:rsidRPr="00C56FC5" w:rsidRDefault="00E96B90" w:rsidP="00D7204E">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t>“</w:t>
      </w:r>
      <w:r w:rsidRPr="00C56FC5">
        <w:rPr>
          <w:rFonts w:ascii="Palatino Linotype" w:eastAsia="Palatino Linotype" w:hAnsi="Palatino Linotype" w:cs="Palatino Linotype"/>
          <w:b/>
          <w:i/>
          <w:sz w:val="22"/>
          <w:szCs w:val="22"/>
        </w:rPr>
        <w:t>Artículo 4</w:t>
      </w:r>
      <w:r w:rsidRPr="00C56FC5">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1BA8397F" w14:textId="77777777" w:rsidR="005A75CA" w:rsidRPr="00C56FC5" w:rsidRDefault="00E96B90" w:rsidP="00D7204E">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C56FC5">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1FB271AA" w14:textId="77777777" w:rsidR="005A75CA" w:rsidRPr="00C56FC5" w:rsidRDefault="00E96B90" w:rsidP="00D7204E">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r w:rsidRPr="00C56FC5">
        <w:rPr>
          <w:rFonts w:ascii="Palatino Linotype" w:eastAsia="Palatino Linotype" w:hAnsi="Palatino Linotype" w:cs="Palatino Linotype"/>
          <w:i/>
          <w:sz w:val="22"/>
          <w:szCs w:val="22"/>
        </w:rPr>
        <w:t>.”</w:t>
      </w:r>
    </w:p>
    <w:p w14:paraId="1BBF46E6" w14:textId="77777777" w:rsidR="005A75CA" w:rsidRPr="00C56FC5" w:rsidRDefault="00E96B90" w:rsidP="00D7204E">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140FAB9E" w14:textId="77777777" w:rsidR="005A75CA" w:rsidRPr="00C56FC5" w:rsidRDefault="00E96B90" w:rsidP="00D7204E">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“Artículo 12.-</w:t>
      </w:r>
      <w:r w:rsidRPr="00C56FC5">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38377982" w14:textId="77777777" w:rsidR="005A75CA" w:rsidRPr="00C56FC5" w:rsidRDefault="00E96B90" w:rsidP="00D7204E">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C56FC5">
        <w:rPr>
          <w:rFonts w:ascii="Palatino Linotype" w:eastAsia="Palatino Linotype" w:hAnsi="Palatino Linotype" w:cs="Palatino Linotype"/>
          <w:i/>
          <w:sz w:val="22"/>
          <w:szCs w:val="22"/>
        </w:rPr>
        <w:t xml:space="preserve">. </w:t>
      </w:r>
      <w:r w:rsidRPr="00C56FC5">
        <w:rPr>
          <w:rFonts w:ascii="Palatino Linotype" w:eastAsia="Palatino Linotype" w:hAnsi="Palatino Linotype" w:cs="Palatino Linotype"/>
          <w:b/>
          <w:i/>
          <w:sz w:val="22"/>
          <w:szCs w:val="22"/>
        </w:rPr>
        <w:t xml:space="preserve">La obligación de proporcionar información no comprende el </w:t>
      </w:r>
      <w:r w:rsidRPr="00C56FC5">
        <w:rPr>
          <w:rFonts w:ascii="Palatino Linotype" w:eastAsia="Palatino Linotype" w:hAnsi="Palatino Linotype" w:cs="Palatino Linotype"/>
          <w:b/>
          <w:i/>
          <w:sz w:val="22"/>
          <w:szCs w:val="22"/>
        </w:rPr>
        <w:lastRenderedPageBreak/>
        <w:t>procesamiento de la misma, ni el presentarla conforme al interés del solicitante; no estarán obligados a generarla, resumirla, efectuar cálculos o practicar investigaciones.”</w:t>
      </w:r>
    </w:p>
    <w:p w14:paraId="433D310A" w14:textId="77777777" w:rsidR="005A75CA" w:rsidRPr="00C56FC5" w:rsidRDefault="00E96B90" w:rsidP="00D7204E">
      <w:pPr>
        <w:spacing w:before="240" w:after="240" w:line="360" w:lineRule="auto"/>
        <w:ind w:right="-93"/>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sólo se concretaran a proporcionar la información solicitada que tengan en su poder en el estado que se encuentran, sin necesidad de concretarse al interés o términos específicos del solicitante.</w:t>
      </w:r>
    </w:p>
    <w:p w14:paraId="1D8F2B0B" w14:textId="77777777" w:rsidR="005A75CA" w:rsidRPr="00C56FC5" w:rsidRDefault="00E96B90" w:rsidP="00D7204E">
      <w:pPr>
        <w:spacing w:before="240" w:after="240" w:line="360" w:lineRule="auto"/>
        <w:jc w:val="both"/>
        <w:rPr>
          <w:rFonts w:ascii="Palatino Linotype" w:eastAsia="Palatino Linotype" w:hAnsi="Palatino Linotype" w:cs="Palatino Linotype"/>
          <w:b/>
          <w:sz w:val="22"/>
          <w:szCs w:val="22"/>
        </w:rPr>
      </w:pPr>
      <w:r w:rsidRPr="00C56FC5">
        <w:rPr>
          <w:rFonts w:ascii="Palatino Linotype" w:eastAsia="Palatino Linotype" w:hAnsi="Palatino Linotype" w:cs="Palatino Linotype"/>
          <w:sz w:val="22"/>
          <w:szCs w:val="22"/>
        </w:rPr>
        <w:t>Sirve de apoyo a lo anterior, el criterio orientador con clave de control SO/003/2017, emitido por el entonces Instituto Nacional de Transparencia, Acceso a la Información y Protección de Datos Personales, que por rubro y texto, dispone lo siguiente:</w:t>
      </w:r>
      <w:r w:rsidRPr="00C56FC5">
        <w:rPr>
          <w:rFonts w:ascii="Palatino Linotype" w:eastAsia="Palatino Linotype" w:hAnsi="Palatino Linotype" w:cs="Palatino Linotype"/>
          <w:b/>
          <w:sz w:val="22"/>
          <w:szCs w:val="22"/>
        </w:rPr>
        <w:t xml:space="preserve"> </w:t>
      </w:r>
    </w:p>
    <w:p w14:paraId="187319BE" w14:textId="77777777" w:rsidR="005A75CA" w:rsidRPr="00C56FC5" w:rsidRDefault="00E96B90" w:rsidP="00D7204E">
      <w:pPr>
        <w:spacing w:before="120" w:after="120"/>
        <w:ind w:left="1134"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t xml:space="preserve"> “</w:t>
      </w:r>
      <w:r w:rsidRPr="00C56FC5">
        <w:rPr>
          <w:rFonts w:ascii="Palatino Linotype" w:eastAsia="Palatino Linotype" w:hAnsi="Palatino Linotype" w:cs="Palatino Linotype"/>
          <w:b/>
          <w:i/>
          <w:sz w:val="22"/>
          <w:szCs w:val="22"/>
        </w:rPr>
        <w:t>No existe obligación de elaborar documentos ad hoc para atender las solicitudes de acceso a la información.</w:t>
      </w:r>
      <w:r w:rsidRPr="00C56FC5">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12AF5236" w14:textId="77777777" w:rsidR="005A75CA" w:rsidRPr="00C56FC5" w:rsidRDefault="00E96B90" w:rsidP="00D7204E">
      <w:pPr>
        <w:spacing w:before="120" w:after="12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6AF1A054" w14:textId="77777777" w:rsidR="005A75CA" w:rsidRPr="00C56FC5" w:rsidRDefault="00E96B90" w:rsidP="00D7204E">
      <w:pPr>
        <w:spacing w:before="120" w:after="12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lastRenderedPageBreak/>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52A0B7FE" w14:textId="77777777" w:rsidR="005A75CA" w:rsidRPr="00C56FC5" w:rsidRDefault="00E96B90" w:rsidP="00E3627B">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t>“</w:t>
      </w:r>
      <w:r w:rsidRPr="00C56FC5">
        <w:rPr>
          <w:rFonts w:ascii="Palatino Linotype" w:eastAsia="Palatino Linotype" w:hAnsi="Palatino Linotype" w:cs="Palatino Linotype"/>
          <w:b/>
          <w:i/>
          <w:sz w:val="22"/>
          <w:szCs w:val="22"/>
        </w:rPr>
        <w:t xml:space="preserve">Artículo 3. </w:t>
      </w:r>
      <w:r w:rsidRPr="00C56FC5">
        <w:rPr>
          <w:rFonts w:ascii="Palatino Linotype" w:eastAsia="Palatino Linotype" w:hAnsi="Palatino Linotype" w:cs="Palatino Linotype"/>
          <w:i/>
          <w:sz w:val="22"/>
          <w:szCs w:val="22"/>
        </w:rPr>
        <w:t>Para los efectos de la presente Ley se entenderá por:</w:t>
      </w:r>
    </w:p>
    <w:p w14:paraId="7ABF6050" w14:textId="77777777" w:rsidR="005A75CA" w:rsidRPr="00C56FC5" w:rsidRDefault="00E96B90" w:rsidP="00E3627B">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t>…</w:t>
      </w:r>
    </w:p>
    <w:p w14:paraId="1ADEE37D" w14:textId="77777777" w:rsidR="005A75CA" w:rsidRPr="00C56FC5" w:rsidRDefault="00E96B90" w:rsidP="00E3627B">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XI. Documento:</w:t>
      </w:r>
      <w:r w:rsidRPr="00C56FC5">
        <w:rPr>
          <w:rFonts w:ascii="Palatino Linotype" w:eastAsia="Palatino Linotype" w:hAnsi="Palatino Linotype" w:cs="Palatino Linotype"/>
          <w:i/>
          <w:sz w:val="22"/>
          <w:szCs w:val="22"/>
        </w:rPr>
        <w:t xml:space="preserve"> Los expedientes, reportes, estudios, actas</w:t>
      </w:r>
      <w:r w:rsidRPr="00C56FC5">
        <w:rPr>
          <w:rFonts w:ascii="Palatino Linotype" w:eastAsia="Palatino Linotype" w:hAnsi="Palatino Linotype" w:cs="Palatino Linotype"/>
          <w:b/>
          <w:i/>
          <w:sz w:val="22"/>
          <w:szCs w:val="22"/>
        </w:rPr>
        <w:t>,</w:t>
      </w:r>
      <w:r w:rsidRPr="00C56FC5">
        <w:rPr>
          <w:rFonts w:ascii="Palatino Linotype" w:eastAsia="Palatino Linotype" w:hAnsi="Palatino Linotype" w:cs="Palatino Linotype"/>
          <w:i/>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73C9E0CA" w14:textId="77777777" w:rsidR="005A75CA" w:rsidRPr="00C56FC5" w:rsidRDefault="00E96B90" w:rsidP="00D7204E">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Es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22C18FEF" w14:textId="77777777" w:rsidR="005A75CA" w:rsidRPr="00C56FC5" w:rsidRDefault="00E96B90" w:rsidP="00E3627B">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sz w:val="22"/>
          <w:szCs w:val="22"/>
        </w:rPr>
        <w:t>“</w:t>
      </w:r>
      <w:r w:rsidRPr="00C56FC5">
        <w:rPr>
          <w:rFonts w:ascii="Palatino Linotype" w:eastAsia="Palatino Linotype" w:hAnsi="Palatino Linotype" w:cs="Palatino Linotype"/>
          <w:b/>
          <w:i/>
          <w:sz w:val="22"/>
          <w:szCs w:val="22"/>
        </w:rPr>
        <w:t>INFORMACIÓN PÚBLICA, CONCEPTO DE, EN MATERIA DE TRANSPARENCIA. INTERPRETACIÓN SISTEMÁTICA DE LOS ARTÍCULOS 2°, FRACCIÓN V, XV, Y XVI, 3°, 4°, 11 Y 41.</w:t>
      </w:r>
      <w:r w:rsidRPr="00C56FC5">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76BB82B0" w14:textId="77777777" w:rsidR="005A75CA" w:rsidRPr="00C56FC5" w:rsidRDefault="00E96B90" w:rsidP="00E3627B">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lastRenderedPageBreak/>
        <w:t>En consecuencia el acceso a la información se refiere a que se cumplan cualquiera de los siguientes tres supuestos:</w:t>
      </w:r>
    </w:p>
    <w:p w14:paraId="129182FD" w14:textId="77777777" w:rsidR="005A75CA" w:rsidRPr="00C56FC5" w:rsidRDefault="00E96B90" w:rsidP="00E3627B">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t>1) Que se trate de información registrada en cualquier soporte documental, que en ejercicio de las atribuciones conferidas, sea generada por los Sujetos Obligados;</w:t>
      </w:r>
    </w:p>
    <w:p w14:paraId="735AF0DC" w14:textId="77777777" w:rsidR="005A75CA" w:rsidRPr="00C56FC5" w:rsidRDefault="00E96B90" w:rsidP="00E3627B">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t>2) Que se trate de información registrada en cualquier soporte documental, que en ejercicio de las atribuciones conferidas, sea administrada por los Sujetos Obligados, y</w:t>
      </w:r>
    </w:p>
    <w:p w14:paraId="02D716AC" w14:textId="77777777" w:rsidR="005A75CA" w:rsidRPr="00C56FC5" w:rsidRDefault="00E96B90" w:rsidP="00E3627B">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t>3) Que se trate de información registrada en cualquier soporte documental, que en ejercicio de las atribuciones conferidas, se encuentre en posesión de los Sujetos Obligados.”</w:t>
      </w:r>
    </w:p>
    <w:p w14:paraId="108D6395" w14:textId="77777777" w:rsidR="005A75CA" w:rsidRPr="00C56FC5" w:rsidRDefault="00E96B90" w:rsidP="00D7204E">
      <w:pPr>
        <w:spacing w:before="240" w:after="240" w:line="360" w:lineRule="auto"/>
        <w:ind w:right="51"/>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Lo anterior, siempre y cuando no se trate de información clasificada como reservada o confidencial, cuya difusión pueda lesionar el interés jurídicamente protegido por la Ley, producir un daño mayor que el interés de conocerse, o bien, generar un daño en los derechos de las personas,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1B320D38" w14:textId="77777777" w:rsidR="005A75CA" w:rsidRPr="00C56FC5" w:rsidRDefault="00E96B90" w:rsidP="00D7204E">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En el mismo tenor, los artículos 6, apartado A, fracción I, de la Constitución Política de los Estados Unidos Mexicanos y 5, fracción I, de la Constitución Política del Estado Libre y Soberano de México, establecen que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las razones previstas </w:t>
      </w:r>
      <w:r w:rsidRPr="00C56FC5">
        <w:rPr>
          <w:rFonts w:ascii="Palatino Linotype" w:eastAsia="Palatino Linotype" w:hAnsi="Palatino Linotype" w:cs="Palatino Linotype"/>
          <w:sz w:val="22"/>
          <w:szCs w:val="22"/>
        </w:rPr>
        <w:lastRenderedPageBreak/>
        <w:t>en la Constitución Federal por interés público y seguridad, en los términos que fijen las leyes de la materia.</w:t>
      </w:r>
    </w:p>
    <w:p w14:paraId="6A31EFC3" w14:textId="22E4EC6D" w:rsidR="005A75CA" w:rsidRPr="00C56FC5" w:rsidRDefault="00E96B90" w:rsidP="00D7204E">
      <w:pPr>
        <w:spacing w:before="280" w:after="28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Acotado lo anterior, del análisis de las constancias que integran el expediente se concluye que los motivos de inconformidad vertidos por la parte </w:t>
      </w:r>
      <w:r w:rsidRPr="00C56FC5">
        <w:rPr>
          <w:rFonts w:ascii="Palatino Linotype" w:eastAsia="Palatino Linotype" w:hAnsi="Palatino Linotype" w:cs="Palatino Linotype"/>
          <w:b/>
          <w:sz w:val="22"/>
          <w:szCs w:val="22"/>
        </w:rPr>
        <w:t>Recurrente</w:t>
      </w:r>
      <w:r w:rsidRPr="00C56FC5">
        <w:rPr>
          <w:rFonts w:ascii="Palatino Linotype" w:eastAsia="Palatino Linotype" w:hAnsi="Palatino Linotype" w:cs="Palatino Linotype"/>
          <w:sz w:val="22"/>
          <w:szCs w:val="22"/>
        </w:rPr>
        <w:t xml:space="preserve"> resultan fundados, en virtud el </w:t>
      </w:r>
      <w:r w:rsidRPr="00C56FC5">
        <w:rPr>
          <w:rFonts w:ascii="Palatino Linotype" w:eastAsia="Palatino Linotype" w:hAnsi="Palatino Linotype" w:cs="Palatino Linotype"/>
          <w:b/>
          <w:sz w:val="22"/>
          <w:szCs w:val="22"/>
        </w:rPr>
        <w:t>Sujeto Obligado</w:t>
      </w:r>
      <w:r w:rsidRPr="00C56FC5">
        <w:rPr>
          <w:rFonts w:ascii="Palatino Linotype" w:eastAsia="Palatino Linotype" w:hAnsi="Palatino Linotype" w:cs="Palatino Linotype"/>
          <w:sz w:val="22"/>
          <w:szCs w:val="22"/>
        </w:rPr>
        <w:t xml:space="preserve"> omitió dar contestación a la solicitud de información, mediante la cual se requirió la siguiente información:</w:t>
      </w:r>
    </w:p>
    <w:p w14:paraId="46BA8A2B" w14:textId="77777777" w:rsidR="008234A4" w:rsidRPr="00C56FC5" w:rsidRDefault="008178BC" w:rsidP="008234A4">
      <w:pPr>
        <w:spacing w:before="120" w:after="120" w:line="360" w:lineRule="auto"/>
        <w:ind w:left="426" w:right="49"/>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1.</w:t>
      </w:r>
      <w:r w:rsidR="008234A4" w:rsidRPr="00C56FC5">
        <w:rPr>
          <w:rFonts w:ascii="Palatino Linotype" w:eastAsia="Palatino Linotype" w:hAnsi="Palatino Linotype" w:cs="Palatino Linotype"/>
          <w:sz w:val="22"/>
          <w:szCs w:val="22"/>
        </w:rPr>
        <w:t xml:space="preserve"> La nómina.</w:t>
      </w:r>
    </w:p>
    <w:p w14:paraId="644A901B" w14:textId="2A780D20" w:rsidR="008234A4" w:rsidRPr="00C56FC5" w:rsidRDefault="008234A4" w:rsidP="008234A4">
      <w:pPr>
        <w:spacing w:before="120" w:after="120" w:line="360" w:lineRule="auto"/>
        <w:ind w:left="426" w:right="49"/>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2. Cuántos trabajadores en general tiene la actual administración 2025-2027</w:t>
      </w:r>
      <w:r w:rsidR="00BC2781" w:rsidRPr="00C56FC5">
        <w:rPr>
          <w:rFonts w:ascii="Palatino Linotype" w:eastAsia="Palatino Linotype" w:hAnsi="Palatino Linotype" w:cs="Palatino Linotype"/>
          <w:sz w:val="22"/>
          <w:szCs w:val="22"/>
        </w:rPr>
        <w:t>.</w:t>
      </w:r>
      <w:r w:rsidRPr="00C56FC5">
        <w:rPr>
          <w:rFonts w:ascii="Palatino Linotype" w:eastAsia="Palatino Linotype" w:hAnsi="Palatino Linotype" w:cs="Palatino Linotype"/>
          <w:sz w:val="22"/>
          <w:szCs w:val="22"/>
        </w:rPr>
        <w:t xml:space="preserve"> </w:t>
      </w:r>
    </w:p>
    <w:p w14:paraId="76B6592E" w14:textId="3F0F96CE" w:rsidR="00201C05" w:rsidRPr="00C56FC5" w:rsidRDefault="008234A4" w:rsidP="008234A4">
      <w:pPr>
        <w:spacing w:before="120" w:after="120" w:line="360" w:lineRule="auto"/>
        <w:ind w:left="426" w:right="49"/>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3. De qué manera están distribuidos</w:t>
      </w:r>
      <w:r w:rsidR="00201C05" w:rsidRPr="00C56FC5">
        <w:rPr>
          <w:rFonts w:ascii="Palatino Linotype" w:eastAsia="Palatino Linotype" w:hAnsi="Palatino Linotype" w:cs="Palatino Linotype"/>
          <w:sz w:val="22"/>
          <w:szCs w:val="22"/>
        </w:rPr>
        <w:t xml:space="preserve"> los trabajadores que laboran en el P</w:t>
      </w:r>
      <w:r w:rsidRPr="00C56FC5">
        <w:rPr>
          <w:rFonts w:ascii="Palatino Linotype" w:eastAsia="Palatino Linotype" w:hAnsi="Palatino Linotype" w:cs="Palatino Linotype"/>
          <w:sz w:val="22"/>
          <w:szCs w:val="22"/>
        </w:rPr>
        <w:t>ala</w:t>
      </w:r>
      <w:r w:rsidR="00201C05" w:rsidRPr="00C56FC5">
        <w:rPr>
          <w:rFonts w:ascii="Palatino Linotype" w:eastAsia="Palatino Linotype" w:hAnsi="Palatino Linotype" w:cs="Palatino Linotype"/>
          <w:sz w:val="22"/>
          <w:szCs w:val="22"/>
        </w:rPr>
        <w:t>cio M</w:t>
      </w:r>
      <w:r w:rsidRPr="00C56FC5">
        <w:rPr>
          <w:rFonts w:ascii="Palatino Linotype" w:eastAsia="Palatino Linotype" w:hAnsi="Palatino Linotype" w:cs="Palatino Linotype"/>
          <w:sz w:val="22"/>
          <w:szCs w:val="22"/>
        </w:rPr>
        <w:t>unicipal</w:t>
      </w:r>
      <w:r w:rsidR="00201C05" w:rsidRPr="00C56FC5">
        <w:rPr>
          <w:rFonts w:ascii="Palatino Linotype" w:eastAsia="Palatino Linotype" w:hAnsi="Palatino Linotype" w:cs="Palatino Linotype"/>
          <w:sz w:val="22"/>
          <w:szCs w:val="22"/>
        </w:rPr>
        <w:t xml:space="preserve"> y por</w:t>
      </w:r>
      <w:r w:rsidR="00984D39" w:rsidRPr="00C56FC5">
        <w:rPr>
          <w:rFonts w:ascii="Palatino Linotype" w:eastAsia="Palatino Linotype" w:hAnsi="Palatino Linotype" w:cs="Palatino Linotype"/>
          <w:sz w:val="22"/>
          <w:szCs w:val="22"/>
        </w:rPr>
        <w:t xml:space="preserve"> </w:t>
      </w:r>
      <w:r w:rsidR="00201C05" w:rsidRPr="00C56FC5">
        <w:rPr>
          <w:rFonts w:ascii="Palatino Linotype" w:eastAsia="Palatino Linotype" w:hAnsi="Palatino Linotype" w:cs="Palatino Linotype"/>
          <w:sz w:val="22"/>
          <w:szCs w:val="22"/>
        </w:rPr>
        <w:t>qué.</w:t>
      </w:r>
    </w:p>
    <w:p w14:paraId="5F2F1327" w14:textId="77777777" w:rsidR="00201C05" w:rsidRPr="00C56FC5" w:rsidRDefault="00201C05" w:rsidP="008234A4">
      <w:pPr>
        <w:spacing w:before="120" w:after="120" w:line="360" w:lineRule="auto"/>
        <w:ind w:left="426" w:right="49"/>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4. Cuantos trabajadores tienen las prestaciones de Ley.</w:t>
      </w:r>
    </w:p>
    <w:p w14:paraId="1C7B91DD" w14:textId="77777777" w:rsidR="00201C05" w:rsidRPr="00C56FC5" w:rsidRDefault="00201C05" w:rsidP="008234A4">
      <w:pPr>
        <w:spacing w:before="120" w:after="120" w:line="360" w:lineRule="auto"/>
        <w:ind w:left="426" w:right="49"/>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5.  Por qué se obliga a los trabajadores y quien los  manda a que realicen alguna acción diferente a la que tienen encomendada sin protección.</w:t>
      </w:r>
    </w:p>
    <w:p w14:paraId="4B670F2F" w14:textId="5E317558" w:rsidR="00201C05" w:rsidRPr="00C56FC5" w:rsidRDefault="00201C05" w:rsidP="008234A4">
      <w:pPr>
        <w:spacing w:before="120" w:after="120" w:line="360" w:lineRule="auto"/>
        <w:ind w:left="426" w:right="49"/>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6. Indique si todos los trabajadores tienen atención médica y cual, por cualquier eventualidad que llegara  a pasar.</w:t>
      </w:r>
    </w:p>
    <w:p w14:paraId="3A40E60D" w14:textId="77777777" w:rsidR="006B18ED" w:rsidRPr="00C56FC5" w:rsidRDefault="001749F1" w:rsidP="00C410B3">
      <w:pPr>
        <w:tabs>
          <w:tab w:val="left" w:pos="709"/>
        </w:tabs>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Es necesario mencionar que en ejercicio de la facultad conferida en el artículo 159 primer párrafo de la Ley de Transparencia y Acceso a la Información Pública del Estado de México, el </w:t>
      </w:r>
      <w:r w:rsidRPr="00C56FC5">
        <w:rPr>
          <w:rFonts w:ascii="Palatino Linotype" w:eastAsia="Palatino Linotype" w:hAnsi="Palatino Linotype" w:cs="Palatino Linotype"/>
          <w:b/>
          <w:sz w:val="22"/>
          <w:szCs w:val="22"/>
        </w:rPr>
        <w:t>Sujeto Obligado</w:t>
      </w:r>
      <w:r w:rsidRPr="00C56FC5">
        <w:rPr>
          <w:rFonts w:ascii="Palatino Linotype" w:eastAsia="Palatino Linotype" w:hAnsi="Palatino Linotype" w:cs="Palatino Linotype"/>
          <w:sz w:val="22"/>
          <w:szCs w:val="22"/>
        </w:rPr>
        <w:t xml:space="preserve"> a través de la</w:t>
      </w:r>
      <w:r w:rsidR="00950232" w:rsidRPr="00C56FC5">
        <w:rPr>
          <w:rFonts w:ascii="Palatino Linotype" w:eastAsia="Palatino Linotype" w:hAnsi="Palatino Linotype" w:cs="Palatino Linotype"/>
          <w:sz w:val="22"/>
          <w:szCs w:val="22"/>
        </w:rPr>
        <w:t xml:space="preserve"> persona</w:t>
      </w:r>
      <w:r w:rsidRPr="00C56FC5">
        <w:rPr>
          <w:rFonts w:ascii="Palatino Linotype" w:eastAsia="Palatino Linotype" w:hAnsi="Palatino Linotype" w:cs="Palatino Linotype"/>
          <w:sz w:val="22"/>
          <w:szCs w:val="22"/>
        </w:rPr>
        <w:t xml:space="preserve"> </w:t>
      </w:r>
      <w:r w:rsidR="00950232" w:rsidRPr="00C56FC5">
        <w:rPr>
          <w:rFonts w:ascii="Palatino Linotype" w:eastAsia="Palatino Linotype" w:hAnsi="Palatino Linotype" w:cs="Palatino Linotype"/>
          <w:sz w:val="22"/>
          <w:szCs w:val="22"/>
        </w:rPr>
        <w:t>t</w:t>
      </w:r>
      <w:r w:rsidRPr="00C56FC5">
        <w:rPr>
          <w:rFonts w:ascii="Palatino Linotype" w:eastAsia="Palatino Linotype" w:hAnsi="Palatino Linotype" w:cs="Palatino Linotype"/>
          <w:sz w:val="22"/>
          <w:szCs w:val="22"/>
        </w:rPr>
        <w:t xml:space="preserve">itular de la Unidad de Transparencia, requirió a la persona solicitante al </w:t>
      </w:r>
      <w:r w:rsidR="00444FB1" w:rsidRPr="00C56FC5">
        <w:rPr>
          <w:rFonts w:ascii="Palatino Linotype" w:eastAsia="Palatino Linotype" w:hAnsi="Palatino Linotype" w:cs="Palatino Linotype"/>
          <w:sz w:val="22"/>
          <w:szCs w:val="22"/>
        </w:rPr>
        <w:t xml:space="preserve">tercer </w:t>
      </w:r>
      <w:r w:rsidRPr="00C56FC5">
        <w:rPr>
          <w:rFonts w:ascii="Palatino Linotype" w:eastAsia="Palatino Linotype" w:hAnsi="Palatino Linotype" w:cs="Palatino Linotype"/>
          <w:sz w:val="22"/>
          <w:szCs w:val="22"/>
        </w:rPr>
        <w:t xml:space="preserve">día hábil posterior a la presentación de la solicitud, a efecto de que, dentro de los diez días hábiles siguientes, </w:t>
      </w:r>
      <w:r w:rsidR="00950232" w:rsidRPr="00C56FC5">
        <w:rPr>
          <w:rFonts w:ascii="Palatino Linotype" w:eastAsia="Palatino Linotype" w:hAnsi="Palatino Linotype" w:cs="Palatino Linotype"/>
          <w:sz w:val="22"/>
          <w:szCs w:val="22"/>
        </w:rPr>
        <w:t>precisara o especificara la información a la cual pretende acceder</w:t>
      </w:r>
      <w:r w:rsidR="00444FB1" w:rsidRPr="00C56FC5">
        <w:rPr>
          <w:rFonts w:ascii="Palatino Linotype" w:eastAsia="Palatino Linotype" w:hAnsi="Palatino Linotype" w:cs="Palatino Linotype"/>
          <w:sz w:val="22"/>
          <w:szCs w:val="22"/>
        </w:rPr>
        <w:t xml:space="preserve"> manifestando que esta no era</w:t>
      </w:r>
      <w:r w:rsidR="006B18ED" w:rsidRPr="00C56FC5">
        <w:rPr>
          <w:rFonts w:ascii="Palatino Linotype" w:eastAsia="Palatino Linotype" w:hAnsi="Palatino Linotype" w:cs="Palatino Linotype"/>
          <w:sz w:val="22"/>
          <w:szCs w:val="22"/>
        </w:rPr>
        <w:t xml:space="preserve"> completamente</w:t>
      </w:r>
      <w:r w:rsidR="00444FB1" w:rsidRPr="00C56FC5">
        <w:rPr>
          <w:rFonts w:ascii="Palatino Linotype" w:eastAsia="Palatino Linotype" w:hAnsi="Palatino Linotype" w:cs="Palatino Linotype"/>
          <w:sz w:val="22"/>
          <w:szCs w:val="22"/>
        </w:rPr>
        <w:t xml:space="preserve"> clara, </w:t>
      </w:r>
      <w:r w:rsidR="006B18ED" w:rsidRPr="00C56FC5">
        <w:rPr>
          <w:rFonts w:ascii="Palatino Linotype" w:eastAsia="Palatino Linotype" w:hAnsi="Palatino Linotype" w:cs="Palatino Linotype"/>
          <w:sz w:val="22"/>
          <w:szCs w:val="22"/>
        </w:rPr>
        <w:t>siendo necesario saber el número de nómina que requiere así como los documentos que requiere revisar.</w:t>
      </w:r>
    </w:p>
    <w:p w14:paraId="13EF399E" w14:textId="66C65E75" w:rsidR="00D26C1D" w:rsidRPr="00C56FC5" w:rsidRDefault="00F115B4" w:rsidP="00C410B3">
      <w:pPr>
        <w:tabs>
          <w:tab w:val="left" w:pos="709"/>
        </w:tabs>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lastRenderedPageBreak/>
        <w:t>Asimismo, se apercibió a la persona solicitante que</w:t>
      </w:r>
      <w:r w:rsidR="00D26C1D" w:rsidRPr="00C56FC5">
        <w:rPr>
          <w:rFonts w:ascii="Palatino Linotype" w:eastAsia="Palatino Linotype" w:hAnsi="Palatino Linotype" w:cs="Palatino Linotype"/>
          <w:sz w:val="22"/>
          <w:szCs w:val="22"/>
        </w:rPr>
        <w:t>,</w:t>
      </w:r>
      <w:r w:rsidRPr="00C56FC5">
        <w:rPr>
          <w:rFonts w:ascii="Palatino Linotype" w:eastAsia="Palatino Linotype" w:hAnsi="Palatino Linotype" w:cs="Palatino Linotype"/>
          <w:sz w:val="22"/>
          <w:szCs w:val="22"/>
        </w:rPr>
        <w:t xml:space="preserve"> en caso de no </w:t>
      </w:r>
      <w:r w:rsidR="00D26C1D" w:rsidRPr="00C56FC5">
        <w:rPr>
          <w:rFonts w:ascii="Palatino Linotype" w:eastAsia="Palatino Linotype" w:hAnsi="Palatino Linotype" w:cs="Palatino Linotype"/>
          <w:sz w:val="22"/>
          <w:szCs w:val="22"/>
        </w:rPr>
        <w:t>atender</w:t>
      </w:r>
      <w:r w:rsidRPr="00C56FC5">
        <w:rPr>
          <w:rFonts w:ascii="Palatino Linotype" w:eastAsia="Palatino Linotype" w:hAnsi="Palatino Linotype" w:cs="Palatino Linotype"/>
          <w:sz w:val="22"/>
          <w:szCs w:val="22"/>
        </w:rPr>
        <w:t xml:space="preserve"> el requerimiento de información</w:t>
      </w:r>
      <w:r w:rsidR="00D26C1D" w:rsidRPr="00C56FC5">
        <w:rPr>
          <w:rFonts w:ascii="Palatino Linotype" w:eastAsia="Palatino Linotype" w:hAnsi="Palatino Linotype" w:cs="Palatino Linotype"/>
          <w:sz w:val="22"/>
          <w:szCs w:val="22"/>
        </w:rPr>
        <w:t xml:space="preserve"> adicional</w:t>
      </w:r>
      <w:r w:rsidR="00FF6D8D" w:rsidRPr="00C56FC5">
        <w:rPr>
          <w:rFonts w:ascii="Palatino Linotype" w:eastAsia="Palatino Linotype" w:hAnsi="Palatino Linotype" w:cs="Palatino Linotype"/>
          <w:sz w:val="22"/>
          <w:szCs w:val="22"/>
        </w:rPr>
        <w:t xml:space="preserve"> dentro de los diez días hábiles siguientes a la </w:t>
      </w:r>
      <w:r w:rsidR="00D26C1D" w:rsidRPr="00C56FC5">
        <w:rPr>
          <w:rFonts w:ascii="Palatino Linotype" w:eastAsia="Palatino Linotype" w:hAnsi="Palatino Linotype" w:cs="Palatino Linotype"/>
          <w:sz w:val="22"/>
          <w:szCs w:val="22"/>
        </w:rPr>
        <w:t>notificación del requerimiento, la solicitud se tendía por no presentada de conformidad con el párrafo tercero del artículo 159 de la Ley de Transparencia y Acceso a la Información Pública del Estado de México y Municipios.</w:t>
      </w:r>
    </w:p>
    <w:p w14:paraId="63229142" w14:textId="423EDE5A" w:rsidR="006B18ED" w:rsidRPr="00C56FC5" w:rsidRDefault="00D26C1D" w:rsidP="00D26C1D">
      <w:pPr>
        <w:tabs>
          <w:tab w:val="left" w:pos="709"/>
        </w:tabs>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En este tenor, una vez transcurrido el plazo señalado,</w:t>
      </w:r>
      <w:r w:rsidR="006B18ED" w:rsidRPr="00C56FC5">
        <w:rPr>
          <w:rFonts w:ascii="Palatino Linotype" w:eastAsia="Palatino Linotype" w:hAnsi="Palatino Linotype" w:cs="Palatino Linotype"/>
          <w:sz w:val="22"/>
          <w:szCs w:val="22"/>
        </w:rPr>
        <w:t xml:space="preserve"> la persona solicitante no desahogó el requerimiento de información adicional, y posteriormente </w:t>
      </w:r>
      <w:r w:rsidR="00FA477F" w:rsidRPr="00C56FC5">
        <w:rPr>
          <w:rFonts w:ascii="Palatino Linotype" w:eastAsia="Palatino Linotype" w:hAnsi="Palatino Linotype" w:cs="Palatino Linotype"/>
          <w:sz w:val="22"/>
          <w:szCs w:val="22"/>
        </w:rPr>
        <w:t xml:space="preserve">ante la falta de respuesta del </w:t>
      </w:r>
      <w:r w:rsidR="00FA477F" w:rsidRPr="00C56FC5">
        <w:rPr>
          <w:rFonts w:ascii="Palatino Linotype" w:eastAsia="Palatino Linotype" w:hAnsi="Palatino Linotype" w:cs="Palatino Linotype"/>
          <w:b/>
          <w:sz w:val="22"/>
          <w:szCs w:val="22"/>
        </w:rPr>
        <w:t xml:space="preserve">Sujeto Obligado, </w:t>
      </w:r>
      <w:r w:rsidR="00FA477F" w:rsidRPr="00C56FC5">
        <w:rPr>
          <w:rFonts w:ascii="Palatino Linotype" w:eastAsia="Palatino Linotype" w:hAnsi="Palatino Linotype" w:cs="Palatino Linotype"/>
          <w:sz w:val="22"/>
          <w:szCs w:val="22"/>
        </w:rPr>
        <w:t xml:space="preserve"> en el plazo establecido en el artículo 16</w:t>
      </w:r>
      <w:r w:rsidR="00FA477F" w:rsidRPr="00C56FC5">
        <w:rPr>
          <w:rFonts w:ascii="Palatino Linotype" w:eastAsia="Palatino Linotype" w:hAnsi="Palatino Linotype" w:cs="Palatino Linotype"/>
          <w:b/>
          <w:sz w:val="22"/>
          <w:szCs w:val="22"/>
        </w:rPr>
        <w:t xml:space="preserve">3 </w:t>
      </w:r>
      <w:r w:rsidR="00FA477F" w:rsidRPr="00C56FC5">
        <w:rPr>
          <w:rFonts w:ascii="Palatino Linotype" w:eastAsia="Palatino Linotype" w:hAnsi="Palatino Linotype" w:cs="Palatino Linotype"/>
          <w:sz w:val="22"/>
          <w:szCs w:val="22"/>
        </w:rPr>
        <w:t xml:space="preserve">de la Ley de Transparencia y Acceso a la Información Pública del Estado de México y Municipios, interpuso el recurso de revisión que nos ocupa, </w:t>
      </w:r>
      <w:r w:rsidR="00D7320D" w:rsidRPr="00C56FC5">
        <w:rPr>
          <w:rFonts w:ascii="Palatino Linotype" w:eastAsia="Palatino Linotype" w:hAnsi="Palatino Linotype" w:cs="Palatino Linotype"/>
          <w:sz w:val="22"/>
          <w:szCs w:val="22"/>
        </w:rPr>
        <w:t xml:space="preserve">donde señaló como motivo de inconformidad que </w:t>
      </w:r>
      <w:r w:rsidR="008D218C" w:rsidRPr="00C56FC5">
        <w:rPr>
          <w:rFonts w:ascii="Palatino Linotype" w:eastAsia="Palatino Linotype" w:hAnsi="Palatino Linotype" w:cs="Palatino Linotype"/>
          <w:sz w:val="22"/>
          <w:szCs w:val="22"/>
        </w:rPr>
        <w:t xml:space="preserve">se fue especifico en lo solicitado, </w:t>
      </w:r>
      <w:r w:rsidR="003B297E" w:rsidRPr="00C56FC5">
        <w:rPr>
          <w:rFonts w:ascii="Palatino Linotype" w:eastAsia="Palatino Linotype" w:hAnsi="Palatino Linotype" w:cs="Palatino Linotype"/>
          <w:sz w:val="22"/>
          <w:szCs w:val="22"/>
        </w:rPr>
        <w:t>sin embargo,</w:t>
      </w:r>
      <w:r w:rsidR="00230FAB" w:rsidRPr="00C56FC5">
        <w:rPr>
          <w:rFonts w:ascii="Palatino Linotype" w:eastAsia="Palatino Linotype" w:hAnsi="Palatino Linotype" w:cs="Palatino Linotype"/>
          <w:sz w:val="22"/>
          <w:szCs w:val="22"/>
        </w:rPr>
        <w:t xml:space="preserve"> que</w:t>
      </w:r>
      <w:r w:rsidR="003B297E" w:rsidRPr="00C56FC5">
        <w:rPr>
          <w:rFonts w:ascii="Palatino Linotype" w:eastAsia="Palatino Linotype" w:hAnsi="Palatino Linotype" w:cs="Palatino Linotype"/>
          <w:sz w:val="22"/>
          <w:szCs w:val="22"/>
        </w:rPr>
        <w:t xml:space="preserve"> la titular de la Unidad de Transparencia</w:t>
      </w:r>
      <w:r w:rsidR="00230FAB" w:rsidRPr="00C56FC5">
        <w:rPr>
          <w:rFonts w:ascii="Palatino Linotype" w:eastAsia="Palatino Linotype" w:hAnsi="Palatino Linotype" w:cs="Palatino Linotype"/>
          <w:sz w:val="22"/>
          <w:szCs w:val="22"/>
        </w:rPr>
        <w:t xml:space="preserve"> argumentó una serie de situaciones que se pueden considerar con dolo y ganar tiempo para no proporcionar lo solicitado</w:t>
      </w:r>
      <w:r w:rsidR="005E65B8" w:rsidRPr="00C56FC5">
        <w:rPr>
          <w:rFonts w:ascii="Palatino Linotype" w:eastAsia="Palatino Linotype" w:hAnsi="Palatino Linotype" w:cs="Palatino Linotype"/>
          <w:sz w:val="22"/>
          <w:szCs w:val="22"/>
        </w:rPr>
        <w:t xml:space="preserve">. </w:t>
      </w:r>
    </w:p>
    <w:p w14:paraId="5AE41A95" w14:textId="77777777" w:rsidR="00E21E72" w:rsidRPr="00C56FC5" w:rsidRDefault="00E21E72" w:rsidP="00E21E72">
      <w:pPr>
        <w:spacing w:before="240" w:after="240" w:line="360" w:lineRule="auto"/>
        <w:ind w:right="49"/>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En la etapa de manifestaciones el </w:t>
      </w:r>
      <w:r w:rsidRPr="00C56FC5">
        <w:rPr>
          <w:rFonts w:ascii="Palatino Linotype" w:eastAsia="Palatino Linotype" w:hAnsi="Palatino Linotype" w:cs="Palatino Linotype"/>
          <w:b/>
          <w:sz w:val="22"/>
          <w:szCs w:val="22"/>
        </w:rPr>
        <w:t xml:space="preserve">Sujeto Obligado </w:t>
      </w:r>
      <w:r w:rsidRPr="00C56FC5">
        <w:rPr>
          <w:rFonts w:ascii="Palatino Linotype" w:eastAsia="Palatino Linotype" w:hAnsi="Palatino Linotype" w:cs="Palatino Linotype"/>
          <w:sz w:val="22"/>
          <w:szCs w:val="22"/>
        </w:rPr>
        <w:t xml:space="preserve">fue omiso en rendir su informe justificado, y la parte </w:t>
      </w:r>
      <w:r w:rsidRPr="00C56FC5">
        <w:rPr>
          <w:rFonts w:ascii="Palatino Linotype" w:eastAsia="Palatino Linotype" w:hAnsi="Palatino Linotype" w:cs="Palatino Linotype"/>
          <w:b/>
          <w:sz w:val="22"/>
          <w:szCs w:val="22"/>
        </w:rPr>
        <w:t xml:space="preserve">Recurrente </w:t>
      </w:r>
      <w:r w:rsidRPr="00C56FC5">
        <w:rPr>
          <w:rFonts w:ascii="Palatino Linotype" w:eastAsia="Palatino Linotype" w:hAnsi="Palatino Linotype" w:cs="Palatino Linotype"/>
          <w:sz w:val="22"/>
          <w:szCs w:val="22"/>
        </w:rPr>
        <w:t>fue omisa en hacer valer manifestaciones o rendir alegatos que conforme a derecho resultaran procedentes, por lo tanto, se tiene por precluido su derecho.</w:t>
      </w:r>
    </w:p>
    <w:p w14:paraId="4F1D83C6" w14:textId="3A917849" w:rsidR="001749F1" w:rsidRPr="00C56FC5" w:rsidRDefault="00845220" w:rsidP="00551F74">
      <w:pPr>
        <w:spacing w:before="240" w:after="240" w:line="360" w:lineRule="auto"/>
        <w:ind w:right="49"/>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Una vez precisado lo anterior,</w:t>
      </w:r>
      <w:r w:rsidR="00B07DA0" w:rsidRPr="00C56FC5">
        <w:rPr>
          <w:rFonts w:ascii="Palatino Linotype" w:eastAsia="Palatino Linotype" w:hAnsi="Palatino Linotype" w:cs="Palatino Linotype"/>
          <w:sz w:val="22"/>
          <w:szCs w:val="22"/>
        </w:rPr>
        <w:t xml:space="preserve"> en primer lugar se menciona que a través de una interpretación equívoca de un precepto legal, el </w:t>
      </w:r>
      <w:r w:rsidR="00B07DA0" w:rsidRPr="00C56FC5">
        <w:rPr>
          <w:rFonts w:ascii="Palatino Linotype" w:eastAsia="Palatino Linotype" w:hAnsi="Palatino Linotype" w:cs="Palatino Linotype"/>
          <w:b/>
          <w:sz w:val="22"/>
          <w:szCs w:val="22"/>
        </w:rPr>
        <w:t>Sujeto Obligado</w:t>
      </w:r>
      <w:r w:rsidR="00B07DA0" w:rsidRPr="00C56FC5">
        <w:rPr>
          <w:rFonts w:ascii="Palatino Linotype" w:eastAsia="Palatino Linotype" w:hAnsi="Palatino Linotype" w:cs="Palatino Linotype"/>
          <w:sz w:val="22"/>
          <w:szCs w:val="22"/>
        </w:rPr>
        <w:t xml:space="preserve"> justificó la negativa de la información que le fue solicitada,  vulnerando así </w:t>
      </w:r>
      <w:r w:rsidR="001749F1" w:rsidRPr="00C56FC5">
        <w:rPr>
          <w:rFonts w:ascii="Palatino Linotype" w:eastAsia="Palatino Linotype" w:hAnsi="Palatino Linotype" w:cs="Palatino Linotype"/>
          <w:sz w:val="22"/>
          <w:szCs w:val="22"/>
        </w:rPr>
        <w:t>el derecho humano de acceso a la información pública accio</w:t>
      </w:r>
      <w:r w:rsidR="00B07DA0" w:rsidRPr="00C56FC5">
        <w:rPr>
          <w:rFonts w:ascii="Palatino Linotype" w:eastAsia="Palatino Linotype" w:hAnsi="Palatino Linotype" w:cs="Palatino Linotype"/>
          <w:sz w:val="22"/>
          <w:szCs w:val="22"/>
        </w:rPr>
        <w:t>nado por la persona solicitante.</w:t>
      </w:r>
    </w:p>
    <w:p w14:paraId="3A55192C" w14:textId="77777777" w:rsidR="001749F1" w:rsidRPr="00C56FC5" w:rsidRDefault="001749F1" w:rsidP="001749F1">
      <w:pPr>
        <w:spacing w:before="240" w:after="240" w:line="372"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A efecto de sustentar dicho argumento, se menciona que efectivamente, la Ley de la Materia confiere a los Sujetos Obligados la potestad de que, por una sola vez, requieran a los solicitantes para que proporcionen datos adicionales que les permitan localizar la </w:t>
      </w:r>
      <w:r w:rsidRPr="00C56FC5">
        <w:rPr>
          <w:rFonts w:ascii="Palatino Linotype" w:eastAsia="Palatino Linotype" w:hAnsi="Palatino Linotype" w:cs="Palatino Linotype"/>
          <w:sz w:val="22"/>
          <w:szCs w:val="22"/>
        </w:rPr>
        <w:lastRenderedPageBreak/>
        <w:t>información a la que desean acceder, dentro de los cinco días posteriores a la recepción de la solicitud.</w:t>
      </w:r>
    </w:p>
    <w:p w14:paraId="6DB38972" w14:textId="77777777" w:rsidR="001749F1" w:rsidRPr="00C56FC5" w:rsidRDefault="001749F1" w:rsidP="001749F1">
      <w:pPr>
        <w:spacing w:before="240" w:after="240" w:line="372"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Asimismo, para aplicar dicha facultad, debe actualizarse el supuesto jurídico que consiste en que los términos de la solicitud sean vagos, que los datos proporcionados sean insuficientes o incompletos, impidiendo a los Sujetos Obligados tener certeza de que información deben ubicar y entregar.</w:t>
      </w:r>
    </w:p>
    <w:p w14:paraId="6858007A" w14:textId="46489E2F" w:rsidR="00B07DA0" w:rsidRPr="00C56FC5" w:rsidRDefault="001749F1" w:rsidP="001749F1">
      <w:pPr>
        <w:spacing w:before="240" w:after="240" w:line="372" w:lineRule="auto"/>
        <w:jc w:val="both"/>
        <w:rPr>
          <w:rFonts w:ascii="Palatino Linotype" w:eastAsia="Palatino Linotype" w:hAnsi="Palatino Linotype" w:cs="Palatino Linotype"/>
          <w:b/>
          <w:bCs/>
          <w:sz w:val="22"/>
          <w:szCs w:val="22"/>
          <w:u w:val="single"/>
        </w:rPr>
      </w:pPr>
      <w:r w:rsidRPr="00C56FC5">
        <w:rPr>
          <w:rFonts w:ascii="Palatino Linotype" w:eastAsia="Palatino Linotype" w:hAnsi="Palatino Linotype" w:cs="Palatino Linotype"/>
          <w:sz w:val="22"/>
          <w:szCs w:val="22"/>
        </w:rPr>
        <w:t xml:space="preserve">Así, es que a consideración de este Organismo Garante el </w:t>
      </w:r>
      <w:r w:rsidRPr="00C56FC5">
        <w:rPr>
          <w:rFonts w:ascii="Palatino Linotype" w:eastAsia="Palatino Linotype" w:hAnsi="Palatino Linotype" w:cs="Palatino Linotype"/>
          <w:b/>
          <w:sz w:val="22"/>
          <w:szCs w:val="22"/>
        </w:rPr>
        <w:t>Sujeto Obligado hizo un uso excesivo del requerimiento de aclaración</w:t>
      </w:r>
      <w:r w:rsidRPr="00C56FC5">
        <w:rPr>
          <w:rFonts w:ascii="Palatino Linotype" w:eastAsia="Palatino Linotype" w:hAnsi="Palatino Linotype" w:cs="Palatino Linotype"/>
          <w:sz w:val="22"/>
          <w:szCs w:val="22"/>
        </w:rPr>
        <w:t>, pues si bien el requerimiento se encuentra dentro del plazo legal establecido, no pasa inadvertido que</w:t>
      </w:r>
      <w:r w:rsidR="00697A8E" w:rsidRPr="00C56FC5">
        <w:rPr>
          <w:rFonts w:ascii="Palatino Linotype" w:eastAsia="Palatino Linotype" w:hAnsi="Palatino Linotype" w:cs="Palatino Linotype"/>
          <w:sz w:val="22"/>
          <w:szCs w:val="22"/>
        </w:rPr>
        <w:t xml:space="preserve"> en la solicitud inicial se aprecien elementos que permitan identificar la información requerida, siendo esta la relativa </w:t>
      </w:r>
      <w:r w:rsidR="00B07DA0" w:rsidRPr="00C56FC5">
        <w:rPr>
          <w:rFonts w:ascii="Palatino Linotype" w:eastAsia="Palatino Linotype" w:hAnsi="Palatino Linotype" w:cs="Palatino Linotype"/>
          <w:b/>
          <w:bCs/>
          <w:sz w:val="22"/>
          <w:szCs w:val="22"/>
          <w:u w:val="single"/>
        </w:rPr>
        <w:t>a la nómina de los servidores públicos adscritos</w:t>
      </w:r>
      <w:r w:rsidR="00104E59" w:rsidRPr="00C56FC5">
        <w:rPr>
          <w:rFonts w:ascii="Palatino Linotype" w:eastAsia="Palatino Linotype" w:hAnsi="Palatino Linotype" w:cs="Palatino Linotype"/>
          <w:b/>
          <w:bCs/>
          <w:sz w:val="22"/>
          <w:szCs w:val="22"/>
          <w:u w:val="single"/>
        </w:rPr>
        <w:t xml:space="preserve"> </w:t>
      </w:r>
      <w:r w:rsidR="00B07DA0" w:rsidRPr="00C56FC5">
        <w:rPr>
          <w:rFonts w:ascii="Palatino Linotype" w:eastAsia="Palatino Linotype" w:hAnsi="Palatino Linotype" w:cs="Palatino Linotype"/>
          <w:b/>
          <w:bCs/>
          <w:sz w:val="22"/>
          <w:szCs w:val="22"/>
          <w:u w:val="single"/>
        </w:rPr>
        <w:t>, así como información estadística que deriva de la misma nómina, como lo es el número de trabajadores, la distribución</w:t>
      </w:r>
      <w:r w:rsidR="005B102B" w:rsidRPr="00C56FC5">
        <w:rPr>
          <w:rFonts w:ascii="Palatino Linotype" w:eastAsia="Palatino Linotype" w:hAnsi="Palatino Linotype" w:cs="Palatino Linotype"/>
          <w:b/>
          <w:bCs/>
          <w:sz w:val="22"/>
          <w:szCs w:val="22"/>
          <w:u w:val="single"/>
        </w:rPr>
        <w:t xml:space="preserve"> y sus áreas de adscripción</w:t>
      </w:r>
      <w:r w:rsidR="00B07DA0" w:rsidRPr="00C56FC5">
        <w:rPr>
          <w:rFonts w:ascii="Palatino Linotype" w:eastAsia="Palatino Linotype" w:hAnsi="Palatino Linotype" w:cs="Palatino Linotype"/>
          <w:b/>
          <w:bCs/>
          <w:sz w:val="22"/>
          <w:szCs w:val="22"/>
          <w:u w:val="single"/>
        </w:rPr>
        <w:t>, prestaciones con las que cuentan, y la atención médica con la que cuentan.</w:t>
      </w:r>
    </w:p>
    <w:p w14:paraId="5E0DEB0C" w14:textId="56FF0C2A" w:rsidR="001A41FA" w:rsidRPr="00C56FC5" w:rsidRDefault="00697A8E" w:rsidP="00697A8E">
      <w:pPr>
        <w:spacing w:before="240" w:after="240" w:line="372"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Y, si bien es cierto que la persona solicitante omitió señalar de manera concreta </w:t>
      </w:r>
      <w:r w:rsidR="001A41FA" w:rsidRPr="00C56FC5">
        <w:rPr>
          <w:rFonts w:ascii="Palatino Linotype" w:eastAsia="Palatino Linotype" w:hAnsi="Palatino Linotype" w:cs="Palatino Linotype"/>
          <w:sz w:val="22"/>
          <w:szCs w:val="22"/>
        </w:rPr>
        <w:t>el periodo del cual requería la información, atendiendo a la naturaleza de la información debió entregarse la relativa a las dos últimas quincenas pagadas a la fecha de presentación de la solicitud.</w:t>
      </w:r>
    </w:p>
    <w:p w14:paraId="11829B2D" w14:textId="696E17C7" w:rsidR="001A41FA" w:rsidRPr="00C56FC5" w:rsidRDefault="001A41FA" w:rsidP="00697A8E">
      <w:pPr>
        <w:spacing w:before="240" w:after="240" w:line="372"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Como sustento a lo anterior, resulta aplicable el criterio reiterado 04/2024 emitido por el Pleno de este Instituto que lleva por rubro y texto lo siguiente:</w:t>
      </w:r>
    </w:p>
    <w:p w14:paraId="52A587A1" w14:textId="1A28454D" w:rsidR="001A41FA" w:rsidRPr="00C56FC5" w:rsidRDefault="001A41FA" w:rsidP="001A41FA">
      <w:pPr>
        <w:pStyle w:val="NormalWeb"/>
        <w:spacing w:before="120" w:beforeAutospacing="0" w:after="120" w:afterAutospacing="0"/>
        <w:ind w:left="851" w:right="902"/>
        <w:jc w:val="both"/>
        <w:rPr>
          <w:rFonts w:ascii="Palatino Linotype" w:hAnsi="Palatino Linotype"/>
          <w:i/>
          <w:sz w:val="22"/>
          <w:szCs w:val="22"/>
          <w:lang w:val="es-ES"/>
        </w:rPr>
      </w:pPr>
      <w:r w:rsidRPr="00C56FC5">
        <w:rPr>
          <w:rFonts w:ascii="Palatino Linotype" w:hAnsi="Palatino Linotype"/>
          <w:b/>
          <w:i/>
          <w:sz w:val="22"/>
          <w:szCs w:val="22"/>
          <w:lang w:val="es-ES"/>
        </w:rPr>
        <w:t>“NÓMINA DE SERVIDORES PÚBLICOS. PERIODO DE BÚSQUEDA Y ENTREGA DE LA INFORMACIÓN, CUANDO NO SE PRECISA EN LA SOLICITUD DE INFORMACIÓN.</w:t>
      </w:r>
      <w:r w:rsidRPr="00C56FC5">
        <w:rPr>
          <w:rFonts w:ascii="Palatino Linotype" w:hAnsi="Palatino Linotype"/>
          <w:i/>
          <w:sz w:val="22"/>
          <w:szCs w:val="22"/>
          <w:lang w:val="es-ES"/>
        </w:rPr>
        <w:t xml:space="preserve"> Cuando el particular no refiriera el periodo respecto del cual requiere la información, o bien, de la solicitud presentada no se adviertan elementos que permitan identificarlo, tratándose exclusivamente de información relativa a la nómina, se deberá hacer entrega de la información </w:t>
      </w:r>
      <w:r w:rsidRPr="00C56FC5">
        <w:rPr>
          <w:rFonts w:ascii="Palatino Linotype" w:hAnsi="Palatino Linotype"/>
          <w:i/>
          <w:sz w:val="22"/>
          <w:szCs w:val="22"/>
          <w:lang w:val="es-ES"/>
        </w:rPr>
        <w:lastRenderedPageBreak/>
        <w:t>relativa a las últimas dos quincenas pagadas previo a la fecha en que se presentó la solicitud.”</w:t>
      </w:r>
    </w:p>
    <w:p w14:paraId="31ECFF75" w14:textId="4277AE92" w:rsidR="00697A8E" w:rsidRPr="00C56FC5" w:rsidRDefault="001A41FA" w:rsidP="00697A8E">
      <w:pPr>
        <w:spacing w:before="240" w:after="240" w:line="372"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Asimismo, si bien </w:t>
      </w:r>
      <w:r w:rsidR="00144D16" w:rsidRPr="00C56FC5">
        <w:rPr>
          <w:rFonts w:ascii="Palatino Linotype" w:eastAsia="Palatino Linotype" w:hAnsi="Palatino Linotype" w:cs="Palatino Linotype"/>
          <w:sz w:val="22"/>
          <w:szCs w:val="22"/>
        </w:rPr>
        <w:t xml:space="preserve">la persona solicitante no precisó </w:t>
      </w:r>
      <w:r w:rsidR="00697A8E" w:rsidRPr="00C56FC5">
        <w:rPr>
          <w:rFonts w:ascii="Palatino Linotype" w:eastAsia="Palatino Linotype" w:hAnsi="Palatino Linotype" w:cs="Palatino Linotype"/>
          <w:sz w:val="22"/>
          <w:szCs w:val="22"/>
        </w:rPr>
        <w:t>el o los documentos a los que pretende acceder, no debe perderse de vista que es obligación de los Sujetos Obligados dar a las solicitudes una interpretación que les dé una expresión documental, ya que para que el derecho de acceso a la información pública se satisfaga completamente, es necesario que se brinde el acceso a datos, registros y todo tipo de información pública que conste en documentos, ya sea generados o que se encuentre en posesión de las autoridades, por tal motivo, privilegiando el principio de máxima publicidad, en el presente caso, se deberá proceder a la entrega del soporte documental en donde conste la información que brinde respuesta a la solicitud, así persona solicitante podrá buscar conforme a su interés.</w:t>
      </w:r>
    </w:p>
    <w:p w14:paraId="4EFD5DC4" w14:textId="08087983" w:rsidR="00697A8E" w:rsidRPr="00C56FC5" w:rsidRDefault="00697A8E" w:rsidP="00697A8E">
      <w:pPr>
        <w:spacing w:before="240" w:after="240" w:line="372"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Argumento que se sustenta con el Criterio orientador con clave de control  SO/016/2017, emitido por el Pleno del entonces Instituto Nacional de Transparencia, Acceso a la Información y Protección de Datos Personales, INAI, que establece lo siguiente: </w:t>
      </w:r>
    </w:p>
    <w:p w14:paraId="6903166C" w14:textId="77777777" w:rsidR="00697A8E" w:rsidRPr="00C56FC5" w:rsidRDefault="00697A8E" w:rsidP="00697A8E">
      <w:pPr>
        <w:spacing w:before="240" w:after="240"/>
        <w:ind w:left="851" w:right="900"/>
        <w:jc w:val="both"/>
        <w:rPr>
          <w:rFonts w:ascii="Palatino Linotype" w:eastAsia="Palatino Linotype" w:hAnsi="Palatino Linotype" w:cs="Palatino Linotype"/>
          <w:sz w:val="22"/>
          <w:szCs w:val="22"/>
          <w:lang w:val="es-ES"/>
        </w:rPr>
      </w:pPr>
      <w:r w:rsidRPr="00C56FC5">
        <w:rPr>
          <w:rFonts w:ascii="Palatino Linotype" w:eastAsia="Palatino Linotype" w:hAnsi="Palatino Linotype" w:cs="Palatino Linotype"/>
          <w:sz w:val="22"/>
          <w:szCs w:val="22"/>
          <w:lang w:val="es-ES"/>
        </w:rPr>
        <w:t xml:space="preserve"> “</w:t>
      </w:r>
      <w:r w:rsidRPr="00C56FC5">
        <w:rPr>
          <w:rFonts w:ascii="Palatino Linotype" w:eastAsia="Palatino Linotype" w:hAnsi="Palatino Linotype" w:cs="Palatino Linotype"/>
          <w:b/>
          <w:bCs/>
          <w:i/>
          <w:sz w:val="22"/>
          <w:szCs w:val="22"/>
          <w:lang w:val="es-ES"/>
        </w:rPr>
        <w:t xml:space="preserve">Expresión documental. </w:t>
      </w:r>
      <w:r w:rsidRPr="00C56FC5">
        <w:rPr>
          <w:rFonts w:ascii="Palatino Linotype" w:eastAsia="Palatino Linotype" w:hAnsi="Palatino Linotype" w:cs="Palatino Linotype"/>
          <w:bCs/>
          <w:i/>
          <w:sz w:val="22"/>
          <w:szCs w:val="22"/>
          <w:lang w:val="es-ES"/>
        </w:rPr>
        <w:t>Cuando</w:t>
      </w:r>
      <w:r w:rsidRPr="00C56FC5">
        <w:rPr>
          <w:rFonts w:ascii="Palatino Linotype" w:eastAsia="Palatino Linotype" w:hAnsi="Palatino Linotype" w:cs="Palatino Linotype"/>
          <w:i/>
          <w:sz w:val="22"/>
          <w:szCs w:val="22"/>
          <w:lang w:val="es-ES"/>
        </w:rPr>
        <w:t xml:space="preserve"> los particulares presenten solicitudes de acceso a la información sin identificar de forma precisa la documentación que pudiera contener la información de su interés, o bien, la solicitud constituya una consulta, pero la respuesta pudiera obrar en algún documento en poder de los sujetos obligados, éstos deben dar a dichas solicitudes una interpretación que les otorgue una expresión documental.”</w:t>
      </w:r>
    </w:p>
    <w:p w14:paraId="3AFE8834" w14:textId="4A9B2347" w:rsidR="00190C3C" w:rsidRPr="00C56FC5" w:rsidRDefault="00697A8E" w:rsidP="00190C3C">
      <w:pPr>
        <w:spacing w:before="240" w:after="240" w:line="372" w:lineRule="auto"/>
        <w:jc w:val="both"/>
        <w:rPr>
          <w:rFonts w:ascii="Palatino Linotype" w:eastAsia="Palatino Linotype" w:hAnsi="Palatino Linotype" w:cs="Palatino Linotype"/>
          <w:bCs/>
          <w:sz w:val="22"/>
          <w:szCs w:val="22"/>
        </w:rPr>
      </w:pPr>
      <w:r w:rsidRPr="00C56FC5">
        <w:rPr>
          <w:rFonts w:ascii="Palatino Linotype" w:eastAsia="Palatino Linotype" w:hAnsi="Palatino Linotype" w:cs="Palatino Linotype"/>
          <w:sz w:val="22"/>
          <w:szCs w:val="22"/>
        </w:rPr>
        <w:t>En este sentido,</w:t>
      </w:r>
      <w:r w:rsidR="00190C3C" w:rsidRPr="00C56FC5">
        <w:rPr>
          <w:rFonts w:ascii="Palatino Linotype" w:eastAsia="Palatino Linotype" w:hAnsi="Palatino Linotype" w:cs="Palatino Linotype"/>
          <w:sz w:val="22"/>
          <w:szCs w:val="22"/>
        </w:rPr>
        <w:t xml:space="preserve"> se insiste que a través de la nómina general </w:t>
      </w:r>
      <w:r w:rsidRPr="00C56FC5">
        <w:rPr>
          <w:rFonts w:ascii="Palatino Linotype" w:eastAsia="Palatino Linotype" w:hAnsi="Palatino Linotype" w:cs="Palatino Linotype"/>
          <w:sz w:val="22"/>
          <w:szCs w:val="22"/>
        </w:rPr>
        <w:t xml:space="preserve"> </w:t>
      </w:r>
      <w:r w:rsidR="00190C3C" w:rsidRPr="00C56FC5">
        <w:rPr>
          <w:rFonts w:ascii="Palatino Linotype" w:eastAsia="Palatino Linotype" w:hAnsi="Palatino Linotype" w:cs="Palatino Linotype"/>
          <w:sz w:val="22"/>
          <w:szCs w:val="22"/>
        </w:rPr>
        <w:t xml:space="preserve">la persona solicitante puede advertir la información </w:t>
      </w:r>
      <w:r w:rsidR="00190C3C" w:rsidRPr="00C56FC5">
        <w:rPr>
          <w:rFonts w:ascii="Palatino Linotype" w:eastAsia="Palatino Linotype" w:hAnsi="Palatino Linotype" w:cs="Palatino Linotype"/>
          <w:bCs/>
          <w:sz w:val="22"/>
          <w:szCs w:val="22"/>
        </w:rPr>
        <w:t>estadística que deriva de la misma nómina, como lo es el número de trabajadores, la distribución, prestaciones con las que cuentan, y la atención médica con la que cuentan.</w:t>
      </w:r>
    </w:p>
    <w:p w14:paraId="57FDB41D" w14:textId="77777777" w:rsidR="00984D39" w:rsidRPr="00C56FC5" w:rsidRDefault="00127A62" w:rsidP="00984D39">
      <w:pPr>
        <w:spacing w:before="240" w:after="240" w:line="360" w:lineRule="auto"/>
        <w:ind w:right="49"/>
        <w:jc w:val="both"/>
        <w:rPr>
          <w:rFonts w:ascii="Palatino Linotype" w:eastAsia="Palatino Linotype" w:hAnsi="Palatino Linotype" w:cs="Palatino Linotype"/>
          <w:strike/>
          <w:sz w:val="22"/>
          <w:szCs w:val="22"/>
        </w:rPr>
      </w:pPr>
      <w:r w:rsidRPr="00C56FC5">
        <w:rPr>
          <w:rFonts w:ascii="Palatino Linotype" w:eastAsia="Palatino Linotype" w:hAnsi="Palatino Linotype" w:cs="Palatino Linotype"/>
          <w:bCs/>
          <w:sz w:val="22"/>
          <w:szCs w:val="22"/>
        </w:rPr>
        <w:t xml:space="preserve">En segundo lugar, </w:t>
      </w:r>
      <w:r w:rsidR="000B08E2" w:rsidRPr="00C56FC5">
        <w:rPr>
          <w:rFonts w:ascii="Palatino Linotype" w:eastAsia="Palatino Linotype" w:hAnsi="Palatino Linotype" w:cs="Palatino Linotype"/>
          <w:sz w:val="22"/>
          <w:szCs w:val="22"/>
        </w:rPr>
        <w:t xml:space="preserve">es preciso </w:t>
      </w:r>
      <w:r w:rsidR="004B6C62" w:rsidRPr="00C56FC5">
        <w:rPr>
          <w:rFonts w:ascii="Palatino Linotype" w:eastAsia="Palatino Linotype" w:hAnsi="Palatino Linotype" w:cs="Palatino Linotype"/>
          <w:sz w:val="22"/>
          <w:szCs w:val="22"/>
        </w:rPr>
        <w:t xml:space="preserve">mencionar que </w:t>
      </w:r>
      <w:r w:rsidR="00984D39" w:rsidRPr="00C56FC5">
        <w:rPr>
          <w:rFonts w:ascii="Palatino Linotype" w:eastAsia="Palatino Linotype" w:hAnsi="Palatino Linotype" w:cs="Palatino Linotype"/>
          <w:sz w:val="22"/>
          <w:szCs w:val="22"/>
        </w:rPr>
        <w:t xml:space="preserve">de la lectura del requerimiento de información se advirtió </w:t>
      </w:r>
      <w:r w:rsidR="004B6C62" w:rsidRPr="00C56FC5">
        <w:rPr>
          <w:rFonts w:ascii="Palatino Linotype" w:eastAsia="Palatino Linotype" w:hAnsi="Palatino Linotype" w:cs="Palatino Linotype"/>
          <w:sz w:val="22"/>
          <w:szCs w:val="22"/>
        </w:rPr>
        <w:t xml:space="preserve">la parte </w:t>
      </w:r>
      <w:r w:rsidR="004B6C62" w:rsidRPr="00C56FC5">
        <w:rPr>
          <w:rFonts w:ascii="Palatino Linotype" w:eastAsia="Palatino Linotype" w:hAnsi="Palatino Linotype" w:cs="Palatino Linotype"/>
          <w:b/>
          <w:bCs/>
          <w:sz w:val="22"/>
          <w:szCs w:val="22"/>
        </w:rPr>
        <w:t>Recurrente,</w:t>
      </w:r>
      <w:r w:rsidR="00984D39" w:rsidRPr="00C56FC5">
        <w:rPr>
          <w:rFonts w:ascii="Palatino Linotype" w:eastAsia="Palatino Linotype" w:hAnsi="Palatino Linotype" w:cs="Palatino Linotype"/>
          <w:b/>
          <w:bCs/>
          <w:sz w:val="22"/>
          <w:szCs w:val="22"/>
        </w:rPr>
        <w:t xml:space="preserve"> </w:t>
      </w:r>
      <w:r w:rsidR="00984D39" w:rsidRPr="00C56FC5">
        <w:rPr>
          <w:rFonts w:ascii="Palatino Linotype" w:eastAsia="Palatino Linotype" w:hAnsi="Palatino Linotype" w:cs="Palatino Linotype"/>
          <w:sz w:val="22"/>
          <w:szCs w:val="22"/>
        </w:rPr>
        <w:t xml:space="preserve">pretende que el </w:t>
      </w:r>
      <w:r w:rsidR="00984D39" w:rsidRPr="00C56FC5">
        <w:rPr>
          <w:rFonts w:ascii="Palatino Linotype" w:eastAsia="Palatino Linotype" w:hAnsi="Palatino Linotype" w:cs="Palatino Linotype"/>
          <w:b/>
          <w:sz w:val="22"/>
          <w:szCs w:val="22"/>
        </w:rPr>
        <w:t xml:space="preserve">Sujeto Obligado </w:t>
      </w:r>
      <w:r w:rsidR="00984D39" w:rsidRPr="00C56FC5">
        <w:rPr>
          <w:rFonts w:ascii="Palatino Linotype" w:eastAsia="Palatino Linotype" w:hAnsi="Palatino Linotype" w:cs="Palatino Linotype"/>
          <w:sz w:val="22"/>
          <w:szCs w:val="22"/>
        </w:rPr>
        <w:t xml:space="preserve">responda o se pronuncie </w:t>
      </w:r>
      <w:r w:rsidR="00984D39" w:rsidRPr="00C56FC5">
        <w:rPr>
          <w:rFonts w:ascii="Palatino Linotype" w:eastAsia="Palatino Linotype" w:hAnsi="Palatino Linotype" w:cs="Palatino Linotype"/>
          <w:sz w:val="22"/>
          <w:szCs w:val="22"/>
        </w:rPr>
        <w:lastRenderedPageBreak/>
        <w:t xml:space="preserve">sobre dos cuestiones, esto es, </w:t>
      </w:r>
      <w:r w:rsidR="00984D39" w:rsidRPr="00C56FC5">
        <w:rPr>
          <w:rFonts w:ascii="Palatino Linotype" w:eastAsia="Palatino Linotype" w:hAnsi="Palatino Linotype" w:cs="Palatino Linotype"/>
          <w:b/>
          <w:i/>
          <w:sz w:val="22"/>
          <w:szCs w:val="22"/>
          <w:u w:val="single"/>
        </w:rPr>
        <w:t xml:space="preserve">que diga por qué los trabajadores que laboran en el Palacio Municipal están distribuidos de cierta forma, y por qué se obliga a los a los trabajadores y quien los  manda a que realicen alguna acción diferente a la que tienen encomendada sin protección, </w:t>
      </w:r>
      <w:r w:rsidR="00984D39" w:rsidRPr="00C56FC5">
        <w:rPr>
          <w:rFonts w:ascii="Palatino Linotype" w:eastAsia="Palatino Linotype" w:hAnsi="Palatino Linotype" w:cs="Palatino Linotype"/>
          <w:sz w:val="22"/>
          <w:szCs w:val="22"/>
        </w:rPr>
        <w:t xml:space="preserve">situación que conlleva a precisar que con tales planteamientos no se pretendió ejercer el derecho de acceso a la información pública; sino que por este medio se presentó una interrogante cuya finalidad consiste en obligar a la autoridad a que actúe en el sentido de contestar lo solicitado, que no es factible atenderse vía acceso a la información pública, toda vez, que la atención a dichos cuestionamientos no se pueden colmar con documentos que obren en los archivos del </w:t>
      </w:r>
      <w:r w:rsidR="00984D39" w:rsidRPr="00C56FC5">
        <w:rPr>
          <w:rFonts w:ascii="Palatino Linotype" w:eastAsia="Palatino Linotype" w:hAnsi="Palatino Linotype" w:cs="Palatino Linotype"/>
          <w:b/>
          <w:sz w:val="22"/>
          <w:szCs w:val="22"/>
        </w:rPr>
        <w:t>Sujeto Obligado</w:t>
      </w:r>
      <w:r w:rsidR="00984D39" w:rsidRPr="00C56FC5">
        <w:rPr>
          <w:rFonts w:ascii="Palatino Linotype" w:eastAsia="Palatino Linotype" w:hAnsi="Palatino Linotype" w:cs="Palatino Linotype"/>
          <w:sz w:val="22"/>
          <w:szCs w:val="22"/>
        </w:rPr>
        <w:t>.</w:t>
      </w:r>
    </w:p>
    <w:p w14:paraId="3AF3958D" w14:textId="77777777" w:rsidR="00984D39" w:rsidRPr="00C56FC5" w:rsidRDefault="00984D39" w:rsidP="00984D39">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Por lo anterior, del análisis realizado al expediente electrónico, se advierte que la solicitud NO constituye un derecho de acceso a la información y por lo tanto no es atendible mediante una solicitud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 </w:t>
      </w:r>
    </w:p>
    <w:p w14:paraId="2DBD13F9" w14:textId="77777777" w:rsidR="00984D39" w:rsidRPr="00C56FC5" w:rsidRDefault="00984D39" w:rsidP="00984D39">
      <w:pPr>
        <w:spacing w:before="240" w:after="240" w:line="360" w:lineRule="auto"/>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sz w:val="22"/>
          <w:szCs w:val="22"/>
        </w:rPr>
        <w:t xml:space="preserve">A efecto de sustentar lo anterior, es preciso mencionar que David Cienfuegos Salgado, concibe al derecho de petición como </w:t>
      </w:r>
      <w:r w:rsidRPr="00C56FC5">
        <w:rPr>
          <w:rFonts w:ascii="Palatino Linotype" w:eastAsia="Palatino Linotype" w:hAnsi="Palatino Linotype" w:cs="Palatino Linotype"/>
          <w:i/>
          <w:sz w:val="22"/>
          <w:szCs w:val="22"/>
        </w:rPr>
        <w:t>“</w:t>
      </w:r>
      <w:r w:rsidRPr="00C56FC5">
        <w:rPr>
          <w:rFonts w:ascii="Palatino Linotype" w:eastAsia="Palatino Linotype" w:hAnsi="Palatino Linotype" w:cs="Palatino Linotype"/>
          <w:b/>
          <w:i/>
          <w:sz w:val="22"/>
          <w:szCs w:val="22"/>
          <w:u w:val="single"/>
        </w:rPr>
        <w:t>el derecho de toda persona a ser escuchado por quienes ejercen el poder públic</w:t>
      </w:r>
      <w:r w:rsidRPr="00C56FC5">
        <w:rPr>
          <w:rFonts w:ascii="Palatino Linotype" w:eastAsia="Palatino Linotype" w:hAnsi="Palatino Linotype" w:cs="Palatino Linotype"/>
          <w:i/>
          <w:sz w:val="22"/>
          <w:szCs w:val="22"/>
        </w:rPr>
        <w:t>o.</w:t>
      </w:r>
      <w:r w:rsidRPr="00C56FC5">
        <w:rPr>
          <w:rFonts w:ascii="Palatino Linotype" w:eastAsia="Palatino Linotype" w:hAnsi="Palatino Linotype" w:cs="Palatino Linotype"/>
          <w:i/>
          <w:sz w:val="22"/>
          <w:szCs w:val="22"/>
          <w:vertAlign w:val="superscript"/>
        </w:rPr>
        <w:t xml:space="preserve"> </w:t>
      </w:r>
      <w:r w:rsidRPr="00C56FC5">
        <w:rPr>
          <w:rFonts w:ascii="Palatino Linotype" w:eastAsia="Palatino Linotype" w:hAnsi="Palatino Linotype" w:cs="Palatino Linotype"/>
          <w:i/>
          <w:sz w:val="22"/>
          <w:szCs w:val="22"/>
          <w:vertAlign w:val="superscript"/>
        </w:rPr>
        <w:footnoteReference w:id="1"/>
      </w:r>
      <w:r w:rsidRPr="00C56FC5">
        <w:rPr>
          <w:rFonts w:ascii="Palatino Linotype" w:eastAsia="Palatino Linotype" w:hAnsi="Palatino Linotype" w:cs="Palatino Linotype"/>
          <w:i/>
          <w:sz w:val="22"/>
          <w:szCs w:val="22"/>
        </w:rPr>
        <w:t xml:space="preserve">” (Sic) </w:t>
      </w:r>
    </w:p>
    <w:p w14:paraId="49B3F174" w14:textId="77777777" w:rsidR="00984D39" w:rsidRPr="00C56FC5" w:rsidRDefault="00984D39" w:rsidP="00984D39">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De la misma manera, Miguel Carbonell en su libro “Los derechos fundamentales” refiere que el </w:t>
      </w:r>
      <w:r w:rsidRPr="00C56FC5">
        <w:rPr>
          <w:rFonts w:ascii="Palatino Linotype" w:eastAsia="Palatino Linotype" w:hAnsi="Palatino Linotype" w:cs="Palatino Linotype"/>
          <w:sz w:val="22"/>
          <w:szCs w:val="22"/>
          <w:u w:val="single"/>
        </w:rPr>
        <w:t>derecho de petición se ha entendido de dos distintitas maneras</w:t>
      </w:r>
      <w:r w:rsidRPr="00C56FC5">
        <w:rPr>
          <w:rFonts w:ascii="Palatino Linotype" w:eastAsia="Palatino Linotype" w:hAnsi="Palatino Linotype" w:cs="Palatino Linotype"/>
          <w:sz w:val="22"/>
          <w:szCs w:val="22"/>
        </w:rPr>
        <w:t xml:space="preserve">, a saber: como un derecho fundamental de participación política ya que </w:t>
      </w:r>
      <w:r w:rsidRPr="00C56FC5">
        <w:rPr>
          <w:rFonts w:ascii="Palatino Linotype" w:eastAsia="Palatino Linotype" w:hAnsi="Palatino Linotype" w:cs="Palatino Linotype"/>
          <w:sz w:val="22"/>
          <w:szCs w:val="22"/>
          <w:u w:val="single"/>
        </w:rPr>
        <w:t xml:space="preserve">permite a los particulares trasladar a las autoridades sus </w:t>
      </w:r>
      <w:r w:rsidRPr="00C56FC5">
        <w:rPr>
          <w:rFonts w:ascii="Palatino Linotype" w:eastAsia="Palatino Linotype" w:hAnsi="Palatino Linotype" w:cs="Palatino Linotype"/>
          <w:b/>
          <w:sz w:val="22"/>
          <w:szCs w:val="22"/>
          <w:u w:val="single"/>
        </w:rPr>
        <w:t>inquietudes, quejas</w:t>
      </w:r>
      <w:r w:rsidRPr="00C56FC5">
        <w:rPr>
          <w:rFonts w:ascii="Palatino Linotype" w:eastAsia="Palatino Linotype" w:hAnsi="Palatino Linotype" w:cs="Palatino Linotype"/>
          <w:sz w:val="22"/>
          <w:szCs w:val="22"/>
          <w:u w:val="single"/>
        </w:rPr>
        <w:t>, sugerencias</w:t>
      </w:r>
      <w:r w:rsidRPr="00C56FC5">
        <w:rPr>
          <w:rFonts w:ascii="Palatino Linotype" w:eastAsia="Palatino Linotype" w:hAnsi="Palatino Linotype" w:cs="Palatino Linotype"/>
          <w:sz w:val="22"/>
          <w:szCs w:val="22"/>
        </w:rPr>
        <w:t xml:space="preserve"> y requerimientos en cualquier materia o asunto; y como una </w:t>
      </w:r>
      <w:r w:rsidRPr="00C56FC5">
        <w:rPr>
          <w:rFonts w:ascii="Palatino Linotype" w:eastAsia="Palatino Linotype" w:hAnsi="Palatino Linotype" w:cs="Palatino Linotype"/>
          <w:b/>
          <w:sz w:val="22"/>
          <w:szCs w:val="22"/>
        </w:rPr>
        <w:t>forma específica de la libertad de expresión</w:t>
      </w:r>
      <w:r w:rsidRPr="00C56FC5">
        <w:rPr>
          <w:rFonts w:ascii="Palatino Linotype" w:eastAsia="Palatino Linotype" w:hAnsi="Palatino Linotype" w:cs="Palatino Linotype"/>
          <w:sz w:val="22"/>
          <w:szCs w:val="22"/>
        </w:rPr>
        <w:t xml:space="preserve">, en tanto que permite </w:t>
      </w:r>
      <w:r w:rsidRPr="00C56FC5">
        <w:rPr>
          <w:rFonts w:ascii="Palatino Linotype" w:eastAsia="Palatino Linotype" w:hAnsi="Palatino Linotype" w:cs="Palatino Linotype"/>
          <w:sz w:val="22"/>
          <w:szCs w:val="22"/>
        </w:rPr>
        <w:lastRenderedPageBreak/>
        <w:t>expresarse frente a las autoridades. De igual manera que el derecho de petición se traduce en la obligación de todos los funcionarios y autoridades de permitir a los ciudadanos de dirigirse a ellos en demanda de lo que deseen expresar o solicitar y responder de dicha demanda por escrito, de forma congruente y en un plazo breve.</w:t>
      </w:r>
      <w:r w:rsidRPr="00C56FC5">
        <w:rPr>
          <w:rFonts w:ascii="Palatino Linotype" w:eastAsia="Palatino Linotype" w:hAnsi="Palatino Linotype" w:cs="Palatino Linotype"/>
          <w:sz w:val="22"/>
          <w:szCs w:val="22"/>
          <w:vertAlign w:val="superscript"/>
        </w:rPr>
        <w:footnoteReference w:id="2"/>
      </w:r>
    </w:p>
    <w:p w14:paraId="1742B93F" w14:textId="77777777" w:rsidR="00984D39" w:rsidRPr="00C56FC5" w:rsidRDefault="00984D39" w:rsidP="00984D39">
      <w:pPr>
        <w:pBdr>
          <w:top w:val="nil"/>
          <w:left w:val="nil"/>
          <w:bottom w:val="nil"/>
          <w:right w:val="nil"/>
          <w:between w:val="nil"/>
        </w:pBdr>
        <w:spacing w:before="240" w:after="240" w:line="360" w:lineRule="auto"/>
        <w:ind w:right="99"/>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Por otro lado, el autor anteriormente citado, indica que el </w:t>
      </w:r>
      <w:r w:rsidRPr="00C56FC5">
        <w:rPr>
          <w:rFonts w:ascii="Palatino Linotype" w:eastAsia="Palatino Linotype" w:hAnsi="Palatino Linotype" w:cs="Palatino Linotype"/>
          <w:b/>
          <w:sz w:val="22"/>
          <w:szCs w:val="22"/>
          <w:u w:val="single"/>
        </w:rPr>
        <w:t>derecho de acceso a la información pública</w:t>
      </w:r>
      <w:r w:rsidRPr="00C56FC5">
        <w:rPr>
          <w:rFonts w:ascii="Palatino Linotype" w:eastAsia="Palatino Linotype" w:hAnsi="Palatino Linotype" w:cs="Palatino Linotype"/>
          <w:sz w:val="22"/>
          <w:szCs w:val="22"/>
        </w:rPr>
        <w:t xml:space="preserve"> es el derecho de conocer la </w:t>
      </w:r>
      <w:r w:rsidRPr="00C56FC5">
        <w:rPr>
          <w:rFonts w:ascii="Palatino Linotype" w:eastAsia="Palatino Linotype" w:hAnsi="Palatino Linotype" w:cs="Palatino Linotype"/>
          <w:b/>
          <w:sz w:val="22"/>
          <w:szCs w:val="22"/>
          <w:u w:val="single"/>
        </w:rPr>
        <w:t>información de carácter público que se genera o está en posesión de los órganos del poder público</w:t>
      </w:r>
      <w:r w:rsidRPr="00C56FC5">
        <w:rPr>
          <w:rFonts w:ascii="Palatino Linotype" w:eastAsia="Palatino Linotype" w:hAnsi="Palatino Linotype" w:cs="Palatino Linotype"/>
          <w:sz w:val="22"/>
          <w:szCs w:val="22"/>
        </w:rPr>
        <w:t xml:space="preserve"> o de los sujetos que utilizan o se benefician con recursos provenientes del Estado, es el derecho que tienen los ciudadanos para acceder a documentos y datos que obren en el poder del gobierno.</w:t>
      </w:r>
    </w:p>
    <w:p w14:paraId="75C97203" w14:textId="77777777" w:rsidR="00984D39" w:rsidRPr="00C56FC5" w:rsidRDefault="00984D39" w:rsidP="00984D39">
      <w:pPr>
        <w:pBdr>
          <w:top w:val="nil"/>
          <w:left w:val="nil"/>
          <w:bottom w:val="nil"/>
          <w:right w:val="nil"/>
          <w:between w:val="nil"/>
        </w:pBdr>
        <w:spacing w:before="240" w:after="240" w:line="360" w:lineRule="auto"/>
        <w:ind w:right="99"/>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Por su parte, Ernesto Villanueva define al derecho de acceso a la información pública como la prerrogativa de la persona para acceder a datos, registros y todo tipo de informaciones en poder de las entidades públicas y empresas privadas que ejercen gasto público o cumplen funciones de autoridad, con las excepciones taxativas que establezca la ley en una sociedad democrática.</w:t>
      </w:r>
      <w:r w:rsidRPr="00C56FC5">
        <w:rPr>
          <w:rFonts w:ascii="Palatino Linotype" w:eastAsia="Palatino Linotype" w:hAnsi="Palatino Linotype" w:cs="Palatino Linotype"/>
          <w:sz w:val="22"/>
          <w:szCs w:val="22"/>
          <w:vertAlign w:val="superscript"/>
        </w:rPr>
        <w:footnoteReference w:id="3"/>
      </w:r>
    </w:p>
    <w:p w14:paraId="4C27CBE9" w14:textId="77777777" w:rsidR="00984D39" w:rsidRPr="00C56FC5" w:rsidRDefault="00984D39" w:rsidP="00984D39">
      <w:pPr>
        <w:pBdr>
          <w:top w:val="nil"/>
          <w:left w:val="nil"/>
          <w:bottom w:val="nil"/>
          <w:right w:val="nil"/>
          <w:between w:val="nil"/>
        </w:pBdr>
        <w:spacing w:before="240" w:after="240" w:line="360" w:lineRule="auto"/>
        <w:ind w:right="99"/>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De lo anterior se puede concluir que la distinción entre el </w:t>
      </w:r>
      <w:r w:rsidRPr="00C56FC5">
        <w:rPr>
          <w:rFonts w:ascii="Palatino Linotype" w:eastAsia="Palatino Linotype" w:hAnsi="Palatino Linotype" w:cs="Palatino Linotype"/>
          <w:b/>
          <w:sz w:val="22"/>
          <w:szCs w:val="22"/>
          <w:u w:val="single"/>
        </w:rPr>
        <w:t>derecho de petición</w:t>
      </w:r>
      <w:r w:rsidRPr="00C56FC5">
        <w:rPr>
          <w:rFonts w:ascii="Palatino Linotype" w:eastAsia="Palatino Linotype" w:hAnsi="Palatino Linotype" w:cs="Palatino Linotype"/>
          <w:sz w:val="22"/>
          <w:szCs w:val="22"/>
        </w:rPr>
        <w:t xml:space="preserve"> y el derecho de acceso a la información descansa principalmente, en que </w:t>
      </w:r>
      <w:r w:rsidRPr="00C56FC5">
        <w:rPr>
          <w:rFonts w:ascii="Palatino Linotype" w:eastAsia="Palatino Linotype" w:hAnsi="Palatino Linotype" w:cs="Palatino Linotype"/>
          <w:b/>
          <w:sz w:val="22"/>
          <w:szCs w:val="22"/>
        </w:rPr>
        <w:t>la pretensión del peticionario consiste generalmente en obligar a la autoridad responsable a que actúe</w:t>
      </w:r>
      <w:r w:rsidRPr="00C56FC5">
        <w:rPr>
          <w:rFonts w:ascii="Palatino Linotype" w:eastAsia="Palatino Linotype" w:hAnsi="Palatino Linotype" w:cs="Palatino Linotype"/>
          <w:sz w:val="22"/>
          <w:szCs w:val="22"/>
        </w:rPr>
        <w:t xml:space="preserve"> </w:t>
      </w:r>
      <w:r w:rsidRPr="00C56FC5">
        <w:rPr>
          <w:rFonts w:ascii="Palatino Linotype" w:eastAsia="Palatino Linotype" w:hAnsi="Palatino Linotype" w:cs="Palatino Linotype"/>
          <w:b/>
          <w:sz w:val="22"/>
          <w:szCs w:val="22"/>
        </w:rPr>
        <w:t>en el sentido de contestar lo solicitado</w:t>
      </w:r>
      <w:r w:rsidRPr="00C56FC5">
        <w:rPr>
          <w:rFonts w:ascii="Palatino Linotype" w:eastAsia="Palatino Linotype" w:hAnsi="Palatino Linotype" w:cs="Palatino Linotype"/>
          <w:sz w:val="22"/>
          <w:szCs w:val="22"/>
        </w:rPr>
        <w:t xml:space="preserve">, mientras que </w:t>
      </w:r>
      <w:r w:rsidRPr="00C56FC5">
        <w:rPr>
          <w:rFonts w:ascii="Palatino Linotype" w:eastAsia="Palatino Linotype" w:hAnsi="Palatino Linotype" w:cs="Palatino Linotype"/>
          <w:b/>
          <w:sz w:val="22"/>
          <w:szCs w:val="22"/>
          <w:u w:val="single"/>
        </w:rPr>
        <w:t>en el derecho de acceso a la información pública,</w:t>
      </w:r>
      <w:r w:rsidRPr="00C56FC5">
        <w:rPr>
          <w:rFonts w:ascii="Palatino Linotype" w:eastAsia="Palatino Linotype" w:hAnsi="Palatino Linotype" w:cs="Palatino Linotype"/>
          <w:b/>
          <w:sz w:val="22"/>
          <w:szCs w:val="22"/>
        </w:rPr>
        <w:t xml:space="preserve"> la pretensión radica en que se permita el acceso a datos y todo tipo de documentación que tenga el carácter de información pública, que sea generada, administrada o se encuentre en posesión de los</w:t>
      </w:r>
      <w:r w:rsidRPr="00C56FC5">
        <w:rPr>
          <w:rFonts w:ascii="Palatino Linotype" w:eastAsia="Palatino Linotype" w:hAnsi="Palatino Linotype" w:cs="Palatino Linotype"/>
          <w:sz w:val="22"/>
          <w:szCs w:val="22"/>
        </w:rPr>
        <w:t xml:space="preserve"> considerados </w:t>
      </w:r>
      <w:r w:rsidRPr="00C56FC5">
        <w:rPr>
          <w:rFonts w:ascii="Palatino Linotype" w:eastAsia="Palatino Linotype" w:hAnsi="Palatino Linotype" w:cs="Palatino Linotype"/>
          <w:b/>
          <w:sz w:val="22"/>
          <w:szCs w:val="22"/>
        </w:rPr>
        <w:t>Sujetos Obligados</w:t>
      </w:r>
      <w:r w:rsidRPr="00C56FC5">
        <w:rPr>
          <w:rFonts w:ascii="Palatino Linotype" w:eastAsia="Palatino Linotype" w:hAnsi="Palatino Linotype" w:cs="Palatino Linotype"/>
          <w:sz w:val="22"/>
          <w:szCs w:val="22"/>
        </w:rPr>
        <w:t xml:space="preserve"> por la Ley de la Materia.</w:t>
      </w:r>
    </w:p>
    <w:p w14:paraId="4C203871" w14:textId="100BF546" w:rsidR="00984D39" w:rsidRPr="00C56FC5" w:rsidRDefault="00984D39" w:rsidP="00984D39">
      <w:pPr>
        <w:spacing w:before="240" w:after="240" w:line="372" w:lineRule="auto"/>
        <w:jc w:val="both"/>
        <w:rPr>
          <w:rFonts w:ascii="Palatino Linotype" w:eastAsia="Palatino Linotype" w:hAnsi="Palatino Linotype"/>
          <w:sz w:val="22"/>
          <w:szCs w:val="22"/>
        </w:rPr>
      </w:pPr>
      <w:r w:rsidRPr="00C56FC5">
        <w:rPr>
          <w:rFonts w:ascii="Palatino Linotype" w:eastAsia="Palatino Linotype" w:hAnsi="Palatino Linotype" w:cs="Palatino Linotype"/>
          <w:sz w:val="22"/>
          <w:szCs w:val="22"/>
        </w:rPr>
        <w:t xml:space="preserve">Con base a lo anterior, se insiste que de la lectura de los requerimientos de información </w:t>
      </w:r>
      <w:r w:rsidRPr="00C56FC5">
        <w:rPr>
          <w:rFonts w:ascii="Palatino Linotype" w:eastAsia="Palatino Linotype" w:hAnsi="Palatino Linotype" w:cs="Palatino Linotype"/>
          <w:b/>
          <w:sz w:val="22"/>
          <w:szCs w:val="22"/>
          <w:u w:val="single"/>
        </w:rPr>
        <w:t xml:space="preserve">no se advierte que la persona solicitante pretenda el acceso a documentos previamente </w:t>
      </w:r>
      <w:r w:rsidRPr="00C56FC5">
        <w:rPr>
          <w:rFonts w:ascii="Palatino Linotype" w:eastAsia="Palatino Linotype" w:hAnsi="Palatino Linotype" w:cs="Palatino Linotype"/>
          <w:b/>
          <w:sz w:val="22"/>
          <w:szCs w:val="22"/>
          <w:u w:val="single"/>
        </w:rPr>
        <w:lastRenderedPageBreak/>
        <w:t>generados</w:t>
      </w:r>
      <w:r w:rsidRPr="00C56FC5">
        <w:rPr>
          <w:rFonts w:ascii="Palatino Linotype" w:eastAsia="Palatino Linotype" w:hAnsi="Palatino Linotype" w:cs="Palatino Linotype"/>
          <w:b/>
          <w:sz w:val="22"/>
          <w:szCs w:val="22"/>
        </w:rPr>
        <w:t>, s</w:t>
      </w:r>
      <w:r w:rsidRPr="00C56FC5">
        <w:rPr>
          <w:rFonts w:ascii="Palatino Linotype" w:eastAsia="Palatino Linotype" w:hAnsi="Palatino Linotype" w:cs="Palatino Linotype"/>
          <w:sz w:val="22"/>
          <w:szCs w:val="22"/>
        </w:rPr>
        <w:t xml:space="preserve">ino más bien, </w:t>
      </w:r>
      <w:r w:rsidRPr="00C56FC5">
        <w:rPr>
          <w:rFonts w:ascii="Palatino Linotype" w:eastAsia="Palatino Linotype" w:hAnsi="Palatino Linotype" w:cs="Palatino Linotype"/>
          <w:b/>
          <w:sz w:val="22"/>
          <w:szCs w:val="22"/>
          <w:u w:val="single"/>
        </w:rPr>
        <w:t>requiere un pronunciamiento específico por parte del Sujeto Obligado que dé respuesta a las inquietudes que plantea,</w:t>
      </w:r>
      <w:r w:rsidRPr="00C56FC5">
        <w:rPr>
          <w:rFonts w:ascii="Palatino Linotype" w:eastAsia="Palatino Linotype" w:hAnsi="Palatino Linotype"/>
          <w:sz w:val="22"/>
          <w:szCs w:val="22"/>
        </w:rPr>
        <w:t xml:space="preserve"> toda vez que </w:t>
      </w:r>
      <w:r w:rsidRPr="00C56FC5">
        <w:rPr>
          <w:rFonts w:ascii="Palatino Linotype" w:eastAsia="Palatino Linotype" w:hAnsi="Palatino Linotype"/>
          <w:b/>
          <w:sz w:val="22"/>
          <w:szCs w:val="22"/>
          <w:u w:val="single"/>
        </w:rPr>
        <w:t xml:space="preserve">lo que cuestiona son las razones por las cuales los trabajadores del Palacio Municipal están distribuidos de cierta forma, </w:t>
      </w:r>
      <w:r w:rsidR="007614D9" w:rsidRPr="00C56FC5">
        <w:rPr>
          <w:rFonts w:ascii="Palatino Linotype" w:eastAsia="Palatino Linotype" w:hAnsi="Palatino Linotype"/>
          <w:b/>
          <w:sz w:val="22"/>
          <w:szCs w:val="22"/>
          <w:u w:val="single"/>
        </w:rPr>
        <w:t>y se obliga a los trabajadores a que realicen alguna acción diferente a la que tienen encomendada sin protección y quien es la persona que los manda</w:t>
      </w:r>
      <w:r w:rsidR="00E14A76" w:rsidRPr="00C56FC5">
        <w:rPr>
          <w:rFonts w:ascii="Palatino Linotype" w:eastAsia="Palatino Linotype" w:hAnsi="Palatino Linotype"/>
          <w:b/>
          <w:sz w:val="22"/>
          <w:szCs w:val="22"/>
          <w:u w:val="single"/>
        </w:rPr>
        <w:t>,</w:t>
      </w:r>
      <w:r w:rsidR="00E14A76" w:rsidRPr="00C56FC5">
        <w:rPr>
          <w:rFonts w:ascii="Palatino Linotype" w:eastAsia="Palatino Linotype" w:hAnsi="Palatino Linotype"/>
          <w:b/>
          <w:sz w:val="22"/>
          <w:szCs w:val="22"/>
        </w:rPr>
        <w:t xml:space="preserve"> </w:t>
      </w:r>
      <w:r w:rsidR="00E14A76" w:rsidRPr="00C56FC5">
        <w:rPr>
          <w:rFonts w:ascii="Palatino Linotype" w:eastAsia="Palatino Linotype" w:hAnsi="Palatino Linotype"/>
          <w:sz w:val="22"/>
          <w:szCs w:val="22"/>
        </w:rPr>
        <w:t xml:space="preserve">situación que </w:t>
      </w:r>
      <w:r w:rsidR="00BD7F76" w:rsidRPr="00C56FC5">
        <w:rPr>
          <w:rFonts w:ascii="Palatino Linotype" w:eastAsia="Palatino Linotype" w:hAnsi="Palatino Linotype"/>
          <w:sz w:val="22"/>
          <w:szCs w:val="22"/>
        </w:rPr>
        <w:t>relata desde su perspectiva.</w:t>
      </w:r>
    </w:p>
    <w:p w14:paraId="1FAC58AA" w14:textId="77777777" w:rsidR="00BD7F76" w:rsidRPr="00C56FC5" w:rsidRDefault="00BD7F76" w:rsidP="00BD7F76">
      <w:pPr>
        <w:pBdr>
          <w:top w:val="nil"/>
          <w:left w:val="nil"/>
          <w:bottom w:val="nil"/>
          <w:right w:val="nil"/>
          <w:between w:val="nil"/>
        </w:pBdr>
        <w:spacing w:before="240" w:after="240" w:line="360" w:lineRule="auto"/>
        <w:ind w:right="99"/>
        <w:jc w:val="both"/>
        <w:rPr>
          <w:rFonts w:ascii="Palatino Linotype" w:eastAsia="Palatino Linotype" w:hAnsi="Palatino Linotype"/>
          <w:sz w:val="22"/>
          <w:szCs w:val="22"/>
        </w:rPr>
      </w:pPr>
      <w:r w:rsidRPr="00C56FC5">
        <w:rPr>
          <w:rFonts w:ascii="Palatino Linotype" w:eastAsia="Palatino Linotype" w:hAnsi="Palatino Linotype" w:cs="Palatino Linotype"/>
          <w:sz w:val="22"/>
          <w:szCs w:val="22"/>
        </w:rPr>
        <w:t xml:space="preserve">Atento a lo anterior, no debe perderse de vista que la entrega de una razón o la respuesta o atención a pronunciamientos que no encuentren en soporte documental alguno, no es algo que la Ley de la Materia establezca como atribución, derecho o facultad; pues ello implicaría emitir un juicio de valor referente a cuestionamientos realizados, los cuales como ha quedado explicado, al constituir </w:t>
      </w:r>
      <w:r w:rsidRPr="00C56FC5">
        <w:rPr>
          <w:rFonts w:ascii="Palatino Linotype" w:eastAsia="Palatino Linotype" w:hAnsi="Palatino Linotype" w:cs="Palatino Linotype"/>
          <w:b/>
          <w:sz w:val="22"/>
          <w:szCs w:val="22"/>
          <w:u w:val="single"/>
        </w:rPr>
        <w:t>interrogantes, inquietudes, quejas y manifestaciones</w:t>
      </w:r>
      <w:r w:rsidRPr="00C56FC5">
        <w:rPr>
          <w:rFonts w:ascii="Palatino Linotype" w:eastAsia="Palatino Linotype" w:hAnsi="Palatino Linotype" w:cs="Palatino Linotype"/>
          <w:sz w:val="22"/>
          <w:szCs w:val="22"/>
        </w:rPr>
        <w:t xml:space="preserve"> resultan estar encaminadas a ser satisfechas en ejercicio del derecho de petición.</w:t>
      </w:r>
    </w:p>
    <w:p w14:paraId="6ADEE76F" w14:textId="17758F3D" w:rsidR="00BD7F76" w:rsidRPr="00C56FC5" w:rsidRDefault="00BD7F76" w:rsidP="00BD7F76">
      <w:pPr>
        <w:pBdr>
          <w:top w:val="nil"/>
          <w:left w:val="nil"/>
          <w:bottom w:val="nil"/>
          <w:right w:val="nil"/>
          <w:between w:val="nil"/>
        </w:pBdr>
        <w:spacing w:before="240" w:after="240" w:line="360" w:lineRule="auto"/>
        <w:ind w:right="99"/>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Además, es de resaltar que este Instituto de Transparencia como Organismo Garante de difusión, protección y respeto al derecho de acceso a la información pública y a la protección de datos personales, conforme a su naturaleza jurídica y a sus atribuciones previstas en los artículos 29, 36 y 179 de la Ley de Transparencia y Acceso a la Información Pública del Estado de México y Municipios, es competente para resolver los recursos de revisión, cuando se niegue la información solicitada, se clasifique la información solicitada, se declare la inexistencia de lo solicitado, el Sujeto Obligado se declare incompetente para atender la solicitud de información, se entregue la información incompleta, se entregue información que no corresponda a lo solicitado, no se dé respuesta a la solicitud, se notifique o se ponga a disposición la información en un formato o modalidad distinto al solicitado, incomprensible o no accesible, respecto de los costos o tiempos de entrega de la información, cuando no se dé trámite a la solicitud, no se permita la consulta directa de la </w:t>
      </w:r>
      <w:r w:rsidRPr="00C56FC5">
        <w:rPr>
          <w:rFonts w:ascii="Palatino Linotype" w:eastAsia="Palatino Linotype" w:hAnsi="Palatino Linotype" w:cs="Palatino Linotype"/>
          <w:sz w:val="22"/>
          <w:szCs w:val="22"/>
        </w:rPr>
        <w:lastRenderedPageBreak/>
        <w:t xml:space="preserve">solicitud, se fundamente o motive deficientemente, y/o cuando se oriente a un trámite en específico; todo en ejercicio del derecho de acceso a la información pública, no así cuando se trate de un derecho de petición ejercido por un gobernado; en consecuencia, este Instinto no tiene atribuciones para pronunciarse respecto a las manifestaciones expuestas por la parte </w:t>
      </w:r>
      <w:r w:rsidRPr="00C56FC5">
        <w:rPr>
          <w:rFonts w:ascii="Palatino Linotype" w:eastAsia="Palatino Linotype" w:hAnsi="Palatino Linotype" w:cs="Palatino Linotype"/>
          <w:b/>
          <w:sz w:val="22"/>
          <w:szCs w:val="22"/>
        </w:rPr>
        <w:t>Recurrente,</w:t>
      </w:r>
      <w:r w:rsidRPr="00C56FC5">
        <w:rPr>
          <w:rFonts w:ascii="Palatino Linotype" w:eastAsia="Palatino Linotype" w:hAnsi="Palatino Linotype" w:cs="Palatino Linotype"/>
          <w:sz w:val="22"/>
          <w:szCs w:val="22"/>
        </w:rPr>
        <w:t xml:space="preserve"> esencialmente en virtud de que se advierte que el requerimiento de la persona solicitante es tendentes a que la autoridad aclare o actué sobre una inquietud, en consecuencia no es procedente ordenar la entrega de documento alguno, toda vez que no se pretendió el acceso a algún documento previamente generado, sino un pronunciamiento del </w:t>
      </w:r>
      <w:r w:rsidRPr="00C56FC5">
        <w:rPr>
          <w:rFonts w:ascii="Palatino Linotype" w:eastAsia="Palatino Linotype" w:hAnsi="Palatino Linotype" w:cs="Palatino Linotype"/>
          <w:b/>
          <w:sz w:val="22"/>
          <w:szCs w:val="22"/>
        </w:rPr>
        <w:t>Sujeto Obligado</w:t>
      </w:r>
      <w:r w:rsidRPr="00C56FC5">
        <w:rPr>
          <w:rFonts w:ascii="Palatino Linotype" w:eastAsia="Palatino Linotype" w:hAnsi="Palatino Linotype" w:cs="Palatino Linotype"/>
          <w:sz w:val="22"/>
          <w:szCs w:val="22"/>
        </w:rPr>
        <w:t>.</w:t>
      </w:r>
    </w:p>
    <w:p w14:paraId="1D9936A1" w14:textId="31D87F5E" w:rsidR="00871C8E" w:rsidRPr="00C56FC5" w:rsidRDefault="00BD7F76" w:rsidP="00871C8E">
      <w:pPr>
        <w:spacing w:before="240" w:after="240" w:line="360" w:lineRule="auto"/>
        <w:ind w:right="49"/>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Una vez establecido lo anterior, </w:t>
      </w:r>
      <w:r w:rsidR="00871C8E" w:rsidRPr="00C56FC5">
        <w:rPr>
          <w:rFonts w:ascii="Palatino Linotype" w:eastAsia="Palatino Linotype" w:hAnsi="Palatino Linotype" w:cs="Palatino Linotype"/>
          <w:sz w:val="22"/>
          <w:szCs w:val="22"/>
        </w:rPr>
        <w:t>es imprescindible mencionar que las Unidades de Transparencia, son el área responsable en cada Sujeto Obligado para dar atención a las solicitudes de información que se realicen al amparo de la Ley, el responsable de dicha área funge como enlace entre el Sujeto Obligado y los solicitantes, y tiene bajo su responsabilidad el tramitar internamente la solicitud de información.</w:t>
      </w:r>
    </w:p>
    <w:p w14:paraId="19D17AA9" w14:textId="77777777" w:rsidR="00871C8E" w:rsidRPr="00C56FC5" w:rsidRDefault="00871C8E" w:rsidP="00871C8E">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De tal manera que, si bien el Titular de la Unidad de Transparencia no tiene bajo su resguardo el archivo que contiene la documentación en donde consta la información solicitada, esta puede obrar en las distintas áreas que conforman la estructura orgánica del Sujeto Obligado, es por ello que debe turnar la solicitud al servidor público habilitado que tiene bajo su resguardo la misma, de conformidad con los artículos 53, fracciones II y IV y 162 de la Ley de Transparencia y Acceso a la Información Pública del Estado de México y Municipios.</w:t>
      </w:r>
    </w:p>
    <w:p w14:paraId="145B5367" w14:textId="77777777" w:rsidR="00871C8E" w:rsidRPr="00C56FC5" w:rsidRDefault="00871C8E" w:rsidP="00871C8E">
      <w:pPr>
        <w:spacing w:before="240" w:after="240" w:line="360" w:lineRule="auto"/>
        <w:ind w:right="51"/>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Por su parte, los servidores públicos habilitados, quienes son designados por el titular de cada Sujeto Obligado derivado de la propuesta del responsable de la Unidad de Transparencia, son las personas encargadas dentro de las diversas unidades administrativas o áreas de los Sujetos Obligados, de apoyar, gestionar y entregar la </w:t>
      </w:r>
      <w:r w:rsidRPr="00C56FC5">
        <w:rPr>
          <w:rFonts w:ascii="Palatino Linotype" w:eastAsia="Palatino Linotype" w:hAnsi="Palatino Linotype" w:cs="Palatino Linotype"/>
          <w:sz w:val="22"/>
          <w:szCs w:val="22"/>
        </w:rPr>
        <w:lastRenderedPageBreak/>
        <w:t>información o datos personales que se ubiquen en la misma, a sus respectivas unidades de transparencia; respecto de las solicitudes presentadas, y aportar en primera instancia el fundamento y motivación de la clasificación de la información, teniendo como función buscar, localizar y en su caso entregar la información solicitada, así como integrar y presentar al responsable de la Unidad de Transparencia la propuesta de clasificación de información, la cual tendrá los fundamentos y argumentos en que se basa dicha propuesta y verificar, una vez analizado el contenido de la información, que no se encuentre en los supuestos de información clasificada, de conformidad con los artículos 3, fracción XXXIX, 58 y 59, de la Ley de Transparencia y Acceso a la Información Pública del Estado de México y Municipios.</w:t>
      </w:r>
    </w:p>
    <w:p w14:paraId="0E9B5E21" w14:textId="77777777" w:rsidR="00871C8E" w:rsidRPr="00C56FC5" w:rsidRDefault="00871C8E" w:rsidP="00871C8E">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De lo manifestado con antelación se advierte que la persona Titular de la Unidad de Transparencia debe garantizar que las solicitudes se turnen a todas las áreas competentes que puedan contar con la información, con el objeto de que los servidores públicos habilitados realicen la búsqueda exhaustiva y razonable de la información solicitada, y que una vez localizada, la misma sea proporcionada a las personas solicitantes atendiendo a la naturaleza jurídica de la misma.</w:t>
      </w:r>
    </w:p>
    <w:p w14:paraId="1745EDB1" w14:textId="161E098E" w:rsidR="008E0084" w:rsidRPr="00C56FC5" w:rsidRDefault="00871C8E" w:rsidP="00871C8E">
      <w:pPr>
        <w:spacing w:before="240" w:after="240" w:line="360" w:lineRule="auto"/>
        <w:ind w:right="49"/>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Al respecto, es de suma importancia mencionar que, derivado del análisis de las constancias que obran en el expediente electrónico en el que se actúa, se advirtió que la Unidad de Transparencia </w:t>
      </w:r>
      <w:r w:rsidR="00B95B0A" w:rsidRPr="00C56FC5">
        <w:rPr>
          <w:rFonts w:ascii="Palatino Linotype" w:eastAsia="Palatino Linotype" w:hAnsi="Palatino Linotype" w:cs="Palatino Linotype"/>
          <w:sz w:val="22"/>
          <w:szCs w:val="22"/>
        </w:rPr>
        <w:t xml:space="preserve">NO </w:t>
      </w:r>
      <w:r w:rsidR="00252329" w:rsidRPr="00C56FC5">
        <w:rPr>
          <w:rFonts w:ascii="Palatino Linotype" w:eastAsia="Palatino Linotype" w:hAnsi="Palatino Linotype" w:cs="Palatino Linotype"/>
          <w:sz w:val="22"/>
          <w:szCs w:val="22"/>
        </w:rPr>
        <w:t>turn</w:t>
      </w:r>
      <w:r w:rsidR="00873AB8" w:rsidRPr="00C56FC5">
        <w:rPr>
          <w:rFonts w:ascii="Palatino Linotype" w:eastAsia="Palatino Linotype" w:hAnsi="Palatino Linotype" w:cs="Palatino Linotype"/>
          <w:sz w:val="22"/>
          <w:szCs w:val="22"/>
        </w:rPr>
        <w:t>ó</w:t>
      </w:r>
      <w:r w:rsidR="00252329" w:rsidRPr="00C56FC5">
        <w:rPr>
          <w:rFonts w:ascii="Palatino Linotype" w:eastAsia="Palatino Linotype" w:hAnsi="Palatino Linotype" w:cs="Palatino Linotype"/>
          <w:sz w:val="22"/>
          <w:szCs w:val="22"/>
        </w:rPr>
        <w:t xml:space="preserve"> la solicitud </w:t>
      </w:r>
      <w:r w:rsidR="00B95B0A" w:rsidRPr="00C56FC5">
        <w:rPr>
          <w:rFonts w:ascii="Palatino Linotype" w:eastAsia="Palatino Linotype" w:hAnsi="Palatino Linotype" w:cs="Palatino Linotype"/>
          <w:sz w:val="22"/>
          <w:szCs w:val="22"/>
        </w:rPr>
        <w:t xml:space="preserve">al </w:t>
      </w:r>
      <w:r w:rsidR="00252329" w:rsidRPr="00C56FC5">
        <w:rPr>
          <w:rFonts w:ascii="Palatino Linotype" w:eastAsia="Palatino Linotype" w:hAnsi="Palatino Linotype" w:cs="Palatino Linotype"/>
          <w:sz w:val="22"/>
          <w:szCs w:val="22"/>
        </w:rPr>
        <w:t>área competente para conocer de la información que es del interés de la persona solicitante</w:t>
      </w:r>
      <w:r w:rsidR="00B95B0A" w:rsidRPr="00C56FC5">
        <w:rPr>
          <w:rFonts w:ascii="Palatino Linotype" w:eastAsia="Palatino Linotype" w:hAnsi="Palatino Linotype" w:cs="Palatino Linotype"/>
          <w:sz w:val="22"/>
          <w:szCs w:val="22"/>
        </w:rPr>
        <w:t xml:space="preserve">, por lo tanto, no </w:t>
      </w:r>
      <w:r w:rsidR="00A424AD" w:rsidRPr="00C56FC5">
        <w:rPr>
          <w:rFonts w:ascii="Palatino Linotype" w:eastAsia="Palatino Linotype" w:hAnsi="Palatino Linotype" w:cs="Palatino Linotype"/>
          <w:sz w:val="22"/>
          <w:szCs w:val="22"/>
        </w:rPr>
        <w:t xml:space="preserve">se garantizó el procedimiento de búsqueda, el cual se constituye como la garantía primaria del derecho humano de acceso a la información pública, y se rige por los principios de simplicidad, rapidez, gratuidad del procedimiento, auxilio y orientación a los particulares con el fin de otorgar la protección más amplia de este derecho, al no haberse pronunciado el </w:t>
      </w:r>
      <w:r w:rsidR="006D4370" w:rsidRPr="00C56FC5">
        <w:rPr>
          <w:rFonts w:ascii="Palatino Linotype" w:eastAsia="Palatino Linotype" w:hAnsi="Palatino Linotype" w:cs="Palatino Linotype"/>
          <w:sz w:val="22"/>
          <w:szCs w:val="22"/>
        </w:rPr>
        <w:t xml:space="preserve">servidor público habilitado </w:t>
      </w:r>
      <w:r w:rsidR="00EA2325" w:rsidRPr="00C56FC5">
        <w:rPr>
          <w:rFonts w:ascii="Palatino Linotype" w:eastAsia="Palatino Linotype" w:hAnsi="Palatino Linotype" w:cs="Palatino Linotype"/>
          <w:sz w:val="22"/>
          <w:szCs w:val="22"/>
        </w:rPr>
        <w:t>del área competente.</w:t>
      </w:r>
    </w:p>
    <w:p w14:paraId="4EFC4428" w14:textId="4751A948" w:rsidR="00D3676B" w:rsidRPr="00C56FC5" w:rsidRDefault="00BC2E4B" w:rsidP="00D3676B">
      <w:pPr>
        <w:spacing w:before="240" w:after="240" w:line="360" w:lineRule="auto"/>
        <w:ind w:right="51"/>
        <w:jc w:val="both"/>
        <w:rPr>
          <w:rFonts w:ascii="Palatino Linotype" w:eastAsia="Palatino Linotype" w:hAnsi="Palatino Linotype" w:cs="Palatino Linotype"/>
          <w:bCs/>
          <w:sz w:val="22"/>
          <w:szCs w:val="22"/>
        </w:rPr>
      </w:pPr>
      <w:r w:rsidRPr="00C56FC5">
        <w:rPr>
          <w:rFonts w:ascii="Palatino Linotype" w:eastAsia="Palatino Linotype" w:hAnsi="Palatino Linotype" w:cs="Palatino Linotype"/>
          <w:bCs/>
          <w:sz w:val="22"/>
          <w:szCs w:val="22"/>
        </w:rPr>
        <w:lastRenderedPageBreak/>
        <w:t>En tal contexto, toda vez que no ha quedado satisfecho el Derecho de acceso de la persona solicitante, se estima necesario ordenar que, previa búsqueda exhaustiva y razonable</w:t>
      </w:r>
      <w:r w:rsidR="00C84A28" w:rsidRPr="00C56FC5">
        <w:rPr>
          <w:rFonts w:ascii="Palatino Linotype" w:eastAsia="Palatino Linotype" w:hAnsi="Palatino Linotype" w:cs="Palatino Linotype"/>
          <w:bCs/>
          <w:sz w:val="22"/>
          <w:szCs w:val="22"/>
        </w:rPr>
        <w:t xml:space="preserve"> en los archivos del área competente</w:t>
      </w:r>
      <w:r w:rsidRPr="00C56FC5">
        <w:rPr>
          <w:rFonts w:ascii="Palatino Linotype" w:eastAsia="Palatino Linotype" w:hAnsi="Palatino Linotype" w:cs="Palatino Linotype"/>
          <w:bCs/>
          <w:sz w:val="22"/>
          <w:szCs w:val="22"/>
        </w:rPr>
        <w:t>, se haga entrega del o los documentos que den cuenta de</w:t>
      </w:r>
      <w:r w:rsidR="00BF3FF9" w:rsidRPr="00C56FC5">
        <w:rPr>
          <w:rFonts w:ascii="Palatino Linotype" w:eastAsia="Palatino Linotype" w:hAnsi="Palatino Linotype" w:cs="Palatino Linotype"/>
          <w:bCs/>
          <w:sz w:val="22"/>
          <w:szCs w:val="22"/>
        </w:rPr>
        <w:t xml:space="preserve"> </w:t>
      </w:r>
      <w:r w:rsidRPr="00C56FC5">
        <w:rPr>
          <w:rFonts w:ascii="Palatino Linotype" w:eastAsia="Palatino Linotype" w:hAnsi="Palatino Linotype" w:cs="Palatino Linotype"/>
          <w:bCs/>
          <w:sz w:val="22"/>
          <w:szCs w:val="22"/>
        </w:rPr>
        <w:t>lo solicitado, en versión pública de ser procedente, de conformidad con el considerando siguiente.</w:t>
      </w:r>
    </w:p>
    <w:p w14:paraId="49D8E491" w14:textId="0BC05FEE" w:rsidR="00405976" w:rsidRPr="00C56FC5" w:rsidRDefault="00FD0FF9" w:rsidP="00FD0FF9">
      <w:pPr>
        <w:spacing w:before="240" w:after="240" w:line="360" w:lineRule="auto"/>
        <w:ind w:right="49"/>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Para efectos de lo anterior,</w:t>
      </w:r>
      <w:r w:rsidR="00BF3FF9" w:rsidRPr="00C56FC5">
        <w:rPr>
          <w:rFonts w:ascii="Palatino Linotype" w:eastAsia="Palatino Linotype" w:hAnsi="Palatino Linotype" w:cs="Palatino Linotype"/>
          <w:sz w:val="22"/>
          <w:szCs w:val="22"/>
        </w:rPr>
        <w:t xml:space="preserve"> es oportuno mencionar que </w:t>
      </w:r>
      <w:r w:rsidR="004D2A9D" w:rsidRPr="00C56FC5">
        <w:rPr>
          <w:rFonts w:ascii="Palatino Linotype" w:eastAsia="Palatino Linotype" w:hAnsi="Palatino Linotype" w:cs="Palatino Linotype"/>
          <w:sz w:val="22"/>
          <w:szCs w:val="22"/>
        </w:rPr>
        <w:t xml:space="preserve">de conformidad con </w:t>
      </w:r>
      <w:r w:rsidR="00F05E0E" w:rsidRPr="00C56FC5">
        <w:rPr>
          <w:rFonts w:ascii="Palatino Linotype" w:eastAsia="Palatino Linotype" w:hAnsi="Palatino Linotype" w:cs="Palatino Linotype"/>
          <w:sz w:val="22"/>
          <w:szCs w:val="22"/>
        </w:rPr>
        <w:t>los</w:t>
      </w:r>
      <w:r w:rsidR="004D2A9D" w:rsidRPr="00C56FC5">
        <w:rPr>
          <w:rFonts w:ascii="Palatino Linotype" w:eastAsia="Palatino Linotype" w:hAnsi="Palatino Linotype" w:cs="Palatino Linotype"/>
          <w:sz w:val="22"/>
          <w:szCs w:val="22"/>
        </w:rPr>
        <w:t xml:space="preserve"> artículo</w:t>
      </w:r>
      <w:r w:rsidR="00F05E0E" w:rsidRPr="00C56FC5">
        <w:rPr>
          <w:rFonts w:ascii="Palatino Linotype" w:eastAsia="Palatino Linotype" w:hAnsi="Palatino Linotype" w:cs="Palatino Linotype"/>
          <w:sz w:val="22"/>
          <w:szCs w:val="22"/>
        </w:rPr>
        <w:t>s</w:t>
      </w:r>
      <w:r w:rsidR="004D2A9D" w:rsidRPr="00C56FC5">
        <w:rPr>
          <w:rFonts w:ascii="Palatino Linotype" w:eastAsia="Palatino Linotype" w:hAnsi="Palatino Linotype" w:cs="Palatino Linotype"/>
          <w:sz w:val="22"/>
          <w:szCs w:val="22"/>
        </w:rPr>
        <w:t xml:space="preserve"> 33</w:t>
      </w:r>
      <w:r w:rsidR="00F05E0E" w:rsidRPr="00C56FC5">
        <w:rPr>
          <w:rFonts w:ascii="Palatino Linotype" w:eastAsia="Palatino Linotype" w:hAnsi="Palatino Linotype" w:cs="Palatino Linotype"/>
          <w:sz w:val="22"/>
          <w:szCs w:val="22"/>
        </w:rPr>
        <w:t xml:space="preserve"> y 79</w:t>
      </w:r>
      <w:r w:rsidR="004D2A9D" w:rsidRPr="00C56FC5">
        <w:rPr>
          <w:rFonts w:ascii="Palatino Linotype" w:eastAsia="Palatino Linotype" w:hAnsi="Palatino Linotype" w:cs="Palatino Linotype"/>
          <w:sz w:val="22"/>
          <w:szCs w:val="22"/>
        </w:rPr>
        <w:t xml:space="preserve"> del Bando Municipal de Jaltenco</w:t>
      </w:r>
      <w:r w:rsidR="00A97BCF" w:rsidRPr="00C56FC5">
        <w:rPr>
          <w:rFonts w:ascii="Palatino Linotype" w:eastAsia="Palatino Linotype" w:hAnsi="Palatino Linotype" w:cs="Palatino Linotype"/>
          <w:sz w:val="22"/>
          <w:szCs w:val="22"/>
        </w:rPr>
        <w:t xml:space="preserve"> </w:t>
      </w:r>
      <w:r w:rsidR="00F05E0E" w:rsidRPr="00C56FC5">
        <w:rPr>
          <w:rFonts w:ascii="Palatino Linotype" w:eastAsia="Palatino Linotype" w:hAnsi="Palatino Linotype" w:cs="Palatino Linotype"/>
          <w:sz w:val="22"/>
          <w:szCs w:val="22"/>
        </w:rPr>
        <w:t xml:space="preserve">vigente a la fecha de presentación de la solicitud, </w:t>
      </w:r>
      <w:r w:rsidR="00A97BCF" w:rsidRPr="00C56FC5">
        <w:rPr>
          <w:rFonts w:ascii="Palatino Linotype" w:eastAsia="Palatino Linotype" w:hAnsi="Palatino Linotype" w:cs="Palatino Linotype"/>
          <w:sz w:val="22"/>
          <w:szCs w:val="22"/>
        </w:rPr>
        <w:t xml:space="preserve">la administración pública municipal cuenta con la Dirección de Recursos Humanos, </w:t>
      </w:r>
      <w:r w:rsidR="00F05E0E" w:rsidRPr="00C56FC5">
        <w:rPr>
          <w:rFonts w:ascii="Palatino Linotype" w:eastAsia="Palatino Linotype" w:hAnsi="Palatino Linotype" w:cs="Palatino Linotype"/>
          <w:sz w:val="22"/>
          <w:szCs w:val="22"/>
        </w:rPr>
        <w:t>la cual es responsable de llevar a cabo el registro del personal  adscrito a las diversas pareas que integran la estructura orgánica del ayuntamiento, así como de atender las relaciones laborales.</w:t>
      </w:r>
    </w:p>
    <w:p w14:paraId="0D953373" w14:textId="77777777" w:rsidR="00F05E0E" w:rsidRPr="00C56FC5" w:rsidRDefault="00F05E0E" w:rsidP="00F05E0E">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Asimismo, el </w:t>
      </w:r>
      <w:r w:rsidRPr="00C56FC5">
        <w:rPr>
          <w:rFonts w:ascii="Palatino Linotype" w:eastAsia="Palatino Linotype" w:hAnsi="Palatino Linotype" w:cs="Palatino Linotype"/>
          <w:b/>
          <w:sz w:val="22"/>
          <w:szCs w:val="22"/>
        </w:rPr>
        <w:t xml:space="preserve">Sujeto Obligado </w:t>
      </w:r>
      <w:r w:rsidRPr="00C56FC5">
        <w:rPr>
          <w:rFonts w:ascii="Palatino Linotype" w:eastAsia="Palatino Linotype" w:hAnsi="Palatino Linotype" w:cs="Palatino Linotype"/>
          <w:sz w:val="22"/>
          <w:szCs w:val="22"/>
        </w:rPr>
        <w:t xml:space="preserve">se encuentra constreñido a entregar al Órgano Superior de Fiscalización del Estado de México, como parte de los informes trimestrales, la </w:t>
      </w:r>
      <w:r w:rsidRPr="00C56FC5">
        <w:rPr>
          <w:rFonts w:ascii="Palatino Linotype" w:eastAsia="Palatino Linotype" w:hAnsi="Palatino Linotype" w:cs="Palatino Linotype"/>
          <w:i/>
          <w:sz w:val="22"/>
          <w:szCs w:val="22"/>
        </w:rPr>
        <w:t>conciliación de nómina</w:t>
      </w:r>
      <w:r w:rsidRPr="00C56FC5">
        <w:rPr>
          <w:rFonts w:ascii="Palatino Linotype" w:eastAsia="Palatino Linotype" w:hAnsi="Palatino Linotype" w:cs="Palatino Linotype"/>
          <w:sz w:val="22"/>
          <w:szCs w:val="22"/>
        </w:rPr>
        <w:t>, como se desprende de los Lineamientos para la integración y presentación de los Informes Trimestrales Estatales y Municipales del Ejercicio Fiscal 2025, los cuales establecen el formato mediante el cual debe presentarse la información que integra dichos informes y los instructivos de llenado correspondientes.</w:t>
      </w:r>
    </w:p>
    <w:p w14:paraId="2FE384DE" w14:textId="77777777" w:rsidR="00F05E0E" w:rsidRPr="00C56FC5" w:rsidRDefault="00F05E0E" w:rsidP="00F05E0E">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De conformidad con los Lineamientos del ejercicio 2025, la información que generan los entes fiscalizables de carácter municipal con motivo de la nómina, se encuentra contenida en el Módulo 4 Información Administrativa, Submódulo Nómina (Plataforma Digital), como se muestra a continuación:</w:t>
      </w:r>
    </w:p>
    <w:p w14:paraId="466CF411" w14:textId="77777777" w:rsidR="00F05E0E" w:rsidRPr="00C56FC5" w:rsidRDefault="00F05E0E" w:rsidP="00F05E0E">
      <w:pPr>
        <w:spacing w:before="240" w:after="240" w:line="360" w:lineRule="auto"/>
        <w:jc w:val="center"/>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lastRenderedPageBreak/>
        <w:t xml:space="preserve"> </w:t>
      </w:r>
      <w:r w:rsidRPr="00C56FC5">
        <w:rPr>
          <w:rFonts w:ascii="Palatino Linotype" w:eastAsia="Palatino Linotype" w:hAnsi="Palatino Linotype" w:cs="Palatino Linotype"/>
          <w:noProof/>
          <w:sz w:val="22"/>
          <w:szCs w:val="22"/>
        </w:rPr>
        <w:drawing>
          <wp:inline distT="0" distB="0" distL="0" distR="0" wp14:anchorId="36D35B4D" wp14:editId="6562573C">
            <wp:extent cx="4046400" cy="1994400"/>
            <wp:effectExtent l="0" t="0" r="0" b="6350"/>
            <wp:docPr id="214013184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4046400" cy="1994400"/>
                    </a:xfrm>
                    <a:prstGeom prst="rect">
                      <a:avLst/>
                    </a:prstGeom>
                    <a:ln/>
                  </pic:spPr>
                </pic:pic>
              </a:graphicData>
            </a:graphic>
          </wp:inline>
        </w:drawing>
      </w:r>
    </w:p>
    <w:p w14:paraId="5CDC0B96" w14:textId="77777777" w:rsidR="00F05E0E" w:rsidRPr="00C56FC5" w:rsidRDefault="00F05E0E" w:rsidP="00F05E0E">
      <w:pPr>
        <w:spacing w:before="240" w:after="240" w:line="360" w:lineRule="auto"/>
        <w:jc w:val="center"/>
        <w:rPr>
          <w:rFonts w:ascii="Palatino Linotype" w:eastAsia="Palatino Linotype" w:hAnsi="Palatino Linotype" w:cs="Palatino Linotype"/>
          <w:sz w:val="22"/>
          <w:szCs w:val="22"/>
        </w:rPr>
      </w:pPr>
      <w:r w:rsidRPr="00C56FC5">
        <w:rPr>
          <w:noProof/>
          <w:sz w:val="22"/>
          <w:szCs w:val="22"/>
        </w:rPr>
        <mc:AlternateContent>
          <mc:Choice Requires="wps">
            <w:drawing>
              <wp:anchor distT="0" distB="0" distL="114300" distR="114300" simplePos="0" relativeHeight="251659264" behindDoc="0" locked="0" layoutInCell="1" hidden="0" allowOverlap="1" wp14:anchorId="08B996D4" wp14:editId="52DC0A6C">
                <wp:simplePos x="0" y="0"/>
                <wp:positionH relativeFrom="margin">
                  <wp:align>center</wp:align>
                </wp:positionH>
                <wp:positionV relativeFrom="paragraph">
                  <wp:posOffset>2004043</wp:posOffset>
                </wp:positionV>
                <wp:extent cx="4482879" cy="403654"/>
                <wp:effectExtent l="19050" t="19050" r="13335" b="15875"/>
                <wp:wrapNone/>
                <wp:docPr id="2140131839" name="Rectángulo 2140131839"/>
                <wp:cNvGraphicFramePr/>
                <a:graphic xmlns:a="http://schemas.openxmlformats.org/drawingml/2006/main">
                  <a:graphicData uri="http://schemas.microsoft.com/office/word/2010/wordprocessingShape">
                    <wps:wsp>
                      <wps:cNvSpPr/>
                      <wps:spPr>
                        <a:xfrm>
                          <a:off x="0" y="0"/>
                          <a:ext cx="4482879" cy="403654"/>
                        </a:xfrm>
                        <a:prstGeom prst="rect">
                          <a:avLst/>
                        </a:prstGeom>
                        <a:noFill/>
                        <a:ln w="38100" cap="flat" cmpd="sng">
                          <a:solidFill>
                            <a:srgbClr val="C00000"/>
                          </a:solidFill>
                          <a:prstDash val="solid"/>
                          <a:miter lim="800000"/>
                          <a:headEnd type="none" w="sm" len="sm"/>
                          <a:tailEnd type="none" w="sm" len="sm"/>
                        </a:ln>
                      </wps:spPr>
                      <wps:txbx>
                        <w:txbxContent>
                          <w:p w14:paraId="6E38D8CA" w14:textId="77777777" w:rsidR="00F05E0E" w:rsidRDefault="00F05E0E" w:rsidP="00F05E0E">
                            <w:pPr>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rect w14:anchorId="08B996D4" id="Rectángulo 2140131839" o:spid="_x0000_s1026" style="position:absolute;left:0;text-align:left;margin-left:0;margin-top:157.8pt;width:353pt;height:31.8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" filled="f" strokecolor="#c00000" strokeweight="3pt">
                <v:stroke startarrowwidth="narrow" startarrowlength="short" endarrowwidth="narrow" endarrowlength="short"/>
                <v:textbox inset="2.53958mm,2.53958mm,2.53958mm,2.53958mm">
                  <w:txbxContent>
                    <w:p w14:paraId="6E38D8CA" w14:textId="77777777" w:rsidR="00F05E0E" w:rsidRDefault="00F05E0E" w:rsidP="00F05E0E">
                      <w:pPr>
                        <w:textDirection w:val="btLr"/>
                      </w:pPr>
                    </w:p>
                  </w:txbxContent>
                </v:textbox>
                <w10:wrap anchorx="margin"/>
              </v:rect>
            </w:pict>
          </mc:Fallback>
        </mc:AlternateContent>
      </w:r>
      <w:r w:rsidRPr="00C56FC5">
        <w:rPr>
          <w:rFonts w:ascii="Palatino Linotype" w:eastAsia="Palatino Linotype" w:hAnsi="Palatino Linotype" w:cs="Palatino Linotype"/>
          <w:noProof/>
          <w:sz w:val="22"/>
          <w:szCs w:val="22"/>
        </w:rPr>
        <w:drawing>
          <wp:inline distT="0" distB="0" distL="0" distR="0" wp14:anchorId="5E88AF0B" wp14:editId="3CB022B8">
            <wp:extent cx="4500000" cy="2839326"/>
            <wp:effectExtent l="0" t="0" r="0" b="0"/>
            <wp:docPr id="214013184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b="18245"/>
                    <a:stretch>
                      <a:fillRect/>
                    </a:stretch>
                  </pic:blipFill>
                  <pic:spPr>
                    <a:xfrm>
                      <a:off x="0" y="0"/>
                      <a:ext cx="4500000" cy="2839326"/>
                    </a:xfrm>
                    <a:prstGeom prst="rect">
                      <a:avLst/>
                    </a:prstGeom>
                    <a:ln/>
                  </pic:spPr>
                </pic:pic>
              </a:graphicData>
            </a:graphic>
          </wp:inline>
        </w:drawing>
      </w:r>
    </w:p>
    <w:p w14:paraId="00B56A6A" w14:textId="1A08632D" w:rsidR="00F05E0E" w:rsidRPr="00C56FC5" w:rsidRDefault="00F05E0E" w:rsidP="00F05E0E">
      <w:pPr>
        <w:spacing w:before="240" w:after="240" w:line="360" w:lineRule="auto"/>
        <w:jc w:val="both"/>
        <w:rPr>
          <w:sz w:val="22"/>
          <w:szCs w:val="22"/>
        </w:rPr>
      </w:pPr>
      <w:r w:rsidRPr="00C56FC5">
        <w:rPr>
          <w:rFonts w:ascii="Palatino Linotype" w:eastAsia="Palatino Linotype" w:hAnsi="Palatino Linotype" w:cs="Palatino Linotype"/>
          <w:sz w:val="22"/>
          <w:szCs w:val="22"/>
        </w:rPr>
        <w:t>La finalidad de la conciliación de nómina consiste en presentar el concentrado mensual, de manera quincenal, de las cifras derivadas de todas las erogaciones realizadas por concepto de remuneraciones al trabajo, registradas en la nómina; las cuales deben de coincidir con las contenidas en los registros contables, por concepto de remuneraciones al trabajo personal.</w:t>
      </w:r>
    </w:p>
    <w:p w14:paraId="4AC00DB8" w14:textId="77777777" w:rsidR="00F05E0E" w:rsidRPr="00C56FC5" w:rsidRDefault="00F05E0E" w:rsidP="00F05E0E">
      <w:pPr>
        <w:spacing w:before="240" w:line="360" w:lineRule="auto"/>
        <w:ind w:right="49"/>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Y, debe presentarse a través de los formatos XLSX y TXT, siendo el primero el siguiente:</w:t>
      </w:r>
    </w:p>
    <w:p w14:paraId="44DB21F0" w14:textId="77777777" w:rsidR="00F05E0E" w:rsidRPr="00C56FC5" w:rsidRDefault="00F05E0E" w:rsidP="00F05E0E">
      <w:pPr>
        <w:spacing w:before="240" w:line="360" w:lineRule="auto"/>
        <w:ind w:right="49"/>
        <w:jc w:val="center"/>
        <w:rPr>
          <w:rFonts w:ascii="Palatino Linotype" w:eastAsia="Palatino Linotype" w:hAnsi="Palatino Linotype" w:cs="Palatino Linotype"/>
          <w:sz w:val="22"/>
          <w:szCs w:val="22"/>
        </w:rPr>
      </w:pPr>
      <w:r w:rsidRPr="00C56FC5">
        <w:rPr>
          <w:noProof/>
          <w:sz w:val="22"/>
          <w:szCs w:val="22"/>
        </w:rPr>
        <w:lastRenderedPageBreak/>
        <w:drawing>
          <wp:inline distT="0" distB="0" distL="0" distR="0" wp14:anchorId="4C30D1FF" wp14:editId="07F505B9">
            <wp:extent cx="4733925" cy="4198661"/>
            <wp:effectExtent l="0" t="0" r="0" b="0"/>
            <wp:docPr id="214013184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b="23204"/>
                    <a:stretch>
                      <a:fillRect/>
                    </a:stretch>
                  </pic:blipFill>
                  <pic:spPr>
                    <a:xfrm>
                      <a:off x="0" y="0"/>
                      <a:ext cx="4733925" cy="4198661"/>
                    </a:xfrm>
                    <a:prstGeom prst="rect">
                      <a:avLst/>
                    </a:prstGeom>
                    <a:ln/>
                  </pic:spPr>
                </pic:pic>
              </a:graphicData>
            </a:graphic>
          </wp:inline>
        </w:drawing>
      </w:r>
    </w:p>
    <w:p w14:paraId="25B1CE2E" w14:textId="77777777" w:rsidR="00F05E0E" w:rsidRPr="00C56FC5" w:rsidRDefault="00F05E0E" w:rsidP="00F05E0E">
      <w:pPr>
        <w:spacing w:before="240" w:line="360" w:lineRule="auto"/>
        <w:ind w:right="49"/>
        <w:jc w:val="center"/>
        <w:rPr>
          <w:rFonts w:ascii="Palatino Linotype" w:eastAsia="Palatino Linotype" w:hAnsi="Palatino Linotype" w:cs="Palatino Linotype"/>
          <w:sz w:val="22"/>
          <w:szCs w:val="22"/>
        </w:rPr>
      </w:pPr>
      <w:r w:rsidRPr="00C56FC5">
        <w:rPr>
          <w:noProof/>
          <w:sz w:val="22"/>
          <w:szCs w:val="22"/>
        </w:rPr>
        <w:drawing>
          <wp:inline distT="0" distB="0" distL="0" distR="0" wp14:anchorId="5DE934C4" wp14:editId="569A23A3">
            <wp:extent cx="4733925" cy="1224227"/>
            <wp:effectExtent l="0" t="0" r="0" b="0"/>
            <wp:docPr id="214013184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t="77682" b="-74"/>
                    <a:stretch>
                      <a:fillRect/>
                    </a:stretch>
                  </pic:blipFill>
                  <pic:spPr>
                    <a:xfrm>
                      <a:off x="0" y="0"/>
                      <a:ext cx="4733925" cy="1224227"/>
                    </a:xfrm>
                    <a:prstGeom prst="rect">
                      <a:avLst/>
                    </a:prstGeom>
                    <a:ln/>
                  </pic:spPr>
                </pic:pic>
              </a:graphicData>
            </a:graphic>
          </wp:inline>
        </w:drawing>
      </w:r>
    </w:p>
    <w:p w14:paraId="313F73F5" w14:textId="77777777" w:rsidR="00F05E0E" w:rsidRPr="00C56FC5" w:rsidRDefault="00F05E0E" w:rsidP="00F05E0E">
      <w:pPr>
        <w:spacing w:before="240" w:after="240" w:line="360" w:lineRule="auto"/>
        <w:ind w:right="49"/>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Para el llenado de dicho formato se deben observar las siguientes consideraciones:</w:t>
      </w:r>
    </w:p>
    <w:p w14:paraId="6A504F26" w14:textId="3A1496E0" w:rsidR="00F05E0E" w:rsidRPr="00C56FC5" w:rsidRDefault="00E85565" w:rsidP="00F05E0E">
      <w:pPr>
        <w:spacing w:before="240" w:after="240" w:line="360" w:lineRule="auto"/>
        <w:ind w:right="51"/>
        <w:jc w:val="center"/>
        <w:rPr>
          <w:rFonts w:ascii="Palatino Linotype" w:eastAsia="Palatino Linotype" w:hAnsi="Palatino Linotype" w:cs="Palatino Linotype"/>
          <w:sz w:val="22"/>
          <w:szCs w:val="22"/>
        </w:rPr>
      </w:pPr>
      <w:r w:rsidRPr="00C56FC5">
        <w:rPr>
          <w:noProof/>
          <w:sz w:val="22"/>
          <w:szCs w:val="22"/>
        </w:rPr>
        <w:lastRenderedPageBreak/>
        <mc:AlternateContent>
          <mc:Choice Requires="wps">
            <w:drawing>
              <wp:anchor distT="0" distB="0" distL="114300" distR="114300" simplePos="0" relativeHeight="251669504" behindDoc="0" locked="0" layoutInCell="1" allowOverlap="1" wp14:anchorId="305775BF" wp14:editId="086D23F8">
                <wp:simplePos x="0" y="0"/>
                <wp:positionH relativeFrom="margin">
                  <wp:posOffset>476250</wp:posOffset>
                </wp:positionH>
                <wp:positionV relativeFrom="paragraph">
                  <wp:posOffset>4207510</wp:posOffset>
                </wp:positionV>
                <wp:extent cx="4660231" cy="561975"/>
                <wp:effectExtent l="57150" t="38100" r="83820" b="104775"/>
                <wp:wrapNone/>
                <wp:docPr id="5" name="Rectángulo 5"/>
                <wp:cNvGraphicFramePr/>
                <a:graphic xmlns:a="http://schemas.openxmlformats.org/drawingml/2006/main">
                  <a:graphicData uri="http://schemas.microsoft.com/office/word/2010/wordprocessingShape">
                    <wps:wsp>
                      <wps:cNvSpPr/>
                      <wps:spPr>
                        <a:xfrm>
                          <a:off x="0" y="0"/>
                          <a:ext cx="4660231" cy="561975"/>
                        </a:xfrm>
                        <a:prstGeom prst="rect">
                          <a:avLst/>
                        </a:prstGeom>
                        <a:noFill/>
                        <a:ln w="38100">
                          <a:solidFill>
                            <a:srgbClr val="C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380277" id="Rectángulo 5" o:spid="_x0000_s1026" style="position:absolute;margin-left:37.5pt;margin-top:331.3pt;width:366.95pt;height:44.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" filled="f" strokecolor="#c00000" strokeweight="3pt">
                <v:shadow on="t" color="black" opacity="22937f" origin=",.5" offset="0,.63889mm"/>
                <w10:wrap anchorx="margin"/>
              </v:rect>
            </w:pict>
          </mc:Fallback>
        </mc:AlternateContent>
      </w:r>
      <w:r w:rsidR="00F05E0E" w:rsidRPr="00C56FC5">
        <w:rPr>
          <w:noProof/>
          <w:sz w:val="22"/>
          <w:szCs w:val="22"/>
        </w:rPr>
        <mc:AlternateContent>
          <mc:Choice Requires="wps">
            <w:drawing>
              <wp:anchor distT="0" distB="0" distL="114300" distR="114300" simplePos="0" relativeHeight="251665408" behindDoc="0" locked="0" layoutInCell="1" allowOverlap="1" wp14:anchorId="23346798" wp14:editId="1F239676">
                <wp:simplePos x="0" y="0"/>
                <wp:positionH relativeFrom="margin">
                  <wp:align>center</wp:align>
                </wp:positionH>
                <wp:positionV relativeFrom="paragraph">
                  <wp:posOffset>4951730</wp:posOffset>
                </wp:positionV>
                <wp:extent cx="4659630" cy="180975"/>
                <wp:effectExtent l="57150" t="38100" r="83820" b="104775"/>
                <wp:wrapNone/>
                <wp:docPr id="3" name="Rectángulo 3"/>
                <wp:cNvGraphicFramePr/>
                <a:graphic xmlns:a="http://schemas.openxmlformats.org/drawingml/2006/main">
                  <a:graphicData uri="http://schemas.microsoft.com/office/word/2010/wordprocessingShape">
                    <wps:wsp>
                      <wps:cNvSpPr/>
                      <wps:spPr>
                        <a:xfrm>
                          <a:off x="0" y="0"/>
                          <a:ext cx="4659630" cy="180975"/>
                        </a:xfrm>
                        <a:prstGeom prst="rect">
                          <a:avLst/>
                        </a:prstGeom>
                        <a:noFill/>
                        <a:ln w="38100">
                          <a:solidFill>
                            <a:srgbClr val="C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FF872" id="Rectángulo 3" o:spid="_x0000_s1026" style="position:absolute;margin-left:0;margin-top:389.9pt;width:366.9pt;height:14.2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" filled="f" strokecolor="#c00000" strokeweight="3pt">
                <v:shadow on="t" color="black" opacity="22937f" origin=",.5" offset="0,.63889mm"/>
                <w10:wrap anchorx="margin"/>
              </v:rect>
            </w:pict>
          </mc:Fallback>
        </mc:AlternateContent>
      </w:r>
      <w:r w:rsidR="00F05E0E" w:rsidRPr="00C56FC5">
        <w:rPr>
          <w:noProof/>
          <w:sz w:val="22"/>
          <w:szCs w:val="22"/>
        </w:rPr>
        <mc:AlternateContent>
          <mc:Choice Requires="wps">
            <w:drawing>
              <wp:anchor distT="0" distB="0" distL="114300" distR="114300" simplePos="0" relativeHeight="251662336" behindDoc="0" locked="0" layoutInCell="1" allowOverlap="1" wp14:anchorId="042CF6BD" wp14:editId="34F74944">
                <wp:simplePos x="0" y="0"/>
                <wp:positionH relativeFrom="margin">
                  <wp:align>center</wp:align>
                </wp:positionH>
                <wp:positionV relativeFrom="paragraph">
                  <wp:posOffset>3186430</wp:posOffset>
                </wp:positionV>
                <wp:extent cx="4660231" cy="723900"/>
                <wp:effectExtent l="57150" t="38100" r="83820" b="95250"/>
                <wp:wrapNone/>
                <wp:docPr id="8" name="Rectángulo 8"/>
                <wp:cNvGraphicFramePr/>
                <a:graphic xmlns:a="http://schemas.openxmlformats.org/drawingml/2006/main">
                  <a:graphicData uri="http://schemas.microsoft.com/office/word/2010/wordprocessingShape">
                    <wps:wsp>
                      <wps:cNvSpPr/>
                      <wps:spPr>
                        <a:xfrm>
                          <a:off x="0" y="0"/>
                          <a:ext cx="4660231" cy="723900"/>
                        </a:xfrm>
                        <a:prstGeom prst="rect">
                          <a:avLst/>
                        </a:prstGeom>
                        <a:noFill/>
                        <a:ln w="38100">
                          <a:solidFill>
                            <a:srgbClr val="C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9A8E5F" id="Rectángulo 8" o:spid="_x0000_s1026" style="position:absolute;margin-left:0;margin-top:250.9pt;width:366.95pt;height:57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" filled="f" strokecolor="#c00000" strokeweight="3pt">
                <v:shadow on="t" color="black" opacity="22937f" origin=",.5" offset="0,.63889mm"/>
                <w10:wrap anchorx="margin"/>
              </v:rect>
            </w:pict>
          </mc:Fallback>
        </mc:AlternateContent>
      </w:r>
      <w:r w:rsidR="00F05E0E" w:rsidRPr="00C56FC5">
        <w:rPr>
          <w:noProof/>
          <w:sz w:val="22"/>
          <w:szCs w:val="22"/>
        </w:rPr>
        <mc:AlternateContent>
          <mc:Choice Requires="wps">
            <w:drawing>
              <wp:anchor distT="0" distB="0" distL="114300" distR="114300" simplePos="0" relativeHeight="251660288" behindDoc="0" locked="0" layoutInCell="1" allowOverlap="1" wp14:anchorId="200F3CEA" wp14:editId="36EA5F77">
                <wp:simplePos x="0" y="0"/>
                <wp:positionH relativeFrom="margin">
                  <wp:posOffset>462915</wp:posOffset>
                </wp:positionH>
                <wp:positionV relativeFrom="paragraph">
                  <wp:posOffset>2827655</wp:posOffset>
                </wp:positionV>
                <wp:extent cx="4659630" cy="180975"/>
                <wp:effectExtent l="57150" t="38100" r="83820" b="104775"/>
                <wp:wrapNone/>
                <wp:docPr id="6" name="Rectángulo 6"/>
                <wp:cNvGraphicFramePr/>
                <a:graphic xmlns:a="http://schemas.openxmlformats.org/drawingml/2006/main">
                  <a:graphicData uri="http://schemas.microsoft.com/office/word/2010/wordprocessingShape">
                    <wps:wsp>
                      <wps:cNvSpPr/>
                      <wps:spPr>
                        <a:xfrm>
                          <a:off x="0" y="0"/>
                          <a:ext cx="4659630" cy="180975"/>
                        </a:xfrm>
                        <a:prstGeom prst="rect">
                          <a:avLst/>
                        </a:prstGeom>
                        <a:noFill/>
                        <a:ln w="38100">
                          <a:solidFill>
                            <a:srgbClr val="C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02314D" id="Rectángulo 6" o:spid="_x0000_s1026" style="position:absolute;margin-left:36.45pt;margin-top:222.65pt;width:366.9pt;height:14.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" filled="f" strokecolor="#c00000" strokeweight="3pt">
                <v:shadow on="t" color="black" opacity="22937f" origin=",.5" offset="0,.63889mm"/>
                <w10:wrap anchorx="margin"/>
              </v:rect>
            </w:pict>
          </mc:Fallback>
        </mc:AlternateContent>
      </w:r>
      <w:r w:rsidR="00F05E0E" w:rsidRPr="00C56FC5">
        <w:rPr>
          <w:noProof/>
          <w:sz w:val="22"/>
          <w:szCs w:val="22"/>
        </w:rPr>
        <mc:AlternateContent>
          <mc:Choice Requires="wps">
            <w:drawing>
              <wp:anchor distT="0" distB="0" distL="114300" distR="114300" simplePos="0" relativeHeight="251661312" behindDoc="0" locked="0" layoutInCell="1" allowOverlap="1" wp14:anchorId="114455D9" wp14:editId="19DFEB7D">
                <wp:simplePos x="0" y="0"/>
                <wp:positionH relativeFrom="margin">
                  <wp:align>center</wp:align>
                </wp:positionH>
                <wp:positionV relativeFrom="paragraph">
                  <wp:posOffset>1079500</wp:posOffset>
                </wp:positionV>
                <wp:extent cx="4660231" cy="561975"/>
                <wp:effectExtent l="57150" t="38100" r="83820" b="104775"/>
                <wp:wrapNone/>
                <wp:docPr id="7" name="Rectángulo 7"/>
                <wp:cNvGraphicFramePr/>
                <a:graphic xmlns:a="http://schemas.openxmlformats.org/drawingml/2006/main">
                  <a:graphicData uri="http://schemas.microsoft.com/office/word/2010/wordprocessingShape">
                    <wps:wsp>
                      <wps:cNvSpPr/>
                      <wps:spPr>
                        <a:xfrm>
                          <a:off x="0" y="0"/>
                          <a:ext cx="4660231" cy="561975"/>
                        </a:xfrm>
                        <a:prstGeom prst="rect">
                          <a:avLst/>
                        </a:prstGeom>
                        <a:noFill/>
                        <a:ln w="38100">
                          <a:solidFill>
                            <a:srgbClr val="C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B6864" id="Rectángulo 7" o:spid="_x0000_s1026" style="position:absolute;margin-left:0;margin-top:85pt;width:366.95pt;height:44.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" filled="f" strokecolor="#c00000" strokeweight="3pt">
                <v:shadow on="t" color="black" opacity="22937f" origin=",.5" offset="0,.63889mm"/>
                <w10:wrap anchorx="margin"/>
              </v:rect>
            </w:pict>
          </mc:Fallback>
        </mc:AlternateContent>
      </w:r>
      <w:r w:rsidR="00F05E0E" w:rsidRPr="00C56FC5">
        <w:rPr>
          <w:noProof/>
          <w:sz w:val="22"/>
          <w:szCs w:val="22"/>
        </w:rPr>
        <mc:AlternateContent>
          <mc:Choice Requires="wps">
            <w:drawing>
              <wp:anchor distT="0" distB="0" distL="114300" distR="114300" simplePos="0" relativeHeight="251663360" behindDoc="0" locked="0" layoutInCell="1" allowOverlap="1" wp14:anchorId="7255F549" wp14:editId="6BD5B375">
                <wp:simplePos x="0" y="0"/>
                <wp:positionH relativeFrom="margin">
                  <wp:posOffset>462915</wp:posOffset>
                </wp:positionH>
                <wp:positionV relativeFrom="paragraph">
                  <wp:posOffset>230488</wp:posOffset>
                </wp:positionV>
                <wp:extent cx="4659630" cy="247015"/>
                <wp:effectExtent l="57150" t="38100" r="83820" b="95885"/>
                <wp:wrapNone/>
                <wp:docPr id="9" name="Rectángulo 9"/>
                <wp:cNvGraphicFramePr/>
                <a:graphic xmlns:a="http://schemas.openxmlformats.org/drawingml/2006/main">
                  <a:graphicData uri="http://schemas.microsoft.com/office/word/2010/wordprocessingShape">
                    <wps:wsp>
                      <wps:cNvSpPr/>
                      <wps:spPr>
                        <a:xfrm>
                          <a:off x="0" y="0"/>
                          <a:ext cx="4659630" cy="247015"/>
                        </a:xfrm>
                        <a:prstGeom prst="rect">
                          <a:avLst/>
                        </a:prstGeom>
                        <a:noFill/>
                        <a:ln w="38100">
                          <a:solidFill>
                            <a:srgbClr val="C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1924C5" id="Rectángulo 9" o:spid="_x0000_s1026" style="position:absolute;margin-left:36.45pt;margin-top:18.15pt;width:366.9pt;height:19.4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" filled="f" strokecolor="#c00000" strokeweight="3pt">
                <v:shadow on="t" color="black" opacity="22937f" origin=",.5" offset="0,.63889mm"/>
                <w10:wrap anchorx="margin"/>
              </v:rect>
            </w:pict>
          </mc:Fallback>
        </mc:AlternateContent>
      </w:r>
      <w:r w:rsidR="00F05E0E" w:rsidRPr="00C56FC5">
        <w:rPr>
          <w:noProof/>
          <w:sz w:val="22"/>
          <w:szCs w:val="22"/>
        </w:rPr>
        <w:drawing>
          <wp:inline distT="0" distB="0" distL="0" distR="0" wp14:anchorId="41F9150A" wp14:editId="0BA8EAD1">
            <wp:extent cx="4644000" cy="1276864"/>
            <wp:effectExtent l="0" t="0" r="0" b="0"/>
            <wp:docPr id="21401318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4644000" cy="1276864"/>
                    </a:xfrm>
                    <a:prstGeom prst="rect">
                      <a:avLst/>
                    </a:prstGeom>
                    <a:ln/>
                  </pic:spPr>
                </pic:pic>
              </a:graphicData>
            </a:graphic>
          </wp:inline>
        </w:drawing>
      </w:r>
      <w:r w:rsidRPr="00C56FC5">
        <w:rPr>
          <w:noProof/>
          <w:sz w:val="22"/>
          <w:szCs w:val="22"/>
        </w:rPr>
        <mc:AlternateContent>
          <mc:Choice Requires="wps">
            <w:drawing>
              <wp:anchor distT="0" distB="0" distL="114300" distR="114300" simplePos="0" relativeHeight="251667456" behindDoc="0" locked="0" layoutInCell="1" allowOverlap="1" wp14:anchorId="3FFAC1A9" wp14:editId="11E4516E">
                <wp:simplePos x="0" y="0"/>
                <wp:positionH relativeFrom="margin">
                  <wp:posOffset>472440</wp:posOffset>
                </wp:positionH>
                <wp:positionV relativeFrom="paragraph">
                  <wp:posOffset>1360805</wp:posOffset>
                </wp:positionV>
                <wp:extent cx="4660231" cy="561975"/>
                <wp:effectExtent l="57150" t="38100" r="83820" b="104775"/>
                <wp:wrapNone/>
                <wp:docPr id="4" name="Rectángulo 4"/>
                <wp:cNvGraphicFramePr/>
                <a:graphic xmlns:a="http://schemas.openxmlformats.org/drawingml/2006/main">
                  <a:graphicData uri="http://schemas.microsoft.com/office/word/2010/wordprocessingShape">
                    <wps:wsp>
                      <wps:cNvSpPr/>
                      <wps:spPr>
                        <a:xfrm>
                          <a:off x="0" y="0"/>
                          <a:ext cx="4660231" cy="561975"/>
                        </a:xfrm>
                        <a:prstGeom prst="rect">
                          <a:avLst/>
                        </a:prstGeom>
                        <a:noFill/>
                        <a:ln w="38100">
                          <a:solidFill>
                            <a:srgbClr val="C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7742A1" id="Rectángulo 4" o:spid="_x0000_s1026" style="position:absolute;margin-left:37.2pt;margin-top:107.15pt;width:366.95pt;height:44.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" filled="f" strokecolor="#c00000" strokeweight="3pt">
                <v:shadow on="t" color="black" opacity="22937f" origin=",.5" offset="0,.63889mm"/>
                <w10:wrap anchorx="margin"/>
              </v:rect>
            </w:pict>
          </mc:Fallback>
        </mc:AlternateContent>
      </w:r>
      <w:r w:rsidR="00F05E0E" w:rsidRPr="00C56FC5">
        <w:rPr>
          <w:noProof/>
          <w:sz w:val="22"/>
          <w:szCs w:val="22"/>
        </w:rPr>
        <w:drawing>
          <wp:inline distT="0" distB="0" distL="0" distR="0" wp14:anchorId="6A4500A8" wp14:editId="743717BA">
            <wp:extent cx="4642622" cy="3952456"/>
            <wp:effectExtent l="0" t="0" r="0" b="0"/>
            <wp:docPr id="214013185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b="18981"/>
                    <a:stretch>
                      <a:fillRect/>
                    </a:stretch>
                  </pic:blipFill>
                  <pic:spPr>
                    <a:xfrm>
                      <a:off x="0" y="0"/>
                      <a:ext cx="4642622" cy="3952456"/>
                    </a:xfrm>
                    <a:prstGeom prst="rect">
                      <a:avLst/>
                    </a:prstGeom>
                    <a:ln/>
                  </pic:spPr>
                </pic:pic>
              </a:graphicData>
            </a:graphic>
          </wp:inline>
        </w:drawing>
      </w:r>
      <w:r w:rsidR="00F05E0E" w:rsidRPr="00C56FC5">
        <w:rPr>
          <w:noProof/>
          <w:sz w:val="22"/>
          <w:szCs w:val="22"/>
        </w:rPr>
        <w:drawing>
          <wp:inline distT="0" distB="0" distL="0" distR="0" wp14:anchorId="00962D97" wp14:editId="1C5FA671">
            <wp:extent cx="4642622" cy="881560"/>
            <wp:effectExtent l="0" t="0" r="0" b="0"/>
            <wp:docPr id="214013184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t="81504" b="424"/>
                    <a:stretch>
                      <a:fillRect/>
                    </a:stretch>
                  </pic:blipFill>
                  <pic:spPr>
                    <a:xfrm>
                      <a:off x="0" y="0"/>
                      <a:ext cx="4642622" cy="881560"/>
                    </a:xfrm>
                    <a:prstGeom prst="rect">
                      <a:avLst/>
                    </a:prstGeom>
                    <a:ln/>
                  </pic:spPr>
                </pic:pic>
              </a:graphicData>
            </a:graphic>
          </wp:inline>
        </w:drawing>
      </w:r>
    </w:p>
    <w:p w14:paraId="25F95A25" w14:textId="6C2A9EA2" w:rsidR="00F05E0E" w:rsidRPr="00C56FC5" w:rsidRDefault="00F05E0E" w:rsidP="00F05E0E">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Como se logra vislumbrar, el formato de conciliación de nómina que es remitido por los entes fiscalizables municipales al Órgano Superior de Fiscalización del Estado de México, como parte de los informes trimestrales para dar cumplimiento a sus obligaciones fiscales, contiene los rubros: Número Progresivo, </w:t>
      </w:r>
      <w:r w:rsidRPr="00C56FC5">
        <w:rPr>
          <w:rFonts w:ascii="Palatino Linotype" w:eastAsia="Palatino Linotype" w:hAnsi="Palatino Linotype" w:cs="Palatino Linotype"/>
          <w:sz w:val="22"/>
          <w:szCs w:val="22"/>
          <w:u w:val="single"/>
        </w:rPr>
        <w:t>Número de quincena,</w:t>
      </w:r>
      <w:r w:rsidRPr="00C56FC5">
        <w:rPr>
          <w:rFonts w:ascii="Palatino Linotype" w:eastAsia="Palatino Linotype" w:hAnsi="Palatino Linotype" w:cs="Palatino Linotype"/>
          <w:sz w:val="22"/>
          <w:szCs w:val="22"/>
        </w:rPr>
        <w:t xml:space="preserve"> Número de empleado, </w:t>
      </w:r>
      <w:r w:rsidRPr="00C56FC5">
        <w:rPr>
          <w:rFonts w:ascii="Palatino Linotype" w:eastAsia="Palatino Linotype" w:hAnsi="Palatino Linotype" w:cs="Palatino Linotype"/>
          <w:sz w:val="22"/>
          <w:szCs w:val="22"/>
        </w:rPr>
        <w:lastRenderedPageBreak/>
        <w:t xml:space="preserve">R.F.C, CURP, </w:t>
      </w:r>
      <w:r w:rsidRPr="00C56FC5">
        <w:rPr>
          <w:rFonts w:ascii="Palatino Linotype" w:eastAsia="Palatino Linotype" w:hAnsi="Palatino Linotype" w:cs="Palatino Linotype"/>
          <w:b/>
          <w:sz w:val="22"/>
          <w:szCs w:val="22"/>
          <w:u w:val="single"/>
        </w:rPr>
        <w:t>Número de seguridad social (ISSEMYM)</w:t>
      </w:r>
      <w:r w:rsidRPr="00C56FC5">
        <w:rPr>
          <w:rFonts w:ascii="Palatino Linotype" w:eastAsia="Palatino Linotype" w:hAnsi="Palatino Linotype" w:cs="Palatino Linotype"/>
          <w:sz w:val="22"/>
          <w:szCs w:val="22"/>
        </w:rPr>
        <w:t xml:space="preserve">, </w:t>
      </w:r>
      <w:r w:rsidRPr="00C56FC5">
        <w:rPr>
          <w:rFonts w:ascii="Palatino Linotype" w:eastAsia="Palatino Linotype" w:hAnsi="Palatino Linotype" w:cs="Palatino Linotype"/>
          <w:b/>
          <w:sz w:val="22"/>
          <w:szCs w:val="22"/>
          <w:u w:val="single"/>
        </w:rPr>
        <w:t>Nombre completo</w:t>
      </w:r>
      <w:r w:rsidRPr="00C56FC5">
        <w:rPr>
          <w:rFonts w:ascii="Palatino Linotype" w:eastAsia="Palatino Linotype" w:hAnsi="Palatino Linotype" w:cs="Palatino Linotype"/>
          <w:sz w:val="22"/>
          <w:szCs w:val="22"/>
          <w:u w:val="single"/>
        </w:rPr>
        <w:t>: Apellido Paterno, Apellido Materno, Nombre (s),</w:t>
      </w:r>
      <w:r w:rsidRPr="00C56FC5">
        <w:rPr>
          <w:rFonts w:ascii="Palatino Linotype" w:eastAsia="Palatino Linotype" w:hAnsi="Palatino Linotype" w:cs="Palatino Linotype"/>
          <w:sz w:val="22"/>
          <w:szCs w:val="22"/>
        </w:rPr>
        <w:t xml:space="preserve"> Fecha de alta, Fecha de baja, </w:t>
      </w:r>
      <w:r w:rsidRPr="00C56FC5">
        <w:rPr>
          <w:rFonts w:ascii="Palatino Linotype" w:eastAsia="Palatino Linotype" w:hAnsi="Palatino Linotype" w:cs="Palatino Linotype"/>
          <w:b/>
          <w:sz w:val="22"/>
          <w:szCs w:val="22"/>
        </w:rPr>
        <w:t>Puesto funcional</w:t>
      </w:r>
      <w:r w:rsidRPr="00C56FC5">
        <w:rPr>
          <w:rFonts w:ascii="Palatino Linotype" w:eastAsia="Palatino Linotype" w:hAnsi="Palatino Linotype" w:cs="Palatino Linotype"/>
          <w:sz w:val="22"/>
          <w:szCs w:val="22"/>
        </w:rPr>
        <w:t xml:space="preserve">, Nivel y/o rango, No. de horas laboradas, </w:t>
      </w:r>
      <w:r w:rsidRPr="00C56FC5">
        <w:rPr>
          <w:rFonts w:ascii="Palatino Linotype" w:eastAsia="Palatino Linotype" w:hAnsi="Palatino Linotype" w:cs="Palatino Linotype"/>
          <w:b/>
          <w:sz w:val="22"/>
          <w:szCs w:val="22"/>
          <w:u w:val="single"/>
        </w:rPr>
        <w:t>Adscripción</w:t>
      </w:r>
      <w:r w:rsidRPr="00C56FC5">
        <w:rPr>
          <w:rFonts w:ascii="Palatino Linotype" w:eastAsia="Palatino Linotype" w:hAnsi="Palatino Linotype" w:cs="Palatino Linotype"/>
          <w:b/>
          <w:sz w:val="22"/>
          <w:szCs w:val="22"/>
        </w:rPr>
        <w:t>,</w:t>
      </w:r>
      <w:r w:rsidRPr="00C56FC5">
        <w:rPr>
          <w:rFonts w:ascii="Palatino Linotype" w:eastAsia="Palatino Linotype" w:hAnsi="Palatino Linotype" w:cs="Palatino Linotype"/>
          <w:sz w:val="22"/>
          <w:szCs w:val="22"/>
        </w:rPr>
        <w:t xml:space="preserve"> Categoría: Confianza, Sindicalizado o Eventual; </w:t>
      </w:r>
      <w:r w:rsidRPr="00C56FC5">
        <w:rPr>
          <w:rFonts w:ascii="Palatino Linotype" w:eastAsia="Palatino Linotype" w:hAnsi="Palatino Linotype" w:cs="Palatino Linotype"/>
          <w:b/>
          <w:sz w:val="22"/>
          <w:szCs w:val="22"/>
          <w:u w:val="single"/>
        </w:rPr>
        <w:t>Percepciones ordinarias</w:t>
      </w:r>
      <w:r w:rsidRPr="00C56FC5">
        <w:rPr>
          <w:rFonts w:ascii="Palatino Linotype" w:eastAsia="Palatino Linotype" w:hAnsi="Palatino Linotype" w:cs="Palatino Linotype"/>
          <w:sz w:val="22"/>
          <w:szCs w:val="22"/>
        </w:rPr>
        <w:t xml:space="preserve"> (de acuerdo al tabulador), </w:t>
      </w:r>
      <w:r w:rsidRPr="00C56FC5">
        <w:rPr>
          <w:rFonts w:ascii="Palatino Linotype" w:eastAsia="Palatino Linotype" w:hAnsi="Palatino Linotype" w:cs="Palatino Linotype"/>
          <w:b/>
          <w:sz w:val="22"/>
          <w:szCs w:val="22"/>
          <w:u w:val="single"/>
        </w:rPr>
        <w:t>Percepciones extraordinarias</w:t>
      </w:r>
      <w:r w:rsidRPr="00C56FC5">
        <w:rPr>
          <w:rFonts w:ascii="Palatino Linotype" w:eastAsia="Palatino Linotype" w:hAnsi="Palatino Linotype" w:cs="Palatino Linotype"/>
          <w:sz w:val="22"/>
          <w:szCs w:val="22"/>
        </w:rPr>
        <w:t xml:space="preserve">, </w:t>
      </w:r>
      <w:r w:rsidRPr="00C56FC5">
        <w:rPr>
          <w:rFonts w:ascii="Palatino Linotype" w:eastAsia="Palatino Linotype" w:hAnsi="Palatino Linotype" w:cs="Palatino Linotype"/>
          <w:b/>
          <w:sz w:val="22"/>
          <w:szCs w:val="22"/>
          <w:u w:val="single"/>
        </w:rPr>
        <w:t>Total de percepciones brutas;</w:t>
      </w:r>
      <w:r w:rsidRPr="00C56FC5">
        <w:rPr>
          <w:rFonts w:ascii="Palatino Linotype" w:eastAsia="Palatino Linotype" w:hAnsi="Palatino Linotype" w:cs="Palatino Linotype"/>
          <w:b/>
          <w:sz w:val="22"/>
          <w:szCs w:val="22"/>
        </w:rPr>
        <w:t xml:space="preserve"> Deducciones; Total de deducciones, </w:t>
      </w:r>
      <w:r w:rsidRPr="00C56FC5">
        <w:rPr>
          <w:rFonts w:ascii="Palatino Linotype" w:eastAsia="Palatino Linotype" w:hAnsi="Palatino Linotype" w:cs="Palatino Linotype"/>
          <w:b/>
          <w:sz w:val="22"/>
          <w:szCs w:val="22"/>
          <w:u w:val="single"/>
        </w:rPr>
        <w:t>Total neto</w:t>
      </w:r>
      <w:r w:rsidRPr="00C56FC5">
        <w:rPr>
          <w:rFonts w:ascii="Palatino Linotype" w:eastAsia="Palatino Linotype" w:hAnsi="Palatino Linotype" w:cs="Palatino Linotype"/>
          <w:sz w:val="22"/>
          <w:szCs w:val="22"/>
          <w:u w:val="single"/>
        </w:rPr>
        <w:t>,</w:t>
      </w:r>
      <w:r w:rsidRPr="00C56FC5">
        <w:rPr>
          <w:rFonts w:ascii="Palatino Linotype" w:eastAsia="Palatino Linotype" w:hAnsi="Palatino Linotype" w:cs="Palatino Linotype"/>
          <w:sz w:val="22"/>
          <w:szCs w:val="22"/>
        </w:rPr>
        <w:t xml:space="preserve"> Días pagados, Nombre de la fuente de financiamiento, Póliza, y Medio de pago.</w:t>
      </w:r>
    </w:p>
    <w:p w14:paraId="6A040226" w14:textId="1CA58AE2" w:rsidR="00F05E0E" w:rsidRPr="00C56FC5" w:rsidRDefault="00F05E0E" w:rsidP="00F05E0E">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Por consiguiente, se estima que el documento a través del cual el </w:t>
      </w:r>
      <w:r w:rsidRPr="00C56FC5">
        <w:rPr>
          <w:rFonts w:ascii="Palatino Linotype" w:eastAsia="Palatino Linotype" w:hAnsi="Palatino Linotype" w:cs="Palatino Linotype"/>
          <w:b/>
          <w:sz w:val="22"/>
          <w:szCs w:val="22"/>
        </w:rPr>
        <w:t>Sujeto Obligado</w:t>
      </w:r>
      <w:r w:rsidRPr="00C56FC5">
        <w:rPr>
          <w:rFonts w:ascii="Palatino Linotype" w:eastAsia="Palatino Linotype" w:hAnsi="Palatino Linotype" w:cs="Palatino Linotype"/>
          <w:sz w:val="22"/>
          <w:szCs w:val="22"/>
        </w:rPr>
        <w:t xml:space="preserve"> puede colmar la pretensión de la persona solicitante, es la conciliación de nómina de la primera y segunda quincena de septiembre de dos mil veinticinco, </w:t>
      </w:r>
      <w:r w:rsidRPr="00C56FC5">
        <w:rPr>
          <w:rFonts w:ascii="Palatino Linotype" w:eastAsia="Palatino Linotype" w:hAnsi="Palatino Linotype" w:cs="Palatino Linotype"/>
          <w:b/>
          <w:sz w:val="22"/>
          <w:szCs w:val="22"/>
          <w:u w:val="single"/>
        </w:rPr>
        <w:t>de cuyo análisis podrá advertir el nombre completo de los servidores públicos, el área de adscripción</w:t>
      </w:r>
      <w:r w:rsidR="005B102B" w:rsidRPr="00C56FC5">
        <w:rPr>
          <w:rFonts w:ascii="Palatino Linotype" w:eastAsia="Palatino Linotype" w:hAnsi="Palatino Linotype" w:cs="Palatino Linotype"/>
          <w:b/>
          <w:sz w:val="22"/>
          <w:szCs w:val="22"/>
          <w:u w:val="single"/>
        </w:rPr>
        <w:t xml:space="preserve"> -donde podrá advertir que personas están adscritas a la presidencia municipal-</w:t>
      </w:r>
      <w:r w:rsidRPr="00C56FC5">
        <w:rPr>
          <w:rFonts w:ascii="Palatino Linotype" w:eastAsia="Palatino Linotype" w:hAnsi="Palatino Linotype" w:cs="Palatino Linotype"/>
          <w:b/>
          <w:sz w:val="22"/>
          <w:szCs w:val="22"/>
          <w:u w:val="single"/>
        </w:rPr>
        <w:t xml:space="preserve">, el tipo de seguridad social con la que cuentan, </w:t>
      </w:r>
      <w:r w:rsidR="00EE55D3" w:rsidRPr="00C56FC5">
        <w:rPr>
          <w:rFonts w:ascii="Palatino Linotype" w:eastAsia="Palatino Linotype" w:hAnsi="Palatino Linotype" w:cs="Palatino Linotype"/>
          <w:b/>
          <w:sz w:val="22"/>
          <w:szCs w:val="22"/>
          <w:u w:val="single"/>
        </w:rPr>
        <w:t xml:space="preserve">las prestaciones con las que cuentan, así como </w:t>
      </w:r>
      <w:r w:rsidRPr="00C56FC5">
        <w:rPr>
          <w:rFonts w:ascii="Palatino Linotype" w:eastAsia="Palatino Linotype" w:hAnsi="Palatino Linotype" w:cs="Palatino Linotype"/>
          <w:b/>
          <w:sz w:val="22"/>
          <w:szCs w:val="22"/>
          <w:u w:val="single"/>
        </w:rPr>
        <w:t>su sueldo mensual br</w:t>
      </w:r>
      <w:r w:rsidR="00EE55D3" w:rsidRPr="00C56FC5">
        <w:rPr>
          <w:rFonts w:ascii="Palatino Linotype" w:eastAsia="Palatino Linotype" w:hAnsi="Palatino Linotype" w:cs="Palatino Linotype"/>
          <w:b/>
          <w:sz w:val="22"/>
          <w:szCs w:val="22"/>
          <w:u w:val="single"/>
        </w:rPr>
        <w:t xml:space="preserve">uto y neto, </w:t>
      </w:r>
      <w:r w:rsidRPr="00C56FC5">
        <w:rPr>
          <w:rFonts w:ascii="Palatino Linotype" w:eastAsia="Palatino Linotype" w:hAnsi="Palatino Linotype" w:cs="Palatino Linotype"/>
          <w:sz w:val="22"/>
          <w:szCs w:val="22"/>
        </w:rPr>
        <w:t>cuya entrega es procedente en versión pública, de conformidad con el considerando siguiente.</w:t>
      </w:r>
    </w:p>
    <w:p w14:paraId="3C5ABD54" w14:textId="42ECEA1D" w:rsidR="00EE55D3" w:rsidRPr="00C56FC5" w:rsidRDefault="00EE55D3" w:rsidP="00EE55D3">
      <w:pPr>
        <w:spacing w:before="240" w:after="240" w:line="360" w:lineRule="auto"/>
        <w:ind w:right="51"/>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En mérito de todo lo expuesto, ante las razones o motivos de inconformidad hechos valer por la parte</w:t>
      </w:r>
      <w:r w:rsidRPr="00C56FC5">
        <w:rPr>
          <w:rFonts w:ascii="Palatino Linotype" w:eastAsia="Palatino Linotype" w:hAnsi="Palatino Linotype" w:cs="Palatino Linotype"/>
          <w:b/>
          <w:sz w:val="22"/>
          <w:szCs w:val="22"/>
        </w:rPr>
        <w:t xml:space="preserve"> Recurrente, </w:t>
      </w:r>
      <w:r w:rsidRPr="00C56FC5">
        <w:rPr>
          <w:rFonts w:ascii="Palatino Linotype" w:eastAsia="Palatino Linotype" w:hAnsi="Palatino Linotype" w:cs="Palatino Linotype"/>
          <w:sz w:val="22"/>
          <w:szCs w:val="22"/>
        </w:rPr>
        <w:t xml:space="preserve">este Instituto estima que lo dable es </w:t>
      </w:r>
      <w:r w:rsidRPr="00C56FC5">
        <w:rPr>
          <w:rFonts w:ascii="Palatino Linotype" w:eastAsia="Palatino Linotype" w:hAnsi="Palatino Linotype" w:cs="Palatino Linotype"/>
          <w:i/>
          <w:sz w:val="22"/>
          <w:szCs w:val="22"/>
        </w:rPr>
        <w:t>Ordenar</w:t>
      </w:r>
      <w:r w:rsidRPr="00C56FC5">
        <w:rPr>
          <w:rFonts w:ascii="Palatino Linotype" w:eastAsia="Palatino Linotype" w:hAnsi="Palatino Linotype" w:cs="Palatino Linotype"/>
          <w:sz w:val="22"/>
          <w:szCs w:val="22"/>
        </w:rPr>
        <w:t xml:space="preserve"> al </w:t>
      </w:r>
      <w:r w:rsidRPr="00C56FC5">
        <w:rPr>
          <w:rFonts w:ascii="Palatino Linotype" w:eastAsia="Palatino Linotype" w:hAnsi="Palatino Linotype" w:cs="Palatino Linotype"/>
          <w:b/>
          <w:sz w:val="22"/>
          <w:szCs w:val="22"/>
        </w:rPr>
        <w:t>Sujeto Obligado</w:t>
      </w:r>
      <w:r w:rsidRPr="00C56FC5">
        <w:rPr>
          <w:rFonts w:ascii="Palatino Linotype" w:eastAsia="Palatino Linotype" w:hAnsi="Palatino Linotype" w:cs="Palatino Linotype"/>
          <w:sz w:val="22"/>
          <w:szCs w:val="22"/>
        </w:rPr>
        <w:t xml:space="preserve"> atienda la solicitud de acceso a la información en los términos ya precisados.</w:t>
      </w:r>
    </w:p>
    <w:p w14:paraId="5AF59EFB" w14:textId="3A19E471" w:rsidR="00B51C20" w:rsidRPr="00C56FC5" w:rsidRDefault="00B51C20" w:rsidP="00B51C20">
      <w:pPr>
        <w:spacing w:before="240" w:after="240" w:line="360" w:lineRule="auto"/>
        <w:ind w:right="51"/>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Finalmente, respecto de las manifestaciones realizadas por la parte </w:t>
      </w:r>
      <w:r w:rsidRPr="00C56FC5">
        <w:rPr>
          <w:rFonts w:ascii="Palatino Linotype" w:eastAsia="Palatino Linotype" w:hAnsi="Palatino Linotype" w:cs="Palatino Linotype"/>
          <w:b/>
          <w:bCs/>
          <w:sz w:val="22"/>
          <w:szCs w:val="22"/>
        </w:rPr>
        <w:t>Recurrente</w:t>
      </w:r>
      <w:r w:rsidRPr="00C56FC5">
        <w:rPr>
          <w:rFonts w:ascii="Palatino Linotype" w:eastAsia="Palatino Linotype" w:hAnsi="Palatino Linotype" w:cs="Palatino Linotype"/>
          <w:sz w:val="22"/>
          <w:szCs w:val="22"/>
        </w:rPr>
        <w:t xml:space="preserve"> como razones o motivos de inconformidad, consistentes en </w:t>
      </w:r>
      <w:r w:rsidRPr="00C56FC5">
        <w:rPr>
          <w:rFonts w:ascii="Palatino Linotype" w:eastAsia="Palatino Linotype" w:hAnsi="Palatino Linotype" w:cs="Palatino Linotype"/>
          <w:i/>
          <w:iCs/>
          <w:sz w:val="22"/>
          <w:szCs w:val="22"/>
        </w:rPr>
        <w:t>“…SE LE PIDE A ESTA AUTORIDAD DE VOLVER A NEGAR A PROPORCIONAR LO SOLICITADO SE LE SANCIONE DE MANERA DIRECTA A LA TITULAR DE TRANSPARIENCIA…” (sic)</w:t>
      </w:r>
      <w:r w:rsidRPr="00C56FC5">
        <w:rPr>
          <w:rFonts w:ascii="Palatino Linotype" w:eastAsia="Palatino Linotype" w:hAnsi="Palatino Linotype" w:cs="Palatino Linotype"/>
          <w:sz w:val="22"/>
          <w:szCs w:val="22"/>
        </w:rPr>
        <w:t>; y derivado que el Recurso de Revisión no es el medio para sancionar, este Organismo Garante sugiere a la persona solicitante, interponer su queja o denuncia ante la autoridad competente.</w:t>
      </w:r>
    </w:p>
    <w:p w14:paraId="39AD8106" w14:textId="77777777" w:rsidR="00EE55D3" w:rsidRPr="00C56FC5" w:rsidRDefault="00EE55D3" w:rsidP="00EE55D3">
      <w:pPr>
        <w:spacing w:before="240" w:after="240" w:line="360" w:lineRule="auto"/>
        <w:ind w:right="51"/>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b/>
          <w:sz w:val="22"/>
          <w:szCs w:val="22"/>
        </w:rPr>
        <w:t xml:space="preserve">Quinto. Versión Pública. </w:t>
      </w:r>
      <w:r w:rsidRPr="00C56FC5">
        <w:rPr>
          <w:rFonts w:ascii="Palatino Linotype" w:eastAsia="Palatino Linotype" w:hAnsi="Palatino Linotype" w:cs="Palatino Linotype"/>
          <w:sz w:val="22"/>
          <w:szCs w:val="22"/>
        </w:rPr>
        <w:t>Cómo fue debidamente apuntado, el </w:t>
      </w:r>
      <w:r w:rsidRPr="00C56FC5">
        <w:rPr>
          <w:rFonts w:ascii="Palatino Linotype" w:eastAsia="Palatino Linotype" w:hAnsi="Palatino Linotype" w:cs="Palatino Linotype"/>
          <w:b/>
          <w:sz w:val="22"/>
          <w:szCs w:val="22"/>
        </w:rPr>
        <w:t>Sujeto Obligado</w:t>
      </w:r>
      <w:r w:rsidRPr="00C56FC5">
        <w:rPr>
          <w:rFonts w:ascii="Palatino Linotype" w:eastAsia="Palatino Linotype" w:hAnsi="Palatino Linotype" w:cs="Palatino Linotype"/>
          <w:sz w:val="22"/>
          <w:szCs w:val="22"/>
        </w:rPr>
        <w:t xml:space="preserve"> debe satisfacer la solicitud de acceso a la información; sin embargo, dada la naturaleza de la </w:t>
      </w:r>
      <w:r w:rsidRPr="00C56FC5">
        <w:rPr>
          <w:rFonts w:ascii="Palatino Linotype" w:eastAsia="Palatino Linotype" w:hAnsi="Palatino Linotype" w:cs="Palatino Linotype"/>
          <w:sz w:val="22"/>
          <w:szCs w:val="22"/>
        </w:rPr>
        <w:lastRenderedPageBreak/>
        <w:t>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14:paraId="503B98E6" w14:textId="77777777" w:rsidR="00EE55D3" w:rsidRPr="00C56FC5" w:rsidRDefault="00EE55D3" w:rsidP="00EE55D3">
      <w:pPr>
        <w:spacing w:before="240" w:after="240" w:line="360" w:lineRule="auto"/>
        <w:ind w:right="49"/>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1965819B" w14:textId="77777777" w:rsidR="00EE55D3" w:rsidRPr="00C56FC5" w:rsidRDefault="00EE55D3" w:rsidP="00EE55D3">
      <w:pPr>
        <w:spacing w:before="240" w:after="240" w:line="360" w:lineRule="auto"/>
        <w:ind w:right="49"/>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6629C6D0" w14:textId="77777777" w:rsidR="00EE55D3" w:rsidRPr="00C56FC5" w:rsidRDefault="00EE55D3" w:rsidP="00EE55D3">
      <w:pPr>
        <w:spacing w:before="240" w:after="240" w:line="360" w:lineRule="auto"/>
        <w:ind w:right="49"/>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Al respecto, los artículos 3, fracciones IX, XX, XXI, XXXII, XLV; 6, 91, 132, 137, 143, fracción I, de la Ley de Transparencia y Acceso a la Información Pública del Estado de México y Municipios vigente establecen:</w:t>
      </w:r>
    </w:p>
    <w:p w14:paraId="6BBCF98B"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sz w:val="22"/>
          <w:szCs w:val="22"/>
        </w:rPr>
        <w:t> </w:t>
      </w:r>
      <w:r w:rsidRPr="00C56FC5">
        <w:rPr>
          <w:rFonts w:ascii="Palatino Linotype" w:eastAsia="Palatino Linotype" w:hAnsi="Palatino Linotype" w:cs="Palatino Linotype"/>
          <w:i/>
          <w:sz w:val="22"/>
          <w:szCs w:val="22"/>
        </w:rPr>
        <w:t>“</w:t>
      </w:r>
      <w:r w:rsidRPr="00C56FC5">
        <w:rPr>
          <w:rFonts w:ascii="Palatino Linotype" w:eastAsia="Palatino Linotype" w:hAnsi="Palatino Linotype" w:cs="Palatino Linotype"/>
          <w:b/>
          <w:i/>
          <w:sz w:val="22"/>
          <w:szCs w:val="22"/>
        </w:rPr>
        <w:t>Artículo 3.</w:t>
      </w:r>
      <w:r w:rsidRPr="00C56FC5">
        <w:rPr>
          <w:rFonts w:ascii="Palatino Linotype" w:eastAsia="Palatino Linotype" w:hAnsi="Palatino Linotype" w:cs="Palatino Linotype"/>
          <w:i/>
          <w:sz w:val="22"/>
          <w:szCs w:val="22"/>
        </w:rPr>
        <w:t xml:space="preserve"> Para los efectos de la presente Ley se entenderá por:</w:t>
      </w:r>
    </w:p>
    <w:p w14:paraId="4BBE3D7C" w14:textId="77777777" w:rsidR="00EE55D3" w:rsidRPr="00C56FC5" w:rsidRDefault="00EE55D3" w:rsidP="00EE55D3">
      <w:pPr>
        <w:tabs>
          <w:tab w:val="left" w:pos="1276"/>
        </w:tabs>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t>…</w:t>
      </w:r>
    </w:p>
    <w:p w14:paraId="5C499EC7" w14:textId="77777777" w:rsidR="00EE55D3" w:rsidRPr="00C56FC5" w:rsidRDefault="00EE55D3" w:rsidP="00EE55D3">
      <w:pPr>
        <w:tabs>
          <w:tab w:val="left" w:pos="1276"/>
        </w:tabs>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IX. Datos personales</w:t>
      </w:r>
      <w:r w:rsidRPr="00C56FC5">
        <w:rPr>
          <w:rFonts w:ascii="Palatino Linotype" w:eastAsia="Palatino Linotype" w:hAnsi="Palatino Linotype" w:cs="Palatino Linotype"/>
          <w:i/>
          <w:sz w:val="22"/>
          <w:szCs w:val="22"/>
        </w:rPr>
        <w:t>: La información concerniente a una persona, identificada o identificable según lo dispuesto por la Ley de Protección de Datos Personales del Estado de México;</w:t>
      </w:r>
    </w:p>
    <w:p w14:paraId="0F5D253E" w14:textId="77777777" w:rsidR="00EE55D3" w:rsidRPr="00C56FC5" w:rsidRDefault="00EE55D3" w:rsidP="00EE55D3">
      <w:pPr>
        <w:tabs>
          <w:tab w:val="left" w:pos="1276"/>
        </w:tabs>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t>…</w:t>
      </w:r>
    </w:p>
    <w:p w14:paraId="036A730D" w14:textId="77777777" w:rsidR="00EE55D3" w:rsidRPr="00C56FC5" w:rsidRDefault="00EE55D3" w:rsidP="00EE55D3">
      <w:pPr>
        <w:tabs>
          <w:tab w:val="left" w:pos="1276"/>
        </w:tabs>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XX. Información clasificada</w:t>
      </w:r>
      <w:r w:rsidRPr="00C56FC5">
        <w:rPr>
          <w:rFonts w:ascii="Palatino Linotype" w:eastAsia="Palatino Linotype" w:hAnsi="Palatino Linotype" w:cs="Palatino Linotype"/>
          <w:i/>
          <w:sz w:val="22"/>
          <w:szCs w:val="22"/>
        </w:rPr>
        <w:t>: Aquella considerada por la presente Ley como reservada o confidencial;</w:t>
      </w:r>
    </w:p>
    <w:p w14:paraId="25CC5DB1" w14:textId="77777777" w:rsidR="00EE55D3" w:rsidRPr="00C56FC5" w:rsidRDefault="00EE55D3" w:rsidP="00EE55D3">
      <w:pPr>
        <w:tabs>
          <w:tab w:val="left" w:pos="1276"/>
        </w:tabs>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XXI. Información confidencial</w:t>
      </w:r>
      <w:r w:rsidRPr="00C56FC5">
        <w:rPr>
          <w:rFonts w:ascii="Palatino Linotype" w:eastAsia="Palatino Linotype" w:hAnsi="Palatino Linotype" w:cs="Palatino Linotype"/>
          <w:i/>
          <w:sz w:val="22"/>
          <w:szCs w:val="22"/>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2C3309F9" w14:textId="77777777" w:rsidR="00EE55D3" w:rsidRPr="00C56FC5" w:rsidRDefault="00EE55D3" w:rsidP="00EE55D3">
      <w:pPr>
        <w:tabs>
          <w:tab w:val="left" w:pos="1276"/>
        </w:tabs>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lastRenderedPageBreak/>
        <w:t>…</w:t>
      </w:r>
    </w:p>
    <w:p w14:paraId="3D12518D" w14:textId="77777777" w:rsidR="00EE55D3" w:rsidRPr="00C56FC5" w:rsidRDefault="00EE55D3" w:rsidP="00EE55D3">
      <w:pPr>
        <w:tabs>
          <w:tab w:val="left" w:pos="1276"/>
        </w:tabs>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XXXII. Protección de Datos Personales</w:t>
      </w:r>
      <w:r w:rsidRPr="00C56FC5">
        <w:rPr>
          <w:rFonts w:ascii="Palatino Linotype" w:eastAsia="Palatino Linotype" w:hAnsi="Palatino Linotype" w:cs="Palatino Linotype"/>
          <w:i/>
          <w:sz w:val="22"/>
          <w:szCs w:val="22"/>
        </w:rPr>
        <w:t>: Derecho humano que tutela la privacidad de datos personales en poder de los sujetos obligados y sujetos particulares;</w:t>
      </w:r>
    </w:p>
    <w:p w14:paraId="02CF5BA1" w14:textId="77777777" w:rsidR="00EE55D3" w:rsidRPr="00C56FC5" w:rsidRDefault="00EE55D3" w:rsidP="00EE55D3">
      <w:pPr>
        <w:tabs>
          <w:tab w:val="left" w:pos="1276"/>
        </w:tabs>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t>…</w:t>
      </w:r>
    </w:p>
    <w:p w14:paraId="67FAD4F3" w14:textId="77777777" w:rsidR="00EE55D3" w:rsidRPr="00C56FC5" w:rsidRDefault="00EE55D3" w:rsidP="00EE55D3">
      <w:pPr>
        <w:tabs>
          <w:tab w:val="left" w:pos="1276"/>
        </w:tabs>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XLV. Versión pública</w:t>
      </w:r>
      <w:r w:rsidRPr="00C56FC5">
        <w:rPr>
          <w:rFonts w:ascii="Palatino Linotype" w:eastAsia="Palatino Linotype" w:hAnsi="Palatino Linotype" w:cs="Palatino Linotype"/>
          <w:i/>
          <w:sz w:val="22"/>
          <w:szCs w:val="22"/>
        </w:rPr>
        <w:t>: Documento en el que se elimine, suprime o borra la información clasificada como reservada o confidencial para permitir su acceso.</w:t>
      </w:r>
    </w:p>
    <w:p w14:paraId="1CC86797"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 Artículo 6</w:t>
      </w:r>
      <w:r w:rsidRPr="00C56FC5">
        <w:rPr>
          <w:rFonts w:ascii="Palatino Linotype" w:eastAsia="Palatino Linotype" w:hAnsi="Palatino Linotype" w:cs="Palatino Linotype"/>
          <w:i/>
          <w:sz w:val="22"/>
          <w:szCs w:val="22"/>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4F3AD941"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t>…</w:t>
      </w:r>
    </w:p>
    <w:p w14:paraId="1FAD84CE"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Artículo 91.</w:t>
      </w:r>
      <w:r w:rsidRPr="00C56FC5">
        <w:rPr>
          <w:rFonts w:ascii="Palatino Linotype" w:eastAsia="Palatino Linotype" w:hAnsi="Palatino Linotype" w:cs="Palatino Linotype"/>
          <w:i/>
          <w:sz w:val="22"/>
          <w:szCs w:val="22"/>
        </w:rPr>
        <w:t xml:space="preserve"> El acceso a la información pública será restringido excepcionalmente, cuando ésta sea clasificada como reservada o confidencial.</w:t>
      </w:r>
      <w:r w:rsidRPr="00C56FC5">
        <w:rPr>
          <w:rFonts w:ascii="Palatino Linotype" w:eastAsia="Palatino Linotype" w:hAnsi="Palatino Linotype" w:cs="Palatino Linotype"/>
          <w:i/>
          <w:sz w:val="22"/>
          <w:szCs w:val="22"/>
        </w:rPr>
        <w:br/>
        <w:t>…</w:t>
      </w:r>
    </w:p>
    <w:p w14:paraId="5ECCA5C8"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Artículo 132.</w:t>
      </w:r>
      <w:r w:rsidRPr="00C56FC5">
        <w:rPr>
          <w:rFonts w:ascii="Palatino Linotype" w:eastAsia="Palatino Linotype" w:hAnsi="Palatino Linotype" w:cs="Palatino Linotype"/>
          <w:i/>
          <w:sz w:val="22"/>
          <w:szCs w:val="22"/>
        </w:rPr>
        <w:t xml:space="preserve"> La clasificación de la información se llevará a cabo en el momento en que:</w:t>
      </w:r>
    </w:p>
    <w:p w14:paraId="6C00C66A"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I</w:t>
      </w:r>
      <w:r w:rsidRPr="00C56FC5">
        <w:rPr>
          <w:rFonts w:ascii="Palatino Linotype" w:eastAsia="Palatino Linotype" w:hAnsi="Palatino Linotype" w:cs="Palatino Linotype"/>
          <w:i/>
          <w:sz w:val="22"/>
          <w:szCs w:val="22"/>
        </w:rPr>
        <w:t>. Se reciba una solicitud de acceso a la información;</w:t>
      </w:r>
    </w:p>
    <w:p w14:paraId="74C8CBC3"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II.</w:t>
      </w:r>
      <w:r w:rsidRPr="00C56FC5">
        <w:rPr>
          <w:rFonts w:ascii="Palatino Linotype" w:eastAsia="Palatino Linotype" w:hAnsi="Palatino Linotype" w:cs="Palatino Linotype"/>
          <w:i/>
          <w:sz w:val="22"/>
          <w:szCs w:val="22"/>
        </w:rPr>
        <w:t xml:space="preserve"> Se determine mediante resolución de autoridad competente; o</w:t>
      </w:r>
    </w:p>
    <w:p w14:paraId="563DF066"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III.</w:t>
      </w:r>
      <w:r w:rsidRPr="00C56FC5">
        <w:rPr>
          <w:rFonts w:ascii="Palatino Linotype" w:eastAsia="Palatino Linotype" w:hAnsi="Palatino Linotype" w:cs="Palatino Linotype"/>
          <w:i/>
          <w:sz w:val="22"/>
          <w:szCs w:val="22"/>
        </w:rPr>
        <w:t xml:space="preserve"> Se generen versiones públicas para dar cumplimiento a las obligaciones de transparencia previstas en esta Ley.</w:t>
      </w:r>
    </w:p>
    <w:p w14:paraId="213C5CF0"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w:t>
      </w:r>
    </w:p>
    <w:p w14:paraId="23C61B89"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Artículo 137.</w:t>
      </w:r>
      <w:r w:rsidRPr="00C56FC5">
        <w:rPr>
          <w:rFonts w:ascii="Palatino Linotype" w:eastAsia="Palatino Linotype" w:hAnsi="Palatino Linotype" w:cs="Palatino Linotype"/>
          <w:i/>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021B2107"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 Artículo 143.</w:t>
      </w:r>
      <w:r w:rsidRPr="00C56FC5">
        <w:rPr>
          <w:rFonts w:ascii="Palatino Linotype" w:eastAsia="Palatino Linotype" w:hAnsi="Palatino Linotype" w:cs="Palatino Linotype"/>
          <w:i/>
          <w:sz w:val="22"/>
          <w:szCs w:val="22"/>
        </w:rPr>
        <w:t xml:space="preserve"> Para los efectos de esta Ley se considera información confidencial, la clasificada como tal, de manera permanente, por su naturaleza, cuando:</w:t>
      </w:r>
    </w:p>
    <w:p w14:paraId="65CEBD3E"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lastRenderedPageBreak/>
        <w:t>I.</w:t>
      </w:r>
      <w:r w:rsidRPr="00C56FC5">
        <w:rPr>
          <w:rFonts w:ascii="Palatino Linotype" w:eastAsia="Palatino Linotype" w:hAnsi="Palatino Linotype" w:cs="Palatino Linotype"/>
          <w:i/>
          <w:sz w:val="22"/>
          <w:szCs w:val="22"/>
        </w:rPr>
        <w:t xml:space="preserve"> Se refiera a la información privada y los datos personales concernientes a una persona física o jurídico colectiva identificada o identificable...”</w:t>
      </w:r>
    </w:p>
    <w:p w14:paraId="473EDA1A" w14:textId="77777777" w:rsidR="00EE55D3" w:rsidRPr="00C56FC5" w:rsidRDefault="00EE55D3" w:rsidP="00EE55D3">
      <w:pPr>
        <w:spacing w:before="240" w:after="240" w:line="360" w:lineRule="auto"/>
        <w:ind w:right="50"/>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C56FC5">
        <w:rPr>
          <w:rFonts w:ascii="Palatino Linotype" w:eastAsia="Palatino Linotype" w:hAnsi="Palatino Linotype" w:cs="Palatino Linotype"/>
          <w:b/>
          <w:sz w:val="22"/>
          <w:szCs w:val="22"/>
        </w:rPr>
        <w:t>Sujeto Obligado</w:t>
      </w:r>
      <w:r w:rsidRPr="00C56FC5">
        <w:rPr>
          <w:rFonts w:ascii="Palatino Linotype" w:eastAsia="Palatino Linotype" w:hAnsi="Palatino Linotype" w:cs="Palatino Linotype"/>
          <w:sz w:val="22"/>
          <w:szCs w:val="22"/>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5141FB79" w14:textId="77777777" w:rsidR="00EE55D3" w:rsidRPr="00C56FC5" w:rsidRDefault="00EE55D3" w:rsidP="00EE55D3">
      <w:pPr>
        <w:spacing w:before="240" w:after="240" w:line="360" w:lineRule="auto"/>
        <w:ind w:right="50"/>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6B593D9A" w14:textId="77777777" w:rsidR="00EE55D3" w:rsidRPr="00C56FC5" w:rsidRDefault="00EE55D3" w:rsidP="00EE55D3">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En el caso específico, la información que se ordena si bien tiene el carácter información pública en razón de que se trata de documentos que se encuentran en posesión del </w:t>
      </w:r>
      <w:r w:rsidRPr="00C56FC5">
        <w:rPr>
          <w:rFonts w:ascii="Palatino Linotype" w:eastAsia="Palatino Linotype" w:hAnsi="Palatino Linotype" w:cs="Palatino Linotype"/>
          <w:b/>
          <w:sz w:val="22"/>
          <w:szCs w:val="22"/>
        </w:rPr>
        <w:t>Sujeto Obligado</w:t>
      </w:r>
      <w:r w:rsidRPr="00C56FC5">
        <w:rPr>
          <w:rFonts w:ascii="Palatino Linotype" w:eastAsia="Palatino Linotype" w:hAnsi="Palatino Linotype" w:cs="Palatino Linotype"/>
          <w:sz w:val="22"/>
          <w:szCs w:val="22"/>
        </w:rPr>
        <w:t xml:space="preserve"> derivado del ejercicio de sus atribuciones, tal como quedo acotado en el cuerpo de la presente Resolución, también contienen los datos personales de servidores públicos, que de hacerse públicos afectarían su intimidad y vida privada; es por ello que es criterio reiterado en las resoluciones de este Pleno que, además de los datos especificados en la Ley de Transparencia y Acceso a la Información Pública del Estado de México y Municipios, se consideran confidenciales y por tanto deben testarse al momento de la elaboración de versiones públicas el </w:t>
      </w:r>
      <w:r w:rsidRPr="00C56FC5">
        <w:rPr>
          <w:rFonts w:ascii="Palatino Linotype" w:eastAsia="Palatino Linotype" w:hAnsi="Palatino Linotype" w:cs="Palatino Linotype"/>
          <w:b/>
          <w:sz w:val="22"/>
          <w:szCs w:val="22"/>
        </w:rPr>
        <w:t>Registro Federal de Contribuyentes</w:t>
      </w:r>
      <w:r w:rsidRPr="00C56FC5">
        <w:rPr>
          <w:rFonts w:ascii="Palatino Linotype" w:eastAsia="Palatino Linotype" w:hAnsi="Palatino Linotype" w:cs="Palatino Linotype"/>
          <w:sz w:val="22"/>
          <w:szCs w:val="22"/>
        </w:rPr>
        <w:t xml:space="preserve"> (RFC), la </w:t>
      </w:r>
      <w:r w:rsidRPr="00C56FC5">
        <w:rPr>
          <w:rFonts w:ascii="Palatino Linotype" w:eastAsia="Palatino Linotype" w:hAnsi="Palatino Linotype" w:cs="Palatino Linotype"/>
          <w:b/>
          <w:sz w:val="22"/>
          <w:szCs w:val="22"/>
        </w:rPr>
        <w:t xml:space="preserve">Clave Única de </w:t>
      </w:r>
      <w:r w:rsidRPr="00C56FC5">
        <w:rPr>
          <w:rFonts w:ascii="Palatino Linotype" w:eastAsia="Palatino Linotype" w:hAnsi="Palatino Linotype" w:cs="Palatino Linotype"/>
          <w:b/>
          <w:sz w:val="22"/>
          <w:szCs w:val="22"/>
        </w:rPr>
        <w:lastRenderedPageBreak/>
        <w:t>Registro de Población</w:t>
      </w:r>
      <w:r w:rsidRPr="00C56FC5">
        <w:rPr>
          <w:rFonts w:ascii="Palatino Linotype" w:eastAsia="Palatino Linotype" w:hAnsi="Palatino Linotype" w:cs="Palatino Linotype"/>
          <w:sz w:val="22"/>
          <w:szCs w:val="22"/>
        </w:rPr>
        <w:t xml:space="preserve"> (CURP), la </w:t>
      </w:r>
      <w:r w:rsidRPr="00C56FC5">
        <w:rPr>
          <w:rFonts w:ascii="Palatino Linotype" w:eastAsia="Palatino Linotype" w:hAnsi="Palatino Linotype" w:cs="Palatino Linotype"/>
          <w:b/>
          <w:sz w:val="22"/>
          <w:szCs w:val="22"/>
        </w:rPr>
        <w:t>Clave de cualquier tipo de seguridad social</w:t>
      </w:r>
      <w:r w:rsidRPr="00C56FC5">
        <w:rPr>
          <w:rFonts w:ascii="Palatino Linotype" w:eastAsia="Palatino Linotype" w:hAnsi="Palatino Linotype" w:cs="Palatino Linotype"/>
          <w:sz w:val="22"/>
          <w:szCs w:val="22"/>
        </w:rPr>
        <w:t xml:space="preserve"> (ISSEMYM, u otros), los </w:t>
      </w:r>
      <w:r w:rsidRPr="00C56FC5">
        <w:rPr>
          <w:rFonts w:ascii="Palatino Linotype" w:eastAsia="Palatino Linotype" w:hAnsi="Palatino Linotype" w:cs="Palatino Linotype"/>
          <w:b/>
          <w:sz w:val="22"/>
          <w:szCs w:val="22"/>
        </w:rPr>
        <w:t>números de cuentas bancarias</w:t>
      </w:r>
      <w:r w:rsidRPr="00C56FC5">
        <w:rPr>
          <w:rFonts w:ascii="Palatino Linotype" w:eastAsia="Palatino Linotype" w:hAnsi="Palatino Linotype" w:cs="Palatino Linotype"/>
          <w:sz w:val="22"/>
          <w:szCs w:val="22"/>
        </w:rPr>
        <w:t xml:space="preserve">, claves estandarizadas – interbancarias - (CLABES) y de tarjetas, los </w:t>
      </w:r>
      <w:r w:rsidRPr="00C56FC5">
        <w:rPr>
          <w:rFonts w:ascii="Palatino Linotype" w:eastAsia="Palatino Linotype" w:hAnsi="Palatino Linotype" w:cs="Palatino Linotype"/>
          <w:b/>
          <w:sz w:val="22"/>
          <w:szCs w:val="22"/>
        </w:rPr>
        <w:t>préstamos o descuentos</w:t>
      </w:r>
      <w:r w:rsidRPr="00C56FC5">
        <w:rPr>
          <w:rFonts w:ascii="Palatino Linotype" w:eastAsia="Palatino Linotype" w:hAnsi="Palatino Linotype" w:cs="Palatino Linotype"/>
          <w:sz w:val="22"/>
          <w:szCs w:val="22"/>
        </w:rPr>
        <w:t xml:space="preserve"> que se le hagan a la persona y que no tengan relación con los impuestos o la cuota por seguridad social, el</w:t>
      </w:r>
      <w:r w:rsidRPr="00C56FC5">
        <w:rPr>
          <w:rFonts w:ascii="Palatino Linotype" w:eastAsia="Palatino Linotype" w:hAnsi="Palatino Linotype" w:cs="Palatino Linotype"/>
          <w:b/>
          <w:sz w:val="22"/>
          <w:szCs w:val="22"/>
        </w:rPr>
        <w:t xml:space="preserve"> número de empleado, </w:t>
      </w:r>
      <w:r w:rsidRPr="00C56FC5">
        <w:rPr>
          <w:rFonts w:ascii="Palatino Linotype" w:eastAsia="Palatino Linotype" w:hAnsi="Palatino Linotype" w:cs="Palatino Linotype"/>
          <w:sz w:val="22"/>
          <w:szCs w:val="22"/>
        </w:rPr>
        <w:t>y cualquier información de carácter fiscal.</w:t>
      </w:r>
    </w:p>
    <w:p w14:paraId="599D2552" w14:textId="77777777" w:rsidR="00EE55D3" w:rsidRPr="00C56FC5" w:rsidRDefault="00EE55D3" w:rsidP="00EE55D3">
      <w:pPr>
        <w:spacing w:before="240" w:after="240" w:line="360" w:lineRule="auto"/>
        <w:ind w:right="50"/>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7CAD95AC" w14:textId="77777777" w:rsidR="00EE55D3" w:rsidRPr="00C56FC5" w:rsidRDefault="00EE55D3" w:rsidP="00EE55D3">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Por cuanto hace al </w:t>
      </w:r>
      <w:r w:rsidRPr="00C56FC5">
        <w:rPr>
          <w:rFonts w:ascii="Palatino Linotype" w:eastAsia="Palatino Linotype" w:hAnsi="Palatino Linotype" w:cs="Palatino Linotype"/>
          <w:b/>
          <w:sz w:val="22"/>
          <w:szCs w:val="22"/>
        </w:rPr>
        <w:t>Registro Federal de Contribuyentes, RFC,</w:t>
      </w:r>
      <w:r w:rsidRPr="00C56FC5">
        <w:rPr>
          <w:rFonts w:ascii="Palatino Linotype" w:eastAsia="Palatino Linotype" w:hAnsi="Palatino Linotype" w:cs="Palatino Linotype"/>
          <w:sz w:val="22"/>
          <w:szCs w:val="22"/>
        </w:rPr>
        <w:t xml:space="preserve"> de las personas físicas, constituye un dato personal, pues se genera con caracteres alfanuméricos a partir del nombre y la fecha de nacimiento de cada persona, y finalmente la homoclave, por lo que para su obtención es necesario acreditar ante la autoridad fiscal previamente la identidad de la persona, su fecha de nacimiento, entre otros aspectos.</w:t>
      </w:r>
    </w:p>
    <w:p w14:paraId="2A53F45A" w14:textId="77777777" w:rsidR="00EE55D3" w:rsidRPr="00C56FC5" w:rsidRDefault="00EE55D3" w:rsidP="00EE55D3">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Ahora bien, las personas físicas tramitan su inscripción en el registro con el propósito de realizar —mediante esa clave de identificación— operaciones o actividades de naturaleza fiscal, la cual, les permite hacerse identificables respecto de una situación fiscal determinada.</w:t>
      </w:r>
    </w:p>
    <w:p w14:paraId="71D1E6C0" w14:textId="77777777" w:rsidR="00EE55D3" w:rsidRPr="00C56FC5" w:rsidRDefault="00EE55D3" w:rsidP="00EE55D3">
      <w:pPr>
        <w:spacing w:before="240" w:after="240" w:line="360" w:lineRule="auto"/>
        <w:jc w:val="both"/>
        <w:rPr>
          <w:rFonts w:ascii="Palatino Linotype" w:eastAsia="Palatino Linotype" w:hAnsi="Palatino Linotype" w:cs="Palatino Linotype"/>
          <w:sz w:val="22"/>
          <w:szCs w:val="22"/>
        </w:rPr>
      </w:pPr>
      <w:bookmarkStart w:id="8" w:name="_heading=h.26in1rg" w:colFirst="0" w:colLast="0"/>
      <w:bookmarkEnd w:id="8"/>
      <w:r w:rsidRPr="00C56FC5">
        <w:rPr>
          <w:rFonts w:ascii="Palatino Linotype" w:eastAsia="Palatino Linotype" w:hAnsi="Palatino Linotype" w:cs="Palatino Linotype"/>
          <w:sz w:val="22"/>
          <w:szCs w:val="22"/>
        </w:rPr>
        <w:t>Lo anterior se apoya del criterio orientador con clave de control SO/019/2017, emitido por el entonces Instituto Nacional de Transparencia, Acceso a la Información y Protección de Datos Personales, INAI, el cual es del tenor literal siguiente:</w:t>
      </w:r>
    </w:p>
    <w:p w14:paraId="1C8E4D96"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 xml:space="preserve"> “Registro Federal de Contribuyentes (RFC) de personas físicas</w:t>
      </w:r>
      <w:r w:rsidRPr="00C56FC5">
        <w:rPr>
          <w:rFonts w:ascii="Palatino Linotype" w:eastAsia="Palatino Linotype" w:hAnsi="Palatino Linotype" w:cs="Palatino Linotype"/>
          <w:i/>
          <w:sz w:val="22"/>
          <w:szCs w:val="22"/>
        </w:rPr>
        <w:t>. El RFC es una clave de carácter fiscal, única e irrepetible, que permite identificar al titular, su edad y fecha de nacimiento, por lo que es un dato personal de carácter confidencial.”</w:t>
      </w:r>
    </w:p>
    <w:p w14:paraId="1A433475" w14:textId="77777777" w:rsidR="00EE55D3" w:rsidRPr="00C56FC5" w:rsidRDefault="00EE55D3" w:rsidP="00EE55D3">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lastRenderedPageBreak/>
        <w:t>Así, el Registro Federal de Contribuyentes, RFC, se vincula al nombre de su titular y permite identificar la edad de la persona, su fecha de nacimiento, así como su homoclave, 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de Protección de Datos Personales en Posesión de los Sujetos Obligados del Estado de México y Municipios.</w:t>
      </w:r>
    </w:p>
    <w:p w14:paraId="1F40327D" w14:textId="77777777" w:rsidR="00EE55D3" w:rsidRPr="00C56FC5" w:rsidRDefault="00EE55D3" w:rsidP="00EE55D3">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De igual manera la </w:t>
      </w:r>
      <w:r w:rsidRPr="00C56FC5">
        <w:rPr>
          <w:rFonts w:ascii="Palatino Linotype" w:eastAsia="Palatino Linotype" w:hAnsi="Palatino Linotype" w:cs="Palatino Linotype"/>
          <w:b/>
          <w:sz w:val="22"/>
          <w:szCs w:val="22"/>
        </w:rPr>
        <w:t>Clave Única de Registro de Población</w:t>
      </w:r>
      <w:r w:rsidRPr="00C56FC5">
        <w:rPr>
          <w:rFonts w:ascii="Palatino Linotype" w:eastAsia="Palatino Linotype" w:hAnsi="Palatino Linotype" w:cs="Palatino Linotype"/>
          <w:sz w:val="22"/>
          <w:szCs w:val="22"/>
        </w:rPr>
        <w:t xml:space="preserve">, </w:t>
      </w:r>
      <w:r w:rsidRPr="00C56FC5">
        <w:rPr>
          <w:rFonts w:ascii="Palatino Linotype" w:eastAsia="Palatino Linotype" w:hAnsi="Palatino Linotype" w:cs="Palatino Linotype"/>
          <w:b/>
          <w:sz w:val="22"/>
          <w:szCs w:val="22"/>
        </w:rPr>
        <w:t>CURP,</w:t>
      </w:r>
      <w:r w:rsidRPr="00C56FC5">
        <w:rPr>
          <w:rFonts w:ascii="Palatino Linotype" w:eastAsia="Palatino Linotype" w:hAnsi="Palatino Linotype" w:cs="Palatino Linotype"/>
          <w:sz w:val="22"/>
          <w:szCs w:val="22"/>
        </w:rPr>
        <w:t xml:space="preserve"> constituye un dato personal,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14:paraId="7CDDB1E9" w14:textId="77777777" w:rsidR="00EE55D3" w:rsidRPr="00C56FC5" w:rsidRDefault="00EE55D3" w:rsidP="00EE55D3">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Argumento que se apoya del criterio orientador con Clave de control SO/018/2017, emitido por el entonces Instituto Nacional de Transparencia, Acceso a la Información y Protección de Datos Personales, INAI, el cual refiere:</w:t>
      </w:r>
    </w:p>
    <w:p w14:paraId="5FFF22F1"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 xml:space="preserve"> “Clave Única de Registro de Población (CURP). </w:t>
      </w:r>
      <w:r w:rsidRPr="00C56FC5">
        <w:rPr>
          <w:rFonts w:ascii="Palatino Linotype" w:eastAsia="Palatino Linotype" w:hAnsi="Palatino Linotype" w:cs="Palatino Linotype"/>
          <w:i/>
          <w:sz w:val="22"/>
          <w:szCs w:val="22"/>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59EC5596" w14:textId="77777777" w:rsidR="00EE55D3" w:rsidRPr="00C56FC5" w:rsidRDefault="00EE55D3" w:rsidP="00EE55D3">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Por lo que respecta a la </w:t>
      </w:r>
      <w:r w:rsidRPr="00C56FC5">
        <w:rPr>
          <w:rFonts w:ascii="Palatino Linotype" w:eastAsia="Palatino Linotype" w:hAnsi="Palatino Linotype" w:cs="Palatino Linotype"/>
          <w:b/>
          <w:sz w:val="22"/>
          <w:szCs w:val="22"/>
        </w:rPr>
        <w:t>clave de seguridad social</w:t>
      </w:r>
      <w:r w:rsidRPr="00C56FC5">
        <w:rPr>
          <w:rFonts w:ascii="Palatino Linotype" w:eastAsia="Palatino Linotype" w:hAnsi="Palatino Linotype" w:cs="Palatino Linotype"/>
          <w:sz w:val="22"/>
          <w:szCs w:val="22"/>
        </w:rPr>
        <w:t>, en virtud de que su divulgación no aporta a la transparencia o a la rendición de cuentas y sí provoca una transgresión a la vida privada e intimidad de la persona, esta información también resulta ser de carácter confidencial.</w:t>
      </w:r>
    </w:p>
    <w:p w14:paraId="5A9C33C2" w14:textId="77777777" w:rsidR="00EE55D3" w:rsidRPr="00C56FC5" w:rsidRDefault="00EE55D3" w:rsidP="00EE55D3">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lastRenderedPageBreak/>
        <w:t xml:space="preserve">Respecto de los </w:t>
      </w:r>
      <w:r w:rsidRPr="00C56FC5">
        <w:rPr>
          <w:rFonts w:ascii="Palatino Linotype" w:eastAsia="Palatino Linotype" w:hAnsi="Palatino Linotype" w:cs="Palatino Linotype"/>
          <w:b/>
          <w:sz w:val="22"/>
          <w:szCs w:val="22"/>
        </w:rPr>
        <w:t>números de cuentas bancari</w:t>
      </w:r>
      <w:r w:rsidRPr="00C56FC5">
        <w:rPr>
          <w:rFonts w:ascii="Palatino Linotype" w:eastAsia="Palatino Linotype" w:hAnsi="Palatino Linotype" w:cs="Palatino Linotype"/>
          <w:sz w:val="22"/>
          <w:szCs w:val="22"/>
        </w:rPr>
        <w:t xml:space="preserve">as, </w:t>
      </w:r>
      <w:r w:rsidRPr="00C56FC5">
        <w:rPr>
          <w:rFonts w:ascii="Palatino Linotype" w:eastAsia="Palatino Linotype" w:hAnsi="Palatino Linotype" w:cs="Palatino Linotype"/>
          <w:b/>
          <w:sz w:val="22"/>
          <w:szCs w:val="22"/>
        </w:rPr>
        <w:t>claves estandarizadas –interbancarias- (CLABES) y de tarjetas</w:t>
      </w:r>
      <w:r w:rsidRPr="00C56FC5">
        <w:rPr>
          <w:rFonts w:ascii="Palatino Linotype" w:eastAsia="Palatino Linotype" w:hAnsi="Palatino Linotype" w:cs="Palatino Linotype"/>
          <w:sz w:val="22"/>
          <w:szCs w:val="22"/>
        </w:rPr>
        <w:t>, el Pleno de este Instituto ha determinado que esa información debe clasificarse como confidencial, y elaborarse una versión pública en la que se teste la misma.</w:t>
      </w:r>
    </w:p>
    <w:p w14:paraId="357A7244" w14:textId="77777777" w:rsidR="00EE55D3" w:rsidRPr="00C56FC5" w:rsidRDefault="00EE55D3" w:rsidP="00EE55D3">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Igualmente, resulta importante destacar que el número de cuenta bancaria de las personas físicas 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14:paraId="357E7DE9" w14:textId="77777777" w:rsidR="00EE55D3" w:rsidRPr="00C56FC5" w:rsidRDefault="00EE55D3" w:rsidP="00EE55D3">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Por lo anterior, el número de cuenta bancaria debe ser clasificado como confidencial con fundamento en las fracciones I y II del artículo 143 de la Ley de la Materia vigente en la Entidad; en razón de que con su difusión se estaría poniendo en riesgo la seguridad de su titular.</w:t>
      </w:r>
    </w:p>
    <w:p w14:paraId="50B11A00" w14:textId="77777777" w:rsidR="00EE55D3" w:rsidRPr="00C56FC5" w:rsidRDefault="00EE55D3" w:rsidP="00EE55D3">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En esa virtud, este Pleno determina que dicha información no puede ser del dominio público, toda vez que se podría dar un uso inadecuado a la misma o cometer algún ilícito o fraude como ya ha sido expuesto. </w:t>
      </w:r>
    </w:p>
    <w:p w14:paraId="353F6158" w14:textId="77777777" w:rsidR="00EE55D3" w:rsidRPr="00C56FC5" w:rsidRDefault="00EE55D3" w:rsidP="00EE55D3">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Lo anterior no es así tratándose de las cuentas bancarias o claves interbancarias de los Sujetos Obligados ya que su publicidad cede a la rendición de cuentas al transparentar la forma en que son administrados los recursos públicos.</w:t>
      </w:r>
    </w:p>
    <w:p w14:paraId="5B8643A9" w14:textId="77777777" w:rsidR="00EE55D3" w:rsidRPr="00C56FC5" w:rsidRDefault="00EE55D3" w:rsidP="00EE55D3">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Lo argumentado se apoya de los criterios orientadores con claves de control SO/010/2017 y SO/011/2017, emitidos por el entonces Instituto Nacional de Transparencia, Acceso a la Información y Protección de Datos Personales, INAI, que llevan por rubro y texto los siguientes:</w:t>
      </w:r>
    </w:p>
    <w:p w14:paraId="48DE8A4D"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t>“</w:t>
      </w:r>
      <w:r w:rsidRPr="00C56FC5">
        <w:rPr>
          <w:rFonts w:ascii="Palatino Linotype" w:eastAsia="Palatino Linotype" w:hAnsi="Palatino Linotype" w:cs="Palatino Linotype"/>
          <w:b/>
          <w:i/>
          <w:sz w:val="22"/>
          <w:szCs w:val="22"/>
        </w:rPr>
        <w:t>Cuentas bancarias y/o CLABE interbancaria de personas físicas y morales privadas.</w:t>
      </w:r>
      <w:r w:rsidRPr="00C56FC5">
        <w:rPr>
          <w:rFonts w:ascii="Palatino Linotype" w:eastAsia="Palatino Linotype" w:hAnsi="Palatino Linotype" w:cs="Palatino Linotype"/>
          <w:i/>
          <w:sz w:val="22"/>
          <w:szCs w:val="22"/>
        </w:rPr>
        <w:t xml:space="preserve"> El número de cuenta bancaria y/o CLABE interbancaria de </w:t>
      </w:r>
      <w:r w:rsidRPr="00C56FC5">
        <w:rPr>
          <w:rFonts w:ascii="Palatino Linotype" w:eastAsia="Palatino Linotype" w:hAnsi="Palatino Linotype" w:cs="Palatino Linotype"/>
          <w:i/>
          <w:sz w:val="22"/>
          <w:szCs w:val="22"/>
        </w:rPr>
        <w:lastRenderedPageBreak/>
        <w:t>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1C6C98FF"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“Cuentas bancarias y/o CLABE interbancaria de sujetos obligados que reciben y/o transfieren recursos públicos, son información pública.</w:t>
      </w:r>
      <w:r w:rsidRPr="00C56FC5">
        <w:rPr>
          <w:rFonts w:ascii="Palatino Linotype" w:eastAsia="Palatino Linotype" w:hAnsi="Palatino Linotype" w:cs="Palatino Linotype"/>
          <w:i/>
          <w:sz w:val="22"/>
          <w:szCs w:val="22"/>
        </w:rPr>
        <w:t xml:space="preserve">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0D362D21" w14:textId="77777777" w:rsidR="00EE55D3" w:rsidRPr="00C56FC5" w:rsidRDefault="00EE55D3" w:rsidP="00EE55D3">
      <w:pPr>
        <w:spacing w:before="240" w:after="240" w:line="360" w:lineRule="auto"/>
        <w:jc w:val="both"/>
        <w:rPr>
          <w:rFonts w:ascii="Palatino Linotype" w:eastAsia="Palatino Linotype" w:hAnsi="Palatino Linotype" w:cs="Palatino Linotype"/>
          <w:sz w:val="22"/>
          <w:szCs w:val="22"/>
        </w:rPr>
      </w:pPr>
      <w:bookmarkStart w:id="9" w:name="_heading=h.35nkun2" w:colFirst="0" w:colLast="0"/>
      <w:bookmarkEnd w:id="9"/>
      <w:r w:rsidRPr="00C56FC5">
        <w:rPr>
          <w:rFonts w:ascii="Palatino Linotype" w:eastAsia="Palatino Linotype" w:hAnsi="Palatino Linotype" w:cs="Palatino Linotype"/>
          <w:sz w:val="22"/>
          <w:szCs w:val="22"/>
        </w:rPr>
        <w:t xml:space="preserve">Por cuanto hace a los </w:t>
      </w:r>
      <w:r w:rsidRPr="00C56FC5">
        <w:rPr>
          <w:rFonts w:ascii="Palatino Linotype" w:eastAsia="Palatino Linotype" w:hAnsi="Palatino Linotype" w:cs="Palatino Linotype"/>
          <w:b/>
          <w:sz w:val="22"/>
          <w:szCs w:val="22"/>
        </w:rPr>
        <w:t>préstamos o descuentos de carácter personal</w:t>
      </w:r>
      <w:r w:rsidRPr="00C56FC5">
        <w:rPr>
          <w:rFonts w:ascii="Palatino Linotype" w:eastAsia="Palatino Linotype" w:hAnsi="Palatino Linotype" w:cs="Palatino Linotype"/>
          <w:sz w:val="22"/>
          <w:szCs w:val="22"/>
        </w:rPr>
        <w:t>, en virtud de no tener relación con la prestación del servicio y al no involucrar instituciones públicas, se consideran datos confidenciales.</w:t>
      </w:r>
    </w:p>
    <w:p w14:paraId="726E1131" w14:textId="77777777" w:rsidR="00EE55D3" w:rsidRPr="00C56FC5" w:rsidRDefault="00EE55D3" w:rsidP="00EE55D3">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Para entender los límites y alcances de esta restricción, es oportuno recurrir al artículo 84 de la Ley del Trabajo de los Servidores Públicos del Estado y Municipios:</w:t>
      </w:r>
    </w:p>
    <w:p w14:paraId="03968C93" w14:textId="77777777" w:rsidR="00EE55D3" w:rsidRPr="00C56FC5" w:rsidRDefault="00EE55D3" w:rsidP="00EE55D3">
      <w:pPr>
        <w:spacing w:before="120" w:after="120"/>
        <w:ind w:left="851" w:right="902"/>
        <w:jc w:val="both"/>
        <w:rPr>
          <w:rFonts w:ascii="Palatino Linotype" w:eastAsia="Palatino Linotype" w:hAnsi="Palatino Linotype" w:cs="Palatino Linotype"/>
          <w:b/>
          <w:i/>
          <w:sz w:val="22"/>
          <w:szCs w:val="22"/>
        </w:rPr>
      </w:pPr>
      <w:bookmarkStart w:id="10" w:name="_heading=h.1ksv4uv" w:colFirst="0" w:colLast="0"/>
      <w:bookmarkEnd w:id="10"/>
      <w:r w:rsidRPr="00C56FC5">
        <w:rPr>
          <w:rFonts w:ascii="Palatino Linotype" w:eastAsia="Palatino Linotype" w:hAnsi="Palatino Linotype" w:cs="Palatino Linotype"/>
          <w:b/>
          <w:i/>
          <w:sz w:val="22"/>
          <w:szCs w:val="22"/>
        </w:rPr>
        <w:t xml:space="preserve">“ARTÍCULO 84. </w:t>
      </w:r>
      <w:r w:rsidRPr="00C56FC5">
        <w:rPr>
          <w:rFonts w:ascii="Palatino Linotype" w:eastAsia="Palatino Linotype" w:hAnsi="Palatino Linotype" w:cs="Palatino Linotype"/>
          <w:i/>
          <w:sz w:val="22"/>
          <w:szCs w:val="22"/>
        </w:rPr>
        <w:t>Sólo podrán hacerse retenciones, descuentos o deducciones al sueldo de los servidores públicos por concepto de:</w:t>
      </w:r>
    </w:p>
    <w:p w14:paraId="419B9BF9"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I.</w:t>
      </w:r>
      <w:r w:rsidRPr="00C56FC5">
        <w:rPr>
          <w:rFonts w:ascii="Palatino Linotype" w:eastAsia="Palatino Linotype" w:hAnsi="Palatino Linotype" w:cs="Palatino Linotype"/>
          <w:i/>
          <w:sz w:val="22"/>
          <w:szCs w:val="22"/>
        </w:rPr>
        <w:t xml:space="preserve"> Gravámenes fiscales relacionados con el sueldo;</w:t>
      </w:r>
    </w:p>
    <w:p w14:paraId="09BB7E9F"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II.</w:t>
      </w:r>
      <w:r w:rsidRPr="00C56FC5">
        <w:rPr>
          <w:rFonts w:ascii="Palatino Linotype" w:eastAsia="Palatino Linotype" w:hAnsi="Palatino Linotype" w:cs="Palatino Linotype"/>
          <w:i/>
          <w:sz w:val="22"/>
          <w:szCs w:val="22"/>
        </w:rPr>
        <w:t xml:space="preserve"> Deudas contraídas con las instituciones públicas o dependencias por concepto de anticipos de sueldo, pagos hechos con exceso, errores o pérdidas debidamente comprobados;</w:t>
      </w:r>
    </w:p>
    <w:p w14:paraId="78F54119"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III.</w:t>
      </w:r>
      <w:r w:rsidRPr="00C56FC5">
        <w:rPr>
          <w:rFonts w:ascii="Palatino Linotype" w:eastAsia="Palatino Linotype" w:hAnsi="Palatino Linotype" w:cs="Palatino Linotype"/>
          <w:i/>
          <w:sz w:val="22"/>
          <w:szCs w:val="22"/>
        </w:rPr>
        <w:t xml:space="preserve"> </w:t>
      </w:r>
      <w:r w:rsidRPr="00C56FC5">
        <w:rPr>
          <w:rFonts w:ascii="Palatino Linotype" w:eastAsia="Palatino Linotype" w:hAnsi="Palatino Linotype" w:cs="Palatino Linotype"/>
          <w:b/>
          <w:i/>
          <w:sz w:val="22"/>
          <w:szCs w:val="22"/>
        </w:rPr>
        <w:t>Cuotas sindicales</w:t>
      </w:r>
      <w:r w:rsidRPr="00C56FC5">
        <w:rPr>
          <w:rFonts w:ascii="Palatino Linotype" w:eastAsia="Palatino Linotype" w:hAnsi="Palatino Linotype" w:cs="Palatino Linotype"/>
          <w:i/>
          <w:sz w:val="22"/>
          <w:szCs w:val="22"/>
        </w:rPr>
        <w:t>;</w:t>
      </w:r>
    </w:p>
    <w:p w14:paraId="73CF43C8"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IV.</w:t>
      </w:r>
      <w:r w:rsidRPr="00C56FC5">
        <w:rPr>
          <w:rFonts w:ascii="Palatino Linotype" w:eastAsia="Palatino Linotype" w:hAnsi="Palatino Linotype" w:cs="Palatino Linotype"/>
          <w:i/>
          <w:sz w:val="22"/>
          <w:szCs w:val="22"/>
        </w:rPr>
        <w:t xml:space="preserve"> Cuotas de aportación a fondos para la constitución de cooperativas y de cajas de ahorro, siempre que el servidor público hubiese manifestado previamente, de manera expresa, su conformidad;</w:t>
      </w:r>
    </w:p>
    <w:p w14:paraId="7168387A"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V.</w:t>
      </w:r>
      <w:r w:rsidRPr="00C56FC5">
        <w:rPr>
          <w:rFonts w:ascii="Palatino Linotype" w:eastAsia="Palatino Linotype" w:hAnsi="Palatino Linotype" w:cs="Palatino Linotype"/>
          <w:i/>
          <w:sz w:val="22"/>
          <w:szCs w:val="22"/>
        </w:rPr>
        <w:t xml:space="preserve"> Descuentos ordenados por el Instituto de Seguridad Social del Estado de México y Municipios, con motivo de cuotas y obligaciones contraídas con éste por los servidores públicos;</w:t>
      </w:r>
    </w:p>
    <w:p w14:paraId="464BA505"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lastRenderedPageBreak/>
        <w:t>VI.</w:t>
      </w:r>
      <w:r w:rsidRPr="00C56FC5">
        <w:rPr>
          <w:rFonts w:ascii="Palatino Linotype" w:eastAsia="Palatino Linotype" w:hAnsi="Palatino Linotype" w:cs="Palatino Linotype"/>
          <w:i/>
          <w:sz w:val="22"/>
          <w:szCs w:val="22"/>
        </w:rPr>
        <w:t xml:space="preserve"> Obligaciones a cargo del servidor público con las que haya consentido, derivadas de la adquisición o del uso de habitaciones consideradas como de interés social;</w:t>
      </w:r>
    </w:p>
    <w:p w14:paraId="5F067EAA"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VII.</w:t>
      </w:r>
      <w:r w:rsidRPr="00C56FC5">
        <w:rPr>
          <w:rFonts w:ascii="Palatino Linotype" w:eastAsia="Palatino Linotype" w:hAnsi="Palatino Linotype" w:cs="Palatino Linotype"/>
          <w:i/>
          <w:sz w:val="22"/>
          <w:szCs w:val="22"/>
        </w:rPr>
        <w:t xml:space="preserve"> Faltas de puntualidad o de asistencia injustificadas;</w:t>
      </w:r>
    </w:p>
    <w:p w14:paraId="17363566"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VIII. Pensiones alimenticias ordenadas por la autoridad judicial;</w:t>
      </w:r>
      <w:r w:rsidRPr="00C56FC5">
        <w:rPr>
          <w:rFonts w:ascii="Palatino Linotype" w:eastAsia="Palatino Linotype" w:hAnsi="Palatino Linotype" w:cs="Palatino Linotype"/>
          <w:i/>
          <w:sz w:val="22"/>
          <w:szCs w:val="22"/>
        </w:rPr>
        <w:t xml:space="preserve"> o</w:t>
      </w:r>
    </w:p>
    <w:p w14:paraId="15AB4447" w14:textId="77777777" w:rsidR="00EE55D3" w:rsidRPr="00C56FC5" w:rsidRDefault="00EE55D3" w:rsidP="00EE55D3">
      <w:pPr>
        <w:spacing w:before="120" w:after="120"/>
        <w:ind w:left="851" w:right="902"/>
        <w:jc w:val="both"/>
        <w:rPr>
          <w:rFonts w:ascii="Palatino Linotype" w:eastAsia="Palatino Linotype" w:hAnsi="Palatino Linotype" w:cs="Palatino Linotype"/>
          <w:b/>
          <w:i/>
          <w:sz w:val="22"/>
          <w:szCs w:val="22"/>
        </w:rPr>
      </w:pPr>
      <w:r w:rsidRPr="00C56FC5">
        <w:rPr>
          <w:rFonts w:ascii="Palatino Linotype" w:eastAsia="Palatino Linotype" w:hAnsi="Palatino Linotype" w:cs="Palatino Linotype"/>
          <w:b/>
          <w:i/>
          <w:sz w:val="22"/>
          <w:szCs w:val="22"/>
        </w:rPr>
        <w:t>IX. Cualquier otro convenido con instituciones de servicios y aceptado por el servidor público.</w:t>
      </w:r>
    </w:p>
    <w:p w14:paraId="66671070"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t xml:space="preserve">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 </w:t>
      </w:r>
    </w:p>
    <w:p w14:paraId="1AEE7ED1" w14:textId="77777777" w:rsidR="00EE55D3" w:rsidRPr="00C56FC5" w:rsidRDefault="00EE55D3" w:rsidP="00EE55D3">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Como se puede observar, el precepto citado establece claramente cuáles son esos descuentos o gravámenes que directamente se relacionan con las obligaciones adquiridas como servidores públicos y aquéllos que únicamente inciden en su vida privada. </w:t>
      </w:r>
    </w:p>
    <w:p w14:paraId="4A83E181" w14:textId="77777777" w:rsidR="00EE55D3" w:rsidRPr="00C56FC5" w:rsidRDefault="00EE55D3" w:rsidP="00EE55D3">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De este modo, los </w:t>
      </w:r>
      <w:r w:rsidRPr="00C56FC5">
        <w:rPr>
          <w:rFonts w:ascii="Palatino Linotype" w:eastAsia="Palatino Linotype" w:hAnsi="Palatino Linotype" w:cs="Palatino Linotype"/>
          <w:b/>
          <w:sz w:val="22"/>
          <w:szCs w:val="22"/>
        </w:rPr>
        <w:t>descuentos o deducciones por cuotas sindicales</w:t>
      </w:r>
      <w:r w:rsidRPr="00C56FC5">
        <w:rPr>
          <w:rFonts w:ascii="Palatino Linotype" w:eastAsia="Palatino Linotype" w:hAnsi="Palatino Linotype" w:cs="Palatino Linotype"/>
          <w:sz w:val="22"/>
          <w:szCs w:val="22"/>
        </w:rPr>
        <w:t xml:space="preserve">, </w:t>
      </w:r>
      <w:r w:rsidRPr="00C56FC5">
        <w:rPr>
          <w:rFonts w:ascii="Palatino Linotype" w:eastAsia="Palatino Linotype" w:hAnsi="Palatino Linotype" w:cs="Palatino Linotype"/>
          <w:b/>
          <w:sz w:val="22"/>
          <w:szCs w:val="22"/>
        </w:rPr>
        <w:t>pensiones alimenticias</w:t>
      </w:r>
      <w:r w:rsidRPr="00C56FC5">
        <w:rPr>
          <w:rFonts w:ascii="Palatino Linotype" w:eastAsia="Palatino Linotype" w:hAnsi="Palatino Linotype" w:cs="Palatino Linotype"/>
          <w:sz w:val="22"/>
          <w:szCs w:val="22"/>
        </w:rPr>
        <w:t xml:space="preserve"> o </w:t>
      </w:r>
      <w:r w:rsidRPr="00C56FC5">
        <w:rPr>
          <w:rFonts w:ascii="Palatino Linotype" w:eastAsia="Palatino Linotype" w:hAnsi="Palatino Linotype" w:cs="Palatino Linotype"/>
          <w:b/>
          <w:sz w:val="22"/>
          <w:szCs w:val="22"/>
        </w:rPr>
        <w:t>créditos adquiridos con instituciones privadas</w:t>
      </w:r>
      <w:r w:rsidRPr="00C56FC5">
        <w:rPr>
          <w:rFonts w:ascii="Palatino Linotype" w:eastAsia="Palatino Linotype" w:hAnsi="Palatino Linotype" w:cs="Palatino Linotype"/>
          <w:sz w:val="22"/>
          <w:szCs w:val="22"/>
        </w:rPr>
        <w:t xml:space="preserve">, entre otros que no se relacionen con el gasto público, al revelar parte de las decisiones que adopta una persona respecto del uso y destino de su remuneración salarial, lo cual incide en la manera en que se integra su patrimonio, </w:t>
      </w:r>
      <w:r w:rsidRPr="00C56FC5">
        <w:rPr>
          <w:rFonts w:ascii="Palatino Linotype" w:eastAsia="Palatino Linotype" w:hAnsi="Palatino Linotype" w:cs="Palatino Linotype"/>
          <w:b/>
          <w:sz w:val="22"/>
          <w:szCs w:val="22"/>
        </w:rPr>
        <w:t>es información que no es de carácter público, sino que constituye información confidencial</w:t>
      </w:r>
      <w:r w:rsidRPr="00C56FC5">
        <w:rPr>
          <w:rFonts w:ascii="Palatino Linotype" w:eastAsia="Palatino Linotype" w:hAnsi="Palatino Linotype" w:cs="Palatino Linotype"/>
          <w:sz w:val="22"/>
          <w:szCs w:val="22"/>
        </w:rPr>
        <w:t xml:space="preserve"> en virtud de que corresponde con decisiones personales, y por tanto, se debe clasificar.</w:t>
      </w:r>
    </w:p>
    <w:p w14:paraId="406EF9F0" w14:textId="77777777" w:rsidR="00EE55D3" w:rsidRPr="00C56FC5" w:rsidRDefault="00EE55D3" w:rsidP="00EE55D3">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Las claves y conceptos de los descuentos personales guardan también la misma naturaleza que los importes, ya que, al hacerse públicas, es posible inferir que cierto servidor público tiene determinada deducción personal, misma que se relaciona con su esfera más íntima de privacidad, asimismo, en aquellos casos en los que sólo se tenga una deducción, inclusive </w:t>
      </w:r>
      <w:r w:rsidRPr="00C56FC5">
        <w:rPr>
          <w:rFonts w:ascii="Palatino Linotype" w:eastAsia="Palatino Linotype" w:hAnsi="Palatino Linotype" w:cs="Palatino Linotype"/>
          <w:sz w:val="22"/>
          <w:szCs w:val="22"/>
        </w:rPr>
        <w:lastRenderedPageBreak/>
        <w:t>es posible deducir el importe de la misma, derivado de los cálculos que se hagan respecto al sueldo bruto y sueldo neto.</w:t>
      </w:r>
    </w:p>
    <w:p w14:paraId="7C77517D" w14:textId="77777777" w:rsidR="00EE55D3" w:rsidRPr="00C56FC5" w:rsidRDefault="00EE55D3" w:rsidP="00EE55D3">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En conclusión, la información relacionada con los préstamos o descuentos de carácter personal, en virtud de no tener relación con la prestación del servicio y al no involucrar instituciones públicas, se consideran datos confidenciales.</w:t>
      </w:r>
    </w:p>
    <w:p w14:paraId="087E186F" w14:textId="77777777" w:rsidR="00EE55D3" w:rsidRPr="00C56FC5" w:rsidRDefault="00EE55D3" w:rsidP="00EE55D3">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Con relación al </w:t>
      </w:r>
      <w:r w:rsidRPr="00C56FC5">
        <w:rPr>
          <w:rFonts w:ascii="Palatino Linotype" w:eastAsia="Palatino Linotype" w:hAnsi="Palatino Linotype" w:cs="Palatino Linotype"/>
          <w:b/>
          <w:sz w:val="22"/>
          <w:szCs w:val="22"/>
        </w:rPr>
        <w:t>número de empleado</w:t>
      </w:r>
      <w:r w:rsidRPr="00C56FC5">
        <w:rPr>
          <w:rFonts w:ascii="Palatino Linotype" w:eastAsia="Palatino Linotype" w:hAnsi="Palatino Linotype" w:cs="Palatino Linotype"/>
          <w:sz w:val="22"/>
          <w:szCs w:val="22"/>
        </w:rPr>
        <w:t xml:space="preserve"> debe precisarse que este constituye un código, en virtud del cual, los trabajadores pueden acceder a un sistema de datos o información de la dependencia o entidad a la que pertenecen, a fin de presentar consultas relacionadas con su situación laboral particular, siendo un número único, permanente e intransferible que se asigna para llevar un registro de los trabajadores</w:t>
      </w:r>
      <w:r w:rsidRPr="00C56FC5">
        <w:rPr>
          <w:rFonts w:ascii="Palatino Linotype" w:eastAsia="Palatino Linotype" w:hAnsi="Palatino Linotype" w:cs="Palatino Linotype"/>
          <w:sz w:val="22"/>
          <w:szCs w:val="22"/>
          <w:vertAlign w:val="superscript"/>
        </w:rPr>
        <w:footnoteReference w:id="4"/>
      </w:r>
      <w:r w:rsidRPr="00C56FC5">
        <w:rPr>
          <w:rFonts w:ascii="Palatino Linotype" w:eastAsia="Palatino Linotype" w:hAnsi="Palatino Linotype" w:cs="Palatino Linotype"/>
          <w:sz w:val="22"/>
          <w:szCs w:val="22"/>
        </w:rPr>
        <w:t>.</w:t>
      </w:r>
    </w:p>
    <w:p w14:paraId="687BFCB7" w14:textId="77777777" w:rsidR="00EE55D3" w:rsidRPr="00C56FC5" w:rsidRDefault="00EE55D3" w:rsidP="00EE55D3">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Bajo esos argumentos, se entendería que la información relativa al número de empleado constituye información confidencial al tratarse de un número de identificación personal a través del cual se puede consultar la situación laboral personal, empero el entonces Pleno del el Instituto Nacional de Transparencia, Acceso a la Información, y Protección de Datos Personales, INAI  se ha pronunciado sobre su publicidad, a través del Criterio de interpretación con Clave de control SO/006/2019, que indica lo siguiente:</w:t>
      </w:r>
    </w:p>
    <w:p w14:paraId="779AE0A1" w14:textId="77777777" w:rsidR="00EE55D3" w:rsidRPr="00C56FC5" w:rsidRDefault="00EE55D3" w:rsidP="00EE55D3">
      <w:pPr>
        <w:tabs>
          <w:tab w:val="left" w:pos="7655"/>
        </w:tabs>
        <w:spacing w:before="120" w:after="120"/>
        <w:ind w:left="992" w:right="99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 xml:space="preserve">“Número de empleado. </w:t>
      </w:r>
      <w:r w:rsidRPr="00C56FC5">
        <w:rPr>
          <w:rFonts w:ascii="Palatino Linotype" w:eastAsia="Palatino Linotype" w:hAnsi="Palatino Linotype" w:cs="Palatino Linotype"/>
          <w:i/>
          <w:sz w:val="22"/>
          <w:szCs w:val="22"/>
        </w:rPr>
        <w:t>Cuando el número de empleado o su equivalente, se integra con datos personales de los trabajadores o funciona como una clave de acceso que no requiere adicionalmente de una contraseña para ingresar a sistemas o bases de datos personales, procede su clasificación como información confidencial.”</w:t>
      </w:r>
    </w:p>
    <w:p w14:paraId="0BA86CC3" w14:textId="77777777" w:rsidR="00EE55D3" w:rsidRPr="00C56FC5" w:rsidRDefault="00EE55D3" w:rsidP="00EE55D3">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En atención al criterio de interpretación, se advierten dos supuestos para catalogar la información concerniente al número de empleado o equivalente, el primero es considerar la información como confidencial, siempre y cuando se integre con datos personales o que </w:t>
      </w:r>
      <w:r w:rsidRPr="00C56FC5">
        <w:rPr>
          <w:rFonts w:ascii="Palatino Linotype" w:eastAsia="Palatino Linotype" w:hAnsi="Palatino Linotype" w:cs="Palatino Linotype"/>
          <w:sz w:val="22"/>
          <w:szCs w:val="22"/>
        </w:rPr>
        <w:lastRenderedPageBreak/>
        <w:t xml:space="preserve">permita acceder a ellos sin necesidad de alguna contraseña, y el segundo supuesto es considerar que la información es susceptible de entregarse siempre que requiera una contraseña para acceder a los datos personales o cuando su conformación no revele los mismos, por consiguiente, en el caso concreto, el </w:t>
      </w:r>
      <w:r w:rsidRPr="00C56FC5">
        <w:rPr>
          <w:rFonts w:ascii="Palatino Linotype" w:eastAsia="Palatino Linotype" w:hAnsi="Palatino Linotype" w:cs="Palatino Linotype"/>
          <w:b/>
          <w:sz w:val="22"/>
          <w:szCs w:val="22"/>
        </w:rPr>
        <w:t>Sujeto Obligado</w:t>
      </w:r>
      <w:r w:rsidRPr="00C56FC5">
        <w:rPr>
          <w:rFonts w:ascii="Palatino Linotype" w:eastAsia="Palatino Linotype" w:hAnsi="Palatino Linotype" w:cs="Palatino Linotype"/>
          <w:sz w:val="22"/>
          <w:szCs w:val="22"/>
        </w:rPr>
        <w:t xml:space="preserve"> deberá acatar lo establecido y de ser procedente, entregará el número de empleado o equivalente de los servidores públicos materia de la solicitud, o en su caso, los clasificará como información confidencial, a través del Acuerdo emitido por su Comité de Transparencia conforme a la Ley de la Materia.</w:t>
      </w:r>
    </w:p>
    <w:p w14:paraId="57613A72" w14:textId="77777777" w:rsidR="00EE55D3" w:rsidRPr="00C56FC5" w:rsidRDefault="00EE55D3" w:rsidP="00EE55D3">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Por otro lado, derivado de la información que se ordena entregar pudiera existir información de la Dirección de Seguridad Pública del Ayuntamiento o su equivalente, la cual ponga en riesgo los integrantes de las corporaciones policiacas, esto es así derivado de las funciones encomendadas en términos del artículo 21 párrafo noveno de la Constitución Política de los Estados Unidos Mexicanos, de las cuales comprende la prevención de los delitos, investigación y persecución para hacerla efectiva, lo cual permite a esta Ponencia proteger los datos de los servidores públicos que integran dicha Dirección </w:t>
      </w:r>
      <w:r w:rsidRPr="00C56FC5">
        <w:rPr>
          <w:rFonts w:ascii="Palatino Linotype" w:eastAsia="Palatino Linotype" w:hAnsi="Palatino Linotype" w:cs="Palatino Linotype"/>
          <w:b/>
          <w:sz w:val="22"/>
          <w:szCs w:val="22"/>
          <w:u w:val="single"/>
        </w:rPr>
        <w:t>sólo por cuanto hace al nombre</w:t>
      </w:r>
      <w:r w:rsidRPr="00C56FC5">
        <w:rPr>
          <w:rFonts w:ascii="Palatino Linotype" w:eastAsia="Palatino Linotype" w:hAnsi="Palatino Linotype" w:cs="Palatino Linotype"/>
          <w:b/>
          <w:sz w:val="22"/>
          <w:szCs w:val="22"/>
        </w:rPr>
        <w:t xml:space="preserve">, </w:t>
      </w:r>
      <w:r w:rsidRPr="00C56FC5">
        <w:rPr>
          <w:rFonts w:ascii="Palatino Linotype" w:eastAsia="Palatino Linotype" w:hAnsi="Palatino Linotype" w:cs="Palatino Linotype"/>
          <w:sz w:val="22"/>
          <w:szCs w:val="22"/>
        </w:rPr>
        <w:t xml:space="preserve">dejando intocable el rubro de percepciones que por su naturaleza conciernen a la ciudadanía por referirse a recursos de carácter público; circunstancia que en nada afecta al derecho tutelado por este Organismo Garante sino por el contrario también reafirma su compromiso con la rendición de cuentas del Estado y la protección a grupos vulnerables de acuerdo al cargo de seguridad Municipal, por lo que deberá testarse de igual manera sólo el nombre de los servidores públicos de la Policía Municipal </w:t>
      </w:r>
      <w:r w:rsidRPr="00C56FC5">
        <w:rPr>
          <w:rFonts w:ascii="Palatino Linotype" w:eastAsia="Palatino Linotype" w:hAnsi="Palatino Linotype" w:cs="Palatino Linotype"/>
          <w:b/>
          <w:sz w:val="22"/>
          <w:szCs w:val="22"/>
        </w:rPr>
        <w:t>que desempeñen funciones operativas</w:t>
      </w:r>
      <w:r w:rsidRPr="00C56FC5">
        <w:rPr>
          <w:rFonts w:ascii="Palatino Linotype" w:eastAsia="Palatino Linotype" w:hAnsi="Palatino Linotype" w:cs="Palatino Linotype"/>
          <w:sz w:val="22"/>
          <w:szCs w:val="22"/>
        </w:rPr>
        <w:t>.</w:t>
      </w:r>
    </w:p>
    <w:p w14:paraId="480C1DCD" w14:textId="77777777" w:rsidR="00EE55D3" w:rsidRPr="00C56FC5" w:rsidRDefault="00EE55D3" w:rsidP="00EE55D3">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Al respecto, la información </w:t>
      </w:r>
      <w:r w:rsidRPr="00C56FC5">
        <w:rPr>
          <w:rFonts w:ascii="Palatino Linotype" w:eastAsia="Palatino Linotype" w:hAnsi="Palatino Linotype" w:cs="Palatino Linotype"/>
          <w:b/>
          <w:sz w:val="22"/>
          <w:szCs w:val="22"/>
        </w:rPr>
        <w:t>de los elementos que realizan funciones operativas, entre ellos su nombre, deben ser protegidos</w:t>
      </w:r>
      <w:r w:rsidRPr="00C56FC5">
        <w:rPr>
          <w:rFonts w:ascii="Palatino Linotype" w:eastAsia="Palatino Linotype" w:hAnsi="Palatino Linotype" w:cs="Palatino Linotype"/>
          <w:sz w:val="22"/>
          <w:szCs w:val="22"/>
        </w:rPr>
        <w:t xml:space="preserve"> con la finalidad de evitar la identificación de las personas al amparo de la protección a la vida, salud y seguridad; porque los miembros de las instituciones policiales o que realizan actividades operativas en materia de seguridad </w:t>
      </w:r>
      <w:r w:rsidRPr="00C56FC5">
        <w:rPr>
          <w:rFonts w:ascii="Palatino Linotype" w:eastAsia="Palatino Linotype" w:hAnsi="Palatino Linotype" w:cs="Palatino Linotype"/>
          <w:sz w:val="22"/>
          <w:szCs w:val="22"/>
        </w:rPr>
        <w:lastRenderedPageBreak/>
        <w:t>pública, se encuentran en un régimen de excepción a diferencia de los servidores públicos con funciones administrativas, ello obedece a que el sólo ejercicio de las funciones que tienen encomendadas lleva implícito el riesgo a su integridad, toda vez que son responsables de procurar el orden, la estabilidad y la defensa de la sociedad a la que pertenecen, lo que se traduce en la prevención de delitos y combate a los delincuentes.</w:t>
      </w:r>
    </w:p>
    <w:p w14:paraId="13E01B04" w14:textId="77777777" w:rsidR="00EE55D3" w:rsidRPr="00C56FC5" w:rsidRDefault="00EE55D3" w:rsidP="00EE55D3">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Es importante mencionar que la causal de reserva antes señalada, puede ubicarse en los supuestos previstos por los artículos 140 fracción IV de la Ley de Transparencia y  Acceso a la Información Pública del Estado de México y Municipios, que a su vez se vincula con la diversa del artículo 113 fracción V de la Ley General de Transparencia y Acceso a la Información Pública vigente a la fecha de presentación de la solicitud, así como los requisitos previstos por los numerales Vigésimo tercero y Trigésimo tercero, de los Lineamientos generales en materia de clasificación y desclasificación de la información, así como para la elaboración de versiones públicas, vigentes a la fecha de presentación de la solicitud, al aplicar la prueba de daño correspondiente.</w:t>
      </w:r>
    </w:p>
    <w:p w14:paraId="17791E41" w14:textId="77777777" w:rsidR="00EE55D3" w:rsidRPr="00C56FC5" w:rsidRDefault="00EE55D3" w:rsidP="00EE55D3">
      <w:pPr>
        <w:spacing w:before="240" w:after="240" w:line="360" w:lineRule="auto"/>
        <w:jc w:val="both"/>
        <w:rPr>
          <w:rFonts w:ascii="Palatino Linotype" w:eastAsia="Palatino Linotype" w:hAnsi="Palatino Linotype" w:cs="Palatino Linotype"/>
          <w:b/>
          <w:sz w:val="22"/>
          <w:szCs w:val="22"/>
        </w:rPr>
      </w:pPr>
      <w:r w:rsidRPr="00C56FC5">
        <w:rPr>
          <w:rFonts w:ascii="Palatino Linotype" w:eastAsia="Palatino Linotype" w:hAnsi="Palatino Linotype" w:cs="Palatino Linotype"/>
          <w:sz w:val="22"/>
          <w:szCs w:val="22"/>
        </w:rPr>
        <w:t xml:space="preserve">Como sustento de lo anterior, es preciso mencionar que el </w:t>
      </w:r>
      <w:r w:rsidRPr="00C56FC5">
        <w:rPr>
          <w:rFonts w:ascii="Palatino Linotype" w:eastAsia="Palatino Linotype" w:hAnsi="Palatino Linotype" w:cs="Palatino Linotype"/>
          <w:b/>
          <w:sz w:val="22"/>
          <w:szCs w:val="22"/>
        </w:rPr>
        <w:t xml:space="preserve">actual Pleno de este Instituto ha sostenido el criterio de no dar a conocer los nombres de aquellos servidores públicos que realizan funciones operativas en materia de seguridad pública, </w:t>
      </w:r>
      <w:r w:rsidRPr="00C56FC5">
        <w:rPr>
          <w:rFonts w:ascii="Palatino Linotype" w:eastAsia="Palatino Linotype" w:hAnsi="Palatino Linotype" w:cs="Palatino Linotype"/>
          <w:sz w:val="22"/>
          <w:szCs w:val="22"/>
        </w:rPr>
        <w:t xml:space="preserve">pues los vuelve identificables y posiblemente reconocibles para grupos delictivos, que pudieran relacionarlos directamente con actividades u operativos pasados, presentes o ubicarlos simplemente por el hecho de pertenecer a una organización que lleva a cabo actividades de prevención y salvaguarda de la integridad de las personas en el combate a la delincuencia; así, dicha información puede ser utilizada para </w:t>
      </w:r>
      <w:r w:rsidRPr="00C56FC5">
        <w:rPr>
          <w:rFonts w:ascii="Palatino Linotype" w:eastAsia="Palatino Linotype" w:hAnsi="Palatino Linotype" w:cs="Palatino Linotype"/>
          <w:b/>
          <w:sz w:val="22"/>
          <w:szCs w:val="22"/>
        </w:rPr>
        <w:t xml:space="preserve">vulnerar la vida, seguridad o salud de dichos elementos, incluso la de sus familias o entorno social. </w:t>
      </w:r>
    </w:p>
    <w:p w14:paraId="1C8A6720" w14:textId="77777777" w:rsidR="00EE55D3" w:rsidRPr="00C56FC5" w:rsidRDefault="00EE55D3" w:rsidP="00EE55D3">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En tal contexto, es procedente la clasificación del nombre de los elementos operativos como información reservada, con el fin de no poner en riesgo su vida, salud y seguridad, dado </w:t>
      </w:r>
      <w:r w:rsidRPr="00C56FC5">
        <w:rPr>
          <w:rFonts w:ascii="Palatino Linotype" w:eastAsia="Palatino Linotype" w:hAnsi="Palatino Linotype" w:cs="Palatino Linotype"/>
          <w:sz w:val="22"/>
          <w:szCs w:val="22"/>
        </w:rPr>
        <w:lastRenderedPageBreak/>
        <w:t>que los hace identificables, y para no comprometer el cumplimiento de los objetivos en materia de seguridad pública, o bien, la consecución de la investigación de probables hechos delictivos y/o faltas administrativas; así como evitar que células delictivas neutralizar las acciones en materia de seguridad pública para la preservación del orden y la paz pública, por lo que, no se trata de una medida desproporcional, ni excesiva.</w:t>
      </w:r>
    </w:p>
    <w:p w14:paraId="04A3035B" w14:textId="77777777" w:rsidR="00EE55D3" w:rsidRPr="00C56FC5" w:rsidRDefault="00EE55D3" w:rsidP="00EE55D3">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En ese entendido, la leyenda de clasificación que se genere, deberá establecer ambos supuestos de clasificación: reserva y confidencialidad, en congruencia con los requisitos establecidos en los lineamientos citados.</w:t>
      </w:r>
    </w:p>
    <w:p w14:paraId="7CC46D88" w14:textId="77777777" w:rsidR="00EE55D3" w:rsidRPr="00C56FC5" w:rsidRDefault="00EE55D3" w:rsidP="00EE55D3">
      <w:pPr>
        <w:spacing w:before="120" w:after="12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En este marco, cabe señalar que, si bien es cierto este Instituto de Transparencia, Acceso a la Información Pública y Protección de Datos Personales del Estado de México y Municipios tiene la misión de garantizar el derecho de acceso a la información pública de los particulares; también lo es que debe cuidar la protección de datos personales y sobre todo cuando traen implícito que se ponga en riesgo la vida o integridad de una persona, resulta necesario traer por analogía, el criterio orientador histórico 06/09, emitido por el entonces Instituto Federal de Acceso a la Información y Protección de Datos, que establece lo siguiente:</w:t>
      </w:r>
    </w:p>
    <w:p w14:paraId="16AAF272" w14:textId="77777777" w:rsidR="00EE55D3" w:rsidRPr="00C56FC5" w:rsidRDefault="00EE55D3" w:rsidP="00EE55D3">
      <w:pPr>
        <w:tabs>
          <w:tab w:val="left" w:pos="4962"/>
        </w:tabs>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“Nombres de servidores públicos dedicados a actividades en materia de seguridad, por excepción pueden considerarse información reservada.</w:t>
      </w:r>
      <w:r w:rsidRPr="00C56FC5">
        <w:rPr>
          <w:rFonts w:ascii="Palatino Linotype" w:eastAsia="Palatino Linotype" w:hAnsi="Palatino Linotype" w:cs="Palatino Linotype"/>
          <w:i/>
          <w:sz w:val="22"/>
          <w:szCs w:val="22"/>
        </w:rPr>
        <w:t xml:space="preserve"> De conformidad con el artículo 7, fracciones I y III de la Ley Federal de Transparencia y Acceso a la Información Pública Gubernamental el nombre de los servidores públicos es información de naturaleza pública. No obstante lo anterior, el mismo precepto establece la posibilidad de que existan excepciones a las obligaciones ahí establecidas cuando la información actualice algunos de los supuestos de reserva o confidencialidad previstos en los artículos 13, 14 y 18 de la citada ley.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el artículo 13, fracción I de la ley de referencia se establece que podrá clasificarse aquella información cuya difusión pueda comprometer la seguridad nacional y </w:t>
      </w:r>
      <w:r w:rsidRPr="00C56FC5">
        <w:rPr>
          <w:rFonts w:ascii="Palatino Linotype" w:eastAsia="Palatino Linotype" w:hAnsi="Palatino Linotype" w:cs="Palatino Linotype"/>
          <w:i/>
          <w:sz w:val="22"/>
          <w:szCs w:val="22"/>
        </w:rPr>
        <w:lastRenderedPageBreak/>
        <w:t>pública.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por lo que la reserva de la relación de los nombres y las funciones que desempeñan los servidores públicos que prestan sus servicios en áreas de seguridad nacional o pública, puede llegar a constituirse en un componente fundamental en el esfuerzo que realiza el Estado Mexicano para garantizar la seguridad del país en sus diferentes vertientes.”</w:t>
      </w:r>
    </w:p>
    <w:p w14:paraId="3723B297" w14:textId="77777777" w:rsidR="00EE55D3" w:rsidRPr="00C56FC5" w:rsidRDefault="00EE55D3" w:rsidP="00EE55D3">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De dicho criterio, se desprende que existen funciones a cargo de servidores públicos, tendentes a garantizar de manera directa la seguridad pública, a través de acciones preventivas y correctivas, encaminadas a combatir a la delincuencia en sus diferentes manifestaciones; por lo que, una forma en que la delincuencia puede llegar a poner en riesgo la seguridad del País, Estado y Municipio, anulando, impidiendo u obstaculizando la actuación de los servidores públicos que realizan </w:t>
      </w:r>
      <w:r w:rsidRPr="00C56FC5">
        <w:rPr>
          <w:rFonts w:ascii="Palatino Linotype" w:eastAsia="Palatino Linotype" w:hAnsi="Palatino Linotype" w:cs="Palatino Linotype"/>
          <w:b/>
          <w:sz w:val="22"/>
          <w:szCs w:val="22"/>
        </w:rPr>
        <w:t>funciones de carácter operativo.</w:t>
      </w:r>
    </w:p>
    <w:p w14:paraId="6F872704" w14:textId="77777777" w:rsidR="00EE55D3" w:rsidRPr="00C56FC5" w:rsidRDefault="00EE55D3" w:rsidP="00EE55D3">
      <w:pPr>
        <w:spacing w:before="240" w:after="36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Sirven de sustento a lo anterior las tesis jurisprudenciales emitidas por la Suprema corte de Justicia de la Nación, que son del literal siguiente:</w:t>
      </w:r>
    </w:p>
    <w:p w14:paraId="2EF0AE54" w14:textId="77777777" w:rsidR="00EE55D3" w:rsidRPr="00C56FC5" w:rsidRDefault="00EE55D3" w:rsidP="00EE55D3">
      <w:pPr>
        <w:spacing w:before="120" w:after="120"/>
        <w:ind w:left="851" w:right="760"/>
        <w:jc w:val="both"/>
        <w:rPr>
          <w:rFonts w:ascii="Palatino Linotype" w:eastAsia="Palatino Linotype" w:hAnsi="Palatino Linotype" w:cs="Palatino Linotype"/>
          <w:b/>
          <w:i/>
          <w:sz w:val="22"/>
          <w:szCs w:val="22"/>
        </w:rPr>
      </w:pPr>
      <w:r w:rsidRPr="00C56FC5">
        <w:rPr>
          <w:rFonts w:ascii="Palatino Linotype" w:eastAsia="Palatino Linotype" w:hAnsi="Palatino Linotype" w:cs="Palatino Linotype"/>
          <w:b/>
          <w:i/>
          <w:sz w:val="22"/>
          <w:szCs w:val="22"/>
        </w:rPr>
        <w:t xml:space="preserve">“DERECHO A LA INFORMACIÓN. SU EJERCICIO SE ENCUENTRA LIMITADO TANTO POR LOS INTERESES NACIONALES Y DE LA SOCIEDAD, COMO POR LOS DERECHOS DE TERCEROS. </w:t>
      </w:r>
      <w:r w:rsidRPr="00C56FC5">
        <w:rPr>
          <w:rFonts w:ascii="Palatino Linotype" w:eastAsia="Palatino Linotype" w:hAnsi="Palatino Linotype" w:cs="Palatino Linotype"/>
          <w:i/>
          <w:sz w:val="22"/>
          <w:szCs w:val="22"/>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sidRPr="00C56FC5">
        <w:rPr>
          <w:rFonts w:ascii="Palatino Linotype" w:eastAsia="Palatino Linotype" w:hAnsi="Palatino Linotype" w:cs="Palatino Linotype"/>
          <w:b/>
          <w:i/>
          <w:sz w:val="22"/>
          <w:szCs w:val="22"/>
        </w:rPr>
        <w:t xml:space="preserve">restringen el acceso a la información en esta materia, en razón de que su </w:t>
      </w:r>
      <w:r w:rsidRPr="00C56FC5">
        <w:rPr>
          <w:rFonts w:ascii="Palatino Linotype" w:eastAsia="Palatino Linotype" w:hAnsi="Palatino Linotype" w:cs="Palatino Linotype"/>
          <w:b/>
          <w:i/>
          <w:sz w:val="22"/>
          <w:szCs w:val="22"/>
        </w:rPr>
        <w:lastRenderedPageBreak/>
        <w:t>conocimiento público puede generar daños a los intereses nacionales y, por el otro, sancionan la inobservancia de esa reserva;</w:t>
      </w:r>
      <w:r w:rsidRPr="00C56FC5">
        <w:rPr>
          <w:rFonts w:ascii="Palatino Linotype" w:eastAsia="Palatino Linotype" w:hAnsi="Palatino Linotype" w:cs="Palatino Linotype"/>
          <w:i/>
          <w:sz w:val="22"/>
          <w:szCs w:val="22"/>
        </w:rPr>
        <w:t xml:space="preserve"> por lo que hace al interés social, se cuenta con normas que tienden a proteger la averiguación de los delitos, la salud y la moral públicas, </w:t>
      </w:r>
      <w:r w:rsidRPr="00C56FC5">
        <w:rPr>
          <w:rFonts w:ascii="Palatino Linotype" w:eastAsia="Palatino Linotype" w:hAnsi="Palatino Linotype" w:cs="Palatino Linotype"/>
          <w:b/>
          <w:i/>
          <w:sz w:val="22"/>
          <w:szCs w:val="22"/>
        </w:rPr>
        <w:t>mientras que por lo que respecta a la protección de la persona existen normas que protegen el derecho a la vida o a la privacidad de los gobernados.</w:t>
      </w:r>
      <w:r w:rsidRPr="00C56FC5">
        <w:rPr>
          <w:rFonts w:ascii="Palatino Linotype" w:eastAsia="Palatino Linotype" w:hAnsi="Palatino Linotype" w:cs="Palatino Linotype"/>
          <w:i/>
          <w:sz w:val="22"/>
          <w:szCs w:val="22"/>
        </w:rPr>
        <w:t>”</w:t>
      </w:r>
    </w:p>
    <w:p w14:paraId="625C9951" w14:textId="77777777" w:rsidR="00EE55D3" w:rsidRPr="00C56FC5" w:rsidRDefault="00EE55D3" w:rsidP="00EE55D3">
      <w:pPr>
        <w:spacing w:before="120" w:after="120"/>
        <w:ind w:left="851" w:right="760"/>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“TRANSPARENCIA Y ACCESO A LA INFORMACIÓN PÚBLICA GUBERNAMENTAL. EL ARTÍCULO 14, FRACCIÓN I, DE LA LEY FEDERAL RELATIVA, NO VIOLA LA GARANTÍA DE ACCESO A LA INFORMACIÓN.</w:t>
      </w:r>
      <w:r w:rsidRPr="00C56FC5">
        <w:rPr>
          <w:rFonts w:ascii="Palatino Linotype" w:eastAsia="Palatino Linotype" w:hAnsi="Palatino Linotype" w:cs="Palatino Linotype"/>
          <w:i/>
          <w:sz w:val="22"/>
          <w:szCs w:val="22"/>
        </w:rPr>
        <w:t xml:space="preserve"> El Tribunal en Pleno de la Suprema Corte de Justicia de la Nación en la tesis P. LX/2000 de rubro: "DERECHO A LA INFORMACIÓN. SU EJERCICIO SE ENCUENTRA 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sidRPr="00C56FC5">
        <w:rPr>
          <w:rFonts w:ascii="Palatino Linotype" w:eastAsia="Palatino Linotype" w:hAnsi="Palatino Linotype" w:cs="Palatino Linotype"/>
          <w:b/>
          <w:i/>
          <w:sz w:val="22"/>
          <w:szCs w:val="22"/>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sidRPr="00C56FC5">
        <w:rPr>
          <w:rFonts w:ascii="Palatino Linotype" w:eastAsia="Palatino Linotype" w:hAnsi="Palatino Linotype" w:cs="Palatino Linotype"/>
          <w:i/>
          <w:sz w:val="22"/>
          <w:szCs w:val="22"/>
        </w:rPr>
        <w:t>, la cual debe ser adecuada y necesaria para alcanzar el fin perseguido, de manera que las ventajas obtenidas con la reserva compensen el sacrificio que ésta implique para los titulares de la garantía individual mencionada o para la sociedad en general.”</w:t>
      </w:r>
    </w:p>
    <w:p w14:paraId="1572993C" w14:textId="77777777" w:rsidR="00EE55D3" w:rsidRPr="00C56FC5" w:rsidRDefault="00EE55D3" w:rsidP="00EE55D3">
      <w:pPr>
        <w:widowControl w:val="0"/>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El Acuerdo de Clasificación de Información, se emitirá en términos de lo dispuesto tanto como en los en los artículos 128 y 129 de la Ley de Transparencia y Acceso a la Información Pública del Estado de México y Municipios, como en los Lineamientos Generales en Materia de Clasificación y Desclasificación de la Información, así como para la elaboración de Versiones Públicas, publicados en el Diario Oficial de la Federación en fecha quince de abril </w:t>
      </w:r>
      <w:r w:rsidRPr="00C56FC5">
        <w:rPr>
          <w:rFonts w:ascii="Palatino Linotype" w:eastAsia="Palatino Linotype" w:hAnsi="Palatino Linotype" w:cs="Palatino Linotype"/>
          <w:sz w:val="22"/>
          <w:szCs w:val="22"/>
        </w:rPr>
        <w:lastRenderedPageBreak/>
        <w:t xml:space="preserve">de la presente anualidad, mediante ACUERDO del Consejo Nacional del Sistema Nacional de Transparencia, Acceso a la Información Pública y Protección de Datos Personales, motivando la referida clasificación al señalar las </w:t>
      </w:r>
      <w:r w:rsidRPr="00C56FC5">
        <w:rPr>
          <w:rFonts w:ascii="Palatino Linotype" w:eastAsia="Palatino Linotype" w:hAnsi="Palatino Linotype" w:cs="Palatino Linotype"/>
          <w:b/>
          <w:sz w:val="22"/>
          <w:szCs w:val="22"/>
          <w:u w:val="single"/>
        </w:rPr>
        <w:t>razones, motivos o circunstancias especiales</w:t>
      </w:r>
      <w:r w:rsidRPr="00C56FC5">
        <w:rPr>
          <w:rFonts w:ascii="Palatino Linotype" w:eastAsia="Palatino Linotype" w:hAnsi="Palatino Linotype" w:cs="Palatino Linotype"/>
          <w:sz w:val="22"/>
          <w:szCs w:val="22"/>
        </w:rPr>
        <w:t xml:space="preserve"> que lo llevaron a concluir que el caso concreto, se ajustó a los supuestos previstos en la normatividad legal invocada como fundamento, para dichos efectos, debe proceder a su vez a realizar una prueba de daño, en la que se justificaran las razones, motivos y circunstancias que avalen que la divulgación de la información representa un riesgo real, demostrable e identificable de perjuicio significativo al interés público o a la seguridad nacional; que el riesgo de perjuicio que supondría la divulgación supera el interés público general de que se difunda, y que la limitación sea adecuada al principio de proporcionalidad y representa el medio menos restrictivo disponible para evitar el perjuicio.</w:t>
      </w:r>
    </w:p>
    <w:p w14:paraId="686D6058" w14:textId="77777777" w:rsidR="00EE55D3" w:rsidRPr="00C56FC5" w:rsidRDefault="00EE55D3" w:rsidP="00EE55D3">
      <w:pPr>
        <w:spacing w:before="240" w:after="240" w:line="360" w:lineRule="auto"/>
        <w:ind w:right="50"/>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47161019"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“Artículo 49.</w:t>
      </w:r>
      <w:r w:rsidRPr="00C56FC5">
        <w:rPr>
          <w:rFonts w:ascii="Palatino Linotype" w:eastAsia="Palatino Linotype" w:hAnsi="Palatino Linotype" w:cs="Palatino Linotype"/>
          <w:i/>
          <w:sz w:val="22"/>
          <w:szCs w:val="22"/>
        </w:rPr>
        <w:t xml:space="preserve"> </w:t>
      </w:r>
      <w:r w:rsidRPr="00C56FC5">
        <w:rPr>
          <w:rFonts w:ascii="Palatino Linotype" w:eastAsia="Palatino Linotype" w:hAnsi="Palatino Linotype" w:cs="Palatino Linotype"/>
          <w:b/>
          <w:i/>
          <w:sz w:val="22"/>
          <w:szCs w:val="22"/>
        </w:rPr>
        <w:t>Los Comités de Transparencia</w:t>
      </w:r>
      <w:r w:rsidRPr="00C56FC5">
        <w:rPr>
          <w:rFonts w:ascii="Palatino Linotype" w:eastAsia="Palatino Linotype" w:hAnsi="Palatino Linotype" w:cs="Palatino Linotype"/>
          <w:i/>
          <w:sz w:val="22"/>
          <w:szCs w:val="22"/>
        </w:rPr>
        <w:t xml:space="preserve"> tendrán las siguientes atribuciones:</w:t>
      </w:r>
    </w:p>
    <w:p w14:paraId="347459C9"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VIII. Aprobar, modificar o revocar la clasificación de la información</w:t>
      </w:r>
      <w:r w:rsidRPr="00C56FC5">
        <w:rPr>
          <w:rFonts w:ascii="Palatino Linotype" w:eastAsia="Palatino Linotype" w:hAnsi="Palatino Linotype" w:cs="Palatino Linotype"/>
          <w:i/>
          <w:sz w:val="22"/>
          <w:szCs w:val="22"/>
        </w:rPr>
        <w:t>…”</w:t>
      </w:r>
    </w:p>
    <w:p w14:paraId="6EA55187"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t>“</w:t>
      </w:r>
      <w:r w:rsidRPr="00C56FC5">
        <w:rPr>
          <w:rFonts w:ascii="Palatino Linotype" w:eastAsia="Palatino Linotype" w:hAnsi="Palatino Linotype" w:cs="Palatino Linotype"/>
          <w:b/>
          <w:i/>
          <w:sz w:val="22"/>
          <w:szCs w:val="22"/>
        </w:rPr>
        <w:t>Artículo 53.</w:t>
      </w:r>
      <w:r w:rsidRPr="00C56FC5">
        <w:rPr>
          <w:rFonts w:ascii="Palatino Linotype" w:eastAsia="Palatino Linotype" w:hAnsi="Palatino Linotype" w:cs="Palatino Linotype"/>
          <w:i/>
          <w:sz w:val="22"/>
          <w:szCs w:val="22"/>
        </w:rPr>
        <w:t xml:space="preserve"> Las </w:t>
      </w:r>
      <w:r w:rsidRPr="00C56FC5">
        <w:rPr>
          <w:rFonts w:ascii="Palatino Linotype" w:eastAsia="Palatino Linotype" w:hAnsi="Palatino Linotype" w:cs="Palatino Linotype"/>
          <w:b/>
          <w:i/>
          <w:sz w:val="22"/>
          <w:szCs w:val="22"/>
        </w:rPr>
        <w:t>Unidades de Transparencia</w:t>
      </w:r>
      <w:r w:rsidRPr="00C56FC5">
        <w:rPr>
          <w:rFonts w:ascii="Palatino Linotype" w:eastAsia="Palatino Linotype" w:hAnsi="Palatino Linotype" w:cs="Palatino Linotype"/>
          <w:i/>
          <w:sz w:val="22"/>
          <w:szCs w:val="22"/>
        </w:rPr>
        <w:t xml:space="preserve"> tendrán las siguientes </w:t>
      </w:r>
      <w:r w:rsidRPr="00C56FC5">
        <w:rPr>
          <w:rFonts w:ascii="Palatino Linotype" w:eastAsia="Palatino Linotype" w:hAnsi="Palatino Linotype" w:cs="Palatino Linotype"/>
          <w:b/>
          <w:i/>
          <w:sz w:val="22"/>
          <w:szCs w:val="22"/>
        </w:rPr>
        <w:t>funciones</w:t>
      </w:r>
      <w:r w:rsidRPr="00C56FC5">
        <w:rPr>
          <w:rFonts w:ascii="Palatino Linotype" w:eastAsia="Palatino Linotype" w:hAnsi="Palatino Linotype" w:cs="Palatino Linotype"/>
          <w:i/>
          <w:sz w:val="22"/>
          <w:szCs w:val="22"/>
        </w:rPr>
        <w:t>:</w:t>
      </w:r>
    </w:p>
    <w:p w14:paraId="57359C41"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X. Presentar ante el Comité, el proyecto de clasificación de información</w:t>
      </w:r>
      <w:r w:rsidRPr="00C56FC5">
        <w:rPr>
          <w:rFonts w:ascii="Palatino Linotype" w:eastAsia="Palatino Linotype" w:hAnsi="Palatino Linotype" w:cs="Palatino Linotype"/>
          <w:i/>
          <w:sz w:val="22"/>
          <w:szCs w:val="22"/>
        </w:rPr>
        <w:t xml:space="preserve">…” </w:t>
      </w:r>
    </w:p>
    <w:p w14:paraId="3EB85F53"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“Artículo 59.</w:t>
      </w:r>
      <w:r w:rsidRPr="00C56FC5">
        <w:rPr>
          <w:rFonts w:ascii="Palatino Linotype" w:eastAsia="Palatino Linotype" w:hAnsi="Palatino Linotype" w:cs="Palatino Linotype"/>
          <w:i/>
          <w:sz w:val="22"/>
          <w:szCs w:val="22"/>
        </w:rPr>
        <w:t xml:space="preserve"> Los </w:t>
      </w:r>
      <w:r w:rsidRPr="00C56FC5">
        <w:rPr>
          <w:rFonts w:ascii="Palatino Linotype" w:eastAsia="Palatino Linotype" w:hAnsi="Palatino Linotype" w:cs="Palatino Linotype"/>
          <w:b/>
          <w:i/>
          <w:sz w:val="22"/>
          <w:szCs w:val="22"/>
        </w:rPr>
        <w:t>servidores públicos habilitados</w:t>
      </w:r>
      <w:r w:rsidRPr="00C56FC5">
        <w:rPr>
          <w:rFonts w:ascii="Palatino Linotype" w:eastAsia="Palatino Linotype" w:hAnsi="Palatino Linotype" w:cs="Palatino Linotype"/>
          <w:i/>
          <w:sz w:val="22"/>
          <w:szCs w:val="22"/>
        </w:rPr>
        <w:t xml:space="preserve"> tendrán las </w:t>
      </w:r>
      <w:r w:rsidRPr="00C56FC5">
        <w:rPr>
          <w:rFonts w:ascii="Palatino Linotype" w:eastAsia="Palatino Linotype" w:hAnsi="Palatino Linotype" w:cs="Palatino Linotype"/>
          <w:b/>
          <w:i/>
          <w:sz w:val="22"/>
          <w:szCs w:val="22"/>
        </w:rPr>
        <w:t>funciones</w:t>
      </w:r>
      <w:r w:rsidRPr="00C56FC5">
        <w:rPr>
          <w:rFonts w:ascii="Palatino Linotype" w:eastAsia="Palatino Linotype" w:hAnsi="Palatino Linotype" w:cs="Palatino Linotype"/>
          <w:i/>
          <w:sz w:val="22"/>
          <w:szCs w:val="22"/>
        </w:rPr>
        <w:t xml:space="preserve"> siguientes:</w:t>
      </w:r>
    </w:p>
    <w:p w14:paraId="422DDAB4"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lastRenderedPageBreak/>
        <w:t>V. Integrar y presentar al responsable de la Unidad de Transparencia la propuesta de clasificación de información</w:t>
      </w:r>
      <w:r w:rsidRPr="00C56FC5">
        <w:rPr>
          <w:rFonts w:ascii="Palatino Linotype" w:eastAsia="Palatino Linotype" w:hAnsi="Palatino Linotype" w:cs="Palatino Linotype"/>
          <w:i/>
          <w:sz w:val="22"/>
          <w:szCs w:val="22"/>
        </w:rPr>
        <w:t>, la cual tendrá los fundamentos y argumentos en que se basa dicha propuesta…”</w:t>
      </w:r>
    </w:p>
    <w:p w14:paraId="742C0647" w14:textId="77777777" w:rsidR="00EE55D3" w:rsidRPr="00C56FC5" w:rsidRDefault="00EE55D3" w:rsidP="00EE55D3">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57F9B84B" w14:textId="77777777" w:rsidR="00EE55D3" w:rsidRPr="00C56FC5" w:rsidRDefault="00EE55D3" w:rsidP="00EE55D3">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Para lo cual, a su vez en el caso de información de carácter confidencial, se debe atender a lo que señala el artículo 149 de la Ley de Transparencia Local vigente, que se lee como sigue:</w:t>
      </w:r>
    </w:p>
    <w:p w14:paraId="222001AB"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t>“</w:t>
      </w:r>
      <w:r w:rsidRPr="00C56FC5">
        <w:rPr>
          <w:rFonts w:ascii="Palatino Linotype" w:eastAsia="Palatino Linotype" w:hAnsi="Palatino Linotype" w:cs="Palatino Linotype"/>
          <w:b/>
          <w:i/>
          <w:sz w:val="22"/>
          <w:szCs w:val="22"/>
        </w:rPr>
        <w:t>Artículo 149.</w:t>
      </w:r>
      <w:r w:rsidRPr="00C56FC5">
        <w:rPr>
          <w:rFonts w:ascii="Palatino Linotype" w:eastAsia="Palatino Linotype" w:hAnsi="Palatino Linotype" w:cs="Palatino Linotype"/>
          <w:i/>
          <w:sz w:val="22"/>
          <w:szCs w:val="22"/>
        </w:rPr>
        <w:t xml:space="preserve"> El </w:t>
      </w:r>
      <w:r w:rsidRPr="00C56FC5">
        <w:rPr>
          <w:rFonts w:ascii="Palatino Linotype" w:eastAsia="Palatino Linotype" w:hAnsi="Palatino Linotype" w:cs="Palatino Linotype"/>
          <w:b/>
          <w:i/>
          <w:sz w:val="22"/>
          <w:szCs w:val="22"/>
        </w:rPr>
        <w:t>acuerdo que clasifique la información como confidencial</w:t>
      </w:r>
      <w:r w:rsidRPr="00C56FC5">
        <w:rPr>
          <w:rFonts w:ascii="Palatino Linotype" w:eastAsia="Palatino Linotype" w:hAnsi="Palatino Linotype" w:cs="Palatino Linotype"/>
          <w:i/>
          <w:sz w:val="22"/>
          <w:szCs w:val="22"/>
        </w:rPr>
        <w:t xml:space="preserve"> deberá contener un razonamiento lógico en el que demuestre que la información se encuentra en alguna o algunas de las hipótesis previstas en la presente Ley.” </w:t>
      </w:r>
    </w:p>
    <w:p w14:paraId="40ECD097" w14:textId="77777777" w:rsidR="00EE55D3" w:rsidRPr="00C56FC5" w:rsidRDefault="00EE55D3" w:rsidP="00EE55D3">
      <w:pPr>
        <w:spacing w:before="240" w:after="240" w:line="360" w:lineRule="auto"/>
        <w:ind w:right="51"/>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Es decir, el </w:t>
      </w:r>
      <w:r w:rsidRPr="00C56FC5">
        <w:rPr>
          <w:rFonts w:ascii="Palatino Linotype" w:eastAsia="Palatino Linotype" w:hAnsi="Palatino Linotype" w:cs="Palatino Linotype"/>
          <w:b/>
          <w:sz w:val="22"/>
          <w:szCs w:val="22"/>
        </w:rPr>
        <w:t>Sujeto Obligado</w:t>
      </w:r>
      <w:r w:rsidRPr="00C56FC5">
        <w:rPr>
          <w:rFonts w:ascii="Palatino Linotype" w:eastAsia="Palatino Linotype" w:hAnsi="Palatino Linotype" w:cs="Palatino Linotype"/>
          <w:sz w:val="22"/>
          <w:szCs w:val="22"/>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580B1808" w14:textId="77777777" w:rsidR="00EE55D3" w:rsidRPr="00C56FC5" w:rsidRDefault="00EE55D3" w:rsidP="00EE55D3">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Asimismo, respecto a las formalidades que deberá llevar el acuerdo de clasificación que deberá emitir el </w:t>
      </w:r>
      <w:r w:rsidRPr="00C56FC5">
        <w:rPr>
          <w:rFonts w:ascii="Palatino Linotype" w:eastAsia="Palatino Linotype" w:hAnsi="Palatino Linotype" w:cs="Palatino Linotype"/>
          <w:b/>
          <w:sz w:val="22"/>
          <w:szCs w:val="22"/>
        </w:rPr>
        <w:t>Sujeto Obligado</w:t>
      </w:r>
      <w:r w:rsidRPr="00C56FC5">
        <w:rPr>
          <w:rFonts w:ascii="Palatino Linotype" w:eastAsia="Palatino Linotype" w:hAnsi="Palatino Linotype" w:cs="Palatino Linotype"/>
          <w:sz w:val="22"/>
          <w:szCs w:val="22"/>
        </w:rPr>
        <w:t xml:space="preserve"> a través de su Comité de Transparencia, los Lineamientos </w:t>
      </w:r>
      <w:r w:rsidRPr="00C56FC5">
        <w:rPr>
          <w:rFonts w:ascii="Palatino Linotype" w:eastAsia="Palatino Linotype" w:hAnsi="Palatino Linotype" w:cs="Palatino Linotype"/>
          <w:sz w:val="22"/>
          <w:szCs w:val="22"/>
        </w:rPr>
        <w:lastRenderedPageBreak/>
        <w:t>Quincuagésimo y Quincuagésimo primero de los Lineamientos Generales en Materia de Clasificación y Desclasificación de la Información, así como para la Elaboración de Versiones Públicas, vigentes a la fecha de presentación de la solicitud, señalan lo siguiente:</w:t>
      </w:r>
    </w:p>
    <w:p w14:paraId="3CA5C951"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 xml:space="preserve"> “Quincuagésimo. </w:t>
      </w:r>
      <w:r w:rsidRPr="00C56FC5">
        <w:rPr>
          <w:rFonts w:ascii="Palatino Linotype" w:eastAsia="Palatino Linotype" w:hAnsi="Palatino Linotype" w:cs="Palatino Linotype"/>
          <w:i/>
          <w:sz w:val="22"/>
          <w:szCs w:val="22"/>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3F28FD2C" w14:textId="77777777" w:rsidR="00EE55D3" w:rsidRPr="00C56FC5" w:rsidRDefault="00EE55D3" w:rsidP="00EE55D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 xml:space="preserve">Quincuagésimo primero. </w:t>
      </w:r>
      <w:r w:rsidRPr="00C56FC5">
        <w:rPr>
          <w:rFonts w:ascii="Palatino Linotype" w:eastAsia="Palatino Linotype" w:hAnsi="Palatino Linotype" w:cs="Palatino Linotype"/>
          <w:i/>
          <w:sz w:val="22"/>
          <w:szCs w:val="22"/>
        </w:rPr>
        <w:t xml:space="preserve">Toda acta del Comité de Transparencia deberá contener: </w:t>
      </w:r>
    </w:p>
    <w:p w14:paraId="2285452C" w14:textId="77777777" w:rsidR="00EE55D3" w:rsidRPr="00C56FC5" w:rsidRDefault="00EE55D3" w:rsidP="00EE55D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I.</w:t>
      </w:r>
      <w:r w:rsidRPr="00C56FC5">
        <w:rPr>
          <w:rFonts w:ascii="Palatino Linotype" w:eastAsia="Palatino Linotype" w:hAnsi="Palatino Linotype" w:cs="Palatino Linotype"/>
          <w:i/>
          <w:sz w:val="22"/>
          <w:szCs w:val="22"/>
        </w:rPr>
        <w:t xml:space="preserve"> El número de sesión y fecha; </w:t>
      </w:r>
    </w:p>
    <w:p w14:paraId="6DBB67B2" w14:textId="77777777" w:rsidR="00EE55D3" w:rsidRPr="00C56FC5" w:rsidRDefault="00EE55D3" w:rsidP="00EE55D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II</w:t>
      </w:r>
      <w:r w:rsidRPr="00C56FC5">
        <w:rPr>
          <w:rFonts w:ascii="Palatino Linotype" w:eastAsia="Palatino Linotype" w:hAnsi="Palatino Linotype" w:cs="Palatino Linotype"/>
          <w:i/>
          <w:sz w:val="22"/>
          <w:szCs w:val="22"/>
        </w:rPr>
        <w:t xml:space="preserve">. El nombre del área que solicitó la clasificación de información; </w:t>
      </w:r>
    </w:p>
    <w:p w14:paraId="49861924" w14:textId="77777777" w:rsidR="00EE55D3" w:rsidRPr="00C56FC5" w:rsidRDefault="00EE55D3" w:rsidP="00EE55D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III</w:t>
      </w:r>
      <w:r w:rsidRPr="00C56FC5">
        <w:rPr>
          <w:rFonts w:ascii="Palatino Linotype" w:eastAsia="Palatino Linotype" w:hAnsi="Palatino Linotype" w:cs="Palatino Linotype"/>
          <w:i/>
          <w:sz w:val="22"/>
          <w:szCs w:val="22"/>
        </w:rPr>
        <w:t xml:space="preserve">. La fundamentación legal y motivación correspondiente; </w:t>
      </w:r>
    </w:p>
    <w:p w14:paraId="387F4F1F" w14:textId="77777777" w:rsidR="00EE55D3" w:rsidRPr="00C56FC5" w:rsidRDefault="00EE55D3" w:rsidP="00EE55D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IV</w:t>
      </w:r>
      <w:r w:rsidRPr="00C56FC5">
        <w:rPr>
          <w:rFonts w:ascii="Palatino Linotype" w:eastAsia="Palatino Linotype" w:hAnsi="Palatino Linotype" w:cs="Palatino Linotype"/>
          <w:i/>
          <w:sz w:val="22"/>
          <w:szCs w:val="22"/>
        </w:rPr>
        <w:t xml:space="preserve">. La resolución o resoluciones aprobadas; y </w:t>
      </w:r>
    </w:p>
    <w:p w14:paraId="070B3853" w14:textId="77777777" w:rsidR="00EE55D3" w:rsidRPr="00C56FC5" w:rsidRDefault="00EE55D3" w:rsidP="00EE55D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V</w:t>
      </w:r>
      <w:r w:rsidRPr="00C56FC5">
        <w:rPr>
          <w:rFonts w:ascii="Palatino Linotype" w:eastAsia="Palatino Linotype" w:hAnsi="Palatino Linotype" w:cs="Palatino Linotype"/>
          <w:i/>
          <w:sz w:val="22"/>
          <w:szCs w:val="22"/>
        </w:rPr>
        <w:t xml:space="preserve">. La rúbrica o firma digital de cada integrante del Comité de Transparencia. </w:t>
      </w:r>
    </w:p>
    <w:p w14:paraId="547C7662" w14:textId="77777777" w:rsidR="00EE55D3" w:rsidRPr="00C56FC5" w:rsidRDefault="00EE55D3" w:rsidP="00EE55D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t xml:space="preserve">Las resoluciones del Comité en las que se haya determinado confirmar o modificar la clasificación de información pública como reservada, deberán incluir, cuando menos: </w:t>
      </w:r>
    </w:p>
    <w:p w14:paraId="45D66A37" w14:textId="77777777" w:rsidR="00EE55D3" w:rsidRPr="00C56FC5" w:rsidRDefault="00EE55D3" w:rsidP="00EE55D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I.</w:t>
      </w:r>
      <w:r w:rsidRPr="00C56FC5">
        <w:rPr>
          <w:rFonts w:ascii="Palatino Linotype" w:eastAsia="Palatino Linotype" w:hAnsi="Palatino Linotype" w:cs="Palatino Linotype"/>
          <w:i/>
          <w:sz w:val="22"/>
          <w:szCs w:val="22"/>
        </w:rPr>
        <w:t xml:space="preserve"> Los motivos y razonamientos que sustenten la confirmación o modificación de la prueba de daño;</w:t>
      </w:r>
    </w:p>
    <w:p w14:paraId="4DB586F0" w14:textId="77777777" w:rsidR="00EE55D3" w:rsidRPr="00C56FC5" w:rsidRDefault="00EE55D3" w:rsidP="00EE55D3">
      <w:pPr>
        <w:pBdr>
          <w:top w:val="nil"/>
          <w:left w:val="nil"/>
          <w:bottom w:val="nil"/>
          <w:right w:val="nil"/>
          <w:between w:val="nil"/>
        </w:pBdr>
        <w:spacing w:before="120" w:after="120"/>
        <w:ind w:left="851" w:right="902"/>
        <w:jc w:val="both"/>
        <w:rPr>
          <w:rFonts w:ascii="Palatino Linotype" w:eastAsia="Palatino Linotype" w:hAnsi="Palatino Linotype" w:cs="Palatino Linotype"/>
          <w:b/>
          <w:i/>
          <w:sz w:val="22"/>
          <w:szCs w:val="22"/>
        </w:rPr>
      </w:pPr>
      <w:r w:rsidRPr="00C56FC5">
        <w:rPr>
          <w:rFonts w:ascii="Palatino Linotype" w:eastAsia="Palatino Linotype" w:hAnsi="Palatino Linotype" w:cs="Palatino Linotype"/>
          <w:b/>
          <w:i/>
          <w:sz w:val="22"/>
          <w:szCs w:val="22"/>
        </w:rPr>
        <w:t>II</w:t>
      </w:r>
      <w:r w:rsidRPr="00C56FC5">
        <w:rPr>
          <w:rFonts w:ascii="Palatino Linotype" w:eastAsia="Palatino Linotype" w:hAnsi="Palatino Linotype" w:cs="Palatino Linotype"/>
          <w:i/>
          <w:sz w:val="22"/>
          <w:szCs w:val="22"/>
        </w:rPr>
        <w:t>. Descripción de las partes o secciones reservadas, en caso de clasificación parcial</w:t>
      </w:r>
      <w:r w:rsidRPr="00C56FC5">
        <w:rPr>
          <w:rFonts w:ascii="Palatino Linotype" w:eastAsia="Palatino Linotype" w:hAnsi="Palatino Linotype" w:cs="Palatino Linotype"/>
          <w:b/>
          <w:i/>
          <w:sz w:val="22"/>
          <w:szCs w:val="22"/>
        </w:rPr>
        <w:t xml:space="preserve">; </w:t>
      </w:r>
    </w:p>
    <w:p w14:paraId="48067F8D" w14:textId="77777777" w:rsidR="00EE55D3" w:rsidRPr="00C56FC5" w:rsidRDefault="00EE55D3" w:rsidP="00EE55D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III.</w:t>
      </w:r>
      <w:r w:rsidRPr="00C56FC5">
        <w:rPr>
          <w:rFonts w:ascii="Palatino Linotype" w:eastAsia="Palatino Linotype" w:hAnsi="Palatino Linotype" w:cs="Palatino Linotype"/>
          <w:i/>
          <w:sz w:val="22"/>
          <w:szCs w:val="22"/>
        </w:rPr>
        <w:t xml:space="preserve"> El periodo por el que mantendrá su clasificación y fecha de expiración; y </w:t>
      </w:r>
    </w:p>
    <w:p w14:paraId="3C58204F" w14:textId="77777777" w:rsidR="00EE55D3" w:rsidRPr="00C56FC5" w:rsidRDefault="00EE55D3" w:rsidP="00EE55D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IV.</w:t>
      </w:r>
      <w:r w:rsidRPr="00C56FC5">
        <w:rPr>
          <w:rFonts w:ascii="Palatino Linotype" w:eastAsia="Palatino Linotype" w:hAnsi="Palatino Linotype" w:cs="Palatino Linotype"/>
          <w:i/>
          <w:sz w:val="22"/>
          <w:szCs w:val="22"/>
        </w:rPr>
        <w:t xml:space="preserve"> El nombre del titular y área encargada de realizar la versión pública del documento, en su caso. </w:t>
      </w:r>
    </w:p>
    <w:p w14:paraId="1BDC599B" w14:textId="77777777" w:rsidR="00EE55D3" w:rsidRPr="00C56FC5" w:rsidRDefault="00EE55D3" w:rsidP="00EE55D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t xml:space="preserve">En los casos en que se clasifique la información como reservada siempre se entregará o anexará la prueba de daño con la respuesta al solicitante. </w:t>
      </w:r>
    </w:p>
    <w:p w14:paraId="6F666027" w14:textId="77777777" w:rsidR="00EE55D3" w:rsidRPr="00C56FC5" w:rsidRDefault="00EE55D3" w:rsidP="00EE55D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4583B7FF" w14:textId="77777777" w:rsidR="00EE55D3" w:rsidRPr="00C56FC5" w:rsidRDefault="00EE55D3" w:rsidP="00EE55D3">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 xml:space="preserve">Para la elaboración de las versiones públicas, además, se deberán observar las formalidades establecidas en los Lineamientos Quincuagésimo segundo, Quincuagésimo cuarto, </w:t>
      </w:r>
      <w:r w:rsidRPr="00C56FC5">
        <w:rPr>
          <w:rFonts w:ascii="Palatino Linotype" w:eastAsia="Palatino Linotype" w:hAnsi="Palatino Linotype" w:cs="Palatino Linotype"/>
          <w:sz w:val="22"/>
          <w:szCs w:val="22"/>
        </w:rPr>
        <w:lastRenderedPageBreak/>
        <w:t>Quincuagésimo quinto, Quincuagésimo séptimo y Quincuagésimo octavo, que establecen lo siguiente:</w:t>
      </w:r>
    </w:p>
    <w:p w14:paraId="693686FA" w14:textId="77777777" w:rsidR="00EE55D3" w:rsidRPr="00C56FC5" w:rsidRDefault="00EE55D3" w:rsidP="00EE55D3">
      <w:pPr>
        <w:spacing w:before="120" w:after="120"/>
        <w:ind w:left="851" w:right="900"/>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t>“</w:t>
      </w:r>
      <w:r w:rsidRPr="00C56FC5">
        <w:rPr>
          <w:rFonts w:ascii="Palatino Linotype" w:eastAsia="Palatino Linotype" w:hAnsi="Palatino Linotype" w:cs="Palatino Linotype"/>
          <w:b/>
          <w:i/>
          <w:sz w:val="22"/>
          <w:szCs w:val="22"/>
        </w:rPr>
        <w:t>Quincuagésimo segundo</w:t>
      </w:r>
      <w:r w:rsidRPr="00C56FC5">
        <w:rPr>
          <w:rFonts w:ascii="Palatino Linotype" w:eastAsia="Palatino Linotype" w:hAnsi="Palatino Linotype" w:cs="Palatino Linotype"/>
          <w:i/>
          <w:sz w:val="22"/>
          <w:szCs w:val="22"/>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6BE520C0" w14:textId="77777777" w:rsidR="00EE55D3" w:rsidRPr="00C56FC5" w:rsidRDefault="00EE55D3" w:rsidP="00EE55D3">
      <w:pPr>
        <w:spacing w:before="120" w:after="120"/>
        <w:ind w:left="851" w:right="900"/>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t xml:space="preserve">En el caso específico de la clasificación y elaboración de versiones públicas de documentos que contengan información confidencial, las áreas de los sujetos obligados deberán: </w:t>
      </w:r>
    </w:p>
    <w:p w14:paraId="50265039" w14:textId="77777777" w:rsidR="00EE55D3" w:rsidRPr="00C56FC5" w:rsidRDefault="00EE55D3" w:rsidP="00EE55D3">
      <w:pPr>
        <w:spacing w:before="120" w:after="120"/>
        <w:ind w:left="851" w:right="900"/>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I.</w:t>
      </w:r>
      <w:r w:rsidRPr="00C56FC5">
        <w:rPr>
          <w:rFonts w:ascii="Palatino Linotype" w:eastAsia="Palatino Linotype" w:hAnsi="Palatino Linotype" w:cs="Palatino Linotype"/>
          <w:i/>
          <w:sz w:val="22"/>
          <w:szCs w:val="22"/>
        </w:rPr>
        <w:t xml:space="preserve"> Fijar la fecha en que se elaboró la versión pública y la fecha en la cual el Comité de Transparencia confirmó dicha versión;</w:t>
      </w:r>
    </w:p>
    <w:p w14:paraId="68E078E4" w14:textId="77777777" w:rsidR="00EE55D3" w:rsidRPr="00C56FC5" w:rsidRDefault="00EE55D3" w:rsidP="00EE55D3">
      <w:pPr>
        <w:spacing w:before="120" w:after="120"/>
        <w:ind w:left="851" w:right="900"/>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II.</w:t>
      </w:r>
      <w:r w:rsidRPr="00C56FC5">
        <w:rPr>
          <w:rFonts w:ascii="Palatino Linotype" w:eastAsia="Palatino Linotype" w:hAnsi="Palatino Linotype" w:cs="Palatino Linotype"/>
          <w:i/>
          <w:sz w:val="22"/>
          <w:szCs w:val="22"/>
        </w:rPr>
        <w:t xml:space="preserve"> Señalar dentro del documento el tipo de información confidencial que fue testada en cada caso específico, de conformidad con el lineamiento trigésimo octavo; y</w:t>
      </w:r>
    </w:p>
    <w:p w14:paraId="068AA909" w14:textId="77777777" w:rsidR="00EE55D3" w:rsidRPr="00C56FC5" w:rsidRDefault="00EE55D3" w:rsidP="00EE55D3">
      <w:pPr>
        <w:spacing w:before="120" w:after="120"/>
        <w:ind w:left="851" w:right="900"/>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III.</w:t>
      </w:r>
      <w:r w:rsidRPr="00C56FC5">
        <w:rPr>
          <w:rFonts w:ascii="Palatino Linotype" w:eastAsia="Palatino Linotype" w:hAnsi="Palatino Linotype" w:cs="Palatino Linotype"/>
          <w:i/>
          <w:sz w:val="22"/>
          <w:szCs w:val="22"/>
        </w:rPr>
        <w:t xml:space="preserve"> Señalar las personas o instancias autorizadas a acceder a la información clasificada.</w:t>
      </w:r>
    </w:p>
    <w:p w14:paraId="10836875" w14:textId="77777777" w:rsidR="00EE55D3" w:rsidRPr="00C56FC5" w:rsidRDefault="00EE55D3" w:rsidP="00EE55D3">
      <w:pPr>
        <w:spacing w:before="120" w:after="120"/>
        <w:ind w:left="851" w:right="900"/>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t>En los documentos de difusión electrónica, señalar en la primera hoja y en el nombre del archivo, que la versión pública corresponde a un documento que contiene información confidencial.”</w:t>
      </w:r>
    </w:p>
    <w:p w14:paraId="1C4B0E19" w14:textId="77777777" w:rsidR="00EE55D3" w:rsidRPr="00C56FC5" w:rsidRDefault="00EE55D3" w:rsidP="00EE55D3">
      <w:pPr>
        <w:pBdr>
          <w:top w:val="nil"/>
          <w:left w:val="nil"/>
          <w:bottom w:val="nil"/>
          <w:right w:val="nil"/>
          <w:between w:val="nil"/>
        </w:pBdr>
        <w:spacing w:before="120" w:after="120"/>
        <w:ind w:left="851" w:right="900"/>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t>…</w:t>
      </w:r>
    </w:p>
    <w:p w14:paraId="06689466" w14:textId="77777777" w:rsidR="00EE55D3" w:rsidRPr="00C56FC5" w:rsidRDefault="00EE55D3" w:rsidP="00EE55D3">
      <w:pPr>
        <w:pBdr>
          <w:top w:val="nil"/>
          <w:left w:val="nil"/>
          <w:bottom w:val="nil"/>
          <w:right w:val="nil"/>
          <w:between w:val="nil"/>
        </w:pBdr>
        <w:spacing w:before="120" w:after="120"/>
        <w:ind w:left="851" w:right="900"/>
        <w:jc w:val="both"/>
        <w:rPr>
          <w:rFonts w:ascii="Palatino Linotype" w:eastAsia="Palatino Linotype" w:hAnsi="Palatino Linotype" w:cs="Palatino Linotype"/>
          <w:b/>
          <w:i/>
          <w:sz w:val="22"/>
          <w:szCs w:val="22"/>
        </w:rPr>
      </w:pPr>
      <w:r w:rsidRPr="00C56FC5">
        <w:rPr>
          <w:rFonts w:ascii="Palatino Linotype" w:eastAsia="Palatino Linotype" w:hAnsi="Palatino Linotype" w:cs="Palatino Linotype"/>
          <w:b/>
          <w:i/>
          <w:sz w:val="22"/>
          <w:szCs w:val="22"/>
        </w:rPr>
        <w:t xml:space="preserve">Quincuagésimo cuarto. </w:t>
      </w:r>
      <w:r w:rsidRPr="00C56FC5">
        <w:rPr>
          <w:rFonts w:ascii="Palatino Linotype" w:eastAsia="Palatino Linotype" w:hAnsi="Palatino Linotype" w:cs="Palatino Linotype"/>
          <w:i/>
          <w:sz w:val="22"/>
          <w:szCs w:val="22"/>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C56FC5">
        <w:rPr>
          <w:rFonts w:ascii="Palatino Linotype" w:eastAsia="Palatino Linotype" w:hAnsi="Palatino Linotype" w:cs="Palatino Linotype"/>
          <w:b/>
          <w:i/>
          <w:sz w:val="22"/>
          <w:szCs w:val="22"/>
        </w:rPr>
        <w:t xml:space="preserve"> </w:t>
      </w:r>
    </w:p>
    <w:p w14:paraId="7511D32F"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 xml:space="preserve">Quincuagésimo quinto. </w:t>
      </w:r>
      <w:r w:rsidRPr="00C56FC5">
        <w:rPr>
          <w:rFonts w:ascii="Palatino Linotype" w:eastAsia="Palatino Linotype" w:hAnsi="Palatino Linotype" w:cs="Palatino Linotype"/>
          <w:i/>
          <w:sz w:val="22"/>
          <w:szCs w:val="22"/>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47DFB2E0" w14:textId="77777777" w:rsidR="00EE55D3" w:rsidRPr="00C56FC5" w:rsidRDefault="00EE55D3" w:rsidP="00EE55D3">
      <w:pPr>
        <w:spacing w:before="120" w:after="120"/>
        <w:ind w:left="851" w:right="902"/>
        <w:jc w:val="both"/>
        <w:rPr>
          <w:rFonts w:ascii="Palatino Linotype" w:eastAsia="Palatino Linotype" w:hAnsi="Palatino Linotype" w:cs="Palatino Linotype"/>
          <w:b/>
          <w:i/>
          <w:sz w:val="22"/>
          <w:szCs w:val="22"/>
        </w:rPr>
      </w:pPr>
      <w:r w:rsidRPr="00C56FC5">
        <w:rPr>
          <w:rFonts w:ascii="Palatino Linotype" w:eastAsia="Palatino Linotype" w:hAnsi="Palatino Linotype" w:cs="Palatino Linotype"/>
          <w:b/>
          <w:i/>
          <w:sz w:val="22"/>
          <w:szCs w:val="22"/>
        </w:rPr>
        <w:lastRenderedPageBreak/>
        <w:t>...</w:t>
      </w:r>
    </w:p>
    <w:p w14:paraId="6BDE1E81"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Quincuagésimo séptimo</w:t>
      </w:r>
      <w:r w:rsidRPr="00C56FC5">
        <w:rPr>
          <w:rFonts w:ascii="Palatino Linotype" w:eastAsia="Palatino Linotype" w:hAnsi="Palatino Linotype" w:cs="Palatino Linotype"/>
          <w:i/>
          <w:sz w:val="22"/>
          <w:szCs w:val="22"/>
        </w:rPr>
        <w:t xml:space="preserve">. Se considera, en principio, como información pública y no podrá omitirse de las versiones públicas la siguiente: </w:t>
      </w:r>
    </w:p>
    <w:p w14:paraId="4345209E"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I</w:t>
      </w:r>
      <w:r w:rsidRPr="00C56FC5">
        <w:rPr>
          <w:rFonts w:ascii="Palatino Linotype" w:eastAsia="Palatino Linotype" w:hAnsi="Palatino Linotype" w:cs="Palatino Linotype"/>
          <w:i/>
          <w:sz w:val="22"/>
          <w:szCs w:val="22"/>
        </w:rPr>
        <w:t xml:space="preserve">. La relativa a las Obligaciones de Transparencia que contempla el Título V de la Ley General y las demás disposiciones legales aplicables; </w:t>
      </w:r>
    </w:p>
    <w:p w14:paraId="4E011AA6"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II.</w:t>
      </w:r>
      <w:r w:rsidRPr="00C56FC5">
        <w:rPr>
          <w:rFonts w:ascii="Palatino Linotype" w:eastAsia="Palatino Linotype" w:hAnsi="Palatino Linotype" w:cs="Palatino Linotype"/>
          <w:i/>
          <w:sz w:val="22"/>
          <w:szCs w:val="22"/>
        </w:rPr>
        <w:t xml:space="preserve"> El nombre de los integrantes de los sujetos obligados en los documentos, y sus firmas autógrafas o digitales, cuando sean utilizados en el ejercicio de las facultades conferidas para el desempeño del servicio público, y</w:t>
      </w:r>
    </w:p>
    <w:p w14:paraId="1B683690"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III</w:t>
      </w:r>
      <w:r w:rsidRPr="00C56FC5">
        <w:rPr>
          <w:rFonts w:ascii="Palatino Linotype" w:eastAsia="Palatino Linotype" w:hAnsi="Palatino Linotype" w:cs="Palatino Linotype"/>
          <w:i/>
          <w:sz w:val="22"/>
          <w:szCs w:val="22"/>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0801E724"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i/>
          <w:sz w:val="22"/>
          <w:szCs w:val="22"/>
        </w:rPr>
        <w:t xml:space="preserve">Lo anterior, siempre y cuando no se acredite alguna causal de clasificación, prevista en las leyes o en los tratados internacionales suscritas por el Estado mexicano.  </w:t>
      </w:r>
    </w:p>
    <w:p w14:paraId="4C0D05BA" w14:textId="77777777" w:rsidR="00EE55D3" w:rsidRPr="00C56FC5" w:rsidRDefault="00EE55D3" w:rsidP="00EE55D3">
      <w:pPr>
        <w:spacing w:before="120" w:after="120"/>
        <w:ind w:left="851" w:right="902"/>
        <w:jc w:val="both"/>
        <w:rPr>
          <w:rFonts w:ascii="Palatino Linotype" w:eastAsia="Palatino Linotype" w:hAnsi="Palatino Linotype" w:cs="Palatino Linotype"/>
          <w:i/>
          <w:sz w:val="22"/>
          <w:szCs w:val="22"/>
        </w:rPr>
      </w:pPr>
      <w:r w:rsidRPr="00C56FC5">
        <w:rPr>
          <w:rFonts w:ascii="Palatino Linotype" w:eastAsia="Palatino Linotype" w:hAnsi="Palatino Linotype" w:cs="Palatino Linotype"/>
          <w:b/>
          <w:i/>
          <w:sz w:val="22"/>
          <w:szCs w:val="22"/>
        </w:rPr>
        <w:t>Quincuagésimo octavo</w:t>
      </w:r>
      <w:r w:rsidRPr="00C56FC5">
        <w:rPr>
          <w:rFonts w:ascii="Palatino Linotype" w:eastAsia="Palatino Linotype" w:hAnsi="Palatino Linotype" w:cs="Palatino Linotype"/>
          <w:i/>
          <w:sz w:val="22"/>
          <w:szCs w:val="22"/>
        </w:rPr>
        <w:t>. Los sujetos obligados garantizarán que los sistemas o medios empleados para eliminar la información en las versiones públicas sean irreversibles, de tal forma que no permitan su recuperación o la visualización de la misma.”</w:t>
      </w:r>
    </w:p>
    <w:p w14:paraId="2D424BB3" w14:textId="0D633A59" w:rsidR="005A75CA" w:rsidRPr="00C56FC5" w:rsidRDefault="00E96B90" w:rsidP="00D7204E">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sz w:val="22"/>
          <w:szCs w:val="22"/>
        </w:rPr>
        <w:t>Así, con fundamento en lo prescrito en los artículos 5</w:t>
      </w:r>
      <w:r w:rsidR="00FD0FF9" w:rsidRPr="00C56FC5">
        <w:rPr>
          <w:rFonts w:ascii="Palatino Linotype" w:eastAsia="Palatino Linotype" w:hAnsi="Palatino Linotype" w:cs="Palatino Linotype"/>
          <w:sz w:val="22"/>
          <w:szCs w:val="22"/>
        </w:rPr>
        <w:t xml:space="preserve">, </w:t>
      </w:r>
      <w:r w:rsidR="00170F4F" w:rsidRPr="00C56FC5">
        <w:rPr>
          <w:rFonts w:ascii="Palatino Linotype" w:eastAsia="Palatino Linotype" w:hAnsi="Palatino Linotype" w:cs="Palatino Linotype"/>
          <w:sz w:val="22"/>
          <w:szCs w:val="22"/>
        </w:rPr>
        <w:t>párrafos cuadragésimo cuarto, cuadragésimo quinto y cuadragésimo sexto, fracciones IV y V de la Constitución Política del Estado Libre y Soberano de México; transitorio Cuarto del Decreto número 198 de la “LXII” Legislatura del Estado de México</w:t>
      </w:r>
      <w:r w:rsidRPr="00C56FC5">
        <w:rPr>
          <w:rFonts w:ascii="Palatino Linotype" w:eastAsia="Palatino Linotype" w:hAnsi="Palatino Linotype" w:cs="Palatino Linotype"/>
          <w:sz w:val="22"/>
          <w:szCs w:val="22"/>
        </w:rPr>
        <w:t>; 2, fracción II; 29, 36 fracciones I y II; 176, 178, 181, 185 y 186 fracción II de la Ley de Transparencia y Acceso a la Información Pública del Estado de México y Municipios, este Pleno:</w:t>
      </w:r>
    </w:p>
    <w:p w14:paraId="635EEE69" w14:textId="77777777" w:rsidR="005A75CA" w:rsidRPr="00C56FC5" w:rsidRDefault="00E96B90" w:rsidP="00D7204E">
      <w:pPr>
        <w:pBdr>
          <w:top w:val="nil"/>
          <w:left w:val="nil"/>
          <w:bottom w:val="nil"/>
          <w:right w:val="nil"/>
          <w:between w:val="nil"/>
        </w:pBdr>
        <w:spacing w:before="240" w:after="240" w:line="360" w:lineRule="auto"/>
        <w:jc w:val="center"/>
        <w:rPr>
          <w:rFonts w:ascii="Palatino Linotype" w:eastAsia="Palatino Linotype" w:hAnsi="Palatino Linotype" w:cs="Palatino Linotype"/>
          <w:b/>
          <w:sz w:val="22"/>
          <w:szCs w:val="22"/>
        </w:rPr>
      </w:pPr>
      <w:r w:rsidRPr="00C56FC5">
        <w:rPr>
          <w:rFonts w:ascii="Palatino Linotype" w:eastAsia="Palatino Linotype" w:hAnsi="Palatino Linotype" w:cs="Palatino Linotype"/>
          <w:b/>
          <w:sz w:val="22"/>
          <w:szCs w:val="22"/>
        </w:rPr>
        <w:t>III. R E S U E L V E</w:t>
      </w:r>
    </w:p>
    <w:p w14:paraId="4BED30EC" w14:textId="77777777" w:rsidR="005A75CA" w:rsidRPr="00C56FC5" w:rsidRDefault="00E96B90" w:rsidP="00D7204E">
      <w:pPr>
        <w:spacing w:before="240" w:after="240" w:line="360" w:lineRule="auto"/>
        <w:ind w:right="49"/>
        <w:jc w:val="both"/>
        <w:rPr>
          <w:rFonts w:ascii="Palatino Linotype" w:eastAsia="Palatino Linotype" w:hAnsi="Palatino Linotype" w:cs="Palatino Linotype"/>
          <w:sz w:val="22"/>
          <w:szCs w:val="22"/>
        </w:rPr>
      </w:pPr>
      <w:bookmarkStart w:id="11" w:name="_heading=h.1t3h5sf" w:colFirst="0" w:colLast="0"/>
      <w:bookmarkEnd w:id="11"/>
      <w:r w:rsidRPr="00C56FC5">
        <w:rPr>
          <w:rFonts w:ascii="Palatino Linotype" w:eastAsia="Palatino Linotype" w:hAnsi="Palatino Linotype" w:cs="Palatino Linotype"/>
          <w:b/>
          <w:sz w:val="22"/>
          <w:szCs w:val="22"/>
        </w:rPr>
        <w:t xml:space="preserve">Primero. </w:t>
      </w:r>
      <w:r w:rsidRPr="00C56FC5">
        <w:rPr>
          <w:rFonts w:ascii="Palatino Linotype" w:eastAsia="Palatino Linotype" w:hAnsi="Palatino Linotype" w:cs="Palatino Linotype"/>
          <w:sz w:val="22"/>
          <w:szCs w:val="22"/>
        </w:rPr>
        <w:t xml:space="preserve">Resultan </w:t>
      </w:r>
      <w:r w:rsidRPr="00C56FC5">
        <w:rPr>
          <w:rFonts w:ascii="Palatino Linotype" w:eastAsia="Palatino Linotype" w:hAnsi="Palatino Linotype" w:cs="Palatino Linotype"/>
          <w:b/>
          <w:sz w:val="22"/>
          <w:szCs w:val="22"/>
        </w:rPr>
        <w:t>fundados</w:t>
      </w:r>
      <w:r w:rsidRPr="00C56FC5">
        <w:rPr>
          <w:rFonts w:ascii="Palatino Linotype" w:eastAsia="Palatino Linotype" w:hAnsi="Palatino Linotype" w:cs="Palatino Linotype"/>
          <w:sz w:val="22"/>
          <w:szCs w:val="22"/>
        </w:rPr>
        <w:t xml:space="preserve"> los motivos de inconformidad de la parte </w:t>
      </w:r>
      <w:r w:rsidRPr="00C56FC5">
        <w:rPr>
          <w:rFonts w:ascii="Palatino Linotype" w:eastAsia="Palatino Linotype" w:hAnsi="Palatino Linotype" w:cs="Palatino Linotype"/>
          <w:b/>
          <w:sz w:val="22"/>
          <w:szCs w:val="22"/>
        </w:rPr>
        <w:t>Recurrente</w:t>
      </w:r>
      <w:r w:rsidRPr="00C56FC5">
        <w:rPr>
          <w:rFonts w:ascii="Palatino Linotype" w:eastAsia="Palatino Linotype" w:hAnsi="Palatino Linotype" w:cs="Palatino Linotype"/>
          <w:sz w:val="22"/>
          <w:szCs w:val="22"/>
        </w:rPr>
        <w:t xml:space="preserve">, en términos del Considerando </w:t>
      </w:r>
      <w:r w:rsidRPr="00C56FC5">
        <w:rPr>
          <w:rFonts w:ascii="Palatino Linotype" w:eastAsia="Palatino Linotype" w:hAnsi="Palatino Linotype" w:cs="Palatino Linotype"/>
          <w:b/>
          <w:sz w:val="22"/>
          <w:szCs w:val="22"/>
        </w:rPr>
        <w:t>Cuarto</w:t>
      </w:r>
      <w:r w:rsidRPr="00C56FC5">
        <w:rPr>
          <w:rFonts w:ascii="Palatino Linotype" w:eastAsia="Palatino Linotype" w:hAnsi="Palatino Linotype" w:cs="Palatino Linotype"/>
          <w:sz w:val="22"/>
          <w:szCs w:val="22"/>
        </w:rPr>
        <w:t xml:space="preserve"> de la presente resolución.</w:t>
      </w:r>
    </w:p>
    <w:p w14:paraId="657AB476" w14:textId="7EAB32F5" w:rsidR="005A75CA" w:rsidRPr="00C56FC5" w:rsidRDefault="00E96B90" w:rsidP="00D7204E">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b/>
          <w:sz w:val="22"/>
          <w:szCs w:val="22"/>
        </w:rPr>
        <w:t xml:space="preserve">Segundo. </w:t>
      </w:r>
      <w:r w:rsidRPr="00C56FC5">
        <w:rPr>
          <w:rFonts w:ascii="Palatino Linotype" w:eastAsia="Palatino Linotype" w:hAnsi="Palatino Linotype" w:cs="Palatino Linotype"/>
          <w:sz w:val="22"/>
          <w:szCs w:val="22"/>
        </w:rPr>
        <w:t>Se</w:t>
      </w:r>
      <w:r w:rsidRPr="00C56FC5">
        <w:rPr>
          <w:rFonts w:ascii="Palatino Linotype" w:eastAsia="Palatino Linotype" w:hAnsi="Palatino Linotype" w:cs="Palatino Linotype"/>
          <w:b/>
          <w:sz w:val="22"/>
          <w:szCs w:val="22"/>
        </w:rPr>
        <w:t xml:space="preserve"> Ordena </w:t>
      </w:r>
      <w:r w:rsidRPr="00C56FC5">
        <w:rPr>
          <w:rFonts w:ascii="Palatino Linotype" w:eastAsia="Palatino Linotype" w:hAnsi="Palatino Linotype" w:cs="Palatino Linotype"/>
          <w:sz w:val="22"/>
          <w:szCs w:val="22"/>
        </w:rPr>
        <w:t xml:space="preserve">al </w:t>
      </w:r>
      <w:r w:rsidRPr="00C56FC5">
        <w:rPr>
          <w:rFonts w:ascii="Palatino Linotype" w:eastAsia="Palatino Linotype" w:hAnsi="Palatino Linotype" w:cs="Palatino Linotype"/>
          <w:b/>
          <w:sz w:val="22"/>
          <w:szCs w:val="22"/>
        </w:rPr>
        <w:t xml:space="preserve">Sujeto Obligado </w:t>
      </w:r>
      <w:r w:rsidRPr="00C56FC5">
        <w:rPr>
          <w:rFonts w:ascii="Palatino Linotype" w:eastAsia="Palatino Linotype" w:hAnsi="Palatino Linotype" w:cs="Palatino Linotype"/>
          <w:sz w:val="22"/>
          <w:szCs w:val="22"/>
        </w:rPr>
        <w:t>dé trámite a la solicitud de acceso a la información pública</w:t>
      </w:r>
      <w:r w:rsidR="00205B67" w:rsidRPr="00C56FC5">
        <w:rPr>
          <w:rFonts w:ascii="Palatino Linotype" w:eastAsia="Palatino Linotype" w:hAnsi="Palatino Linotype" w:cs="Palatino Linotype"/>
          <w:sz w:val="22"/>
          <w:szCs w:val="22"/>
        </w:rPr>
        <w:t xml:space="preserve"> </w:t>
      </w:r>
      <w:r w:rsidR="00D50C39" w:rsidRPr="00C56FC5">
        <w:rPr>
          <w:rFonts w:ascii="Palatino Linotype" w:eastAsia="Palatino Linotype" w:hAnsi="Palatino Linotype" w:cs="Palatino Linotype"/>
          <w:b/>
          <w:sz w:val="22"/>
          <w:szCs w:val="22"/>
        </w:rPr>
        <w:t>00080/JALTENCO/IP/2025</w:t>
      </w:r>
      <w:r w:rsidRPr="00C56FC5">
        <w:rPr>
          <w:rFonts w:ascii="Palatino Linotype" w:eastAsia="Palatino Linotype" w:hAnsi="Palatino Linotype" w:cs="Palatino Linotype"/>
          <w:b/>
          <w:sz w:val="22"/>
          <w:szCs w:val="22"/>
        </w:rPr>
        <w:t xml:space="preserve">, </w:t>
      </w:r>
      <w:r w:rsidRPr="00C56FC5">
        <w:rPr>
          <w:rFonts w:ascii="Palatino Linotype" w:eastAsia="Palatino Linotype" w:hAnsi="Palatino Linotype" w:cs="Palatino Linotype"/>
          <w:sz w:val="22"/>
          <w:szCs w:val="22"/>
        </w:rPr>
        <w:t xml:space="preserve">que dio origen al recurso de revisión </w:t>
      </w:r>
      <w:r w:rsidR="00D50C39" w:rsidRPr="00C56FC5">
        <w:rPr>
          <w:rFonts w:ascii="Palatino Linotype" w:eastAsia="Palatino Linotype" w:hAnsi="Palatino Linotype" w:cs="Palatino Linotype"/>
          <w:b/>
          <w:sz w:val="22"/>
          <w:szCs w:val="22"/>
        </w:rPr>
        <w:lastRenderedPageBreak/>
        <w:t>13179/INFOEM/IP/RR/2025</w:t>
      </w:r>
      <w:r w:rsidRPr="00C56FC5">
        <w:rPr>
          <w:rFonts w:ascii="Palatino Linotype" w:eastAsia="Palatino Linotype" w:hAnsi="Palatino Linotype" w:cs="Palatino Linotype"/>
          <w:sz w:val="22"/>
          <w:szCs w:val="22"/>
        </w:rPr>
        <w:t>,</w:t>
      </w:r>
      <w:r w:rsidRPr="00C56FC5">
        <w:rPr>
          <w:rFonts w:ascii="Palatino Linotype" w:eastAsia="Palatino Linotype" w:hAnsi="Palatino Linotype" w:cs="Palatino Linotype"/>
          <w:b/>
          <w:sz w:val="22"/>
          <w:szCs w:val="22"/>
        </w:rPr>
        <w:t xml:space="preserve"> </w:t>
      </w:r>
      <w:r w:rsidRPr="00C56FC5">
        <w:rPr>
          <w:rFonts w:ascii="Palatino Linotype" w:eastAsia="Palatino Linotype" w:hAnsi="Palatino Linotype" w:cs="Palatino Linotype"/>
          <w:sz w:val="22"/>
          <w:szCs w:val="22"/>
        </w:rPr>
        <w:t>y</w:t>
      </w:r>
      <w:r w:rsidRPr="00C56FC5">
        <w:rPr>
          <w:rFonts w:ascii="Palatino Linotype" w:eastAsia="Palatino Linotype" w:hAnsi="Palatino Linotype" w:cs="Palatino Linotype"/>
          <w:b/>
          <w:sz w:val="22"/>
          <w:szCs w:val="22"/>
        </w:rPr>
        <w:t xml:space="preserve"> </w:t>
      </w:r>
      <w:r w:rsidRPr="00C56FC5">
        <w:rPr>
          <w:rFonts w:ascii="Palatino Linotype" w:eastAsia="Palatino Linotype" w:hAnsi="Palatino Linotype" w:cs="Palatino Linotype"/>
          <w:sz w:val="22"/>
          <w:szCs w:val="22"/>
        </w:rPr>
        <w:t>en términos de los Considerandos</w:t>
      </w:r>
      <w:r w:rsidRPr="00C56FC5">
        <w:rPr>
          <w:rFonts w:ascii="Palatino Linotype" w:eastAsia="Palatino Linotype" w:hAnsi="Palatino Linotype" w:cs="Palatino Linotype"/>
          <w:b/>
          <w:sz w:val="22"/>
          <w:szCs w:val="22"/>
        </w:rPr>
        <w:t xml:space="preserve"> Cuarto </w:t>
      </w:r>
      <w:r w:rsidRPr="00C56FC5">
        <w:rPr>
          <w:rFonts w:ascii="Palatino Linotype" w:eastAsia="Palatino Linotype" w:hAnsi="Palatino Linotype" w:cs="Palatino Linotype"/>
          <w:sz w:val="22"/>
          <w:szCs w:val="22"/>
        </w:rPr>
        <w:t xml:space="preserve">y </w:t>
      </w:r>
      <w:r w:rsidRPr="00C56FC5">
        <w:rPr>
          <w:rFonts w:ascii="Palatino Linotype" w:eastAsia="Palatino Linotype" w:hAnsi="Palatino Linotype" w:cs="Palatino Linotype"/>
          <w:b/>
          <w:sz w:val="22"/>
          <w:szCs w:val="22"/>
        </w:rPr>
        <w:t>Quinto</w:t>
      </w:r>
      <w:r w:rsidRPr="00C56FC5">
        <w:rPr>
          <w:rFonts w:ascii="Palatino Linotype" w:eastAsia="Palatino Linotype" w:hAnsi="Palatino Linotype" w:cs="Palatino Linotype"/>
          <w:sz w:val="22"/>
          <w:szCs w:val="22"/>
        </w:rPr>
        <w:t xml:space="preserve"> de esta resolución, haga entrega, vía </w:t>
      </w:r>
      <w:r w:rsidRPr="00C56FC5">
        <w:rPr>
          <w:rFonts w:ascii="Palatino Linotype" w:eastAsia="Palatino Linotype" w:hAnsi="Palatino Linotype" w:cs="Palatino Linotype"/>
          <w:b/>
          <w:sz w:val="22"/>
          <w:szCs w:val="22"/>
        </w:rPr>
        <w:t>SAIMEX</w:t>
      </w:r>
      <w:r w:rsidRPr="00C56FC5">
        <w:rPr>
          <w:rFonts w:ascii="Palatino Linotype" w:eastAsia="Palatino Linotype" w:hAnsi="Palatino Linotype" w:cs="Palatino Linotype"/>
          <w:sz w:val="22"/>
          <w:szCs w:val="22"/>
        </w:rPr>
        <w:t>, de lo siguiente:</w:t>
      </w:r>
    </w:p>
    <w:p w14:paraId="4A8F31CB" w14:textId="73836A2C" w:rsidR="00D50C39" w:rsidRPr="00C56FC5" w:rsidRDefault="00D50C39" w:rsidP="00D50C39">
      <w:pPr>
        <w:spacing w:before="240" w:after="240" w:line="360" w:lineRule="auto"/>
        <w:ind w:left="284"/>
        <w:jc w:val="both"/>
        <w:rPr>
          <w:rFonts w:ascii="Palatino Linotype" w:eastAsia="Palatino Linotype" w:hAnsi="Palatino Linotype" w:cs="Palatino Linotype"/>
        </w:rPr>
      </w:pPr>
      <w:bookmarkStart w:id="12" w:name="_heading=h.hnzxsch5gysz" w:colFirst="0" w:colLast="0"/>
      <w:bookmarkEnd w:id="12"/>
      <w:r w:rsidRPr="00C56FC5">
        <w:rPr>
          <w:rFonts w:ascii="Palatino Linotype" w:eastAsia="Palatino Linotype" w:hAnsi="Palatino Linotype" w:cs="Palatino Linotype"/>
        </w:rPr>
        <w:t>1. Conciliación de nómina de la primera y segunda quincena de septiembre de dos mil veinticinco.</w:t>
      </w:r>
    </w:p>
    <w:p w14:paraId="476E04C7" w14:textId="77777777" w:rsidR="00A36FEA" w:rsidRPr="00C56FC5" w:rsidRDefault="00A36FEA" w:rsidP="00A36FEA">
      <w:pPr>
        <w:pBdr>
          <w:top w:val="nil"/>
          <w:left w:val="nil"/>
          <w:bottom w:val="nil"/>
          <w:right w:val="nil"/>
          <w:between w:val="nil"/>
        </w:pBdr>
        <w:spacing w:before="120" w:after="120"/>
        <w:ind w:left="284"/>
        <w:jc w:val="both"/>
        <w:rPr>
          <w:rFonts w:ascii="Palatino Linotype" w:eastAsia="Palatino Linotype" w:hAnsi="Palatino Linotype" w:cs="Palatino Linotype"/>
          <w:i/>
          <w:sz w:val="20"/>
        </w:rPr>
      </w:pPr>
      <w:r w:rsidRPr="00C56FC5">
        <w:rPr>
          <w:rFonts w:ascii="Palatino Linotype" w:eastAsia="Palatino Linotype" w:hAnsi="Palatino Linotype" w:cs="Palatino Linotype"/>
          <w:i/>
          <w:sz w:val="20"/>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 versión públicas que se formule y se pongan a disposición de la parte </w:t>
      </w:r>
      <w:r w:rsidRPr="00C56FC5">
        <w:rPr>
          <w:rFonts w:ascii="Palatino Linotype" w:eastAsia="Palatino Linotype" w:hAnsi="Palatino Linotype" w:cs="Palatino Linotype"/>
          <w:b/>
          <w:i/>
          <w:sz w:val="20"/>
        </w:rPr>
        <w:t>Recurrente</w:t>
      </w:r>
      <w:r w:rsidRPr="00C56FC5">
        <w:rPr>
          <w:rFonts w:ascii="Palatino Linotype" w:eastAsia="Palatino Linotype" w:hAnsi="Palatino Linotype" w:cs="Palatino Linotype"/>
          <w:i/>
          <w:sz w:val="20"/>
        </w:rPr>
        <w:t>, mismo que igualmente hará de su conocimiento.</w:t>
      </w:r>
    </w:p>
    <w:p w14:paraId="5DEC3C58" w14:textId="77777777" w:rsidR="005A75CA" w:rsidRPr="00C56FC5" w:rsidRDefault="00E96B90" w:rsidP="00D7204E">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b/>
          <w:sz w:val="22"/>
          <w:szCs w:val="22"/>
        </w:rPr>
        <w:t xml:space="preserve">Tercero. Notifíquese, </w:t>
      </w:r>
      <w:r w:rsidRPr="00C56FC5">
        <w:rPr>
          <w:rFonts w:ascii="Palatino Linotype" w:eastAsia="Palatino Linotype" w:hAnsi="Palatino Linotype" w:cs="Palatino Linotype"/>
          <w:sz w:val="22"/>
          <w:szCs w:val="22"/>
        </w:rPr>
        <w:t xml:space="preserve">vía </w:t>
      </w:r>
      <w:r w:rsidRPr="00C56FC5">
        <w:rPr>
          <w:rFonts w:ascii="Palatino Linotype" w:eastAsia="Palatino Linotype" w:hAnsi="Palatino Linotype" w:cs="Palatino Linotype"/>
          <w:b/>
          <w:sz w:val="22"/>
          <w:szCs w:val="22"/>
        </w:rPr>
        <w:t>SAIMEX</w:t>
      </w:r>
      <w:r w:rsidRPr="00C56FC5">
        <w:rPr>
          <w:rFonts w:ascii="Palatino Linotype" w:eastAsia="Palatino Linotype" w:hAnsi="Palatino Linotype" w:cs="Palatino Linotype"/>
          <w:sz w:val="22"/>
          <w:szCs w:val="22"/>
        </w:rPr>
        <w:t xml:space="preserve">, al Titular de la Unidad de Transparencia del </w:t>
      </w:r>
      <w:r w:rsidRPr="00C56FC5">
        <w:rPr>
          <w:rFonts w:ascii="Palatino Linotype" w:eastAsia="Palatino Linotype" w:hAnsi="Palatino Linotype" w:cs="Palatino Linotype"/>
          <w:b/>
          <w:sz w:val="22"/>
          <w:szCs w:val="22"/>
        </w:rPr>
        <w:t>Sujeto Obligado,</w:t>
      </w:r>
      <w:r w:rsidRPr="00C56FC5">
        <w:rPr>
          <w:rFonts w:ascii="Palatino Linotype" w:eastAsia="Palatino Linotype" w:hAnsi="Palatino Linotype" w:cs="Palatino Linotype"/>
          <w:sz w:val="22"/>
          <w:szCs w:val="22"/>
        </w:rPr>
        <w:t xml:space="preserve"> la presente resolución para que conforme a los artículos 186, último párrafo y 189, párrafo segundo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AD3F62D" w14:textId="77777777" w:rsidR="005A75CA" w:rsidRPr="00C56FC5" w:rsidRDefault="00E96B90" w:rsidP="00D7204E">
      <w:pPr>
        <w:spacing w:before="240" w:after="240" w:line="360" w:lineRule="auto"/>
        <w:jc w:val="both"/>
        <w:rPr>
          <w:rFonts w:ascii="Palatino Linotype" w:eastAsia="Palatino Linotype" w:hAnsi="Palatino Linotype" w:cs="Palatino Linotype"/>
          <w:sz w:val="22"/>
          <w:szCs w:val="22"/>
        </w:rPr>
      </w:pPr>
      <w:bookmarkStart w:id="13" w:name="_heading=h.ot3qq6vxa08f" w:colFirst="0" w:colLast="0"/>
      <w:bookmarkEnd w:id="13"/>
      <w:r w:rsidRPr="00C56FC5">
        <w:rPr>
          <w:rFonts w:ascii="Palatino Linotype" w:eastAsia="Palatino Linotype" w:hAnsi="Palatino Linotype" w:cs="Palatino Linotype"/>
          <w:b/>
          <w:sz w:val="22"/>
          <w:szCs w:val="22"/>
        </w:rPr>
        <w:t xml:space="preserve">Cuarto.  Notifíquese, </w:t>
      </w:r>
      <w:r w:rsidRPr="00C56FC5">
        <w:rPr>
          <w:rFonts w:ascii="Palatino Linotype" w:eastAsia="Palatino Linotype" w:hAnsi="Palatino Linotype" w:cs="Palatino Linotype"/>
          <w:sz w:val="22"/>
          <w:szCs w:val="22"/>
        </w:rPr>
        <w:t xml:space="preserve">vía </w:t>
      </w:r>
      <w:r w:rsidRPr="00C56FC5">
        <w:rPr>
          <w:rFonts w:ascii="Palatino Linotype" w:eastAsia="Palatino Linotype" w:hAnsi="Palatino Linotype" w:cs="Palatino Linotype"/>
          <w:b/>
          <w:sz w:val="22"/>
          <w:szCs w:val="22"/>
        </w:rPr>
        <w:t>SAIMEX</w:t>
      </w:r>
      <w:r w:rsidRPr="00C56FC5">
        <w:rPr>
          <w:rFonts w:ascii="Palatino Linotype" w:eastAsia="Palatino Linotype" w:hAnsi="Palatino Linotype" w:cs="Palatino Linotype"/>
          <w:sz w:val="22"/>
          <w:szCs w:val="22"/>
        </w:rPr>
        <w:t xml:space="preserve"> a la parte </w:t>
      </w:r>
      <w:r w:rsidRPr="00C56FC5">
        <w:rPr>
          <w:rFonts w:ascii="Palatino Linotype" w:eastAsia="Palatino Linotype" w:hAnsi="Palatino Linotype" w:cs="Palatino Linotype"/>
          <w:b/>
          <w:sz w:val="22"/>
          <w:szCs w:val="22"/>
        </w:rPr>
        <w:t>Recurrente</w:t>
      </w:r>
      <w:r w:rsidRPr="00C56FC5">
        <w:rPr>
          <w:rFonts w:ascii="Palatino Linotype" w:eastAsia="Palatino Linotype" w:hAnsi="Palatino Linotype" w:cs="Palatino Linotype"/>
          <w:sz w:val="22"/>
          <w:szCs w:val="22"/>
        </w:rPr>
        <w:t xml:space="preserve"> la presente resolución, así como, que de conformidad con lo establecido en el artículo 196 de la Ley de Transparencia y Acceso a la Información Pública del Estado de México y Municipios, podrá impugnarla vía Juicio de Amparo en los términos de las leyes aplicables.</w:t>
      </w:r>
    </w:p>
    <w:p w14:paraId="40980001" w14:textId="77777777" w:rsidR="005A75CA" w:rsidRPr="00C56FC5" w:rsidRDefault="00E96B90" w:rsidP="00D7204E">
      <w:pPr>
        <w:spacing w:before="240" w:after="240" w:line="360" w:lineRule="auto"/>
        <w:jc w:val="both"/>
        <w:rPr>
          <w:rFonts w:ascii="Palatino Linotype" w:eastAsia="Palatino Linotype" w:hAnsi="Palatino Linotype" w:cs="Palatino Linotype"/>
          <w:sz w:val="22"/>
          <w:szCs w:val="22"/>
        </w:rPr>
      </w:pPr>
      <w:r w:rsidRPr="00C56FC5">
        <w:rPr>
          <w:rFonts w:ascii="Palatino Linotype" w:eastAsia="Palatino Linotype" w:hAnsi="Palatino Linotype" w:cs="Palatino Linotype"/>
          <w:b/>
          <w:sz w:val="22"/>
          <w:szCs w:val="22"/>
        </w:rPr>
        <w:t xml:space="preserve">Quinto. Hágase, </w:t>
      </w:r>
      <w:r w:rsidRPr="00C56FC5">
        <w:rPr>
          <w:rFonts w:ascii="Palatino Linotype" w:eastAsia="Palatino Linotype" w:hAnsi="Palatino Linotype" w:cs="Palatino Linotype"/>
          <w:sz w:val="22"/>
          <w:szCs w:val="22"/>
        </w:rPr>
        <w:t xml:space="preserve">de conocimiento de la parte </w:t>
      </w:r>
      <w:r w:rsidRPr="00C56FC5">
        <w:rPr>
          <w:rFonts w:ascii="Palatino Linotype" w:eastAsia="Palatino Linotype" w:hAnsi="Palatino Linotype" w:cs="Palatino Linotype"/>
          <w:b/>
          <w:sz w:val="22"/>
          <w:szCs w:val="22"/>
        </w:rPr>
        <w:t xml:space="preserve">Recurrente, </w:t>
      </w:r>
      <w:r w:rsidRPr="00C56FC5">
        <w:rPr>
          <w:rFonts w:ascii="Palatino Linotype" w:eastAsia="Palatino Linotype" w:hAnsi="Palatino Linotype" w:cs="Palatino Linotype"/>
          <w:sz w:val="22"/>
          <w:szCs w:val="22"/>
        </w:rPr>
        <w:t xml:space="preserve">que la respuesta que dé el </w:t>
      </w:r>
      <w:r w:rsidRPr="00C56FC5">
        <w:rPr>
          <w:rFonts w:ascii="Palatino Linotype" w:eastAsia="Palatino Linotype" w:hAnsi="Palatino Linotype" w:cs="Palatino Linotype"/>
          <w:b/>
          <w:sz w:val="22"/>
          <w:szCs w:val="22"/>
        </w:rPr>
        <w:t>Sujeto Obligado</w:t>
      </w:r>
      <w:r w:rsidRPr="00C56FC5">
        <w:rPr>
          <w:rFonts w:ascii="Palatino Linotype" w:eastAsia="Palatino Linotype" w:hAnsi="Palatino Linotype" w:cs="Palatino Linotype"/>
          <w:sz w:val="22"/>
          <w:szCs w:val="22"/>
        </w:rPr>
        <w:t xml:space="preserve"> derivada de la presente resolución es susceptible de ser impugnada nuevamente, mediante recurso de revisión, ante el Instituto, en términos del artículo 179, último párrafo </w:t>
      </w:r>
      <w:r w:rsidRPr="00C56FC5">
        <w:rPr>
          <w:rFonts w:ascii="Palatino Linotype" w:eastAsia="Palatino Linotype" w:hAnsi="Palatino Linotype" w:cs="Palatino Linotype"/>
          <w:sz w:val="22"/>
          <w:szCs w:val="22"/>
        </w:rPr>
        <w:lastRenderedPageBreak/>
        <w:t>de la Ley de Transparencia y Acceso a la Información Pública del Estado de México y Municipios.</w:t>
      </w:r>
    </w:p>
    <w:p w14:paraId="49BE783D" w14:textId="66837DCB" w:rsidR="005A75CA" w:rsidRPr="00C56FC5" w:rsidRDefault="00E96B90" w:rsidP="00D7204E">
      <w:pPr>
        <w:tabs>
          <w:tab w:val="left" w:pos="8647"/>
        </w:tabs>
        <w:spacing w:before="240" w:after="240" w:line="360" w:lineRule="auto"/>
        <w:ind w:right="51"/>
        <w:jc w:val="both"/>
        <w:rPr>
          <w:rFonts w:ascii="Palatino Linotype" w:eastAsia="Palatino Linotype" w:hAnsi="Palatino Linotype" w:cs="Palatino Linotype"/>
          <w:sz w:val="22"/>
          <w:szCs w:val="22"/>
        </w:rPr>
      </w:pPr>
      <w:bookmarkStart w:id="14" w:name="_heading=h.lnxbz9" w:colFirst="0" w:colLast="0"/>
      <w:bookmarkEnd w:id="14"/>
      <w:r w:rsidRPr="00C56FC5">
        <w:rPr>
          <w:rFonts w:ascii="Palatino Linotype" w:eastAsia="Palatino Linotype" w:hAnsi="Palatino Linotype" w:cs="Palatino Linotype"/>
          <w:sz w:val="22"/>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w:t>
      </w:r>
      <w:r w:rsidR="00C56FC5" w:rsidRPr="00C56FC5">
        <w:rPr>
          <w:rFonts w:ascii="Palatino Linotype" w:eastAsia="Palatino Linotype" w:hAnsi="Palatino Linotype" w:cs="Palatino Linotype"/>
          <w:sz w:val="22"/>
          <w:szCs w:val="22"/>
        </w:rPr>
        <w:t>, EMITIENDO VOTO PARTICULAR</w:t>
      </w:r>
      <w:r w:rsidRPr="00C56FC5">
        <w:rPr>
          <w:rFonts w:ascii="Palatino Linotype" w:eastAsia="Palatino Linotype" w:hAnsi="Palatino Linotype" w:cs="Palatino Linotype"/>
          <w:sz w:val="22"/>
          <w:szCs w:val="22"/>
        </w:rPr>
        <w:t xml:space="preserve">, EN LA </w:t>
      </w:r>
      <w:r w:rsidR="00A36FEA" w:rsidRPr="00C56FC5">
        <w:rPr>
          <w:rFonts w:ascii="Palatino Linotype" w:eastAsia="Palatino Linotype" w:hAnsi="Palatino Linotype" w:cs="Palatino Linotype"/>
          <w:sz w:val="22"/>
          <w:szCs w:val="22"/>
        </w:rPr>
        <w:t>OCTAVA</w:t>
      </w:r>
      <w:r w:rsidRPr="00C56FC5">
        <w:rPr>
          <w:rFonts w:ascii="Palatino Linotype" w:eastAsia="Palatino Linotype" w:hAnsi="Palatino Linotype" w:cs="Palatino Linotype"/>
          <w:sz w:val="22"/>
          <w:szCs w:val="22"/>
        </w:rPr>
        <w:t xml:space="preserve"> SESIÓN ORDINARIA CELEBRADA EL </w:t>
      </w:r>
      <w:r w:rsidR="001D1176" w:rsidRPr="00C56FC5">
        <w:rPr>
          <w:rFonts w:ascii="Palatino Linotype" w:eastAsia="Palatino Linotype" w:hAnsi="Palatino Linotype" w:cs="Palatino Linotype"/>
          <w:sz w:val="22"/>
          <w:szCs w:val="22"/>
        </w:rPr>
        <w:t>CINCO DE MARZO</w:t>
      </w:r>
      <w:r w:rsidRPr="00C56FC5">
        <w:rPr>
          <w:rFonts w:ascii="Palatino Linotype" w:eastAsia="Palatino Linotype" w:hAnsi="Palatino Linotype" w:cs="Palatino Linotype"/>
          <w:sz w:val="22"/>
          <w:szCs w:val="22"/>
        </w:rPr>
        <w:t xml:space="preserve"> DE DOS MIL VEINTI</w:t>
      </w:r>
      <w:r w:rsidR="001D1176" w:rsidRPr="00C56FC5">
        <w:rPr>
          <w:rFonts w:ascii="Palatino Linotype" w:eastAsia="Palatino Linotype" w:hAnsi="Palatino Linotype" w:cs="Palatino Linotype"/>
          <w:sz w:val="22"/>
          <w:szCs w:val="22"/>
        </w:rPr>
        <w:t>SÉIS</w:t>
      </w:r>
      <w:r w:rsidRPr="00C56FC5">
        <w:rPr>
          <w:rFonts w:ascii="Palatino Linotype" w:eastAsia="Palatino Linotype" w:hAnsi="Palatino Linotype" w:cs="Palatino Linotype"/>
          <w:sz w:val="22"/>
          <w:szCs w:val="22"/>
        </w:rPr>
        <w:t>, ANTE EL SECRETARIO TÉCNICO DEL PLENO ALEXIS TAPIA RAMÍREZ.</w:t>
      </w:r>
    </w:p>
    <w:p w14:paraId="2B17951A" w14:textId="77777777" w:rsidR="005A75CA" w:rsidRPr="00C56FC5" w:rsidRDefault="005A75CA" w:rsidP="00D7204E">
      <w:pPr>
        <w:spacing w:line="360" w:lineRule="auto"/>
        <w:jc w:val="both"/>
        <w:rPr>
          <w:rFonts w:ascii="Palatino Linotype" w:eastAsia="Palatino Linotype" w:hAnsi="Palatino Linotype" w:cs="Palatino Linotype"/>
          <w:sz w:val="22"/>
          <w:szCs w:val="22"/>
        </w:rPr>
      </w:pPr>
    </w:p>
    <w:p w14:paraId="42BFD139" w14:textId="77777777" w:rsidR="005A75CA" w:rsidRPr="00C56FC5" w:rsidRDefault="005A75CA" w:rsidP="00D7204E">
      <w:pPr>
        <w:spacing w:line="360" w:lineRule="auto"/>
        <w:jc w:val="both"/>
        <w:rPr>
          <w:rFonts w:ascii="Palatino Linotype" w:eastAsia="Palatino Linotype" w:hAnsi="Palatino Linotype" w:cs="Palatino Linotype"/>
          <w:sz w:val="22"/>
          <w:szCs w:val="22"/>
        </w:rPr>
      </w:pPr>
    </w:p>
    <w:p w14:paraId="53CA5C2F" w14:textId="77777777" w:rsidR="005A75CA" w:rsidRPr="00C56FC5" w:rsidRDefault="005A75CA" w:rsidP="00D7204E">
      <w:pPr>
        <w:spacing w:line="360" w:lineRule="auto"/>
        <w:jc w:val="both"/>
        <w:rPr>
          <w:rFonts w:ascii="Palatino Linotype" w:eastAsia="Palatino Linotype" w:hAnsi="Palatino Linotype" w:cs="Palatino Linotype"/>
          <w:sz w:val="22"/>
          <w:szCs w:val="22"/>
        </w:rPr>
      </w:pPr>
    </w:p>
    <w:p w14:paraId="153F672B" w14:textId="77777777" w:rsidR="005A75CA" w:rsidRPr="00C56FC5" w:rsidRDefault="005A75CA" w:rsidP="00D7204E">
      <w:pPr>
        <w:spacing w:line="360" w:lineRule="auto"/>
        <w:jc w:val="both"/>
        <w:rPr>
          <w:rFonts w:ascii="Palatino Linotype" w:eastAsia="Palatino Linotype" w:hAnsi="Palatino Linotype" w:cs="Palatino Linotype"/>
          <w:sz w:val="22"/>
          <w:szCs w:val="22"/>
        </w:rPr>
      </w:pPr>
    </w:p>
    <w:p w14:paraId="3C65AC45" w14:textId="77777777" w:rsidR="005A75CA" w:rsidRPr="00C56FC5" w:rsidRDefault="005A75CA" w:rsidP="00D7204E">
      <w:pPr>
        <w:spacing w:line="360" w:lineRule="auto"/>
        <w:jc w:val="both"/>
        <w:rPr>
          <w:rFonts w:ascii="Palatino Linotype" w:eastAsia="Palatino Linotype" w:hAnsi="Palatino Linotype" w:cs="Palatino Linotype"/>
          <w:sz w:val="22"/>
          <w:szCs w:val="22"/>
        </w:rPr>
      </w:pPr>
    </w:p>
    <w:p w14:paraId="238EB021" w14:textId="77777777" w:rsidR="005A75CA" w:rsidRPr="00C56FC5" w:rsidRDefault="005A75CA" w:rsidP="00D7204E">
      <w:pPr>
        <w:spacing w:line="360" w:lineRule="auto"/>
        <w:jc w:val="both"/>
        <w:rPr>
          <w:rFonts w:ascii="Palatino Linotype" w:eastAsia="Palatino Linotype" w:hAnsi="Palatino Linotype" w:cs="Palatino Linotype"/>
          <w:sz w:val="22"/>
          <w:szCs w:val="22"/>
        </w:rPr>
      </w:pPr>
    </w:p>
    <w:p w14:paraId="3407AC65" w14:textId="77777777" w:rsidR="005A75CA" w:rsidRPr="00C56FC5" w:rsidRDefault="005A75CA" w:rsidP="00D7204E">
      <w:pPr>
        <w:spacing w:line="360" w:lineRule="auto"/>
        <w:jc w:val="both"/>
        <w:rPr>
          <w:rFonts w:ascii="Palatino Linotype" w:eastAsia="Palatino Linotype" w:hAnsi="Palatino Linotype" w:cs="Palatino Linotype"/>
          <w:sz w:val="22"/>
          <w:szCs w:val="22"/>
        </w:rPr>
      </w:pPr>
    </w:p>
    <w:p w14:paraId="256D6055" w14:textId="77777777" w:rsidR="005A75CA" w:rsidRPr="00C56FC5" w:rsidRDefault="005A75CA" w:rsidP="00D7204E">
      <w:pPr>
        <w:spacing w:line="360" w:lineRule="auto"/>
        <w:jc w:val="both"/>
        <w:rPr>
          <w:rFonts w:ascii="Palatino Linotype" w:eastAsia="Palatino Linotype" w:hAnsi="Palatino Linotype" w:cs="Palatino Linotype"/>
          <w:sz w:val="22"/>
          <w:szCs w:val="22"/>
        </w:rPr>
      </w:pPr>
    </w:p>
    <w:p w14:paraId="701554D9" w14:textId="77777777" w:rsidR="005A75CA" w:rsidRPr="00C56FC5" w:rsidRDefault="005A75CA" w:rsidP="00D7204E">
      <w:pPr>
        <w:spacing w:line="360" w:lineRule="auto"/>
        <w:jc w:val="both"/>
        <w:rPr>
          <w:rFonts w:ascii="Palatino Linotype" w:eastAsia="Palatino Linotype" w:hAnsi="Palatino Linotype" w:cs="Palatino Linotype"/>
          <w:sz w:val="22"/>
          <w:szCs w:val="22"/>
        </w:rPr>
      </w:pPr>
    </w:p>
    <w:p w14:paraId="7D64FCF8" w14:textId="77777777" w:rsidR="005A75CA" w:rsidRPr="00C56FC5" w:rsidRDefault="005A75CA" w:rsidP="00D7204E">
      <w:pPr>
        <w:spacing w:line="360" w:lineRule="auto"/>
        <w:jc w:val="both"/>
        <w:rPr>
          <w:rFonts w:ascii="Palatino Linotype" w:eastAsia="Palatino Linotype" w:hAnsi="Palatino Linotype" w:cs="Palatino Linotype"/>
          <w:sz w:val="22"/>
          <w:szCs w:val="22"/>
        </w:rPr>
      </w:pPr>
    </w:p>
    <w:p w14:paraId="2649A4EA" w14:textId="77777777" w:rsidR="005A75CA" w:rsidRPr="00C56FC5" w:rsidRDefault="005A75CA" w:rsidP="00D7204E">
      <w:pPr>
        <w:spacing w:line="360" w:lineRule="auto"/>
        <w:jc w:val="both"/>
        <w:rPr>
          <w:rFonts w:ascii="Palatino Linotype" w:eastAsia="Palatino Linotype" w:hAnsi="Palatino Linotype" w:cs="Palatino Linotype"/>
          <w:sz w:val="22"/>
          <w:szCs w:val="22"/>
        </w:rPr>
      </w:pPr>
    </w:p>
    <w:p w14:paraId="7248715B" w14:textId="77777777" w:rsidR="005A75CA" w:rsidRPr="00C56FC5" w:rsidRDefault="005A75CA" w:rsidP="00D7204E">
      <w:pPr>
        <w:spacing w:line="360" w:lineRule="auto"/>
        <w:jc w:val="both"/>
        <w:rPr>
          <w:rFonts w:ascii="Palatino Linotype" w:eastAsia="Palatino Linotype" w:hAnsi="Palatino Linotype" w:cs="Palatino Linotype"/>
          <w:sz w:val="22"/>
          <w:szCs w:val="22"/>
        </w:rPr>
      </w:pPr>
    </w:p>
    <w:p w14:paraId="1CDC395F" w14:textId="77777777" w:rsidR="00033F56" w:rsidRPr="00C56FC5" w:rsidRDefault="00033F56" w:rsidP="00D7204E">
      <w:pPr>
        <w:spacing w:line="360" w:lineRule="auto"/>
        <w:jc w:val="both"/>
        <w:rPr>
          <w:rFonts w:ascii="Palatino Linotype" w:eastAsia="Palatino Linotype" w:hAnsi="Palatino Linotype" w:cs="Palatino Linotype"/>
          <w:sz w:val="22"/>
          <w:szCs w:val="22"/>
        </w:rPr>
      </w:pPr>
    </w:p>
    <w:p w14:paraId="4791ACC8" w14:textId="77777777" w:rsidR="00033F56" w:rsidRPr="00C56FC5" w:rsidRDefault="00033F56" w:rsidP="00D7204E">
      <w:pPr>
        <w:spacing w:line="360" w:lineRule="auto"/>
        <w:jc w:val="both"/>
        <w:rPr>
          <w:rFonts w:ascii="Palatino Linotype" w:eastAsia="Palatino Linotype" w:hAnsi="Palatino Linotype" w:cs="Palatino Linotype"/>
          <w:sz w:val="22"/>
          <w:szCs w:val="22"/>
        </w:rPr>
      </w:pPr>
    </w:p>
    <w:p w14:paraId="3A9E4222" w14:textId="77777777" w:rsidR="00033F56" w:rsidRPr="00C56FC5" w:rsidRDefault="00033F56" w:rsidP="00D7204E">
      <w:pPr>
        <w:spacing w:line="360" w:lineRule="auto"/>
        <w:jc w:val="both"/>
        <w:rPr>
          <w:rFonts w:ascii="Palatino Linotype" w:eastAsia="Palatino Linotype" w:hAnsi="Palatino Linotype" w:cs="Palatino Linotype"/>
          <w:sz w:val="22"/>
          <w:szCs w:val="22"/>
        </w:rPr>
      </w:pPr>
    </w:p>
    <w:p w14:paraId="645BE525" w14:textId="77777777" w:rsidR="00033F56" w:rsidRPr="00C56FC5" w:rsidRDefault="00033F56" w:rsidP="00D7204E">
      <w:pPr>
        <w:spacing w:line="360" w:lineRule="auto"/>
        <w:jc w:val="both"/>
        <w:rPr>
          <w:rFonts w:ascii="Palatino Linotype" w:eastAsia="Palatino Linotype" w:hAnsi="Palatino Linotype" w:cs="Palatino Linotype"/>
          <w:sz w:val="22"/>
          <w:szCs w:val="22"/>
        </w:rPr>
      </w:pPr>
    </w:p>
    <w:p w14:paraId="3472B1A1" w14:textId="77777777" w:rsidR="00033F56" w:rsidRPr="00C56FC5" w:rsidRDefault="00033F56" w:rsidP="00D7204E">
      <w:pPr>
        <w:spacing w:line="360" w:lineRule="auto"/>
        <w:jc w:val="both"/>
        <w:rPr>
          <w:rFonts w:ascii="Palatino Linotype" w:eastAsia="Palatino Linotype" w:hAnsi="Palatino Linotype" w:cs="Palatino Linotype"/>
          <w:sz w:val="22"/>
          <w:szCs w:val="22"/>
        </w:rPr>
      </w:pPr>
    </w:p>
    <w:p w14:paraId="2F154AA0" w14:textId="77777777" w:rsidR="00033F56" w:rsidRPr="00C56FC5" w:rsidRDefault="00033F56" w:rsidP="00D7204E">
      <w:pPr>
        <w:spacing w:line="360" w:lineRule="auto"/>
        <w:jc w:val="both"/>
        <w:rPr>
          <w:rFonts w:ascii="Palatino Linotype" w:eastAsia="Palatino Linotype" w:hAnsi="Palatino Linotype" w:cs="Palatino Linotype"/>
          <w:sz w:val="22"/>
          <w:szCs w:val="22"/>
        </w:rPr>
      </w:pPr>
    </w:p>
    <w:p w14:paraId="5EDCAD7F" w14:textId="77777777" w:rsidR="00033F56" w:rsidRPr="00C56FC5" w:rsidRDefault="00033F56" w:rsidP="00D7204E">
      <w:pPr>
        <w:spacing w:line="360" w:lineRule="auto"/>
        <w:jc w:val="both"/>
        <w:rPr>
          <w:rFonts w:ascii="Palatino Linotype" w:eastAsia="Palatino Linotype" w:hAnsi="Palatino Linotype" w:cs="Palatino Linotype"/>
          <w:sz w:val="22"/>
          <w:szCs w:val="22"/>
        </w:rPr>
      </w:pPr>
    </w:p>
    <w:p w14:paraId="52F8C504" w14:textId="77777777" w:rsidR="00033F56" w:rsidRPr="00C56FC5" w:rsidRDefault="00033F56" w:rsidP="00D7204E">
      <w:pPr>
        <w:spacing w:line="360" w:lineRule="auto"/>
        <w:jc w:val="both"/>
        <w:rPr>
          <w:rFonts w:ascii="Palatino Linotype" w:eastAsia="Palatino Linotype" w:hAnsi="Palatino Linotype" w:cs="Palatino Linotype"/>
          <w:sz w:val="22"/>
          <w:szCs w:val="22"/>
        </w:rPr>
      </w:pPr>
    </w:p>
    <w:p w14:paraId="2CAB092A" w14:textId="77777777" w:rsidR="00033F56" w:rsidRPr="00C56FC5" w:rsidRDefault="00033F56" w:rsidP="00D7204E">
      <w:pPr>
        <w:spacing w:line="360" w:lineRule="auto"/>
        <w:jc w:val="both"/>
        <w:rPr>
          <w:rFonts w:ascii="Palatino Linotype" w:eastAsia="Palatino Linotype" w:hAnsi="Palatino Linotype" w:cs="Palatino Linotype"/>
          <w:sz w:val="22"/>
          <w:szCs w:val="22"/>
        </w:rPr>
      </w:pPr>
    </w:p>
    <w:p w14:paraId="6031B3C8" w14:textId="77777777" w:rsidR="005A75CA" w:rsidRPr="00C56FC5" w:rsidRDefault="005A75CA" w:rsidP="00D7204E">
      <w:pPr>
        <w:spacing w:line="360" w:lineRule="auto"/>
        <w:jc w:val="both"/>
        <w:rPr>
          <w:rFonts w:ascii="Palatino Linotype" w:eastAsia="Palatino Linotype" w:hAnsi="Palatino Linotype" w:cs="Palatino Linotype"/>
          <w:sz w:val="22"/>
          <w:szCs w:val="22"/>
        </w:rPr>
      </w:pPr>
    </w:p>
    <w:p w14:paraId="6DCAE615" w14:textId="77777777" w:rsidR="005A75CA" w:rsidRPr="00C56FC5" w:rsidRDefault="005A75CA" w:rsidP="00D7204E">
      <w:pPr>
        <w:spacing w:line="360" w:lineRule="auto"/>
        <w:jc w:val="both"/>
        <w:rPr>
          <w:rFonts w:ascii="Palatino Linotype" w:eastAsia="Palatino Linotype" w:hAnsi="Palatino Linotype" w:cs="Palatino Linotype"/>
          <w:sz w:val="22"/>
          <w:szCs w:val="22"/>
        </w:rPr>
      </w:pPr>
    </w:p>
    <w:p w14:paraId="1BE99916" w14:textId="77777777" w:rsidR="005A75CA" w:rsidRPr="00C56FC5" w:rsidRDefault="005A75CA" w:rsidP="00D7204E">
      <w:pPr>
        <w:spacing w:line="360" w:lineRule="auto"/>
        <w:jc w:val="both"/>
        <w:rPr>
          <w:rFonts w:ascii="Palatino Linotype" w:eastAsia="Palatino Linotype" w:hAnsi="Palatino Linotype" w:cs="Palatino Linotype"/>
          <w:sz w:val="22"/>
          <w:szCs w:val="22"/>
        </w:rPr>
      </w:pPr>
    </w:p>
    <w:p w14:paraId="6BA2925E" w14:textId="77777777" w:rsidR="005A75CA" w:rsidRPr="00C56FC5" w:rsidRDefault="005A75CA" w:rsidP="00D7204E">
      <w:pPr>
        <w:spacing w:line="360" w:lineRule="auto"/>
        <w:jc w:val="both"/>
        <w:rPr>
          <w:rFonts w:ascii="Palatino Linotype" w:eastAsia="Palatino Linotype" w:hAnsi="Palatino Linotype" w:cs="Palatino Linotype"/>
          <w:sz w:val="22"/>
          <w:szCs w:val="22"/>
        </w:rPr>
      </w:pPr>
    </w:p>
    <w:p w14:paraId="17C11245" w14:textId="3D7A6E0A" w:rsidR="005A75CA" w:rsidRPr="00C56FC5" w:rsidRDefault="005A75CA" w:rsidP="00D7204E">
      <w:pPr>
        <w:spacing w:line="360" w:lineRule="auto"/>
        <w:jc w:val="both"/>
        <w:rPr>
          <w:rFonts w:ascii="Palatino Linotype" w:eastAsia="Palatino Linotype" w:hAnsi="Palatino Linotype" w:cs="Palatino Linotype"/>
          <w:sz w:val="22"/>
          <w:szCs w:val="22"/>
        </w:rPr>
      </w:pPr>
    </w:p>
    <w:p w14:paraId="56C32FE7" w14:textId="77777777" w:rsidR="002456A1" w:rsidRPr="00C56FC5" w:rsidRDefault="002456A1" w:rsidP="00D7204E">
      <w:pPr>
        <w:spacing w:line="360" w:lineRule="auto"/>
        <w:jc w:val="both"/>
        <w:rPr>
          <w:rFonts w:ascii="Palatino Linotype" w:eastAsia="Palatino Linotype" w:hAnsi="Palatino Linotype" w:cs="Palatino Linotype"/>
          <w:sz w:val="22"/>
          <w:szCs w:val="22"/>
        </w:rPr>
      </w:pPr>
    </w:p>
    <w:p w14:paraId="116A91A3" w14:textId="77777777" w:rsidR="00A0077E" w:rsidRPr="00C56FC5" w:rsidRDefault="00A0077E">
      <w:pPr>
        <w:spacing w:line="360" w:lineRule="auto"/>
        <w:jc w:val="both"/>
        <w:rPr>
          <w:rFonts w:ascii="Palatino Linotype" w:eastAsia="Palatino Linotype" w:hAnsi="Palatino Linotype" w:cs="Palatino Linotype"/>
          <w:sz w:val="22"/>
          <w:szCs w:val="22"/>
        </w:rPr>
      </w:pPr>
    </w:p>
    <w:sectPr w:rsidR="00A0077E" w:rsidRPr="00C56FC5">
      <w:headerReference w:type="default" r:id="rId15"/>
      <w:footerReference w:type="default" r:id="rId16"/>
      <w:headerReference w:type="first" r:id="rId17"/>
      <w:footerReference w:type="first" r:id="rId18"/>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353F6" w14:textId="77777777" w:rsidR="00F33E05" w:rsidRDefault="00F33E05">
      <w:r>
        <w:separator/>
      </w:r>
    </w:p>
  </w:endnote>
  <w:endnote w:type="continuationSeparator" w:id="0">
    <w:p w14:paraId="127F2ACC" w14:textId="77777777" w:rsidR="00F33E05" w:rsidRDefault="00F33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22F03" w14:textId="77777777" w:rsidR="00F05E0E" w:rsidRDefault="00F05E0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A36FEA">
      <w:rPr>
        <w:rFonts w:ascii="Palatino Linotype" w:eastAsia="Palatino Linotype" w:hAnsi="Palatino Linotype" w:cs="Palatino Linotype"/>
        <w:b/>
        <w:noProof/>
        <w:color w:val="000000"/>
        <w:sz w:val="20"/>
        <w:szCs w:val="20"/>
      </w:rPr>
      <w:t>51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A36FEA">
      <w:rPr>
        <w:rFonts w:ascii="Palatino Linotype" w:eastAsia="Palatino Linotype" w:hAnsi="Palatino Linotype" w:cs="Palatino Linotype"/>
        <w:b/>
        <w:noProof/>
        <w:color w:val="000000"/>
        <w:sz w:val="20"/>
        <w:szCs w:val="20"/>
      </w:rPr>
      <w:t>51</w:t>
    </w:r>
    <w:r>
      <w:rPr>
        <w:rFonts w:ascii="Palatino Linotype" w:eastAsia="Palatino Linotype" w:hAnsi="Palatino Linotype" w:cs="Palatino Linotype"/>
        <w:b/>
        <w:color w:val="000000"/>
        <w:sz w:val="20"/>
        <w:szCs w:val="20"/>
      </w:rPr>
      <w:fldChar w:fldCharType="end"/>
    </w:r>
  </w:p>
  <w:p w14:paraId="0C3274EA" w14:textId="77777777" w:rsidR="00F05E0E" w:rsidRDefault="00F05E0E">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83AB2" w14:textId="77777777" w:rsidR="00F05E0E" w:rsidRDefault="00F05E0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D50C39">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D50C39">
      <w:rPr>
        <w:rFonts w:ascii="Palatino Linotype" w:eastAsia="Palatino Linotype" w:hAnsi="Palatino Linotype" w:cs="Palatino Linotype"/>
        <w:b/>
        <w:noProof/>
        <w:color w:val="000000"/>
        <w:sz w:val="20"/>
        <w:szCs w:val="20"/>
      </w:rPr>
      <w:t>51</w:t>
    </w:r>
    <w:r>
      <w:rPr>
        <w:rFonts w:ascii="Palatino Linotype" w:eastAsia="Palatino Linotype" w:hAnsi="Palatino Linotype" w:cs="Palatino Linotype"/>
        <w:b/>
        <w:color w:val="000000"/>
        <w:sz w:val="20"/>
        <w:szCs w:val="20"/>
      </w:rPr>
      <w:fldChar w:fldCharType="end"/>
    </w:r>
  </w:p>
  <w:p w14:paraId="75507642" w14:textId="77777777" w:rsidR="00F05E0E" w:rsidRDefault="00F05E0E">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6EA1D" w14:textId="77777777" w:rsidR="00F33E05" w:rsidRDefault="00F33E05">
      <w:r>
        <w:separator/>
      </w:r>
    </w:p>
  </w:footnote>
  <w:footnote w:type="continuationSeparator" w:id="0">
    <w:p w14:paraId="1872C89A" w14:textId="77777777" w:rsidR="00F33E05" w:rsidRDefault="00F33E05">
      <w:r>
        <w:continuationSeparator/>
      </w:r>
    </w:p>
  </w:footnote>
  <w:footnote w:id="1">
    <w:p w14:paraId="31A99500" w14:textId="77777777" w:rsidR="00F05E0E" w:rsidRPr="001F7906" w:rsidRDefault="00F05E0E" w:rsidP="00984D39">
      <w:pPr>
        <w:jc w:val="both"/>
        <w:rPr>
          <w:rFonts w:ascii="Palatino Linotype" w:eastAsia="Palatino Linotype" w:hAnsi="Palatino Linotype" w:cs="Palatino Linotype"/>
          <w:sz w:val="16"/>
          <w:szCs w:val="16"/>
        </w:rPr>
      </w:pPr>
      <w:r w:rsidRPr="001F7906">
        <w:rPr>
          <w:rFonts w:ascii="Palatino Linotype" w:hAnsi="Palatino Linotype"/>
          <w:sz w:val="16"/>
          <w:szCs w:val="16"/>
          <w:vertAlign w:val="superscript"/>
        </w:rPr>
        <w:footnoteRef/>
      </w:r>
      <w:r w:rsidRPr="001F7906">
        <w:rPr>
          <w:rFonts w:ascii="Palatino Linotype" w:eastAsia="Palatino Linotype" w:hAnsi="Palatino Linotype" w:cs="Palatino Linotype"/>
          <w:sz w:val="16"/>
          <w:szCs w:val="16"/>
        </w:rPr>
        <w:t xml:space="preserve"> CIENFUEGOS SALGADO David. El Derecho de Petición en México. Ed. Instituto de Investigaciones Jurídica UNAM. México 2004. p. 31</w:t>
      </w:r>
    </w:p>
  </w:footnote>
  <w:footnote w:id="2">
    <w:p w14:paraId="51C5E0EA" w14:textId="77777777" w:rsidR="00F05E0E" w:rsidRPr="001F7906" w:rsidRDefault="00F05E0E" w:rsidP="00984D39">
      <w:pPr>
        <w:jc w:val="both"/>
        <w:rPr>
          <w:rFonts w:ascii="Palatino Linotype" w:eastAsia="Palatino Linotype" w:hAnsi="Palatino Linotype" w:cs="Palatino Linotype"/>
          <w:sz w:val="16"/>
          <w:szCs w:val="16"/>
        </w:rPr>
      </w:pPr>
      <w:r w:rsidRPr="001F7906">
        <w:rPr>
          <w:rFonts w:ascii="Palatino Linotype" w:hAnsi="Palatino Linotype"/>
          <w:sz w:val="16"/>
          <w:szCs w:val="16"/>
          <w:vertAlign w:val="superscript"/>
        </w:rPr>
        <w:footnoteRef/>
      </w:r>
      <w:r w:rsidRPr="001F7906">
        <w:rPr>
          <w:rFonts w:ascii="Palatino Linotype" w:eastAsia="Palatino Linotype" w:hAnsi="Palatino Linotype" w:cs="Palatino Linotype"/>
          <w:sz w:val="16"/>
          <w:szCs w:val="16"/>
        </w:rPr>
        <w:t xml:space="preserve"> Carbonell, M. (2004). Los Derechos Fundamentales (Primera Edición ed.), México: Instituto de investigaciones Jurídicas.</w:t>
      </w:r>
    </w:p>
  </w:footnote>
  <w:footnote w:id="3">
    <w:p w14:paraId="2F524887" w14:textId="77777777" w:rsidR="00F05E0E" w:rsidRPr="001F7906" w:rsidRDefault="00F05E0E" w:rsidP="00984D39">
      <w:pPr>
        <w:pBdr>
          <w:top w:val="nil"/>
          <w:left w:val="nil"/>
          <w:bottom w:val="nil"/>
          <w:right w:val="nil"/>
          <w:between w:val="nil"/>
        </w:pBdr>
        <w:jc w:val="both"/>
        <w:rPr>
          <w:rFonts w:ascii="Palatino Linotype" w:eastAsia="Palatino Linotype" w:hAnsi="Palatino Linotype" w:cs="Palatino Linotype"/>
          <w:color w:val="000000"/>
          <w:sz w:val="16"/>
          <w:szCs w:val="16"/>
        </w:rPr>
      </w:pPr>
      <w:r w:rsidRPr="001F7906">
        <w:rPr>
          <w:rFonts w:ascii="Palatino Linotype" w:hAnsi="Palatino Linotype"/>
          <w:sz w:val="16"/>
          <w:szCs w:val="16"/>
          <w:vertAlign w:val="superscript"/>
        </w:rPr>
        <w:footnoteRef/>
      </w:r>
      <w:r w:rsidRPr="001F7906">
        <w:rPr>
          <w:rFonts w:ascii="Palatino Linotype" w:eastAsia="Palatino Linotype" w:hAnsi="Palatino Linotype" w:cs="Palatino Linotype"/>
          <w:color w:val="000000"/>
          <w:sz w:val="16"/>
          <w:szCs w:val="16"/>
        </w:rPr>
        <w:t xml:space="preserve"> VILLANUEVA VILLANUEVA Ernesto, Derecho de la Información, Ed, Porrúa S.A., México. 2006, pág.270.</w:t>
      </w:r>
    </w:p>
  </w:footnote>
  <w:footnote w:id="4">
    <w:p w14:paraId="2AA18C82" w14:textId="77777777" w:rsidR="00EE55D3" w:rsidRDefault="00EE55D3" w:rsidP="00EE55D3">
      <w:pPr>
        <w:pBdr>
          <w:top w:val="nil"/>
          <w:left w:val="nil"/>
          <w:bottom w:val="nil"/>
          <w:right w:val="nil"/>
          <w:between w:val="nil"/>
        </w:pBdr>
        <w:tabs>
          <w:tab w:val="right" w:pos="0"/>
        </w:tabs>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Resolución RRA2431/17 del Instituto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CA3C9" w14:textId="6169BA1A" w:rsidR="00F05E0E" w:rsidRDefault="00F05E0E">
    <w:pPr>
      <w:rPr>
        <w:rFonts w:ascii="Cambria" w:eastAsia="Cambria" w:hAnsi="Cambria" w:cs="Cambria"/>
        <w:color w:val="000000"/>
      </w:rPr>
    </w:pPr>
  </w:p>
  <w:tbl>
    <w:tblPr>
      <w:tblStyle w:val="affa"/>
      <w:tblW w:w="5953" w:type="dxa"/>
      <w:tblInd w:w="3261" w:type="dxa"/>
      <w:tblLayout w:type="fixed"/>
      <w:tblLook w:val="0400" w:firstRow="0" w:lastRow="0" w:firstColumn="0" w:lastColumn="0" w:noHBand="0" w:noVBand="1"/>
    </w:tblPr>
    <w:tblGrid>
      <w:gridCol w:w="2489"/>
      <w:gridCol w:w="3464"/>
    </w:tblGrid>
    <w:tr w:rsidR="00F05E0E" w14:paraId="7D7A7303" w14:textId="77777777">
      <w:tc>
        <w:tcPr>
          <w:tcW w:w="2489" w:type="dxa"/>
        </w:tcPr>
        <w:p w14:paraId="0E742E37" w14:textId="77777777" w:rsidR="00F05E0E" w:rsidRDefault="00F05E0E">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464" w:type="dxa"/>
          <w:vAlign w:val="center"/>
        </w:tcPr>
        <w:p w14:paraId="1A1D9F71" w14:textId="6AFDE729" w:rsidR="00F05E0E" w:rsidRDefault="00F05E0E" w:rsidP="00FB77D5">
          <w:pPr>
            <w:ind w:right="175"/>
            <w:jc w:val="both"/>
            <w:rPr>
              <w:rFonts w:ascii="Palatino Linotype" w:eastAsia="Palatino Linotype" w:hAnsi="Palatino Linotype" w:cs="Palatino Linotype"/>
              <w:b/>
              <w:sz w:val="22"/>
              <w:szCs w:val="22"/>
            </w:rPr>
          </w:pPr>
          <w:r>
            <w:rPr>
              <w:noProof/>
            </w:rPr>
            <w:drawing>
              <wp:anchor distT="0" distB="0" distL="0" distR="0" simplePos="0" relativeHeight="251658240" behindDoc="1" locked="0" layoutInCell="1" hidden="0" allowOverlap="1" wp14:anchorId="72FFB153" wp14:editId="3405BE90">
                <wp:simplePos x="0" y="0"/>
                <wp:positionH relativeFrom="column">
                  <wp:posOffset>-4800600</wp:posOffset>
                </wp:positionH>
                <wp:positionV relativeFrom="paragraph">
                  <wp:posOffset>-641985</wp:posOffset>
                </wp:positionV>
                <wp:extent cx="7809865" cy="10165715"/>
                <wp:effectExtent l="0" t="0" r="0" b="0"/>
                <wp:wrapNone/>
                <wp:docPr id="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14:sizeRelH relativeFrom="margin">
                  <wp14:pctWidth>0</wp14:pctWidth>
                </wp14:sizeRelH>
                <wp14:sizeRelV relativeFrom="margin">
                  <wp14:pctHeight>0</wp14:pctHeight>
                </wp14:sizeRelV>
              </wp:anchor>
            </w:drawing>
          </w:r>
          <w:r>
            <w:rPr>
              <w:rFonts w:ascii="Palatino Linotype" w:eastAsia="Palatino Linotype" w:hAnsi="Palatino Linotype" w:cs="Palatino Linotype"/>
              <w:b/>
              <w:sz w:val="22"/>
              <w:szCs w:val="22"/>
            </w:rPr>
            <w:t>13179/INFOEM/IP/RR/2025</w:t>
          </w:r>
        </w:p>
      </w:tc>
    </w:tr>
    <w:tr w:rsidR="00F05E0E" w14:paraId="3CD5D37A" w14:textId="77777777">
      <w:trPr>
        <w:trHeight w:val="228"/>
      </w:trPr>
      <w:tc>
        <w:tcPr>
          <w:tcW w:w="2489" w:type="dxa"/>
          <w:vAlign w:val="center"/>
        </w:tcPr>
        <w:p w14:paraId="5D9B266F" w14:textId="77777777" w:rsidR="00F05E0E" w:rsidRDefault="00F05E0E">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464" w:type="dxa"/>
          <w:vAlign w:val="center"/>
        </w:tcPr>
        <w:p w14:paraId="241E6357" w14:textId="41D01436" w:rsidR="00F05E0E" w:rsidRDefault="00F05E0E">
          <w:pPr>
            <w:ind w:left="-45" w:right="176"/>
            <w:jc w:val="both"/>
            <w:rPr>
              <w:rFonts w:ascii="Palatino Linotype" w:eastAsia="Palatino Linotype" w:hAnsi="Palatino Linotype" w:cs="Palatino Linotype"/>
              <w:b/>
              <w:sz w:val="22"/>
              <w:szCs w:val="22"/>
            </w:rPr>
          </w:pPr>
          <w:r w:rsidRPr="001D1176">
            <w:rPr>
              <w:rFonts w:ascii="Palatino Linotype" w:eastAsia="Palatino Linotype" w:hAnsi="Palatino Linotype" w:cs="Palatino Linotype"/>
              <w:b/>
              <w:sz w:val="22"/>
              <w:szCs w:val="22"/>
            </w:rPr>
            <w:t>Ayuntamiento de Jaltenco</w:t>
          </w:r>
        </w:p>
      </w:tc>
    </w:tr>
    <w:tr w:rsidR="00F05E0E" w14:paraId="4A406CF8" w14:textId="77777777">
      <w:tc>
        <w:tcPr>
          <w:tcW w:w="2489" w:type="dxa"/>
          <w:vAlign w:val="center"/>
        </w:tcPr>
        <w:p w14:paraId="721EC51C" w14:textId="77777777" w:rsidR="00F05E0E" w:rsidRDefault="00F05E0E">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464" w:type="dxa"/>
          <w:vAlign w:val="center"/>
        </w:tcPr>
        <w:p w14:paraId="217CC28D" w14:textId="77777777" w:rsidR="00F05E0E" w:rsidRDefault="00F05E0E">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24A14674" w14:textId="77777777" w:rsidR="00F05E0E" w:rsidRDefault="00F05E0E">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D45FF" w14:textId="77777777" w:rsidR="00F05E0E" w:rsidRDefault="00F05E0E">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5664C077" wp14:editId="72386D7E">
          <wp:simplePos x="0" y="0"/>
          <wp:positionH relativeFrom="column">
            <wp:posOffset>-1080134</wp:posOffset>
          </wp:positionH>
          <wp:positionV relativeFrom="paragraph">
            <wp:posOffset>-369892</wp:posOffset>
          </wp:positionV>
          <wp:extent cx="7809865" cy="10165715"/>
          <wp:effectExtent l="0" t="0" r="0" b="0"/>
          <wp:wrapNone/>
          <wp:docPr id="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ffb"/>
      <w:tblW w:w="5953" w:type="dxa"/>
      <w:tblInd w:w="3261" w:type="dxa"/>
      <w:tblLayout w:type="fixed"/>
      <w:tblLook w:val="0400" w:firstRow="0" w:lastRow="0" w:firstColumn="0" w:lastColumn="0" w:noHBand="0" w:noVBand="1"/>
    </w:tblPr>
    <w:tblGrid>
      <w:gridCol w:w="2489"/>
      <w:gridCol w:w="3464"/>
    </w:tblGrid>
    <w:tr w:rsidR="00F05E0E" w14:paraId="7EB27161" w14:textId="77777777">
      <w:tc>
        <w:tcPr>
          <w:tcW w:w="2489" w:type="dxa"/>
        </w:tcPr>
        <w:p w14:paraId="31032DEA" w14:textId="77777777" w:rsidR="00F05E0E" w:rsidRDefault="00F05E0E">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464" w:type="dxa"/>
          <w:vAlign w:val="center"/>
        </w:tcPr>
        <w:p w14:paraId="62054199" w14:textId="5869D0E3" w:rsidR="00F05E0E" w:rsidRDefault="00F05E0E" w:rsidP="00FB77D5">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13179/INFOEM/IP/RR/2025</w:t>
          </w:r>
        </w:p>
      </w:tc>
    </w:tr>
    <w:tr w:rsidR="00F05E0E" w14:paraId="3DB6A4A9" w14:textId="77777777">
      <w:tc>
        <w:tcPr>
          <w:tcW w:w="2489" w:type="dxa"/>
        </w:tcPr>
        <w:p w14:paraId="1EB49E89" w14:textId="77777777" w:rsidR="00F05E0E" w:rsidRDefault="00F05E0E">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464" w:type="dxa"/>
          <w:vAlign w:val="center"/>
        </w:tcPr>
        <w:p w14:paraId="1232B0D5" w14:textId="3E4D0B1E" w:rsidR="00F05E0E" w:rsidRDefault="00B065C5">
          <w:pPr>
            <w:ind w:right="175"/>
            <w:jc w:val="both"/>
            <w:rPr>
              <w:rFonts w:ascii="Palatino Linotype" w:eastAsia="Palatino Linotype" w:hAnsi="Palatino Linotype" w:cs="Palatino Linotype"/>
              <w:b/>
              <w:sz w:val="22"/>
              <w:szCs w:val="22"/>
              <w:highlight w:val="yellow"/>
            </w:rPr>
          </w:pPr>
          <w:r>
            <w:rPr>
              <w:rFonts w:ascii="Palatino Linotype" w:eastAsia="Palatino Linotype" w:hAnsi="Palatino Linotype" w:cs="Palatino Linotype"/>
              <w:b/>
              <w:sz w:val="21"/>
              <w:szCs w:val="21"/>
              <w:lang w:val="es-ES"/>
            </w:rPr>
            <w:t>XXXXX XXXXXXX XXXXX</w:t>
          </w:r>
        </w:p>
      </w:tc>
    </w:tr>
    <w:tr w:rsidR="00F05E0E" w14:paraId="6C9948E1" w14:textId="77777777">
      <w:trPr>
        <w:trHeight w:val="228"/>
      </w:trPr>
      <w:tc>
        <w:tcPr>
          <w:tcW w:w="2489" w:type="dxa"/>
          <w:vAlign w:val="center"/>
        </w:tcPr>
        <w:p w14:paraId="22D7B399" w14:textId="77777777" w:rsidR="00F05E0E" w:rsidRDefault="00F05E0E">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464" w:type="dxa"/>
          <w:vAlign w:val="center"/>
        </w:tcPr>
        <w:p w14:paraId="4811C401" w14:textId="31A9CA3C" w:rsidR="00F05E0E" w:rsidRDefault="00F05E0E">
          <w:pPr>
            <w:ind w:left="-45" w:right="176"/>
            <w:jc w:val="both"/>
            <w:rPr>
              <w:rFonts w:ascii="Palatino Linotype" w:eastAsia="Palatino Linotype" w:hAnsi="Palatino Linotype" w:cs="Palatino Linotype"/>
              <w:b/>
              <w:sz w:val="22"/>
              <w:szCs w:val="22"/>
            </w:rPr>
          </w:pPr>
          <w:r w:rsidRPr="001D1176">
            <w:rPr>
              <w:rFonts w:ascii="Palatino Linotype" w:eastAsia="Palatino Linotype" w:hAnsi="Palatino Linotype" w:cs="Palatino Linotype"/>
              <w:b/>
              <w:sz w:val="22"/>
              <w:szCs w:val="22"/>
            </w:rPr>
            <w:t>Ayuntamiento de Jaltenco</w:t>
          </w:r>
        </w:p>
      </w:tc>
    </w:tr>
    <w:tr w:rsidR="00F05E0E" w14:paraId="2B1C1852" w14:textId="77777777">
      <w:tc>
        <w:tcPr>
          <w:tcW w:w="2489" w:type="dxa"/>
          <w:vAlign w:val="center"/>
        </w:tcPr>
        <w:p w14:paraId="4F8DDCDE" w14:textId="77777777" w:rsidR="00F05E0E" w:rsidRDefault="00F05E0E">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464" w:type="dxa"/>
          <w:vAlign w:val="center"/>
        </w:tcPr>
        <w:p w14:paraId="105F17AE" w14:textId="77777777" w:rsidR="00F05E0E" w:rsidRDefault="00F05E0E">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6FDDDEC6" w14:textId="77777777" w:rsidR="00F05E0E" w:rsidRDefault="00F05E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F6193"/>
    <w:multiLevelType w:val="multilevel"/>
    <w:tmpl w:val="42AADD5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2AD561E3"/>
    <w:multiLevelType w:val="multilevel"/>
    <w:tmpl w:val="0F1047C2"/>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325938D9"/>
    <w:multiLevelType w:val="multilevel"/>
    <w:tmpl w:val="4E102662"/>
    <w:lvl w:ilvl="0">
      <w:start w:val="1"/>
      <w:numFmt w:val="lowerLetter"/>
      <w:pStyle w:val="Listaconvietas3"/>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40912925"/>
    <w:multiLevelType w:val="multilevel"/>
    <w:tmpl w:val="6EAE7FE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57FB0EAA"/>
    <w:multiLevelType w:val="hybridMultilevel"/>
    <w:tmpl w:val="B03ED44C"/>
    <w:lvl w:ilvl="0" w:tplc="4F086008">
      <w:start w:val="1"/>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5" w15:restartNumberingAfterBreak="0">
    <w:nsid w:val="7ED3330D"/>
    <w:multiLevelType w:val="multilevel"/>
    <w:tmpl w:val="7CAE87EE"/>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785544392">
    <w:abstractNumId w:val="2"/>
  </w:num>
  <w:num w:numId="2" w16cid:durableId="538711486">
    <w:abstractNumId w:val="0"/>
  </w:num>
  <w:num w:numId="3" w16cid:durableId="679085330">
    <w:abstractNumId w:val="3"/>
  </w:num>
  <w:num w:numId="4" w16cid:durableId="179124798">
    <w:abstractNumId w:val="1"/>
  </w:num>
  <w:num w:numId="5" w16cid:durableId="1549104874">
    <w:abstractNumId w:val="4"/>
  </w:num>
  <w:num w:numId="6" w16cid:durableId="17549329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CA"/>
    <w:rsid w:val="00024845"/>
    <w:rsid w:val="0002597E"/>
    <w:rsid w:val="0003239B"/>
    <w:rsid w:val="00033F56"/>
    <w:rsid w:val="00055422"/>
    <w:rsid w:val="00056155"/>
    <w:rsid w:val="00056AA7"/>
    <w:rsid w:val="00062182"/>
    <w:rsid w:val="00075ABA"/>
    <w:rsid w:val="00081B2B"/>
    <w:rsid w:val="000911CE"/>
    <w:rsid w:val="00091354"/>
    <w:rsid w:val="000919C2"/>
    <w:rsid w:val="000B08E2"/>
    <w:rsid w:val="000B7422"/>
    <w:rsid w:val="000F4C63"/>
    <w:rsid w:val="00104E59"/>
    <w:rsid w:val="00114A40"/>
    <w:rsid w:val="00117765"/>
    <w:rsid w:val="001205A1"/>
    <w:rsid w:val="001267DD"/>
    <w:rsid w:val="00127A62"/>
    <w:rsid w:val="00133F88"/>
    <w:rsid w:val="00144D16"/>
    <w:rsid w:val="00150A37"/>
    <w:rsid w:val="00165B01"/>
    <w:rsid w:val="00170F4F"/>
    <w:rsid w:val="001749F1"/>
    <w:rsid w:val="0017599F"/>
    <w:rsid w:val="00190C3C"/>
    <w:rsid w:val="001952E1"/>
    <w:rsid w:val="001A41B1"/>
    <w:rsid w:val="001A41FA"/>
    <w:rsid w:val="001B7459"/>
    <w:rsid w:val="001C6FE3"/>
    <w:rsid w:val="001D1176"/>
    <w:rsid w:val="001F7FD6"/>
    <w:rsid w:val="00201C05"/>
    <w:rsid w:val="00203F01"/>
    <w:rsid w:val="00205B67"/>
    <w:rsid w:val="00213E19"/>
    <w:rsid w:val="00224389"/>
    <w:rsid w:val="00230FAB"/>
    <w:rsid w:val="002456A1"/>
    <w:rsid w:val="00252329"/>
    <w:rsid w:val="00255F88"/>
    <w:rsid w:val="00273595"/>
    <w:rsid w:val="002B0ABC"/>
    <w:rsid w:val="002D3FC3"/>
    <w:rsid w:val="00334509"/>
    <w:rsid w:val="00394119"/>
    <w:rsid w:val="003B297E"/>
    <w:rsid w:val="003D1488"/>
    <w:rsid w:val="003D4046"/>
    <w:rsid w:val="003D5399"/>
    <w:rsid w:val="003E5305"/>
    <w:rsid w:val="00403FFC"/>
    <w:rsid w:val="00405976"/>
    <w:rsid w:val="00421F6D"/>
    <w:rsid w:val="00440948"/>
    <w:rsid w:val="00444FB1"/>
    <w:rsid w:val="00451306"/>
    <w:rsid w:val="0049521E"/>
    <w:rsid w:val="004A23EB"/>
    <w:rsid w:val="004A5C1C"/>
    <w:rsid w:val="004B6C62"/>
    <w:rsid w:val="004D2A9D"/>
    <w:rsid w:val="004F0A49"/>
    <w:rsid w:val="004F41CB"/>
    <w:rsid w:val="00551F74"/>
    <w:rsid w:val="00565B39"/>
    <w:rsid w:val="0057455B"/>
    <w:rsid w:val="0058265C"/>
    <w:rsid w:val="005845B4"/>
    <w:rsid w:val="0058690B"/>
    <w:rsid w:val="005A75CA"/>
    <w:rsid w:val="005B102B"/>
    <w:rsid w:val="005B6BEF"/>
    <w:rsid w:val="005E65B8"/>
    <w:rsid w:val="005F3716"/>
    <w:rsid w:val="00614AF9"/>
    <w:rsid w:val="00616184"/>
    <w:rsid w:val="00621E51"/>
    <w:rsid w:val="00626BB5"/>
    <w:rsid w:val="006270EE"/>
    <w:rsid w:val="00635B4A"/>
    <w:rsid w:val="006367B1"/>
    <w:rsid w:val="00697A8E"/>
    <w:rsid w:val="006B18ED"/>
    <w:rsid w:val="006B5BE3"/>
    <w:rsid w:val="006C3C73"/>
    <w:rsid w:val="006C5AD6"/>
    <w:rsid w:val="006C72C4"/>
    <w:rsid w:val="006D4370"/>
    <w:rsid w:val="006E0E72"/>
    <w:rsid w:val="007014EF"/>
    <w:rsid w:val="007039E6"/>
    <w:rsid w:val="007338A7"/>
    <w:rsid w:val="00735166"/>
    <w:rsid w:val="007360BF"/>
    <w:rsid w:val="00745FCC"/>
    <w:rsid w:val="00750797"/>
    <w:rsid w:val="007614D9"/>
    <w:rsid w:val="007711D0"/>
    <w:rsid w:val="00775496"/>
    <w:rsid w:val="00786F36"/>
    <w:rsid w:val="007D142D"/>
    <w:rsid w:val="007E1455"/>
    <w:rsid w:val="007E1765"/>
    <w:rsid w:val="008178BC"/>
    <w:rsid w:val="008234A4"/>
    <w:rsid w:val="00834C77"/>
    <w:rsid w:val="00837327"/>
    <w:rsid w:val="008416B3"/>
    <w:rsid w:val="00845220"/>
    <w:rsid w:val="00871C8E"/>
    <w:rsid w:val="00873AB8"/>
    <w:rsid w:val="00893EF4"/>
    <w:rsid w:val="008C3A86"/>
    <w:rsid w:val="008D218C"/>
    <w:rsid w:val="008E0084"/>
    <w:rsid w:val="008E7C19"/>
    <w:rsid w:val="00931479"/>
    <w:rsid w:val="00944957"/>
    <w:rsid w:val="00950232"/>
    <w:rsid w:val="0095701F"/>
    <w:rsid w:val="00967195"/>
    <w:rsid w:val="0098102A"/>
    <w:rsid w:val="00984D39"/>
    <w:rsid w:val="00994798"/>
    <w:rsid w:val="00997932"/>
    <w:rsid w:val="009A64CC"/>
    <w:rsid w:val="009B2FB9"/>
    <w:rsid w:val="009C67A9"/>
    <w:rsid w:val="00A0077E"/>
    <w:rsid w:val="00A011FF"/>
    <w:rsid w:val="00A04509"/>
    <w:rsid w:val="00A1535E"/>
    <w:rsid w:val="00A16DBC"/>
    <w:rsid w:val="00A3292F"/>
    <w:rsid w:val="00A36FEA"/>
    <w:rsid w:val="00A424AD"/>
    <w:rsid w:val="00A45E0C"/>
    <w:rsid w:val="00A63EAB"/>
    <w:rsid w:val="00A754BF"/>
    <w:rsid w:val="00A77106"/>
    <w:rsid w:val="00A82127"/>
    <w:rsid w:val="00A97BCF"/>
    <w:rsid w:val="00AA167F"/>
    <w:rsid w:val="00AA28D8"/>
    <w:rsid w:val="00AC0437"/>
    <w:rsid w:val="00AE1BCD"/>
    <w:rsid w:val="00B01291"/>
    <w:rsid w:val="00B04D16"/>
    <w:rsid w:val="00B065C5"/>
    <w:rsid w:val="00B07DA0"/>
    <w:rsid w:val="00B116E9"/>
    <w:rsid w:val="00B11F9E"/>
    <w:rsid w:val="00B24416"/>
    <w:rsid w:val="00B278DC"/>
    <w:rsid w:val="00B422FC"/>
    <w:rsid w:val="00B51C20"/>
    <w:rsid w:val="00B63576"/>
    <w:rsid w:val="00B76B3B"/>
    <w:rsid w:val="00B8367A"/>
    <w:rsid w:val="00B95B0A"/>
    <w:rsid w:val="00BB1D53"/>
    <w:rsid w:val="00BB34F7"/>
    <w:rsid w:val="00BC2781"/>
    <w:rsid w:val="00BC2E4B"/>
    <w:rsid w:val="00BD4336"/>
    <w:rsid w:val="00BD7F76"/>
    <w:rsid w:val="00BE57AC"/>
    <w:rsid w:val="00BE6FDF"/>
    <w:rsid w:val="00BF1453"/>
    <w:rsid w:val="00BF27F2"/>
    <w:rsid w:val="00BF3FF9"/>
    <w:rsid w:val="00BF4BA8"/>
    <w:rsid w:val="00C14B18"/>
    <w:rsid w:val="00C15A66"/>
    <w:rsid w:val="00C15E24"/>
    <w:rsid w:val="00C26C7F"/>
    <w:rsid w:val="00C410B3"/>
    <w:rsid w:val="00C56FC5"/>
    <w:rsid w:val="00C62D06"/>
    <w:rsid w:val="00C6372B"/>
    <w:rsid w:val="00C710B0"/>
    <w:rsid w:val="00C81A38"/>
    <w:rsid w:val="00C83C9C"/>
    <w:rsid w:val="00C84A28"/>
    <w:rsid w:val="00CB6175"/>
    <w:rsid w:val="00CC7C4F"/>
    <w:rsid w:val="00CD1803"/>
    <w:rsid w:val="00D12840"/>
    <w:rsid w:val="00D132EC"/>
    <w:rsid w:val="00D26C1D"/>
    <w:rsid w:val="00D3676B"/>
    <w:rsid w:val="00D50C39"/>
    <w:rsid w:val="00D535F2"/>
    <w:rsid w:val="00D7204E"/>
    <w:rsid w:val="00D7320D"/>
    <w:rsid w:val="00DB2EEC"/>
    <w:rsid w:val="00DE0050"/>
    <w:rsid w:val="00DF423B"/>
    <w:rsid w:val="00DF43C4"/>
    <w:rsid w:val="00E120D6"/>
    <w:rsid w:val="00E135F5"/>
    <w:rsid w:val="00E14A76"/>
    <w:rsid w:val="00E21E72"/>
    <w:rsid w:val="00E2315B"/>
    <w:rsid w:val="00E3627B"/>
    <w:rsid w:val="00E67226"/>
    <w:rsid w:val="00E83DE2"/>
    <w:rsid w:val="00E85565"/>
    <w:rsid w:val="00E96B90"/>
    <w:rsid w:val="00EA2325"/>
    <w:rsid w:val="00EB5561"/>
    <w:rsid w:val="00EC48FD"/>
    <w:rsid w:val="00ED3BAD"/>
    <w:rsid w:val="00EE55D3"/>
    <w:rsid w:val="00EE6E86"/>
    <w:rsid w:val="00EF3EED"/>
    <w:rsid w:val="00F05E0E"/>
    <w:rsid w:val="00F115B4"/>
    <w:rsid w:val="00F1296D"/>
    <w:rsid w:val="00F33E05"/>
    <w:rsid w:val="00F4152A"/>
    <w:rsid w:val="00F44777"/>
    <w:rsid w:val="00F5550B"/>
    <w:rsid w:val="00F73AA9"/>
    <w:rsid w:val="00F75F39"/>
    <w:rsid w:val="00F82B96"/>
    <w:rsid w:val="00F93D65"/>
    <w:rsid w:val="00FA1156"/>
    <w:rsid w:val="00FA477F"/>
    <w:rsid w:val="00FB513B"/>
    <w:rsid w:val="00FB77D5"/>
    <w:rsid w:val="00FC4F4F"/>
    <w:rsid w:val="00FD0FF9"/>
    <w:rsid w:val="00FE44A2"/>
    <w:rsid w:val="00FE6677"/>
    <w:rsid w:val="00FF4216"/>
    <w:rsid w:val="00FF6D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B5C60"/>
  <w15:docId w15:val="{1A4982B5-CB8A-451E-A332-C2694A259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366091"/>
      <w:sz w:val="26"/>
      <w:szCs w:val="26"/>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table" w:customStyle="1" w:styleId="TableNormalf1">
    <w:name w:val="Table Normal"/>
    <w:tblPr>
      <w:tblCellMar>
        <w:top w:w="0" w:type="dxa"/>
        <w:left w:w="0" w:type="dxa"/>
        <w:bottom w:w="0" w:type="dxa"/>
        <w:right w:w="0" w:type="dxa"/>
      </w:tblCellMar>
    </w:tblPr>
  </w:style>
  <w:style w:type="table" w:customStyle="1" w:styleId="a">
    <w:basedOn w:val="TableNormalf1"/>
    <w:tblPr>
      <w:tblStyleRowBandSize w:val="1"/>
      <w:tblStyleColBandSize w:val="1"/>
      <w:tblCellMar>
        <w:left w:w="115" w:type="dxa"/>
        <w:right w:w="115" w:type="dxa"/>
      </w:tblCellMar>
    </w:tblPr>
  </w:style>
  <w:style w:type="table" w:customStyle="1" w:styleId="a0">
    <w:basedOn w:val="TableNormalf1"/>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0D197B"/>
    <w:pPr>
      <w:tabs>
        <w:tab w:val="center" w:pos="4419"/>
        <w:tab w:val="right" w:pos="8838"/>
      </w:tabs>
    </w:pPr>
  </w:style>
  <w:style w:type="character" w:customStyle="1" w:styleId="EncabezadoCar">
    <w:name w:val="Encabezado Car"/>
    <w:basedOn w:val="Fuentedeprrafopredeter"/>
    <w:link w:val="Encabezado"/>
    <w:uiPriority w:val="99"/>
    <w:rsid w:val="000D197B"/>
  </w:style>
  <w:style w:type="paragraph" w:styleId="Piedepgina">
    <w:name w:val="footer"/>
    <w:basedOn w:val="Normal"/>
    <w:link w:val="PiedepginaCar"/>
    <w:uiPriority w:val="99"/>
    <w:unhideWhenUsed/>
    <w:rsid w:val="000D197B"/>
    <w:pPr>
      <w:tabs>
        <w:tab w:val="center" w:pos="4419"/>
        <w:tab w:val="right" w:pos="8838"/>
      </w:tabs>
    </w:pPr>
  </w:style>
  <w:style w:type="character" w:customStyle="1" w:styleId="PiedepginaCar">
    <w:name w:val="Pie de página Car"/>
    <w:basedOn w:val="Fuentedeprrafopredeter"/>
    <w:link w:val="Piedepgina"/>
    <w:uiPriority w:val="99"/>
    <w:rsid w:val="000D197B"/>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C43334"/>
    <w:pPr>
      <w:ind w:left="720"/>
      <w:contextualSpacing/>
    </w:pPr>
  </w:style>
  <w:style w:type="paragraph" w:styleId="NormalWeb">
    <w:name w:val="Normal (Web)"/>
    <w:basedOn w:val="Normal"/>
    <w:uiPriority w:val="99"/>
    <w:unhideWhenUsed/>
    <w:rsid w:val="00476335"/>
    <w:pPr>
      <w:spacing w:before="100" w:beforeAutospacing="1" w:after="100" w:afterAutospacing="1"/>
    </w:p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06B5C"/>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06B5C"/>
    <w:rPr>
      <w:rFonts w:asciiTheme="minorHAnsi" w:eastAsiaTheme="minorHAnsi" w:hAnsiTheme="minorHAnsi" w:cstheme="minorBidi"/>
      <w:sz w:val="20"/>
      <w:szCs w:val="20"/>
      <w:lang w:eastAsia="en-U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806B5C"/>
    <w:rPr>
      <w:vertAlign w:val="superscript"/>
    </w:rPr>
  </w:style>
  <w:style w:type="table" w:customStyle="1" w:styleId="a1">
    <w:basedOn w:val="TableNormalf1"/>
    <w:tblPr>
      <w:tblStyleRowBandSize w:val="1"/>
      <w:tblStyleColBandSize w:val="1"/>
      <w:tblCellMar>
        <w:left w:w="115" w:type="dxa"/>
        <w:right w:w="115" w:type="dxa"/>
      </w:tblCellMar>
    </w:tblPr>
  </w:style>
  <w:style w:type="table" w:customStyle="1" w:styleId="a2">
    <w:basedOn w:val="TableNormalf1"/>
    <w:tblPr>
      <w:tblStyleRowBandSize w:val="1"/>
      <w:tblStyleColBandSize w:val="1"/>
      <w:tblCellMar>
        <w:left w:w="115" w:type="dxa"/>
        <w:right w:w="115" w:type="dxa"/>
      </w:tblCellMar>
    </w:tblPr>
  </w:style>
  <w:style w:type="character" w:styleId="Hipervnculo">
    <w:name w:val="Hyperlink"/>
    <w:basedOn w:val="Fuentedeprrafopredeter"/>
    <w:uiPriority w:val="99"/>
    <w:unhideWhenUsed/>
    <w:rsid w:val="00504D6C"/>
    <w:rPr>
      <w:color w:val="0000FF" w:themeColor="hyperlink"/>
      <w:u w:val="single"/>
    </w:rPr>
  </w:style>
  <w:style w:type="character" w:styleId="Hipervnculovisitado">
    <w:name w:val="FollowedHyperlink"/>
    <w:basedOn w:val="Fuentedeprrafopredeter"/>
    <w:uiPriority w:val="99"/>
    <w:semiHidden/>
    <w:unhideWhenUsed/>
    <w:rsid w:val="00504D6C"/>
    <w:rPr>
      <w:color w:val="800080" w:themeColor="followedHyperlink"/>
      <w:u w:val="single"/>
    </w:rPr>
  </w:style>
  <w:style w:type="table" w:styleId="Tablaconcuadrcula">
    <w:name w:val="Table Grid"/>
    <w:basedOn w:val="Tablanormal"/>
    <w:uiPriority w:val="39"/>
    <w:rsid w:val="00134A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eNormalf0"/>
    <w:tblPr>
      <w:tblStyleRowBandSize w:val="1"/>
      <w:tblStyleColBandSize w:val="1"/>
      <w:tblCellMar>
        <w:left w:w="115" w:type="dxa"/>
        <w:right w:w="115" w:type="dxa"/>
      </w:tblCellMar>
    </w:tblPr>
  </w:style>
  <w:style w:type="table" w:customStyle="1" w:styleId="a4">
    <w:basedOn w:val="TableNormalf0"/>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5E017B"/>
    <w:pPr>
      <w:numPr>
        <w:numId w:val="1"/>
      </w:numPr>
      <w:contextualSpacing/>
    </w:pPr>
  </w:style>
  <w:style w:type="character" w:customStyle="1" w:styleId="yt-core-attributed-string--link-inherit-color">
    <w:name w:val="yt-core-attributed-string--link-inherit-color"/>
    <w:basedOn w:val="Fuentedeprrafopredeter"/>
    <w:rsid w:val="00EA0BEF"/>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72"/>
    <w:qFormat/>
    <w:locked/>
    <w:rsid w:val="00452086"/>
  </w:style>
  <w:style w:type="character" w:customStyle="1" w:styleId="Mencinsinresolver1">
    <w:name w:val="Mención sin resolver1"/>
    <w:basedOn w:val="Fuentedeprrafopredeter"/>
    <w:uiPriority w:val="99"/>
    <w:semiHidden/>
    <w:unhideWhenUsed/>
    <w:rsid w:val="00C64B15"/>
    <w:rPr>
      <w:color w:val="605E5C"/>
      <w:shd w:val="clear" w:color="auto" w:fill="E1DFDD"/>
    </w:rPr>
  </w:style>
  <w:style w:type="paragraph" w:customStyle="1" w:styleId="Default">
    <w:name w:val="Default"/>
    <w:rsid w:val="00B92077"/>
    <w:pPr>
      <w:autoSpaceDE w:val="0"/>
      <w:autoSpaceDN w:val="0"/>
      <w:adjustRightInd w:val="0"/>
    </w:pPr>
    <w:rPr>
      <w:rFonts w:ascii="Arial" w:hAnsi="Arial" w:cs="Arial"/>
      <w:color w:val="000000"/>
    </w:rPr>
  </w:style>
  <w:style w:type="character" w:customStyle="1" w:styleId="Mencinsinresolver2">
    <w:name w:val="Mención sin resolver2"/>
    <w:basedOn w:val="Fuentedeprrafopredeter"/>
    <w:uiPriority w:val="99"/>
    <w:semiHidden/>
    <w:unhideWhenUsed/>
    <w:rsid w:val="00251B93"/>
    <w:rPr>
      <w:color w:val="605E5C"/>
      <w:shd w:val="clear" w:color="auto" w:fill="E1DFDD"/>
    </w:rPr>
  </w:style>
  <w:style w:type="paragraph" w:styleId="Textodeglobo">
    <w:name w:val="Balloon Text"/>
    <w:basedOn w:val="Normal"/>
    <w:link w:val="TextodegloboCar"/>
    <w:uiPriority w:val="99"/>
    <w:semiHidden/>
    <w:unhideWhenUsed/>
    <w:rsid w:val="00DD0D6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0D64"/>
    <w:rPr>
      <w:rFonts w:ascii="Segoe UI" w:hAnsi="Segoe UI" w:cs="Segoe UI"/>
      <w:sz w:val="18"/>
      <w:szCs w:val="18"/>
    </w:rPr>
  </w:style>
  <w:style w:type="paragraph" w:styleId="Sinespaciado">
    <w:name w:val="No Spacing"/>
    <w:aliases w:val="Francesa"/>
    <w:link w:val="SinespaciadoCar"/>
    <w:uiPriority w:val="1"/>
    <w:qFormat/>
    <w:rsid w:val="000D0148"/>
    <w:rPr>
      <w:rFonts w:asciiTheme="minorHAnsi" w:eastAsiaTheme="minorHAnsi" w:hAnsiTheme="minorHAnsi" w:cstheme="minorBidi"/>
      <w:sz w:val="22"/>
      <w:szCs w:val="22"/>
      <w:lang w:eastAsia="en-US"/>
    </w:rPr>
  </w:style>
  <w:style w:type="character" w:customStyle="1" w:styleId="SinespaciadoCar">
    <w:name w:val="Sin espaciado Car"/>
    <w:aliases w:val="Francesa Car"/>
    <w:link w:val="Sinespaciado"/>
    <w:uiPriority w:val="1"/>
    <w:locked/>
    <w:rsid w:val="000D0148"/>
    <w:rPr>
      <w:rFonts w:asciiTheme="minorHAnsi" w:eastAsiaTheme="minorHAnsi" w:hAnsiTheme="minorHAnsi" w:cstheme="minorBidi"/>
      <w:sz w:val="22"/>
      <w:szCs w:val="22"/>
      <w:lang w:eastAsia="en-US"/>
    </w:rPr>
  </w:style>
  <w:style w:type="paragraph" w:customStyle="1" w:styleId="rtejustify">
    <w:name w:val="rtejustify"/>
    <w:basedOn w:val="Normal"/>
    <w:rsid w:val="00876EB7"/>
    <w:pPr>
      <w:spacing w:before="100" w:beforeAutospacing="1" w:after="100" w:afterAutospacing="1"/>
    </w:pPr>
  </w:style>
  <w:style w:type="table" w:customStyle="1" w:styleId="a5">
    <w:basedOn w:val="TableNormalf"/>
    <w:tblPr>
      <w:tblStyleRowBandSize w:val="1"/>
      <w:tblStyleColBandSize w:val="1"/>
      <w:tblCellMar>
        <w:left w:w="108" w:type="dxa"/>
        <w:right w:w="108" w:type="dxa"/>
      </w:tblCellMar>
    </w:tblPr>
  </w:style>
  <w:style w:type="table" w:customStyle="1" w:styleId="a6">
    <w:basedOn w:val="TableNormalf"/>
    <w:tblPr>
      <w:tblStyleRowBandSize w:val="1"/>
      <w:tblStyleColBandSize w:val="1"/>
      <w:tblCellMar>
        <w:left w:w="108" w:type="dxa"/>
        <w:right w:w="108" w:type="dxa"/>
      </w:tblCellMar>
    </w:tblPr>
  </w:style>
  <w:style w:type="table" w:customStyle="1" w:styleId="a7">
    <w:basedOn w:val="TableNormalf"/>
    <w:tblPr>
      <w:tblStyleRowBandSize w:val="1"/>
      <w:tblStyleColBandSize w:val="1"/>
      <w:tblCellMar>
        <w:left w:w="108" w:type="dxa"/>
        <w:right w:w="108" w:type="dxa"/>
      </w:tblCellMar>
    </w:tblPr>
  </w:style>
  <w:style w:type="table" w:customStyle="1" w:styleId="a8">
    <w:basedOn w:val="TableNormalf"/>
    <w:tblPr>
      <w:tblStyleRowBandSize w:val="1"/>
      <w:tblStyleColBandSize w:val="1"/>
      <w:tblCellMar>
        <w:left w:w="108" w:type="dxa"/>
        <w:right w:w="108" w:type="dxa"/>
      </w:tblCellMar>
    </w:tblPr>
  </w:style>
  <w:style w:type="table" w:customStyle="1" w:styleId="a9">
    <w:basedOn w:val="TableNormalf"/>
    <w:tblPr>
      <w:tblStyleRowBandSize w:val="1"/>
      <w:tblStyleColBandSize w:val="1"/>
      <w:tblCellMar>
        <w:left w:w="108" w:type="dxa"/>
        <w:right w:w="108" w:type="dxa"/>
      </w:tblCellMar>
    </w:tblPr>
  </w:style>
  <w:style w:type="table" w:customStyle="1" w:styleId="aa">
    <w:basedOn w:val="TableNormalf"/>
    <w:tblPr>
      <w:tblStyleRowBandSize w:val="1"/>
      <w:tblStyleColBandSize w:val="1"/>
      <w:tblCellMar>
        <w:left w:w="115" w:type="dxa"/>
        <w:right w:w="115" w:type="dxa"/>
      </w:tblCellMar>
    </w:tblPr>
  </w:style>
  <w:style w:type="table" w:customStyle="1" w:styleId="ab">
    <w:basedOn w:val="TableNormalf"/>
    <w:tblPr>
      <w:tblStyleRowBandSize w:val="1"/>
      <w:tblStyleColBandSize w:val="1"/>
      <w:tblCellMar>
        <w:left w:w="115" w:type="dxa"/>
        <w:right w:w="115" w:type="dxa"/>
      </w:tblCellMar>
    </w:tblPr>
  </w:style>
  <w:style w:type="table" w:customStyle="1" w:styleId="ac">
    <w:basedOn w:val="TableNormale"/>
    <w:tblPr>
      <w:tblStyleRowBandSize w:val="1"/>
      <w:tblStyleColBandSize w:val="1"/>
      <w:tblCellMar>
        <w:left w:w="108" w:type="dxa"/>
        <w:right w:w="108" w:type="dxa"/>
      </w:tblCellMar>
    </w:tblPr>
  </w:style>
  <w:style w:type="table" w:customStyle="1" w:styleId="ad">
    <w:basedOn w:val="TableNormale"/>
    <w:tblPr>
      <w:tblStyleRowBandSize w:val="1"/>
      <w:tblStyleColBandSize w:val="1"/>
      <w:tblCellMar>
        <w:left w:w="115" w:type="dxa"/>
        <w:right w:w="115" w:type="dxa"/>
      </w:tblCellMar>
    </w:tblPr>
  </w:style>
  <w:style w:type="table" w:customStyle="1" w:styleId="ae">
    <w:basedOn w:val="TableNormale"/>
    <w:tblPr>
      <w:tblStyleRowBandSize w:val="1"/>
      <w:tblStyleColBandSize w:val="1"/>
      <w:tblCellMar>
        <w:left w:w="115" w:type="dxa"/>
        <w:right w:w="115" w:type="dxa"/>
      </w:tblCellMar>
    </w:tblPr>
  </w:style>
  <w:style w:type="table" w:customStyle="1" w:styleId="af">
    <w:basedOn w:val="TableNormald"/>
    <w:tblPr>
      <w:tblStyleRowBandSize w:val="1"/>
      <w:tblStyleColBandSize w:val="1"/>
      <w:tblCellMar>
        <w:left w:w="115" w:type="dxa"/>
        <w:right w:w="115" w:type="dxa"/>
      </w:tblCellMar>
    </w:tblPr>
  </w:style>
  <w:style w:type="table" w:customStyle="1" w:styleId="af0">
    <w:basedOn w:val="TableNormald"/>
    <w:tblPr>
      <w:tblStyleRowBandSize w:val="1"/>
      <w:tblStyleColBandSize w:val="1"/>
      <w:tblCellMar>
        <w:left w:w="115" w:type="dxa"/>
        <w:right w:w="115" w:type="dxa"/>
      </w:tblCellMar>
    </w:tblPr>
  </w:style>
  <w:style w:type="table" w:customStyle="1" w:styleId="af1">
    <w:basedOn w:val="TableNormald"/>
    <w:tblPr>
      <w:tblStyleRowBandSize w:val="1"/>
      <w:tblStyleColBandSize w:val="1"/>
      <w:tblCellMar>
        <w:left w:w="115" w:type="dxa"/>
        <w:right w:w="115" w:type="dxa"/>
      </w:tblCellMar>
    </w:tblPr>
  </w:style>
  <w:style w:type="table" w:customStyle="1" w:styleId="af2">
    <w:basedOn w:val="TableNormalc"/>
    <w:tblPr>
      <w:tblStyleRowBandSize w:val="1"/>
      <w:tblStyleColBandSize w:val="1"/>
      <w:tblCellMar>
        <w:left w:w="115" w:type="dxa"/>
        <w:right w:w="115" w:type="dxa"/>
      </w:tblCellMar>
    </w:tblPr>
  </w:style>
  <w:style w:type="table" w:customStyle="1" w:styleId="af3">
    <w:basedOn w:val="TableNormalc"/>
    <w:tblPr>
      <w:tblStyleRowBandSize w:val="1"/>
      <w:tblStyleColBandSize w:val="1"/>
      <w:tblCellMar>
        <w:left w:w="115" w:type="dxa"/>
        <w:right w:w="115" w:type="dxa"/>
      </w:tblCellMar>
    </w:tblPr>
  </w:style>
  <w:style w:type="table" w:customStyle="1" w:styleId="af4">
    <w:basedOn w:val="TableNormalb"/>
    <w:tblPr>
      <w:tblStyleRowBandSize w:val="1"/>
      <w:tblStyleColBandSize w:val="1"/>
      <w:tblCellMar>
        <w:left w:w="115" w:type="dxa"/>
        <w:right w:w="115" w:type="dxa"/>
      </w:tblCellMar>
    </w:tblPr>
  </w:style>
  <w:style w:type="table" w:customStyle="1" w:styleId="af5">
    <w:basedOn w:val="TableNormalb"/>
    <w:tblPr>
      <w:tblStyleRowBandSize w:val="1"/>
      <w:tblStyleColBandSize w:val="1"/>
      <w:tblCellMar>
        <w:left w:w="115" w:type="dxa"/>
        <w:right w:w="115" w:type="dxa"/>
      </w:tblCellMar>
    </w:tblPr>
  </w:style>
  <w:style w:type="table" w:customStyle="1" w:styleId="af6">
    <w:basedOn w:val="TableNormala"/>
    <w:tblPr>
      <w:tblStyleRowBandSize w:val="1"/>
      <w:tblStyleColBandSize w:val="1"/>
      <w:tblCellMar>
        <w:left w:w="115" w:type="dxa"/>
        <w:right w:w="115" w:type="dxa"/>
      </w:tblCellMar>
    </w:tblPr>
  </w:style>
  <w:style w:type="table" w:customStyle="1" w:styleId="af7">
    <w:basedOn w:val="TableNormala"/>
    <w:tblPr>
      <w:tblStyleRowBandSize w:val="1"/>
      <w:tblStyleColBandSize w:val="1"/>
      <w:tblCellMar>
        <w:left w:w="115" w:type="dxa"/>
        <w:right w:w="115" w:type="dxa"/>
      </w:tblCellMar>
    </w:tblPr>
  </w:style>
  <w:style w:type="character" w:styleId="Textoennegrita">
    <w:name w:val="Strong"/>
    <w:basedOn w:val="Fuentedeprrafopredeter"/>
    <w:uiPriority w:val="22"/>
    <w:qFormat/>
    <w:rsid w:val="002C02D7"/>
    <w:rPr>
      <w:b/>
      <w:bCs/>
    </w:rPr>
  </w:style>
  <w:style w:type="character" w:customStyle="1" w:styleId="object">
    <w:name w:val="object"/>
    <w:basedOn w:val="Fuentedeprrafopredeter"/>
    <w:rsid w:val="002C02D7"/>
  </w:style>
  <w:style w:type="table" w:customStyle="1" w:styleId="af8">
    <w:basedOn w:val="TableNormal9"/>
    <w:tblPr>
      <w:tblStyleRowBandSize w:val="1"/>
      <w:tblStyleColBandSize w:val="1"/>
      <w:tblCellMar>
        <w:left w:w="115" w:type="dxa"/>
        <w:right w:w="115" w:type="dxa"/>
      </w:tblCellMar>
    </w:tblPr>
  </w:style>
  <w:style w:type="table" w:customStyle="1" w:styleId="af9">
    <w:basedOn w:val="TableNormal9"/>
    <w:tblPr>
      <w:tblStyleRowBandSize w:val="1"/>
      <w:tblStyleColBandSize w:val="1"/>
      <w:tblCellMar>
        <w:left w:w="115" w:type="dxa"/>
        <w:right w:w="115" w:type="dxa"/>
      </w:tblCellMar>
    </w:tblPr>
  </w:style>
  <w:style w:type="table" w:customStyle="1" w:styleId="afa">
    <w:basedOn w:val="TableNormal8"/>
    <w:tblPr>
      <w:tblStyleRowBandSize w:val="1"/>
      <w:tblStyleColBandSize w:val="1"/>
      <w:tblCellMar>
        <w:left w:w="115" w:type="dxa"/>
        <w:right w:w="115" w:type="dxa"/>
      </w:tblCellMar>
    </w:tblPr>
  </w:style>
  <w:style w:type="table" w:customStyle="1" w:styleId="afb">
    <w:basedOn w:val="TableNormal8"/>
    <w:tblPr>
      <w:tblStyleRowBandSize w:val="1"/>
      <w:tblStyleColBandSize w:val="1"/>
      <w:tblCellMar>
        <w:left w:w="115" w:type="dxa"/>
        <w:right w:w="115" w:type="dxa"/>
      </w:tblCellMar>
    </w:tblPr>
  </w:style>
  <w:style w:type="table" w:customStyle="1" w:styleId="afc">
    <w:basedOn w:val="TableNormal7"/>
    <w:tblPr>
      <w:tblStyleRowBandSize w:val="1"/>
      <w:tblStyleColBandSize w:val="1"/>
      <w:tblCellMar>
        <w:left w:w="115" w:type="dxa"/>
        <w:right w:w="115" w:type="dxa"/>
      </w:tblCellMar>
    </w:tblPr>
  </w:style>
  <w:style w:type="table" w:customStyle="1" w:styleId="afd">
    <w:basedOn w:val="TableNormal7"/>
    <w:tblPr>
      <w:tblStyleRowBandSize w:val="1"/>
      <w:tblStyleColBandSize w:val="1"/>
      <w:tblCellMar>
        <w:left w:w="115" w:type="dxa"/>
        <w:right w:w="115" w:type="dxa"/>
      </w:tblCellMar>
    </w:tblPr>
  </w:style>
  <w:style w:type="table" w:customStyle="1" w:styleId="afe">
    <w:basedOn w:val="TableNormal6"/>
    <w:tblPr>
      <w:tblStyleRowBandSize w:val="1"/>
      <w:tblStyleColBandSize w:val="1"/>
      <w:tblCellMar>
        <w:left w:w="115" w:type="dxa"/>
        <w:right w:w="115" w:type="dxa"/>
      </w:tblCellMar>
    </w:tblPr>
  </w:style>
  <w:style w:type="table" w:customStyle="1" w:styleId="aff">
    <w:basedOn w:val="TableNormal6"/>
    <w:tblPr>
      <w:tblStyleRowBandSize w:val="1"/>
      <w:tblStyleColBandSize w:val="1"/>
      <w:tblCellMar>
        <w:left w:w="115" w:type="dxa"/>
        <w:right w:w="115" w:type="dxa"/>
      </w:tblCellMar>
    </w:tblPr>
  </w:style>
  <w:style w:type="table" w:customStyle="1" w:styleId="aff0">
    <w:basedOn w:val="TableNormal5"/>
    <w:tblPr>
      <w:tblStyleRowBandSize w:val="1"/>
      <w:tblStyleColBandSize w:val="1"/>
      <w:tblCellMar>
        <w:left w:w="115" w:type="dxa"/>
        <w:right w:w="115" w:type="dxa"/>
      </w:tblCellMar>
    </w:tblPr>
  </w:style>
  <w:style w:type="table" w:customStyle="1" w:styleId="aff1">
    <w:basedOn w:val="TableNormal5"/>
    <w:tblPr>
      <w:tblStyleRowBandSize w:val="1"/>
      <w:tblStyleColBandSize w:val="1"/>
      <w:tblCellMar>
        <w:left w:w="115" w:type="dxa"/>
        <w:right w:w="115" w:type="dxa"/>
      </w:tblCellMar>
    </w:tblPr>
  </w:style>
  <w:style w:type="table" w:customStyle="1" w:styleId="aff2">
    <w:basedOn w:val="TableNormal4"/>
    <w:tblPr>
      <w:tblStyleRowBandSize w:val="1"/>
      <w:tblStyleColBandSize w:val="1"/>
      <w:tblCellMar>
        <w:left w:w="115" w:type="dxa"/>
        <w:right w:w="115" w:type="dxa"/>
      </w:tblCellMar>
    </w:tblPr>
  </w:style>
  <w:style w:type="table" w:customStyle="1" w:styleId="aff3">
    <w:basedOn w:val="TableNormal4"/>
    <w:tblPr>
      <w:tblStyleRowBandSize w:val="1"/>
      <w:tblStyleColBandSize w:val="1"/>
      <w:tblCellMar>
        <w:left w:w="115" w:type="dxa"/>
        <w:right w:w="115" w:type="dxa"/>
      </w:tblCellMar>
    </w:tblPr>
  </w:style>
  <w:style w:type="table" w:customStyle="1" w:styleId="aff4">
    <w:basedOn w:val="TableNormal3"/>
    <w:tblPr>
      <w:tblStyleRowBandSize w:val="1"/>
      <w:tblStyleColBandSize w:val="1"/>
      <w:tblCellMar>
        <w:left w:w="115" w:type="dxa"/>
        <w:right w:w="115" w:type="dxa"/>
      </w:tblCellMar>
    </w:tblPr>
  </w:style>
  <w:style w:type="table" w:customStyle="1" w:styleId="aff5">
    <w:basedOn w:val="TableNormal3"/>
    <w:tblPr>
      <w:tblStyleRowBandSize w:val="1"/>
      <w:tblStyleColBandSize w:val="1"/>
      <w:tblCellMar>
        <w:left w:w="115" w:type="dxa"/>
        <w:right w:w="115" w:type="dxa"/>
      </w:tblCellMar>
    </w:tblPr>
  </w:style>
  <w:style w:type="table" w:customStyle="1" w:styleId="aff6">
    <w:basedOn w:val="TableNormal2"/>
    <w:tblPr>
      <w:tblStyleRowBandSize w:val="1"/>
      <w:tblStyleColBandSize w:val="1"/>
      <w:tblCellMar>
        <w:left w:w="115" w:type="dxa"/>
        <w:right w:w="115" w:type="dxa"/>
      </w:tblCellMar>
    </w:tblPr>
  </w:style>
  <w:style w:type="table" w:customStyle="1" w:styleId="aff7">
    <w:basedOn w:val="TableNormal2"/>
    <w:tblPr>
      <w:tblStyleRowBandSize w:val="1"/>
      <w:tblStyleColBandSize w:val="1"/>
      <w:tblCellMar>
        <w:left w:w="115" w:type="dxa"/>
        <w:right w:w="115" w:type="dxa"/>
      </w:tblCellMar>
    </w:tblPr>
  </w:style>
  <w:style w:type="table" w:customStyle="1" w:styleId="aff8">
    <w:basedOn w:val="TableNormal1"/>
    <w:tblPr>
      <w:tblStyleRowBandSize w:val="1"/>
      <w:tblStyleColBandSize w:val="1"/>
      <w:tblCellMar>
        <w:left w:w="115" w:type="dxa"/>
        <w:right w:w="115" w:type="dxa"/>
      </w:tblCellMar>
    </w:tblPr>
  </w:style>
  <w:style w:type="table" w:customStyle="1" w:styleId="aff9">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2783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GQr8oyXmASkkdxUHD/BHbVPS6g==">CgMxLjAyCWguM3JkY3JqbjIOaC5kYWozajJ4bzZxNjYyCGguZ2pkZ3hzMgloLjNkeTZ2a20yCWguMzBqMHpsbDIJaC4yczhleW8xMgloLjN6bnlzaDcyCWguMmV0OTJwMDIJaC4xdDNoNXNmMg5oLmhuenhzY2g1Z3lzejIOaC5vdDNxcTZ2eGEwOGYyCGgubG54Yno5OAByITEycGNwNjJrZDZCbW00M09JLWdXbTBFLTItNFhnWVJKag==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51</Pages>
  <Words>14425</Words>
  <Characters>79340</Characters>
  <Application>Microsoft Office Word</Application>
  <DocSecurity>0</DocSecurity>
  <Lines>661</Lines>
  <Paragraphs>187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ADRIANA INFOEM</cp:lastModifiedBy>
  <cp:revision>2</cp:revision>
  <dcterms:created xsi:type="dcterms:W3CDTF">2026-03-27T00:10:00Z</dcterms:created>
  <dcterms:modified xsi:type="dcterms:W3CDTF">2026-03-27T00:10:00Z</dcterms:modified>
</cp:coreProperties>
</file>