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B2788" w14:textId="0B7083AE" w:rsidR="006158B5" w:rsidRPr="002B2CFF" w:rsidRDefault="006158B5" w:rsidP="006158B5">
      <w:pPr>
        <w:spacing w:line="360" w:lineRule="auto"/>
        <w:jc w:val="both"/>
        <w:rPr>
          <w:rFonts w:ascii="Palatino Linotype" w:eastAsia="Palatino Linotype" w:hAnsi="Palatino Linotype" w:cs="Palatino Linotype"/>
        </w:rPr>
      </w:pPr>
      <w:bookmarkStart w:id="0" w:name="_GoBack"/>
      <w:bookmarkEnd w:id="0"/>
      <w:r w:rsidRPr="002B2CF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trece</w:t>
      </w:r>
      <w:r w:rsidR="002B2CFF">
        <w:rPr>
          <w:rFonts w:ascii="Palatino Linotype" w:eastAsia="Palatino Linotype" w:hAnsi="Palatino Linotype" w:cs="Palatino Linotype"/>
        </w:rPr>
        <w:t xml:space="preserve"> (13)</w:t>
      </w:r>
      <w:r w:rsidRPr="002B2CFF">
        <w:rPr>
          <w:rFonts w:ascii="Palatino Linotype" w:eastAsia="Palatino Linotype" w:hAnsi="Palatino Linotype" w:cs="Palatino Linotype"/>
        </w:rPr>
        <w:t xml:space="preserve"> de mayo de dos mil veintiséis.</w:t>
      </w:r>
    </w:p>
    <w:p w14:paraId="0A684FC5" w14:textId="77777777" w:rsidR="006158B5" w:rsidRPr="002B2CFF" w:rsidRDefault="006158B5" w:rsidP="006158B5">
      <w:pPr>
        <w:jc w:val="both"/>
        <w:rPr>
          <w:rFonts w:ascii="Palatino Linotype" w:eastAsia="Palatino Linotype" w:hAnsi="Palatino Linotype" w:cs="Palatino Linotype"/>
        </w:rPr>
      </w:pPr>
    </w:p>
    <w:p w14:paraId="5EC8F75B" w14:textId="3A82EF61" w:rsidR="006158B5" w:rsidRPr="002B2CFF" w:rsidRDefault="006158B5" w:rsidP="006158B5">
      <w:pPr>
        <w:spacing w:line="360" w:lineRule="auto"/>
        <w:jc w:val="both"/>
        <w:rPr>
          <w:rFonts w:ascii="Palatino Linotype" w:eastAsia="Palatino Linotype" w:hAnsi="Palatino Linotype" w:cs="Palatino Linotype"/>
        </w:rPr>
      </w:pPr>
      <w:r w:rsidRPr="002B2CFF">
        <w:rPr>
          <w:rFonts w:ascii="Palatino Linotype" w:eastAsia="Palatino Linotype" w:hAnsi="Palatino Linotype" w:cs="Palatino Linotype"/>
          <w:b/>
          <w:bCs/>
        </w:rPr>
        <w:t>VISTO</w:t>
      </w:r>
      <w:r w:rsidRPr="002B2CFF">
        <w:rPr>
          <w:rFonts w:ascii="Palatino Linotype" w:eastAsia="Palatino Linotype" w:hAnsi="Palatino Linotype" w:cs="Palatino Linotype"/>
        </w:rPr>
        <w:t xml:space="preserve"> el expediente electrónico formado con motivo del recurso de revisión </w:t>
      </w:r>
      <w:r w:rsidR="00EE0F54" w:rsidRPr="002B2CFF">
        <w:rPr>
          <w:rFonts w:ascii="Palatino Linotype" w:eastAsia="Palatino Linotype" w:hAnsi="Palatino Linotype" w:cs="Palatino Linotype"/>
          <w:b/>
          <w:bCs/>
        </w:rPr>
        <w:t>14678/INFOEM/IP/RR/2025</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rPr>
        <w:t xml:space="preserve">promovido por </w:t>
      </w:r>
      <w:r w:rsidR="0020603F">
        <w:rPr>
          <w:rFonts w:ascii="Palatino Linotype" w:eastAsia="Palatino Linotype" w:hAnsi="Palatino Linotype" w:cs="Palatino Linotype"/>
          <w:b/>
          <w:bCs/>
        </w:rPr>
        <w:t>XXXX</w:t>
      </w:r>
      <w:r w:rsidR="00EE0F54" w:rsidRPr="002B2CFF">
        <w:rPr>
          <w:rFonts w:ascii="Palatino Linotype" w:eastAsia="Palatino Linotype" w:hAnsi="Palatino Linotype" w:cs="Palatino Linotype"/>
        </w:rPr>
        <w:t xml:space="preserve">, </w:t>
      </w:r>
      <w:r w:rsidRPr="002B2CFF">
        <w:rPr>
          <w:rFonts w:ascii="Palatino Linotype" w:eastAsia="Palatino Linotype" w:hAnsi="Palatino Linotype" w:cs="Palatino Linotype"/>
        </w:rPr>
        <w:t xml:space="preserve">a quien en lo sucesivo se le identificara como la </w:t>
      </w:r>
      <w:r w:rsidRPr="002B2CFF">
        <w:rPr>
          <w:rFonts w:ascii="Palatino Linotype" w:eastAsia="Palatino Linotype" w:hAnsi="Palatino Linotype" w:cs="Palatino Linotype"/>
          <w:b/>
        </w:rPr>
        <w:t>RECURRENTE</w:t>
      </w:r>
      <w:r w:rsidRPr="002B2CFF">
        <w:rPr>
          <w:rFonts w:ascii="Palatino Linotype" w:eastAsia="Palatino Linotype" w:hAnsi="Palatino Linotype" w:cs="Palatino Linotype"/>
          <w:b/>
          <w:bCs/>
        </w:rPr>
        <w:t>,</w:t>
      </w:r>
      <w:r w:rsidRPr="002B2CFF">
        <w:rPr>
          <w:rFonts w:ascii="Palatino Linotype" w:eastAsia="Palatino Linotype" w:hAnsi="Palatino Linotype" w:cs="Palatino Linotype"/>
        </w:rPr>
        <w:t xml:space="preserve"> en contra de la respuesta de</w:t>
      </w:r>
      <w:r w:rsidR="00EE0F54" w:rsidRPr="002B2CFF">
        <w:rPr>
          <w:rFonts w:ascii="Palatino Linotype" w:eastAsia="Palatino Linotype" w:hAnsi="Palatino Linotype" w:cs="Palatino Linotype"/>
        </w:rPr>
        <w:t xml:space="preserve"> </w:t>
      </w:r>
      <w:r w:rsidRPr="002B2CFF">
        <w:rPr>
          <w:rFonts w:ascii="Palatino Linotype" w:eastAsia="Palatino Linotype" w:hAnsi="Palatino Linotype" w:cs="Palatino Linotype"/>
        </w:rPr>
        <w:t>l</w:t>
      </w:r>
      <w:r w:rsidR="00EE0F54" w:rsidRPr="002B2CFF">
        <w:rPr>
          <w:rFonts w:ascii="Palatino Linotype" w:eastAsia="Palatino Linotype" w:hAnsi="Palatino Linotype" w:cs="Palatino Linotype"/>
        </w:rPr>
        <w:t>a</w:t>
      </w:r>
      <w:r w:rsidRPr="002B2CFF">
        <w:rPr>
          <w:rFonts w:ascii="Palatino Linotype" w:eastAsia="Palatino Linotype" w:hAnsi="Palatino Linotype" w:cs="Palatino Linotype"/>
        </w:rPr>
        <w:t xml:space="preserve"> </w:t>
      </w:r>
      <w:r w:rsidR="00EE0F54" w:rsidRPr="002B2CFF">
        <w:rPr>
          <w:rFonts w:ascii="Palatino Linotype" w:eastAsia="Palatino Linotype" w:hAnsi="Palatino Linotype" w:cs="Palatino Linotype"/>
          <w:b/>
          <w:bCs/>
          <w:color w:val="000000"/>
        </w:rPr>
        <w:t>Secretaría de la Contraloría</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rPr>
        <w:t>en adelante el</w:t>
      </w:r>
      <w:r w:rsidRPr="002B2CFF">
        <w:rPr>
          <w:rFonts w:ascii="Palatino Linotype" w:eastAsia="Palatino Linotype" w:hAnsi="Palatino Linotype" w:cs="Palatino Linotype"/>
          <w:b/>
          <w:bCs/>
        </w:rPr>
        <w:t xml:space="preserve"> SUJETO OBLIGADO</w:t>
      </w:r>
      <w:r w:rsidRPr="002B2CFF">
        <w:rPr>
          <w:rFonts w:ascii="Palatino Linotype" w:eastAsia="Palatino Linotype" w:hAnsi="Palatino Linotype" w:cs="Palatino Linotype"/>
        </w:rPr>
        <w:t>, por lo que se procede a dictar la presente resolución, con base en los siguientes:</w:t>
      </w:r>
    </w:p>
    <w:p w14:paraId="5EC64023" w14:textId="77777777" w:rsidR="006158B5" w:rsidRPr="002B2CFF" w:rsidRDefault="006158B5" w:rsidP="006158B5">
      <w:pPr>
        <w:jc w:val="both"/>
        <w:rPr>
          <w:rFonts w:ascii="Palatino Linotype" w:eastAsia="Palatino Linotype" w:hAnsi="Palatino Linotype" w:cs="Palatino Linotype"/>
        </w:rPr>
      </w:pPr>
    </w:p>
    <w:p w14:paraId="769775FF" w14:textId="77777777" w:rsidR="006158B5" w:rsidRPr="002B2CFF" w:rsidRDefault="006158B5" w:rsidP="006158B5">
      <w:pPr>
        <w:keepNext/>
        <w:keepLines/>
        <w:spacing w:line="360" w:lineRule="auto"/>
        <w:jc w:val="center"/>
        <w:rPr>
          <w:rFonts w:ascii="Palatino Linotype" w:eastAsia="Palatino Linotype" w:hAnsi="Palatino Linotype" w:cs="Palatino Linotype"/>
          <w:b/>
          <w:bCs/>
        </w:rPr>
      </w:pPr>
      <w:r w:rsidRPr="002B2CFF">
        <w:rPr>
          <w:rFonts w:ascii="Palatino Linotype" w:eastAsia="Palatino Linotype" w:hAnsi="Palatino Linotype" w:cs="Palatino Linotype"/>
          <w:b/>
          <w:bCs/>
        </w:rPr>
        <w:t>A N T E C E D E N T E S</w:t>
      </w:r>
    </w:p>
    <w:p w14:paraId="2B96BE6F" w14:textId="77777777" w:rsidR="006158B5" w:rsidRPr="002B2CFF" w:rsidRDefault="006158B5" w:rsidP="006158B5">
      <w:pPr>
        <w:rPr>
          <w:rFonts w:ascii="Palatino Linotype" w:eastAsia="Palatino Linotype" w:hAnsi="Palatino Linotype" w:cs="Palatino Linotype"/>
        </w:rPr>
      </w:pPr>
    </w:p>
    <w:p w14:paraId="51147979" w14:textId="77777777" w:rsidR="006158B5" w:rsidRPr="002B2CFF" w:rsidRDefault="006158B5" w:rsidP="006158B5">
      <w:pPr>
        <w:numPr>
          <w:ilvl w:val="0"/>
          <w:numId w:val="1"/>
        </w:numPr>
        <w:spacing w:line="360" w:lineRule="auto"/>
        <w:ind w:left="0" w:firstLine="0"/>
        <w:jc w:val="both"/>
        <w:rPr>
          <w:rFonts w:ascii="Palatino Linotype" w:eastAsia="Palatino Linotype" w:hAnsi="Palatino Linotype" w:cs="Palatino Linotype"/>
        </w:rPr>
      </w:pPr>
      <w:bookmarkStart w:id="1" w:name="_Hlk224731752"/>
      <w:r w:rsidRPr="002B2CFF">
        <w:rPr>
          <w:rFonts w:ascii="Palatino Linotype" w:eastAsia="Palatino Linotype" w:hAnsi="Palatino Linotype" w:cs="Palatino Linotype"/>
        </w:rPr>
        <w:t xml:space="preserve">El </w:t>
      </w:r>
      <w:r w:rsidR="00EE0F54" w:rsidRPr="002B2CFF">
        <w:rPr>
          <w:rFonts w:ascii="Palatino Linotype" w:eastAsia="Palatino Linotype" w:hAnsi="Palatino Linotype" w:cs="Palatino Linotype"/>
          <w:b/>
        </w:rPr>
        <w:t xml:space="preserve">cuatro de diciembre </w:t>
      </w:r>
      <w:r w:rsidRPr="002B2CFF">
        <w:rPr>
          <w:rFonts w:ascii="Palatino Linotype" w:eastAsia="Palatino Linotype" w:hAnsi="Palatino Linotype" w:cs="Palatino Linotype"/>
          <w:b/>
        </w:rPr>
        <w:t>de dos mil veinticinco</w:t>
      </w:r>
      <w:r w:rsidRPr="002B2CFF">
        <w:rPr>
          <w:rFonts w:ascii="Palatino Linotype" w:eastAsia="Palatino Linotype" w:hAnsi="Palatino Linotype" w:cs="Palatino Linotype"/>
        </w:rPr>
        <w:t>, el</w:t>
      </w:r>
      <w:r w:rsidRPr="002B2CFF">
        <w:rPr>
          <w:rFonts w:ascii="Palatino Linotype" w:eastAsia="Palatino Linotype" w:hAnsi="Palatino Linotype" w:cs="Palatino Linotype"/>
          <w:b/>
          <w:bCs/>
        </w:rPr>
        <w:t xml:space="preserve"> RECURRENTE </w:t>
      </w:r>
      <w:r w:rsidRPr="002B2CFF">
        <w:rPr>
          <w:rFonts w:ascii="Palatino Linotype" w:eastAsia="Palatino Linotype" w:hAnsi="Palatino Linotype" w:cs="Palatino Linotype"/>
        </w:rPr>
        <w:t xml:space="preserve">presentó ante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a través de la Plataforma Nacional de Transparencia vinculada al Sistema de Acceso a la Información Mexiquense </w:t>
      </w:r>
      <w:r w:rsidRPr="002B2CFF">
        <w:rPr>
          <w:rFonts w:ascii="Palatino Linotype" w:eastAsia="Palatino Linotype" w:hAnsi="Palatino Linotype" w:cs="Palatino Linotype"/>
          <w:b/>
          <w:bCs/>
        </w:rPr>
        <w:t>(SAIMEX),</w:t>
      </w:r>
      <w:r w:rsidRPr="002B2CFF">
        <w:rPr>
          <w:rFonts w:ascii="Palatino Linotype" w:eastAsia="Palatino Linotype" w:hAnsi="Palatino Linotype" w:cs="Palatino Linotype"/>
        </w:rPr>
        <w:t xml:space="preserve"> la solicitud de información pública </w:t>
      </w:r>
      <w:r w:rsidRPr="002B2CFF">
        <w:rPr>
          <w:rFonts w:ascii="Palatino Linotype" w:eastAsia="Palatino Linotype" w:hAnsi="Palatino Linotype" w:cs="Palatino Linotype"/>
          <w:b/>
          <w:bCs/>
        </w:rPr>
        <w:t xml:space="preserve"> </w:t>
      </w:r>
      <w:r w:rsidR="00EE0F54" w:rsidRPr="002B2CFF">
        <w:rPr>
          <w:rFonts w:ascii="Palatino Linotype" w:eastAsia="Palatino Linotype" w:hAnsi="Palatino Linotype" w:cs="Palatino Linotype"/>
          <w:b/>
          <w:bCs/>
        </w:rPr>
        <w:t>00444/SECOGEM/IP/2025</w:t>
      </w:r>
      <w:r w:rsidRPr="002B2CFF">
        <w:rPr>
          <w:rFonts w:ascii="Palatino Linotype" w:eastAsia="Palatino Linotype" w:hAnsi="Palatino Linotype" w:cs="Palatino Linotype"/>
        </w:rPr>
        <w:t>, en la solicitud de información se solicitó lo siguiente:</w:t>
      </w:r>
    </w:p>
    <w:p w14:paraId="1984E5EF" w14:textId="77777777" w:rsidR="006158B5" w:rsidRPr="002B2CFF" w:rsidRDefault="006158B5" w:rsidP="006158B5">
      <w:pPr>
        <w:jc w:val="both"/>
        <w:rPr>
          <w:rFonts w:ascii="Palatino Linotype" w:eastAsia="Palatino Linotype" w:hAnsi="Palatino Linotype" w:cs="Palatino Linotype"/>
          <w:i/>
          <w:iCs/>
        </w:rPr>
      </w:pPr>
    </w:p>
    <w:p w14:paraId="1A75C689"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color w:val="000000"/>
        </w:rPr>
        <w:t>“</w:t>
      </w:r>
      <w:r w:rsidR="00EE0F54" w:rsidRPr="002B2CFF">
        <w:rPr>
          <w:rFonts w:ascii="Palatino Linotype" w:hAnsi="Palatino Linotype"/>
          <w:i/>
          <w:color w:val="000000"/>
        </w:rPr>
        <w:t>Solicito a la Secretaría de la Contraloría del Gobierno del Estado de México que me proporcione la lista completa de las personas servidoras públicas del H. Ayuntamiento de Tepotzotlán que, de acuerdo con la respuesta a la solicitud 00428/SECOGEM/IP/2025, fueron identificadas como “omisos” en la presentación de su declaración de situación patrimonial y de intereses correspondiente al ejercicio 2025. Requiero se me informe: 1. Nombre completo de cada persona servidora pública omisa. 2. Cargo y área de adscripción. 3. Tipo de declaración incumplida (inicial, modificación y/o conclusión). 4. Fecha en que quedaron registradas como omisas y estatus actual. 5. Área interna responsable de haber determinado esa omisión. Solicito versión pública, en caso de que así proceda, y fundamento legal si alguna parte se reserva.</w:t>
      </w:r>
      <w:r w:rsidRPr="002B2CFF">
        <w:rPr>
          <w:rFonts w:ascii="Palatino Linotype" w:hAnsi="Palatino Linotype"/>
          <w:i/>
          <w:color w:val="000000"/>
        </w:rPr>
        <w:t>”</w:t>
      </w:r>
      <w:r w:rsidRPr="002B2CFF">
        <w:rPr>
          <w:rFonts w:ascii="Palatino Linotype" w:eastAsia="Palatino Linotype" w:hAnsi="Palatino Linotype" w:cs="Palatino Linotype"/>
          <w:i/>
          <w:iCs/>
          <w:color w:val="000000"/>
        </w:rPr>
        <w:t xml:space="preserve"> (Sic) </w:t>
      </w:r>
    </w:p>
    <w:p w14:paraId="334E3EE7" w14:textId="77777777" w:rsidR="006158B5" w:rsidRPr="002B2CFF" w:rsidRDefault="006158B5" w:rsidP="006158B5">
      <w:pPr>
        <w:pBdr>
          <w:top w:val="nil"/>
          <w:left w:val="nil"/>
          <w:bottom w:val="nil"/>
          <w:right w:val="nil"/>
          <w:between w:val="nil"/>
        </w:pBdr>
        <w:jc w:val="both"/>
        <w:rPr>
          <w:rFonts w:ascii="Palatino Linotype" w:eastAsia="Palatino Linotype" w:hAnsi="Palatino Linotype" w:cs="Palatino Linotype"/>
          <w:color w:val="000000"/>
        </w:rPr>
      </w:pPr>
    </w:p>
    <w:p w14:paraId="5BCFE22F" w14:textId="77777777" w:rsidR="006158B5" w:rsidRPr="002B2CFF" w:rsidRDefault="006158B5" w:rsidP="006158B5">
      <w:pPr>
        <w:numPr>
          <w:ilvl w:val="0"/>
          <w:numId w:val="1"/>
        </w:numPr>
        <w:spacing w:line="360" w:lineRule="auto"/>
        <w:ind w:left="0"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lastRenderedPageBreak/>
        <w:t xml:space="preserve">Se hace constar que se señaló como modalidad de entrega de la información a través del </w:t>
      </w:r>
      <w:r w:rsidRPr="002B2CFF">
        <w:rPr>
          <w:rFonts w:ascii="Palatino Linotype" w:eastAsia="Palatino Linotype" w:hAnsi="Palatino Linotype" w:cs="Palatino Linotype"/>
          <w:b/>
          <w:bCs/>
        </w:rPr>
        <w:t>SAIMEX.</w:t>
      </w:r>
    </w:p>
    <w:p w14:paraId="5124FCBD" w14:textId="77777777" w:rsidR="006158B5" w:rsidRPr="002B2CFF" w:rsidRDefault="006158B5" w:rsidP="006158B5">
      <w:pPr>
        <w:spacing w:line="360" w:lineRule="auto"/>
        <w:jc w:val="both"/>
        <w:rPr>
          <w:rFonts w:ascii="Palatino Linotype" w:eastAsia="Palatino Linotype" w:hAnsi="Palatino Linotype" w:cs="Palatino Linotype"/>
        </w:rPr>
      </w:pPr>
    </w:p>
    <w:p w14:paraId="1300CC6F" w14:textId="77777777" w:rsidR="006158B5" w:rsidRPr="002B2CFF" w:rsidRDefault="006158B5" w:rsidP="006158B5">
      <w:pPr>
        <w:numPr>
          <w:ilvl w:val="0"/>
          <w:numId w:val="1"/>
        </w:numPr>
        <w:spacing w:line="360" w:lineRule="auto"/>
        <w:ind w:left="0"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El</w:t>
      </w:r>
      <w:r w:rsidR="00EE0F54" w:rsidRPr="002B2CFF">
        <w:rPr>
          <w:rFonts w:ascii="Palatino Linotype" w:eastAsia="Palatino Linotype" w:hAnsi="Palatino Linotype" w:cs="Palatino Linotype"/>
        </w:rPr>
        <w:t xml:space="preserve"> </w:t>
      </w:r>
      <w:r w:rsidR="00EE0F54" w:rsidRPr="002B2CFF">
        <w:rPr>
          <w:rFonts w:ascii="Palatino Linotype" w:eastAsia="Palatino Linotype" w:hAnsi="Palatino Linotype" w:cs="Palatino Linotype"/>
          <w:b/>
        </w:rPr>
        <w:t>cuatro</w:t>
      </w:r>
      <w:r w:rsidRPr="002B2CFF">
        <w:rPr>
          <w:rFonts w:ascii="Palatino Linotype" w:eastAsia="Palatino Linotype" w:hAnsi="Palatino Linotype" w:cs="Palatino Linotype"/>
          <w:b/>
        </w:rPr>
        <w:t xml:space="preserve"> de diciembre de dos mil veinticinco, </w:t>
      </w:r>
      <w:r w:rsidRPr="002B2CFF">
        <w:rPr>
          <w:rFonts w:ascii="Palatino Linotype" w:eastAsia="Palatino Linotype" w:hAnsi="Palatino Linotype" w:cs="Palatino Linotype"/>
        </w:rPr>
        <w:t xml:space="preserve">el </w:t>
      </w:r>
      <w:r w:rsidRPr="002B2CFF">
        <w:rPr>
          <w:rFonts w:ascii="Palatino Linotype" w:eastAsia="Palatino Linotype" w:hAnsi="Palatino Linotype" w:cs="Palatino Linotype"/>
          <w:b/>
        </w:rPr>
        <w:t xml:space="preserve">SUJETO OBLIGADO </w:t>
      </w:r>
      <w:r w:rsidRPr="002B2CFF">
        <w:rPr>
          <w:rFonts w:ascii="Palatino Linotype" w:eastAsia="Palatino Linotype" w:hAnsi="Palatino Linotype" w:cs="Palatino Linotype"/>
        </w:rPr>
        <w:t xml:space="preserve">turno  el requerimiento de información para que fuera atendida la solicitud de información </w:t>
      </w:r>
      <w:r w:rsidRPr="002B2CFF">
        <w:rPr>
          <w:rFonts w:ascii="Palatino Linotype" w:eastAsia="Palatino Linotype" w:hAnsi="Palatino Linotype" w:cs="Palatino Linotype"/>
          <w:b/>
          <w:bCs/>
        </w:rPr>
        <w:t xml:space="preserve"> </w:t>
      </w:r>
      <w:r w:rsidR="00EE0F54" w:rsidRPr="002B2CFF">
        <w:rPr>
          <w:rFonts w:ascii="Palatino Linotype" w:eastAsia="Palatino Linotype" w:hAnsi="Palatino Linotype" w:cs="Palatino Linotype"/>
          <w:b/>
          <w:bCs/>
        </w:rPr>
        <w:t>00444/SECOGEM/IP/2025</w:t>
      </w:r>
      <w:r w:rsidRPr="002B2CFF">
        <w:rPr>
          <w:rFonts w:ascii="Palatino Linotype" w:eastAsia="Palatino Linotype" w:hAnsi="Palatino Linotype" w:cs="Palatino Linotype"/>
          <w:b/>
          <w:bCs/>
        </w:rPr>
        <w:t>.</w:t>
      </w:r>
    </w:p>
    <w:p w14:paraId="20AF75C6" w14:textId="77777777" w:rsidR="006158B5" w:rsidRPr="002B2CFF" w:rsidRDefault="006158B5" w:rsidP="00EE0F54">
      <w:pPr>
        <w:rPr>
          <w:rFonts w:ascii="Palatino Linotype" w:eastAsia="Palatino Linotype" w:hAnsi="Palatino Linotype" w:cs="Palatino Linotype"/>
        </w:rPr>
      </w:pPr>
    </w:p>
    <w:p w14:paraId="0645F04B" w14:textId="77777777" w:rsidR="006158B5" w:rsidRPr="002B2CFF" w:rsidRDefault="006158B5" w:rsidP="006158B5">
      <w:pPr>
        <w:numPr>
          <w:ilvl w:val="0"/>
          <w:numId w:val="1"/>
        </w:numPr>
        <w:spacing w:line="360" w:lineRule="auto"/>
        <w:ind w:left="0"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El </w:t>
      </w:r>
      <w:r w:rsidR="00EE0F54" w:rsidRPr="002B2CFF">
        <w:rPr>
          <w:rFonts w:ascii="Palatino Linotype" w:eastAsia="Palatino Linotype" w:hAnsi="Palatino Linotype" w:cs="Palatino Linotype"/>
          <w:b/>
        </w:rPr>
        <w:t xml:space="preserve">diecinueve </w:t>
      </w:r>
      <w:r w:rsidRPr="002B2CFF">
        <w:rPr>
          <w:rFonts w:ascii="Palatino Linotype" w:eastAsia="Palatino Linotype" w:hAnsi="Palatino Linotype" w:cs="Palatino Linotype"/>
          <w:b/>
        </w:rPr>
        <w:t>de diciembre de dos mil veinticinco</w:t>
      </w:r>
      <w:r w:rsidRPr="002B2CFF">
        <w:rPr>
          <w:rFonts w:ascii="Palatino Linotype" w:eastAsia="Palatino Linotype" w:hAnsi="Palatino Linotype" w:cs="Palatino Linotype"/>
        </w:rPr>
        <w:t xml:space="preserve">,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b/>
          <w:bCs/>
          <w:i/>
          <w:iCs/>
        </w:rPr>
        <w:t xml:space="preserve"> </w:t>
      </w:r>
      <w:r w:rsidRPr="002B2CFF">
        <w:rPr>
          <w:rFonts w:ascii="Palatino Linotype" w:eastAsia="Palatino Linotype" w:hAnsi="Palatino Linotype" w:cs="Palatino Linotype"/>
        </w:rPr>
        <w:t xml:space="preserve">dio respuesta a la solicitud de información mediante </w:t>
      </w:r>
      <w:r w:rsidR="00EE0F54" w:rsidRPr="002B2CFF">
        <w:rPr>
          <w:rFonts w:ascii="Palatino Linotype" w:eastAsia="Palatino Linotype" w:hAnsi="Palatino Linotype" w:cs="Palatino Linotype"/>
        </w:rPr>
        <w:t xml:space="preserve">dos </w:t>
      </w:r>
      <w:r w:rsidRPr="002B2CFF">
        <w:rPr>
          <w:rFonts w:ascii="Palatino Linotype" w:eastAsia="Palatino Linotype" w:hAnsi="Palatino Linotype" w:cs="Palatino Linotype"/>
        </w:rPr>
        <w:t xml:space="preserve">archivos electrónicos, cuyo contenido grosso modo es el siguiente. </w:t>
      </w:r>
    </w:p>
    <w:p w14:paraId="44202C09" w14:textId="77777777" w:rsidR="00EE0F54" w:rsidRPr="002B2CFF" w:rsidRDefault="00EE0F54" w:rsidP="00EE0F54">
      <w:pPr>
        <w:ind w:left="1134" w:right="1389"/>
        <w:jc w:val="both"/>
        <w:rPr>
          <w:rFonts w:ascii="Palatino Linotype" w:eastAsia="Palatino Linotype" w:hAnsi="Palatino Linotype" w:cs="Palatino Linotype"/>
          <w:i/>
        </w:rPr>
      </w:pPr>
      <w:r w:rsidRPr="002B2CFF">
        <w:rPr>
          <w:rFonts w:ascii="Palatino Linotype" w:eastAsia="Palatino Linotype" w:hAnsi="Palatino Linotype" w:cs="Palatino Linotype"/>
          <w:b/>
          <w:i/>
        </w:rPr>
        <w:t xml:space="preserve">00444-SECOGEM-IP-2025.pdf: </w:t>
      </w:r>
      <w:r w:rsidRPr="002B2CFF">
        <w:rPr>
          <w:rFonts w:ascii="Palatino Linotype" w:eastAsia="Palatino Linotype" w:hAnsi="Palatino Linotype" w:cs="Palatino Linotype"/>
          <w:i/>
        </w:rPr>
        <w:t xml:space="preserve">documento que contiene el oficio de la Dirección de Registro de Declaraciones y de Sanciones, mediante el cual informa que de los puntos uno, dos, tres y cuatro de la solicitud de información no es posible atender el requerimiento efectuado mediante la solicitud de Información de referencia, toda vez que, si bien es cierto que existe la obligación de proporcionar la información pública, en el estado en que se encuentre al momento de realizar la solicitud de información, y que obre en los archivos de ésta Dependencia, también lo cierto es que ésta obligación no comprende el presentarla conforme al interés del solicitante. </w:t>
      </w:r>
    </w:p>
    <w:p w14:paraId="2146375A" w14:textId="77777777" w:rsidR="00EE0F54" w:rsidRPr="002B2CFF" w:rsidRDefault="00EE0F54" w:rsidP="00EE0F54">
      <w:pPr>
        <w:ind w:left="1134" w:right="1389"/>
        <w:jc w:val="both"/>
        <w:rPr>
          <w:rFonts w:ascii="Palatino Linotype" w:eastAsia="Palatino Linotype" w:hAnsi="Palatino Linotype" w:cs="Palatino Linotype"/>
          <w:i/>
        </w:rPr>
      </w:pPr>
      <w:r w:rsidRPr="002B2CFF">
        <w:rPr>
          <w:rFonts w:ascii="Palatino Linotype" w:eastAsia="Palatino Linotype" w:hAnsi="Palatino Linotype" w:cs="Palatino Linotype"/>
          <w:i/>
        </w:rPr>
        <w:t xml:space="preserve">Respecto del número cinco de la solicitud de información refiere que quien determina la omisión es el Órgano Interno de Control del Ayuntamiento de Tepotzotlán. </w:t>
      </w:r>
    </w:p>
    <w:p w14:paraId="1DC6489F" w14:textId="77777777" w:rsidR="006158B5" w:rsidRPr="002B2CFF" w:rsidRDefault="00EE0F54" w:rsidP="00EE0F54">
      <w:pPr>
        <w:ind w:left="1134" w:right="1389"/>
        <w:jc w:val="both"/>
        <w:rPr>
          <w:rFonts w:ascii="Palatino Linotype" w:eastAsia="Palatino Linotype" w:hAnsi="Palatino Linotype" w:cs="Palatino Linotype"/>
          <w:i/>
        </w:rPr>
      </w:pPr>
      <w:r w:rsidRPr="002B2CFF">
        <w:rPr>
          <w:rFonts w:ascii="Palatino Linotype" w:eastAsia="Palatino Linotype" w:hAnsi="Palatino Linotype" w:cs="Palatino Linotype"/>
          <w:b/>
          <w:i/>
        </w:rPr>
        <w:t xml:space="preserve">0444-SECOGEM-IP-2025_0001.pdf: </w:t>
      </w:r>
      <w:r w:rsidRPr="002B2CFF">
        <w:rPr>
          <w:rFonts w:ascii="Palatino Linotype" w:eastAsia="Palatino Linotype" w:hAnsi="Palatino Linotype" w:cs="Palatino Linotype"/>
          <w:i/>
        </w:rPr>
        <w:t>oficio del Titular de la Unidad de Transparencia, mediante el cual informa que anexa la respuesta del servidor público habilitado.</w:t>
      </w:r>
    </w:p>
    <w:p w14:paraId="5ADCB5D4" w14:textId="77777777" w:rsidR="00EE0F54" w:rsidRPr="002B2CFF" w:rsidRDefault="00EE0F54" w:rsidP="00EE0F54">
      <w:pPr>
        <w:ind w:left="1134" w:right="1389"/>
        <w:jc w:val="both"/>
        <w:rPr>
          <w:rFonts w:ascii="Palatino Linotype" w:eastAsia="Palatino Linotype" w:hAnsi="Palatino Linotype" w:cs="Palatino Linotype"/>
          <w:i/>
        </w:rPr>
      </w:pPr>
    </w:p>
    <w:p w14:paraId="60387D73"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El </w:t>
      </w:r>
      <w:r w:rsidR="00EE0F54" w:rsidRPr="002B2CFF">
        <w:rPr>
          <w:rFonts w:ascii="Palatino Linotype" w:eastAsia="Palatino Linotype" w:hAnsi="Palatino Linotype" w:cs="Palatino Linotype"/>
          <w:b/>
        </w:rPr>
        <w:t xml:space="preserve">diecinueve </w:t>
      </w:r>
      <w:r w:rsidRPr="002B2CFF">
        <w:rPr>
          <w:rFonts w:ascii="Palatino Linotype" w:eastAsia="Palatino Linotype" w:hAnsi="Palatino Linotype" w:cs="Palatino Linotype"/>
          <w:b/>
        </w:rPr>
        <w:t>de diciembre de dos mil veinticinco</w:t>
      </w:r>
      <w:r w:rsidRPr="002B2CFF">
        <w:rPr>
          <w:rFonts w:ascii="Palatino Linotype" w:eastAsia="Palatino Linotype" w:hAnsi="Palatino Linotype" w:cs="Palatino Linotype"/>
        </w:rPr>
        <w:t>,</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rPr>
        <w:t xml:space="preserve">el </w:t>
      </w:r>
      <w:r w:rsidRPr="002B2CFF">
        <w:rPr>
          <w:rFonts w:ascii="Palatino Linotype" w:eastAsia="Palatino Linotype" w:hAnsi="Palatino Linotype" w:cs="Palatino Linotype"/>
          <w:b/>
          <w:bCs/>
        </w:rPr>
        <w:t>RECURRENTE</w:t>
      </w:r>
      <w:r w:rsidRPr="002B2CFF">
        <w:rPr>
          <w:rFonts w:ascii="Palatino Linotype" w:eastAsia="Palatino Linotype" w:hAnsi="Palatino Linotype" w:cs="Palatino Linotype"/>
        </w:rPr>
        <w:t xml:space="preserve"> interpuso el recurso de revisión en contra de la respuesta, señalando como:</w:t>
      </w:r>
    </w:p>
    <w:p w14:paraId="72319325" w14:textId="77777777" w:rsidR="006158B5" w:rsidRPr="002B2CFF" w:rsidRDefault="006158B5" w:rsidP="006158B5">
      <w:pPr>
        <w:ind w:right="1"/>
        <w:jc w:val="both"/>
        <w:rPr>
          <w:rFonts w:ascii="Palatino Linotype" w:eastAsia="Palatino Linotype" w:hAnsi="Palatino Linotype" w:cs="Palatino Linotype"/>
        </w:rPr>
      </w:pPr>
    </w:p>
    <w:p w14:paraId="72E6E1A2"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b/>
          <w:bCs/>
        </w:rPr>
        <w:t>Acto impugnado</w:t>
      </w:r>
      <w:r w:rsidRPr="002B2CFF">
        <w:rPr>
          <w:rFonts w:ascii="Palatino Linotype" w:eastAsia="Palatino Linotype" w:hAnsi="Palatino Linotype" w:cs="Palatino Linotype"/>
          <w:b/>
          <w:bCs/>
          <w:i/>
          <w:iCs/>
        </w:rPr>
        <w:t>:</w:t>
      </w:r>
      <w:r w:rsidRPr="002B2CFF">
        <w:rPr>
          <w:rFonts w:ascii="Palatino Linotype" w:eastAsia="Palatino Linotype" w:hAnsi="Palatino Linotype" w:cs="Palatino Linotype"/>
          <w:i/>
          <w:iCs/>
          <w:color w:val="000000"/>
        </w:rPr>
        <w:t xml:space="preserve"> "</w:t>
      </w:r>
      <w:r w:rsidRPr="002B2CFF">
        <w:t xml:space="preserve"> </w:t>
      </w:r>
      <w:r w:rsidR="00EE0F54" w:rsidRPr="002B2CFF">
        <w:rPr>
          <w:rFonts w:ascii="Palatino Linotype" w:hAnsi="Palatino Linotype"/>
          <w:i/>
          <w:color w:val="000000"/>
        </w:rPr>
        <w:t xml:space="preserve">La respuesta emitida por la Secretaría de la Contraloría del Gobierno del Estado de México, mediante la cual se niega de facto la </w:t>
      </w:r>
      <w:r w:rsidR="00EE0F54" w:rsidRPr="002B2CFF">
        <w:rPr>
          <w:rFonts w:ascii="Palatino Linotype" w:hAnsi="Palatino Linotype"/>
          <w:i/>
          <w:color w:val="000000"/>
        </w:rPr>
        <w:lastRenderedPageBreak/>
        <w:t>información solicitada, sin realizar una búsqueda exhaustiva, sin emitir acuerdo de inexistencia, sin clasificar la información y sin fundar ni motivar adecuadamente la negativa. No atendieron el fondo de lo solicitado, se pidió nformación concreta y específica: Nombres de personas servidoras públicas omisas, Cargo, tipo de declaración incumplida, Fechas, estatus y área responsable La autoridad NO entregó absolutamente nada de eso. Solo dio una respuesta evasiva, genérica y justificativa. Esto viola el principio de exhaustividad. La Contraloría dice básicamente: “Eso le toca al Órgano Interno de Control del Ayuntamiento”.</w:t>
      </w:r>
      <w:r w:rsidRPr="002B2CFF">
        <w:rPr>
          <w:rFonts w:ascii="Palatino Linotype" w:eastAsia="Palatino Linotype" w:hAnsi="Palatino Linotype" w:cs="Palatino Linotype"/>
          <w:i/>
          <w:iCs/>
          <w:color w:val="000000"/>
        </w:rPr>
        <w:t>” (Sic)</w:t>
      </w:r>
    </w:p>
    <w:p w14:paraId="1E6AF2F9" w14:textId="77777777" w:rsidR="006158B5" w:rsidRPr="002B2CFF" w:rsidRDefault="006158B5" w:rsidP="006158B5">
      <w:pPr>
        <w:ind w:left="1134" w:right="1389"/>
        <w:jc w:val="both"/>
        <w:rPr>
          <w:rFonts w:ascii="Palatino Linotype" w:eastAsia="Palatino Linotype" w:hAnsi="Palatino Linotype" w:cs="Palatino Linotype"/>
        </w:rPr>
      </w:pPr>
    </w:p>
    <w:p w14:paraId="07F7FC53" w14:textId="77777777" w:rsidR="006158B5" w:rsidRPr="002B2CFF" w:rsidRDefault="006158B5" w:rsidP="006158B5">
      <w:pPr>
        <w:ind w:left="1134" w:right="1389"/>
        <w:jc w:val="both"/>
        <w:rPr>
          <w:rFonts w:ascii="Palatino Linotype" w:hAnsi="Palatino Linotype"/>
          <w:i/>
        </w:rPr>
      </w:pPr>
      <w:r w:rsidRPr="002B2CFF">
        <w:rPr>
          <w:rFonts w:ascii="Palatino Linotype" w:eastAsia="Palatino Linotype" w:hAnsi="Palatino Linotype" w:cs="Palatino Linotype"/>
          <w:b/>
          <w:bCs/>
        </w:rPr>
        <w:t>Razones o Motivos de inconformidad:</w:t>
      </w:r>
      <w:r w:rsidRPr="002B2CFF">
        <w:rPr>
          <w:rFonts w:ascii="Palatino Linotype" w:eastAsia="Palatino Linotype" w:hAnsi="Palatino Linotype" w:cs="Palatino Linotype"/>
          <w:b/>
          <w:bCs/>
          <w:i/>
        </w:rPr>
        <w:t xml:space="preserve"> </w:t>
      </w:r>
      <w:r w:rsidRPr="002B2CFF">
        <w:rPr>
          <w:rFonts w:ascii="Palatino Linotype" w:eastAsia="Palatino Linotype" w:hAnsi="Palatino Linotype" w:cs="Palatino Linotype"/>
          <w:i/>
          <w:iCs/>
          <w:color w:val="000000"/>
        </w:rPr>
        <w:t>“</w:t>
      </w:r>
      <w:r w:rsidR="00EE0F54" w:rsidRPr="002B2CFF">
        <w:rPr>
          <w:rFonts w:ascii="Palatino Linotype" w:hAnsi="Palatino Linotype"/>
          <w:i/>
          <w:color w:val="000000"/>
        </w:rPr>
        <w:t xml:space="preserve">AGRAVIOS **PRIMER AGRAVIO Violación al principio de exhaustividad y congruencia** La respuesta impugnada no atiende ninguno de los puntos concretos solicitados, limitándose a emitir consideraciones genéricas sobre atribuciones de vigilancia, sin entregar: Nombre de personas servidoras públicas omisas Cargo y área de adscripción Tipo de declaración incumplida Fechas de registro como omisos Estatus Área responsable de determinar la omisión La autoridad evade deliberadamente el fondo de la solicitud, lo que contraviene el artículo 7, fracción IV y el artículo 167 de la Ley de Transparencia del Estado de México, así como criterios reiterados del INFOEM sobre respuestas incongruentes. **SEGUNDO AGRAVIO Negativa encubierta sin emitir acuerdo formal de inexistencia** El sujeto obligado afirma que la información “no obra en sus archivos”, sin emitir acuerdo de inexistencia, sin señalar: Unidades administrativas consultadas Métodos de búsqueda Actas circunstanciadas Razones jurídicas de la inexistencia Esto viola de manera directa el artículo 173 de la Ley de Transparencia, que obliga a emitir un acuerdo debidamente fundado y motivado, situación que en el caso concreto no ocurrió. **TERCER AGRAVIO Indebida declinación de competencia** La autoridad pretende trasladar la responsabilidad al Órgano Interno de Control del Ayuntamiento de Tepotzotlán, cuando la información solicitada deriva de funciones de supervisión, seguimiento y control estatal, reconocidas expresamente en su propia respuesta. El sujeto obligado no puede excusarse alegando que otra autoridad ejecuta la función, cuando: Tiene atribuciones de supervisión Cuenta con reportes, registros o información derivada Tiene acceso legal a dicha información Esto constituye una declinación ilegal de competencia, prohibida por el principio de máxima publicidad. **CUARTO AGRAVIO Interpretación restrictiva e ilegal del derecho de acceso a la </w:t>
      </w:r>
      <w:r w:rsidR="00EE0F54" w:rsidRPr="002B2CFF">
        <w:rPr>
          <w:rFonts w:ascii="Palatino Linotype" w:hAnsi="Palatino Linotype"/>
          <w:i/>
          <w:color w:val="000000"/>
        </w:rPr>
        <w:lastRenderedPageBreak/>
        <w:t>información** La autoridad sostiene que atender la solicitud implicaría “generar información”, lo cual es jurídicamente falso. La información solicitada: Deriva de obligaciones legales expresas Debe existir por mandato normativo Se produce como resultado natural de funciones públicas La Suprema Corte y el INFOEM han sostenido que la información derivada de funciones obligatorias no puede considerarse inexistente. **QUINTO AGRAVIO Violación al principio de máxima publicidad** La respuesta impugnada: No clasifica información No invoca reserva No acredita confidencialidad No realiza prueba de daño Por tanto, la negativa carece absolutamente de sustento legal, vulnerando el artículo 6º constitucional y el artículo 8 de la Ley local. **SEXTO AGRAVIO Respuesta evasiva y dilatoria** La respuesta se limita a describir funciones generales, sin entregar resultados concretos, lo que constituye una estrategia dilatoria prohibida por los criterios del INFOEM y contraria al derecho humano de acceso a la información. Se solicita respetuosamente que este Instituto: REVOQUE TOTALMENTE la respuesta impugnada. ORDENE una búsqueda exhaustiva, real y documentada en todas las unidades administrativas competentes. ORDENE entregar la información solicitada, o en su caso, emitir acuerdo formal de inexistencia conforme a la ley. DÉ VISTA al Órgano Interno de Control por la emisión de una respuesta evasiva, incongruente y carente de fundamentación. Establezca medidas de apremio en caso de reincidencia.</w:t>
      </w:r>
      <w:r w:rsidRPr="002B2CFF">
        <w:rPr>
          <w:rFonts w:ascii="Palatino Linotype" w:hAnsi="Palatino Linotype"/>
          <w:i/>
          <w:color w:val="000000"/>
        </w:rPr>
        <w:t>.</w:t>
      </w:r>
      <w:r w:rsidRPr="002B2CFF">
        <w:rPr>
          <w:rFonts w:ascii="Palatino Linotype" w:eastAsia="Palatino Linotype" w:hAnsi="Palatino Linotype" w:cs="Palatino Linotype"/>
          <w:i/>
          <w:iCs/>
          <w:color w:val="000000"/>
        </w:rPr>
        <w:t>” (Sic)</w:t>
      </w:r>
    </w:p>
    <w:p w14:paraId="4F97A2AA" w14:textId="77777777" w:rsidR="006158B5" w:rsidRPr="002B2CFF" w:rsidRDefault="006158B5" w:rsidP="006158B5">
      <w:pPr>
        <w:ind w:right="568"/>
        <w:jc w:val="both"/>
        <w:rPr>
          <w:rFonts w:ascii="Palatino Linotype" w:eastAsia="Palatino Linotype" w:hAnsi="Palatino Linotype" w:cs="Palatino Linotype"/>
          <w:b/>
          <w:bCs/>
        </w:rPr>
      </w:pPr>
    </w:p>
    <w:p w14:paraId="07483B8A" w14:textId="77777777" w:rsidR="006158B5" w:rsidRPr="002B2CFF" w:rsidRDefault="006158B5" w:rsidP="00786694">
      <w:pPr>
        <w:numPr>
          <w:ilvl w:val="0"/>
          <w:numId w:val="1"/>
        </w:numPr>
        <w:spacing w:line="360" w:lineRule="auto"/>
        <w:ind w:left="0" w:right="1" w:firstLine="0"/>
        <w:jc w:val="both"/>
        <w:rPr>
          <w:rFonts w:ascii="Palatino Linotype" w:eastAsia="Palatino Linotype" w:hAnsi="Palatino Linotype" w:cs="Palatino Linotype"/>
          <w:b/>
          <w:i/>
        </w:rPr>
      </w:pPr>
      <w:r w:rsidRPr="002B2CFF">
        <w:rPr>
          <w:rFonts w:ascii="Palatino Linotype" w:eastAsia="Palatino Linotype" w:hAnsi="Palatino Linotype" w:cs="Palatino Linotype"/>
        </w:rPr>
        <w:t xml:space="preserve">Al momento de interponer el recurso de revisión el entonces </w:t>
      </w:r>
      <w:r w:rsidRPr="002B2CFF">
        <w:rPr>
          <w:rFonts w:ascii="Palatino Linotype" w:eastAsia="Palatino Linotype" w:hAnsi="Palatino Linotype" w:cs="Palatino Linotype"/>
          <w:b/>
        </w:rPr>
        <w:t xml:space="preserve">SOLICITANTE </w:t>
      </w:r>
      <w:r w:rsidRPr="002B2CFF">
        <w:rPr>
          <w:rFonts w:ascii="Palatino Linotype" w:eastAsia="Palatino Linotype" w:hAnsi="Palatino Linotype" w:cs="Palatino Linotype"/>
        </w:rPr>
        <w:t xml:space="preserve">entrego el archivo electrónico </w:t>
      </w:r>
      <w:r w:rsidR="00EE0F54" w:rsidRPr="002B2CFF">
        <w:rPr>
          <w:rFonts w:ascii="Palatino Linotype" w:eastAsia="Palatino Linotype" w:hAnsi="Palatino Linotype" w:cs="Palatino Linotype"/>
          <w:b/>
          <w:i/>
        </w:rPr>
        <w:t>00444-SECOGEM-IP-2025.pdf</w:t>
      </w:r>
      <w:r w:rsidRPr="002B2CFF">
        <w:rPr>
          <w:rFonts w:ascii="Palatino Linotype" w:eastAsia="Palatino Linotype" w:hAnsi="Palatino Linotype" w:cs="Palatino Linotype"/>
          <w:b/>
          <w:i/>
        </w:rPr>
        <w:t xml:space="preserve">, </w:t>
      </w:r>
      <w:r w:rsidRPr="002B2CFF">
        <w:rPr>
          <w:rFonts w:ascii="Palatino Linotype" w:eastAsia="Palatino Linotype" w:hAnsi="Palatino Linotype" w:cs="Palatino Linotype"/>
        </w:rPr>
        <w:t xml:space="preserve">cuyo contenido es </w:t>
      </w:r>
      <w:r w:rsidR="00786694" w:rsidRPr="002B2CFF">
        <w:rPr>
          <w:rFonts w:ascii="Palatino Linotype" w:eastAsia="Palatino Linotype" w:hAnsi="Palatino Linotype" w:cs="Palatino Linotype"/>
        </w:rPr>
        <w:t>la respuesta de la Dirección de Registro de Declaraciones y de Sanciones</w:t>
      </w:r>
      <w:r w:rsidR="00EE0F54" w:rsidRPr="002B2CFF">
        <w:rPr>
          <w:rFonts w:ascii="Palatino Linotype" w:eastAsia="Palatino Linotype" w:hAnsi="Palatino Linotype" w:cs="Palatino Linotype"/>
        </w:rPr>
        <w:t xml:space="preserve"> </w:t>
      </w:r>
      <w:r w:rsidRPr="002B2CFF">
        <w:rPr>
          <w:rFonts w:ascii="Palatino Linotype" w:eastAsia="Palatino Linotype" w:hAnsi="Palatino Linotype" w:cs="Palatino Linotype"/>
        </w:rPr>
        <w:t xml:space="preserve">un comprobante fiscal digital por internet. </w:t>
      </w:r>
    </w:p>
    <w:p w14:paraId="7920C032" w14:textId="77777777" w:rsidR="006158B5" w:rsidRPr="002B2CFF" w:rsidRDefault="006158B5" w:rsidP="006158B5">
      <w:pPr>
        <w:pStyle w:val="Prrafodelista"/>
        <w:ind w:left="357"/>
        <w:rPr>
          <w:rFonts w:ascii="Palatino Linotype" w:eastAsia="Palatino Linotype" w:hAnsi="Palatino Linotype" w:cs="Palatino Linotype"/>
          <w:sz w:val="24"/>
        </w:rPr>
      </w:pPr>
    </w:p>
    <w:p w14:paraId="787A3EAA"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2B2CFF">
        <w:rPr>
          <w:rFonts w:ascii="Palatino Linotype" w:eastAsia="Palatino Linotype" w:hAnsi="Palatino Linotype" w:cs="Palatino Linotype"/>
          <w:b/>
          <w:bCs/>
        </w:rPr>
        <w:t xml:space="preserve">Ley de Transparencia y Acceso a la Información Pública del Estado de México y Municipios </w:t>
      </w:r>
      <w:r w:rsidRPr="002B2CFF">
        <w:rPr>
          <w:rFonts w:ascii="Palatino Linotype" w:eastAsia="Palatino Linotype" w:hAnsi="Palatino Linotype" w:cs="Palatino Linotype"/>
        </w:rPr>
        <w:t xml:space="preserve">se turna a la </w:t>
      </w:r>
      <w:r w:rsidRPr="002B2CFF">
        <w:rPr>
          <w:rFonts w:ascii="Palatino Linotype" w:eastAsia="Palatino Linotype" w:hAnsi="Palatino Linotype" w:cs="Palatino Linotype"/>
          <w:b/>
          <w:bCs/>
        </w:rPr>
        <w:t xml:space="preserve">Comisionada María del Rosario Mejía Ayala, </w:t>
      </w:r>
      <w:r w:rsidRPr="002B2CFF">
        <w:rPr>
          <w:rFonts w:ascii="Palatino Linotype" w:eastAsia="Palatino Linotype" w:hAnsi="Palatino Linotype" w:cs="Palatino Linotype"/>
        </w:rPr>
        <w:t xml:space="preserve">para su análisis. </w:t>
      </w:r>
    </w:p>
    <w:p w14:paraId="04C2ED62" w14:textId="77777777" w:rsidR="006158B5" w:rsidRPr="002B2CFF" w:rsidRDefault="006158B5" w:rsidP="006158B5">
      <w:pPr>
        <w:ind w:right="-592"/>
        <w:jc w:val="both"/>
        <w:rPr>
          <w:rFonts w:ascii="Palatino Linotype" w:eastAsia="Palatino Linotype" w:hAnsi="Palatino Linotype" w:cs="Palatino Linotype"/>
        </w:rPr>
      </w:pPr>
    </w:p>
    <w:p w14:paraId="45197230"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color w:val="000000"/>
        </w:rPr>
      </w:pPr>
      <w:r w:rsidRPr="002B2CFF">
        <w:rPr>
          <w:rFonts w:ascii="Palatino Linotype" w:eastAsia="Palatino Linotype" w:hAnsi="Palatino Linotype" w:cs="Palatino Linotype"/>
        </w:rPr>
        <w:lastRenderedPageBreak/>
        <w:t xml:space="preserve">La Comisionada Ponente con fundamento en lo dispuesto por el artículo 185 fracción II de la ley de la materia, a través del acuerdo de admisión del </w:t>
      </w:r>
      <w:r w:rsidRPr="002B2CFF">
        <w:rPr>
          <w:rFonts w:ascii="Palatino Linotype" w:eastAsia="Palatino Linotype" w:hAnsi="Palatino Linotype" w:cs="Palatino Linotype"/>
          <w:b/>
        </w:rPr>
        <w:t xml:space="preserve">diecinueve de </w:t>
      </w:r>
      <w:r w:rsidR="00786694" w:rsidRPr="002B2CFF">
        <w:rPr>
          <w:rFonts w:ascii="Palatino Linotype" w:eastAsia="Palatino Linotype" w:hAnsi="Palatino Linotype" w:cs="Palatino Linotype"/>
          <w:b/>
        </w:rPr>
        <w:t xml:space="preserve">enero </w:t>
      </w:r>
      <w:r w:rsidRPr="002B2CFF">
        <w:rPr>
          <w:rFonts w:ascii="Palatino Linotype" w:eastAsia="Palatino Linotype" w:hAnsi="Palatino Linotype" w:cs="Palatino Linotype"/>
          <w:b/>
        </w:rPr>
        <w:t xml:space="preserve">de dos mil </w:t>
      </w:r>
      <w:r w:rsidR="00786694" w:rsidRPr="002B2CFF">
        <w:rPr>
          <w:rFonts w:ascii="Palatino Linotype" w:eastAsia="Palatino Linotype" w:hAnsi="Palatino Linotype" w:cs="Palatino Linotype"/>
          <w:b/>
        </w:rPr>
        <w:t>veintiséis</w:t>
      </w:r>
      <w:r w:rsidRPr="002B2CFF">
        <w:rPr>
          <w:rFonts w:ascii="Palatino Linotype" w:eastAsia="Palatino Linotype" w:hAnsi="Palatino Linotype" w:cs="Palatino Linotype"/>
        </w:rPr>
        <w:t xml:space="preserve">, puso a disposición de las partes el expediente electrónico vía </w:t>
      </w:r>
      <w:r w:rsidRPr="002B2CFF">
        <w:rPr>
          <w:rFonts w:ascii="Palatino Linotype" w:eastAsia="Palatino Linotype" w:hAnsi="Palatino Linotype" w:cs="Palatino Linotype"/>
          <w:b/>
          <w:bCs/>
        </w:rPr>
        <w:t xml:space="preserve">SAIMEX </w:t>
      </w:r>
      <w:r w:rsidRPr="002B2CFF">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presentará el informe justificado procedente. </w:t>
      </w:r>
    </w:p>
    <w:p w14:paraId="7C3E6E01" w14:textId="77777777" w:rsidR="006158B5" w:rsidRPr="002B2CFF" w:rsidRDefault="006158B5" w:rsidP="006158B5">
      <w:pPr>
        <w:shd w:val="clear" w:color="auto" w:fill="FFFFFF"/>
        <w:ind w:right="-592"/>
        <w:rPr>
          <w:rFonts w:ascii="Palatino Linotype" w:eastAsia="Palatino Linotype" w:hAnsi="Palatino Linotype" w:cs="Palatino Linotype"/>
        </w:rPr>
      </w:pPr>
    </w:p>
    <w:bookmarkEnd w:id="1"/>
    <w:p w14:paraId="020F2303" w14:textId="77777777" w:rsidR="006158B5" w:rsidRPr="002B2CFF" w:rsidRDefault="00786694" w:rsidP="007A01D5">
      <w:pPr>
        <w:numPr>
          <w:ilvl w:val="0"/>
          <w:numId w:val="1"/>
        </w:numPr>
        <w:spacing w:line="360" w:lineRule="auto"/>
        <w:ind w:left="0" w:right="1" w:firstLine="0"/>
        <w:jc w:val="both"/>
        <w:rPr>
          <w:rFonts w:ascii="Palatino Linotype" w:eastAsia="Palatino Linotype" w:hAnsi="Palatino Linotype" w:cs="Palatino Linotype"/>
          <w:i/>
        </w:rPr>
      </w:pPr>
      <w:r w:rsidRPr="002B2CFF">
        <w:rPr>
          <w:rFonts w:ascii="Palatino Linotype" w:eastAsia="Palatino Linotype" w:hAnsi="Palatino Linotype" w:cs="Palatino Linotype"/>
        </w:rPr>
        <w:t xml:space="preserve">Seguidamente el </w:t>
      </w:r>
      <w:r w:rsidRPr="002B2CFF">
        <w:rPr>
          <w:rFonts w:ascii="Palatino Linotype" w:eastAsia="Palatino Linotype" w:hAnsi="Palatino Linotype" w:cs="Palatino Linotype"/>
          <w:b/>
        </w:rPr>
        <w:t xml:space="preserve">veintitrés de enero de dos mil veintiséis, </w:t>
      </w:r>
      <w:r w:rsidR="006158B5" w:rsidRPr="002B2CFF">
        <w:rPr>
          <w:rFonts w:ascii="Palatino Linotype" w:eastAsia="Palatino Linotype" w:hAnsi="Palatino Linotype" w:cs="Palatino Linotype"/>
        </w:rPr>
        <w:t xml:space="preserve"> el </w:t>
      </w:r>
      <w:r w:rsidR="006158B5" w:rsidRPr="002B2CFF">
        <w:rPr>
          <w:rFonts w:ascii="Palatino Linotype" w:eastAsia="Palatino Linotype" w:hAnsi="Palatino Linotype" w:cs="Palatino Linotype"/>
          <w:b/>
        </w:rPr>
        <w:t>SUJETO OBLIGADO</w:t>
      </w:r>
      <w:r w:rsidRPr="002B2CFF">
        <w:rPr>
          <w:rFonts w:ascii="Palatino Linotype" w:eastAsia="Palatino Linotype" w:hAnsi="Palatino Linotype" w:cs="Palatino Linotype"/>
          <w:b/>
        </w:rPr>
        <w:t xml:space="preserve"> </w:t>
      </w:r>
      <w:r w:rsidRPr="002B2CFF">
        <w:rPr>
          <w:rFonts w:ascii="Palatino Linotype" w:eastAsia="Palatino Linotype" w:hAnsi="Palatino Linotype" w:cs="Palatino Linotype"/>
        </w:rPr>
        <w:t xml:space="preserve">anexo dos archivos electrónicos en formato pdf, cuyo contenido grosso modo es el siguiente.  </w:t>
      </w:r>
      <w:r w:rsidR="006158B5" w:rsidRPr="002B2CFF">
        <w:rPr>
          <w:rFonts w:ascii="Palatino Linotype" w:eastAsia="Palatino Linotype" w:hAnsi="Palatino Linotype" w:cs="Palatino Linotype"/>
          <w:b/>
        </w:rPr>
        <w:t xml:space="preserve"> </w:t>
      </w:r>
      <w:r w:rsidR="006158B5" w:rsidRPr="002B2CFF">
        <w:rPr>
          <w:rFonts w:ascii="Palatino Linotype" w:eastAsia="Palatino Linotype" w:hAnsi="Palatino Linotype" w:cs="Palatino Linotype"/>
        </w:rPr>
        <w:t xml:space="preserve">y </w:t>
      </w:r>
    </w:p>
    <w:p w14:paraId="19BEED4E" w14:textId="77777777" w:rsidR="00786694" w:rsidRPr="002B2CFF" w:rsidRDefault="00786694" w:rsidP="00786694">
      <w:pPr>
        <w:pStyle w:val="Prrafodelista"/>
        <w:rPr>
          <w:rFonts w:ascii="Palatino Linotype" w:eastAsia="Palatino Linotype" w:hAnsi="Palatino Linotype" w:cs="Palatino Linotype"/>
          <w:i/>
          <w:sz w:val="24"/>
        </w:rPr>
      </w:pPr>
    </w:p>
    <w:p w14:paraId="4CA27A31" w14:textId="77777777" w:rsidR="00786694" w:rsidRPr="002B2CFF" w:rsidRDefault="00786694" w:rsidP="00786694">
      <w:pPr>
        <w:ind w:left="1134" w:right="1389"/>
        <w:jc w:val="both"/>
        <w:rPr>
          <w:rFonts w:ascii="Palatino Linotype" w:eastAsia="Palatino Linotype" w:hAnsi="Palatino Linotype" w:cs="Palatino Linotype"/>
          <w:i/>
        </w:rPr>
      </w:pPr>
      <w:r w:rsidRPr="002B2CFF">
        <w:rPr>
          <w:rFonts w:ascii="Palatino Linotype" w:eastAsia="Palatino Linotype" w:hAnsi="Palatino Linotype" w:cs="Palatino Linotype"/>
          <w:b/>
          <w:i/>
        </w:rPr>
        <w:t xml:space="preserve">INFORME ANEXO 444.pdf: </w:t>
      </w:r>
      <w:r w:rsidRPr="002B2CFF">
        <w:rPr>
          <w:rFonts w:ascii="Palatino Linotype" w:eastAsia="Palatino Linotype" w:hAnsi="Palatino Linotype" w:cs="Palatino Linotype"/>
          <w:i/>
        </w:rPr>
        <w:t xml:space="preserve">documento que contiene el oficio de la Dirección de Registro de Declaraciones y Sanciones, mediante el cual ratifica la respuesta inicial. </w:t>
      </w:r>
    </w:p>
    <w:p w14:paraId="103684C4" w14:textId="77777777" w:rsidR="001011B7" w:rsidRPr="002B2CFF" w:rsidRDefault="001011B7" w:rsidP="00786694">
      <w:pPr>
        <w:ind w:left="1134" w:right="1389"/>
        <w:jc w:val="both"/>
        <w:rPr>
          <w:rFonts w:ascii="Palatino Linotype" w:eastAsia="Palatino Linotype" w:hAnsi="Palatino Linotype" w:cs="Palatino Linotype"/>
          <w:i/>
        </w:rPr>
      </w:pPr>
    </w:p>
    <w:p w14:paraId="16901A50" w14:textId="77777777" w:rsidR="00786694" w:rsidRPr="002B2CFF" w:rsidRDefault="00786694" w:rsidP="001011B7">
      <w:pPr>
        <w:ind w:left="1134" w:right="1389"/>
        <w:jc w:val="both"/>
        <w:rPr>
          <w:rFonts w:ascii="Palatino Linotype" w:eastAsia="Palatino Linotype" w:hAnsi="Palatino Linotype" w:cs="Palatino Linotype"/>
          <w:i/>
        </w:rPr>
      </w:pPr>
      <w:r w:rsidRPr="002B2CFF">
        <w:rPr>
          <w:rFonts w:ascii="Palatino Linotype" w:eastAsia="Palatino Linotype" w:hAnsi="Palatino Linotype" w:cs="Palatino Linotype"/>
          <w:b/>
          <w:i/>
        </w:rPr>
        <w:t xml:space="preserve">JUSTIFICADO 444.pdf: </w:t>
      </w:r>
      <w:r w:rsidRPr="002B2CFF">
        <w:rPr>
          <w:rFonts w:ascii="Palatino Linotype" w:eastAsia="Palatino Linotype" w:hAnsi="Palatino Linotype" w:cs="Palatino Linotype"/>
          <w:i/>
        </w:rPr>
        <w:t xml:space="preserve">Informe Justificad del Titular de la Unidad de Transparencia, mediante el cual ratifica la respuesta inicial. </w:t>
      </w:r>
    </w:p>
    <w:p w14:paraId="314E3100" w14:textId="77777777" w:rsidR="00786694" w:rsidRPr="002B2CFF" w:rsidRDefault="00786694" w:rsidP="00786694">
      <w:pPr>
        <w:spacing w:line="360" w:lineRule="auto"/>
        <w:ind w:right="1"/>
        <w:jc w:val="both"/>
        <w:rPr>
          <w:rFonts w:ascii="Palatino Linotype" w:eastAsia="Palatino Linotype" w:hAnsi="Palatino Linotype" w:cs="Palatino Linotype"/>
          <w:b/>
          <w:i/>
        </w:rPr>
      </w:pPr>
    </w:p>
    <w:p w14:paraId="1FBAA0D9" w14:textId="767855E4"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El </w:t>
      </w:r>
      <w:r w:rsidR="007158D6" w:rsidRPr="002B2CFF">
        <w:rPr>
          <w:rFonts w:ascii="Palatino Linotype" w:eastAsia="Palatino Linotype" w:hAnsi="Palatino Linotype" w:cs="Palatino Linotype"/>
          <w:b/>
        </w:rPr>
        <w:t xml:space="preserve">siete </w:t>
      </w:r>
      <w:r w:rsidRPr="002B2CFF">
        <w:rPr>
          <w:rFonts w:ascii="Palatino Linotype" w:eastAsia="Palatino Linotype" w:hAnsi="Palatino Linotype" w:cs="Palatino Linotype"/>
          <w:b/>
        </w:rPr>
        <w:t>de mayo de dos mil veintiséis</w:t>
      </w:r>
      <w:r w:rsidRPr="002B2CFF">
        <w:rPr>
          <w:rFonts w:ascii="Palatino Linotype" w:eastAsia="Palatino Linotype" w:hAnsi="Palatino Linotype" w:cs="Palatino Linotype"/>
        </w:rPr>
        <w:t>, se notificó el acuerdo mediante el cual se amplió el plazo para emitir resolución por un término de 15 días adicionales.</w:t>
      </w:r>
    </w:p>
    <w:p w14:paraId="55B9621F" w14:textId="77777777" w:rsidR="006158B5" w:rsidRPr="002B2CFF" w:rsidRDefault="006158B5" w:rsidP="006158B5">
      <w:pPr>
        <w:spacing w:line="360" w:lineRule="auto"/>
        <w:ind w:right="1"/>
        <w:jc w:val="both"/>
        <w:rPr>
          <w:rFonts w:ascii="Palatino Linotype" w:eastAsia="Palatino Linotype" w:hAnsi="Palatino Linotype" w:cs="Palatino Linotype"/>
        </w:rPr>
      </w:pPr>
    </w:p>
    <w:p w14:paraId="43F62F6E" w14:textId="21BCA4F2"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rPr>
        <w:t xml:space="preserve">La Comisionada Ponente decretó el cierre de instrucción mediante el acuerdo del </w:t>
      </w:r>
      <w:r w:rsidRPr="002B2CFF">
        <w:rPr>
          <w:rFonts w:ascii="Palatino Linotype" w:eastAsia="Palatino Linotype" w:hAnsi="Palatino Linotype" w:cs="Palatino Linotype"/>
          <w:b/>
        </w:rPr>
        <w:t>trece de mayo de dos mil veintiséis</w:t>
      </w:r>
      <w:r w:rsidR="007158D6" w:rsidRPr="002B2CFF">
        <w:rPr>
          <w:rFonts w:ascii="Palatino Linotype" w:eastAsia="Palatino Linotype" w:hAnsi="Palatino Linotype" w:cs="Palatino Linotype"/>
        </w:rPr>
        <w:t>.</w:t>
      </w:r>
      <w:r w:rsidR="002B2CFF">
        <w:rPr>
          <w:rFonts w:ascii="Palatino Linotype" w:eastAsia="Palatino Linotype" w:hAnsi="Palatino Linotype" w:cs="Palatino Linotype"/>
        </w:rPr>
        <w:t xml:space="preserve"> ---------------------------------------------------------------------------------</w:t>
      </w:r>
    </w:p>
    <w:p w14:paraId="60445B8A" w14:textId="77777777" w:rsidR="002B2CFF" w:rsidRDefault="002B2CFF" w:rsidP="002B2CFF">
      <w:pPr>
        <w:pStyle w:val="Prrafodelista"/>
        <w:rPr>
          <w:rFonts w:ascii="Palatino Linotype" w:eastAsia="Palatino Linotype" w:hAnsi="Palatino Linotype" w:cs="Palatino Linotype"/>
          <w:b/>
          <w:bCs/>
        </w:rPr>
      </w:pPr>
    </w:p>
    <w:p w14:paraId="5D109581" w14:textId="77777777" w:rsidR="002B2CFF" w:rsidRPr="002B2CFF" w:rsidRDefault="002B2CFF" w:rsidP="002B2CFF">
      <w:pPr>
        <w:spacing w:line="360" w:lineRule="auto"/>
        <w:ind w:right="1"/>
        <w:jc w:val="both"/>
        <w:rPr>
          <w:rFonts w:ascii="Palatino Linotype" w:eastAsia="Palatino Linotype" w:hAnsi="Palatino Linotype" w:cs="Palatino Linotype"/>
          <w:b/>
          <w:bCs/>
        </w:rPr>
      </w:pPr>
    </w:p>
    <w:p w14:paraId="56866594" w14:textId="77777777" w:rsidR="006158B5" w:rsidRPr="002B2CFF" w:rsidRDefault="006158B5" w:rsidP="006158B5">
      <w:pPr>
        <w:rPr>
          <w:rFonts w:ascii="Palatino Linotype" w:eastAsia="Palatino Linotype" w:hAnsi="Palatino Linotype" w:cs="Palatino Linotype"/>
          <w:b/>
          <w:bCs/>
        </w:rPr>
      </w:pPr>
    </w:p>
    <w:p w14:paraId="7CF3B7B4" w14:textId="77777777" w:rsidR="006158B5" w:rsidRPr="002B2CFF" w:rsidRDefault="006158B5" w:rsidP="006158B5">
      <w:pPr>
        <w:keepNext/>
        <w:keepLines/>
        <w:spacing w:line="360" w:lineRule="auto"/>
        <w:ind w:right="-592"/>
        <w:jc w:val="center"/>
        <w:rPr>
          <w:rFonts w:ascii="Palatino Linotype" w:eastAsia="Palatino Linotype" w:hAnsi="Palatino Linotype" w:cs="Palatino Linotype"/>
          <w:b/>
          <w:bCs/>
        </w:rPr>
      </w:pPr>
      <w:r w:rsidRPr="002B2CFF">
        <w:rPr>
          <w:rFonts w:ascii="Palatino Linotype" w:eastAsia="Palatino Linotype" w:hAnsi="Palatino Linotype" w:cs="Palatino Linotype"/>
          <w:b/>
          <w:bCs/>
        </w:rPr>
        <w:lastRenderedPageBreak/>
        <w:t xml:space="preserve">C O N S I D E R A N D O </w:t>
      </w:r>
    </w:p>
    <w:p w14:paraId="2CDB6589" w14:textId="77777777" w:rsidR="006158B5" w:rsidRPr="002B2CFF" w:rsidRDefault="006158B5" w:rsidP="006158B5">
      <w:pPr>
        <w:keepNext/>
        <w:keepLines/>
        <w:ind w:right="-592"/>
        <w:rPr>
          <w:rFonts w:ascii="Palatino Linotype" w:eastAsia="Palatino Linotype" w:hAnsi="Palatino Linotype" w:cs="Palatino Linotype"/>
        </w:rPr>
      </w:pPr>
    </w:p>
    <w:p w14:paraId="77D2F708" w14:textId="77777777" w:rsidR="006158B5" w:rsidRPr="002B2CFF" w:rsidRDefault="006158B5" w:rsidP="006158B5">
      <w:pPr>
        <w:keepNext/>
        <w:keepLines/>
        <w:spacing w:line="360" w:lineRule="auto"/>
        <w:ind w:right="-592"/>
        <w:rPr>
          <w:rFonts w:ascii="Palatino Linotype" w:eastAsia="Palatino Linotype" w:hAnsi="Palatino Linotype" w:cs="Palatino Linotype"/>
          <w:b/>
          <w:bCs/>
        </w:rPr>
      </w:pPr>
      <w:r w:rsidRPr="002B2CFF">
        <w:rPr>
          <w:rFonts w:ascii="Palatino Linotype" w:eastAsia="Palatino Linotype" w:hAnsi="Palatino Linotype" w:cs="Palatino Linotype"/>
          <w:b/>
          <w:bCs/>
        </w:rPr>
        <w:t>PRIMERO. De la competencia.</w:t>
      </w:r>
    </w:p>
    <w:p w14:paraId="28771DBF"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bookmarkStart w:id="2" w:name="_heading=h.3znysh7" w:colFirst="0" w:colLast="0"/>
      <w:bookmarkEnd w:id="2"/>
      <w:r w:rsidRPr="002B2CFF">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14:paraId="7CBCEDD8" w14:textId="77777777" w:rsidR="006158B5" w:rsidRPr="002B2CFF" w:rsidRDefault="006158B5" w:rsidP="006158B5">
      <w:pPr>
        <w:spacing w:line="360" w:lineRule="auto"/>
        <w:ind w:right="1"/>
        <w:jc w:val="both"/>
        <w:rPr>
          <w:rFonts w:ascii="Palatino Linotype" w:eastAsia="Palatino Linotype" w:hAnsi="Palatino Linotype" w:cs="Palatino Linotype"/>
          <w:b/>
          <w:bCs/>
        </w:rPr>
      </w:pPr>
    </w:p>
    <w:p w14:paraId="76FD5FEA" w14:textId="77777777" w:rsidR="006158B5" w:rsidRPr="002B2CFF" w:rsidRDefault="006158B5" w:rsidP="006158B5">
      <w:pPr>
        <w:keepNext/>
        <w:keepLines/>
        <w:spacing w:line="360" w:lineRule="auto"/>
        <w:ind w:right="1"/>
        <w:rPr>
          <w:rFonts w:ascii="Palatino Linotype" w:eastAsia="Palatino Linotype" w:hAnsi="Palatino Linotype" w:cs="Palatino Linotype"/>
          <w:b/>
          <w:bCs/>
        </w:rPr>
      </w:pPr>
      <w:r w:rsidRPr="002B2CFF">
        <w:rPr>
          <w:rFonts w:ascii="Palatino Linotype" w:eastAsia="Palatino Linotype" w:hAnsi="Palatino Linotype" w:cs="Palatino Linotype"/>
          <w:b/>
          <w:bCs/>
        </w:rPr>
        <w:t>SEGUNDO. De la oportunidad y procedencia.</w:t>
      </w:r>
    </w:p>
    <w:p w14:paraId="7C5A1F65"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bookmarkStart w:id="3" w:name="_heading=h.3dy6vkm" w:colFirst="0" w:colLast="0"/>
      <w:bookmarkEnd w:id="3"/>
      <w:r w:rsidRPr="002B2CFF">
        <w:rPr>
          <w:rFonts w:ascii="Palatino Linotype" w:eastAsia="Palatino Linotype" w:hAnsi="Palatino Linotype" w:cs="Palatino Linotype"/>
        </w:rPr>
        <w:t xml:space="preserve">El medio de impugnación fue presentado a través del </w:t>
      </w:r>
      <w:r w:rsidRPr="002B2CFF">
        <w:rPr>
          <w:rFonts w:ascii="Palatino Linotype" w:eastAsia="Palatino Linotype" w:hAnsi="Palatino Linotype" w:cs="Palatino Linotype"/>
          <w:b/>
          <w:bCs/>
        </w:rPr>
        <w:t>SAIMEX,</w:t>
      </w:r>
      <w:r w:rsidRPr="002B2CFF">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entregó respuesta el </w:t>
      </w:r>
      <w:r w:rsidR="000641A2" w:rsidRPr="002B2CFF">
        <w:rPr>
          <w:rFonts w:ascii="Palatino Linotype" w:eastAsia="Palatino Linotype" w:hAnsi="Palatino Linotype" w:cs="Palatino Linotype"/>
          <w:b/>
        </w:rPr>
        <w:t xml:space="preserve">diecinueve </w:t>
      </w:r>
      <w:r w:rsidRPr="002B2CFF">
        <w:rPr>
          <w:rFonts w:ascii="Palatino Linotype" w:eastAsia="Palatino Linotype" w:hAnsi="Palatino Linotype" w:cs="Palatino Linotype"/>
          <w:b/>
        </w:rPr>
        <w:t>de diciembre de dos mil veinticinco</w:t>
      </w:r>
      <w:r w:rsidRPr="002B2CFF">
        <w:rPr>
          <w:rFonts w:ascii="Palatino Linotype" w:eastAsia="Palatino Linotype" w:hAnsi="Palatino Linotype" w:cs="Palatino Linotype"/>
        </w:rPr>
        <w:t xml:space="preserve"> de dos mil veinticuatro, de tal forma que el plazo para interponer el recurso de revisión transcurrió del </w:t>
      </w:r>
      <w:r w:rsidR="00282066" w:rsidRPr="002B2CFF">
        <w:rPr>
          <w:rFonts w:ascii="Palatino Linotype" w:eastAsia="Palatino Linotype" w:hAnsi="Palatino Linotype" w:cs="Palatino Linotype"/>
          <w:b/>
        </w:rPr>
        <w:t xml:space="preserve">doce al treinta de enero de dos mil </w:t>
      </w:r>
      <w:r w:rsidRPr="002B2CFF">
        <w:rPr>
          <w:rFonts w:ascii="Palatino Linotype" w:eastAsia="Palatino Linotype" w:hAnsi="Palatino Linotype" w:cs="Palatino Linotype"/>
          <w:b/>
        </w:rPr>
        <w:t>veintiséis</w:t>
      </w:r>
      <w:r w:rsidRPr="002B2CFF">
        <w:rPr>
          <w:rFonts w:ascii="Palatino Linotype" w:eastAsia="Palatino Linotype" w:hAnsi="Palatino Linotype" w:cs="Palatino Linotype"/>
        </w:rPr>
        <w:t xml:space="preserve">; en consecuencia, presentó su inconformidad el </w:t>
      </w:r>
      <w:r w:rsidR="00282066" w:rsidRPr="002B2CFF">
        <w:rPr>
          <w:rFonts w:ascii="Palatino Linotype" w:eastAsia="Palatino Linotype" w:hAnsi="Palatino Linotype" w:cs="Palatino Linotype"/>
          <w:b/>
        </w:rPr>
        <w:t xml:space="preserve">diecinueve de diciembre </w:t>
      </w:r>
      <w:r w:rsidRPr="002B2CFF">
        <w:rPr>
          <w:rFonts w:ascii="Palatino Linotype" w:eastAsia="Palatino Linotype" w:hAnsi="Palatino Linotype" w:cs="Palatino Linotype"/>
          <w:b/>
        </w:rPr>
        <w:t>de dos mil veinticinco,</w:t>
      </w:r>
      <w:r w:rsidRPr="002B2CFF">
        <w:rPr>
          <w:rFonts w:ascii="Palatino Linotype" w:eastAsia="Palatino Linotype" w:hAnsi="Palatino Linotype" w:cs="Palatino Linotype"/>
        </w:rPr>
        <w:t xml:space="preserve"> por lo que se encuentra dentro de los márgenes temporales previstos en el artículo 178 de la </w:t>
      </w:r>
      <w:r w:rsidRPr="002B2CFF">
        <w:rPr>
          <w:rFonts w:ascii="Palatino Linotype" w:eastAsia="Palatino Linotype" w:hAnsi="Palatino Linotype" w:cs="Palatino Linotype"/>
          <w:b/>
          <w:bCs/>
        </w:rPr>
        <w:t xml:space="preserve">Ley de Transparencia y Acceso a la Información Pública del Estado de México y Municipios </w:t>
      </w:r>
      <w:r w:rsidRPr="002B2CFF">
        <w:rPr>
          <w:rFonts w:ascii="Palatino Linotype" w:eastAsia="Palatino Linotype" w:hAnsi="Palatino Linotype" w:cs="Palatino Linotype"/>
        </w:rPr>
        <w:t>vigente.</w:t>
      </w:r>
    </w:p>
    <w:p w14:paraId="28735569" w14:textId="77777777" w:rsidR="006158B5" w:rsidRPr="002B2CFF" w:rsidRDefault="006158B5" w:rsidP="006158B5">
      <w:pPr>
        <w:ind w:right="1"/>
        <w:jc w:val="both"/>
        <w:rPr>
          <w:rFonts w:ascii="Palatino Linotype" w:eastAsia="Palatino Linotype" w:hAnsi="Palatino Linotype" w:cs="Palatino Linotype"/>
          <w:b/>
          <w:bCs/>
        </w:rPr>
      </w:pPr>
    </w:p>
    <w:p w14:paraId="6BA07063" w14:textId="77777777" w:rsidR="00D96BE9" w:rsidRPr="002B2CFF" w:rsidRDefault="00D96BE9" w:rsidP="00D96BE9">
      <w:pPr>
        <w:pStyle w:val="Prrafodelista"/>
        <w:spacing w:line="360" w:lineRule="auto"/>
        <w:ind w:left="0"/>
        <w:jc w:val="both"/>
        <w:rPr>
          <w:rFonts w:ascii="Palatino Linotype" w:hAnsi="Palatino Linotype"/>
          <w:sz w:val="24"/>
        </w:rPr>
      </w:pPr>
    </w:p>
    <w:p w14:paraId="05047E9A" w14:textId="77777777" w:rsidR="00D96BE9" w:rsidRPr="002B2CFF" w:rsidRDefault="00D96BE9" w:rsidP="00D96BE9">
      <w:pPr>
        <w:numPr>
          <w:ilvl w:val="0"/>
          <w:numId w:val="1"/>
        </w:numPr>
        <w:spacing w:line="360" w:lineRule="auto"/>
        <w:ind w:left="0" w:right="1" w:firstLine="0"/>
        <w:jc w:val="both"/>
        <w:rPr>
          <w:rFonts w:ascii="Palatino Linotype" w:hAnsi="Palatino Linotype" w:cs="Arial"/>
          <w:bCs/>
          <w:color w:val="555555"/>
        </w:rPr>
      </w:pPr>
      <w:r w:rsidRPr="002B2CFF">
        <w:rPr>
          <w:rFonts w:ascii="Palatino Linotype" w:hAnsi="Palatino Linotype" w:cs="Arial"/>
        </w:rPr>
        <w:lastRenderedPageBreak/>
        <w:t xml:space="preserve">Al </w:t>
      </w:r>
      <w:r w:rsidRPr="002B2CFF">
        <w:rPr>
          <w:rFonts w:ascii="Palatino Linotype" w:eastAsia="Calibri" w:hAnsi="Palatino Linotype" w:cs="Arial"/>
        </w:rPr>
        <w:t>respecto</w:t>
      </w:r>
      <w:r w:rsidRPr="002B2CFF">
        <w:rPr>
          <w:rFonts w:ascii="Palatino Linotype" w:hAnsi="Palatino Linotype" w:cs="Arial"/>
        </w:rPr>
        <w:t xml:space="preserve"> </w:t>
      </w:r>
      <w:r w:rsidRPr="002B2CFF">
        <w:rPr>
          <w:rFonts w:ascii="Palatino Linotype" w:hAnsi="Palatino Linotype" w:cs="Arial"/>
          <w:bCs/>
          <w:color w:val="000000"/>
        </w:rPr>
        <w:t xml:space="preserve">resulta necesario precisar que cuando el medio de impugnación, se haya interpuesto antes que inicie el término para tal efecto, resulta insuficiente para tener por </w:t>
      </w:r>
      <w:r w:rsidRPr="002B2CFF">
        <w:rPr>
          <w:rFonts w:ascii="Palatino Linotype" w:eastAsia="Palatino Linotype" w:hAnsi="Palatino Linotype" w:cs="Palatino Linotype"/>
        </w:rPr>
        <w:t>extemporáneo</w:t>
      </w:r>
      <w:r w:rsidRPr="002B2CFF">
        <w:rPr>
          <w:rFonts w:ascii="Palatino Linotype" w:hAnsi="Palatino Linotype" w:cs="Arial"/>
          <w:bCs/>
          <w:color w:val="000000"/>
        </w:rPr>
        <w:t xml:space="preserve">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esta fue notificada. Por lo que es de señalar que en aras de privilegiar el derecho de acceso a la información se entra al estudio del presente recurso de revisión sin que la fecha en que se presentó afecte la resolución.</w:t>
      </w:r>
    </w:p>
    <w:p w14:paraId="18799E82" w14:textId="77777777" w:rsidR="00D96BE9" w:rsidRPr="002B2CFF" w:rsidRDefault="00D96BE9" w:rsidP="00D96BE9">
      <w:pPr>
        <w:spacing w:line="360" w:lineRule="auto"/>
        <w:ind w:left="360" w:hanging="360"/>
        <w:contextualSpacing/>
        <w:rPr>
          <w:rFonts w:ascii="Palatino Linotype" w:hAnsi="Palatino Linotype" w:cs="Arial"/>
        </w:rPr>
      </w:pPr>
    </w:p>
    <w:p w14:paraId="0CC29C6C" w14:textId="77777777" w:rsidR="00D96BE9" w:rsidRPr="002B2CFF" w:rsidRDefault="00D96BE9" w:rsidP="00D96BE9">
      <w:pPr>
        <w:numPr>
          <w:ilvl w:val="0"/>
          <w:numId w:val="1"/>
        </w:numPr>
        <w:spacing w:line="360" w:lineRule="auto"/>
        <w:ind w:left="0" w:right="1" w:firstLine="0"/>
        <w:jc w:val="both"/>
        <w:rPr>
          <w:rFonts w:ascii="Palatino Linotype" w:hAnsi="Palatino Linotype" w:cs="Arial"/>
          <w:bCs/>
          <w:color w:val="555555"/>
        </w:rPr>
      </w:pPr>
      <w:r w:rsidRPr="002B2CFF">
        <w:rPr>
          <w:rFonts w:ascii="Palatino Linotype" w:hAnsi="Palatino Linotype" w:cs="Arial"/>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14:paraId="20F7A1BE" w14:textId="77777777" w:rsidR="00D96BE9" w:rsidRPr="002B2CFF" w:rsidRDefault="00D96BE9" w:rsidP="00D96BE9">
      <w:pPr>
        <w:tabs>
          <w:tab w:val="left" w:pos="3670"/>
        </w:tabs>
        <w:spacing w:line="360" w:lineRule="auto"/>
        <w:ind w:left="720"/>
        <w:contextualSpacing/>
        <w:rPr>
          <w:rFonts w:ascii="Palatino Linotype" w:hAnsi="Palatino Linotype" w:cs="Arial"/>
          <w:bCs/>
          <w:color w:val="555555"/>
        </w:rPr>
      </w:pPr>
      <w:r w:rsidRPr="002B2CFF">
        <w:rPr>
          <w:rFonts w:ascii="Palatino Linotype" w:hAnsi="Palatino Linotype" w:cs="Arial"/>
          <w:bCs/>
          <w:color w:val="555555"/>
        </w:rPr>
        <w:tab/>
      </w:r>
    </w:p>
    <w:p w14:paraId="5704CCF0" w14:textId="77777777" w:rsidR="00D96BE9" w:rsidRPr="002B2CFF" w:rsidRDefault="00D96BE9" w:rsidP="00D96BE9">
      <w:pPr>
        <w:ind w:left="1134" w:right="1389"/>
        <w:contextualSpacing/>
        <w:jc w:val="both"/>
        <w:rPr>
          <w:rFonts w:ascii="Palatino Linotype" w:hAnsi="Palatino Linotype" w:cs="Arial"/>
          <w:i/>
        </w:rPr>
      </w:pPr>
      <w:r w:rsidRPr="002B2CFF">
        <w:rPr>
          <w:rFonts w:ascii="Palatino Linotype" w:hAnsi="Palatino Linotype" w:cs="Arial"/>
          <w:b/>
          <w:i/>
        </w:rPr>
        <w:t>“RECURSO DE RECLAMACIÓN. SU INTERPOSICIÓN NO ES EXTEMPORÁNEA SI SE REALIZA ANTES DE QUE INICIE EL PLAZO PARA HACERLO</w:t>
      </w:r>
      <w:r w:rsidRPr="002B2CFF">
        <w:rPr>
          <w:rFonts w:ascii="Palatino Linotype" w:hAnsi="Palatino Linotype" w:cs="Arial"/>
          <w:i/>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6E370800" w14:textId="77777777" w:rsidR="00D96BE9" w:rsidRPr="002B2CFF" w:rsidRDefault="00D96BE9" w:rsidP="00D96BE9">
      <w:pPr>
        <w:spacing w:line="360" w:lineRule="auto"/>
        <w:ind w:left="426" w:right="616"/>
        <w:contextualSpacing/>
        <w:jc w:val="both"/>
        <w:rPr>
          <w:rFonts w:ascii="Palatino Linotype" w:hAnsi="Palatino Linotype" w:cs="Arial"/>
          <w:i/>
        </w:rPr>
      </w:pPr>
    </w:p>
    <w:p w14:paraId="503AC8A8" w14:textId="77777777" w:rsidR="00D96BE9" w:rsidRPr="002B2CFF" w:rsidRDefault="00D96BE9" w:rsidP="00D96BE9">
      <w:pPr>
        <w:numPr>
          <w:ilvl w:val="0"/>
          <w:numId w:val="1"/>
        </w:numPr>
        <w:spacing w:line="360" w:lineRule="auto"/>
        <w:ind w:left="0" w:right="1" w:firstLine="0"/>
        <w:jc w:val="both"/>
        <w:rPr>
          <w:rFonts w:ascii="Palatino Linotype" w:hAnsi="Palatino Linotype" w:cs="Arial"/>
          <w:i/>
        </w:rPr>
      </w:pPr>
      <w:r w:rsidRPr="002B2CFF">
        <w:rPr>
          <w:rFonts w:ascii="Palatino Linotype" w:hAnsi="Palatino Linotype" w:cs="Arial"/>
        </w:rPr>
        <w:t>Esto</w:t>
      </w:r>
      <w:r w:rsidRPr="002B2CFF">
        <w:rPr>
          <w:rFonts w:ascii="Palatino Linotype" w:hAnsi="Palatino Linotype"/>
        </w:rPr>
        <w:t xml:space="preserve"> es así porque en primer lugar es necesario que </w:t>
      </w:r>
      <w:r w:rsidRPr="002B2CFF">
        <w:rPr>
          <w:rFonts w:ascii="Palatino Linotype" w:hAnsi="Palatino Linotype"/>
          <w:b/>
        </w:rPr>
        <w:t>EL RECURRENTE</w:t>
      </w:r>
      <w:r w:rsidRPr="002B2CFF">
        <w:rPr>
          <w:rFonts w:ascii="Palatino Linotype" w:hAnsi="Palatino Linotype"/>
        </w:rPr>
        <w:t xml:space="preserve"> conozca el acto </w:t>
      </w:r>
      <w:r w:rsidRPr="002B2CFF">
        <w:rPr>
          <w:rFonts w:ascii="Palatino Linotype" w:eastAsia="Palatino Linotype" w:hAnsi="Palatino Linotype" w:cs="Palatino Linotype"/>
        </w:rPr>
        <w:t>que</w:t>
      </w:r>
      <w:r w:rsidRPr="002B2CFF">
        <w:rPr>
          <w:rFonts w:ascii="Palatino Linotype" w:hAnsi="Palatino Linotype"/>
        </w:rPr>
        <w:t xml:space="preserve"> le provoca agravio y a partir de ahí formular su recurso de revisión </w:t>
      </w:r>
      <w:r w:rsidRPr="002B2CFF">
        <w:rPr>
          <w:rFonts w:ascii="Palatino Linotype" w:hAnsi="Palatino Linotype" w:cs="Arial"/>
        </w:rPr>
        <w:t>señalando</w:t>
      </w:r>
      <w:r w:rsidRPr="002B2CFF">
        <w:rPr>
          <w:rFonts w:ascii="Palatino Linotype" w:hAnsi="Palatino Linotype"/>
        </w:rPr>
        <w:t xml:space="preserve"> </w:t>
      </w:r>
      <w:r w:rsidRPr="002B2CFF">
        <w:rPr>
          <w:rFonts w:ascii="Palatino Linotype" w:hAnsi="Palatino Linotype" w:cs="Arial"/>
        </w:rPr>
        <w:t>tanto</w:t>
      </w:r>
      <w:r w:rsidRPr="002B2CFF">
        <w:rPr>
          <w:rFonts w:ascii="Palatino Linotype" w:hAnsi="Palatino Linotype"/>
        </w:rPr>
        <w:t xml:space="preserve"> el </w:t>
      </w:r>
      <w:r w:rsidRPr="002B2CFF">
        <w:rPr>
          <w:rFonts w:ascii="Palatino Linotype" w:hAnsi="Palatino Linotype"/>
        </w:rPr>
        <w:lastRenderedPageBreak/>
        <w:t xml:space="preserve">acto impugnado como el motivo de inconformidad. Y si bien la ley señala que el plazo corre un día después de haber sido notificada la respuesta, en nada se afecta al proceso que el mismo día de </w:t>
      </w:r>
      <w:r w:rsidRPr="002B2CFF">
        <w:rPr>
          <w:rFonts w:ascii="Palatino Linotype" w:hAnsi="Palatino Linotype"/>
          <w:b/>
        </w:rPr>
        <w:t>notificada EL RECURRENTE</w:t>
      </w:r>
      <w:r w:rsidRPr="002B2CFF">
        <w:rPr>
          <w:rFonts w:ascii="Palatino Linotype" w:hAnsi="Palatino Linotype"/>
        </w:rPr>
        <w:t xml:space="preserve"> actúe, ya que al contrario lo que demuestra es el interés del mismo para ejercer su derecho bajo el principio constitucional de justicia expedita.</w:t>
      </w:r>
    </w:p>
    <w:p w14:paraId="7A30BB28" w14:textId="77777777" w:rsidR="00D96BE9" w:rsidRPr="002B2CFF" w:rsidRDefault="00D96BE9" w:rsidP="00D96BE9">
      <w:pPr>
        <w:tabs>
          <w:tab w:val="left" w:pos="0"/>
        </w:tabs>
        <w:spacing w:line="360" w:lineRule="auto"/>
        <w:ind w:left="360" w:right="49" w:hanging="360"/>
        <w:contextualSpacing/>
        <w:jc w:val="both"/>
        <w:rPr>
          <w:rFonts w:ascii="Palatino Linotype" w:hAnsi="Palatino Linotype" w:cs="Arial"/>
          <w:i/>
        </w:rPr>
      </w:pPr>
    </w:p>
    <w:p w14:paraId="3A88DD7A" w14:textId="77777777" w:rsidR="00D96BE9" w:rsidRPr="002B2CFF" w:rsidRDefault="00D96BE9" w:rsidP="00D96BE9">
      <w:pPr>
        <w:numPr>
          <w:ilvl w:val="0"/>
          <w:numId w:val="1"/>
        </w:numPr>
        <w:spacing w:line="360" w:lineRule="auto"/>
        <w:ind w:left="0" w:right="1" w:firstLine="0"/>
        <w:jc w:val="both"/>
        <w:rPr>
          <w:rFonts w:ascii="Palatino Linotype" w:hAnsi="Palatino Linotype" w:cs="Arial"/>
          <w:i/>
        </w:rPr>
      </w:pPr>
      <w:r w:rsidRPr="002B2CFF">
        <w:rPr>
          <w:rFonts w:ascii="Palatino Linotype" w:hAnsi="Palatino Linotype"/>
        </w:rPr>
        <w:t xml:space="preserve">Por lo que la presentación del recurso, el mismo día del conocimiento de la respuesta, -se </w:t>
      </w:r>
      <w:r w:rsidRPr="002B2CFF">
        <w:rPr>
          <w:rFonts w:ascii="Palatino Linotype" w:eastAsia="Palatino Linotype" w:hAnsi="Palatino Linotype" w:cs="Palatino Linotype"/>
        </w:rPr>
        <w:t>insiste</w:t>
      </w:r>
      <w:r w:rsidRPr="002B2CFF">
        <w:rPr>
          <w:rFonts w:ascii="Palatino Linotype" w:hAnsi="Palatino Linotype"/>
        </w:rPr>
        <w:t>- no constituye un acto que altere el procedimiento, solo permite su gestión de manera rápida lo que no afecta ningún principio procesal y es protector del derecho de acceso a la justicia pronta y expedita.</w:t>
      </w:r>
    </w:p>
    <w:p w14:paraId="2FA5532F" w14:textId="77777777" w:rsidR="00D96BE9" w:rsidRPr="002B2CFF" w:rsidRDefault="00D96BE9" w:rsidP="00D96BE9">
      <w:pPr>
        <w:spacing w:line="360" w:lineRule="auto"/>
        <w:ind w:left="360" w:hanging="360"/>
        <w:contextualSpacing/>
        <w:rPr>
          <w:rFonts w:ascii="Palatino Linotype" w:hAnsi="Palatino Linotype"/>
        </w:rPr>
      </w:pPr>
    </w:p>
    <w:p w14:paraId="7474FEF3" w14:textId="77777777" w:rsidR="000F149E" w:rsidRPr="002B2CFF" w:rsidRDefault="00D96BE9" w:rsidP="00D96BE9">
      <w:pPr>
        <w:numPr>
          <w:ilvl w:val="0"/>
          <w:numId w:val="1"/>
        </w:numPr>
        <w:spacing w:line="360" w:lineRule="auto"/>
        <w:ind w:left="0" w:right="1" w:firstLine="0"/>
        <w:jc w:val="both"/>
        <w:rPr>
          <w:rFonts w:ascii="Palatino Linotype" w:hAnsi="Palatino Linotype" w:cs="Arial"/>
          <w:i/>
        </w:rPr>
      </w:pPr>
      <w:r w:rsidRPr="002B2CFF">
        <w:rPr>
          <w:rFonts w:ascii="Palatino Linotype" w:hAnsi="Palatino Linotype"/>
        </w:rPr>
        <w:t xml:space="preserve">Por lo tanto, la interposición del recurso de revisión antes de que inicie el plazo para su </w:t>
      </w:r>
      <w:r w:rsidRPr="002B2CFF">
        <w:rPr>
          <w:rFonts w:ascii="Palatino Linotype" w:eastAsia="Palatino Linotype" w:hAnsi="Palatino Linotype" w:cs="Palatino Linotype"/>
        </w:rPr>
        <w:t>presentación</w:t>
      </w:r>
      <w:r w:rsidRPr="002B2CFF">
        <w:rPr>
          <w:rFonts w:ascii="Palatino Linotype" w:hAnsi="Palatino Linotype"/>
        </w:rPr>
        <w:t xml:space="preserve"> no es determinante para declararlo extemporáneo, siempre y cuando ello ocurra de manera posterior a que se ha notificado la respuesta del </w:t>
      </w:r>
      <w:r w:rsidRPr="002B2CFF">
        <w:rPr>
          <w:rFonts w:ascii="Palatino Linotype" w:hAnsi="Palatino Linotype"/>
          <w:b/>
        </w:rPr>
        <w:t>SUJETO OBLIGADO.</w:t>
      </w:r>
    </w:p>
    <w:p w14:paraId="4765980E" w14:textId="77777777" w:rsidR="000F149E" w:rsidRPr="002B2CFF" w:rsidRDefault="000F149E" w:rsidP="000F149E">
      <w:pPr>
        <w:pStyle w:val="Prrafodelista"/>
        <w:rPr>
          <w:rFonts w:ascii="Palatino Linotype" w:eastAsia="Palatino Linotype" w:hAnsi="Palatino Linotype" w:cs="Palatino Linotype"/>
          <w:sz w:val="24"/>
        </w:rPr>
      </w:pPr>
    </w:p>
    <w:p w14:paraId="1F871A98"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1D13F3F7" w14:textId="77777777" w:rsidR="006158B5" w:rsidRPr="002B2CFF" w:rsidRDefault="006158B5" w:rsidP="006158B5">
      <w:pPr>
        <w:ind w:right="-592"/>
        <w:jc w:val="both"/>
        <w:rPr>
          <w:rFonts w:ascii="Palatino Linotype" w:eastAsia="Palatino Linotype" w:hAnsi="Palatino Linotype" w:cs="Palatino Linotype"/>
          <w:b/>
          <w:bCs/>
        </w:rPr>
      </w:pPr>
    </w:p>
    <w:p w14:paraId="21830DCB" w14:textId="77777777" w:rsidR="006158B5" w:rsidRPr="002B2CFF" w:rsidRDefault="006158B5" w:rsidP="006158B5">
      <w:pPr>
        <w:spacing w:line="360" w:lineRule="auto"/>
        <w:ind w:right="-592"/>
        <w:jc w:val="both"/>
        <w:rPr>
          <w:rFonts w:ascii="Palatino Linotype" w:eastAsia="Palatino Linotype" w:hAnsi="Palatino Linotype" w:cs="Palatino Linotype"/>
          <w:b/>
          <w:bCs/>
        </w:rPr>
      </w:pPr>
      <w:r w:rsidRPr="002B2CFF">
        <w:rPr>
          <w:rFonts w:ascii="Palatino Linotype" w:eastAsia="Palatino Linotype" w:hAnsi="Palatino Linotype" w:cs="Palatino Linotype"/>
          <w:b/>
          <w:bCs/>
        </w:rPr>
        <w:t>TERCERO. Del Planteamiento de la Litis.</w:t>
      </w:r>
    </w:p>
    <w:p w14:paraId="271C4EBF"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Cs/>
        </w:rPr>
      </w:pPr>
      <w:bookmarkStart w:id="4" w:name="_heading=h.sg69pjfuscz6" w:colFirst="0" w:colLast="0"/>
      <w:bookmarkStart w:id="5" w:name="_Hlk224733484"/>
      <w:bookmarkEnd w:id="4"/>
      <w:r w:rsidRPr="002B2CFF">
        <w:rPr>
          <w:rFonts w:ascii="Palatino Linotype" w:eastAsia="Palatino Linotype" w:hAnsi="Palatino Linotype" w:cs="Palatino Linotype"/>
          <w:bCs/>
        </w:rPr>
        <w:t xml:space="preserve">El </w:t>
      </w:r>
      <w:r w:rsidRPr="002B2CFF">
        <w:rPr>
          <w:rFonts w:ascii="Palatino Linotype" w:eastAsia="Palatino Linotype" w:hAnsi="Palatino Linotype" w:cs="Palatino Linotype"/>
          <w:b/>
          <w:bCs/>
        </w:rPr>
        <w:t>RECURRENTE</w:t>
      </w:r>
      <w:r w:rsidRPr="002B2CFF">
        <w:rPr>
          <w:rFonts w:ascii="Palatino Linotype" w:eastAsia="Palatino Linotype" w:hAnsi="Palatino Linotype" w:cs="Palatino Linotype"/>
          <w:bCs/>
        </w:rPr>
        <w:t xml:space="preserve"> solicitó la siguiente información. </w:t>
      </w:r>
    </w:p>
    <w:p w14:paraId="0405C4D1" w14:textId="77777777" w:rsidR="00D96BE9" w:rsidRPr="002B2CFF" w:rsidRDefault="00D96BE9" w:rsidP="00D96BE9">
      <w:pPr>
        <w:ind w:left="1134" w:right="1389"/>
        <w:jc w:val="both"/>
        <w:rPr>
          <w:rFonts w:ascii="Palatino Linotype" w:hAnsi="Palatino Linotype"/>
          <w:b/>
          <w:i/>
          <w:color w:val="000000"/>
        </w:rPr>
      </w:pPr>
      <w:r w:rsidRPr="002B2CFF">
        <w:rPr>
          <w:rFonts w:ascii="Palatino Linotype" w:hAnsi="Palatino Linotype"/>
          <w:b/>
          <w:i/>
          <w:color w:val="000000"/>
        </w:rPr>
        <w:t xml:space="preserve">1.- La lista completa de las personas servidoras públicas del H. Ayuntamiento de Tepotzotlán que, de acuerdo con la respuesta a la solicitud 00428/SECOGEM/IP/2025, fueron identificadas como “omisos” en la presentación de su declaración de situación patrimonial y de intereses correspondiente al ejercicio 2025. </w:t>
      </w:r>
    </w:p>
    <w:p w14:paraId="6C5C27B7" w14:textId="77777777" w:rsidR="00D96BE9" w:rsidRPr="002B2CFF" w:rsidRDefault="00D96BE9" w:rsidP="00D96BE9">
      <w:pPr>
        <w:ind w:left="1134" w:right="1389"/>
        <w:rPr>
          <w:rFonts w:ascii="Palatino Linotype" w:hAnsi="Palatino Linotype"/>
          <w:b/>
          <w:i/>
          <w:color w:val="000000"/>
        </w:rPr>
      </w:pPr>
      <w:r w:rsidRPr="002B2CFF">
        <w:rPr>
          <w:rFonts w:ascii="Palatino Linotype" w:hAnsi="Palatino Linotype"/>
          <w:b/>
          <w:i/>
          <w:color w:val="000000"/>
        </w:rPr>
        <w:t xml:space="preserve">2. Nombre completo de cada persona servidora pública omisa. </w:t>
      </w:r>
    </w:p>
    <w:p w14:paraId="266C949D" w14:textId="77777777" w:rsidR="00D96BE9" w:rsidRPr="002B2CFF" w:rsidRDefault="00D96BE9" w:rsidP="00D96BE9">
      <w:pPr>
        <w:ind w:left="1134" w:right="1389"/>
        <w:rPr>
          <w:rFonts w:ascii="Palatino Linotype" w:hAnsi="Palatino Linotype"/>
          <w:b/>
          <w:i/>
          <w:color w:val="000000"/>
        </w:rPr>
      </w:pPr>
      <w:r w:rsidRPr="002B2CFF">
        <w:rPr>
          <w:rFonts w:ascii="Palatino Linotype" w:hAnsi="Palatino Linotype"/>
          <w:b/>
          <w:i/>
          <w:color w:val="000000"/>
        </w:rPr>
        <w:lastRenderedPageBreak/>
        <w:t xml:space="preserve">3. Cargo y área de adscripción. </w:t>
      </w:r>
    </w:p>
    <w:p w14:paraId="2E8E0BB3" w14:textId="77777777" w:rsidR="00D96BE9" w:rsidRPr="002B2CFF" w:rsidRDefault="00D96BE9" w:rsidP="00D96BE9">
      <w:pPr>
        <w:ind w:left="1134" w:right="1389"/>
        <w:rPr>
          <w:rFonts w:ascii="Palatino Linotype" w:hAnsi="Palatino Linotype"/>
          <w:b/>
          <w:i/>
          <w:color w:val="000000"/>
        </w:rPr>
      </w:pPr>
      <w:r w:rsidRPr="002B2CFF">
        <w:rPr>
          <w:rFonts w:ascii="Palatino Linotype" w:hAnsi="Palatino Linotype"/>
          <w:b/>
          <w:i/>
          <w:color w:val="000000"/>
        </w:rPr>
        <w:t xml:space="preserve">4. Tipo de declaración incumplida (inicial, modificación y/o conclusión). </w:t>
      </w:r>
    </w:p>
    <w:p w14:paraId="1A63A281" w14:textId="77777777" w:rsidR="00D96BE9" w:rsidRPr="002B2CFF" w:rsidRDefault="00D96BE9" w:rsidP="00D96BE9">
      <w:pPr>
        <w:ind w:left="1134" w:right="1389"/>
        <w:rPr>
          <w:rFonts w:ascii="Palatino Linotype" w:hAnsi="Palatino Linotype"/>
          <w:b/>
          <w:i/>
          <w:color w:val="000000"/>
        </w:rPr>
      </w:pPr>
      <w:r w:rsidRPr="002B2CFF">
        <w:rPr>
          <w:rFonts w:ascii="Palatino Linotype" w:hAnsi="Palatino Linotype"/>
          <w:b/>
          <w:i/>
          <w:color w:val="000000"/>
        </w:rPr>
        <w:t xml:space="preserve">5. Fecha en que quedaron registradas como omisas y estatus actual. </w:t>
      </w:r>
    </w:p>
    <w:p w14:paraId="7B5DE57C" w14:textId="77777777" w:rsidR="00D96BE9" w:rsidRPr="002B2CFF" w:rsidRDefault="00D96BE9" w:rsidP="00D96BE9">
      <w:pPr>
        <w:ind w:left="1134" w:right="1389"/>
        <w:rPr>
          <w:rFonts w:ascii="Palatino Linotype" w:hAnsi="Palatino Linotype"/>
          <w:b/>
          <w:i/>
          <w:color w:val="000000"/>
        </w:rPr>
      </w:pPr>
      <w:r w:rsidRPr="002B2CFF">
        <w:rPr>
          <w:rFonts w:ascii="Palatino Linotype" w:hAnsi="Palatino Linotype"/>
          <w:b/>
          <w:i/>
          <w:color w:val="000000"/>
        </w:rPr>
        <w:t xml:space="preserve">6. Área interna responsable de haber determinado esa omisión. </w:t>
      </w:r>
    </w:p>
    <w:p w14:paraId="5C39AFD8" w14:textId="77777777" w:rsidR="006158B5" w:rsidRPr="002B2CFF" w:rsidRDefault="006158B5" w:rsidP="006158B5">
      <w:pPr>
        <w:spacing w:line="360" w:lineRule="auto"/>
        <w:ind w:right="1"/>
        <w:jc w:val="both"/>
        <w:rPr>
          <w:rFonts w:ascii="Palatino Linotype" w:eastAsia="Palatino Linotype" w:hAnsi="Palatino Linotype" w:cs="Palatino Linotype"/>
          <w:bCs/>
        </w:rPr>
      </w:pPr>
    </w:p>
    <w:p w14:paraId="2C1BDD98"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El</w:t>
      </w:r>
      <w:r w:rsidRPr="002B2CFF">
        <w:rPr>
          <w:rFonts w:ascii="Palatino Linotype" w:eastAsia="Palatino Linotype" w:hAnsi="Palatino Linotype" w:cs="Palatino Linotype"/>
          <w:b/>
          <w:bCs/>
        </w:rPr>
        <w:t xml:space="preserve"> SUJETO OBLIGADO </w:t>
      </w:r>
      <w:r w:rsidRPr="002B2CFF">
        <w:rPr>
          <w:rFonts w:ascii="Palatino Linotype" w:eastAsia="Palatino Linotype" w:hAnsi="Palatino Linotype" w:cs="Palatino Linotype"/>
          <w:bCs/>
        </w:rPr>
        <w:t xml:space="preserve">emitió respuesta en términos del </w:t>
      </w:r>
      <w:r w:rsidRPr="002B2CFF">
        <w:rPr>
          <w:rFonts w:ascii="Palatino Linotype" w:eastAsia="Palatino Linotype" w:hAnsi="Palatino Linotype" w:cs="Palatino Linotype"/>
          <w:b/>
          <w:bCs/>
        </w:rPr>
        <w:t xml:space="preserve">párrafo </w:t>
      </w:r>
      <w:r w:rsidR="009F365E" w:rsidRPr="002B2CFF">
        <w:rPr>
          <w:rFonts w:ascii="Palatino Linotype" w:eastAsia="Palatino Linotype" w:hAnsi="Palatino Linotype" w:cs="Palatino Linotype"/>
          <w:b/>
          <w:bCs/>
        </w:rPr>
        <w:t xml:space="preserve">cuatro </w:t>
      </w:r>
      <w:r w:rsidRPr="002B2CFF">
        <w:rPr>
          <w:rFonts w:ascii="Palatino Linotype" w:eastAsia="Palatino Linotype" w:hAnsi="Palatino Linotype" w:cs="Palatino Linotype"/>
          <w:bCs/>
        </w:rPr>
        <w:t>de la presente resolución.</w:t>
      </w:r>
    </w:p>
    <w:p w14:paraId="4410C7D1" w14:textId="77777777" w:rsidR="006158B5" w:rsidRPr="002B2CFF" w:rsidRDefault="006158B5" w:rsidP="006158B5">
      <w:pPr>
        <w:spacing w:line="360" w:lineRule="auto"/>
        <w:ind w:right="1"/>
        <w:jc w:val="both"/>
        <w:rPr>
          <w:rFonts w:ascii="Palatino Linotype" w:eastAsia="Palatino Linotype" w:hAnsi="Palatino Linotype" w:cs="Palatino Linotype"/>
          <w:b/>
          <w:bCs/>
        </w:rPr>
      </w:pPr>
    </w:p>
    <w:p w14:paraId="52CE6E39"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En consecuencia, la parte</w:t>
      </w:r>
      <w:r w:rsidRPr="002B2CFF">
        <w:rPr>
          <w:rFonts w:ascii="Palatino Linotype" w:eastAsia="Palatino Linotype" w:hAnsi="Palatino Linotype" w:cs="Palatino Linotype"/>
          <w:b/>
          <w:bCs/>
        </w:rPr>
        <w:t xml:space="preserve"> RECURRENTE </w:t>
      </w:r>
      <w:r w:rsidRPr="002B2CFF">
        <w:rPr>
          <w:rFonts w:ascii="Palatino Linotype" w:eastAsia="Palatino Linotype" w:hAnsi="Palatino Linotype" w:cs="Palatino Linotype"/>
          <w:bCs/>
        </w:rPr>
        <w:t>se inconformó</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bCs/>
        </w:rPr>
        <w:t>por la</w:t>
      </w:r>
      <w:r w:rsidRPr="002B2CFF">
        <w:rPr>
          <w:rFonts w:ascii="Palatino Linotype" w:eastAsia="Palatino Linotype" w:hAnsi="Palatino Linotype" w:cs="Palatino Linotype"/>
          <w:b/>
          <w:bCs/>
        </w:rPr>
        <w:t xml:space="preserve"> </w:t>
      </w:r>
      <w:r w:rsidR="00064B5F" w:rsidRPr="002B2CFF">
        <w:rPr>
          <w:rFonts w:ascii="Palatino Linotype" w:eastAsia="Palatino Linotype" w:hAnsi="Palatino Linotype" w:cs="Palatino Linotype"/>
          <w:b/>
          <w:bCs/>
        </w:rPr>
        <w:t xml:space="preserve">negativa </w:t>
      </w:r>
      <w:r w:rsidRPr="002B2CFF">
        <w:rPr>
          <w:rFonts w:ascii="Palatino Linotype" w:eastAsia="Palatino Linotype" w:hAnsi="Palatino Linotype" w:cs="Palatino Linotype"/>
          <w:b/>
          <w:bCs/>
        </w:rPr>
        <w:t xml:space="preserve">de </w:t>
      </w:r>
      <w:r w:rsidR="00064B5F" w:rsidRPr="002B2CFF">
        <w:rPr>
          <w:rFonts w:ascii="Palatino Linotype" w:eastAsia="Palatino Linotype" w:hAnsi="Palatino Linotype" w:cs="Palatino Linotype"/>
          <w:b/>
          <w:bCs/>
        </w:rPr>
        <w:t xml:space="preserve">la información. </w:t>
      </w:r>
    </w:p>
    <w:p w14:paraId="54675D9E" w14:textId="77777777" w:rsidR="006158B5" w:rsidRPr="002B2CFF" w:rsidRDefault="006158B5" w:rsidP="006158B5">
      <w:pPr>
        <w:rPr>
          <w:rFonts w:ascii="Palatino Linotype" w:eastAsia="Palatino Linotype" w:hAnsi="Palatino Linotype" w:cs="Palatino Linotype"/>
        </w:rPr>
      </w:pPr>
    </w:p>
    <w:p w14:paraId="1C7F593B"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rPr>
        <w:t xml:space="preserve">En dichas condiciones, la </w:t>
      </w:r>
      <w:r w:rsidRPr="002B2CFF">
        <w:rPr>
          <w:rFonts w:ascii="Palatino Linotype" w:eastAsia="Palatino Linotype" w:hAnsi="Palatino Linotype" w:cs="Palatino Linotype"/>
          <w:i/>
          <w:iCs/>
        </w:rPr>
        <w:t>Litis</w:t>
      </w:r>
      <w:r w:rsidRPr="002B2CFF">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sidRPr="002B2CFF">
        <w:rPr>
          <w:rFonts w:ascii="Palatino Linotype" w:eastAsia="Palatino Linotype" w:hAnsi="Palatino Linotype" w:cs="Palatino Linotype"/>
          <w:b/>
        </w:rPr>
        <w:t xml:space="preserve">I </w:t>
      </w:r>
      <w:r w:rsidRPr="002B2CFF">
        <w:rPr>
          <w:rFonts w:ascii="Palatino Linotype" w:eastAsia="Palatino Linotype" w:hAnsi="Palatino Linotype" w:cs="Palatino Linotype"/>
        </w:rPr>
        <w:t xml:space="preserve">de la </w:t>
      </w:r>
      <w:r w:rsidRPr="002B2CFF">
        <w:rPr>
          <w:rFonts w:ascii="Palatino Linotype" w:eastAsia="Palatino Linotype" w:hAnsi="Palatino Linotype" w:cs="Palatino Linotype"/>
          <w:b/>
          <w:bCs/>
        </w:rPr>
        <w:t>Ley de Transparencia y Acceso a la Información Pública del Estado de México y Municipios</w:t>
      </w:r>
      <w:r w:rsidRPr="002B2CFF">
        <w:rPr>
          <w:rFonts w:ascii="Palatino Linotype" w:eastAsia="Palatino Linotype" w:hAnsi="Palatino Linotype" w:cs="Palatino Linotype"/>
        </w:rPr>
        <w:t>.</w:t>
      </w:r>
    </w:p>
    <w:bookmarkEnd w:id="5"/>
    <w:p w14:paraId="5C8EF650" w14:textId="77777777" w:rsidR="006158B5" w:rsidRPr="002B2CFF" w:rsidRDefault="006158B5" w:rsidP="006158B5">
      <w:pPr>
        <w:spacing w:line="360" w:lineRule="auto"/>
        <w:ind w:right="1"/>
        <w:jc w:val="both"/>
        <w:rPr>
          <w:rFonts w:ascii="Palatino Linotype" w:eastAsia="Palatino Linotype" w:hAnsi="Palatino Linotype" w:cs="Palatino Linotype"/>
          <w:b/>
          <w:bCs/>
        </w:rPr>
      </w:pPr>
    </w:p>
    <w:p w14:paraId="738C38A5" w14:textId="77777777" w:rsidR="006158B5" w:rsidRPr="002B2CFF" w:rsidRDefault="006158B5" w:rsidP="006158B5">
      <w:pPr>
        <w:pStyle w:val="Ttulo2"/>
        <w:spacing w:before="0" w:line="360" w:lineRule="auto"/>
        <w:ind w:right="1"/>
        <w:rPr>
          <w:rFonts w:ascii="Palatino Linotype" w:eastAsia="Palatino Linotype" w:hAnsi="Palatino Linotype" w:cs="Palatino Linotype"/>
          <w:b/>
          <w:bCs/>
          <w:color w:val="000000"/>
          <w:sz w:val="24"/>
          <w:szCs w:val="24"/>
        </w:rPr>
      </w:pPr>
      <w:r w:rsidRPr="002B2CFF">
        <w:rPr>
          <w:rFonts w:ascii="Palatino Linotype" w:eastAsia="Palatino Linotype" w:hAnsi="Palatino Linotype" w:cs="Palatino Linotype"/>
          <w:b/>
          <w:bCs/>
          <w:color w:val="000000"/>
          <w:sz w:val="24"/>
          <w:szCs w:val="24"/>
        </w:rPr>
        <w:t>CUARTA. Estudio y resolución del asunto.</w:t>
      </w:r>
    </w:p>
    <w:p w14:paraId="17124FC8"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Cs/>
        </w:rPr>
      </w:pPr>
      <w:r w:rsidRPr="002B2CFF">
        <w:rPr>
          <w:rFonts w:ascii="Palatino Linotype" w:eastAsia="Palatino Linotype" w:hAnsi="Palatino Linotype" w:cs="Palatino Linotype"/>
          <w:bCs/>
        </w:rPr>
        <w:t xml:space="preserve">El </w:t>
      </w:r>
      <w:r w:rsidRPr="002B2CFF">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sidRPr="002B2CFF">
        <w:rPr>
          <w:rFonts w:ascii="Palatino Linotype" w:eastAsia="Palatino Linotype" w:hAnsi="Palatino Linotype" w:cs="Palatino Linotype"/>
        </w:rPr>
        <w:t>Particular</w:t>
      </w:r>
      <w:r w:rsidRPr="002B2CFF">
        <w:rPr>
          <w:rFonts w:ascii="Palatino Linotype" w:eastAsia="Palatino Linotype" w:hAnsi="Palatino Linotype" w:cs="Palatino Linotype"/>
          <w:color w:val="000000"/>
        </w:rPr>
        <w:t xml:space="preserve"> del Estado de México.</w:t>
      </w:r>
    </w:p>
    <w:p w14:paraId="348B6640" w14:textId="77777777" w:rsidR="006158B5" w:rsidRPr="002B2CFF" w:rsidRDefault="006158B5" w:rsidP="006158B5">
      <w:pPr>
        <w:spacing w:line="360" w:lineRule="auto"/>
        <w:ind w:right="1"/>
        <w:jc w:val="both"/>
        <w:rPr>
          <w:rFonts w:ascii="Palatino Linotype" w:eastAsia="Palatino Linotype" w:hAnsi="Palatino Linotype" w:cs="Palatino Linotype"/>
          <w:bCs/>
        </w:rPr>
      </w:pPr>
    </w:p>
    <w:p w14:paraId="62DE80BC"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Cs/>
        </w:rPr>
      </w:pPr>
      <w:r w:rsidRPr="002B2CFF">
        <w:rPr>
          <w:rFonts w:ascii="Palatino Linotype" w:eastAsia="Palatino Linotype" w:hAnsi="Palatino Linotype" w:cs="Palatino Linotype"/>
          <w:color w:val="000000"/>
        </w:rPr>
        <w:t xml:space="preserve">Definiendo </w:t>
      </w:r>
      <w:r w:rsidRPr="002B2CFF">
        <w:rPr>
          <w:rFonts w:ascii="Palatino Linotype" w:eastAsia="Palatino Linotype" w:hAnsi="Palatino Linotype" w:cs="Palatino Linotype"/>
        </w:rPr>
        <w:t xml:space="preserve">el Derecho de Acceso a la Información Pública como: </w:t>
      </w:r>
      <w:r w:rsidRPr="002B2CFF">
        <w:rPr>
          <w:rFonts w:ascii="Palatino Linotype" w:eastAsia="Palatino Linotype" w:hAnsi="Palatino Linotype" w:cs="Palatino Linotype"/>
          <w:i/>
          <w:iCs/>
          <w:color w:val="000000"/>
        </w:rPr>
        <w:t xml:space="preserve">La igualdad de </w:t>
      </w:r>
      <w:r w:rsidRPr="002B2CFF">
        <w:rPr>
          <w:rFonts w:ascii="Palatino Linotype" w:eastAsia="Palatino Linotype" w:hAnsi="Palatino Linotype" w:cs="Palatino Linotype"/>
        </w:rPr>
        <w:t>oportunidades</w:t>
      </w:r>
      <w:r w:rsidRPr="002B2CFF">
        <w:rPr>
          <w:rFonts w:ascii="Palatino Linotype" w:eastAsia="Palatino Linotype" w:hAnsi="Palatino Linotype" w:cs="Palatino Linotype"/>
          <w:i/>
          <w:iCs/>
          <w:color w:val="000000"/>
        </w:rPr>
        <w:t xml:space="preserve"> para recibir, buscar e impartir información</w:t>
      </w:r>
      <w:r w:rsidRPr="002B2CFF">
        <w:rPr>
          <w:rFonts w:ascii="Palatino Linotype" w:eastAsia="Palatino Linotype" w:hAnsi="Palatino Linotype"/>
          <w:vertAlign w:val="superscript"/>
        </w:rPr>
        <w:footnoteReference w:id="1"/>
      </w:r>
      <w:r w:rsidRPr="002B2CFF">
        <w:rPr>
          <w:rFonts w:ascii="Palatino Linotype" w:eastAsia="Palatino Linotype" w:hAnsi="Palatino Linotype" w:cs="Palatino Linotype"/>
          <w:i/>
          <w:iCs/>
          <w:color w:val="000000"/>
        </w:rPr>
        <w:t xml:space="preserve">en posesión de cualquier autoridad, entidad, </w:t>
      </w:r>
      <w:r w:rsidRPr="002B2CFF">
        <w:rPr>
          <w:rFonts w:ascii="Palatino Linotype" w:eastAsia="Palatino Linotype" w:hAnsi="Palatino Linotype" w:cs="Palatino Linotype"/>
          <w:i/>
          <w:iCs/>
          <w:color w:val="000000"/>
        </w:rPr>
        <w:lastRenderedPageBreak/>
        <w:t>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B2CFF">
        <w:rPr>
          <w:rFonts w:ascii="Palatino Linotype" w:eastAsia="Palatino Linotype" w:hAnsi="Palatino Linotype"/>
          <w:vertAlign w:val="superscript"/>
        </w:rPr>
        <w:footnoteReference w:id="2"/>
      </w:r>
      <w:r w:rsidRPr="002B2CFF">
        <w:rPr>
          <w:rFonts w:ascii="Palatino Linotype" w:eastAsia="Palatino Linotype" w:hAnsi="Palatino Linotype" w:cs="Palatino Linotype"/>
          <w:color w:val="000000"/>
        </w:rPr>
        <w:t>que se constituye como una herramienta fundamental para ejercer</w:t>
      </w:r>
      <w:r w:rsidRPr="002B2CFF">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sidRPr="002B2CFF">
        <w:rPr>
          <w:rFonts w:ascii="Palatino Linotype" w:eastAsia="Palatino Linotype" w:hAnsi="Palatino Linotype"/>
          <w:vertAlign w:val="superscript"/>
        </w:rPr>
        <w:footnoteReference w:id="3"/>
      </w:r>
      <w:r w:rsidRPr="002B2CFF">
        <w:rPr>
          <w:rFonts w:ascii="Palatino Linotype" w:eastAsia="Palatino Linotype" w:hAnsi="Palatino Linotype" w:cs="Palatino Linotype"/>
          <w:color w:val="000000"/>
        </w:rPr>
        <w:t>fomentando</w:t>
      </w:r>
      <w:r w:rsidRPr="002B2CFF">
        <w:rPr>
          <w:rFonts w:ascii="Palatino Linotype" w:eastAsia="Palatino Linotype" w:hAnsi="Palatino Linotype" w:cs="Palatino Linotype"/>
          <w:i/>
          <w:iCs/>
          <w:color w:val="000000"/>
        </w:rPr>
        <w:t xml:space="preserve"> la transparencia de las actividades estatales y </w:t>
      </w:r>
      <w:r w:rsidRPr="002B2CFF">
        <w:rPr>
          <w:rFonts w:ascii="Palatino Linotype" w:eastAsia="Palatino Linotype" w:hAnsi="Palatino Linotype" w:cs="Palatino Linotype"/>
          <w:color w:val="000000"/>
        </w:rPr>
        <w:t>promoviendo</w:t>
      </w:r>
      <w:r w:rsidRPr="002B2CFF">
        <w:rPr>
          <w:rFonts w:ascii="Palatino Linotype" w:eastAsia="Palatino Linotype" w:hAnsi="Palatino Linotype" w:cs="Palatino Linotype"/>
          <w:i/>
          <w:iCs/>
          <w:color w:val="000000"/>
        </w:rPr>
        <w:t xml:space="preserve"> la responsabilidad de los funcionarios sobre su gestión pública,</w:t>
      </w:r>
      <w:r w:rsidRPr="002B2CFF">
        <w:rPr>
          <w:rFonts w:ascii="Palatino Linotype" w:eastAsia="Palatino Linotype" w:hAnsi="Palatino Linotype"/>
          <w:vertAlign w:val="superscript"/>
        </w:rPr>
        <w:footnoteReference w:id="4"/>
      </w:r>
      <w:r w:rsidRPr="002B2CFF">
        <w:rPr>
          <w:rFonts w:ascii="Palatino Linotype" w:eastAsia="Palatino Linotype" w:hAnsi="Palatino Linotype" w:cs="Palatino Linotype"/>
          <w:color w:val="000000"/>
        </w:rPr>
        <w:t>que permite</w:t>
      </w:r>
      <w:r w:rsidRPr="002B2CFF">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14:paraId="0CFDA430" w14:textId="77777777" w:rsidR="006158B5" w:rsidRPr="002B2CFF" w:rsidRDefault="006158B5" w:rsidP="006158B5">
      <w:pPr>
        <w:spacing w:line="360" w:lineRule="auto"/>
        <w:ind w:right="1"/>
        <w:jc w:val="both"/>
        <w:rPr>
          <w:rFonts w:ascii="Palatino Linotype" w:eastAsia="Palatino Linotype" w:hAnsi="Palatino Linotype" w:cs="Palatino Linotype"/>
          <w:bCs/>
        </w:rPr>
      </w:pPr>
    </w:p>
    <w:p w14:paraId="79906A86"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Cs/>
        </w:rPr>
      </w:pPr>
      <w:r w:rsidRPr="002B2CFF">
        <w:rPr>
          <w:rFonts w:ascii="Palatino Linotype" w:eastAsia="Palatino Linotype" w:hAnsi="Palatino Linotype" w:cs="Palatino Linotype"/>
          <w:color w:val="000000"/>
        </w:rPr>
        <w:t xml:space="preserve">En </w:t>
      </w:r>
      <w:r w:rsidRPr="002B2CFF">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14:paraId="34539383" w14:textId="77777777" w:rsidR="006158B5" w:rsidRPr="002B2CFF" w:rsidRDefault="006158B5" w:rsidP="006158B5">
      <w:pPr>
        <w:ind w:left="1134" w:right="1389"/>
        <w:jc w:val="both"/>
        <w:rPr>
          <w:rFonts w:ascii="Palatino Linotype" w:eastAsia="Palatino Linotype" w:hAnsi="Palatino Linotype" w:cs="Palatino Linotype"/>
          <w:b/>
          <w:bCs/>
        </w:rPr>
      </w:pPr>
    </w:p>
    <w:p w14:paraId="054ED3BF"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r w:rsidRPr="002B2CFF">
        <w:rPr>
          <w:rFonts w:ascii="Palatino Linotype" w:eastAsia="Palatino Linotype" w:hAnsi="Palatino Linotype" w:cs="Palatino Linotype"/>
          <w:b/>
          <w:bCs/>
          <w:i/>
          <w:iCs/>
        </w:rPr>
        <w:t>Artículo 1.-</w:t>
      </w:r>
      <w:r w:rsidRPr="002B2CFF">
        <w:rPr>
          <w:rFonts w:ascii="Palatino Linotype" w:eastAsia="Palatino Linotype" w:hAnsi="Palatino Linotype" w:cs="Palatino Linotype"/>
          <w:i/>
          <w:iCs/>
        </w:rPr>
        <w:t xml:space="preserve"> </w:t>
      </w:r>
    </w:p>
    <w:p w14:paraId="3C1E00FB"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p>
    <w:p w14:paraId="661878AB"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Todas las</w:t>
      </w:r>
      <w:r w:rsidRPr="002B2CFF">
        <w:rPr>
          <w:rFonts w:ascii="Palatino Linotype" w:eastAsia="Palatino Linotype" w:hAnsi="Palatino Linotype" w:cs="Palatino Linotype"/>
        </w:rPr>
        <w:t xml:space="preserve"> </w:t>
      </w:r>
      <w:r w:rsidRPr="002B2CFF">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53DA3001" w14:textId="77777777" w:rsidR="006158B5" w:rsidRPr="002B2CFF" w:rsidRDefault="006158B5" w:rsidP="006158B5">
      <w:pPr>
        <w:ind w:left="1134" w:right="1389"/>
        <w:jc w:val="both"/>
        <w:rPr>
          <w:rFonts w:ascii="Palatino Linotype" w:eastAsia="Palatino Linotype" w:hAnsi="Palatino Linotype" w:cs="Palatino Linotype"/>
        </w:rPr>
      </w:pPr>
      <w:r w:rsidRPr="002B2CFF">
        <w:rPr>
          <w:rFonts w:ascii="Palatino Linotype" w:eastAsia="Palatino Linotype" w:hAnsi="Palatino Linotype" w:cs="Palatino Linotype"/>
          <w:i/>
          <w:iCs/>
        </w:rPr>
        <w:t>(…)</w:t>
      </w:r>
      <w:r w:rsidRPr="002B2CFF">
        <w:rPr>
          <w:rFonts w:ascii="Palatino Linotype" w:eastAsia="Palatino Linotype" w:hAnsi="Palatino Linotype" w:cs="Palatino Linotype"/>
        </w:rPr>
        <w:t>”</w:t>
      </w:r>
    </w:p>
    <w:p w14:paraId="7470882D" w14:textId="77777777" w:rsidR="006158B5" w:rsidRPr="002B2CFF" w:rsidRDefault="006158B5" w:rsidP="006158B5">
      <w:pPr>
        <w:ind w:right="-592"/>
        <w:jc w:val="both"/>
        <w:rPr>
          <w:rFonts w:ascii="Palatino Linotype" w:eastAsia="Palatino Linotype" w:hAnsi="Palatino Linotype" w:cs="Palatino Linotype"/>
          <w:b/>
          <w:bCs/>
        </w:rPr>
      </w:pPr>
    </w:p>
    <w:p w14:paraId="1C25232E" w14:textId="77777777" w:rsidR="006158B5" w:rsidRPr="002B2CFF" w:rsidRDefault="006158B5" w:rsidP="006158B5">
      <w:pPr>
        <w:pStyle w:val="Prrafodelista"/>
        <w:numPr>
          <w:ilvl w:val="0"/>
          <w:numId w:val="1"/>
        </w:numPr>
        <w:spacing w:line="360" w:lineRule="auto"/>
        <w:ind w:left="0" w:right="1" w:firstLine="0"/>
        <w:jc w:val="both"/>
        <w:rPr>
          <w:rFonts w:ascii="Palatino Linotype" w:eastAsia="Palatino Linotype" w:hAnsi="Palatino Linotype" w:cs="Palatino Linotype"/>
          <w:b/>
          <w:bCs/>
          <w:sz w:val="24"/>
        </w:rPr>
      </w:pPr>
      <w:r w:rsidRPr="002B2CFF">
        <w:rPr>
          <w:rFonts w:ascii="Palatino Linotype" w:eastAsia="Palatino Linotype" w:hAnsi="Palatino Linotype" w:cs="Palatino Linotype"/>
          <w:color w:val="000000"/>
          <w:sz w:val="24"/>
        </w:rPr>
        <w:lastRenderedPageBreak/>
        <w:t xml:space="preserve">Por </w:t>
      </w:r>
      <w:r w:rsidRPr="002B2CFF">
        <w:rPr>
          <w:rFonts w:ascii="Palatino Linotype" w:eastAsia="Palatino Linotype" w:hAnsi="Palatino Linotype" w:cs="Palatino Linotype"/>
          <w:sz w:val="24"/>
        </w:rPr>
        <w:t>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14:paraId="57C366DD" w14:textId="77777777" w:rsidR="006158B5" w:rsidRPr="002B2CFF" w:rsidRDefault="006158B5" w:rsidP="006158B5">
      <w:pPr>
        <w:ind w:right="1"/>
        <w:jc w:val="both"/>
        <w:rPr>
          <w:rFonts w:ascii="Palatino Linotype" w:eastAsia="Palatino Linotype" w:hAnsi="Palatino Linotype" w:cs="Palatino Linotype"/>
          <w:b/>
          <w:bCs/>
        </w:rPr>
      </w:pPr>
    </w:p>
    <w:p w14:paraId="7E4E0D3D"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color w:val="000000"/>
        </w:rPr>
        <w:t xml:space="preserve">Así </w:t>
      </w:r>
      <w:r w:rsidRPr="002B2CFF">
        <w:rPr>
          <w:rFonts w:ascii="Palatino Linotype" w:eastAsia="Palatino Linotype" w:hAnsi="Palatino Linotype" w:cs="Palatino Linotype"/>
        </w:rPr>
        <w:t>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14:paraId="135EDF04" w14:textId="77777777" w:rsidR="006158B5" w:rsidRPr="002B2CFF" w:rsidRDefault="006158B5" w:rsidP="006158B5">
      <w:pPr>
        <w:rPr>
          <w:rFonts w:ascii="Palatino Linotype" w:eastAsia="Palatino Linotype" w:hAnsi="Palatino Linotype" w:cs="Palatino Linotype"/>
          <w:b/>
          <w:bCs/>
        </w:rPr>
      </w:pPr>
    </w:p>
    <w:p w14:paraId="399E47B0" w14:textId="77777777" w:rsidR="006158B5" w:rsidRPr="002B2CFF" w:rsidRDefault="006158B5" w:rsidP="006158B5">
      <w:pPr>
        <w:ind w:left="1134" w:right="1389"/>
        <w:jc w:val="both"/>
        <w:rPr>
          <w:rFonts w:ascii="Palatino Linotype" w:eastAsia="Palatino Linotype" w:hAnsi="Palatino Linotype" w:cs="Palatino Linotype"/>
          <w:b/>
          <w:bCs/>
          <w:i/>
          <w:iCs/>
        </w:rPr>
      </w:pPr>
      <w:r w:rsidRPr="002B2CFF">
        <w:rPr>
          <w:rFonts w:ascii="Palatino Linotype" w:eastAsia="Palatino Linotype" w:hAnsi="Palatino Linotype" w:cs="Palatino Linotype"/>
          <w:b/>
          <w:bCs/>
          <w:i/>
          <w:iCs/>
        </w:rPr>
        <w:t>Constitución Política de los Estados Unidos Mexicanos</w:t>
      </w:r>
    </w:p>
    <w:p w14:paraId="0830FD5D" w14:textId="77777777" w:rsidR="006158B5" w:rsidRPr="002B2CFF" w:rsidRDefault="006158B5" w:rsidP="006158B5">
      <w:pPr>
        <w:ind w:left="1134" w:right="1389"/>
        <w:jc w:val="both"/>
        <w:rPr>
          <w:rFonts w:ascii="Palatino Linotype" w:eastAsia="Palatino Linotype" w:hAnsi="Palatino Linotype" w:cs="Palatino Linotype"/>
          <w:b/>
          <w:bCs/>
          <w:i/>
          <w:iCs/>
        </w:rPr>
      </w:pPr>
    </w:p>
    <w:p w14:paraId="5A7484C4" w14:textId="77777777" w:rsidR="006158B5" w:rsidRPr="002B2CFF" w:rsidRDefault="006158B5" w:rsidP="006158B5">
      <w:pPr>
        <w:ind w:left="1134" w:right="1389"/>
        <w:jc w:val="both"/>
        <w:rPr>
          <w:rFonts w:ascii="Palatino Linotype" w:eastAsia="Palatino Linotype" w:hAnsi="Palatino Linotype" w:cs="Palatino Linotype"/>
          <w:b/>
          <w:bCs/>
          <w:i/>
          <w:iCs/>
        </w:rPr>
      </w:pPr>
      <w:r w:rsidRPr="002B2CFF">
        <w:rPr>
          <w:rFonts w:ascii="Palatino Linotype" w:eastAsia="Palatino Linotype" w:hAnsi="Palatino Linotype" w:cs="Palatino Linotype"/>
          <w:b/>
          <w:bCs/>
          <w:i/>
          <w:iCs/>
        </w:rPr>
        <w:t>“Artículo 6.</w:t>
      </w:r>
      <w:r w:rsidRPr="002B2CFF">
        <w:rPr>
          <w:rFonts w:ascii="Palatino Linotype" w:eastAsia="Palatino Linotype" w:hAnsi="Palatino Linotype" w:cs="Palatino Linotype"/>
          <w:i/>
          <w:iCs/>
        </w:rPr>
        <w:t xml:space="preserve"> …</w:t>
      </w:r>
    </w:p>
    <w:p w14:paraId="431644F2"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p>
    <w:p w14:paraId="485FC76A"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Para efectos de lo dispuesto en el presente artículo se observará lo siguiente:</w:t>
      </w:r>
    </w:p>
    <w:p w14:paraId="1D71FCA2" w14:textId="77777777" w:rsidR="006158B5" w:rsidRPr="002B2CFF" w:rsidRDefault="006158B5" w:rsidP="006158B5">
      <w:pPr>
        <w:ind w:left="1134" w:right="1389"/>
        <w:jc w:val="both"/>
        <w:rPr>
          <w:rFonts w:ascii="Palatino Linotype" w:eastAsia="Palatino Linotype" w:hAnsi="Palatino Linotype" w:cs="Palatino Linotype"/>
          <w:b/>
          <w:bCs/>
          <w:i/>
          <w:iCs/>
        </w:rPr>
      </w:pPr>
      <w:r w:rsidRPr="002B2CFF">
        <w:rPr>
          <w:rFonts w:ascii="Palatino Linotype" w:eastAsia="Palatino Linotype" w:hAnsi="Palatino Linotype" w:cs="Palatino Linotype"/>
          <w:b/>
          <w:bCs/>
          <w:i/>
          <w:iCs/>
        </w:rPr>
        <w:t>A</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Para el ejercicio del derecho de acceso a la información</w:t>
      </w:r>
      <w:r w:rsidRPr="002B2CFF">
        <w:rPr>
          <w:rFonts w:ascii="Palatino Linotype" w:eastAsia="Palatino Linotype" w:hAnsi="Palatino Linotype" w:cs="Palatino Linotype"/>
          <w:i/>
          <w:iCs/>
        </w:rPr>
        <w:t xml:space="preserve">, la Federación y </w:t>
      </w:r>
      <w:r w:rsidRPr="002B2CFF">
        <w:rPr>
          <w:rFonts w:ascii="Palatino Linotype" w:eastAsia="Palatino Linotype" w:hAnsi="Palatino Linotype" w:cs="Palatino Linotype"/>
          <w:b/>
          <w:bCs/>
          <w:i/>
          <w:iCs/>
        </w:rPr>
        <w:t>las entidades federativas, en el ámbito de sus respectivas competencias, se regirán por los siguientes principios y bases:</w:t>
      </w:r>
    </w:p>
    <w:p w14:paraId="38F5A580"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 xml:space="preserve">I. </w:t>
      </w:r>
      <w:r w:rsidRPr="002B2CFF">
        <w:rPr>
          <w:rFonts w:ascii="Palatino Linotype" w:eastAsia="Palatino Linotype" w:hAnsi="Palatino Linotype" w:cs="Palatino Linotype"/>
          <w:b/>
          <w:bCs/>
          <w:i/>
          <w:iCs/>
        </w:rPr>
        <w:tab/>
        <w:t>Toda la información en posesión de cualquier</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autoridad</w:t>
      </w:r>
      <w:r w:rsidRPr="002B2CFF">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B2CFF">
        <w:rPr>
          <w:rFonts w:ascii="Palatino Linotype" w:eastAsia="Palatino Linotype" w:hAnsi="Palatino Linotype" w:cs="Palatino Linotype"/>
          <w:b/>
          <w:bCs/>
          <w:i/>
          <w:iCs/>
        </w:rPr>
        <w:t>municipal</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es pública</w:t>
      </w:r>
      <w:r w:rsidRPr="002B2CFF">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2B2CFF">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2B2CFF">
        <w:rPr>
          <w:rFonts w:ascii="Palatino Linotype" w:eastAsia="Palatino Linotype" w:hAnsi="Palatino Linotype" w:cs="Palatino Linotype"/>
          <w:i/>
          <w:iCs/>
        </w:rPr>
        <w:t>, la ley determinará los supuestos específicos bajo los cuales procederá la declaración de inexistencia de la información.”</w:t>
      </w:r>
    </w:p>
    <w:p w14:paraId="42DAE063" w14:textId="77777777" w:rsidR="006158B5" w:rsidRPr="002B2CFF" w:rsidRDefault="006158B5" w:rsidP="006158B5">
      <w:pPr>
        <w:tabs>
          <w:tab w:val="left" w:pos="426"/>
          <w:tab w:val="left" w:pos="567"/>
        </w:tabs>
        <w:ind w:left="1134" w:right="1389"/>
        <w:jc w:val="both"/>
        <w:rPr>
          <w:rFonts w:ascii="Palatino Linotype" w:eastAsia="Palatino Linotype" w:hAnsi="Palatino Linotype" w:cs="Palatino Linotype"/>
          <w:color w:val="000000"/>
        </w:rPr>
      </w:pPr>
    </w:p>
    <w:p w14:paraId="61DF1B57" w14:textId="77777777" w:rsidR="006158B5" w:rsidRPr="002B2CFF" w:rsidRDefault="006158B5" w:rsidP="006158B5">
      <w:pPr>
        <w:ind w:left="1134" w:right="1389"/>
        <w:jc w:val="both"/>
        <w:rPr>
          <w:rFonts w:ascii="Palatino Linotype" w:eastAsia="Palatino Linotype" w:hAnsi="Palatino Linotype" w:cs="Palatino Linotype"/>
          <w:b/>
          <w:bCs/>
          <w:i/>
          <w:iCs/>
        </w:rPr>
      </w:pPr>
      <w:r w:rsidRPr="002B2CFF">
        <w:rPr>
          <w:rFonts w:ascii="Palatino Linotype" w:eastAsia="Palatino Linotype" w:hAnsi="Palatino Linotype" w:cs="Palatino Linotype"/>
          <w:b/>
          <w:bCs/>
          <w:i/>
          <w:iCs/>
        </w:rPr>
        <w:lastRenderedPageBreak/>
        <w:t>Constitución Política del Estado Libre y Soberano de México</w:t>
      </w:r>
    </w:p>
    <w:p w14:paraId="4728CF97"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“Artículo 5</w:t>
      </w:r>
      <w:r w:rsidRPr="002B2CFF">
        <w:rPr>
          <w:rFonts w:ascii="Palatino Linotype" w:eastAsia="Palatino Linotype" w:hAnsi="Palatino Linotype" w:cs="Palatino Linotype"/>
          <w:i/>
          <w:iCs/>
        </w:rPr>
        <w:t>.-…</w:t>
      </w:r>
    </w:p>
    <w:p w14:paraId="03B0BEC8"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p>
    <w:p w14:paraId="2E93B9DA"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2B2CFF">
        <w:rPr>
          <w:rFonts w:ascii="Palatino Linotype" w:eastAsia="Palatino Linotype" w:hAnsi="Palatino Linotype" w:cs="Palatino Linotype"/>
          <w:i/>
          <w:iCs/>
        </w:rPr>
        <w:t>.</w:t>
      </w:r>
    </w:p>
    <w:p w14:paraId="744DA6B3"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62011E4E" w14:textId="77777777" w:rsidR="006158B5" w:rsidRPr="002B2CFF" w:rsidRDefault="006158B5" w:rsidP="006158B5">
      <w:pPr>
        <w:ind w:left="1134" w:right="1389"/>
        <w:jc w:val="both"/>
        <w:rPr>
          <w:rFonts w:ascii="Palatino Linotype" w:eastAsia="Palatino Linotype" w:hAnsi="Palatino Linotype" w:cs="Palatino Linotype"/>
          <w:i/>
          <w:iCs/>
        </w:rPr>
      </w:pPr>
    </w:p>
    <w:p w14:paraId="5FF48B26" w14:textId="77777777" w:rsidR="006158B5" w:rsidRPr="002B2CFF" w:rsidRDefault="006158B5" w:rsidP="006158B5">
      <w:pPr>
        <w:ind w:left="1134" w:right="1389"/>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Este derecho se regirá por los principios y bases siguientes</w:t>
      </w:r>
      <w:r w:rsidRPr="002B2CFF">
        <w:rPr>
          <w:rFonts w:ascii="Palatino Linotype" w:eastAsia="Palatino Linotype" w:hAnsi="Palatino Linotype" w:cs="Palatino Linotype"/>
          <w:i/>
          <w:iCs/>
        </w:rPr>
        <w:t>:</w:t>
      </w:r>
    </w:p>
    <w:p w14:paraId="438B1176" w14:textId="77777777" w:rsidR="006158B5" w:rsidRPr="002B2CFF" w:rsidRDefault="006158B5" w:rsidP="006158B5">
      <w:pPr>
        <w:ind w:left="1134" w:right="1389"/>
        <w:jc w:val="both"/>
        <w:rPr>
          <w:rFonts w:ascii="Palatino Linotype" w:eastAsia="Palatino Linotype" w:hAnsi="Palatino Linotype" w:cs="Palatino Linotype"/>
          <w:b/>
          <w:bCs/>
        </w:rPr>
      </w:pPr>
      <w:r w:rsidRPr="002B2CFF">
        <w:rPr>
          <w:rFonts w:ascii="Palatino Linotype" w:eastAsia="Palatino Linotype" w:hAnsi="Palatino Linotype" w:cs="Palatino Linotype"/>
          <w:b/>
          <w:bCs/>
          <w:i/>
          <w:iCs/>
        </w:rPr>
        <w:t>Toda la información en posesión de cualquier autoridad, entidad, órgano y organismos de los</w:t>
      </w:r>
      <w:r w:rsidRPr="002B2CFF">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2B2CFF">
        <w:rPr>
          <w:rFonts w:ascii="Palatino Linotype" w:eastAsia="Palatino Linotype" w:hAnsi="Palatino Linotype" w:cs="Palatino Linotype"/>
          <w:b/>
          <w:bCs/>
          <w:i/>
          <w:iCs/>
        </w:rPr>
        <w:t>municipales</w:t>
      </w:r>
      <w:r w:rsidRPr="002B2CFF">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B2CFF">
        <w:rPr>
          <w:rFonts w:ascii="Palatino Linotype" w:eastAsia="Palatino Linotype" w:hAnsi="Palatino Linotype" w:cs="Palatino Linotype"/>
          <w:b/>
          <w:bCs/>
          <w:i/>
          <w:iCs/>
        </w:rPr>
        <w:t>es pública</w:t>
      </w:r>
      <w:r w:rsidRPr="002B2CFF">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2B2CFF">
        <w:rPr>
          <w:rFonts w:ascii="Palatino Linotype" w:eastAsia="Palatino Linotype" w:hAnsi="Palatino Linotype" w:cs="Palatino Linotype"/>
          <w:b/>
          <w:bCs/>
          <w:i/>
          <w:iCs/>
        </w:rPr>
        <w:t>En la interpretación de este derecho deberá prevalecer el principio de máxima publicidad</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Los sujetos obligados deberán documentar todo acto que derive del ejercicio de sus facultades, competencias o funciones</w:t>
      </w:r>
      <w:r w:rsidRPr="002B2CFF">
        <w:rPr>
          <w:rFonts w:ascii="Palatino Linotype" w:eastAsia="Palatino Linotype" w:hAnsi="Palatino Linotype" w:cs="Palatino Linotype"/>
          <w:i/>
          <w:iCs/>
        </w:rPr>
        <w:t>, la ley determinará los supuestos específicos bajo los cuales procederá la declaración de inexistencia de la información.”</w:t>
      </w:r>
    </w:p>
    <w:p w14:paraId="4929C1D8" w14:textId="77777777" w:rsidR="006158B5" w:rsidRPr="002B2CFF" w:rsidRDefault="006158B5" w:rsidP="006158B5">
      <w:pPr>
        <w:rPr>
          <w:rFonts w:ascii="Palatino Linotype" w:eastAsia="Palatino Linotype" w:hAnsi="Palatino Linotype" w:cs="Palatino Linotype"/>
          <w:b/>
          <w:bCs/>
        </w:rPr>
      </w:pPr>
    </w:p>
    <w:p w14:paraId="61FE5D79"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color w:val="000000"/>
        </w:rPr>
        <w:t xml:space="preserve">Según </w:t>
      </w:r>
      <w:r w:rsidRPr="002B2CFF">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sidRPr="002B2CFF">
        <w:rPr>
          <w:rFonts w:ascii="Palatino Linotype" w:eastAsia="Palatino Linotype" w:hAnsi="Palatino Linotype" w:cs="Palatino Linotype"/>
          <w:i/>
          <w:iCs/>
        </w:rPr>
        <w:t>por los principios de simplicidad, rapidez gratuidad del procedimiento, auxilio y orientación a los particulares</w:t>
      </w:r>
      <w:r w:rsidRPr="002B2CFF">
        <w:rPr>
          <w:rFonts w:ascii="Palatino Linotype" w:eastAsia="Palatino Linotype" w:hAnsi="Palatino Linotype" w:cs="Palatino Linotype"/>
        </w:rPr>
        <w:t>, contemplando el derecho de las personas con discapacidad y hablantes de lengua indígena.</w:t>
      </w:r>
    </w:p>
    <w:p w14:paraId="7654DB46" w14:textId="77777777" w:rsidR="006158B5" w:rsidRPr="002B2CFF" w:rsidRDefault="006158B5" w:rsidP="006158B5">
      <w:pPr>
        <w:ind w:right="-592"/>
        <w:jc w:val="both"/>
        <w:rPr>
          <w:rFonts w:ascii="Palatino Linotype" w:eastAsia="Palatino Linotype" w:hAnsi="Palatino Linotype" w:cs="Palatino Linotype"/>
          <w:b/>
          <w:bCs/>
        </w:rPr>
      </w:pPr>
    </w:p>
    <w:p w14:paraId="306CF0FC"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color w:val="000000"/>
        </w:rPr>
        <w:lastRenderedPageBreak/>
        <w:t xml:space="preserve">El </w:t>
      </w:r>
      <w:r w:rsidRPr="002B2CFF">
        <w:rPr>
          <w:rFonts w:ascii="Palatino Linotype" w:eastAsia="Palatino Linotype" w:hAnsi="Palatino Linotype" w:cs="Palatino Linotype"/>
        </w:rPr>
        <w:t xml:space="preserve">Derecho de Acceso a la Información se garantiza y respeta oportunamente, y según lo que dispone la Ley, las </w:t>
      </w:r>
      <w:r w:rsidRPr="002B2CFF">
        <w:rPr>
          <w:rFonts w:ascii="Palatino Linotype" w:eastAsia="Palatino Linotype" w:hAnsi="Palatino Linotype" w:cs="Palatino Linotype"/>
          <w:i/>
          <w:iCs/>
        </w:rPr>
        <w:t>solicitudes de acceso a la información</w:t>
      </w:r>
      <w:r w:rsidRPr="002B2CFF">
        <w:rPr>
          <w:rFonts w:ascii="Palatino Linotype" w:eastAsia="Palatino Linotype" w:hAnsi="Palatino Linotype" w:cs="Palatino Linotype"/>
        </w:rPr>
        <w:t>.</w:t>
      </w:r>
    </w:p>
    <w:p w14:paraId="5E65C465" w14:textId="77777777" w:rsidR="006158B5" w:rsidRPr="002B2CFF" w:rsidRDefault="006158B5" w:rsidP="006158B5">
      <w:pPr>
        <w:ind w:right="1"/>
        <w:jc w:val="both"/>
        <w:rPr>
          <w:rFonts w:ascii="Palatino Linotype" w:eastAsia="Palatino Linotype" w:hAnsi="Palatino Linotype" w:cs="Palatino Linotype"/>
          <w:b/>
          <w:bCs/>
        </w:rPr>
      </w:pPr>
    </w:p>
    <w:p w14:paraId="012C3029"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color w:val="000000"/>
        </w:rPr>
        <w:t xml:space="preserve">Así </w:t>
      </w:r>
      <w:r w:rsidRPr="002B2CFF">
        <w:rPr>
          <w:rFonts w:ascii="Palatino Linotype" w:eastAsia="Palatino Linotype" w:hAnsi="Palatino Linotype" w:cs="Palatino Linotype"/>
        </w:rPr>
        <w:t xml:space="preserve">entonces, se procede analizar, en primer lugar, si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14:paraId="174043BA" w14:textId="77777777" w:rsidR="006158B5" w:rsidRPr="002B2CFF" w:rsidRDefault="006158B5" w:rsidP="006158B5">
      <w:pPr>
        <w:rPr>
          <w:rFonts w:ascii="Palatino Linotype" w:eastAsia="Palatino Linotype" w:hAnsi="Palatino Linotype" w:cs="Palatino Linotype"/>
          <w:b/>
          <w:bCs/>
        </w:rPr>
      </w:pPr>
    </w:p>
    <w:p w14:paraId="1772FE35" w14:textId="77777777" w:rsidR="006158B5" w:rsidRPr="002B2CFF" w:rsidRDefault="006158B5" w:rsidP="006158B5">
      <w:pPr>
        <w:keepNext/>
        <w:keepLines/>
        <w:numPr>
          <w:ilvl w:val="1"/>
          <w:numId w:val="2"/>
        </w:numPr>
        <w:spacing w:line="360" w:lineRule="auto"/>
        <w:ind w:left="567" w:right="-592"/>
        <w:jc w:val="both"/>
        <w:rPr>
          <w:rFonts w:ascii="Palatino Linotype" w:eastAsia="Palatino Linotype" w:hAnsi="Palatino Linotype" w:cs="Palatino Linotype"/>
          <w:b/>
          <w:bCs/>
        </w:rPr>
      </w:pPr>
      <w:r w:rsidRPr="002B2CFF">
        <w:rPr>
          <w:rFonts w:ascii="Palatino Linotype" w:eastAsia="Palatino Linotype" w:hAnsi="Palatino Linotype" w:cs="Palatino Linotype"/>
          <w:b/>
          <w:bCs/>
        </w:rPr>
        <w:t>De la información solicitada y la respuesta del SUJETO OBLIGADO.</w:t>
      </w:r>
    </w:p>
    <w:p w14:paraId="5283AD08"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bookmarkStart w:id="6" w:name="_heading=h.30j0zll" w:colFirst="0" w:colLast="0"/>
      <w:bookmarkEnd w:id="6"/>
      <w:r w:rsidRPr="002B2CFF">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2091F299" w14:textId="77777777" w:rsidR="006158B5" w:rsidRPr="002B2CFF" w:rsidRDefault="006158B5" w:rsidP="006158B5">
      <w:pPr>
        <w:spacing w:line="360" w:lineRule="auto"/>
        <w:ind w:right="1"/>
        <w:jc w:val="both"/>
        <w:rPr>
          <w:rFonts w:ascii="Palatino Linotype" w:eastAsia="Palatino Linotype" w:hAnsi="Palatino Linotype" w:cs="Palatino Linotype"/>
          <w:b/>
          <w:bCs/>
        </w:rPr>
      </w:pPr>
    </w:p>
    <w:p w14:paraId="1A149BEB"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rPr>
        <w:t xml:space="preserve">Así, resulta conveniente reiterar la información solicitada por la parte </w:t>
      </w:r>
      <w:r w:rsidRPr="002B2CFF">
        <w:rPr>
          <w:rFonts w:ascii="Palatino Linotype" w:eastAsia="Palatino Linotype" w:hAnsi="Palatino Linotype" w:cs="Palatino Linotype"/>
          <w:b/>
          <w:bCs/>
        </w:rPr>
        <w:t>RECURRENTE</w:t>
      </w:r>
      <w:r w:rsidRPr="002B2CFF">
        <w:rPr>
          <w:rFonts w:ascii="Palatino Linotype" w:eastAsia="Palatino Linotype" w:hAnsi="Palatino Linotype" w:cs="Palatino Linotype"/>
        </w:rPr>
        <w:t xml:space="preserve">, así como la respuesta emitida por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mediante el siguiente cuadro descriptivo:</w:t>
      </w:r>
    </w:p>
    <w:p w14:paraId="23AE5306" w14:textId="77777777" w:rsidR="006158B5" w:rsidRDefault="006158B5" w:rsidP="006158B5">
      <w:pPr>
        <w:spacing w:line="360" w:lineRule="auto"/>
        <w:ind w:right="1"/>
        <w:jc w:val="both"/>
        <w:rPr>
          <w:rFonts w:ascii="Palatino Linotype" w:eastAsia="Palatino Linotype" w:hAnsi="Palatino Linotype" w:cs="Palatino Linotype"/>
          <w:b/>
          <w:bCs/>
        </w:rPr>
      </w:pPr>
    </w:p>
    <w:p w14:paraId="3978A9A1" w14:textId="77777777" w:rsidR="002B2CFF" w:rsidRDefault="002B2CFF" w:rsidP="006158B5">
      <w:pPr>
        <w:spacing w:line="360" w:lineRule="auto"/>
        <w:ind w:right="1"/>
        <w:jc w:val="both"/>
        <w:rPr>
          <w:rFonts w:ascii="Palatino Linotype" w:eastAsia="Palatino Linotype" w:hAnsi="Palatino Linotype" w:cs="Palatino Linotype"/>
          <w:b/>
          <w:bCs/>
        </w:rPr>
      </w:pPr>
    </w:p>
    <w:p w14:paraId="65105FED" w14:textId="77777777" w:rsidR="002B2CFF" w:rsidRDefault="002B2CFF" w:rsidP="006158B5">
      <w:pPr>
        <w:spacing w:line="360" w:lineRule="auto"/>
        <w:ind w:right="1"/>
        <w:jc w:val="both"/>
        <w:rPr>
          <w:rFonts w:ascii="Palatino Linotype" w:eastAsia="Palatino Linotype" w:hAnsi="Palatino Linotype" w:cs="Palatino Linotype"/>
          <w:b/>
          <w:bCs/>
        </w:rPr>
      </w:pPr>
    </w:p>
    <w:p w14:paraId="369739DD" w14:textId="77777777" w:rsidR="002B2CFF" w:rsidRDefault="002B2CFF" w:rsidP="006158B5">
      <w:pPr>
        <w:spacing w:line="360" w:lineRule="auto"/>
        <w:ind w:right="1"/>
        <w:jc w:val="both"/>
        <w:rPr>
          <w:rFonts w:ascii="Palatino Linotype" w:eastAsia="Palatino Linotype" w:hAnsi="Palatino Linotype" w:cs="Palatino Linotype"/>
          <w:b/>
          <w:bCs/>
        </w:rPr>
      </w:pPr>
    </w:p>
    <w:p w14:paraId="272A98B0" w14:textId="77777777" w:rsidR="002B2CFF" w:rsidRPr="002B2CFF" w:rsidRDefault="002B2CFF" w:rsidP="006158B5">
      <w:pPr>
        <w:spacing w:line="360" w:lineRule="auto"/>
        <w:ind w:right="1"/>
        <w:jc w:val="both"/>
        <w:rPr>
          <w:rFonts w:ascii="Palatino Linotype" w:eastAsia="Palatino Linotype" w:hAnsi="Palatino Linotype" w:cs="Palatino Linotype"/>
          <w:b/>
          <w:bCs/>
        </w:rPr>
      </w:pPr>
    </w:p>
    <w:tbl>
      <w:tblPr>
        <w:tblW w:w="9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3544"/>
        <w:gridCol w:w="2830"/>
      </w:tblGrid>
      <w:tr w:rsidR="006158B5" w:rsidRPr="002B2CFF" w14:paraId="0D9563B7" w14:textId="77777777" w:rsidTr="00EE0F54">
        <w:tc>
          <w:tcPr>
            <w:tcW w:w="2972" w:type="dxa"/>
            <w:shd w:val="clear" w:color="auto" w:fill="D9D9D9"/>
          </w:tcPr>
          <w:p w14:paraId="71B3E00C" w14:textId="77777777" w:rsidR="006158B5" w:rsidRPr="002B2CFF" w:rsidRDefault="006158B5" w:rsidP="00EE0F54">
            <w:pPr>
              <w:ind w:right="1"/>
              <w:jc w:val="center"/>
              <w:rPr>
                <w:rFonts w:ascii="Palatino Linotype" w:eastAsia="Palatino Linotype" w:hAnsi="Palatino Linotype" w:cs="Palatino Linotype"/>
                <w:b/>
                <w:bCs/>
              </w:rPr>
            </w:pPr>
            <w:bookmarkStart w:id="7" w:name="_Hlk224734782"/>
            <w:r w:rsidRPr="002B2CFF">
              <w:rPr>
                <w:rFonts w:ascii="Palatino Linotype" w:eastAsia="Palatino Linotype" w:hAnsi="Palatino Linotype" w:cs="Palatino Linotype"/>
                <w:b/>
                <w:bCs/>
              </w:rPr>
              <w:lastRenderedPageBreak/>
              <w:t>Información Solicitada</w:t>
            </w:r>
          </w:p>
        </w:tc>
        <w:tc>
          <w:tcPr>
            <w:tcW w:w="3544" w:type="dxa"/>
            <w:shd w:val="clear" w:color="auto" w:fill="D9D9D9"/>
          </w:tcPr>
          <w:p w14:paraId="1CA72885" w14:textId="77777777" w:rsidR="006158B5" w:rsidRPr="002B2CFF" w:rsidRDefault="006158B5" w:rsidP="00EE0F54">
            <w:pPr>
              <w:ind w:right="1"/>
              <w:jc w:val="center"/>
              <w:rPr>
                <w:rFonts w:ascii="Palatino Linotype" w:eastAsia="Palatino Linotype" w:hAnsi="Palatino Linotype" w:cs="Palatino Linotype"/>
                <w:b/>
                <w:bCs/>
              </w:rPr>
            </w:pPr>
            <w:r w:rsidRPr="002B2CFF">
              <w:rPr>
                <w:rFonts w:ascii="Palatino Linotype" w:eastAsia="Palatino Linotype" w:hAnsi="Palatino Linotype" w:cs="Palatino Linotype"/>
                <w:b/>
                <w:bCs/>
              </w:rPr>
              <w:t>Respuesta</w:t>
            </w:r>
          </w:p>
        </w:tc>
        <w:tc>
          <w:tcPr>
            <w:tcW w:w="2830" w:type="dxa"/>
            <w:shd w:val="clear" w:color="auto" w:fill="D9D9D9"/>
          </w:tcPr>
          <w:p w14:paraId="53CA290B" w14:textId="77777777" w:rsidR="006158B5" w:rsidRPr="002B2CFF" w:rsidRDefault="006158B5" w:rsidP="00EE0F54">
            <w:pPr>
              <w:spacing w:line="360" w:lineRule="auto"/>
              <w:ind w:right="1"/>
              <w:jc w:val="center"/>
              <w:rPr>
                <w:rFonts w:ascii="Palatino Linotype" w:eastAsia="Palatino Linotype" w:hAnsi="Palatino Linotype" w:cs="Palatino Linotype"/>
                <w:b/>
                <w:bCs/>
              </w:rPr>
            </w:pPr>
            <w:r w:rsidRPr="002B2CFF">
              <w:rPr>
                <w:rFonts w:ascii="Palatino Linotype" w:eastAsia="Palatino Linotype" w:hAnsi="Palatino Linotype" w:cs="Palatino Linotype"/>
                <w:b/>
                <w:bCs/>
              </w:rPr>
              <w:t>Comentario</w:t>
            </w:r>
          </w:p>
        </w:tc>
      </w:tr>
      <w:tr w:rsidR="006158B5" w:rsidRPr="002B2CFF" w14:paraId="482D8B86" w14:textId="77777777" w:rsidTr="00EE0F54">
        <w:trPr>
          <w:trHeight w:val="1928"/>
        </w:trPr>
        <w:tc>
          <w:tcPr>
            <w:tcW w:w="2972" w:type="dxa"/>
          </w:tcPr>
          <w:p w14:paraId="371F195B" w14:textId="77777777" w:rsidR="00335D2C" w:rsidRPr="002B2CFF" w:rsidRDefault="00335D2C" w:rsidP="00335D2C">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t xml:space="preserve">1.- La lista completa de las personas servidoras públicas del H. Ayuntamiento de Tepotzotlán que, de acuerdo con la respuesta a la solicitud 00428/SECOGEM/IP/2025, fueron identificadas como “omisos” en la presentación de su declaración de situación patrimonial y de intereses correspondiente al ejercicio 2025. </w:t>
            </w:r>
          </w:p>
          <w:p w14:paraId="3F1C828A" w14:textId="77777777" w:rsidR="006158B5" w:rsidRPr="002B2CFF" w:rsidRDefault="006158B5" w:rsidP="00EE0F54">
            <w:pPr>
              <w:ind w:right="1"/>
              <w:jc w:val="both"/>
              <w:rPr>
                <w:rFonts w:ascii="Palatino Linotype" w:eastAsia="Palatino Linotype" w:hAnsi="Palatino Linotype" w:cs="Palatino Linotype"/>
                <w:i/>
                <w:iCs/>
              </w:rPr>
            </w:pPr>
          </w:p>
        </w:tc>
        <w:tc>
          <w:tcPr>
            <w:tcW w:w="3544" w:type="dxa"/>
          </w:tcPr>
          <w:p w14:paraId="43C8B0BD" w14:textId="77777777" w:rsidR="006158B5" w:rsidRPr="002B2CFF" w:rsidRDefault="009653CA" w:rsidP="009653CA">
            <w:pPr>
              <w:ind w:right="41"/>
              <w:jc w:val="both"/>
              <w:rPr>
                <w:rFonts w:ascii="Palatino Linotype" w:hAnsi="Palatino Linotype"/>
                <w:i/>
              </w:rPr>
            </w:pPr>
            <w:r w:rsidRPr="002B2CFF">
              <w:rPr>
                <w:rFonts w:ascii="Palatino Linotype" w:hAnsi="Palatino Linotype"/>
                <w:b/>
                <w:i/>
              </w:rPr>
              <w:t xml:space="preserve">No hay pronunciamiento </w:t>
            </w:r>
          </w:p>
        </w:tc>
        <w:tc>
          <w:tcPr>
            <w:tcW w:w="2830" w:type="dxa"/>
          </w:tcPr>
          <w:p w14:paraId="05311CE1" w14:textId="77777777" w:rsidR="006158B5" w:rsidRPr="002B2CFF" w:rsidRDefault="009653CA" w:rsidP="00EB3463">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No colma, toda vez que </w:t>
            </w:r>
            <w:r w:rsidR="00EB3463" w:rsidRPr="002B2CFF">
              <w:rPr>
                <w:rFonts w:ascii="Palatino Linotype" w:eastAsia="Palatino Linotype" w:hAnsi="Palatino Linotype" w:cs="Palatino Linotype"/>
                <w:bCs/>
                <w:i/>
              </w:rPr>
              <w:t xml:space="preserve">se debió de clasificar la información como confidencial de conformidad con el artículo 143 fracción I de la Ley de Transparencia y Acceso a la Información Pública del Estado de México y Municipios. </w:t>
            </w:r>
            <w:r w:rsidRPr="002B2CFF">
              <w:rPr>
                <w:rFonts w:ascii="Palatino Linotype" w:eastAsia="Palatino Linotype" w:hAnsi="Palatino Linotype" w:cs="Palatino Linotype"/>
                <w:bCs/>
                <w:i/>
              </w:rPr>
              <w:t xml:space="preserve"> </w:t>
            </w:r>
          </w:p>
        </w:tc>
      </w:tr>
      <w:tr w:rsidR="00EB3463" w:rsidRPr="002B2CFF" w14:paraId="26116486" w14:textId="77777777" w:rsidTr="00EE0F54">
        <w:trPr>
          <w:trHeight w:val="1928"/>
        </w:trPr>
        <w:tc>
          <w:tcPr>
            <w:tcW w:w="2972" w:type="dxa"/>
          </w:tcPr>
          <w:p w14:paraId="164E7ED4" w14:textId="77777777" w:rsidR="00EB3463" w:rsidRPr="002B2CFF" w:rsidRDefault="00EB3463" w:rsidP="00EB3463">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t xml:space="preserve">2. Nombre completo de cada persona servidora pública omisa. </w:t>
            </w:r>
          </w:p>
          <w:p w14:paraId="5C645B1D" w14:textId="77777777" w:rsidR="00EB3463" w:rsidRPr="002B2CFF" w:rsidRDefault="00EB3463" w:rsidP="00EB3463">
            <w:pPr>
              <w:ind w:right="1"/>
              <w:jc w:val="both"/>
              <w:rPr>
                <w:rFonts w:ascii="Palatino Linotype" w:eastAsia="Palatino Linotype" w:hAnsi="Palatino Linotype" w:cs="Palatino Linotype"/>
                <w:i/>
                <w:iCs/>
              </w:rPr>
            </w:pPr>
          </w:p>
        </w:tc>
        <w:tc>
          <w:tcPr>
            <w:tcW w:w="3544" w:type="dxa"/>
          </w:tcPr>
          <w:p w14:paraId="1108480C" w14:textId="77777777" w:rsidR="00EB3463" w:rsidRPr="002B2CFF" w:rsidRDefault="00EB3463" w:rsidP="00EB3463">
            <w:pPr>
              <w:ind w:right="41"/>
              <w:jc w:val="both"/>
              <w:rPr>
                <w:rFonts w:ascii="Palatino Linotype" w:hAnsi="Palatino Linotype"/>
                <w:i/>
              </w:rPr>
            </w:pPr>
            <w:r w:rsidRPr="002B2CFF">
              <w:rPr>
                <w:rFonts w:ascii="Palatino Linotype" w:hAnsi="Palatino Linotype"/>
                <w:b/>
                <w:i/>
              </w:rPr>
              <w:t xml:space="preserve">00444-SECOGEM-IP-2025.pdf: </w:t>
            </w:r>
            <w:r w:rsidRPr="002B2CFF">
              <w:rPr>
                <w:rFonts w:ascii="Palatino Linotype" w:hAnsi="Palatino Linotype"/>
                <w:i/>
              </w:rPr>
              <w:t xml:space="preserve">documento que contiene el oficio de la Dirección de Registro de Declaraciones y de Sanciones, mediante el cual informa que de los puntos uno, dos, tres y cuatro de la solicitud de información no es posible atender el requerimiento efectuado mediante la solicitud de Información de referencia, toda vez que, si bien es cierto que existe la obligación de proporcionar la información pública, en el estado en que se encuentre al momento de realizar la solicitud de información, y que obre en los archivos de ésta Dependencia, también lo cierto es que ésta obligación no comprende el </w:t>
            </w:r>
            <w:r w:rsidRPr="002B2CFF">
              <w:rPr>
                <w:rFonts w:ascii="Palatino Linotype" w:hAnsi="Palatino Linotype"/>
                <w:i/>
              </w:rPr>
              <w:lastRenderedPageBreak/>
              <w:t xml:space="preserve">presentarla conforme al interés del solicitante. </w:t>
            </w:r>
          </w:p>
          <w:p w14:paraId="05C0A60A" w14:textId="77777777" w:rsidR="00EB3463" w:rsidRPr="002B2CFF" w:rsidRDefault="00EB3463" w:rsidP="00EB3463">
            <w:pPr>
              <w:ind w:right="41"/>
              <w:jc w:val="both"/>
              <w:rPr>
                <w:rFonts w:ascii="Palatino Linotype" w:hAnsi="Palatino Linotype"/>
                <w:i/>
              </w:rPr>
            </w:pPr>
          </w:p>
        </w:tc>
        <w:tc>
          <w:tcPr>
            <w:tcW w:w="2830" w:type="dxa"/>
          </w:tcPr>
          <w:p w14:paraId="4AAE9184" w14:textId="77777777" w:rsidR="00EB3463" w:rsidRPr="002B2CFF" w:rsidRDefault="00EB3463" w:rsidP="00EB3463">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lastRenderedPageBreak/>
              <w:t xml:space="preserve">No colma, toda vez que se debió de clasificar la información como confidencial de conformidad con el artículo 143 fracción I de la Ley de Transparencia y Acceso a la Información Pública del Estado de México y Municipios.  </w:t>
            </w:r>
          </w:p>
        </w:tc>
      </w:tr>
      <w:tr w:rsidR="00EB3463" w:rsidRPr="002B2CFF" w14:paraId="148156DE" w14:textId="77777777" w:rsidTr="00EE0F54">
        <w:trPr>
          <w:trHeight w:val="1928"/>
        </w:trPr>
        <w:tc>
          <w:tcPr>
            <w:tcW w:w="2972" w:type="dxa"/>
          </w:tcPr>
          <w:p w14:paraId="044A2DEB" w14:textId="77777777" w:rsidR="00EB3463" w:rsidRPr="002B2CFF" w:rsidRDefault="00EB3463" w:rsidP="00EB3463">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t xml:space="preserve">3. Cargo y área de adscripción. </w:t>
            </w:r>
          </w:p>
          <w:p w14:paraId="2CD03D8E" w14:textId="77777777" w:rsidR="00EB3463" w:rsidRPr="002B2CFF" w:rsidRDefault="00EB3463" w:rsidP="00EB3463">
            <w:pPr>
              <w:ind w:right="1"/>
              <w:jc w:val="both"/>
              <w:rPr>
                <w:rFonts w:ascii="Palatino Linotype" w:eastAsia="Palatino Linotype" w:hAnsi="Palatino Linotype" w:cs="Palatino Linotype"/>
                <w:i/>
                <w:iCs/>
              </w:rPr>
            </w:pPr>
          </w:p>
        </w:tc>
        <w:tc>
          <w:tcPr>
            <w:tcW w:w="3544" w:type="dxa"/>
          </w:tcPr>
          <w:p w14:paraId="4BD6385E" w14:textId="77777777" w:rsidR="00EB3463" w:rsidRPr="002B2CFF" w:rsidRDefault="00EB3463" w:rsidP="00EB3463">
            <w:pPr>
              <w:ind w:right="41"/>
              <w:jc w:val="both"/>
              <w:rPr>
                <w:rFonts w:ascii="Palatino Linotype" w:hAnsi="Palatino Linotype"/>
                <w:i/>
              </w:rPr>
            </w:pPr>
            <w:r w:rsidRPr="002B2CFF">
              <w:rPr>
                <w:rFonts w:ascii="Palatino Linotype" w:hAnsi="Palatino Linotype"/>
                <w:b/>
                <w:i/>
              </w:rPr>
              <w:t xml:space="preserve">00444-SECOGEM-IP-2025.pdf: </w:t>
            </w:r>
            <w:r w:rsidRPr="002B2CFF">
              <w:rPr>
                <w:rFonts w:ascii="Palatino Linotype" w:hAnsi="Palatino Linotype"/>
                <w:i/>
              </w:rPr>
              <w:t xml:space="preserve">documento que contiene el oficio de la Dirección de Registro de Declaraciones y de Sanciones, mediante el cual informa que de los puntos uno, dos, tres y cuatro de la solicitud de información no es posible atender el requerimiento efectuado mediante la solicitud de Información de referencia, toda vez que, si bien es cierto que existe la obligación de proporcionar la información pública, en el estado en que se encuentre al momento de realizar la solicitud de información, y que obre en los archivos de ésta Dependencia, también lo cierto es que ésta obligación no comprende el presentarla conforme al interés del solicitante. </w:t>
            </w:r>
          </w:p>
          <w:p w14:paraId="743D486F" w14:textId="77777777" w:rsidR="00EB3463" w:rsidRPr="002B2CFF" w:rsidRDefault="00EB3463" w:rsidP="00EB3463">
            <w:pPr>
              <w:ind w:right="41"/>
              <w:jc w:val="both"/>
              <w:rPr>
                <w:rFonts w:ascii="Palatino Linotype" w:hAnsi="Palatino Linotype"/>
                <w:i/>
              </w:rPr>
            </w:pPr>
          </w:p>
        </w:tc>
        <w:tc>
          <w:tcPr>
            <w:tcW w:w="2830" w:type="dxa"/>
          </w:tcPr>
          <w:p w14:paraId="6E10C5CE" w14:textId="77777777" w:rsidR="00EB3463" w:rsidRPr="002B2CFF" w:rsidRDefault="00EB3463" w:rsidP="00EB3463">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No colma, toda vez que se debió de clasificar la información como confidencial de conformidad con el artículo 143 fracción I de la Ley de Transparencia y Acceso a la Información Pública del Estado de México y Municipios.  </w:t>
            </w:r>
          </w:p>
        </w:tc>
      </w:tr>
      <w:tr w:rsidR="009653CA" w:rsidRPr="002B2CFF" w14:paraId="38867115" w14:textId="77777777" w:rsidTr="00EE0F54">
        <w:trPr>
          <w:trHeight w:val="1928"/>
        </w:trPr>
        <w:tc>
          <w:tcPr>
            <w:tcW w:w="2972" w:type="dxa"/>
          </w:tcPr>
          <w:p w14:paraId="40EE2CD5" w14:textId="77777777" w:rsidR="009653CA" w:rsidRPr="002B2CFF" w:rsidRDefault="009653CA" w:rsidP="009653CA">
            <w:pPr>
              <w:ind w:right="1"/>
              <w:jc w:val="both"/>
              <w:rPr>
                <w:rFonts w:ascii="Palatino Linotype" w:eastAsia="Palatino Linotype" w:hAnsi="Palatino Linotype" w:cs="Palatino Linotype"/>
                <w:i/>
                <w:iCs/>
              </w:rPr>
            </w:pPr>
          </w:p>
        </w:tc>
        <w:tc>
          <w:tcPr>
            <w:tcW w:w="3544" w:type="dxa"/>
          </w:tcPr>
          <w:p w14:paraId="0C3ACB56" w14:textId="77777777" w:rsidR="009653CA" w:rsidRPr="002B2CFF" w:rsidRDefault="009653CA" w:rsidP="009653CA">
            <w:pPr>
              <w:ind w:right="41"/>
              <w:jc w:val="both"/>
              <w:rPr>
                <w:rFonts w:ascii="Palatino Linotype" w:hAnsi="Palatino Linotype"/>
                <w:i/>
              </w:rPr>
            </w:pPr>
          </w:p>
        </w:tc>
        <w:tc>
          <w:tcPr>
            <w:tcW w:w="2830" w:type="dxa"/>
          </w:tcPr>
          <w:p w14:paraId="4697618E" w14:textId="77777777" w:rsidR="009653CA" w:rsidRPr="002B2CFF" w:rsidRDefault="009653CA" w:rsidP="009653CA">
            <w:pPr>
              <w:ind w:right="1"/>
              <w:jc w:val="both"/>
              <w:rPr>
                <w:rFonts w:ascii="Palatino Linotype" w:eastAsia="Palatino Linotype" w:hAnsi="Palatino Linotype" w:cs="Palatino Linotype"/>
                <w:b/>
                <w:bCs/>
                <w:i/>
              </w:rPr>
            </w:pPr>
          </w:p>
        </w:tc>
      </w:tr>
      <w:tr w:rsidR="00EB3463" w:rsidRPr="002B2CFF" w14:paraId="7F7AB759" w14:textId="77777777" w:rsidTr="00EE0F54">
        <w:trPr>
          <w:trHeight w:val="1928"/>
        </w:trPr>
        <w:tc>
          <w:tcPr>
            <w:tcW w:w="2972" w:type="dxa"/>
          </w:tcPr>
          <w:p w14:paraId="18AD0D12" w14:textId="77777777" w:rsidR="00EB3463" w:rsidRPr="002B2CFF" w:rsidRDefault="00EB3463" w:rsidP="00EB3463">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lastRenderedPageBreak/>
              <w:t xml:space="preserve">4. Tipo de declaración incumplida (inicial, modificación y/o conclusión). </w:t>
            </w:r>
          </w:p>
          <w:p w14:paraId="41DB283B" w14:textId="77777777" w:rsidR="00EB3463" w:rsidRPr="002B2CFF" w:rsidRDefault="00EB3463" w:rsidP="00EB3463">
            <w:pPr>
              <w:ind w:right="1"/>
              <w:jc w:val="both"/>
              <w:rPr>
                <w:rFonts w:ascii="Palatino Linotype" w:eastAsia="Palatino Linotype" w:hAnsi="Palatino Linotype" w:cs="Palatino Linotype"/>
                <w:i/>
                <w:iCs/>
              </w:rPr>
            </w:pPr>
          </w:p>
        </w:tc>
        <w:tc>
          <w:tcPr>
            <w:tcW w:w="3544" w:type="dxa"/>
          </w:tcPr>
          <w:p w14:paraId="0FA33E39" w14:textId="77777777" w:rsidR="00EB3463" w:rsidRPr="002B2CFF" w:rsidRDefault="00EB3463" w:rsidP="00EB3463">
            <w:pPr>
              <w:ind w:right="41"/>
              <w:jc w:val="both"/>
              <w:rPr>
                <w:rFonts w:ascii="Palatino Linotype" w:hAnsi="Palatino Linotype"/>
                <w:i/>
              </w:rPr>
            </w:pPr>
            <w:r w:rsidRPr="002B2CFF">
              <w:rPr>
                <w:rFonts w:ascii="Palatino Linotype" w:hAnsi="Palatino Linotype"/>
                <w:b/>
                <w:i/>
              </w:rPr>
              <w:t xml:space="preserve">00444-SECOGEM-IP-2025.pdf: </w:t>
            </w:r>
            <w:r w:rsidRPr="002B2CFF">
              <w:rPr>
                <w:rFonts w:ascii="Palatino Linotype" w:hAnsi="Palatino Linotype"/>
                <w:i/>
              </w:rPr>
              <w:t xml:space="preserve">documento que contiene el oficio de la Dirección de Registro de Declaraciones y de Sanciones, mediante el cual informa que de los puntos uno, dos, tres y cuatro de la solicitud de información no es posible atender el requerimiento efectuado mediante la solicitud de Información de referencia, toda vez que, si bien es cierto que existe la obligación de proporcionar la información pública, en el estado en que se encuentre al momento de realizar la solicitud de información, y que obre en los archivos de ésta Dependencia, también lo cierto es que ésta obligación no comprende el presentarla conforme al interés del solicitante. </w:t>
            </w:r>
          </w:p>
          <w:p w14:paraId="0496BB92" w14:textId="77777777" w:rsidR="00EB3463" w:rsidRPr="002B2CFF" w:rsidRDefault="00EB3463" w:rsidP="00EB3463">
            <w:pPr>
              <w:ind w:right="41"/>
              <w:jc w:val="both"/>
              <w:rPr>
                <w:rFonts w:ascii="Palatino Linotype" w:hAnsi="Palatino Linotype"/>
                <w:i/>
              </w:rPr>
            </w:pPr>
          </w:p>
        </w:tc>
        <w:tc>
          <w:tcPr>
            <w:tcW w:w="2830" w:type="dxa"/>
          </w:tcPr>
          <w:p w14:paraId="25A67F9F" w14:textId="77777777" w:rsidR="00EB3463" w:rsidRPr="002B2CFF" w:rsidRDefault="00EB3463" w:rsidP="00EB3463">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No colma, toda vez que se debió de clasificar la información como confidencial de conformidad con el artículo 143 fracción I de la Ley de Transparencia y Acceso a la Información Pública del Estado de México y Municipios.  </w:t>
            </w:r>
          </w:p>
        </w:tc>
      </w:tr>
      <w:tr w:rsidR="00EB3463" w:rsidRPr="002B2CFF" w14:paraId="00A06A9B" w14:textId="77777777" w:rsidTr="00EE0F54">
        <w:trPr>
          <w:trHeight w:val="1928"/>
        </w:trPr>
        <w:tc>
          <w:tcPr>
            <w:tcW w:w="2972" w:type="dxa"/>
          </w:tcPr>
          <w:p w14:paraId="21D8C134" w14:textId="77777777" w:rsidR="00EB3463" w:rsidRPr="002B2CFF" w:rsidRDefault="00EB3463" w:rsidP="00EB3463">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t xml:space="preserve">5. Fecha en que quedaron registradas como omisas y estatus actual. </w:t>
            </w:r>
          </w:p>
          <w:p w14:paraId="1378A2B6" w14:textId="77777777" w:rsidR="00EB3463" w:rsidRPr="002B2CFF" w:rsidRDefault="00EB3463" w:rsidP="00EB3463">
            <w:pPr>
              <w:ind w:right="1"/>
              <w:jc w:val="both"/>
              <w:rPr>
                <w:rFonts w:ascii="Palatino Linotype" w:eastAsia="Palatino Linotype" w:hAnsi="Palatino Linotype" w:cs="Palatino Linotype"/>
                <w:b/>
                <w:i/>
                <w:iCs/>
              </w:rPr>
            </w:pPr>
          </w:p>
        </w:tc>
        <w:tc>
          <w:tcPr>
            <w:tcW w:w="3544" w:type="dxa"/>
          </w:tcPr>
          <w:p w14:paraId="1606EA26" w14:textId="77777777" w:rsidR="00EB3463" w:rsidRPr="002B2CFF" w:rsidRDefault="00EB3463" w:rsidP="00EB3463">
            <w:pPr>
              <w:ind w:right="41"/>
              <w:jc w:val="both"/>
              <w:rPr>
                <w:rFonts w:ascii="Palatino Linotype" w:hAnsi="Palatino Linotype"/>
                <w:i/>
              </w:rPr>
            </w:pPr>
            <w:r w:rsidRPr="002B2CFF">
              <w:rPr>
                <w:rFonts w:ascii="Palatino Linotype" w:hAnsi="Palatino Linotype"/>
                <w:b/>
                <w:i/>
              </w:rPr>
              <w:t xml:space="preserve">00444-SECOGEM-IP-2025.pdf: </w:t>
            </w:r>
            <w:r w:rsidRPr="002B2CFF">
              <w:rPr>
                <w:rFonts w:ascii="Palatino Linotype" w:hAnsi="Palatino Linotype"/>
                <w:i/>
              </w:rPr>
              <w:t xml:space="preserve">documento que contiene el oficio de la Dirección de Registro de Declaraciones y de Sanciones, mediante el cual informa que de los puntos uno, dos, tres y cuatro de la solicitud de información no es posible atender el requerimiento efectuado mediante la solicitud de Información de referencia, toda vez que, si bien es cierto que existe la obligación de proporcionar la información pública, en el estado en que se encuentre al momento de realizar la solicitud de </w:t>
            </w:r>
            <w:r w:rsidRPr="002B2CFF">
              <w:rPr>
                <w:rFonts w:ascii="Palatino Linotype" w:hAnsi="Palatino Linotype"/>
                <w:i/>
              </w:rPr>
              <w:lastRenderedPageBreak/>
              <w:t xml:space="preserve">información, y que obre en los archivos de ésta Dependencia, también lo cierto es que ésta obligación no comprende el presentarla conforme al interés del solicitante. </w:t>
            </w:r>
          </w:p>
          <w:p w14:paraId="225178F7" w14:textId="77777777" w:rsidR="00EB3463" w:rsidRPr="002B2CFF" w:rsidRDefault="00EB3463" w:rsidP="00EB3463">
            <w:pPr>
              <w:ind w:right="41"/>
              <w:jc w:val="both"/>
              <w:rPr>
                <w:rFonts w:ascii="Palatino Linotype" w:hAnsi="Palatino Linotype"/>
                <w:i/>
              </w:rPr>
            </w:pPr>
          </w:p>
        </w:tc>
        <w:tc>
          <w:tcPr>
            <w:tcW w:w="2830" w:type="dxa"/>
          </w:tcPr>
          <w:p w14:paraId="2A9A684F" w14:textId="77777777" w:rsidR="00EB3463" w:rsidRPr="002B2CFF" w:rsidRDefault="00EB3463" w:rsidP="00EB3463">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lastRenderedPageBreak/>
              <w:t xml:space="preserve">No colma, toda vez que se debió de clasificar la información como confidencial de conformidad con el artículo 143 fracción I de la Ley de Transparencia y Acceso a la Información Pública del Estado de México y Municipios.  </w:t>
            </w:r>
          </w:p>
        </w:tc>
      </w:tr>
      <w:tr w:rsidR="009653CA" w:rsidRPr="002B2CFF" w14:paraId="4B2C332C" w14:textId="77777777" w:rsidTr="00EE0F54">
        <w:trPr>
          <w:trHeight w:val="1928"/>
        </w:trPr>
        <w:tc>
          <w:tcPr>
            <w:tcW w:w="2972" w:type="dxa"/>
          </w:tcPr>
          <w:p w14:paraId="25266FDC" w14:textId="77777777" w:rsidR="009653CA" w:rsidRPr="002B2CFF" w:rsidRDefault="009653CA" w:rsidP="009653CA">
            <w:pPr>
              <w:ind w:right="1"/>
              <w:jc w:val="both"/>
              <w:rPr>
                <w:rFonts w:ascii="Palatino Linotype" w:eastAsia="Palatino Linotype" w:hAnsi="Palatino Linotype" w:cs="Palatino Linotype"/>
                <w:b/>
                <w:i/>
                <w:iCs/>
              </w:rPr>
            </w:pPr>
            <w:r w:rsidRPr="002B2CFF">
              <w:rPr>
                <w:rFonts w:ascii="Palatino Linotype" w:eastAsia="Palatino Linotype" w:hAnsi="Palatino Linotype" w:cs="Palatino Linotype"/>
                <w:b/>
                <w:i/>
                <w:iCs/>
              </w:rPr>
              <w:t xml:space="preserve">6. Área interna responsable de haber determinado esa omisión. </w:t>
            </w:r>
          </w:p>
          <w:p w14:paraId="4E9E2390" w14:textId="77777777" w:rsidR="009653CA" w:rsidRPr="002B2CFF" w:rsidRDefault="009653CA" w:rsidP="009653CA">
            <w:pPr>
              <w:ind w:right="1"/>
              <w:jc w:val="both"/>
              <w:rPr>
                <w:rFonts w:ascii="Palatino Linotype" w:eastAsia="Palatino Linotype" w:hAnsi="Palatino Linotype" w:cs="Palatino Linotype"/>
                <w:b/>
                <w:i/>
                <w:iCs/>
              </w:rPr>
            </w:pPr>
          </w:p>
        </w:tc>
        <w:tc>
          <w:tcPr>
            <w:tcW w:w="3544" w:type="dxa"/>
          </w:tcPr>
          <w:p w14:paraId="23C72C16" w14:textId="77777777" w:rsidR="009653CA" w:rsidRPr="002B2CFF" w:rsidRDefault="009653CA" w:rsidP="009653CA">
            <w:pPr>
              <w:ind w:right="41"/>
              <w:jc w:val="both"/>
              <w:rPr>
                <w:rFonts w:ascii="Palatino Linotype" w:hAnsi="Palatino Linotype"/>
                <w:i/>
              </w:rPr>
            </w:pPr>
            <w:r w:rsidRPr="002B2CFF">
              <w:rPr>
                <w:rFonts w:ascii="Palatino Linotype" w:hAnsi="Palatino Linotype"/>
                <w:i/>
              </w:rPr>
              <w:t xml:space="preserve">Se refiere que quien determina la omisión es el Órgano Interno de Control del Ayuntamiento de Tepotzotlán. </w:t>
            </w:r>
          </w:p>
          <w:p w14:paraId="2AF2FED7" w14:textId="77777777" w:rsidR="009653CA" w:rsidRPr="002B2CFF" w:rsidRDefault="009653CA" w:rsidP="009653CA">
            <w:pPr>
              <w:ind w:right="41"/>
              <w:jc w:val="both"/>
              <w:rPr>
                <w:rFonts w:ascii="Palatino Linotype" w:hAnsi="Palatino Linotype"/>
                <w:i/>
              </w:rPr>
            </w:pPr>
          </w:p>
        </w:tc>
        <w:tc>
          <w:tcPr>
            <w:tcW w:w="2830" w:type="dxa"/>
          </w:tcPr>
          <w:p w14:paraId="47275672" w14:textId="77777777" w:rsidR="009653CA" w:rsidRPr="002B2CFF" w:rsidRDefault="009653CA" w:rsidP="009653CA">
            <w:pPr>
              <w:ind w:right="1"/>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No colma, toda vez que la omisión se determina por medio de la Dirección de Registro de Declaraciones y de Sanciones, por medio del sistema backoffice, Declaranet. </w:t>
            </w:r>
          </w:p>
        </w:tc>
      </w:tr>
      <w:bookmarkEnd w:id="7"/>
    </w:tbl>
    <w:p w14:paraId="79B3FE11" w14:textId="77777777" w:rsidR="006158B5" w:rsidRPr="002B2CFF" w:rsidRDefault="006158B5" w:rsidP="006158B5">
      <w:pPr>
        <w:spacing w:line="360" w:lineRule="auto"/>
        <w:ind w:right="1"/>
        <w:jc w:val="both"/>
        <w:rPr>
          <w:rFonts w:ascii="Palatino Linotype" w:eastAsia="Palatino Linotype" w:hAnsi="Palatino Linotype" w:cs="Palatino Linotype"/>
          <w:b/>
          <w:bCs/>
        </w:rPr>
      </w:pPr>
    </w:p>
    <w:p w14:paraId="0926BF46" w14:textId="3A51E857" w:rsidR="00D62EB8" w:rsidRPr="002B2CFF" w:rsidRDefault="006158B5" w:rsidP="00D62EB8">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rPr>
        <w:t>En atención a lo expuesto, se advierte que el</w:t>
      </w:r>
      <w:r w:rsidRPr="002B2CFF">
        <w:rPr>
          <w:rFonts w:ascii="Palatino Linotype" w:eastAsia="Palatino Linotype" w:hAnsi="Palatino Linotype" w:cs="Palatino Linotype"/>
          <w:b/>
          <w:bCs/>
        </w:rPr>
        <w:t xml:space="preserve"> SUJETO OBLIGADO </w:t>
      </w:r>
      <w:r w:rsidRPr="002B2CFF">
        <w:rPr>
          <w:rFonts w:ascii="Palatino Linotype" w:eastAsia="Palatino Linotype" w:hAnsi="Palatino Linotype" w:cs="Palatino Linotype"/>
          <w:bCs/>
        </w:rPr>
        <w:t xml:space="preserve">no colmo el derecho de acceso a la información del </w:t>
      </w:r>
      <w:r w:rsidRPr="002B2CFF">
        <w:rPr>
          <w:rFonts w:ascii="Palatino Linotype" w:eastAsia="Palatino Linotype" w:hAnsi="Palatino Linotype" w:cs="Palatino Linotype"/>
          <w:b/>
          <w:bCs/>
        </w:rPr>
        <w:t xml:space="preserve">RECURRENTE </w:t>
      </w:r>
      <w:r w:rsidRPr="002B2CFF">
        <w:rPr>
          <w:rFonts w:ascii="Palatino Linotype" w:eastAsia="Palatino Linotype" w:hAnsi="Palatino Linotype" w:cs="Palatino Linotype"/>
          <w:bCs/>
        </w:rPr>
        <w:t>toda vez que no en</w:t>
      </w:r>
      <w:r w:rsidR="00EB3463" w:rsidRPr="002B2CFF">
        <w:rPr>
          <w:rFonts w:ascii="Palatino Linotype" w:eastAsia="Palatino Linotype" w:hAnsi="Palatino Linotype" w:cs="Palatino Linotype"/>
          <w:bCs/>
        </w:rPr>
        <w:t xml:space="preserve">trego la información solicitada en el punto número seis, así como tampoco realizo el acuerdo del Comité de Transparencia que confirmara los datos confidenciales del nombre de los servidores públicos omisos y su datos de área de adscripción, cargo, fecha de la omisión y estatus actual de la presentación de la declaración, </w:t>
      </w:r>
      <w:r w:rsidR="00D62EB8" w:rsidRPr="002B2CFF">
        <w:rPr>
          <w:rFonts w:ascii="Palatino Linotype" w:eastAsia="Palatino Linotype" w:hAnsi="Palatino Linotype" w:cs="Palatino Linotype"/>
          <w:bCs/>
        </w:rPr>
        <w:t xml:space="preserve"> situación por la cual se hace el siguiente </w:t>
      </w:r>
      <w:r w:rsidR="002B2CFF" w:rsidRPr="002B2CFF">
        <w:rPr>
          <w:rFonts w:ascii="Palatino Linotype" w:eastAsia="Palatino Linotype" w:hAnsi="Palatino Linotype" w:cs="Palatino Linotype"/>
          <w:bCs/>
        </w:rPr>
        <w:t>análisis</w:t>
      </w:r>
      <w:r w:rsidR="00D62EB8" w:rsidRPr="002B2CFF">
        <w:rPr>
          <w:rFonts w:ascii="Palatino Linotype" w:eastAsia="Palatino Linotype" w:hAnsi="Palatino Linotype" w:cs="Palatino Linotype"/>
          <w:bCs/>
        </w:rPr>
        <w:t xml:space="preserve">. </w:t>
      </w:r>
    </w:p>
    <w:p w14:paraId="2E84A5E4" w14:textId="77777777" w:rsidR="00D62EB8" w:rsidRPr="002B2CFF" w:rsidRDefault="00D62EB8" w:rsidP="00D62EB8">
      <w:pPr>
        <w:spacing w:line="360" w:lineRule="auto"/>
        <w:ind w:right="1"/>
        <w:jc w:val="both"/>
        <w:rPr>
          <w:rFonts w:ascii="Palatino Linotype" w:eastAsia="Palatino Linotype" w:hAnsi="Palatino Linotype" w:cs="Palatino Linotype"/>
          <w:b/>
          <w:bCs/>
        </w:rPr>
      </w:pPr>
    </w:p>
    <w:p w14:paraId="31DCDDEB" w14:textId="77777777" w:rsidR="00D62EB8" w:rsidRPr="002B2CFF" w:rsidRDefault="00D62EB8" w:rsidP="006158B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 xml:space="preserve">En esa línea, se debe de referir que la </w:t>
      </w:r>
      <w:r w:rsidRPr="002B2CFF">
        <w:rPr>
          <w:rFonts w:ascii="Palatino Linotype" w:eastAsia="Palatino Linotype" w:hAnsi="Palatino Linotype" w:cs="Palatino Linotype"/>
          <w:b/>
          <w:bCs/>
        </w:rPr>
        <w:t xml:space="preserve">RECURRENTE </w:t>
      </w:r>
      <w:r w:rsidRPr="002B2CFF">
        <w:rPr>
          <w:rFonts w:ascii="Palatino Linotype" w:eastAsia="Palatino Linotype" w:hAnsi="Palatino Linotype" w:cs="Palatino Linotype"/>
          <w:bCs/>
        </w:rPr>
        <w:t xml:space="preserve">refiere que en la solicitud de información </w:t>
      </w:r>
      <w:r w:rsidRPr="002B2CFF">
        <w:rPr>
          <w:rFonts w:ascii="Palatino Linotype" w:eastAsia="Palatino Linotype" w:hAnsi="Palatino Linotype" w:cs="Palatino Linotype"/>
          <w:b/>
          <w:bCs/>
        </w:rPr>
        <w:t xml:space="preserve">00428/SECOGEM/IP/2025, </w:t>
      </w:r>
      <w:r w:rsidRPr="002B2CFF">
        <w:rPr>
          <w:rFonts w:ascii="Palatino Linotype" w:eastAsia="Palatino Linotype" w:hAnsi="Palatino Linotype" w:cs="Palatino Linotype"/>
          <w:bCs/>
        </w:rPr>
        <w:t xml:space="preserve">se informó por parte del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bCs/>
        </w:rPr>
        <w:t xml:space="preserve"> lo siguiente. </w:t>
      </w:r>
    </w:p>
    <w:p w14:paraId="013A3BCB" w14:textId="77777777" w:rsidR="00D62EB8" w:rsidRPr="002B2CFF" w:rsidRDefault="00D62EB8" w:rsidP="00D62EB8">
      <w:pPr>
        <w:pStyle w:val="Prrafodelista"/>
        <w:rPr>
          <w:rFonts w:ascii="Palatino Linotype" w:eastAsia="Palatino Linotype" w:hAnsi="Palatino Linotype" w:cs="Palatino Linotype"/>
          <w:b/>
          <w:bCs/>
          <w:sz w:val="24"/>
        </w:rPr>
      </w:pPr>
    </w:p>
    <w:p w14:paraId="32148FCC" w14:textId="77777777" w:rsidR="00D62EB8" w:rsidRPr="002B2CFF" w:rsidRDefault="00D62EB8" w:rsidP="00EB3463">
      <w:pPr>
        <w:spacing w:line="360" w:lineRule="auto"/>
        <w:ind w:right="1"/>
        <w:jc w:val="center"/>
        <w:rPr>
          <w:rFonts w:ascii="Palatino Linotype" w:eastAsia="Palatino Linotype" w:hAnsi="Palatino Linotype" w:cs="Palatino Linotype"/>
          <w:b/>
          <w:bCs/>
        </w:rPr>
      </w:pPr>
      <w:r w:rsidRPr="002B2CFF">
        <w:rPr>
          <w:rFonts w:ascii="Palatino Linotype" w:eastAsia="Palatino Linotype" w:hAnsi="Palatino Linotype" w:cs="Palatino Linotype"/>
          <w:b/>
          <w:bCs/>
          <w:noProof/>
        </w:rPr>
        <w:lastRenderedPageBreak/>
        <w:drawing>
          <wp:inline distT="0" distB="0" distL="0" distR="0" wp14:anchorId="67156206" wp14:editId="3A5E6BA1">
            <wp:extent cx="4046561" cy="2695104"/>
            <wp:effectExtent l="152400" t="152400" r="354330" b="35306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55939" cy="2701350"/>
                    </a:xfrm>
                    <a:prstGeom prst="rect">
                      <a:avLst/>
                    </a:prstGeom>
                    <a:ln>
                      <a:noFill/>
                    </a:ln>
                    <a:effectLst>
                      <a:outerShdw blurRad="292100" dist="139700" dir="2700000" algn="tl" rotWithShape="0">
                        <a:srgbClr val="333333">
                          <a:alpha val="65000"/>
                        </a:srgbClr>
                      </a:outerShdw>
                    </a:effectLst>
                  </pic:spPr>
                </pic:pic>
              </a:graphicData>
            </a:graphic>
          </wp:inline>
        </w:drawing>
      </w:r>
    </w:p>
    <w:p w14:paraId="59DD4FAA" w14:textId="77777777" w:rsidR="00967FCA" w:rsidRPr="002B2CFF" w:rsidRDefault="009A0E0C" w:rsidP="007A01D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 xml:space="preserve">De lo anterior, se tiene que el </w:t>
      </w:r>
      <w:r w:rsidRPr="002B2CFF">
        <w:rPr>
          <w:rFonts w:ascii="Palatino Linotype" w:eastAsia="Palatino Linotype" w:hAnsi="Palatino Linotype" w:cs="Palatino Linotype"/>
          <w:b/>
          <w:bCs/>
        </w:rPr>
        <w:t xml:space="preserve">SUJETO OBLIGADO </w:t>
      </w:r>
      <w:r w:rsidRPr="002B2CFF">
        <w:rPr>
          <w:rFonts w:ascii="Palatino Linotype" w:eastAsia="Palatino Linotype" w:hAnsi="Palatino Linotype" w:cs="Palatino Linotype"/>
          <w:bCs/>
        </w:rPr>
        <w:t xml:space="preserve">informo por medio de la solicitud de información </w:t>
      </w:r>
      <w:r w:rsidRPr="002B2CFF">
        <w:rPr>
          <w:rFonts w:ascii="Palatino Linotype" w:eastAsia="Palatino Linotype" w:hAnsi="Palatino Linotype" w:cs="Palatino Linotype"/>
          <w:b/>
          <w:bCs/>
        </w:rPr>
        <w:t xml:space="preserve">00428/SECOGEM/IP/2025, </w:t>
      </w:r>
      <w:r w:rsidRPr="002B2CFF">
        <w:rPr>
          <w:rFonts w:ascii="Palatino Linotype" w:eastAsia="Palatino Linotype" w:hAnsi="Palatino Linotype" w:cs="Palatino Linotype"/>
          <w:bCs/>
        </w:rPr>
        <w:t xml:space="preserve">que el Ayuntamiento de Tepotzotlán cuenta con treinta y nueve servidores públicos omisos en haber presentado la declaración de situación patrimonial y de intereses. </w:t>
      </w:r>
    </w:p>
    <w:p w14:paraId="1A4607D6" w14:textId="77777777" w:rsidR="00967FCA" w:rsidRPr="002B2CFF" w:rsidRDefault="00967FCA" w:rsidP="00967FCA">
      <w:pPr>
        <w:spacing w:line="360" w:lineRule="auto"/>
        <w:ind w:right="1"/>
        <w:jc w:val="both"/>
        <w:rPr>
          <w:rFonts w:ascii="Palatino Linotype" w:eastAsia="Palatino Linotype" w:hAnsi="Palatino Linotype" w:cs="Palatino Linotype"/>
          <w:b/>
          <w:bCs/>
        </w:rPr>
      </w:pPr>
    </w:p>
    <w:p w14:paraId="0BA75B16" w14:textId="77777777" w:rsidR="000B0FA4" w:rsidRPr="002B2CFF" w:rsidRDefault="000B0FA4" w:rsidP="00EB3463">
      <w:pPr>
        <w:rPr>
          <w:rFonts w:ascii="Palatino Linotype" w:eastAsia="Palatino Linotype" w:hAnsi="Palatino Linotype" w:cs="Palatino Linotype"/>
          <w:b/>
          <w:bCs/>
        </w:rPr>
      </w:pPr>
    </w:p>
    <w:p w14:paraId="2E5E1344" w14:textId="77777777" w:rsidR="000B0FA4" w:rsidRPr="002B2CFF" w:rsidRDefault="000B0FA4" w:rsidP="007A01D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 xml:space="preserve">En esa línea, se tiene que dio atención a la solicitud de información la Dirección de Registro de Declaraciones y Sanciones, quien de acuerdo con el Manual de Organización de la Secretaría de la Contraloría tiene las siguientes funciones. </w:t>
      </w:r>
    </w:p>
    <w:p w14:paraId="6A15DAFD" w14:textId="77777777" w:rsidR="000B0FA4" w:rsidRPr="002B2CFF" w:rsidRDefault="000B0FA4" w:rsidP="000B0FA4">
      <w:pPr>
        <w:pStyle w:val="Prrafodelista"/>
        <w:rPr>
          <w:rFonts w:ascii="Palatino Linotype" w:eastAsia="Palatino Linotype" w:hAnsi="Palatino Linotype" w:cs="Palatino Linotype"/>
          <w:b/>
          <w:bCs/>
          <w:sz w:val="24"/>
        </w:rPr>
      </w:pPr>
    </w:p>
    <w:p w14:paraId="637EFA18"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21803000030000L DIRECCIÓN DE REGISTRO DE DECLARACIONES Y DE SANCIONES </w:t>
      </w:r>
    </w:p>
    <w:p w14:paraId="194D50EC"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OBJETIVO: </w:t>
      </w:r>
    </w:p>
    <w:p w14:paraId="46263E48"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Administrar y coordinar la recepción, registro y resguardo de las declaraciones de situación patrimonial y de intereses, así como el acuse de presentación de la declaración fiscal de las personas servidoras públicas de las Administraciones Públicas Estatal y Municipal; administrar el registro, de </w:t>
      </w:r>
      <w:r w:rsidRPr="002B2CFF">
        <w:rPr>
          <w:rFonts w:ascii="Palatino Linotype" w:eastAsia="Palatino Linotype" w:hAnsi="Palatino Linotype" w:cs="Palatino Linotype"/>
          <w:bCs/>
          <w:i/>
        </w:rPr>
        <w:lastRenderedPageBreak/>
        <w:t xml:space="preserve">las sanciones impuestas a las personas servidoras públicas y/o particulares, impuestas durante los procedimientos de responsabilidad administrativa correspondiente. </w:t>
      </w:r>
    </w:p>
    <w:p w14:paraId="4430341C"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FUNCIONES: </w:t>
      </w:r>
    </w:p>
    <w:p w14:paraId="084BFBDA"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1. Proponer a la persona Titular de la Subsecretaría de Responsabilidades Administrativas, las normas, acuerdos, lineamientos, reglas, bases de carácter técnico, instrumentos y demás disposiciones en el ámbito de su competencia. 2. Promover y supervisar la ejecución de programas y campañas preventivas para el cumplimiento de la presentación de las declaraciones de situación patrimonial y de intereses de las personas servidoras públicas de las Dependencias y Organismos Auxiliares, así como de los Ayuntamientos y sus Organismos Municipales.</w:t>
      </w:r>
    </w:p>
    <w:p w14:paraId="6609A054"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3. Dirigir la integración del padrón de las personas servidoras públicas obligadas a la presentación de las declaraciones de situación patrimonial, de intereses y, en su caso, el acuse de presentación de declaración fiscal, conforme a lo dispuesto en la Ley de Responsabilidades Administrativas del Estado de México y Municipios. </w:t>
      </w:r>
    </w:p>
    <w:p w14:paraId="1A5890F5"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4. Dirigir las acciones para que la presentación de la declaración de situación patrimonial, de intereses y en su caso, el acuse de la presentación de la declaración fiscal de las personas servidoras públicas de la Administración Pública Estatal y Municipal, se realice conforme a las normas y los formatos electrónicos, así como a los manuales e instructivos emitidos por el Comité Coordinador del Sistema Nacional Anticorrupción. </w:t>
      </w:r>
    </w:p>
    <w:p w14:paraId="52BDC3B2"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5. Proponer a la persona Titular de la Subsecretaría de Responsabilidades Administrativas, los criterios, políticas, procedimientos y uso de los sistemas informáticos para la integración, recepción, registro, resguardo y control de las declaraciones de situación patrimonial, de intereses y, en su caso, los acuses de presentación de las declaraciones fiscales de las personas servidoras públicas del Estado y Municipios. </w:t>
      </w:r>
    </w:p>
    <w:p w14:paraId="55096273"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6. Dirigir y supervisar la aplicación de los criterios, políticas, procedimientos y uso de los sistemas informáticos para la integración, recepción, registro, resguardo y control de las declaraciones de situación patrimonial, de intereses y, en su caso, los acuses de presentación de las declaraciones fiscales de las personas servidoras públicas del Estado y Municipios. </w:t>
      </w:r>
    </w:p>
    <w:p w14:paraId="6412A6FF" w14:textId="77777777" w:rsidR="0003681B" w:rsidRPr="002B2CFF" w:rsidRDefault="007A01D5" w:rsidP="007A01D5">
      <w:pPr>
        <w:ind w:left="1134" w:right="1389"/>
        <w:jc w:val="both"/>
        <w:rPr>
          <w:rFonts w:ascii="Palatino Linotype" w:eastAsia="Palatino Linotype" w:hAnsi="Palatino Linotype" w:cs="Palatino Linotype"/>
          <w:b/>
          <w:bCs/>
          <w:i/>
        </w:rPr>
      </w:pPr>
      <w:r w:rsidRPr="002B2CFF">
        <w:rPr>
          <w:rFonts w:ascii="Palatino Linotype" w:eastAsia="Palatino Linotype" w:hAnsi="Palatino Linotype" w:cs="Palatino Linotype"/>
          <w:b/>
          <w:bCs/>
          <w:i/>
        </w:rPr>
        <w:t xml:space="preserve">7. Dirigir las acciones para el resguardo de las declaraciones de situación patrimonial, de intereses y, en su caso, el acuse de presentación de la declaración fiscal de las personas servidoras </w:t>
      </w:r>
      <w:r w:rsidRPr="002B2CFF">
        <w:rPr>
          <w:rFonts w:ascii="Palatino Linotype" w:eastAsia="Palatino Linotype" w:hAnsi="Palatino Linotype" w:cs="Palatino Linotype"/>
          <w:b/>
          <w:bCs/>
          <w:i/>
        </w:rPr>
        <w:lastRenderedPageBreak/>
        <w:t xml:space="preserve">públicas en los términos establecidos por la Ley de Responsabilidades Administrativas del Estado de México y Municipios, y demás disposiciones aplicables, para generar la información correspondiente a la Plataforma Digital Nacional y Estatal del Sistema Nacional y Estatal Anticorrupción. </w:t>
      </w:r>
    </w:p>
    <w:p w14:paraId="3A9D80F2" w14:textId="77777777" w:rsidR="0003681B" w:rsidRPr="002B2CFF" w:rsidRDefault="007A01D5" w:rsidP="007A01D5">
      <w:pPr>
        <w:ind w:left="1134" w:right="1389"/>
        <w:jc w:val="both"/>
        <w:rPr>
          <w:rFonts w:ascii="Palatino Linotype" w:eastAsia="Palatino Linotype" w:hAnsi="Palatino Linotype" w:cs="Palatino Linotype"/>
          <w:b/>
          <w:bCs/>
          <w:i/>
        </w:rPr>
      </w:pPr>
      <w:r w:rsidRPr="002B2CFF">
        <w:rPr>
          <w:rFonts w:ascii="Palatino Linotype" w:eastAsia="Palatino Linotype" w:hAnsi="Palatino Linotype" w:cs="Palatino Linotype"/>
          <w:b/>
          <w:bCs/>
          <w:i/>
        </w:rPr>
        <w:t xml:space="preserve">8. Supervisar las acciones para la detección de quienes omitieron o presentaron extemporáneamente la declaración de situación patrimonial, de intereses y el acuse de la presentación de la declaración fiscal. </w:t>
      </w:r>
    </w:p>
    <w:p w14:paraId="47688481" w14:textId="77777777" w:rsidR="0003681B" w:rsidRPr="002B2CFF" w:rsidRDefault="007A01D5" w:rsidP="007A01D5">
      <w:pPr>
        <w:ind w:left="1134" w:right="1389"/>
        <w:jc w:val="both"/>
        <w:rPr>
          <w:rFonts w:ascii="Palatino Linotype" w:eastAsia="Palatino Linotype" w:hAnsi="Palatino Linotype" w:cs="Palatino Linotype"/>
          <w:b/>
          <w:bCs/>
          <w:i/>
        </w:rPr>
      </w:pPr>
      <w:r w:rsidRPr="002B2CFF">
        <w:rPr>
          <w:rFonts w:ascii="Palatino Linotype" w:eastAsia="Palatino Linotype" w:hAnsi="Palatino Linotype" w:cs="Palatino Linotype"/>
          <w:b/>
          <w:bCs/>
          <w:i/>
        </w:rPr>
        <w:t xml:space="preserve">9. Turnar a los Órganos Internos de Control, o en su caso, a la Dirección de Investigación de la Secretaría de la Contraloría, el listado de aquellas personas servidoras públicas que presuntamente fueron omisos o presentaron de manera extemporánea la declaración de situación patrimonial, de intereses y, en su caso, el acuse de la presentación de la declaración fiscal. </w:t>
      </w:r>
    </w:p>
    <w:p w14:paraId="0FB0125F"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10. Expedir, previa solicitud de las áreas de administración de las Dependencias y Organismos Auxiliares de la Administración Pública Estatal, del Poder Legislativo y Judicial, así como del orden municipal y los Órganos Constitucionalmente Autónomos del Estado de México, las constancias de los registros de las personas servidoras públicas sancionadas. </w:t>
      </w:r>
    </w:p>
    <w:p w14:paraId="70BD8141" w14:textId="77777777" w:rsidR="0003681B" w:rsidRPr="002B2CFF" w:rsidRDefault="007A01D5" w:rsidP="007A01D5">
      <w:pPr>
        <w:ind w:left="1134" w:right="1389"/>
        <w:jc w:val="both"/>
        <w:rPr>
          <w:rFonts w:ascii="Palatino Linotype" w:eastAsia="Palatino Linotype" w:hAnsi="Palatino Linotype" w:cs="Palatino Linotype"/>
          <w:b/>
          <w:bCs/>
          <w:i/>
        </w:rPr>
      </w:pPr>
      <w:r w:rsidRPr="002B2CFF">
        <w:rPr>
          <w:rFonts w:ascii="Palatino Linotype" w:eastAsia="Palatino Linotype" w:hAnsi="Palatino Linotype" w:cs="Palatino Linotype"/>
          <w:b/>
          <w:bCs/>
          <w:i/>
        </w:rPr>
        <w:t xml:space="preserve">11. Dirigir el sistema de registro patrimonial, declaración de intereses y constancia de presentación de declaración fiscal. </w:t>
      </w:r>
    </w:p>
    <w:p w14:paraId="3114840A"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12. Dirigir las acciones, conforme a los criterios y procedimientos establecidos, para la recepción, registro y control de los obsequios donativos o beneficios en general que reciban las personas servidoras públicas de las Dependencias del sector central y auxiliar del Poder Ejecutivo del Estado con motivo del desempeño de su empleo, cargo o comisión. </w:t>
      </w:r>
    </w:p>
    <w:p w14:paraId="7B1A3CFC"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13. Dirigir la integración y actualización en el sistema de registro de sanciones del Poder Ejecutivo del Estado de México, de las personas servidoras públicas sancionadas y de las abstenciones que hayan realizado las autoridades, así como informar los antecedentes de sanciones y de la emisión de la Constancia de No Inhabilitación, de conformidad con la Ley de Responsabilidades Administrativas, para suministrar la información a la Plataforma Digital Nacional y Estatal del Sistema Nacional, Estatal y Municipal Anticorrupción. </w:t>
      </w:r>
    </w:p>
    <w:p w14:paraId="38A28915"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14. Dirigir la integración, actualización y control del registro de personas servidoras públicas y particulares sancionados, así como la expedición de las </w:t>
      </w:r>
      <w:r w:rsidRPr="002B2CFF">
        <w:rPr>
          <w:rFonts w:ascii="Palatino Linotype" w:eastAsia="Palatino Linotype" w:hAnsi="Palatino Linotype" w:cs="Palatino Linotype"/>
          <w:bCs/>
          <w:i/>
        </w:rPr>
        <w:lastRenderedPageBreak/>
        <w:t xml:space="preserve">constancias de no inhabilitación respectivas, conforme a la Ley del Sistema Anticorrupción del Estado de México y Municipios, y a la Ley de Responsabilidades Administrativas del Estado de México y Municipios. </w:t>
      </w:r>
    </w:p>
    <w:p w14:paraId="4E71B615"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15. Vigilar que la información contenida en las declaraciones de situación patrimonial, de intereses y, en su caso, el acuse de presentación de declaración fiscal sea manejada con confidencialidad atendiendo a los rubros cuya publicidad pueda afectar la vida privada o los datos personales protegidos conforme lo establezca el Comité Coordinador del Sistema Nacional y/o Estatal Anticorrupción. </w:t>
      </w:r>
    </w:p>
    <w:p w14:paraId="7B631A18"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16. Coordinar la elaboración de los informes relacionados con la existencia de antecedentes de sanción de las personas servidoras públicas. </w:t>
      </w:r>
    </w:p>
    <w:p w14:paraId="23ECFC16"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17. Atender los requerimientos de otras instancias administrativas de la Secretaría de la Contraloría, previo acuerdo de la persona Titular de la Subsecretaría de Responsabilidades Administrativas. </w:t>
      </w:r>
    </w:p>
    <w:p w14:paraId="558FAB16"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18. Conducir el registro de las empresas, proveedores, contratistas y prestadores de servicios que incurran en irregularidades derivadas de los contratos que celebren con las Dependencias y Organismos Auxiliares del Poder Ejecutivo Estatal, así como con los gobiernos municipales, a través del Sistema Electrónico del Registro de Empresas y/o Personas Físicas Objetadas y Sancionadas y el Registro del Procedimiento Administrativo Sancionador, difundiendo públicamente su consulta en el boletín respectivo. </w:t>
      </w:r>
    </w:p>
    <w:p w14:paraId="03A355B2"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19. Difundir el boletín de empresas y/o personas físicas objetadas y sancionadas, en los términos del acuerdo respectivo. </w:t>
      </w:r>
    </w:p>
    <w:p w14:paraId="2C1B33F4"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20. Controlar la asignación de usuarios y contraseñas generadas a las Dependencias y Organismos Auxiliares del Poder Ejecutivo Estatal, así como con los Gobiernos Municipales; para la operación de los sistemas que administra la Subsecretaría de Responsabilidades Administrativas. </w:t>
      </w:r>
    </w:p>
    <w:p w14:paraId="2AA4EA83"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21. Brindar las asesorías respecto del uso de los sistemas que opera y administra la Subsecretaría de Responsabilidades Administrativas, que se relacionen con las actividades y registros inherentes al área de su competencia. 22. Proponer a la persona Titular de la Subsecretaría de Responsabilidades Administrativas los criterios de interpretación jurídica, relacionados con la presentación de las declaraciones de situación patrimonial y de intereses. </w:t>
      </w:r>
    </w:p>
    <w:p w14:paraId="13C57963"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 xml:space="preserve">23. Dar seguimiento a los indicadores de la Subsecretaría de Responsabilidades Administrativas y el Plan Anual de Trabajo, respecto de los asuntos de su competencia. </w:t>
      </w:r>
    </w:p>
    <w:p w14:paraId="19CE7D9E" w14:textId="77777777" w:rsidR="0003681B"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lastRenderedPageBreak/>
        <w:t xml:space="preserve">24. Dar cumplimiento a las disposiciones en materia archivística y de administración de documentos establecidos en la Ley de Archivos y Administración de Documentos del Estado de México y Municipios y en otras disposiciones jurídicas aplicables, en el ámbito de su competencia. </w:t>
      </w:r>
    </w:p>
    <w:p w14:paraId="21B5E826" w14:textId="77777777" w:rsidR="000B0FA4" w:rsidRPr="002B2CFF" w:rsidRDefault="007A01D5" w:rsidP="007A01D5">
      <w:pPr>
        <w:ind w:left="1134" w:right="1389"/>
        <w:jc w:val="both"/>
        <w:rPr>
          <w:rFonts w:ascii="Palatino Linotype" w:eastAsia="Palatino Linotype" w:hAnsi="Palatino Linotype" w:cs="Palatino Linotype"/>
          <w:bCs/>
          <w:i/>
        </w:rPr>
      </w:pPr>
      <w:r w:rsidRPr="002B2CFF">
        <w:rPr>
          <w:rFonts w:ascii="Palatino Linotype" w:eastAsia="Palatino Linotype" w:hAnsi="Palatino Linotype" w:cs="Palatino Linotype"/>
          <w:bCs/>
          <w:i/>
        </w:rPr>
        <w:t>25. Desarrollar las demás funciones inherentes al área de su competencia.</w:t>
      </w:r>
    </w:p>
    <w:p w14:paraId="5A97B3CC" w14:textId="77777777" w:rsidR="008718AD" w:rsidRPr="002B2CFF" w:rsidRDefault="008718AD" w:rsidP="008718AD">
      <w:pPr>
        <w:pStyle w:val="Prrafodelista"/>
        <w:rPr>
          <w:rFonts w:ascii="Palatino Linotype" w:eastAsia="Palatino Linotype" w:hAnsi="Palatino Linotype" w:cs="Palatino Linotype"/>
          <w:bCs/>
          <w:sz w:val="24"/>
        </w:rPr>
      </w:pPr>
    </w:p>
    <w:p w14:paraId="08D98995" w14:textId="77777777" w:rsidR="0003681B" w:rsidRPr="002B2CFF" w:rsidRDefault="0003681B" w:rsidP="0003681B">
      <w:pPr>
        <w:numPr>
          <w:ilvl w:val="0"/>
          <w:numId w:val="1"/>
        </w:numPr>
        <w:spacing w:line="360" w:lineRule="auto"/>
        <w:ind w:left="0" w:right="1" w:firstLine="0"/>
        <w:jc w:val="both"/>
        <w:rPr>
          <w:rFonts w:ascii="Palatino Linotype" w:eastAsia="Palatino Linotype" w:hAnsi="Palatino Linotype" w:cs="Palatino Linotype"/>
          <w:bCs/>
        </w:rPr>
      </w:pPr>
      <w:r w:rsidRPr="002B2CFF">
        <w:rPr>
          <w:rFonts w:ascii="Palatino Linotype" w:eastAsia="Palatino Linotype" w:hAnsi="Palatino Linotype" w:cs="Palatino Linotype"/>
          <w:bCs/>
        </w:rPr>
        <w:t xml:space="preserve">De la normativa citada, se tiene que la Dirección de Registro de Declaraciones y </w:t>
      </w:r>
      <w:r w:rsidR="00EB3463" w:rsidRPr="002B2CFF">
        <w:rPr>
          <w:rFonts w:ascii="Palatino Linotype" w:eastAsia="Palatino Linotype" w:hAnsi="Palatino Linotype" w:cs="Palatino Linotype"/>
          <w:bCs/>
        </w:rPr>
        <w:t xml:space="preserve">Sanciones es el área habilitada, situación por la cual se tiene que la Unidad de Transparencia, turno la solicitud de información al área habilitada del </w:t>
      </w:r>
      <w:r w:rsidR="00EB3463" w:rsidRPr="002B2CFF">
        <w:rPr>
          <w:rFonts w:ascii="Palatino Linotype" w:eastAsia="Palatino Linotype" w:hAnsi="Palatino Linotype" w:cs="Palatino Linotype"/>
          <w:b/>
          <w:bCs/>
        </w:rPr>
        <w:t xml:space="preserve">SUJETO </w:t>
      </w:r>
      <w:r w:rsidR="00EB3463" w:rsidRPr="002B2CFF">
        <w:rPr>
          <w:rFonts w:ascii="Palatino Linotype" w:eastAsia="Palatino Linotype" w:hAnsi="Palatino Linotype" w:cs="Palatino Linotype"/>
          <w:bCs/>
        </w:rPr>
        <w:t>OBLIGADO, sin embargo, la misma no colmo el derecho de acceso a la información, así como tampoco emitió el Acuerdo del Comité de Transparencia que clasificara como confidencial los datos de nombres de los servidores públicos omisos y su datos de área de adscripción, cargo, fecha de la omisión y estatus actual de la presentación de la declaración de situación patrimonial y de intereses</w:t>
      </w:r>
      <w:r w:rsidRPr="002B2CFF">
        <w:rPr>
          <w:rFonts w:ascii="Palatino Linotype" w:eastAsia="Palatino Linotype" w:hAnsi="Palatino Linotype" w:cs="Palatino Linotype"/>
          <w:bCs/>
        </w:rPr>
        <w:t xml:space="preserve">. </w:t>
      </w:r>
    </w:p>
    <w:p w14:paraId="1C7FBEE5" w14:textId="77777777" w:rsidR="00994F7C" w:rsidRPr="002B2CFF" w:rsidRDefault="00994F7C" w:rsidP="00994F7C">
      <w:pPr>
        <w:spacing w:line="360" w:lineRule="auto"/>
        <w:ind w:right="1"/>
        <w:jc w:val="both"/>
        <w:rPr>
          <w:rFonts w:ascii="Palatino Linotype" w:eastAsia="Palatino Linotype" w:hAnsi="Palatino Linotype" w:cs="Palatino Linotype"/>
          <w:b/>
          <w:bCs/>
        </w:rPr>
      </w:pPr>
    </w:p>
    <w:p w14:paraId="6BCB1FA5"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b/>
        </w:rPr>
      </w:pPr>
      <w:r w:rsidRPr="002B2CFF">
        <w:rPr>
          <w:rFonts w:ascii="Palatino Linotype" w:hAnsi="Palatino Linotype"/>
        </w:rPr>
        <w:t>Respecto de lo solicitado, se estima necesario primeramente señalar que</w:t>
      </w:r>
      <w:r w:rsidRPr="002B2CFF">
        <w:rPr>
          <w:rFonts w:ascii="Palatino Linotype" w:eastAsia="Palatino Linotype" w:hAnsi="Palatino Linotype" w:cs="Palatino Linotype"/>
        </w:rPr>
        <w:t xml:space="preserve"> la declaración patrimonial: la Ley de Responsabilidades Administrativas del Estado de México y Municipios que entró en vigencia, a partir del treinta y uno de mayo de dos mil diecisiete, determina en el artículo 2 fracción VI, como uno de los objetivos de dicha Ley, establecer las obligaciones y el procedimiento para la declaración de situación patrimonial, la declaración de intereses y la presentación de la constancia de declaración fiscal de los servidores públicos.</w:t>
      </w:r>
    </w:p>
    <w:p w14:paraId="6A89EF94" w14:textId="77777777" w:rsidR="008B422C" w:rsidRPr="002B2CFF" w:rsidRDefault="008B422C" w:rsidP="008B422C">
      <w:pPr>
        <w:pStyle w:val="Prrafodelista"/>
        <w:spacing w:line="360" w:lineRule="auto"/>
        <w:rPr>
          <w:rFonts w:ascii="Palatino Linotype" w:eastAsia="Palatino Linotype" w:hAnsi="Palatino Linotype" w:cs="Palatino Linotype"/>
          <w:b/>
          <w:sz w:val="24"/>
        </w:rPr>
      </w:pPr>
    </w:p>
    <w:p w14:paraId="48B8FDAC"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Por su parte los artículos 33 y 34 de la Ley de Responsabilidades Administrativas del Estado de México y Municipios, establece que estarán obligados a presentar las declaraciones de situación patrimonial los servidores públicos estatales y municipales, las cuales deberán presentarse de la siguiente manera:</w:t>
      </w:r>
    </w:p>
    <w:p w14:paraId="7BE88174" w14:textId="77777777" w:rsidR="008B422C" w:rsidRPr="002B2CFF" w:rsidRDefault="008B422C" w:rsidP="008B422C">
      <w:pPr>
        <w:pStyle w:val="Prrafodelista"/>
        <w:rPr>
          <w:rFonts w:ascii="Palatino Linotype" w:eastAsia="Palatino Linotype" w:hAnsi="Palatino Linotype" w:cs="Palatino Linotype"/>
          <w:sz w:val="24"/>
        </w:rPr>
      </w:pPr>
    </w:p>
    <w:p w14:paraId="21BB3468" w14:textId="77777777" w:rsidR="008B422C" w:rsidRPr="002B2CFF" w:rsidRDefault="008B422C" w:rsidP="008B422C">
      <w:pPr>
        <w:numPr>
          <w:ilvl w:val="0"/>
          <w:numId w:val="1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2B2CFF">
        <w:rPr>
          <w:rFonts w:ascii="Palatino Linotype" w:eastAsia="Palatino Linotype" w:hAnsi="Palatino Linotype" w:cs="Palatino Linotype"/>
          <w:b/>
        </w:rPr>
        <w:lastRenderedPageBreak/>
        <w:t xml:space="preserve">Inicial: </w:t>
      </w:r>
      <w:r w:rsidRPr="002B2CFF">
        <w:rPr>
          <w:rFonts w:ascii="Palatino Linotype" w:eastAsia="Palatino Linotype" w:hAnsi="Palatino Linotype" w:cs="Palatino Linotype"/>
        </w:rPr>
        <w:t>Dentro de los sesenta días naturales siguientes al ingreso o reingreso al servicio público;</w:t>
      </w:r>
    </w:p>
    <w:p w14:paraId="25D63799" w14:textId="77777777" w:rsidR="008B422C" w:rsidRPr="002B2CFF" w:rsidRDefault="008B422C" w:rsidP="008B422C">
      <w:pPr>
        <w:numPr>
          <w:ilvl w:val="0"/>
          <w:numId w:val="1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2B2CFF">
        <w:rPr>
          <w:rFonts w:ascii="Palatino Linotype" w:eastAsia="Palatino Linotype" w:hAnsi="Palatino Linotype" w:cs="Palatino Linotype"/>
          <w:b/>
        </w:rPr>
        <w:t xml:space="preserve">Modificación Patrimonial: </w:t>
      </w:r>
      <w:r w:rsidRPr="002B2CFF">
        <w:rPr>
          <w:rFonts w:ascii="Palatino Linotype" w:eastAsia="Palatino Linotype" w:hAnsi="Palatino Linotype" w:cs="Palatino Linotype"/>
        </w:rPr>
        <w:t xml:space="preserve">Durante el </w:t>
      </w:r>
      <w:r w:rsidRPr="002B2CFF">
        <w:rPr>
          <w:rFonts w:ascii="Palatino Linotype" w:eastAsia="Palatino Linotype" w:hAnsi="Palatino Linotype" w:cs="Palatino Linotype"/>
          <w:b/>
          <w:bCs/>
          <w:u w:val="single"/>
        </w:rPr>
        <w:t>mes de mayo</w:t>
      </w:r>
      <w:r w:rsidRPr="002B2CFF">
        <w:rPr>
          <w:rFonts w:ascii="Palatino Linotype" w:eastAsia="Palatino Linotype" w:hAnsi="Palatino Linotype" w:cs="Palatino Linotype"/>
        </w:rPr>
        <w:t xml:space="preserve"> de dos cada año, y</w:t>
      </w:r>
    </w:p>
    <w:p w14:paraId="261FBCCE" w14:textId="77777777" w:rsidR="008B422C" w:rsidRPr="002B2CFF" w:rsidRDefault="008B422C" w:rsidP="008B422C">
      <w:pPr>
        <w:pStyle w:val="Prrafodelista"/>
        <w:rPr>
          <w:rFonts w:ascii="Palatino Linotype" w:eastAsia="Palatino Linotype" w:hAnsi="Palatino Linotype" w:cs="Palatino Linotype"/>
          <w:b/>
          <w:sz w:val="24"/>
        </w:rPr>
      </w:pPr>
    </w:p>
    <w:p w14:paraId="2A9AE49B" w14:textId="77777777" w:rsidR="008B422C" w:rsidRPr="002B2CFF" w:rsidRDefault="008B422C" w:rsidP="008B422C">
      <w:pPr>
        <w:numPr>
          <w:ilvl w:val="0"/>
          <w:numId w:val="10"/>
        </w:numPr>
        <w:pBdr>
          <w:top w:val="nil"/>
          <w:left w:val="nil"/>
          <w:bottom w:val="nil"/>
          <w:right w:val="nil"/>
          <w:between w:val="nil"/>
        </w:pBdr>
        <w:spacing w:line="360" w:lineRule="auto"/>
        <w:ind w:right="-28"/>
        <w:jc w:val="both"/>
        <w:rPr>
          <w:rFonts w:ascii="Palatino Linotype" w:eastAsia="Palatino Linotype" w:hAnsi="Palatino Linotype" w:cs="Palatino Linotype"/>
          <w:b/>
        </w:rPr>
      </w:pPr>
      <w:r w:rsidRPr="002B2CFF">
        <w:rPr>
          <w:rFonts w:ascii="Palatino Linotype" w:eastAsia="Palatino Linotype" w:hAnsi="Palatino Linotype" w:cs="Palatino Linotype"/>
          <w:b/>
        </w:rPr>
        <w:t xml:space="preserve">Conclusión: </w:t>
      </w:r>
      <w:r w:rsidRPr="002B2CFF">
        <w:rPr>
          <w:rFonts w:ascii="Palatino Linotype" w:eastAsia="Palatino Linotype" w:hAnsi="Palatino Linotype" w:cs="Palatino Linotype"/>
        </w:rPr>
        <w:t>Dentro de los sesenta días naturales siguientes a la conclusión del cargo.</w:t>
      </w:r>
      <w:r w:rsidRPr="002B2CFF">
        <w:rPr>
          <w:rFonts w:ascii="Palatino Linotype" w:eastAsia="Palatino Linotype" w:hAnsi="Palatino Linotype" w:cs="Palatino Linotype"/>
          <w:b/>
        </w:rPr>
        <w:t xml:space="preserve"> </w:t>
      </w:r>
    </w:p>
    <w:p w14:paraId="1340E9E0" w14:textId="77777777" w:rsidR="008B422C" w:rsidRPr="002B2CFF" w:rsidRDefault="008B422C" w:rsidP="008B422C">
      <w:pPr>
        <w:pBdr>
          <w:top w:val="nil"/>
          <w:left w:val="nil"/>
          <w:bottom w:val="nil"/>
          <w:right w:val="nil"/>
          <w:between w:val="nil"/>
        </w:pBdr>
        <w:spacing w:line="360" w:lineRule="auto"/>
        <w:ind w:left="720" w:right="-28"/>
        <w:jc w:val="both"/>
        <w:rPr>
          <w:rFonts w:ascii="Palatino Linotype" w:eastAsia="Palatino Linotype" w:hAnsi="Palatino Linotype" w:cs="Palatino Linotype"/>
          <w:b/>
        </w:rPr>
      </w:pPr>
    </w:p>
    <w:p w14:paraId="3C58E881"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Por su parte, el artículo 35 de la Ley de Responsabilidades Administrativas dispone que la declaración patrimonial debe presentarse a través de medios electrónicos, empleándose medios de identificación electrónica, y para el caso de los municipios que no cuenten con las tecnologías de la información y comunicación necesarias para cumplir lo anterior, podrán emplear formatos impresos, siendo responsabilidad de los órganos internos de </w:t>
      </w:r>
      <w:r w:rsidRPr="002B2CFF">
        <w:rPr>
          <w:rFonts w:ascii="Palatino Linotype" w:eastAsia="Palatino Linotype" w:hAnsi="Palatino Linotype" w:cs="Palatino Linotype"/>
          <w:bCs/>
        </w:rPr>
        <w:t>control</w:t>
      </w:r>
      <w:r w:rsidRPr="002B2CFF">
        <w:rPr>
          <w:rFonts w:ascii="Palatino Linotype" w:eastAsia="Palatino Linotype" w:hAnsi="Palatino Linotype" w:cs="Palatino Linotype"/>
        </w:rPr>
        <w:t xml:space="preserve"> y la Secretaría de la Contraloría verificar que dichos formatos sean digitalizados e incluir la información que corresponda en el sistema de evolución patrimonial, de declaración de intereses y presentación de la constancia de declaración fiscal, resaltando que la Secretaría de la Contraloría tendrá a su cargo el sistema de certificación de los medios de identificación electrónica que utilicen los servidores públicos y llevará el control de dicho medio,</w:t>
      </w:r>
      <w:r w:rsidRPr="002B2CFF">
        <w:rPr>
          <w:rFonts w:ascii="Palatino Linotype" w:eastAsia="Palatino Linotype" w:hAnsi="Palatino Linotype" w:cs="Palatino Linotype"/>
          <w:b/>
        </w:rPr>
        <w:t xml:space="preserve"> </w:t>
      </w:r>
      <w:r w:rsidRPr="002B2CFF">
        <w:rPr>
          <w:rFonts w:ascii="Palatino Linotype" w:eastAsia="Palatino Linotype" w:hAnsi="Palatino Linotype" w:cs="Palatino Linotype"/>
        </w:rPr>
        <w:t>a saber:</w:t>
      </w:r>
    </w:p>
    <w:p w14:paraId="39DC6432"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56FCA901"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t>“</w:t>
      </w:r>
      <w:r w:rsidRPr="002B2CFF">
        <w:rPr>
          <w:rFonts w:ascii="Palatino Linotype" w:eastAsia="Palatino Linotype" w:hAnsi="Palatino Linotype" w:cs="Palatino Linotype"/>
          <w:b/>
          <w:i/>
        </w:rPr>
        <w:t>Artículo 35</w:t>
      </w:r>
      <w:r w:rsidRPr="002B2CFF">
        <w:rPr>
          <w:rFonts w:ascii="Palatino Linotype" w:eastAsia="Palatino Linotype" w:hAnsi="Palatino Linotype" w:cs="Palatino Linotype"/>
          <w:i/>
        </w:rPr>
        <w:t xml:space="preserve">. La declaración de situación patrimonial, deberá ser presentada a través de medios electrónicos, empleándose medios de identificación electrónica. </w:t>
      </w:r>
    </w:p>
    <w:p w14:paraId="35EC7936"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t xml:space="preserve">En el caso de municipios que no cuenten con las tecnologías de la información y comunicación necesarias para cumplir lo anterior, podrán emplearse formatos impresos, siendo responsabilidad de los órganos internos de control y la Secretaría de la Contraloría verificar que dichos formatos sean digitalizados e incluir la información que corresponda en el sistema de evolución patrimonial, de declaración de intereses y presentación de la constancia de declaración fiscal. </w:t>
      </w:r>
    </w:p>
    <w:p w14:paraId="4BF2CB08"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t xml:space="preserve">La Secretaría de la Contraloría tendrá a su cargo el sistema de certificación de los medios de identificación electrónica que utilicen los servidores públicos y llevará el control de dicho medio. </w:t>
      </w:r>
    </w:p>
    <w:p w14:paraId="3C63D782"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lastRenderedPageBreak/>
        <w:t xml:space="preserve">Asimismo, el Comité Coordinador, a propuesta del Comité de Participación Ciudadana, emitirá las normas y los formatos impresos, de medios magnéticos y electrónicos, bajo los cuales los declarantes deberán presentar la declaración patrimonial, de intereses y en su caso, la constancia de presentación de la declaración fiscal, así como los manuales e instructivos, observando lo dispuesto por esta Ley. </w:t>
      </w:r>
    </w:p>
    <w:p w14:paraId="5D4F7BC1"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t xml:space="preserve">Para los efectos de los procedimientos penales que se deriven de la aplicación de las disposiciones del presente Título, son documentos públicos aquéllos que emita la Secretaría de la Contraloría para ser presentados como medios de prueba, en los cuales se contenga la información que obre en sus archivos documentales y electrónicos sobre la declaración de situación patrimonial de los servidores públicos. </w:t>
      </w:r>
    </w:p>
    <w:p w14:paraId="4D4B79AC" w14:textId="77777777" w:rsidR="008B422C" w:rsidRPr="002B2CFF" w:rsidRDefault="008B422C" w:rsidP="008B422C">
      <w:pPr>
        <w:pBdr>
          <w:top w:val="nil"/>
          <w:left w:val="nil"/>
          <w:bottom w:val="nil"/>
          <w:right w:val="nil"/>
          <w:between w:val="nil"/>
        </w:pBdr>
        <w:ind w:left="851" w:right="902"/>
        <w:jc w:val="both"/>
        <w:rPr>
          <w:rFonts w:ascii="Palatino Linotype" w:eastAsia="Palatino Linotype" w:hAnsi="Palatino Linotype" w:cs="Palatino Linotype"/>
          <w:i/>
        </w:rPr>
      </w:pPr>
      <w:r w:rsidRPr="002B2CFF">
        <w:rPr>
          <w:rFonts w:ascii="Palatino Linotype" w:eastAsia="Palatino Linotype" w:hAnsi="Palatino Linotype" w:cs="Palatino Linotype"/>
          <w:i/>
        </w:rPr>
        <w:t>Los servidores públicos facultados para recabar la declaración de situación patrimonial, deberán resguardar la información a la que accedan observando lo dispuesto en la Ley de Transparencia y Acceso a la Información Pública del Estado de México y Municipios así como en la Ley de Protección de Datos Personales del Estado de México.”</w:t>
      </w:r>
    </w:p>
    <w:p w14:paraId="63879E2A" w14:textId="77777777" w:rsidR="008B422C" w:rsidRPr="002B2CFF" w:rsidRDefault="008B422C" w:rsidP="008B422C">
      <w:pPr>
        <w:spacing w:line="360" w:lineRule="auto"/>
        <w:ind w:right="1"/>
        <w:jc w:val="both"/>
        <w:rPr>
          <w:rFonts w:ascii="Palatino Linotype" w:eastAsia="Palatino Linotype" w:hAnsi="Palatino Linotype" w:cs="Palatino Linotype"/>
          <w:b/>
          <w:bCs/>
        </w:rPr>
      </w:pPr>
    </w:p>
    <w:p w14:paraId="64CB9390"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0E8E123"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En esa tesitura, es de explorado derecho que dar a conocer nombres de servidores públicos que no hayan cumplido con una obligación como la que refiere la solicitud de información </w:t>
      </w:r>
      <w:r w:rsidRPr="002B2CFF">
        <w:rPr>
          <w:rFonts w:ascii="Palatino Linotype" w:eastAsia="Calibri" w:hAnsi="Palatino Linotype" w:cs="Consolas"/>
          <w:color w:val="000000"/>
        </w:rPr>
        <w:t>01688/TEPOTZOT/IP/2025,</w:t>
      </w:r>
      <w:r w:rsidRPr="002B2CFF">
        <w:rPr>
          <w:rFonts w:ascii="Palatino Linotype" w:eastAsia="Palatino Linotype" w:hAnsi="Palatino Linotype" w:cs="Palatino Linotype"/>
        </w:rPr>
        <w:t xml:space="preserve"> actualiza una causal clasificación, por las siguientes consideraciones.</w:t>
      </w:r>
    </w:p>
    <w:p w14:paraId="3111F626"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91CE227" w14:textId="77777777" w:rsidR="008B422C" w:rsidRPr="002B2CFF" w:rsidRDefault="008B422C" w:rsidP="008B422C">
      <w:pPr>
        <w:numPr>
          <w:ilvl w:val="0"/>
          <w:numId w:val="1"/>
        </w:numPr>
        <w:spacing w:line="360" w:lineRule="auto"/>
        <w:ind w:left="0" w:right="1" w:firstLine="0"/>
        <w:jc w:val="both"/>
        <w:rPr>
          <w:rFonts w:ascii="Palatino Linotype" w:eastAsia="Calibri" w:hAnsi="Palatino Linotype" w:cs="Tahoma"/>
          <w:iCs/>
          <w:lang w:eastAsia="es-ES_tradnl"/>
        </w:rPr>
      </w:pPr>
      <w:r w:rsidRPr="002B2CFF">
        <w:rPr>
          <w:rFonts w:ascii="Palatino Linotype" w:eastAsia="Palatino Linotype" w:hAnsi="Palatino Linotype" w:cs="Palatino Linotype"/>
        </w:rPr>
        <w:t xml:space="preserve">A diferencia de la solicitud de información diversa que la hoy </w:t>
      </w:r>
      <w:r w:rsidRPr="002B2CFF">
        <w:rPr>
          <w:rFonts w:ascii="Palatino Linotype" w:eastAsia="Palatino Linotype" w:hAnsi="Palatino Linotype" w:cs="Palatino Linotype"/>
          <w:b/>
        </w:rPr>
        <w:t xml:space="preserve">RECURRENTE </w:t>
      </w:r>
      <w:r w:rsidRPr="002B2CFF">
        <w:rPr>
          <w:rFonts w:ascii="Palatino Linotype" w:eastAsia="Palatino Linotype" w:hAnsi="Palatino Linotype" w:cs="Palatino Linotype"/>
        </w:rPr>
        <w:t>adjunta como indicio, tocante al número de servidores públicos omisos; es información que ciertamente tiene el carácter de publica conforme a</w:t>
      </w:r>
      <w:r w:rsidRPr="002B2CFF">
        <w:rPr>
          <w:rFonts w:ascii="Palatino Linotype" w:hAnsi="Palatino Linotype" w:cs="Tahoma"/>
          <w:bCs/>
          <w:iCs/>
        </w:rPr>
        <w:t xml:space="preserve">l Criterio </w:t>
      </w:r>
      <w:r w:rsidRPr="002B2CFF">
        <w:rPr>
          <w:rFonts w:ascii="Palatino Linotype" w:eastAsia="Calibri" w:hAnsi="Palatino Linotype" w:cs="Tahoma"/>
          <w:iCs/>
          <w:lang w:eastAsia="es-ES_tradnl"/>
        </w:rPr>
        <w:t>11/09, emitido por el Pleno del entonces Instituto Federal de Acceso a la Información y Protección de Datos, traído por analogía, establece lo siguiente:</w:t>
      </w:r>
    </w:p>
    <w:p w14:paraId="041CBD8D" w14:textId="77777777" w:rsidR="008B422C" w:rsidRPr="002B2CFF" w:rsidRDefault="008B422C" w:rsidP="008B422C">
      <w:pPr>
        <w:spacing w:line="360" w:lineRule="auto"/>
        <w:jc w:val="both"/>
        <w:rPr>
          <w:rFonts w:ascii="Palatino Linotype" w:eastAsia="Calibri" w:hAnsi="Palatino Linotype" w:cs="Tahoma"/>
          <w:iCs/>
          <w:lang w:eastAsia="es-ES_tradnl"/>
        </w:rPr>
      </w:pPr>
    </w:p>
    <w:p w14:paraId="5DA0735B" w14:textId="77777777" w:rsidR="008B422C" w:rsidRPr="002B2CFF" w:rsidRDefault="008B422C" w:rsidP="008B422C">
      <w:pPr>
        <w:spacing w:line="360" w:lineRule="auto"/>
        <w:ind w:left="567" w:right="567"/>
        <w:jc w:val="both"/>
        <w:rPr>
          <w:rFonts w:ascii="Palatino Linotype" w:eastAsia="Calibri" w:hAnsi="Palatino Linotype" w:cs="Tahoma"/>
          <w:bCs/>
          <w:i/>
        </w:rPr>
      </w:pPr>
      <w:r w:rsidRPr="002B2CFF">
        <w:rPr>
          <w:rFonts w:ascii="Palatino Linotype" w:eastAsia="Calibri" w:hAnsi="Palatino Linotype" w:cs="Tahoma"/>
          <w:b/>
          <w:bCs/>
          <w:i/>
        </w:rPr>
        <w:t xml:space="preserve">“La información estadística es de naturaleza pública, independientemente de la materia con la que se encuentre vinculada. </w:t>
      </w:r>
      <w:r w:rsidRPr="002B2CFF">
        <w:rPr>
          <w:rFonts w:ascii="Palatino Linotype" w:eastAsia="Calibri" w:hAnsi="Palatino Linotype" w:cs="Tahoma"/>
          <w:bCs/>
          <w:i/>
        </w:rPr>
        <w:t xml:space="preserve">Considerando que la información estadística  </w:t>
      </w:r>
      <w:r w:rsidRPr="002B2CFF">
        <w:rPr>
          <w:rFonts w:ascii="Palatino Linotype" w:eastAsia="Calibri" w:hAnsi="Palatino Linotype" w:cs="Tahoma"/>
          <w:bCs/>
          <w:i/>
        </w:rPr>
        <w:lastRenderedPageBreak/>
        <w:t>es el producto   de   un   conjunto   de   resultados cuantitativos obtenidos de un proceso sistemático de captación de datos primarios obtenidos sobre hechos que constan en documentos que las dependencias y entidades poseen, derivado del ejercicio de sus atribuciones, y que el artículo 7, fracción XVII de la Ley Federal de Transparencia y Acceso a la Información Pública Gubernamental establece que los sujetos obligados deberán poner a disposición del público, entre otra, la relativa a la que con base en la información estadística, responda a las preguntas hechas con más frecuencia por el público, es posible afirmar que la información estadística es de naturaleza pública. Lo anterior se debe también a que, por definición, los datos estadísticos no se encuentran individualizados o personalizados a casos o situaciones específicas que pudieran llegar a justificar su clasificación.”</w:t>
      </w:r>
    </w:p>
    <w:p w14:paraId="6F765F8B" w14:textId="77777777" w:rsidR="008B422C" w:rsidRPr="002B2CFF" w:rsidRDefault="008B422C" w:rsidP="008B422C">
      <w:pPr>
        <w:spacing w:line="360" w:lineRule="auto"/>
        <w:ind w:left="567" w:right="567"/>
        <w:jc w:val="both"/>
        <w:rPr>
          <w:rFonts w:ascii="Palatino Linotype" w:eastAsia="Calibri" w:hAnsi="Palatino Linotype" w:cs="Tahoma"/>
          <w:bCs/>
          <w:i/>
        </w:rPr>
      </w:pPr>
    </w:p>
    <w:p w14:paraId="2B3C5082" w14:textId="77777777" w:rsidR="008B422C" w:rsidRPr="002B2CFF" w:rsidRDefault="008B422C" w:rsidP="008B422C">
      <w:pPr>
        <w:numPr>
          <w:ilvl w:val="0"/>
          <w:numId w:val="1"/>
        </w:numPr>
        <w:spacing w:line="360" w:lineRule="auto"/>
        <w:ind w:left="0" w:right="1" w:firstLine="0"/>
        <w:jc w:val="both"/>
        <w:rPr>
          <w:rFonts w:ascii="Palatino Linotype" w:hAnsi="Palatino Linotype" w:cs="Tahoma"/>
        </w:rPr>
      </w:pPr>
      <w:r w:rsidRPr="002B2CFF">
        <w:rPr>
          <w:rFonts w:ascii="Palatino Linotype" w:hAnsi="Palatino Linotype" w:cs="Tahoma"/>
        </w:rPr>
        <w:t xml:space="preserve">Del Criterio citado, se desprende que la información estadística es de naturaleza </w:t>
      </w:r>
      <w:r w:rsidRPr="002B2CFF">
        <w:rPr>
          <w:rFonts w:ascii="Palatino Linotype" w:eastAsia="Palatino Linotype" w:hAnsi="Palatino Linotype" w:cs="Palatino Linotype"/>
        </w:rPr>
        <w:t>pública</w:t>
      </w:r>
      <w:r w:rsidRPr="002B2CFF">
        <w:rPr>
          <w:rFonts w:ascii="Palatino Linotype" w:hAnsi="Palatino Linotype" w:cs="Tahoma"/>
        </w:rPr>
        <w:t xml:space="preserve">, al </w:t>
      </w:r>
      <w:r w:rsidRPr="002B2CFF">
        <w:rPr>
          <w:rFonts w:ascii="Palatino Linotype" w:hAnsi="Palatino Linotype"/>
          <w:lang w:val="es-ES"/>
        </w:rPr>
        <w:t>ser</w:t>
      </w:r>
      <w:r w:rsidRPr="002B2CFF">
        <w:rPr>
          <w:rFonts w:ascii="Palatino Linotype" w:hAnsi="Palatino Linotype" w:cs="Tahoma"/>
        </w:rPr>
        <w:t xml:space="preserve"> el producto de un conjunto de resultados cuantitativos obtenidos de un proceso sistemático de captación de datos primarios obtenidos sobre hechos que constan en la documentación que los sujetos obligados poseen, por lo que, </w:t>
      </w:r>
      <w:r w:rsidRPr="002B2CFF">
        <w:rPr>
          <w:rFonts w:ascii="Palatino Linotype" w:hAnsi="Palatino Linotype" w:cs="Tahoma"/>
          <w:u w:val="single"/>
        </w:rPr>
        <w:t>dichos datos no se encuentran individualizados o personalizados</w:t>
      </w:r>
      <w:r w:rsidRPr="002B2CFF">
        <w:rPr>
          <w:rFonts w:ascii="Palatino Linotype" w:hAnsi="Palatino Linotype" w:cs="Tahoma"/>
        </w:rPr>
        <w:t>,.</w:t>
      </w:r>
    </w:p>
    <w:p w14:paraId="43E94C31" w14:textId="77777777" w:rsidR="008B422C" w:rsidRPr="002B2CFF" w:rsidRDefault="008B422C" w:rsidP="008B422C">
      <w:pPr>
        <w:spacing w:line="360" w:lineRule="auto"/>
        <w:ind w:right="-28"/>
        <w:contextualSpacing/>
        <w:jc w:val="both"/>
        <w:rPr>
          <w:rFonts w:ascii="Palatino Linotype" w:hAnsi="Palatino Linotype" w:cs="Tahoma"/>
          <w:bCs/>
          <w:shd w:val="clear" w:color="auto" w:fill="FFFFFF"/>
        </w:rPr>
      </w:pPr>
    </w:p>
    <w:p w14:paraId="681CB9C8" w14:textId="77777777" w:rsidR="008B422C" w:rsidRPr="002B2CFF" w:rsidRDefault="008B422C" w:rsidP="008B422C">
      <w:pPr>
        <w:numPr>
          <w:ilvl w:val="0"/>
          <w:numId w:val="1"/>
        </w:numPr>
        <w:spacing w:line="360" w:lineRule="auto"/>
        <w:ind w:left="0" w:right="1" w:firstLine="0"/>
        <w:jc w:val="both"/>
        <w:rPr>
          <w:rFonts w:ascii="Palatino Linotype" w:hAnsi="Palatino Linotype" w:cs="Tahoma"/>
        </w:rPr>
      </w:pPr>
      <w:r w:rsidRPr="002B2CFF">
        <w:rPr>
          <w:rFonts w:ascii="Palatino Linotype" w:hAnsi="Palatino Linotype" w:cs="Tahoma"/>
        </w:rPr>
        <w:t xml:space="preserve">Caso contrario ocurre en pretender conocer </w:t>
      </w:r>
      <w:r w:rsidRPr="002B2CFF">
        <w:rPr>
          <w:rFonts w:ascii="Palatino Linotype" w:hAnsi="Palatino Linotype"/>
          <w:lang w:val="es-ES"/>
        </w:rPr>
        <w:t xml:space="preserve">conocer los nombres de los servidores públicos omisos -presuntos responsables de falta administrativa- pues esta si </w:t>
      </w:r>
      <w:r w:rsidRPr="002B2CFF">
        <w:rPr>
          <w:rFonts w:ascii="Palatino Linotype" w:eastAsia="Palatino Linotype" w:hAnsi="Palatino Linotype" w:cs="Palatino Linotype"/>
        </w:rPr>
        <w:t>corresponde</w:t>
      </w:r>
      <w:r w:rsidRPr="002B2CFF">
        <w:rPr>
          <w:rFonts w:ascii="Palatino Linotype" w:hAnsi="Palatino Linotype"/>
          <w:lang w:val="es-ES"/>
        </w:rPr>
        <w:t xml:space="preserve"> a información individualizada, que pierde el carácter de estadística</w:t>
      </w:r>
      <w:r w:rsidRPr="002B2CFF">
        <w:rPr>
          <w:rFonts w:ascii="Palatino Linotype" w:hAnsi="Palatino Linotype" w:cs="Tahoma"/>
        </w:rPr>
        <w:t xml:space="preserve">, la cual se encuentra relacionada con faltas administrativas </w:t>
      </w:r>
      <w:r w:rsidRPr="002B2CFF">
        <w:rPr>
          <w:rFonts w:ascii="Palatino Linotype" w:hAnsi="Palatino Linotype" w:cs="Tahoma"/>
          <w:u w:val="single"/>
        </w:rPr>
        <w:t>no graves</w:t>
      </w:r>
      <w:r w:rsidRPr="002B2CFF">
        <w:rPr>
          <w:rFonts w:ascii="Palatino Linotype" w:hAnsi="Palatino Linotype" w:cs="Tahoma"/>
        </w:rPr>
        <w:t>, mismas que no tienen el carácter de publicas, como se especificara en párrafos subsecuentes y, que se encuentra relacionada con la solicitud diversa consistente en el listado de los 39 servidores públicos omisos.</w:t>
      </w:r>
    </w:p>
    <w:p w14:paraId="31102086" w14:textId="77777777" w:rsidR="008B422C" w:rsidRPr="002B2CFF" w:rsidRDefault="008B422C" w:rsidP="008B422C">
      <w:pPr>
        <w:spacing w:line="360" w:lineRule="auto"/>
        <w:rPr>
          <w:rFonts w:ascii="Palatino Linotype" w:eastAsia="MS Mincho" w:hAnsi="Palatino Linotype" w:cs="Arial"/>
        </w:rPr>
      </w:pPr>
    </w:p>
    <w:p w14:paraId="52BC799D" w14:textId="77777777" w:rsidR="008B422C" w:rsidRPr="002B2CFF" w:rsidRDefault="008B422C" w:rsidP="008B422C">
      <w:pPr>
        <w:numPr>
          <w:ilvl w:val="0"/>
          <w:numId w:val="1"/>
        </w:numPr>
        <w:spacing w:line="360" w:lineRule="auto"/>
        <w:ind w:left="0" w:right="1" w:firstLine="0"/>
        <w:jc w:val="both"/>
        <w:rPr>
          <w:rFonts w:ascii="Palatino Linotype" w:eastAsia="Calibri" w:hAnsi="Palatino Linotype" w:cs="Arial"/>
        </w:rPr>
      </w:pPr>
      <w:r w:rsidRPr="002B2CFF">
        <w:rPr>
          <w:rFonts w:ascii="Palatino Linotype" w:eastAsia="Palatino Linotype" w:hAnsi="Palatino Linotype" w:cs="Palatino Linotype"/>
        </w:rPr>
        <w:lastRenderedPageBreak/>
        <w:t xml:space="preserve">Ahora bien, si los omisos, a la fecha de la solicitud, no se les ha emitido una resolución que califique dicha omisión de falta administrativa, también es improcedente </w:t>
      </w:r>
      <w:r w:rsidRPr="002B2CFF">
        <w:rPr>
          <w:rFonts w:ascii="Palatino Linotype" w:eastAsia="Calibri" w:hAnsi="Palatino Linotype" w:cs="Arial"/>
        </w:rPr>
        <w:t xml:space="preserve">dar a </w:t>
      </w:r>
      <w:r w:rsidRPr="002B2CFF">
        <w:rPr>
          <w:rFonts w:ascii="Palatino Linotype" w:eastAsia="Palatino Linotype" w:hAnsi="Palatino Linotype" w:cs="Palatino Linotype"/>
        </w:rPr>
        <w:t>conocer</w:t>
      </w:r>
      <w:r w:rsidRPr="002B2CFF">
        <w:rPr>
          <w:rFonts w:ascii="Palatino Linotype" w:eastAsia="Calibri" w:hAnsi="Palatino Linotype" w:cs="Arial"/>
        </w:rPr>
        <w:t xml:space="preserve"> dicha información, pues se transgrede el principio de presunción de inocencia, ello como consecuencia de que, la autoridad sustanciadora en todo caso, aún no ha determinado su culpabilidad puesto que no se ha emitido una resolución que determine una sanción o, por el contrario, determine la inocencia del presunto responsable, lo que actualiza una causal de reserva en términos del artículo 140 fracción VIII, a saber:</w:t>
      </w:r>
    </w:p>
    <w:p w14:paraId="23925A12" w14:textId="77777777" w:rsidR="008B422C" w:rsidRPr="002B2CFF" w:rsidRDefault="008B422C" w:rsidP="008B422C">
      <w:pPr>
        <w:pStyle w:val="Prrafodelista"/>
        <w:rPr>
          <w:rFonts w:ascii="Palatino Linotype" w:eastAsia="Calibri" w:hAnsi="Palatino Linotype" w:cs="Arial"/>
          <w:sz w:val="24"/>
        </w:rPr>
      </w:pPr>
    </w:p>
    <w:p w14:paraId="40963CCE" w14:textId="77777777" w:rsidR="008B422C" w:rsidRPr="002B2CFF" w:rsidRDefault="008B422C" w:rsidP="008B422C">
      <w:pPr>
        <w:pBdr>
          <w:top w:val="nil"/>
          <w:left w:val="nil"/>
          <w:bottom w:val="nil"/>
          <w:right w:val="nil"/>
          <w:between w:val="nil"/>
        </w:pBdr>
        <w:spacing w:line="360" w:lineRule="auto"/>
        <w:ind w:left="567" w:right="474"/>
        <w:jc w:val="both"/>
        <w:rPr>
          <w:rFonts w:ascii="Palatino Linotype" w:eastAsia="Calibri" w:hAnsi="Palatino Linotype" w:cs="Arial"/>
          <w:i/>
        </w:rPr>
      </w:pPr>
      <w:r w:rsidRPr="002B2CFF">
        <w:rPr>
          <w:rFonts w:ascii="Palatino Linotype" w:eastAsia="Calibri" w:hAnsi="Palatino Linotype" w:cs="Arial"/>
          <w:i/>
        </w:rPr>
        <w:t>“Artículo 140. El acceso a la información pública será restringido excepcionalmente, cuando por razones de interés público, ésta sea clasificada como reservada, conforme a los criterios siguientes:</w:t>
      </w:r>
    </w:p>
    <w:p w14:paraId="5EA783A0" w14:textId="77777777" w:rsidR="008B422C" w:rsidRPr="002B2CFF" w:rsidRDefault="008B422C" w:rsidP="008B422C">
      <w:pPr>
        <w:pBdr>
          <w:top w:val="nil"/>
          <w:left w:val="nil"/>
          <w:bottom w:val="nil"/>
          <w:right w:val="nil"/>
          <w:between w:val="nil"/>
        </w:pBdr>
        <w:spacing w:line="360" w:lineRule="auto"/>
        <w:ind w:left="567" w:right="474"/>
        <w:jc w:val="both"/>
        <w:rPr>
          <w:rFonts w:ascii="Palatino Linotype" w:eastAsia="Calibri" w:hAnsi="Palatino Linotype" w:cs="Arial"/>
          <w:i/>
        </w:rPr>
      </w:pPr>
      <w:r w:rsidRPr="002B2CFF">
        <w:rPr>
          <w:rFonts w:ascii="Palatino Linotype" w:eastAsia="Calibri" w:hAnsi="Palatino Linotype" w:cs="Arial"/>
          <w:i/>
        </w:rPr>
        <w:t>...</w:t>
      </w:r>
    </w:p>
    <w:p w14:paraId="5B717454" w14:textId="77777777" w:rsidR="008B422C" w:rsidRPr="002B2CFF" w:rsidRDefault="008B422C" w:rsidP="008B422C">
      <w:pPr>
        <w:pBdr>
          <w:top w:val="nil"/>
          <w:left w:val="nil"/>
          <w:bottom w:val="nil"/>
          <w:right w:val="nil"/>
          <w:between w:val="nil"/>
        </w:pBdr>
        <w:spacing w:line="360" w:lineRule="auto"/>
        <w:ind w:left="567" w:right="474"/>
        <w:jc w:val="both"/>
        <w:rPr>
          <w:rFonts w:ascii="Palatino Linotype" w:eastAsia="Calibri" w:hAnsi="Palatino Linotype" w:cs="Arial"/>
          <w:i/>
        </w:rPr>
      </w:pPr>
      <w:r w:rsidRPr="002B2CFF">
        <w:rPr>
          <w:rFonts w:ascii="Palatino Linotype" w:eastAsia="Calibri" w:hAnsi="Palatino Linotype" w:cs="Arial"/>
          <w:i/>
        </w:rPr>
        <w:t xml:space="preserve">VIII. Vulnere la conducción de los expedientes judiciales </w:t>
      </w:r>
      <w:r w:rsidRPr="002B2CFF">
        <w:rPr>
          <w:rFonts w:ascii="Palatino Linotype" w:eastAsia="Calibri" w:hAnsi="Palatino Linotype" w:cs="Arial"/>
          <w:b/>
          <w:i/>
        </w:rPr>
        <w:t>o de los procedimientos administrativos seguidos en forma de juicio, en tanto no hayan quedado firmes</w:t>
      </w:r>
      <w:r w:rsidRPr="002B2CFF">
        <w:rPr>
          <w:rFonts w:ascii="Palatino Linotype" w:eastAsia="Calibri" w:hAnsi="Palatino Linotype" w:cs="Arial"/>
          <w:i/>
        </w:rPr>
        <w:t>;</w:t>
      </w:r>
    </w:p>
    <w:p w14:paraId="2A88A73D" w14:textId="77777777" w:rsidR="008B422C" w:rsidRPr="002B2CFF" w:rsidRDefault="008B422C" w:rsidP="008B422C">
      <w:pPr>
        <w:pBdr>
          <w:top w:val="nil"/>
          <w:left w:val="nil"/>
          <w:bottom w:val="nil"/>
          <w:right w:val="nil"/>
          <w:between w:val="nil"/>
        </w:pBdr>
        <w:spacing w:line="360" w:lineRule="auto"/>
        <w:ind w:left="567" w:right="474"/>
        <w:jc w:val="both"/>
        <w:rPr>
          <w:rFonts w:ascii="Palatino Linotype" w:eastAsia="Calibri" w:hAnsi="Palatino Linotype" w:cs="Arial"/>
          <w:i/>
        </w:rPr>
      </w:pPr>
      <w:r w:rsidRPr="002B2CFF">
        <w:rPr>
          <w:rFonts w:ascii="Palatino Linotype" w:eastAsia="Calibri" w:hAnsi="Palatino Linotype" w:cs="Arial"/>
          <w:i/>
        </w:rPr>
        <w:t>...”</w:t>
      </w:r>
    </w:p>
    <w:p w14:paraId="57849824"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Por otro lado, de ser el caso que ya cuenten con una resolución condenatoria, tampoco es dable dar a conocer sus nombres, toda vez que esta implicaría la imposición de una sanción administrativa </w:t>
      </w:r>
      <w:r w:rsidRPr="002B2CFF">
        <w:rPr>
          <w:rFonts w:ascii="Palatino Linotype" w:eastAsia="Palatino Linotype" w:hAnsi="Palatino Linotype" w:cs="Palatino Linotype"/>
          <w:u w:val="single"/>
        </w:rPr>
        <w:t>no grave</w:t>
      </w:r>
      <w:r w:rsidRPr="002B2CFF">
        <w:rPr>
          <w:rFonts w:ascii="Palatino Linotype" w:eastAsia="Palatino Linotype" w:hAnsi="Palatino Linotype" w:cs="Palatino Linotype"/>
        </w:rPr>
        <w:t>.</w:t>
      </w:r>
    </w:p>
    <w:p w14:paraId="14CD73C6" w14:textId="77777777" w:rsidR="008B422C" w:rsidRPr="002B2CFF" w:rsidRDefault="008B422C" w:rsidP="008B422C">
      <w:pPr>
        <w:pStyle w:val="Prrafodelista"/>
        <w:rPr>
          <w:rFonts w:ascii="Palatino Linotype" w:eastAsia="Palatino Linotype" w:hAnsi="Palatino Linotype" w:cs="Palatino Linotype"/>
          <w:sz w:val="24"/>
        </w:rPr>
      </w:pPr>
    </w:p>
    <w:p w14:paraId="28DF2C7A"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Dicho lo anterior, resulta necesario contextualizar la información solicitada, para ello, la Ley de </w:t>
      </w:r>
      <w:r w:rsidRPr="002B2CFF">
        <w:rPr>
          <w:rFonts w:ascii="Palatino Linotype" w:hAnsi="Palatino Linotype" w:cs="Tahoma"/>
        </w:rPr>
        <w:t>Responsabilidades</w:t>
      </w:r>
      <w:r w:rsidRPr="002B2CFF">
        <w:rPr>
          <w:rFonts w:ascii="Palatino Linotype" w:eastAsia="Palatino Linotype" w:hAnsi="Palatino Linotype" w:cs="Palatino Linotype"/>
        </w:rPr>
        <w:t xml:space="preserve"> Administrativas del Estado de México y Municipios, define en su artículo 3, fracciones XII, XIII y XIV, como faltas administrativas, lo siguiente: </w:t>
      </w:r>
    </w:p>
    <w:p w14:paraId="14BA0AFB" w14:textId="77777777" w:rsidR="008B422C" w:rsidRPr="002B2CFF" w:rsidRDefault="008B422C" w:rsidP="008B422C">
      <w:pPr>
        <w:spacing w:line="360" w:lineRule="auto"/>
        <w:ind w:right="49"/>
        <w:jc w:val="both"/>
        <w:rPr>
          <w:rFonts w:ascii="Palatino Linotype" w:eastAsia="Palatino Linotype" w:hAnsi="Palatino Linotype" w:cs="Palatino Linotype"/>
        </w:rPr>
      </w:pPr>
    </w:p>
    <w:p w14:paraId="4043FDAD" w14:textId="77777777" w:rsidR="008B422C" w:rsidRPr="002B2CFF" w:rsidRDefault="008B422C" w:rsidP="008B422C">
      <w:pPr>
        <w:spacing w:line="360" w:lineRule="auto"/>
        <w:ind w:left="567" w:right="616"/>
        <w:jc w:val="both"/>
        <w:rPr>
          <w:rFonts w:ascii="Palatino Linotype" w:eastAsia="Palatino Linotype" w:hAnsi="Palatino Linotype" w:cs="Palatino Linotype"/>
          <w:i/>
        </w:rPr>
      </w:pPr>
      <w:r w:rsidRPr="002B2CFF">
        <w:rPr>
          <w:rFonts w:ascii="Palatino Linotype" w:eastAsia="Palatino Linotype" w:hAnsi="Palatino Linotype" w:cs="Palatino Linotype"/>
          <w:b/>
          <w:i/>
        </w:rPr>
        <w:t>Artículo 3.</w:t>
      </w:r>
      <w:r w:rsidRPr="002B2CFF">
        <w:rPr>
          <w:rFonts w:ascii="Palatino Linotype" w:eastAsia="Palatino Linotype" w:hAnsi="Palatino Linotype" w:cs="Palatino Linotype"/>
          <w:i/>
        </w:rPr>
        <w:t xml:space="preserve"> Para los efectos de la presente Ley, se entenderá por:</w:t>
      </w:r>
    </w:p>
    <w:p w14:paraId="0B679C0F" w14:textId="77777777" w:rsidR="008B422C" w:rsidRPr="002B2CFF" w:rsidRDefault="008B422C" w:rsidP="008B422C">
      <w:pPr>
        <w:spacing w:line="360" w:lineRule="auto"/>
        <w:ind w:left="567" w:right="616"/>
        <w:jc w:val="both"/>
        <w:rPr>
          <w:rFonts w:ascii="Palatino Linotype" w:eastAsia="Palatino Linotype" w:hAnsi="Palatino Linotype" w:cs="Palatino Linotype"/>
          <w:i/>
        </w:rPr>
      </w:pPr>
      <w:r w:rsidRPr="002B2CFF">
        <w:rPr>
          <w:rFonts w:ascii="Palatino Linotype" w:eastAsia="Palatino Linotype" w:hAnsi="Palatino Linotype" w:cs="Palatino Linotype"/>
          <w:i/>
        </w:rPr>
        <w:t>…</w:t>
      </w:r>
    </w:p>
    <w:p w14:paraId="20DAA67F" w14:textId="77777777" w:rsidR="008B422C" w:rsidRPr="002B2CFF" w:rsidRDefault="008B422C" w:rsidP="008B422C">
      <w:pPr>
        <w:spacing w:line="360" w:lineRule="auto"/>
        <w:ind w:left="567" w:right="616"/>
        <w:jc w:val="both"/>
        <w:rPr>
          <w:rFonts w:ascii="Palatino Linotype" w:eastAsia="Palatino Linotype" w:hAnsi="Palatino Linotype" w:cs="Palatino Linotype"/>
          <w:i/>
        </w:rPr>
      </w:pPr>
      <w:r w:rsidRPr="002B2CFF">
        <w:rPr>
          <w:rFonts w:ascii="Palatino Linotype" w:eastAsia="Palatino Linotype" w:hAnsi="Palatino Linotype" w:cs="Palatino Linotype"/>
          <w:b/>
          <w:i/>
        </w:rPr>
        <w:lastRenderedPageBreak/>
        <w:t>XII. Faltas administrativas</w:t>
      </w:r>
      <w:r w:rsidRPr="002B2CFF">
        <w:rPr>
          <w:rFonts w:ascii="Palatino Linotype" w:eastAsia="Palatino Linotype" w:hAnsi="Palatino Linotype" w:cs="Palatino Linotype"/>
          <w:i/>
        </w:rPr>
        <w:t xml:space="preserve">: A las faltas administrativas graves y no graves, así como las faltas cometidas por particulares conforme a lo dispuesto en la presente Ley. </w:t>
      </w:r>
    </w:p>
    <w:p w14:paraId="7F320EB4" w14:textId="77777777" w:rsidR="008B422C" w:rsidRPr="002B2CFF" w:rsidRDefault="008B422C" w:rsidP="008B422C">
      <w:pPr>
        <w:spacing w:line="360" w:lineRule="auto"/>
        <w:ind w:left="567" w:right="616"/>
        <w:jc w:val="both"/>
        <w:rPr>
          <w:rFonts w:ascii="Palatino Linotype" w:eastAsia="Palatino Linotype" w:hAnsi="Palatino Linotype" w:cs="Palatino Linotype"/>
          <w:i/>
        </w:rPr>
      </w:pPr>
      <w:r w:rsidRPr="002B2CFF">
        <w:rPr>
          <w:rFonts w:ascii="Palatino Linotype" w:eastAsia="Palatino Linotype" w:hAnsi="Palatino Linotype" w:cs="Palatino Linotype"/>
          <w:b/>
          <w:i/>
        </w:rPr>
        <w:t>XIII. Falta administrativa no grave:</w:t>
      </w:r>
      <w:r w:rsidRPr="002B2CFF">
        <w:rPr>
          <w:rFonts w:ascii="Palatino Linotype" w:eastAsia="Palatino Linotype" w:hAnsi="Palatino Linotype" w:cs="Palatino Linotype"/>
          <w:i/>
        </w:rPr>
        <w:t xml:space="preserve"> A las faltas administrativas de los servidores públicos en los términos de la presente Ley, cuya imposición de la sanción corresponde a la Secretaría de la Contraloría del Estado de México y a los órganos internos de control. </w:t>
      </w:r>
    </w:p>
    <w:p w14:paraId="3E6B14EA" w14:textId="77777777" w:rsidR="008B422C" w:rsidRPr="002B2CFF" w:rsidRDefault="008B422C" w:rsidP="008B422C">
      <w:pPr>
        <w:spacing w:line="360" w:lineRule="auto"/>
        <w:ind w:left="567" w:right="616"/>
        <w:jc w:val="both"/>
        <w:rPr>
          <w:rFonts w:ascii="Palatino Linotype" w:eastAsia="Palatino Linotype" w:hAnsi="Palatino Linotype" w:cs="Palatino Linotype"/>
          <w:i/>
        </w:rPr>
      </w:pPr>
      <w:r w:rsidRPr="002B2CFF">
        <w:rPr>
          <w:rFonts w:ascii="Palatino Linotype" w:eastAsia="Palatino Linotype" w:hAnsi="Palatino Linotype" w:cs="Palatino Linotype"/>
          <w:b/>
          <w:i/>
        </w:rPr>
        <w:t>XIV. Falta administrativa grave:</w:t>
      </w:r>
      <w:r w:rsidRPr="002B2CFF">
        <w:rPr>
          <w:rFonts w:ascii="Palatino Linotype" w:eastAsia="Palatino Linotype" w:hAnsi="Palatino Linotype" w:cs="Palatino Linotype"/>
          <w:i/>
        </w:rPr>
        <w:t xml:space="preserve"> A las faltas administrativas de los servidores públicos catalogadas como graves en los términos de la presente Ley, cuya sanción corresponde al Tribunal de Justicia Administrativa del Estado de México.  </w:t>
      </w:r>
    </w:p>
    <w:p w14:paraId="2D0E22DC" w14:textId="77777777" w:rsidR="008B422C" w:rsidRPr="002B2CFF" w:rsidRDefault="008B422C" w:rsidP="008B422C">
      <w:pPr>
        <w:spacing w:line="360" w:lineRule="auto"/>
        <w:rPr>
          <w:rFonts w:ascii="Palatino Linotype" w:eastAsia="MS Mincho" w:hAnsi="Palatino Linotype" w:cs="Arial"/>
        </w:rPr>
      </w:pPr>
    </w:p>
    <w:p w14:paraId="125C2133" w14:textId="77777777" w:rsidR="008B422C" w:rsidRPr="002B2CFF" w:rsidRDefault="008B422C" w:rsidP="008B422C">
      <w:pPr>
        <w:numPr>
          <w:ilvl w:val="0"/>
          <w:numId w:val="1"/>
        </w:numPr>
        <w:spacing w:line="360" w:lineRule="auto"/>
        <w:ind w:left="0" w:right="1" w:firstLine="0"/>
        <w:jc w:val="both"/>
        <w:rPr>
          <w:rFonts w:ascii="Palatino Linotype" w:eastAsia="MS Mincho" w:hAnsi="Palatino Linotype" w:cs="Arial"/>
          <w:lang w:val="es-ES"/>
        </w:rPr>
      </w:pPr>
      <w:r w:rsidRPr="002B2CFF">
        <w:rPr>
          <w:rFonts w:ascii="Palatino Linotype" w:eastAsia="MS Mincho" w:hAnsi="Palatino Linotype" w:cs="Arial"/>
          <w:lang w:val="es-ES"/>
        </w:rPr>
        <w:t xml:space="preserve">Es decir, la Ley de Responsabilidades estima dos tipos de faltas </w:t>
      </w:r>
      <w:r w:rsidRPr="002B2CFF">
        <w:rPr>
          <w:rFonts w:ascii="Palatino Linotype" w:hAnsi="Palatino Linotype" w:cs="Tahoma"/>
        </w:rPr>
        <w:t>administrativas</w:t>
      </w:r>
      <w:r w:rsidRPr="002B2CFF">
        <w:rPr>
          <w:rFonts w:ascii="Palatino Linotype" w:eastAsia="MS Mincho" w:hAnsi="Palatino Linotype" w:cs="Arial"/>
          <w:lang w:val="es-ES"/>
        </w:rPr>
        <w:t xml:space="preserve"> </w:t>
      </w:r>
      <w:r w:rsidRPr="002B2CFF">
        <w:rPr>
          <w:rFonts w:ascii="Palatino Linotype" w:eastAsia="Palatino Linotype" w:hAnsi="Palatino Linotype" w:cs="Palatino Linotype"/>
        </w:rPr>
        <w:t>cometidas</w:t>
      </w:r>
      <w:r w:rsidRPr="002B2CFF">
        <w:rPr>
          <w:rFonts w:ascii="Palatino Linotype" w:eastAsia="MS Mincho" w:hAnsi="Palatino Linotype" w:cs="Arial"/>
          <w:lang w:val="es-ES"/>
        </w:rPr>
        <w:t xml:space="preserve"> por servidores públicos: las graves y no graves. Respecto a las </w:t>
      </w:r>
      <w:r w:rsidRPr="002B2CFF">
        <w:rPr>
          <w:rFonts w:ascii="Palatino Linotype" w:eastAsia="MS Mincho" w:hAnsi="Palatino Linotype" w:cs="Arial"/>
          <w:b/>
          <w:lang w:val="es-ES"/>
        </w:rPr>
        <w:t>faltas administrativas no graves</w:t>
      </w:r>
      <w:r w:rsidRPr="002B2CFF">
        <w:rPr>
          <w:rFonts w:ascii="Palatino Linotype" w:eastAsia="MS Mincho" w:hAnsi="Palatino Linotype" w:cs="Arial"/>
          <w:lang w:val="es-ES"/>
        </w:rPr>
        <w:t xml:space="preserve">, la imposición de la sanción le corresponde a la Secretaría de la Contraloría del Estado de México y a los </w:t>
      </w:r>
      <w:r w:rsidRPr="002B2CFF">
        <w:rPr>
          <w:rFonts w:ascii="Palatino Linotype" w:eastAsia="MS Mincho" w:hAnsi="Palatino Linotype" w:cs="Arial"/>
          <w:u w:val="single"/>
          <w:lang w:val="es-ES"/>
        </w:rPr>
        <w:t>Órganos Internos de Control</w:t>
      </w:r>
      <w:r w:rsidRPr="002B2CFF">
        <w:rPr>
          <w:rFonts w:ascii="Palatino Linotype" w:eastAsia="MS Mincho" w:hAnsi="Palatino Linotype" w:cs="Arial"/>
          <w:lang w:val="es-ES"/>
        </w:rPr>
        <w:t xml:space="preserve">, por otro lado, respecto a las </w:t>
      </w:r>
      <w:r w:rsidRPr="002B2CFF">
        <w:rPr>
          <w:rFonts w:ascii="Palatino Linotype" w:eastAsia="MS Mincho" w:hAnsi="Palatino Linotype" w:cs="Arial"/>
          <w:b/>
          <w:lang w:val="es-ES"/>
        </w:rPr>
        <w:t>faltas administrativas graves</w:t>
      </w:r>
      <w:r w:rsidRPr="002B2CFF">
        <w:rPr>
          <w:rFonts w:ascii="Palatino Linotype" w:eastAsia="MS Mincho" w:hAnsi="Palatino Linotype" w:cs="Arial"/>
          <w:lang w:val="es-ES"/>
        </w:rPr>
        <w:t>, la imposición de la sanción le corresponde al Tribunal de Justicia Administrativa del Estado de México.</w:t>
      </w:r>
    </w:p>
    <w:p w14:paraId="73725BBE" w14:textId="77777777" w:rsidR="008B422C" w:rsidRPr="002B2CFF" w:rsidRDefault="008B422C" w:rsidP="008B422C">
      <w:pPr>
        <w:spacing w:line="360" w:lineRule="auto"/>
        <w:jc w:val="both"/>
        <w:rPr>
          <w:rFonts w:ascii="Palatino Linotype" w:eastAsia="MS Mincho" w:hAnsi="Palatino Linotype" w:cs="Arial"/>
          <w:lang w:val="es-ES"/>
        </w:rPr>
      </w:pPr>
    </w:p>
    <w:p w14:paraId="05368D66" w14:textId="77777777" w:rsidR="008B422C" w:rsidRPr="002B2CFF" w:rsidRDefault="008B422C" w:rsidP="008B422C">
      <w:pPr>
        <w:numPr>
          <w:ilvl w:val="0"/>
          <w:numId w:val="1"/>
        </w:numPr>
        <w:spacing w:line="360" w:lineRule="auto"/>
        <w:ind w:left="0" w:right="1" w:firstLine="0"/>
        <w:jc w:val="both"/>
        <w:rPr>
          <w:rFonts w:ascii="Palatino Linotype" w:eastAsia="MS Mincho" w:hAnsi="Palatino Linotype" w:cs="Arial"/>
          <w:lang w:val="es-ES"/>
        </w:rPr>
      </w:pPr>
      <w:r w:rsidRPr="002B2CFF">
        <w:rPr>
          <w:rFonts w:ascii="Palatino Linotype" w:eastAsia="Palatino Linotype" w:hAnsi="Palatino Linotype" w:cs="Palatino Linotype"/>
        </w:rPr>
        <w:t>Ahora</w:t>
      </w:r>
      <w:r w:rsidRPr="002B2CFF">
        <w:rPr>
          <w:rFonts w:ascii="Palatino Linotype" w:eastAsia="MS Mincho" w:hAnsi="Palatino Linotype" w:cs="Arial"/>
          <w:lang w:val="es-ES"/>
        </w:rPr>
        <w:t xml:space="preserve"> bien, resulta necesario referir que de conformidad con lo que establece el artículo 50 de la Ley de Responsabilidades de la Entidad, son consideradas como faltas administrativas no graves, las siguientes:</w:t>
      </w:r>
    </w:p>
    <w:p w14:paraId="18DB41D2"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b/>
          <w:i/>
          <w:lang w:val="es-ES"/>
        </w:rPr>
        <w:t>“Artículo 50.</w:t>
      </w:r>
      <w:r w:rsidRPr="002B2CFF">
        <w:rPr>
          <w:rFonts w:ascii="Palatino Linotype" w:eastAsia="MS Mincho" w:hAnsi="Palatino Linotype" w:cs="Arial"/>
          <w:i/>
          <w:lang w:val="es-ES"/>
        </w:rPr>
        <w:t xml:space="preserve"> Incurre en </w:t>
      </w:r>
      <w:r w:rsidRPr="002B2CFF">
        <w:rPr>
          <w:rFonts w:ascii="Palatino Linotype" w:eastAsia="MS Mincho" w:hAnsi="Palatino Linotype" w:cs="Arial"/>
          <w:b/>
          <w:i/>
          <w:lang w:val="es-ES"/>
        </w:rPr>
        <w:t>falta administrativa no grave</w:t>
      </w:r>
      <w:r w:rsidRPr="002B2CFF">
        <w:rPr>
          <w:rFonts w:ascii="Palatino Linotype" w:eastAsia="MS Mincho" w:hAnsi="Palatino Linotype" w:cs="Arial"/>
          <w:i/>
          <w:lang w:val="es-ES"/>
        </w:rPr>
        <w:t xml:space="preserve">, </w:t>
      </w:r>
      <w:r w:rsidRPr="002B2CFF">
        <w:rPr>
          <w:rFonts w:ascii="Palatino Linotype" w:eastAsia="MS Mincho" w:hAnsi="Palatino Linotype" w:cs="Arial"/>
          <w:i/>
          <w:u w:val="single"/>
          <w:lang w:val="es-ES"/>
        </w:rPr>
        <w:t>el servidor público que con sus actos u omisiones, incumpla o transgreda las obligaciones siguientes</w:t>
      </w:r>
      <w:r w:rsidRPr="002B2CFF">
        <w:rPr>
          <w:rFonts w:ascii="Palatino Linotype" w:eastAsia="MS Mincho" w:hAnsi="Palatino Linotype" w:cs="Arial"/>
          <w:i/>
          <w:lang w:val="es-ES"/>
        </w:rPr>
        <w:t>:</w:t>
      </w:r>
    </w:p>
    <w:p w14:paraId="2E78DEDF"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I. Cumplir con las funciones, atribuciones y comisiones encomendadas, observando en su desempeño disciplina y respeto, tanto a los demás servidores públicos, a los particulares con los que llegare a tratar, en los términos que se establezcan en el código de ética a que se refiere esta Ley.</w:t>
      </w:r>
    </w:p>
    <w:p w14:paraId="6E0AD2B9"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lastRenderedPageBreak/>
        <w:t>II. Denunciar los actos u omisiones que en ejercicio de sus funciones llegare a advertir, que puedan constituir faltas administrativas en términos del artículo 95 de la presente Ley.</w:t>
      </w:r>
    </w:p>
    <w:p w14:paraId="3042E883"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III. Atender las instrucciones de sus superiores, siempre que éstas sean acordes con las disposiciones relacionadas con el servicio público. En caso de recibir instrucción o encomienda contraria a dichas disposiciones, deberá denunciar esta circunstancia en términos del artículo 95 de la presente Ley.</w:t>
      </w:r>
    </w:p>
    <w:p w14:paraId="11DEB33F" w14:textId="77777777" w:rsidR="008B422C" w:rsidRPr="002B2CFF" w:rsidRDefault="008B422C" w:rsidP="008B422C">
      <w:pPr>
        <w:spacing w:line="360" w:lineRule="auto"/>
        <w:ind w:left="567" w:right="567"/>
        <w:jc w:val="both"/>
        <w:rPr>
          <w:rFonts w:ascii="Palatino Linotype" w:eastAsia="MS Mincho" w:hAnsi="Palatino Linotype" w:cs="Arial"/>
          <w:b/>
          <w:bCs/>
          <w:i/>
          <w:u w:val="single"/>
          <w:lang w:val="es-ES"/>
        </w:rPr>
      </w:pPr>
      <w:r w:rsidRPr="002B2CFF">
        <w:rPr>
          <w:rFonts w:ascii="Palatino Linotype" w:eastAsia="MS Mincho" w:hAnsi="Palatino Linotype" w:cs="Arial"/>
          <w:b/>
          <w:bCs/>
          <w:i/>
          <w:u w:val="single"/>
          <w:lang w:val="es-ES"/>
        </w:rPr>
        <w:t>IV. Presentar en tiempo y forma la declaración de situación patrimonial y la de intereses que, en su caso, considere se actualice, en los términos establecidos por esta Ley.</w:t>
      </w:r>
    </w:p>
    <w:p w14:paraId="278F4092"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V. Rendir cuentas sobre el ejercicio de las funciones, en términos de las normas aplicables.</w:t>
      </w:r>
    </w:p>
    <w:p w14:paraId="3DACDBDC"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VI. Colaborar en los procedimientos judiciales y administrativos en los que sea parte.</w:t>
      </w:r>
    </w:p>
    <w:p w14:paraId="2B7B50F4"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VII.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 </w:t>
      </w:r>
    </w:p>
    <w:p w14:paraId="34DD65CD"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VIII. Actuar y ejecutar legalmente con la máxima diligencia, los planes, programas, presupuestos y demás normas a fin de alcanzar las metas institucionales según sus responsabilidades, conforme a una cultura de servicio orientada al logro de resultados. </w:t>
      </w:r>
    </w:p>
    <w:p w14:paraId="2C97360D"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IX. Registrar, integrar, custodiar y cuidar la documentación e información que por razón de su empleo, cargo o comisión, conserve bajo su cuidado y responsabilidad o a la cual tenga acceso, impidiendo o evitando el uso, divulgación, sustracción, destrucción, ocultamiento o inutilización indebidas de aquéllas. </w:t>
      </w:r>
    </w:p>
    <w:p w14:paraId="40015CA0"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lastRenderedPageBreak/>
        <w:t xml:space="preserve">X. Observar buena conducta en su empleo, cargo o comisión tratando con respeto, diligencia, imparcialidad y rectitud a las personas y servidores públicos con los que tenga relación con motivo de éste. </w:t>
      </w:r>
    </w:p>
    <w:p w14:paraId="0F4B400B"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 Observar un trato respetuoso con sus subalternos. </w:t>
      </w:r>
    </w:p>
    <w:p w14:paraId="54E49846"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XII. Supervisar que los servidores públicos sujetos a su dirección, cumplan con las disposiciones de esta Ley. </w:t>
      </w:r>
    </w:p>
    <w:p w14:paraId="60B28AB2"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XIII. Cumplir con la entrega de índole administrativo del despacho y de toda aquella documentación inherente a su cargo, en los términos que establezcan las disposiciones legales o administrativas que al efecto se señalen. </w:t>
      </w:r>
    </w:p>
    <w:p w14:paraId="3C7FC3A1"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XIV. Proporcionar, en su caso, en tiempo y forma ante las dependencias competentes, la documentación comprobatoria de la aplicación de recursos económicos federales, estatales o municipales, asignados a través de los programas respectivos. </w:t>
      </w:r>
    </w:p>
    <w:p w14:paraId="0C80BFB9"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XV. Abstenerse de solicitar requisitos, cargas tributarias o cualquier otro concepto adicional no previsto en la legislación aplicable, que tengan por objeto condicionar la expedición de licencias de funcionamiento para unidades económicas o negocios. </w:t>
      </w:r>
    </w:p>
    <w:p w14:paraId="4247D394"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XVI. Cumplir con las disposiciones en materia de Gobierno Digital que impongan la Ley de la materia, su reglamento y demás disposiciones aplicables. </w:t>
      </w:r>
    </w:p>
    <w:p w14:paraId="588CB785"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XVII. Utilizar las medidas de seguridad informática y protección de datos e información personal recomendada por las instancias competentes. </w:t>
      </w:r>
    </w:p>
    <w:p w14:paraId="29695298"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XVIII. Cumplir oportunamente con los laudos que dicte el Tribunal Estatal de Conciliación y Arbitraje o cualquier de las Salas Auxiliares del mismo, así como pagar el monto de las indemnizaciones y demás prestaciones a que tenga derecho el servidor público, y </w:t>
      </w:r>
    </w:p>
    <w:p w14:paraId="48924C90" w14:textId="77777777" w:rsidR="008B422C" w:rsidRPr="002B2CFF" w:rsidRDefault="008B422C" w:rsidP="008B422C">
      <w:pPr>
        <w:spacing w:line="360" w:lineRule="auto"/>
        <w:ind w:left="567" w:right="567"/>
        <w:jc w:val="both"/>
        <w:rPr>
          <w:rFonts w:ascii="Palatino Linotype" w:eastAsia="MS Mincho" w:hAnsi="Palatino Linotype" w:cs="Arial"/>
        </w:rPr>
      </w:pPr>
      <w:r w:rsidRPr="002B2CFF">
        <w:rPr>
          <w:rFonts w:ascii="Palatino Linotype" w:eastAsia="MS Mincho" w:hAnsi="Palatino Linotype" w:cs="Arial"/>
          <w:i/>
        </w:rPr>
        <w:t>XIX. Las demás que le impongan las leyes, reglamentos o disposiciones administrativas aplicables.”</w:t>
      </w:r>
    </w:p>
    <w:p w14:paraId="2F9004C2" w14:textId="77777777" w:rsidR="008B422C" w:rsidRPr="002B2CFF" w:rsidRDefault="008B422C" w:rsidP="008B422C">
      <w:pPr>
        <w:spacing w:line="360" w:lineRule="auto"/>
        <w:ind w:left="567" w:right="567"/>
        <w:rPr>
          <w:rFonts w:ascii="Palatino Linotype" w:eastAsia="MS Mincho" w:hAnsi="Palatino Linotype" w:cs="Arial"/>
          <w:lang w:val="es-ES"/>
        </w:rPr>
      </w:pPr>
      <w:r w:rsidRPr="002B2CFF">
        <w:rPr>
          <w:rFonts w:ascii="Palatino Linotype" w:eastAsia="MS Mincho" w:hAnsi="Palatino Linotype" w:cs="Arial"/>
        </w:rPr>
        <w:t>(Énfasis añadido)</w:t>
      </w:r>
    </w:p>
    <w:p w14:paraId="57B6885E" w14:textId="77777777" w:rsidR="008B422C" w:rsidRPr="002B2CFF" w:rsidRDefault="008B422C" w:rsidP="008B422C">
      <w:pPr>
        <w:numPr>
          <w:ilvl w:val="0"/>
          <w:numId w:val="1"/>
        </w:numPr>
        <w:spacing w:line="360" w:lineRule="auto"/>
        <w:ind w:left="0" w:right="1" w:firstLine="0"/>
        <w:jc w:val="both"/>
        <w:rPr>
          <w:rFonts w:ascii="Palatino Linotype" w:eastAsia="MS Mincho" w:hAnsi="Palatino Linotype" w:cs="Arial"/>
          <w:lang w:val="es-ES"/>
        </w:rPr>
      </w:pPr>
      <w:r w:rsidRPr="002B2CFF">
        <w:rPr>
          <w:rFonts w:ascii="Palatino Linotype" w:eastAsia="MS Mincho" w:hAnsi="Palatino Linotype" w:cs="Arial"/>
          <w:lang w:val="es-ES"/>
        </w:rPr>
        <w:lastRenderedPageBreak/>
        <w:t>Por su parte, el artículo 52 de la Ley de Responsabilidades Estatal precisa como faltas administrativas graves, las siguientes:</w:t>
      </w:r>
    </w:p>
    <w:p w14:paraId="109A57C4" w14:textId="77777777" w:rsidR="008B422C" w:rsidRPr="002B2CFF" w:rsidRDefault="008B422C" w:rsidP="008B422C">
      <w:pPr>
        <w:spacing w:line="360" w:lineRule="auto"/>
        <w:jc w:val="both"/>
        <w:rPr>
          <w:rFonts w:ascii="Palatino Linotype" w:eastAsia="MS Mincho" w:hAnsi="Palatino Linotype" w:cs="Arial"/>
          <w:lang w:val="es-ES"/>
        </w:rPr>
      </w:pPr>
    </w:p>
    <w:p w14:paraId="0C25B6F9"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lang w:val="es-ES"/>
        </w:rPr>
        <w:t>“</w:t>
      </w:r>
      <w:r w:rsidRPr="002B2CFF">
        <w:rPr>
          <w:rFonts w:ascii="Palatino Linotype" w:eastAsia="MS Mincho" w:hAnsi="Palatino Linotype" w:cs="Arial"/>
          <w:b/>
          <w:i/>
        </w:rPr>
        <w:t>Artículo 52.</w:t>
      </w:r>
      <w:r w:rsidRPr="002B2CFF">
        <w:rPr>
          <w:rFonts w:ascii="Palatino Linotype" w:eastAsia="MS Mincho" w:hAnsi="Palatino Linotype" w:cs="Arial"/>
          <w:i/>
        </w:rPr>
        <w:t xml:space="preserve"> Para efectos de la presente Ley, se consideran </w:t>
      </w:r>
      <w:r w:rsidRPr="002B2CFF">
        <w:rPr>
          <w:rFonts w:ascii="Palatino Linotype" w:eastAsia="MS Mincho" w:hAnsi="Palatino Linotype" w:cs="Arial"/>
          <w:b/>
          <w:i/>
        </w:rPr>
        <w:t>faltas administrativas graves</w:t>
      </w:r>
      <w:r w:rsidRPr="002B2CFF">
        <w:rPr>
          <w:rFonts w:ascii="Palatino Linotype" w:eastAsia="MS Mincho" w:hAnsi="Palatino Linotype" w:cs="Arial"/>
          <w:i/>
        </w:rPr>
        <w:t xml:space="preserve"> de los servidores públicos, mediante cualquier acto u omisión, las siguientes: </w:t>
      </w:r>
    </w:p>
    <w:p w14:paraId="1DE92DD9"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 El cohecho. </w:t>
      </w:r>
    </w:p>
    <w:p w14:paraId="1590AAF0"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II. El peculado. </w:t>
      </w:r>
    </w:p>
    <w:p w14:paraId="69FA6924"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III. El desvío de recursos públicos. </w:t>
      </w:r>
    </w:p>
    <w:p w14:paraId="46A06D82"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IV. La utilización indebida de información. </w:t>
      </w:r>
    </w:p>
    <w:p w14:paraId="1395EF7E"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 El abuso de funciones. </w:t>
      </w:r>
    </w:p>
    <w:p w14:paraId="7A117163"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VI. Cometer o tolerar conductas de hostigamiento y acoso sexual. </w:t>
      </w:r>
    </w:p>
    <w:p w14:paraId="0A37E126"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VII. El actuar bajo conflicto de interés. </w:t>
      </w:r>
    </w:p>
    <w:p w14:paraId="1CC51DCA"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VIII. La contratación indebida. </w:t>
      </w:r>
    </w:p>
    <w:p w14:paraId="51147D96"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IX. El enriquecimiento oculto u ocultamiento de conflicto de interés. </w:t>
      </w:r>
    </w:p>
    <w:p w14:paraId="1A22CDF8"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 El tráfico de influencias. </w:t>
      </w:r>
    </w:p>
    <w:p w14:paraId="44445AD7"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 El encubrimiento. </w:t>
      </w:r>
    </w:p>
    <w:p w14:paraId="0D5DC958" w14:textId="77777777" w:rsidR="008B422C" w:rsidRPr="002B2CFF" w:rsidRDefault="008B422C" w:rsidP="008B422C">
      <w:pPr>
        <w:spacing w:line="360" w:lineRule="auto"/>
        <w:ind w:left="567" w:right="567"/>
        <w:jc w:val="both"/>
        <w:rPr>
          <w:rFonts w:ascii="Palatino Linotype" w:eastAsia="MS Mincho" w:hAnsi="Palatino Linotype" w:cs="Arial"/>
          <w:i/>
        </w:rPr>
      </w:pPr>
      <w:r w:rsidRPr="002B2CFF">
        <w:rPr>
          <w:rFonts w:ascii="Palatino Linotype" w:eastAsia="MS Mincho" w:hAnsi="Palatino Linotype" w:cs="Arial"/>
          <w:i/>
        </w:rPr>
        <w:t xml:space="preserve">XII. El desacato. </w:t>
      </w:r>
    </w:p>
    <w:p w14:paraId="6201E346" w14:textId="77777777" w:rsidR="008B422C" w:rsidRPr="002B2CFF" w:rsidRDefault="008B422C" w:rsidP="008B422C">
      <w:pPr>
        <w:spacing w:line="360" w:lineRule="auto"/>
        <w:ind w:left="567" w:right="567"/>
        <w:jc w:val="both"/>
        <w:rPr>
          <w:rFonts w:ascii="Palatino Linotype" w:eastAsia="MS Mincho" w:hAnsi="Palatino Linotype" w:cs="Arial"/>
          <w:iCs/>
          <w:lang w:val="es-ES"/>
        </w:rPr>
      </w:pPr>
      <w:r w:rsidRPr="002B2CFF">
        <w:rPr>
          <w:rFonts w:ascii="Palatino Linotype" w:eastAsia="MS Mincho" w:hAnsi="Palatino Linotype" w:cs="Arial"/>
          <w:i/>
        </w:rPr>
        <w:t xml:space="preserve">XIII. La obstrucción de la Justicia.” </w:t>
      </w:r>
      <w:r w:rsidRPr="002B2CFF">
        <w:rPr>
          <w:rFonts w:ascii="Palatino Linotype" w:eastAsia="MS Mincho" w:hAnsi="Palatino Linotype" w:cs="Arial"/>
          <w:iCs/>
        </w:rPr>
        <w:t>Énfasis propio</w:t>
      </w:r>
    </w:p>
    <w:p w14:paraId="7D78D802" w14:textId="77777777" w:rsidR="008B422C" w:rsidRPr="002B2CFF" w:rsidRDefault="008B422C" w:rsidP="008B422C">
      <w:pPr>
        <w:spacing w:line="360" w:lineRule="auto"/>
        <w:jc w:val="both"/>
        <w:rPr>
          <w:rFonts w:ascii="Palatino Linotype" w:eastAsia="MS Mincho" w:hAnsi="Palatino Linotype" w:cs="Arial"/>
          <w:lang w:val="es-ES"/>
        </w:rPr>
      </w:pPr>
    </w:p>
    <w:p w14:paraId="2003ADEE" w14:textId="77777777" w:rsidR="008B422C" w:rsidRPr="002B2CFF" w:rsidRDefault="008B422C" w:rsidP="008B422C">
      <w:pPr>
        <w:numPr>
          <w:ilvl w:val="0"/>
          <w:numId w:val="1"/>
        </w:numPr>
        <w:spacing w:line="360" w:lineRule="auto"/>
        <w:ind w:left="0" w:right="1" w:firstLine="0"/>
        <w:jc w:val="both"/>
        <w:rPr>
          <w:rFonts w:ascii="Palatino Linotype" w:eastAsia="MS Mincho" w:hAnsi="Palatino Linotype" w:cs="Arial"/>
          <w:lang w:val="es-ES"/>
        </w:rPr>
      </w:pPr>
      <w:r w:rsidRPr="002B2CFF">
        <w:rPr>
          <w:rFonts w:ascii="Palatino Linotype" w:eastAsia="MS Mincho" w:hAnsi="Palatino Linotype" w:cs="Arial"/>
          <w:lang w:val="es-ES"/>
        </w:rPr>
        <w:t xml:space="preserve">De conformidad con el artículo 10 de la Ley de Responsabilidades de la Entidad, la investigación, substanciación y calificación de las faltas administrativas es </w:t>
      </w:r>
      <w:r w:rsidRPr="002B2CFF">
        <w:rPr>
          <w:rFonts w:ascii="Palatino Linotype" w:eastAsia="Palatino Linotype" w:hAnsi="Palatino Linotype" w:cs="Palatino Linotype"/>
        </w:rPr>
        <w:t>competencia</w:t>
      </w:r>
      <w:r w:rsidRPr="002B2CFF">
        <w:rPr>
          <w:rFonts w:ascii="Palatino Linotype" w:eastAsia="MS Mincho" w:hAnsi="Palatino Linotype" w:cs="Arial"/>
          <w:lang w:val="es-ES"/>
        </w:rPr>
        <w:t xml:space="preserve"> de la </w:t>
      </w:r>
      <w:r w:rsidRPr="002B2CFF">
        <w:rPr>
          <w:rFonts w:ascii="Palatino Linotype" w:eastAsia="MS Mincho" w:hAnsi="Palatino Linotype" w:cs="Arial"/>
          <w:b/>
          <w:lang w:val="es-ES"/>
        </w:rPr>
        <w:t xml:space="preserve">Secretaría de la Contraloría </w:t>
      </w:r>
      <w:r w:rsidRPr="002B2CFF">
        <w:rPr>
          <w:rFonts w:ascii="Palatino Linotype" w:eastAsia="MS Mincho" w:hAnsi="Palatino Linotype" w:cs="Arial"/>
          <w:lang w:val="es-ES"/>
        </w:rPr>
        <w:t>y los</w:t>
      </w:r>
      <w:r w:rsidRPr="002B2CFF">
        <w:rPr>
          <w:rFonts w:ascii="Palatino Linotype" w:eastAsia="MS Mincho" w:hAnsi="Palatino Linotype" w:cs="Arial"/>
          <w:b/>
          <w:lang w:val="es-ES"/>
        </w:rPr>
        <w:t xml:space="preserve"> </w:t>
      </w:r>
      <w:r w:rsidRPr="002B2CFF">
        <w:rPr>
          <w:rFonts w:ascii="Palatino Linotype" w:eastAsia="MS Mincho" w:hAnsi="Palatino Linotype" w:cs="Arial"/>
          <w:b/>
          <w:u w:val="single"/>
          <w:lang w:val="es-ES"/>
        </w:rPr>
        <w:t>Órganos Internos de Control</w:t>
      </w:r>
      <w:r w:rsidRPr="002B2CFF">
        <w:rPr>
          <w:rFonts w:ascii="Palatino Linotype" w:eastAsia="MS Mincho" w:hAnsi="Palatino Linotype" w:cs="Arial"/>
          <w:lang w:val="es-ES"/>
        </w:rPr>
        <w:t>, siendo que, para el caso de la existencia de faltas administrativas no graves, estos podrán substanciar y resolver los procedimientos de responsabilidad correspondientes, tal como se advierte a continuación:</w:t>
      </w:r>
    </w:p>
    <w:p w14:paraId="483437D6"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b/>
          <w:i/>
          <w:lang w:val="es-ES"/>
        </w:rPr>
        <w:lastRenderedPageBreak/>
        <w:t>“Artículo 10.</w:t>
      </w:r>
      <w:r w:rsidRPr="002B2CFF">
        <w:rPr>
          <w:rFonts w:ascii="Palatino Linotype" w:eastAsia="MS Mincho" w:hAnsi="Palatino Linotype" w:cs="Arial"/>
          <w:i/>
          <w:lang w:val="es-ES"/>
        </w:rPr>
        <w:t xml:space="preserve"> La </w:t>
      </w:r>
      <w:r w:rsidRPr="002B2CFF">
        <w:rPr>
          <w:rFonts w:ascii="Palatino Linotype" w:eastAsia="MS Mincho" w:hAnsi="Palatino Linotype" w:cs="Arial"/>
          <w:b/>
          <w:i/>
          <w:lang w:val="es-ES"/>
        </w:rPr>
        <w:t>Secretaría de la Contraloría y los órganos internos de control</w:t>
      </w:r>
      <w:r w:rsidRPr="002B2CFF">
        <w:rPr>
          <w:rFonts w:ascii="Palatino Linotype" w:eastAsia="MS Mincho" w:hAnsi="Palatino Linotype" w:cs="Arial"/>
          <w:i/>
          <w:lang w:val="es-ES"/>
        </w:rPr>
        <w:t xml:space="preserve"> tendrán a su cargo, en el ámbito de su competencia, la investigación, substanciación y calificación de las faltas administrativas.</w:t>
      </w:r>
    </w:p>
    <w:p w14:paraId="164EE54F"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En el caso de la Contraloría del Poder Legislativo, será competente respecto de los servidores públicos de elección popular municipal y de los mismos servidores públicos del Poder Legislativo.</w:t>
      </w:r>
    </w:p>
    <w:p w14:paraId="6BBFD5FF"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r w:rsidRPr="002B2CFF">
        <w:rPr>
          <w:rFonts w:ascii="Palatino Linotype" w:eastAsia="MS Mincho" w:hAnsi="Palatino Linotype" w:cs="Arial"/>
          <w:i/>
          <w:lang w:val="es-ES"/>
        </w:rPr>
        <w:t>Tratándose de actos u omisiones que hayan sido calificados como faltas administrativas no graves, la Secretaría de la Contraloría y los órganos internos de control, serán competentes para iniciar, substanciar y resolver los procedimientos de responsabilidad administrativa en los términos previstos en esta Ley.</w:t>
      </w:r>
    </w:p>
    <w:p w14:paraId="398190B9" w14:textId="77777777" w:rsidR="008B422C" w:rsidRPr="002B2CFF" w:rsidRDefault="008B422C" w:rsidP="008B422C">
      <w:pPr>
        <w:spacing w:line="360" w:lineRule="auto"/>
        <w:ind w:left="567" w:right="567"/>
        <w:jc w:val="both"/>
        <w:rPr>
          <w:rFonts w:ascii="Palatino Linotype" w:eastAsia="MS Mincho" w:hAnsi="Palatino Linotype" w:cs="Arial"/>
          <w:iCs/>
          <w:lang w:val="es-ES"/>
        </w:rPr>
      </w:pPr>
      <w:r w:rsidRPr="002B2CFF">
        <w:rPr>
          <w:rFonts w:ascii="Palatino Linotype" w:eastAsia="MS Mincho" w:hAnsi="Palatino Linotype" w:cs="Arial"/>
          <w:i/>
          <w:lang w:val="es-ES"/>
        </w:rPr>
        <w:t xml:space="preserve">En el supuesto que las autoridades investigadoras determinen en su calificación la existencia de faltas administrativas, así como la presunta responsabilidad del infractor, deberán elaborar el Informe de Presunta Responsabilidad Administrativa y presentarlo a la autoridad substanciadora para que proceda en los términos previstos en esta Ley.” </w:t>
      </w:r>
      <w:r w:rsidRPr="002B2CFF">
        <w:rPr>
          <w:rFonts w:ascii="Palatino Linotype" w:eastAsia="MS Mincho" w:hAnsi="Palatino Linotype" w:cs="Arial"/>
          <w:iCs/>
          <w:lang w:val="es-ES"/>
        </w:rPr>
        <w:t>Énfasis añadido</w:t>
      </w:r>
    </w:p>
    <w:p w14:paraId="3A99D110" w14:textId="77777777" w:rsidR="008B422C" w:rsidRPr="002B2CFF" w:rsidRDefault="008B422C" w:rsidP="008B422C">
      <w:pPr>
        <w:spacing w:line="360" w:lineRule="auto"/>
        <w:ind w:left="567" w:right="567"/>
        <w:jc w:val="both"/>
        <w:rPr>
          <w:rFonts w:ascii="Palatino Linotype" w:eastAsia="MS Mincho" w:hAnsi="Palatino Linotype" w:cs="Arial"/>
          <w:i/>
          <w:lang w:val="es-ES"/>
        </w:rPr>
      </w:pPr>
    </w:p>
    <w:p w14:paraId="39F63412" w14:textId="77777777" w:rsidR="008B422C" w:rsidRPr="002B2CFF" w:rsidRDefault="008B422C" w:rsidP="008B422C">
      <w:pPr>
        <w:numPr>
          <w:ilvl w:val="0"/>
          <w:numId w:val="1"/>
        </w:numPr>
        <w:spacing w:line="360" w:lineRule="auto"/>
        <w:ind w:left="0" w:right="1" w:firstLine="0"/>
        <w:jc w:val="both"/>
        <w:rPr>
          <w:rFonts w:ascii="Palatino Linotype" w:eastAsia="Calibri" w:hAnsi="Palatino Linotype" w:cs="Arial"/>
        </w:rPr>
      </w:pPr>
      <w:r w:rsidRPr="002B2CFF">
        <w:rPr>
          <w:rFonts w:ascii="Palatino Linotype" w:eastAsia="Palatino Linotype" w:hAnsi="Palatino Linotype" w:cs="Palatino Linotype"/>
        </w:rPr>
        <w:t xml:space="preserve">Expuesto lo anterior, </w:t>
      </w:r>
      <w:r w:rsidRPr="002B2CFF">
        <w:rPr>
          <w:rFonts w:ascii="Palatino Linotype" w:eastAsia="MS Mincho" w:hAnsi="Palatino Linotype" w:cs="Arial"/>
          <w:lang w:val="es-ES"/>
        </w:rPr>
        <w:t>debemos</w:t>
      </w:r>
      <w:r w:rsidRPr="002B2CFF">
        <w:rPr>
          <w:rFonts w:ascii="Palatino Linotype" w:eastAsia="Calibri" w:hAnsi="Palatino Linotype" w:cs="Arial"/>
        </w:rPr>
        <w:t xml:space="preserve"> traer a estudio lo dispuesto por el artículo 53 de la Ley del Sistema Anticorrupción del Estado de México y Municipios, cuyo contenido dispone lo siguiente:</w:t>
      </w:r>
    </w:p>
    <w:p w14:paraId="3538678A"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Calibri" w:hAnsi="Palatino Linotype" w:cs="Arial"/>
        </w:rPr>
      </w:pPr>
    </w:p>
    <w:p w14:paraId="4FE8DA2C" w14:textId="77777777" w:rsidR="008B422C" w:rsidRPr="002B2CFF" w:rsidRDefault="008B422C" w:rsidP="008B422C">
      <w:pPr>
        <w:pStyle w:val="Prrafodelista"/>
        <w:spacing w:line="360" w:lineRule="auto"/>
        <w:ind w:left="567" w:right="616"/>
        <w:jc w:val="both"/>
        <w:rPr>
          <w:rFonts w:ascii="Palatino Linotype" w:hAnsi="Palatino Linotype"/>
          <w:i/>
          <w:sz w:val="24"/>
        </w:rPr>
      </w:pPr>
      <w:r w:rsidRPr="002B2CFF">
        <w:rPr>
          <w:rFonts w:ascii="Palatino Linotype" w:hAnsi="Palatino Linotype"/>
          <w:i/>
          <w:sz w:val="24"/>
        </w:rPr>
        <w:t>“</w:t>
      </w:r>
      <w:r w:rsidRPr="002B2CFF">
        <w:rPr>
          <w:rFonts w:ascii="Palatino Linotype" w:hAnsi="Palatino Linotype"/>
          <w:b/>
          <w:i/>
          <w:sz w:val="24"/>
        </w:rPr>
        <w:t>Artículo 53.</w:t>
      </w:r>
      <w:r w:rsidRPr="002B2CFF">
        <w:rPr>
          <w:rFonts w:ascii="Palatino Linotype" w:hAnsi="Palatino Linotype"/>
          <w:i/>
          <w:sz w:val="24"/>
        </w:rPr>
        <w:t xml:space="preserve"> </w:t>
      </w:r>
      <w:r w:rsidRPr="002B2CFF">
        <w:rPr>
          <w:rFonts w:ascii="Palatino Linotype" w:hAnsi="Palatino Linotype"/>
          <w:b/>
          <w:i/>
          <w:sz w:val="24"/>
        </w:rPr>
        <w:t>Las sanciones impuestas por faltas administrativas graves serán del conocimiento público cuando éstas contengan impedimentos o inhabilitaciones para ser contratados como servidores públicos o como prestadores de servicios o contratistas del sector público</w:t>
      </w:r>
      <w:r w:rsidRPr="002B2CFF">
        <w:rPr>
          <w:rFonts w:ascii="Palatino Linotype" w:hAnsi="Palatino Linotype"/>
          <w:i/>
          <w:sz w:val="24"/>
        </w:rPr>
        <w:t xml:space="preserve">, en términos de la Ley de Responsabilidades Administrativas del Estado de México y Municipios. </w:t>
      </w:r>
    </w:p>
    <w:p w14:paraId="330696F0" w14:textId="77777777" w:rsidR="008B422C" w:rsidRPr="002B2CFF" w:rsidRDefault="008B422C" w:rsidP="008B422C">
      <w:pPr>
        <w:pStyle w:val="Prrafodelista"/>
        <w:spacing w:line="360" w:lineRule="auto"/>
        <w:ind w:left="567" w:right="616"/>
        <w:jc w:val="both"/>
        <w:rPr>
          <w:rFonts w:ascii="Palatino Linotype" w:hAnsi="Palatino Linotype"/>
          <w:sz w:val="24"/>
        </w:rPr>
      </w:pPr>
      <w:r w:rsidRPr="002B2CFF">
        <w:rPr>
          <w:rFonts w:ascii="Palatino Linotype" w:hAnsi="Palatino Linotype"/>
          <w:i/>
          <w:sz w:val="24"/>
        </w:rPr>
        <w:lastRenderedPageBreak/>
        <w:br/>
      </w:r>
      <w:r w:rsidRPr="002B2CFF">
        <w:rPr>
          <w:rFonts w:ascii="Palatino Linotype" w:hAnsi="Palatino Linotype"/>
          <w:b/>
          <w:i/>
          <w:sz w:val="24"/>
        </w:rPr>
        <w:t>Los registros de las sanciones relativas a responsabilidades administrativas no graves</w:t>
      </w:r>
      <w:r w:rsidRPr="002B2CFF">
        <w:rPr>
          <w:rFonts w:ascii="Palatino Linotype" w:hAnsi="Palatino Linotype"/>
          <w:i/>
          <w:sz w:val="24"/>
        </w:rPr>
        <w:t xml:space="preserve">, quedarán registradas para efectos de eventual reincidencia, pero </w:t>
      </w:r>
      <w:r w:rsidRPr="002B2CFF">
        <w:rPr>
          <w:rFonts w:ascii="Palatino Linotype" w:hAnsi="Palatino Linotype"/>
          <w:b/>
          <w:i/>
          <w:sz w:val="24"/>
          <w:u w:val="single"/>
        </w:rPr>
        <w:t>no serán públicas</w:t>
      </w:r>
      <w:r w:rsidRPr="002B2CFF">
        <w:rPr>
          <w:rFonts w:ascii="Palatino Linotype" w:hAnsi="Palatino Linotype"/>
          <w:i/>
          <w:sz w:val="24"/>
        </w:rPr>
        <w:t>.”</w:t>
      </w:r>
    </w:p>
    <w:p w14:paraId="1ED93D92" w14:textId="77777777" w:rsidR="008B422C" w:rsidRPr="002B2CFF" w:rsidRDefault="008B422C" w:rsidP="008B422C">
      <w:pPr>
        <w:pStyle w:val="Prrafodelista"/>
        <w:spacing w:line="360" w:lineRule="auto"/>
        <w:ind w:left="567" w:right="616"/>
        <w:jc w:val="both"/>
        <w:rPr>
          <w:rFonts w:ascii="Palatino Linotype" w:eastAsia="Calibri" w:hAnsi="Palatino Linotype" w:cs="Arial"/>
          <w:sz w:val="24"/>
        </w:rPr>
      </w:pPr>
      <w:r w:rsidRPr="002B2CFF">
        <w:rPr>
          <w:rFonts w:ascii="Palatino Linotype" w:hAnsi="Palatino Linotype"/>
          <w:sz w:val="24"/>
        </w:rPr>
        <w:t>(Énfasis añadido)</w:t>
      </w:r>
    </w:p>
    <w:p w14:paraId="0F1BCF5A" w14:textId="77777777" w:rsidR="008B422C" w:rsidRPr="002B2CFF" w:rsidRDefault="008B422C" w:rsidP="008B422C">
      <w:pPr>
        <w:pStyle w:val="Prrafodelista"/>
        <w:spacing w:line="360" w:lineRule="auto"/>
        <w:ind w:left="0"/>
        <w:jc w:val="both"/>
        <w:rPr>
          <w:rFonts w:ascii="Palatino Linotype" w:eastAsia="Calibri" w:hAnsi="Palatino Linotype" w:cs="Arial"/>
          <w:sz w:val="24"/>
        </w:rPr>
      </w:pPr>
    </w:p>
    <w:p w14:paraId="38EE63D9" w14:textId="77777777" w:rsidR="008B422C" w:rsidRPr="002B2CFF" w:rsidRDefault="008B422C" w:rsidP="008B422C">
      <w:pPr>
        <w:numPr>
          <w:ilvl w:val="0"/>
          <w:numId w:val="1"/>
        </w:numPr>
        <w:spacing w:line="360" w:lineRule="auto"/>
        <w:ind w:left="0" w:right="1" w:firstLine="0"/>
        <w:jc w:val="both"/>
        <w:rPr>
          <w:rFonts w:ascii="Palatino Linotype" w:eastAsia="Calibri" w:hAnsi="Palatino Linotype" w:cs="Arial"/>
        </w:rPr>
      </w:pPr>
      <w:r w:rsidRPr="002B2CFF">
        <w:rPr>
          <w:rFonts w:ascii="Palatino Linotype" w:eastAsia="Calibri" w:hAnsi="Palatino Linotype" w:cs="Arial"/>
        </w:rPr>
        <w:t xml:space="preserve">De conformidad con el artículo anterior, se aprecia que el legislador determinó un </w:t>
      </w:r>
      <w:r w:rsidRPr="002B2CFF">
        <w:rPr>
          <w:rFonts w:ascii="Palatino Linotype" w:eastAsia="Palatino Linotype" w:hAnsi="Palatino Linotype" w:cs="Palatino Linotype"/>
        </w:rPr>
        <w:t>tratamiento</w:t>
      </w:r>
      <w:r w:rsidRPr="002B2CFF">
        <w:rPr>
          <w:rFonts w:ascii="Palatino Linotype" w:eastAsia="Calibri" w:hAnsi="Palatino Linotype" w:cs="Arial"/>
        </w:rPr>
        <w:t xml:space="preserve"> distinto a las resoluciones derivadas de procedimientos de </w:t>
      </w:r>
      <w:r w:rsidRPr="002B2CFF">
        <w:rPr>
          <w:rFonts w:ascii="Palatino Linotype" w:eastAsia="Palatino Linotype" w:hAnsi="Palatino Linotype" w:cs="Palatino Linotype"/>
        </w:rPr>
        <w:t>responsabilidades</w:t>
      </w:r>
      <w:r w:rsidRPr="002B2CFF">
        <w:rPr>
          <w:rFonts w:ascii="Palatino Linotype" w:eastAsia="Calibri" w:hAnsi="Palatino Linotype" w:cs="Arial"/>
        </w:rPr>
        <w:t xml:space="preserve"> </w:t>
      </w:r>
      <w:r w:rsidRPr="002B2CFF">
        <w:rPr>
          <w:rFonts w:ascii="Palatino Linotype" w:eastAsia="Palatino Linotype" w:hAnsi="Palatino Linotype" w:cs="Palatino Linotype"/>
        </w:rPr>
        <w:t>administrativas</w:t>
      </w:r>
      <w:r w:rsidRPr="002B2CFF">
        <w:rPr>
          <w:rFonts w:ascii="Palatino Linotype" w:eastAsia="Calibri" w:hAnsi="Palatino Linotype" w:cs="Arial"/>
        </w:rPr>
        <w:t xml:space="preserve"> por cuanto hace a su publicidad, mismas que serán confidenciales las relacionadas a las responsabilidades administrativas no graves, mientras que las sanciones derivadas de faltas administrativas graves serán públicas cuando éstas contengan impedimentos o inhabilitaciones, situación que no se actualiza para el caso de ser omiso en la declaración patrimonial, por no corresponder a una falta administrativa grave de conformidad con el </w:t>
      </w:r>
      <w:r w:rsidRPr="002B2CFF">
        <w:rPr>
          <w:rFonts w:ascii="Palatino Linotype" w:eastAsia="MS Mincho" w:hAnsi="Palatino Linotype" w:cs="Arial"/>
          <w:lang w:val="es-ES"/>
        </w:rPr>
        <w:t xml:space="preserve">el artículo 52 de la Ley de Responsabilidades Estatal, antes citado. Por tanto se determina como procedente ordenar el acuerdo que de manera fundada y motivada clasifique </w:t>
      </w:r>
      <w:bookmarkStart w:id="8" w:name="_Toc48828008"/>
      <w:r w:rsidRPr="002B2CFF">
        <w:rPr>
          <w:rFonts w:ascii="Palatino Linotype" w:eastAsia="MS Mincho" w:hAnsi="Palatino Linotype" w:cs="Arial"/>
          <w:lang w:val="es-ES"/>
        </w:rPr>
        <w:t xml:space="preserve">el nombre, cargo y área de adscripción </w:t>
      </w:r>
      <w:r w:rsidRPr="002B2CFF">
        <w:rPr>
          <w:rFonts w:ascii="Palatino Linotype" w:eastAsia="Palatino Linotype" w:hAnsi="Palatino Linotype" w:cs="Palatino Linotype"/>
          <w:color w:val="000000"/>
        </w:rPr>
        <w:t>de los servidores públicos, con que se cuente al 05 de diciembre de 2025, que incumplieron con la presentación de su declaración patrimonial para el Ejercicio Fiscal 2025 y a la fecha de la solicitud.</w:t>
      </w:r>
    </w:p>
    <w:p w14:paraId="2C793F7E"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42859F70"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Ello en virtud, que la Ley de Transparencia y Acceso a la Información Pública del Estado de México y </w:t>
      </w:r>
      <w:r w:rsidRPr="002B2CFF">
        <w:rPr>
          <w:rFonts w:ascii="Palatino Linotype" w:eastAsia="Calibri" w:hAnsi="Palatino Linotype" w:cs="Arial"/>
        </w:rPr>
        <w:t>Municipios</w:t>
      </w:r>
      <w:r w:rsidRPr="002B2CFF">
        <w:rPr>
          <w:rFonts w:ascii="Palatino Linotype" w:eastAsia="Palatino Linotype" w:hAnsi="Palatino Linotype" w:cs="Palatino Linotype"/>
        </w:rPr>
        <w:t xml:space="preserve">, define como </w:t>
      </w:r>
      <w:r w:rsidRPr="002B2CFF">
        <w:rPr>
          <w:rFonts w:ascii="Palatino Linotype" w:eastAsia="Palatino Linotype" w:hAnsi="Palatino Linotype" w:cs="Palatino Linotype"/>
          <w:bCs/>
        </w:rPr>
        <w:t xml:space="preserve">información reservada </w:t>
      </w:r>
      <w:r w:rsidRPr="002B2CFF">
        <w:rPr>
          <w:rFonts w:ascii="Palatino Linotype" w:eastAsia="Palatino Linotype" w:hAnsi="Palatino Linotype" w:cs="Palatino Linotype"/>
        </w:rPr>
        <w:t xml:space="preserve">a la información pública clasificada con este carácter de manera temporal por las disposiciones de la Ley de la Materia, cuya divulgación puede causar daños a las  seguridad pública, y como </w:t>
      </w:r>
      <w:r w:rsidRPr="002B2CFF">
        <w:rPr>
          <w:rFonts w:ascii="Palatino Linotype" w:eastAsia="Palatino Linotype" w:hAnsi="Palatino Linotype" w:cs="Palatino Linotype"/>
          <w:bCs/>
        </w:rPr>
        <w:t>información confidencial</w:t>
      </w:r>
      <w:r w:rsidRPr="002B2CFF">
        <w:rPr>
          <w:rFonts w:ascii="Palatino Linotype" w:eastAsia="Palatino Linotype" w:hAnsi="Palatino Linotype" w:cs="Palatino Linotype"/>
        </w:rPr>
        <w:t xml:space="preserve">, la relacionada con los secretos bancario, fiduciario, industrial, comercial, fiscal, bursátil y postal, cuya titularidad corresponda a particulares, sujetos de derecho internacional </w:t>
      </w:r>
      <w:r w:rsidRPr="002B2CFF">
        <w:rPr>
          <w:rFonts w:ascii="Palatino Linotype" w:eastAsia="Palatino Linotype" w:hAnsi="Palatino Linotype" w:cs="Palatino Linotype"/>
        </w:rPr>
        <w:lastRenderedPageBreak/>
        <w:t xml:space="preserve">o sujetos obligados cuando no involucren el ejercicio de recursos públicos, así como la información privada contenida en documentos públicos o privados que refiera a la vida privada y/o los datos personales, que no son de acceso público. </w:t>
      </w:r>
    </w:p>
    <w:p w14:paraId="1B425D49" w14:textId="77777777" w:rsidR="008B422C" w:rsidRPr="002B2CFF" w:rsidRDefault="008B422C" w:rsidP="008B422C">
      <w:pPr>
        <w:pStyle w:val="Prrafodelista"/>
        <w:rPr>
          <w:rFonts w:ascii="Palatino Linotype" w:eastAsia="Palatino Linotype" w:hAnsi="Palatino Linotype" w:cs="Palatino Linotype"/>
          <w:sz w:val="24"/>
        </w:rPr>
      </w:pPr>
    </w:p>
    <w:p w14:paraId="5C018BF0"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Por lo que se refiere a la información clasificada como reservada, para que el acceso a la información pública pueda ser restringido, se deben actualizar los supuestos establecidos en el artículo 140 de la Ley de Transparencia y Acceso a la Información Pública del Estado de México y Municipios, que a la letra señala lo siguiente:</w:t>
      </w:r>
    </w:p>
    <w:p w14:paraId="42626EE6"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Artículo 140</w:t>
      </w:r>
      <w:r w:rsidRPr="002B2CFF">
        <w:rPr>
          <w:rFonts w:ascii="Palatino Linotype" w:eastAsia="Palatino Linotype" w:hAnsi="Palatino Linotype" w:cs="Palatino Linotype"/>
          <w:i/>
          <w:iCs/>
        </w:rPr>
        <w:t xml:space="preserve">. El acceso a la información pública será restringido excepcionalmente, cuando por razones de interés público, ésta sea clasificada como reservada, conforme a los criterios siguientes: </w:t>
      </w:r>
    </w:p>
    <w:p w14:paraId="554538EE"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w:t>
      </w:r>
      <w:r w:rsidRPr="002B2CFF">
        <w:rPr>
          <w:rFonts w:ascii="Palatino Linotype" w:eastAsia="Palatino Linotype" w:hAnsi="Palatino Linotype" w:cs="Palatino Linotype"/>
          <w:i/>
          <w:iCs/>
        </w:rPr>
        <w:t xml:space="preserve">. Comprometa la seguridad pública y cuente con un propósito genuino y un efecto demostrable; </w:t>
      </w:r>
    </w:p>
    <w:p w14:paraId="5BA5F852"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II.</w:t>
      </w:r>
      <w:r w:rsidRPr="002B2CFF">
        <w:rPr>
          <w:rFonts w:ascii="Palatino Linotype" w:eastAsia="Palatino Linotype" w:hAnsi="Palatino Linotype" w:cs="Palatino Linotype"/>
          <w:i/>
          <w:iCs/>
        </w:rPr>
        <w:t xml:space="preserve"> Pueda menoscabar la conducción de las negociaciones y relaciones internacionales; </w:t>
      </w:r>
    </w:p>
    <w:p w14:paraId="09345748"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III.</w:t>
      </w:r>
      <w:r w:rsidRPr="002B2CFF">
        <w:rPr>
          <w:rFonts w:ascii="Palatino Linotype" w:eastAsia="Palatino Linotype" w:hAnsi="Palatino Linotype" w:cs="Palatino Linotype"/>
          <w:i/>
          <w:iCs/>
        </w:rPr>
        <w:t xml:space="preserve"> Se entregue a la Entidad expresamente con ese carácter o el de confidencialidad por otro u otros sujetos de derecho internacional, excepto cuando se trate de violaciones graves de derechos humanos o delitos de lesa humanidad de conformidad con el derecho internacional; </w:t>
      </w:r>
    </w:p>
    <w:p w14:paraId="38051171"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IV.</w:t>
      </w:r>
      <w:r w:rsidRPr="002B2CFF">
        <w:rPr>
          <w:rFonts w:ascii="Palatino Linotype" w:eastAsia="Palatino Linotype" w:hAnsi="Palatino Linotype" w:cs="Palatino Linotype"/>
          <w:i/>
          <w:iCs/>
        </w:rPr>
        <w:t xml:space="preserve"> Ponga en riesgo la vida, la seguridad o la salud de una persona física; </w:t>
      </w:r>
    </w:p>
    <w:p w14:paraId="357ADCF1"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V</w:t>
      </w:r>
      <w:r w:rsidRPr="002B2CFF">
        <w:rPr>
          <w:rFonts w:ascii="Palatino Linotype" w:eastAsia="Palatino Linotype" w:hAnsi="Palatino Linotype" w:cs="Palatino Linotype"/>
          <w:i/>
          <w:iCs/>
        </w:rPr>
        <w:t xml:space="preserve">. Aquella cuya divulgación obstruya o pueda causar un serio perjuicio a: </w:t>
      </w:r>
    </w:p>
    <w:p w14:paraId="457AC891"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 xml:space="preserve">1. Las actividades de fiscalización, verificación, inspección, comprobación y auditoría sobre el cumplimiento de las Leyes; o </w:t>
      </w:r>
    </w:p>
    <w:p w14:paraId="126D334D"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 xml:space="preserve">2. La recaudación de las contribuciones. </w:t>
      </w:r>
    </w:p>
    <w:p w14:paraId="0255D589"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VI</w:t>
      </w:r>
      <w:r w:rsidRPr="002B2CFF">
        <w:rPr>
          <w:rFonts w:ascii="Palatino Linotype" w:eastAsia="Palatino Linotype" w:hAnsi="Palatino Linotype" w:cs="Palatino Linotype"/>
          <w:i/>
          <w:iCs/>
        </w:rPr>
        <w:t xml:space="preserve">.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 </w:t>
      </w:r>
    </w:p>
    <w:p w14:paraId="31EDA3F7"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lastRenderedPageBreak/>
        <w:t>VII.</w:t>
      </w:r>
      <w:r w:rsidRPr="002B2CFF">
        <w:rPr>
          <w:rFonts w:ascii="Palatino Linotype" w:eastAsia="Palatino Linotype" w:hAnsi="Palatino Linotype" w:cs="Palatino Linotype"/>
          <w:i/>
          <w:iCs/>
        </w:rPr>
        <w:t xml:space="preserve"> La que contengan las opiniones, recomendaciones o puntos de vista que formen parte del proceso deliberativo de los servidores públicos, hasta en tanto sea adoptada la decisión definitiva, la cual deberá estar documentada; </w:t>
      </w:r>
    </w:p>
    <w:p w14:paraId="04B8013F"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VIII.</w:t>
      </w:r>
      <w:r w:rsidRPr="002B2CFF">
        <w:rPr>
          <w:rFonts w:ascii="Palatino Linotype" w:eastAsia="Palatino Linotype" w:hAnsi="Palatino Linotype" w:cs="Palatino Linotype"/>
          <w:i/>
          <w:iCs/>
        </w:rPr>
        <w:t xml:space="preserve"> Vulnere la conducción de los expedientes judiciales o de los procedimientos administrativos seguidos en forma de juicio, en tanto no hayan quedado firmes; </w:t>
      </w:r>
    </w:p>
    <w:p w14:paraId="22146F15"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IX</w:t>
      </w:r>
      <w:r w:rsidRPr="002B2CFF">
        <w:rPr>
          <w:rFonts w:ascii="Palatino Linotype" w:eastAsia="Palatino Linotype" w:hAnsi="Palatino Linotype" w:cs="Palatino Linotype"/>
          <w:i/>
          <w:iCs/>
        </w:rPr>
        <w:t xml:space="preserve">. Se encuentre contenida dentro de las investigaciones de hechos que la Ley señale como delitos y se tramiten ante el Ministerio Público; </w:t>
      </w:r>
    </w:p>
    <w:p w14:paraId="04F63E04"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X.</w:t>
      </w:r>
      <w:r w:rsidRPr="002B2CFF">
        <w:rPr>
          <w:rFonts w:ascii="Palatino Linotype" w:eastAsia="Palatino Linotype" w:hAnsi="Palatino Linotype" w:cs="Palatino Linotype"/>
          <w:i/>
          <w:iCs/>
        </w:rPr>
        <w:t xml:space="preserve"> El daño que pueda producirse con la publicación de la información sea mayor que el interés público de conocer la información de referencia, siempre que esté directamente relacionado con procesos o procedimientos administrativos o judiciales que no hayan quedado firmes; </w:t>
      </w:r>
    </w:p>
    <w:p w14:paraId="75B5DA92"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 xml:space="preserve">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 </w:t>
      </w:r>
    </w:p>
    <w:p w14:paraId="5C8EF8F1"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XI.</w:t>
      </w:r>
      <w:r w:rsidRPr="002B2CFF">
        <w:rPr>
          <w:rFonts w:ascii="Palatino Linotype" w:eastAsia="Palatino Linotype" w:hAnsi="Palatino Linotype" w:cs="Palatino Linotype"/>
          <w:i/>
          <w:iCs/>
        </w:rPr>
        <w:t xml:space="preserve"> Las que por disposición expresa de una ley tengan tal carácter, siempre que sean acordes con las bases, principios y disposiciones establecidos en esta Ley y no la contravengan; así como las previstas en tratados internacionales.”</w:t>
      </w:r>
    </w:p>
    <w:p w14:paraId="73F11096" w14:textId="77777777" w:rsidR="008B422C" w:rsidRPr="002B2CFF" w:rsidRDefault="008B422C" w:rsidP="008B422C">
      <w:pPr>
        <w:spacing w:before="120" w:after="120"/>
        <w:ind w:left="851" w:right="851"/>
        <w:jc w:val="both"/>
        <w:rPr>
          <w:rFonts w:ascii="Palatino Linotype" w:eastAsia="Palatino Linotype" w:hAnsi="Palatino Linotype" w:cs="Palatino Linotype"/>
          <w:i/>
          <w:iCs/>
        </w:rPr>
      </w:pPr>
    </w:p>
    <w:p w14:paraId="02163EEF"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Y, en lo que concierne a la información clasificada como confidencial, para que el acceso a la información pública pueda ser restringido, se deben actualizar los supuestos establecidos en el artículo143 de la Ley de Transparencia y Acceso a la Información Pública del Estado de México y Municipios, que a la letra señala lo siguiente:</w:t>
      </w:r>
    </w:p>
    <w:p w14:paraId="2A7914CB"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r w:rsidRPr="002B2CFF">
        <w:rPr>
          <w:rFonts w:ascii="Palatino Linotype" w:eastAsia="Palatino Linotype" w:hAnsi="Palatino Linotype" w:cs="Palatino Linotype"/>
          <w:b/>
          <w:bCs/>
          <w:i/>
          <w:iCs/>
        </w:rPr>
        <w:t>Artículo 143.</w:t>
      </w:r>
      <w:r w:rsidRPr="002B2CFF">
        <w:rPr>
          <w:rFonts w:ascii="Palatino Linotype" w:eastAsia="Palatino Linotype" w:hAnsi="Palatino Linotype" w:cs="Palatino Linotype"/>
          <w:i/>
          <w:iCs/>
        </w:rPr>
        <w:t xml:space="preserve"> Para los efectos de esta Ley se considera información confidencial, la clasificada como tal, de manera permanente, por su naturaleza, cuando: </w:t>
      </w:r>
    </w:p>
    <w:p w14:paraId="021F6B8C"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w:t>
      </w:r>
      <w:r w:rsidRPr="002B2CFF">
        <w:rPr>
          <w:rFonts w:ascii="Palatino Linotype" w:eastAsia="Palatino Linotype" w:hAnsi="Palatino Linotype" w:cs="Palatino Linotype"/>
          <w:i/>
          <w:iCs/>
        </w:rPr>
        <w:t xml:space="preserve">. Se refiera a la información privada y los datos personales concernientes a una persona física o jurídico colectiva identificada o identificable; </w:t>
      </w:r>
    </w:p>
    <w:p w14:paraId="0A6D7C08"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II.</w:t>
      </w:r>
      <w:r w:rsidRPr="002B2CFF">
        <w:rPr>
          <w:rFonts w:ascii="Palatino Linotype" w:eastAsia="Palatino Linotype" w:hAnsi="Palatino Linotype" w:cs="Palatino Linotype"/>
          <w:i/>
          <w:iCs/>
        </w:rPr>
        <w:t xml:space="preserve"> Los secretos bancario, fiduciario, industrial, comercial, fiscal, bursátil y postal, cuya titularidad corresponda a particulares, sujetos de derecho internacional o a sujetos obligados cuando no involucren el ejercicio de recursos públicos; y </w:t>
      </w:r>
    </w:p>
    <w:p w14:paraId="253BEBCB"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lastRenderedPageBreak/>
        <w:t>III.</w:t>
      </w:r>
      <w:r w:rsidRPr="002B2CFF">
        <w:rPr>
          <w:rFonts w:ascii="Palatino Linotype" w:eastAsia="Palatino Linotype" w:hAnsi="Palatino Linotype" w:cs="Palatino Linotype"/>
          <w:i/>
          <w:iCs/>
        </w:rPr>
        <w:t xml:space="preserve"> La que presenten los particulares a los sujetos obligados, de conformidad con lo dispuesto por las leyes o los tratados internacionales. </w:t>
      </w:r>
    </w:p>
    <w:p w14:paraId="06D18DA7"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 xml:space="preserve">La información confidencial no estará sujeta a temporalidad alguna y sólo podrán tener acceso a ella los titulares de la misma, sus representantes y los servidores públicos facultados para ello. </w:t>
      </w:r>
    </w:p>
    <w:p w14:paraId="3033EBC4"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No se considerará confidencial la información que se encuentre en los registros públicos o en fuentes de acceso público, ni tampoco la que sea considerada por la presente ley como información pública.”</w:t>
      </w:r>
    </w:p>
    <w:p w14:paraId="52E880DA"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p>
    <w:p w14:paraId="3CA407B2"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7BC80762" w14:textId="77777777" w:rsidR="008B422C" w:rsidRPr="002B2CFF" w:rsidRDefault="008B422C" w:rsidP="008B422C">
      <w:pPr>
        <w:numPr>
          <w:ilvl w:val="0"/>
          <w:numId w:val="11"/>
        </w:numPr>
        <w:tabs>
          <w:tab w:val="left" w:pos="851"/>
        </w:tabs>
        <w:spacing w:before="280" w:line="360" w:lineRule="auto"/>
        <w:ind w:left="567"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Se reciba una solicitud de acceso a la información;</w:t>
      </w:r>
    </w:p>
    <w:p w14:paraId="43D044FF" w14:textId="77777777" w:rsidR="008B422C" w:rsidRPr="002B2CFF" w:rsidRDefault="008B422C" w:rsidP="008B422C">
      <w:pPr>
        <w:numPr>
          <w:ilvl w:val="0"/>
          <w:numId w:val="11"/>
        </w:numPr>
        <w:tabs>
          <w:tab w:val="left" w:pos="851"/>
        </w:tabs>
        <w:spacing w:line="360" w:lineRule="auto"/>
        <w:ind w:left="567"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Se determine mediante resolución de autoridad competente; y/o</w:t>
      </w:r>
    </w:p>
    <w:p w14:paraId="27F3B0FF" w14:textId="77777777" w:rsidR="008B422C" w:rsidRPr="002B2CFF" w:rsidRDefault="008B422C" w:rsidP="008B422C">
      <w:pPr>
        <w:numPr>
          <w:ilvl w:val="0"/>
          <w:numId w:val="11"/>
        </w:numPr>
        <w:tabs>
          <w:tab w:val="left" w:pos="851"/>
        </w:tabs>
        <w:spacing w:after="280" w:line="360" w:lineRule="auto"/>
        <w:ind w:left="567"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Se generen versiones públicas para dar cumplimiento a las obligaciones de transparencia previstas en la Ley.</w:t>
      </w:r>
    </w:p>
    <w:p w14:paraId="4AD9EF9E"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Asimismo, los Sujetos Obligados deben observar, además, lo dispuesto en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que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E7BED43"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lastRenderedPageBreak/>
        <w:t xml:space="preserve">En relación con las implicaciones anteriores, es de precisar que la clasificación de la información no se da por el simple mandato de la Ley, sino que es necesario que los Sujetos Obligados, cuando clasifiquen algún documento o información, ya sea todo o en parte, atiendan lo dispuesto por la Ley de la materia, siendo los titulares de las áreas los responsables de clasificar la información </w:t>
      </w:r>
      <w:r w:rsidRPr="002B2CFF">
        <w:rPr>
          <w:rFonts w:ascii="Palatino Linotype" w:eastAsia="Palatino Linotype" w:hAnsi="Palatino Linotype" w:cs="Palatino Linotype"/>
          <w:bCs/>
        </w:rPr>
        <w:t>mediante el Comité de Transparencia</w:t>
      </w:r>
      <w:r w:rsidRPr="002B2CFF">
        <w:rPr>
          <w:rFonts w:ascii="Palatino Linotype" w:eastAsia="Palatino Linotype" w:hAnsi="Palatino Linotype" w:cs="Palatino Linotype"/>
        </w:rPr>
        <w:t xml:space="preserve"> por ser la autoridad máxima al interior de los Sujetos Obligados, al ser éste un Cuerpo Colegiado que se integra para resolver sobre la información que debe clasificarse, así como para atender y resolver los requerimientos de las Unidades de Transparencia y del Instituto.</w:t>
      </w:r>
    </w:p>
    <w:p w14:paraId="534A105C" w14:textId="77777777" w:rsidR="00DC2AFF" w:rsidRPr="002B2CFF" w:rsidRDefault="00DC2AFF" w:rsidP="00DC2AFF">
      <w:pPr>
        <w:pStyle w:val="Prrafodelista"/>
        <w:rPr>
          <w:rFonts w:ascii="Palatino Linotype" w:eastAsia="Palatino Linotype" w:hAnsi="Palatino Linotype" w:cs="Palatino Linotype"/>
          <w:sz w:val="24"/>
        </w:rPr>
      </w:pPr>
    </w:p>
    <w:p w14:paraId="5B627E46" w14:textId="77777777" w:rsidR="00DC2AFF" w:rsidRPr="002B2CFF" w:rsidRDefault="00DC2AFF" w:rsidP="00DC2AFF">
      <w:pPr>
        <w:spacing w:line="360" w:lineRule="auto"/>
        <w:ind w:right="1"/>
        <w:jc w:val="both"/>
        <w:rPr>
          <w:rFonts w:ascii="Palatino Linotype" w:eastAsia="Palatino Linotype" w:hAnsi="Palatino Linotype" w:cs="Palatino Linotype"/>
        </w:rPr>
      </w:pPr>
    </w:p>
    <w:p w14:paraId="6C933000"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En otras palabras, la clasificación es un trabajo en conjunto tanto de los Servidores Públicos Habilitados, de las Unidades de Transparencia y del Comité de Transparencia de los Sujetos Obligados, teniendo el deber los primeros de ellos de presentar ante la Unidad de Transparencia la propuesta de la clasificación de la información, para que luego, de así resultar procedente el proyecto de clasificación de la información se presente ante al Comité de Transparencia, y que finalmente, sea este último quien apruebe, modifique o revoque la misma, como se desprende de los artículos 49 fracciones II y VIII, 53 fracción X, y 59 fracción V, de la Ley de Transparencia y Acceso a la Información Pública del Estado de México y Municipios.</w:t>
      </w:r>
    </w:p>
    <w:p w14:paraId="65A55168" w14:textId="77777777" w:rsidR="008B422C" w:rsidRPr="002B2CFF" w:rsidRDefault="008B422C" w:rsidP="008B422C">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1230E1B8"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Por lo tanto, la restricción al Derecho de acceso a la información debe sustentarse </w:t>
      </w:r>
      <w:r w:rsidRPr="002B2CFF">
        <w:rPr>
          <w:rFonts w:ascii="Palatino Linotype" w:eastAsia="Palatino Linotype" w:hAnsi="Palatino Linotype" w:cs="Palatino Linotype"/>
          <w:bCs/>
        </w:rPr>
        <w:t xml:space="preserve">necesariamente del </w:t>
      </w:r>
      <w:r w:rsidRPr="002B2CFF">
        <w:rPr>
          <w:rFonts w:ascii="Palatino Linotype" w:eastAsia="Palatino Linotype" w:hAnsi="Palatino Linotype" w:cs="Palatino Linotype"/>
        </w:rPr>
        <w:t>Acuerdo</w:t>
      </w:r>
      <w:r w:rsidRPr="002B2CFF">
        <w:rPr>
          <w:rFonts w:ascii="Palatino Linotype" w:eastAsia="Palatino Linotype" w:hAnsi="Palatino Linotype" w:cs="Palatino Linotype"/>
          <w:bCs/>
        </w:rPr>
        <w:t xml:space="preserve"> del Comité de Transparencia </w:t>
      </w:r>
      <w:r w:rsidRPr="002B2CFF">
        <w:rPr>
          <w:rFonts w:ascii="Palatino Linotype" w:eastAsia="Palatino Linotype" w:hAnsi="Palatino Linotype" w:cs="Palatino Linotype"/>
        </w:rPr>
        <w:t xml:space="preserve">mediante el cual se expongan  de manera fundada y motivada, los fundamentos y razonamientos que llevaron al Sujeto Obligado a restringir el acceso a la información, ya sea en su totalidad o de forma parcial, ya que de no hacerlo, se deja a la persona solicitante en estado de incertidumbre al no conocer o </w:t>
      </w:r>
      <w:r w:rsidRPr="002B2CFF">
        <w:rPr>
          <w:rFonts w:ascii="Palatino Linotype" w:eastAsia="Palatino Linotype" w:hAnsi="Palatino Linotype" w:cs="Palatino Linotype"/>
        </w:rPr>
        <w:lastRenderedPageBreak/>
        <w:t>comprender la razón por la cual no se le permitió el acceso a la información, o por qué no se aprecian determinados datos en la documentación respectiva.</w:t>
      </w:r>
    </w:p>
    <w:p w14:paraId="785008A3" w14:textId="77777777" w:rsidR="008B422C" w:rsidRPr="002B2CFF" w:rsidRDefault="008B422C" w:rsidP="008B422C">
      <w:pPr>
        <w:pStyle w:val="Prrafodelista"/>
        <w:rPr>
          <w:rFonts w:ascii="Palatino Linotype" w:eastAsia="Palatino Linotype" w:hAnsi="Palatino Linotype" w:cs="Palatino Linotype"/>
          <w:sz w:val="24"/>
        </w:rPr>
      </w:pPr>
    </w:p>
    <w:p w14:paraId="31684948"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Por otro lado, por lo que se refiere a la materia del requerimiento en análisis, debe mencionarse que con motivo de la entrada en vigor de la Ley del Sistema Anticorrupción del Estado de México y Municipios publicada en el periódico oficial "Gaceta del Gobierno" el treinta de mayo de 2017, que establece que </w:t>
      </w:r>
      <w:r w:rsidRPr="002B2CFF">
        <w:rPr>
          <w:rFonts w:ascii="Palatino Linotype" w:eastAsia="Palatino Linotype" w:hAnsi="Palatino Linotype" w:cs="Palatino Linotype"/>
          <w:bCs/>
        </w:rPr>
        <w:t>las sanciones no graves no serán públicas</w:t>
      </w:r>
      <w:r w:rsidRPr="002B2CFF">
        <w:rPr>
          <w:rFonts w:ascii="Palatino Linotype" w:eastAsia="Palatino Linotype" w:hAnsi="Palatino Linotype" w:cs="Palatino Linotype"/>
        </w:rPr>
        <w:t>, toda vez que dicha información únicamente es de interés para los Poderes Ejecutivo, Legislativo y Judicial, los Ayuntamiento, Organismos Auxiliares, Fideicomisos Públicos y los Órganos Constitucionalmente Autónomos, en virtud de que exclusivamente se deriva de la relación entre autoridades administrativas y el dueño de los datos personales, para acatar las disposiciones contenidas en el artículo 53 de la citada Ley Anticorrupción y que son de la literalidad siguiente:</w:t>
      </w:r>
    </w:p>
    <w:p w14:paraId="08D01093"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 xml:space="preserve">“Artículo 53. Las sanciones impuestas por faltas administrativas graves serán del conocimiento público </w:t>
      </w:r>
      <w:r w:rsidRPr="002B2CFF">
        <w:rPr>
          <w:rFonts w:ascii="Palatino Linotype" w:eastAsia="Palatino Linotype" w:hAnsi="Palatino Linotype" w:cs="Palatino Linotype"/>
          <w:b/>
          <w:bCs/>
          <w:i/>
          <w:iCs/>
          <w:u w:val="single"/>
        </w:rPr>
        <w:t>cuando éstas contengan impedimentos o inhabilitaciones</w:t>
      </w:r>
      <w:r w:rsidRPr="002B2CFF">
        <w:rPr>
          <w:rFonts w:ascii="Palatino Linotype" w:eastAsia="Palatino Linotype" w:hAnsi="Palatino Linotype" w:cs="Palatino Linotype"/>
          <w:i/>
          <w:iCs/>
        </w:rPr>
        <w:t xml:space="preserve"> para ser contratados como servidores públicos o como prestadores de servicios o contratistas del sector público, en términos de la Ley de Responsabilidades Administrativas del Estado de México y Municipios.</w:t>
      </w:r>
    </w:p>
    <w:p w14:paraId="31187A78"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 xml:space="preserve">Los registros de </w:t>
      </w:r>
      <w:r w:rsidRPr="002B2CFF">
        <w:rPr>
          <w:rFonts w:ascii="Palatino Linotype" w:eastAsia="Palatino Linotype" w:hAnsi="Palatino Linotype" w:cs="Palatino Linotype"/>
          <w:b/>
          <w:bCs/>
          <w:i/>
          <w:iCs/>
          <w:u w:val="single"/>
        </w:rPr>
        <w:t>las sanciones relativas a responsabilidades administrativas no graves, quedarán registradas para efectos de eventual reincidencia, pero no serán públicas.</w:t>
      </w:r>
      <w:r w:rsidRPr="002B2CFF">
        <w:rPr>
          <w:rFonts w:ascii="Palatino Linotype" w:eastAsia="Palatino Linotype" w:hAnsi="Palatino Linotype" w:cs="Palatino Linotype"/>
          <w:i/>
          <w:iCs/>
        </w:rPr>
        <w:t>”</w:t>
      </w:r>
    </w:p>
    <w:p w14:paraId="131F27BC"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p>
    <w:p w14:paraId="2D441E7B"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En ese sentido es importante, referir que la Ley de Responsabilidades Administrativas del Estado de México y Municipios, vigente, señala como faltas administrativas graves y no graves, lo siguiente:</w:t>
      </w:r>
    </w:p>
    <w:p w14:paraId="29521D97" w14:textId="77777777" w:rsidR="008B422C" w:rsidRPr="002B2CFF" w:rsidRDefault="008B422C" w:rsidP="008B422C">
      <w:pPr>
        <w:spacing w:before="120" w:after="120"/>
        <w:ind w:left="851"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i/>
          <w:iCs/>
        </w:rPr>
        <w:t>“</w:t>
      </w:r>
      <w:r w:rsidRPr="002B2CFF">
        <w:rPr>
          <w:rFonts w:ascii="Palatino Linotype" w:eastAsia="Palatino Linotype" w:hAnsi="Palatino Linotype" w:cs="Palatino Linotype"/>
          <w:b/>
          <w:bCs/>
          <w:i/>
          <w:iCs/>
        </w:rPr>
        <w:t>Artículo 3</w:t>
      </w:r>
      <w:r w:rsidRPr="002B2CFF">
        <w:rPr>
          <w:rFonts w:ascii="Palatino Linotype" w:eastAsia="Palatino Linotype" w:hAnsi="Palatino Linotype" w:cs="Palatino Linotype"/>
          <w:i/>
          <w:iCs/>
        </w:rPr>
        <w:t>. Para los efectos de la presente Ley, se entenderá por:</w:t>
      </w:r>
      <w:r w:rsidRPr="002B2CFF">
        <w:rPr>
          <w:rFonts w:ascii="Palatino Linotype" w:eastAsia="Palatino Linotype" w:hAnsi="Palatino Linotype" w:cs="Palatino Linotype"/>
          <w:i/>
          <w:iCs/>
        </w:rPr>
        <w:br/>
        <w:t>...</w:t>
      </w:r>
    </w:p>
    <w:p w14:paraId="4E45F994" w14:textId="77777777" w:rsidR="008B422C" w:rsidRPr="002B2CFF" w:rsidRDefault="008B422C" w:rsidP="008B422C">
      <w:pPr>
        <w:spacing w:before="120" w:after="120"/>
        <w:ind w:left="1134"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lastRenderedPageBreak/>
        <w:t>XIII.</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Falta administrativa no grave</w:t>
      </w:r>
      <w:r w:rsidRPr="002B2CFF">
        <w:rPr>
          <w:rFonts w:ascii="Palatino Linotype" w:eastAsia="Palatino Linotype" w:hAnsi="Palatino Linotype" w:cs="Palatino Linotype"/>
          <w:i/>
          <w:iCs/>
        </w:rPr>
        <w:t>: A las faltas administrativas de los servidores públicos en los términos de la presente Ley, cuya imposición de la sanción corresponde a la Secretaría de la Contraloría del Estado de México y a los órganos internos de control.</w:t>
      </w:r>
    </w:p>
    <w:p w14:paraId="6D8486CB" w14:textId="77777777" w:rsidR="008B422C" w:rsidRPr="002B2CFF" w:rsidRDefault="008B422C" w:rsidP="008B422C">
      <w:pPr>
        <w:spacing w:before="120" w:after="120"/>
        <w:ind w:left="1134" w:right="902"/>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XIV</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rPr>
        <w:t>Falta administrativa grave</w:t>
      </w:r>
      <w:r w:rsidRPr="002B2CFF">
        <w:rPr>
          <w:rFonts w:ascii="Palatino Linotype" w:eastAsia="Palatino Linotype" w:hAnsi="Palatino Linotype" w:cs="Palatino Linotype"/>
          <w:i/>
          <w:iCs/>
        </w:rPr>
        <w:t>: A las faltas administrativas de los servidores públicos catalogadas como graves en los términos de la presente Ley, cuya sanción corresponde al Tribunal de Justicia Administrativa del Estado de México..."</w:t>
      </w:r>
    </w:p>
    <w:p w14:paraId="10340665" w14:textId="77777777" w:rsidR="008B422C" w:rsidRPr="002B2CFF" w:rsidRDefault="008B422C" w:rsidP="008B422C">
      <w:pPr>
        <w:spacing w:before="120" w:after="120"/>
        <w:ind w:left="1134" w:right="902"/>
        <w:jc w:val="both"/>
        <w:rPr>
          <w:rFonts w:ascii="Palatino Linotype" w:eastAsia="Palatino Linotype" w:hAnsi="Palatino Linotype" w:cs="Palatino Linotype"/>
          <w:i/>
          <w:iCs/>
        </w:rPr>
      </w:pPr>
    </w:p>
    <w:p w14:paraId="36E612DB"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La Ley de Responsabilidades Administrativas vigente, contempla como </w:t>
      </w:r>
      <w:r w:rsidRPr="002B2CFF">
        <w:rPr>
          <w:rFonts w:ascii="Palatino Linotype" w:eastAsia="Palatino Linotype" w:hAnsi="Palatino Linotype" w:cs="Palatino Linotype"/>
          <w:bCs/>
        </w:rPr>
        <w:t xml:space="preserve">faltas </w:t>
      </w:r>
      <w:r w:rsidRPr="002B2CFF">
        <w:rPr>
          <w:rFonts w:ascii="Palatino Linotype" w:eastAsia="Palatino Linotype" w:hAnsi="Palatino Linotype" w:cs="Palatino Linotype"/>
        </w:rPr>
        <w:t>administrativas</w:t>
      </w:r>
      <w:r w:rsidRPr="002B2CFF">
        <w:rPr>
          <w:rFonts w:ascii="Palatino Linotype" w:eastAsia="Palatino Linotype" w:hAnsi="Palatino Linotype" w:cs="Palatino Linotype"/>
          <w:bCs/>
        </w:rPr>
        <w:t xml:space="preserve"> no graves,</w:t>
      </w:r>
      <w:r w:rsidRPr="002B2CFF">
        <w:rPr>
          <w:rFonts w:ascii="Palatino Linotype" w:eastAsia="Palatino Linotype" w:hAnsi="Palatino Linotype" w:cs="Palatino Linotype"/>
        </w:rPr>
        <w:t xml:space="preserve"> las cometidas por el servidor público que, </w:t>
      </w:r>
      <w:r w:rsidRPr="002B2CFF">
        <w:rPr>
          <w:rFonts w:ascii="Palatino Linotype" w:eastAsia="Palatino Linotype" w:hAnsi="Palatino Linotype" w:cs="Palatino Linotype"/>
          <w:bCs/>
        </w:rPr>
        <w:t>con sus actos u omisiones, incumpla o transgreda sus obligaciones,</w:t>
      </w:r>
      <w:r w:rsidRPr="002B2CFF">
        <w:rPr>
          <w:rFonts w:ascii="Palatino Linotype" w:eastAsia="Palatino Linotype" w:hAnsi="Palatino Linotype" w:cs="Palatino Linotype"/>
        </w:rPr>
        <w:t xml:space="preserve"> entre las que se pueden englobar las establecidas en el artículo 50 de la Ley de Responsabilidades en mérito, siendo de interés para el tema que nos ocupa la siguiente:</w:t>
      </w:r>
    </w:p>
    <w:p w14:paraId="336E1DF2" w14:textId="77777777" w:rsidR="008B422C" w:rsidRPr="002B2CFF" w:rsidRDefault="008B422C" w:rsidP="008B422C">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rPr>
      </w:pPr>
      <w:r w:rsidRPr="002B2CFF">
        <w:rPr>
          <w:rFonts w:ascii="Palatino Linotype" w:eastAsia="Palatino Linotype" w:hAnsi="Palatino Linotype" w:cs="Palatino Linotype"/>
          <w:b/>
          <w:bCs/>
          <w:i/>
          <w:iCs/>
        </w:rPr>
        <w:t xml:space="preserve">“Artículo 50. Incurre en </w:t>
      </w:r>
      <w:r w:rsidRPr="002B2CFF">
        <w:rPr>
          <w:rFonts w:ascii="Palatino Linotype" w:eastAsia="Palatino Linotype" w:hAnsi="Palatino Linotype" w:cs="Palatino Linotype"/>
          <w:b/>
          <w:bCs/>
          <w:i/>
          <w:iCs/>
          <w:u w:val="single"/>
        </w:rPr>
        <w:t>falta administrativa no grave</w:t>
      </w:r>
      <w:r w:rsidRPr="002B2CFF">
        <w:rPr>
          <w:rFonts w:ascii="Palatino Linotype" w:eastAsia="Palatino Linotype" w:hAnsi="Palatino Linotype" w:cs="Palatino Linotype"/>
          <w:b/>
          <w:bCs/>
          <w:i/>
          <w:iCs/>
        </w:rPr>
        <w:t>, el servidor público que con sus actos u omisiones, incumpla o transgreda las obligaciones siguientes:</w:t>
      </w:r>
    </w:p>
    <w:p w14:paraId="227FA435" w14:textId="77777777" w:rsidR="008B422C" w:rsidRPr="002B2CFF" w:rsidRDefault="008B422C" w:rsidP="008B422C">
      <w:pPr>
        <w:pBdr>
          <w:top w:val="nil"/>
          <w:left w:val="nil"/>
          <w:bottom w:val="nil"/>
          <w:right w:val="nil"/>
          <w:between w:val="nil"/>
        </w:pBdr>
        <w:spacing w:before="120" w:after="120"/>
        <w:ind w:left="851" w:right="900"/>
        <w:jc w:val="both"/>
        <w:rPr>
          <w:rFonts w:ascii="Palatino Linotype" w:eastAsia="Palatino Linotype" w:hAnsi="Palatino Linotype" w:cs="Palatino Linotype"/>
          <w:i/>
          <w:iCs/>
        </w:rPr>
      </w:pPr>
      <w:r w:rsidRPr="002B2CFF">
        <w:rPr>
          <w:rFonts w:ascii="Palatino Linotype" w:eastAsia="Palatino Linotype" w:hAnsi="Palatino Linotype" w:cs="Palatino Linotype"/>
          <w:b/>
          <w:bCs/>
          <w:i/>
          <w:iCs/>
        </w:rPr>
        <w:t>IV</w:t>
      </w:r>
      <w:r w:rsidRPr="002B2CFF">
        <w:rPr>
          <w:rFonts w:ascii="Palatino Linotype" w:eastAsia="Palatino Linotype" w:hAnsi="Palatino Linotype" w:cs="Palatino Linotype"/>
          <w:i/>
          <w:iCs/>
        </w:rPr>
        <w:t xml:space="preserve">. </w:t>
      </w:r>
      <w:r w:rsidRPr="002B2CFF">
        <w:rPr>
          <w:rFonts w:ascii="Palatino Linotype" w:eastAsia="Palatino Linotype" w:hAnsi="Palatino Linotype" w:cs="Palatino Linotype"/>
          <w:b/>
          <w:bCs/>
          <w:i/>
          <w:iCs/>
          <w:u w:val="single"/>
        </w:rPr>
        <w:t>Presentar en tiempo y forma la declaración de situación patrimonial y la de intereses</w:t>
      </w:r>
      <w:r w:rsidRPr="002B2CFF">
        <w:rPr>
          <w:rFonts w:ascii="Palatino Linotype" w:eastAsia="Palatino Linotype" w:hAnsi="Palatino Linotype" w:cs="Palatino Linotype"/>
          <w:i/>
          <w:iCs/>
        </w:rPr>
        <w:t xml:space="preserve"> que, en su caso, considere se actualice, en los términos establecidos por esta Ley.”</w:t>
      </w:r>
    </w:p>
    <w:p w14:paraId="15CB502F" w14:textId="77777777" w:rsidR="008B422C" w:rsidRPr="002B2CFF" w:rsidRDefault="008B422C" w:rsidP="008B422C">
      <w:pPr>
        <w:pBdr>
          <w:top w:val="nil"/>
          <w:left w:val="nil"/>
          <w:bottom w:val="nil"/>
          <w:right w:val="nil"/>
          <w:between w:val="nil"/>
        </w:pBdr>
        <w:spacing w:before="120" w:after="120"/>
        <w:ind w:left="851" w:right="900"/>
        <w:jc w:val="both"/>
        <w:rPr>
          <w:rFonts w:ascii="Palatino Linotype" w:eastAsia="Palatino Linotype" w:hAnsi="Palatino Linotype" w:cs="Palatino Linotype"/>
          <w:b/>
          <w:bCs/>
          <w:i/>
          <w:iCs/>
        </w:rPr>
      </w:pPr>
    </w:p>
    <w:p w14:paraId="33CFE721"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rPr>
      </w:pPr>
      <w:r w:rsidRPr="002B2CFF">
        <w:rPr>
          <w:rFonts w:ascii="Palatino Linotype" w:eastAsia="Palatino Linotype" w:hAnsi="Palatino Linotype" w:cs="Palatino Linotype"/>
        </w:rPr>
        <w:t xml:space="preserve">En referencia a lo anterior, de la naturaleza específica de lo solicitado, que consiste en el listado de las 39 personas servidoras públicas del ayuntamiento de Tepotzotlán que omitieron presentar su declaración de situación patrimonial y la de intereses, se advierte que consiste en información confidencial, en términos del artículo 143, fracción I de la Ley de Transparencia y Acceso a la Información Pública del Estado de México y Municipios, al tratarse de una falta no grave, en el entendido de que </w:t>
      </w:r>
      <w:r w:rsidRPr="002B2CFF">
        <w:rPr>
          <w:rFonts w:ascii="Palatino Linotype" w:eastAsia="Palatino Linotype" w:hAnsi="Palatino Linotype" w:cs="Palatino Linotype"/>
          <w:bCs/>
        </w:rPr>
        <w:t>sólo pueden ser dadas a conocer las sanciones por faltas administrativas graves condenatorias</w:t>
      </w:r>
      <w:r w:rsidRPr="002B2CFF">
        <w:rPr>
          <w:rFonts w:ascii="Palatino Linotype" w:eastAsia="Palatino Linotype" w:hAnsi="Palatino Linotype" w:cs="Palatino Linotype"/>
        </w:rPr>
        <w:t xml:space="preserve">, de conformidad con la Ley del Sistema Anticorrupción del Estado de México y Municipios que establece que </w:t>
      </w:r>
      <w:r w:rsidRPr="002B2CFF">
        <w:rPr>
          <w:rFonts w:ascii="Palatino Linotype" w:eastAsia="Palatino Linotype" w:hAnsi="Palatino Linotype" w:cs="Palatino Linotype"/>
          <w:bCs/>
        </w:rPr>
        <w:t>las sanciones no graves no serán públicas</w:t>
      </w:r>
      <w:r w:rsidRPr="002B2CFF">
        <w:rPr>
          <w:rFonts w:ascii="Palatino Linotype" w:eastAsia="Palatino Linotype" w:hAnsi="Palatino Linotype" w:cs="Palatino Linotype"/>
        </w:rPr>
        <w:t>.</w:t>
      </w:r>
    </w:p>
    <w:bookmarkEnd w:id="8"/>
    <w:p w14:paraId="15E67EB9" w14:textId="77777777" w:rsidR="008B422C" w:rsidRPr="002B2CFF" w:rsidRDefault="008B422C" w:rsidP="008B422C">
      <w:pPr>
        <w:numPr>
          <w:ilvl w:val="0"/>
          <w:numId w:val="1"/>
        </w:numPr>
        <w:spacing w:line="360" w:lineRule="auto"/>
        <w:ind w:left="0" w:right="1" w:firstLine="0"/>
        <w:jc w:val="both"/>
        <w:rPr>
          <w:rFonts w:ascii="Palatino Linotype" w:hAnsi="Palatino Linotype"/>
        </w:rPr>
      </w:pPr>
      <w:r w:rsidRPr="002B2CFF">
        <w:rPr>
          <w:rFonts w:ascii="Palatino Linotype" w:hAnsi="Palatino Linotype"/>
        </w:rPr>
        <w:lastRenderedPageBreak/>
        <w:t xml:space="preserve">Con la </w:t>
      </w:r>
      <w:r w:rsidRPr="002B2CFF">
        <w:rPr>
          <w:rFonts w:ascii="Palatino Linotype" w:eastAsia="Palatino Linotype" w:hAnsi="Palatino Linotype" w:cs="Palatino Linotype"/>
        </w:rPr>
        <w:t>determinación</w:t>
      </w:r>
      <w:r w:rsidRPr="002B2CFF">
        <w:rPr>
          <w:rFonts w:ascii="Palatino Linotype" w:hAnsi="Palatino Linotype"/>
        </w:rPr>
        <w:t xml:space="preserve"> anterior, se tendrá por colmado el derecho de acceso a la información del ahora </w:t>
      </w:r>
      <w:r w:rsidRPr="002B2CFF">
        <w:rPr>
          <w:rFonts w:ascii="Palatino Linotype" w:hAnsi="Palatino Linotype"/>
          <w:b/>
        </w:rPr>
        <w:t>RECURRENTE</w:t>
      </w:r>
      <w:r w:rsidRPr="002B2CFF">
        <w:rPr>
          <w:rFonts w:ascii="Palatino Linotype" w:hAnsi="Palatino Linotype"/>
        </w:rPr>
        <w:t xml:space="preserve">; toda vez </w:t>
      </w:r>
      <w:r w:rsidRPr="002B2CFF">
        <w:rPr>
          <w:rFonts w:ascii="Palatino Linotype" w:hAnsi="Palatino Linotype" w:cs="Arial"/>
          <w:color w:val="000000"/>
        </w:rPr>
        <w:t xml:space="preserve">que </w:t>
      </w:r>
      <w:r w:rsidRPr="002B2CFF">
        <w:rPr>
          <w:rFonts w:ascii="Palatino Linotype" w:hAnsi="Palatino Linotype"/>
          <w:color w:val="000000"/>
        </w:rPr>
        <w:t xml:space="preserve">el Derecho que tutela este Órgano </w:t>
      </w:r>
      <w:r w:rsidRPr="002B2CFF">
        <w:rPr>
          <w:rFonts w:ascii="Palatino Linotype" w:hAnsi="Palatino Linotype" w:cs="Arial"/>
          <w:color w:val="000000" w:themeColor="text1"/>
        </w:rPr>
        <w:t>Garante</w:t>
      </w:r>
      <w:r w:rsidRPr="002B2CFF">
        <w:rPr>
          <w:rFonts w:ascii="Palatino Linotype" w:hAnsi="Palatino Linotype"/>
          <w:color w:val="000000"/>
        </w:rPr>
        <w:t xml:space="preserve"> </w:t>
      </w:r>
      <w:r w:rsidRPr="002B2CFF">
        <w:rPr>
          <w:rFonts w:ascii="Palatino Linotype" w:hAnsi="Palatino Linotype" w:cs="Arial"/>
          <w:color w:val="000000" w:themeColor="text1"/>
        </w:rPr>
        <w:t>corresponde</w:t>
      </w:r>
      <w:r w:rsidRPr="002B2CFF">
        <w:rPr>
          <w:rFonts w:ascii="Palatino Linotype" w:hAnsi="Palatino Linotype"/>
          <w:color w:val="000000"/>
        </w:rPr>
        <w:t xml:space="preserve"> a la </w:t>
      </w:r>
      <w:r w:rsidRPr="002B2CFF">
        <w:rPr>
          <w:rFonts w:ascii="Palatino Linotype" w:hAnsi="Palatino Linotype" w:cs="Arial"/>
          <w:color w:val="000000" w:themeColor="text1"/>
        </w:rPr>
        <w:t xml:space="preserve"> </w:t>
      </w:r>
      <w:r w:rsidRPr="002B2CFF">
        <w:rPr>
          <w:rFonts w:ascii="Palatino Linotype" w:eastAsia="MS Mincho" w:hAnsi="Palatino Linotype"/>
          <w:i/>
        </w:rPr>
        <w:t>igualdad de oportunidades para recibir, buscar e impartir información</w:t>
      </w:r>
      <w:r w:rsidRPr="002B2CFF">
        <w:rPr>
          <w:rStyle w:val="Refdenotaalpie"/>
          <w:rFonts w:ascii="Palatino Linotype" w:eastAsia="MS Mincho" w:hAnsi="Palatino Linotype"/>
          <w:i/>
        </w:rPr>
        <w:footnoteReference w:id="5"/>
      </w:r>
      <w:r w:rsidRPr="002B2CFF">
        <w:rPr>
          <w:rFonts w:ascii="Palatino Linotype" w:eastAsia="MS Mincho" w:hAnsi="Palatino Linotype"/>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2B2CFF">
        <w:rPr>
          <w:rStyle w:val="Refdenotaalpie"/>
          <w:rFonts w:ascii="Palatino Linotype" w:eastAsia="MS Mincho" w:hAnsi="Palatino Linotype"/>
        </w:rPr>
        <w:footnoteReference w:id="6"/>
      </w:r>
      <w:r w:rsidRPr="002B2CFF">
        <w:rPr>
          <w:rFonts w:ascii="Palatino Linotype" w:eastAsia="MS Mincho" w:hAnsi="Palatino Linotype"/>
          <w:i/>
        </w:rPr>
        <w:t xml:space="preserve"> </w:t>
      </w:r>
      <w:r w:rsidRPr="002B2CFF">
        <w:rPr>
          <w:rFonts w:ascii="Palatino Linotype" w:eastAsia="MS Mincho" w:hAnsi="Palatino Linotype"/>
        </w:rPr>
        <w:t xml:space="preserve">que se constituye como una herramienta fundamental para </w:t>
      </w:r>
      <w:r w:rsidRPr="002B2CFF">
        <w:rPr>
          <w:rFonts w:ascii="Palatino Linotype" w:eastAsia="MS Mincho" w:hAnsi="Palatino Linotype"/>
          <w:i/>
        </w:rPr>
        <w:t>ejercer control democrático de las gestiones estatales, de forma tal que puedan cuestionar, indagar y considerar si se está dando un adecuado cumplimiento de las funciones públicas,</w:t>
      </w:r>
      <w:r w:rsidRPr="002B2CFF">
        <w:rPr>
          <w:rStyle w:val="Refdenotaalpie"/>
          <w:rFonts w:ascii="Palatino Linotype" w:eastAsia="MS Mincho" w:hAnsi="Palatino Linotype"/>
          <w:i/>
        </w:rPr>
        <w:footnoteReference w:id="7"/>
      </w:r>
      <w:r w:rsidRPr="002B2CFF">
        <w:rPr>
          <w:rFonts w:ascii="Palatino Linotype" w:eastAsia="MS Mincho" w:hAnsi="Palatino Linotype"/>
        </w:rPr>
        <w:t>fomentando</w:t>
      </w:r>
      <w:r w:rsidRPr="002B2CFF">
        <w:rPr>
          <w:rFonts w:ascii="Palatino Linotype" w:eastAsia="MS Mincho" w:hAnsi="Palatino Linotype"/>
          <w:i/>
        </w:rPr>
        <w:t xml:space="preserve"> la transparencia de las actividades estatales y</w:t>
      </w:r>
      <w:r w:rsidRPr="002B2CFF">
        <w:rPr>
          <w:rFonts w:ascii="Palatino Linotype" w:eastAsia="MS Mincho" w:hAnsi="Palatino Linotype"/>
        </w:rPr>
        <w:t xml:space="preserve"> promoviendo</w:t>
      </w:r>
      <w:r w:rsidRPr="002B2CFF">
        <w:rPr>
          <w:rFonts w:ascii="Palatino Linotype" w:eastAsia="MS Mincho" w:hAnsi="Palatino Linotype"/>
          <w:i/>
        </w:rPr>
        <w:t xml:space="preserve"> la responsabilidad de los funcionarios sobre su gestión pública</w:t>
      </w:r>
      <w:r w:rsidRPr="002B2CFF">
        <w:rPr>
          <w:rStyle w:val="Refdenotaalpie"/>
          <w:rFonts w:ascii="Palatino Linotype" w:eastAsia="MS Mincho" w:hAnsi="Palatino Linotype"/>
          <w:i/>
        </w:rPr>
        <w:footnoteReference w:id="8"/>
      </w:r>
      <w:r w:rsidRPr="002B2CFF">
        <w:rPr>
          <w:rFonts w:ascii="Palatino Linotype" w:eastAsia="MS Mincho" w:hAnsi="Palatino Linotype"/>
          <w:i/>
        </w:rPr>
        <w:t xml:space="preserve"> </w:t>
      </w:r>
      <w:r w:rsidRPr="002B2CFF">
        <w:rPr>
          <w:rFonts w:ascii="Palatino Linotype" w:eastAsia="MS Mincho" w:hAnsi="Palatino Linotype"/>
        </w:rPr>
        <w:t>que permite</w:t>
      </w:r>
      <w:r w:rsidRPr="002B2CFF">
        <w:rPr>
          <w:rFonts w:ascii="Palatino Linotype" w:eastAsia="MS Mincho" w:hAnsi="Palatino Linotype"/>
          <w:i/>
        </w:rPr>
        <w:t xml:space="preserve"> saber qué están haciendo los gobiernos por sus pueblos, sin lo cual la verdad languidecería y la participación en el gobierno permanecería fragmentada.</w:t>
      </w:r>
      <w:r w:rsidRPr="002B2CFF">
        <w:rPr>
          <w:rStyle w:val="Refdenotaalpie"/>
          <w:rFonts w:ascii="Palatino Linotype" w:eastAsia="MS Mincho" w:hAnsi="Palatino Linotype"/>
          <w:i/>
        </w:rPr>
        <w:footnoteReference w:id="9"/>
      </w:r>
      <w:r w:rsidRPr="002B2CFF">
        <w:rPr>
          <w:rFonts w:ascii="Palatino Linotype" w:eastAsia="MS Mincho" w:hAnsi="Palatino Linotype"/>
        </w:rPr>
        <w:t xml:space="preserve"> ” </w:t>
      </w:r>
    </w:p>
    <w:p w14:paraId="46982EDD" w14:textId="77777777" w:rsidR="008B422C" w:rsidRPr="002B2CFF" w:rsidRDefault="008B422C" w:rsidP="008B422C">
      <w:pPr>
        <w:pBdr>
          <w:top w:val="nil"/>
          <w:left w:val="nil"/>
          <w:bottom w:val="nil"/>
          <w:right w:val="nil"/>
          <w:between w:val="nil"/>
        </w:pBdr>
        <w:spacing w:line="360" w:lineRule="auto"/>
        <w:ind w:right="49"/>
        <w:jc w:val="both"/>
        <w:rPr>
          <w:rFonts w:ascii="Palatino Linotype" w:hAnsi="Palatino Linotype"/>
        </w:rPr>
      </w:pPr>
    </w:p>
    <w:p w14:paraId="574A9BD7" w14:textId="77777777" w:rsidR="008B422C" w:rsidRPr="002B2CFF" w:rsidRDefault="008B422C" w:rsidP="008B422C">
      <w:pPr>
        <w:numPr>
          <w:ilvl w:val="0"/>
          <w:numId w:val="1"/>
        </w:numPr>
        <w:spacing w:line="360" w:lineRule="auto"/>
        <w:ind w:left="0" w:right="1" w:firstLine="0"/>
        <w:jc w:val="both"/>
        <w:rPr>
          <w:rFonts w:ascii="Palatino Linotype" w:hAnsi="Palatino Linotype"/>
          <w:lang w:val="es-ES"/>
        </w:rPr>
      </w:pPr>
      <w:r w:rsidRPr="002B2CFF">
        <w:rPr>
          <w:rFonts w:ascii="Palatino Linotype" w:hAnsi="Palatino Linotype"/>
          <w:lang w:val="es-ES"/>
        </w:rPr>
        <w:t xml:space="preserve">Es así </w:t>
      </w:r>
      <w:r w:rsidRPr="002B2CFF">
        <w:rPr>
          <w:rFonts w:ascii="Palatino Linotype" w:hAnsi="Palatino Linotype"/>
        </w:rPr>
        <w:t>que</w:t>
      </w:r>
      <w:r w:rsidRPr="002B2CFF">
        <w:rPr>
          <w:rFonts w:ascii="Palatino Linotype" w:hAnsi="Palatino Linotype"/>
          <w:lang w:val="es-ES"/>
        </w:rPr>
        <w:t xml:space="preserve">, todos los actos de autoridad que realicen los Sujetos Obligados </w:t>
      </w:r>
      <w:r w:rsidRPr="002B2CFF">
        <w:rPr>
          <w:rFonts w:ascii="Palatino Linotype" w:hAnsi="Palatino Linotype"/>
          <w:b/>
          <w:lang w:val="es-ES"/>
        </w:rPr>
        <w:t>deben estar documentados</w:t>
      </w:r>
      <w:r w:rsidRPr="002B2CFF">
        <w:rPr>
          <w:rFonts w:ascii="Palatino Linotype" w:hAnsi="Palatino Linotype"/>
          <w:lang w:val="es-ES"/>
        </w:rPr>
        <w:t xml:space="preserve"> y, bajo el más alto estándar de transparencia deberán poner toda la </w:t>
      </w:r>
      <w:r w:rsidRPr="002B2CFF">
        <w:rPr>
          <w:rFonts w:ascii="Palatino Linotype" w:eastAsia="Palatino Linotype" w:hAnsi="Palatino Linotype" w:cs="Palatino Linotype"/>
        </w:rPr>
        <w:t>información</w:t>
      </w:r>
      <w:r w:rsidRPr="002B2CFF">
        <w:rPr>
          <w:rFonts w:ascii="Palatino Linotype" w:hAnsi="Palatino Linotype"/>
          <w:lang w:val="es-ES"/>
        </w:rPr>
        <w:t xml:space="preserve"> que se encuentre en su posesión, a disposición de los particulares que la soliciten.</w:t>
      </w:r>
    </w:p>
    <w:p w14:paraId="644972DA" w14:textId="77777777" w:rsidR="008B422C" w:rsidRPr="002B2CFF" w:rsidRDefault="008B422C" w:rsidP="008B422C">
      <w:pPr>
        <w:pStyle w:val="Prrafodelista"/>
        <w:spacing w:line="360" w:lineRule="auto"/>
        <w:ind w:left="0"/>
        <w:jc w:val="both"/>
        <w:rPr>
          <w:rFonts w:ascii="Palatino Linotype" w:hAnsi="Palatino Linotype"/>
          <w:sz w:val="24"/>
          <w:lang w:val="es-ES"/>
        </w:rPr>
      </w:pPr>
    </w:p>
    <w:p w14:paraId="70C7F6AD" w14:textId="77777777" w:rsidR="008B422C" w:rsidRPr="002B2CFF" w:rsidRDefault="008B422C" w:rsidP="008B422C">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hAnsi="Palatino Linotype" w:cs="Arial"/>
          <w:color w:val="000000"/>
        </w:rPr>
        <w:t xml:space="preserve">Además, </w:t>
      </w:r>
      <w:r w:rsidRPr="002B2CFF">
        <w:rPr>
          <w:rFonts w:ascii="Palatino Linotype" w:hAnsi="Palatino Linotype"/>
          <w:lang w:val="es-ES"/>
        </w:rPr>
        <w:t>debemos</w:t>
      </w:r>
      <w:r w:rsidRPr="002B2CFF">
        <w:rPr>
          <w:rFonts w:ascii="Palatino Linotype" w:hAnsi="Palatino Linotype" w:cs="Arial"/>
          <w:color w:val="000000"/>
        </w:rPr>
        <w:t xml:space="preserve"> tomar en cuenta los artículos 4 y 12 (antes transcritos), de la Ley de Transparencia y Acceso a la Información Pública del Estado de México y </w:t>
      </w:r>
      <w:r w:rsidRPr="002B2CFF">
        <w:rPr>
          <w:rFonts w:ascii="Palatino Linotype" w:hAnsi="Palatino Linotype"/>
          <w:lang w:val="es-ES"/>
        </w:rPr>
        <w:t>Municipios</w:t>
      </w:r>
      <w:r w:rsidRPr="002B2CFF">
        <w:rPr>
          <w:rFonts w:ascii="Palatino Linotype" w:hAnsi="Palatino Linotype" w:cs="Arial"/>
          <w:color w:val="000000"/>
        </w:rPr>
        <w:t xml:space="preserve">. </w:t>
      </w:r>
      <w:r w:rsidRPr="002B2CFF">
        <w:rPr>
          <w:rFonts w:ascii="Palatino Linotype" w:hAnsi="Palatino Linotype"/>
          <w:lang w:val="es-ES"/>
        </w:rPr>
        <w:t xml:space="preserve">Es así </w:t>
      </w:r>
      <w:r w:rsidRPr="002B2CFF">
        <w:rPr>
          <w:rFonts w:ascii="Palatino Linotype" w:hAnsi="Palatino Linotype"/>
          <w:lang w:val="es-ES"/>
        </w:rPr>
        <w:lastRenderedPageBreak/>
        <w:t xml:space="preserve">que, por un lado se tiene la obligación de documentar todos los actos que se lleven a cabo en el ejercicio de sus funciones, atribuciones y competencias, mientras que por otro, se ven impuestos por la obligación de hacer pública toda aquella </w:t>
      </w:r>
      <w:r w:rsidRPr="002B2CFF">
        <w:rPr>
          <w:rFonts w:ascii="Palatino Linotype" w:hAnsi="Palatino Linotype" w:cs="Arial"/>
          <w:color w:val="000000"/>
        </w:rPr>
        <w:t>información</w:t>
      </w:r>
      <w:r w:rsidRPr="002B2CFF">
        <w:rPr>
          <w:rFonts w:ascii="Palatino Linotype" w:hAnsi="Palatino Linotype"/>
          <w:lang w:val="es-ES"/>
        </w:rPr>
        <w:t xml:space="preserve"> que se encuentre en su posesión en estricto apego a los principios de eficacia</w:t>
      </w:r>
      <w:r w:rsidRPr="002B2CFF">
        <w:rPr>
          <w:rStyle w:val="Refdenotaalpie"/>
          <w:rFonts w:ascii="Palatino Linotype" w:hAnsi="Palatino Linotype"/>
          <w:lang w:val="es-ES"/>
        </w:rPr>
        <w:footnoteReference w:id="10"/>
      </w:r>
      <w:r w:rsidRPr="002B2CFF">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424F30C0" w14:textId="77777777" w:rsidR="008B422C" w:rsidRPr="002B2CFF" w:rsidRDefault="008B422C" w:rsidP="008B422C">
      <w:pPr>
        <w:spacing w:line="360" w:lineRule="auto"/>
        <w:ind w:right="1"/>
        <w:jc w:val="both"/>
        <w:rPr>
          <w:rFonts w:ascii="Palatino Linotype" w:eastAsia="Palatino Linotype" w:hAnsi="Palatino Linotype" w:cs="Palatino Linotype"/>
          <w:b/>
          <w:bCs/>
        </w:rPr>
      </w:pPr>
    </w:p>
    <w:p w14:paraId="730E10C9" w14:textId="77777777" w:rsidR="00994F7C" w:rsidRPr="002B2CFF" w:rsidRDefault="008B422C" w:rsidP="007A01D5">
      <w:pPr>
        <w:numPr>
          <w:ilvl w:val="0"/>
          <w:numId w:val="1"/>
        </w:numPr>
        <w:spacing w:line="360" w:lineRule="auto"/>
        <w:ind w:left="0" w:right="1" w:firstLine="0"/>
        <w:jc w:val="both"/>
        <w:rPr>
          <w:rFonts w:ascii="Palatino Linotype" w:eastAsia="Palatino Linotype" w:hAnsi="Palatino Linotype" w:cs="Palatino Linotype"/>
          <w:b/>
          <w:bCs/>
        </w:rPr>
      </w:pPr>
      <w:r w:rsidRPr="002B2CFF">
        <w:rPr>
          <w:rFonts w:ascii="Palatino Linotype" w:eastAsia="Palatino Linotype" w:hAnsi="Palatino Linotype" w:cs="Palatino Linotype"/>
          <w:bCs/>
        </w:rPr>
        <w:t>Finalmente</w:t>
      </w:r>
      <w:r w:rsidR="005423D9" w:rsidRPr="002B2CFF">
        <w:rPr>
          <w:rFonts w:ascii="Palatino Linotype" w:eastAsia="Palatino Linotype" w:hAnsi="Palatino Linotype" w:cs="Palatino Linotype"/>
          <w:bCs/>
        </w:rPr>
        <w:t xml:space="preserve">, </w:t>
      </w:r>
      <w:r w:rsidR="00994F7C" w:rsidRPr="002B2CFF">
        <w:rPr>
          <w:rFonts w:ascii="Palatino Linotype" w:eastAsia="Palatino Linotype" w:hAnsi="Palatino Linotype" w:cs="Palatino Linotype"/>
          <w:bCs/>
        </w:rPr>
        <w:t xml:space="preserve"> en cuanto al punto de la solicitud de información consistente en </w:t>
      </w:r>
      <w:r w:rsidR="00A57947" w:rsidRPr="002B2CFF">
        <w:rPr>
          <w:rFonts w:ascii="Palatino Linotype" w:eastAsia="Palatino Linotype" w:hAnsi="Palatino Linotype" w:cs="Palatino Linotype"/>
          <w:b/>
          <w:bCs/>
        </w:rPr>
        <w:t>“</w:t>
      </w:r>
      <w:r w:rsidR="00A57947" w:rsidRPr="002B2CFF">
        <w:rPr>
          <w:rFonts w:ascii="Palatino Linotype" w:hAnsi="Palatino Linotype"/>
          <w:b/>
          <w:color w:val="000000"/>
        </w:rPr>
        <w:t xml:space="preserve">Área interna responsable de haber determinado esa omisión”, </w:t>
      </w:r>
      <w:r w:rsidR="00A57947" w:rsidRPr="002B2CFF">
        <w:rPr>
          <w:rFonts w:ascii="Palatino Linotype" w:hAnsi="Palatino Linotype"/>
          <w:color w:val="000000"/>
        </w:rPr>
        <w:t xml:space="preserve">se tiene que no se puede tener por colmado el derecho de acceso a la información del </w:t>
      </w:r>
      <w:r w:rsidR="00A57947" w:rsidRPr="002B2CFF">
        <w:rPr>
          <w:rFonts w:ascii="Palatino Linotype" w:hAnsi="Palatino Linotype"/>
          <w:b/>
          <w:color w:val="000000"/>
        </w:rPr>
        <w:t xml:space="preserve">RECURRENTE </w:t>
      </w:r>
      <w:r w:rsidR="00A57947" w:rsidRPr="002B2CFF">
        <w:rPr>
          <w:rFonts w:ascii="Palatino Linotype" w:hAnsi="Palatino Linotype"/>
          <w:color w:val="000000"/>
        </w:rPr>
        <w:t xml:space="preserve">toda vez que lo solicitado corresponde a determinar </w:t>
      </w:r>
      <w:r w:rsidR="00247F2E" w:rsidRPr="002B2CFF">
        <w:rPr>
          <w:rFonts w:ascii="Palatino Linotype" w:hAnsi="Palatino Linotype"/>
          <w:color w:val="000000"/>
        </w:rPr>
        <w:t>qué</w:t>
      </w:r>
      <w:r w:rsidR="00A57947" w:rsidRPr="002B2CFF">
        <w:rPr>
          <w:rFonts w:ascii="Palatino Linotype" w:hAnsi="Palatino Linotype"/>
          <w:color w:val="000000"/>
        </w:rPr>
        <w:t xml:space="preserve"> área de la Secretaría de la Contraloría determina la omisión de las presentación de </w:t>
      </w:r>
      <w:r w:rsidR="00A57947" w:rsidRPr="002B2CFF">
        <w:rPr>
          <w:rFonts w:ascii="Palatino Linotype" w:eastAsia="Palatino Linotype" w:hAnsi="Palatino Linotype" w:cs="Palatino Linotype"/>
          <w:bCs/>
        </w:rPr>
        <w:t>las</w:t>
      </w:r>
      <w:r w:rsidR="00A57947" w:rsidRPr="002B2CFF">
        <w:rPr>
          <w:rFonts w:ascii="Palatino Linotype" w:hAnsi="Palatino Linotype"/>
          <w:color w:val="000000"/>
        </w:rPr>
        <w:t xml:space="preserve"> declaraciones de situaciones patrimoniales y de intereses ya sea inicial, por conclusión o modificación, siento esta la Dirección de Registro de Declaraciones y Sanciones y no así el Órgano Interno de Control del Ayuntamiento de Tepotzotlán, como fue información por el </w:t>
      </w:r>
      <w:r w:rsidR="00A57947" w:rsidRPr="002B2CFF">
        <w:rPr>
          <w:rFonts w:ascii="Palatino Linotype" w:hAnsi="Palatino Linotype"/>
          <w:b/>
          <w:color w:val="000000"/>
        </w:rPr>
        <w:t xml:space="preserve">SUJETO OBLIGADO, </w:t>
      </w:r>
      <w:r w:rsidR="00A57947" w:rsidRPr="002B2CFF">
        <w:rPr>
          <w:rFonts w:ascii="Palatino Linotype" w:hAnsi="Palatino Linotype"/>
          <w:color w:val="000000"/>
        </w:rPr>
        <w:t>situación por la cual se tendrá que informar el nombre del área que por sus funciones determina la omisión  de la presentación de las declaraciones de situaciones patrimoniales y de intereses</w:t>
      </w:r>
      <w:r w:rsidR="005423D9" w:rsidRPr="002B2CFF">
        <w:rPr>
          <w:rFonts w:ascii="Palatino Linotype" w:hAnsi="Palatino Linotype"/>
          <w:color w:val="000000"/>
        </w:rPr>
        <w:t>.</w:t>
      </w:r>
    </w:p>
    <w:p w14:paraId="7DA6E374" w14:textId="77777777" w:rsidR="006158B5" w:rsidRPr="002B2CFF" w:rsidRDefault="006158B5" w:rsidP="006158B5">
      <w:pPr>
        <w:rPr>
          <w:rFonts w:ascii="Palatino Linotype" w:eastAsia="Palatino Linotype" w:hAnsi="Palatino Linotype" w:cs="Palatino Linotype"/>
          <w:color w:val="000000"/>
        </w:rPr>
      </w:pPr>
    </w:p>
    <w:p w14:paraId="0670E3D6" w14:textId="77777777" w:rsidR="006158B5" w:rsidRPr="002B2CFF" w:rsidRDefault="006158B5" w:rsidP="006158B5">
      <w:pPr>
        <w:spacing w:line="360" w:lineRule="auto"/>
        <w:ind w:right="-787"/>
        <w:jc w:val="both"/>
        <w:rPr>
          <w:rFonts w:ascii="Palatino Linotype" w:eastAsia="Palatino Linotype" w:hAnsi="Palatino Linotype" w:cs="Palatino Linotype"/>
          <w:color w:val="000000"/>
        </w:rPr>
      </w:pPr>
    </w:p>
    <w:p w14:paraId="33E1449C" w14:textId="77777777" w:rsidR="006158B5" w:rsidRPr="002B2CFF" w:rsidRDefault="006158B5" w:rsidP="006158B5">
      <w:pPr>
        <w:numPr>
          <w:ilvl w:val="0"/>
          <w:numId w:val="1"/>
        </w:numPr>
        <w:spacing w:line="360" w:lineRule="auto"/>
        <w:ind w:left="0" w:right="1" w:firstLine="0"/>
        <w:jc w:val="both"/>
        <w:rPr>
          <w:rFonts w:ascii="Palatino Linotype" w:eastAsia="Palatino Linotype" w:hAnsi="Palatino Linotype" w:cs="Palatino Linotype"/>
          <w:color w:val="000000"/>
        </w:rPr>
      </w:pPr>
      <w:r w:rsidRPr="002B2CFF">
        <w:rPr>
          <w:rFonts w:ascii="Palatino Linotype" w:eastAsia="Palatino Linotype" w:hAnsi="Palatino Linotype" w:cs="Palatino Linotype"/>
        </w:rPr>
        <w:t>Por lo anteriormente expuesto, este Órgano Garante considera fundadas las razones o motivos de inconformidad que plantea el</w:t>
      </w:r>
      <w:r w:rsidRPr="002B2CFF">
        <w:rPr>
          <w:rFonts w:ascii="Palatino Linotype" w:eastAsia="Palatino Linotype" w:hAnsi="Palatino Linotype" w:cs="Palatino Linotype"/>
          <w:b/>
          <w:bCs/>
        </w:rPr>
        <w:t xml:space="preserve"> RECURRENTE</w:t>
      </w:r>
      <w:r w:rsidRPr="002B2CFF">
        <w:rPr>
          <w:rFonts w:ascii="Palatino Linotype" w:eastAsia="Palatino Linotype" w:hAnsi="Palatino Linotype" w:cs="Palatino Linotype"/>
        </w:rPr>
        <w:t xml:space="preserve">, determinando </w:t>
      </w:r>
      <w:r w:rsidRPr="002B2CFF">
        <w:rPr>
          <w:rFonts w:ascii="Palatino Linotype" w:eastAsia="Palatino Linotype" w:hAnsi="Palatino Linotype" w:cs="Palatino Linotype"/>
          <w:b/>
          <w:bCs/>
          <w:smallCaps/>
        </w:rPr>
        <w:t xml:space="preserve">REVOCAR </w:t>
      </w:r>
      <w:r w:rsidRPr="002B2CFF">
        <w:rPr>
          <w:rFonts w:ascii="Palatino Linotype" w:eastAsia="Palatino Linotype" w:hAnsi="Palatino Linotype" w:cs="Palatino Linotype"/>
        </w:rPr>
        <w:t xml:space="preserve">la respuesta del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por lo que con fundamento en lo prescrito en los artículos </w:t>
      </w:r>
      <w:r w:rsidRPr="002B2CFF">
        <w:rPr>
          <w:rFonts w:ascii="Palatino Linotype" w:eastAsia="Palatino Linotype" w:hAnsi="Palatino Linotype" w:cs="Palatino Linotype"/>
        </w:rPr>
        <w:lastRenderedPageBreak/>
        <w:t xml:space="preserve">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2B2CFF">
        <w:rPr>
          <w:rFonts w:ascii="Palatino Linotype" w:eastAsia="Palatino Linotype" w:hAnsi="Palatino Linotype" w:cs="Palatino Linotype"/>
          <w:color w:val="000000"/>
        </w:rPr>
        <w:t xml:space="preserve">este </w:t>
      </w:r>
      <w:r w:rsidRPr="002B2CFF">
        <w:rPr>
          <w:rFonts w:ascii="Palatino Linotype" w:eastAsia="Palatino Linotype" w:hAnsi="Palatino Linotype" w:cs="Palatino Linotype"/>
          <w:b/>
          <w:bCs/>
          <w:color w:val="000000"/>
        </w:rPr>
        <w:t>ÓRGANO GARANTE</w:t>
      </w:r>
      <w:r w:rsidRPr="002B2CFF">
        <w:rPr>
          <w:rFonts w:ascii="Palatino Linotype" w:eastAsia="Palatino Linotype" w:hAnsi="Palatino Linotype" w:cs="Palatino Linotype"/>
          <w:color w:val="000000"/>
        </w:rPr>
        <w:t xml:space="preserve"> emite los siguientes.</w:t>
      </w:r>
    </w:p>
    <w:p w14:paraId="6411F387" w14:textId="77777777" w:rsidR="006158B5" w:rsidRPr="002B2CFF" w:rsidRDefault="006158B5" w:rsidP="006158B5">
      <w:pPr>
        <w:pBdr>
          <w:top w:val="nil"/>
          <w:left w:val="nil"/>
          <w:bottom w:val="nil"/>
          <w:right w:val="nil"/>
          <w:between w:val="nil"/>
        </w:pBdr>
        <w:ind w:left="720" w:right="-787"/>
        <w:rPr>
          <w:rFonts w:ascii="Palatino Linotype" w:eastAsia="Palatino Linotype" w:hAnsi="Palatino Linotype" w:cs="Palatino Linotype"/>
          <w:color w:val="000000"/>
        </w:rPr>
      </w:pPr>
    </w:p>
    <w:p w14:paraId="1FB88099" w14:textId="77777777" w:rsidR="006158B5" w:rsidRPr="002B2CFF" w:rsidRDefault="006158B5" w:rsidP="006158B5">
      <w:pPr>
        <w:pBdr>
          <w:top w:val="nil"/>
          <w:left w:val="nil"/>
          <w:bottom w:val="nil"/>
          <w:right w:val="nil"/>
          <w:between w:val="nil"/>
        </w:pBdr>
        <w:tabs>
          <w:tab w:val="left" w:pos="426"/>
        </w:tabs>
        <w:spacing w:line="360" w:lineRule="auto"/>
        <w:ind w:right="-787"/>
        <w:jc w:val="both"/>
        <w:rPr>
          <w:rFonts w:ascii="Palatino Linotype" w:eastAsia="Palatino Linotype" w:hAnsi="Palatino Linotype" w:cs="Palatino Linotype"/>
          <w:color w:val="000000"/>
        </w:rPr>
      </w:pPr>
    </w:p>
    <w:p w14:paraId="042A3F68" w14:textId="77777777" w:rsidR="006158B5" w:rsidRPr="002B2CFF" w:rsidRDefault="006158B5" w:rsidP="006158B5">
      <w:pPr>
        <w:pStyle w:val="Ttulo1"/>
        <w:spacing w:before="0" w:line="360" w:lineRule="auto"/>
        <w:ind w:right="-787"/>
        <w:jc w:val="center"/>
        <w:rPr>
          <w:rFonts w:ascii="Palatino Linotype" w:eastAsia="Palatino Linotype" w:hAnsi="Palatino Linotype" w:cs="Palatino Linotype"/>
          <w:b/>
          <w:bCs/>
          <w:color w:val="000000"/>
          <w:sz w:val="24"/>
          <w:szCs w:val="24"/>
        </w:rPr>
      </w:pPr>
      <w:r w:rsidRPr="002B2CFF">
        <w:rPr>
          <w:rFonts w:ascii="Palatino Linotype" w:eastAsia="Palatino Linotype" w:hAnsi="Palatino Linotype" w:cs="Palatino Linotype"/>
          <w:b/>
          <w:bCs/>
          <w:color w:val="000000"/>
          <w:sz w:val="24"/>
          <w:szCs w:val="24"/>
        </w:rPr>
        <w:t>R E S O L U T I V O S</w:t>
      </w:r>
    </w:p>
    <w:p w14:paraId="63CF39BE" w14:textId="77777777" w:rsidR="006158B5" w:rsidRPr="002B2CFF" w:rsidRDefault="006158B5" w:rsidP="006158B5">
      <w:pPr>
        <w:spacing w:line="360" w:lineRule="auto"/>
        <w:ind w:right="-787"/>
        <w:rPr>
          <w:rFonts w:ascii="Palatino Linotype" w:eastAsia="Palatino Linotype" w:hAnsi="Palatino Linotype" w:cs="Palatino Linotype"/>
        </w:rPr>
      </w:pPr>
    </w:p>
    <w:p w14:paraId="1FE71A5F" w14:textId="77777777" w:rsidR="006158B5" w:rsidRPr="002B2CFF" w:rsidRDefault="006158B5" w:rsidP="006158B5">
      <w:pPr>
        <w:spacing w:line="360" w:lineRule="auto"/>
        <w:ind w:right="1"/>
        <w:jc w:val="both"/>
        <w:rPr>
          <w:rFonts w:ascii="Palatino Linotype" w:eastAsia="Palatino Linotype" w:hAnsi="Palatino Linotype" w:cs="Palatino Linotype"/>
        </w:rPr>
      </w:pPr>
      <w:r w:rsidRPr="002B2CFF">
        <w:rPr>
          <w:rFonts w:ascii="Palatino Linotype" w:eastAsia="Palatino Linotype" w:hAnsi="Palatino Linotype" w:cs="Palatino Linotype"/>
          <w:b/>
          <w:bCs/>
        </w:rPr>
        <w:t>PRIMERO</w:t>
      </w:r>
      <w:r w:rsidRPr="002B2CFF">
        <w:rPr>
          <w:rFonts w:ascii="Palatino Linotype" w:eastAsia="Palatino Linotype" w:hAnsi="Palatino Linotype" w:cs="Palatino Linotype"/>
        </w:rPr>
        <w:t xml:space="preserve">. Resultan fundadas las razones o motivos de inconformidad hechos valer en los Recursos de Revisión </w:t>
      </w:r>
      <w:r w:rsidR="00EE0F54" w:rsidRPr="002B2CFF">
        <w:rPr>
          <w:rFonts w:ascii="Palatino Linotype" w:eastAsia="Palatino Linotype" w:hAnsi="Palatino Linotype" w:cs="Palatino Linotype"/>
          <w:b/>
          <w:bCs/>
        </w:rPr>
        <w:t>14678/INFOEM/IP/RR/2025</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rPr>
        <w:t xml:space="preserve">en términos del Considerando </w:t>
      </w:r>
      <w:r w:rsidRPr="002B2CFF">
        <w:rPr>
          <w:rFonts w:ascii="Palatino Linotype" w:eastAsia="Palatino Linotype" w:hAnsi="Palatino Linotype" w:cs="Palatino Linotype"/>
          <w:b/>
          <w:bCs/>
        </w:rPr>
        <w:t xml:space="preserve">Cuarto </w:t>
      </w:r>
      <w:r w:rsidRPr="002B2CFF">
        <w:rPr>
          <w:rFonts w:ascii="Palatino Linotype" w:eastAsia="Palatino Linotype" w:hAnsi="Palatino Linotype" w:cs="Palatino Linotype"/>
        </w:rPr>
        <w:t xml:space="preserve">de la presente resolución. </w:t>
      </w:r>
    </w:p>
    <w:p w14:paraId="7FEB7B03" w14:textId="77777777" w:rsidR="006158B5" w:rsidRPr="002B2CFF" w:rsidRDefault="006158B5" w:rsidP="006158B5">
      <w:pPr>
        <w:spacing w:line="360" w:lineRule="auto"/>
        <w:ind w:right="-787"/>
        <w:jc w:val="both"/>
        <w:rPr>
          <w:rFonts w:ascii="Palatino Linotype" w:eastAsia="Palatino Linotype" w:hAnsi="Palatino Linotype" w:cs="Palatino Linotype"/>
        </w:rPr>
      </w:pPr>
    </w:p>
    <w:p w14:paraId="07DB0D64" w14:textId="6C835576" w:rsidR="006158B5" w:rsidRPr="002B2CFF" w:rsidRDefault="006158B5" w:rsidP="006158B5">
      <w:pPr>
        <w:spacing w:line="360" w:lineRule="auto"/>
        <w:ind w:right="1"/>
        <w:jc w:val="both"/>
        <w:rPr>
          <w:rFonts w:ascii="Palatino Linotype" w:eastAsia="Palatino Linotype" w:hAnsi="Palatino Linotype" w:cs="Palatino Linotype"/>
        </w:rPr>
      </w:pPr>
      <w:bookmarkStart w:id="9" w:name="_heading=h.1ksv4uv" w:colFirst="0" w:colLast="0"/>
      <w:bookmarkEnd w:id="9"/>
      <w:r w:rsidRPr="002B2CFF">
        <w:rPr>
          <w:rFonts w:ascii="Palatino Linotype" w:eastAsia="Palatino Linotype" w:hAnsi="Palatino Linotype" w:cs="Palatino Linotype"/>
          <w:b/>
          <w:bCs/>
        </w:rPr>
        <w:t xml:space="preserve">SEGUNDO. </w:t>
      </w:r>
      <w:r w:rsidRPr="002B2CFF">
        <w:rPr>
          <w:rFonts w:ascii="Palatino Linotype" w:eastAsia="Palatino Linotype" w:hAnsi="Palatino Linotype" w:cs="Palatino Linotype"/>
          <w:color w:val="000000"/>
        </w:rPr>
        <w:t xml:space="preserve">Se </w:t>
      </w:r>
      <w:r w:rsidRPr="002B2CFF">
        <w:rPr>
          <w:rFonts w:ascii="Palatino Linotype" w:eastAsia="Palatino Linotype" w:hAnsi="Palatino Linotype" w:cs="Palatino Linotype"/>
          <w:b/>
          <w:bCs/>
          <w:color w:val="000000"/>
        </w:rPr>
        <w:t xml:space="preserve">REVOCA </w:t>
      </w:r>
      <w:r w:rsidR="00026AC6" w:rsidRPr="002B2CFF">
        <w:rPr>
          <w:rFonts w:ascii="Palatino Linotype" w:eastAsia="Palatino Linotype" w:hAnsi="Palatino Linotype" w:cs="Palatino Linotype"/>
          <w:color w:val="000000"/>
        </w:rPr>
        <w:t>la respuesta emitida por la</w:t>
      </w:r>
      <w:r w:rsidRPr="002B2CFF">
        <w:rPr>
          <w:rFonts w:ascii="Palatino Linotype" w:eastAsia="Palatino Linotype" w:hAnsi="Palatino Linotype" w:cs="Palatino Linotype"/>
          <w:color w:val="000000"/>
        </w:rPr>
        <w:t xml:space="preserve"> </w:t>
      </w:r>
      <w:r w:rsidR="00EE0F54" w:rsidRPr="002B2CFF">
        <w:rPr>
          <w:rFonts w:ascii="Palatino Linotype" w:eastAsia="Palatino Linotype" w:hAnsi="Palatino Linotype" w:cs="Palatino Linotype"/>
          <w:b/>
          <w:bCs/>
          <w:color w:val="000000"/>
        </w:rPr>
        <w:t>Secretaría de la Contraloría</w:t>
      </w:r>
      <w:r w:rsidRPr="002B2CFF">
        <w:rPr>
          <w:rFonts w:ascii="Palatino Linotype" w:eastAsia="Palatino Linotype" w:hAnsi="Palatino Linotype" w:cs="Palatino Linotype"/>
          <w:b/>
          <w:bCs/>
          <w:color w:val="000000"/>
        </w:rPr>
        <w:t xml:space="preserve"> </w:t>
      </w:r>
      <w:r w:rsidRPr="002B2CFF">
        <w:rPr>
          <w:rFonts w:ascii="Palatino Linotype" w:eastAsia="Palatino Linotype" w:hAnsi="Palatino Linotype" w:cs="Palatino Linotype"/>
          <w:color w:val="000000"/>
        </w:rPr>
        <w:t xml:space="preserve">y se </w:t>
      </w:r>
      <w:r w:rsidRPr="002B2CFF">
        <w:rPr>
          <w:rFonts w:ascii="Palatino Linotype" w:eastAsia="Palatino Linotype" w:hAnsi="Palatino Linotype" w:cs="Palatino Linotype"/>
          <w:b/>
          <w:bCs/>
          <w:color w:val="000000"/>
        </w:rPr>
        <w:t>ORDENA</w:t>
      </w:r>
      <w:r w:rsidRPr="002B2CFF">
        <w:rPr>
          <w:rFonts w:ascii="Palatino Linotype" w:eastAsia="Palatino Linotype" w:hAnsi="Palatino Linotype" w:cs="Palatino Linotype"/>
          <w:color w:val="000000"/>
        </w:rPr>
        <w:t xml:space="preserve"> entregar vía Sistema de Acceso a la Información, la siguiente información</w:t>
      </w:r>
      <w:r w:rsidR="00652251" w:rsidRPr="002B2CFF">
        <w:rPr>
          <w:rFonts w:ascii="Palatino Linotype" w:eastAsia="Palatino Linotype" w:hAnsi="Palatino Linotype" w:cs="Palatino Linotype"/>
          <w:color w:val="000000"/>
        </w:rPr>
        <w:t xml:space="preserve">. </w:t>
      </w:r>
    </w:p>
    <w:p w14:paraId="799D6CFF" w14:textId="77777777" w:rsidR="006158B5" w:rsidRPr="002B2CFF" w:rsidRDefault="006158B5" w:rsidP="006158B5">
      <w:pPr>
        <w:spacing w:line="360" w:lineRule="auto"/>
        <w:ind w:right="-787"/>
        <w:jc w:val="both"/>
        <w:rPr>
          <w:rFonts w:ascii="Palatino Linotype" w:eastAsia="Palatino Linotype" w:hAnsi="Palatino Linotype" w:cs="Palatino Linotype"/>
        </w:rPr>
      </w:pPr>
    </w:p>
    <w:p w14:paraId="276B7144" w14:textId="77777777" w:rsidR="00652251" w:rsidRPr="002B2CFF" w:rsidRDefault="006A1F04" w:rsidP="00247F2E">
      <w:pPr>
        <w:ind w:left="1068" w:right="822" w:firstLine="66"/>
        <w:jc w:val="both"/>
        <w:rPr>
          <w:rFonts w:ascii="Palatino Linotype" w:eastAsia="Palatino Linotype" w:hAnsi="Palatino Linotype" w:cs="Palatino Linotype"/>
          <w:b/>
          <w:bCs/>
          <w:i/>
          <w:lang w:val="es-ES_tradnl"/>
        </w:rPr>
      </w:pPr>
      <w:r w:rsidRPr="002B2CFF">
        <w:rPr>
          <w:rFonts w:ascii="Palatino Linotype" w:eastAsia="Palatino Linotype" w:hAnsi="Palatino Linotype" w:cs="Palatino Linotype"/>
          <w:b/>
          <w:bCs/>
          <w:i/>
        </w:rPr>
        <w:t xml:space="preserve">1.- </w:t>
      </w:r>
      <w:r w:rsidR="00652251" w:rsidRPr="002B2CFF">
        <w:rPr>
          <w:rFonts w:ascii="Palatino Linotype" w:eastAsia="Palatino Linotype" w:hAnsi="Palatino Linotype" w:cs="Palatino Linotype"/>
          <w:b/>
          <w:bCs/>
          <w:i/>
          <w:lang w:val="es-ES_tradnl"/>
        </w:rPr>
        <w:t>El acuerdo del Comité de Transparencia en el que, de manera fundada y motivada, se clasifique como confidencial el nombre, área de adscripción,  cargo, fecha de la declaración de omiso y estatus los servidores públicos que omitieron presentar su declaración de situación patrimonial y de intereses, al cuatro de diciembre de dos mil veinticinco.</w:t>
      </w:r>
    </w:p>
    <w:p w14:paraId="5FE516A4" w14:textId="77777777" w:rsidR="006A1F04" w:rsidRPr="002B2CFF" w:rsidRDefault="006A1F04" w:rsidP="00652251">
      <w:pPr>
        <w:ind w:left="1134" w:right="822"/>
        <w:jc w:val="both"/>
        <w:rPr>
          <w:rFonts w:ascii="Palatino Linotype" w:eastAsia="Palatino Linotype" w:hAnsi="Palatino Linotype" w:cs="Palatino Linotype"/>
          <w:b/>
          <w:bCs/>
          <w:i/>
        </w:rPr>
      </w:pPr>
    </w:p>
    <w:p w14:paraId="72A282B8" w14:textId="77777777" w:rsidR="006A1F04" w:rsidRPr="002B2CFF" w:rsidRDefault="006A1F04" w:rsidP="004319F1">
      <w:pPr>
        <w:ind w:left="1134" w:right="822"/>
        <w:jc w:val="both"/>
        <w:rPr>
          <w:rFonts w:ascii="Palatino Linotype" w:eastAsia="Palatino Linotype" w:hAnsi="Palatino Linotype" w:cs="Palatino Linotype"/>
          <w:b/>
          <w:bCs/>
          <w:i/>
        </w:rPr>
      </w:pPr>
    </w:p>
    <w:p w14:paraId="5F7DB152" w14:textId="77777777" w:rsidR="006A1F04" w:rsidRPr="002B2CFF" w:rsidRDefault="00247F2E" w:rsidP="004319F1">
      <w:pPr>
        <w:ind w:left="1134" w:right="822"/>
        <w:jc w:val="both"/>
        <w:rPr>
          <w:rFonts w:ascii="Palatino Linotype" w:eastAsia="Palatino Linotype" w:hAnsi="Palatino Linotype" w:cs="Palatino Linotype"/>
          <w:b/>
          <w:bCs/>
          <w:i/>
        </w:rPr>
      </w:pPr>
      <w:r w:rsidRPr="002B2CFF">
        <w:rPr>
          <w:rFonts w:ascii="Palatino Linotype" w:eastAsia="Palatino Linotype" w:hAnsi="Palatino Linotype" w:cs="Palatino Linotype"/>
          <w:b/>
          <w:bCs/>
          <w:i/>
        </w:rPr>
        <w:t>2</w:t>
      </w:r>
      <w:r w:rsidR="006A1F04" w:rsidRPr="002B2CFF">
        <w:rPr>
          <w:rFonts w:ascii="Palatino Linotype" w:eastAsia="Palatino Linotype" w:hAnsi="Palatino Linotype" w:cs="Palatino Linotype"/>
          <w:b/>
          <w:bCs/>
          <w:i/>
        </w:rPr>
        <w:t>. Área interna responsable d</w:t>
      </w:r>
      <w:r w:rsidR="00652251" w:rsidRPr="002B2CFF">
        <w:rPr>
          <w:rFonts w:ascii="Palatino Linotype" w:eastAsia="Palatino Linotype" w:hAnsi="Palatino Linotype" w:cs="Palatino Linotype"/>
          <w:b/>
          <w:bCs/>
          <w:i/>
        </w:rPr>
        <w:t xml:space="preserve">e haber determinado esa omisión, al cuatro de diciembre de dos mil veinticinco. </w:t>
      </w:r>
      <w:r w:rsidR="006A1F04" w:rsidRPr="002B2CFF">
        <w:rPr>
          <w:rFonts w:ascii="Palatino Linotype" w:eastAsia="Palatino Linotype" w:hAnsi="Palatino Linotype" w:cs="Palatino Linotype"/>
          <w:b/>
          <w:bCs/>
          <w:i/>
        </w:rPr>
        <w:t xml:space="preserve"> </w:t>
      </w:r>
    </w:p>
    <w:p w14:paraId="740886F4" w14:textId="77777777" w:rsidR="006158B5" w:rsidRPr="002B2CFF" w:rsidRDefault="006158B5" w:rsidP="006158B5">
      <w:pPr>
        <w:ind w:left="1134" w:right="277"/>
        <w:jc w:val="both"/>
        <w:rPr>
          <w:rFonts w:ascii="Palatino Linotype" w:eastAsia="Palatino Linotype" w:hAnsi="Palatino Linotype" w:cs="Palatino Linotype"/>
          <w:b/>
          <w:bCs/>
        </w:rPr>
      </w:pPr>
    </w:p>
    <w:p w14:paraId="062E3BA0" w14:textId="77777777" w:rsidR="006158B5" w:rsidRPr="002B2CFF" w:rsidRDefault="006158B5" w:rsidP="006158B5">
      <w:pPr>
        <w:ind w:right="-787"/>
        <w:jc w:val="both"/>
        <w:rPr>
          <w:rFonts w:ascii="Palatino Linotype" w:eastAsia="Palatino Linotype" w:hAnsi="Palatino Linotype" w:cs="Palatino Linotype"/>
          <w:b/>
          <w:bCs/>
        </w:rPr>
      </w:pPr>
    </w:p>
    <w:p w14:paraId="36B21BB4" w14:textId="77777777" w:rsidR="006158B5" w:rsidRPr="002B2CFF" w:rsidRDefault="006158B5" w:rsidP="006158B5">
      <w:pPr>
        <w:tabs>
          <w:tab w:val="left" w:pos="8080"/>
        </w:tabs>
        <w:spacing w:line="360" w:lineRule="auto"/>
        <w:ind w:right="-787"/>
        <w:jc w:val="both"/>
        <w:rPr>
          <w:rFonts w:ascii="Palatino Linotype" w:eastAsia="Palatino Linotype" w:hAnsi="Palatino Linotype" w:cs="Palatino Linotype"/>
          <w:b/>
          <w:bCs/>
        </w:rPr>
      </w:pPr>
    </w:p>
    <w:p w14:paraId="69DD932B" w14:textId="77777777" w:rsidR="006158B5" w:rsidRPr="002B2CFF" w:rsidRDefault="006158B5" w:rsidP="006158B5">
      <w:pPr>
        <w:spacing w:line="360" w:lineRule="auto"/>
        <w:ind w:right="1"/>
        <w:jc w:val="both"/>
        <w:rPr>
          <w:rFonts w:ascii="Palatino Linotype" w:eastAsia="Palatino Linotype" w:hAnsi="Palatino Linotype" w:cs="Palatino Linotype"/>
          <w:color w:val="222222"/>
        </w:rPr>
      </w:pPr>
      <w:r w:rsidRPr="002B2CFF">
        <w:rPr>
          <w:rFonts w:ascii="Palatino Linotype" w:eastAsia="Palatino Linotype" w:hAnsi="Palatino Linotype" w:cs="Palatino Linotype"/>
          <w:b/>
          <w:bCs/>
        </w:rPr>
        <w:t xml:space="preserve">TERCERO. </w:t>
      </w:r>
      <w:r w:rsidRPr="002B2CFF">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w:t>
      </w:r>
      <w:r w:rsidRPr="002B2CFF">
        <w:rPr>
          <w:rFonts w:ascii="Palatino Linotype" w:eastAsia="Palatino Linotype" w:hAnsi="Palatino Linotype" w:cs="Palatino Linotype"/>
          <w:color w:val="222222"/>
        </w:rPr>
        <w:lastRenderedPageBreak/>
        <w:t xml:space="preserve">segundo párrafo y 194 de la Ley de Transparencia y Acceso a la Información Pública del Estado de México y Municipios; </w:t>
      </w:r>
      <w:r w:rsidRPr="002B2CFF">
        <w:rPr>
          <w:rFonts w:ascii="Palatino Linotype" w:eastAsia="Palatino Linotype" w:hAnsi="Palatino Linotype" w:cs="Palatino Linotype"/>
          <w:b/>
          <w:bCs/>
          <w:color w:val="222222"/>
        </w:rPr>
        <w:t xml:space="preserve">dé cumplimiento a lo ordenado dentro del plazo de diez días hábiles, </w:t>
      </w:r>
      <w:r w:rsidRPr="002B2CFF">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14:paraId="7463BD19" w14:textId="77777777" w:rsidR="006158B5" w:rsidRPr="002B2CFF" w:rsidRDefault="006158B5" w:rsidP="006158B5">
      <w:pPr>
        <w:tabs>
          <w:tab w:val="left" w:pos="8080"/>
        </w:tabs>
        <w:spacing w:line="360" w:lineRule="auto"/>
        <w:ind w:right="-787"/>
        <w:jc w:val="both"/>
        <w:rPr>
          <w:rFonts w:ascii="Palatino Linotype" w:eastAsia="Palatino Linotype" w:hAnsi="Palatino Linotype" w:cs="Palatino Linotype"/>
          <w:color w:val="222222"/>
        </w:rPr>
      </w:pPr>
    </w:p>
    <w:p w14:paraId="315A582D" w14:textId="77777777" w:rsidR="006158B5" w:rsidRPr="002B2CFF" w:rsidRDefault="006158B5" w:rsidP="006158B5">
      <w:pPr>
        <w:spacing w:line="360" w:lineRule="auto"/>
        <w:ind w:right="1"/>
        <w:jc w:val="both"/>
        <w:rPr>
          <w:rFonts w:ascii="Palatino Linotype" w:eastAsia="Palatino Linotype" w:hAnsi="Palatino Linotype" w:cs="Palatino Linotype"/>
        </w:rPr>
      </w:pPr>
      <w:r w:rsidRPr="002B2CFF">
        <w:rPr>
          <w:rFonts w:ascii="Palatino Linotype" w:eastAsia="Palatino Linotype" w:hAnsi="Palatino Linotype" w:cs="Palatino Linotype"/>
          <w:b/>
          <w:bCs/>
        </w:rPr>
        <w:t xml:space="preserve">CUARTO. </w:t>
      </w:r>
      <w:r w:rsidRPr="002B2CFF">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Pr="002B2CFF">
        <w:rPr>
          <w:rFonts w:ascii="Palatino Linotype" w:eastAsia="Palatino Linotype" w:hAnsi="Palatino Linotype" w:cs="Palatino Linotype"/>
          <w:b/>
          <w:bCs/>
        </w:rPr>
        <w:t>SUJETO OBLIGADO</w:t>
      </w:r>
      <w:r w:rsidRPr="002B2CFF">
        <w:rPr>
          <w:rFonts w:ascii="Palatino Linotype" w:eastAsia="Palatino Linotype" w:hAnsi="Palatino Linotype" w:cs="Palatino Linotype"/>
        </w:rPr>
        <w:t xml:space="preserve"> de manera fundada y motivada, podrá solicitar una ampliación de plazo para el cumplimiento de la presente resolución.</w:t>
      </w:r>
    </w:p>
    <w:p w14:paraId="71F585FE" w14:textId="77777777" w:rsidR="006158B5" w:rsidRPr="002B2CFF" w:rsidRDefault="006158B5" w:rsidP="006158B5">
      <w:pPr>
        <w:spacing w:line="360" w:lineRule="auto"/>
        <w:ind w:right="-787"/>
        <w:jc w:val="both"/>
        <w:rPr>
          <w:rFonts w:ascii="Palatino Linotype" w:eastAsia="Palatino Linotype" w:hAnsi="Palatino Linotype" w:cs="Palatino Linotype"/>
        </w:rPr>
      </w:pPr>
    </w:p>
    <w:p w14:paraId="732264B2" w14:textId="77777777" w:rsidR="006158B5" w:rsidRPr="002B2CFF" w:rsidRDefault="006158B5" w:rsidP="006158B5">
      <w:pPr>
        <w:spacing w:line="360" w:lineRule="auto"/>
        <w:ind w:right="1"/>
        <w:jc w:val="both"/>
        <w:rPr>
          <w:rFonts w:ascii="Palatino Linotype" w:eastAsia="Palatino Linotype" w:hAnsi="Palatino Linotype" w:cs="Palatino Linotype"/>
        </w:rPr>
      </w:pPr>
      <w:bookmarkStart w:id="10" w:name="_heading=h.2jxsxqh" w:colFirst="0" w:colLast="0"/>
      <w:bookmarkEnd w:id="10"/>
      <w:r w:rsidRPr="002B2CFF">
        <w:rPr>
          <w:rFonts w:ascii="Palatino Linotype" w:eastAsia="Palatino Linotype" w:hAnsi="Palatino Linotype" w:cs="Palatino Linotype"/>
          <w:b/>
        </w:rPr>
        <w:t>QUINTO</w:t>
      </w:r>
      <w:r w:rsidRPr="002B2CFF">
        <w:rPr>
          <w:rFonts w:ascii="Palatino Linotype" w:eastAsia="Palatino Linotype" w:hAnsi="Palatino Linotype" w:cs="Palatino Linotype"/>
          <w:b/>
          <w:bCs/>
        </w:rPr>
        <w:t xml:space="preserve">. </w:t>
      </w:r>
      <w:r w:rsidRPr="002B2CFF">
        <w:rPr>
          <w:rFonts w:ascii="Palatino Linotype" w:eastAsia="Palatino Linotype" w:hAnsi="Palatino Linotype" w:cs="Palatino Linotype"/>
        </w:rPr>
        <w:t xml:space="preserve">Notifíquese a </w:t>
      </w:r>
      <w:r w:rsidRPr="002B2CFF">
        <w:rPr>
          <w:rFonts w:ascii="Palatino Linotype" w:eastAsia="Palatino Linotype" w:hAnsi="Palatino Linotype" w:cs="Palatino Linotype"/>
          <w:b/>
          <w:bCs/>
        </w:rPr>
        <w:t>EL RECURRENTE</w:t>
      </w:r>
      <w:r w:rsidRPr="002B2CFF">
        <w:rPr>
          <w:rFonts w:ascii="Palatino Linotype" w:eastAsia="Palatino Linotype" w:hAnsi="Palatino Linotype" w:cs="Palatino Linotype"/>
        </w:rPr>
        <w:t xml:space="preserve"> la presente resolución, vía SAIMEX.</w:t>
      </w:r>
    </w:p>
    <w:p w14:paraId="097DF196" w14:textId="77777777" w:rsidR="006158B5" w:rsidRPr="002B2CFF" w:rsidRDefault="006158B5" w:rsidP="006158B5">
      <w:pPr>
        <w:shd w:val="clear" w:color="auto" w:fill="FFFFFF"/>
        <w:spacing w:line="360" w:lineRule="auto"/>
        <w:ind w:right="-787"/>
        <w:jc w:val="both"/>
        <w:rPr>
          <w:rFonts w:ascii="Palatino Linotype" w:eastAsia="Palatino Linotype" w:hAnsi="Palatino Linotype" w:cs="Palatino Linotype"/>
        </w:rPr>
      </w:pPr>
    </w:p>
    <w:p w14:paraId="3FA9B0C7" w14:textId="77777777" w:rsidR="006158B5" w:rsidRPr="002B2CFF" w:rsidRDefault="006158B5" w:rsidP="006158B5">
      <w:pPr>
        <w:spacing w:line="360" w:lineRule="auto"/>
        <w:ind w:right="1"/>
        <w:jc w:val="both"/>
        <w:rPr>
          <w:rFonts w:ascii="Palatino Linotype" w:eastAsia="Palatino Linotype" w:hAnsi="Palatino Linotype" w:cs="Palatino Linotype"/>
        </w:rPr>
      </w:pPr>
      <w:r w:rsidRPr="002B2CFF">
        <w:rPr>
          <w:rFonts w:ascii="Palatino Linotype" w:eastAsia="Palatino Linotype" w:hAnsi="Palatino Linotype" w:cs="Palatino Linotype"/>
          <w:b/>
        </w:rPr>
        <w:t>SEXTO</w:t>
      </w:r>
      <w:r w:rsidRPr="002B2CFF">
        <w:rPr>
          <w:rFonts w:ascii="Palatino Linotype" w:eastAsia="Palatino Linotype" w:hAnsi="Palatino Linotype" w:cs="Palatino Linotype"/>
          <w:b/>
          <w:bCs/>
        </w:rPr>
        <w:t>.</w:t>
      </w:r>
      <w:r w:rsidRPr="002B2CFF">
        <w:rPr>
          <w:rFonts w:ascii="Palatino Linotype" w:eastAsia="Palatino Linotype" w:hAnsi="Palatino Linotype" w:cs="Palatino Linotype"/>
        </w:rPr>
        <w:t xml:space="preserve"> Se hace del conocimiento de </w:t>
      </w:r>
      <w:r w:rsidRPr="002B2CFF">
        <w:rPr>
          <w:rFonts w:ascii="Palatino Linotype" w:eastAsia="Palatino Linotype" w:hAnsi="Palatino Linotype" w:cs="Palatino Linotype"/>
          <w:b/>
          <w:bCs/>
        </w:rPr>
        <w:t>EL RECURRENTE</w:t>
      </w:r>
      <w:r w:rsidRPr="002B2CFF">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6BEF9F5A" w14:textId="77777777" w:rsidR="006158B5" w:rsidRPr="002B2CFF" w:rsidRDefault="006158B5" w:rsidP="006158B5">
      <w:pPr>
        <w:shd w:val="clear" w:color="auto" w:fill="FFFFFF"/>
        <w:spacing w:line="360" w:lineRule="auto"/>
        <w:ind w:right="-787"/>
        <w:jc w:val="both"/>
        <w:rPr>
          <w:rFonts w:ascii="Palatino Linotype" w:eastAsia="Palatino Linotype" w:hAnsi="Palatino Linotype" w:cs="Palatino Linotype"/>
        </w:rPr>
      </w:pPr>
    </w:p>
    <w:p w14:paraId="0EAB31F4" w14:textId="77777777" w:rsidR="00026AC6" w:rsidRPr="002B2CFF" w:rsidRDefault="00026AC6" w:rsidP="00026AC6">
      <w:pPr>
        <w:spacing w:before="240" w:after="240" w:line="360" w:lineRule="auto"/>
        <w:ind w:firstLine="1"/>
        <w:jc w:val="both"/>
        <w:rPr>
          <w:rFonts w:ascii="Palatino Linotype" w:hAnsi="Palatino Linotype"/>
        </w:rPr>
      </w:pPr>
      <w:bookmarkStart w:id="11" w:name="_Hlk99014733"/>
      <w:r w:rsidRPr="002B2CF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2B2CFF">
        <w:rPr>
          <w:rFonts w:ascii="Palatino Linotype" w:hAnsi="Palatino Linotype" w:cs="Palatino Linotype"/>
        </w:rPr>
        <w:lastRenderedPageBreak/>
        <w:t xml:space="preserve">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2B2CFF">
        <w:rPr>
          <w:rFonts w:ascii="Palatino Linotype" w:hAnsi="Palatino Linotype" w:cs="Palatino Linotype"/>
          <w:color w:val="000000" w:themeColor="text1"/>
        </w:rPr>
        <w:t>ALEXIS TAPIA RAMÍREZ.</w:t>
      </w:r>
    </w:p>
    <w:bookmarkEnd w:id="11"/>
    <w:p w14:paraId="658CB95C"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62AFEE4A"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12556DFE"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72696C55"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516DE885"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007E2909"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02F8F545" w14:textId="77777777" w:rsidR="006158B5" w:rsidRDefault="006158B5" w:rsidP="006158B5">
      <w:pPr>
        <w:spacing w:line="360" w:lineRule="auto"/>
        <w:ind w:right="-592"/>
        <w:jc w:val="both"/>
        <w:rPr>
          <w:rFonts w:ascii="Palatino Linotype" w:eastAsia="Palatino Linotype" w:hAnsi="Palatino Linotype" w:cs="Palatino Linotype"/>
        </w:rPr>
      </w:pPr>
    </w:p>
    <w:p w14:paraId="734B2107" w14:textId="77777777" w:rsidR="002B2CFF" w:rsidRDefault="002B2CFF" w:rsidP="006158B5">
      <w:pPr>
        <w:spacing w:line="360" w:lineRule="auto"/>
        <w:ind w:right="-592"/>
        <w:jc w:val="both"/>
        <w:rPr>
          <w:rFonts w:ascii="Palatino Linotype" w:eastAsia="Palatino Linotype" w:hAnsi="Palatino Linotype" w:cs="Palatino Linotype"/>
        </w:rPr>
      </w:pPr>
    </w:p>
    <w:p w14:paraId="243EF810" w14:textId="77777777" w:rsidR="002B2CFF" w:rsidRDefault="002B2CFF" w:rsidP="006158B5">
      <w:pPr>
        <w:spacing w:line="360" w:lineRule="auto"/>
        <w:ind w:right="-592"/>
        <w:jc w:val="both"/>
        <w:rPr>
          <w:rFonts w:ascii="Palatino Linotype" w:eastAsia="Palatino Linotype" w:hAnsi="Palatino Linotype" w:cs="Palatino Linotype"/>
        </w:rPr>
      </w:pPr>
    </w:p>
    <w:p w14:paraId="1EBF54A8" w14:textId="77777777" w:rsidR="002B2CFF" w:rsidRDefault="002B2CFF" w:rsidP="006158B5">
      <w:pPr>
        <w:spacing w:line="360" w:lineRule="auto"/>
        <w:ind w:right="-592"/>
        <w:jc w:val="both"/>
        <w:rPr>
          <w:rFonts w:ascii="Palatino Linotype" w:eastAsia="Palatino Linotype" w:hAnsi="Palatino Linotype" w:cs="Palatino Linotype"/>
        </w:rPr>
      </w:pPr>
    </w:p>
    <w:p w14:paraId="2D1F7884" w14:textId="77777777" w:rsidR="002B2CFF" w:rsidRDefault="002B2CFF" w:rsidP="006158B5">
      <w:pPr>
        <w:spacing w:line="360" w:lineRule="auto"/>
        <w:ind w:right="-592"/>
        <w:jc w:val="both"/>
        <w:rPr>
          <w:rFonts w:ascii="Palatino Linotype" w:eastAsia="Palatino Linotype" w:hAnsi="Palatino Linotype" w:cs="Palatino Linotype"/>
        </w:rPr>
      </w:pPr>
    </w:p>
    <w:p w14:paraId="2B5F1E5F" w14:textId="77777777" w:rsidR="002B2CFF" w:rsidRDefault="002B2CFF" w:rsidP="006158B5">
      <w:pPr>
        <w:spacing w:line="360" w:lineRule="auto"/>
        <w:ind w:right="-592"/>
        <w:jc w:val="both"/>
        <w:rPr>
          <w:rFonts w:ascii="Palatino Linotype" w:eastAsia="Palatino Linotype" w:hAnsi="Palatino Linotype" w:cs="Palatino Linotype"/>
        </w:rPr>
      </w:pPr>
    </w:p>
    <w:p w14:paraId="7B1CE1BF" w14:textId="77777777" w:rsidR="002B2CFF" w:rsidRPr="002B2CFF" w:rsidRDefault="002B2CFF" w:rsidP="006158B5">
      <w:pPr>
        <w:spacing w:line="360" w:lineRule="auto"/>
        <w:ind w:right="-592"/>
        <w:jc w:val="both"/>
        <w:rPr>
          <w:rFonts w:ascii="Palatino Linotype" w:eastAsia="Palatino Linotype" w:hAnsi="Palatino Linotype" w:cs="Palatino Linotype"/>
        </w:rPr>
      </w:pPr>
    </w:p>
    <w:p w14:paraId="23E617FC"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4D32DB33" w14:textId="77777777" w:rsidR="006158B5" w:rsidRPr="002B2CFF" w:rsidRDefault="006158B5" w:rsidP="006158B5">
      <w:pPr>
        <w:spacing w:line="360" w:lineRule="auto"/>
        <w:ind w:right="-592"/>
        <w:jc w:val="both"/>
        <w:rPr>
          <w:rFonts w:ascii="Palatino Linotype" w:eastAsia="Palatino Linotype" w:hAnsi="Palatino Linotype" w:cs="Palatino Linotype"/>
        </w:rPr>
      </w:pPr>
    </w:p>
    <w:p w14:paraId="33100B02" w14:textId="77777777" w:rsidR="006158B5" w:rsidRPr="002B2CFF" w:rsidRDefault="006158B5" w:rsidP="006158B5">
      <w:pPr>
        <w:spacing w:line="360" w:lineRule="auto"/>
        <w:ind w:right="-592"/>
        <w:rPr>
          <w:rFonts w:ascii="Palatino Linotype" w:eastAsia="Palatino Linotype" w:hAnsi="Palatino Linotype" w:cs="Palatino Linotype"/>
        </w:rPr>
      </w:pPr>
    </w:p>
    <w:p w14:paraId="098314DC" w14:textId="77777777" w:rsidR="006158B5" w:rsidRPr="002B2CFF" w:rsidRDefault="006158B5" w:rsidP="006158B5">
      <w:pPr>
        <w:spacing w:line="360" w:lineRule="auto"/>
        <w:ind w:right="-592"/>
        <w:rPr>
          <w:rFonts w:ascii="Palatino Linotype" w:eastAsia="Palatino Linotype" w:hAnsi="Palatino Linotype" w:cs="Palatino Linotype"/>
        </w:rPr>
      </w:pPr>
    </w:p>
    <w:p w14:paraId="04C3FA31" w14:textId="77777777" w:rsidR="006158B5" w:rsidRPr="002B2CFF" w:rsidRDefault="006158B5" w:rsidP="006158B5">
      <w:pPr>
        <w:spacing w:line="360" w:lineRule="auto"/>
        <w:ind w:right="-592"/>
        <w:rPr>
          <w:rFonts w:ascii="Palatino Linotype" w:eastAsia="Palatino Linotype" w:hAnsi="Palatino Linotype" w:cs="Palatino Linotype"/>
        </w:rPr>
      </w:pPr>
    </w:p>
    <w:p w14:paraId="6D61DB1A" w14:textId="77777777" w:rsidR="006158B5" w:rsidRPr="002B2CFF" w:rsidRDefault="006158B5" w:rsidP="006158B5">
      <w:pPr>
        <w:spacing w:line="360" w:lineRule="auto"/>
        <w:ind w:right="-592"/>
        <w:rPr>
          <w:rFonts w:ascii="Palatino Linotype" w:eastAsia="Palatino Linotype" w:hAnsi="Palatino Linotype" w:cs="Palatino Linotype"/>
        </w:rPr>
      </w:pPr>
    </w:p>
    <w:p w14:paraId="5E1F6237" w14:textId="77777777" w:rsidR="006158B5" w:rsidRPr="002B2CFF" w:rsidRDefault="006158B5" w:rsidP="006158B5">
      <w:pPr>
        <w:spacing w:line="360" w:lineRule="auto"/>
        <w:ind w:right="-592"/>
        <w:rPr>
          <w:rFonts w:ascii="Palatino Linotype" w:eastAsia="Palatino Linotype" w:hAnsi="Palatino Linotype" w:cs="Palatino Linotype"/>
        </w:rPr>
      </w:pPr>
    </w:p>
    <w:p w14:paraId="7507B5DD" w14:textId="77777777" w:rsidR="006158B5" w:rsidRPr="002B2CFF" w:rsidRDefault="006158B5" w:rsidP="006158B5">
      <w:pPr>
        <w:spacing w:line="360" w:lineRule="auto"/>
        <w:ind w:right="-592"/>
        <w:rPr>
          <w:rFonts w:ascii="Palatino Linotype" w:eastAsia="Palatino Linotype" w:hAnsi="Palatino Linotype" w:cs="Palatino Linotype"/>
        </w:rPr>
      </w:pPr>
    </w:p>
    <w:p w14:paraId="43D8CFFA" w14:textId="77777777" w:rsidR="006158B5" w:rsidRPr="002B2CFF" w:rsidRDefault="006158B5" w:rsidP="006158B5">
      <w:pPr>
        <w:ind w:right="-592"/>
        <w:rPr>
          <w:rFonts w:ascii="Palatino Linotype" w:eastAsia="Palatino Linotype" w:hAnsi="Palatino Linotype" w:cs="Palatino Linotype"/>
        </w:rPr>
      </w:pPr>
    </w:p>
    <w:p w14:paraId="6FAF8ADA" w14:textId="77777777" w:rsidR="006158B5" w:rsidRPr="002B2CFF" w:rsidRDefault="006158B5" w:rsidP="006158B5"/>
    <w:p w14:paraId="3C6EAFA7" w14:textId="77777777" w:rsidR="006158B5" w:rsidRPr="002B2CFF" w:rsidRDefault="006158B5" w:rsidP="006158B5"/>
    <w:p w14:paraId="7D556737" w14:textId="77777777" w:rsidR="005F006F" w:rsidRPr="002B2CFF" w:rsidRDefault="005F006F"/>
    <w:p w14:paraId="5065A91B" w14:textId="77777777" w:rsidR="00D96BE9" w:rsidRPr="002B2CFF" w:rsidRDefault="00D96BE9"/>
    <w:sectPr w:rsidR="00D96BE9" w:rsidRPr="002B2CFF" w:rsidSect="002B2CFF">
      <w:headerReference w:type="even" r:id="rId8"/>
      <w:headerReference w:type="default" r:id="rId9"/>
      <w:footerReference w:type="default" r:id="rId10"/>
      <w:headerReference w:type="first" r:id="rId11"/>
      <w:footerReference w:type="first" r:id="rId1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B47DDA" w14:textId="77777777" w:rsidR="00FE3AB9" w:rsidRDefault="00FE3AB9" w:rsidP="006158B5">
      <w:r>
        <w:separator/>
      </w:r>
    </w:p>
  </w:endnote>
  <w:endnote w:type="continuationSeparator" w:id="0">
    <w:p w14:paraId="33513E8B" w14:textId="77777777" w:rsidR="00FE3AB9" w:rsidRDefault="00FE3AB9" w:rsidP="00615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77C00" w14:textId="77777777" w:rsidR="00EB3463" w:rsidRPr="002B2CFF" w:rsidRDefault="00EB3463">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B2CFF">
      <w:rPr>
        <w:rFonts w:ascii="Palatino Linotype" w:hAnsi="Palatino Linotype"/>
        <w:color w:val="000000"/>
        <w:sz w:val="22"/>
      </w:rPr>
      <w:t xml:space="preserve">Página </w:t>
    </w:r>
    <w:r w:rsidRPr="002B2CFF">
      <w:rPr>
        <w:rFonts w:ascii="Palatino Linotype" w:hAnsi="Palatino Linotype"/>
        <w:b/>
        <w:bCs/>
        <w:color w:val="000000"/>
        <w:sz w:val="22"/>
      </w:rPr>
      <w:fldChar w:fldCharType="begin"/>
    </w:r>
    <w:r w:rsidRPr="002B2CFF">
      <w:rPr>
        <w:rFonts w:ascii="Palatino Linotype" w:hAnsi="Palatino Linotype"/>
        <w:b/>
        <w:bCs/>
        <w:color w:val="000000"/>
        <w:sz w:val="22"/>
      </w:rPr>
      <w:instrText>PAGE</w:instrText>
    </w:r>
    <w:r w:rsidRPr="002B2CFF">
      <w:rPr>
        <w:rFonts w:ascii="Palatino Linotype" w:hAnsi="Palatino Linotype"/>
        <w:b/>
        <w:bCs/>
        <w:color w:val="000000"/>
        <w:sz w:val="22"/>
      </w:rPr>
      <w:fldChar w:fldCharType="separate"/>
    </w:r>
    <w:r w:rsidR="0020603F">
      <w:rPr>
        <w:rFonts w:ascii="Palatino Linotype" w:hAnsi="Palatino Linotype"/>
        <w:b/>
        <w:bCs/>
        <w:noProof/>
        <w:color w:val="000000"/>
        <w:sz w:val="22"/>
      </w:rPr>
      <w:t>21</w:t>
    </w:r>
    <w:r w:rsidRPr="002B2CFF">
      <w:rPr>
        <w:rFonts w:ascii="Palatino Linotype" w:hAnsi="Palatino Linotype"/>
        <w:b/>
        <w:bCs/>
        <w:color w:val="000000"/>
        <w:sz w:val="22"/>
      </w:rPr>
      <w:fldChar w:fldCharType="end"/>
    </w:r>
    <w:r w:rsidRPr="002B2CFF">
      <w:rPr>
        <w:rFonts w:ascii="Palatino Linotype" w:hAnsi="Palatino Linotype"/>
        <w:color w:val="000000"/>
        <w:sz w:val="22"/>
      </w:rPr>
      <w:t xml:space="preserve"> de </w:t>
    </w:r>
    <w:r w:rsidRPr="002B2CFF">
      <w:rPr>
        <w:rFonts w:ascii="Palatino Linotype" w:hAnsi="Palatino Linotype"/>
        <w:b/>
        <w:bCs/>
        <w:color w:val="000000"/>
        <w:sz w:val="22"/>
      </w:rPr>
      <w:fldChar w:fldCharType="begin"/>
    </w:r>
    <w:r w:rsidRPr="002B2CFF">
      <w:rPr>
        <w:rFonts w:ascii="Palatino Linotype" w:hAnsi="Palatino Linotype"/>
        <w:b/>
        <w:bCs/>
        <w:color w:val="000000"/>
        <w:sz w:val="22"/>
      </w:rPr>
      <w:instrText>NUMPAGES</w:instrText>
    </w:r>
    <w:r w:rsidRPr="002B2CFF">
      <w:rPr>
        <w:rFonts w:ascii="Palatino Linotype" w:hAnsi="Palatino Linotype"/>
        <w:b/>
        <w:bCs/>
        <w:color w:val="000000"/>
        <w:sz w:val="22"/>
      </w:rPr>
      <w:fldChar w:fldCharType="separate"/>
    </w:r>
    <w:r w:rsidR="0020603F">
      <w:rPr>
        <w:rFonts w:ascii="Palatino Linotype" w:hAnsi="Palatino Linotype"/>
        <w:b/>
        <w:bCs/>
        <w:noProof/>
        <w:color w:val="000000"/>
        <w:sz w:val="22"/>
      </w:rPr>
      <w:t>44</w:t>
    </w:r>
    <w:r w:rsidRPr="002B2CFF">
      <w:rPr>
        <w:rFonts w:ascii="Palatino Linotype" w:hAnsi="Palatino Linotype"/>
        <w:b/>
        <w:bCs/>
        <w:color w:val="000000"/>
        <w:sz w:val="22"/>
      </w:rPr>
      <w:fldChar w:fldCharType="end"/>
    </w:r>
  </w:p>
  <w:p w14:paraId="6F2CEF21" w14:textId="77777777" w:rsidR="00EB3463" w:rsidRDefault="00EB3463">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FC5A7A" w14:textId="77777777" w:rsidR="00EB3463" w:rsidRPr="002B2CFF" w:rsidRDefault="00EB3463">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2B2CFF">
      <w:rPr>
        <w:rFonts w:ascii="Palatino Linotype" w:hAnsi="Palatino Linotype"/>
        <w:color w:val="000000"/>
        <w:sz w:val="22"/>
      </w:rPr>
      <w:t xml:space="preserve">Página </w:t>
    </w:r>
    <w:r w:rsidRPr="002B2CFF">
      <w:rPr>
        <w:rFonts w:ascii="Palatino Linotype" w:hAnsi="Palatino Linotype"/>
        <w:b/>
        <w:bCs/>
        <w:color w:val="000000"/>
        <w:sz w:val="22"/>
      </w:rPr>
      <w:fldChar w:fldCharType="begin"/>
    </w:r>
    <w:r w:rsidRPr="002B2CFF">
      <w:rPr>
        <w:rFonts w:ascii="Palatino Linotype" w:hAnsi="Palatino Linotype"/>
        <w:b/>
        <w:bCs/>
        <w:color w:val="000000"/>
        <w:sz w:val="22"/>
      </w:rPr>
      <w:instrText>PAGE</w:instrText>
    </w:r>
    <w:r w:rsidRPr="002B2CFF">
      <w:rPr>
        <w:rFonts w:ascii="Palatino Linotype" w:hAnsi="Palatino Linotype"/>
        <w:b/>
        <w:bCs/>
        <w:color w:val="000000"/>
        <w:sz w:val="22"/>
      </w:rPr>
      <w:fldChar w:fldCharType="separate"/>
    </w:r>
    <w:r w:rsidR="0020603F">
      <w:rPr>
        <w:rFonts w:ascii="Palatino Linotype" w:hAnsi="Palatino Linotype"/>
        <w:b/>
        <w:bCs/>
        <w:noProof/>
        <w:color w:val="000000"/>
        <w:sz w:val="22"/>
      </w:rPr>
      <w:t>1</w:t>
    </w:r>
    <w:r w:rsidRPr="002B2CFF">
      <w:rPr>
        <w:rFonts w:ascii="Palatino Linotype" w:hAnsi="Palatino Linotype"/>
        <w:b/>
        <w:bCs/>
        <w:color w:val="000000"/>
        <w:sz w:val="22"/>
      </w:rPr>
      <w:fldChar w:fldCharType="end"/>
    </w:r>
    <w:r w:rsidRPr="002B2CFF">
      <w:rPr>
        <w:rFonts w:ascii="Palatino Linotype" w:hAnsi="Palatino Linotype"/>
        <w:color w:val="000000"/>
        <w:sz w:val="22"/>
      </w:rPr>
      <w:t xml:space="preserve"> de </w:t>
    </w:r>
    <w:r w:rsidRPr="002B2CFF">
      <w:rPr>
        <w:rFonts w:ascii="Palatino Linotype" w:hAnsi="Palatino Linotype"/>
        <w:b/>
        <w:bCs/>
        <w:color w:val="000000"/>
        <w:sz w:val="22"/>
      </w:rPr>
      <w:fldChar w:fldCharType="begin"/>
    </w:r>
    <w:r w:rsidRPr="002B2CFF">
      <w:rPr>
        <w:rFonts w:ascii="Palatino Linotype" w:hAnsi="Palatino Linotype"/>
        <w:b/>
        <w:bCs/>
        <w:color w:val="000000"/>
        <w:sz w:val="22"/>
      </w:rPr>
      <w:instrText>NUMPAGES</w:instrText>
    </w:r>
    <w:r w:rsidRPr="002B2CFF">
      <w:rPr>
        <w:rFonts w:ascii="Palatino Linotype" w:hAnsi="Palatino Linotype"/>
        <w:b/>
        <w:bCs/>
        <w:color w:val="000000"/>
        <w:sz w:val="22"/>
      </w:rPr>
      <w:fldChar w:fldCharType="separate"/>
    </w:r>
    <w:r w:rsidR="0020603F">
      <w:rPr>
        <w:rFonts w:ascii="Palatino Linotype" w:hAnsi="Palatino Linotype"/>
        <w:b/>
        <w:bCs/>
        <w:noProof/>
        <w:color w:val="000000"/>
        <w:sz w:val="22"/>
      </w:rPr>
      <w:t>44</w:t>
    </w:r>
    <w:r w:rsidRPr="002B2CFF">
      <w:rPr>
        <w:rFonts w:ascii="Palatino Linotype" w:hAnsi="Palatino Linotype"/>
        <w:b/>
        <w:bCs/>
        <w:color w:val="000000"/>
        <w:sz w:val="22"/>
      </w:rPr>
      <w:fldChar w:fldCharType="end"/>
    </w:r>
  </w:p>
  <w:p w14:paraId="2227D5BC" w14:textId="77777777" w:rsidR="00EB3463" w:rsidRDefault="00EB3463">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0C69DA" w14:textId="77777777" w:rsidR="00FE3AB9" w:rsidRDefault="00FE3AB9" w:rsidP="006158B5">
      <w:r>
        <w:separator/>
      </w:r>
    </w:p>
  </w:footnote>
  <w:footnote w:type="continuationSeparator" w:id="0">
    <w:p w14:paraId="009B75F2" w14:textId="77777777" w:rsidR="00FE3AB9" w:rsidRDefault="00FE3AB9" w:rsidP="006158B5">
      <w:r>
        <w:continuationSeparator/>
      </w:r>
    </w:p>
  </w:footnote>
  <w:footnote w:id="1">
    <w:p w14:paraId="62B173E6" w14:textId="77777777" w:rsidR="00EB3463" w:rsidRDefault="00EB3463" w:rsidP="006158B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14:paraId="4CB819E4" w14:textId="77777777" w:rsidR="00EB3463" w:rsidRDefault="00EB3463" w:rsidP="006158B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14:paraId="4DC629C7" w14:textId="77777777" w:rsidR="00EB3463" w:rsidRDefault="00EB3463" w:rsidP="006158B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14:paraId="463D8AFD" w14:textId="77777777" w:rsidR="00EB3463" w:rsidRDefault="00EB3463" w:rsidP="006158B5">
      <w:pPr>
        <w:pBdr>
          <w:top w:val="nil"/>
          <w:left w:val="nil"/>
          <w:bottom w:val="nil"/>
          <w:right w:val="nil"/>
          <w:between w:val="nil"/>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14:paraId="4209E1A1" w14:textId="77777777" w:rsidR="008B422C" w:rsidRDefault="008B422C" w:rsidP="008B422C">
      <w:pPr>
        <w:pStyle w:val="Textonotapie"/>
      </w:pPr>
      <w:r>
        <w:rPr>
          <w:rStyle w:val="Refdenotaalpie"/>
        </w:rPr>
        <w:footnoteRef/>
      </w:r>
      <w:r>
        <w:t xml:space="preserve"> Convención Americana sobre Derechos Humanos. Artículo 13.</w:t>
      </w:r>
    </w:p>
  </w:footnote>
  <w:footnote w:id="6">
    <w:p w14:paraId="1021AF8A" w14:textId="77777777" w:rsidR="008B422C" w:rsidRDefault="008B422C" w:rsidP="008B422C">
      <w:pPr>
        <w:pStyle w:val="Textonotapie"/>
      </w:pPr>
      <w:r>
        <w:rPr>
          <w:rStyle w:val="Refdenotaalpie"/>
        </w:rPr>
        <w:footnoteRef/>
      </w:r>
      <w:r>
        <w:t xml:space="preserve"> Constitución Política de los Estados Unidos Mexicanos. Artículo sexto, sección A, Fracción I.</w:t>
      </w:r>
    </w:p>
  </w:footnote>
  <w:footnote w:id="7">
    <w:p w14:paraId="7757F0A2" w14:textId="77777777" w:rsidR="008B422C" w:rsidRPr="00F411B8" w:rsidRDefault="008B422C" w:rsidP="008B422C">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8">
    <w:p w14:paraId="03B77D34" w14:textId="77777777" w:rsidR="008B422C" w:rsidRPr="00F411B8" w:rsidRDefault="008B422C" w:rsidP="008B422C">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9">
    <w:p w14:paraId="314ADB3B" w14:textId="77777777" w:rsidR="008B422C" w:rsidRDefault="008B422C" w:rsidP="008B422C">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10">
    <w:p w14:paraId="1FC927C6" w14:textId="77777777" w:rsidR="008B422C" w:rsidRDefault="008B422C" w:rsidP="008B422C">
      <w:pPr>
        <w:pStyle w:val="Textonotapie"/>
      </w:pPr>
      <w:r>
        <w:rPr>
          <w:rStyle w:val="Refdenotaalpie"/>
        </w:rPr>
        <w:footnoteRef/>
      </w:r>
      <w:r>
        <w:t xml:space="preserve"> Ley de Transparencia y Acceso a la Información Pública del Estado de México y Municipios. Artículo 9. …</w:t>
      </w:r>
    </w:p>
    <w:p w14:paraId="03079965" w14:textId="77777777" w:rsidR="008B422C" w:rsidRDefault="008B422C" w:rsidP="008B422C">
      <w:pPr>
        <w:pStyle w:val="Textonotapie"/>
      </w:pPr>
      <w:r>
        <w:t>II. Eficacia: Obligación del Instituto para tutelar, de manera efectiva, el derecho de acceso a la información;</w:t>
      </w:r>
    </w:p>
    <w:p w14:paraId="55946F96" w14:textId="77777777" w:rsidR="008B422C" w:rsidRDefault="008B422C" w:rsidP="008B422C">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E96A12" w14:textId="77777777" w:rsidR="00EB3463" w:rsidRDefault="00FE3AB9">
    <w:pPr>
      <w:pBdr>
        <w:top w:val="nil"/>
        <w:left w:val="nil"/>
        <w:bottom w:val="nil"/>
        <w:right w:val="nil"/>
        <w:between w:val="nil"/>
      </w:pBdr>
      <w:tabs>
        <w:tab w:val="center" w:pos="4419"/>
        <w:tab w:val="right" w:pos="8838"/>
      </w:tabs>
      <w:rPr>
        <w:color w:val="000000"/>
      </w:rPr>
    </w:pPr>
    <w:r>
      <w:rPr>
        <w:color w:val="000000"/>
      </w:rPr>
      <w:pict w14:anchorId="2DC1FC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EB3463" w14:paraId="3E31BD9B" w14:textId="77777777" w:rsidTr="002B2CFF">
      <w:trPr>
        <w:trHeight w:val="1435"/>
      </w:trPr>
      <w:tc>
        <w:tcPr>
          <w:tcW w:w="2268" w:type="dxa"/>
          <w:shd w:val="clear" w:color="auto" w:fill="auto"/>
        </w:tcPr>
        <w:p w14:paraId="7347F8A2" w14:textId="7CFA9D64" w:rsidR="00EB3463" w:rsidRDefault="00EB3463">
          <w:pPr>
            <w:tabs>
              <w:tab w:val="right" w:pos="4273"/>
            </w:tabs>
            <w:rPr>
              <w:rFonts w:ascii="Garamond" w:eastAsia="Garamond" w:hAnsi="Garamond" w:cs="Garamond"/>
              <w:sz w:val="16"/>
              <w:szCs w:val="16"/>
            </w:rPr>
          </w:pPr>
        </w:p>
      </w:tc>
      <w:tc>
        <w:tcPr>
          <w:tcW w:w="8080" w:type="dxa"/>
          <w:shd w:val="clear" w:color="auto" w:fill="auto"/>
        </w:tcPr>
        <w:tbl>
          <w:tblPr>
            <w:tblW w:w="7385" w:type="dxa"/>
            <w:tblInd w:w="318" w:type="dxa"/>
            <w:tblLayout w:type="fixed"/>
            <w:tblLook w:val="0400" w:firstRow="0" w:lastRow="0" w:firstColumn="0" w:lastColumn="0" w:noHBand="0" w:noVBand="1"/>
          </w:tblPr>
          <w:tblGrid>
            <w:gridCol w:w="3680"/>
            <w:gridCol w:w="3705"/>
          </w:tblGrid>
          <w:tr w:rsidR="00EB3463" w14:paraId="3D8CB48E" w14:textId="77777777" w:rsidTr="002B2CFF">
            <w:trPr>
              <w:trHeight w:val="150"/>
            </w:trPr>
            <w:tc>
              <w:tcPr>
                <w:tcW w:w="3680" w:type="dxa"/>
                <w:shd w:val="clear" w:color="auto" w:fill="auto"/>
              </w:tcPr>
              <w:p w14:paraId="2C841C01" w14:textId="77777777" w:rsidR="00EB3463" w:rsidRPr="002B2CFF" w:rsidRDefault="00EB3463">
                <w:pPr>
                  <w:tabs>
                    <w:tab w:val="right" w:pos="8838"/>
                  </w:tabs>
                  <w:ind w:left="850" w:right="-105"/>
                  <w:jc w:val="both"/>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Recurso de Revisión:</w:t>
                </w:r>
              </w:p>
            </w:tc>
            <w:tc>
              <w:tcPr>
                <w:tcW w:w="3705" w:type="dxa"/>
                <w:shd w:val="clear" w:color="auto" w:fill="auto"/>
              </w:tcPr>
              <w:p w14:paraId="63332E86" w14:textId="77777777" w:rsidR="00EB3463" w:rsidRPr="002B2CFF" w:rsidRDefault="00EB3463">
                <w:pPr>
                  <w:tabs>
                    <w:tab w:val="right" w:pos="8838"/>
                  </w:tabs>
                  <w:ind w:right="-781"/>
                  <w:jc w:val="both"/>
                  <w:rPr>
                    <w:rFonts w:ascii="Palatino Linotype" w:eastAsia="Palatino Linotype" w:hAnsi="Palatino Linotype" w:cs="Palatino Linotype"/>
                    <w:szCs w:val="18"/>
                  </w:rPr>
                </w:pPr>
                <w:r w:rsidRPr="002B2CFF">
                  <w:rPr>
                    <w:rFonts w:ascii="Palatino Linotype" w:eastAsia="Palatino Linotype" w:hAnsi="Palatino Linotype" w:cs="Palatino Linotype"/>
                    <w:szCs w:val="18"/>
                  </w:rPr>
                  <w:t>14678/INFOEM/IP/RR/2025</w:t>
                </w:r>
              </w:p>
            </w:tc>
          </w:tr>
          <w:tr w:rsidR="00EB3463" w14:paraId="01DE6598" w14:textId="77777777" w:rsidTr="002B2CFF">
            <w:trPr>
              <w:trHeight w:val="295"/>
            </w:trPr>
            <w:tc>
              <w:tcPr>
                <w:tcW w:w="3680" w:type="dxa"/>
                <w:shd w:val="clear" w:color="auto" w:fill="auto"/>
              </w:tcPr>
              <w:p w14:paraId="59F77850" w14:textId="77777777" w:rsidR="00EB3463" w:rsidRPr="002B2CFF" w:rsidRDefault="00EB3463">
                <w:pPr>
                  <w:tabs>
                    <w:tab w:val="right" w:pos="8838"/>
                  </w:tabs>
                  <w:ind w:left="850" w:right="-105"/>
                  <w:jc w:val="both"/>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Sujeto Obligado:</w:t>
                </w:r>
              </w:p>
            </w:tc>
            <w:tc>
              <w:tcPr>
                <w:tcW w:w="3705" w:type="dxa"/>
                <w:shd w:val="clear" w:color="auto" w:fill="auto"/>
              </w:tcPr>
              <w:p w14:paraId="05CF6EE8" w14:textId="77777777" w:rsidR="00EB3463" w:rsidRPr="002B2CFF" w:rsidRDefault="00EB3463" w:rsidP="00EE0F54">
                <w:pPr>
                  <w:tabs>
                    <w:tab w:val="left" w:pos="2834"/>
                    <w:tab w:val="right" w:pos="8838"/>
                  </w:tabs>
                  <w:ind w:right="318"/>
                  <w:jc w:val="both"/>
                  <w:rPr>
                    <w:rFonts w:ascii="Palatino Linotype" w:eastAsia="Palatino Linotype" w:hAnsi="Palatino Linotype" w:cs="Palatino Linotype"/>
                    <w:b/>
                    <w:szCs w:val="18"/>
                  </w:rPr>
                </w:pPr>
                <w:r w:rsidRPr="002B2CFF">
                  <w:rPr>
                    <w:rFonts w:ascii="Palatino Linotype" w:eastAsia="Palatino Linotype" w:hAnsi="Palatino Linotype" w:cs="Palatino Linotype"/>
                    <w:b/>
                    <w:szCs w:val="18"/>
                  </w:rPr>
                  <w:t xml:space="preserve">Secretaría de la Contraloría </w:t>
                </w:r>
              </w:p>
            </w:tc>
          </w:tr>
          <w:tr w:rsidR="00EB3463" w14:paraId="1F4BBD29" w14:textId="77777777" w:rsidTr="002B2CFF">
            <w:trPr>
              <w:trHeight w:val="295"/>
            </w:trPr>
            <w:tc>
              <w:tcPr>
                <w:tcW w:w="3680" w:type="dxa"/>
                <w:shd w:val="clear" w:color="auto" w:fill="auto"/>
              </w:tcPr>
              <w:p w14:paraId="4BEC2B3F" w14:textId="77777777" w:rsidR="00EB3463" w:rsidRPr="002B2CFF" w:rsidRDefault="00EB3463">
                <w:pPr>
                  <w:tabs>
                    <w:tab w:val="right" w:pos="8838"/>
                  </w:tabs>
                  <w:ind w:left="850" w:right="-105"/>
                  <w:jc w:val="both"/>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Comisionada ponente:</w:t>
                </w:r>
              </w:p>
            </w:tc>
            <w:tc>
              <w:tcPr>
                <w:tcW w:w="3705" w:type="dxa"/>
                <w:shd w:val="clear" w:color="auto" w:fill="auto"/>
              </w:tcPr>
              <w:p w14:paraId="3E43DE1D" w14:textId="77777777" w:rsidR="00EB3463" w:rsidRPr="002B2CFF" w:rsidRDefault="00EB3463">
                <w:pPr>
                  <w:tabs>
                    <w:tab w:val="right" w:pos="8838"/>
                  </w:tabs>
                  <w:ind w:right="-781"/>
                  <w:jc w:val="both"/>
                  <w:rPr>
                    <w:rFonts w:ascii="Palatino Linotype" w:eastAsia="Palatino Linotype" w:hAnsi="Palatino Linotype" w:cs="Palatino Linotype"/>
                    <w:szCs w:val="18"/>
                  </w:rPr>
                </w:pPr>
                <w:r w:rsidRPr="002B2CFF">
                  <w:rPr>
                    <w:rFonts w:ascii="Palatino Linotype" w:eastAsia="Palatino Linotype" w:hAnsi="Palatino Linotype" w:cs="Palatino Linotype"/>
                    <w:szCs w:val="18"/>
                  </w:rPr>
                  <w:t>María del Rosario Mejía Ayala</w:t>
                </w:r>
              </w:p>
              <w:p w14:paraId="4CACE14A" w14:textId="77777777" w:rsidR="00EB3463" w:rsidRPr="002B2CFF" w:rsidRDefault="00EB3463">
                <w:pPr>
                  <w:tabs>
                    <w:tab w:val="right" w:pos="8838"/>
                  </w:tabs>
                  <w:ind w:left="141" w:right="-781"/>
                  <w:jc w:val="both"/>
                  <w:rPr>
                    <w:rFonts w:ascii="Palatino Linotype" w:eastAsia="Palatino Linotype" w:hAnsi="Palatino Linotype" w:cs="Palatino Linotype"/>
                    <w:szCs w:val="18"/>
                  </w:rPr>
                </w:pPr>
              </w:p>
            </w:tc>
          </w:tr>
        </w:tbl>
        <w:p w14:paraId="37A4893D" w14:textId="77777777" w:rsidR="00EB3463" w:rsidRDefault="00EB3463">
          <w:pPr>
            <w:tabs>
              <w:tab w:val="right" w:pos="8838"/>
            </w:tabs>
            <w:ind w:left="-28"/>
            <w:jc w:val="both"/>
            <w:rPr>
              <w:rFonts w:ascii="Arial" w:eastAsia="Arial" w:hAnsi="Arial" w:cs="Arial"/>
              <w:b/>
              <w:bCs/>
              <w:sz w:val="18"/>
              <w:szCs w:val="18"/>
            </w:rPr>
          </w:pPr>
        </w:p>
      </w:tc>
    </w:tr>
  </w:tbl>
  <w:p w14:paraId="1543B1FC" w14:textId="3574F32D" w:rsidR="00EB3463" w:rsidRDefault="00FE3AB9">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060C6D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50.8pt;margin-top:-118.15pt;width:589.8pt;height:768pt;z-index:-251656192;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Layout w:type="fixed"/>
      <w:tblLook w:val="0400" w:firstRow="0" w:lastRow="0" w:firstColumn="0" w:lastColumn="0" w:noHBand="0" w:noVBand="1"/>
    </w:tblPr>
    <w:tblGrid>
      <w:gridCol w:w="2265"/>
      <w:gridCol w:w="7800"/>
    </w:tblGrid>
    <w:tr w:rsidR="00EB3463" w14:paraId="57C81235" w14:textId="77777777">
      <w:trPr>
        <w:trHeight w:val="1435"/>
      </w:trPr>
      <w:tc>
        <w:tcPr>
          <w:tcW w:w="2265" w:type="dxa"/>
          <w:shd w:val="clear" w:color="auto" w:fill="auto"/>
        </w:tcPr>
        <w:p w14:paraId="32CF49AF" w14:textId="649C8F2A" w:rsidR="00EB3463" w:rsidRDefault="00EB3463">
          <w:pPr>
            <w:tabs>
              <w:tab w:val="right" w:pos="4273"/>
            </w:tabs>
            <w:rPr>
              <w:rFonts w:ascii="Garamond" w:eastAsia="Garamond" w:hAnsi="Garamond" w:cs="Garamond"/>
              <w:sz w:val="22"/>
              <w:szCs w:val="22"/>
            </w:rPr>
          </w:pPr>
        </w:p>
      </w:tc>
      <w:tc>
        <w:tcPr>
          <w:tcW w:w="7800" w:type="dxa"/>
          <w:shd w:val="clear" w:color="auto" w:fill="auto"/>
        </w:tcPr>
        <w:tbl>
          <w:tblPr>
            <w:tblW w:w="7650" w:type="dxa"/>
            <w:tblInd w:w="1171" w:type="dxa"/>
            <w:tblLayout w:type="fixed"/>
            <w:tblLook w:val="0400" w:firstRow="0" w:lastRow="0" w:firstColumn="0" w:lastColumn="0" w:noHBand="0" w:noVBand="1"/>
          </w:tblPr>
          <w:tblGrid>
            <w:gridCol w:w="2730"/>
            <w:gridCol w:w="4920"/>
          </w:tblGrid>
          <w:tr w:rsidR="00EB3463" w14:paraId="1A70A953" w14:textId="77777777" w:rsidTr="002B2CFF">
            <w:trPr>
              <w:trHeight w:val="144"/>
            </w:trPr>
            <w:tc>
              <w:tcPr>
                <w:tcW w:w="2730" w:type="dxa"/>
                <w:shd w:val="clear" w:color="auto" w:fill="auto"/>
              </w:tcPr>
              <w:p w14:paraId="29F9A9DA" w14:textId="77777777" w:rsidR="00EB3463" w:rsidRPr="002B2CFF" w:rsidRDefault="00EB3463" w:rsidP="002B2CFF">
                <w:pPr>
                  <w:tabs>
                    <w:tab w:val="right" w:pos="8838"/>
                  </w:tabs>
                  <w:ind w:right="-105"/>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Recurso de Revisión:</w:t>
                </w:r>
              </w:p>
            </w:tc>
            <w:tc>
              <w:tcPr>
                <w:tcW w:w="4920" w:type="dxa"/>
                <w:shd w:val="clear" w:color="auto" w:fill="auto"/>
              </w:tcPr>
              <w:p w14:paraId="69F5EC21" w14:textId="77777777" w:rsidR="00EB3463" w:rsidRPr="002B2CFF" w:rsidRDefault="00EB3463" w:rsidP="002B2CFF">
                <w:pPr>
                  <w:tabs>
                    <w:tab w:val="right" w:pos="8838"/>
                  </w:tabs>
                  <w:ind w:right="-1552"/>
                  <w:rPr>
                    <w:rFonts w:ascii="Palatino Linotype" w:eastAsia="Palatino Linotype" w:hAnsi="Palatino Linotype" w:cs="Palatino Linotype"/>
                    <w:szCs w:val="18"/>
                  </w:rPr>
                </w:pPr>
                <w:r w:rsidRPr="002B2CFF">
                  <w:rPr>
                    <w:rFonts w:ascii="Palatino Linotype" w:eastAsia="Palatino Linotype" w:hAnsi="Palatino Linotype" w:cs="Palatino Linotype"/>
                    <w:szCs w:val="18"/>
                  </w:rPr>
                  <w:t>14678/INFOEM/IP/RR/2025</w:t>
                </w:r>
              </w:p>
            </w:tc>
          </w:tr>
          <w:tr w:rsidR="00EB3463" w14:paraId="6A798D60" w14:textId="77777777" w:rsidTr="002B2CFF">
            <w:trPr>
              <w:trHeight w:val="144"/>
            </w:trPr>
            <w:tc>
              <w:tcPr>
                <w:tcW w:w="2730" w:type="dxa"/>
                <w:shd w:val="clear" w:color="auto" w:fill="auto"/>
              </w:tcPr>
              <w:p w14:paraId="6F1C87E0" w14:textId="77777777" w:rsidR="00EB3463" w:rsidRPr="002B2CFF" w:rsidRDefault="00EB3463" w:rsidP="002B2CFF">
                <w:pPr>
                  <w:tabs>
                    <w:tab w:val="right" w:pos="8838"/>
                  </w:tabs>
                  <w:ind w:right="-105"/>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Recurrente:</w:t>
                </w:r>
              </w:p>
            </w:tc>
            <w:tc>
              <w:tcPr>
                <w:tcW w:w="4920" w:type="dxa"/>
                <w:shd w:val="clear" w:color="auto" w:fill="auto"/>
              </w:tcPr>
              <w:p w14:paraId="34959B74" w14:textId="7277979E" w:rsidR="00EB3463" w:rsidRPr="002B2CFF" w:rsidRDefault="0020603F" w:rsidP="002B2CFF">
                <w:pPr>
                  <w:tabs>
                    <w:tab w:val="left" w:pos="3122"/>
                    <w:tab w:val="right" w:pos="8838"/>
                  </w:tabs>
                  <w:ind w:right="-1552"/>
                  <w:rPr>
                    <w:rFonts w:ascii="Palatino Linotype" w:eastAsia="Palatino Linotype" w:hAnsi="Palatino Linotype" w:cs="Palatino Linotype"/>
                    <w:szCs w:val="18"/>
                  </w:rPr>
                </w:pPr>
                <w:r>
                  <w:rPr>
                    <w:rFonts w:ascii="Palatino Linotype" w:eastAsia="Palatino Linotype" w:hAnsi="Palatino Linotype" w:cs="Palatino Linotype"/>
                    <w:b/>
                    <w:bCs/>
                    <w:szCs w:val="18"/>
                  </w:rPr>
                  <w:t>XXXX</w:t>
                </w:r>
              </w:p>
            </w:tc>
          </w:tr>
          <w:tr w:rsidR="00EB3463" w14:paraId="198C10FE" w14:textId="77777777" w:rsidTr="002B2CFF">
            <w:trPr>
              <w:trHeight w:val="80"/>
            </w:trPr>
            <w:tc>
              <w:tcPr>
                <w:tcW w:w="2730" w:type="dxa"/>
                <w:shd w:val="clear" w:color="auto" w:fill="auto"/>
              </w:tcPr>
              <w:p w14:paraId="54318CB7" w14:textId="77777777" w:rsidR="00EB3463" w:rsidRPr="002B2CFF" w:rsidRDefault="00EB3463" w:rsidP="002B2CFF">
                <w:pPr>
                  <w:tabs>
                    <w:tab w:val="right" w:pos="8838"/>
                  </w:tabs>
                  <w:ind w:right="-105"/>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Sujeto Obligado:</w:t>
                </w:r>
              </w:p>
            </w:tc>
            <w:tc>
              <w:tcPr>
                <w:tcW w:w="4920" w:type="dxa"/>
                <w:shd w:val="clear" w:color="auto" w:fill="auto"/>
              </w:tcPr>
              <w:p w14:paraId="0BF03774" w14:textId="77777777" w:rsidR="00EB3463" w:rsidRPr="002B2CFF" w:rsidRDefault="00EB3463" w:rsidP="002B2CFF">
                <w:pPr>
                  <w:tabs>
                    <w:tab w:val="left" w:pos="2834"/>
                    <w:tab w:val="right" w:pos="8838"/>
                  </w:tabs>
                  <w:ind w:right="-106"/>
                  <w:rPr>
                    <w:rFonts w:ascii="Palatino Linotype" w:eastAsia="Palatino Linotype" w:hAnsi="Palatino Linotype" w:cs="Palatino Linotype"/>
                    <w:szCs w:val="18"/>
                  </w:rPr>
                </w:pPr>
                <w:r w:rsidRPr="002B2CFF">
                  <w:rPr>
                    <w:rFonts w:ascii="Palatino Linotype" w:eastAsia="Palatino Linotype" w:hAnsi="Palatino Linotype" w:cs="Palatino Linotype"/>
                    <w:b/>
                    <w:bCs/>
                    <w:szCs w:val="18"/>
                  </w:rPr>
                  <w:t xml:space="preserve">Secretaría de la Contraloría </w:t>
                </w:r>
              </w:p>
            </w:tc>
          </w:tr>
          <w:tr w:rsidR="00EB3463" w14:paraId="2A41A69D" w14:textId="77777777" w:rsidTr="002B2CFF">
            <w:trPr>
              <w:trHeight w:val="283"/>
            </w:trPr>
            <w:tc>
              <w:tcPr>
                <w:tcW w:w="2730" w:type="dxa"/>
                <w:shd w:val="clear" w:color="auto" w:fill="auto"/>
              </w:tcPr>
              <w:p w14:paraId="2D74AE6D" w14:textId="77777777" w:rsidR="00EB3463" w:rsidRPr="002B2CFF" w:rsidRDefault="00EB3463" w:rsidP="002B2CFF">
                <w:pPr>
                  <w:tabs>
                    <w:tab w:val="right" w:pos="8838"/>
                  </w:tabs>
                  <w:ind w:right="-105"/>
                  <w:rPr>
                    <w:rFonts w:ascii="Palatino Linotype" w:eastAsia="Palatino Linotype" w:hAnsi="Palatino Linotype" w:cs="Palatino Linotype"/>
                    <w:b/>
                    <w:bCs/>
                    <w:szCs w:val="18"/>
                  </w:rPr>
                </w:pPr>
                <w:r w:rsidRPr="002B2CFF">
                  <w:rPr>
                    <w:rFonts w:ascii="Palatino Linotype" w:eastAsia="Palatino Linotype" w:hAnsi="Palatino Linotype" w:cs="Palatino Linotype"/>
                    <w:b/>
                    <w:bCs/>
                    <w:szCs w:val="18"/>
                  </w:rPr>
                  <w:t>Comisionada ponente:</w:t>
                </w:r>
              </w:p>
            </w:tc>
            <w:tc>
              <w:tcPr>
                <w:tcW w:w="4920" w:type="dxa"/>
                <w:shd w:val="clear" w:color="auto" w:fill="auto"/>
              </w:tcPr>
              <w:p w14:paraId="70545061" w14:textId="77777777" w:rsidR="00EB3463" w:rsidRPr="002B2CFF" w:rsidRDefault="00EB3463" w:rsidP="002B2CFF">
                <w:pPr>
                  <w:tabs>
                    <w:tab w:val="right" w:pos="8838"/>
                  </w:tabs>
                  <w:ind w:right="-1552"/>
                  <w:rPr>
                    <w:rFonts w:ascii="Palatino Linotype" w:eastAsia="Palatino Linotype" w:hAnsi="Palatino Linotype" w:cs="Palatino Linotype"/>
                    <w:szCs w:val="18"/>
                  </w:rPr>
                </w:pPr>
                <w:r w:rsidRPr="002B2CFF">
                  <w:rPr>
                    <w:rFonts w:ascii="Palatino Linotype" w:eastAsia="Palatino Linotype" w:hAnsi="Palatino Linotype" w:cs="Palatino Linotype"/>
                    <w:szCs w:val="18"/>
                  </w:rPr>
                  <w:t>María del Rosario Mejía Ayala</w:t>
                </w:r>
              </w:p>
              <w:p w14:paraId="6D9C8FB3" w14:textId="77777777" w:rsidR="00EB3463" w:rsidRPr="002B2CFF" w:rsidRDefault="00EB3463" w:rsidP="002B2CFF">
                <w:pPr>
                  <w:tabs>
                    <w:tab w:val="right" w:pos="8838"/>
                  </w:tabs>
                  <w:ind w:right="-1552"/>
                  <w:rPr>
                    <w:rFonts w:ascii="Palatino Linotype" w:eastAsia="Palatino Linotype" w:hAnsi="Palatino Linotype" w:cs="Palatino Linotype"/>
                    <w:szCs w:val="18"/>
                  </w:rPr>
                </w:pPr>
              </w:p>
            </w:tc>
          </w:tr>
        </w:tbl>
        <w:p w14:paraId="33A18DC2" w14:textId="77777777" w:rsidR="00EB3463" w:rsidRDefault="00EB3463">
          <w:pPr>
            <w:tabs>
              <w:tab w:val="right" w:pos="8838"/>
            </w:tabs>
            <w:ind w:left="-28"/>
            <w:jc w:val="both"/>
            <w:rPr>
              <w:rFonts w:ascii="Arial" w:eastAsia="Arial" w:hAnsi="Arial" w:cs="Arial"/>
              <w:b/>
              <w:bCs/>
              <w:sz w:val="22"/>
              <w:szCs w:val="22"/>
            </w:rPr>
          </w:pPr>
        </w:p>
      </w:tc>
    </w:tr>
  </w:tbl>
  <w:p w14:paraId="316F6714" w14:textId="652D1D0A" w:rsidR="00EB3463" w:rsidRDefault="00FE3AB9">
    <w:pPr>
      <w:pBdr>
        <w:top w:val="nil"/>
        <w:left w:val="nil"/>
        <w:bottom w:val="nil"/>
        <w:right w:val="nil"/>
        <w:between w:val="nil"/>
      </w:pBdr>
      <w:tabs>
        <w:tab w:val="center" w:pos="4419"/>
        <w:tab w:val="right" w:pos="8838"/>
      </w:tabs>
      <w:rPr>
        <w:color w:val="000000"/>
        <w:sz w:val="2"/>
        <w:szCs w:val="2"/>
      </w:rPr>
    </w:pPr>
    <w:r>
      <w:rPr>
        <w:color w:val="000000"/>
        <w:sz w:val="2"/>
        <w:szCs w:val="2"/>
      </w:rPr>
      <w:pict w14:anchorId="25D7C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61.8pt;margin-top:-118.4pt;width:589.8pt;height:768pt;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F2C2B"/>
    <w:multiLevelType w:val="multilevel"/>
    <w:tmpl w:val="2F22AF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543428C"/>
    <w:multiLevelType w:val="multilevel"/>
    <w:tmpl w:val="869A6D02"/>
    <w:lvl w:ilvl="0">
      <w:start w:val="1"/>
      <w:numFmt w:val="upperRoman"/>
      <w:lvlText w:val="%1."/>
      <w:lvlJc w:val="left"/>
      <w:pPr>
        <w:ind w:left="1854" w:hanging="72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 w15:restartNumberingAfterBreak="0">
    <w:nsid w:val="2C1D1611"/>
    <w:multiLevelType w:val="multilevel"/>
    <w:tmpl w:val="943A21F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D873E99"/>
    <w:multiLevelType w:val="multilevel"/>
    <w:tmpl w:val="8D5EE8D8"/>
    <w:lvl w:ilvl="0">
      <w:start w:val="1"/>
      <w:numFmt w:val="lowerLetter"/>
      <w:lvlText w:val="%1)"/>
      <w:lvlJc w:val="left"/>
      <w:pPr>
        <w:ind w:left="1068" w:hanging="360"/>
      </w:pPr>
      <w:rPr>
        <w:rFonts w:hint="default"/>
      </w:rPr>
    </w:lvl>
    <w:lvl w:ilvl="1">
      <w:start w:val="1"/>
      <w:numFmt w:val="bullet"/>
      <w:lvlText w:val="o"/>
      <w:lvlJc w:val="left"/>
      <w:pPr>
        <w:ind w:left="1788" w:hanging="360"/>
      </w:pPr>
      <w:rPr>
        <w:rFonts w:ascii="Courier New" w:eastAsia="Courier New" w:hAnsi="Courier New" w:cs="Courier New" w:hint="default"/>
      </w:rPr>
    </w:lvl>
    <w:lvl w:ilvl="2">
      <w:start w:val="1"/>
      <w:numFmt w:val="bullet"/>
      <w:lvlText w:val="▪"/>
      <w:lvlJc w:val="left"/>
      <w:pPr>
        <w:ind w:left="2508" w:hanging="360"/>
      </w:pPr>
      <w:rPr>
        <w:rFonts w:ascii="Noto Sans Symbols" w:eastAsia="Noto Sans Symbols" w:hAnsi="Noto Sans Symbols" w:cs="Noto Sans Symbols" w:hint="default"/>
      </w:rPr>
    </w:lvl>
    <w:lvl w:ilvl="3">
      <w:start w:val="1"/>
      <w:numFmt w:val="bullet"/>
      <w:lvlText w:val="●"/>
      <w:lvlJc w:val="left"/>
      <w:pPr>
        <w:ind w:left="3228" w:hanging="360"/>
      </w:pPr>
      <w:rPr>
        <w:rFonts w:ascii="Noto Sans Symbols" w:eastAsia="Noto Sans Symbols" w:hAnsi="Noto Sans Symbols" w:cs="Noto Sans Symbols" w:hint="default"/>
      </w:rPr>
    </w:lvl>
    <w:lvl w:ilvl="4">
      <w:start w:val="1"/>
      <w:numFmt w:val="bullet"/>
      <w:lvlText w:val="o"/>
      <w:lvlJc w:val="left"/>
      <w:pPr>
        <w:ind w:left="3948" w:hanging="360"/>
      </w:pPr>
      <w:rPr>
        <w:rFonts w:ascii="Courier New" w:eastAsia="Courier New" w:hAnsi="Courier New" w:cs="Courier New" w:hint="default"/>
      </w:rPr>
    </w:lvl>
    <w:lvl w:ilvl="5">
      <w:start w:val="1"/>
      <w:numFmt w:val="bullet"/>
      <w:lvlText w:val="▪"/>
      <w:lvlJc w:val="left"/>
      <w:pPr>
        <w:ind w:left="4668" w:hanging="360"/>
      </w:pPr>
      <w:rPr>
        <w:rFonts w:ascii="Noto Sans Symbols" w:eastAsia="Noto Sans Symbols" w:hAnsi="Noto Sans Symbols" w:cs="Noto Sans Symbols" w:hint="default"/>
      </w:rPr>
    </w:lvl>
    <w:lvl w:ilvl="6">
      <w:start w:val="1"/>
      <w:numFmt w:val="bullet"/>
      <w:lvlText w:val="●"/>
      <w:lvlJc w:val="left"/>
      <w:pPr>
        <w:ind w:left="5388" w:hanging="360"/>
      </w:pPr>
      <w:rPr>
        <w:rFonts w:ascii="Noto Sans Symbols" w:eastAsia="Noto Sans Symbols" w:hAnsi="Noto Sans Symbols" w:cs="Noto Sans Symbols" w:hint="default"/>
      </w:rPr>
    </w:lvl>
    <w:lvl w:ilvl="7">
      <w:start w:val="1"/>
      <w:numFmt w:val="bullet"/>
      <w:lvlText w:val="o"/>
      <w:lvlJc w:val="left"/>
      <w:pPr>
        <w:ind w:left="6108" w:hanging="360"/>
      </w:pPr>
      <w:rPr>
        <w:rFonts w:ascii="Courier New" w:eastAsia="Courier New" w:hAnsi="Courier New" w:cs="Courier New" w:hint="default"/>
      </w:rPr>
    </w:lvl>
    <w:lvl w:ilvl="8">
      <w:start w:val="1"/>
      <w:numFmt w:val="bullet"/>
      <w:lvlText w:val="▪"/>
      <w:lvlJc w:val="left"/>
      <w:pPr>
        <w:ind w:left="6828" w:hanging="360"/>
      </w:pPr>
      <w:rPr>
        <w:rFonts w:ascii="Noto Sans Symbols" w:eastAsia="Noto Sans Symbols" w:hAnsi="Noto Sans Symbols" w:cs="Noto Sans Symbols" w:hint="default"/>
      </w:rPr>
    </w:lvl>
  </w:abstractNum>
  <w:abstractNum w:abstractNumId="5" w15:restartNumberingAfterBreak="0">
    <w:nsid w:val="30A74619"/>
    <w:multiLevelType w:val="multilevel"/>
    <w:tmpl w:val="DD521FD4"/>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upperLetter"/>
      <w:lvlText w:val="%3)"/>
      <w:lvlJc w:val="left"/>
      <w:pPr>
        <w:ind w:left="2340" w:hanging="360"/>
      </w:pPr>
    </w:lvl>
    <w:lvl w:ilvl="3">
      <w:start w:val="1"/>
      <w:numFmt w:val="lowerLetter"/>
      <w:lvlText w:val="%4)"/>
      <w:lvlJc w:val="left"/>
      <w:pPr>
        <w:ind w:left="2880" w:hanging="360"/>
      </w:pPr>
      <w:rPr>
        <w:b w:val="0"/>
        <w:bCs w:val="0"/>
        <w:color w:val="00000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4317490"/>
    <w:multiLevelType w:val="hybridMultilevel"/>
    <w:tmpl w:val="02EC67D8"/>
    <w:lvl w:ilvl="0" w:tplc="F5C4018E">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6DC2FF6"/>
    <w:multiLevelType w:val="multilevel"/>
    <w:tmpl w:val="51048D98"/>
    <w:lvl w:ilvl="0">
      <w:start w:val="1"/>
      <w:numFmt w:val="decimal"/>
      <w:lvlText w:val="%1."/>
      <w:lvlJc w:val="left"/>
      <w:pPr>
        <w:ind w:left="357"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69F5480"/>
    <w:multiLevelType w:val="multilevel"/>
    <w:tmpl w:val="149E3BF8"/>
    <w:lvl w:ilvl="0">
      <w:start w:val="1"/>
      <w:numFmt w:val="decimal"/>
      <w:pStyle w:val="Listaconvietas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82D7E1E"/>
    <w:multiLevelType w:val="multilevel"/>
    <w:tmpl w:val="21CE35B0"/>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064082"/>
    <w:multiLevelType w:val="multilevel"/>
    <w:tmpl w:val="07DCFCC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5"/>
  </w:num>
  <w:num w:numId="3">
    <w:abstractNumId w:val="11"/>
  </w:num>
  <w:num w:numId="4">
    <w:abstractNumId w:val="2"/>
  </w:num>
  <w:num w:numId="5">
    <w:abstractNumId w:val="3"/>
  </w:num>
  <w:num w:numId="6">
    <w:abstractNumId w:val="6"/>
  </w:num>
  <w:num w:numId="7">
    <w:abstractNumId w:val="9"/>
  </w:num>
  <w:num w:numId="8">
    <w:abstractNumId w:val="1"/>
  </w:num>
  <w:num w:numId="9">
    <w:abstractNumId w:val="10"/>
  </w:num>
  <w:num w:numId="10">
    <w:abstractNumId w:val="0"/>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8B5"/>
    <w:rsid w:val="00026AC6"/>
    <w:rsid w:val="0003681B"/>
    <w:rsid w:val="000641A2"/>
    <w:rsid w:val="00064B5F"/>
    <w:rsid w:val="000B0FA4"/>
    <w:rsid w:val="000F149E"/>
    <w:rsid w:val="001011B7"/>
    <w:rsid w:val="00134C70"/>
    <w:rsid w:val="00166A52"/>
    <w:rsid w:val="001707A0"/>
    <w:rsid w:val="002029CF"/>
    <w:rsid w:val="0020603F"/>
    <w:rsid w:val="00247F2E"/>
    <w:rsid w:val="00252FBF"/>
    <w:rsid w:val="00282066"/>
    <w:rsid w:val="002B2CFF"/>
    <w:rsid w:val="002C5943"/>
    <w:rsid w:val="002C6A4C"/>
    <w:rsid w:val="00335D2C"/>
    <w:rsid w:val="00386D0A"/>
    <w:rsid w:val="0039291C"/>
    <w:rsid w:val="004319F1"/>
    <w:rsid w:val="00480967"/>
    <w:rsid w:val="005423D9"/>
    <w:rsid w:val="005D1338"/>
    <w:rsid w:val="005F006F"/>
    <w:rsid w:val="006158B5"/>
    <w:rsid w:val="00652251"/>
    <w:rsid w:val="00655CA4"/>
    <w:rsid w:val="006A1F04"/>
    <w:rsid w:val="007158D6"/>
    <w:rsid w:val="00786694"/>
    <w:rsid w:val="007A01D5"/>
    <w:rsid w:val="007B29C6"/>
    <w:rsid w:val="007F5841"/>
    <w:rsid w:val="008718AD"/>
    <w:rsid w:val="008B422C"/>
    <w:rsid w:val="009653CA"/>
    <w:rsid w:val="00967FCA"/>
    <w:rsid w:val="00994F7C"/>
    <w:rsid w:val="009A0E0C"/>
    <w:rsid w:val="009F365E"/>
    <w:rsid w:val="00A31B2F"/>
    <w:rsid w:val="00A57947"/>
    <w:rsid w:val="00AC2AC2"/>
    <w:rsid w:val="00AE6584"/>
    <w:rsid w:val="00C20940"/>
    <w:rsid w:val="00D145B7"/>
    <w:rsid w:val="00D62EB8"/>
    <w:rsid w:val="00D96BE9"/>
    <w:rsid w:val="00DC2AFF"/>
    <w:rsid w:val="00EB3463"/>
    <w:rsid w:val="00EC625D"/>
    <w:rsid w:val="00EE0F54"/>
    <w:rsid w:val="00F82932"/>
    <w:rsid w:val="00FE3AB9"/>
    <w:rsid w:val="00FE45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446DFB4"/>
  <w15:chartTrackingRefBased/>
  <w15:docId w15:val="{7471205D-A392-47EB-BA2F-D9B7E559C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158B5"/>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6158B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rsid w:val="006158B5"/>
    <w:pPr>
      <w:keepNext/>
      <w:keepLines/>
      <w:spacing w:before="40" w:line="259" w:lineRule="auto"/>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158B5"/>
    <w:rPr>
      <w:rFonts w:asciiTheme="majorHAnsi" w:eastAsiaTheme="majorEastAsia" w:hAnsiTheme="majorHAnsi" w:cstheme="majorBidi"/>
      <w:color w:val="2E74B5" w:themeColor="accent1" w:themeShade="BF"/>
      <w:sz w:val="32"/>
      <w:szCs w:val="32"/>
      <w:lang w:eastAsia="es-MX"/>
    </w:rPr>
  </w:style>
  <w:style w:type="character" w:customStyle="1" w:styleId="Ttulo2Car">
    <w:name w:val="Título 2 Car"/>
    <w:basedOn w:val="Fuentedeprrafopredeter"/>
    <w:link w:val="Ttulo2"/>
    <w:rsid w:val="006158B5"/>
    <w:rPr>
      <w:rFonts w:ascii="Calibri" w:eastAsia="Calibri" w:hAnsi="Calibri" w:cs="Calibri"/>
      <w:color w:val="2E75B5"/>
      <w:sz w:val="26"/>
      <w:szCs w:val="26"/>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6158B5"/>
    <w:pPr>
      <w:ind w:left="720"/>
      <w:contextualSpacing/>
    </w:pPr>
    <w:rPr>
      <w:rFonts w:ascii="Century Gothic" w:hAnsi="Century Gothic"/>
      <w:sz w:val="22"/>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rsid w:val="006158B5"/>
    <w:rPr>
      <w:rFonts w:ascii="Century Gothic" w:eastAsia="Times New Roman" w:hAnsi="Century Gothic" w:cs="Times New Roman"/>
      <w:szCs w:val="24"/>
      <w:lang w:eastAsia="es-MX"/>
    </w:rPr>
  </w:style>
  <w:style w:type="table" w:styleId="Tablaconcuadrcula">
    <w:name w:val="Table Grid"/>
    <w:basedOn w:val="Tablanormal"/>
    <w:uiPriority w:val="39"/>
    <w:rsid w:val="00615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6158B5"/>
    <w:pPr>
      <w:tabs>
        <w:tab w:val="center" w:pos="4419"/>
        <w:tab w:val="right" w:pos="8838"/>
      </w:tabs>
    </w:pPr>
  </w:style>
  <w:style w:type="character" w:customStyle="1" w:styleId="PiedepginaCar">
    <w:name w:val="Pie de página Car"/>
    <w:basedOn w:val="Fuentedeprrafopredeter"/>
    <w:link w:val="Piedepgina"/>
    <w:uiPriority w:val="99"/>
    <w:rsid w:val="006158B5"/>
    <w:rPr>
      <w:rFonts w:ascii="Times New Roman" w:eastAsia="Times New Roman" w:hAnsi="Times New Roman" w:cs="Times New Roman"/>
      <w:sz w:val="24"/>
      <w:szCs w:val="24"/>
      <w:lang w:eastAsia="es-MX"/>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locked/>
    <w:rsid w:val="008B422C"/>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8B422C"/>
    <w:rPr>
      <w:rFonts w:asciiTheme="minorHAnsi" w:eastAsiaTheme="minorHAnsi" w:hAnsiTheme="minorHAnsi" w:cstheme="minorBidi"/>
      <w:sz w:val="20"/>
      <w:szCs w:val="20"/>
      <w:lang w:eastAsia="en-US"/>
    </w:rPr>
  </w:style>
  <w:style w:type="character" w:customStyle="1" w:styleId="TextonotapieCar1">
    <w:name w:val="Texto nota pie Car1"/>
    <w:basedOn w:val="Fuentedeprrafopredeter"/>
    <w:uiPriority w:val="99"/>
    <w:semiHidden/>
    <w:rsid w:val="008B422C"/>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8B422C"/>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qFormat/>
    <w:rsid w:val="008B422C"/>
    <w:rPr>
      <w:color w:val="0563C1" w:themeColor="hyperlink"/>
      <w:u w:val="single"/>
    </w:rPr>
  </w:style>
  <w:style w:type="paragraph" w:styleId="Listaconvietas3">
    <w:name w:val="List Bullet 3"/>
    <w:basedOn w:val="Normal"/>
    <w:uiPriority w:val="99"/>
    <w:unhideWhenUsed/>
    <w:rsid w:val="008B422C"/>
    <w:pPr>
      <w:numPr>
        <w:numId w:val="1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653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44</Pages>
  <Words>11427</Words>
  <Characters>62853</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INFOEM399</dc:creator>
  <cp:keywords/>
  <dc:description/>
  <cp:lastModifiedBy>Cuenta Microsoft</cp:lastModifiedBy>
  <cp:revision>8</cp:revision>
  <cp:lastPrinted>2026-05-14T17:47:00Z</cp:lastPrinted>
  <dcterms:created xsi:type="dcterms:W3CDTF">2026-05-07T20:48:00Z</dcterms:created>
  <dcterms:modified xsi:type="dcterms:W3CDTF">2026-05-19T19:51:00Z</dcterms:modified>
</cp:coreProperties>
</file>