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6BFCB6" w14:textId="17F3656D" w:rsidR="004A2F65" w:rsidRPr="003D6D6B" w:rsidRDefault="00243A40">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w:t>
      </w:r>
      <w:r w:rsidR="0003629B" w:rsidRPr="003D6D6B">
        <w:rPr>
          <w:rFonts w:ascii="Palatino Linotype" w:eastAsia="Palatino Linotype" w:hAnsi="Palatino Linotype" w:cs="Palatino Linotype"/>
          <w:b/>
          <w:bCs/>
          <w:sz w:val="22"/>
          <w:szCs w:val="22"/>
        </w:rPr>
        <w:t>diecisiete</w:t>
      </w:r>
      <w:r w:rsidR="006C6055" w:rsidRPr="003D6D6B">
        <w:rPr>
          <w:rFonts w:ascii="Palatino Linotype" w:eastAsia="Palatino Linotype" w:hAnsi="Palatino Linotype" w:cs="Palatino Linotype"/>
          <w:b/>
          <w:bCs/>
          <w:sz w:val="22"/>
          <w:szCs w:val="22"/>
        </w:rPr>
        <w:t xml:space="preserve"> de septiembre</w:t>
      </w:r>
      <w:r w:rsidR="0090258F" w:rsidRPr="003D6D6B">
        <w:rPr>
          <w:rFonts w:ascii="Palatino Linotype" w:eastAsia="Palatino Linotype" w:hAnsi="Palatino Linotype" w:cs="Palatino Linotype"/>
          <w:b/>
          <w:bCs/>
          <w:sz w:val="22"/>
          <w:szCs w:val="22"/>
        </w:rPr>
        <w:t xml:space="preserve"> </w:t>
      </w:r>
      <w:r w:rsidRPr="003D6D6B">
        <w:rPr>
          <w:rFonts w:ascii="Palatino Linotype" w:eastAsia="Palatino Linotype" w:hAnsi="Palatino Linotype" w:cs="Palatino Linotype"/>
          <w:b/>
          <w:bCs/>
          <w:sz w:val="22"/>
          <w:szCs w:val="22"/>
        </w:rPr>
        <w:t>de dos mil veinticinco</w:t>
      </w:r>
      <w:r w:rsidRPr="003D6D6B">
        <w:rPr>
          <w:rFonts w:ascii="Palatino Linotype" w:eastAsia="Palatino Linotype" w:hAnsi="Palatino Linotype" w:cs="Palatino Linotype"/>
          <w:sz w:val="22"/>
          <w:szCs w:val="22"/>
        </w:rPr>
        <w:t xml:space="preserve">. </w:t>
      </w:r>
    </w:p>
    <w:p w14:paraId="12CAB15B" w14:textId="77777777" w:rsidR="004A2F65" w:rsidRPr="003D6D6B" w:rsidRDefault="004A2F65">
      <w:pPr>
        <w:spacing w:line="360" w:lineRule="auto"/>
        <w:jc w:val="both"/>
        <w:rPr>
          <w:rFonts w:ascii="Palatino Linotype" w:eastAsia="Palatino Linotype" w:hAnsi="Palatino Linotype" w:cs="Palatino Linotype"/>
          <w:sz w:val="22"/>
          <w:szCs w:val="22"/>
        </w:rPr>
      </w:pPr>
    </w:p>
    <w:p w14:paraId="05029E5E" w14:textId="7DAEFF5A" w:rsidR="004A2F65" w:rsidRPr="003D6D6B" w:rsidRDefault="00243A40">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VISTO</w:t>
      </w:r>
      <w:r w:rsidRPr="003D6D6B">
        <w:rPr>
          <w:rFonts w:ascii="Palatino Linotype" w:eastAsia="Palatino Linotype" w:hAnsi="Palatino Linotype" w:cs="Palatino Linotype"/>
          <w:sz w:val="22"/>
          <w:szCs w:val="22"/>
        </w:rPr>
        <w:t xml:space="preserve"> el expediente formado con motivo del recurso de revisión </w:t>
      </w:r>
      <w:r w:rsidRPr="003D6D6B">
        <w:rPr>
          <w:rFonts w:ascii="Palatino Linotype" w:eastAsia="Palatino Linotype" w:hAnsi="Palatino Linotype" w:cs="Palatino Linotype"/>
          <w:b/>
          <w:bCs/>
          <w:sz w:val="22"/>
          <w:szCs w:val="22"/>
        </w:rPr>
        <w:t>0</w:t>
      </w:r>
      <w:r w:rsidR="0003629B" w:rsidRPr="003D6D6B">
        <w:rPr>
          <w:rFonts w:ascii="Palatino Linotype" w:eastAsia="Palatino Linotype" w:hAnsi="Palatino Linotype" w:cs="Palatino Linotype"/>
          <w:b/>
          <w:bCs/>
          <w:sz w:val="22"/>
          <w:szCs w:val="22"/>
        </w:rPr>
        <w:t>5</w:t>
      </w:r>
      <w:r w:rsidR="00EA3047" w:rsidRPr="003D6D6B">
        <w:rPr>
          <w:rFonts w:ascii="Palatino Linotype" w:eastAsia="Palatino Linotype" w:hAnsi="Palatino Linotype" w:cs="Palatino Linotype"/>
          <w:b/>
          <w:bCs/>
          <w:sz w:val="22"/>
          <w:szCs w:val="22"/>
        </w:rPr>
        <w:t>9</w:t>
      </w:r>
      <w:r w:rsidR="005C6F4A" w:rsidRPr="003D6D6B">
        <w:rPr>
          <w:rFonts w:ascii="Palatino Linotype" w:eastAsia="Palatino Linotype" w:hAnsi="Palatino Linotype" w:cs="Palatino Linotype"/>
          <w:b/>
          <w:bCs/>
          <w:sz w:val="22"/>
          <w:szCs w:val="22"/>
        </w:rPr>
        <w:t>07</w:t>
      </w:r>
      <w:r w:rsidRPr="003D6D6B">
        <w:rPr>
          <w:rFonts w:ascii="Palatino Linotype" w:eastAsia="Palatino Linotype" w:hAnsi="Palatino Linotype" w:cs="Palatino Linotype"/>
          <w:b/>
          <w:bCs/>
          <w:sz w:val="22"/>
          <w:szCs w:val="22"/>
        </w:rPr>
        <w:t>/INFOEM/IP/RR/2026</w:t>
      </w:r>
      <w:r w:rsidRPr="003D6D6B">
        <w:rPr>
          <w:rFonts w:ascii="Palatino Linotype" w:eastAsia="Palatino Linotype" w:hAnsi="Palatino Linotype" w:cs="Palatino Linotype"/>
          <w:sz w:val="22"/>
          <w:szCs w:val="22"/>
        </w:rPr>
        <w:t>, interpuesto por</w:t>
      </w:r>
      <w:r w:rsidR="00DD6A3B" w:rsidRPr="003D6D6B">
        <w:t xml:space="preserve"> </w:t>
      </w:r>
      <w:r w:rsidR="00DB66D9" w:rsidRPr="00DB66D9">
        <w:rPr>
          <w:rFonts w:ascii="Palatino Linotype" w:eastAsia="Palatino Linotype" w:hAnsi="Palatino Linotype" w:cs="Palatino Linotype"/>
          <w:b/>
          <w:bCs/>
          <w:sz w:val="22"/>
          <w:szCs w:val="22"/>
        </w:rPr>
        <w:t>XXXX XXXXXX XXXXXXXXX</w:t>
      </w:r>
      <w:bookmarkStart w:id="0" w:name="_GoBack"/>
      <w:bookmarkEnd w:id="0"/>
      <w:r w:rsidRPr="003D6D6B">
        <w:rPr>
          <w:rFonts w:ascii="Palatino Linotype" w:eastAsia="Palatino Linotype" w:hAnsi="Palatino Linotype" w:cs="Palatino Linotype"/>
          <w:b/>
          <w:bCs/>
          <w:sz w:val="22"/>
          <w:szCs w:val="22"/>
        </w:rPr>
        <w:t>,</w:t>
      </w:r>
      <w:r w:rsidRPr="003D6D6B">
        <w:rPr>
          <w:rFonts w:ascii="Palatino Linotype" w:eastAsia="Palatino Linotype" w:hAnsi="Palatino Linotype" w:cs="Palatino Linotype"/>
          <w:sz w:val="22"/>
          <w:szCs w:val="22"/>
        </w:rPr>
        <w:t xml:space="preserve"> en lo sucesivo</w:t>
      </w:r>
      <w:r w:rsidRPr="003D6D6B">
        <w:rPr>
          <w:rFonts w:ascii="Palatino Linotype" w:eastAsia="Palatino Linotype" w:hAnsi="Palatino Linotype" w:cs="Palatino Linotype"/>
          <w:b/>
          <w:bCs/>
          <w:sz w:val="22"/>
          <w:szCs w:val="22"/>
        </w:rPr>
        <w:t xml:space="preserve"> </w:t>
      </w:r>
      <w:r w:rsidRPr="003D6D6B">
        <w:rPr>
          <w:rFonts w:ascii="Palatino Linotype" w:eastAsia="Palatino Linotype" w:hAnsi="Palatino Linotype" w:cs="Palatino Linotype"/>
          <w:sz w:val="22"/>
          <w:szCs w:val="22"/>
        </w:rPr>
        <w:t xml:space="preserve">la parte </w:t>
      </w:r>
      <w:r w:rsidRPr="003D6D6B">
        <w:rPr>
          <w:rFonts w:ascii="Palatino Linotype" w:eastAsia="Palatino Linotype" w:hAnsi="Palatino Linotype" w:cs="Palatino Linotype"/>
          <w:b/>
          <w:bCs/>
          <w:sz w:val="22"/>
          <w:szCs w:val="22"/>
        </w:rPr>
        <w:t>Recurrente,</w:t>
      </w:r>
      <w:r w:rsidRPr="003D6D6B">
        <w:rPr>
          <w:rFonts w:ascii="Palatino Linotype" w:eastAsia="Palatino Linotype" w:hAnsi="Palatino Linotype" w:cs="Palatino Linotype"/>
          <w:sz w:val="22"/>
          <w:szCs w:val="22"/>
        </w:rPr>
        <w:t xml:space="preserve"> en contra de la respuesta a la solicitud de información con número de folio </w:t>
      </w:r>
      <w:r w:rsidR="005C6F4A" w:rsidRPr="003D6D6B">
        <w:rPr>
          <w:rFonts w:ascii="Palatino Linotype" w:eastAsia="Palatino Linotype" w:hAnsi="Palatino Linotype" w:cs="Palatino Linotype"/>
          <w:b/>
          <w:bCs/>
          <w:sz w:val="22"/>
          <w:szCs w:val="22"/>
        </w:rPr>
        <w:t>00239/ATIZARA/IP/2026</w:t>
      </w:r>
      <w:r w:rsidRPr="003D6D6B">
        <w:rPr>
          <w:rFonts w:ascii="Palatino Linotype" w:eastAsia="Palatino Linotype" w:hAnsi="Palatino Linotype" w:cs="Palatino Linotype"/>
          <w:b/>
          <w:bCs/>
          <w:sz w:val="22"/>
          <w:szCs w:val="22"/>
        </w:rPr>
        <w:t xml:space="preserve">, </w:t>
      </w:r>
      <w:r w:rsidRPr="003D6D6B">
        <w:rPr>
          <w:rFonts w:ascii="Palatino Linotype" w:eastAsia="Palatino Linotype" w:hAnsi="Palatino Linotype" w:cs="Palatino Linotype"/>
          <w:sz w:val="22"/>
          <w:szCs w:val="22"/>
        </w:rPr>
        <w:t xml:space="preserve">por parte del </w:t>
      </w:r>
      <w:r w:rsidR="005C6F4A" w:rsidRPr="003D6D6B">
        <w:rPr>
          <w:rFonts w:ascii="Palatino Linotype" w:eastAsia="Palatino Linotype" w:hAnsi="Palatino Linotype" w:cs="Palatino Linotype"/>
          <w:b/>
          <w:bCs/>
          <w:sz w:val="22"/>
          <w:szCs w:val="22"/>
        </w:rPr>
        <w:t>Ayuntamiento de Atizapán de Zaragoza</w:t>
      </w:r>
      <w:r w:rsidRPr="003D6D6B">
        <w:rPr>
          <w:rFonts w:ascii="Palatino Linotype" w:eastAsia="Palatino Linotype" w:hAnsi="Palatino Linotype" w:cs="Palatino Linotype"/>
          <w:b/>
          <w:bCs/>
          <w:sz w:val="22"/>
          <w:szCs w:val="22"/>
        </w:rPr>
        <w:t xml:space="preserve">, </w:t>
      </w:r>
      <w:r w:rsidRPr="003D6D6B">
        <w:rPr>
          <w:rFonts w:ascii="Palatino Linotype" w:eastAsia="Palatino Linotype" w:hAnsi="Palatino Linotype" w:cs="Palatino Linotype"/>
          <w:sz w:val="22"/>
          <w:szCs w:val="22"/>
        </w:rPr>
        <w:t xml:space="preserve">en lo sucesivo el </w:t>
      </w:r>
      <w:r w:rsidRPr="003D6D6B">
        <w:rPr>
          <w:rFonts w:ascii="Palatino Linotype" w:eastAsia="Palatino Linotype" w:hAnsi="Palatino Linotype" w:cs="Palatino Linotype"/>
          <w:b/>
          <w:bCs/>
          <w:sz w:val="22"/>
          <w:szCs w:val="22"/>
        </w:rPr>
        <w:t xml:space="preserve">Sujeto Obligado, </w:t>
      </w:r>
      <w:r w:rsidRPr="003D6D6B">
        <w:rPr>
          <w:rFonts w:ascii="Palatino Linotype" w:eastAsia="Palatino Linotype" w:hAnsi="Palatino Linotype" w:cs="Palatino Linotype"/>
          <w:sz w:val="22"/>
          <w:szCs w:val="22"/>
        </w:rPr>
        <w:t xml:space="preserve">se procede a dictar la presente resolución con base en los siguientes: </w:t>
      </w:r>
    </w:p>
    <w:p w14:paraId="5082395D" w14:textId="1B65FDDB" w:rsidR="004A2F65" w:rsidRPr="003D6D6B" w:rsidRDefault="00243A40">
      <w:pPr>
        <w:spacing w:line="360" w:lineRule="auto"/>
        <w:jc w:val="center"/>
        <w:rPr>
          <w:rFonts w:ascii="Palatino Linotype" w:eastAsia="Palatino Linotype" w:hAnsi="Palatino Linotype" w:cs="Palatino Linotype"/>
          <w:b/>
          <w:bCs/>
          <w:sz w:val="22"/>
          <w:szCs w:val="22"/>
        </w:rPr>
      </w:pPr>
      <w:r w:rsidRPr="003D6D6B">
        <w:rPr>
          <w:rFonts w:ascii="Palatino Linotype" w:eastAsia="Palatino Linotype" w:hAnsi="Palatino Linotype" w:cs="Palatino Linotype"/>
          <w:b/>
          <w:bCs/>
          <w:sz w:val="22"/>
          <w:szCs w:val="22"/>
        </w:rPr>
        <w:t>I. A N T E C E D E N T E S</w:t>
      </w:r>
    </w:p>
    <w:p w14:paraId="32C88437" w14:textId="77777777" w:rsidR="0090258F" w:rsidRPr="003D6D6B" w:rsidRDefault="0090258F">
      <w:pPr>
        <w:spacing w:line="360" w:lineRule="auto"/>
        <w:jc w:val="center"/>
        <w:rPr>
          <w:rFonts w:ascii="Palatino Linotype" w:eastAsia="Palatino Linotype" w:hAnsi="Palatino Linotype" w:cs="Palatino Linotype"/>
          <w:b/>
          <w:bCs/>
          <w:sz w:val="22"/>
          <w:szCs w:val="22"/>
        </w:rPr>
      </w:pPr>
    </w:p>
    <w:p w14:paraId="2EDF8DFC" w14:textId="3484CDFF" w:rsidR="004A2F65" w:rsidRPr="003D6D6B" w:rsidRDefault="00243A40">
      <w:pPr>
        <w:spacing w:line="360" w:lineRule="auto"/>
        <w:jc w:val="both"/>
        <w:rPr>
          <w:rFonts w:ascii="Palatino Linotype" w:eastAsia="Palatino Linotype" w:hAnsi="Palatino Linotype" w:cs="Palatino Linotype"/>
          <w:sz w:val="22"/>
          <w:szCs w:val="22"/>
        </w:rPr>
      </w:pPr>
      <w:bookmarkStart w:id="1" w:name="_heading=h.4d34og8" w:colFirst="0" w:colLast="0"/>
      <w:bookmarkEnd w:id="1"/>
      <w:r w:rsidRPr="003D6D6B">
        <w:rPr>
          <w:rFonts w:ascii="Palatino Linotype" w:eastAsia="Palatino Linotype" w:hAnsi="Palatino Linotype" w:cs="Palatino Linotype"/>
          <w:b/>
          <w:bCs/>
          <w:sz w:val="22"/>
          <w:szCs w:val="22"/>
        </w:rPr>
        <w:t>1. Solicitud de acceso a la información.</w:t>
      </w:r>
      <w:r w:rsidRPr="003D6D6B">
        <w:rPr>
          <w:rFonts w:ascii="Palatino Linotype" w:eastAsia="Palatino Linotype" w:hAnsi="Palatino Linotype" w:cs="Palatino Linotype"/>
          <w:sz w:val="22"/>
          <w:szCs w:val="22"/>
        </w:rPr>
        <w:t xml:space="preserve"> El </w:t>
      </w:r>
      <w:r w:rsidR="005C6F4A" w:rsidRPr="003D6D6B">
        <w:rPr>
          <w:rFonts w:ascii="Palatino Linotype" w:eastAsia="Palatino Linotype" w:hAnsi="Palatino Linotype" w:cs="Palatino Linotype"/>
          <w:b/>
          <w:bCs/>
          <w:sz w:val="22"/>
          <w:szCs w:val="22"/>
        </w:rPr>
        <w:t>seis</w:t>
      </w:r>
      <w:r w:rsidR="00EA3047" w:rsidRPr="003D6D6B">
        <w:rPr>
          <w:rFonts w:ascii="Palatino Linotype" w:eastAsia="Palatino Linotype" w:hAnsi="Palatino Linotype" w:cs="Palatino Linotype"/>
          <w:b/>
          <w:bCs/>
          <w:sz w:val="22"/>
          <w:szCs w:val="22"/>
        </w:rPr>
        <w:t xml:space="preserve"> de mayo</w:t>
      </w:r>
      <w:r w:rsidR="0003629B" w:rsidRPr="003D6D6B">
        <w:rPr>
          <w:rFonts w:ascii="Palatino Linotype" w:eastAsia="Palatino Linotype" w:hAnsi="Palatino Linotype" w:cs="Palatino Linotype"/>
          <w:b/>
          <w:bCs/>
          <w:sz w:val="22"/>
          <w:szCs w:val="22"/>
        </w:rPr>
        <w:t xml:space="preserve"> de</w:t>
      </w:r>
      <w:r w:rsidRPr="003D6D6B">
        <w:rPr>
          <w:rFonts w:ascii="Palatino Linotype" w:eastAsia="Palatino Linotype" w:hAnsi="Palatino Linotype" w:cs="Palatino Linotype"/>
          <w:b/>
          <w:bCs/>
          <w:sz w:val="22"/>
          <w:szCs w:val="22"/>
        </w:rPr>
        <w:t xml:space="preserve"> dos mil veintiséis,</w:t>
      </w:r>
      <w:r w:rsidRPr="003D6D6B">
        <w:rPr>
          <w:rFonts w:ascii="Palatino Linotype" w:eastAsia="Palatino Linotype" w:hAnsi="Palatino Linotype" w:cs="Palatino Linotype"/>
          <w:sz w:val="22"/>
          <w:szCs w:val="22"/>
        </w:rPr>
        <w:t xml:space="preserve"> la parte </w:t>
      </w:r>
      <w:r w:rsidRPr="003D6D6B">
        <w:rPr>
          <w:rFonts w:ascii="Palatino Linotype" w:eastAsia="Palatino Linotype" w:hAnsi="Palatino Linotype" w:cs="Palatino Linotype"/>
          <w:b/>
          <w:bCs/>
          <w:sz w:val="22"/>
          <w:szCs w:val="22"/>
        </w:rPr>
        <w:t xml:space="preserve">Recurrente </w:t>
      </w:r>
      <w:r w:rsidRPr="003D6D6B">
        <w:rPr>
          <w:rFonts w:ascii="Palatino Linotype" w:eastAsia="Palatino Linotype" w:hAnsi="Palatino Linotype" w:cs="Palatino Linotype"/>
          <w:sz w:val="22"/>
          <w:szCs w:val="22"/>
        </w:rPr>
        <w:t xml:space="preserve">presentó, a través del Sistema de Acceso a la Información Mexiquense, en lo subsecuente el </w:t>
      </w:r>
      <w:r w:rsidRPr="003D6D6B">
        <w:rPr>
          <w:rFonts w:ascii="Palatino Linotype" w:eastAsia="Palatino Linotype" w:hAnsi="Palatino Linotype" w:cs="Palatino Linotype"/>
          <w:b/>
          <w:bCs/>
          <w:sz w:val="22"/>
          <w:szCs w:val="22"/>
        </w:rPr>
        <w:t>SAIMEX,</w:t>
      </w:r>
      <w:r w:rsidRPr="003D6D6B">
        <w:rPr>
          <w:rFonts w:ascii="Palatino Linotype" w:eastAsia="Palatino Linotype" w:hAnsi="Palatino Linotype" w:cs="Palatino Linotype"/>
          <w:sz w:val="22"/>
          <w:szCs w:val="22"/>
        </w:rPr>
        <w:t xml:space="preserve"> ante el </w:t>
      </w:r>
      <w:r w:rsidRPr="003D6D6B">
        <w:rPr>
          <w:rFonts w:ascii="Palatino Linotype" w:eastAsia="Palatino Linotype" w:hAnsi="Palatino Linotype" w:cs="Palatino Linotype"/>
          <w:b/>
          <w:bCs/>
          <w:sz w:val="22"/>
          <w:szCs w:val="22"/>
        </w:rPr>
        <w:t>Sujeto Obligado</w:t>
      </w:r>
      <w:r w:rsidRPr="003D6D6B">
        <w:rPr>
          <w:rFonts w:ascii="Palatino Linotype" w:eastAsia="Palatino Linotype" w:hAnsi="Palatino Linotype" w:cs="Palatino Linotype"/>
          <w:sz w:val="22"/>
          <w:szCs w:val="22"/>
        </w:rPr>
        <w:t xml:space="preserve">, la solicitud de acceso a la información pública, mediante la cual requirió la información siguiente: </w:t>
      </w:r>
    </w:p>
    <w:p w14:paraId="0B8DE417" w14:textId="7C8CB410" w:rsidR="004A2F65" w:rsidRPr="003D6D6B" w:rsidRDefault="00243A40" w:rsidP="00EA3047">
      <w:pPr>
        <w:ind w:left="851" w:right="902"/>
        <w:jc w:val="both"/>
        <w:rPr>
          <w:rFonts w:ascii="Palatino Linotype" w:eastAsia="Palatino Linotype" w:hAnsi="Palatino Linotype" w:cs="Palatino Linotype"/>
          <w:i/>
          <w:iCs/>
          <w:sz w:val="22"/>
          <w:szCs w:val="22"/>
        </w:rPr>
      </w:pPr>
      <w:bookmarkStart w:id="2" w:name="_heading=h.gjdgxs" w:colFirst="0" w:colLast="0"/>
      <w:bookmarkEnd w:id="2"/>
      <w:r w:rsidRPr="003D6D6B">
        <w:rPr>
          <w:rFonts w:ascii="Palatino Linotype" w:eastAsia="Palatino Linotype" w:hAnsi="Palatino Linotype" w:cs="Palatino Linotype"/>
          <w:i/>
          <w:iCs/>
          <w:sz w:val="22"/>
          <w:szCs w:val="22"/>
        </w:rPr>
        <w:t xml:space="preserve"> “</w:t>
      </w:r>
      <w:r w:rsidR="005C6F4A" w:rsidRPr="003D6D6B">
        <w:rPr>
          <w:rFonts w:ascii="Palatino Linotype" w:eastAsia="Palatino Linotype" w:hAnsi="Palatino Linotype" w:cs="Palatino Linotype"/>
          <w:i/>
          <w:iCs/>
          <w:sz w:val="22"/>
          <w:szCs w:val="22"/>
        </w:rPr>
        <w:t>SOLICITO EL AVANCE FISICO Y FINANCIERO DE TODAS Y CADA UNA DE LAS OBRAS AUTORIZADAS EN LA DECIMA SEGUNDA SESION ORDINARIA DE CABILDO, CELEBRADA EL 23 DE ABRIL DE 2025, ASI COMO LOS CONTRATOS DE TODAS Y CADA UNA DE LAS OBRAS AUTORIZADAS EN LA DECIMA SEGUNDA SESION ORDINARIA DE CABILDO. DE IGUAL MANERA SOLICITO EL FUNDAMENTO LEGAL MEDIANTE EL UAL FUERON CONTRATADAS LA OBRAS MULTIANUALES AUTORIZADAS EN LA MISMA SESION ORDINARIA DE CABILDO ANTES MENCIONADA.</w:t>
      </w:r>
      <w:r w:rsidRPr="003D6D6B">
        <w:rPr>
          <w:rFonts w:ascii="Palatino Linotype" w:eastAsia="Palatino Linotype" w:hAnsi="Palatino Linotype" w:cs="Palatino Linotype"/>
          <w:i/>
          <w:iCs/>
          <w:sz w:val="22"/>
          <w:szCs w:val="22"/>
        </w:rPr>
        <w:t xml:space="preserve">” (sic) </w:t>
      </w:r>
    </w:p>
    <w:p w14:paraId="6FC6B6C3" w14:textId="77777777" w:rsidR="00832660" w:rsidRPr="003D6D6B" w:rsidRDefault="00832660" w:rsidP="00EA3047">
      <w:pPr>
        <w:ind w:left="851" w:right="902"/>
        <w:jc w:val="both"/>
        <w:rPr>
          <w:rFonts w:ascii="Palatino Linotype" w:eastAsia="Palatino Linotype" w:hAnsi="Palatino Linotype" w:cs="Palatino Linotype"/>
          <w:i/>
          <w:iCs/>
          <w:sz w:val="22"/>
          <w:szCs w:val="22"/>
        </w:rPr>
      </w:pPr>
    </w:p>
    <w:p w14:paraId="438985F8" w14:textId="77777777" w:rsidR="004A2F65" w:rsidRPr="003D6D6B" w:rsidRDefault="00243A40">
      <w:pPr>
        <w:spacing w:line="360" w:lineRule="auto"/>
        <w:jc w:val="both"/>
        <w:rPr>
          <w:rFonts w:ascii="Palatino Linotype" w:eastAsia="Palatino Linotype" w:hAnsi="Palatino Linotype" w:cs="Palatino Linotype"/>
          <w:b/>
          <w:bCs/>
          <w:sz w:val="22"/>
          <w:szCs w:val="22"/>
        </w:rPr>
      </w:pPr>
      <w:bookmarkStart w:id="3" w:name="_heading=h.3dy6vkm" w:colFirst="0" w:colLast="0"/>
      <w:bookmarkEnd w:id="3"/>
      <w:r w:rsidRPr="003D6D6B">
        <w:rPr>
          <w:rFonts w:ascii="Palatino Linotype" w:eastAsia="Palatino Linotype" w:hAnsi="Palatino Linotype" w:cs="Palatino Linotype"/>
          <w:b/>
          <w:bCs/>
          <w:sz w:val="22"/>
          <w:szCs w:val="22"/>
        </w:rPr>
        <w:t>Modalidad de Entrega:</w:t>
      </w:r>
      <w:r w:rsidRPr="003D6D6B">
        <w:rPr>
          <w:rFonts w:ascii="Palatino Linotype" w:eastAsia="Palatino Linotype" w:hAnsi="Palatino Linotype" w:cs="Palatino Linotype"/>
          <w:sz w:val="22"/>
          <w:szCs w:val="22"/>
        </w:rPr>
        <w:t xml:space="preserve"> a través </w:t>
      </w:r>
      <w:r w:rsidRPr="003D6D6B">
        <w:rPr>
          <w:rFonts w:ascii="Palatino Linotype" w:eastAsia="Palatino Linotype" w:hAnsi="Palatino Linotype" w:cs="Palatino Linotype"/>
          <w:b/>
          <w:bCs/>
          <w:sz w:val="22"/>
          <w:szCs w:val="22"/>
        </w:rPr>
        <w:t>de SAIMEX</w:t>
      </w:r>
    </w:p>
    <w:p w14:paraId="0DE542F4" w14:textId="77777777" w:rsidR="004A2F65" w:rsidRPr="003D6D6B" w:rsidRDefault="004A2F65">
      <w:pPr>
        <w:spacing w:line="360" w:lineRule="auto"/>
        <w:jc w:val="both"/>
        <w:rPr>
          <w:rFonts w:ascii="Palatino Linotype" w:eastAsia="Palatino Linotype" w:hAnsi="Palatino Linotype" w:cs="Palatino Linotype"/>
          <w:sz w:val="22"/>
          <w:szCs w:val="22"/>
        </w:rPr>
      </w:pPr>
    </w:p>
    <w:p w14:paraId="2F464589" w14:textId="60B7280E" w:rsidR="004A2F65" w:rsidRPr="003D6D6B" w:rsidRDefault="00243A40">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lastRenderedPageBreak/>
        <w:t xml:space="preserve">2. Respuesta. </w:t>
      </w:r>
      <w:r w:rsidRPr="003D6D6B">
        <w:rPr>
          <w:rFonts w:ascii="Palatino Linotype" w:eastAsia="Palatino Linotype" w:hAnsi="Palatino Linotype" w:cs="Palatino Linotype"/>
          <w:sz w:val="22"/>
          <w:szCs w:val="22"/>
        </w:rPr>
        <w:t>El</w:t>
      </w:r>
      <w:r w:rsidRPr="003D6D6B">
        <w:rPr>
          <w:rFonts w:ascii="Palatino Linotype" w:eastAsia="Palatino Linotype" w:hAnsi="Palatino Linotype" w:cs="Palatino Linotype"/>
          <w:b/>
          <w:bCs/>
          <w:sz w:val="22"/>
          <w:szCs w:val="22"/>
        </w:rPr>
        <w:t xml:space="preserve"> </w:t>
      </w:r>
      <w:r w:rsidR="005C6F4A" w:rsidRPr="003D6D6B">
        <w:rPr>
          <w:rFonts w:ascii="Palatino Linotype" w:eastAsia="Palatino Linotype" w:hAnsi="Palatino Linotype" w:cs="Palatino Linotype"/>
          <w:b/>
          <w:bCs/>
          <w:sz w:val="22"/>
          <w:szCs w:val="22"/>
        </w:rPr>
        <w:t>veintisiete de mayo</w:t>
      </w:r>
      <w:r w:rsidRPr="003D6D6B">
        <w:rPr>
          <w:rFonts w:ascii="Palatino Linotype" w:eastAsia="Palatino Linotype" w:hAnsi="Palatino Linotype" w:cs="Palatino Linotype"/>
          <w:b/>
          <w:bCs/>
          <w:sz w:val="22"/>
          <w:szCs w:val="22"/>
        </w:rPr>
        <w:t xml:space="preserve"> de dos mil veintiséis</w:t>
      </w:r>
      <w:r w:rsidRPr="003D6D6B">
        <w:rPr>
          <w:rFonts w:ascii="Palatino Linotype" w:eastAsia="Palatino Linotype" w:hAnsi="Palatino Linotype" w:cs="Palatino Linotype"/>
          <w:sz w:val="22"/>
          <w:szCs w:val="22"/>
        </w:rPr>
        <w:t xml:space="preserve">, el </w:t>
      </w:r>
      <w:r w:rsidRPr="003D6D6B">
        <w:rPr>
          <w:rFonts w:ascii="Palatino Linotype" w:eastAsia="Palatino Linotype" w:hAnsi="Palatino Linotype" w:cs="Palatino Linotype"/>
          <w:b/>
          <w:bCs/>
          <w:sz w:val="22"/>
          <w:szCs w:val="22"/>
        </w:rPr>
        <w:t xml:space="preserve">Sujeto Obligado </w:t>
      </w:r>
      <w:r w:rsidRPr="003D6D6B">
        <w:rPr>
          <w:rFonts w:ascii="Palatino Linotype" w:eastAsia="Palatino Linotype" w:hAnsi="Palatino Linotype" w:cs="Palatino Linotype"/>
          <w:sz w:val="22"/>
          <w:szCs w:val="22"/>
        </w:rPr>
        <w:t>envió su respuesta a la solicitud de acceso a la información a través de SAIMEX, sustancialmente en los términos siguientes:</w:t>
      </w:r>
    </w:p>
    <w:p w14:paraId="35E669C5" w14:textId="77777777" w:rsidR="004A2F65" w:rsidRPr="003D6D6B" w:rsidRDefault="004A2F65">
      <w:pPr>
        <w:spacing w:line="360" w:lineRule="auto"/>
        <w:jc w:val="both"/>
        <w:rPr>
          <w:rFonts w:ascii="Palatino Linotype" w:eastAsia="Palatino Linotype" w:hAnsi="Palatino Linotype" w:cs="Palatino Linotype"/>
          <w:sz w:val="22"/>
          <w:szCs w:val="22"/>
        </w:rPr>
      </w:pPr>
    </w:p>
    <w:p w14:paraId="63746B9A" w14:textId="1026C618" w:rsidR="004A2F65" w:rsidRPr="003D6D6B" w:rsidRDefault="00243A40">
      <w:pPr>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005C6F4A" w:rsidRPr="003D6D6B">
        <w:rPr>
          <w:rFonts w:ascii="Palatino Linotype" w:eastAsia="Palatino Linotype" w:hAnsi="Palatino Linotype" w:cs="Palatino Linotype"/>
          <w:i/>
          <w:iCs/>
          <w:sz w:val="22"/>
          <w:szCs w:val="22"/>
        </w:rPr>
        <w:t>EN ATENCIÓN A LA SOLCIITUD DE INFORMACIÓN QUE NOS OCUPA, ME PERMITO INFORMAR LO SIGUIENTE: (se anexa respuesta)</w:t>
      </w:r>
      <w:r w:rsidRPr="003D6D6B">
        <w:rPr>
          <w:rFonts w:ascii="Palatino Linotype" w:eastAsia="Palatino Linotype" w:hAnsi="Palatino Linotype" w:cs="Palatino Linotype"/>
          <w:i/>
          <w:iCs/>
          <w:sz w:val="22"/>
          <w:szCs w:val="22"/>
        </w:rPr>
        <w:t>...” (sic)</w:t>
      </w:r>
    </w:p>
    <w:p w14:paraId="0450E644" w14:textId="77777777" w:rsidR="004A2F65" w:rsidRPr="003D6D6B" w:rsidRDefault="004A2F65" w:rsidP="00EA3047">
      <w:pPr>
        <w:ind w:right="902"/>
        <w:jc w:val="both"/>
        <w:rPr>
          <w:rFonts w:ascii="Palatino Linotype" w:eastAsia="Palatino Linotype" w:hAnsi="Palatino Linotype" w:cs="Palatino Linotype"/>
          <w:b/>
          <w:bCs/>
          <w:iCs/>
          <w:sz w:val="22"/>
          <w:szCs w:val="22"/>
        </w:rPr>
      </w:pPr>
    </w:p>
    <w:p w14:paraId="2399A768" w14:textId="64A20992" w:rsidR="00EA3047" w:rsidRPr="003D6D6B" w:rsidRDefault="00EA3047" w:rsidP="00EA3047">
      <w:pPr>
        <w:ind w:right="902"/>
        <w:jc w:val="both"/>
        <w:rPr>
          <w:rFonts w:ascii="Palatino Linotype" w:eastAsia="Palatino Linotype" w:hAnsi="Palatino Linotype" w:cs="Palatino Linotype"/>
          <w:bCs/>
          <w:iCs/>
          <w:sz w:val="22"/>
          <w:szCs w:val="22"/>
        </w:rPr>
      </w:pPr>
      <w:r w:rsidRPr="003D6D6B">
        <w:rPr>
          <w:rFonts w:ascii="Palatino Linotype" w:eastAsia="Palatino Linotype" w:hAnsi="Palatino Linotype" w:cs="Palatino Linotype"/>
          <w:bCs/>
          <w:iCs/>
          <w:sz w:val="22"/>
          <w:szCs w:val="22"/>
        </w:rPr>
        <w:t>Adjunto a la respuesta,</w:t>
      </w:r>
      <w:r w:rsidRPr="003D6D6B">
        <w:rPr>
          <w:rFonts w:ascii="Palatino Linotype" w:eastAsia="Palatino Linotype" w:hAnsi="Palatino Linotype" w:cs="Palatino Linotype"/>
          <w:b/>
          <w:bCs/>
          <w:iCs/>
          <w:sz w:val="22"/>
          <w:szCs w:val="22"/>
        </w:rPr>
        <w:t xml:space="preserve"> el Sujeto Obligado</w:t>
      </w:r>
      <w:r w:rsidRPr="003D6D6B">
        <w:rPr>
          <w:rFonts w:ascii="Palatino Linotype" w:eastAsia="Palatino Linotype" w:hAnsi="Palatino Linotype" w:cs="Palatino Linotype"/>
          <w:bCs/>
          <w:iCs/>
          <w:sz w:val="22"/>
          <w:szCs w:val="22"/>
        </w:rPr>
        <w:t xml:space="preserve"> proporcionó la siguiente información:</w:t>
      </w:r>
    </w:p>
    <w:p w14:paraId="7EF1CB19" w14:textId="77777777" w:rsidR="00EA3047" w:rsidRPr="003D6D6B" w:rsidRDefault="00EA3047" w:rsidP="00EA3047">
      <w:pPr>
        <w:ind w:right="902"/>
        <w:jc w:val="both"/>
        <w:rPr>
          <w:rFonts w:ascii="Palatino Linotype" w:eastAsia="Palatino Linotype" w:hAnsi="Palatino Linotype" w:cs="Palatino Linotype"/>
          <w:bCs/>
          <w:iCs/>
          <w:sz w:val="22"/>
          <w:szCs w:val="22"/>
        </w:rPr>
      </w:pPr>
    </w:p>
    <w:p w14:paraId="375625B8" w14:textId="36551783" w:rsidR="00EA3047" w:rsidRPr="003D6D6B" w:rsidRDefault="005C6F4A" w:rsidP="005C6F4A">
      <w:pPr>
        <w:pStyle w:val="Prrafodelista"/>
        <w:numPr>
          <w:ilvl w:val="0"/>
          <w:numId w:val="21"/>
        </w:numPr>
        <w:spacing w:line="276" w:lineRule="auto"/>
        <w:ind w:right="49"/>
        <w:jc w:val="both"/>
        <w:rPr>
          <w:rFonts w:ascii="Palatino Linotype" w:eastAsia="Palatino Linotype" w:hAnsi="Palatino Linotype" w:cs="Palatino Linotype"/>
          <w:bCs/>
          <w:iCs/>
          <w:sz w:val="22"/>
          <w:szCs w:val="22"/>
        </w:rPr>
      </w:pPr>
      <w:r w:rsidRPr="003D6D6B">
        <w:rPr>
          <w:rFonts w:ascii="Palatino Linotype" w:eastAsia="Palatino Linotype" w:hAnsi="Palatino Linotype" w:cs="Palatino Linotype"/>
          <w:bCs/>
          <w:iCs/>
          <w:sz w:val="22"/>
          <w:szCs w:val="22"/>
        </w:rPr>
        <w:t>Oficio del 14 de mayo de 2026, a través del cual el Director de Obras Públicas informa que con relación a los contratos y la información requerida en su versión pública, del ejercicio fiscal 2025, puede ser consultada en la página oficial del Ayuntamiento realizando los siguientes pasos:</w:t>
      </w:r>
    </w:p>
    <w:p w14:paraId="7973D35B" w14:textId="77777777" w:rsidR="005C6F4A" w:rsidRPr="003D6D6B" w:rsidRDefault="005C6F4A" w:rsidP="005C6F4A">
      <w:pPr>
        <w:pStyle w:val="Prrafodelista"/>
        <w:spacing w:line="276" w:lineRule="auto"/>
        <w:ind w:left="360" w:right="49"/>
        <w:jc w:val="both"/>
        <w:rPr>
          <w:rFonts w:ascii="Palatino Linotype" w:eastAsia="Palatino Linotype" w:hAnsi="Palatino Linotype" w:cs="Palatino Linotype"/>
          <w:bCs/>
          <w:iCs/>
          <w:sz w:val="22"/>
          <w:szCs w:val="22"/>
        </w:rPr>
      </w:pPr>
    </w:p>
    <w:p w14:paraId="6B8030EF" w14:textId="522A05F9" w:rsidR="005C6F4A" w:rsidRPr="003D6D6B" w:rsidRDefault="005C6F4A" w:rsidP="005C6F4A">
      <w:pPr>
        <w:pStyle w:val="Prrafodelista"/>
        <w:spacing w:line="276" w:lineRule="auto"/>
        <w:ind w:left="360" w:right="49"/>
        <w:jc w:val="both"/>
        <w:rPr>
          <w:rFonts w:ascii="Palatino Linotype" w:eastAsia="Palatino Linotype" w:hAnsi="Palatino Linotype" w:cs="Palatino Linotype"/>
          <w:bCs/>
          <w:iCs/>
          <w:sz w:val="22"/>
          <w:szCs w:val="22"/>
        </w:rPr>
      </w:pPr>
      <w:r w:rsidRPr="003D6D6B">
        <w:rPr>
          <w:rFonts w:ascii="Palatino Linotype" w:eastAsia="Palatino Linotype" w:hAnsi="Palatino Linotype" w:cs="Palatino Linotype"/>
          <w:bCs/>
          <w:iCs/>
          <w:noProof/>
          <w:sz w:val="22"/>
          <w:szCs w:val="22"/>
        </w:rPr>
        <w:drawing>
          <wp:inline distT="0" distB="0" distL="0" distR="0" wp14:anchorId="3133F96D" wp14:editId="0AAD158B">
            <wp:extent cx="5276850" cy="1167130"/>
            <wp:effectExtent l="19050" t="19050" r="19050" b="139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6850" cy="1167130"/>
                    </a:xfrm>
                    <a:prstGeom prst="rect">
                      <a:avLst/>
                    </a:prstGeom>
                    <a:ln>
                      <a:solidFill>
                        <a:schemeClr val="accent1"/>
                      </a:solidFill>
                    </a:ln>
                  </pic:spPr>
                </pic:pic>
              </a:graphicData>
            </a:graphic>
          </wp:inline>
        </w:drawing>
      </w:r>
    </w:p>
    <w:p w14:paraId="2D202214" w14:textId="2FB42AF0" w:rsidR="005C6F4A" w:rsidRPr="003D6D6B" w:rsidRDefault="005C6F4A" w:rsidP="005C6F4A">
      <w:pPr>
        <w:pStyle w:val="Prrafodelista"/>
        <w:spacing w:line="276" w:lineRule="auto"/>
        <w:ind w:left="360" w:right="49"/>
        <w:jc w:val="both"/>
        <w:rPr>
          <w:rFonts w:ascii="Palatino Linotype" w:eastAsia="Palatino Linotype" w:hAnsi="Palatino Linotype" w:cs="Palatino Linotype"/>
          <w:bCs/>
          <w:iCs/>
          <w:sz w:val="22"/>
          <w:szCs w:val="22"/>
        </w:rPr>
      </w:pPr>
      <w:r w:rsidRPr="003D6D6B">
        <w:rPr>
          <w:rFonts w:ascii="Palatino Linotype" w:eastAsia="Palatino Linotype" w:hAnsi="Palatino Linotype" w:cs="Palatino Linotype"/>
          <w:bCs/>
          <w:iCs/>
          <w:noProof/>
          <w:sz w:val="22"/>
          <w:szCs w:val="22"/>
        </w:rPr>
        <w:drawing>
          <wp:inline distT="0" distB="0" distL="0" distR="0" wp14:anchorId="2DDFFE6C" wp14:editId="6910AA8B">
            <wp:extent cx="5267325" cy="321945"/>
            <wp:effectExtent l="19050" t="19050" r="28575" b="209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67325" cy="321945"/>
                    </a:xfrm>
                    <a:prstGeom prst="rect">
                      <a:avLst/>
                    </a:prstGeom>
                    <a:ln>
                      <a:solidFill>
                        <a:schemeClr val="accent1"/>
                      </a:solidFill>
                    </a:ln>
                  </pic:spPr>
                </pic:pic>
              </a:graphicData>
            </a:graphic>
          </wp:inline>
        </w:drawing>
      </w:r>
    </w:p>
    <w:p w14:paraId="022F5383" w14:textId="77777777" w:rsidR="005C6F4A" w:rsidRPr="003D6D6B" w:rsidRDefault="005C6F4A" w:rsidP="005C6F4A">
      <w:pPr>
        <w:pStyle w:val="Prrafodelista"/>
        <w:spacing w:line="276" w:lineRule="auto"/>
        <w:ind w:left="360" w:right="49"/>
        <w:jc w:val="both"/>
        <w:rPr>
          <w:rFonts w:ascii="Palatino Linotype" w:eastAsia="Palatino Linotype" w:hAnsi="Palatino Linotype" w:cs="Palatino Linotype"/>
          <w:bCs/>
          <w:iCs/>
          <w:sz w:val="22"/>
          <w:szCs w:val="22"/>
        </w:rPr>
      </w:pPr>
    </w:p>
    <w:p w14:paraId="4A0A9B13" w14:textId="18E9DDB5" w:rsidR="004A2F65" w:rsidRPr="003D6D6B" w:rsidRDefault="00243A40" w:rsidP="006C6055">
      <w:pPr>
        <w:pBdr>
          <w:top w:val="nil"/>
          <w:left w:val="nil"/>
          <w:bottom w:val="nil"/>
          <w:right w:val="nil"/>
          <w:between w:val="nil"/>
        </w:pBd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 xml:space="preserve">3. Interposición del recurso de revisión. </w:t>
      </w:r>
      <w:r w:rsidRPr="003D6D6B">
        <w:rPr>
          <w:rFonts w:ascii="Palatino Linotype" w:eastAsia="Palatino Linotype" w:hAnsi="Palatino Linotype" w:cs="Palatino Linotype"/>
          <w:sz w:val="22"/>
          <w:szCs w:val="22"/>
        </w:rPr>
        <w:t xml:space="preserve">Inconforme con los términos de la respuesta emitida por parte del </w:t>
      </w:r>
      <w:r w:rsidRPr="003D6D6B">
        <w:rPr>
          <w:rFonts w:ascii="Palatino Linotype" w:eastAsia="Palatino Linotype" w:hAnsi="Palatino Linotype" w:cs="Palatino Linotype"/>
          <w:b/>
          <w:bCs/>
          <w:sz w:val="22"/>
          <w:szCs w:val="22"/>
        </w:rPr>
        <w:t>Sujeto Obligado</w:t>
      </w:r>
      <w:r w:rsidRPr="003D6D6B">
        <w:rPr>
          <w:rFonts w:ascii="Palatino Linotype" w:eastAsia="Palatino Linotype" w:hAnsi="Palatino Linotype" w:cs="Palatino Linotype"/>
          <w:sz w:val="22"/>
          <w:szCs w:val="22"/>
        </w:rPr>
        <w:t xml:space="preserve">, el </w:t>
      </w:r>
      <w:r w:rsidR="005C6F4A" w:rsidRPr="003D6D6B">
        <w:rPr>
          <w:rFonts w:ascii="Palatino Linotype" w:eastAsia="Palatino Linotype" w:hAnsi="Palatino Linotype" w:cs="Palatino Linotype"/>
          <w:b/>
          <w:bCs/>
          <w:sz w:val="22"/>
          <w:szCs w:val="22"/>
        </w:rPr>
        <w:t>dos</w:t>
      </w:r>
      <w:r w:rsidR="00B17074" w:rsidRPr="003D6D6B">
        <w:rPr>
          <w:rFonts w:ascii="Palatino Linotype" w:eastAsia="Palatino Linotype" w:hAnsi="Palatino Linotype" w:cs="Palatino Linotype"/>
          <w:b/>
          <w:bCs/>
          <w:sz w:val="22"/>
          <w:szCs w:val="22"/>
        </w:rPr>
        <w:t xml:space="preserve"> de junio</w:t>
      </w:r>
      <w:r w:rsidRPr="003D6D6B">
        <w:rPr>
          <w:rFonts w:ascii="Palatino Linotype" w:eastAsia="Palatino Linotype" w:hAnsi="Palatino Linotype" w:cs="Palatino Linotype"/>
          <w:b/>
          <w:bCs/>
          <w:sz w:val="22"/>
          <w:szCs w:val="22"/>
        </w:rPr>
        <w:t xml:space="preserve"> de dos mil veintiséis,</w:t>
      </w:r>
      <w:r w:rsidRPr="003D6D6B">
        <w:rPr>
          <w:rFonts w:ascii="Palatino Linotype" w:eastAsia="Palatino Linotype" w:hAnsi="Palatino Linotype" w:cs="Palatino Linotype"/>
          <w:sz w:val="22"/>
          <w:szCs w:val="22"/>
        </w:rPr>
        <w:t xml:space="preserve"> la parte </w:t>
      </w:r>
      <w:r w:rsidRPr="003D6D6B">
        <w:rPr>
          <w:rFonts w:ascii="Palatino Linotype" w:eastAsia="Palatino Linotype" w:hAnsi="Palatino Linotype" w:cs="Palatino Linotype"/>
          <w:b/>
          <w:bCs/>
          <w:sz w:val="22"/>
          <w:szCs w:val="22"/>
        </w:rPr>
        <w:t>Recurrente</w:t>
      </w:r>
      <w:r w:rsidRPr="003D6D6B">
        <w:rPr>
          <w:rFonts w:ascii="Palatino Linotype" w:eastAsia="Palatino Linotype" w:hAnsi="Palatino Linotype" w:cs="Palatino Linotype"/>
          <w:sz w:val="22"/>
          <w:szCs w:val="22"/>
        </w:rPr>
        <w:t xml:space="preserve"> interpuso el recurso de revisión a través de </w:t>
      </w:r>
      <w:r w:rsidRPr="003D6D6B">
        <w:rPr>
          <w:rFonts w:ascii="Palatino Linotype" w:eastAsia="Palatino Linotype" w:hAnsi="Palatino Linotype" w:cs="Palatino Linotype"/>
          <w:b/>
          <w:bCs/>
          <w:sz w:val="22"/>
          <w:szCs w:val="22"/>
        </w:rPr>
        <w:t xml:space="preserve">SAIMEX, </w:t>
      </w:r>
      <w:r w:rsidRPr="003D6D6B">
        <w:rPr>
          <w:rFonts w:ascii="Palatino Linotype" w:eastAsia="Palatino Linotype" w:hAnsi="Palatino Linotype" w:cs="Palatino Linotype"/>
          <w:sz w:val="22"/>
          <w:szCs w:val="22"/>
        </w:rPr>
        <w:t>en donde se manifestó de la siguiente manera:</w:t>
      </w:r>
    </w:p>
    <w:p w14:paraId="13EC0F28" w14:textId="77777777" w:rsidR="004A2F65" w:rsidRPr="003D6D6B" w:rsidRDefault="004A2F65">
      <w:pPr>
        <w:spacing w:line="360" w:lineRule="auto"/>
        <w:ind w:right="49"/>
        <w:jc w:val="both"/>
        <w:rPr>
          <w:rFonts w:ascii="Palatino Linotype" w:eastAsia="Palatino Linotype" w:hAnsi="Palatino Linotype" w:cs="Palatino Linotype"/>
          <w:b/>
          <w:bCs/>
          <w:sz w:val="18"/>
          <w:szCs w:val="18"/>
        </w:rPr>
      </w:pPr>
    </w:p>
    <w:p w14:paraId="620E308B" w14:textId="77777777" w:rsidR="004A2F65" w:rsidRPr="003D6D6B" w:rsidRDefault="00243A40">
      <w:pPr>
        <w:tabs>
          <w:tab w:val="left" w:pos="2745"/>
        </w:tabs>
        <w:spacing w:line="360" w:lineRule="auto"/>
        <w:jc w:val="both"/>
        <w:rPr>
          <w:rFonts w:ascii="Palatino Linotype" w:eastAsia="Palatino Linotype" w:hAnsi="Palatino Linotype" w:cs="Palatino Linotype"/>
          <w:b/>
          <w:bCs/>
          <w:sz w:val="22"/>
          <w:szCs w:val="22"/>
        </w:rPr>
      </w:pPr>
      <w:r w:rsidRPr="003D6D6B">
        <w:rPr>
          <w:rFonts w:ascii="Palatino Linotype" w:eastAsia="Palatino Linotype" w:hAnsi="Palatino Linotype" w:cs="Palatino Linotype"/>
          <w:b/>
          <w:bCs/>
          <w:sz w:val="22"/>
          <w:szCs w:val="22"/>
        </w:rPr>
        <w:t xml:space="preserve">Acto impugnado: </w:t>
      </w:r>
    </w:p>
    <w:p w14:paraId="55693B7B" w14:textId="2F82DED1" w:rsidR="004A2F65" w:rsidRPr="003D6D6B" w:rsidRDefault="00243A40">
      <w:pPr>
        <w:tabs>
          <w:tab w:val="left" w:pos="2745"/>
        </w:tabs>
        <w:ind w:left="851" w:right="900"/>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005C6F4A" w:rsidRPr="003D6D6B">
        <w:rPr>
          <w:rFonts w:ascii="Palatino Linotype" w:eastAsia="Palatino Linotype" w:hAnsi="Palatino Linotype" w:cs="Palatino Linotype"/>
          <w:i/>
          <w:iCs/>
          <w:sz w:val="22"/>
          <w:szCs w:val="22"/>
        </w:rPr>
        <w:t>NO ME FUE ENTREGADA LA INFORMACIÓN QUE SE SOLICITÓ.</w:t>
      </w:r>
      <w:r w:rsidRPr="003D6D6B">
        <w:rPr>
          <w:rFonts w:ascii="Palatino Linotype" w:eastAsia="Palatino Linotype" w:hAnsi="Palatino Linotype" w:cs="Palatino Linotype"/>
          <w:i/>
          <w:iCs/>
          <w:sz w:val="22"/>
          <w:szCs w:val="22"/>
        </w:rPr>
        <w:t>” (sic)</w:t>
      </w:r>
    </w:p>
    <w:p w14:paraId="411BC89B" w14:textId="77777777" w:rsidR="004A2F65" w:rsidRPr="003D6D6B" w:rsidRDefault="004A2F65">
      <w:pPr>
        <w:tabs>
          <w:tab w:val="left" w:pos="2745"/>
        </w:tabs>
        <w:ind w:left="851" w:right="900"/>
        <w:jc w:val="both"/>
        <w:rPr>
          <w:rFonts w:ascii="Palatino Linotype" w:eastAsia="Palatino Linotype" w:hAnsi="Palatino Linotype" w:cs="Palatino Linotype"/>
          <w:i/>
          <w:iCs/>
          <w:sz w:val="22"/>
          <w:szCs w:val="22"/>
        </w:rPr>
      </w:pPr>
    </w:p>
    <w:p w14:paraId="61EBC3DD" w14:textId="77777777" w:rsidR="004A2F65" w:rsidRPr="003D6D6B" w:rsidRDefault="00243A40">
      <w:pPr>
        <w:spacing w:line="360" w:lineRule="auto"/>
        <w:jc w:val="both"/>
        <w:rPr>
          <w:rFonts w:ascii="Palatino Linotype" w:eastAsia="Palatino Linotype" w:hAnsi="Palatino Linotype" w:cs="Palatino Linotype"/>
          <w:sz w:val="22"/>
          <w:szCs w:val="22"/>
        </w:rPr>
      </w:pPr>
      <w:bookmarkStart w:id="4" w:name="_heading=h.30j0zll" w:colFirst="0" w:colLast="0"/>
      <w:bookmarkEnd w:id="4"/>
      <w:r w:rsidRPr="003D6D6B">
        <w:rPr>
          <w:rFonts w:ascii="Palatino Linotype" w:eastAsia="Palatino Linotype" w:hAnsi="Palatino Linotype" w:cs="Palatino Linotype"/>
          <w:b/>
          <w:bCs/>
          <w:sz w:val="22"/>
          <w:szCs w:val="22"/>
        </w:rPr>
        <w:lastRenderedPageBreak/>
        <w:t>Y Razones o motivos de inconformidad</w:t>
      </w:r>
      <w:r w:rsidRPr="003D6D6B">
        <w:rPr>
          <w:rFonts w:ascii="Palatino Linotype" w:eastAsia="Palatino Linotype" w:hAnsi="Palatino Linotype" w:cs="Palatino Linotype"/>
          <w:sz w:val="22"/>
          <w:szCs w:val="22"/>
        </w:rPr>
        <w:t xml:space="preserve">: </w:t>
      </w:r>
    </w:p>
    <w:p w14:paraId="2CC5E228" w14:textId="0DFB53C4" w:rsidR="004A2F65" w:rsidRPr="003D6D6B" w:rsidRDefault="00243A40">
      <w:pPr>
        <w:tabs>
          <w:tab w:val="left" w:pos="2745"/>
        </w:tabs>
        <w:ind w:left="851" w:right="900"/>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005C6F4A" w:rsidRPr="003D6D6B">
        <w:rPr>
          <w:rFonts w:ascii="Palatino Linotype" w:eastAsia="Palatino Linotype" w:hAnsi="Palatino Linotype" w:cs="Palatino Linotype"/>
          <w:i/>
          <w:iCs/>
          <w:sz w:val="22"/>
          <w:szCs w:val="22"/>
        </w:rPr>
        <w:t>DADO QUE SE SOLICITÓ EL AVANCE FÍSICO Y FINANCIERO, ASÍ COMO LOS CONTRATOS DE TODAS Y CADA UNA DE LAS OBRAS AUTORIZADAS EN LA DÉCIMA SEGUNDA SESIÓN ORDINARIA DE CABILDO Y NO EL LUGAR DONDE SE PUBLICAN. DADO QUE LA PÁGINA A LA QUE REFIERE EN SU ESCRITO NÚMERO DOP/EJ/1621/2026 CONTIENE EL UNIVERSO DE CONTRATOS Y DERIVADO QUE SE DESCONOCE EL NÚMERO DE CONTRATO MEDIANTE EL CUAL SE CONTRATARON DICHAS OBRAS Y AUNADO A ESTO AL INTENTAR REALIZAR LA BÚSQUEDA APARECEN LIGAS QUE DEBERÍAN LLEVAR AL DOCUMENTO FUENTE, NOS ENCONTRAMOS CON LEYENDAS DE NO APLICA, NEGÁNDONOS EL DERECHO A CONOCER DICHA INFORMACIÓN.</w:t>
      </w:r>
      <w:r w:rsidRPr="003D6D6B">
        <w:rPr>
          <w:rFonts w:ascii="Palatino Linotype" w:eastAsia="Palatino Linotype" w:hAnsi="Palatino Linotype" w:cs="Palatino Linotype"/>
          <w:i/>
          <w:iCs/>
          <w:sz w:val="22"/>
          <w:szCs w:val="22"/>
        </w:rPr>
        <w:t>” (sic)</w:t>
      </w:r>
    </w:p>
    <w:p w14:paraId="3E81EF73" w14:textId="77777777" w:rsidR="004A2F65" w:rsidRPr="003D6D6B" w:rsidRDefault="004A2F65">
      <w:pPr>
        <w:tabs>
          <w:tab w:val="left" w:pos="2745"/>
        </w:tabs>
        <w:ind w:left="851" w:right="900"/>
        <w:jc w:val="both"/>
        <w:rPr>
          <w:rFonts w:ascii="Palatino Linotype" w:eastAsia="Palatino Linotype" w:hAnsi="Palatino Linotype" w:cs="Palatino Linotype"/>
          <w:i/>
          <w:iCs/>
          <w:sz w:val="22"/>
          <w:szCs w:val="22"/>
        </w:rPr>
      </w:pPr>
    </w:p>
    <w:p w14:paraId="19CBDD3B" w14:textId="77777777" w:rsidR="004A2F65" w:rsidRPr="003D6D6B" w:rsidRDefault="00243A40">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 xml:space="preserve">4. Turno. </w:t>
      </w:r>
      <w:r w:rsidRPr="003D6D6B">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Pr="003D6D6B">
        <w:rPr>
          <w:rFonts w:ascii="Palatino Linotype" w:eastAsia="Palatino Linotype" w:hAnsi="Palatino Linotype" w:cs="Palatino Linotype"/>
          <w:b/>
          <w:bCs/>
          <w:sz w:val="22"/>
          <w:szCs w:val="22"/>
        </w:rPr>
        <w:t xml:space="preserve">Guadalupe Ramírez Peña, </w:t>
      </w:r>
      <w:r w:rsidRPr="003D6D6B">
        <w:rPr>
          <w:rFonts w:ascii="Palatino Linotype" w:eastAsia="Palatino Linotype" w:hAnsi="Palatino Linotype" w:cs="Palatino Linotype"/>
          <w:sz w:val="22"/>
          <w:szCs w:val="22"/>
        </w:rPr>
        <w:t>a efecto de que analizara sobre su admisión o su desechamiento.</w:t>
      </w:r>
    </w:p>
    <w:p w14:paraId="3CF2DABA" w14:textId="77777777" w:rsidR="004A2F65" w:rsidRPr="003D6D6B" w:rsidRDefault="004A2F65">
      <w:pPr>
        <w:spacing w:line="360" w:lineRule="auto"/>
        <w:ind w:right="49"/>
        <w:jc w:val="both"/>
        <w:rPr>
          <w:rFonts w:ascii="Palatino Linotype" w:eastAsia="Palatino Linotype" w:hAnsi="Palatino Linotype" w:cs="Palatino Linotype"/>
          <w:sz w:val="22"/>
          <w:szCs w:val="22"/>
        </w:rPr>
      </w:pPr>
    </w:p>
    <w:p w14:paraId="4BBDF78C" w14:textId="7DB17F6B" w:rsidR="004A2F65" w:rsidRPr="003D6D6B" w:rsidRDefault="00243A40">
      <w:pPr>
        <w:spacing w:line="360" w:lineRule="auto"/>
        <w:jc w:val="both"/>
        <w:rPr>
          <w:rFonts w:ascii="Palatino Linotype" w:eastAsia="Palatino Linotype" w:hAnsi="Palatino Linotype" w:cs="Palatino Linotype"/>
          <w:sz w:val="22"/>
          <w:szCs w:val="22"/>
        </w:rPr>
      </w:pPr>
      <w:bookmarkStart w:id="5" w:name="_heading=h.2s8eyo1" w:colFirst="0" w:colLast="0"/>
      <w:bookmarkEnd w:id="5"/>
      <w:r w:rsidRPr="003D6D6B">
        <w:rPr>
          <w:rFonts w:ascii="Palatino Linotype" w:eastAsia="Palatino Linotype" w:hAnsi="Palatino Linotype" w:cs="Palatino Linotype"/>
          <w:b/>
          <w:bCs/>
          <w:sz w:val="22"/>
          <w:szCs w:val="22"/>
        </w:rPr>
        <w:t>5. Admisión del Recurso de revisión.</w:t>
      </w:r>
      <w:r w:rsidRPr="003D6D6B">
        <w:rPr>
          <w:rFonts w:ascii="Palatino Linotype" w:eastAsia="Palatino Linotype" w:hAnsi="Palatino Linotype" w:cs="Palatino Linotype"/>
          <w:sz w:val="22"/>
          <w:szCs w:val="22"/>
        </w:rPr>
        <w:t xml:space="preserve"> El</w:t>
      </w:r>
      <w:r w:rsidRPr="003D6D6B">
        <w:rPr>
          <w:rFonts w:ascii="Palatino Linotype" w:eastAsia="Palatino Linotype" w:hAnsi="Palatino Linotype" w:cs="Palatino Linotype"/>
          <w:b/>
          <w:bCs/>
          <w:sz w:val="22"/>
          <w:szCs w:val="22"/>
        </w:rPr>
        <w:t xml:space="preserve"> </w:t>
      </w:r>
      <w:r w:rsidR="00307023" w:rsidRPr="003D6D6B">
        <w:rPr>
          <w:rFonts w:ascii="Palatino Linotype" w:eastAsia="Palatino Linotype" w:hAnsi="Palatino Linotype" w:cs="Palatino Linotype"/>
          <w:b/>
          <w:bCs/>
          <w:sz w:val="22"/>
          <w:szCs w:val="22"/>
        </w:rPr>
        <w:t>tres</w:t>
      </w:r>
      <w:r w:rsidR="0003629B" w:rsidRPr="003D6D6B">
        <w:rPr>
          <w:rFonts w:ascii="Palatino Linotype" w:eastAsia="Palatino Linotype" w:hAnsi="Palatino Linotype" w:cs="Palatino Linotype"/>
          <w:b/>
          <w:bCs/>
          <w:sz w:val="22"/>
          <w:szCs w:val="22"/>
        </w:rPr>
        <w:t xml:space="preserve"> de junio</w:t>
      </w:r>
      <w:r w:rsidRPr="003D6D6B">
        <w:rPr>
          <w:rFonts w:ascii="Palatino Linotype" w:eastAsia="Palatino Linotype" w:hAnsi="Palatino Linotype" w:cs="Palatino Linotype"/>
          <w:b/>
          <w:bCs/>
          <w:sz w:val="22"/>
          <w:szCs w:val="22"/>
        </w:rPr>
        <w:t xml:space="preserve"> de dos mil veintiséis, </w:t>
      </w:r>
      <w:r w:rsidRPr="003D6D6B">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3D6D6B">
        <w:rPr>
          <w:rFonts w:ascii="Palatino Linotype" w:eastAsia="Palatino Linotype" w:hAnsi="Palatino Linotype" w:cs="Palatino Linotype"/>
          <w:b/>
          <w:bCs/>
          <w:sz w:val="22"/>
          <w:szCs w:val="22"/>
        </w:rPr>
        <w:t xml:space="preserve">Sujeto Obligado </w:t>
      </w:r>
      <w:r w:rsidRPr="003D6D6B">
        <w:rPr>
          <w:rFonts w:ascii="Palatino Linotype" w:eastAsia="Palatino Linotype" w:hAnsi="Palatino Linotype" w:cs="Palatino Linotype"/>
          <w:sz w:val="22"/>
          <w:szCs w:val="22"/>
        </w:rPr>
        <w:t>presentara su informe justificado.</w:t>
      </w:r>
    </w:p>
    <w:p w14:paraId="51CE97DD" w14:textId="77777777" w:rsidR="004A2F65" w:rsidRPr="003D6D6B" w:rsidRDefault="004A2F65">
      <w:pPr>
        <w:spacing w:line="360" w:lineRule="auto"/>
        <w:jc w:val="both"/>
        <w:rPr>
          <w:rFonts w:ascii="Palatino Linotype" w:eastAsia="Palatino Linotype" w:hAnsi="Palatino Linotype" w:cs="Palatino Linotype"/>
          <w:sz w:val="22"/>
          <w:szCs w:val="22"/>
        </w:rPr>
      </w:pPr>
    </w:p>
    <w:p w14:paraId="0B81085A" w14:textId="28E1198E" w:rsidR="004A2F65" w:rsidRPr="003D6D6B" w:rsidRDefault="00243A40">
      <w:pPr>
        <w:widowControl w:val="0"/>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6. Manifestaciones</w:t>
      </w:r>
      <w:r w:rsidRPr="003D6D6B">
        <w:rPr>
          <w:rFonts w:ascii="Palatino Linotype" w:eastAsia="Palatino Linotype" w:hAnsi="Palatino Linotype" w:cs="Palatino Linotype"/>
          <w:sz w:val="22"/>
          <w:szCs w:val="22"/>
        </w:rPr>
        <w:t xml:space="preserve">. De constancias del expediente electrónico del SAIMEX, se observa que </w:t>
      </w:r>
      <w:r w:rsidR="00307023" w:rsidRPr="003D6D6B">
        <w:rPr>
          <w:rFonts w:ascii="Palatino Linotype" w:eastAsia="Palatino Linotype" w:hAnsi="Palatino Linotype" w:cs="Palatino Linotype"/>
          <w:sz w:val="22"/>
          <w:szCs w:val="22"/>
        </w:rPr>
        <w:t xml:space="preserve">el </w:t>
      </w:r>
      <w:r w:rsidR="00307023" w:rsidRPr="003D6D6B">
        <w:rPr>
          <w:rFonts w:ascii="Palatino Linotype" w:eastAsia="Palatino Linotype" w:hAnsi="Palatino Linotype" w:cs="Palatino Linotype"/>
          <w:b/>
          <w:sz w:val="22"/>
          <w:szCs w:val="22"/>
        </w:rPr>
        <w:t xml:space="preserve">Sujeto Obligado </w:t>
      </w:r>
      <w:r w:rsidR="002B609A" w:rsidRPr="003D6D6B">
        <w:rPr>
          <w:rFonts w:ascii="Palatino Linotype" w:eastAsia="Palatino Linotype" w:hAnsi="Palatino Linotype" w:cs="Palatino Linotype"/>
          <w:sz w:val="22"/>
          <w:szCs w:val="22"/>
        </w:rPr>
        <w:t xml:space="preserve">rindió manifestaciones mediantes </w:t>
      </w:r>
      <w:r w:rsidR="00307023" w:rsidRPr="003D6D6B">
        <w:rPr>
          <w:rFonts w:ascii="Palatino Linotype" w:eastAsia="Palatino Linotype" w:hAnsi="Palatino Linotype" w:cs="Palatino Linotype"/>
          <w:sz w:val="22"/>
          <w:szCs w:val="22"/>
        </w:rPr>
        <w:t>dos</w:t>
      </w:r>
      <w:r w:rsidR="002B609A" w:rsidRPr="003D6D6B">
        <w:rPr>
          <w:rFonts w:ascii="Palatino Linotype" w:eastAsia="Palatino Linotype" w:hAnsi="Palatino Linotype" w:cs="Palatino Linotype"/>
          <w:sz w:val="22"/>
          <w:szCs w:val="22"/>
        </w:rPr>
        <w:t xml:space="preserve"> archivos electrónicos denominados “</w:t>
      </w:r>
      <w:r w:rsidR="00307023" w:rsidRPr="003D6D6B">
        <w:rPr>
          <w:rFonts w:ascii="Palatino Linotype" w:eastAsia="Palatino Linotype" w:hAnsi="Palatino Linotype" w:cs="Palatino Linotype"/>
          <w:b/>
          <w:i/>
          <w:sz w:val="22"/>
          <w:szCs w:val="22"/>
        </w:rPr>
        <w:t>[Untitled]_2026061111144395.pdf</w:t>
      </w:r>
      <w:r w:rsidR="002B609A" w:rsidRPr="003D6D6B">
        <w:rPr>
          <w:rFonts w:ascii="Palatino Linotype" w:eastAsia="Palatino Linotype" w:hAnsi="Palatino Linotype" w:cs="Palatino Linotype"/>
          <w:sz w:val="22"/>
          <w:szCs w:val="22"/>
        </w:rPr>
        <w:t>” y “</w:t>
      </w:r>
      <w:r w:rsidR="00307023" w:rsidRPr="003D6D6B">
        <w:rPr>
          <w:rFonts w:ascii="Palatino Linotype" w:eastAsia="Palatino Linotype" w:hAnsi="Palatino Linotype" w:cs="Palatino Linotype"/>
          <w:b/>
          <w:i/>
          <w:sz w:val="22"/>
          <w:szCs w:val="22"/>
        </w:rPr>
        <w:t>[Untitled]_2026061111145060.pdf</w:t>
      </w:r>
      <w:r w:rsidR="002B609A" w:rsidRPr="003D6D6B">
        <w:rPr>
          <w:rFonts w:ascii="Palatino Linotype" w:eastAsia="Palatino Linotype" w:hAnsi="Palatino Linotype" w:cs="Palatino Linotype"/>
          <w:sz w:val="22"/>
          <w:szCs w:val="22"/>
        </w:rPr>
        <w:t xml:space="preserve">”, proporcionados el </w:t>
      </w:r>
      <w:r w:rsidR="00307023" w:rsidRPr="003D6D6B">
        <w:rPr>
          <w:rFonts w:ascii="Palatino Linotype" w:eastAsia="Palatino Linotype" w:hAnsi="Palatino Linotype" w:cs="Palatino Linotype"/>
          <w:sz w:val="22"/>
          <w:szCs w:val="22"/>
        </w:rPr>
        <w:t>once</w:t>
      </w:r>
      <w:r w:rsidR="002B609A" w:rsidRPr="003D6D6B">
        <w:rPr>
          <w:rFonts w:ascii="Palatino Linotype" w:eastAsia="Palatino Linotype" w:hAnsi="Palatino Linotype" w:cs="Palatino Linotype"/>
          <w:sz w:val="22"/>
          <w:szCs w:val="22"/>
        </w:rPr>
        <w:t xml:space="preserve"> de junio de dos mil veintiséis, </w:t>
      </w:r>
      <w:r w:rsidR="00307023" w:rsidRPr="003D6D6B">
        <w:rPr>
          <w:rFonts w:ascii="Palatino Linotype" w:eastAsia="Palatino Linotype" w:hAnsi="Palatino Linotype" w:cs="Palatino Linotype"/>
          <w:sz w:val="22"/>
          <w:szCs w:val="22"/>
        </w:rPr>
        <w:t>a través de los cuales se ratifica la respuesta inicial.</w:t>
      </w:r>
    </w:p>
    <w:p w14:paraId="5E9E2AE2" w14:textId="77777777" w:rsidR="00307023" w:rsidRPr="003D6D6B" w:rsidRDefault="00307023">
      <w:pPr>
        <w:widowControl w:val="0"/>
        <w:spacing w:line="360" w:lineRule="auto"/>
        <w:ind w:right="49"/>
        <w:jc w:val="both"/>
        <w:rPr>
          <w:rFonts w:ascii="Palatino Linotype" w:eastAsia="Palatino Linotype" w:hAnsi="Palatino Linotype" w:cs="Palatino Linotype"/>
          <w:sz w:val="22"/>
          <w:szCs w:val="22"/>
        </w:rPr>
      </w:pPr>
    </w:p>
    <w:p w14:paraId="74E0192F" w14:textId="190E2E06" w:rsidR="00307023" w:rsidRPr="003D6D6B" w:rsidRDefault="00307023">
      <w:pPr>
        <w:widowControl w:val="0"/>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Documentos los anteriores que fueron puestos a la vista de la parte </w:t>
      </w:r>
      <w:r w:rsidRPr="003D6D6B">
        <w:rPr>
          <w:rFonts w:ascii="Palatino Linotype" w:eastAsia="Palatino Linotype" w:hAnsi="Palatino Linotype" w:cs="Palatino Linotype"/>
          <w:b/>
          <w:sz w:val="22"/>
          <w:szCs w:val="22"/>
        </w:rPr>
        <w:t xml:space="preserve">Recurrente </w:t>
      </w:r>
      <w:r w:rsidRPr="003D6D6B">
        <w:rPr>
          <w:rFonts w:ascii="Palatino Linotype" w:eastAsia="Palatino Linotype" w:hAnsi="Palatino Linotype" w:cs="Palatino Linotype"/>
          <w:sz w:val="22"/>
          <w:szCs w:val="22"/>
        </w:rPr>
        <w:t xml:space="preserve"> a fin de que hiciera valer manifestaciones o alegatos que conforme a derecho resultaran procedentes; no obstante, la misma fue omisa en ejercer dicha prerrogativa.</w:t>
      </w:r>
    </w:p>
    <w:p w14:paraId="6606CE19" w14:textId="2E1D80D5" w:rsidR="00D373E2" w:rsidRPr="003D6D6B" w:rsidRDefault="0010351E" w:rsidP="00D373E2">
      <w:pPr>
        <w:spacing w:before="240" w:after="240" w:line="360" w:lineRule="auto"/>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 xml:space="preserve">7. </w:t>
      </w:r>
      <w:r w:rsidR="00D373E2" w:rsidRPr="003D6D6B">
        <w:rPr>
          <w:rFonts w:ascii="Palatino Linotype" w:eastAsia="Palatino Linotype" w:hAnsi="Palatino Linotype" w:cs="Palatino Linotype"/>
          <w:b/>
          <w:sz w:val="22"/>
          <w:szCs w:val="22"/>
        </w:rPr>
        <w:t xml:space="preserve">Returno. </w:t>
      </w:r>
      <w:r w:rsidR="00D373E2" w:rsidRPr="003D6D6B">
        <w:rPr>
          <w:rFonts w:ascii="Palatino Linotype" w:eastAsia="Palatino Linotype" w:hAnsi="Palatino Linotype" w:cs="Palatino Linotype"/>
          <w:sz w:val="22"/>
          <w:szCs w:val="22"/>
        </w:rPr>
        <w:t xml:space="preserve">Mediante acuerdo del </w:t>
      </w:r>
      <w:r w:rsidR="00D373E2" w:rsidRPr="003D6D6B">
        <w:rPr>
          <w:rFonts w:ascii="Palatino Linotype" w:eastAsia="Palatino Linotype" w:hAnsi="Palatino Linotype" w:cs="Palatino Linotype"/>
          <w:b/>
          <w:sz w:val="22"/>
          <w:szCs w:val="22"/>
        </w:rPr>
        <w:t>diecinueve de agosto de dos mil veintiséis</w:t>
      </w:r>
      <w:r w:rsidR="00D373E2" w:rsidRPr="003D6D6B">
        <w:rPr>
          <w:rFonts w:ascii="Palatino Linotype" w:eastAsia="Palatino Linotype" w:hAnsi="Palatino Linotype" w:cs="Palatino Linotype"/>
          <w:sz w:val="22"/>
          <w:szCs w:val="22"/>
        </w:rPr>
        <w:t xml:space="preserve"> el Pleno de este Organismo Garante, aprobó returnar el recurso de revisión a la Comisionada Guadalupe Ramírez Peña, a efecto de que formulara y presentara el proyecto de resolución correspondiente.</w:t>
      </w:r>
    </w:p>
    <w:p w14:paraId="11A647E7" w14:textId="664B852A" w:rsidR="006D05F9" w:rsidRPr="003D6D6B" w:rsidRDefault="0010351E" w:rsidP="006D05F9">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rPr>
        <w:t>8</w:t>
      </w:r>
      <w:r w:rsidR="006D05F9" w:rsidRPr="003D6D6B">
        <w:rPr>
          <w:rFonts w:ascii="Palatino Linotype" w:eastAsia="Palatino Linotype" w:hAnsi="Palatino Linotype" w:cs="Palatino Linotype"/>
          <w:b/>
          <w:sz w:val="22"/>
          <w:szCs w:val="22"/>
        </w:rPr>
        <w:t>. Ampliación del término para resolver</w:t>
      </w:r>
      <w:r w:rsidR="006D05F9" w:rsidRPr="003D6D6B">
        <w:rPr>
          <w:rFonts w:ascii="Palatino Linotype" w:eastAsia="Palatino Linotype" w:hAnsi="Palatino Linotype" w:cs="Palatino Linotype"/>
          <w:sz w:val="22"/>
          <w:szCs w:val="22"/>
        </w:rPr>
        <w:t xml:space="preserve">. El </w:t>
      </w:r>
      <w:r w:rsidR="00307023" w:rsidRPr="003D6D6B">
        <w:rPr>
          <w:rFonts w:ascii="Palatino Linotype" w:eastAsia="Palatino Linotype" w:hAnsi="Palatino Linotype" w:cs="Palatino Linotype"/>
          <w:b/>
          <w:bCs/>
          <w:sz w:val="22"/>
          <w:szCs w:val="22"/>
        </w:rPr>
        <w:t xml:space="preserve">tres </w:t>
      </w:r>
      <w:r w:rsidR="00832660" w:rsidRPr="003D6D6B">
        <w:rPr>
          <w:rFonts w:ascii="Palatino Linotype" w:eastAsia="Palatino Linotype" w:hAnsi="Palatino Linotype" w:cs="Palatino Linotype"/>
          <w:b/>
          <w:bCs/>
          <w:sz w:val="22"/>
          <w:szCs w:val="22"/>
        </w:rPr>
        <w:t>de agosto</w:t>
      </w:r>
      <w:r w:rsidR="006D05F9" w:rsidRPr="003D6D6B">
        <w:rPr>
          <w:rFonts w:ascii="Palatino Linotype" w:eastAsia="Palatino Linotype" w:hAnsi="Palatino Linotype" w:cs="Palatino Linotype"/>
          <w:b/>
          <w:bCs/>
          <w:sz w:val="22"/>
          <w:szCs w:val="22"/>
        </w:rPr>
        <w:t xml:space="preserve"> de dos mil veintiséis</w:t>
      </w:r>
      <w:r w:rsidR="006D05F9" w:rsidRPr="003D6D6B">
        <w:rPr>
          <w:rFonts w:ascii="Palatino Linotype" w:eastAsia="Palatino Linotype" w:hAnsi="Palatino Linotype" w:cs="Palatino Linotype"/>
          <w:sz w:val="22"/>
          <w:szCs w:val="22"/>
        </w:rPr>
        <w:t xml:space="preserve">, se amplió el término para resolver el recurso de revisión en términos del artículo 181 párrafo tercero de la Ley de Transparencia y Acceso a la Información Pública del Estado de México y Municipios. </w:t>
      </w:r>
    </w:p>
    <w:p w14:paraId="1273A4BB"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14:paraId="79835D71"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3FA4AB24"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14:paraId="2B465DEB"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458DD20B"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14:paraId="6CBFC962"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149DA931"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14:paraId="7F70888D"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1B337B91" w14:textId="77777777" w:rsidR="002B511B" w:rsidRPr="003D6D6B" w:rsidRDefault="002B511B" w:rsidP="002B511B">
      <w:pPr>
        <w:spacing w:line="360" w:lineRule="auto"/>
        <w:jc w:val="both"/>
        <w:rPr>
          <w:rFonts w:ascii="Palatino Linotype" w:eastAsia="Palatino Linotype" w:hAnsi="Palatino Linotype" w:cs="Palatino Linotype"/>
          <w:strike/>
          <w:sz w:val="22"/>
          <w:szCs w:val="22"/>
        </w:rPr>
      </w:pPr>
      <w:r w:rsidRPr="003D6D6B">
        <w:rPr>
          <w:rFonts w:ascii="Palatino Linotype" w:eastAsia="Palatino Linotype" w:hAnsi="Palatino Linotype" w:cs="Palatino Linotype"/>
          <w:sz w:val="22"/>
          <w:szCs w:val="22"/>
        </w:rPr>
        <w:t xml:space="preserve">Por ello, excepcionalmente, si un asunto es resuelto con posterioridad a los plazos señalados por la norma debe analizarse la razonabilidad del tiempo necesario para su resolución, atentos a los siguientes criterios: </w:t>
      </w:r>
    </w:p>
    <w:p w14:paraId="21182459"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3637266D" w14:textId="77777777" w:rsidR="002B511B" w:rsidRPr="003D6D6B"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Complejidad del Asunto:</w:t>
      </w:r>
      <w:r w:rsidRPr="003D6D6B">
        <w:rPr>
          <w:rFonts w:ascii="Palatino Linotype" w:eastAsia="Palatino Linotype" w:hAnsi="Palatino Linotype" w:cs="Palatino Linotype"/>
          <w:sz w:val="22"/>
          <w:szCs w:val="22"/>
        </w:rPr>
        <w:t xml:space="preserve"> La complejidad de la prueba, la pluralidad de sujetos procesales, el tiempo transcurrido, las características y contexto del recurso. </w:t>
      </w:r>
    </w:p>
    <w:p w14:paraId="7CC9F0FF" w14:textId="77777777" w:rsidR="002B511B" w:rsidRPr="003D6D6B" w:rsidRDefault="002B511B" w:rsidP="002B511B">
      <w:pPr>
        <w:spacing w:line="360" w:lineRule="auto"/>
        <w:ind w:left="927"/>
        <w:jc w:val="both"/>
        <w:rPr>
          <w:rFonts w:ascii="Palatino Linotype" w:eastAsia="Palatino Linotype" w:hAnsi="Palatino Linotype" w:cs="Palatino Linotype"/>
          <w:sz w:val="22"/>
          <w:szCs w:val="22"/>
        </w:rPr>
      </w:pPr>
    </w:p>
    <w:p w14:paraId="6A2F58D3" w14:textId="77777777" w:rsidR="002B511B" w:rsidRPr="003D6D6B"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Actividad Procesal del interesado.</w:t>
      </w:r>
      <w:r w:rsidRPr="003D6D6B">
        <w:rPr>
          <w:rFonts w:ascii="Palatino Linotype" w:eastAsia="Palatino Linotype" w:hAnsi="Palatino Linotype" w:cs="Palatino Linotype"/>
          <w:sz w:val="22"/>
          <w:szCs w:val="22"/>
        </w:rPr>
        <w:t xml:space="preserve"> Acciones u omisiones del interesado.</w:t>
      </w:r>
    </w:p>
    <w:p w14:paraId="356F8FF6" w14:textId="77777777" w:rsidR="002B511B" w:rsidRPr="003D6D6B" w:rsidRDefault="002B511B" w:rsidP="002B511B">
      <w:pPr>
        <w:spacing w:line="360" w:lineRule="auto"/>
        <w:ind w:left="927"/>
        <w:jc w:val="both"/>
        <w:rPr>
          <w:rFonts w:ascii="Palatino Linotype" w:eastAsia="Palatino Linotype" w:hAnsi="Palatino Linotype" w:cs="Palatino Linotype"/>
          <w:sz w:val="22"/>
          <w:szCs w:val="22"/>
        </w:rPr>
      </w:pPr>
    </w:p>
    <w:p w14:paraId="13F2AD22" w14:textId="77777777" w:rsidR="002B511B" w:rsidRPr="003D6D6B"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Conducta de la Autoridad:</w:t>
      </w:r>
      <w:r w:rsidRPr="003D6D6B">
        <w:rPr>
          <w:rFonts w:ascii="Palatino Linotype" w:eastAsia="Palatino Linotype" w:hAnsi="Palatino Linotype" w:cs="Palatino Linotype"/>
          <w:sz w:val="22"/>
          <w:szCs w:val="22"/>
        </w:rPr>
        <w:t xml:space="preserve"> Las Acciones u omisiones realizadas en el procedimiento. Así como si la autoridad actuó con la debida diligencia.</w:t>
      </w:r>
    </w:p>
    <w:p w14:paraId="5FE89FE1" w14:textId="77777777" w:rsidR="002B511B" w:rsidRPr="003D6D6B" w:rsidRDefault="002B511B" w:rsidP="002B511B">
      <w:pPr>
        <w:spacing w:line="360" w:lineRule="auto"/>
        <w:ind w:left="927"/>
        <w:jc w:val="both"/>
        <w:rPr>
          <w:rFonts w:ascii="Palatino Linotype" w:eastAsia="Palatino Linotype" w:hAnsi="Palatino Linotype" w:cs="Palatino Linotype"/>
          <w:sz w:val="22"/>
          <w:szCs w:val="22"/>
        </w:rPr>
      </w:pPr>
    </w:p>
    <w:p w14:paraId="7A4A7338" w14:textId="77777777" w:rsidR="002B511B" w:rsidRPr="003D6D6B" w:rsidRDefault="002B511B" w:rsidP="002B511B">
      <w:pPr>
        <w:numPr>
          <w:ilvl w:val="0"/>
          <w:numId w:val="3"/>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 </w:t>
      </w:r>
      <w:r w:rsidRPr="003D6D6B">
        <w:rPr>
          <w:rFonts w:ascii="Palatino Linotype" w:eastAsia="Palatino Linotype" w:hAnsi="Palatino Linotype" w:cs="Palatino Linotype"/>
          <w:b/>
          <w:bCs/>
          <w:sz w:val="22"/>
          <w:szCs w:val="22"/>
        </w:rPr>
        <w:t xml:space="preserve">La afectación generada en la situación jurídica de la persona involucrada en el proceso: </w:t>
      </w:r>
      <w:r w:rsidRPr="003D6D6B">
        <w:rPr>
          <w:rFonts w:ascii="Palatino Linotype" w:eastAsia="Palatino Linotype" w:hAnsi="Palatino Linotype" w:cs="Palatino Linotype"/>
          <w:sz w:val="22"/>
          <w:szCs w:val="22"/>
        </w:rPr>
        <w:t>Violación a sus derechos humanos.</w:t>
      </w:r>
    </w:p>
    <w:p w14:paraId="15332E8C"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678D666E"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14:paraId="369F854B"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20C96757" w14:textId="77777777" w:rsidR="002B511B" w:rsidRPr="003D6D6B" w:rsidRDefault="002B511B" w:rsidP="002B511B">
      <w:pPr>
        <w:spacing w:line="360" w:lineRule="auto"/>
        <w:jc w:val="both"/>
        <w:rPr>
          <w:rFonts w:ascii="Palatino Linotype" w:eastAsia="Palatino Linotype" w:hAnsi="Palatino Linotype" w:cs="Palatino Linotype"/>
          <w:b/>
          <w:bCs/>
          <w:sz w:val="22"/>
          <w:szCs w:val="22"/>
        </w:rPr>
      </w:pPr>
      <w:r w:rsidRPr="003D6D6B">
        <w:rPr>
          <w:rFonts w:ascii="Palatino Linotype" w:eastAsia="Palatino Linotype" w:hAnsi="Palatino Linotype" w:cs="Palatino Linotype"/>
          <w:sz w:val="22"/>
          <w:szCs w:val="22"/>
        </w:rPr>
        <w:t xml:space="preserve">Argumento que encuentra sustento en la jurisprudencia P./J. 32/92 emitida por el Pleno de la Suprema Corte de Justicia de la Nación de rubro </w:t>
      </w:r>
      <w:r w:rsidRPr="003D6D6B">
        <w:rPr>
          <w:rFonts w:ascii="Palatino Linotype" w:eastAsia="Palatino Linotype" w:hAnsi="Palatino Linotype" w:cs="Palatino Linotype"/>
          <w:i/>
          <w:iCs/>
          <w:sz w:val="22"/>
          <w:szCs w:val="22"/>
        </w:rPr>
        <w:t>“TÉRMINOS PROCESALES. PARA DETERMINAR SI UN FUNCIONARIO JUDICIAL ACTUÓ INDEBIDAMENTE POR NO RESPETARLOS SE DEBE ATENDER AL PRESUPUESTO QUE CONSIDERÓ EL LEGISLADOR AL FIJARLOS Y LAS CARACTERÍSTICAS DEL CASO.”</w:t>
      </w:r>
      <w:r w:rsidRPr="003D6D6B">
        <w:rPr>
          <w:rFonts w:ascii="Palatino Linotype" w:eastAsia="Palatino Linotype" w:hAnsi="Palatino Linotype" w:cs="Palatino Linotype"/>
          <w:sz w:val="22"/>
          <w:szCs w:val="22"/>
        </w:rPr>
        <w:t>, visible en la Gaceta del Seminario Judicial de la Federación con el registro digital 205635.</w:t>
      </w:r>
    </w:p>
    <w:p w14:paraId="698E26F4"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0D79613E"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04945202"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491AB8F8"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Al respecto, también son de considerar los criterios sostenidos por el Cuarto Tribunal Colegiado en Materia Administrativa del Primer Circuito, cuyos rubros y datos de identificación son los siguientes:</w:t>
      </w:r>
    </w:p>
    <w:p w14:paraId="2136DC4F"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p>
    <w:p w14:paraId="50AE90D9" w14:textId="77777777" w:rsidR="002B511B" w:rsidRPr="003D6D6B" w:rsidRDefault="002B511B" w:rsidP="002B511B">
      <w:pPr>
        <w:spacing w:line="360" w:lineRule="auto"/>
        <w:ind w:left="567" w:right="616"/>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 </w:t>
      </w:r>
      <w:r w:rsidRPr="003D6D6B">
        <w:rPr>
          <w:rFonts w:ascii="Palatino Linotype" w:eastAsia="Palatino Linotype" w:hAnsi="Palatino Linotype" w:cs="Palatino Linotype"/>
          <w:i/>
          <w:iCs/>
          <w:sz w:val="22"/>
          <w:szCs w:val="22"/>
        </w:rPr>
        <w:t>“PLAZO RAZONABLE PARA RESOLVER. DIMENSIÓN Y EFECTOS DE ESTE CONCEPTO CUANDO SE ADUCE EXCESIVA CARGA DE TRABAJO.”</w:t>
      </w:r>
      <w:r w:rsidRPr="003D6D6B">
        <w:rPr>
          <w:rFonts w:ascii="Palatino Linotype" w:eastAsia="Palatino Linotype" w:hAnsi="Palatino Linotype" w:cs="Palatino Linotype"/>
          <w:sz w:val="22"/>
          <w:szCs w:val="22"/>
        </w:rPr>
        <w:t xml:space="preserve"> consultable en el Seminario Judicial de la Federación y su gaceta, con el registro digital 2002351.</w:t>
      </w:r>
    </w:p>
    <w:p w14:paraId="53F7BFFB" w14:textId="77777777" w:rsidR="002B511B" w:rsidRPr="003D6D6B" w:rsidRDefault="002B511B" w:rsidP="002B511B">
      <w:pPr>
        <w:spacing w:line="360" w:lineRule="auto"/>
        <w:ind w:left="567" w:right="616"/>
        <w:jc w:val="both"/>
        <w:rPr>
          <w:rFonts w:ascii="Palatino Linotype" w:eastAsia="Palatino Linotype" w:hAnsi="Palatino Linotype" w:cs="Palatino Linotype"/>
          <w:b/>
          <w:bCs/>
          <w:sz w:val="22"/>
          <w:szCs w:val="22"/>
        </w:rPr>
      </w:pPr>
    </w:p>
    <w:p w14:paraId="628CD048" w14:textId="77777777" w:rsidR="002B511B" w:rsidRPr="003D6D6B" w:rsidRDefault="002B511B" w:rsidP="002B511B">
      <w:pPr>
        <w:spacing w:line="360" w:lineRule="auto"/>
        <w:ind w:left="567" w:right="616"/>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i/>
          <w:iCs/>
          <w:sz w:val="22"/>
          <w:szCs w:val="22"/>
        </w:rPr>
        <w:t>“PLAZO RAZONABLE PARA RESOLVER. CONCEPTO Y ELEMENTOS QUE LO INTEGRAN A LA LUZ DEL DERECHO INTERNACIONAL DE LOS DERECHOS HUMANOS.”</w:t>
      </w:r>
      <w:r w:rsidRPr="003D6D6B">
        <w:rPr>
          <w:rFonts w:ascii="Palatino Linotype" w:eastAsia="Palatino Linotype" w:hAnsi="Palatino Linotype" w:cs="Palatino Linotype"/>
          <w:sz w:val="22"/>
          <w:szCs w:val="22"/>
        </w:rPr>
        <w:t>, visible en el Seminario Judicial de la Federación y su gaceta, con el registro digital 2002350.</w:t>
      </w:r>
    </w:p>
    <w:p w14:paraId="4F1F3AAA" w14:textId="77777777" w:rsidR="002B511B" w:rsidRPr="003D6D6B" w:rsidRDefault="002B511B" w:rsidP="002B511B">
      <w:pPr>
        <w:spacing w:line="360" w:lineRule="auto"/>
        <w:ind w:left="567" w:right="616"/>
        <w:jc w:val="both"/>
        <w:rPr>
          <w:rFonts w:ascii="Palatino Linotype" w:eastAsia="Palatino Linotype" w:hAnsi="Palatino Linotype" w:cs="Palatino Linotype"/>
          <w:sz w:val="22"/>
          <w:szCs w:val="22"/>
        </w:rPr>
      </w:pPr>
    </w:p>
    <w:p w14:paraId="7C1A63CC" w14:textId="77777777" w:rsidR="002B511B" w:rsidRPr="003D6D6B" w:rsidRDefault="002B511B" w:rsidP="002B511B">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Por ello, este organismo garante comprometido con la tutela de los derechos humanos confiados, señala que este exceso de plazo legal para resolver el presente asunto, resulta de carácter excepcional.</w:t>
      </w:r>
    </w:p>
    <w:p w14:paraId="1B73735C" w14:textId="77777777" w:rsidR="002B511B" w:rsidRPr="003D6D6B" w:rsidRDefault="002B511B" w:rsidP="00D51817">
      <w:pPr>
        <w:spacing w:line="360" w:lineRule="auto"/>
        <w:jc w:val="both"/>
        <w:rPr>
          <w:rFonts w:ascii="Palatino Linotype" w:eastAsia="Palatino Linotype" w:hAnsi="Palatino Linotype" w:cs="Palatino Linotype"/>
          <w:b/>
          <w:bCs/>
          <w:sz w:val="22"/>
          <w:szCs w:val="22"/>
        </w:rPr>
      </w:pPr>
    </w:p>
    <w:p w14:paraId="64FA9C0B" w14:textId="72144F94" w:rsidR="004A2F65" w:rsidRPr="003D6D6B" w:rsidRDefault="0010351E" w:rsidP="00D51817">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9</w:t>
      </w:r>
      <w:r w:rsidR="00243A40" w:rsidRPr="003D6D6B">
        <w:rPr>
          <w:rFonts w:ascii="Palatino Linotype" w:eastAsia="Palatino Linotype" w:hAnsi="Palatino Linotype" w:cs="Palatino Linotype"/>
          <w:b/>
          <w:bCs/>
          <w:sz w:val="22"/>
          <w:szCs w:val="22"/>
        </w:rPr>
        <w:t xml:space="preserve">. Cierre de instrucción. </w:t>
      </w:r>
      <w:r w:rsidR="00243A40" w:rsidRPr="003D6D6B">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w:t>
      </w:r>
      <w:r w:rsidR="001945A4" w:rsidRPr="003D6D6B">
        <w:rPr>
          <w:rFonts w:ascii="Palatino Linotype" w:eastAsia="Palatino Linotype" w:hAnsi="Palatino Linotype" w:cs="Palatino Linotype"/>
          <w:sz w:val="22"/>
          <w:szCs w:val="22"/>
        </w:rPr>
        <w:t xml:space="preserve">fecha </w:t>
      </w:r>
      <w:r w:rsidR="00307023" w:rsidRPr="003D6D6B">
        <w:rPr>
          <w:rFonts w:ascii="Palatino Linotype" w:eastAsia="Palatino Linotype" w:hAnsi="Palatino Linotype" w:cs="Palatino Linotype"/>
          <w:b/>
          <w:bCs/>
          <w:sz w:val="22"/>
          <w:szCs w:val="22"/>
        </w:rPr>
        <w:t>nueve de septiembre</w:t>
      </w:r>
      <w:r w:rsidR="006D05F9" w:rsidRPr="003D6D6B">
        <w:rPr>
          <w:rFonts w:ascii="Palatino Linotype" w:eastAsia="Palatino Linotype" w:hAnsi="Palatino Linotype" w:cs="Palatino Linotype"/>
          <w:b/>
          <w:bCs/>
          <w:sz w:val="22"/>
          <w:szCs w:val="22"/>
        </w:rPr>
        <w:t xml:space="preserve"> de dos mil veintiséis</w:t>
      </w:r>
      <w:r w:rsidR="00243A40" w:rsidRPr="003D6D6B">
        <w:rPr>
          <w:rFonts w:ascii="Palatino Linotype" w:eastAsia="Palatino Linotype" w:hAnsi="Palatino Linotype" w:cs="Palatino Linotype"/>
          <w:b/>
          <w:bCs/>
          <w:sz w:val="22"/>
          <w:szCs w:val="22"/>
        </w:rPr>
        <w:t>,</w:t>
      </w:r>
      <w:r w:rsidR="00243A40" w:rsidRPr="003D6D6B">
        <w:rPr>
          <w:rFonts w:ascii="Palatino Linotype" w:eastAsia="Palatino Linotype" w:hAnsi="Palatino Linotype" w:cs="Palatino Linotype"/>
          <w:sz w:val="22"/>
          <w:szCs w:val="22"/>
        </w:rPr>
        <w:t xml:space="preserve"> la Comisionada Ponente determinó el cierre de instrucción en términos de la fracción VI del artículo 185 de la Ley de Transparencia y Acceso a la Información Pública del Estado de México y Municipios.</w:t>
      </w:r>
    </w:p>
    <w:p w14:paraId="7D41460E" w14:textId="77777777" w:rsidR="004A2F65" w:rsidRPr="003D6D6B" w:rsidRDefault="004A2F65">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4C299526" w14:textId="77777777" w:rsidR="004A2F65" w:rsidRPr="003D6D6B" w:rsidRDefault="00243A40">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724BBBA0" w14:textId="77777777" w:rsidR="004A2F65" w:rsidRPr="003D6D6B" w:rsidRDefault="00243A40">
      <w:pPr>
        <w:widowControl w:val="0"/>
        <w:spacing w:line="360" w:lineRule="auto"/>
        <w:jc w:val="center"/>
        <w:rPr>
          <w:rFonts w:ascii="Palatino Linotype" w:eastAsia="Palatino Linotype" w:hAnsi="Palatino Linotype" w:cs="Palatino Linotype"/>
          <w:b/>
          <w:bCs/>
          <w:sz w:val="22"/>
          <w:szCs w:val="22"/>
        </w:rPr>
      </w:pPr>
      <w:r w:rsidRPr="003D6D6B">
        <w:rPr>
          <w:rFonts w:ascii="Palatino Linotype" w:eastAsia="Palatino Linotype" w:hAnsi="Palatino Linotype" w:cs="Palatino Linotype"/>
          <w:b/>
          <w:bCs/>
          <w:sz w:val="22"/>
          <w:szCs w:val="22"/>
        </w:rPr>
        <w:t>II. C O N S I D E R A N D O S</w:t>
      </w:r>
    </w:p>
    <w:p w14:paraId="5E69EDBF"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Primero. Competencia.</w:t>
      </w:r>
      <w:r w:rsidRPr="003D6D6B">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0D2A5B6"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bookmarkStart w:id="6" w:name="_heading=h.tyjcwt" w:colFirst="0" w:colLast="0"/>
      <w:bookmarkEnd w:id="6"/>
      <w:r w:rsidRPr="003D6D6B">
        <w:rPr>
          <w:rFonts w:ascii="Palatino Linotype" w:eastAsia="Palatino Linotype" w:hAnsi="Palatino Linotype" w:cs="Palatino Linotype"/>
          <w:b/>
          <w:bCs/>
          <w:sz w:val="22"/>
          <w:szCs w:val="22"/>
        </w:rPr>
        <w:t>Segundo. Oportunidad y Procedibilidad del Recurso de Revisión</w:t>
      </w:r>
      <w:r w:rsidRPr="003D6D6B">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4C2BEB1E" w14:textId="0B82878F"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3D6D6B">
        <w:rPr>
          <w:rFonts w:ascii="Palatino Linotype" w:eastAsia="Palatino Linotype" w:hAnsi="Palatino Linotype" w:cs="Palatino Linotype"/>
          <w:b/>
          <w:bCs/>
          <w:sz w:val="22"/>
          <w:szCs w:val="22"/>
        </w:rPr>
        <w:t xml:space="preserve">Sujeto Obligado </w:t>
      </w:r>
      <w:r w:rsidRPr="003D6D6B">
        <w:rPr>
          <w:rFonts w:ascii="Palatino Linotype" w:eastAsia="Palatino Linotype" w:hAnsi="Palatino Linotype" w:cs="Palatino Linotype"/>
          <w:sz w:val="22"/>
          <w:szCs w:val="22"/>
        </w:rPr>
        <w:t xml:space="preserve">remitió la respuesta a la solicitud de información el </w:t>
      </w:r>
      <w:r w:rsidR="003D2DBE" w:rsidRPr="003D6D6B">
        <w:rPr>
          <w:rFonts w:ascii="Palatino Linotype" w:eastAsia="Palatino Linotype" w:hAnsi="Palatino Linotype" w:cs="Palatino Linotype"/>
          <w:b/>
          <w:bCs/>
          <w:sz w:val="22"/>
          <w:szCs w:val="22"/>
        </w:rPr>
        <w:t>veintisiete de mayo de dos mil veintiséis</w:t>
      </w:r>
      <w:r w:rsidRPr="003D6D6B">
        <w:rPr>
          <w:rFonts w:ascii="Palatino Linotype" w:eastAsia="Palatino Linotype" w:hAnsi="Palatino Linotype" w:cs="Palatino Linotype"/>
          <w:b/>
          <w:bCs/>
          <w:sz w:val="22"/>
          <w:szCs w:val="22"/>
        </w:rPr>
        <w:t xml:space="preserve">, </w:t>
      </w:r>
      <w:r w:rsidRPr="003D6D6B">
        <w:rPr>
          <w:rFonts w:ascii="Palatino Linotype" w:eastAsia="Palatino Linotype" w:hAnsi="Palatino Linotype" w:cs="Palatino Linotype"/>
          <w:sz w:val="22"/>
          <w:szCs w:val="22"/>
        </w:rPr>
        <w:t xml:space="preserve">mientras que el recurso de revisión interpuesto por </w:t>
      </w:r>
      <w:r w:rsidRPr="003D6D6B">
        <w:rPr>
          <w:rFonts w:ascii="Palatino Linotype" w:eastAsia="Palatino Linotype" w:hAnsi="Palatino Linotype" w:cs="Palatino Linotype"/>
          <w:b/>
          <w:bCs/>
          <w:sz w:val="22"/>
          <w:szCs w:val="22"/>
        </w:rPr>
        <w:t>la parte</w:t>
      </w:r>
      <w:r w:rsidRPr="003D6D6B">
        <w:rPr>
          <w:rFonts w:ascii="Palatino Linotype" w:eastAsia="Palatino Linotype" w:hAnsi="Palatino Linotype" w:cs="Palatino Linotype"/>
          <w:sz w:val="22"/>
          <w:szCs w:val="22"/>
        </w:rPr>
        <w:t xml:space="preserve"> </w:t>
      </w:r>
      <w:r w:rsidRPr="003D6D6B">
        <w:rPr>
          <w:rFonts w:ascii="Palatino Linotype" w:eastAsia="Palatino Linotype" w:hAnsi="Palatino Linotype" w:cs="Palatino Linotype"/>
          <w:b/>
          <w:bCs/>
          <w:sz w:val="22"/>
          <w:szCs w:val="22"/>
        </w:rPr>
        <w:t>Recurrente</w:t>
      </w:r>
      <w:r w:rsidRPr="003D6D6B">
        <w:rPr>
          <w:rFonts w:ascii="Palatino Linotype" w:eastAsia="Palatino Linotype" w:hAnsi="Palatino Linotype" w:cs="Palatino Linotype"/>
          <w:sz w:val="22"/>
          <w:szCs w:val="22"/>
        </w:rPr>
        <w:t xml:space="preserve">, se tuvo por presentado </w:t>
      </w:r>
      <w:r w:rsidR="003D2DBE" w:rsidRPr="003D6D6B">
        <w:rPr>
          <w:rFonts w:ascii="Palatino Linotype" w:eastAsia="Palatino Linotype" w:hAnsi="Palatino Linotype" w:cs="Palatino Linotype"/>
          <w:b/>
          <w:bCs/>
          <w:sz w:val="22"/>
          <w:szCs w:val="22"/>
        </w:rPr>
        <w:t>dos de junio de dos mil veintiséis</w:t>
      </w:r>
      <w:r w:rsidR="005F09F3" w:rsidRPr="003D6D6B">
        <w:rPr>
          <w:rFonts w:ascii="Palatino Linotype" w:eastAsia="Palatino Linotype" w:hAnsi="Palatino Linotype" w:cs="Palatino Linotype"/>
          <w:sz w:val="22"/>
          <w:szCs w:val="22"/>
        </w:rPr>
        <w:t xml:space="preserve"> esto es, al </w:t>
      </w:r>
      <w:r w:rsidR="00BF009F" w:rsidRPr="003D6D6B">
        <w:rPr>
          <w:rFonts w:ascii="Palatino Linotype" w:eastAsia="Palatino Linotype" w:hAnsi="Palatino Linotype" w:cs="Palatino Linotype"/>
          <w:sz w:val="22"/>
          <w:szCs w:val="22"/>
        </w:rPr>
        <w:t>cuart</w:t>
      </w:r>
      <w:r w:rsidR="00F761EF" w:rsidRPr="003D6D6B">
        <w:rPr>
          <w:rFonts w:ascii="Palatino Linotype" w:eastAsia="Palatino Linotype" w:hAnsi="Palatino Linotype" w:cs="Palatino Linotype"/>
          <w:sz w:val="22"/>
          <w:szCs w:val="22"/>
        </w:rPr>
        <w:t>o</w:t>
      </w:r>
      <w:r w:rsidRPr="003D6D6B">
        <w:rPr>
          <w:rFonts w:ascii="Palatino Linotype" w:eastAsia="Palatino Linotype" w:hAnsi="Palatino Linotype" w:cs="Palatino Linotype"/>
          <w:sz w:val="22"/>
          <w:szCs w:val="22"/>
        </w:rPr>
        <w:t xml:space="preserve"> día hábil </w:t>
      </w:r>
      <w:r w:rsidRPr="003D6D6B">
        <w:rPr>
          <w:rFonts w:ascii="Palatino Linotype" w:eastAsia="Palatino Linotype" w:hAnsi="Palatino Linotype" w:cs="Palatino Linotype"/>
          <w:b/>
          <w:bCs/>
          <w:sz w:val="22"/>
          <w:szCs w:val="22"/>
        </w:rPr>
        <w:t>en que se tuvo conocimiento de la respuesta impugnada</w:t>
      </w:r>
      <w:r w:rsidRPr="003D6D6B">
        <w:rPr>
          <w:rFonts w:ascii="Palatino Linotype" w:eastAsia="Palatino Linotype" w:hAnsi="Palatino Linotype" w:cs="Palatino Linotype"/>
          <w:sz w:val="22"/>
          <w:szCs w:val="22"/>
        </w:rPr>
        <w:t xml:space="preserve">. </w:t>
      </w:r>
    </w:p>
    <w:p w14:paraId="4BE7B9FC"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En este sentido, se concluye que el presente recurso de revisión se encuentra dentro de los márgenes temporales previstos en las disposiciones legales referidas.</w:t>
      </w:r>
    </w:p>
    <w:p w14:paraId="13D6DB75" w14:textId="77777777" w:rsidR="004A2F65" w:rsidRPr="003D6D6B" w:rsidRDefault="00243A40">
      <w:pPr>
        <w:tabs>
          <w:tab w:val="left" w:pos="7938"/>
        </w:tabs>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34ADC1FD" w14:textId="2C9406C3"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Finalmente, se advierte que resulta procedente la interposición del recurso, según lo manifestado por </w:t>
      </w:r>
      <w:r w:rsidRPr="003D6D6B">
        <w:rPr>
          <w:rFonts w:ascii="Palatino Linotype" w:eastAsia="Palatino Linotype" w:hAnsi="Palatino Linotype" w:cs="Palatino Linotype"/>
          <w:b/>
          <w:bCs/>
          <w:sz w:val="22"/>
          <w:szCs w:val="22"/>
        </w:rPr>
        <w:t>la parte</w:t>
      </w:r>
      <w:r w:rsidRPr="003D6D6B">
        <w:rPr>
          <w:rFonts w:ascii="Palatino Linotype" w:eastAsia="Palatino Linotype" w:hAnsi="Palatino Linotype" w:cs="Palatino Linotype"/>
          <w:sz w:val="22"/>
          <w:szCs w:val="22"/>
        </w:rPr>
        <w:t xml:space="preserve"> </w:t>
      </w:r>
      <w:r w:rsidRPr="003D6D6B">
        <w:rPr>
          <w:rFonts w:ascii="Palatino Linotype" w:eastAsia="Palatino Linotype" w:hAnsi="Palatino Linotype" w:cs="Palatino Linotype"/>
          <w:b/>
          <w:bCs/>
          <w:sz w:val="22"/>
          <w:szCs w:val="22"/>
        </w:rPr>
        <w:t>Recurrente</w:t>
      </w:r>
      <w:r w:rsidRPr="003D6D6B">
        <w:rPr>
          <w:rFonts w:ascii="Palatino Linotype" w:eastAsia="Palatino Linotype" w:hAnsi="Palatino Linotype" w:cs="Palatino Linotype"/>
          <w:sz w:val="22"/>
          <w:szCs w:val="22"/>
        </w:rPr>
        <w:t xml:space="preserve"> en sus motivos de inconformidad, de acuerdo al artículo 179, fracción I del ordenamiento legal citado, que a la letra dice: </w:t>
      </w:r>
    </w:p>
    <w:p w14:paraId="08F7E061" w14:textId="77777777" w:rsidR="004A2F65" w:rsidRPr="003D6D6B" w:rsidRDefault="00243A40" w:rsidP="006D05F9">
      <w:pPr>
        <w:ind w:left="567"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Pr="003D6D6B">
        <w:rPr>
          <w:rFonts w:ascii="Palatino Linotype" w:eastAsia="Palatino Linotype" w:hAnsi="Palatino Linotype" w:cs="Palatino Linotype"/>
          <w:b/>
          <w:bCs/>
          <w:i/>
          <w:iCs/>
          <w:sz w:val="22"/>
          <w:szCs w:val="22"/>
        </w:rPr>
        <w:t>Artículo 179.</w:t>
      </w:r>
      <w:r w:rsidRPr="003D6D6B">
        <w:rPr>
          <w:rFonts w:ascii="Palatino Linotype" w:eastAsia="Palatino Linotype" w:hAnsi="Palatino Linotype" w:cs="Palatino Linotype"/>
          <w:i/>
          <w:iCs/>
          <w:sz w:val="22"/>
          <w:szCs w:val="22"/>
        </w:rPr>
        <w:t xml:space="preserve"> El recurso de revisión es un medio de protección que la Ley otorga a los particulares, para hacer valer su derecho de acceso a la información pública, y procederá en contra de las siguientes causas:</w:t>
      </w:r>
    </w:p>
    <w:p w14:paraId="2D5CFFBA" w14:textId="77777777" w:rsidR="008B55A3" w:rsidRPr="003D6D6B" w:rsidRDefault="008B55A3" w:rsidP="006D05F9">
      <w:pPr>
        <w:ind w:left="567"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 xml:space="preserve">I. La negativa a la información solicitada; </w:t>
      </w:r>
    </w:p>
    <w:p w14:paraId="28679812" w14:textId="63CB4B40" w:rsidR="004A2F65" w:rsidRPr="003D6D6B" w:rsidRDefault="004B2B1C" w:rsidP="006D05F9">
      <w:pPr>
        <w:ind w:left="567"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00243A40" w:rsidRPr="003D6D6B">
        <w:rPr>
          <w:rFonts w:ascii="Palatino Linotype" w:eastAsia="Palatino Linotype" w:hAnsi="Palatino Linotype" w:cs="Palatino Linotype"/>
          <w:i/>
          <w:iCs/>
          <w:sz w:val="22"/>
          <w:szCs w:val="22"/>
        </w:rPr>
        <w:t>”</w:t>
      </w:r>
    </w:p>
    <w:p w14:paraId="2941B22C" w14:textId="77777777" w:rsidR="004A2F65" w:rsidRPr="003D6D6B" w:rsidRDefault="00243A40">
      <w:pPr>
        <w:spacing w:before="240" w:after="240" w:line="360" w:lineRule="auto"/>
        <w:jc w:val="both"/>
        <w:rPr>
          <w:rFonts w:ascii="Palatino Linotype" w:eastAsia="Palatino Linotype" w:hAnsi="Palatino Linotype" w:cs="Palatino Linotype"/>
          <w:b/>
          <w:bCs/>
          <w:sz w:val="22"/>
          <w:szCs w:val="22"/>
        </w:rPr>
      </w:pPr>
      <w:r w:rsidRPr="003D6D6B">
        <w:rPr>
          <w:rFonts w:ascii="Palatino Linotype" w:eastAsia="Palatino Linotype" w:hAnsi="Palatino Linotype" w:cs="Palatino Linotype"/>
          <w:b/>
          <w:bCs/>
          <w:sz w:val="22"/>
          <w:szCs w:val="22"/>
        </w:rPr>
        <w:t xml:space="preserve">Tercero. Materia de la revisión. </w:t>
      </w:r>
      <w:r w:rsidRPr="003D6D6B">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3D6D6B">
        <w:rPr>
          <w:rFonts w:ascii="Palatino Linotype" w:eastAsia="Palatino Linotype" w:hAnsi="Palatino Linotype" w:cs="Palatino Linotype"/>
          <w:b/>
          <w:bCs/>
          <w:sz w:val="22"/>
          <w:szCs w:val="22"/>
        </w:rPr>
        <w:t xml:space="preserve">verificar si la información proporcionada por el Sujeto Obligado es adecuada y suficiente para satisfacer el derecho de acceso a la información pública </w:t>
      </w:r>
      <w:r w:rsidRPr="003D6D6B">
        <w:rPr>
          <w:rFonts w:ascii="Palatino Linotype" w:eastAsia="Palatino Linotype" w:hAnsi="Palatino Linotype" w:cs="Palatino Linotype"/>
          <w:sz w:val="22"/>
          <w:szCs w:val="22"/>
        </w:rPr>
        <w:t xml:space="preserve">de la parte </w:t>
      </w:r>
      <w:r w:rsidRPr="003D6D6B">
        <w:rPr>
          <w:rFonts w:ascii="Palatino Linotype" w:eastAsia="Palatino Linotype" w:hAnsi="Palatino Linotype" w:cs="Palatino Linotype"/>
          <w:b/>
          <w:bCs/>
          <w:sz w:val="22"/>
          <w:szCs w:val="22"/>
        </w:rPr>
        <w:t>Recurrente</w:t>
      </w:r>
      <w:r w:rsidRPr="003D6D6B">
        <w:rPr>
          <w:rFonts w:ascii="Palatino Linotype" w:eastAsia="Palatino Linotype" w:hAnsi="Palatino Linotype" w:cs="Palatino Linotype"/>
          <w:sz w:val="22"/>
          <w:szCs w:val="22"/>
        </w:rPr>
        <w:t>, o en su defecto, en caso de ser procedente, ordenar la entrega de información.</w:t>
      </w:r>
    </w:p>
    <w:p w14:paraId="585D0E56"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bookmarkStart w:id="7" w:name="_heading=h.2et92p0" w:colFirst="0" w:colLast="0"/>
      <w:bookmarkEnd w:id="7"/>
      <w:r w:rsidRPr="003D6D6B">
        <w:rPr>
          <w:rFonts w:ascii="Palatino Linotype" w:eastAsia="Palatino Linotype" w:hAnsi="Palatino Linotype" w:cs="Palatino Linotype"/>
          <w:b/>
          <w:bCs/>
          <w:sz w:val="22"/>
          <w:szCs w:val="22"/>
        </w:rPr>
        <w:t xml:space="preserve">Cuarto. Estudio del asunto. </w:t>
      </w:r>
      <w:r w:rsidRPr="003D6D6B">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04FBD69B"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Pr="003D6D6B">
        <w:rPr>
          <w:rFonts w:ascii="Palatino Linotype" w:eastAsia="Palatino Linotype" w:hAnsi="Palatino Linotype" w:cs="Palatino Linotype"/>
          <w:b/>
          <w:bCs/>
          <w:i/>
          <w:iCs/>
          <w:sz w:val="22"/>
          <w:szCs w:val="22"/>
        </w:rPr>
        <w:t>Artículo 4</w:t>
      </w:r>
      <w:r w:rsidRPr="003D6D6B">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4C64B839"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3D6D6B">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4EFC3A39"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3D6D6B">
        <w:rPr>
          <w:rFonts w:ascii="Palatino Linotype" w:eastAsia="Palatino Linotype" w:hAnsi="Palatino Linotype" w:cs="Palatino Linotype"/>
          <w:i/>
          <w:iCs/>
          <w:sz w:val="22"/>
          <w:szCs w:val="22"/>
        </w:rPr>
        <w:t>.”</w:t>
      </w:r>
    </w:p>
    <w:p w14:paraId="3D527C8A"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2080A030"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b/>
          <w:bCs/>
          <w:i/>
          <w:iCs/>
          <w:sz w:val="22"/>
          <w:szCs w:val="22"/>
        </w:rPr>
        <w:t>“Artículo 12.-</w:t>
      </w:r>
      <w:r w:rsidRPr="003D6D6B">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018E140E"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3D6D6B">
        <w:rPr>
          <w:rFonts w:ascii="Palatino Linotype" w:eastAsia="Palatino Linotype" w:hAnsi="Palatino Linotype" w:cs="Palatino Linotype"/>
          <w:i/>
          <w:iCs/>
          <w:sz w:val="22"/>
          <w:szCs w:val="22"/>
        </w:rPr>
        <w:t xml:space="preserve">. </w:t>
      </w:r>
      <w:r w:rsidRPr="003D6D6B">
        <w:rPr>
          <w:rFonts w:ascii="Palatino Linotype" w:eastAsia="Palatino Linotype" w:hAnsi="Palatino Linotype" w:cs="Palatino Linotype"/>
          <w:b/>
          <w:bCs/>
          <w:i/>
          <w:iCs/>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42A3FC8E" w14:textId="77777777" w:rsidR="004A2F65" w:rsidRPr="003D6D6B" w:rsidRDefault="00243A40">
      <w:pPr>
        <w:spacing w:before="240" w:after="240" w:line="360" w:lineRule="auto"/>
        <w:ind w:right="-93"/>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281CB884" w14:textId="77777777" w:rsidR="004A2F65" w:rsidRPr="003D6D6B" w:rsidRDefault="00243A40">
      <w:pPr>
        <w:spacing w:before="240" w:after="240" w:line="360" w:lineRule="auto"/>
        <w:jc w:val="both"/>
        <w:rPr>
          <w:rFonts w:ascii="Palatino Linotype" w:eastAsia="Palatino Linotype" w:hAnsi="Palatino Linotype" w:cs="Palatino Linotype"/>
          <w:b/>
          <w:bCs/>
          <w:sz w:val="22"/>
          <w:szCs w:val="22"/>
        </w:rPr>
      </w:pPr>
      <w:r w:rsidRPr="003D6D6B">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3D6D6B">
        <w:rPr>
          <w:rFonts w:ascii="Palatino Linotype" w:eastAsia="Palatino Linotype" w:hAnsi="Palatino Linotype" w:cs="Palatino Linotype"/>
          <w:b/>
          <w:bCs/>
          <w:sz w:val="22"/>
          <w:szCs w:val="22"/>
        </w:rPr>
        <w:t xml:space="preserve"> </w:t>
      </w:r>
    </w:p>
    <w:p w14:paraId="70DF7897" w14:textId="77777777" w:rsidR="004A2F65" w:rsidRPr="003D6D6B"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 xml:space="preserve"> “</w:t>
      </w:r>
      <w:r w:rsidRPr="003D6D6B">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3D6D6B">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4822347D"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63446E28"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342F110"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r w:rsidRPr="003D6D6B">
        <w:rPr>
          <w:rFonts w:ascii="Palatino Linotype" w:eastAsia="Palatino Linotype" w:hAnsi="Palatino Linotype" w:cs="Palatino Linotype"/>
          <w:b/>
          <w:bCs/>
          <w:i/>
          <w:iCs/>
          <w:sz w:val="22"/>
          <w:szCs w:val="22"/>
        </w:rPr>
        <w:t xml:space="preserve">Artículo 3. </w:t>
      </w:r>
      <w:r w:rsidRPr="003D6D6B">
        <w:rPr>
          <w:rFonts w:ascii="Palatino Linotype" w:eastAsia="Palatino Linotype" w:hAnsi="Palatino Linotype" w:cs="Palatino Linotype"/>
          <w:i/>
          <w:iCs/>
          <w:sz w:val="22"/>
          <w:szCs w:val="22"/>
        </w:rPr>
        <w:t>Para los efectos de la presente Ley se entenderá por:</w:t>
      </w:r>
    </w:p>
    <w:p w14:paraId="4A26C84E" w14:textId="77777777" w:rsidR="004A2F65" w:rsidRPr="003D6D6B"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w:t>
      </w:r>
    </w:p>
    <w:p w14:paraId="4CDF3BD7" w14:textId="77777777" w:rsidR="004A2F65" w:rsidRPr="003D6D6B"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b/>
          <w:bCs/>
          <w:i/>
          <w:iCs/>
          <w:sz w:val="22"/>
          <w:szCs w:val="22"/>
        </w:rPr>
        <w:t>XI. Documento:</w:t>
      </w:r>
      <w:r w:rsidRPr="003D6D6B">
        <w:rPr>
          <w:rFonts w:ascii="Palatino Linotype" w:eastAsia="Palatino Linotype" w:hAnsi="Palatino Linotype" w:cs="Palatino Linotype"/>
          <w:i/>
          <w:iCs/>
          <w:sz w:val="22"/>
          <w:szCs w:val="22"/>
        </w:rPr>
        <w:t xml:space="preserve"> Los expedientes, reportes, estudios, actas</w:t>
      </w:r>
      <w:r w:rsidRPr="003D6D6B">
        <w:rPr>
          <w:rFonts w:ascii="Palatino Linotype" w:eastAsia="Palatino Linotype" w:hAnsi="Palatino Linotype" w:cs="Palatino Linotype"/>
          <w:b/>
          <w:bCs/>
          <w:i/>
          <w:iCs/>
          <w:sz w:val="22"/>
          <w:szCs w:val="22"/>
        </w:rPr>
        <w:t>,</w:t>
      </w:r>
      <w:r w:rsidRPr="003D6D6B">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2B078957"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5B2C871A"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b/>
          <w:bCs/>
          <w:sz w:val="22"/>
          <w:szCs w:val="22"/>
        </w:rPr>
        <w:t>“</w:t>
      </w:r>
      <w:r w:rsidRPr="003D6D6B">
        <w:rPr>
          <w:rFonts w:ascii="Palatino Linotype" w:eastAsia="Palatino Linotype" w:hAnsi="Palatino Linotype" w:cs="Palatino Linotype"/>
          <w:b/>
          <w:bCs/>
          <w:i/>
          <w:iCs/>
          <w:sz w:val="22"/>
          <w:szCs w:val="22"/>
        </w:rPr>
        <w:t>INFORMACIÓN PÚBLICA, CONCEPTO DE, EN MATERIA DE TRANSPARENCIA. INTERPRETACIÓN SISTEMÁTICA DE LOS ARTÍCULOS 2°, FRACCIÓN V, XV, Y XVI, 3°, 4°, 11 Y 41.</w:t>
      </w:r>
      <w:r w:rsidRPr="003D6D6B">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5647C8A3" w14:textId="77777777" w:rsidR="004A2F65" w:rsidRPr="003D6D6B" w:rsidRDefault="00243A40">
      <w:pPr>
        <w:spacing w:before="240" w:after="240" w:line="360" w:lineRule="auto"/>
        <w:ind w:left="851"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1AE8E70A" w14:textId="77777777" w:rsidR="004A2F65" w:rsidRPr="003D6D6B"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73F42B98" w14:textId="77777777" w:rsidR="004A2F65" w:rsidRPr="003D6D6B"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2) Que se trate de información registrada en cualquier soporte documental, que en ejercicio de las atribuciones conferidas, sea administrada por los Sujetos Obligados, y</w:t>
      </w:r>
    </w:p>
    <w:p w14:paraId="79395290" w14:textId="77777777" w:rsidR="004A2F65" w:rsidRPr="003D6D6B" w:rsidRDefault="00243A40">
      <w:pPr>
        <w:spacing w:before="240" w:after="240" w:line="360" w:lineRule="auto"/>
        <w:ind w:left="1134" w:right="902"/>
        <w:jc w:val="both"/>
        <w:rPr>
          <w:rFonts w:ascii="Palatino Linotype" w:eastAsia="Palatino Linotype" w:hAnsi="Palatino Linotype" w:cs="Palatino Linotype"/>
          <w:i/>
          <w:iCs/>
          <w:sz w:val="22"/>
          <w:szCs w:val="22"/>
        </w:rPr>
      </w:pPr>
      <w:r w:rsidRPr="003D6D6B">
        <w:rPr>
          <w:rFonts w:ascii="Palatino Linotype" w:eastAsia="Palatino Linotype" w:hAnsi="Palatino Linotype" w:cs="Palatino Linotype"/>
          <w:i/>
          <w:iCs/>
          <w:sz w:val="22"/>
          <w:szCs w:val="22"/>
        </w:rPr>
        <w:t>3) Que se trate de información registrada en cualquier soporte documental, que en ejercicio de las atribuciones conferidas, se encuentre en posesión de los Sujetos Obligados.”</w:t>
      </w:r>
    </w:p>
    <w:p w14:paraId="27215154" w14:textId="77777777" w:rsidR="004A2F65" w:rsidRPr="003D6D6B" w:rsidRDefault="00243A40">
      <w:pPr>
        <w:spacing w:before="240" w:after="240" w:line="360" w:lineRule="auto"/>
        <w:ind w:right="51"/>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4439D676" w14:textId="77777777" w:rsidR="004A2F65" w:rsidRPr="003D6D6B" w:rsidRDefault="00243A40">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73A70A2C" w14:textId="1AD2D610" w:rsidR="00F761EF" w:rsidRPr="003D6D6B" w:rsidRDefault="00243A40" w:rsidP="004B2B1C">
      <w:pPr>
        <w:spacing w:before="240" w:after="240" w:line="360" w:lineRule="auto"/>
        <w:ind w:right="51"/>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3D6D6B">
        <w:rPr>
          <w:rFonts w:ascii="Palatino Linotype" w:eastAsia="Palatino Linotype" w:hAnsi="Palatino Linotype" w:cs="Palatino Linotype"/>
          <w:b/>
          <w:bCs/>
          <w:sz w:val="22"/>
          <w:szCs w:val="22"/>
        </w:rPr>
        <w:t>Recurrente</w:t>
      </w:r>
      <w:r w:rsidRPr="003D6D6B">
        <w:rPr>
          <w:rFonts w:ascii="Palatino Linotype" w:eastAsia="Palatino Linotype" w:hAnsi="Palatino Linotype" w:cs="Palatino Linotype"/>
          <w:sz w:val="22"/>
          <w:szCs w:val="22"/>
        </w:rPr>
        <w:t xml:space="preserve"> requirió al </w:t>
      </w:r>
      <w:r w:rsidRPr="003D6D6B">
        <w:rPr>
          <w:rFonts w:ascii="Palatino Linotype" w:eastAsia="Palatino Linotype" w:hAnsi="Palatino Linotype" w:cs="Palatino Linotype"/>
          <w:b/>
          <w:bCs/>
          <w:sz w:val="22"/>
          <w:szCs w:val="22"/>
        </w:rPr>
        <w:t xml:space="preserve">Sujeto Obligado </w:t>
      </w:r>
      <w:r w:rsidRPr="003D6D6B">
        <w:rPr>
          <w:rFonts w:ascii="Palatino Linotype" w:eastAsia="Palatino Linotype" w:hAnsi="Palatino Linotype" w:cs="Palatino Linotype"/>
          <w:sz w:val="22"/>
          <w:szCs w:val="22"/>
        </w:rPr>
        <w:t>le proporcione medularmente</w:t>
      </w:r>
      <w:r w:rsidR="004B2B1C" w:rsidRPr="003D6D6B">
        <w:rPr>
          <w:rFonts w:ascii="Palatino Linotype" w:eastAsia="Palatino Linotype" w:hAnsi="Palatino Linotype" w:cs="Palatino Linotype"/>
          <w:sz w:val="22"/>
          <w:szCs w:val="22"/>
        </w:rPr>
        <w:t xml:space="preserve">, </w:t>
      </w:r>
      <w:r w:rsidR="004B2B1C" w:rsidRPr="003D6D6B">
        <w:rPr>
          <w:rFonts w:ascii="Palatino Linotype" w:eastAsia="Palatino Linotype" w:hAnsi="Palatino Linotype" w:cs="Palatino Linotype"/>
          <w:b/>
          <w:sz w:val="22"/>
          <w:szCs w:val="22"/>
        </w:rPr>
        <w:t>respecto de las obras públicas</w:t>
      </w:r>
      <w:r w:rsidR="008B55A3" w:rsidRPr="003D6D6B">
        <w:rPr>
          <w:rFonts w:ascii="Palatino Linotype" w:eastAsia="Palatino Linotype" w:hAnsi="Palatino Linotype" w:cs="Palatino Linotype"/>
          <w:b/>
          <w:sz w:val="22"/>
          <w:szCs w:val="22"/>
        </w:rPr>
        <w:t>, incluidas las multianuales,</w:t>
      </w:r>
      <w:r w:rsidR="004B2B1C" w:rsidRPr="003D6D6B">
        <w:rPr>
          <w:rFonts w:ascii="Palatino Linotype" w:eastAsia="Palatino Linotype" w:hAnsi="Palatino Linotype" w:cs="Palatino Linotype"/>
          <w:b/>
          <w:sz w:val="22"/>
          <w:szCs w:val="22"/>
        </w:rPr>
        <w:t xml:space="preserve"> autorizadas en la Décima Segunda Sesión Ordinaria de Cabildo celebrada el 23 de abril de 2025</w:t>
      </w:r>
      <w:r w:rsidR="004B2B1C" w:rsidRPr="003D6D6B">
        <w:rPr>
          <w:rFonts w:ascii="Palatino Linotype" w:eastAsia="Palatino Linotype" w:hAnsi="Palatino Linotype" w:cs="Palatino Linotype"/>
          <w:sz w:val="22"/>
          <w:szCs w:val="22"/>
        </w:rPr>
        <w:t>,</w:t>
      </w:r>
      <w:r w:rsidRPr="003D6D6B">
        <w:rPr>
          <w:rFonts w:ascii="Palatino Linotype" w:eastAsia="Palatino Linotype" w:hAnsi="Palatino Linotype" w:cs="Palatino Linotype"/>
          <w:sz w:val="22"/>
          <w:szCs w:val="22"/>
        </w:rPr>
        <w:t xml:space="preserve"> lo siguiente:</w:t>
      </w:r>
    </w:p>
    <w:p w14:paraId="77FCF054" w14:textId="512E0255" w:rsidR="004B2B1C" w:rsidRPr="003D6D6B" w:rsidRDefault="004B2B1C" w:rsidP="008B55A3">
      <w:pPr>
        <w:pStyle w:val="Prrafodelista"/>
        <w:numPr>
          <w:ilvl w:val="0"/>
          <w:numId w:val="24"/>
        </w:numPr>
        <w:spacing w:before="240" w:after="240" w:line="360" w:lineRule="auto"/>
        <w:ind w:right="51"/>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 xml:space="preserve">Los </w:t>
      </w:r>
      <w:r w:rsidR="00DA410D" w:rsidRPr="003D6D6B">
        <w:rPr>
          <w:rFonts w:ascii="Palatino Linotype" w:eastAsia="Palatino Linotype" w:hAnsi="Palatino Linotype" w:cs="Palatino Linotype"/>
          <w:b/>
          <w:sz w:val="22"/>
          <w:szCs w:val="22"/>
        </w:rPr>
        <w:t xml:space="preserve">documentos que den cuenta de los </w:t>
      </w:r>
      <w:r w:rsidRPr="003D6D6B">
        <w:rPr>
          <w:rFonts w:ascii="Palatino Linotype" w:eastAsia="Palatino Linotype" w:hAnsi="Palatino Linotype" w:cs="Palatino Linotype"/>
          <w:b/>
          <w:sz w:val="22"/>
          <w:szCs w:val="22"/>
        </w:rPr>
        <w:t>avances físicos y financieros</w:t>
      </w:r>
      <w:r w:rsidR="008B55A3" w:rsidRPr="003D6D6B">
        <w:rPr>
          <w:rFonts w:ascii="Palatino Linotype" w:eastAsia="Palatino Linotype" w:hAnsi="Palatino Linotype" w:cs="Palatino Linotype"/>
          <w:b/>
          <w:sz w:val="22"/>
          <w:szCs w:val="22"/>
        </w:rPr>
        <w:t>,</w:t>
      </w:r>
    </w:p>
    <w:p w14:paraId="0827848A" w14:textId="4F65BFF2" w:rsidR="004B2B1C" w:rsidRPr="003D6D6B" w:rsidRDefault="004B2B1C" w:rsidP="008B55A3">
      <w:pPr>
        <w:pStyle w:val="Prrafodelista"/>
        <w:numPr>
          <w:ilvl w:val="0"/>
          <w:numId w:val="24"/>
        </w:numPr>
        <w:spacing w:before="240" w:after="240" w:line="360" w:lineRule="auto"/>
        <w:ind w:right="51"/>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Los contratos</w:t>
      </w:r>
      <w:r w:rsidR="008B55A3" w:rsidRPr="003D6D6B">
        <w:rPr>
          <w:rFonts w:ascii="Palatino Linotype" w:eastAsia="Palatino Linotype" w:hAnsi="Palatino Linotype" w:cs="Palatino Linotype"/>
          <w:b/>
          <w:sz w:val="22"/>
          <w:szCs w:val="22"/>
        </w:rPr>
        <w:t>, y,</w:t>
      </w:r>
    </w:p>
    <w:p w14:paraId="0D817F1C" w14:textId="1624138A" w:rsidR="008B55A3" w:rsidRPr="003D6D6B" w:rsidRDefault="008B55A3" w:rsidP="008B55A3">
      <w:pPr>
        <w:pStyle w:val="Prrafodelista"/>
        <w:numPr>
          <w:ilvl w:val="0"/>
          <w:numId w:val="24"/>
        </w:numPr>
        <w:spacing w:before="240" w:after="240" w:line="360" w:lineRule="auto"/>
        <w:ind w:right="51"/>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El fundamento legal que sustenta su contratación.</w:t>
      </w:r>
    </w:p>
    <w:p w14:paraId="6CEFC4CA" w14:textId="61E9908A" w:rsidR="006D05F9" w:rsidRPr="003D6D6B" w:rsidRDefault="006D05F9" w:rsidP="006D05F9">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w:t>
      </w:r>
      <w:r w:rsidR="004B20A7" w:rsidRPr="003D6D6B">
        <w:rPr>
          <w:rFonts w:ascii="Palatino Linotype" w:eastAsia="Palatino Linotype" w:hAnsi="Palatino Linotype" w:cs="Palatino Linotype"/>
          <w:sz w:val="22"/>
          <w:szCs w:val="22"/>
        </w:rPr>
        <w:t xml:space="preserve">n respuesta </w:t>
      </w:r>
      <w:r w:rsidR="007B768D" w:rsidRPr="003D6D6B">
        <w:rPr>
          <w:rFonts w:ascii="Palatino Linotype" w:eastAsia="Palatino Linotype" w:hAnsi="Palatino Linotype" w:cs="Palatino Linotype"/>
          <w:sz w:val="22"/>
          <w:szCs w:val="22"/>
        </w:rPr>
        <w:t xml:space="preserve">el </w:t>
      </w:r>
      <w:r w:rsidR="007B768D" w:rsidRPr="003D6D6B">
        <w:rPr>
          <w:rFonts w:ascii="Palatino Linotype" w:eastAsia="Palatino Linotype" w:hAnsi="Palatino Linotype" w:cs="Palatino Linotype"/>
          <w:b/>
          <w:sz w:val="22"/>
          <w:szCs w:val="22"/>
        </w:rPr>
        <w:t xml:space="preserve">Sujeto Obligado </w:t>
      </w:r>
      <w:r w:rsidR="007B768D" w:rsidRPr="003D6D6B">
        <w:rPr>
          <w:rFonts w:ascii="Palatino Linotype" w:eastAsia="Palatino Linotype" w:hAnsi="Palatino Linotype" w:cs="Palatino Linotype"/>
          <w:sz w:val="22"/>
          <w:szCs w:val="22"/>
        </w:rPr>
        <w:t>por conducto de</w:t>
      </w:r>
      <w:r w:rsidR="008B55A3" w:rsidRPr="003D6D6B">
        <w:rPr>
          <w:rFonts w:ascii="Palatino Linotype" w:eastAsia="Palatino Linotype" w:hAnsi="Palatino Linotype" w:cs="Palatino Linotype"/>
          <w:bCs/>
          <w:iCs/>
          <w:sz w:val="22"/>
          <w:szCs w:val="22"/>
        </w:rPr>
        <w:t>l Director de Obras Públicas informó que con relación a los contratos y la información requerida en su versión pública, del ejercicio fiscal 2025, puede ser consultada en la página oficial del Ayuntamiento, indicando los pasos para realizar la consulta.</w:t>
      </w:r>
    </w:p>
    <w:p w14:paraId="74C2603D" w14:textId="6C49F959" w:rsidR="000D1F09" w:rsidRPr="003D6D6B" w:rsidRDefault="000D1F09" w:rsidP="000D1F09">
      <w:pPr>
        <w:spacing w:line="360" w:lineRule="auto"/>
        <w:jc w:val="both"/>
        <w:rPr>
          <w:rFonts w:ascii="Palatino Linotype" w:eastAsia="Palatino Linotype" w:hAnsi="Palatino Linotype" w:cs="Palatino Linotype"/>
          <w:sz w:val="22"/>
          <w:szCs w:val="22"/>
        </w:rPr>
      </w:pPr>
    </w:p>
    <w:p w14:paraId="57636F8D" w14:textId="4A272B91" w:rsidR="007B768D" w:rsidRPr="003D6D6B" w:rsidRDefault="007B768D" w:rsidP="000D1F09">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Inconforme con la respuesta, la parte </w:t>
      </w:r>
      <w:r w:rsidRPr="003D6D6B">
        <w:rPr>
          <w:rFonts w:ascii="Palatino Linotype" w:eastAsia="Palatino Linotype" w:hAnsi="Palatino Linotype" w:cs="Palatino Linotype"/>
          <w:b/>
          <w:sz w:val="22"/>
          <w:szCs w:val="22"/>
        </w:rPr>
        <w:t xml:space="preserve">Recurrente </w:t>
      </w:r>
      <w:r w:rsidRPr="003D6D6B">
        <w:rPr>
          <w:rFonts w:ascii="Palatino Linotype" w:eastAsia="Palatino Linotype" w:hAnsi="Palatino Linotype" w:cs="Palatino Linotype"/>
          <w:sz w:val="22"/>
          <w:szCs w:val="22"/>
        </w:rPr>
        <w:t xml:space="preserve">promovió el presente recurso de revisión señalando como acto impugnado o razones o motivos de inconformidad </w:t>
      </w:r>
      <w:r w:rsidR="002008B1" w:rsidRPr="003D6D6B">
        <w:rPr>
          <w:rFonts w:ascii="Palatino Linotype" w:eastAsia="Palatino Linotype" w:hAnsi="Palatino Linotype" w:cs="Palatino Linotype"/>
          <w:sz w:val="22"/>
          <w:szCs w:val="22"/>
        </w:rPr>
        <w:t xml:space="preserve">la </w:t>
      </w:r>
      <w:r w:rsidR="008B55A3" w:rsidRPr="003D6D6B">
        <w:rPr>
          <w:rFonts w:ascii="Palatino Linotype" w:eastAsia="Palatino Linotype" w:hAnsi="Palatino Linotype" w:cs="Palatino Linotype"/>
          <w:sz w:val="22"/>
          <w:szCs w:val="22"/>
        </w:rPr>
        <w:t xml:space="preserve">negativa a la entrega de lo requerido, en razón de que en la página del ente obligado contiene un universo de información, por lo que al intentar localizar lo requerido aparecen leyendas de “No aplica”, lo cual hace nugatorio su derecho de acceso a la información. </w:t>
      </w:r>
    </w:p>
    <w:p w14:paraId="60A73340" w14:textId="77777777" w:rsidR="007B768D" w:rsidRPr="003D6D6B" w:rsidRDefault="007B768D" w:rsidP="000D1F09">
      <w:pPr>
        <w:spacing w:line="360" w:lineRule="auto"/>
        <w:jc w:val="both"/>
        <w:rPr>
          <w:rFonts w:ascii="Palatino Linotype" w:eastAsia="Palatino Linotype" w:hAnsi="Palatino Linotype" w:cs="Palatino Linotype"/>
          <w:sz w:val="22"/>
          <w:szCs w:val="22"/>
        </w:rPr>
      </w:pPr>
    </w:p>
    <w:p w14:paraId="59C3CFAB" w14:textId="5D460CDA" w:rsidR="000D1F09" w:rsidRPr="003D6D6B" w:rsidRDefault="00BA0978">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De constancias del expediente electrónico del SAIMEX, se observa que </w:t>
      </w:r>
      <w:r w:rsidR="00F761EF" w:rsidRPr="003D6D6B">
        <w:rPr>
          <w:rFonts w:ascii="Palatino Linotype" w:eastAsia="Palatino Linotype" w:hAnsi="Palatino Linotype" w:cs="Palatino Linotype"/>
          <w:sz w:val="22"/>
          <w:szCs w:val="22"/>
        </w:rPr>
        <w:t xml:space="preserve">el </w:t>
      </w:r>
      <w:r w:rsidR="00F761EF" w:rsidRPr="003D6D6B">
        <w:rPr>
          <w:rFonts w:ascii="Palatino Linotype" w:eastAsia="Palatino Linotype" w:hAnsi="Palatino Linotype" w:cs="Palatino Linotype"/>
          <w:b/>
          <w:sz w:val="22"/>
          <w:szCs w:val="22"/>
        </w:rPr>
        <w:t xml:space="preserve">Sujeto Obligado </w:t>
      </w:r>
      <w:r w:rsidR="008B55A3" w:rsidRPr="003D6D6B">
        <w:rPr>
          <w:rFonts w:ascii="Palatino Linotype" w:eastAsia="Palatino Linotype" w:hAnsi="Palatino Linotype" w:cs="Palatino Linotype"/>
          <w:sz w:val="22"/>
          <w:szCs w:val="22"/>
        </w:rPr>
        <w:t>rindió su informe justificado ratificando en lo medular la respuesta inicial.</w:t>
      </w:r>
    </w:p>
    <w:p w14:paraId="2ED989E8" w14:textId="77777777" w:rsidR="00F761EF" w:rsidRPr="003D6D6B" w:rsidRDefault="00F761EF">
      <w:pPr>
        <w:spacing w:line="360" w:lineRule="auto"/>
        <w:jc w:val="both"/>
        <w:rPr>
          <w:rFonts w:ascii="Palatino Linotype" w:eastAsia="Palatino Linotype" w:hAnsi="Palatino Linotype" w:cs="Palatino Linotype"/>
          <w:sz w:val="22"/>
          <w:szCs w:val="22"/>
        </w:rPr>
      </w:pPr>
    </w:p>
    <w:p w14:paraId="6A8C6537" w14:textId="7FCE9D79" w:rsidR="00F761EF" w:rsidRPr="003D6D6B" w:rsidRDefault="00F761EF">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Por su lado, la parte </w:t>
      </w:r>
      <w:r w:rsidRPr="003D6D6B">
        <w:rPr>
          <w:rFonts w:ascii="Palatino Linotype" w:eastAsia="Palatino Linotype" w:hAnsi="Palatino Linotype" w:cs="Palatino Linotype"/>
          <w:b/>
          <w:sz w:val="22"/>
          <w:szCs w:val="22"/>
        </w:rPr>
        <w:t xml:space="preserve">Recurrente </w:t>
      </w:r>
      <w:r w:rsidR="00B2514F" w:rsidRPr="003D6D6B">
        <w:rPr>
          <w:rFonts w:ascii="Palatino Linotype" w:eastAsia="Palatino Linotype" w:hAnsi="Palatino Linotype" w:cs="Palatino Linotype"/>
          <w:sz w:val="22"/>
          <w:szCs w:val="22"/>
        </w:rPr>
        <w:t>fue omisa en rendir manifestaciones.</w:t>
      </w:r>
    </w:p>
    <w:p w14:paraId="09F90FAA" w14:textId="77777777" w:rsidR="00BA0978" w:rsidRPr="003D6D6B" w:rsidRDefault="00BA0978">
      <w:pPr>
        <w:spacing w:line="360" w:lineRule="auto"/>
        <w:jc w:val="both"/>
        <w:rPr>
          <w:rFonts w:ascii="Palatino Linotype" w:eastAsia="Palatino Linotype" w:hAnsi="Palatino Linotype" w:cs="Palatino Linotype"/>
          <w:sz w:val="22"/>
          <w:szCs w:val="22"/>
        </w:rPr>
      </w:pPr>
    </w:p>
    <w:p w14:paraId="69D67F75" w14:textId="23395727" w:rsidR="00EE7FB2" w:rsidRPr="003D6D6B" w:rsidRDefault="00EE7FB2"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Una vez establecidas las posturas de las partes, toda vez que el requerimiento de información versa sobre información relativa a obras públicas, resulta conveniente citar el contenido de los artículos 12.1, fracción III, 12.2., 12.4. primer párrafo, 12.20 y 12.21 del Libro Décimo Segundo del Código Administrativo del Estado de México, a saber:</w:t>
      </w:r>
    </w:p>
    <w:p w14:paraId="64E4AC14" w14:textId="77777777" w:rsidR="00EE7FB2" w:rsidRPr="003D6D6B" w:rsidRDefault="00EE7FB2" w:rsidP="00EE7FB2">
      <w:pPr>
        <w:spacing w:line="360" w:lineRule="auto"/>
        <w:jc w:val="both"/>
        <w:rPr>
          <w:rFonts w:ascii="Palatino Linotype" w:eastAsia="Palatino Linotype" w:hAnsi="Palatino Linotype" w:cs="Palatino Linotype"/>
          <w:sz w:val="22"/>
          <w:szCs w:val="22"/>
        </w:rPr>
      </w:pPr>
    </w:p>
    <w:p w14:paraId="33AA6FC8"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“Artículo 12.1.- Este Libro tiene por objeto regular los actos relativos a la planeación, programación, presupuestación, adjudicación, contratación, ejecución y control de la obra pública, así como los servicios relacionados con la misma que, por sí o por conducto de terceros, realicen:</w:t>
      </w:r>
    </w:p>
    <w:p w14:paraId="2C8F1071"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07768F27" w14:textId="77777777" w:rsidR="00EE7FB2" w:rsidRPr="003D6D6B" w:rsidRDefault="00EE7FB2" w:rsidP="00EE7FB2">
      <w:pPr>
        <w:ind w:left="567" w:right="560"/>
        <w:jc w:val="both"/>
        <w:rPr>
          <w:rFonts w:ascii="Palatino Linotype" w:eastAsia="Palatino Linotype" w:hAnsi="Palatino Linotype" w:cs="Palatino Linotype"/>
          <w:b/>
          <w:i/>
          <w:sz w:val="22"/>
          <w:szCs w:val="22"/>
        </w:rPr>
      </w:pPr>
      <w:r w:rsidRPr="003D6D6B">
        <w:rPr>
          <w:rFonts w:ascii="Palatino Linotype" w:eastAsia="Palatino Linotype" w:hAnsi="Palatino Linotype" w:cs="Palatino Linotype"/>
          <w:b/>
          <w:i/>
          <w:sz w:val="22"/>
          <w:szCs w:val="22"/>
        </w:rPr>
        <w:t>III. Los ayuntamientos de los municipios del Estado;</w:t>
      </w:r>
    </w:p>
    <w:p w14:paraId="6A5E854F"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472D261A" w14:textId="77777777" w:rsidR="00EE7FB2" w:rsidRPr="003D6D6B" w:rsidRDefault="00EE7FB2" w:rsidP="00EE7FB2">
      <w:pPr>
        <w:ind w:left="567" w:right="560"/>
        <w:jc w:val="both"/>
        <w:rPr>
          <w:rFonts w:ascii="Palatino Linotype" w:eastAsia="Palatino Linotype" w:hAnsi="Palatino Linotype" w:cs="Palatino Linotype"/>
          <w:i/>
          <w:sz w:val="22"/>
          <w:szCs w:val="22"/>
        </w:rPr>
      </w:pPr>
    </w:p>
    <w:p w14:paraId="2A1B9DB2"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“Artículo 12.2.- Las disposiciones de este Libro tienen como finalidad asegurar al Gobierno del Estado y a los municipios, las mejores condiciones disponibles en cuanto a precio, calidad, financiamiento, oportunidad y demás circunstancias pertinentes, en la contratación de la obra pública y servicios relacionados con la misma, en un marco de legalidad y transparencia.”</w:t>
      </w:r>
    </w:p>
    <w:p w14:paraId="007D7EE0" w14:textId="77777777" w:rsidR="00EE7FB2" w:rsidRPr="003D6D6B" w:rsidRDefault="00EE7FB2" w:rsidP="00EE7FB2">
      <w:pPr>
        <w:ind w:left="567" w:right="560"/>
        <w:jc w:val="both"/>
        <w:rPr>
          <w:rFonts w:ascii="Palatino Linotype" w:eastAsia="Palatino Linotype" w:hAnsi="Palatino Linotype" w:cs="Palatino Linotype"/>
          <w:i/>
          <w:sz w:val="22"/>
          <w:szCs w:val="22"/>
        </w:rPr>
      </w:pPr>
    </w:p>
    <w:p w14:paraId="6978F63E"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 xml:space="preserve">“Artículo 12.4.- </w:t>
      </w:r>
      <w:r w:rsidRPr="003D6D6B">
        <w:rPr>
          <w:rFonts w:ascii="Palatino Linotype" w:eastAsia="Palatino Linotype" w:hAnsi="Palatino Linotype" w:cs="Palatino Linotype"/>
          <w:b/>
          <w:i/>
          <w:sz w:val="22"/>
          <w:szCs w:val="22"/>
        </w:rPr>
        <w:t xml:space="preserve">Se considera obra pública todo trabajo que tenga por objeto principal construir, instalar, ampliar, adecuar, remodelar, restaurar, conservar, mantener, modificar o demoler bienes inmuebles propiedad </w:t>
      </w:r>
      <w:r w:rsidRPr="003D6D6B">
        <w:rPr>
          <w:rFonts w:ascii="Palatino Linotype" w:eastAsia="Palatino Linotype" w:hAnsi="Palatino Linotype" w:cs="Palatino Linotype"/>
          <w:i/>
          <w:sz w:val="22"/>
          <w:szCs w:val="22"/>
        </w:rPr>
        <w:t xml:space="preserve">del Estado, de sus dependencias y entidades </w:t>
      </w:r>
      <w:r w:rsidRPr="003D6D6B">
        <w:rPr>
          <w:rFonts w:ascii="Palatino Linotype" w:eastAsia="Palatino Linotype" w:hAnsi="Palatino Linotype" w:cs="Palatino Linotype"/>
          <w:b/>
          <w:i/>
          <w:sz w:val="22"/>
          <w:szCs w:val="22"/>
          <w:u w:val="single"/>
        </w:rPr>
        <w:t>y de los municipios</w:t>
      </w:r>
      <w:r w:rsidRPr="003D6D6B">
        <w:rPr>
          <w:rFonts w:ascii="Palatino Linotype" w:eastAsia="Palatino Linotype" w:hAnsi="Palatino Linotype" w:cs="Palatino Linotype"/>
          <w:i/>
          <w:sz w:val="22"/>
          <w:szCs w:val="22"/>
        </w:rPr>
        <w:t xml:space="preserve"> y sus organismos con cargo a recursos públicos estatales o municipales. [….]”</w:t>
      </w:r>
    </w:p>
    <w:p w14:paraId="608BA26E" w14:textId="77777777" w:rsidR="00EE7FB2" w:rsidRPr="003D6D6B" w:rsidRDefault="00EE7FB2" w:rsidP="00EE7FB2">
      <w:pPr>
        <w:ind w:left="567" w:right="560"/>
        <w:jc w:val="both"/>
        <w:rPr>
          <w:rFonts w:ascii="Palatino Linotype" w:eastAsia="Palatino Linotype" w:hAnsi="Palatino Linotype" w:cs="Palatino Linotype"/>
          <w:i/>
          <w:sz w:val="22"/>
          <w:szCs w:val="22"/>
        </w:rPr>
      </w:pPr>
    </w:p>
    <w:p w14:paraId="67E34F91"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 xml:space="preserve">“Artículo 12.20.- </w:t>
      </w:r>
      <w:r w:rsidRPr="003D6D6B">
        <w:rPr>
          <w:rFonts w:ascii="Palatino Linotype" w:eastAsia="Palatino Linotype" w:hAnsi="Palatino Linotype" w:cs="Palatino Linotype"/>
          <w:b/>
          <w:i/>
          <w:sz w:val="22"/>
          <w:szCs w:val="22"/>
        </w:rPr>
        <w:t>Los contratos a que se refiere este Libro, se adjudicarán a través de licitaciones públicas, mediante convocatoria pública.”</w:t>
      </w:r>
      <w:r w:rsidRPr="003D6D6B">
        <w:rPr>
          <w:rFonts w:ascii="Palatino Linotype" w:eastAsia="Palatino Linotype" w:hAnsi="Palatino Linotype" w:cs="Palatino Linotype"/>
          <w:i/>
          <w:sz w:val="22"/>
          <w:szCs w:val="22"/>
        </w:rPr>
        <w:t xml:space="preserve"> </w:t>
      </w:r>
    </w:p>
    <w:p w14:paraId="16706650" w14:textId="77777777" w:rsidR="00EE7FB2" w:rsidRPr="003D6D6B" w:rsidRDefault="00EE7FB2" w:rsidP="00EE7FB2">
      <w:pPr>
        <w:ind w:left="567" w:right="560"/>
        <w:jc w:val="both"/>
        <w:rPr>
          <w:rFonts w:ascii="Palatino Linotype" w:eastAsia="Palatino Linotype" w:hAnsi="Palatino Linotype" w:cs="Palatino Linotype"/>
          <w:i/>
          <w:sz w:val="22"/>
          <w:szCs w:val="22"/>
        </w:rPr>
      </w:pPr>
    </w:p>
    <w:p w14:paraId="7111CF78"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 xml:space="preserve">“Artículo 12.21.- </w:t>
      </w:r>
      <w:r w:rsidRPr="003D6D6B">
        <w:rPr>
          <w:rFonts w:ascii="Palatino Linotype" w:eastAsia="Palatino Linotype" w:hAnsi="Palatino Linotype" w:cs="Palatino Linotype"/>
          <w:b/>
          <w:i/>
          <w:sz w:val="22"/>
          <w:szCs w:val="22"/>
        </w:rPr>
        <w:t>Las dependencias, entidades y ayuntamientos podrán adjudicar contratos para la ejecución de obra pública o servicios relacionados con la misma</w:t>
      </w:r>
      <w:r w:rsidRPr="003D6D6B">
        <w:rPr>
          <w:rFonts w:ascii="Palatino Linotype" w:eastAsia="Palatino Linotype" w:hAnsi="Palatino Linotype" w:cs="Palatino Linotype"/>
          <w:i/>
          <w:sz w:val="22"/>
          <w:szCs w:val="22"/>
        </w:rPr>
        <w:t xml:space="preserve"> mediante las excepciones al procedimiento de licitación siguientes: </w:t>
      </w:r>
    </w:p>
    <w:p w14:paraId="53512893"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 xml:space="preserve">I. Invitación restringida; </w:t>
      </w:r>
    </w:p>
    <w:p w14:paraId="6B8E8483" w14:textId="77777777" w:rsidR="00EE7FB2" w:rsidRPr="003D6D6B" w:rsidRDefault="00EE7FB2" w:rsidP="00EE7FB2">
      <w:pPr>
        <w:ind w:left="567" w:right="560"/>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II. Adjudicación directa.”</w:t>
      </w:r>
    </w:p>
    <w:p w14:paraId="557E921F" w14:textId="77777777" w:rsidR="00EE7FB2" w:rsidRPr="003D6D6B" w:rsidRDefault="00EE7FB2" w:rsidP="00EE7FB2">
      <w:pPr>
        <w:ind w:left="567" w:right="560"/>
        <w:jc w:val="both"/>
        <w:rPr>
          <w:rFonts w:ascii="Palatino Linotype" w:eastAsia="Palatino Linotype" w:hAnsi="Palatino Linotype" w:cs="Palatino Linotype"/>
          <w:i/>
          <w:sz w:val="22"/>
          <w:szCs w:val="22"/>
        </w:rPr>
      </w:pPr>
    </w:p>
    <w:p w14:paraId="73B884E7" w14:textId="77777777" w:rsidR="00EE7FB2" w:rsidRPr="003D6D6B" w:rsidRDefault="00EE7FB2" w:rsidP="00EE7FB2">
      <w:pPr>
        <w:ind w:left="567" w:right="560"/>
        <w:jc w:val="right"/>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 xml:space="preserve"> (Énfasis añadido)</w:t>
      </w:r>
    </w:p>
    <w:p w14:paraId="08CF835D" w14:textId="77777777" w:rsidR="00EE7FB2" w:rsidRPr="003D6D6B" w:rsidRDefault="00EE7FB2" w:rsidP="00EE7FB2">
      <w:pPr>
        <w:spacing w:line="360" w:lineRule="auto"/>
        <w:jc w:val="both"/>
        <w:rPr>
          <w:rFonts w:ascii="Palatino Linotype" w:eastAsia="Palatino Linotype" w:hAnsi="Palatino Linotype" w:cs="Palatino Linotype"/>
          <w:i/>
          <w:sz w:val="22"/>
          <w:szCs w:val="22"/>
        </w:rPr>
      </w:pPr>
    </w:p>
    <w:p w14:paraId="1BEF3A90" w14:textId="196526DD" w:rsidR="00EE7FB2" w:rsidRPr="003D6D6B" w:rsidRDefault="00EE7FB2"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De los preceptos anteriores, se advierte que el Código de Procedimientos Administrativos del Estado de México, dispone que es considerada como </w:t>
      </w:r>
      <w:r w:rsidRPr="003D6D6B">
        <w:rPr>
          <w:rFonts w:ascii="Palatino Linotype" w:eastAsia="Palatino Linotype" w:hAnsi="Palatino Linotype" w:cs="Palatino Linotype"/>
          <w:b/>
          <w:sz w:val="22"/>
          <w:szCs w:val="22"/>
          <w:u w:val="single"/>
        </w:rPr>
        <w:t>obra pública</w:t>
      </w:r>
      <w:r w:rsidRPr="003D6D6B">
        <w:rPr>
          <w:rFonts w:ascii="Palatino Linotype" w:eastAsia="Palatino Linotype" w:hAnsi="Palatino Linotype" w:cs="Palatino Linotype"/>
          <w:sz w:val="22"/>
          <w:szCs w:val="22"/>
        </w:rPr>
        <w:t xml:space="preserve">, todo trabajo que tenga por objeto principal </w:t>
      </w:r>
      <w:r w:rsidRPr="003D6D6B">
        <w:rPr>
          <w:rFonts w:ascii="Palatino Linotype" w:eastAsia="Palatino Linotype" w:hAnsi="Palatino Linotype" w:cs="Palatino Linotype"/>
          <w:b/>
          <w:sz w:val="22"/>
          <w:szCs w:val="22"/>
          <w:u w:val="single"/>
        </w:rPr>
        <w:t>construir,</w:t>
      </w:r>
      <w:r w:rsidRPr="003D6D6B">
        <w:rPr>
          <w:rFonts w:ascii="Palatino Linotype" w:eastAsia="Palatino Linotype" w:hAnsi="Palatino Linotype" w:cs="Palatino Linotype"/>
          <w:sz w:val="22"/>
          <w:szCs w:val="22"/>
        </w:rPr>
        <w:t xml:space="preserve"> instalar, ampliar, adecuar, remodelar, restaurar, conservar, mantener, modificar o demoler </w:t>
      </w:r>
      <w:r w:rsidRPr="003D6D6B">
        <w:rPr>
          <w:rFonts w:ascii="Palatino Linotype" w:eastAsia="Palatino Linotype" w:hAnsi="Palatino Linotype" w:cs="Palatino Linotype"/>
          <w:b/>
          <w:sz w:val="22"/>
          <w:szCs w:val="22"/>
        </w:rPr>
        <w:t>bienes inmuebles propiedad</w:t>
      </w:r>
      <w:r w:rsidRPr="003D6D6B">
        <w:rPr>
          <w:rFonts w:ascii="Palatino Linotype" w:eastAsia="Palatino Linotype" w:hAnsi="Palatino Linotype" w:cs="Palatino Linotype"/>
          <w:sz w:val="22"/>
          <w:szCs w:val="22"/>
        </w:rPr>
        <w:t xml:space="preserve">, entre otros, </w:t>
      </w:r>
      <w:r w:rsidRPr="003D6D6B">
        <w:rPr>
          <w:rFonts w:ascii="Palatino Linotype" w:eastAsia="Palatino Linotype" w:hAnsi="Palatino Linotype" w:cs="Palatino Linotype"/>
          <w:b/>
          <w:sz w:val="22"/>
          <w:szCs w:val="22"/>
        </w:rPr>
        <w:t>de los municipios</w:t>
      </w:r>
      <w:r w:rsidRPr="003D6D6B">
        <w:rPr>
          <w:rFonts w:ascii="Palatino Linotype" w:eastAsia="Palatino Linotype" w:hAnsi="Palatino Linotype" w:cs="Palatino Linotype"/>
          <w:sz w:val="22"/>
          <w:szCs w:val="22"/>
        </w:rPr>
        <w:t>.</w:t>
      </w:r>
    </w:p>
    <w:p w14:paraId="43A66D7F" w14:textId="77777777" w:rsidR="00EE7FB2" w:rsidRPr="003D6D6B" w:rsidRDefault="00EE7FB2" w:rsidP="00EE7FB2">
      <w:pPr>
        <w:spacing w:line="360" w:lineRule="auto"/>
        <w:jc w:val="both"/>
        <w:rPr>
          <w:rFonts w:ascii="Palatino Linotype" w:eastAsia="Palatino Linotype" w:hAnsi="Palatino Linotype" w:cs="Palatino Linotype"/>
          <w:sz w:val="22"/>
          <w:szCs w:val="22"/>
        </w:rPr>
      </w:pPr>
    </w:p>
    <w:p w14:paraId="62C36A0A" w14:textId="77777777" w:rsidR="00EE7FB2" w:rsidRPr="003D6D6B" w:rsidRDefault="00EE7FB2"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Consecuentemente, las contrataciones de obra pública pueden llevarse a cabo, mediante procedimientos de adquisición, entre los cuales se encuentran </w:t>
      </w:r>
      <w:r w:rsidRPr="003D6D6B">
        <w:rPr>
          <w:rFonts w:ascii="Palatino Linotype" w:eastAsia="Palatino Linotype" w:hAnsi="Palatino Linotype" w:cs="Palatino Linotype"/>
          <w:b/>
          <w:sz w:val="22"/>
          <w:szCs w:val="22"/>
          <w:u w:val="single"/>
        </w:rPr>
        <w:t xml:space="preserve">las licitaciones públicas, invitación restringida y adjudicación directa, </w:t>
      </w:r>
      <w:r w:rsidRPr="003D6D6B">
        <w:rPr>
          <w:rFonts w:ascii="Palatino Linotype" w:eastAsia="Palatino Linotype" w:hAnsi="Palatino Linotype" w:cs="Palatino Linotype"/>
          <w:sz w:val="22"/>
          <w:szCs w:val="22"/>
          <w:u w:val="single"/>
        </w:rPr>
        <w:t>por la contratación de obra pública.</w:t>
      </w:r>
    </w:p>
    <w:p w14:paraId="7DC7F7B7" w14:textId="77777777" w:rsidR="00EE7FB2" w:rsidRPr="003D6D6B" w:rsidRDefault="00EE7FB2" w:rsidP="00EE7FB2">
      <w:pPr>
        <w:spacing w:line="360" w:lineRule="auto"/>
        <w:ind w:right="49"/>
        <w:jc w:val="both"/>
        <w:rPr>
          <w:rFonts w:ascii="Palatino Linotype" w:eastAsia="Palatino Linotype" w:hAnsi="Palatino Linotype" w:cs="Palatino Linotype"/>
          <w:sz w:val="22"/>
          <w:szCs w:val="22"/>
        </w:rPr>
      </w:pPr>
    </w:p>
    <w:p w14:paraId="7B7731DF" w14:textId="77777777" w:rsidR="00EE7FB2" w:rsidRPr="003D6D6B" w:rsidRDefault="00EE7FB2" w:rsidP="00EE7FB2">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Respecto al procedimiento de </w:t>
      </w:r>
      <w:r w:rsidRPr="003D6D6B">
        <w:rPr>
          <w:rFonts w:ascii="Palatino Linotype" w:eastAsia="Palatino Linotype" w:hAnsi="Palatino Linotype" w:cs="Palatino Linotype"/>
          <w:b/>
          <w:sz w:val="22"/>
          <w:szCs w:val="22"/>
        </w:rPr>
        <w:t>licitación pública</w:t>
      </w:r>
      <w:r w:rsidRPr="003D6D6B">
        <w:rPr>
          <w:rFonts w:ascii="Palatino Linotype" w:eastAsia="Palatino Linotype" w:hAnsi="Palatino Linotype" w:cs="Palatino Linotype"/>
          <w:sz w:val="22"/>
          <w:szCs w:val="22"/>
        </w:rPr>
        <w:t xml:space="preserve">, es de indicar que constituye un procedimiento de contratación en que a través de una declaración unilateral de voluntad contenida en una convocatoria pública, el ente público, se obliga a celebrar un contrato para la adquisición del desarrollo de una obra pública, con aquél interesado que cumpliendo determinados requisitos prefijados en la convocatoria por el ente público de que se trate, ofrezca las mejores condiciones de contratación. </w:t>
      </w:r>
    </w:p>
    <w:p w14:paraId="26C124BC" w14:textId="77777777" w:rsidR="00EE7FB2" w:rsidRPr="003D6D6B" w:rsidRDefault="00EE7FB2" w:rsidP="00EE7FB2">
      <w:pPr>
        <w:spacing w:line="360" w:lineRule="auto"/>
        <w:ind w:right="49"/>
        <w:jc w:val="both"/>
        <w:rPr>
          <w:rFonts w:ascii="Palatino Linotype" w:eastAsia="Palatino Linotype" w:hAnsi="Palatino Linotype" w:cs="Palatino Linotype"/>
          <w:sz w:val="22"/>
          <w:szCs w:val="22"/>
        </w:rPr>
      </w:pPr>
    </w:p>
    <w:p w14:paraId="5AAB095A" w14:textId="77777777" w:rsidR="00EE7FB2" w:rsidRPr="003D6D6B" w:rsidRDefault="00EE7FB2" w:rsidP="00EE7FB2">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En cuando hace a la </w:t>
      </w:r>
      <w:r w:rsidRPr="003D6D6B">
        <w:rPr>
          <w:rFonts w:ascii="Palatino Linotype" w:eastAsia="Palatino Linotype" w:hAnsi="Palatino Linotype" w:cs="Palatino Linotype"/>
          <w:b/>
          <w:sz w:val="22"/>
          <w:szCs w:val="22"/>
        </w:rPr>
        <w:t>adjudicación directa</w:t>
      </w:r>
      <w:r w:rsidRPr="003D6D6B">
        <w:rPr>
          <w:rFonts w:ascii="Palatino Linotype" w:eastAsia="Palatino Linotype" w:hAnsi="Palatino Linotype" w:cs="Palatino Linotype"/>
          <w:sz w:val="22"/>
          <w:szCs w:val="22"/>
        </w:rPr>
        <w:t xml:space="preserve">, es un procedimiento que se realiza sin puesta en concurrencia y, por ende, sin que exista competencia, adjudicándose el contrato a un proveedor que ha sido preseleccionado para tales efectos por la dependencia o entidad. </w:t>
      </w:r>
    </w:p>
    <w:p w14:paraId="6E929F5A" w14:textId="77777777" w:rsidR="00EE7FB2" w:rsidRPr="003D6D6B" w:rsidRDefault="00EE7FB2" w:rsidP="00EE7FB2">
      <w:pPr>
        <w:spacing w:line="360" w:lineRule="auto"/>
        <w:ind w:right="49"/>
        <w:jc w:val="both"/>
        <w:rPr>
          <w:rFonts w:ascii="Palatino Linotype" w:eastAsia="Palatino Linotype" w:hAnsi="Palatino Linotype" w:cs="Palatino Linotype"/>
          <w:sz w:val="22"/>
          <w:szCs w:val="22"/>
        </w:rPr>
      </w:pPr>
    </w:p>
    <w:p w14:paraId="09F841D9" w14:textId="77777777" w:rsidR="00EE7FB2" w:rsidRPr="003D6D6B" w:rsidRDefault="00EE7FB2" w:rsidP="00EE7FB2">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Por último, respecto a la </w:t>
      </w:r>
      <w:r w:rsidRPr="003D6D6B">
        <w:rPr>
          <w:rFonts w:ascii="Palatino Linotype" w:eastAsia="Palatino Linotype" w:hAnsi="Palatino Linotype" w:cs="Palatino Linotype"/>
          <w:b/>
          <w:sz w:val="22"/>
          <w:szCs w:val="22"/>
        </w:rPr>
        <w:t xml:space="preserve">invitación restringida </w:t>
      </w:r>
      <w:r w:rsidRPr="003D6D6B">
        <w:rPr>
          <w:rFonts w:ascii="Palatino Linotype" w:eastAsia="Palatino Linotype" w:hAnsi="Palatino Linotype" w:cs="Palatino Linotype"/>
          <w:sz w:val="22"/>
          <w:szCs w:val="22"/>
        </w:rPr>
        <w:t>precisa que es un procedimiento de excepción a la licitación pública que permite al ente público, en forma discrecional, realizar un procedimiento para adquirir, arrendar o contratar, invitando a por lo menos tres oferentes a presentar propuestas.</w:t>
      </w:r>
    </w:p>
    <w:p w14:paraId="1402E8F1" w14:textId="77777777" w:rsidR="00EE7FB2" w:rsidRPr="003D6D6B" w:rsidRDefault="00EE7FB2" w:rsidP="00EE7FB2">
      <w:pPr>
        <w:spacing w:line="276" w:lineRule="auto"/>
        <w:ind w:left="567" w:right="616"/>
        <w:jc w:val="both"/>
        <w:rPr>
          <w:rFonts w:ascii="Palatino Linotype" w:eastAsia="Palatino Linotype" w:hAnsi="Palatino Linotype" w:cs="Palatino Linotype"/>
          <w:i/>
          <w:sz w:val="22"/>
          <w:szCs w:val="22"/>
        </w:rPr>
      </w:pPr>
    </w:p>
    <w:p w14:paraId="4EAF277D" w14:textId="77777777" w:rsidR="00EE7FB2" w:rsidRPr="003D6D6B" w:rsidRDefault="00EE7FB2" w:rsidP="00EE7FB2">
      <w:pPr>
        <w:spacing w:line="360" w:lineRule="auto"/>
        <w:contextualSpacing/>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sz w:val="22"/>
          <w:szCs w:val="22"/>
        </w:rPr>
        <w:t xml:space="preserve">Es de indicar que, para la adjudicación de la obra, el ente público, </w:t>
      </w:r>
      <w:r w:rsidRPr="003D6D6B">
        <w:rPr>
          <w:rFonts w:ascii="Palatino Linotype" w:eastAsia="Palatino Linotype" w:hAnsi="Palatino Linotype" w:cs="Palatino Linotype"/>
          <w:b/>
          <w:sz w:val="22"/>
          <w:szCs w:val="22"/>
        </w:rPr>
        <w:t>se encuentra constreñido a suscribir el contrato respectivo.</w:t>
      </w:r>
    </w:p>
    <w:p w14:paraId="308ABA42" w14:textId="77777777" w:rsidR="00EE7FB2" w:rsidRPr="003D6D6B" w:rsidRDefault="00EE7FB2" w:rsidP="00EE7FB2">
      <w:pPr>
        <w:spacing w:line="360" w:lineRule="auto"/>
        <w:contextualSpacing/>
        <w:jc w:val="both"/>
        <w:rPr>
          <w:rFonts w:ascii="Palatino Linotype" w:eastAsia="Palatino Linotype" w:hAnsi="Palatino Linotype" w:cs="Palatino Linotype"/>
          <w:sz w:val="22"/>
          <w:szCs w:val="22"/>
          <w:lang w:val="es-ES"/>
        </w:rPr>
      </w:pPr>
    </w:p>
    <w:p w14:paraId="55183344" w14:textId="771C42E4" w:rsidR="00EE7FB2" w:rsidRPr="003D6D6B" w:rsidRDefault="00EE7FB2" w:rsidP="00EE7FB2">
      <w:pPr>
        <w:spacing w:line="360" w:lineRule="auto"/>
        <w:contextualSpacing/>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Por otro lado, no resulta óbice mencionar que </w:t>
      </w:r>
      <w:r w:rsidRPr="003D6D6B">
        <w:rPr>
          <w:rFonts w:ascii="Palatino Linotype" w:eastAsia="Palatino Linotype" w:hAnsi="Palatino Linotype" w:cs="Palatino Linotype"/>
          <w:b/>
          <w:sz w:val="22"/>
          <w:szCs w:val="22"/>
          <w:u w:val="single"/>
        </w:rPr>
        <w:t>tratándose de una obra pública</w:t>
      </w:r>
      <w:r w:rsidRPr="003D6D6B">
        <w:rPr>
          <w:rFonts w:ascii="Palatino Linotype" w:eastAsia="Palatino Linotype" w:hAnsi="Palatino Linotype" w:cs="Palatino Linotype"/>
          <w:sz w:val="22"/>
          <w:szCs w:val="22"/>
        </w:rPr>
        <w:t>, siempre y cuando la misma se hubiera llevado a cabo por un tercero -</w:t>
      </w:r>
      <w:r w:rsidRPr="003D6D6B">
        <w:rPr>
          <w:rFonts w:ascii="Palatino Linotype" w:eastAsia="Palatino Linotype" w:hAnsi="Palatino Linotype" w:cs="Palatino Linotype"/>
          <w:b/>
          <w:sz w:val="22"/>
          <w:szCs w:val="22"/>
        </w:rPr>
        <w:t>empresa</w:t>
      </w:r>
      <w:r w:rsidRPr="003D6D6B">
        <w:rPr>
          <w:rFonts w:ascii="Palatino Linotype" w:eastAsia="Palatino Linotype" w:hAnsi="Palatino Linotype" w:cs="Palatino Linotype"/>
          <w:sz w:val="22"/>
          <w:szCs w:val="22"/>
        </w:rPr>
        <w:t xml:space="preserve">- derivado de un procedimiento de adquisición, las dependencias, entidades, </w:t>
      </w:r>
      <w:r w:rsidRPr="003D6D6B">
        <w:rPr>
          <w:rFonts w:ascii="Palatino Linotype" w:eastAsia="Palatino Linotype" w:hAnsi="Palatino Linotype" w:cs="Palatino Linotype"/>
          <w:b/>
          <w:sz w:val="22"/>
          <w:szCs w:val="22"/>
          <w:u w:val="single"/>
        </w:rPr>
        <w:t>ayuntamientos</w:t>
      </w:r>
      <w:r w:rsidRPr="003D6D6B">
        <w:rPr>
          <w:rFonts w:ascii="Palatino Linotype" w:eastAsia="Palatino Linotype" w:hAnsi="Palatino Linotype" w:cs="Palatino Linotype"/>
          <w:sz w:val="22"/>
          <w:szCs w:val="22"/>
        </w:rPr>
        <w:t xml:space="preserve">, entre otros, </w:t>
      </w:r>
      <w:r w:rsidRPr="003D6D6B">
        <w:rPr>
          <w:rFonts w:ascii="Palatino Linotype" w:eastAsia="Palatino Linotype" w:hAnsi="Palatino Linotype" w:cs="Palatino Linotype"/>
          <w:b/>
          <w:sz w:val="22"/>
          <w:szCs w:val="22"/>
          <w:u w:val="single"/>
        </w:rPr>
        <w:t>se encuentran constreñidos en acatar el Acuerdo</w:t>
      </w:r>
      <w:r w:rsidRPr="003D6D6B">
        <w:rPr>
          <w:rFonts w:ascii="Palatino Linotype" w:eastAsia="Palatino Linotype" w:hAnsi="Palatino Linotype" w:cs="Palatino Linotype"/>
          <w:sz w:val="22"/>
          <w:szCs w:val="22"/>
        </w:rPr>
        <w:t xml:space="preserve"> del entonces Secretario de Infraestructura </w:t>
      </w:r>
      <w:r w:rsidRPr="003D6D6B">
        <w:rPr>
          <w:rFonts w:ascii="Palatino Linotype" w:eastAsia="Palatino Linotype" w:hAnsi="Palatino Linotype" w:cs="Palatino Linotype"/>
          <w:b/>
          <w:sz w:val="22"/>
          <w:szCs w:val="22"/>
          <w:u w:val="single"/>
        </w:rPr>
        <w:t>por el que se establece el Índice de Expediente Único de Obra Pública</w:t>
      </w:r>
      <w:r w:rsidRPr="003D6D6B">
        <w:rPr>
          <w:rFonts w:ascii="Palatino Linotype" w:eastAsia="Palatino Linotype" w:hAnsi="Palatino Linotype" w:cs="Palatino Linotype"/>
          <w:sz w:val="22"/>
          <w:szCs w:val="22"/>
        </w:rPr>
        <w:t xml:space="preserve"> e Instructivos de Llenado en las modalidades de adjudicación directa, invitación restringida y licitación pública, publicado el dos de diciembre de dos mil dieciséis en el Periódico Oficial "Gaceta del Gobierno" (consultable en el siguiente enlace: </w:t>
      </w:r>
      <w:hyperlink r:id="rId10">
        <w:r w:rsidRPr="003D6D6B">
          <w:rPr>
            <w:rStyle w:val="Hipervnculo"/>
            <w:rFonts w:ascii="Palatino Linotype" w:eastAsia="Palatino Linotype" w:hAnsi="Palatino Linotype" w:cs="Palatino Linotype"/>
            <w:color w:val="auto"/>
            <w:sz w:val="22"/>
            <w:szCs w:val="22"/>
          </w:rPr>
          <w:t>https://legislacion.edomex.gob.mx/sites/legislacion.edomex.gob.mx/files/files/pdf/gct/2016/dic021.pdf</w:t>
        </w:r>
      </w:hyperlink>
      <w:r w:rsidRPr="003D6D6B">
        <w:rPr>
          <w:rFonts w:ascii="Palatino Linotype" w:eastAsia="Palatino Linotype" w:hAnsi="Palatino Linotype" w:cs="Palatino Linotype"/>
          <w:sz w:val="22"/>
          <w:szCs w:val="22"/>
        </w:rPr>
        <w:t>).</w:t>
      </w:r>
    </w:p>
    <w:p w14:paraId="1C73A7E0" w14:textId="77777777" w:rsidR="00EE7FB2" w:rsidRPr="003D6D6B" w:rsidRDefault="00EE7FB2" w:rsidP="00EE7FB2">
      <w:pPr>
        <w:spacing w:line="360" w:lineRule="auto"/>
        <w:contextualSpacing/>
        <w:jc w:val="both"/>
        <w:rPr>
          <w:rFonts w:ascii="Palatino Linotype" w:eastAsia="Palatino Linotype" w:hAnsi="Palatino Linotype" w:cs="Palatino Linotype"/>
          <w:sz w:val="22"/>
          <w:szCs w:val="22"/>
        </w:rPr>
      </w:pPr>
    </w:p>
    <w:p w14:paraId="1BFBECA2" w14:textId="1461B08C" w:rsidR="00EE7FB2" w:rsidRPr="003D6D6B" w:rsidRDefault="00EE7FB2" w:rsidP="00EE7FB2">
      <w:pPr>
        <w:spacing w:line="360" w:lineRule="auto"/>
        <w:contextualSpacing/>
        <w:jc w:val="both"/>
        <w:rPr>
          <w:rFonts w:ascii="Palatino Linotype" w:eastAsia="Palatino Linotype" w:hAnsi="Palatino Linotype" w:cs="Palatino Linotype"/>
          <w:sz w:val="22"/>
          <w:szCs w:val="22"/>
          <w:lang w:val="es-ES"/>
        </w:rPr>
      </w:pPr>
      <w:r w:rsidRPr="003D6D6B">
        <w:rPr>
          <w:rFonts w:ascii="Palatino Linotype" w:eastAsia="Palatino Linotype" w:hAnsi="Palatino Linotype" w:cs="Palatino Linotype"/>
          <w:sz w:val="22"/>
          <w:szCs w:val="22"/>
        </w:rPr>
        <w:t xml:space="preserve">Acuerdo el indicado, que establece los documentos que deben integrar un expediente de obra pública, que contenga, entre otros, </w:t>
      </w:r>
      <w:r w:rsidR="00DA410D" w:rsidRPr="003D6D6B">
        <w:rPr>
          <w:rFonts w:ascii="Palatino Linotype" w:eastAsia="Palatino Linotype" w:hAnsi="Palatino Linotype" w:cs="Palatino Linotype"/>
          <w:b/>
          <w:sz w:val="22"/>
          <w:szCs w:val="22"/>
        </w:rPr>
        <w:t>el contrato de obra pública, así como el expediente técnico que incluye los avances físicos y financieros programados</w:t>
      </w:r>
      <w:r w:rsidRPr="003D6D6B">
        <w:rPr>
          <w:rFonts w:ascii="Palatino Linotype" w:eastAsia="Palatino Linotype" w:hAnsi="Palatino Linotype" w:cs="Palatino Linotype"/>
          <w:b/>
          <w:sz w:val="22"/>
          <w:szCs w:val="22"/>
        </w:rPr>
        <w:t>.</w:t>
      </w:r>
    </w:p>
    <w:p w14:paraId="2AB1B56E" w14:textId="77777777" w:rsidR="00EE7FB2" w:rsidRPr="003D6D6B" w:rsidRDefault="00EE7FB2" w:rsidP="00EE7FB2">
      <w:pPr>
        <w:spacing w:line="360" w:lineRule="auto"/>
        <w:jc w:val="both"/>
        <w:rPr>
          <w:rFonts w:ascii="Palatino Linotype" w:eastAsia="Palatino Linotype" w:hAnsi="Palatino Linotype" w:cs="Palatino Linotype"/>
          <w:sz w:val="22"/>
          <w:szCs w:val="22"/>
        </w:rPr>
      </w:pPr>
    </w:p>
    <w:p w14:paraId="7E8A07BC" w14:textId="0155C689" w:rsidR="00EE7FB2" w:rsidRPr="003D6D6B" w:rsidRDefault="00EE7FB2" w:rsidP="00EE7FB2">
      <w:pPr>
        <w:spacing w:line="360" w:lineRule="auto"/>
        <w:jc w:val="both"/>
        <w:rPr>
          <w:rFonts w:ascii="Palatino Linotype" w:eastAsia="Palatino Linotype" w:hAnsi="Palatino Linotype" w:cs="Palatino Linotype"/>
          <w:sz w:val="22"/>
          <w:szCs w:val="22"/>
          <w:lang w:val="es-ES"/>
        </w:rPr>
      </w:pPr>
      <w:r w:rsidRPr="003D6D6B">
        <w:rPr>
          <w:rFonts w:ascii="Palatino Linotype" w:eastAsia="Palatino Linotype" w:hAnsi="Palatino Linotype" w:cs="Palatino Linotype"/>
          <w:sz w:val="22"/>
          <w:szCs w:val="22"/>
          <w:lang w:val="es-ES"/>
        </w:rPr>
        <w:t>De esta manera, es en el expediente de obra, en el que el particular localizará desde el contrato celebrado hasta todo lo relacionado con la planeación, programación, cuantificaci</w:t>
      </w:r>
      <w:r w:rsidR="00DA410D" w:rsidRPr="003D6D6B">
        <w:rPr>
          <w:rFonts w:ascii="Palatino Linotype" w:eastAsia="Palatino Linotype" w:hAnsi="Palatino Linotype" w:cs="Palatino Linotype"/>
          <w:sz w:val="22"/>
          <w:szCs w:val="22"/>
          <w:lang w:val="es-ES"/>
        </w:rPr>
        <w:t>ón y presupuestación de la obra, así como los avances físicos y financieros programados.</w:t>
      </w:r>
    </w:p>
    <w:p w14:paraId="1057C224" w14:textId="77777777" w:rsidR="00EE7FB2" w:rsidRPr="003D6D6B" w:rsidRDefault="00EE7FB2" w:rsidP="00EE7FB2">
      <w:pPr>
        <w:spacing w:line="360" w:lineRule="auto"/>
        <w:jc w:val="both"/>
        <w:rPr>
          <w:rFonts w:ascii="Palatino Linotype" w:eastAsia="Palatino Linotype" w:hAnsi="Palatino Linotype" w:cs="Palatino Linotype"/>
          <w:sz w:val="22"/>
          <w:szCs w:val="22"/>
        </w:rPr>
      </w:pPr>
    </w:p>
    <w:p w14:paraId="11BFA8E3" w14:textId="193616C3" w:rsidR="00EE7FB2" w:rsidRPr="003D6D6B" w:rsidRDefault="00EE7FB2" w:rsidP="00EE7FB2">
      <w:pPr>
        <w:spacing w:line="360" w:lineRule="auto"/>
        <w:ind w:right="141"/>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Además, cabe señalar que la información que se requiere, forma parte de las Obligaciones de Transparencia Comunes del </w:t>
      </w:r>
      <w:r w:rsidRPr="003D6D6B">
        <w:rPr>
          <w:rFonts w:ascii="Palatino Linotype" w:eastAsia="Palatino Linotype" w:hAnsi="Palatino Linotype" w:cs="Palatino Linotype"/>
          <w:b/>
          <w:sz w:val="22"/>
          <w:szCs w:val="22"/>
        </w:rPr>
        <w:t>Sujeto Obligado</w:t>
      </w:r>
      <w:r w:rsidRPr="003D6D6B">
        <w:rPr>
          <w:rFonts w:ascii="Palatino Linotype" w:eastAsia="Palatino Linotype" w:hAnsi="Palatino Linotype" w:cs="Palatino Linotype"/>
          <w:sz w:val="22"/>
          <w:szCs w:val="22"/>
        </w:rPr>
        <w:t xml:space="preserve">, por relacionarse con la información que forma parte de los procedimientos de adquisición, relativa a los expediente en versión pública </w:t>
      </w:r>
      <w:r w:rsidRPr="003D6D6B">
        <w:rPr>
          <w:rFonts w:ascii="Palatino Linotype" w:eastAsia="Palatino Linotype" w:hAnsi="Palatino Linotype" w:cs="Palatino Linotype"/>
          <w:b/>
          <w:sz w:val="22"/>
          <w:szCs w:val="22"/>
          <w:u w:val="single"/>
        </w:rPr>
        <w:t>incluido los contratos celebrados</w:t>
      </w:r>
      <w:r w:rsidR="00132E18" w:rsidRPr="003D6D6B">
        <w:rPr>
          <w:rFonts w:ascii="Palatino Linotype" w:eastAsia="Palatino Linotype" w:hAnsi="Palatino Linotype" w:cs="Palatino Linotype"/>
          <w:b/>
          <w:sz w:val="22"/>
          <w:szCs w:val="22"/>
          <w:u w:val="single"/>
        </w:rPr>
        <w:t xml:space="preserve"> (en los que puede obrar el fundamento legal que sustenta la contratación para llevar a cabo la obra)</w:t>
      </w:r>
      <w:r w:rsidR="00DA410D" w:rsidRPr="003D6D6B">
        <w:rPr>
          <w:rFonts w:ascii="Palatino Linotype" w:eastAsia="Palatino Linotype" w:hAnsi="Palatino Linotype" w:cs="Palatino Linotype"/>
          <w:b/>
          <w:sz w:val="22"/>
          <w:szCs w:val="22"/>
          <w:u w:val="single"/>
        </w:rPr>
        <w:t>, así como los documentos que dan cuenta de los avances físicos y financieros</w:t>
      </w:r>
      <w:r w:rsidRPr="003D6D6B">
        <w:rPr>
          <w:rFonts w:ascii="Palatino Linotype" w:eastAsia="Palatino Linotype" w:hAnsi="Palatino Linotype" w:cs="Palatino Linotype"/>
          <w:sz w:val="22"/>
          <w:szCs w:val="22"/>
        </w:rPr>
        <w:t>, lo que nos permite traer a colación lo dispuesto por la fracción XXIX del artículo 92, de la Ley de Transparencia y Acceso a la Información Pública del Estado de México y Municipios en el cual se aprecia lo siguiente:</w:t>
      </w:r>
    </w:p>
    <w:p w14:paraId="00BEBCB9" w14:textId="77777777" w:rsidR="00EE7FB2" w:rsidRPr="003D6D6B" w:rsidRDefault="00EE7FB2" w:rsidP="00EE7FB2">
      <w:pPr>
        <w:spacing w:line="360" w:lineRule="auto"/>
        <w:ind w:right="141"/>
        <w:jc w:val="both"/>
        <w:rPr>
          <w:rFonts w:ascii="Palatino Linotype" w:eastAsia="Palatino Linotype" w:hAnsi="Palatino Linotype" w:cs="Palatino Linotype"/>
          <w:sz w:val="22"/>
          <w:szCs w:val="22"/>
        </w:rPr>
      </w:pPr>
    </w:p>
    <w:p w14:paraId="305AB7C9" w14:textId="77777777" w:rsidR="00EE7FB2" w:rsidRPr="003D6D6B" w:rsidRDefault="00EE7FB2" w:rsidP="00EE7FB2">
      <w:pPr>
        <w:tabs>
          <w:tab w:val="left" w:pos="851"/>
        </w:tabs>
        <w:ind w:left="709"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r w:rsidRPr="003D6D6B">
        <w:rPr>
          <w:rFonts w:ascii="Palatino Linotype" w:eastAsia="Palatino Linotype" w:hAnsi="Palatino Linotype" w:cs="Palatino Linotype"/>
          <w:b/>
          <w:i/>
          <w:sz w:val="22"/>
          <w:szCs w:val="22"/>
        </w:rPr>
        <w:t>Artículo 92</w:t>
      </w:r>
      <w:r w:rsidRPr="003D6D6B">
        <w:rPr>
          <w:rFonts w:ascii="Palatino Linotype" w:eastAsia="Palatino Linotype" w:hAnsi="Palatino Linotype" w:cs="Palatino Linotype"/>
          <w:i/>
          <w:sz w:val="22"/>
          <w:szCs w:val="22"/>
        </w:rPr>
        <w:t xml:space="preserve">. </w:t>
      </w:r>
      <w:r w:rsidRPr="003D6D6B">
        <w:rPr>
          <w:rFonts w:ascii="Palatino Linotype" w:eastAsia="Palatino Linotype" w:hAnsi="Palatino Linotype" w:cs="Palatino Linotype"/>
          <w:b/>
          <w:i/>
          <w:sz w:val="22"/>
          <w:szCs w:val="22"/>
          <w:u w:val="single"/>
        </w:rPr>
        <w:t>Los sujetos obligados deberán poner a disposición del público de manera permanente y actualizada de forma sencilla, precisa y entendible, en los respectivos medios electrónicos</w:t>
      </w:r>
      <w:r w:rsidRPr="003D6D6B">
        <w:rPr>
          <w:rFonts w:ascii="Palatino Linotype" w:eastAsia="Palatino Linotype" w:hAnsi="Palatino Linotype" w:cs="Palatino Linotype"/>
          <w:i/>
          <w:sz w:val="22"/>
          <w:szCs w:val="22"/>
        </w:rPr>
        <w:t xml:space="preserve">, de acuerdo con sus facultades, atribuciones, funciones u objeto social, según corresponda, la información, </w:t>
      </w:r>
      <w:r w:rsidRPr="003D6D6B">
        <w:rPr>
          <w:rFonts w:ascii="Palatino Linotype" w:eastAsia="Palatino Linotype" w:hAnsi="Palatino Linotype" w:cs="Palatino Linotype"/>
          <w:b/>
          <w:i/>
          <w:sz w:val="22"/>
          <w:szCs w:val="22"/>
          <w:u w:val="single"/>
        </w:rPr>
        <w:t>por lo menos, de los temas, documentos y políticas que a continuación se señalan</w:t>
      </w:r>
      <w:r w:rsidRPr="003D6D6B">
        <w:rPr>
          <w:rFonts w:ascii="Palatino Linotype" w:eastAsia="Palatino Linotype" w:hAnsi="Palatino Linotype" w:cs="Palatino Linotype"/>
          <w:i/>
          <w:sz w:val="22"/>
          <w:szCs w:val="22"/>
        </w:rPr>
        <w:t>:</w:t>
      </w:r>
    </w:p>
    <w:p w14:paraId="234964CD" w14:textId="77777777" w:rsidR="00EE7FB2" w:rsidRPr="003D6D6B" w:rsidRDefault="00EE7FB2" w:rsidP="00EE7FB2">
      <w:pPr>
        <w:tabs>
          <w:tab w:val="left" w:pos="851"/>
        </w:tabs>
        <w:ind w:left="709"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51ACD617" w14:textId="77777777" w:rsidR="00EE7FB2" w:rsidRPr="003D6D6B" w:rsidRDefault="00EE7FB2" w:rsidP="00EE7FB2">
      <w:pPr>
        <w:tabs>
          <w:tab w:val="left" w:pos="851"/>
        </w:tabs>
        <w:ind w:left="709"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b/>
          <w:i/>
          <w:sz w:val="22"/>
          <w:szCs w:val="22"/>
        </w:rPr>
        <w:t>XXIX.</w:t>
      </w:r>
      <w:r w:rsidRPr="003D6D6B">
        <w:rPr>
          <w:rFonts w:ascii="Palatino Linotype" w:eastAsia="Palatino Linotype" w:hAnsi="Palatino Linotype" w:cs="Palatino Linotype"/>
          <w:b/>
          <w:i/>
          <w:sz w:val="22"/>
          <w:szCs w:val="22"/>
        </w:rPr>
        <w:tab/>
      </w:r>
      <w:r w:rsidRPr="003D6D6B">
        <w:rPr>
          <w:rFonts w:ascii="Palatino Linotype" w:eastAsia="Palatino Linotype" w:hAnsi="Palatino Linotype" w:cs="Palatino Linotype"/>
          <w:b/>
          <w:i/>
          <w:sz w:val="22"/>
          <w:szCs w:val="22"/>
          <w:u w:val="single"/>
        </w:rPr>
        <w:t>La información sobre los procesos y resultados sobre procedimientos de adjudicación directa, invitación restringida y licitación de cualquier naturaleza, incluyendo la versión pública del expediente respectivo y de los contratos celebrados</w:t>
      </w:r>
      <w:r w:rsidRPr="003D6D6B">
        <w:rPr>
          <w:rFonts w:ascii="Palatino Linotype" w:eastAsia="Palatino Linotype" w:hAnsi="Palatino Linotype" w:cs="Palatino Linotype"/>
          <w:i/>
          <w:sz w:val="22"/>
          <w:szCs w:val="22"/>
        </w:rPr>
        <w:t xml:space="preserve">, que deberán contener, por los menos, lo siguiente: </w:t>
      </w:r>
    </w:p>
    <w:p w14:paraId="6E9E08BB" w14:textId="77777777" w:rsidR="00EE7FB2" w:rsidRPr="003D6D6B" w:rsidRDefault="00EE7FB2" w:rsidP="00EE7FB2">
      <w:pPr>
        <w:tabs>
          <w:tab w:val="left" w:pos="851"/>
        </w:tabs>
        <w:ind w:left="709" w:right="709"/>
        <w:jc w:val="both"/>
        <w:rPr>
          <w:rFonts w:ascii="Palatino Linotype" w:eastAsia="Palatino Linotype" w:hAnsi="Palatino Linotype" w:cs="Palatino Linotype"/>
          <w:i/>
          <w:sz w:val="22"/>
          <w:szCs w:val="22"/>
        </w:rPr>
      </w:pPr>
    </w:p>
    <w:p w14:paraId="3FC1E452" w14:textId="5E4AFFF0" w:rsidR="00EE7FB2" w:rsidRPr="003D6D6B" w:rsidRDefault="00EE7FB2" w:rsidP="00DA410D">
      <w:pPr>
        <w:pStyle w:val="Prrafodelista"/>
        <w:numPr>
          <w:ilvl w:val="0"/>
          <w:numId w:val="27"/>
        </w:numPr>
        <w:tabs>
          <w:tab w:val="left" w:pos="851"/>
        </w:tabs>
        <w:ind w:right="709"/>
        <w:jc w:val="both"/>
        <w:rPr>
          <w:rFonts w:ascii="Palatino Linotype" w:eastAsia="Palatino Linotype" w:hAnsi="Palatino Linotype" w:cs="Palatino Linotype"/>
          <w:b/>
          <w:i/>
          <w:sz w:val="22"/>
          <w:szCs w:val="22"/>
          <w:u w:val="single"/>
        </w:rPr>
      </w:pPr>
      <w:r w:rsidRPr="003D6D6B">
        <w:rPr>
          <w:rFonts w:ascii="Palatino Linotype" w:eastAsia="Palatino Linotype" w:hAnsi="Palatino Linotype" w:cs="Palatino Linotype"/>
          <w:b/>
          <w:i/>
          <w:sz w:val="22"/>
          <w:szCs w:val="22"/>
          <w:u w:val="single"/>
        </w:rPr>
        <w:t xml:space="preserve">De licitaciones públicas o procedimientos de invitación restringida: </w:t>
      </w:r>
    </w:p>
    <w:p w14:paraId="0C60F755" w14:textId="77777777" w:rsidR="00EE7FB2" w:rsidRPr="003D6D6B" w:rsidRDefault="00EE7FB2" w:rsidP="00EE7FB2">
      <w:pPr>
        <w:pStyle w:val="Prrafodelista"/>
        <w:tabs>
          <w:tab w:val="left" w:pos="851"/>
        </w:tabs>
        <w:ind w:left="1444"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7EFD2DAD" w14:textId="3A5AFDAD" w:rsidR="00EE7FB2" w:rsidRPr="003D6D6B" w:rsidRDefault="00EE7FB2" w:rsidP="00EE7FB2">
      <w:pPr>
        <w:tabs>
          <w:tab w:val="left" w:pos="851"/>
        </w:tabs>
        <w:ind w:left="1416"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7)</w:t>
      </w:r>
      <w:r w:rsidR="00DA410D" w:rsidRPr="003D6D6B">
        <w:rPr>
          <w:rFonts w:ascii="Palatino Linotype" w:eastAsia="Palatino Linotype" w:hAnsi="Palatino Linotype" w:cs="Palatino Linotype"/>
          <w:i/>
          <w:sz w:val="22"/>
          <w:szCs w:val="22"/>
        </w:rPr>
        <w:t xml:space="preserve"> </w:t>
      </w:r>
      <w:r w:rsidRPr="003D6D6B">
        <w:rPr>
          <w:rFonts w:ascii="Palatino Linotype" w:eastAsia="Palatino Linotype" w:hAnsi="Palatino Linotype" w:cs="Palatino Linotype"/>
          <w:b/>
          <w:i/>
          <w:sz w:val="22"/>
          <w:szCs w:val="22"/>
        </w:rPr>
        <w:t>El contrato y, en su caso, sus anexos</w:t>
      </w:r>
      <w:r w:rsidRPr="003D6D6B">
        <w:rPr>
          <w:rFonts w:ascii="Palatino Linotype" w:eastAsia="Palatino Linotype" w:hAnsi="Palatino Linotype" w:cs="Palatino Linotype"/>
          <w:i/>
          <w:sz w:val="22"/>
          <w:szCs w:val="22"/>
        </w:rPr>
        <w:t xml:space="preserve">; </w:t>
      </w:r>
    </w:p>
    <w:p w14:paraId="62DC9488" w14:textId="36BE036A" w:rsidR="00DA410D" w:rsidRPr="003D6D6B" w:rsidRDefault="00DA410D" w:rsidP="00EE7FB2">
      <w:pPr>
        <w:tabs>
          <w:tab w:val="left" w:pos="851"/>
        </w:tabs>
        <w:ind w:left="1416"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3CEF2257" w14:textId="0E868374" w:rsidR="00DA410D" w:rsidRPr="003D6D6B" w:rsidRDefault="00DA410D" w:rsidP="00EE7FB2">
      <w:pPr>
        <w:tabs>
          <w:tab w:val="left" w:pos="851"/>
        </w:tabs>
        <w:ind w:left="1416" w:right="709"/>
        <w:jc w:val="both"/>
        <w:rPr>
          <w:rFonts w:ascii="Palatino Linotype" w:eastAsia="Palatino Linotype" w:hAnsi="Palatino Linotype" w:cs="Palatino Linotype"/>
          <w:b/>
          <w:i/>
          <w:sz w:val="22"/>
          <w:szCs w:val="22"/>
        </w:rPr>
      </w:pPr>
      <w:r w:rsidRPr="003D6D6B">
        <w:rPr>
          <w:rFonts w:ascii="Palatino Linotype" w:eastAsia="Palatino Linotype" w:hAnsi="Palatino Linotype" w:cs="Palatino Linotype"/>
          <w:b/>
          <w:i/>
          <w:sz w:val="22"/>
          <w:szCs w:val="22"/>
        </w:rPr>
        <w:t>12) Los informes de avance físico y financiero sobre las obras o servicios contratados;</w:t>
      </w:r>
    </w:p>
    <w:p w14:paraId="059834A3" w14:textId="77777777" w:rsidR="00DA410D" w:rsidRPr="003D6D6B" w:rsidRDefault="00EE7FB2" w:rsidP="00EE7FB2">
      <w:pPr>
        <w:tabs>
          <w:tab w:val="left" w:pos="851"/>
        </w:tabs>
        <w:ind w:left="1416"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098AE900" w14:textId="77777777" w:rsidR="00DA410D" w:rsidRPr="003D6D6B" w:rsidRDefault="00DA410D" w:rsidP="00EE7FB2">
      <w:pPr>
        <w:tabs>
          <w:tab w:val="left" w:pos="851"/>
        </w:tabs>
        <w:ind w:left="1416" w:right="709"/>
        <w:jc w:val="both"/>
        <w:rPr>
          <w:rFonts w:ascii="Palatino Linotype" w:eastAsia="Palatino Linotype" w:hAnsi="Palatino Linotype" w:cs="Palatino Linotype"/>
          <w:i/>
          <w:sz w:val="22"/>
          <w:szCs w:val="22"/>
        </w:rPr>
      </w:pPr>
    </w:p>
    <w:p w14:paraId="31196C55" w14:textId="73F0E5A8" w:rsidR="00DA410D" w:rsidRPr="003D6D6B" w:rsidRDefault="00DA410D" w:rsidP="00EE7FB2">
      <w:pPr>
        <w:tabs>
          <w:tab w:val="left" w:pos="851"/>
        </w:tabs>
        <w:ind w:left="1416" w:right="709"/>
        <w:jc w:val="both"/>
        <w:rPr>
          <w:rFonts w:ascii="Palatino Linotype" w:eastAsia="Palatino Linotype" w:hAnsi="Palatino Linotype" w:cs="Palatino Linotype"/>
          <w:b/>
          <w:i/>
          <w:sz w:val="22"/>
          <w:szCs w:val="22"/>
          <w:u w:val="single"/>
        </w:rPr>
      </w:pPr>
      <w:r w:rsidRPr="003D6D6B">
        <w:rPr>
          <w:rFonts w:ascii="Palatino Linotype" w:eastAsia="Palatino Linotype" w:hAnsi="Palatino Linotype" w:cs="Palatino Linotype"/>
          <w:b/>
          <w:i/>
          <w:sz w:val="22"/>
          <w:szCs w:val="22"/>
          <w:u w:val="single"/>
        </w:rPr>
        <w:t>b) De las adjudicaciones directas:</w:t>
      </w:r>
    </w:p>
    <w:p w14:paraId="5D83C4CD" w14:textId="60166B79" w:rsidR="00DA410D" w:rsidRPr="003D6D6B" w:rsidRDefault="00DA410D" w:rsidP="00EE7FB2">
      <w:pPr>
        <w:tabs>
          <w:tab w:val="left" w:pos="851"/>
        </w:tabs>
        <w:ind w:left="1416" w:right="709"/>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p>
    <w:p w14:paraId="51CE2FB8" w14:textId="5725F7B8" w:rsidR="00EE7FB2" w:rsidRPr="003D6D6B" w:rsidRDefault="00DA410D" w:rsidP="00DA410D">
      <w:pPr>
        <w:tabs>
          <w:tab w:val="left" w:pos="851"/>
        </w:tabs>
        <w:ind w:left="1416" w:right="709"/>
        <w:jc w:val="both"/>
        <w:rPr>
          <w:rFonts w:ascii="Palatino Linotype" w:eastAsia="Palatino Linotype" w:hAnsi="Palatino Linotype" w:cs="Palatino Linotype"/>
          <w:b/>
          <w:i/>
          <w:sz w:val="22"/>
          <w:szCs w:val="22"/>
        </w:rPr>
      </w:pPr>
      <w:r w:rsidRPr="003D6D6B">
        <w:rPr>
          <w:rFonts w:ascii="Palatino Linotype" w:eastAsia="Palatino Linotype" w:hAnsi="Palatino Linotype" w:cs="Palatino Linotype"/>
          <w:b/>
          <w:i/>
          <w:sz w:val="22"/>
          <w:szCs w:val="22"/>
        </w:rPr>
        <w:t>9) Los informes de avance sobre las obras o servicios contratados;</w:t>
      </w:r>
      <w:r w:rsidR="00EE7FB2" w:rsidRPr="003D6D6B">
        <w:rPr>
          <w:rFonts w:ascii="Palatino Linotype" w:eastAsia="Palatino Linotype" w:hAnsi="Palatino Linotype" w:cs="Palatino Linotype"/>
          <w:i/>
          <w:sz w:val="22"/>
          <w:szCs w:val="22"/>
        </w:rPr>
        <w:t>“</w:t>
      </w:r>
    </w:p>
    <w:p w14:paraId="6E099902" w14:textId="77777777" w:rsidR="00EE7FB2" w:rsidRPr="003D6D6B" w:rsidRDefault="00EE7FB2" w:rsidP="00EE7FB2">
      <w:pPr>
        <w:spacing w:line="360" w:lineRule="auto"/>
        <w:ind w:right="141"/>
        <w:jc w:val="both"/>
        <w:rPr>
          <w:rFonts w:ascii="Palatino Linotype" w:eastAsia="Palatino Linotype" w:hAnsi="Palatino Linotype" w:cs="Palatino Linotype"/>
          <w:sz w:val="22"/>
          <w:szCs w:val="22"/>
        </w:rPr>
      </w:pPr>
    </w:p>
    <w:p w14:paraId="013FC28A" w14:textId="77777777" w:rsidR="00EE7FB2" w:rsidRPr="003D6D6B" w:rsidRDefault="00EE7FB2" w:rsidP="00EE7FB2">
      <w:pPr>
        <w:spacing w:line="360" w:lineRule="auto"/>
        <w:jc w:val="both"/>
        <w:rPr>
          <w:rFonts w:ascii="Palatino Linotype" w:eastAsia="Palatino Linotype" w:hAnsi="Palatino Linotype" w:cs="Palatino Linotype"/>
          <w:sz w:val="22"/>
          <w:szCs w:val="22"/>
          <w:lang w:val="es-ES"/>
        </w:rPr>
      </w:pPr>
      <w:r w:rsidRPr="003D6D6B">
        <w:rPr>
          <w:rFonts w:ascii="Palatino Linotype" w:eastAsia="Palatino Linotype" w:hAnsi="Palatino Linotype" w:cs="Palatino Linotype"/>
          <w:sz w:val="22"/>
          <w:szCs w:val="22"/>
          <w:lang w:val="es-ES"/>
        </w:rPr>
        <w:t xml:space="preserve">De lo anteriormente, se colige que el </w:t>
      </w:r>
      <w:r w:rsidRPr="003D6D6B">
        <w:rPr>
          <w:rFonts w:ascii="Palatino Linotype" w:eastAsia="Palatino Linotype" w:hAnsi="Palatino Linotype" w:cs="Palatino Linotype"/>
          <w:b/>
          <w:sz w:val="22"/>
          <w:szCs w:val="22"/>
          <w:lang w:val="es-ES"/>
        </w:rPr>
        <w:t>Sujeto Obligado</w:t>
      </w:r>
      <w:r w:rsidRPr="003D6D6B">
        <w:rPr>
          <w:rFonts w:ascii="Palatino Linotype" w:eastAsia="Palatino Linotype" w:hAnsi="Palatino Linotype" w:cs="Palatino Linotype"/>
          <w:sz w:val="22"/>
          <w:szCs w:val="22"/>
          <w:lang w:val="es-ES"/>
        </w:rPr>
        <w:t>, cuenta con la competencia, facultades y atribuciones para conocer, administrar y generar la información relacionada con las obras públicas de las que sea encargado de su ejecución.</w:t>
      </w:r>
    </w:p>
    <w:p w14:paraId="0616CF53" w14:textId="77777777" w:rsidR="00EE7FB2" w:rsidRPr="003D6D6B" w:rsidRDefault="00EE7FB2" w:rsidP="00EE7FB2">
      <w:pPr>
        <w:spacing w:line="360" w:lineRule="auto"/>
        <w:jc w:val="both"/>
        <w:rPr>
          <w:rFonts w:ascii="Palatino Linotype" w:eastAsia="Palatino Linotype" w:hAnsi="Palatino Linotype" w:cs="Palatino Linotype"/>
          <w:sz w:val="22"/>
          <w:szCs w:val="22"/>
          <w:lang w:val="es-ES"/>
        </w:rPr>
      </w:pPr>
    </w:p>
    <w:p w14:paraId="341C568E" w14:textId="77777777" w:rsidR="00EE7FB2" w:rsidRPr="003D6D6B" w:rsidRDefault="00EE7FB2" w:rsidP="00EE7FB2">
      <w:pPr>
        <w:spacing w:line="360" w:lineRule="auto"/>
        <w:jc w:val="both"/>
        <w:rPr>
          <w:rFonts w:ascii="Palatino Linotype" w:eastAsia="Palatino Linotype" w:hAnsi="Palatino Linotype" w:cs="Palatino Linotype"/>
          <w:sz w:val="22"/>
          <w:szCs w:val="22"/>
          <w:lang w:val="es-ES"/>
        </w:rPr>
      </w:pPr>
      <w:r w:rsidRPr="003D6D6B">
        <w:rPr>
          <w:rFonts w:ascii="Palatino Linotype" w:eastAsia="Palatino Linotype" w:hAnsi="Palatino Linotype" w:cs="Palatino Linotype"/>
          <w:sz w:val="22"/>
          <w:szCs w:val="22"/>
          <w:lang w:val="es-ES"/>
        </w:rPr>
        <w:t>Ahora, en el caso es de recordar que quien se pronunció fue la Dirección de Obras Públicas, misma que conforme el artículo 96 Bis de la Ley Orgánica Municipal del Estado de México, tiene las siguientes atribuciones:</w:t>
      </w:r>
    </w:p>
    <w:p w14:paraId="3E315BC9" w14:textId="77777777" w:rsidR="00EE7FB2" w:rsidRPr="003D6D6B" w:rsidRDefault="00EE7FB2" w:rsidP="00EE7FB2">
      <w:pPr>
        <w:spacing w:line="360" w:lineRule="auto"/>
        <w:jc w:val="both"/>
        <w:rPr>
          <w:rFonts w:ascii="Palatino Linotype" w:eastAsia="Palatino Linotype" w:hAnsi="Palatino Linotype" w:cs="Palatino Linotype"/>
          <w:sz w:val="22"/>
          <w:szCs w:val="22"/>
          <w:lang w:val="es-ES"/>
        </w:rPr>
      </w:pPr>
    </w:p>
    <w:p w14:paraId="069B128A" w14:textId="77777777" w:rsidR="00EE7FB2" w:rsidRPr="003D6D6B" w:rsidRDefault="00EE7FB2" w:rsidP="00EE7FB2">
      <w:pPr>
        <w:pStyle w:val="Prrafodelista"/>
        <w:numPr>
          <w:ilvl w:val="0"/>
          <w:numId w:val="25"/>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u w:val="single"/>
        </w:rPr>
        <w:t>Realizar la programación y ejecución de las obras públicas</w:t>
      </w:r>
      <w:r w:rsidRPr="003D6D6B">
        <w:rPr>
          <w:rFonts w:ascii="Palatino Linotype" w:eastAsia="Palatino Linotype" w:hAnsi="Palatino Linotype" w:cs="Palatino Linotype"/>
          <w:sz w:val="22"/>
          <w:szCs w:val="22"/>
        </w:rPr>
        <w:t xml:space="preserve"> y servicios relacionados, que por orden expresa del Ayuntamiento requieran prioridad. </w:t>
      </w:r>
    </w:p>
    <w:p w14:paraId="0622F222" w14:textId="77777777" w:rsidR="00EE7FB2" w:rsidRPr="003D6D6B" w:rsidRDefault="00EE7FB2" w:rsidP="00EE7FB2">
      <w:pPr>
        <w:pStyle w:val="Prrafodelista"/>
        <w:numPr>
          <w:ilvl w:val="0"/>
          <w:numId w:val="25"/>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u w:val="single"/>
        </w:rPr>
        <w:t>Planear y coordinar los proyectos de obras públicas</w:t>
      </w:r>
      <w:r w:rsidRPr="003D6D6B">
        <w:rPr>
          <w:rFonts w:ascii="Palatino Linotype" w:eastAsia="Palatino Linotype" w:hAnsi="Palatino Linotype" w:cs="Palatino Linotype"/>
          <w:sz w:val="22"/>
          <w:szCs w:val="22"/>
        </w:rPr>
        <w:t xml:space="preserve"> y servicios relacionados con las mismas que autorice el Ayuntamiento, una vez que se cumplan los requisitos de licitación y otros que determine la ley de la materia.</w:t>
      </w:r>
    </w:p>
    <w:p w14:paraId="05AFA619" w14:textId="77777777" w:rsidR="00EE7FB2" w:rsidRPr="003D6D6B" w:rsidRDefault="00EE7FB2" w:rsidP="00EE7FB2">
      <w:pPr>
        <w:pStyle w:val="Prrafodelista"/>
        <w:numPr>
          <w:ilvl w:val="0"/>
          <w:numId w:val="25"/>
        </w:num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u w:val="single"/>
        </w:rPr>
        <w:t>Proyectar las obras públicas</w:t>
      </w:r>
      <w:r w:rsidRPr="003D6D6B">
        <w:rPr>
          <w:rFonts w:ascii="Palatino Linotype" w:eastAsia="Palatino Linotype" w:hAnsi="Palatino Linotype" w:cs="Palatino Linotype"/>
          <w:sz w:val="22"/>
          <w:szCs w:val="22"/>
        </w:rPr>
        <w:t xml:space="preserve"> y servicios relacionados, que realice el Municipio, incluyendo la conservación y mantenimiento de edificios, monumentos, calles, parques y jardines.</w:t>
      </w:r>
    </w:p>
    <w:p w14:paraId="3E83B2D9" w14:textId="77777777" w:rsidR="00EE7FB2" w:rsidRPr="003D6D6B" w:rsidRDefault="00EE7FB2" w:rsidP="00EE7FB2">
      <w:pPr>
        <w:pStyle w:val="Prrafodelista"/>
        <w:numPr>
          <w:ilvl w:val="0"/>
          <w:numId w:val="25"/>
        </w:numPr>
        <w:spacing w:line="360" w:lineRule="auto"/>
        <w:jc w:val="both"/>
        <w:rPr>
          <w:rFonts w:ascii="Palatino Linotype" w:eastAsia="Palatino Linotype" w:hAnsi="Palatino Linotype" w:cs="Palatino Linotype"/>
          <w:sz w:val="22"/>
          <w:szCs w:val="22"/>
          <w:lang w:val="es-ES"/>
        </w:rPr>
      </w:pPr>
      <w:r w:rsidRPr="003D6D6B">
        <w:rPr>
          <w:rFonts w:ascii="Palatino Linotype" w:eastAsia="Palatino Linotype" w:hAnsi="Palatino Linotype" w:cs="Palatino Linotype"/>
          <w:b/>
          <w:sz w:val="22"/>
          <w:szCs w:val="22"/>
          <w:u w:val="single"/>
        </w:rPr>
        <w:t>Construir y ejecutar todas aquellas obras públicas</w:t>
      </w:r>
      <w:r w:rsidRPr="003D6D6B">
        <w:rPr>
          <w:rFonts w:ascii="Palatino Linotype" w:eastAsia="Palatino Linotype" w:hAnsi="Palatino Linotype" w:cs="Palatino Linotype"/>
          <w:sz w:val="22"/>
          <w:szCs w:val="22"/>
        </w:rPr>
        <w:t xml:space="preserve"> y servicios relacionados, que aumenten y mantengan la infraestructura municipal y que estén consideradas en el programa respectivo.</w:t>
      </w:r>
    </w:p>
    <w:p w14:paraId="5D70F749" w14:textId="77777777" w:rsidR="00EE7FB2" w:rsidRPr="003D6D6B" w:rsidRDefault="00EE7FB2" w:rsidP="00EE7FB2">
      <w:pPr>
        <w:pStyle w:val="Prrafodelista"/>
        <w:numPr>
          <w:ilvl w:val="0"/>
          <w:numId w:val="25"/>
        </w:numPr>
        <w:spacing w:line="360" w:lineRule="auto"/>
        <w:jc w:val="both"/>
        <w:rPr>
          <w:rFonts w:ascii="Palatino Linotype" w:eastAsia="Palatino Linotype" w:hAnsi="Palatino Linotype" w:cs="Palatino Linotype"/>
          <w:sz w:val="22"/>
          <w:szCs w:val="22"/>
          <w:lang w:val="es-ES"/>
        </w:rPr>
      </w:pPr>
      <w:r w:rsidRPr="003D6D6B">
        <w:rPr>
          <w:rFonts w:ascii="Palatino Linotype" w:eastAsia="Palatino Linotype" w:hAnsi="Palatino Linotype" w:cs="Palatino Linotype"/>
          <w:b/>
          <w:sz w:val="22"/>
          <w:szCs w:val="22"/>
        </w:rPr>
        <w:t>Ejecutar y mantener las obras públicas que acuerde el Ayuntamiento</w:t>
      </w:r>
      <w:r w:rsidRPr="003D6D6B">
        <w:rPr>
          <w:rFonts w:ascii="Palatino Linotype" w:eastAsia="Palatino Linotype" w:hAnsi="Palatino Linotype" w:cs="Palatino Linotype"/>
          <w:sz w:val="22"/>
          <w:szCs w:val="22"/>
        </w:rPr>
        <w:t xml:space="preserve">, de acuerdo a la legislación y normatividad aplicable, a los planes, presupuestos y programas previamente establecidos, </w:t>
      </w:r>
      <w:r w:rsidRPr="003D6D6B">
        <w:rPr>
          <w:rFonts w:ascii="Palatino Linotype" w:eastAsia="Palatino Linotype" w:hAnsi="Palatino Linotype" w:cs="Palatino Linotype"/>
          <w:b/>
          <w:sz w:val="22"/>
          <w:szCs w:val="22"/>
        </w:rPr>
        <w:t>coordinándose, en su caso, previo acuerdo con el Presidente Municipal, con las autoridades Federales, Estatales y municipales concurrentes</w:t>
      </w:r>
      <w:r w:rsidRPr="003D6D6B">
        <w:rPr>
          <w:rFonts w:ascii="Palatino Linotype" w:eastAsia="Palatino Linotype" w:hAnsi="Palatino Linotype" w:cs="Palatino Linotype"/>
          <w:sz w:val="22"/>
          <w:szCs w:val="22"/>
        </w:rPr>
        <w:t>.</w:t>
      </w:r>
    </w:p>
    <w:p w14:paraId="51CB9E29" w14:textId="77777777" w:rsidR="00EE7FB2" w:rsidRPr="003D6D6B" w:rsidRDefault="00EE7FB2" w:rsidP="00EE7FB2">
      <w:pPr>
        <w:spacing w:line="360" w:lineRule="auto"/>
        <w:jc w:val="both"/>
        <w:rPr>
          <w:rFonts w:ascii="Palatino Linotype" w:eastAsia="Palatino Linotype" w:hAnsi="Palatino Linotype" w:cs="Palatino Linotype"/>
          <w:b/>
          <w:sz w:val="22"/>
          <w:szCs w:val="22"/>
          <w:lang w:val="es-ES"/>
        </w:rPr>
      </w:pPr>
    </w:p>
    <w:p w14:paraId="0B7F614A" w14:textId="77777777" w:rsidR="00EE7FB2" w:rsidRPr="003D6D6B" w:rsidRDefault="00EE7FB2" w:rsidP="00EE7FB2">
      <w:pPr>
        <w:widowControl w:val="0"/>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En consecuencia, se pronunció la unidad administrativa competente, siguiendo el procedimiento establecido por el artículo 162 de la Ley de Transparencia y Acceso a la Información Pública del Estado de México y Municipios, ya que turnó la solicitud al área en la que podría obrar la información de conformidad con la fracción XXXIX del artículo tercero de la legislación local vigente en materia de transparencia: </w:t>
      </w:r>
    </w:p>
    <w:p w14:paraId="30C417EB" w14:textId="77777777" w:rsidR="00EE7FB2" w:rsidRPr="003D6D6B" w:rsidRDefault="00EE7FB2" w:rsidP="00EE7FB2"/>
    <w:p w14:paraId="6DD66983" w14:textId="77777777" w:rsidR="00EE7FB2" w:rsidRPr="003D6D6B" w:rsidRDefault="00EE7FB2" w:rsidP="00EE7FB2">
      <w:pPr>
        <w:pBdr>
          <w:top w:val="nil"/>
          <w:left w:val="nil"/>
          <w:bottom w:val="nil"/>
          <w:right w:val="nil"/>
          <w:between w:val="nil"/>
        </w:pBdr>
        <w:ind w:left="864" w:right="864"/>
        <w:jc w:val="both"/>
      </w:pPr>
      <w:r w:rsidRPr="003D6D6B">
        <w:rPr>
          <w:rFonts w:ascii="Palatino Linotype" w:eastAsia="Palatino Linotype" w:hAnsi="Palatino Linotype" w:cs="Palatino Linotype"/>
          <w:i/>
          <w:sz w:val="22"/>
          <w:szCs w:val="22"/>
        </w:rPr>
        <w:t>XXXIX. Servidor público habilitado: Persona encargada dentro de las diversas unidades administrativas o áreas del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w:t>
      </w:r>
    </w:p>
    <w:p w14:paraId="559AA9F2" w14:textId="77777777" w:rsidR="00EE7FB2" w:rsidRPr="003D6D6B" w:rsidRDefault="00EE7FB2" w:rsidP="00EE7FB2"/>
    <w:p w14:paraId="29767D5C" w14:textId="77777777" w:rsidR="00EE7FB2" w:rsidRPr="003D6D6B" w:rsidRDefault="00EE7FB2" w:rsidP="00EE7FB2">
      <w:pPr>
        <w:pBdr>
          <w:top w:val="nil"/>
          <w:left w:val="nil"/>
          <w:bottom w:val="nil"/>
          <w:right w:val="nil"/>
          <w:between w:val="nil"/>
        </w:pBdr>
        <w:shd w:val="clear" w:color="auto" w:fill="FFFFFF"/>
        <w:spacing w:line="360" w:lineRule="auto"/>
        <w:jc w:val="both"/>
        <w:rPr>
          <w:sz w:val="22"/>
          <w:szCs w:val="22"/>
        </w:rPr>
      </w:pPr>
      <w:r w:rsidRPr="003D6D6B">
        <w:rPr>
          <w:rFonts w:ascii="Palatino Linotype" w:eastAsia="Palatino Linotype" w:hAnsi="Palatino Linotype" w:cs="Palatino Linotype"/>
          <w:sz w:val="22"/>
          <w:szCs w:val="22"/>
        </w:rPr>
        <w:t>En este orden de ideas, se advierte que efectivamente la Unidad de Transparencia cumplió con lo expresado en el artículo 162 de la Ley de Transparencia y Acceso a la Información Pública del Estado de México y Municipios, el cual menciona lo siguiente:</w:t>
      </w:r>
    </w:p>
    <w:p w14:paraId="41B40119" w14:textId="77777777" w:rsidR="00EE7FB2" w:rsidRPr="003D6D6B" w:rsidRDefault="00EE7FB2" w:rsidP="00EE7FB2"/>
    <w:p w14:paraId="319AEB48" w14:textId="77777777" w:rsidR="00EE7FB2" w:rsidRPr="003D6D6B" w:rsidRDefault="00EE7FB2" w:rsidP="00EE7FB2">
      <w:pPr>
        <w:pBdr>
          <w:top w:val="nil"/>
          <w:left w:val="nil"/>
          <w:bottom w:val="nil"/>
          <w:right w:val="nil"/>
          <w:between w:val="nil"/>
        </w:pBdr>
        <w:ind w:left="864" w:right="864"/>
        <w:jc w:val="both"/>
      </w:pPr>
      <w:r w:rsidRPr="003D6D6B">
        <w:rPr>
          <w:rFonts w:ascii="Palatino Linotype" w:eastAsia="Palatino Linotype" w:hAnsi="Palatino Linotype" w:cs="Palatino Linotype"/>
          <w:i/>
          <w:sz w:val="22"/>
          <w:szCs w:val="22"/>
        </w:rPr>
        <w:t xml:space="preserve">“Artículo 162. Las unidades de transparencia deberán garantizar que las solicitudes </w:t>
      </w:r>
      <w:r w:rsidRPr="003D6D6B">
        <w:rPr>
          <w:rFonts w:ascii="Palatino Linotype" w:eastAsia="Palatino Linotype" w:hAnsi="Palatino Linotype" w:cs="Palatino Linotype"/>
          <w:b/>
          <w:i/>
          <w:sz w:val="22"/>
          <w:szCs w:val="22"/>
        </w:rPr>
        <w:t xml:space="preserve">se turnen a todas las Áreas competentes </w:t>
      </w:r>
      <w:r w:rsidRPr="003D6D6B">
        <w:rPr>
          <w:rFonts w:ascii="Palatino Linotype" w:eastAsia="Palatino Linotype" w:hAnsi="Palatino Linotype" w:cs="Palatino Linotype"/>
          <w:i/>
          <w:sz w:val="22"/>
          <w:szCs w:val="22"/>
        </w:rPr>
        <w:t>que cuenten con la información o deban tenerla de acuerdo a sus facultades, competencias y funciones, con el objeto de que realicen una búsqueda exhaustiva y razonable de la información solicitada.”</w:t>
      </w:r>
    </w:p>
    <w:p w14:paraId="1F4102C6" w14:textId="77777777" w:rsidR="00EE7FB2" w:rsidRPr="003D6D6B" w:rsidRDefault="00EE7FB2" w:rsidP="00EE7FB2">
      <w:pPr>
        <w:widowControl w:val="0"/>
        <w:spacing w:line="360" w:lineRule="auto"/>
        <w:ind w:right="49"/>
        <w:jc w:val="both"/>
        <w:rPr>
          <w:rFonts w:ascii="Palatino Linotype" w:eastAsia="Palatino Linotype" w:hAnsi="Palatino Linotype" w:cs="Palatino Linotype"/>
          <w:sz w:val="22"/>
          <w:szCs w:val="22"/>
        </w:rPr>
      </w:pPr>
    </w:p>
    <w:p w14:paraId="7C0ECFD9" w14:textId="029253A8" w:rsidR="009C3575" w:rsidRPr="003D6D6B" w:rsidRDefault="00EE7FB2"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Sin embargo, a pesar de que en el caso se pronunció el servidor público habilitado competente, a consideración de este Órgano Garante no se </w:t>
      </w:r>
      <w:r w:rsidR="009C3575" w:rsidRPr="003D6D6B">
        <w:rPr>
          <w:rFonts w:ascii="Palatino Linotype" w:eastAsia="Palatino Linotype" w:hAnsi="Palatino Linotype" w:cs="Palatino Linotype"/>
          <w:sz w:val="22"/>
          <w:szCs w:val="22"/>
        </w:rPr>
        <w:t>garantizó el derecho de acceso a la información pública.</w:t>
      </w:r>
    </w:p>
    <w:p w14:paraId="429FFAEB" w14:textId="77777777" w:rsidR="009C3575" w:rsidRPr="003D6D6B" w:rsidRDefault="009C3575" w:rsidP="00EE7FB2">
      <w:pPr>
        <w:spacing w:line="360" w:lineRule="auto"/>
        <w:jc w:val="both"/>
        <w:rPr>
          <w:rFonts w:ascii="Palatino Linotype" w:eastAsia="Palatino Linotype" w:hAnsi="Palatino Linotype" w:cs="Palatino Linotype"/>
          <w:sz w:val="22"/>
          <w:szCs w:val="22"/>
        </w:rPr>
      </w:pPr>
    </w:p>
    <w:p w14:paraId="0E69EDA1" w14:textId="1EC976FC" w:rsidR="009C3575" w:rsidRPr="003D6D6B" w:rsidRDefault="009C3575"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Lo anterior, en razón de que si bien el Director de Obras Públicas </w:t>
      </w:r>
      <w:r w:rsidRPr="003D6D6B">
        <w:rPr>
          <w:rFonts w:ascii="Palatino Linotype" w:eastAsia="Palatino Linotype" w:hAnsi="Palatino Linotype" w:cs="Palatino Linotype"/>
          <w:bCs/>
          <w:iCs/>
          <w:sz w:val="22"/>
          <w:szCs w:val="22"/>
        </w:rPr>
        <w:t>informó que con relación a los contratos y la información requerida en su versión pública, del ejercicio fiscal 2025, podía ser consultada en la página oficial del Ayuntamiento, proporcionando los siguientes pasos:</w:t>
      </w:r>
    </w:p>
    <w:p w14:paraId="6153A9BD" w14:textId="77777777" w:rsidR="009C3575" w:rsidRPr="003D6D6B" w:rsidRDefault="009C3575" w:rsidP="009C3575">
      <w:pPr>
        <w:pStyle w:val="Prrafodelista"/>
        <w:spacing w:line="276" w:lineRule="auto"/>
        <w:ind w:left="360" w:right="49"/>
        <w:jc w:val="both"/>
        <w:rPr>
          <w:rFonts w:ascii="Palatino Linotype" w:eastAsia="Palatino Linotype" w:hAnsi="Palatino Linotype" w:cs="Palatino Linotype"/>
          <w:bCs/>
          <w:iCs/>
          <w:sz w:val="22"/>
          <w:szCs w:val="22"/>
        </w:rPr>
      </w:pPr>
    </w:p>
    <w:p w14:paraId="61A3A654" w14:textId="77777777" w:rsidR="009C3575" w:rsidRPr="003D6D6B" w:rsidRDefault="009C3575" w:rsidP="009C3575">
      <w:pPr>
        <w:pStyle w:val="Prrafodelista"/>
        <w:spacing w:line="276" w:lineRule="auto"/>
        <w:ind w:left="360" w:right="49"/>
        <w:jc w:val="both"/>
        <w:rPr>
          <w:rFonts w:ascii="Palatino Linotype" w:eastAsia="Palatino Linotype" w:hAnsi="Palatino Linotype" w:cs="Palatino Linotype"/>
          <w:bCs/>
          <w:iCs/>
          <w:sz w:val="22"/>
          <w:szCs w:val="22"/>
        </w:rPr>
      </w:pPr>
      <w:r w:rsidRPr="003D6D6B">
        <w:rPr>
          <w:rFonts w:ascii="Palatino Linotype" w:eastAsia="Palatino Linotype" w:hAnsi="Palatino Linotype" w:cs="Palatino Linotype"/>
          <w:bCs/>
          <w:iCs/>
          <w:noProof/>
          <w:sz w:val="22"/>
          <w:szCs w:val="22"/>
        </w:rPr>
        <w:drawing>
          <wp:inline distT="0" distB="0" distL="0" distR="0" wp14:anchorId="096A2B79" wp14:editId="491278C7">
            <wp:extent cx="5276850" cy="1167130"/>
            <wp:effectExtent l="19050" t="19050" r="19050" b="1397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6850" cy="1167130"/>
                    </a:xfrm>
                    <a:prstGeom prst="rect">
                      <a:avLst/>
                    </a:prstGeom>
                    <a:ln>
                      <a:solidFill>
                        <a:schemeClr val="accent1"/>
                      </a:solidFill>
                    </a:ln>
                  </pic:spPr>
                </pic:pic>
              </a:graphicData>
            </a:graphic>
          </wp:inline>
        </w:drawing>
      </w:r>
    </w:p>
    <w:p w14:paraId="5E30C938" w14:textId="77777777" w:rsidR="009C3575" w:rsidRPr="003D6D6B" w:rsidRDefault="009C3575" w:rsidP="009C3575">
      <w:pPr>
        <w:pStyle w:val="Prrafodelista"/>
        <w:spacing w:line="276" w:lineRule="auto"/>
        <w:ind w:left="360" w:right="49"/>
        <w:jc w:val="both"/>
        <w:rPr>
          <w:rFonts w:ascii="Palatino Linotype" w:eastAsia="Palatino Linotype" w:hAnsi="Palatino Linotype" w:cs="Palatino Linotype"/>
          <w:bCs/>
          <w:iCs/>
          <w:sz w:val="22"/>
          <w:szCs w:val="22"/>
        </w:rPr>
      </w:pPr>
      <w:r w:rsidRPr="003D6D6B">
        <w:rPr>
          <w:rFonts w:ascii="Palatino Linotype" w:eastAsia="Palatino Linotype" w:hAnsi="Palatino Linotype" w:cs="Palatino Linotype"/>
          <w:bCs/>
          <w:iCs/>
          <w:noProof/>
          <w:sz w:val="22"/>
          <w:szCs w:val="22"/>
        </w:rPr>
        <w:drawing>
          <wp:inline distT="0" distB="0" distL="0" distR="0" wp14:anchorId="64B0507E" wp14:editId="5B0CE8AF">
            <wp:extent cx="5267325" cy="321945"/>
            <wp:effectExtent l="19050" t="19050" r="28575" b="209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67325" cy="321945"/>
                    </a:xfrm>
                    <a:prstGeom prst="rect">
                      <a:avLst/>
                    </a:prstGeom>
                    <a:ln>
                      <a:solidFill>
                        <a:schemeClr val="accent1"/>
                      </a:solidFill>
                    </a:ln>
                  </pic:spPr>
                </pic:pic>
              </a:graphicData>
            </a:graphic>
          </wp:inline>
        </w:drawing>
      </w:r>
    </w:p>
    <w:p w14:paraId="10A447FB" w14:textId="77777777" w:rsidR="009C3575" w:rsidRPr="003D6D6B" w:rsidRDefault="009C3575" w:rsidP="009C3575">
      <w:pPr>
        <w:pStyle w:val="Prrafodelista"/>
        <w:spacing w:line="276" w:lineRule="auto"/>
        <w:ind w:left="360" w:right="49"/>
        <w:jc w:val="both"/>
        <w:rPr>
          <w:rFonts w:ascii="Palatino Linotype" w:eastAsia="Palatino Linotype" w:hAnsi="Palatino Linotype" w:cs="Palatino Linotype"/>
          <w:bCs/>
          <w:iCs/>
          <w:sz w:val="22"/>
          <w:szCs w:val="22"/>
        </w:rPr>
      </w:pPr>
    </w:p>
    <w:p w14:paraId="04EE35D4" w14:textId="079700B5" w:rsidR="009C3575" w:rsidRPr="003D6D6B" w:rsidRDefault="009C3575"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Pasos que sirve agregar, de los motivos de inconformidad se advierte que el particular accedió a los mismos; por lo que, de su consulta, se advirtió lo siguiente:</w:t>
      </w:r>
    </w:p>
    <w:p w14:paraId="4702C2BF" w14:textId="21055037" w:rsidR="009C3575" w:rsidRPr="003D6D6B" w:rsidRDefault="009C3575" w:rsidP="009C3575">
      <w:pPr>
        <w:spacing w:line="360" w:lineRule="auto"/>
        <w:jc w:val="center"/>
        <w:rPr>
          <w:rFonts w:ascii="Palatino Linotype" w:eastAsia="Palatino Linotype" w:hAnsi="Palatino Linotype" w:cs="Palatino Linotype"/>
          <w:sz w:val="22"/>
          <w:szCs w:val="22"/>
        </w:rPr>
      </w:pPr>
      <w:r w:rsidRPr="003D6D6B">
        <w:rPr>
          <w:rFonts w:ascii="Palatino Linotype" w:eastAsia="Palatino Linotype" w:hAnsi="Palatino Linotype" w:cs="Palatino Linotype"/>
          <w:noProof/>
          <w:sz w:val="22"/>
          <w:szCs w:val="22"/>
        </w:rPr>
        <w:drawing>
          <wp:inline distT="0" distB="0" distL="0" distR="0" wp14:anchorId="63E3178F" wp14:editId="6069FA6A">
            <wp:extent cx="4698569" cy="2488758"/>
            <wp:effectExtent l="0" t="0" r="6985" b="698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25036" cy="2502777"/>
                    </a:xfrm>
                    <a:prstGeom prst="rect">
                      <a:avLst/>
                    </a:prstGeom>
                  </pic:spPr>
                </pic:pic>
              </a:graphicData>
            </a:graphic>
          </wp:inline>
        </w:drawing>
      </w:r>
    </w:p>
    <w:p w14:paraId="7352EAE0" w14:textId="77777777" w:rsidR="009C3575" w:rsidRPr="003D6D6B" w:rsidRDefault="009C3575" w:rsidP="009C3575">
      <w:pPr>
        <w:spacing w:line="360" w:lineRule="auto"/>
        <w:jc w:val="center"/>
        <w:rPr>
          <w:rFonts w:ascii="Palatino Linotype" w:eastAsia="Palatino Linotype" w:hAnsi="Palatino Linotype" w:cs="Palatino Linotype"/>
          <w:sz w:val="22"/>
          <w:szCs w:val="22"/>
        </w:rPr>
      </w:pPr>
    </w:p>
    <w:p w14:paraId="2947A01B" w14:textId="393A7F22" w:rsidR="009C3575" w:rsidRPr="003D6D6B" w:rsidRDefault="009C3575" w:rsidP="00EE7FB2">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Como se logra advertir de lo anterior, los pasos proporcionados por el ente obligado remiten de manera general a los resultados de procedimientos de adjudicación directa, licitación pública e invitación restringida durante el ejercicio 2025; más no de manera específica los resultados de los procedimientos de adquisición de las obras </w:t>
      </w:r>
      <w:r w:rsidR="00132E18" w:rsidRPr="003D6D6B">
        <w:rPr>
          <w:rFonts w:ascii="Palatino Linotype" w:eastAsia="Palatino Linotype" w:hAnsi="Palatino Linotype" w:cs="Palatino Linotype"/>
          <w:sz w:val="22"/>
          <w:szCs w:val="22"/>
        </w:rPr>
        <w:t>públicas incluidas las multianuales, autorizadas en la Décima Segunda Sesión Ordinaria de Cabildo celebrada el 23 de abril de 2025,</w:t>
      </w:r>
      <w:r w:rsidR="00132E18" w:rsidRPr="003D6D6B">
        <w:rPr>
          <w:rFonts w:ascii="Palatino Linotype" w:eastAsia="Palatino Linotype" w:hAnsi="Palatino Linotype" w:cs="Palatino Linotype"/>
          <w:b/>
          <w:sz w:val="22"/>
          <w:szCs w:val="22"/>
        </w:rPr>
        <w:t xml:space="preserve"> </w:t>
      </w:r>
      <w:r w:rsidRPr="003D6D6B">
        <w:rPr>
          <w:rFonts w:ascii="Palatino Linotype" w:eastAsia="Palatino Linotype" w:hAnsi="Palatino Linotype" w:cs="Palatino Linotype"/>
          <w:sz w:val="22"/>
          <w:szCs w:val="22"/>
        </w:rPr>
        <w:t xml:space="preserve">donde el particular pudiera localizar la </w:t>
      </w:r>
      <w:r w:rsidR="00132E18" w:rsidRPr="003D6D6B">
        <w:rPr>
          <w:rFonts w:ascii="Palatino Linotype" w:eastAsia="Palatino Linotype" w:hAnsi="Palatino Linotype" w:cs="Palatino Linotype"/>
          <w:sz w:val="22"/>
          <w:szCs w:val="22"/>
        </w:rPr>
        <w:t>información que es de su interés, como el contrato, los documentos que den cuenta de los avances físicos y financieros y el fundamento legal que sustenta su contratación.</w:t>
      </w:r>
    </w:p>
    <w:p w14:paraId="01D41BC5" w14:textId="77777777" w:rsidR="009C3575" w:rsidRPr="003D6D6B" w:rsidRDefault="009C3575" w:rsidP="00EE7FB2">
      <w:pPr>
        <w:spacing w:line="360" w:lineRule="auto"/>
        <w:jc w:val="both"/>
        <w:rPr>
          <w:rFonts w:ascii="Palatino Linotype" w:eastAsia="Palatino Linotype" w:hAnsi="Palatino Linotype" w:cs="Palatino Linotype"/>
          <w:sz w:val="22"/>
          <w:szCs w:val="22"/>
        </w:rPr>
      </w:pPr>
    </w:p>
    <w:p w14:paraId="500A27F5" w14:textId="77777777" w:rsidR="00132E18" w:rsidRPr="003D6D6B" w:rsidRDefault="00132E18" w:rsidP="00132E18">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Por tanto, se considera que la respuesta no cumplió con lo dispuesto en el artículo 161 de la Ley de Transparencia Local, el cual establece las características que debe tener la información desde el momento en el que se genera, su publicación y entrega; así como el procedimiento a seguir por los Sujetos Obligados para informar a los solicitantes sobre información que se encuentre disponible en libros, compendios, formatos electrónicos, entre otros, haciéndole saber al solicitante como podrá consultar, reproducir o adquirir la información, en un plazo no mayor a cinco días hábiles, comprendiendo:</w:t>
      </w:r>
    </w:p>
    <w:p w14:paraId="30ABC1C3"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 La fuente </w:t>
      </w:r>
    </w:p>
    <w:p w14:paraId="483534EC"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b) El lugar y </w:t>
      </w:r>
    </w:p>
    <w:p w14:paraId="3C3C2ED5"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c) La forma</w:t>
      </w:r>
    </w:p>
    <w:p w14:paraId="6BDD66D6"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p>
    <w:p w14:paraId="27BF0832"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Asimismo, se establece que la fuente de la información deberá ser: </w:t>
      </w:r>
    </w:p>
    <w:p w14:paraId="66AA21BB"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 Precisa </w:t>
      </w:r>
    </w:p>
    <w:p w14:paraId="27DCEC49"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b) Concreta</w:t>
      </w:r>
    </w:p>
    <w:p w14:paraId="61616ED4"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c) Y no debe implicar que el solicitante realice una búsqueda en toda la información que se encuentre disponible.</w:t>
      </w:r>
    </w:p>
    <w:p w14:paraId="71E5B1B3" w14:textId="77777777" w:rsidR="00132E18" w:rsidRPr="003D6D6B" w:rsidRDefault="00132E18" w:rsidP="00132E18">
      <w:pPr>
        <w:spacing w:line="360" w:lineRule="auto"/>
        <w:ind w:right="49"/>
        <w:jc w:val="both"/>
        <w:rPr>
          <w:rFonts w:ascii="Palatino Linotype" w:eastAsia="Palatino Linotype" w:hAnsi="Palatino Linotype" w:cs="Palatino Linotype"/>
          <w:sz w:val="22"/>
          <w:szCs w:val="22"/>
        </w:rPr>
      </w:pPr>
    </w:p>
    <w:p w14:paraId="09CBC9DB" w14:textId="58725BAE" w:rsidR="00132E18" w:rsidRPr="003D6D6B" w:rsidRDefault="00132E18"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Por lo tanto, se estima que los motivos de inconformidad vertidos por la parte </w:t>
      </w:r>
      <w:r w:rsidRPr="003D6D6B">
        <w:rPr>
          <w:rFonts w:ascii="Palatino Linotype" w:eastAsia="Palatino Linotype" w:hAnsi="Palatino Linotype" w:cs="Palatino Linotype"/>
          <w:b/>
          <w:sz w:val="22"/>
          <w:szCs w:val="22"/>
        </w:rPr>
        <w:t xml:space="preserve">Recurrente </w:t>
      </w:r>
      <w:r w:rsidRPr="003D6D6B">
        <w:rPr>
          <w:rFonts w:ascii="Palatino Linotype" w:eastAsia="Palatino Linotype" w:hAnsi="Palatino Linotype" w:cs="Palatino Linotype"/>
          <w:sz w:val="22"/>
          <w:szCs w:val="22"/>
        </w:rPr>
        <w:t xml:space="preserve">devienen fundados, siendo procedente </w:t>
      </w:r>
      <w:r w:rsidRPr="003D6D6B">
        <w:rPr>
          <w:rFonts w:ascii="Palatino Linotype" w:eastAsia="Palatino Linotype" w:hAnsi="Palatino Linotype" w:cs="Palatino Linotype"/>
          <w:b/>
          <w:sz w:val="22"/>
          <w:szCs w:val="22"/>
        </w:rPr>
        <w:t xml:space="preserve">Revocar </w:t>
      </w:r>
      <w:r w:rsidRPr="003D6D6B">
        <w:rPr>
          <w:rFonts w:ascii="Palatino Linotype" w:eastAsia="Palatino Linotype" w:hAnsi="Palatino Linotype" w:cs="Palatino Linotype"/>
          <w:sz w:val="22"/>
          <w:szCs w:val="22"/>
        </w:rPr>
        <w:t xml:space="preserve">la respuesta y ordenar que en cumplimiento a la presente, se haga entrega, de ser procedente en versión pública, </w:t>
      </w:r>
      <w:r w:rsidRPr="003D6D6B">
        <w:rPr>
          <w:rFonts w:ascii="Palatino Linotype" w:eastAsia="Palatino Linotype" w:hAnsi="Palatino Linotype" w:cs="Palatino Linotype"/>
          <w:b/>
          <w:sz w:val="22"/>
          <w:szCs w:val="22"/>
        </w:rPr>
        <w:t>el documento donde conste o se advierta, respecto de las obras públicas, incluidas las multianuales, autorizadas en la Décima Segunda Sesión Ordinaria de Cabildo celebrada el 23 de abril de 2025,</w:t>
      </w:r>
      <w:r w:rsidRPr="003D6D6B">
        <w:rPr>
          <w:rFonts w:ascii="Palatino Linotype" w:eastAsia="Palatino Linotype" w:hAnsi="Palatino Linotype" w:cs="Palatino Linotype"/>
          <w:sz w:val="22"/>
          <w:szCs w:val="22"/>
        </w:rPr>
        <w:t xml:space="preserve"> lo siguiente:</w:t>
      </w:r>
    </w:p>
    <w:p w14:paraId="41E99A49"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p>
    <w:p w14:paraId="3A2E7E9F"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1.</w:t>
      </w:r>
      <w:r w:rsidRPr="003D6D6B">
        <w:rPr>
          <w:rFonts w:ascii="Palatino Linotype" w:eastAsia="Palatino Linotype" w:hAnsi="Palatino Linotype" w:cs="Palatino Linotype"/>
          <w:b/>
          <w:sz w:val="22"/>
          <w:szCs w:val="22"/>
        </w:rPr>
        <w:tab/>
        <w:t>Los documentos que den cuenta de los avances físicos y financieros,</w:t>
      </w:r>
    </w:p>
    <w:p w14:paraId="24BC5A34"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2.</w:t>
      </w:r>
      <w:r w:rsidRPr="003D6D6B">
        <w:rPr>
          <w:rFonts w:ascii="Palatino Linotype" w:eastAsia="Palatino Linotype" w:hAnsi="Palatino Linotype" w:cs="Palatino Linotype"/>
          <w:b/>
          <w:sz w:val="22"/>
          <w:szCs w:val="22"/>
        </w:rPr>
        <w:tab/>
        <w:t>Los contratos, y,</w:t>
      </w:r>
    </w:p>
    <w:p w14:paraId="13DF1571" w14:textId="68DD3875"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3.</w:t>
      </w:r>
      <w:r w:rsidRPr="003D6D6B">
        <w:rPr>
          <w:rFonts w:ascii="Palatino Linotype" w:eastAsia="Palatino Linotype" w:hAnsi="Palatino Linotype" w:cs="Palatino Linotype"/>
          <w:b/>
          <w:sz w:val="22"/>
          <w:szCs w:val="22"/>
        </w:rPr>
        <w:tab/>
        <w:t>El fundamento legal que sustenta su contratación.</w:t>
      </w:r>
    </w:p>
    <w:p w14:paraId="49735022" w14:textId="78B97384" w:rsidR="004B20A7" w:rsidRPr="003D6D6B" w:rsidRDefault="004B20A7" w:rsidP="004B20A7">
      <w:pPr>
        <w:spacing w:before="240" w:after="240" w:line="360" w:lineRule="auto"/>
        <w:ind w:right="51"/>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b/>
          <w:sz w:val="22"/>
          <w:szCs w:val="22"/>
          <w:lang w:eastAsia="en-US"/>
        </w:rPr>
        <w:t xml:space="preserve">Quinto. Versión Pública. </w:t>
      </w:r>
      <w:r w:rsidRPr="003D6D6B">
        <w:rPr>
          <w:rFonts w:ascii="Palatino Linotype" w:eastAsia="Palatino Linotype" w:hAnsi="Palatino Linotype" w:cs="Palatino Linotype"/>
          <w:sz w:val="22"/>
          <w:szCs w:val="22"/>
          <w:lang w:eastAsia="en-US"/>
        </w:rPr>
        <w:t>Como fue debidamente apuntado, el </w:t>
      </w:r>
      <w:r w:rsidRPr="003D6D6B">
        <w:rPr>
          <w:rFonts w:ascii="Palatino Linotype" w:eastAsia="Palatino Linotype" w:hAnsi="Palatino Linotype" w:cs="Palatino Linotype"/>
          <w:b/>
          <w:sz w:val="22"/>
          <w:szCs w:val="22"/>
          <w:lang w:eastAsia="en-US"/>
        </w:rPr>
        <w:t>Sujeto Obligado</w:t>
      </w:r>
      <w:r w:rsidRPr="003D6D6B">
        <w:rPr>
          <w:rFonts w:ascii="Palatino Linotype" w:eastAsia="Palatino Linotype" w:hAnsi="Palatino Linotype" w:cs="Palatino Linotype"/>
          <w:sz w:val="22"/>
          <w:szCs w:val="22"/>
          <w:lang w:eastAsia="en-US"/>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67D60E2D" w14:textId="77777777" w:rsidR="004B20A7" w:rsidRPr="003D6D6B" w:rsidRDefault="004B20A7" w:rsidP="004B20A7">
      <w:pPr>
        <w:spacing w:before="240" w:after="240" w:line="360" w:lineRule="auto"/>
        <w:ind w:right="49"/>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19EACEC8" w14:textId="77777777" w:rsidR="004B20A7" w:rsidRPr="003D6D6B" w:rsidRDefault="004B20A7" w:rsidP="004B20A7">
      <w:pPr>
        <w:spacing w:before="240" w:after="240" w:line="360" w:lineRule="auto"/>
        <w:ind w:right="49"/>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600BA0DA" w14:textId="77777777" w:rsidR="004B20A7" w:rsidRPr="003D6D6B" w:rsidRDefault="004B20A7" w:rsidP="004B20A7">
      <w:pPr>
        <w:spacing w:before="240" w:after="240" w:line="360" w:lineRule="auto"/>
        <w:ind w:right="49"/>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Al respecto, los artículos 3, fracciones IX, XX, XXI, XXXII, XLV; 6, 91, 132, 137, 143, fracción I, de la Ley de Transparencia y Acceso a la Información Pública del Estado de México y Municipios vigente establecen:</w:t>
      </w:r>
    </w:p>
    <w:p w14:paraId="3926AF00"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sz w:val="22"/>
          <w:szCs w:val="22"/>
          <w:lang w:eastAsia="en-US"/>
        </w:rPr>
        <w:t> </w:t>
      </w:r>
      <w:r w:rsidRPr="003D6D6B">
        <w:rPr>
          <w:rFonts w:ascii="Palatino Linotype" w:eastAsia="Palatino Linotype" w:hAnsi="Palatino Linotype" w:cs="Palatino Linotype"/>
          <w:i/>
          <w:sz w:val="22"/>
          <w:szCs w:val="22"/>
          <w:lang w:eastAsia="en-US"/>
        </w:rPr>
        <w:t>“</w:t>
      </w:r>
      <w:r w:rsidRPr="003D6D6B">
        <w:rPr>
          <w:rFonts w:ascii="Palatino Linotype" w:eastAsia="Palatino Linotype" w:hAnsi="Palatino Linotype" w:cs="Palatino Linotype"/>
          <w:b/>
          <w:i/>
          <w:sz w:val="22"/>
          <w:szCs w:val="22"/>
          <w:lang w:eastAsia="en-US"/>
        </w:rPr>
        <w:t>Artículo 3.</w:t>
      </w:r>
      <w:r w:rsidRPr="003D6D6B">
        <w:rPr>
          <w:rFonts w:ascii="Palatino Linotype" w:eastAsia="Palatino Linotype" w:hAnsi="Palatino Linotype" w:cs="Palatino Linotype"/>
          <w:i/>
          <w:sz w:val="22"/>
          <w:szCs w:val="22"/>
          <w:lang w:eastAsia="en-US"/>
        </w:rPr>
        <w:t xml:space="preserve"> Para los efectos de la presente Ley se entenderá por:</w:t>
      </w:r>
    </w:p>
    <w:p w14:paraId="1C146ABE"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p>
    <w:p w14:paraId="564FC966"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IX. Datos personales</w:t>
      </w:r>
      <w:r w:rsidRPr="003D6D6B">
        <w:rPr>
          <w:rFonts w:ascii="Palatino Linotype" w:eastAsia="Palatino Linotype" w:hAnsi="Palatino Linotype" w:cs="Palatino Linotype"/>
          <w:i/>
          <w:sz w:val="22"/>
          <w:szCs w:val="22"/>
          <w:lang w:eastAsia="en-US"/>
        </w:rPr>
        <w:t>: La información concerniente a una persona, identificada o identificable según lo dispuesto por la Ley de Protección de Datos Personales del Estado de México;</w:t>
      </w:r>
    </w:p>
    <w:p w14:paraId="4DEE27BE"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p>
    <w:p w14:paraId="44778E1F"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XX. Información clasificada</w:t>
      </w:r>
      <w:r w:rsidRPr="003D6D6B">
        <w:rPr>
          <w:rFonts w:ascii="Palatino Linotype" w:eastAsia="Palatino Linotype" w:hAnsi="Palatino Linotype" w:cs="Palatino Linotype"/>
          <w:i/>
          <w:sz w:val="22"/>
          <w:szCs w:val="22"/>
          <w:lang w:eastAsia="en-US"/>
        </w:rPr>
        <w:t>: Aquella considerada por la presente Ley como reservada o confidencial;</w:t>
      </w:r>
    </w:p>
    <w:p w14:paraId="39941CE5"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XXI. Información confidencial</w:t>
      </w:r>
      <w:r w:rsidRPr="003D6D6B">
        <w:rPr>
          <w:rFonts w:ascii="Palatino Linotype" w:eastAsia="Palatino Linotype" w:hAnsi="Palatino Linotype" w:cs="Palatino Linotype"/>
          <w:i/>
          <w:sz w:val="22"/>
          <w:szCs w:val="22"/>
          <w:lang w:eastAsia="en-US"/>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02254AAC"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p>
    <w:p w14:paraId="6BAE54EA"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XXXII. Protección de Datos Personales</w:t>
      </w:r>
      <w:r w:rsidRPr="003D6D6B">
        <w:rPr>
          <w:rFonts w:ascii="Palatino Linotype" w:eastAsia="Palatino Linotype" w:hAnsi="Palatino Linotype" w:cs="Palatino Linotype"/>
          <w:i/>
          <w:sz w:val="22"/>
          <w:szCs w:val="22"/>
          <w:lang w:eastAsia="en-US"/>
        </w:rPr>
        <w:t>: Derecho humano que tutela la privacidad de datos personales en poder de los sujetos obligados y sujetos particulares;</w:t>
      </w:r>
    </w:p>
    <w:p w14:paraId="19FC8A33"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p>
    <w:p w14:paraId="084E9462" w14:textId="77777777" w:rsidR="004B20A7" w:rsidRPr="003D6D6B" w:rsidRDefault="004B20A7" w:rsidP="004B20A7">
      <w:pPr>
        <w:tabs>
          <w:tab w:val="left" w:pos="1276"/>
        </w:tabs>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XLV. Versión pública</w:t>
      </w:r>
      <w:r w:rsidRPr="003D6D6B">
        <w:rPr>
          <w:rFonts w:ascii="Palatino Linotype" w:eastAsia="Palatino Linotype" w:hAnsi="Palatino Linotype" w:cs="Palatino Linotype"/>
          <w:i/>
          <w:sz w:val="22"/>
          <w:szCs w:val="22"/>
          <w:lang w:eastAsia="en-US"/>
        </w:rPr>
        <w:t>: Documento en el que se elimine, suprime o borra la información clasificada como reservada o confidencial para permitir su acceso.</w:t>
      </w:r>
    </w:p>
    <w:p w14:paraId="499F1C83"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 Artículo 6</w:t>
      </w:r>
      <w:r w:rsidRPr="003D6D6B">
        <w:rPr>
          <w:rFonts w:ascii="Palatino Linotype" w:eastAsia="Palatino Linotype" w:hAnsi="Palatino Linotype" w:cs="Palatino Linotype"/>
          <w:i/>
          <w:sz w:val="22"/>
          <w:szCs w:val="22"/>
          <w:lang w:eastAsia="en-US"/>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7815AE2B"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p>
    <w:p w14:paraId="72C7ACFE"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Artículo 91.</w:t>
      </w:r>
      <w:r w:rsidRPr="003D6D6B">
        <w:rPr>
          <w:rFonts w:ascii="Palatino Linotype" w:eastAsia="Palatino Linotype" w:hAnsi="Palatino Linotype" w:cs="Palatino Linotype"/>
          <w:i/>
          <w:sz w:val="22"/>
          <w:szCs w:val="22"/>
          <w:lang w:eastAsia="en-US"/>
        </w:rPr>
        <w:t xml:space="preserve"> El acceso a la información pública será restringido excepcionalmente, cuando ésta sea clasificada como reservada o confidencial.</w:t>
      </w:r>
      <w:r w:rsidRPr="003D6D6B">
        <w:rPr>
          <w:rFonts w:ascii="Palatino Linotype" w:eastAsia="Palatino Linotype" w:hAnsi="Palatino Linotype" w:cs="Palatino Linotype"/>
          <w:i/>
          <w:sz w:val="22"/>
          <w:szCs w:val="22"/>
          <w:lang w:eastAsia="en-US"/>
        </w:rPr>
        <w:br/>
        <w:t>…</w:t>
      </w:r>
    </w:p>
    <w:p w14:paraId="71447266"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Artículo 132.</w:t>
      </w:r>
      <w:r w:rsidRPr="003D6D6B">
        <w:rPr>
          <w:rFonts w:ascii="Palatino Linotype" w:eastAsia="Palatino Linotype" w:hAnsi="Palatino Linotype" w:cs="Palatino Linotype"/>
          <w:i/>
          <w:sz w:val="22"/>
          <w:szCs w:val="22"/>
          <w:lang w:eastAsia="en-US"/>
        </w:rPr>
        <w:t xml:space="preserve"> La clasificación de la información se llevará a cabo en el momento en que:</w:t>
      </w:r>
    </w:p>
    <w:p w14:paraId="69E5A312"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Se reciba una solicitud de acceso a la información;</w:t>
      </w:r>
    </w:p>
    <w:p w14:paraId="29ADD8A9"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w:t>
      </w:r>
      <w:r w:rsidRPr="003D6D6B">
        <w:rPr>
          <w:rFonts w:ascii="Palatino Linotype" w:eastAsia="Palatino Linotype" w:hAnsi="Palatino Linotype" w:cs="Palatino Linotype"/>
          <w:i/>
          <w:sz w:val="22"/>
          <w:szCs w:val="22"/>
          <w:lang w:eastAsia="en-US"/>
        </w:rPr>
        <w:t xml:space="preserve"> Se determine mediante resolución de autoridad competente; o</w:t>
      </w:r>
    </w:p>
    <w:p w14:paraId="0D5D8D2F"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III.</w:t>
      </w:r>
      <w:r w:rsidRPr="003D6D6B">
        <w:rPr>
          <w:rFonts w:ascii="Palatino Linotype" w:eastAsia="Palatino Linotype" w:hAnsi="Palatino Linotype" w:cs="Palatino Linotype"/>
          <w:i/>
          <w:sz w:val="22"/>
          <w:szCs w:val="22"/>
          <w:lang w:eastAsia="en-US"/>
        </w:rPr>
        <w:t xml:space="preserve"> Se generen versiones públicas para dar cumplimiento a las obligaciones de transparencia previstas en esta Ley.</w:t>
      </w:r>
    </w:p>
    <w:p w14:paraId="58FE09FB"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w:t>
      </w:r>
    </w:p>
    <w:p w14:paraId="24D1CE15"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Artículo 137.</w:t>
      </w:r>
      <w:r w:rsidRPr="003D6D6B">
        <w:rPr>
          <w:rFonts w:ascii="Palatino Linotype" w:eastAsia="Palatino Linotype" w:hAnsi="Palatino Linotype" w:cs="Palatino Linotype"/>
          <w:i/>
          <w:sz w:val="22"/>
          <w:szCs w:val="22"/>
          <w:lang w:eastAsia="en-US"/>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1FDBC4B0"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 Artículo 143.</w:t>
      </w:r>
      <w:r w:rsidRPr="003D6D6B">
        <w:rPr>
          <w:rFonts w:ascii="Palatino Linotype" w:eastAsia="Palatino Linotype" w:hAnsi="Palatino Linotype" w:cs="Palatino Linotype"/>
          <w:i/>
          <w:sz w:val="22"/>
          <w:szCs w:val="22"/>
          <w:lang w:eastAsia="en-US"/>
        </w:rPr>
        <w:t xml:space="preserve"> Para los efectos de esta Ley se considera información confidencial, la clasificada como tal, de manera permanente, por su naturaleza, cuando:</w:t>
      </w:r>
    </w:p>
    <w:p w14:paraId="4D154B3C" w14:textId="77777777" w:rsidR="004B20A7" w:rsidRPr="003D6D6B" w:rsidRDefault="004B20A7" w:rsidP="004B20A7">
      <w:pPr>
        <w:spacing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xml:space="preserve"> Se refiera a la información privada y los datos personales concernientes a una persona física o jurídico colectiva identificada o identificable...”</w:t>
      </w:r>
    </w:p>
    <w:p w14:paraId="44F41896" w14:textId="77777777" w:rsidR="004B20A7" w:rsidRPr="003D6D6B" w:rsidRDefault="004B20A7" w:rsidP="004B20A7">
      <w:pPr>
        <w:spacing w:before="240" w:after="240" w:line="360" w:lineRule="auto"/>
        <w:ind w:right="50"/>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3D6D6B">
        <w:rPr>
          <w:rFonts w:ascii="Palatino Linotype" w:eastAsia="Palatino Linotype" w:hAnsi="Palatino Linotype" w:cs="Palatino Linotype"/>
          <w:b/>
          <w:sz w:val="22"/>
          <w:szCs w:val="22"/>
          <w:lang w:eastAsia="en-US"/>
        </w:rPr>
        <w:t>Sujeto Obligado</w:t>
      </w:r>
      <w:r w:rsidRPr="003D6D6B">
        <w:rPr>
          <w:rFonts w:ascii="Palatino Linotype" w:eastAsia="Palatino Linotype" w:hAnsi="Palatino Linotype" w:cs="Palatino Linotype"/>
          <w:sz w:val="22"/>
          <w:szCs w:val="22"/>
          <w:lang w:eastAsia="en-US"/>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635FF986" w14:textId="77777777" w:rsidR="004B20A7" w:rsidRPr="003D6D6B" w:rsidRDefault="004B20A7" w:rsidP="004B20A7">
      <w:pPr>
        <w:spacing w:before="240" w:after="240" w:line="360" w:lineRule="auto"/>
        <w:ind w:right="50"/>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68E9F6CD" w14:textId="77777777" w:rsidR="00132E18" w:rsidRPr="003D6D6B" w:rsidRDefault="00132E18" w:rsidP="00132E18">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En el caso específico, la información solicitada puede contener datos susceptibles de clasificarse, que de hacerse públicos afectarían la intimidad y vida privada de particulares; que se ha reiterado en las resoluciones de este Pleno que además de los datos especificados en la Ley de Transparencia y Acceso a la Información Pública del Estado de México y Municipios, se consideran confidenciales cuyo acceso debe ser restringido, los cuales deben testarse al momento de la elaboración de versiones públicas, como pudieran ser de manera enunciativa más no limitativa, clave de elector, numero de OCR, CURP, el número de cuenta bancaria, que sean exclusivamente de particulares, entre otros.</w:t>
      </w:r>
    </w:p>
    <w:p w14:paraId="72AE031E" w14:textId="77777777" w:rsidR="00132E18" w:rsidRPr="003D6D6B" w:rsidRDefault="00132E18" w:rsidP="00132E18">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La </w:t>
      </w:r>
      <w:r w:rsidRPr="003D6D6B">
        <w:rPr>
          <w:rFonts w:ascii="Palatino Linotype" w:eastAsia="Palatino Linotype" w:hAnsi="Palatino Linotype" w:cs="Palatino Linotype"/>
          <w:b/>
          <w:sz w:val="22"/>
          <w:szCs w:val="22"/>
        </w:rPr>
        <w:t>clave de elector</w:t>
      </w:r>
      <w:r w:rsidRPr="003D6D6B">
        <w:rPr>
          <w:rFonts w:ascii="Palatino Linotype" w:eastAsia="Palatino Linotype" w:hAnsi="Palatino Linotype" w:cs="Palatino Linotype"/>
          <w:sz w:val="22"/>
          <w:szCs w:val="22"/>
        </w:rPr>
        <w:t>, es la composición alfanumérica compuesta de 18 caracteres, mismos que hacen identificable a una persona física, que se conforma por las primeras letras de los apellidos, año, mes, día, sexo, clave del estado en donde nació su titular, así como una homoclave que distingue a su titular de cualquier otro homónimo, por lo tanto, se trata de un dato personal que debe ser protegido.</w:t>
      </w:r>
    </w:p>
    <w:p w14:paraId="18BA7E47" w14:textId="77777777" w:rsidR="00132E18" w:rsidRPr="003D6D6B" w:rsidRDefault="00132E18" w:rsidP="00132E18">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El </w:t>
      </w:r>
      <w:r w:rsidRPr="003D6D6B">
        <w:rPr>
          <w:rFonts w:ascii="Palatino Linotype" w:eastAsia="Palatino Linotype" w:hAnsi="Palatino Linotype" w:cs="Palatino Linotype"/>
          <w:b/>
          <w:sz w:val="22"/>
          <w:szCs w:val="22"/>
        </w:rPr>
        <w:t>número de OCR,</w:t>
      </w:r>
      <w:r w:rsidRPr="003D6D6B">
        <w:rPr>
          <w:rFonts w:ascii="Palatino Linotype" w:eastAsia="Palatino Linotype" w:hAnsi="Palatino Linotype" w:cs="Palatino Linotype"/>
          <w:sz w:val="22"/>
          <w:szCs w:val="22"/>
        </w:rPr>
        <w:t xml:space="preserve"> denominado Reconocimiento Óptico de Caracteres (OCR), contiene el número de la sección electoral en donde vota el ciudadano titular de dicho documento, por lo que constituye un dato personal en razón de que revela información concerniente a una persona física identificada o identificable en función de la información geoelectoral ahí contenida, por lo que es susceptible de resguardarse.</w:t>
      </w:r>
    </w:p>
    <w:p w14:paraId="458B1E51" w14:textId="77777777" w:rsidR="00132E18" w:rsidRPr="003D6D6B" w:rsidRDefault="00132E18" w:rsidP="00132E18">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La </w:t>
      </w:r>
      <w:r w:rsidRPr="003D6D6B">
        <w:rPr>
          <w:rFonts w:ascii="Palatino Linotype" w:eastAsia="Palatino Linotype" w:hAnsi="Palatino Linotype" w:cs="Palatino Linotype"/>
          <w:b/>
          <w:sz w:val="22"/>
          <w:szCs w:val="22"/>
        </w:rPr>
        <w:t>clave única del registro de población,</w:t>
      </w:r>
      <w:r w:rsidRPr="003D6D6B">
        <w:rPr>
          <w:rFonts w:ascii="Palatino Linotype" w:eastAsia="Palatino Linotype" w:hAnsi="Palatino Linotype" w:cs="Palatino Linotype"/>
          <w:i/>
          <w:sz w:val="22"/>
          <w:szCs w:val="22"/>
        </w:rPr>
        <w:t xml:space="preserve"> </w:t>
      </w:r>
      <w:r w:rsidRPr="003D6D6B">
        <w:rPr>
          <w:rFonts w:ascii="Palatino Linotype" w:eastAsia="Palatino Linotype" w:hAnsi="Palatino Linotype" w:cs="Palatino Linotype"/>
          <w:sz w:val="22"/>
          <w:szCs w:val="22"/>
        </w:rPr>
        <w:t>se integra por datos personales que sólo conciernen al particular titular de la misma, como lo son su nombre, apellidos, fecha de nacimiento, lugar de nacimiento y sexo. Dichos datos, constituyen información que distingue plenamente a una persona física del resto de los habitantes del país, por lo está considerada como información confidencial.</w:t>
      </w:r>
    </w:p>
    <w:p w14:paraId="0516EFEE"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Igualmente, resulta importante destacar que el </w:t>
      </w:r>
      <w:r w:rsidRPr="003D6D6B">
        <w:rPr>
          <w:rFonts w:ascii="Palatino Linotype" w:eastAsia="Palatino Linotype" w:hAnsi="Palatino Linotype" w:cs="Palatino Linotype"/>
          <w:i/>
          <w:sz w:val="22"/>
          <w:szCs w:val="22"/>
        </w:rPr>
        <w:t>número de cuenta bancaria</w:t>
      </w:r>
      <w:r w:rsidRPr="003D6D6B">
        <w:rPr>
          <w:rFonts w:ascii="Palatino Linotype" w:eastAsia="Palatino Linotype" w:hAnsi="Palatino Linotype" w:cs="Palatino Linotype"/>
          <w:sz w:val="22"/>
          <w:szCs w:val="22"/>
        </w:rPr>
        <w:t xml:space="preserve"> de las personas físicas es información que sólo su titular o personas autorizadas poseen para el acceso o consulta de información patrimonial, o para la realización de operaciones bancarias de diversa naturaleza, por lo que la difusión pública del mismo facilitaría la afectación al patrimonio del titular de la cuenta.</w:t>
      </w:r>
    </w:p>
    <w:p w14:paraId="5BFF4384"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Por lo anterior, el número de cuenta bancaria debe ser clasificado como confidencial con fundamento en las fracciones I y II del artículo 143 de la Ley de la Materia de la Entidad; en razón de que, con su difusión se estaría poniendo en riesgo la seguridad de su titular.</w:t>
      </w:r>
    </w:p>
    <w:p w14:paraId="6ACE18C9"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Además de que, la publicidad de los números de cuenta bancaria de los particulares en nada contribuye a la rendición de cuentas, sino por el contrario, dar a conocer los números de las cuentas bancarias hace vulnerable a las personas físicas, al abrir la posibilidad de que terceros que cuenten con las posibilidades tecnológicas y/o económicas puedan realizar actos ilícitos mediante operaciones cibernéticas; en esa virtud, este Instituto determina que dicha información no puede ser del dominio público, toda vez que se podría dar un uso inadecuado a la misma o cometer algún ilícito o fraude en contra del patrimonio de los particulares. </w:t>
      </w:r>
    </w:p>
    <w:p w14:paraId="7F99BE31"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En esa virtud, este Pleno determina que dicha información no puede ser del dominio público, toda vez que se podría dar un uso inadecuado a la misma o cometer algún ilícito o fraude como ya ha sido expuesto. </w:t>
      </w:r>
    </w:p>
    <w:p w14:paraId="482262A6"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Es por esta razón que se debe omitir el o los números de cuentas bancarias de particulares en las versiones públicas que de las facturas se hagan, para ser entregadas.</w:t>
      </w:r>
    </w:p>
    <w:p w14:paraId="6A2F5617"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Lo anterior, no es así tratándose de las cuentas bancarias o claves interbancarias de los Sujetos Obligados ya que su publicidad cede a la rendición de cuentas al transparentar la forma en que son administrados los recursos públicos.</w:t>
      </w:r>
    </w:p>
    <w:p w14:paraId="35069DC0"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Lo argumentado encuentra sustento en los criterios orientadores 10/17 y 11/17 emitidos por el entonces Instituto Nacional de Transparencia, Acceso a la Información y Protección de Datos Personales, INAI, que llevan por rubro y texto los siguientes:</w:t>
      </w:r>
    </w:p>
    <w:p w14:paraId="59DEB015" w14:textId="77777777" w:rsidR="00132E18" w:rsidRPr="003D6D6B" w:rsidRDefault="00132E18" w:rsidP="00132E18">
      <w:pPr>
        <w:spacing w:before="240" w:after="240"/>
        <w:ind w:left="851" w:right="902"/>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b/>
          <w:i/>
          <w:sz w:val="22"/>
          <w:szCs w:val="22"/>
        </w:rPr>
        <w:t>“Cuentas bancarias y/o CLABE interbancaria de personas físicas y morales privadas.</w:t>
      </w:r>
      <w:r w:rsidRPr="003D6D6B">
        <w:rPr>
          <w:rFonts w:ascii="Palatino Linotype" w:eastAsia="Palatino Linotype" w:hAnsi="Palatino Linotype" w:cs="Palatino Linotype"/>
          <w:i/>
          <w:sz w:val="22"/>
          <w:szCs w:val="22"/>
        </w:rPr>
        <w:t> El número de cuenta bancaria y/o CLABE interbancaria de particulares es información confidencial, al tratarse de un conjunto de caracteres numéricos utilizados por los grupos financieros para identificar las cuentas de sus clientes, a través de los cuales se puede acceder a información relacionada con su patrimonio y realizar diversas transacciones; por tanto, constituye información clasificada con fundamento en los artículos 116 de la Ley General de Transparencia y Acceso a la Información Pública y 113 de la Ley Federal de Transparencia y Acceso a la Información Pública.</w:t>
      </w:r>
    </w:p>
    <w:p w14:paraId="4F15ED98" w14:textId="77777777" w:rsidR="00132E18" w:rsidRPr="003D6D6B" w:rsidRDefault="00132E18" w:rsidP="00132E18">
      <w:pPr>
        <w:spacing w:before="240" w:after="240"/>
        <w:ind w:left="851" w:right="902"/>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b/>
          <w:i/>
          <w:sz w:val="22"/>
          <w:szCs w:val="22"/>
        </w:rPr>
        <w:t>Cuentas bancarias y/o CLABE interbancaria de sujetos obligados que reciben y/o transfieren recursos públicos, son información pública</w:t>
      </w:r>
      <w:r w:rsidRPr="003D6D6B">
        <w:rPr>
          <w:rFonts w:ascii="Palatino Linotype" w:eastAsia="Palatino Linotype" w:hAnsi="Palatino Linotype" w:cs="Palatino Linotype"/>
          <w:i/>
          <w:sz w:val="22"/>
          <w:szCs w:val="22"/>
        </w:rPr>
        <w:t>. La difusión de las cuentas bancarias y claves interbancarias pertenecientes a un sujeto obligado favorece la rendición de cuentas al transparentar la forma en que se administran los recursos públicos, razón por la cual no pueden considerarse como información clasificada.”</w:t>
      </w:r>
    </w:p>
    <w:p w14:paraId="1748C380"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Por cuanto hace al </w:t>
      </w:r>
      <w:r w:rsidRPr="003D6D6B">
        <w:rPr>
          <w:rFonts w:ascii="Palatino Linotype" w:eastAsia="Palatino Linotype" w:hAnsi="Palatino Linotype" w:cs="Palatino Linotype"/>
          <w:b/>
          <w:sz w:val="22"/>
          <w:szCs w:val="22"/>
        </w:rPr>
        <w:t xml:space="preserve">Registro Federal de Contribuyentes (RFC) </w:t>
      </w:r>
      <w:r w:rsidRPr="003D6D6B">
        <w:rPr>
          <w:rFonts w:ascii="Palatino Linotype" w:eastAsia="Palatino Linotype" w:hAnsi="Palatino Linotype" w:cs="Palatino Linotype"/>
          <w:sz w:val="22"/>
          <w:szCs w:val="22"/>
        </w:rPr>
        <w:t>y</w:t>
      </w:r>
      <w:r w:rsidRPr="003D6D6B">
        <w:rPr>
          <w:rFonts w:ascii="Palatino Linotype" w:eastAsia="Palatino Linotype" w:hAnsi="Palatino Linotype" w:cs="Palatino Linotype"/>
          <w:b/>
          <w:sz w:val="22"/>
          <w:szCs w:val="22"/>
        </w:rPr>
        <w:t xml:space="preserve"> el domicilio fiscal </w:t>
      </w:r>
      <w:r w:rsidRPr="003D6D6B">
        <w:rPr>
          <w:rFonts w:ascii="Palatino Linotype" w:eastAsia="Palatino Linotype" w:hAnsi="Palatino Linotype" w:cs="Palatino Linotype"/>
          <w:sz w:val="22"/>
          <w:szCs w:val="22"/>
        </w:rPr>
        <w:t>si bien este Instituto ha sostenido que el RFC y domicilio de las personas físicas debe ser testado por los Sujetos Obligados, en las versiones públicas de los documentos que elaboren para atender las solicitudes de información pública, lo cierto es que, tratándose de proveedores, prestadores de servicios o contratistas, dichos datos no deben ser suprimidos de las facturas y contratos que vayan a ser entregados.</w:t>
      </w:r>
    </w:p>
    <w:p w14:paraId="5D80D2D3"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Ello se debe a que, del ejercicio de ponderación entre el derecho a la protección de datos personales con el derecho de acceso a la información pública, es de mayor trascendencia el que cualquier persona pueda conocer en qué se gastan los recursos públicos, puesto que se trata de erogaciones que realiza un órgano del Estado con base en los recursos que encuentran su origen en mayor medida en las contribuciones aportados por los gobernados, por lo que debe transparentarse su ejercicio.</w:t>
      </w:r>
    </w:p>
    <w:p w14:paraId="3224D3E0"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Además, las personas físicas que realicen las actividades contratadas por las instituciones, renuncian implícitamente a una parte de su derecho a la intimidad al obtener beneficios y lucros de los recursos públicos por dicha contratación, por lo que </w:t>
      </w:r>
      <w:r w:rsidRPr="003D6D6B">
        <w:rPr>
          <w:rFonts w:ascii="Palatino Linotype" w:eastAsia="Palatino Linotype" w:hAnsi="Palatino Linotype" w:cs="Palatino Linotype"/>
          <w:b/>
          <w:sz w:val="22"/>
          <w:szCs w:val="22"/>
        </w:rPr>
        <w:t>no puede considerarse como información clasificada lo relativo a su nombre, registro federal de contribuyentes y domicilio fiscal</w:t>
      </w:r>
      <w:r w:rsidRPr="003D6D6B">
        <w:rPr>
          <w:rFonts w:ascii="Palatino Linotype" w:eastAsia="Palatino Linotype" w:hAnsi="Palatino Linotype" w:cs="Palatino Linotype"/>
          <w:sz w:val="22"/>
          <w:szCs w:val="22"/>
        </w:rPr>
        <w:t>, atento a que dicha información es la que puede generar certeza en los gobernados en que se está ejerciendo debidamente el presupuesto.</w:t>
      </w:r>
    </w:p>
    <w:p w14:paraId="49E10F71" w14:textId="77777777" w:rsidR="00132E18" w:rsidRPr="003D6D6B" w:rsidRDefault="00132E18" w:rsidP="00132E18">
      <w:pPr>
        <w:spacing w:before="240" w:after="24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Robustece lo anterior el criterio orientador 04/21 emitido por el entonces Instituto Nacional de Transparencia, Acceso a la Información y Protección de Datos Personales, INAI, el cual refiere:</w:t>
      </w:r>
    </w:p>
    <w:p w14:paraId="5A1A3E70" w14:textId="77777777" w:rsidR="00132E18" w:rsidRPr="003D6D6B" w:rsidRDefault="00132E18" w:rsidP="00132E18">
      <w:pPr>
        <w:spacing w:before="120" w:after="120"/>
        <w:ind w:left="851" w:right="902"/>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b/>
          <w:i/>
          <w:sz w:val="22"/>
          <w:szCs w:val="22"/>
        </w:rPr>
        <w:t xml:space="preserve">“Registro Federal de Contribuyentes (RFC) de personas físicas proveedoras o contratistas. </w:t>
      </w:r>
      <w:r w:rsidRPr="003D6D6B">
        <w:rPr>
          <w:rFonts w:ascii="Palatino Linotype" w:eastAsia="Palatino Linotype" w:hAnsi="Palatino Linotype" w:cs="Palatino Linotype"/>
          <w:i/>
          <w:sz w:val="22"/>
          <w:szCs w:val="22"/>
        </w:rPr>
        <w:t>El RFC de contratistas o proveedores de los sujetos obligados debe ser público, ya que al tratarse de personas con contrataciones públicas, su difusión favorece la transparencia con la que deben administrarse los recursos públicos, en términos del artículo 134 de la Constitución Política de los Estados Unidos Mexicanos.”</w:t>
      </w:r>
    </w:p>
    <w:p w14:paraId="3BDA271A"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 xml:space="preserve">Relacionado con lo anterior, el </w:t>
      </w:r>
      <w:r w:rsidRPr="003D6D6B">
        <w:rPr>
          <w:rFonts w:ascii="Palatino Linotype" w:eastAsia="Palatino Linotype" w:hAnsi="Palatino Linotype" w:cs="Palatino Linotype"/>
          <w:b/>
          <w:sz w:val="22"/>
          <w:szCs w:val="22"/>
        </w:rPr>
        <w:t>nombre de las personas físicas</w:t>
      </w:r>
      <w:r w:rsidRPr="003D6D6B">
        <w:rPr>
          <w:rFonts w:ascii="Palatino Linotype" w:eastAsia="Palatino Linotype" w:hAnsi="Palatino Linotype" w:cs="Palatino Linotype"/>
          <w:sz w:val="22"/>
          <w:szCs w:val="22"/>
        </w:rPr>
        <w:t xml:space="preserve"> o los </w:t>
      </w:r>
      <w:r w:rsidRPr="003D6D6B">
        <w:rPr>
          <w:rFonts w:ascii="Palatino Linotype" w:eastAsia="Palatino Linotype" w:hAnsi="Palatino Linotype" w:cs="Palatino Linotype"/>
          <w:b/>
          <w:sz w:val="22"/>
          <w:szCs w:val="22"/>
        </w:rPr>
        <w:t>representantes legales de las personas morales</w:t>
      </w:r>
      <w:r w:rsidRPr="003D6D6B">
        <w:rPr>
          <w:rFonts w:ascii="Palatino Linotype" w:eastAsia="Palatino Linotype" w:hAnsi="Palatino Linotype" w:cs="Palatino Linotype"/>
          <w:sz w:val="22"/>
          <w:szCs w:val="22"/>
        </w:rPr>
        <w:t>, en su calidad de proveedores, contratistas o prestadores de servicios, y la firma y rúbrica de estos, que participen en algún  proceso de adjudicación en cualquiera de sus modalidades, debe mencionarse que con base en el artículo 23 párrafo segundo y 24 fracción XVIII  de la Ley de Transparencia y Acceso a la Información Pública del Estado de México y Municipios, los entes públicos tienen la obligación de difundir toda aquella información relativa a los montos y las personas a quienes entreguen, por cualquier motivo, recursos públicos, así como los informes que dichas personas entreguen sobre el uso y destino de dichos recursos, motivo por el cual los datos del representante legal de la persona moral que resultó favorecida con el procedimiento de licitación no conservan el carácter de confidencial y por tanto no deben ser testados.</w:t>
      </w:r>
    </w:p>
    <w:p w14:paraId="3B1AF72C" w14:textId="77777777" w:rsidR="00132E18" w:rsidRPr="003D6D6B" w:rsidRDefault="00132E18" w:rsidP="00132E18">
      <w:pPr>
        <w:spacing w:before="240" w:after="240" w:line="360" w:lineRule="auto"/>
        <w:ind w:right="50"/>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Argumentación que guarda sustento en lo estipulado por el artículo 23 de la Ley de Transparencia y Acceso a la Información Pública del Estado de México y Municipios en su penúltimo párrafo, mismo que es del tenor literal siguiente:</w:t>
      </w:r>
    </w:p>
    <w:p w14:paraId="14892DF3" w14:textId="77777777" w:rsidR="00132E18" w:rsidRPr="003D6D6B" w:rsidRDefault="00132E18" w:rsidP="00132E18">
      <w:pPr>
        <w:spacing w:before="120" w:after="120"/>
        <w:ind w:left="851" w:right="902"/>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w:t>
      </w:r>
      <w:r w:rsidRPr="003D6D6B">
        <w:rPr>
          <w:rFonts w:ascii="Palatino Linotype" w:eastAsia="Palatino Linotype" w:hAnsi="Palatino Linotype" w:cs="Palatino Linotype"/>
          <w:b/>
          <w:i/>
          <w:sz w:val="22"/>
          <w:szCs w:val="22"/>
        </w:rPr>
        <w:t>Artículo 23.</w:t>
      </w:r>
      <w:r w:rsidRPr="003D6D6B">
        <w:rPr>
          <w:rFonts w:ascii="Palatino Linotype" w:eastAsia="Palatino Linotype" w:hAnsi="Palatino Linotype" w:cs="Palatino Linotype"/>
          <w:i/>
          <w:sz w:val="22"/>
          <w:szCs w:val="22"/>
        </w:rPr>
        <w:t xml:space="preserve"> (…)</w:t>
      </w:r>
    </w:p>
    <w:p w14:paraId="6DB48A62" w14:textId="77777777" w:rsidR="00132E18" w:rsidRPr="003D6D6B" w:rsidRDefault="00132E18" w:rsidP="00132E18">
      <w:pPr>
        <w:spacing w:before="120" w:after="120"/>
        <w:ind w:left="851" w:right="902"/>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422DB9E7" w14:textId="77777777" w:rsidR="00132E18" w:rsidRPr="003D6D6B" w:rsidRDefault="00132E18" w:rsidP="00132E18">
      <w:pPr>
        <w:spacing w:before="280" w:after="280"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Asimismo, resulta aplicable el contenido del criterio orientador 01/19 emitido por el entonces Instituto Nacional de Transparencia, Acceso a la Información, y Protección de Datos Personales, INAI, que lleva por rubro y texto los siguientes;</w:t>
      </w:r>
    </w:p>
    <w:p w14:paraId="6F41A6C3" w14:textId="77777777" w:rsidR="00132E18" w:rsidRPr="003D6D6B" w:rsidRDefault="00132E18" w:rsidP="00132E18">
      <w:pPr>
        <w:spacing w:before="120" w:after="120"/>
        <w:ind w:left="851" w:right="902"/>
        <w:jc w:val="both"/>
        <w:rPr>
          <w:rFonts w:ascii="Palatino Linotype" w:eastAsia="Palatino Linotype" w:hAnsi="Palatino Linotype" w:cs="Palatino Linotype"/>
          <w:i/>
          <w:sz w:val="22"/>
          <w:szCs w:val="22"/>
        </w:rPr>
      </w:pPr>
      <w:r w:rsidRPr="003D6D6B">
        <w:rPr>
          <w:rFonts w:ascii="Palatino Linotype" w:eastAsia="Palatino Linotype" w:hAnsi="Palatino Linotype" w:cs="Palatino Linotype"/>
          <w:b/>
          <w:i/>
          <w:sz w:val="22"/>
          <w:szCs w:val="22"/>
        </w:rPr>
        <w:t>“Datos de identificación del representante o apoderado legal.</w:t>
      </w:r>
      <w:r w:rsidRPr="003D6D6B">
        <w:rPr>
          <w:rFonts w:ascii="Palatino Linotype" w:eastAsia="Palatino Linotype" w:hAnsi="Palatino Linotype" w:cs="Palatino Linotype"/>
          <w:i/>
          <w:sz w:val="22"/>
          <w:szCs w:val="22"/>
        </w:rPr>
        <w:t xml:space="preserve"> </w:t>
      </w:r>
      <w:r w:rsidRPr="003D6D6B">
        <w:rPr>
          <w:rFonts w:ascii="Palatino Linotype" w:eastAsia="Palatino Linotype" w:hAnsi="Palatino Linotype" w:cs="Palatino Linotype"/>
          <w:b/>
          <w:i/>
          <w:sz w:val="22"/>
          <w:szCs w:val="22"/>
        </w:rPr>
        <w:t xml:space="preserve">Naturaleza jurídica. </w:t>
      </w:r>
      <w:r w:rsidRPr="003D6D6B">
        <w:rPr>
          <w:rFonts w:ascii="Palatino Linotype" w:eastAsia="Palatino Linotype" w:hAnsi="Palatino Linotype" w:cs="Palatino Linotype"/>
          <w:i/>
          <w:sz w:val="22"/>
          <w:szCs w:val="22"/>
        </w:rPr>
        <w:t xml:space="preserve">El nombre, la firma y la rúbrica de una persona física, que actúe como representante o apoderado legal de un tercero que haya celebrado un acto jurídico, con algún sujeto obligado, </w:t>
      </w:r>
      <w:r w:rsidRPr="003D6D6B">
        <w:rPr>
          <w:rFonts w:ascii="Palatino Linotype" w:eastAsia="Palatino Linotype" w:hAnsi="Palatino Linotype" w:cs="Palatino Linotype"/>
          <w:b/>
          <w:i/>
          <w:sz w:val="22"/>
          <w:szCs w:val="22"/>
        </w:rPr>
        <w:t>es información pública, en razón de que tales datos fueron proporcionados con el objeto de expresar el consentimiento obligacional del tercero y otorgar validez a dicho instrumento jurídico</w:t>
      </w:r>
      <w:r w:rsidRPr="003D6D6B">
        <w:rPr>
          <w:rFonts w:ascii="Palatino Linotype" w:eastAsia="Palatino Linotype" w:hAnsi="Palatino Linotype" w:cs="Palatino Linotype"/>
          <w:i/>
          <w:sz w:val="22"/>
          <w:szCs w:val="22"/>
        </w:rPr>
        <w:t>.”</w:t>
      </w:r>
    </w:p>
    <w:p w14:paraId="03353858" w14:textId="77777777" w:rsidR="004B20A7" w:rsidRPr="003D6D6B" w:rsidRDefault="004B20A7" w:rsidP="004B20A7">
      <w:pPr>
        <w:spacing w:before="240" w:after="240" w:line="360" w:lineRule="auto"/>
        <w:ind w:right="50"/>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2BBF4137"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“Artículo 49.</w:t>
      </w: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Los Comités de Transparencia</w:t>
      </w:r>
      <w:r w:rsidRPr="003D6D6B">
        <w:rPr>
          <w:rFonts w:ascii="Palatino Linotype" w:eastAsia="Palatino Linotype" w:hAnsi="Palatino Linotype" w:cs="Palatino Linotype"/>
          <w:i/>
          <w:sz w:val="22"/>
          <w:szCs w:val="22"/>
          <w:lang w:eastAsia="en-US"/>
        </w:rPr>
        <w:t xml:space="preserve"> tendrán las siguientes atribuciones:</w:t>
      </w:r>
    </w:p>
    <w:p w14:paraId="6335AC21"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VIII. Aprobar, modificar o revocar la clasificación de la información</w:t>
      </w:r>
      <w:r w:rsidRPr="003D6D6B">
        <w:rPr>
          <w:rFonts w:ascii="Palatino Linotype" w:eastAsia="Palatino Linotype" w:hAnsi="Palatino Linotype" w:cs="Palatino Linotype"/>
          <w:i/>
          <w:sz w:val="22"/>
          <w:szCs w:val="22"/>
          <w:lang w:eastAsia="en-US"/>
        </w:rPr>
        <w:t>…”</w:t>
      </w:r>
    </w:p>
    <w:p w14:paraId="1D1953F8"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r w:rsidRPr="003D6D6B">
        <w:rPr>
          <w:rFonts w:ascii="Palatino Linotype" w:eastAsia="Palatino Linotype" w:hAnsi="Palatino Linotype" w:cs="Palatino Linotype"/>
          <w:b/>
          <w:i/>
          <w:sz w:val="22"/>
          <w:szCs w:val="22"/>
          <w:lang w:eastAsia="en-US"/>
        </w:rPr>
        <w:t>Artículo 53.</w:t>
      </w:r>
      <w:r w:rsidRPr="003D6D6B">
        <w:rPr>
          <w:rFonts w:ascii="Palatino Linotype" w:eastAsia="Palatino Linotype" w:hAnsi="Palatino Linotype" w:cs="Palatino Linotype"/>
          <w:i/>
          <w:sz w:val="22"/>
          <w:szCs w:val="22"/>
          <w:lang w:eastAsia="en-US"/>
        </w:rPr>
        <w:t xml:space="preserve"> Las </w:t>
      </w:r>
      <w:r w:rsidRPr="003D6D6B">
        <w:rPr>
          <w:rFonts w:ascii="Palatino Linotype" w:eastAsia="Palatino Linotype" w:hAnsi="Palatino Linotype" w:cs="Palatino Linotype"/>
          <w:b/>
          <w:i/>
          <w:sz w:val="22"/>
          <w:szCs w:val="22"/>
          <w:lang w:eastAsia="en-US"/>
        </w:rPr>
        <w:t>Unidades de Transparencia</w:t>
      </w:r>
      <w:r w:rsidRPr="003D6D6B">
        <w:rPr>
          <w:rFonts w:ascii="Palatino Linotype" w:eastAsia="Palatino Linotype" w:hAnsi="Palatino Linotype" w:cs="Palatino Linotype"/>
          <w:i/>
          <w:sz w:val="22"/>
          <w:szCs w:val="22"/>
          <w:lang w:eastAsia="en-US"/>
        </w:rPr>
        <w:t xml:space="preserve"> tendrán las siguientes </w:t>
      </w:r>
      <w:r w:rsidRPr="003D6D6B">
        <w:rPr>
          <w:rFonts w:ascii="Palatino Linotype" w:eastAsia="Palatino Linotype" w:hAnsi="Palatino Linotype" w:cs="Palatino Linotype"/>
          <w:b/>
          <w:i/>
          <w:sz w:val="22"/>
          <w:szCs w:val="22"/>
          <w:lang w:eastAsia="en-US"/>
        </w:rPr>
        <w:t>funciones</w:t>
      </w:r>
      <w:r w:rsidRPr="003D6D6B">
        <w:rPr>
          <w:rFonts w:ascii="Palatino Linotype" w:eastAsia="Palatino Linotype" w:hAnsi="Palatino Linotype" w:cs="Palatino Linotype"/>
          <w:i/>
          <w:sz w:val="22"/>
          <w:szCs w:val="22"/>
          <w:lang w:eastAsia="en-US"/>
        </w:rPr>
        <w:t>:</w:t>
      </w:r>
    </w:p>
    <w:p w14:paraId="6FB70CBC"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X. Presentar ante el Comité, el proyecto de clasificación de información</w:t>
      </w:r>
      <w:r w:rsidRPr="003D6D6B">
        <w:rPr>
          <w:rFonts w:ascii="Palatino Linotype" w:eastAsia="Palatino Linotype" w:hAnsi="Palatino Linotype" w:cs="Palatino Linotype"/>
          <w:i/>
          <w:sz w:val="22"/>
          <w:szCs w:val="22"/>
          <w:lang w:eastAsia="en-US"/>
        </w:rPr>
        <w:t xml:space="preserve">…” </w:t>
      </w:r>
    </w:p>
    <w:p w14:paraId="5C70789D"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“Artículo 59.</w:t>
      </w:r>
      <w:r w:rsidRPr="003D6D6B">
        <w:rPr>
          <w:rFonts w:ascii="Palatino Linotype" w:eastAsia="Palatino Linotype" w:hAnsi="Palatino Linotype" w:cs="Palatino Linotype"/>
          <w:i/>
          <w:sz w:val="22"/>
          <w:szCs w:val="22"/>
          <w:lang w:eastAsia="en-US"/>
        </w:rPr>
        <w:t xml:space="preserve"> Los </w:t>
      </w:r>
      <w:r w:rsidRPr="003D6D6B">
        <w:rPr>
          <w:rFonts w:ascii="Palatino Linotype" w:eastAsia="Palatino Linotype" w:hAnsi="Palatino Linotype" w:cs="Palatino Linotype"/>
          <w:b/>
          <w:i/>
          <w:sz w:val="22"/>
          <w:szCs w:val="22"/>
          <w:lang w:eastAsia="en-US"/>
        </w:rPr>
        <w:t>servidores públicos habilitados</w:t>
      </w:r>
      <w:r w:rsidRPr="003D6D6B">
        <w:rPr>
          <w:rFonts w:ascii="Palatino Linotype" w:eastAsia="Palatino Linotype" w:hAnsi="Palatino Linotype" w:cs="Palatino Linotype"/>
          <w:i/>
          <w:sz w:val="22"/>
          <w:szCs w:val="22"/>
          <w:lang w:eastAsia="en-US"/>
        </w:rPr>
        <w:t xml:space="preserve"> tendrán las </w:t>
      </w:r>
      <w:r w:rsidRPr="003D6D6B">
        <w:rPr>
          <w:rFonts w:ascii="Palatino Linotype" w:eastAsia="Palatino Linotype" w:hAnsi="Palatino Linotype" w:cs="Palatino Linotype"/>
          <w:b/>
          <w:i/>
          <w:sz w:val="22"/>
          <w:szCs w:val="22"/>
          <w:lang w:eastAsia="en-US"/>
        </w:rPr>
        <w:t>funciones</w:t>
      </w:r>
      <w:r w:rsidRPr="003D6D6B">
        <w:rPr>
          <w:rFonts w:ascii="Palatino Linotype" w:eastAsia="Palatino Linotype" w:hAnsi="Palatino Linotype" w:cs="Palatino Linotype"/>
          <w:i/>
          <w:sz w:val="22"/>
          <w:szCs w:val="22"/>
          <w:lang w:eastAsia="en-US"/>
        </w:rPr>
        <w:t xml:space="preserve"> siguientes:</w:t>
      </w:r>
    </w:p>
    <w:p w14:paraId="61D003AA"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V. Integrar y presentar al responsable de la Unidad de Transparencia la propuesta de clasificación de información</w:t>
      </w:r>
      <w:r w:rsidRPr="003D6D6B">
        <w:rPr>
          <w:rFonts w:ascii="Palatino Linotype" w:eastAsia="Palatino Linotype" w:hAnsi="Palatino Linotype" w:cs="Palatino Linotype"/>
          <w:i/>
          <w:sz w:val="22"/>
          <w:szCs w:val="22"/>
          <w:lang w:eastAsia="en-US"/>
        </w:rPr>
        <w:t>, la cual tendrá los fundamentos y argumentos en que se basa dicha propuesta…”</w:t>
      </w:r>
    </w:p>
    <w:p w14:paraId="0429686E" w14:textId="77777777" w:rsidR="004B20A7" w:rsidRPr="003D6D6B" w:rsidRDefault="004B20A7" w:rsidP="004B20A7">
      <w:pPr>
        <w:spacing w:before="240" w:after="240" w:line="360" w:lineRule="auto"/>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4397E501" w14:textId="77777777" w:rsidR="004B20A7" w:rsidRPr="003D6D6B" w:rsidRDefault="004B20A7" w:rsidP="004B20A7">
      <w:pPr>
        <w:spacing w:before="240" w:after="240" w:line="360" w:lineRule="auto"/>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Para lo cual, a su vez en el caso de información de carácter confidencial, se debe atender a lo que señala el artículo 149 de la Ley de Transparencia Local vigente, que se lee como sigue:</w:t>
      </w:r>
    </w:p>
    <w:p w14:paraId="3539352D"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r w:rsidRPr="003D6D6B">
        <w:rPr>
          <w:rFonts w:ascii="Palatino Linotype" w:eastAsia="Palatino Linotype" w:hAnsi="Palatino Linotype" w:cs="Palatino Linotype"/>
          <w:b/>
          <w:i/>
          <w:sz w:val="22"/>
          <w:szCs w:val="22"/>
          <w:lang w:eastAsia="en-US"/>
        </w:rPr>
        <w:t>Artículo 149.</w:t>
      </w:r>
      <w:r w:rsidRPr="003D6D6B">
        <w:rPr>
          <w:rFonts w:ascii="Palatino Linotype" w:eastAsia="Palatino Linotype" w:hAnsi="Palatino Linotype" w:cs="Palatino Linotype"/>
          <w:i/>
          <w:sz w:val="22"/>
          <w:szCs w:val="22"/>
          <w:lang w:eastAsia="en-US"/>
        </w:rPr>
        <w:t xml:space="preserve"> El </w:t>
      </w:r>
      <w:r w:rsidRPr="003D6D6B">
        <w:rPr>
          <w:rFonts w:ascii="Palatino Linotype" w:eastAsia="Palatino Linotype" w:hAnsi="Palatino Linotype" w:cs="Palatino Linotype"/>
          <w:b/>
          <w:i/>
          <w:sz w:val="22"/>
          <w:szCs w:val="22"/>
          <w:lang w:eastAsia="en-US"/>
        </w:rPr>
        <w:t>acuerdo que clasifique la información como confidencial</w:t>
      </w:r>
      <w:r w:rsidRPr="003D6D6B">
        <w:rPr>
          <w:rFonts w:ascii="Palatino Linotype" w:eastAsia="Palatino Linotype" w:hAnsi="Palatino Linotype" w:cs="Palatino Linotype"/>
          <w:i/>
          <w:sz w:val="22"/>
          <w:szCs w:val="22"/>
          <w:lang w:eastAsia="en-US"/>
        </w:rPr>
        <w:t xml:space="preserve"> deberá contener un razonamiento lógico en el que demuestre que la información se encuentra en alguna o algunas de las hipótesis previstas en la presente Ley.” </w:t>
      </w:r>
    </w:p>
    <w:p w14:paraId="6EB9C2B5" w14:textId="77777777" w:rsidR="004B20A7" w:rsidRPr="003D6D6B" w:rsidRDefault="004B20A7" w:rsidP="004B20A7">
      <w:pPr>
        <w:spacing w:before="240" w:after="240" w:line="360" w:lineRule="auto"/>
        <w:ind w:right="51"/>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 xml:space="preserve">Es decir, el </w:t>
      </w:r>
      <w:r w:rsidRPr="003D6D6B">
        <w:rPr>
          <w:rFonts w:ascii="Palatino Linotype" w:eastAsia="Palatino Linotype" w:hAnsi="Palatino Linotype" w:cs="Palatino Linotype"/>
          <w:b/>
          <w:sz w:val="22"/>
          <w:szCs w:val="22"/>
          <w:lang w:eastAsia="en-US"/>
        </w:rPr>
        <w:t>Sujeto Obligado</w:t>
      </w:r>
      <w:r w:rsidRPr="003D6D6B">
        <w:rPr>
          <w:rFonts w:ascii="Palatino Linotype" w:eastAsia="Palatino Linotype" w:hAnsi="Palatino Linotype" w:cs="Palatino Linotype"/>
          <w:sz w:val="22"/>
          <w:szCs w:val="22"/>
          <w:lang w:eastAsia="en-US"/>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676F7EE8" w14:textId="77777777" w:rsidR="004B20A7" w:rsidRPr="003D6D6B" w:rsidRDefault="004B20A7" w:rsidP="004B20A7">
      <w:pPr>
        <w:spacing w:before="240" w:after="240" w:line="360" w:lineRule="auto"/>
        <w:ind w:right="49"/>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 xml:space="preserve">Atento a lo anterior, cabe señalar que el Comité de Transparencia del </w:t>
      </w:r>
      <w:r w:rsidRPr="003D6D6B">
        <w:rPr>
          <w:rFonts w:ascii="Palatino Linotype" w:eastAsia="Palatino Linotype" w:hAnsi="Palatino Linotype" w:cs="Palatino Linotype"/>
          <w:b/>
          <w:sz w:val="22"/>
          <w:szCs w:val="22"/>
          <w:lang w:eastAsia="en-US"/>
        </w:rPr>
        <w:t>Sujeto Obligado</w:t>
      </w:r>
      <w:r w:rsidRPr="003D6D6B">
        <w:rPr>
          <w:rFonts w:ascii="Palatino Linotype" w:eastAsia="Palatino Linotype" w:hAnsi="Palatino Linotype" w:cs="Palatino Linotype"/>
          <w:sz w:val="22"/>
          <w:szCs w:val="22"/>
          <w:lang w:eastAsia="en-US"/>
        </w:rPr>
        <w:t>, deberá emitir el acuerdo de clasificación de información debidamente fundado y motivado, en términos de los Lineamientos Segundo, fracción XVIII, y del Cuarto al Décimo Primero de los “Lineamientos Generales en materia de Clasificación y Desclasificación de la Información, así como para la elaboración de Versiones Públicas”, vigentes a la fecha de la solicitud que literalmente expresan:</w:t>
      </w:r>
    </w:p>
    <w:p w14:paraId="3B646C83"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Segundo.-</w:t>
      </w:r>
      <w:r w:rsidRPr="003D6D6B">
        <w:rPr>
          <w:rFonts w:ascii="Palatino Linotype" w:eastAsia="Palatino Linotype" w:hAnsi="Palatino Linotype" w:cs="Palatino Linotype"/>
          <w:i/>
          <w:sz w:val="22"/>
          <w:szCs w:val="22"/>
          <w:lang w:eastAsia="en-US"/>
        </w:rPr>
        <w:t xml:space="preserve"> Para efectos de los presentes Lineamientos Generales, se entenderá por:</w:t>
      </w:r>
    </w:p>
    <w:p w14:paraId="16A3BC74"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XVIII.</w:t>
      </w: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Versión pública:</w:t>
      </w:r>
      <w:r w:rsidRPr="003D6D6B">
        <w:rPr>
          <w:rFonts w:ascii="Palatino Linotype" w:eastAsia="Palatino Linotype" w:hAnsi="Palatino Linotype" w:cs="Palatino Linotype"/>
          <w:i/>
          <w:sz w:val="22"/>
          <w:szCs w:val="22"/>
          <w:lang w:eastAsia="en-US"/>
        </w:rPr>
        <w:t xml:space="preserve"> El documento a partir del que se otorga acceso a la información, en el que se testan partes o secciones clasificadas, indicando el contenido de éstas de manera genérica, </w:t>
      </w:r>
      <w:r w:rsidRPr="003D6D6B">
        <w:rPr>
          <w:rFonts w:ascii="Palatino Linotype" w:eastAsia="Palatino Linotype" w:hAnsi="Palatino Linotype" w:cs="Palatino Linotype"/>
          <w:b/>
          <w:i/>
          <w:sz w:val="22"/>
          <w:szCs w:val="22"/>
          <w:lang w:eastAsia="en-US"/>
        </w:rPr>
        <w:t>fundando y motivando la</w:t>
      </w: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reserva o confidencialidad</w:t>
      </w:r>
      <w:r w:rsidRPr="003D6D6B">
        <w:rPr>
          <w:rFonts w:ascii="Palatino Linotype" w:eastAsia="Palatino Linotype" w:hAnsi="Palatino Linotype" w:cs="Palatino Linotype"/>
          <w:i/>
          <w:sz w:val="22"/>
          <w:szCs w:val="22"/>
          <w:lang w:eastAsia="en-US"/>
        </w:rPr>
        <w:t>, a través de la resolución que para tal efecto emita el Comité de Transparencia.</w:t>
      </w:r>
    </w:p>
    <w:p w14:paraId="22815FF8"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b/>
          <w:i/>
          <w:sz w:val="22"/>
          <w:szCs w:val="22"/>
          <w:lang w:eastAsia="en-US"/>
        </w:rPr>
      </w:pPr>
      <w:r w:rsidRPr="003D6D6B">
        <w:rPr>
          <w:rFonts w:ascii="Palatino Linotype" w:eastAsia="Palatino Linotype" w:hAnsi="Palatino Linotype" w:cs="Palatino Linotype"/>
          <w:b/>
          <w:i/>
          <w:sz w:val="22"/>
          <w:szCs w:val="22"/>
          <w:lang w:eastAsia="en-US"/>
        </w:rPr>
        <w:t>...</w:t>
      </w:r>
    </w:p>
    <w:p w14:paraId="584B7EEA"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Cuarto.</w:t>
      </w: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Para clasificar la información como</w:t>
      </w: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reservada o</w:t>
      </w:r>
      <w:r w:rsidRPr="003D6D6B">
        <w:rPr>
          <w:rFonts w:ascii="Palatino Linotype" w:eastAsia="Palatino Linotype" w:hAnsi="Palatino Linotype" w:cs="Palatino Linotype"/>
          <w:i/>
          <w:sz w:val="22"/>
          <w:szCs w:val="22"/>
          <w:lang w:eastAsia="en-US"/>
        </w:rPr>
        <w:t xml:space="preserve"> </w:t>
      </w:r>
      <w:r w:rsidRPr="003D6D6B">
        <w:rPr>
          <w:rFonts w:ascii="Palatino Linotype" w:eastAsia="Palatino Linotype" w:hAnsi="Palatino Linotype" w:cs="Palatino Linotype"/>
          <w:b/>
          <w:i/>
          <w:sz w:val="22"/>
          <w:szCs w:val="22"/>
          <w:lang w:eastAsia="en-US"/>
        </w:rPr>
        <w:t>confidencial, de manera total o parcial, el titular del área del sujeto obligado deberá atender lo dispuesto por el Título Sexto de la Ley General</w:t>
      </w:r>
      <w:r w:rsidRPr="003D6D6B">
        <w:rPr>
          <w:rFonts w:ascii="Palatino Linotype" w:eastAsia="Palatino Linotype" w:hAnsi="Palatino Linotype" w:cs="Palatino Linotype"/>
          <w:i/>
          <w:sz w:val="22"/>
          <w:szCs w:val="22"/>
          <w:lang w:eastAsia="en-US"/>
        </w:rPr>
        <w:t>, en relación con las disposiciones contenidas en los presentes lineamientos, así como en aquellas disposiciones legales aplicables a la materia en el ámbito de sus respectivas competencias, en tanto estas últimas no contravengan lo dispuesto en la Ley General.</w:t>
      </w:r>
    </w:p>
    <w:p w14:paraId="6350BE55"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Los sujetos obligados deberán aplicar, de manera estricta, las excepciones al derecho de acceso a la información y sólo podrán invocarlas cuando acrediten su procedencia.</w:t>
      </w:r>
    </w:p>
    <w:p w14:paraId="2BA2AF3A"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Quinto.</w:t>
      </w:r>
      <w:r w:rsidRPr="003D6D6B">
        <w:rPr>
          <w:rFonts w:ascii="Palatino Linotype" w:eastAsia="Palatino Linotype" w:hAnsi="Palatino Linotype" w:cs="Palatino Linotype"/>
          <w:i/>
          <w:sz w:val="22"/>
          <w:szCs w:val="22"/>
          <w:lang w:eastAsia="en-US"/>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14:paraId="1B291093"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Sexto.</w:t>
      </w:r>
      <w:r w:rsidRPr="003D6D6B">
        <w:rPr>
          <w:rFonts w:ascii="Palatino Linotype" w:eastAsia="Palatino Linotype" w:hAnsi="Palatino Linotype" w:cs="Palatino Linotype"/>
          <w:i/>
          <w:sz w:val="22"/>
          <w:szCs w:val="22"/>
          <w:lang w:eastAsia="en-US"/>
        </w:rPr>
        <w:t xml:space="preserve"> Se deroga.</w:t>
      </w:r>
    </w:p>
    <w:p w14:paraId="116D9C57"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Séptimo.</w:t>
      </w:r>
      <w:r w:rsidRPr="003D6D6B">
        <w:rPr>
          <w:rFonts w:ascii="Palatino Linotype" w:eastAsia="Palatino Linotype" w:hAnsi="Palatino Linotype" w:cs="Palatino Linotype"/>
          <w:i/>
          <w:sz w:val="22"/>
          <w:szCs w:val="22"/>
          <w:lang w:eastAsia="en-US"/>
        </w:rPr>
        <w:t xml:space="preserve"> La clasificación de la información se llevará a cabo en el momento en que:</w:t>
      </w:r>
    </w:p>
    <w:p w14:paraId="35136D47"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xml:space="preserve"> Se reciba una solicitud de acceso a la información;</w:t>
      </w:r>
    </w:p>
    <w:p w14:paraId="4554150F"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w:t>
      </w:r>
      <w:r w:rsidRPr="003D6D6B">
        <w:rPr>
          <w:rFonts w:ascii="Palatino Linotype" w:eastAsia="Palatino Linotype" w:hAnsi="Palatino Linotype" w:cs="Palatino Linotype"/>
          <w:i/>
          <w:sz w:val="22"/>
          <w:szCs w:val="22"/>
          <w:lang w:eastAsia="en-US"/>
        </w:rPr>
        <w:t xml:space="preserve"> Se determine mediante resolución del Comité de Transparencia, el órgano garante competente, o en cumplimiento a una sentencia del Poder Judicial; o</w:t>
      </w:r>
    </w:p>
    <w:p w14:paraId="45B8B93D"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III.</w:t>
      </w:r>
      <w:r w:rsidRPr="003D6D6B">
        <w:rPr>
          <w:rFonts w:ascii="Palatino Linotype" w:eastAsia="Palatino Linotype" w:hAnsi="Palatino Linotype" w:cs="Palatino Linotype"/>
          <w:i/>
          <w:sz w:val="22"/>
          <w:szCs w:val="22"/>
          <w:lang w:eastAsia="en-US"/>
        </w:rPr>
        <w:t xml:space="preserve"> Se generen versiones públicas para dar cumplimiento a las obligaciones de transparencia previstas en la Ley General, la Ley Federal y las correspondientes de las entidades federativas.</w:t>
      </w:r>
    </w:p>
    <w:p w14:paraId="5AA73C5D"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Los titulares de las áreas deberán revisar la clasificación al momento de la recepción de una solicitud de acceso, para verificar</w:t>
      </w:r>
      <w:r w:rsidRPr="003D6D6B">
        <w:rPr>
          <w:rFonts w:ascii="Palatino Linotype" w:eastAsia="Palatino Linotype" w:hAnsi="Palatino Linotype" w:cs="Palatino Linotype"/>
          <w:sz w:val="22"/>
          <w:szCs w:val="22"/>
          <w:lang w:eastAsia="en-US"/>
        </w:rPr>
        <w:t xml:space="preserve">, </w:t>
      </w:r>
      <w:r w:rsidRPr="003D6D6B">
        <w:rPr>
          <w:rFonts w:ascii="Palatino Linotype" w:eastAsia="Palatino Linotype" w:hAnsi="Palatino Linotype" w:cs="Palatino Linotype"/>
          <w:i/>
          <w:sz w:val="22"/>
          <w:szCs w:val="22"/>
          <w:lang w:eastAsia="en-US"/>
        </w:rPr>
        <w:t>conforme a su naturaleza, si encuadra en una causal de reserva o de confidencialidad.</w:t>
      </w:r>
    </w:p>
    <w:p w14:paraId="5CC3A881"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Octavo.</w:t>
      </w:r>
      <w:r w:rsidRPr="003D6D6B">
        <w:rPr>
          <w:rFonts w:ascii="Palatino Linotype" w:eastAsia="Palatino Linotype" w:hAnsi="Palatino Linotype" w:cs="Palatino Linotype"/>
          <w:i/>
          <w:sz w:val="22"/>
          <w:szCs w:val="22"/>
          <w:lang w:eastAsia="en-US"/>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14:paraId="59244C35"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Para motivar la clasificación se deberán señalar las razones o circunstancias especiales que lo llevaron a concluir que el caso particular se ajusta al supuesto previsto por la norma legal invocada como fundamento.</w:t>
      </w:r>
    </w:p>
    <w:p w14:paraId="608C63F2"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14:paraId="04E31AD4"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Noveno.</w:t>
      </w:r>
      <w:r w:rsidRPr="003D6D6B">
        <w:rPr>
          <w:rFonts w:ascii="Palatino Linotype" w:eastAsia="Palatino Linotype" w:hAnsi="Palatino Linotype" w:cs="Palatino Linotype"/>
          <w:i/>
          <w:sz w:val="22"/>
          <w:szCs w:val="22"/>
          <w:lang w:eastAsia="en-US"/>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14:paraId="1788D750"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Décimo.</w:t>
      </w:r>
      <w:r w:rsidRPr="003D6D6B">
        <w:rPr>
          <w:rFonts w:ascii="Palatino Linotype" w:eastAsia="Palatino Linotype" w:hAnsi="Palatino Linotype" w:cs="Palatino Linotype"/>
          <w:i/>
          <w:sz w:val="22"/>
          <w:szCs w:val="22"/>
          <w:lang w:eastAsia="en-US"/>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14:paraId="77B8D68D"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En ausencia de los titulares de las áreas, la información será clasificada o desclasificada por la persona que lo supla, en términos de la normativa que rija la actuación del sujeto obligado.</w:t>
      </w:r>
    </w:p>
    <w:p w14:paraId="090BCBCC" w14:textId="77777777" w:rsidR="004B20A7" w:rsidRPr="003D6D6B" w:rsidRDefault="004B20A7" w:rsidP="004B20A7">
      <w:pPr>
        <w:tabs>
          <w:tab w:val="left" w:pos="8222"/>
        </w:tabs>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Décimo primero.</w:t>
      </w:r>
      <w:r w:rsidRPr="003D6D6B">
        <w:rPr>
          <w:rFonts w:ascii="Palatino Linotype" w:eastAsia="Palatino Linotype" w:hAnsi="Palatino Linotype" w:cs="Palatino Linotype"/>
          <w:i/>
          <w:sz w:val="22"/>
          <w:szCs w:val="22"/>
          <w:lang w:eastAsia="en-US"/>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14:paraId="24960C3B" w14:textId="77777777" w:rsidR="004B20A7" w:rsidRPr="003D6D6B" w:rsidRDefault="004B20A7" w:rsidP="004B20A7">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 xml:space="preserve">Asimismo, respecto a las formalidades que deberá llevar el acuerdo de clasificación que deberá emitir el </w:t>
      </w:r>
      <w:r w:rsidRPr="003D6D6B">
        <w:rPr>
          <w:rFonts w:ascii="Palatino Linotype" w:eastAsia="Palatino Linotype" w:hAnsi="Palatino Linotype" w:cs="Palatino Linotype"/>
          <w:b/>
          <w:sz w:val="22"/>
          <w:szCs w:val="22"/>
          <w:lang w:eastAsia="en-US"/>
        </w:rPr>
        <w:t>Sujeto Obligado</w:t>
      </w:r>
      <w:r w:rsidRPr="003D6D6B">
        <w:rPr>
          <w:rFonts w:ascii="Palatino Linotype" w:eastAsia="Palatino Linotype" w:hAnsi="Palatino Linotype" w:cs="Palatino Linotype"/>
          <w:sz w:val="22"/>
          <w:szCs w:val="22"/>
          <w:lang w:eastAsia="en-US"/>
        </w:rPr>
        <w:t xml:space="preserve"> a través de su Comité de Transparencia, los Lineamientos Quincuagésimo y Quincuagésimo primero de los Lineamientos Generales en Materia de Clasificación y Desclasificación de la Información, así como para la Elaboración de Versiones Públicas, vigentes a la fecha de la solicitud, señalan lo siguiente:</w:t>
      </w:r>
    </w:p>
    <w:p w14:paraId="2B5FF2F9" w14:textId="77777777" w:rsidR="004B20A7" w:rsidRPr="003D6D6B" w:rsidRDefault="004B20A7" w:rsidP="004B20A7">
      <w:pPr>
        <w:spacing w:after="200" w:line="276" w:lineRule="auto"/>
        <w:ind w:left="851"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 xml:space="preserve">“Quincuagésimo. </w:t>
      </w:r>
      <w:r w:rsidRPr="003D6D6B">
        <w:rPr>
          <w:rFonts w:ascii="Palatino Linotype" w:eastAsia="Palatino Linotype" w:hAnsi="Palatino Linotype" w:cs="Palatino Linotype"/>
          <w:i/>
          <w:sz w:val="22"/>
          <w:szCs w:val="22"/>
          <w:lang w:eastAsia="en-US"/>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1AF9157F" w14:textId="77777777" w:rsidR="004B20A7" w:rsidRPr="003D6D6B" w:rsidRDefault="004B20A7" w:rsidP="004B20A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 xml:space="preserve">Quincuagésimo primero. </w:t>
      </w:r>
      <w:r w:rsidRPr="003D6D6B">
        <w:rPr>
          <w:rFonts w:ascii="Palatino Linotype" w:eastAsia="Palatino Linotype" w:hAnsi="Palatino Linotype" w:cs="Palatino Linotype"/>
          <w:i/>
          <w:sz w:val="22"/>
          <w:szCs w:val="22"/>
          <w:lang w:eastAsia="en-US"/>
        </w:rPr>
        <w:t xml:space="preserve">Toda acta del Comité de Transparencia deberá contener: </w:t>
      </w:r>
    </w:p>
    <w:p w14:paraId="60BA7736"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xml:space="preserve"> El número de sesión y fecha; </w:t>
      </w:r>
    </w:p>
    <w:p w14:paraId="6C7C36CB"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w:t>
      </w:r>
      <w:r w:rsidRPr="003D6D6B">
        <w:rPr>
          <w:rFonts w:ascii="Palatino Linotype" w:eastAsia="Palatino Linotype" w:hAnsi="Palatino Linotype" w:cs="Palatino Linotype"/>
          <w:i/>
          <w:sz w:val="22"/>
          <w:szCs w:val="22"/>
          <w:lang w:eastAsia="en-US"/>
        </w:rPr>
        <w:t xml:space="preserve">. El nombre del área que solicitó la clasificación de información; </w:t>
      </w:r>
    </w:p>
    <w:p w14:paraId="744F0453"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III</w:t>
      </w:r>
      <w:r w:rsidRPr="003D6D6B">
        <w:rPr>
          <w:rFonts w:ascii="Palatino Linotype" w:eastAsia="Palatino Linotype" w:hAnsi="Palatino Linotype" w:cs="Palatino Linotype"/>
          <w:i/>
          <w:sz w:val="22"/>
          <w:szCs w:val="22"/>
          <w:lang w:eastAsia="en-US"/>
        </w:rPr>
        <w:t xml:space="preserve">. La fundamentación legal y motivación correspondiente; </w:t>
      </w:r>
    </w:p>
    <w:p w14:paraId="1665EAA7"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IV</w:t>
      </w:r>
      <w:r w:rsidRPr="003D6D6B">
        <w:rPr>
          <w:rFonts w:ascii="Palatino Linotype" w:eastAsia="Palatino Linotype" w:hAnsi="Palatino Linotype" w:cs="Palatino Linotype"/>
          <w:i/>
          <w:sz w:val="22"/>
          <w:szCs w:val="22"/>
          <w:lang w:eastAsia="en-US"/>
        </w:rPr>
        <w:t xml:space="preserve">. La resolución o resoluciones aprobadas; y </w:t>
      </w:r>
    </w:p>
    <w:p w14:paraId="5EE7BDF1"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V</w:t>
      </w:r>
      <w:r w:rsidRPr="003D6D6B">
        <w:rPr>
          <w:rFonts w:ascii="Palatino Linotype" w:eastAsia="Palatino Linotype" w:hAnsi="Palatino Linotype" w:cs="Palatino Linotype"/>
          <w:i/>
          <w:sz w:val="22"/>
          <w:szCs w:val="22"/>
          <w:lang w:eastAsia="en-US"/>
        </w:rPr>
        <w:t xml:space="preserve">. La rúbrica o firma digital de cada integrante del Comité de Transparencia. </w:t>
      </w:r>
    </w:p>
    <w:p w14:paraId="7B6EA602" w14:textId="77777777" w:rsidR="004B20A7" w:rsidRPr="003D6D6B" w:rsidRDefault="004B20A7" w:rsidP="004B20A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 xml:space="preserve">Las resoluciones del Comité en las que se haya determinado confirmar o modificar la clasificación de información pública como reservada, deberán incluir, cuando menos: </w:t>
      </w:r>
    </w:p>
    <w:p w14:paraId="5EE3844D"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xml:space="preserve"> Los motivos y razonamientos que sustenten la confirmación o modificación de la prueba de daño;</w:t>
      </w:r>
    </w:p>
    <w:p w14:paraId="59575543"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b/>
          <w:i/>
          <w:sz w:val="22"/>
          <w:szCs w:val="22"/>
          <w:lang w:eastAsia="en-US"/>
        </w:rPr>
      </w:pPr>
      <w:r w:rsidRPr="003D6D6B">
        <w:rPr>
          <w:rFonts w:ascii="Palatino Linotype" w:eastAsia="Palatino Linotype" w:hAnsi="Palatino Linotype" w:cs="Palatino Linotype"/>
          <w:b/>
          <w:i/>
          <w:sz w:val="22"/>
          <w:szCs w:val="22"/>
          <w:lang w:eastAsia="en-US"/>
        </w:rPr>
        <w:t>II</w:t>
      </w:r>
      <w:r w:rsidRPr="003D6D6B">
        <w:rPr>
          <w:rFonts w:ascii="Palatino Linotype" w:eastAsia="Palatino Linotype" w:hAnsi="Palatino Linotype" w:cs="Palatino Linotype"/>
          <w:i/>
          <w:sz w:val="22"/>
          <w:szCs w:val="22"/>
          <w:lang w:eastAsia="en-US"/>
        </w:rPr>
        <w:t>. Descripción de las partes o secciones reservadas, en caso de clasificación parcial</w:t>
      </w:r>
      <w:r w:rsidRPr="003D6D6B">
        <w:rPr>
          <w:rFonts w:ascii="Palatino Linotype" w:eastAsia="Palatino Linotype" w:hAnsi="Palatino Linotype" w:cs="Palatino Linotype"/>
          <w:b/>
          <w:i/>
          <w:sz w:val="22"/>
          <w:szCs w:val="22"/>
          <w:lang w:eastAsia="en-US"/>
        </w:rPr>
        <w:t xml:space="preserve">; </w:t>
      </w:r>
    </w:p>
    <w:p w14:paraId="066EDCA3"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III.</w:t>
      </w:r>
      <w:r w:rsidRPr="003D6D6B">
        <w:rPr>
          <w:rFonts w:ascii="Palatino Linotype" w:eastAsia="Palatino Linotype" w:hAnsi="Palatino Linotype" w:cs="Palatino Linotype"/>
          <w:i/>
          <w:sz w:val="22"/>
          <w:szCs w:val="22"/>
          <w:lang w:eastAsia="en-US"/>
        </w:rPr>
        <w:t xml:space="preserve"> El periodo por el que mantendrá su clasificación y fecha de expiración; y </w:t>
      </w:r>
    </w:p>
    <w:p w14:paraId="6612FEE7" w14:textId="77777777" w:rsidR="004B20A7" w:rsidRPr="003D6D6B" w:rsidRDefault="004B20A7" w:rsidP="004B20A7">
      <w:pPr>
        <w:pBdr>
          <w:top w:val="nil"/>
          <w:left w:val="nil"/>
          <w:bottom w:val="nil"/>
          <w:right w:val="nil"/>
          <w:between w:val="nil"/>
        </w:pBdr>
        <w:spacing w:after="200" w:line="276" w:lineRule="auto"/>
        <w:ind w:left="1134"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IV.</w:t>
      </w:r>
      <w:r w:rsidRPr="003D6D6B">
        <w:rPr>
          <w:rFonts w:ascii="Palatino Linotype" w:eastAsia="Palatino Linotype" w:hAnsi="Palatino Linotype" w:cs="Palatino Linotype"/>
          <w:i/>
          <w:sz w:val="22"/>
          <w:szCs w:val="22"/>
          <w:lang w:eastAsia="en-US"/>
        </w:rPr>
        <w:t xml:space="preserve"> El nombre del titular y área encargada de realizar la versión pública del documento, en su caso. </w:t>
      </w:r>
    </w:p>
    <w:p w14:paraId="01C9CBC6" w14:textId="77777777" w:rsidR="004B20A7" w:rsidRPr="003D6D6B" w:rsidRDefault="004B20A7" w:rsidP="004B20A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 xml:space="preserve">En los casos en que se clasifique la información como reservada siempre se entregará o anexará la prueba de daño con la respuesta al solicitante. </w:t>
      </w:r>
    </w:p>
    <w:p w14:paraId="359B14F7" w14:textId="77777777" w:rsidR="004B20A7" w:rsidRPr="003D6D6B" w:rsidRDefault="004B20A7" w:rsidP="004B20A7">
      <w:pPr>
        <w:pBdr>
          <w:top w:val="nil"/>
          <w:left w:val="nil"/>
          <w:bottom w:val="nil"/>
          <w:right w:val="nil"/>
          <w:between w:val="nil"/>
        </w:pBdr>
        <w:spacing w:after="200" w:line="276" w:lineRule="auto"/>
        <w:ind w:left="851" w:right="902"/>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En los casos de resoluciones del Comité de Transparencia en las que se confirme la clasificación de información confidencial solo se deberán de identificar los tipos de datos protegidos, de conformidad con el lineamiento trigésimo octavo.</w:t>
      </w:r>
    </w:p>
    <w:p w14:paraId="19801DC1" w14:textId="77777777" w:rsidR="004B20A7" w:rsidRPr="003D6D6B" w:rsidRDefault="004B20A7" w:rsidP="004B20A7">
      <w:pPr>
        <w:spacing w:before="240" w:after="240" w:line="360" w:lineRule="auto"/>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Para la elaboración de las versiones públicas, además, se deberán observar las formalidades establecidas en los Lineamientos Quincuagésimo segundo, Quincuagésimo cuarto, Quincuagésimo quinto, Quincuagésimo séptimo y Quincuagésimo octavo, vigentes a la fecha de la solicitud, que establecen lo siguiente:</w:t>
      </w:r>
    </w:p>
    <w:p w14:paraId="63022D4F"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r w:rsidRPr="003D6D6B">
        <w:rPr>
          <w:rFonts w:ascii="Palatino Linotype" w:eastAsia="Palatino Linotype" w:hAnsi="Palatino Linotype" w:cs="Palatino Linotype"/>
          <w:b/>
          <w:i/>
          <w:sz w:val="22"/>
          <w:szCs w:val="22"/>
          <w:lang w:eastAsia="en-US"/>
        </w:rPr>
        <w:t>Quincuagésimo segundo</w:t>
      </w:r>
      <w:r w:rsidRPr="003D6D6B">
        <w:rPr>
          <w:rFonts w:ascii="Palatino Linotype" w:eastAsia="Palatino Linotype" w:hAnsi="Palatino Linotype" w:cs="Palatino Linotype"/>
          <w:i/>
          <w:sz w:val="22"/>
          <w:szCs w:val="22"/>
          <w:lang w:eastAsia="en-US"/>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65911261"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 xml:space="preserve">En el caso específico de la clasificación y elaboración de versiones públicas de documentos que contengan información confidencial, las áreas de los sujetos obligados deberán: </w:t>
      </w:r>
    </w:p>
    <w:p w14:paraId="097AF58C" w14:textId="77777777" w:rsidR="004B20A7" w:rsidRPr="003D6D6B" w:rsidRDefault="004B20A7" w:rsidP="004B20A7">
      <w:pPr>
        <w:spacing w:after="200" w:line="276" w:lineRule="auto"/>
        <w:ind w:left="1134"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xml:space="preserve"> Fijar la fecha en que se elaboró la versión pública y la fecha en la cual el Comité de Transparencia confirmó dicha versión;</w:t>
      </w:r>
    </w:p>
    <w:p w14:paraId="4D2ABB53" w14:textId="77777777" w:rsidR="004B20A7" w:rsidRPr="003D6D6B" w:rsidRDefault="004B20A7" w:rsidP="004B20A7">
      <w:pPr>
        <w:spacing w:after="200" w:line="276" w:lineRule="auto"/>
        <w:ind w:left="1134"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w:t>
      </w:r>
      <w:r w:rsidRPr="003D6D6B">
        <w:rPr>
          <w:rFonts w:ascii="Palatino Linotype" w:eastAsia="Palatino Linotype" w:hAnsi="Palatino Linotype" w:cs="Palatino Linotype"/>
          <w:i/>
          <w:sz w:val="22"/>
          <w:szCs w:val="22"/>
          <w:lang w:eastAsia="en-US"/>
        </w:rPr>
        <w:t xml:space="preserve"> Señalar dentro del documento el tipo de información confidencial que fue testada en cada caso específico, de conformidad con el lineamiento trigésimo octavo; y</w:t>
      </w:r>
    </w:p>
    <w:p w14:paraId="7B613338" w14:textId="77777777" w:rsidR="004B20A7" w:rsidRPr="003D6D6B" w:rsidRDefault="004B20A7" w:rsidP="004B20A7">
      <w:pPr>
        <w:spacing w:after="200" w:line="276" w:lineRule="auto"/>
        <w:ind w:left="1134"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III.</w:t>
      </w:r>
      <w:r w:rsidRPr="003D6D6B">
        <w:rPr>
          <w:rFonts w:ascii="Palatino Linotype" w:eastAsia="Palatino Linotype" w:hAnsi="Palatino Linotype" w:cs="Palatino Linotype"/>
          <w:i/>
          <w:sz w:val="22"/>
          <w:szCs w:val="22"/>
          <w:lang w:eastAsia="en-US"/>
        </w:rPr>
        <w:t xml:space="preserve"> Señalar las personas o instancias autorizadas a acceder a la información clasificada.</w:t>
      </w:r>
    </w:p>
    <w:p w14:paraId="5AF6E3E7"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En los documentos de difusión electrónica, señalar en la primera hoja y en el nombre del archivo, que la versión pública corresponde a un documento que contiene información confidencial.”</w:t>
      </w:r>
    </w:p>
    <w:p w14:paraId="4C91F8CC" w14:textId="77777777" w:rsidR="004B20A7" w:rsidRPr="003D6D6B" w:rsidRDefault="004B20A7" w:rsidP="004B20A7">
      <w:pPr>
        <w:pBdr>
          <w:top w:val="nil"/>
          <w:left w:val="nil"/>
          <w:bottom w:val="nil"/>
          <w:right w:val="nil"/>
          <w:between w:val="nil"/>
        </w:pBd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w:t>
      </w:r>
    </w:p>
    <w:p w14:paraId="170288D2" w14:textId="77777777" w:rsidR="004B20A7" w:rsidRPr="003D6D6B" w:rsidRDefault="004B20A7" w:rsidP="004B20A7">
      <w:pPr>
        <w:pBdr>
          <w:top w:val="nil"/>
          <w:left w:val="nil"/>
          <w:bottom w:val="nil"/>
          <w:right w:val="nil"/>
          <w:between w:val="nil"/>
        </w:pBdr>
        <w:spacing w:after="200" w:line="276" w:lineRule="auto"/>
        <w:ind w:left="851" w:right="616"/>
        <w:jc w:val="both"/>
        <w:rPr>
          <w:rFonts w:ascii="Palatino Linotype" w:eastAsia="Palatino Linotype" w:hAnsi="Palatino Linotype" w:cs="Palatino Linotype"/>
          <w:b/>
          <w:i/>
          <w:sz w:val="22"/>
          <w:szCs w:val="22"/>
          <w:lang w:eastAsia="en-US"/>
        </w:rPr>
      </w:pPr>
      <w:r w:rsidRPr="003D6D6B">
        <w:rPr>
          <w:rFonts w:ascii="Palatino Linotype" w:eastAsia="Palatino Linotype" w:hAnsi="Palatino Linotype" w:cs="Palatino Linotype"/>
          <w:b/>
          <w:i/>
          <w:sz w:val="22"/>
          <w:szCs w:val="22"/>
          <w:lang w:eastAsia="en-US"/>
        </w:rPr>
        <w:t xml:space="preserve">Quincuagésimo cuarto. </w:t>
      </w:r>
      <w:r w:rsidRPr="003D6D6B">
        <w:rPr>
          <w:rFonts w:ascii="Palatino Linotype" w:eastAsia="Palatino Linotype" w:hAnsi="Palatino Linotype" w:cs="Palatino Linotype"/>
          <w:i/>
          <w:sz w:val="22"/>
          <w:szCs w:val="22"/>
          <w:lang w:eastAsia="en-US"/>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3D6D6B">
        <w:rPr>
          <w:rFonts w:ascii="Palatino Linotype" w:eastAsia="Palatino Linotype" w:hAnsi="Palatino Linotype" w:cs="Palatino Linotype"/>
          <w:b/>
          <w:i/>
          <w:sz w:val="22"/>
          <w:szCs w:val="22"/>
          <w:lang w:eastAsia="en-US"/>
        </w:rPr>
        <w:t xml:space="preserve"> </w:t>
      </w:r>
    </w:p>
    <w:p w14:paraId="5747AA8B"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 xml:space="preserve">Quincuagésimo quinto. </w:t>
      </w:r>
      <w:r w:rsidRPr="003D6D6B">
        <w:rPr>
          <w:rFonts w:ascii="Palatino Linotype" w:eastAsia="Palatino Linotype" w:hAnsi="Palatino Linotype" w:cs="Palatino Linotype"/>
          <w:i/>
          <w:sz w:val="22"/>
          <w:szCs w:val="22"/>
          <w:lang w:eastAsia="en-US"/>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7366708F"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b/>
          <w:i/>
          <w:sz w:val="22"/>
          <w:szCs w:val="22"/>
          <w:lang w:eastAsia="en-US"/>
        </w:rPr>
      </w:pPr>
      <w:r w:rsidRPr="003D6D6B">
        <w:rPr>
          <w:rFonts w:ascii="Palatino Linotype" w:eastAsia="Palatino Linotype" w:hAnsi="Palatino Linotype" w:cs="Palatino Linotype"/>
          <w:b/>
          <w:i/>
          <w:sz w:val="22"/>
          <w:szCs w:val="22"/>
          <w:lang w:eastAsia="en-US"/>
        </w:rPr>
        <w:t>...</w:t>
      </w:r>
    </w:p>
    <w:p w14:paraId="3BF90487"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Quincuagésimo séptimo</w:t>
      </w:r>
      <w:r w:rsidRPr="003D6D6B">
        <w:rPr>
          <w:rFonts w:ascii="Palatino Linotype" w:eastAsia="Palatino Linotype" w:hAnsi="Palatino Linotype" w:cs="Palatino Linotype"/>
          <w:i/>
          <w:sz w:val="22"/>
          <w:szCs w:val="22"/>
          <w:lang w:eastAsia="en-US"/>
        </w:rPr>
        <w:t xml:space="preserve">. Se considera, en principio, como información pública y no podrá omitirse de las versiones públicas la siguiente: </w:t>
      </w:r>
    </w:p>
    <w:p w14:paraId="5B2F7C25" w14:textId="77777777" w:rsidR="004B20A7" w:rsidRPr="003D6D6B" w:rsidRDefault="004B20A7" w:rsidP="004B20A7">
      <w:pPr>
        <w:spacing w:after="200" w:line="276" w:lineRule="auto"/>
        <w:ind w:left="1134"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w:t>
      </w:r>
      <w:r w:rsidRPr="003D6D6B">
        <w:rPr>
          <w:rFonts w:ascii="Palatino Linotype" w:eastAsia="Palatino Linotype" w:hAnsi="Palatino Linotype" w:cs="Palatino Linotype"/>
          <w:i/>
          <w:sz w:val="22"/>
          <w:szCs w:val="22"/>
          <w:lang w:eastAsia="en-US"/>
        </w:rPr>
        <w:t xml:space="preserve">. La relativa a las Obligaciones de Transparencia que contempla el Título V de la Ley General y las demás disposiciones legales aplicables; </w:t>
      </w:r>
    </w:p>
    <w:p w14:paraId="47BA6DC2" w14:textId="77777777" w:rsidR="004B20A7" w:rsidRPr="003D6D6B" w:rsidRDefault="004B20A7" w:rsidP="004B20A7">
      <w:pPr>
        <w:spacing w:after="200" w:line="276" w:lineRule="auto"/>
        <w:ind w:left="1134"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w:t>
      </w:r>
      <w:r w:rsidRPr="003D6D6B">
        <w:rPr>
          <w:rFonts w:ascii="Palatino Linotype" w:eastAsia="Palatino Linotype" w:hAnsi="Palatino Linotype" w:cs="Palatino Linotype"/>
          <w:i/>
          <w:sz w:val="22"/>
          <w:szCs w:val="22"/>
          <w:lang w:eastAsia="en-US"/>
        </w:rPr>
        <w:t xml:space="preserve"> El nombre de los integrantes de los sujetos obligados en los documentos, y sus firmas autógrafas o digitales, cuando sean utilizados en el ejercicio de las facultades conferidas para el desempeño del servicio público, y</w:t>
      </w:r>
    </w:p>
    <w:p w14:paraId="56118EE8" w14:textId="77777777" w:rsidR="004B20A7" w:rsidRPr="003D6D6B" w:rsidRDefault="004B20A7" w:rsidP="004B20A7">
      <w:pPr>
        <w:spacing w:after="200" w:line="276" w:lineRule="auto"/>
        <w:ind w:left="1134"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III</w:t>
      </w:r>
      <w:r w:rsidRPr="003D6D6B">
        <w:rPr>
          <w:rFonts w:ascii="Palatino Linotype" w:eastAsia="Palatino Linotype" w:hAnsi="Palatino Linotype" w:cs="Palatino Linotype"/>
          <w:i/>
          <w:sz w:val="22"/>
          <w:szCs w:val="22"/>
          <w:lang w:eastAsia="en-US"/>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7AA4358A"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i/>
          <w:sz w:val="22"/>
          <w:szCs w:val="22"/>
          <w:lang w:eastAsia="en-US"/>
        </w:rPr>
        <w:t xml:space="preserve">Lo anterior, siempre y cuando no se acredite alguna causal de clasificación, prevista en las leyes o en los tratados internacionales suscritas por el Estado mexicano.  </w:t>
      </w:r>
    </w:p>
    <w:p w14:paraId="08A6F87B" w14:textId="77777777" w:rsidR="004B20A7" w:rsidRPr="003D6D6B" w:rsidRDefault="004B20A7" w:rsidP="004B20A7">
      <w:pPr>
        <w:spacing w:after="200" w:line="276" w:lineRule="auto"/>
        <w:ind w:left="851" w:right="616"/>
        <w:jc w:val="both"/>
        <w:rPr>
          <w:rFonts w:ascii="Palatino Linotype" w:eastAsia="Palatino Linotype" w:hAnsi="Palatino Linotype" w:cs="Palatino Linotype"/>
          <w:i/>
          <w:sz w:val="22"/>
          <w:szCs w:val="22"/>
          <w:lang w:eastAsia="en-US"/>
        </w:rPr>
      </w:pPr>
      <w:r w:rsidRPr="003D6D6B">
        <w:rPr>
          <w:rFonts w:ascii="Palatino Linotype" w:eastAsia="Palatino Linotype" w:hAnsi="Palatino Linotype" w:cs="Palatino Linotype"/>
          <w:b/>
          <w:i/>
          <w:sz w:val="22"/>
          <w:szCs w:val="22"/>
          <w:lang w:eastAsia="en-US"/>
        </w:rPr>
        <w:t>Quincuagésimo octavo</w:t>
      </w:r>
      <w:r w:rsidRPr="003D6D6B">
        <w:rPr>
          <w:rFonts w:ascii="Palatino Linotype" w:eastAsia="Palatino Linotype" w:hAnsi="Palatino Linotype" w:cs="Palatino Linotype"/>
          <w:i/>
          <w:sz w:val="22"/>
          <w:szCs w:val="22"/>
          <w:lang w:eastAsia="en-US"/>
        </w:rPr>
        <w:t>. Los sujetos obligados garantizarán que los sistemas o medios empleados para eliminar la información en las versiones públicas sean irreversibles, de tal forma que no permitan su recuperación o la visualización de la misma.”</w:t>
      </w:r>
    </w:p>
    <w:p w14:paraId="08973837" w14:textId="77777777" w:rsidR="004B20A7" w:rsidRPr="003D6D6B" w:rsidRDefault="004B20A7" w:rsidP="004B20A7">
      <w:pPr>
        <w:shd w:val="clear" w:color="auto" w:fill="FFFFFF"/>
        <w:spacing w:line="360" w:lineRule="auto"/>
        <w:ind w:right="51"/>
        <w:jc w:val="both"/>
        <w:rPr>
          <w:rFonts w:ascii="Palatino Linotype" w:eastAsia="Palatino Linotype" w:hAnsi="Palatino Linotype" w:cs="Palatino Linotype"/>
          <w:sz w:val="22"/>
          <w:szCs w:val="22"/>
          <w:lang w:eastAsia="en-US"/>
        </w:rPr>
      </w:pPr>
      <w:r w:rsidRPr="003D6D6B">
        <w:rPr>
          <w:rFonts w:ascii="Palatino Linotype" w:eastAsia="Palatino Linotype" w:hAnsi="Palatino Linotype" w:cs="Palatino Linotype"/>
          <w:sz w:val="22"/>
          <w:szCs w:val="22"/>
          <w:lang w:eastAsia="en-US"/>
        </w:rPr>
        <w:t xml:space="preserve">Por lo tanto, la entrega de documentos en su versión pública debe acompañarse necesariamente del Acuerdo del Comité de Transparencia que la sustente, en el que se expongan los fundamentos y razonamientos que llevaron al </w:t>
      </w:r>
      <w:r w:rsidRPr="003D6D6B">
        <w:rPr>
          <w:rFonts w:ascii="Palatino Linotype" w:eastAsia="Palatino Linotype" w:hAnsi="Palatino Linotype" w:cs="Palatino Linotype"/>
          <w:b/>
          <w:sz w:val="22"/>
          <w:szCs w:val="22"/>
          <w:lang w:eastAsia="en-US"/>
        </w:rPr>
        <w:t>Sujeto Obligado</w:t>
      </w:r>
      <w:r w:rsidRPr="003D6D6B">
        <w:rPr>
          <w:rFonts w:ascii="Palatino Linotype" w:eastAsia="Palatino Linotype" w:hAnsi="Palatino Linotype" w:cs="Palatino Linotype"/>
          <w:sz w:val="22"/>
          <w:szCs w:val="22"/>
          <w:lang w:eastAsia="en-US"/>
        </w:rPr>
        <w:t xml:space="preserve">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del </w:t>
      </w:r>
      <w:r w:rsidRPr="003D6D6B">
        <w:rPr>
          <w:rFonts w:ascii="Palatino Linotype" w:eastAsia="Palatino Linotype" w:hAnsi="Palatino Linotype" w:cs="Palatino Linotype"/>
          <w:b/>
          <w:sz w:val="22"/>
          <w:szCs w:val="22"/>
          <w:lang w:eastAsia="en-US"/>
        </w:rPr>
        <w:t>Recurrente</w:t>
      </w:r>
      <w:r w:rsidRPr="003D6D6B">
        <w:rPr>
          <w:rFonts w:ascii="Palatino Linotype" w:eastAsia="Palatino Linotype" w:hAnsi="Palatino Linotype" w:cs="Palatino Linotype"/>
          <w:sz w:val="22"/>
          <w:szCs w:val="22"/>
          <w:lang w:eastAsia="en-US"/>
        </w:rPr>
        <w:t>.</w:t>
      </w:r>
    </w:p>
    <w:p w14:paraId="2C544BEE" w14:textId="77777777" w:rsidR="004B20A7" w:rsidRPr="003D6D6B" w:rsidRDefault="004B20A7" w:rsidP="004B20A7">
      <w:pPr>
        <w:spacing w:line="360" w:lineRule="auto"/>
        <w:jc w:val="both"/>
        <w:rPr>
          <w:rFonts w:ascii="Palatino Linotype" w:eastAsia="Palatino Linotype" w:hAnsi="Palatino Linotype" w:cs="Palatino Linotype"/>
          <w:sz w:val="22"/>
          <w:szCs w:val="22"/>
        </w:rPr>
      </w:pPr>
    </w:p>
    <w:p w14:paraId="38F1BAE9" w14:textId="77777777" w:rsidR="004B20A7" w:rsidRPr="003D6D6B" w:rsidRDefault="004B20A7" w:rsidP="004B20A7">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sz w:val="22"/>
          <w:szCs w:val="22"/>
        </w:rPr>
        <w:t>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fracción III, así como 188 de la Ley de Transparencia y Acceso a la Información Pública del Estado de México y Municipios, este Pleno:</w:t>
      </w:r>
    </w:p>
    <w:p w14:paraId="34706C1B" w14:textId="77777777" w:rsidR="004A2F65" w:rsidRPr="003D6D6B" w:rsidRDefault="00243A40">
      <w:pPr>
        <w:pBdr>
          <w:top w:val="nil"/>
          <w:left w:val="nil"/>
          <w:bottom w:val="nil"/>
          <w:right w:val="nil"/>
          <w:between w:val="nil"/>
        </w:pBdr>
        <w:spacing w:before="240" w:after="240" w:line="360" w:lineRule="auto"/>
        <w:jc w:val="center"/>
        <w:rPr>
          <w:rFonts w:ascii="Palatino Linotype" w:eastAsia="Palatino Linotype" w:hAnsi="Palatino Linotype" w:cs="Palatino Linotype"/>
          <w:sz w:val="22"/>
          <w:szCs w:val="22"/>
        </w:rPr>
      </w:pPr>
      <w:r w:rsidRPr="003D6D6B">
        <w:rPr>
          <w:rFonts w:ascii="Palatino Linotype" w:eastAsia="Palatino Linotype" w:hAnsi="Palatino Linotype" w:cs="Palatino Linotype"/>
          <w:b/>
          <w:bCs/>
          <w:sz w:val="22"/>
          <w:szCs w:val="22"/>
        </w:rPr>
        <w:t>III. R E S U E L V E</w:t>
      </w:r>
    </w:p>
    <w:p w14:paraId="668D9546" w14:textId="3F301BD0" w:rsidR="005270B4" w:rsidRPr="003D6D6B" w:rsidRDefault="005270B4" w:rsidP="005270B4">
      <w:pPr>
        <w:spacing w:line="360" w:lineRule="auto"/>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 xml:space="preserve">Primero. </w:t>
      </w:r>
      <w:r w:rsidRPr="003D6D6B">
        <w:rPr>
          <w:rFonts w:ascii="Palatino Linotype" w:eastAsia="Palatino Linotype" w:hAnsi="Palatino Linotype" w:cs="Palatino Linotype"/>
          <w:sz w:val="22"/>
          <w:szCs w:val="22"/>
        </w:rPr>
        <w:t xml:space="preserve">Resultan </w:t>
      </w:r>
      <w:r w:rsidRPr="003D6D6B">
        <w:rPr>
          <w:rFonts w:ascii="Palatino Linotype" w:eastAsia="Palatino Linotype" w:hAnsi="Palatino Linotype" w:cs="Palatino Linotype"/>
          <w:b/>
          <w:sz w:val="22"/>
          <w:szCs w:val="22"/>
        </w:rPr>
        <w:t>fundadas</w:t>
      </w:r>
      <w:r w:rsidRPr="003D6D6B">
        <w:rPr>
          <w:rFonts w:ascii="Palatino Linotype" w:eastAsia="Palatino Linotype" w:hAnsi="Palatino Linotype" w:cs="Palatino Linotype"/>
          <w:sz w:val="22"/>
          <w:szCs w:val="22"/>
        </w:rPr>
        <w:t xml:space="preserve"> las razones o motivos de inconformidad hechos valer por la parte</w:t>
      </w:r>
      <w:r w:rsidRPr="003D6D6B">
        <w:rPr>
          <w:rFonts w:ascii="Palatino Linotype" w:eastAsia="Palatino Linotype" w:hAnsi="Palatino Linotype" w:cs="Palatino Linotype"/>
          <w:b/>
          <w:sz w:val="22"/>
          <w:szCs w:val="22"/>
        </w:rPr>
        <w:t xml:space="preserve"> Recurrente</w:t>
      </w:r>
      <w:r w:rsidRPr="003D6D6B">
        <w:rPr>
          <w:rFonts w:ascii="Palatino Linotype" w:eastAsia="Palatino Linotype" w:hAnsi="Palatino Linotype" w:cs="Palatino Linotype"/>
          <w:sz w:val="22"/>
          <w:szCs w:val="22"/>
        </w:rPr>
        <w:t xml:space="preserve"> en el recurso de revisión </w:t>
      </w:r>
      <w:r w:rsidRPr="003D6D6B">
        <w:rPr>
          <w:rFonts w:ascii="Palatino Linotype" w:eastAsia="Palatino Linotype" w:hAnsi="Palatino Linotype" w:cs="Palatino Linotype"/>
          <w:b/>
          <w:sz w:val="22"/>
          <w:szCs w:val="22"/>
        </w:rPr>
        <w:t>0</w:t>
      </w:r>
      <w:r w:rsidR="00132E18" w:rsidRPr="003D6D6B">
        <w:rPr>
          <w:rFonts w:ascii="Palatino Linotype" w:eastAsia="Palatino Linotype" w:hAnsi="Palatino Linotype" w:cs="Palatino Linotype"/>
          <w:b/>
          <w:sz w:val="22"/>
          <w:szCs w:val="22"/>
        </w:rPr>
        <w:t>5907</w:t>
      </w:r>
      <w:r w:rsidRPr="003D6D6B">
        <w:rPr>
          <w:rFonts w:ascii="Palatino Linotype" w:eastAsia="Palatino Linotype" w:hAnsi="Palatino Linotype" w:cs="Palatino Linotype"/>
          <w:b/>
          <w:sz w:val="22"/>
          <w:szCs w:val="22"/>
        </w:rPr>
        <w:t>/INFOEM/IP/RR/2026</w:t>
      </w:r>
      <w:r w:rsidRPr="003D6D6B">
        <w:rPr>
          <w:rFonts w:ascii="Palatino Linotype" w:eastAsia="Palatino Linotype" w:hAnsi="Palatino Linotype" w:cs="Palatino Linotype"/>
          <w:sz w:val="22"/>
          <w:szCs w:val="22"/>
        </w:rPr>
        <w:t xml:space="preserve">; por lo que, en términos del </w:t>
      </w:r>
      <w:r w:rsidRPr="003D6D6B">
        <w:rPr>
          <w:rFonts w:ascii="Palatino Linotype" w:eastAsia="Palatino Linotype" w:hAnsi="Palatino Linotype" w:cs="Palatino Linotype"/>
          <w:b/>
          <w:sz w:val="22"/>
          <w:szCs w:val="22"/>
        </w:rPr>
        <w:t>Considerando</w:t>
      </w:r>
      <w:r w:rsidRPr="003D6D6B">
        <w:rPr>
          <w:rFonts w:ascii="Palatino Linotype" w:eastAsia="Palatino Linotype" w:hAnsi="Palatino Linotype" w:cs="Palatino Linotype"/>
          <w:sz w:val="22"/>
          <w:szCs w:val="22"/>
        </w:rPr>
        <w:t xml:space="preserve"> </w:t>
      </w:r>
      <w:r w:rsidRPr="003D6D6B">
        <w:rPr>
          <w:rFonts w:ascii="Palatino Linotype" w:eastAsia="Palatino Linotype" w:hAnsi="Palatino Linotype" w:cs="Palatino Linotype"/>
          <w:b/>
          <w:sz w:val="22"/>
          <w:szCs w:val="22"/>
        </w:rPr>
        <w:t xml:space="preserve">Cuarto </w:t>
      </w:r>
      <w:r w:rsidRPr="003D6D6B">
        <w:rPr>
          <w:rFonts w:ascii="Palatino Linotype" w:eastAsia="Palatino Linotype" w:hAnsi="Palatino Linotype" w:cs="Palatino Linotype"/>
          <w:sz w:val="22"/>
          <w:szCs w:val="22"/>
        </w:rPr>
        <w:t xml:space="preserve">de esta resolución, se </w:t>
      </w:r>
      <w:r w:rsidRPr="003D6D6B">
        <w:rPr>
          <w:rFonts w:ascii="Palatino Linotype" w:eastAsia="Palatino Linotype" w:hAnsi="Palatino Linotype" w:cs="Palatino Linotype"/>
          <w:b/>
          <w:sz w:val="22"/>
          <w:szCs w:val="22"/>
        </w:rPr>
        <w:t xml:space="preserve">Revoca </w:t>
      </w:r>
      <w:r w:rsidRPr="003D6D6B">
        <w:rPr>
          <w:rFonts w:ascii="Palatino Linotype" w:eastAsia="Palatino Linotype" w:hAnsi="Palatino Linotype" w:cs="Palatino Linotype"/>
          <w:sz w:val="22"/>
          <w:szCs w:val="22"/>
        </w:rPr>
        <w:t xml:space="preserve">la respuesta emitida por el </w:t>
      </w:r>
      <w:r w:rsidRPr="003D6D6B">
        <w:rPr>
          <w:rFonts w:ascii="Palatino Linotype" w:eastAsia="Palatino Linotype" w:hAnsi="Palatino Linotype" w:cs="Palatino Linotype"/>
          <w:b/>
          <w:sz w:val="22"/>
          <w:szCs w:val="22"/>
        </w:rPr>
        <w:t>Sujeto Obligado.</w:t>
      </w:r>
    </w:p>
    <w:p w14:paraId="60A49663" w14:textId="77777777" w:rsidR="005270B4" w:rsidRPr="003D6D6B" w:rsidRDefault="005270B4" w:rsidP="005270B4">
      <w:pPr>
        <w:spacing w:line="360" w:lineRule="auto"/>
        <w:jc w:val="both"/>
        <w:rPr>
          <w:rFonts w:ascii="Palatino Linotype" w:eastAsia="Palatino Linotype" w:hAnsi="Palatino Linotype" w:cs="Palatino Linotype"/>
          <w:b/>
          <w:sz w:val="22"/>
          <w:szCs w:val="22"/>
        </w:rPr>
      </w:pPr>
    </w:p>
    <w:p w14:paraId="471C55A5" w14:textId="76ED6288" w:rsidR="00132E18" w:rsidRPr="003D6D6B" w:rsidRDefault="005270B4" w:rsidP="00132E18">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rPr>
        <w:t xml:space="preserve">Segundo. </w:t>
      </w:r>
      <w:r w:rsidRPr="003D6D6B">
        <w:rPr>
          <w:rFonts w:ascii="Palatino Linotype" w:eastAsia="Palatino Linotype" w:hAnsi="Palatino Linotype" w:cs="Palatino Linotype"/>
          <w:sz w:val="22"/>
          <w:szCs w:val="22"/>
        </w:rPr>
        <w:t xml:space="preserve">Se </w:t>
      </w:r>
      <w:r w:rsidRPr="003D6D6B">
        <w:rPr>
          <w:rFonts w:ascii="Palatino Linotype" w:eastAsia="Palatino Linotype" w:hAnsi="Palatino Linotype" w:cs="Palatino Linotype"/>
          <w:b/>
          <w:sz w:val="22"/>
          <w:szCs w:val="22"/>
        </w:rPr>
        <w:t>Ordena</w:t>
      </w:r>
      <w:r w:rsidRPr="003D6D6B">
        <w:rPr>
          <w:rFonts w:ascii="Palatino Linotype" w:eastAsia="Palatino Linotype" w:hAnsi="Palatino Linotype" w:cs="Palatino Linotype"/>
          <w:sz w:val="22"/>
          <w:szCs w:val="22"/>
        </w:rPr>
        <w:t xml:space="preserve"> al </w:t>
      </w:r>
      <w:r w:rsidRPr="003D6D6B">
        <w:rPr>
          <w:rFonts w:ascii="Palatino Linotype" w:eastAsia="Palatino Linotype" w:hAnsi="Palatino Linotype" w:cs="Palatino Linotype"/>
          <w:b/>
          <w:sz w:val="22"/>
          <w:szCs w:val="22"/>
        </w:rPr>
        <w:t>Sujeto Obligado</w:t>
      </w:r>
      <w:r w:rsidRPr="003D6D6B">
        <w:rPr>
          <w:rFonts w:ascii="Palatino Linotype" w:eastAsia="Palatino Linotype" w:hAnsi="Palatino Linotype" w:cs="Palatino Linotype"/>
          <w:sz w:val="22"/>
          <w:szCs w:val="22"/>
        </w:rPr>
        <w:t xml:space="preserve">, en términos de los Considerandos </w:t>
      </w:r>
      <w:r w:rsidRPr="003D6D6B">
        <w:rPr>
          <w:rFonts w:ascii="Palatino Linotype" w:eastAsia="Palatino Linotype" w:hAnsi="Palatino Linotype" w:cs="Palatino Linotype"/>
          <w:b/>
          <w:sz w:val="22"/>
          <w:szCs w:val="22"/>
        </w:rPr>
        <w:t xml:space="preserve">Cuarto y Quinto </w:t>
      </w:r>
      <w:r w:rsidRPr="003D6D6B">
        <w:rPr>
          <w:rFonts w:ascii="Palatino Linotype" w:eastAsia="Palatino Linotype" w:hAnsi="Palatino Linotype" w:cs="Palatino Linotype"/>
          <w:sz w:val="22"/>
          <w:szCs w:val="22"/>
        </w:rPr>
        <w:t xml:space="preserve">de esta resolución, </w:t>
      </w:r>
      <w:r w:rsidRPr="003D6D6B">
        <w:rPr>
          <w:rFonts w:ascii="Palatino Linotype" w:eastAsia="Palatino Linotype" w:hAnsi="Palatino Linotype" w:cs="Palatino Linotype"/>
          <w:b/>
          <w:sz w:val="22"/>
          <w:szCs w:val="22"/>
        </w:rPr>
        <w:t xml:space="preserve">haga entrega vía Sistema de Acceso a la Información Mexiquense (SAIMEX), </w:t>
      </w:r>
      <w:r w:rsidR="00132E18" w:rsidRPr="003D6D6B">
        <w:rPr>
          <w:rFonts w:ascii="Palatino Linotype" w:eastAsia="Palatino Linotype" w:hAnsi="Palatino Linotype" w:cs="Palatino Linotype"/>
          <w:b/>
          <w:sz w:val="22"/>
          <w:szCs w:val="22"/>
        </w:rPr>
        <w:t>de ser procedente en versión pública,</w:t>
      </w:r>
      <w:r w:rsidR="00132E18" w:rsidRPr="003D6D6B">
        <w:rPr>
          <w:rFonts w:ascii="Palatino Linotype" w:eastAsia="Palatino Linotype" w:hAnsi="Palatino Linotype" w:cs="Palatino Linotype"/>
          <w:sz w:val="22"/>
          <w:szCs w:val="22"/>
        </w:rPr>
        <w:t xml:space="preserve"> </w:t>
      </w:r>
      <w:r w:rsidR="00132E18" w:rsidRPr="003D6D6B">
        <w:rPr>
          <w:rFonts w:ascii="Palatino Linotype" w:eastAsia="Palatino Linotype" w:hAnsi="Palatino Linotype" w:cs="Palatino Linotype"/>
          <w:b/>
          <w:sz w:val="22"/>
          <w:szCs w:val="22"/>
        </w:rPr>
        <w:t>el documento donde conste o se advierta, respecto de las obras públicas, incluidas las multianuales, autorizadas en la Décima Segunda Sesión Ordinaria de Cabildo celebrada el 23 de abril de 2025,</w:t>
      </w:r>
      <w:r w:rsidR="00132E18" w:rsidRPr="003D6D6B">
        <w:rPr>
          <w:rFonts w:ascii="Palatino Linotype" w:eastAsia="Palatino Linotype" w:hAnsi="Palatino Linotype" w:cs="Palatino Linotype"/>
          <w:sz w:val="22"/>
          <w:szCs w:val="22"/>
        </w:rPr>
        <w:t xml:space="preserve"> lo siguiente:</w:t>
      </w:r>
    </w:p>
    <w:p w14:paraId="250E6ABE"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p>
    <w:p w14:paraId="3521BFA9"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1.</w:t>
      </w:r>
      <w:r w:rsidRPr="003D6D6B">
        <w:rPr>
          <w:rFonts w:ascii="Palatino Linotype" w:eastAsia="Palatino Linotype" w:hAnsi="Palatino Linotype" w:cs="Palatino Linotype"/>
          <w:b/>
          <w:sz w:val="22"/>
          <w:szCs w:val="22"/>
        </w:rPr>
        <w:tab/>
        <w:t>Los documentos que den cuenta de los avances físicos y financieros,</w:t>
      </w:r>
    </w:p>
    <w:p w14:paraId="6AC2788E"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2.</w:t>
      </w:r>
      <w:r w:rsidRPr="003D6D6B">
        <w:rPr>
          <w:rFonts w:ascii="Palatino Linotype" w:eastAsia="Palatino Linotype" w:hAnsi="Palatino Linotype" w:cs="Palatino Linotype"/>
          <w:b/>
          <w:sz w:val="22"/>
          <w:szCs w:val="22"/>
        </w:rPr>
        <w:tab/>
        <w:t>Los contratos, y,</w:t>
      </w:r>
    </w:p>
    <w:p w14:paraId="4197C856" w14:textId="77777777" w:rsidR="00132E18" w:rsidRPr="003D6D6B" w:rsidRDefault="00132E18" w:rsidP="00132E18">
      <w:pPr>
        <w:spacing w:line="360" w:lineRule="auto"/>
        <w:ind w:right="49"/>
        <w:jc w:val="both"/>
        <w:rPr>
          <w:rFonts w:ascii="Palatino Linotype" w:eastAsia="Palatino Linotype" w:hAnsi="Palatino Linotype" w:cs="Palatino Linotype"/>
          <w:b/>
          <w:sz w:val="22"/>
          <w:szCs w:val="22"/>
        </w:rPr>
      </w:pPr>
      <w:r w:rsidRPr="003D6D6B">
        <w:rPr>
          <w:rFonts w:ascii="Palatino Linotype" w:eastAsia="Palatino Linotype" w:hAnsi="Palatino Linotype" w:cs="Palatino Linotype"/>
          <w:b/>
          <w:sz w:val="22"/>
          <w:szCs w:val="22"/>
        </w:rPr>
        <w:t>3.</w:t>
      </w:r>
      <w:r w:rsidRPr="003D6D6B">
        <w:rPr>
          <w:rFonts w:ascii="Palatino Linotype" w:eastAsia="Palatino Linotype" w:hAnsi="Palatino Linotype" w:cs="Palatino Linotype"/>
          <w:b/>
          <w:sz w:val="22"/>
          <w:szCs w:val="22"/>
        </w:rPr>
        <w:tab/>
        <w:t>El fundamento legal que sustenta su contratación.</w:t>
      </w:r>
    </w:p>
    <w:p w14:paraId="6851D149" w14:textId="33A7CAD0" w:rsidR="00E46C46" w:rsidRPr="003D6D6B" w:rsidRDefault="00E46C46" w:rsidP="00132E18">
      <w:pPr>
        <w:spacing w:line="360" w:lineRule="auto"/>
        <w:jc w:val="both"/>
        <w:rPr>
          <w:rFonts w:ascii="Palatino Linotype" w:eastAsia="Palatino Linotype" w:hAnsi="Palatino Linotype" w:cs="Palatino Linotype"/>
          <w:i/>
        </w:rPr>
      </w:pPr>
    </w:p>
    <w:p w14:paraId="126D0947" w14:textId="77777777" w:rsidR="005270B4" w:rsidRPr="003D6D6B" w:rsidRDefault="005270B4" w:rsidP="005270B4">
      <w:pPr>
        <w:pBdr>
          <w:top w:val="nil"/>
          <w:left w:val="nil"/>
          <w:bottom w:val="nil"/>
          <w:right w:val="nil"/>
          <w:between w:val="nil"/>
        </w:pBdr>
        <w:spacing w:line="276" w:lineRule="auto"/>
        <w:ind w:right="134"/>
        <w:jc w:val="both"/>
        <w:rPr>
          <w:rFonts w:ascii="Palatino Linotype" w:eastAsia="Palatino Linotype" w:hAnsi="Palatino Linotype" w:cs="Palatino Linotype"/>
          <w:i/>
        </w:rPr>
      </w:pPr>
      <w:r w:rsidRPr="003D6D6B">
        <w:rPr>
          <w:rFonts w:ascii="Palatino Linotype" w:eastAsia="Palatino Linotype" w:hAnsi="Palatino Linotype" w:cs="Palatino Linotype"/>
          <w:i/>
        </w:rPr>
        <w:t xml:space="preserve">Para la entrega en versión pública, se deberá emitir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 la parte Recurrente. </w:t>
      </w:r>
    </w:p>
    <w:p w14:paraId="7C099512" w14:textId="77777777" w:rsidR="005270B4" w:rsidRPr="003D6D6B" w:rsidRDefault="005270B4" w:rsidP="005270B4">
      <w:pPr>
        <w:pStyle w:val="Prrafodelista"/>
        <w:pBdr>
          <w:top w:val="nil"/>
          <w:left w:val="nil"/>
          <w:bottom w:val="nil"/>
          <w:right w:val="nil"/>
          <w:between w:val="nil"/>
        </w:pBdr>
        <w:spacing w:line="276" w:lineRule="auto"/>
        <w:ind w:left="360" w:right="49"/>
        <w:jc w:val="both"/>
        <w:rPr>
          <w:rFonts w:ascii="Palatino Linotype" w:eastAsia="Palatino Linotype" w:hAnsi="Palatino Linotype" w:cs="Palatino Linotype"/>
          <w:i/>
          <w:sz w:val="22"/>
          <w:szCs w:val="22"/>
        </w:rPr>
      </w:pPr>
    </w:p>
    <w:p w14:paraId="16A8E128" w14:textId="77777777" w:rsidR="005270B4" w:rsidRPr="003D6D6B" w:rsidRDefault="005270B4" w:rsidP="005270B4">
      <w:pPr>
        <w:spacing w:line="360" w:lineRule="auto"/>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rPr>
        <w:t xml:space="preserve">Tercero. Notifíquese, </w:t>
      </w:r>
      <w:r w:rsidRPr="003D6D6B">
        <w:rPr>
          <w:rFonts w:ascii="Palatino Linotype" w:eastAsia="Palatino Linotype" w:hAnsi="Palatino Linotype" w:cs="Palatino Linotype"/>
          <w:sz w:val="22"/>
          <w:szCs w:val="22"/>
        </w:rPr>
        <w:t xml:space="preserve">vía </w:t>
      </w:r>
      <w:r w:rsidRPr="003D6D6B">
        <w:rPr>
          <w:rFonts w:ascii="Palatino Linotype" w:eastAsia="Palatino Linotype" w:hAnsi="Palatino Linotype" w:cs="Palatino Linotype"/>
          <w:b/>
          <w:sz w:val="22"/>
          <w:szCs w:val="22"/>
        </w:rPr>
        <w:t>SAIMEX</w:t>
      </w:r>
      <w:r w:rsidRPr="003D6D6B">
        <w:rPr>
          <w:rFonts w:ascii="Palatino Linotype" w:eastAsia="Palatino Linotype" w:hAnsi="Palatino Linotype" w:cs="Palatino Linotype"/>
          <w:sz w:val="22"/>
          <w:szCs w:val="22"/>
        </w:rPr>
        <w:t xml:space="preserve">, al Titular de la Unidad de Transparencia del </w:t>
      </w:r>
      <w:r w:rsidRPr="003D6D6B">
        <w:rPr>
          <w:rFonts w:ascii="Palatino Linotype" w:eastAsia="Palatino Linotype" w:hAnsi="Palatino Linotype" w:cs="Palatino Linotype"/>
          <w:b/>
          <w:sz w:val="22"/>
          <w:szCs w:val="22"/>
        </w:rPr>
        <w:t>Sujeto Obligado,</w:t>
      </w:r>
      <w:r w:rsidRPr="003D6D6B">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7D27AB2" w14:textId="77777777" w:rsidR="005270B4" w:rsidRPr="003D6D6B" w:rsidRDefault="005270B4" w:rsidP="005270B4">
      <w:pPr>
        <w:spacing w:line="360" w:lineRule="auto"/>
        <w:jc w:val="both"/>
        <w:rPr>
          <w:rFonts w:ascii="Palatino Linotype" w:eastAsia="Palatino Linotype" w:hAnsi="Palatino Linotype" w:cs="Palatino Linotype"/>
          <w:sz w:val="22"/>
          <w:szCs w:val="22"/>
        </w:rPr>
      </w:pPr>
    </w:p>
    <w:p w14:paraId="10B9DD3A" w14:textId="77777777" w:rsidR="005270B4" w:rsidRPr="003D6D6B" w:rsidRDefault="005270B4" w:rsidP="005270B4">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rPr>
        <w:t>Cuarto.</w:t>
      </w:r>
      <w:r w:rsidRPr="003D6D6B">
        <w:rPr>
          <w:rFonts w:ascii="Palatino Linotype" w:eastAsia="Palatino Linotype" w:hAnsi="Palatino Linotype" w:cs="Palatino Linotype"/>
          <w:sz w:val="22"/>
          <w:szCs w:val="22"/>
        </w:rPr>
        <w:t xml:space="preserve"> </w:t>
      </w:r>
      <w:r w:rsidRPr="003D6D6B">
        <w:rPr>
          <w:rFonts w:ascii="Palatino Linotype" w:eastAsia="Palatino Linotype" w:hAnsi="Palatino Linotype" w:cs="Palatino Linotype"/>
          <w:b/>
          <w:sz w:val="22"/>
          <w:szCs w:val="22"/>
        </w:rPr>
        <w:t xml:space="preserve">Notifíquese, </w:t>
      </w:r>
      <w:r w:rsidRPr="003D6D6B">
        <w:rPr>
          <w:rFonts w:ascii="Palatino Linotype" w:eastAsia="Palatino Linotype" w:hAnsi="Palatino Linotype" w:cs="Palatino Linotype"/>
          <w:sz w:val="22"/>
          <w:szCs w:val="22"/>
        </w:rPr>
        <w:t xml:space="preserve">vía </w:t>
      </w:r>
      <w:r w:rsidRPr="003D6D6B">
        <w:rPr>
          <w:rFonts w:ascii="Palatino Linotype" w:eastAsia="Palatino Linotype" w:hAnsi="Palatino Linotype" w:cs="Palatino Linotype"/>
          <w:b/>
          <w:sz w:val="22"/>
          <w:szCs w:val="22"/>
        </w:rPr>
        <w:t>SAIMEX</w:t>
      </w:r>
      <w:r w:rsidRPr="003D6D6B">
        <w:rPr>
          <w:rFonts w:ascii="Palatino Linotype" w:eastAsia="Palatino Linotype" w:hAnsi="Palatino Linotype" w:cs="Palatino Linotype"/>
          <w:sz w:val="22"/>
          <w:szCs w:val="22"/>
        </w:rPr>
        <w:t xml:space="preserve">, al Titular de la Unidad de Transparencia del </w:t>
      </w:r>
      <w:r w:rsidRPr="003D6D6B">
        <w:rPr>
          <w:rFonts w:ascii="Palatino Linotype" w:eastAsia="Palatino Linotype" w:hAnsi="Palatino Linotype" w:cs="Palatino Linotype"/>
          <w:b/>
          <w:sz w:val="22"/>
          <w:szCs w:val="22"/>
        </w:rPr>
        <w:t>Sujeto Obligado,</w:t>
      </w:r>
      <w:r w:rsidRPr="003D6D6B">
        <w:rPr>
          <w:rFonts w:ascii="Palatino Linotype" w:eastAsia="Palatino Linotype" w:hAnsi="Palatino Linotype" w:cs="Palatino Linotype"/>
          <w:sz w:val="22"/>
          <w:szCs w:val="22"/>
        </w:rPr>
        <w:t xml:space="preserve"> que de conformidad con el artículo 198 de la Ley de Transparencia y Acceso a la Información Pública del Estado de México y Municipios, de considerarlo procedente, de manera fundada y motivada, podrá solicitar una ampliación de plazo para el cumplimiento de la presente resolución.</w:t>
      </w:r>
    </w:p>
    <w:p w14:paraId="4568B663" w14:textId="77777777" w:rsidR="005270B4" w:rsidRPr="003D6D6B" w:rsidRDefault="005270B4" w:rsidP="005270B4">
      <w:pPr>
        <w:spacing w:line="360" w:lineRule="auto"/>
        <w:ind w:right="49"/>
        <w:jc w:val="both"/>
        <w:rPr>
          <w:rFonts w:ascii="Palatino Linotype" w:eastAsia="Palatino Linotype" w:hAnsi="Palatino Linotype" w:cs="Palatino Linotype"/>
          <w:sz w:val="22"/>
          <w:szCs w:val="22"/>
        </w:rPr>
      </w:pPr>
    </w:p>
    <w:p w14:paraId="5D29D645" w14:textId="77777777" w:rsidR="005270B4" w:rsidRPr="003D6D6B" w:rsidRDefault="005270B4" w:rsidP="005270B4">
      <w:pPr>
        <w:spacing w:line="360" w:lineRule="auto"/>
        <w:ind w:right="49"/>
        <w:jc w:val="both"/>
        <w:rPr>
          <w:rFonts w:ascii="Palatino Linotype" w:eastAsia="Palatino Linotype" w:hAnsi="Palatino Linotype" w:cs="Palatino Linotype"/>
          <w:sz w:val="22"/>
          <w:szCs w:val="22"/>
        </w:rPr>
      </w:pPr>
      <w:r w:rsidRPr="003D6D6B">
        <w:rPr>
          <w:rFonts w:ascii="Palatino Linotype" w:eastAsia="Palatino Linotype" w:hAnsi="Palatino Linotype" w:cs="Palatino Linotype"/>
          <w:b/>
          <w:sz w:val="22"/>
          <w:szCs w:val="22"/>
        </w:rPr>
        <w:t xml:space="preserve">Quinto. Notifíquese vía SAIMEX, </w:t>
      </w:r>
      <w:r w:rsidRPr="003D6D6B">
        <w:rPr>
          <w:rFonts w:ascii="Palatino Linotype" w:eastAsia="Palatino Linotype" w:hAnsi="Palatino Linotype" w:cs="Palatino Linotype"/>
          <w:sz w:val="22"/>
          <w:szCs w:val="22"/>
        </w:rPr>
        <w:t xml:space="preserve">la presente resolución a la parte </w:t>
      </w:r>
      <w:r w:rsidRPr="003D6D6B">
        <w:rPr>
          <w:rFonts w:ascii="Palatino Linotype" w:eastAsia="Palatino Linotype" w:hAnsi="Palatino Linotype" w:cs="Palatino Linotype"/>
          <w:b/>
          <w:sz w:val="22"/>
          <w:szCs w:val="22"/>
        </w:rPr>
        <w:t>Recurrente</w:t>
      </w:r>
      <w:r w:rsidRPr="003D6D6B">
        <w:rPr>
          <w:rFonts w:ascii="Palatino Linotype" w:eastAsia="Palatino Linotype" w:hAnsi="Palatino Linotype" w:cs="Palatino Linotype"/>
          <w:sz w:val="22"/>
          <w:szCs w:val="22"/>
        </w:rPr>
        <w:t>, y hágase del conocimiento que en caso de que considere que la presente resolución le causa algún perjuicio, podrá promover el Juicio de Amparo en los términos de las leyes aplicables, de acuerdo a lo estipulado por el artículo 196 de la Ley de Transparencia y Acceso a la Información Pública del Estado de México y Municipios.</w:t>
      </w:r>
    </w:p>
    <w:p w14:paraId="290DFAE5" w14:textId="75179312" w:rsidR="005270B4" w:rsidRPr="00131CC8" w:rsidRDefault="005270B4" w:rsidP="005270B4">
      <w:pPr>
        <w:spacing w:before="240" w:after="240" w:line="360" w:lineRule="auto"/>
        <w:jc w:val="both"/>
        <w:rPr>
          <w:rFonts w:ascii="Palatino Linotype" w:eastAsia="Palatino Linotype" w:hAnsi="Palatino Linotype" w:cs="Palatino Linotype"/>
          <w:sz w:val="22"/>
          <w:szCs w:val="22"/>
        </w:rPr>
      </w:pPr>
      <w:r w:rsidRPr="003D6D6B">
        <w:rPr>
          <w:rFonts w:ascii="Palatino Linotype" w:hAnsi="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w:t>
      </w:r>
      <w:r w:rsidR="00954941" w:rsidRPr="003D6D6B">
        <w:rPr>
          <w:rFonts w:ascii="Palatino Linotype" w:hAnsi="Palatino Linotype"/>
          <w:sz w:val="22"/>
          <w:szCs w:val="22"/>
        </w:rPr>
        <w:t xml:space="preserve"> MARÍA DEL ROSARIO MEJÍA AYALA </w:t>
      </w:r>
      <w:r w:rsidRPr="003D6D6B">
        <w:rPr>
          <w:rFonts w:ascii="Palatino Linotype" w:hAnsi="Palatino Linotype"/>
          <w:sz w:val="22"/>
          <w:szCs w:val="22"/>
        </w:rPr>
        <w:t xml:space="preserve">Y GUADALUPE RAMÍREZ PEÑA; EN LA </w:t>
      </w:r>
      <w:r w:rsidR="00954941" w:rsidRPr="003D6D6B">
        <w:rPr>
          <w:rFonts w:ascii="Palatino Linotype" w:hAnsi="Palatino Linotype"/>
          <w:sz w:val="22"/>
          <w:szCs w:val="22"/>
        </w:rPr>
        <w:t xml:space="preserve">TRIGÉSIMA </w:t>
      </w:r>
      <w:r w:rsidR="00AC2E05" w:rsidRPr="003D6D6B">
        <w:rPr>
          <w:rFonts w:ascii="Palatino Linotype" w:hAnsi="Palatino Linotype"/>
          <w:sz w:val="22"/>
          <w:szCs w:val="22"/>
        </w:rPr>
        <w:t xml:space="preserve">TERCERA </w:t>
      </w:r>
      <w:r w:rsidRPr="003D6D6B">
        <w:rPr>
          <w:rFonts w:ascii="Palatino Linotype" w:hAnsi="Palatino Linotype"/>
          <w:sz w:val="22"/>
          <w:szCs w:val="22"/>
        </w:rPr>
        <w:t xml:space="preserve">SESIÓN ORDINARIA, CELEBRADA EL </w:t>
      </w:r>
      <w:r w:rsidR="00AC2E05" w:rsidRPr="003D6D6B">
        <w:rPr>
          <w:rFonts w:ascii="Palatino Linotype" w:hAnsi="Palatino Linotype"/>
          <w:sz w:val="22"/>
          <w:szCs w:val="22"/>
        </w:rPr>
        <w:t>DIECISIETE</w:t>
      </w:r>
      <w:r w:rsidR="00954941" w:rsidRPr="003D6D6B">
        <w:rPr>
          <w:rFonts w:ascii="Palatino Linotype" w:hAnsi="Palatino Linotype"/>
          <w:sz w:val="22"/>
          <w:szCs w:val="22"/>
        </w:rPr>
        <w:t xml:space="preserve"> DE SEPTIEMBRE</w:t>
      </w:r>
      <w:r w:rsidRPr="003D6D6B">
        <w:rPr>
          <w:rFonts w:ascii="Palatino Linotype" w:hAnsi="Palatino Linotype"/>
          <w:sz w:val="22"/>
          <w:szCs w:val="22"/>
        </w:rPr>
        <w:t xml:space="preserve"> DE DOS MIL VEINTISÉIS, </w:t>
      </w:r>
      <w:r w:rsidRPr="003D6D6B">
        <w:rPr>
          <w:rFonts w:ascii="Palatino Linotype" w:eastAsia="Palatino Linotype" w:hAnsi="Palatino Linotype" w:cs="Palatino Linotype"/>
          <w:sz w:val="22"/>
          <w:szCs w:val="22"/>
        </w:rPr>
        <w:t>ANTE EL SECRETARIO TÉCNICO DEL PLENO ALEXIS TAPIA RAMÍREZ.</w:t>
      </w:r>
    </w:p>
    <w:p w14:paraId="696EDD42" w14:textId="77777777" w:rsidR="004A2F65" w:rsidRPr="00131CC8" w:rsidRDefault="00243A40">
      <w:pPr>
        <w:spacing w:line="360" w:lineRule="auto"/>
        <w:jc w:val="both"/>
        <w:rPr>
          <w:rFonts w:ascii="Palatino Linotype" w:eastAsia="Palatino Linotype" w:hAnsi="Palatino Linotype" w:cs="Palatino Linotype"/>
          <w:sz w:val="22"/>
          <w:szCs w:val="22"/>
        </w:rPr>
      </w:pPr>
      <w:r w:rsidRPr="00131CC8">
        <w:rPr>
          <w:rFonts w:ascii="Palatino Linotype" w:eastAsia="Palatino Linotype" w:hAnsi="Palatino Linotype" w:cs="Palatino Linotype"/>
          <w:sz w:val="22"/>
          <w:szCs w:val="22"/>
        </w:rPr>
        <w:t xml:space="preserve"> </w:t>
      </w:r>
    </w:p>
    <w:p w14:paraId="5D2B2190" w14:textId="77777777" w:rsidR="004A2F65" w:rsidRPr="00131CC8" w:rsidRDefault="004A2F65">
      <w:pPr>
        <w:rPr>
          <w:rFonts w:ascii="Palatino Linotype" w:eastAsia="Palatino Linotype" w:hAnsi="Palatino Linotype" w:cs="Palatino Linotype"/>
          <w:sz w:val="22"/>
          <w:szCs w:val="22"/>
        </w:rPr>
      </w:pPr>
    </w:p>
    <w:p w14:paraId="5AB3836D" w14:textId="77777777" w:rsidR="004A2F65" w:rsidRPr="00131CC8" w:rsidRDefault="004A2F65">
      <w:pPr>
        <w:rPr>
          <w:rFonts w:ascii="Palatino Linotype" w:eastAsia="Palatino Linotype" w:hAnsi="Palatino Linotype" w:cs="Palatino Linotype"/>
          <w:sz w:val="22"/>
          <w:szCs w:val="22"/>
        </w:rPr>
      </w:pPr>
    </w:p>
    <w:p w14:paraId="33C5DEF0" w14:textId="77777777" w:rsidR="004A2F65" w:rsidRPr="00131CC8" w:rsidRDefault="004A2F65">
      <w:pPr>
        <w:rPr>
          <w:rFonts w:ascii="Palatino Linotype" w:eastAsia="Palatino Linotype" w:hAnsi="Palatino Linotype" w:cs="Palatino Linotype"/>
          <w:sz w:val="22"/>
          <w:szCs w:val="22"/>
        </w:rPr>
      </w:pPr>
    </w:p>
    <w:p w14:paraId="49067E12" w14:textId="77777777" w:rsidR="004A2F65" w:rsidRPr="00131CC8" w:rsidRDefault="004A2F65">
      <w:pPr>
        <w:rPr>
          <w:rFonts w:ascii="Palatino Linotype" w:eastAsia="Palatino Linotype" w:hAnsi="Palatino Linotype" w:cs="Palatino Linotype"/>
          <w:sz w:val="22"/>
          <w:szCs w:val="22"/>
        </w:rPr>
      </w:pPr>
    </w:p>
    <w:p w14:paraId="191F4D10" w14:textId="77777777" w:rsidR="004A2F65" w:rsidRPr="00131CC8" w:rsidRDefault="004A2F65">
      <w:pPr>
        <w:rPr>
          <w:rFonts w:ascii="Palatino Linotype" w:eastAsia="Palatino Linotype" w:hAnsi="Palatino Linotype" w:cs="Palatino Linotype"/>
          <w:sz w:val="22"/>
          <w:szCs w:val="22"/>
        </w:rPr>
      </w:pPr>
    </w:p>
    <w:p w14:paraId="60DC0E17" w14:textId="77777777" w:rsidR="004A2F65" w:rsidRPr="00131CC8" w:rsidRDefault="004A2F65">
      <w:pPr>
        <w:rPr>
          <w:rFonts w:ascii="Palatino Linotype" w:eastAsia="Palatino Linotype" w:hAnsi="Palatino Linotype" w:cs="Palatino Linotype"/>
          <w:sz w:val="22"/>
          <w:szCs w:val="22"/>
        </w:rPr>
      </w:pPr>
    </w:p>
    <w:p w14:paraId="751579CB" w14:textId="77777777" w:rsidR="004A2F65" w:rsidRPr="00131CC8" w:rsidRDefault="004A2F65">
      <w:pPr>
        <w:rPr>
          <w:rFonts w:ascii="Palatino Linotype" w:eastAsia="Palatino Linotype" w:hAnsi="Palatino Linotype" w:cs="Palatino Linotype"/>
          <w:sz w:val="22"/>
          <w:szCs w:val="22"/>
        </w:rPr>
      </w:pPr>
    </w:p>
    <w:p w14:paraId="53EE6119" w14:textId="77777777" w:rsidR="004A2F65" w:rsidRPr="00131CC8" w:rsidRDefault="004A2F65">
      <w:pPr>
        <w:rPr>
          <w:rFonts w:ascii="Palatino Linotype" w:eastAsia="Palatino Linotype" w:hAnsi="Palatino Linotype" w:cs="Palatino Linotype"/>
          <w:sz w:val="22"/>
          <w:szCs w:val="22"/>
        </w:rPr>
      </w:pPr>
    </w:p>
    <w:p w14:paraId="7B0FDBC3" w14:textId="77777777" w:rsidR="004A2F65" w:rsidRPr="00131CC8" w:rsidRDefault="004A2F65">
      <w:pPr>
        <w:rPr>
          <w:rFonts w:ascii="Palatino Linotype" w:eastAsia="Palatino Linotype" w:hAnsi="Palatino Linotype" w:cs="Palatino Linotype"/>
          <w:sz w:val="22"/>
          <w:szCs w:val="22"/>
        </w:rPr>
      </w:pPr>
    </w:p>
    <w:p w14:paraId="2A6EC652" w14:textId="77777777" w:rsidR="004A2F65" w:rsidRPr="00131CC8" w:rsidRDefault="004A2F65">
      <w:pPr>
        <w:spacing w:line="360" w:lineRule="auto"/>
        <w:jc w:val="both"/>
        <w:rPr>
          <w:rFonts w:ascii="Palatino Linotype" w:eastAsia="Palatino Linotype" w:hAnsi="Palatino Linotype" w:cs="Palatino Linotype"/>
          <w:sz w:val="22"/>
          <w:szCs w:val="22"/>
        </w:rPr>
      </w:pPr>
      <w:bookmarkStart w:id="8" w:name="_heading=h.3rdcrjn" w:colFirst="0" w:colLast="0"/>
      <w:bookmarkEnd w:id="8"/>
    </w:p>
    <w:p w14:paraId="76BB02A4" w14:textId="77777777" w:rsidR="004A2F65" w:rsidRPr="00131CC8" w:rsidRDefault="004A2F65">
      <w:pPr>
        <w:spacing w:line="360" w:lineRule="auto"/>
        <w:jc w:val="both"/>
        <w:rPr>
          <w:rFonts w:ascii="Palatino Linotype" w:eastAsia="Palatino Linotype" w:hAnsi="Palatino Linotype" w:cs="Palatino Linotype"/>
          <w:sz w:val="22"/>
          <w:szCs w:val="22"/>
        </w:rPr>
      </w:pPr>
    </w:p>
    <w:sectPr w:rsidR="004A2F65" w:rsidRPr="00131CC8">
      <w:headerReference w:type="default" r:id="rId12"/>
      <w:footerReference w:type="default" r:id="rId13"/>
      <w:headerReference w:type="first" r:id="rId14"/>
      <w:footerReference w:type="first" r:id="rId15"/>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FD375A" w14:textId="77777777" w:rsidR="0033531B" w:rsidRDefault="0033531B">
      <w:r>
        <w:separator/>
      </w:r>
    </w:p>
  </w:endnote>
  <w:endnote w:type="continuationSeparator" w:id="0">
    <w:p w14:paraId="03150196" w14:textId="77777777" w:rsidR="0033531B" w:rsidRDefault="00335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Linotype">
    <w:panose1 w:val="02040502050505030304"/>
    <w:charset w:val="00"/>
    <w:family w:val="roman"/>
    <w:pitch w:val="variable"/>
    <w:sig w:usb0="E0000287" w:usb1="40000013" w:usb2="00000000" w:usb3="00000000" w:csb0="0000019F" w:csb1="00000000"/>
    <w:embedRegular r:id="rId1" w:fontKey="{AB77C63C-4DF2-4287-9393-A827C20A297F}"/>
    <w:embedBold r:id="rId2" w:fontKey="{26FD3887-3144-4CB7-95F7-1D690F0B07C7}"/>
    <w:embedItalic r:id="rId3" w:fontKey="{936A2ECF-79CB-4603-9E94-6C438D6DD1E3}"/>
    <w:embedBoldItalic r:id="rId4" w:fontKey="{9A31E43B-E609-46D9-B8DA-8168AB4658DE}"/>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embedRegular r:id="rId5" w:fontKey="{AB9ED9F9-3763-4799-9D29-D33BA858765E}"/>
  </w:font>
  <w:font w:name="Calibri">
    <w:panose1 w:val="020F0502020204030204"/>
    <w:charset w:val="00"/>
    <w:family w:val="swiss"/>
    <w:pitch w:val="variable"/>
    <w:sig w:usb0="E4002EFF" w:usb1="C200247B" w:usb2="00000009" w:usb3="00000000" w:csb0="000001FF" w:csb1="00000000"/>
    <w:embedRegular r:id="rId6" w:fontKey="{CE19CD46-C7D2-465C-83F8-31E609E30F45}"/>
    <w:embedBold r:id="rId7" w:fontKey="{553B09EE-B091-44B0-A41F-A57896AE84F0}"/>
  </w:font>
  <w:font w:name="Cambria">
    <w:panose1 w:val="02040503050406030204"/>
    <w:charset w:val="00"/>
    <w:family w:val="roman"/>
    <w:pitch w:val="variable"/>
    <w:sig w:usb0="E00006FF" w:usb1="420024FF" w:usb2="02000000" w:usb3="00000000" w:csb0="0000019F" w:csb1="00000000"/>
    <w:embedRegular r:id="rId8" w:fontKey="{66389464-710A-4698-9536-DE36431A4CEB}"/>
    <w:embedBold r:id="rId9" w:fontKey="{D9974D24-E95A-4867-95A1-87920C417FEB}"/>
    <w:embedBoldItalic r:id="rId10" w:fontKey="{0CFF4484-10E6-491A-8217-D8932D97CCDC}"/>
  </w:font>
  <w:font w:name="Georgia">
    <w:panose1 w:val="02040502050405020303"/>
    <w:charset w:val="00"/>
    <w:family w:val="roman"/>
    <w:pitch w:val="variable"/>
    <w:sig w:usb0="00000287" w:usb1="00000000" w:usb2="00000000" w:usb3="00000000" w:csb0="0000009F" w:csb1="00000000"/>
    <w:embedItalic r:id="rId11" w:fontKey="{51F83A10-999E-4BEF-AD86-D6FC32C2DE52}"/>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C2D42" w14:textId="141EEBF3" w:rsidR="00DA410D" w:rsidRDefault="00DA410D">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DB66D9">
      <w:rPr>
        <w:rFonts w:ascii="Palatino Linotype" w:eastAsia="Palatino Linotype" w:hAnsi="Palatino Linotype" w:cs="Palatino Linotype"/>
        <w:b/>
        <w:bCs/>
        <w:noProof/>
        <w:color w:val="000000"/>
        <w:sz w:val="20"/>
        <w:szCs w:val="20"/>
      </w:rPr>
      <w:t>34</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DB66D9">
      <w:rPr>
        <w:rFonts w:ascii="Palatino Linotype" w:eastAsia="Palatino Linotype" w:hAnsi="Palatino Linotype" w:cs="Palatino Linotype"/>
        <w:b/>
        <w:bCs/>
        <w:noProof/>
        <w:color w:val="000000"/>
        <w:sz w:val="20"/>
        <w:szCs w:val="20"/>
      </w:rPr>
      <w:t>42</w:t>
    </w:r>
    <w:r>
      <w:rPr>
        <w:rFonts w:ascii="Palatino Linotype" w:eastAsia="Palatino Linotype" w:hAnsi="Palatino Linotype" w:cs="Palatino Linotype"/>
        <w:b/>
        <w:bCs/>
        <w:color w:val="000000"/>
        <w:sz w:val="20"/>
        <w:szCs w:val="20"/>
      </w:rPr>
      <w:fldChar w:fldCharType="end"/>
    </w:r>
  </w:p>
  <w:p w14:paraId="09012102" w14:textId="77777777" w:rsidR="00DA410D" w:rsidRDefault="00DA410D">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D13B7" w14:textId="49BA9E21" w:rsidR="00DA410D" w:rsidRDefault="00DA410D">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bCs/>
        <w:color w:val="000000"/>
        <w:sz w:val="20"/>
        <w:szCs w:val="20"/>
      </w:rPr>
      <w:t xml:space="preserve">Página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PAGE</w:instrText>
    </w:r>
    <w:r>
      <w:rPr>
        <w:rFonts w:ascii="Palatino Linotype" w:eastAsia="Palatino Linotype" w:hAnsi="Palatino Linotype" w:cs="Palatino Linotype"/>
        <w:b/>
        <w:bCs/>
        <w:color w:val="000000"/>
        <w:sz w:val="20"/>
        <w:szCs w:val="20"/>
      </w:rPr>
      <w:fldChar w:fldCharType="separate"/>
    </w:r>
    <w:r w:rsidR="00DB66D9">
      <w:rPr>
        <w:rFonts w:ascii="Palatino Linotype" w:eastAsia="Palatino Linotype" w:hAnsi="Palatino Linotype" w:cs="Palatino Linotype"/>
        <w:b/>
        <w:bCs/>
        <w:noProof/>
        <w:color w:val="000000"/>
        <w:sz w:val="20"/>
        <w:szCs w:val="20"/>
      </w:rPr>
      <w:t>1</w:t>
    </w:r>
    <w:r>
      <w:rPr>
        <w:rFonts w:ascii="Palatino Linotype" w:eastAsia="Palatino Linotype" w:hAnsi="Palatino Linotype" w:cs="Palatino Linotype"/>
        <w:b/>
        <w:bCs/>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bCs/>
        <w:color w:val="000000"/>
        <w:sz w:val="20"/>
        <w:szCs w:val="20"/>
      </w:rPr>
      <w:fldChar w:fldCharType="begin"/>
    </w:r>
    <w:r>
      <w:rPr>
        <w:rFonts w:ascii="Palatino Linotype" w:eastAsia="Palatino Linotype" w:hAnsi="Palatino Linotype" w:cs="Palatino Linotype"/>
        <w:b/>
        <w:bCs/>
        <w:color w:val="000000"/>
        <w:sz w:val="20"/>
        <w:szCs w:val="20"/>
      </w:rPr>
      <w:instrText>NUMPAGES</w:instrText>
    </w:r>
    <w:r>
      <w:rPr>
        <w:rFonts w:ascii="Palatino Linotype" w:eastAsia="Palatino Linotype" w:hAnsi="Palatino Linotype" w:cs="Palatino Linotype"/>
        <w:b/>
        <w:bCs/>
        <w:color w:val="000000"/>
        <w:sz w:val="20"/>
        <w:szCs w:val="20"/>
      </w:rPr>
      <w:fldChar w:fldCharType="separate"/>
    </w:r>
    <w:r w:rsidR="00DB66D9">
      <w:rPr>
        <w:rFonts w:ascii="Palatino Linotype" w:eastAsia="Palatino Linotype" w:hAnsi="Palatino Linotype" w:cs="Palatino Linotype"/>
        <w:b/>
        <w:bCs/>
        <w:noProof/>
        <w:color w:val="000000"/>
        <w:sz w:val="20"/>
        <w:szCs w:val="20"/>
      </w:rPr>
      <w:t>42</w:t>
    </w:r>
    <w:r>
      <w:rPr>
        <w:rFonts w:ascii="Palatino Linotype" w:eastAsia="Palatino Linotype" w:hAnsi="Palatino Linotype" w:cs="Palatino Linotype"/>
        <w:b/>
        <w:bCs/>
        <w:color w:val="000000"/>
        <w:sz w:val="20"/>
        <w:szCs w:val="20"/>
      </w:rPr>
      <w:fldChar w:fldCharType="end"/>
    </w:r>
  </w:p>
  <w:p w14:paraId="5A6A509C" w14:textId="77777777" w:rsidR="00DA410D" w:rsidRDefault="00DA410D">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088A0" w14:textId="77777777" w:rsidR="0033531B" w:rsidRDefault="0033531B">
      <w:r>
        <w:separator/>
      </w:r>
    </w:p>
  </w:footnote>
  <w:footnote w:type="continuationSeparator" w:id="0">
    <w:p w14:paraId="36E02EE2" w14:textId="77777777" w:rsidR="0033531B" w:rsidRDefault="003353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639EB" w14:textId="77777777" w:rsidR="00DA410D" w:rsidRDefault="00DA410D">
    <w:pPr>
      <w:rPr>
        <w:rFonts w:ascii="Cambria" w:eastAsia="Cambria" w:hAnsi="Cambria" w:cs="Cambria"/>
        <w:color w:val="000000"/>
      </w:rPr>
    </w:pPr>
    <w:r>
      <w:rPr>
        <w:noProof/>
      </w:rPr>
      <w:drawing>
        <wp:anchor distT="0" distB="0" distL="0" distR="0" simplePos="0" relativeHeight="251658240" behindDoc="1" locked="0" layoutInCell="1" hidden="0" allowOverlap="1" wp14:anchorId="2E32917D" wp14:editId="65042BD8">
          <wp:simplePos x="0" y="0"/>
          <wp:positionH relativeFrom="column">
            <wp:posOffset>-1080102</wp:posOffset>
          </wp:positionH>
          <wp:positionV relativeFrom="paragraph">
            <wp:posOffset>-488276</wp:posOffset>
          </wp:positionV>
          <wp:extent cx="7809865" cy="1016571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
      <w:tblW w:w="5953" w:type="dxa"/>
      <w:tblInd w:w="3261" w:type="dxa"/>
      <w:tblLayout w:type="fixed"/>
      <w:tblLook w:val="0400" w:firstRow="0" w:lastRow="0" w:firstColumn="0" w:lastColumn="0" w:noHBand="0" w:noVBand="1"/>
    </w:tblPr>
    <w:tblGrid>
      <w:gridCol w:w="2489"/>
      <w:gridCol w:w="3464"/>
    </w:tblGrid>
    <w:tr w:rsidR="00DA410D" w14:paraId="14F3112F" w14:textId="77777777">
      <w:tc>
        <w:tcPr>
          <w:tcW w:w="2489" w:type="dxa"/>
          <w:shd w:val="clear" w:color="auto" w:fill="auto"/>
        </w:tcPr>
        <w:p w14:paraId="4808AADC" w14:textId="77777777" w:rsidR="00DA410D" w:rsidRDefault="00DA410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shd w:val="clear" w:color="auto" w:fill="auto"/>
          <w:vAlign w:val="center"/>
        </w:tcPr>
        <w:p w14:paraId="0F8FA67F" w14:textId="6AA3093B" w:rsidR="00DA410D" w:rsidRDefault="00DA410D" w:rsidP="005C6F4A">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05907/INFOEM/IP/RR/2026</w:t>
          </w:r>
        </w:p>
      </w:tc>
    </w:tr>
    <w:tr w:rsidR="00DA410D" w14:paraId="33F1B826" w14:textId="77777777">
      <w:trPr>
        <w:trHeight w:val="228"/>
      </w:trPr>
      <w:tc>
        <w:tcPr>
          <w:tcW w:w="2489" w:type="dxa"/>
          <w:shd w:val="clear" w:color="auto" w:fill="auto"/>
          <w:vAlign w:val="center"/>
        </w:tcPr>
        <w:p w14:paraId="4BE6F0A5" w14:textId="77777777" w:rsidR="00DA410D" w:rsidRDefault="00DA410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shd w:val="clear" w:color="auto" w:fill="auto"/>
          <w:vAlign w:val="center"/>
        </w:tcPr>
        <w:p w14:paraId="75AAC919" w14:textId="1372C729" w:rsidR="00DA410D" w:rsidRDefault="00DA410D">
          <w:pPr>
            <w:ind w:left="-45" w:right="176"/>
            <w:jc w:val="both"/>
            <w:rPr>
              <w:rFonts w:ascii="Palatino Linotype" w:eastAsia="Palatino Linotype" w:hAnsi="Palatino Linotype" w:cs="Palatino Linotype"/>
              <w:b/>
              <w:bCs/>
              <w:sz w:val="22"/>
              <w:szCs w:val="22"/>
            </w:rPr>
          </w:pPr>
          <w:r w:rsidRPr="005C6F4A">
            <w:rPr>
              <w:rFonts w:ascii="Palatino Linotype" w:eastAsia="Palatino Linotype" w:hAnsi="Palatino Linotype" w:cs="Palatino Linotype"/>
              <w:b/>
              <w:bCs/>
              <w:sz w:val="22"/>
              <w:szCs w:val="22"/>
            </w:rPr>
            <w:t>Ayuntamiento de Atizapán de Zaragoza</w:t>
          </w:r>
        </w:p>
      </w:tc>
    </w:tr>
    <w:tr w:rsidR="00DA410D" w14:paraId="4765C211" w14:textId="77777777">
      <w:tc>
        <w:tcPr>
          <w:tcW w:w="2489" w:type="dxa"/>
          <w:shd w:val="clear" w:color="auto" w:fill="auto"/>
          <w:vAlign w:val="center"/>
        </w:tcPr>
        <w:p w14:paraId="5B324B37" w14:textId="77777777" w:rsidR="00DA410D" w:rsidRDefault="00DA410D">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shd w:val="clear" w:color="auto" w:fill="auto"/>
          <w:vAlign w:val="center"/>
        </w:tcPr>
        <w:p w14:paraId="337C6CC6" w14:textId="77777777" w:rsidR="00DA410D" w:rsidRDefault="00DA410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25D2F3B9" w14:textId="77777777" w:rsidR="00DA410D" w:rsidRDefault="00DA410D">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F051A" w14:textId="77777777" w:rsidR="00DA410D" w:rsidRDefault="00DA410D">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 xml:space="preserve"> </w:t>
    </w:r>
    <w:r>
      <w:rPr>
        <w:noProof/>
      </w:rPr>
      <w:drawing>
        <wp:anchor distT="0" distB="0" distL="0" distR="0" simplePos="0" relativeHeight="251659264" behindDoc="1" locked="0" layoutInCell="1" hidden="0" allowOverlap="1" wp14:anchorId="6C12E997" wp14:editId="55AD502F">
          <wp:simplePos x="0" y="0"/>
          <wp:positionH relativeFrom="column">
            <wp:posOffset>-1080128</wp:posOffset>
          </wp:positionH>
          <wp:positionV relativeFrom="paragraph">
            <wp:posOffset>-369904</wp:posOffset>
          </wp:positionV>
          <wp:extent cx="7809865" cy="1016571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14:sizeRelH relativeFrom="margin">
            <wp14:pctWidth>0</wp14:pctWidth>
          </wp14:sizeRelH>
          <wp14:sizeRelV relativeFrom="margin">
            <wp14:pctHeight>0</wp14:pctHeight>
          </wp14:sizeRelV>
        </wp:anchor>
      </w:drawing>
    </w:r>
  </w:p>
  <w:tbl>
    <w:tblPr>
      <w:tblStyle w:val="a0"/>
      <w:tblW w:w="5953" w:type="dxa"/>
      <w:tblInd w:w="3261" w:type="dxa"/>
      <w:tblLayout w:type="fixed"/>
      <w:tblLook w:val="0400" w:firstRow="0" w:lastRow="0" w:firstColumn="0" w:lastColumn="0" w:noHBand="0" w:noVBand="1"/>
    </w:tblPr>
    <w:tblGrid>
      <w:gridCol w:w="2489"/>
      <w:gridCol w:w="3464"/>
    </w:tblGrid>
    <w:tr w:rsidR="00DA410D" w14:paraId="09811BC6" w14:textId="77777777">
      <w:tc>
        <w:tcPr>
          <w:tcW w:w="2489" w:type="dxa"/>
          <w:shd w:val="clear" w:color="auto" w:fill="auto"/>
        </w:tcPr>
        <w:p w14:paraId="37D39142" w14:textId="77777777" w:rsidR="00DA410D" w:rsidRDefault="00DA410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Recurso de Revisión:</w:t>
          </w:r>
        </w:p>
      </w:tc>
      <w:tc>
        <w:tcPr>
          <w:tcW w:w="3464" w:type="dxa"/>
          <w:shd w:val="clear" w:color="auto" w:fill="auto"/>
          <w:vAlign w:val="center"/>
        </w:tcPr>
        <w:p w14:paraId="4A787083" w14:textId="4478D600" w:rsidR="00DA410D" w:rsidRDefault="00DA410D" w:rsidP="005C6F4A">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05907/INFOEM/IP/RR/2026</w:t>
          </w:r>
        </w:p>
      </w:tc>
    </w:tr>
    <w:tr w:rsidR="00DA410D" w14:paraId="31FD8A5F" w14:textId="77777777">
      <w:tc>
        <w:tcPr>
          <w:tcW w:w="2489" w:type="dxa"/>
          <w:shd w:val="clear" w:color="auto" w:fill="auto"/>
        </w:tcPr>
        <w:p w14:paraId="391327AA" w14:textId="77777777" w:rsidR="00DA410D" w:rsidRDefault="00DA410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Recurrente</w:t>
          </w:r>
        </w:p>
      </w:tc>
      <w:tc>
        <w:tcPr>
          <w:tcW w:w="3464" w:type="dxa"/>
          <w:shd w:val="clear" w:color="auto" w:fill="auto"/>
          <w:vAlign w:val="center"/>
        </w:tcPr>
        <w:p w14:paraId="2EE56918" w14:textId="662C7E86" w:rsidR="00DA410D" w:rsidRDefault="00DB66D9">
          <w:pPr>
            <w:ind w:right="175"/>
            <w:jc w:val="both"/>
            <w:rPr>
              <w:rFonts w:ascii="Palatino Linotype" w:eastAsia="Palatino Linotype" w:hAnsi="Palatino Linotype" w:cs="Palatino Linotype"/>
              <w:b/>
              <w:bCs/>
              <w:sz w:val="22"/>
              <w:szCs w:val="22"/>
            </w:rPr>
          </w:pPr>
          <w:r w:rsidRPr="00DB66D9">
            <w:rPr>
              <w:rFonts w:ascii="Palatino Linotype" w:eastAsia="Palatino Linotype" w:hAnsi="Palatino Linotype" w:cs="Palatino Linotype"/>
              <w:b/>
              <w:bCs/>
              <w:sz w:val="22"/>
              <w:szCs w:val="22"/>
            </w:rPr>
            <w:t>XXXX XXXXXX XXXXXXXXX</w:t>
          </w:r>
        </w:p>
      </w:tc>
    </w:tr>
    <w:tr w:rsidR="00DA410D" w14:paraId="48EEC5B5" w14:textId="77777777">
      <w:trPr>
        <w:trHeight w:val="228"/>
      </w:trPr>
      <w:tc>
        <w:tcPr>
          <w:tcW w:w="2489" w:type="dxa"/>
          <w:shd w:val="clear" w:color="auto" w:fill="auto"/>
          <w:vAlign w:val="center"/>
        </w:tcPr>
        <w:p w14:paraId="66B23161" w14:textId="77777777" w:rsidR="00DA410D" w:rsidRDefault="00DA410D">
          <w:pPr>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Sujeto Obligado:</w:t>
          </w:r>
        </w:p>
      </w:tc>
      <w:tc>
        <w:tcPr>
          <w:tcW w:w="3464" w:type="dxa"/>
          <w:shd w:val="clear" w:color="auto" w:fill="auto"/>
          <w:vAlign w:val="center"/>
        </w:tcPr>
        <w:p w14:paraId="5D1D5265" w14:textId="40E85B97" w:rsidR="00DA410D" w:rsidRDefault="00DA410D" w:rsidP="0003629B">
          <w:pPr>
            <w:ind w:left="-45" w:right="176"/>
            <w:jc w:val="both"/>
            <w:rPr>
              <w:rFonts w:ascii="Palatino Linotype" w:eastAsia="Palatino Linotype" w:hAnsi="Palatino Linotype" w:cs="Palatino Linotype"/>
              <w:b/>
              <w:bCs/>
              <w:sz w:val="22"/>
              <w:szCs w:val="22"/>
            </w:rPr>
          </w:pPr>
          <w:r w:rsidRPr="005C6F4A">
            <w:rPr>
              <w:rFonts w:ascii="Palatino Linotype" w:eastAsia="Palatino Linotype" w:hAnsi="Palatino Linotype" w:cs="Palatino Linotype"/>
              <w:b/>
              <w:bCs/>
              <w:sz w:val="22"/>
              <w:szCs w:val="22"/>
            </w:rPr>
            <w:t>Ayuntamiento de Atizapán de Zaragoza</w:t>
          </w:r>
        </w:p>
      </w:tc>
    </w:tr>
    <w:tr w:rsidR="00DA410D" w14:paraId="2BC1EA07" w14:textId="77777777">
      <w:tc>
        <w:tcPr>
          <w:tcW w:w="2489" w:type="dxa"/>
          <w:shd w:val="clear" w:color="auto" w:fill="auto"/>
          <w:vAlign w:val="center"/>
        </w:tcPr>
        <w:p w14:paraId="0B238281" w14:textId="77777777" w:rsidR="00DA410D" w:rsidRDefault="00DA410D">
          <w:pPr>
            <w:ind w:right="-108"/>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Comisionada ponente:</w:t>
          </w:r>
        </w:p>
      </w:tc>
      <w:tc>
        <w:tcPr>
          <w:tcW w:w="3464" w:type="dxa"/>
          <w:shd w:val="clear" w:color="auto" w:fill="auto"/>
          <w:vAlign w:val="center"/>
        </w:tcPr>
        <w:p w14:paraId="6C5248DB" w14:textId="77777777" w:rsidR="00DA410D" w:rsidRDefault="00DA410D">
          <w:pPr>
            <w:ind w:right="175"/>
            <w:jc w:val="both"/>
            <w:rPr>
              <w:rFonts w:ascii="Palatino Linotype" w:eastAsia="Palatino Linotype" w:hAnsi="Palatino Linotype" w:cs="Palatino Linotype"/>
              <w:b/>
              <w:bCs/>
              <w:sz w:val="22"/>
              <w:szCs w:val="22"/>
            </w:rPr>
          </w:pPr>
          <w:r>
            <w:rPr>
              <w:rFonts w:ascii="Palatino Linotype" w:eastAsia="Palatino Linotype" w:hAnsi="Palatino Linotype" w:cs="Palatino Linotype"/>
              <w:b/>
              <w:bCs/>
              <w:sz w:val="22"/>
              <w:szCs w:val="22"/>
            </w:rPr>
            <w:t>Guadalupe Ramírez Peña</w:t>
          </w:r>
        </w:p>
      </w:tc>
    </w:tr>
  </w:tbl>
  <w:p w14:paraId="493BDABF" w14:textId="77777777" w:rsidR="00DA410D" w:rsidRDefault="00DA410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6A5"/>
    <w:multiLevelType w:val="hybridMultilevel"/>
    <w:tmpl w:val="F26CAAA4"/>
    <w:lvl w:ilvl="0" w:tplc="D6E6B504">
      <w:start w:val="2"/>
      <w:numFmt w:val="bullet"/>
      <w:lvlText w:val="-"/>
      <w:lvlJc w:val="left"/>
      <w:pPr>
        <w:ind w:left="360" w:hanging="360"/>
      </w:pPr>
      <w:rPr>
        <w:rFonts w:ascii="Palatino Linotype" w:eastAsia="Palatino Linotype" w:hAnsi="Palatino Linotype" w:cs="Palatino Linotype"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05FB1BDD"/>
    <w:multiLevelType w:val="hybridMultilevel"/>
    <w:tmpl w:val="EDDA8B62"/>
    <w:lvl w:ilvl="0" w:tplc="3D8EBCD6">
      <w:start w:val="1"/>
      <w:numFmt w:val="lowerLetter"/>
      <w:lvlText w:val="%1)"/>
      <w:lvlJc w:val="left"/>
      <w:pPr>
        <w:ind w:left="1444" w:hanging="735"/>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09BB08C6"/>
    <w:multiLevelType w:val="hybridMultilevel"/>
    <w:tmpl w:val="21AE90A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AA91AF5"/>
    <w:multiLevelType w:val="multilevel"/>
    <w:tmpl w:val="B52044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D4E0E81"/>
    <w:multiLevelType w:val="multilevel"/>
    <w:tmpl w:val="1494C1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0419C4"/>
    <w:multiLevelType w:val="hybridMultilevel"/>
    <w:tmpl w:val="199CF84A"/>
    <w:lvl w:ilvl="0" w:tplc="4C42D5FA">
      <w:start w:val="4"/>
      <w:numFmt w:val="bullet"/>
      <w:lvlText w:val=""/>
      <w:lvlJc w:val="left"/>
      <w:pPr>
        <w:ind w:left="360" w:hanging="360"/>
      </w:pPr>
      <w:rPr>
        <w:rFonts w:ascii="Symbol" w:eastAsia="Palatino Linotype" w:hAnsi="Symbol" w:cs="Palatino Linotype"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 w15:restartNumberingAfterBreak="0">
    <w:nsid w:val="18940F6B"/>
    <w:multiLevelType w:val="multilevel"/>
    <w:tmpl w:val="7F1A66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18403C"/>
    <w:multiLevelType w:val="hybridMultilevel"/>
    <w:tmpl w:val="1AB4EEC4"/>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4365396"/>
    <w:multiLevelType w:val="multilevel"/>
    <w:tmpl w:val="F09E9E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D3271B"/>
    <w:multiLevelType w:val="hybridMultilevel"/>
    <w:tmpl w:val="88F0C76E"/>
    <w:lvl w:ilvl="0" w:tplc="4B428A28">
      <w:start w:val="7"/>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D4532C7"/>
    <w:multiLevelType w:val="multilevel"/>
    <w:tmpl w:val="6F08DD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1" w15:restartNumberingAfterBreak="0">
    <w:nsid w:val="426678BD"/>
    <w:multiLevelType w:val="hybridMultilevel"/>
    <w:tmpl w:val="C4882736"/>
    <w:lvl w:ilvl="0" w:tplc="09D0C9F8">
      <w:start w:val="9"/>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6D05C74"/>
    <w:multiLevelType w:val="multilevel"/>
    <w:tmpl w:val="1EA2A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A044CF"/>
    <w:multiLevelType w:val="multilevel"/>
    <w:tmpl w:val="0D282D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81254A"/>
    <w:multiLevelType w:val="multilevel"/>
    <w:tmpl w:val="626A0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4557AAD"/>
    <w:multiLevelType w:val="hybridMultilevel"/>
    <w:tmpl w:val="116CC7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5BE2B34"/>
    <w:multiLevelType w:val="hybridMultilevel"/>
    <w:tmpl w:val="ED8254D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BED5EF8"/>
    <w:multiLevelType w:val="hybridMultilevel"/>
    <w:tmpl w:val="410256E2"/>
    <w:lvl w:ilvl="0" w:tplc="9576557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F7F5EB6"/>
    <w:multiLevelType w:val="multilevel"/>
    <w:tmpl w:val="6D16810E"/>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5FA461CE"/>
    <w:multiLevelType w:val="multilevel"/>
    <w:tmpl w:val="C0BC72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04C0C05"/>
    <w:multiLevelType w:val="hybridMultilevel"/>
    <w:tmpl w:val="21AE90A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2561DD6"/>
    <w:multiLevelType w:val="hybridMultilevel"/>
    <w:tmpl w:val="21AE90A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83A1974"/>
    <w:multiLevelType w:val="hybridMultilevel"/>
    <w:tmpl w:val="ED8254D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9DA7D9D"/>
    <w:multiLevelType w:val="hybridMultilevel"/>
    <w:tmpl w:val="03B8F94C"/>
    <w:lvl w:ilvl="0" w:tplc="3D6A6EFA">
      <w:start w:val="6"/>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A5278F5"/>
    <w:multiLevelType w:val="hybridMultilevel"/>
    <w:tmpl w:val="06FA1FC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15:restartNumberingAfterBreak="0">
    <w:nsid w:val="7E48626D"/>
    <w:multiLevelType w:val="hybridMultilevel"/>
    <w:tmpl w:val="F1700794"/>
    <w:lvl w:ilvl="0" w:tplc="563229B2">
      <w:start w:val="1"/>
      <w:numFmt w:val="lowerLetter"/>
      <w:lvlText w:val="%1)"/>
      <w:lvlJc w:val="left"/>
      <w:pPr>
        <w:ind w:left="1804" w:hanging="360"/>
      </w:pPr>
      <w:rPr>
        <w:rFonts w:hint="default"/>
      </w:rPr>
    </w:lvl>
    <w:lvl w:ilvl="1" w:tplc="080A0019" w:tentative="1">
      <w:start w:val="1"/>
      <w:numFmt w:val="lowerLetter"/>
      <w:lvlText w:val="%2."/>
      <w:lvlJc w:val="left"/>
      <w:pPr>
        <w:ind w:left="2524" w:hanging="360"/>
      </w:pPr>
    </w:lvl>
    <w:lvl w:ilvl="2" w:tplc="080A001B" w:tentative="1">
      <w:start w:val="1"/>
      <w:numFmt w:val="lowerRoman"/>
      <w:lvlText w:val="%3."/>
      <w:lvlJc w:val="right"/>
      <w:pPr>
        <w:ind w:left="3244" w:hanging="180"/>
      </w:pPr>
    </w:lvl>
    <w:lvl w:ilvl="3" w:tplc="080A000F" w:tentative="1">
      <w:start w:val="1"/>
      <w:numFmt w:val="decimal"/>
      <w:lvlText w:val="%4."/>
      <w:lvlJc w:val="left"/>
      <w:pPr>
        <w:ind w:left="3964" w:hanging="360"/>
      </w:pPr>
    </w:lvl>
    <w:lvl w:ilvl="4" w:tplc="080A0019" w:tentative="1">
      <w:start w:val="1"/>
      <w:numFmt w:val="lowerLetter"/>
      <w:lvlText w:val="%5."/>
      <w:lvlJc w:val="left"/>
      <w:pPr>
        <w:ind w:left="4684" w:hanging="360"/>
      </w:pPr>
    </w:lvl>
    <w:lvl w:ilvl="5" w:tplc="080A001B" w:tentative="1">
      <w:start w:val="1"/>
      <w:numFmt w:val="lowerRoman"/>
      <w:lvlText w:val="%6."/>
      <w:lvlJc w:val="right"/>
      <w:pPr>
        <w:ind w:left="5404" w:hanging="180"/>
      </w:pPr>
    </w:lvl>
    <w:lvl w:ilvl="6" w:tplc="080A000F" w:tentative="1">
      <w:start w:val="1"/>
      <w:numFmt w:val="decimal"/>
      <w:lvlText w:val="%7."/>
      <w:lvlJc w:val="left"/>
      <w:pPr>
        <w:ind w:left="6124" w:hanging="360"/>
      </w:pPr>
    </w:lvl>
    <w:lvl w:ilvl="7" w:tplc="080A0019" w:tentative="1">
      <w:start w:val="1"/>
      <w:numFmt w:val="lowerLetter"/>
      <w:lvlText w:val="%8."/>
      <w:lvlJc w:val="left"/>
      <w:pPr>
        <w:ind w:left="6844" w:hanging="360"/>
      </w:pPr>
    </w:lvl>
    <w:lvl w:ilvl="8" w:tplc="080A001B" w:tentative="1">
      <w:start w:val="1"/>
      <w:numFmt w:val="lowerRoman"/>
      <w:lvlText w:val="%9."/>
      <w:lvlJc w:val="right"/>
      <w:pPr>
        <w:ind w:left="7564" w:hanging="180"/>
      </w:pPr>
    </w:lvl>
  </w:abstractNum>
  <w:abstractNum w:abstractNumId="26" w15:restartNumberingAfterBreak="0">
    <w:nsid w:val="7F907DC0"/>
    <w:multiLevelType w:val="hybridMultilevel"/>
    <w:tmpl w:val="3DF0885A"/>
    <w:lvl w:ilvl="0" w:tplc="4B0EB384">
      <w:start w:val="2"/>
      <w:numFmt w:val="bullet"/>
      <w:lvlText w:val=""/>
      <w:lvlJc w:val="left"/>
      <w:pPr>
        <w:ind w:left="720" w:hanging="360"/>
      </w:pPr>
      <w:rPr>
        <w:rFonts w:ascii="Symbol" w:eastAsia="Palatino Linotype" w:hAnsi="Symbol" w:cs="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8"/>
  </w:num>
  <w:num w:numId="4">
    <w:abstractNumId w:val="21"/>
  </w:num>
  <w:num w:numId="5">
    <w:abstractNumId w:val="13"/>
  </w:num>
  <w:num w:numId="6">
    <w:abstractNumId w:val="4"/>
  </w:num>
  <w:num w:numId="7">
    <w:abstractNumId w:val="6"/>
  </w:num>
  <w:num w:numId="8">
    <w:abstractNumId w:val="12"/>
  </w:num>
  <w:num w:numId="9">
    <w:abstractNumId w:val="8"/>
  </w:num>
  <w:num w:numId="10">
    <w:abstractNumId w:val="14"/>
  </w:num>
  <w:num w:numId="11">
    <w:abstractNumId w:val="19"/>
  </w:num>
  <w:num w:numId="12">
    <w:abstractNumId w:val="20"/>
  </w:num>
  <w:num w:numId="13">
    <w:abstractNumId w:val="24"/>
  </w:num>
  <w:num w:numId="14">
    <w:abstractNumId w:val="2"/>
  </w:num>
  <w:num w:numId="15">
    <w:abstractNumId w:val="9"/>
  </w:num>
  <w:num w:numId="16">
    <w:abstractNumId w:val="15"/>
  </w:num>
  <w:num w:numId="17">
    <w:abstractNumId w:val="17"/>
  </w:num>
  <w:num w:numId="18">
    <w:abstractNumId w:val="26"/>
  </w:num>
  <w:num w:numId="19">
    <w:abstractNumId w:val="22"/>
  </w:num>
  <w:num w:numId="20">
    <w:abstractNumId w:val="16"/>
  </w:num>
  <w:num w:numId="21">
    <w:abstractNumId w:val="0"/>
  </w:num>
  <w:num w:numId="22">
    <w:abstractNumId w:val="11"/>
  </w:num>
  <w:num w:numId="23">
    <w:abstractNumId w:val="23"/>
  </w:num>
  <w:num w:numId="24">
    <w:abstractNumId w:val="7"/>
  </w:num>
  <w:num w:numId="25">
    <w:abstractNumId w:val="5"/>
  </w:num>
  <w:num w:numId="26">
    <w:abstractNumId w:val="1"/>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65"/>
    <w:rsid w:val="00015388"/>
    <w:rsid w:val="0003629B"/>
    <w:rsid w:val="000568F0"/>
    <w:rsid w:val="000B28A9"/>
    <w:rsid w:val="000D1F09"/>
    <w:rsid w:val="0010351E"/>
    <w:rsid w:val="00122FD7"/>
    <w:rsid w:val="00131CC8"/>
    <w:rsid w:val="00132E18"/>
    <w:rsid w:val="001945A4"/>
    <w:rsid w:val="001A1EB3"/>
    <w:rsid w:val="001F7B9F"/>
    <w:rsid w:val="002008B1"/>
    <w:rsid w:val="0024347A"/>
    <w:rsid w:val="00243A40"/>
    <w:rsid w:val="0026243C"/>
    <w:rsid w:val="002779F7"/>
    <w:rsid w:val="002871D6"/>
    <w:rsid w:val="002B511B"/>
    <w:rsid w:val="002B609A"/>
    <w:rsid w:val="002D5B2D"/>
    <w:rsid w:val="00307023"/>
    <w:rsid w:val="0033531B"/>
    <w:rsid w:val="00337259"/>
    <w:rsid w:val="00341CAB"/>
    <w:rsid w:val="00344B4B"/>
    <w:rsid w:val="00357C8A"/>
    <w:rsid w:val="00372776"/>
    <w:rsid w:val="003C603E"/>
    <w:rsid w:val="003D2DBE"/>
    <w:rsid w:val="003D3012"/>
    <w:rsid w:val="003D6D6B"/>
    <w:rsid w:val="003F307C"/>
    <w:rsid w:val="003F4E52"/>
    <w:rsid w:val="004636A6"/>
    <w:rsid w:val="00496487"/>
    <w:rsid w:val="004A2F65"/>
    <w:rsid w:val="004A42EA"/>
    <w:rsid w:val="004B20A7"/>
    <w:rsid w:val="004B2B1C"/>
    <w:rsid w:val="004E54CF"/>
    <w:rsid w:val="005270B4"/>
    <w:rsid w:val="00591A4C"/>
    <w:rsid w:val="0059650F"/>
    <w:rsid w:val="005B2446"/>
    <w:rsid w:val="005C6F4A"/>
    <w:rsid w:val="005F09F3"/>
    <w:rsid w:val="00617983"/>
    <w:rsid w:val="00642253"/>
    <w:rsid w:val="006C6055"/>
    <w:rsid w:val="006D05F9"/>
    <w:rsid w:val="00702192"/>
    <w:rsid w:val="0074611A"/>
    <w:rsid w:val="007B768D"/>
    <w:rsid w:val="00832660"/>
    <w:rsid w:val="0086099D"/>
    <w:rsid w:val="00895B8E"/>
    <w:rsid w:val="008B55A3"/>
    <w:rsid w:val="008B6181"/>
    <w:rsid w:val="0090258F"/>
    <w:rsid w:val="00940658"/>
    <w:rsid w:val="00954941"/>
    <w:rsid w:val="0097057A"/>
    <w:rsid w:val="009C261A"/>
    <w:rsid w:val="009C3575"/>
    <w:rsid w:val="00A53C86"/>
    <w:rsid w:val="00AC2E05"/>
    <w:rsid w:val="00B12EAA"/>
    <w:rsid w:val="00B17074"/>
    <w:rsid w:val="00B2514F"/>
    <w:rsid w:val="00B417D1"/>
    <w:rsid w:val="00B63AAF"/>
    <w:rsid w:val="00B72443"/>
    <w:rsid w:val="00B96555"/>
    <w:rsid w:val="00BA0978"/>
    <w:rsid w:val="00BA523D"/>
    <w:rsid w:val="00BC1720"/>
    <w:rsid w:val="00BC28DF"/>
    <w:rsid w:val="00BF009F"/>
    <w:rsid w:val="00C62976"/>
    <w:rsid w:val="00CC46F4"/>
    <w:rsid w:val="00D373E2"/>
    <w:rsid w:val="00D51817"/>
    <w:rsid w:val="00D567C7"/>
    <w:rsid w:val="00D6170A"/>
    <w:rsid w:val="00D75565"/>
    <w:rsid w:val="00DA410D"/>
    <w:rsid w:val="00DA4868"/>
    <w:rsid w:val="00DB66D9"/>
    <w:rsid w:val="00DD6032"/>
    <w:rsid w:val="00DD6A3B"/>
    <w:rsid w:val="00DE5D1A"/>
    <w:rsid w:val="00E46C46"/>
    <w:rsid w:val="00EA3047"/>
    <w:rsid w:val="00EC4AB3"/>
    <w:rsid w:val="00EE2957"/>
    <w:rsid w:val="00EE7FB2"/>
    <w:rsid w:val="00F12FCD"/>
    <w:rsid w:val="00F761EF"/>
    <w:rsid w:val="00FB19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0595B"/>
  <w15:docId w15:val="{68F18416-C550-4D27-BBC6-A48CF9F78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bCs/>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bCs/>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bCs/>
      <w:i/>
      <w:iCs/>
      <w:sz w:val="26"/>
      <w:szCs w:val="26"/>
    </w:rPr>
  </w:style>
  <w:style w:type="paragraph" w:styleId="Ttulo6">
    <w:name w:val="heading 6"/>
    <w:basedOn w:val="Normal"/>
    <w:next w:val="Normal"/>
    <w:uiPriority w:val="9"/>
    <w:semiHidden/>
    <w:unhideWhenUsed/>
    <w:qFormat/>
    <w:pPr>
      <w:spacing w:before="240" w:after="60"/>
      <w:ind w:left="4320" w:hanging="72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DD6A3B"/>
    <w:pPr>
      <w:tabs>
        <w:tab w:val="center" w:pos="4419"/>
        <w:tab w:val="right" w:pos="8838"/>
      </w:tabs>
    </w:pPr>
  </w:style>
  <w:style w:type="character" w:customStyle="1" w:styleId="EncabezadoCar">
    <w:name w:val="Encabezado Car"/>
    <w:basedOn w:val="Fuentedeprrafopredeter"/>
    <w:link w:val="Encabezado"/>
    <w:uiPriority w:val="99"/>
    <w:rsid w:val="00DD6A3B"/>
  </w:style>
  <w:style w:type="paragraph" w:styleId="Piedepgina">
    <w:name w:val="footer"/>
    <w:basedOn w:val="Normal"/>
    <w:link w:val="PiedepginaCar"/>
    <w:uiPriority w:val="99"/>
    <w:unhideWhenUsed/>
    <w:rsid w:val="00DD6A3B"/>
    <w:pPr>
      <w:tabs>
        <w:tab w:val="center" w:pos="4419"/>
        <w:tab w:val="right" w:pos="8838"/>
      </w:tabs>
    </w:pPr>
  </w:style>
  <w:style w:type="character" w:customStyle="1" w:styleId="PiedepginaCar">
    <w:name w:val="Pie de página Car"/>
    <w:basedOn w:val="Fuentedeprrafopredeter"/>
    <w:link w:val="Piedepgina"/>
    <w:uiPriority w:val="99"/>
    <w:rsid w:val="00DD6A3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0D1F09"/>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270B4"/>
  </w:style>
  <w:style w:type="character" w:styleId="Hipervnculo">
    <w:name w:val="Hyperlink"/>
    <w:aliases w:val="Hipervínculo1,Hipervínculo11,Hipervínculo12,Hipervínculo13,Hipervínculo14,Hipervínculo15"/>
    <w:basedOn w:val="Fuentedeprrafopredeter"/>
    <w:uiPriority w:val="99"/>
    <w:unhideWhenUsed/>
    <w:rsid w:val="00D51817"/>
    <w:rPr>
      <w:color w:val="0000FF" w:themeColor="hyperlink"/>
      <w:u w:val="single"/>
    </w:rPr>
  </w:style>
  <w:style w:type="paragraph" w:styleId="NormalWeb">
    <w:name w:val="Normal (Web)"/>
    <w:basedOn w:val="Normal"/>
    <w:uiPriority w:val="99"/>
    <w:semiHidden/>
    <w:unhideWhenUsed/>
    <w:rsid w:val="00895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827661">
      <w:bodyDiv w:val="1"/>
      <w:marLeft w:val="0"/>
      <w:marRight w:val="0"/>
      <w:marTop w:val="0"/>
      <w:marBottom w:val="0"/>
      <w:divBdr>
        <w:top w:val="none" w:sz="0" w:space="0" w:color="auto"/>
        <w:left w:val="none" w:sz="0" w:space="0" w:color="auto"/>
        <w:bottom w:val="none" w:sz="0" w:space="0" w:color="auto"/>
        <w:right w:val="none" w:sz="0" w:space="0" w:color="auto"/>
      </w:divBdr>
    </w:div>
    <w:div w:id="1419789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egislacion.edomex.gob.mx/sites/legislacion.edomex.gob.mx/files/files/pdf/gct/2016/dic021.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MAbUqqZ7WgWVtIsN4f8Lw9L0Xw==">CgMxLjAyCWguNGQzNG9nODIIaC5namRneHMyCWguM2R5NnZrbTIJaC4zMGowemxsMgloLjJzOGV5bzEyDmguand5d3Fnd3pwdTdlMghoLnR5amN3dDIJaC4yZXQ5MnAwMgloLjQ0c2luaW8yCWguM3JkY3JqbjgAciExWE9iaFE3MjhQTDR2ZjlnNFVNaEdQbXRoZEFTN2lJb18=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10809</Words>
  <Characters>59451</Characters>
  <Application>Microsoft Office Word</Application>
  <DocSecurity>0</DocSecurity>
  <Lines>495</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INFOEM603</dc:creator>
  <cp:lastModifiedBy>Maricela Villagómez Martínez</cp:lastModifiedBy>
  <cp:revision>2</cp:revision>
  <cp:lastPrinted>2026-09-18T19:03:00Z</cp:lastPrinted>
  <dcterms:created xsi:type="dcterms:W3CDTF">2026-09-22T22:06:00Z</dcterms:created>
  <dcterms:modified xsi:type="dcterms:W3CDTF">2026-09-22T22:06:00Z</dcterms:modified>
</cp:coreProperties>
</file>