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CEC" w:rsidRPr="00593428" w:rsidRDefault="001F0CEC" w:rsidP="001F0CEC">
      <w:pPr>
        <w:spacing w:line="360" w:lineRule="auto"/>
        <w:jc w:val="both"/>
        <w:rPr>
          <w:rFonts w:ascii="Palatino Linotype" w:hAnsi="Palatino Linotype"/>
        </w:rPr>
      </w:pPr>
      <w:r w:rsidRPr="00593428">
        <w:rPr>
          <w:rFonts w:ascii="Palatino Linotype" w:hAnsi="Palatino Linotype"/>
        </w:rPr>
        <w:t>Resolución del Pleno del Instituto de Transparencia, Acceso a la Información Pública y Protección de Datos Personales del Estado de México y Municipios, con domicilio en Metepec, Estado de México, a ocho de abril de dos mil veintiséis.</w:t>
      </w:r>
    </w:p>
    <w:p w:rsidR="001F0CEC" w:rsidRPr="00593428" w:rsidRDefault="001F0CEC" w:rsidP="001F0CEC">
      <w:pPr>
        <w:spacing w:line="360" w:lineRule="auto"/>
        <w:jc w:val="both"/>
        <w:rPr>
          <w:rFonts w:ascii="Palatino Linotype" w:hAnsi="Palatino Linotype"/>
        </w:rPr>
      </w:pPr>
    </w:p>
    <w:p w:rsidR="001F0CEC" w:rsidRPr="00593428" w:rsidRDefault="001F0CEC" w:rsidP="001F0CEC">
      <w:pPr>
        <w:tabs>
          <w:tab w:val="left" w:pos="1701"/>
        </w:tabs>
        <w:spacing w:before="240" w:line="360" w:lineRule="auto"/>
        <w:jc w:val="both"/>
        <w:rPr>
          <w:rFonts w:ascii="Palatino Linotype" w:hAnsi="Palatino Linotype" w:cs="Arial"/>
          <w:sz w:val="28"/>
        </w:rPr>
      </w:pPr>
      <w:r w:rsidRPr="00593428">
        <w:rPr>
          <w:rFonts w:ascii="Palatino Linotype" w:hAnsi="Palatino Linotype" w:cs="Arial"/>
          <w:b/>
        </w:rPr>
        <w:t>VISTO</w:t>
      </w:r>
      <w:r w:rsidRPr="00593428">
        <w:rPr>
          <w:rFonts w:ascii="Palatino Linotype" w:hAnsi="Palatino Linotype" w:cs="Arial"/>
        </w:rPr>
        <w:t xml:space="preserve"> el expediente electrónico formado con motivo del recurso de revisión número</w:t>
      </w:r>
      <w:r w:rsidRPr="00593428">
        <w:rPr>
          <w:rFonts w:ascii="Palatino Linotype" w:hAnsi="Palatino Linotype" w:cs="Arial"/>
          <w:b/>
        </w:rPr>
        <w:t xml:space="preserve"> </w:t>
      </w:r>
      <w:bookmarkStart w:id="0" w:name="_GoBack"/>
      <w:r w:rsidRPr="00593428">
        <w:rPr>
          <w:rFonts w:ascii="Palatino Linotype" w:hAnsi="Palatino Linotype" w:cs="Arial"/>
          <w:b/>
          <w:bCs/>
          <w:lang w:eastAsia="es-MX"/>
        </w:rPr>
        <w:t>07965/INFOEM/IP/RR/2025</w:t>
      </w:r>
      <w:bookmarkEnd w:id="0"/>
      <w:r w:rsidRPr="00593428">
        <w:rPr>
          <w:rFonts w:ascii="Palatino Linotype" w:hAnsi="Palatino Linotype" w:cs="Arial"/>
          <w:b/>
          <w:bCs/>
          <w:lang w:eastAsia="es-MX"/>
        </w:rPr>
        <w:t xml:space="preserve">, </w:t>
      </w:r>
      <w:r w:rsidRPr="00593428">
        <w:rPr>
          <w:rFonts w:ascii="Palatino Linotype" w:hAnsi="Palatino Linotype"/>
        </w:rPr>
        <w:t>interpuesto por “</w:t>
      </w:r>
      <w:r w:rsidR="008B5DA0">
        <w:rPr>
          <w:rFonts w:ascii="Palatino Linotype" w:hAnsi="Palatino Linotype"/>
          <w:b/>
        </w:rPr>
        <w:t>XXXXXXXXXXXX</w:t>
      </w:r>
      <w:r w:rsidRPr="00593428">
        <w:rPr>
          <w:rFonts w:ascii="Palatino Linotype" w:hAnsi="Palatino Linotype"/>
        </w:rPr>
        <w:t xml:space="preserve">”, en lo sucesivo la parte </w:t>
      </w:r>
      <w:r w:rsidRPr="00593428">
        <w:rPr>
          <w:rFonts w:ascii="Palatino Linotype" w:hAnsi="Palatino Linotype"/>
          <w:b/>
        </w:rPr>
        <w:t>Recurrente</w:t>
      </w:r>
      <w:r w:rsidRPr="00593428">
        <w:rPr>
          <w:rFonts w:ascii="Palatino Linotype" w:hAnsi="Palatino Linotype"/>
        </w:rPr>
        <w:t xml:space="preserve">, en contra de la respuesta del </w:t>
      </w:r>
      <w:r w:rsidRPr="00593428">
        <w:rPr>
          <w:rFonts w:ascii="Palatino Linotype" w:hAnsi="Palatino Linotype"/>
          <w:b/>
        </w:rPr>
        <w:t>Sistema Municipal para el Desarrollo Integral de la Familia de Morelos</w:t>
      </w:r>
      <w:r w:rsidRPr="00593428">
        <w:rPr>
          <w:rFonts w:ascii="Palatino Linotype" w:hAnsi="Palatino Linotype"/>
        </w:rPr>
        <w:t xml:space="preserve">, en lo subsecuente el </w:t>
      </w:r>
      <w:r w:rsidRPr="00593428">
        <w:rPr>
          <w:rFonts w:ascii="Palatino Linotype" w:hAnsi="Palatino Linotype"/>
          <w:b/>
        </w:rPr>
        <w:t>Sujeto Obligado</w:t>
      </w:r>
      <w:r w:rsidRPr="00593428">
        <w:rPr>
          <w:rFonts w:ascii="Palatino Linotype" w:hAnsi="Palatino Linotype"/>
        </w:rPr>
        <w:t>, se procede a dictar la presente resolución.</w:t>
      </w:r>
    </w:p>
    <w:p w:rsidR="001F0CEC" w:rsidRPr="00593428" w:rsidRDefault="001F0CEC" w:rsidP="001F0CEC">
      <w:pPr>
        <w:pStyle w:val="infoemcitas"/>
        <w:jc w:val="center"/>
        <w:rPr>
          <w:b/>
          <w:bCs/>
          <w:i w:val="0"/>
          <w:iCs/>
          <w:sz w:val="24"/>
          <w:szCs w:val="28"/>
        </w:rPr>
      </w:pPr>
    </w:p>
    <w:p w:rsidR="001F0CEC" w:rsidRPr="00593428" w:rsidRDefault="001F0CEC" w:rsidP="001F0CEC">
      <w:pPr>
        <w:pStyle w:val="infoemcitas"/>
        <w:jc w:val="center"/>
        <w:rPr>
          <w:b/>
          <w:bCs/>
          <w:i w:val="0"/>
          <w:iCs/>
          <w:sz w:val="28"/>
          <w:szCs w:val="28"/>
        </w:rPr>
      </w:pPr>
      <w:r w:rsidRPr="00593428">
        <w:rPr>
          <w:b/>
          <w:bCs/>
          <w:i w:val="0"/>
          <w:iCs/>
          <w:sz w:val="28"/>
          <w:szCs w:val="28"/>
        </w:rPr>
        <w:t>A N T E C E D E N T E S   D E L   A S U N T O</w:t>
      </w:r>
    </w:p>
    <w:p w:rsidR="001F0CEC" w:rsidRPr="00593428" w:rsidRDefault="001F0CEC" w:rsidP="001F0CEC">
      <w:pPr>
        <w:spacing w:before="240" w:after="240" w:line="360" w:lineRule="auto"/>
        <w:jc w:val="both"/>
        <w:rPr>
          <w:rFonts w:ascii="Palatino Linotype" w:hAnsi="Palatino Linotype"/>
        </w:rPr>
      </w:pPr>
      <w:r w:rsidRPr="00593428">
        <w:rPr>
          <w:rFonts w:ascii="Palatino Linotype" w:hAnsi="Palatino Linotype" w:cs="Arial"/>
          <w:b/>
          <w:sz w:val="28"/>
        </w:rPr>
        <w:t>PRIMERO.</w:t>
      </w:r>
      <w:r w:rsidRPr="00593428">
        <w:rPr>
          <w:rFonts w:ascii="Palatino Linotype" w:hAnsi="Palatino Linotype" w:cs="Arial"/>
        </w:rPr>
        <w:t xml:space="preserve"> </w:t>
      </w:r>
      <w:r w:rsidRPr="00593428">
        <w:rPr>
          <w:rFonts w:ascii="Palatino Linotype" w:hAnsi="Palatino Linotype"/>
          <w:b/>
          <w:sz w:val="28"/>
          <w:szCs w:val="28"/>
        </w:rPr>
        <w:t>De la Solicitud de Información.</w:t>
      </w:r>
    </w:p>
    <w:p w:rsidR="001F0CEC" w:rsidRPr="00593428" w:rsidRDefault="001F0CEC" w:rsidP="001F0CEC">
      <w:pPr>
        <w:spacing w:before="240" w:line="360" w:lineRule="auto"/>
        <w:jc w:val="both"/>
        <w:rPr>
          <w:rFonts w:ascii="Palatino Linotype" w:hAnsi="Palatino Linotype" w:cs="Arial"/>
        </w:rPr>
      </w:pPr>
      <w:r w:rsidRPr="00593428">
        <w:rPr>
          <w:rFonts w:ascii="Palatino Linotype" w:hAnsi="Palatino Linotype" w:cs="Arial"/>
        </w:rPr>
        <w:t xml:space="preserve">Con fecha </w:t>
      </w:r>
      <w:r w:rsidRPr="00593428">
        <w:rPr>
          <w:rFonts w:ascii="Palatino Linotype" w:hAnsi="Palatino Linotype" w:cs="Arial"/>
          <w:b/>
        </w:rPr>
        <w:t>d</w:t>
      </w:r>
      <w:r w:rsidR="00FC2DA4" w:rsidRPr="00593428">
        <w:rPr>
          <w:rFonts w:ascii="Palatino Linotype" w:hAnsi="Palatino Linotype" w:cs="Arial"/>
          <w:b/>
        </w:rPr>
        <w:t>oce</w:t>
      </w:r>
      <w:r w:rsidRPr="00593428">
        <w:rPr>
          <w:rFonts w:ascii="Palatino Linotype" w:hAnsi="Palatino Linotype" w:cs="Arial"/>
          <w:b/>
        </w:rPr>
        <w:t xml:space="preserve"> de junio de dos mil veinticinco</w:t>
      </w:r>
      <w:r w:rsidRPr="00593428">
        <w:rPr>
          <w:rFonts w:ascii="Palatino Linotype" w:hAnsi="Palatino Linotype" w:cs="Arial"/>
        </w:rPr>
        <w:t>, la parte</w:t>
      </w:r>
      <w:r w:rsidRPr="00593428">
        <w:rPr>
          <w:rFonts w:ascii="Palatino Linotype" w:hAnsi="Palatino Linotype" w:cs="Arial"/>
          <w:b/>
        </w:rPr>
        <w:t xml:space="preserve"> Recurrente </w:t>
      </w:r>
      <w:r w:rsidRPr="00593428">
        <w:rPr>
          <w:rFonts w:ascii="Palatino Linotype" w:hAnsi="Palatino Linotype" w:cs="Arial"/>
        </w:rPr>
        <w:t>presentó a través del Sistema de Acceso a la Información Mexiquense (</w:t>
      </w:r>
      <w:r w:rsidRPr="00593428">
        <w:rPr>
          <w:rFonts w:ascii="Palatino Linotype" w:hAnsi="Palatino Linotype" w:cs="Arial"/>
          <w:b/>
        </w:rPr>
        <w:t>SAIMEX)</w:t>
      </w:r>
      <w:r w:rsidRPr="00593428">
        <w:rPr>
          <w:rFonts w:ascii="Palatino Linotype" w:hAnsi="Palatino Linotype" w:cs="Arial"/>
        </w:rPr>
        <w:t xml:space="preserve"> ante </w:t>
      </w:r>
      <w:r w:rsidRPr="00593428">
        <w:rPr>
          <w:rFonts w:ascii="Palatino Linotype" w:hAnsi="Palatino Linotype" w:cs="Arial"/>
          <w:b/>
        </w:rPr>
        <w:t>El Sujeto Obligado</w:t>
      </w:r>
      <w:r w:rsidRPr="00593428">
        <w:rPr>
          <w:rFonts w:ascii="Palatino Linotype" w:hAnsi="Palatino Linotype" w:cs="Arial"/>
        </w:rPr>
        <w:t xml:space="preserve">, solicitud de acceso a la información pública, registrada bajo el número de expediente </w:t>
      </w:r>
      <w:r w:rsidR="00FC2DA4" w:rsidRPr="00593428">
        <w:rPr>
          <w:rFonts w:ascii="Palatino Linotype" w:hAnsi="Palatino Linotype" w:cs="Arial"/>
          <w:b/>
        </w:rPr>
        <w:t>00005/DIFMORELOS/IP/2025</w:t>
      </w:r>
      <w:r w:rsidRPr="00593428">
        <w:rPr>
          <w:rFonts w:ascii="Palatino Linotype" w:hAnsi="Palatino Linotype" w:cs="Arial"/>
          <w:b/>
        </w:rPr>
        <w:t xml:space="preserve">, </w:t>
      </w:r>
      <w:r w:rsidRPr="00593428">
        <w:rPr>
          <w:rFonts w:ascii="Palatino Linotype" w:hAnsi="Palatino Linotype" w:cs="Arial"/>
        </w:rPr>
        <w:t>mediante la cual solicitó información en el tenor siguiente:</w:t>
      </w:r>
    </w:p>
    <w:p w:rsidR="001F0CEC" w:rsidRPr="00593428" w:rsidRDefault="001F0CEC" w:rsidP="00FC2DA4">
      <w:pPr>
        <w:pStyle w:val="INFOEM"/>
        <w:rPr>
          <w:lang w:val="es-ES_tradnl" w:eastAsia="es-ES"/>
        </w:rPr>
      </w:pPr>
      <w:r w:rsidRPr="00593428">
        <w:rPr>
          <w:lang w:val="es-ES_tradnl" w:eastAsia="es-ES"/>
        </w:rPr>
        <w:t>“</w:t>
      </w:r>
      <w:r w:rsidR="00FC2DA4" w:rsidRPr="00593428">
        <w:rPr>
          <w:lang w:val="es-ES" w:eastAsia="es-ES"/>
        </w:rPr>
        <w:t xml:space="preserve">Solocito la siguiente información por el periodo enero-marzo 2025: 1. Normatividad Aplicable 2. Estructura Orgánica 3. Organigrama 4. Facultades de Cada Área 5. Metas y Objetivos de las Áreas 6. Indicadores de Interés Público 7. Matriz de </w:t>
      </w:r>
      <w:r w:rsidR="00FC2DA4" w:rsidRPr="00593428">
        <w:rPr>
          <w:lang w:val="es-ES" w:eastAsia="es-ES"/>
        </w:rPr>
        <w:lastRenderedPageBreak/>
        <w:t xml:space="preserve">Indicadores Para Resultados relacionados con tema de interés público o trascendencia social 8. Indicadores de Objetivos y Resultados 9. Matriz de Indicadores de Resultados 10. Directorio de todos los Servidores Públicos 11. Remuneraciones 12. Tabulador de Sueldos y Salarios 13. Gastos por Concepto de Viáticos y gastos de representación 14. Plazas vacantes 15. Total de Plazas vacantes y ocupadas 16. Contrataciones de servicios profesionales por honorarios 17. Perfil de los puestos de los servidores públicos 18. Declaraciones patrimoniales de los servidores públicos 19. Programas de subsidios, estímulos y apoyos 20. Padrón de Beneficiarios 21. Agenda de Reuniones 22. Domicilio de la unidad de transparencia 23. Registro de solicitudes de acceso a la información recibidas y atendidas 24. Convocatorias a concursos para ocupar cargos públicos 25. Índices de los expedientes clasificados como reservados 26. Normatividad laboral 27. Recursos públicos entregados a sindicatos 28. Información curricular y sanciones administrativas 29. Servidores públicos con sanciones administrativas definitivas 30. Servicios requisitos para acceder a ellos 31. Trámites, requisitos y formatos que ofrecen 32. Presupuesto Asignado 33. Ejercicio de los egresos presupuestarios 34. Información financiera de cuenta pública 35. Deuda pública 36. Programa anual de comunicación social o equivalente 37. Erogación de recursos por contratación de servicios 38. Utilización de los tiempos oficiales 39. Resultados de auditorías realizadas 40. Resultados de procedimientos de adjudicación directa, licitación pública e invitación restringida 41. Resultados de la dictaminación de los estados financieros 42. Personas que usan recursos públicos 43. Las concesiones, contratos, convenios, permisos, licencias o autorizaciones otorgados 44. Informes emitidos 45. Estadísticas generadas 46. Gasto por capítulo, concepto y partida 47. Informes financieros contables, presupuestales 48. Padrón de proveedores y contratistas 49. Convenios de coordinación, de concertación con el sector social o privado 50. Inventario de bienes muebles 51. Inventario de altas practicadas a bienes </w:t>
      </w:r>
      <w:r w:rsidR="00FC2DA4" w:rsidRPr="00593428">
        <w:rPr>
          <w:lang w:val="es-ES" w:eastAsia="es-ES"/>
        </w:rPr>
        <w:lastRenderedPageBreak/>
        <w:t xml:space="preserve">muebles 52. Inventario de bajas practicadas a bienes muebles 53. Inventario de bienes inmuebles 54. Inventario de altas practicadas a bienes inmuebles 55. Inventario de bajas practicadas a bienes inmuebles 56. Inventario de bienes muebles e inmuebles donados 57. Recomendaciones emitidas por la Comisión Nacional de Derechos Humanos 58. Casos especiales emitidos por la CNDH u otros organismos 59. Recomendaciones emitidas por organismos internacionales 60. Resoluciones y laudos emitidos 61. Mecanismos de participación ciudadana 62. Resultado de los mecanismos de participación 63. Programas que ofrecen 64. Trámites para acceder a programas que ofrecen 65. Informe de sesiones del comité de transparencia 66. Informe de resoluciones del comité de transparencia 67. Integrantes del comité de transparencia 68. Calendario de sesiones ordinarias del comité de transparencia 69. Evaluaciones y encuestas a programas financiados con recursos públicos 70. Estudios financiados con recursos públicos 71. Listado de jubilados y pensionados y el monto que reciben 72. Ingresos recibidos por cualquier concepto por el sujeto obligado 73. Responsables de recibir, administrar y ejercer los ingresos 74. Donaciones en dinero y en especie realizadas 75. Inventarios documentales 76. Índice de expedientes clasificados como reservados 77. Cuadro general de clasficación archivística, Catálogo de disposición documental, Guía de archivo documental, Programa Anual de Desarrollo Archivístico, Informe Anual de cumplimiento, Actas y dictámenes de baja documental 78. Actas del consejo consultivo 79. Opiniones y recomendaciones del consejo consultivo 80. Solicitudes de intervención de comunicaciones 81. Solicitudes de registro de comunicaciones y de registro de localización geográfica 82. Información de interés público 83. Preguntas frecuentes 84. Transparencia proactiva 85. Tablas de aplicabilidad y de actualización de las obligaciones de transparencia 86. Plan de desarrollo 87. Presupuesto de egresos 88. Egresos y fórmulas de distribución de los recursos 89. Listado de expropiaciones realizadas 90. Contribuyentes que recibieron </w:t>
      </w:r>
      <w:r w:rsidR="00FC2DA4" w:rsidRPr="00593428">
        <w:rPr>
          <w:lang w:val="es-ES" w:eastAsia="es-ES"/>
        </w:rPr>
        <w:lastRenderedPageBreak/>
        <w:t>cancelación o condonación de créditos fiscales 91. Estadísticas sobre exenciones 92. Corredores(as) y notarios(as) públicos(as) 93. Sanciones aplicadas a corredores y notarios 94. Planes y/o programas de desarrollo urbano 95. Planes y programas de ordenamiento territorial 96. Planes y programas de ordenamiento ecológico 97. Tipos de uso de suelo 98. Licencias de uso de suelo 99. Licencias de construcción 100. Disposiciones administrativas 101. Requisitos para ser Oficial del Registro Civil 102. Resultados de los exámenes de aptitud 103. Resultados de las supervisiones, investigaciones e inspecciones a las Oficinas y Oficialías del Registro Civil 104. Oficialías del Registro Civil en el Estado de México, domicilios de las mismas e información curricular y antigüedad de sus titulares 105. Estadísticas de los trámites ante el Registro Civil 106. Calendario del ciclo escolar 107. Directorio de escuelas incorporadas 108. Lista de materiales y útiles escolares autorizados 109. Directorio de bibliotecas públicas estatales 110. Atlas de Riesgos 111. Información para el conocimiento y evaluación de las funciones y políticas públicas implementadas por el Poder Ejecutivo 112. Gaceta 113. Calendario de sesiones del cabildo 114. Sesiones celebradas de cabildo 115. Participaciones y Aportaciones recibidas, derivadas de la Ley de Coordinación Fiscal 116. Recursos federales recibidos, derivados del Título Segundo. Del Federalismo del Presupuesto de Egresos de la Federación</w:t>
      </w:r>
      <w:r w:rsidRPr="00593428">
        <w:rPr>
          <w:lang w:val="es-ES_tradnl" w:eastAsia="es-ES"/>
        </w:rPr>
        <w:t>” (Sic)</w:t>
      </w:r>
    </w:p>
    <w:p w:rsidR="001F0CEC" w:rsidRPr="00593428" w:rsidRDefault="001F0CEC" w:rsidP="001F0CEC">
      <w:pPr>
        <w:spacing w:before="240" w:line="360" w:lineRule="auto"/>
        <w:jc w:val="both"/>
        <w:rPr>
          <w:rFonts w:ascii="Palatino Linotype" w:hAnsi="Palatino Linotype"/>
          <w:lang w:val="es-ES_tradnl"/>
        </w:rPr>
      </w:pPr>
      <w:r w:rsidRPr="00593428">
        <w:rPr>
          <w:rFonts w:ascii="Palatino Linotype" w:hAnsi="Palatino Linotype"/>
          <w:b/>
          <w:lang w:val="es-ES_tradnl"/>
        </w:rPr>
        <w:t>Modalidad de entrega:</w:t>
      </w:r>
      <w:r w:rsidRPr="00593428">
        <w:rPr>
          <w:rFonts w:ascii="Palatino Linotype" w:hAnsi="Palatino Linotype"/>
          <w:lang w:val="es-ES_tradnl"/>
        </w:rPr>
        <w:t xml:space="preserve"> A través del SAIMEX.</w:t>
      </w:r>
    </w:p>
    <w:p w:rsidR="001F0CEC" w:rsidRPr="00593428" w:rsidRDefault="001F0CEC" w:rsidP="001F0CEC">
      <w:pPr>
        <w:spacing w:before="240" w:line="360" w:lineRule="auto"/>
        <w:jc w:val="both"/>
        <w:rPr>
          <w:rFonts w:ascii="Palatino Linotype" w:hAnsi="Palatino Linotype" w:cs="Arial"/>
          <w:b/>
          <w:sz w:val="28"/>
        </w:rPr>
      </w:pPr>
    </w:p>
    <w:p w:rsidR="001F0CEC" w:rsidRPr="00593428" w:rsidRDefault="001F0CEC" w:rsidP="001F0CEC">
      <w:pPr>
        <w:spacing w:line="360" w:lineRule="auto"/>
        <w:jc w:val="both"/>
        <w:rPr>
          <w:rFonts w:ascii="Palatino Linotype" w:hAnsi="Palatino Linotype" w:cs="Arial"/>
          <w:b/>
          <w:sz w:val="28"/>
        </w:rPr>
      </w:pPr>
      <w:r w:rsidRPr="00593428">
        <w:rPr>
          <w:rFonts w:ascii="Palatino Linotype" w:hAnsi="Palatino Linotype" w:cs="Arial"/>
          <w:b/>
          <w:sz w:val="28"/>
        </w:rPr>
        <w:t xml:space="preserve">SEGUNDO. </w:t>
      </w:r>
      <w:r w:rsidRPr="00593428">
        <w:rPr>
          <w:rFonts w:ascii="Palatino Linotype" w:hAnsi="Palatino Linotype" w:cs="Arial"/>
          <w:b/>
          <w:sz w:val="28"/>
          <w:szCs w:val="20"/>
        </w:rPr>
        <w:t>De la respuesta o entrega de la información.</w:t>
      </w:r>
    </w:p>
    <w:p w:rsidR="001F0CEC" w:rsidRPr="00593428" w:rsidRDefault="001F0CEC" w:rsidP="001F0CEC">
      <w:pPr>
        <w:pStyle w:val="Sinespaciado"/>
        <w:spacing w:line="360" w:lineRule="auto"/>
        <w:jc w:val="both"/>
        <w:rPr>
          <w:rFonts w:ascii="Palatino Linotype" w:hAnsi="Palatino Linotype" w:cs="Arial"/>
          <w:b/>
          <w:sz w:val="24"/>
        </w:rPr>
      </w:pPr>
      <w:r w:rsidRPr="00593428">
        <w:rPr>
          <w:rFonts w:ascii="Palatino Linotype" w:hAnsi="Palatino Linotype"/>
          <w:sz w:val="24"/>
        </w:rPr>
        <w:t xml:space="preserve">De las constancias que obran en el expediente electrónico, se advierte que el </w:t>
      </w:r>
      <w:r w:rsidRPr="00593428">
        <w:rPr>
          <w:rFonts w:ascii="Palatino Linotype" w:hAnsi="Palatino Linotype" w:cs="Arial"/>
          <w:sz w:val="24"/>
        </w:rPr>
        <w:t xml:space="preserve">día </w:t>
      </w:r>
      <w:r w:rsidR="00FC2DA4" w:rsidRPr="00593428">
        <w:rPr>
          <w:rFonts w:ascii="Palatino Linotype" w:hAnsi="Palatino Linotype" w:cs="Arial"/>
          <w:b/>
          <w:sz w:val="24"/>
        </w:rPr>
        <w:t>treinta de junio</w:t>
      </w:r>
      <w:r w:rsidRPr="00593428">
        <w:rPr>
          <w:rFonts w:ascii="Palatino Linotype" w:hAnsi="Palatino Linotype" w:cs="Arial"/>
          <w:b/>
          <w:sz w:val="24"/>
        </w:rPr>
        <w:t xml:space="preserve"> de dos mil veinticinco</w:t>
      </w:r>
      <w:r w:rsidRPr="00593428">
        <w:rPr>
          <w:rFonts w:ascii="Palatino Linotype" w:hAnsi="Palatino Linotype" w:cs="Arial"/>
          <w:sz w:val="24"/>
        </w:rPr>
        <w:t xml:space="preserve">, el </w:t>
      </w:r>
      <w:r w:rsidRPr="00593428">
        <w:rPr>
          <w:rFonts w:ascii="Palatino Linotype" w:hAnsi="Palatino Linotype" w:cs="Arial"/>
          <w:b/>
          <w:sz w:val="24"/>
        </w:rPr>
        <w:t>Sujeto Obligado</w:t>
      </w:r>
      <w:r w:rsidRPr="00593428">
        <w:rPr>
          <w:rFonts w:ascii="Palatino Linotype" w:hAnsi="Palatino Linotype" w:cs="Arial"/>
          <w:sz w:val="24"/>
        </w:rPr>
        <w:t xml:space="preserve"> dio respuesta a la solicitud de información en los siguientes términos: </w:t>
      </w:r>
    </w:p>
    <w:p w:rsidR="001F0CEC" w:rsidRPr="00593428" w:rsidRDefault="001F0CEC" w:rsidP="001F0CEC">
      <w:pPr>
        <w:spacing w:line="360" w:lineRule="auto"/>
        <w:jc w:val="both"/>
        <w:rPr>
          <w:rFonts w:ascii="Palatino Linotype" w:hAnsi="Palatino Linotype" w:cs="Arial"/>
        </w:rPr>
      </w:pPr>
    </w:p>
    <w:p w:rsidR="00FC2DA4" w:rsidRPr="00593428" w:rsidRDefault="001F0CEC" w:rsidP="00FC2DA4">
      <w:pPr>
        <w:ind w:left="567" w:right="567"/>
        <w:jc w:val="both"/>
        <w:rPr>
          <w:rFonts w:ascii="Palatino Linotype" w:hAnsi="Palatino Linotype" w:cs="Arial"/>
          <w:i/>
        </w:rPr>
      </w:pPr>
      <w:r w:rsidRPr="00593428">
        <w:rPr>
          <w:rFonts w:ascii="Palatino Linotype" w:hAnsi="Palatino Linotype" w:cs="Arial"/>
          <w:i/>
        </w:rPr>
        <w:t>“</w:t>
      </w:r>
      <w:r w:rsidR="00FC2DA4" w:rsidRPr="0059342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F0CEC" w:rsidRPr="00593428" w:rsidRDefault="00FC2DA4" w:rsidP="00FC2DA4">
      <w:pPr>
        <w:ind w:left="567" w:right="567"/>
        <w:jc w:val="both"/>
        <w:rPr>
          <w:rFonts w:ascii="Palatino Linotype" w:hAnsi="Palatino Linotype" w:cs="Arial"/>
          <w:i/>
        </w:rPr>
      </w:pPr>
      <w:r w:rsidRPr="00593428">
        <w:rPr>
          <w:rFonts w:ascii="Palatino Linotype" w:hAnsi="Palatino Linotype" w:cs="Arial"/>
          <w:i/>
        </w:rPr>
        <w:t xml:space="preserve">Se adjunta respuesta a solicitud de información Número 00005/DIFMORELOS/IP/2025 </w:t>
      </w:r>
      <w:r w:rsidR="001F0CEC" w:rsidRPr="00593428">
        <w:rPr>
          <w:rFonts w:ascii="Palatino Linotype" w:hAnsi="Palatino Linotype" w:cs="Arial"/>
          <w:i/>
        </w:rPr>
        <w:t>“(Sic).</w:t>
      </w:r>
    </w:p>
    <w:p w:rsidR="001F0CEC" w:rsidRPr="00593428" w:rsidRDefault="001F0CEC" w:rsidP="001F0CEC">
      <w:pPr>
        <w:spacing w:line="360" w:lineRule="auto"/>
        <w:ind w:right="567"/>
        <w:jc w:val="both"/>
        <w:rPr>
          <w:rFonts w:ascii="Palatino Linotype" w:hAnsi="Palatino Linotype" w:cs="Arial"/>
        </w:rPr>
      </w:pPr>
    </w:p>
    <w:p w:rsidR="001F0CEC" w:rsidRPr="00593428" w:rsidRDefault="001F0CEC" w:rsidP="00FC2DA4">
      <w:pPr>
        <w:spacing w:line="360" w:lineRule="auto"/>
        <w:jc w:val="both"/>
        <w:rPr>
          <w:rFonts w:ascii="Palatino Linotype" w:hAnsi="Palatino Linotype" w:cs="Arial"/>
        </w:rPr>
      </w:pPr>
      <w:r w:rsidRPr="00593428">
        <w:rPr>
          <w:rFonts w:ascii="Palatino Linotype" w:hAnsi="Palatino Linotype" w:cs="Arial"/>
        </w:rPr>
        <w:t xml:space="preserve">Adicionalmente, el </w:t>
      </w:r>
      <w:r w:rsidRPr="00593428">
        <w:rPr>
          <w:rFonts w:ascii="Palatino Linotype" w:hAnsi="Palatino Linotype" w:cs="Arial"/>
          <w:b/>
        </w:rPr>
        <w:t>Sujeto Obligado</w:t>
      </w:r>
      <w:r w:rsidRPr="00593428">
        <w:rPr>
          <w:rFonts w:ascii="Palatino Linotype" w:hAnsi="Palatino Linotype" w:cs="Arial"/>
        </w:rPr>
        <w:t xml:space="preserve"> adjuntó el archivo electrónico denominado “</w:t>
      </w:r>
      <w:r w:rsidR="00FC2DA4" w:rsidRPr="00593428">
        <w:rPr>
          <w:rFonts w:ascii="Palatino Linotype" w:hAnsi="Palatino Linotype" w:cs="Arial"/>
          <w:b/>
          <w:i/>
        </w:rPr>
        <w:t>Respuesta a solicitud 00005-DIFMORELOS-IP-2025.pdf” y “Respuesta a solicitud 0005-DIFMORELOS-IP-2025-2.pdf</w:t>
      </w:r>
      <w:r w:rsidRPr="00593428">
        <w:rPr>
          <w:rFonts w:ascii="Palatino Linotype" w:hAnsi="Palatino Linotype" w:cs="Arial"/>
          <w:b/>
          <w:i/>
        </w:rPr>
        <w:t xml:space="preserve">”, </w:t>
      </w:r>
      <w:r w:rsidRPr="00593428">
        <w:rPr>
          <w:rFonts w:ascii="Palatino Linotype" w:hAnsi="Palatino Linotype" w:cs="Arial"/>
        </w:rPr>
        <w:t xml:space="preserve">mismo que no se reproduce por ser del conocimiento de las partes, sin embargo, será materia de estudio en el considerando respectivo. </w:t>
      </w:r>
    </w:p>
    <w:p w:rsidR="001F0CEC" w:rsidRPr="00593428" w:rsidRDefault="001F0CEC" w:rsidP="001F0CEC">
      <w:pPr>
        <w:spacing w:line="360" w:lineRule="auto"/>
        <w:jc w:val="both"/>
        <w:rPr>
          <w:rFonts w:ascii="Palatino Linotype" w:hAnsi="Palatino Linotype" w:cs="Arial"/>
        </w:rPr>
      </w:pPr>
    </w:p>
    <w:p w:rsidR="001F0CEC" w:rsidRPr="00593428" w:rsidRDefault="001F0CEC" w:rsidP="001F0CEC">
      <w:pPr>
        <w:spacing w:before="240" w:line="360" w:lineRule="auto"/>
        <w:jc w:val="both"/>
        <w:rPr>
          <w:rFonts w:ascii="Palatino Linotype" w:hAnsi="Palatino Linotype" w:cs="Arial"/>
          <w:b/>
          <w:sz w:val="28"/>
        </w:rPr>
      </w:pPr>
      <w:r w:rsidRPr="00593428">
        <w:rPr>
          <w:rFonts w:ascii="Palatino Linotype" w:hAnsi="Palatino Linotype" w:cs="Arial"/>
          <w:b/>
          <w:sz w:val="28"/>
        </w:rPr>
        <w:t xml:space="preserve">TERCERO. </w:t>
      </w:r>
      <w:r w:rsidRPr="00593428">
        <w:rPr>
          <w:rFonts w:ascii="Palatino Linotype" w:hAnsi="Palatino Linotype"/>
          <w:b/>
          <w:sz w:val="28"/>
        </w:rPr>
        <w:t>Del recurso de revisión.</w:t>
      </w:r>
    </w:p>
    <w:p w:rsidR="001F0CEC" w:rsidRPr="00593428" w:rsidRDefault="001F0CEC" w:rsidP="001F0CEC">
      <w:pPr>
        <w:spacing w:before="240" w:line="360" w:lineRule="auto"/>
        <w:jc w:val="both"/>
        <w:rPr>
          <w:rFonts w:ascii="Palatino Linotype" w:hAnsi="Palatino Linotype" w:cs="Arial"/>
        </w:rPr>
      </w:pPr>
      <w:r w:rsidRPr="00593428">
        <w:rPr>
          <w:rFonts w:ascii="Palatino Linotype" w:hAnsi="Palatino Linotype" w:cs="Arial"/>
        </w:rPr>
        <w:t xml:space="preserve">Inconforme con la respuesta notificada por </w:t>
      </w:r>
      <w:r w:rsidRPr="00593428">
        <w:rPr>
          <w:rFonts w:ascii="Palatino Linotype" w:hAnsi="Palatino Linotype" w:cs="Arial"/>
          <w:b/>
        </w:rPr>
        <w:t xml:space="preserve">El Sujeto Obligado, </w:t>
      </w:r>
      <w:r w:rsidRPr="00593428">
        <w:rPr>
          <w:rFonts w:ascii="Palatino Linotype" w:hAnsi="Palatino Linotype" w:cs="Arial"/>
        </w:rPr>
        <w:t>el</w:t>
      </w:r>
      <w:r w:rsidRPr="00593428">
        <w:rPr>
          <w:rFonts w:ascii="Palatino Linotype" w:hAnsi="Palatino Linotype" w:cs="Arial"/>
          <w:b/>
        </w:rPr>
        <w:t xml:space="preserve"> Recurrente </w:t>
      </w:r>
      <w:r w:rsidRPr="00593428">
        <w:rPr>
          <w:rFonts w:ascii="Palatino Linotype" w:hAnsi="Palatino Linotype" w:cs="Arial"/>
        </w:rPr>
        <w:t xml:space="preserve">interpuso recurso de revisión, en fecha </w:t>
      </w:r>
      <w:r w:rsidR="00FC2DA4" w:rsidRPr="00593428">
        <w:rPr>
          <w:rFonts w:ascii="Palatino Linotype" w:hAnsi="Palatino Linotype" w:cs="Arial"/>
          <w:b/>
        </w:rPr>
        <w:t>primero</w:t>
      </w:r>
      <w:r w:rsidRPr="00593428">
        <w:rPr>
          <w:rFonts w:ascii="Palatino Linotype" w:hAnsi="Palatino Linotype" w:cs="Arial"/>
          <w:b/>
        </w:rPr>
        <w:t xml:space="preserve"> de julio de dos mil veinticinco</w:t>
      </w:r>
      <w:r w:rsidRPr="00593428">
        <w:rPr>
          <w:rFonts w:ascii="Palatino Linotype" w:hAnsi="Palatino Linotype" w:cs="Arial"/>
        </w:rPr>
        <w:t xml:space="preserve">, el cual fue registrado en el sistema electrónico con el expediente número </w:t>
      </w:r>
      <w:r w:rsidRPr="00593428">
        <w:rPr>
          <w:rFonts w:ascii="Palatino Linotype" w:hAnsi="Palatino Linotype" w:cs="Arial"/>
          <w:b/>
        </w:rPr>
        <w:t xml:space="preserve">07965/INFOEM/IP/RR/2025; </w:t>
      </w:r>
      <w:r w:rsidRPr="00593428">
        <w:rPr>
          <w:rFonts w:ascii="Palatino Linotype" w:hAnsi="Palatino Linotype" w:cs="Arial"/>
        </w:rPr>
        <w:t>en los cuales arguye las siguientes manifestaciones:</w:t>
      </w:r>
    </w:p>
    <w:p w:rsidR="001F0CEC" w:rsidRPr="00593428" w:rsidRDefault="001F0CEC" w:rsidP="001F0CEC">
      <w:pPr>
        <w:pStyle w:val="Prrafodelista"/>
        <w:numPr>
          <w:ilvl w:val="0"/>
          <w:numId w:val="1"/>
        </w:numPr>
        <w:spacing w:before="240" w:line="360" w:lineRule="auto"/>
        <w:ind w:left="142" w:firstLine="0"/>
        <w:jc w:val="both"/>
        <w:rPr>
          <w:rFonts w:ascii="Palatino Linotype" w:hAnsi="Palatino Linotype" w:cs="Arial"/>
          <w:b/>
          <w:i/>
        </w:rPr>
      </w:pPr>
      <w:r w:rsidRPr="00593428">
        <w:rPr>
          <w:rFonts w:ascii="Palatino Linotype" w:hAnsi="Palatino Linotype" w:cs="Arial"/>
          <w:b/>
          <w:i/>
        </w:rPr>
        <w:t xml:space="preserve">Acto impugnado </w:t>
      </w:r>
    </w:p>
    <w:p w:rsidR="001F0CEC" w:rsidRPr="00593428" w:rsidRDefault="001F0CEC" w:rsidP="001F0CEC">
      <w:pPr>
        <w:pStyle w:val="INFOEM"/>
        <w:ind w:left="720"/>
      </w:pPr>
      <w:r w:rsidRPr="00593428">
        <w:t>“</w:t>
      </w:r>
      <w:r w:rsidR="00FC2DA4" w:rsidRPr="00593428">
        <w:t>NO SE ENVIÓ LA INFORMACIÓN DE LO REQUERIDO</w:t>
      </w:r>
      <w:r w:rsidRPr="00593428">
        <w:t>” (sic)</w:t>
      </w:r>
    </w:p>
    <w:p w:rsidR="001F0CEC" w:rsidRPr="00593428" w:rsidRDefault="001F0CEC" w:rsidP="001F0CEC">
      <w:pPr>
        <w:pStyle w:val="Prrafodelista"/>
        <w:numPr>
          <w:ilvl w:val="0"/>
          <w:numId w:val="1"/>
        </w:numPr>
        <w:spacing w:before="240" w:line="360" w:lineRule="auto"/>
        <w:ind w:left="142" w:firstLine="0"/>
        <w:jc w:val="both"/>
        <w:rPr>
          <w:rFonts w:ascii="Palatino Linotype" w:hAnsi="Palatino Linotype" w:cs="Arial"/>
          <w:b/>
          <w:i/>
        </w:rPr>
      </w:pPr>
      <w:r w:rsidRPr="00593428">
        <w:rPr>
          <w:rFonts w:ascii="Palatino Linotype" w:hAnsi="Palatino Linotype" w:cs="Arial"/>
          <w:b/>
          <w:i/>
        </w:rPr>
        <w:t>Razones o motivos de inconformidad</w:t>
      </w:r>
    </w:p>
    <w:p w:rsidR="001F0CEC" w:rsidRPr="00593428" w:rsidRDefault="001F0CEC" w:rsidP="001F0CEC">
      <w:pPr>
        <w:pStyle w:val="INFOEM"/>
        <w:ind w:left="709"/>
      </w:pPr>
      <w:r w:rsidRPr="00593428">
        <w:lastRenderedPageBreak/>
        <w:t>“</w:t>
      </w:r>
      <w:r w:rsidR="00FC2DA4" w:rsidRPr="00593428">
        <w:t>SE INFORMA EL PERIODO ESTABLECIDO PARA LA CARGA DE SUS OBLIGACIONES PERO NO SOLICITE INFORMACIÓN DE NINGUN LINK</w:t>
      </w:r>
      <w:r w:rsidRPr="00593428">
        <w:t>” (sic)</w:t>
      </w:r>
    </w:p>
    <w:p w:rsidR="001F0CEC" w:rsidRPr="00593428" w:rsidRDefault="001F0CEC" w:rsidP="001F0CEC">
      <w:pPr>
        <w:spacing w:before="240" w:line="360" w:lineRule="auto"/>
        <w:jc w:val="both"/>
        <w:rPr>
          <w:rFonts w:ascii="Palatino Linotype" w:hAnsi="Palatino Linotype" w:cs="Arial"/>
        </w:rPr>
      </w:pPr>
    </w:p>
    <w:p w:rsidR="001F0CEC" w:rsidRPr="00593428" w:rsidRDefault="001F0CEC" w:rsidP="001F0CEC">
      <w:pPr>
        <w:spacing w:before="240" w:line="360" w:lineRule="auto"/>
        <w:jc w:val="both"/>
        <w:rPr>
          <w:rFonts w:ascii="Palatino Linotype" w:hAnsi="Palatino Linotype" w:cs="Arial"/>
          <w:b/>
        </w:rPr>
      </w:pPr>
      <w:r w:rsidRPr="00593428">
        <w:rPr>
          <w:rFonts w:ascii="Palatino Linotype" w:hAnsi="Palatino Linotype" w:cs="Arial"/>
          <w:b/>
          <w:sz w:val="28"/>
        </w:rPr>
        <w:t>CUARTO</w:t>
      </w:r>
      <w:r w:rsidRPr="00593428">
        <w:rPr>
          <w:rFonts w:ascii="Palatino Linotype" w:hAnsi="Palatino Linotype" w:cs="Arial"/>
          <w:b/>
        </w:rPr>
        <w:t xml:space="preserve">. </w:t>
      </w:r>
      <w:r w:rsidRPr="00593428">
        <w:rPr>
          <w:rFonts w:ascii="Palatino Linotype" w:hAnsi="Palatino Linotype" w:cs="Arial"/>
          <w:b/>
          <w:sz w:val="28"/>
          <w:szCs w:val="28"/>
        </w:rPr>
        <w:t>Del turno y admisión del recurso de revisión.</w:t>
      </w:r>
    </w:p>
    <w:p w:rsidR="001F0CEC" w:rsidRPr="00593428" w:rsidRDefault="001F0CEC" w:rsidP="001F0CEC">
      <w:pPr>
        <w:spacing w:before="240" w:line="360" w:lineRule="auto"/>
        <w:jc w:val="both"/>
        <w:rPr>
          <w:rFonts w:ascii="Palatino Linotype" w:hAnsi="Palatino Linotype" w:cs="Arial"/>
          <w:sz w:val="28"/>
        </w:rPr>
      </w:pPr>
      <w:r w:rsidRPr="00593428">
        <w:rPr>
          <w:rFonts w:ascii="Palatino Linotype" w:hAnsi="Palatino Linotype"/>
        </w:rPr>
        <w:t xml:space="preserve">El medio de impugnación fue turnado al Comisionado Presidente </w:t>
      </w:r>
      <w:r w:rsidRPr="00593428">
        <w:rPr>
          <w:rFonts w:ascii="Palatino Linotype" w:hAnsi="Palatino Linotype"/>
          <w:b/>
        </w:rPr>
        <w:t>José Martínez Vilchis,</w:t>
      </w:r>
      <w:r w:rsidRPr="00593428">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593428">
        <w:rPr>
          <w:rFonts w:ascii="Palatino Linotype" w:hAnsi="Palatino Linotype"/>
          <w:b/>
        </w:rPr>
        <w:t>admisión</w:t>
      </w:r>
      <w:r w:rsidRPr="00593428">
        <w:rPr>
          <w:rFonts w:ascii="Palatino Linotype" w:hAnsi="Palatino Linotype"/>
        </w:rPr>
        <w:t xml:space="preserve"> en fecha </w:t>
      </w:r>
      <w:r w:rsidR="00FC2DA4" w:rsidRPr="00593428">
        <w:rPr>
          <w:rFonts w:ascii="Palatino Linotype" w:hAnsi="Palatino Linotype"/>
          <w:b/>
        </w:rPr>
        <w:t xml:space="preserve">tres </w:t>
      </w:r>
      <w:r w:rsidRPr="00593428">
        <w:rPr>
          <w:rFonts w:ascii="Palatino Linotype" w:hAnsi="Palatino Linotype"/>
          <w:b/>
        </w:rPr>
        <w:t>de julio de dos mil veinticinco</w:t>
      </w:r>
      <w:r w:rsidRPr="00593428">
        <w:rPr>
          <w:rFonts w:ascii="Palatino Linotype" w:hAnsi="Palatino Linotype"/>
        </w:rPr>
        <w:t>, determinándose en ellos, un plazo de siete días para que las partes manifestaran lo que a su derecho corresponda en términos del numeral ya citado.</w:t>
      </w:r>
    </w:p>
    <w:p w:rsidR="001F0CEC" w:rsidRPr="00593428" w:rsidRDefault="001F0CEC" w:rsidP="001F0CEC">
      <w:pPr>
        <w:spacing w:line="360" w:lineRule="auto"/>
        <w:jc w:val="both"/>
        <w:rPr>
          <w:rFonts w:ascii="Palatino Linotype" w:hAnsi="Palatino Linotype" w:cs="Arial"/>
        </w:rPr>
      </w:pPr>
    </w:p>
    <w:p w:rsidR="001F0CEC" w:rsidRPr="00593428" w:rsidRDefault="001F0CEC" w:rsidP="001F0CEC">
      <w:pPr>
        <w:pStyle w:val="Prrafodelista"/>
        <w:spacing w:line="360" w:lineRule="auto"/>
        <w:ind w:left="0"/>
        <w:jc w:val="both"/>
        <w:rPr>
          <w:rFonts w:ascii="Palatino Linotype" w:hAnsi="Palatino Linotype" w:cs="Arial"/>
          <w:b/>
          <w:sz w:val="28"/>
          <w:szCs w:val="28"/>
        </w:rPr>
      </w:pPr>
      <w:r w:rsidRPr="00593428">
        <w:rPr>
          <w:rFonts w:ascii="Palatino Linotype" w:hAnsi="Palatino Linotype" w:cs="Arial"/>
          <w:b/>
          <w:sz w:val="28"/>
        </w:rPr>
        <w:t>QUINTO</w:t>
      </w:r>
      <w:r w:rsidRPr="00593428">
        <w:rPr>
          <w:rFonts w:ascii="Palatino Linotype" w:hAnsi="Palatino Linotype" w:cs="Arial"/>
          <w:b/>
          <w:sz w:val="28"/>
          <w:szCs w:val="28"/>
        </w:rPr>
        <w:t>. De la etapa de instrucción.</w:t>
      </w:r>
    </w:p>
    <w:p w:rsidR="001F0CEC" w:rsidRPr="00593428" w:rsidRDefault="001F0CEC" w:rsidP="001F0CEC">
      <w:pPr>
        <w:spacing w:line="360" w:lineRule="auto"/>
        <w:jc w:val="both"/>
        <w:rPr>
          <w:rFonts w:ascii="Palatino Linotype" w:hAnsi="Palatino Linotype"/>
        </w:rPr>
      </w:pPr>
      <w:r w:rsidRPr="00593428">
        <w:rPr>
          <w:rFonts w:ascii="Palatino Linotype" w:hAnsi="Palatino Linotype" w:cs="Arial"/>
        </w:rPr>
        <w:t xml:space="preserve">De las constancias que obran en el expediente electrónico del SAIMEX, se advierte que el </w:t>
      </w:r>
      <w:r w:rsidRPr="00593428">
        <w:rPr>
          <w:rFonts w:ascii="Palatino Linotype" w:hAnsi="Palatino Linotype" w:cs="Arial"/>
          <w:b/>
        </w:rPr>
        <w:t>Sujeto Obligado</w:t>
      </w:r>
      <w:r w:rsidRPr="00593428">
        <w:rPr>
          <w:rFonts w:ascii="Palatino Linotype" w:hAnsi="Palatino Linotype" w:cs="Arial"/>
        </w:rPr>
        <w:t xml:space="preserve"> rindió su informe justificado en fecha quince de julio de dos mil veinticinco, por medio de los archivos electrónicos “</w:t>
      </w:r>
      <w:r w:rsidR="00FC2DA4" w:rsidRPr="00593428">
        <w:rPr>
          <w:rFonts w:ascii="Palatino Linotype" w:hAnsi="Palatino Linotype" w:cs="Arial"/>
          <w:b/>
          <w:i/>
        </w:rPr>
        <w:t>Manifestaciones.pdf</w:t>
      </w:r>
      <w:r w:rsidRPr="00593428">
        <w:rPr>
          <w:rFonts w:ascii="Palatino Linotype" w:hAnsi="Palatino Linotype" w:cs="Arial"/>
          <w:b/>
          <w:i/>
        </w:rPr>
        <w:t>”</w:t>
      </w:r>
      <w:r w:rsidRPr="00593428">
        <w:rPr>
          <w:rFonts w:ascii="Palatino Linotype" w:hAnsi="Palatino Linotype" w:cs="Arial"/>
        </w:rPr>
        <w:t>, mismo que fue puesto a la vista del Recurrente</w:t>
      </w:r>
      <w:r w:rsidR="00FC2DA4" w:rsidRPr="00593428">
        <w:rPr>
          <w:rFonts w:ascii="Palatino Linotype" w:hAnsi="Palatino Linotype" w:cs="Arial"/>
        </w:rPr>
        <w:t>.</w:t>
      </w:r>
    </w:p>
    <w:p w:rsidR="001F0CEC" w:rsidRPr="00593428" w:rsidRDefault="001F0CEC" w:rsidP="001F0CEC">
      <w:pPr>
        <w:spacing w:line="360" w:lineRule="auto"/>
        <w:jc w:val="both"/>
        <w:rPr>
          <w:rFonts w:ascii="Palatino Linotype" w:hAnsi="Palatino Linotype"/>
        </w:rPr>
      </w:pPr>
    </w:p>
    <w:p w:rsidR="001F0CEC" w:rsidRPr="00593428" w:rsidRDefault="001F0CEC" w:rsidP="001F0CEC">
      <w:pPr>
        <w:spacing w:line="360" w:lineRule="auto"/>
        <w:jc w:val="both"/>
        <w:rPr>
          <w:rFonts w:ascii="Palatino Linotype" w:hAnsi="Palatino Linotype" w:cs="Arial"/>
        </w:rPr>
      </w:pPr>
      <w:r w:rsidRPr="00593428">
        <w:rPr>
          <w:rFonts w:ascii="Palatino Linotype" w:hAnsi="Palatino Linotype" w:cs="Arial"/>
        </w:rPr>
        <w:t xml:space="preserve">Así mismo, se aprecia que no se llevaron a cabo audiencias durante la sustanciación del recurso de revisión, ni se ofrecieron pruebas por parte del </w:t>
      </w:r>
      <w:r w:rsidRPr="00593428">
        <w:rPr>
          <w:rFonts w:ascii="Palatino Linotype" w:hAnsi="Palatino Linotype" w:cs="Arial"/>
          <w:b/>
        </w:rPr>
        <w:t>Recurrente</w:t>
      </w:r>
      <w:r w:rsidRPr="00593428">
        <w:rPr>
          <w:rFonts w:ascii="Palatino Linotype" w:hAnsi="Palatino Linotype" w:cs="Arial"/>
        </w:rPr>
        <w:t>; todo lo anterior en términos de los artículos 185 fracciones II y IV, y 195 de la Ley de Transparencia y Acceso a la Información Pública del Estado de México y Municipios.</w:t>
      </w:r>
    </w:p>
    <w:p w:rsidR="001F0CEC" w:rsidRPr="00593428" w:rsidRDefault="001F0CEC" w:rsidP="001F0CEC">
      <w:pPr>
        <w:spacing w:line="360" w:lineRule="auto"/>
        <w:jc w:val="both"/>
        <w:rPr>
          <w:rFonts w:ascii="Palatino Linotype" w:eastAsia="Calibri" w:hAnsi="Palatino Linotype" w:cs="Arial"/>
          <w:b/>
          <w:sz w:val="28"/>
          <w:szCs w:val="28"/>
        </w:rPr>
      </w:pPr>
    </w:p>
    <w:p w:rsidR="001F0CEC" w:rsidRPr="00593428" w:rsidRDefault="001F0CEC" w:rsidP="001F0CEC">
      <w:pPr>
        <w:spacing w:line="360" w:lineRule="auto"/>
        <w:jc w:val="both"/>
        <w:rPr>
          <w:rFonts w:ascii="Palatino Linotype" w:eastAsia="Calibri" w:hAnsi="Palatino Linotype" w:cs="Arial"/>
          <w:b/>
          <w:sz w:val="28"/>
          <w:lang w:val="es-ES_tradnl"/>
        </w:rPr>
      </w:pPr>
      <w:r w:rsidRPr="00593428">
        <w:rPr>
          <w:rFonts w:ascii="Palatino Linotype" w:hAnsi="Palatino Linotype" w:cs="Arial"/>
          <w:b/>
          <w:sz w:val="28"/>
          <w:szCs w:val="28"/>
        </w:rPr>
        <w:t xml:space="preserve">SEXTO. </w:t>
      </w:r>
      <w:r w:rsidRPr="00593428">
        <w:rPr>
          <w:rFonts w:ascii="Palatino Linotype" w:eastAsia="Calibri" w:hAnsi="Palatino Linotype" w:cs="Arial"/>
          <w:b/>
          <w:sz w:val="28"/>
          <w:lang w:val="es-ES_tradnl"/>
        </w:rPr>
        <w:t>De la ampliación del término para resolver.</w:t>
      </w:r>
    </w:p>
    <w:p w:rsidR="001F0CEC" w:rsidRPr="00593428" w:rsidRDefault="001F0CEC" w:rsidP="001F0CEC">
      <w:pPr>
        <w:spacing w:line="360" w:lineRule="auto"/>
        <w:jc w:val="both"/>
        <w:rPr>
          <w:rFonts w:ascii="Palatino Linotype" w:hAnsi="Palatino Linotype" w:cs="Arial"/>
        </w:rPr>
      </w:pPr>
      <w:r w:rsidRPr="00593428">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593428">
        <w:rPr>
          <w:rFonts w:ascii="Palatino Linotype" w:hAnsi="Palatino Linotype" w:cs="Arial"/>
          <w:b/>
        </w:rPr>
        <w:t xml:space="preserve">tres de </w:t>
      </w:r>
      <w:r w:rsidR="00FC2DA4" w:rsidRPr="00593428">
        <w:rPr>
          <w:rFonts w:ascii="Palatino Linotype" w:hAnsi="Palatino Linotype" w:cs="Arial"/>
          <w:b/>
        </w:rPr>
        <w:t xml:space="preserve">septiembre </w:t>
      </w:r>
      <w:r w:rsidRPr="00593428">
        <w:rPr>
          <w:rFonts w:ascii="Palatino Linotype" w:hAnsi="Palatino Linotype" w:cs="Arial"/>
          <w:b/>
        </w:rPr>
        <w:t>de dos mil veinticinco</w:t>
      </w:r>
      <w:r w:rsidRPr="00593428">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1F0CEC" w:rsidRPr="00593428" w:rsidRDefault="001F0CEC" w:rsidP="001F0CEC">
      <w:pPr>
        <w:spacing w:line="360" w:lineRule="auto"/>
        <w:jc w:val="both"/>
        <w:rPr>
          <w:rFonts w:ascii="Palatino Linotype" w:hAnsi="Palatino Linotype" w:cs="Arial"/>
        </w:rPr>
      </w:pPr>
    </w:p>
    <w:p w:rsidR="001F0CEC" w:rsidRPr="00593428" w:rsidRDefault="001F0CEC" w:rsidP="001F0CEC">
      <w:pPr>
        <w:spacing w:line="360" w:lineRule="auto"/>
        <w:jc w:val="both"/>
        <w:rPr>
          <w:rFonts w:ascii="Palatino Linotype" w:hAnsi="Palatino Linotype" w:cs="Arial"/>
          <w:b/>
          <w:sz w:val="28"/>
          <w:szCs w:val="28"/>
        </w:rPr>
      </w:pPr>
      <w:r w:rsidRPr="00593428">
        <w:rPr>
          <w:rFonts w:ascii="Palatino Linotype" w:eastAsia="Calibri" w:hAnsi="Palatino Linotype" w:cs="Arial"/>
          <w:b/>
          <w:sz w:val="28"/>
          <w:lang w:val="es-ES_tradnl"/>
        </w:rPr>
        <w:t xml:space="preserve">SÉPTIMO. </w:t>
      </w:r>
      <w:r w:rsidRPr="00593428">
        <w:rPr>
          <w:rFonts w:ascii="Palatino Linotype" w:hAnsi="Palatino Linotype" w:cs="Arial"/>
          <w:b/>
          <w:sz w:val="28"/>
          <w:szCs w:val="28"/>
        </w:rPr>
        <w:t>Del Cierre de Instrucción.</w:t>
      </w:r>
    </w:p>
    <w:p w:rsidR="001F0CEC" w:rsidRPr="00593428" w:rsidRDefault="001F0CEC" w:rsidP="001F0CEC">
      <w:pPr>
        <w:spacing w:line="360" w:lineRule="auto"/>
        <w:jc w:val="both"/>
        <w:rPr>
          <w:rFonts w:ascii="Palatino Linotype" w:hAnsi="Palatino Linotype" w:cs="Arial"/>
        </w:rPr>
      </w:pPr>
      <w:r w:rsidRPr="00593428">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C2DA4" w:rsidRPr="00593428">
        <w:rPr>
          <w:rFonts w:ascii="Palatino Linotype" w:hAnsi="Palatino Linotype" w:cs="Arial"/>
          <w:b/>
        </w:rPr>
        <w:t>veinticinco</w:t>
      </w:r>
      <w:r w:rsidRPr="00593428">
        <w:rPr>
          <w:rFonts w:ascii="Palatino Linotype" w:hAnsi="Palatino Linotype" w:cs="Arial"/>
          <w:b/>
        </w:rPr>
        <w:t xml:space="preserve"> de marzo de dos mil veintiséis</w:t>
      </w:r>
      <w:r w:rsidRPr="0059342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1F0CEC" w:rsidRPr="00593428" w:rsidRDefault="001F0CEC" w:rsidP="001F0CEC">
      <w:pPr>
        <w:spacing w:line="360" w:lineRule="auto"/>
        <w:jc w:val="both"/>
        <w:rPr>
          <w:rFonts w:ascii="Palatino Linotype" w:hAnsi="Palatino Linotype" w:cs="Arial"/>
          <w:b/>
          <w:sz w:val="28"/>
          <w:szCs w:val="28"/>
        </w:rPr>
      </w:pPr>
    </w:p>
    <w:p w:rsidR="001F0CEC" w:rsidRPr="00593428" w:rsidRDefault="001F0CEC" w:rsidP="001F0CEC">
      <w:pPr>
        <w:spacing w:line="360" w:lineRule="auto"/>
        <w:jc w:val="center"/>
        <w:rPr>
          <w:rFonts w:ascii="Palatino Linotype" w:hAnsi="Palatino Linotype"/>
          <w:b/>
          <w:bCs/>
          <w:spacing w:val="60"/>
          <w:sz w:val="28"/>
          <w:lang w:val="es-ES_tradnl"/>
        </w:rPr>
      </w:pPr>
      <w:r w:rsidRPr="00593428">
        <w:rPr>
          <w:rFonts w:ascii="Palatino Linotype" w:hAnsi="Palatino Linotype"/>
          <w:b/>
          <w:bCs/>
          <w:spacing w:val="60"/>
          <w:sz w:val="28"/>
          <w:lang w:val="es-ES_tradnl"/>
        </w:rPr>
        <w:t>CONSIDERANDO</w:t>
      </w:r>
    </w:p>
    <w:p w:rsidR="001F0CEC" w:rsidRPr="00593428" w:rsidRDefault="001F0CEC" w:rsidP="001F0CEC">
      <w:pPr>
        <w:spacing w:line="360" w:lineRule="auto"/>
        <w:ind w:right="49"/>
        <w:jc w:val="both"/>
        <w:rPr>
          <w:rFonts w:ascii="Palatino Linotype" w:hAnsi="Palatino Linotype"/>
          <w:szCs w:val="28"/>
        </w:rPr>
      </w:pPr>
    </w:p>
    <w:p w:rsidR="001F0CEC" w:rsidRPr="00593428" w:rsidRDefault="001F0CEC" w:rsidP="001F0CEC">
      <w:pPr>
        <w:spacing w:before="240" w:line="360" w:lineRule="auto"/>
        <w:jc w:val="both"/>
        <w:rPr>
          <w:rFonts w:ascii="Palatino Linotype" w:hAnsi="Palatino Linotype" w:cs="Arial"/>
          <w:sz w:val="28"/>
          <w:szCs w:val="28"/>
        </w:rPr>
      </w:pPr>
      <w:r w:rsidRPr="00593428">
        <w:rPr>
          <w:rFonts w:ascii="Palatino Linotype" w:hAnsi="Palatino Linotype" w:cs="Arial"/>
          <w:b/>
          <w:sz w:val="28"/>
        </w:rPr>
        <w:t>PRIMERO.</w:t>
      </w:r>
      <w:r w:rsidRPr="00593428">
        <w:rPr>
          <w:rFonts w:ascii="Palatino Linotype" w:hAnsi="Palatino Linotype" w:cs="Arial"/>
          <w:b/>
        </w:rPr>
        <w:t xml:space="preserve"> </w:t>
      </w:r>
      <w:r w:rsidRPr="00593428">
        <w:rPr>
          <w:rFonts w:ascii="Palatino Linotype" w:hAnsi="Palatino Linotype" w:cs="Arial"/>
          <w:b/>
          <w:sz w:val="28"/>
          <w:szCs w:val="28"/>
        </w:rPr>
        <w:t>De la competencia</w:t>
      </w:r>
      <w:r w:rsidRPr="00593428">
        <w:rPr>
          <w:rFonts w:ascii="Palatino Linotype" w:hAnsi="Palatino Linotype" w:cs="Arial"/>
          <w:sz w:val="28"/>
          <w:szCs w:val="28"/>
        </w:rPr>
        <w:t>.</w:t>
      </w:r>
    </w:p>
    <w:p w:rsidR="001F0CEC" w:rsidRPr="00593428" w:rsidRDefault="001F0CEC" w:rsidP="001F0CEC">
      <w:pPr>
        <w:tabs>
          <w:tab w:val="left" w:pos="3402"/>
        </w:tabs>
        <w:spacing w:line="360" w:lineRule="auto"/>
        <w:jc w:val="both"/>
        <w:rPr>
          <w:rFonts w:ascii="Palatino Linotype" w:hAnsi="Palatino Linotype"/>
        </w:rPr>
      </w:pPr>
      <w:r w:rsidRPr="00593428">
        <w:rPr>
          <w:rFonts w:ascii="Palatino Linotype" w:hAnsi="Palatino Linotype"/>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F0CEC" w:rsidRPr="00593428" w:rsidRDefault="001F0CEC" w:rsidP="001F0CEC">
      <w:pPr>
        <w:pStyle w:val="Prrafodelista"/>
        <w:autoSpaceDE w:val="0"/>
        <w:autoSpaceDN w:val="0"/>
        <w:adjustRightInd w:val="0"/>
        <w:spacing w:line="360" w:lineRule="auto"/>
        <w:ind w:left="0"/>
        <w:jc w:val="both"/>
        <w:rPr>
          <w:rFonts w:ascii="Palatino Linotype" w:hAnsi="Palatino Linotype" w:cs="Arial"/>
          <w:b/>
          <w:sz w:val="28"/>
        </w:rPr>
      </w:pPr>
    </w:p>
    <w:p w:rsidR="001F0CEC" w:rsidRPr="00593428" w:rsidRDefault="001F0CEC" w:rsidP="001F0CEC">
      <w:pPr>
        <w:pStyle w:val="Prrafodelista"/>
        <w:autoSpaceDE w:val="0"/>
        <w:autoSpaceDN w:val="0"/>
        <w:adjustRightInd w:val="0"/>
        <w:spacing w:before="240" w:after="160" w:line="360" w:lineRule="auto"/>
        <w:ind w:left="0"/>
        <w:jc w:val="both"/>
        <w:rPr>
          <w:rFonts w:ascii="Palatino Linotype" w:hAnsi="Palatino Linotype" w:cs="Arial"/>
          <w:b/>
        </w:rPr>
      </w:pPr>
      <w:r w:rsidRPr="00593428">
        <w:rPr>
          <w:rFonts w:ascii="Palatino Linotype" w:hAnsi="Palatino Linotype" w:cs="Arial"/>
          <w:b/>
          <w:sz w:val="28"/>
        </w:rPr>
        <w:t>SEGUNDO</w:t>
      </w:r>
      <w:r w:rsidRPr="00593428">
        <w:rPr>
          <w:rFonts w:ascii="Palatino Linotype" w:hAnsi="Palatino Linotype" w:cs="Arial"/>
          <w:b/>
        </w:rPr>
        <w:t xml:space="preserve">. </w:t>
      </w:r>
      <w:r w:rsidRPr="00593428">
        <w:rPr>
          <w:rFonts w:ascii="Palatino Linotype" w:hAnsi="Palatino Linotype" w:cs="Arial"/>
          <w:b/>
          <w:sz w:val="28"/>
          <w:szCs w:val="28"/>
        </w:rPr>
        <w:t>Sobre los alcances del recurso de revisión.</w:t>
      </w:r>
      <w:r w:rsidRPr="00593428">
        <w:rPr>
          <w:rFonts w:ascii="Palatino Linotype" w:hAnsi="Palatino Linotype" w:cs="Arial"/>
          <w:b/>
        </w:rPr>
        <w:t xml:space="preserve"> </w:t>
      </w:r>
    </w:p>
    <w:p w:rsidR="001F0CEC" w:rsidRPr="00593428" w:rsidRDefault="001F0CEC" w:rsidP="001F0CEC">
      <w:pPr>
        <w:pStyle w:val="Prrafodelista"/>
        <w:autoSpaceDE w:val="0"/>
        <w:autoSpaceDN w:val="0"/>
        <w:adjustRightInd w:val="0"/>
        <w:spacing w:before="240" w:after="160" w:line="360" w:lineRule="auto"/>
        <w:ind w:left="0"/>
        <w:jc w:val="both"/>
        <w:rPr>
          <w:rFonts w:ascii="Palatino Linotype" w:hAnsi="Palatino Linotype" w:cs="Arial"/>
        </w:rPr>
      </w:pPr>
      <w:r w:rsidRPr="0059342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F0CEC" w:rsidRPr="00593428" w:rsidRDefault="001F0CEC" w:rsidP="001F0CEC">
      <w:pPr>
        <w:autoSpaceDE w:val="0"/>
        <w:autoSpaceDN w:val="0"/>
        <w:adjustRightInd w:val="0"/>
        <w:spacing w:before="240" w:line="360" w:lineRule="auto"/>
        <w:jc w:val="both"/>
        <w:rPr>
          <w:rFonts w:ascii="Palatino Linotype" w:hAnsi="Palatino Linotype" w:cs="Arial"/>
        </w:rPr>
      </w:pPr>
      <w:r w:rsidRPr="00593428">
        <w:rPr>
          <w:rFonts w:ascii="Palatino Linotype" w:hAnsi="Palatino Linotype" w:cs="Arial"/>
        </w:rPr>
        <w:lastRenderedPageBreak/>
        <w:t>El Recurso de Revisión en estudio contiene los elementos normativos de validez exigidos en la Ley de Transparencia y Acceso a la Información Pública del Estado de México y Municipios, establecidos en el artículo 180 que enuncia:</w:t>
      </w:r>
    </w:p>
    <w:p w:rsidR="001F0CEC" w:rsidRPr="00593428" w:rsidRDefault="001F0CEC" w:rsidP="001F0CEC">
      <w:pPr>
        <w:autoSpaceDE w:val="0"/>
        <w:autoSpaceDN w:val="0"/>
        <w:adjustRightInd w:val="0"/>
        <w:spacing w:before="240" w:line="360" w:lineRule="auto"/>
        <w:ind w:left="1134"/>
        <w:jc w:val="both"/>
        <w:rPr>
          <w:rFonts w:ascii="Palatino Linotype" w:hAnsi="Palatino Linotype" w:cs="Arial"/>
          <w:i/>
        </w:rPr>
      </w:pPr>
      <w:r w:rsidRPr="00593428">
        <w:rPr>
          <w:rFonts w:ascii="Palatino Linotype" w:hAnsi="Palatino Linotype" w:cs="Arial"/>
          <w:i/>
        </w:rPr>
        <w:t xml:space="preserve">“Artículo 180. El recurso de revisión contendrá: </w:t>
      </w:r>
    </w:p>
    <w:p w:rsidR="001F0CEC" w:rsidRPr="00593428" w:rsidRDefault="001F0CEC" w:rsidP="001F0CEC">
      <w:pPr>
        <w:autoSpaceDE w:val="0"/>
        <w:autoSpaceDN w:val="0"/>
        <w:adjustRightInd w:val="0"/>
        <w:ind w:left="1134"/>
        <w:jc w:val="both"/>
        <w:rPr>
          <w:rFonts w:ascii="Palatino Linotype" w:hAnsi="Palatino Linotype" w:cs="Arial"/>
          <w:i/>
          <w:lang w:val="es-ES_tradnl"/>
        </w:rPr>
      </w:pPr>
      <w:r w:rsidRPr="00593428">
        <w:rPr>
          <w:rFonts w:ascii="Palatino Linotype" w:hAnsi="Palatino Linotype" w:cs="Arial"/>
          <w:i/>
          <w:lang w:val="es-ES_tradnl"/>
        </w:rPr>
        <w:t xml:space="preserve">I. El sujeto obligado ante la cual se presentó la solicitud; </w:t>
      </w:r>
    </w:p>
    <w:p w:rsidR="001F0CEC" w:rsidRPr="00593428" w:rsidRDefault="001F0CEC" w:rsidP="001F0CEC">
      <w:pPr>
        <w:autoSpaceDE w:val="0"/>
        <w:autoSpaceDN w:val="0"/>
        <w:adjustRightInd w:val="0"/>
        <w:ind w:left="1134" w:right="567"/>
        <w:jc w:val="both"/>
        <w:rPr>
          <w:rFonts w:ascii="Palatino Linotype" w:hAnsi="Palatino Linotype" w:cs="Arial"/>
          <w:i/>
          <w:lang w:val="es-ES_tradnl"/>
        </w:rPr>
      </w:pPr>
      <w:r w:rsidRPr="00593428">
        <w:rPr>
          <w:rFonts w:ascii="Palatino Linotype" w:hAnsi="Palatino Linotype" w:cs="Arial"/>
          <w:b/>
          <w:i/>
          <w:lang w:val="es-ES_tradnl"/>
        </w:rPr>
        <w:t>II. El nombre del solicitante que recurre</w:t>
      </w:r>
      <w:r w:rsidRPr="00593428">
        <w:rPr>
          <w:rFonts w:ascii="Palatino Linotype" w:hAnsi="Palatino Linotype" w:cs="Arial"/>
          <w:i/>
          <w:lang w:val="es-ES_tradnl"/>
        </w:rPr>
        <w:t xml:space="preserve"> o de su representante y, en su caso, del tercero interesado, así como la dirección o medio que señale para recibir notificaciones;</w:t>
      </w:r>
    </w:p>
    <w:p w:rsidR="001F0CEC" w:rsidRPr="00593428" w:rsidRDefault="001F0CEC" w:rsidP="001F0CEC">
      <w:pPr>
        <w:autoSpaceDE w:val="0"/>
        <w:autoSpaceDN w:val="0"/>
        <w:adjustRightInd w:val="0"/>
        <w:ind w:left="1134"/>
        <w:jc w:val="both"/>
        <w:rPr>
          <w:rFonts w:ascii="Palatino Linotype" w:hAnsi="Palatino Linotype" w:cs="Arial"/>
          <w:i/>
          <w:lang w:val="es-ES_tradnl"/>
        </w:rPr>
      </w:pPr>
      <w:r w:rsidRPr="00593428">
        <w:rPr>
          <w:rFonts w:ascii="Palatino Linotype" w:hAnsi="Palatino Linotype" w:cs="Arial"/>
          <w:i/>
          <w:lang w:val="es-ES_tradnl"/>
        </w:rPr>
        <w:t>III. El número de folio de respuesta de la solicitud de acceso;</w:t>
      </w:r>
    </w:p>
    <w:p w:rsidR="001F0CEC" w:rsidRPr="00593428" w:rsidRDefault="001F0CEC" w:rsidP="001F0CEC">
      <w:pPr>
        <w:autoSpaceDE w:val="0"/>
        <w:autoSpaceDN w:val="0"/>
        <w:adjustRightInd w:val="0"/>
        <w:ind w:left="1134" w:right="567"/>
        <w:jc w:val="both"/>
        <w:rPr>
          <w:rFonts w:ascii="Palatino Linotype" w:hAnsi="Palatino Linotype" w:cs="Arial"/>
          <w:i/>
          <w:lang w:val="es-ES_tradnl"/>
        </w:rPr>
      </w:pPr>
      <w:r w:rsidRPr="00593428">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1F0CEC" w:rsidRPr="00593428" w:rsidRDefault="001F0CEC" w:rsidP="001F0CEC">
      <w:pPr>
        <w:autoSpaceDE w:val="0"/>
        <w:autoSpaceDN w:val="0"/>
        <w:adjustRightInd w:val="0"/>
        <w:ind w:left="1134" w:right="567"/>
        <w:jc w:val="both"/>
        <w:rPr>
          <w:rFonts w:ascii="Palatino Linotype" w:hAnsi="Palatino Linotype" w:cs="Arial"/>
          <w:i/>
          <w:lang w:val="es-ES_tradnl"/>
        </w:rPr>
      </w:pPr>
      <w:r w:rsidRPr="00593428">
        <w:rPr>
          <w:rFonts w:ascii="Palatino Linotype" w:hAnsi="Palatino Linotype" w:cs="Arial"/>
          <w:i/>
          <w:lang w:val="es-ES_tradnl"/>
        </w:rPr>
        <w:t>V. El acto que se recurre;</w:t>
      </w:r>
    </w:p>
    <w:p w:rsidR="001F0CEC" w:rsidRPr="00593428" w:rsidRDefault="001F0CEC" w:rsidP="001F0CEC">
      <w:pPr>
        <w:autoSpaceDE w:val="0"/>
        <w:autoSpaceDN w:val="0"/>
        <w:adjustRightInd w:val="0"/>
        <w:ind w:left="1134"/>
        <w:jc w:val="both"/>
        <w:rPr>
          <w:rFonts w:ascii="Palatino Linotype" w:hAnsi="Palatino Linotype" w:cs="Arial"/>
          <w:i/>
          <w:lang w:val="es-ES_tradnl"/>
        </w:rPr>
      </w:pPr>
      <w:r w:rsidRPr="00593428">
        <w:rPr>
          <w:rFonts w:ascii="Palatino Linotype" w:hAnsi="Palatino Linotype" w:cs="Arial"/>
          <w:i/>
          <w:lang w:val="es-ES_tradnl"/>
        </w:rPr>
        <w:t>VI. Las razones o motivos de inconformidad;</w:t>
      </w:r>
    </w:p>
    <w:p w:rsidR="001F0CEC" w:rsidRPr="00593428" w:rsidRDefault="001F0CEC" w:rsidP="001F0CEC">
      <w:pPr>
        <w:autoSpaceDE w:val="0"/>
        <w:autoSpaceDN w:val="0"/>
        <w:adjustRightInd w:val="0"/>
        <w:ind w:left="1134" w:right="567"/>
        <w:jc w:val="both"/>
        <w:rPr>
          <w:rFonts w:ascii="Palatino Linotype" w:hAnsi="Palatino Linotype" w:cs="Arial"/>
          <w:i/>
          <w:lang w:val="es-ES_tradnl"/>
        </w:rPr>
      </w:pPr>
      <w:r w:rsidRPr="00593428">
        <w:rPr>
          <w:rFonts w:ascii="Palatino Linotype" w:hAnsi="Palatino Linotype" w:cs="Arial"/>
          <w:i/>
          <w:lang w:val="es-ES_tradnl"/>
        </w:rPr>
        <w:t xml:space="preserve">VII. La copia de la respuesta que se impugna y, en su caso, de la notificación correspondiente, en el caso de respuesta de la solicitud; y </w:t>
      </w:r>
    </w:p>
    <w:p w:rsidR="001F0CEC" w:rsidRPr="00593428" w:rsidRDefault="001F0CEC" w:rsidP="001F0CEC">
      <w:pPr>
        <w:autoSpaceDE w:val="0"/>
        <w:autoSpaceDN w:val="0"/>
        <w:adjustRightInd w:val="0"/>
        <w:ind w:left="1134" w:right="567"/>
        <w:jc w:val="both"/>
        <w:rPr>
          <w:rFonts w:ascii="Palatino Linotype" w:hAnsi="Palatino Linotype" w:cs="Arial"/>
          <w:i/>
          <w:lang w:val="es-ES_tradnl"/>
        </w:rPr>
      </w:pPr>
      <w:r w:rsidRPr="00593428">
        <w:rPr>
          <w:rFonts w:ascii="Palatino Linotype" w:hAnsi="Palatino Linotype" w:cs="Arial"/>
          <w:i/>
          <w:lang w:val="es-ES_tradnl"/>
        </w:rPr>
        <w:t xml:space="preserve">VIII. Firma del recurrente, en su caso, cuando se presente por escrito, requisito sin el cual se dará trámite al recurso. </w:t>
      </w:r>
    </w:p>
    <w:p w:rsidR="001F0CEC" w:rsidRPr="00593428" w:rsidRDefault="001F0CEC" w:rsidP="001F0CEC">
      <w:pPr>
        <w:autoSpaceDE w:val="0"/>
        <w:autoSpaceDN w:val="0"/>
        <w:adjustRightInd w:val="0"/>
        <w:spacing w:before="240" w:line="276" w:lineRule="auto"/>
        <w:ind w:left="1134" w:right="567"/>
        <w:jc w:val="both"/>
        <w:rPr>
          <w:rFonts w:ascii="Palatino Linotype" w:hAnsi="Palatino Linotype" w:cs="Arial"/>
          <w:i/>
          <w:lang w:val="es-ES_tradnl"/>
        </w:rPr>
      </w:pPr>
      <w:r w:rsidRPr="00593428">
        <w:rPr>
          <w:rFonts w:ascii="Palatino Linotype" w:hAnsi="Palatino Linotype" w:cs="Arial"/>
          <w:i/>
          <w:lang w:val="es-ES_tradnl"/>
        </w:rPr>
        <w:t xml:space="preserve">Adicionalmente, se podrán anexar las pruebas y demás elementos que considere procedentes someter a juicio del Instituto. </w:t>
      </w:r>
    </w:p>
    <w:p w:rsidR="001F0CEC" w:rsidRPr="00593428" w:rsidRDefault="001F0CEC" w:rsidP="001F0CEC">
      <w:pPr>
        <w:autoSpaceDE w:val="0"/>
        <w:autoSpaceDN w:val="0"/>
        <w:adjustRightInd w:val="0"/>
        <w:spacing w:before="240" w:line="276" w:lineRule="auto"/>
        <w:ind w:left="1134" w:right="567"/>
        <w:jc w:val="both"/>
        <w:rPr>
          <w:rFonts w:ascii="Palatino Linotype" w:hAnsi="Palatino Linotype" w:cs="Arial"/>
          <w:i/>
          <w:lang w:val="es-ES_tradnl"/>
        </w:rPr>
      </w:pPr>
      <w:r w:rsidRPr="00593428">
        <w:rPr>
          <w:rFonts w:ascii="Palatino Linotype" w:hAnsi="Palatino Linotype" w:cs="Arial"/>
          <w:i/>
          <w:lang w:val="es-ES_tradnl"/>
        </w:rPr>
        <w:t xml:space="preserve">En ningún caso será necesario que el particular ratifique el recurso de revisión interpuesto. </w:t>
      </w:r>
    </w:p>
    <w:p w:rsidR="001F0CEC" w:rsidRPr="00593428" w:rsidRDefault="001F0CEC" w:rsidP="001F0CEC">
      <w:pPr>
        <w:autoSpaceDE w:val="0"/>
        <w:autoSpaceDN w:val="0"/>
        <w:adjustRightInd w:val="0"/>
        <w:spacing w:before="240" w:line="360" w:lineRule="auto"/>
        <w:ind w:left="1134" w:right="567"/>
        <w:jc w:val="both"/>
        <w:rPr>
          <w:rFonts w:ascii="Palatino Linotype" w:hAnsi="Palatino Linotype" w:cs="Arial"/>
        </w:rPr>
      </w:pPr>
      <w:r w:rsidRPr="00593428">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1F0CEC" w:rsidRPr="00593428" w:rsidRDefault="001F0CEC" w:rsidP="001F0CEC">
      <w:pPr>
        <w:autoSpaceDE w:val="0"/>
        <w:autoSpaceDN w:val="0"/>
        <w:adjustRightInd w:val="0"/>
        <w:spacing w:before="240" w:line="360" w:lineRule="auto"/>
        <w:jc w:val="both"/>
        <w:rPr>
          <w:rFonts w:ascii="Palatino Linotype" w:hAnsi="Palatino Linotype"/>
        </w:rPr>
      </w:pPr>
    </w:p>
    <w:p w:rsidR="001F0CEC" w:rsidRPr="00593428" w:rsidRDefault="001F0CEC" w:rsidP="001F0CEC">
      <w:pPr>
        <w:autoSpaceDE w:val="0"/>
        <w:autoSpaceDN w:val="0"/>
        <w:adjustRightInd w:val="0"/>
        <w:spacing w:before="240" w:line="360" w:lineRule="auto"/>
        <w:jc w:val="both"/>
        <w:rPr>
          <w:rFonts w:ascii="Palatino Linotype" w:hAnsi="Palatino Linotype"/>
        </w:rPr>
      </w:pPr>
      <w:r w:rsidRPr="00593428">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1F0CEC" w:rsidRPr="00593428" w:rsidTr="00ED7735">
        <w:trPr>
          <w:trHeight w:val="1360"/>
        </w:trPr>
        <w:tc>
          <w:tcPr>
            <w:tcW w:w="7982" w:type="dxa"/>
          </w:tcPr>
          <w:p w:rsidR="001F0CEC" w:rsidRPr="00593428" w:rsidRDefault="001F0CEC" w:rsidP="00ED7735">
            <w:pPr>
              <w:autoSpaceDE w:val="0"/>
              <w:autoSpaceDN w:val="0"/>
              <w:adjustRightInd w:val="0"/>
              <w:spacing w:before="240" w:line="360" w:lineRule="auto"/>
              <w:jc w:val="both"/>
              <w:rPr>
                <w:rFonts w:ascii="Palatino Linotype" w:hAnsi="Palatino Linotype"/>
                <w:i/>
              </w:rPr>
            </w:pPr>
            <w:r w:rsidRPr="00593428">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1F0CEC" w:rsidRPr="00593428" w:rsidRDefault="001F0CEC" w:rsidP="001F0CEC">
      <w:pPr>
        <w:autoSpaceDE w:val="0"/>
        <w:autoSpaceDN w:val="0"/>
        <w:adjustRightInd w:val="0"/>
        <w:spacing w:before="240" w:line="360" w:lineRule="auto"/>
        <w:jc w:val="both"/>
        <w:rPr>
          <w:rFonts w:ascii="Palatino Linotype" w:hAnsi="Palatino Linotype"/>
        </w:rPr>
      </w:pPr>
      <w:r w:rsidRPr="00593428">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1F0CEC" w:rsidRPr="00593428" w:rsidTr="00ED7735">
        <w:trPr>
          <w:jc w:val="center"/>
        </w:trPr>
        <w:tc>
          <w:tcPr>
            <w:tcW w:w="8075" w:type="dxa"/>
          </w:tcPr>
          <w:p w:rsidR="001F0CEC" w:rsidRPr="00593428" w:rsidRDefault="001F0CEC" w:rsidP="00ED7735">
            <w:pPr>
              <w:autoSpaceDE w:val="0"/>
              <w:autoSpaceDN w:val="0"/>
              <w:adjustRightInd w:val="0"/>
              <w:spacing w:before="240" w:line="360" w:lineRule="auto"/>
              <w:jc w:val="center"/>
              <w:rPr>
                <w:rFonts w:ascii="Palatino Linotype" w:hAnsi="Palatino Linotype"/>
                <w:b/>
                <w:i/>
              </w:rPr>
            </w:pPr>
            <w:r w:rsidRPr="00593428">
              <w:rPr>
                <w:rFonts w:ascii="Palatino Linotype" w:hAnsi="Palatino Linotype"/>
                <w:b/>
                <w:i/>
              </w:rPr>
              <w:t xml:space="preserve">Constitución Política de los Estados Unidos Mexicanos </w:t>
            </w:r>
          </w:p>
          <w:p w:rsidR="001F0CEC" w:rsidRPr="00593428" w:rsidRDefault="001F0CEC" w:rsidP="00ED7735">
            <w:pPr>
              <w:autoSpaceDE w:val="0"/>
              <w:autoSpaceDN w:val="0"/>
              <w:adjustRightInd w:val="0"/>
              <w:spacing w:before="240" w:line="360" w:lineRule="auto"/>
              <w:jc w:val="both"/>
              <w:rPr>
                <w:rFonts w:ascii="Palatino Linotype" w:hAnsi="Palatino Linotype"/>
                <w:i/>
              </w:rPr>
            </w:pPr>
            <w:r w:rsidRPr="00593428">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F0CEC" w:rsidRPr="00593428" w:rsidRDefault="001F0CEC" w:rsidP="00ED7735">
            <w:pPr>
              <w:autoSpaceDE w:val="0"/>
              <w:autoSpaceDN w:val="0"/>
              <w:adjustRightInd w:val="0"/>
              <w:spacing w:before="240" w:line="360" w:lineRule="auto"/>
              <w:jc w:val="both"/>
              <w:rPr>
                <w:rFonts w:ascii="Palatino Linotype" w:hAnsi="Palatino Linotype"/>
                <w:i/>
              </w:rPr>
            </w:pPr>
            <w:r w:rsidRPr="00593428">
              <w:rPr>
                <w:rFonts w:ascii="Palatino Linotype" w:hAnsi="Palatino Linotype"/>
                <w:i/>
              </w:rPr>
              <w:t xml:space="preserve">(…) </w:t>
            </w:r>
          </w:p>
          <w:p w:rsidR="001F0CEC" w:rsidRPr="00593428" w:rsidRDefault="001F0CEC" w:rsidP="00ED7735">
            <w:pPr>
              <w:autoSpaceDE w:val="0"/>
              <w:autoSpaceDN w:val="0"/>
              <w:adjustRightInd w:val="0"/>
              <w:spacing w:before="240" w:line="360" w:lineRule="auto"/>
              <w:jc w:val="both"/>
              <w:rPr>
                <w:rFonts w:ascii="Palatino Linotype" w:hAnsi="Palatino Linotype"/>
                <w:i/>
              </w:rPr>
            </w:pPr>
            <w:r w:rsidRPr="00593428">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1F0CEC" w:rsidRPr="00593428" w:rsidRDefault="001F0CEC" w:rsidP="00ED7735">
            <w:pPr>
              <w:autoSpaceDE w:val="0"/>
              <w:autoSpaceDN w:val="0"/>
              <w:adjustRightInd w:val="0"/>
              <w:spacing w:before="240" w:line="360" w:lineRule="auto"/>
              <w:jc w:val="both"/>
              <w:rPr>
                <w:rFonts w:ascii="Palatino Linotype" w:hAnsi="Palatino Linotype"/>
                <w:i/>
              </w:rPr>
            </w:pPr>
            <w:r w:rsidRPr="00593428">
              <w:rPr>
                <w:rFonts w:ascii="Palatino Linotype" w:hAnsi="Palatino Linotype"/>
                <w:i/>
              </w:rPr>
              <w:t xml:space="preserve"> (…) </w:t>
            </w:r>
          </w:p>
          <w:p w:rsidR="001F0CEC" w:rsidRPr="00593428" w:rsidRDefault="001F0CEC" w:rsidP="00ED7735">
            <w:pPr>
              <w:autoSpaceDE w:val="0"/>
              <w:autoSpaceDN w:val="0"/>
              <w:adjustRightInd w:val="0"/>
              <w:spacing w:before="240" w:line="360" w:lineRule="auto"/>
              <w:jc w:val="both"/>
              <w:rPr>
                <w:rFonts w:ascii="Palatino Linotype" w:hAnsi="Palatino Linotype"/>
                <w:i/>
              </w:rPr>
            </w:pPr>
            <w:r w:rsidRPr="00593428">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1F0CEC" w:rsidRPr="00593428" w:rsidRDefault="001F0CEC" w:rsidP="00ED7735">
            <w:pPr>
              <w:autoSpaceDE w:val="0"/>
              <w:autoSpaceDN w:val="0"/>
              <w:adjustRightInd w:val="0"/>
              <w:spacing w:before="240" w:line="360" w:lineRule="auto"/>
              <w:jc w:val="both"/>
              <w:rPr>
                <w:rFonts w:ascii="Palatino Linotype" w:hAnsi="Palatino Linotype" w:cs="Arial"/>
                <w:i/>
              </w:rPr>
            </w:pPr>
            <w:r w:rsidRPr="00593428">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1F0CEC" w:rsidRPr="00593428" w:rsidRDefault="001F0CEC" w:rsidP="00ED7735">
            <w:pPr>
              <w:autoSpaceDE w:val="0"/>
              <w:autoSpaceDN w:val="0"/>
              <w:adjustRightInd w:val="0"/>
              <w:spacing w:before="240" w:line="360" w:lineRule="auto"/>
              <w:jc w:val="both"/>
              <w:rPr>
                <w:rFonts w:ascii="Palatino Linotype" w:hAnsi="Palatino Linotype" w:cs="Arial"/>
                <w:b/>
                <w:i/>
              </w:rPr>
            </w:pPr>
            <w:r w:rsidRPr="00593428">
              <w:rPr>
                <w:rFonts w:ascii="Palatino Linotype" w:hAnsi="Palatino Linotype" w:cs="Arial"/>
                <w:b/>
                <w:i/>
              </w:rPr>
              <w:t>Constitución Política del Estado Libre y Soberano de México</w:t>
            </w:r>
          </w:p>
          <w:p w:rsidR="001F0CEC" w:rsidRPr="00593428" w:rsidRDefault="001F0CEC" w:rsidP="00ED7735">
            <w:pPr>
              <w:autoSpaceDE w:val="0"/>
              <w:autoSpaceDN w:val="0"/>
              <w:adjustRightInd w:val="0"/>
              <w:spacing w:before="240" w:line="360" w:lineRule="auto"/>
              <w:jc w:val="both"/>
              <w:rPr>
                <w:rFonts w:ascii="Palatino Linotype" w:eastAsia="Calibri" w:hAnsi="Palatino Linotype" w:cs="Arial"/>
                <w:i/>
                <w:lang w:val="es-ES_tradnl" w:eastAsia="es-MX"/>
              </w:rPr>
            </w:pPr>
            <w:r w:rsidRPr="00593428">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1F0CEC" w:rsidRPr="00593428" w:rsidRDefault="001F0CEC" w:rsidP="00ED7735">
            <w:pPr>
              <w:autoSpaceDE w:val="0"/>
              <w:autoSpaceDN w:val="0"/>
              <w:adjustRightInd w:val="0"/>
              <w:spacing w:before="240" w:line="360" w:lineRule="auto"/>
              <w:jc w:val="both"/>
              <w:rPr>
                <w:rFonts w:ascii="Palatino Linotype" w:eastAsia="Calibri" w:hAnsi="Palatino Linotype" w:cs="Arial"/>
                <w:i/>
                <w:lang w:val="es-ES_tradnl" w:eastAsia="es-MX"/>
              </w:rPr>
            </w:pPr>
            <w:r w:rsidRPr="00593428">
              <w:rPr>
                <w:rFonts w:ascii="Palatino Linotype" w:eastAsia="Calibri" w:hAnsi="Palatino Linotype" w:cs="Arial"/>
                <w:i/>
                <w:lang w:val="es-ES_tradnl" w:eastAsia="es-MX"/>
              </w:rPr>
              <w:t>(…)</w:t>
            </w:r>
          </w:p>
          <w:p w:rsidR="001F0CEC" w:rsidRPr="00593428" w:rsidRDefault="001F0CEC" w:rsidP="00ED7735">
            <w:pPr>
              <w:autoSpaceDE w:val="0"/>
              <w:autoSpaceDN w:val="0"/>
              <w:adjustRightInd w:val="0"/>
              <w:spacing w:before="240" w:line="360" w:lineRule="auto"/>
              <w:jc w:val="both"/>
              <w:rPr>
                <w:rFonts w:ascii="Palatino Linotype" w:eastAsia="Calibri" w:hAnsi="Palatino Linotype" w:cs="Arial"/>
                <w:i/>
                <w:lang w:val="es-ES_tradnl" w:eastAsia="es-MX"/>
              </w:rPr>
            </w:pPr>
            <w:r w:rsidRPr="00593428">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rsidR="001F0CEC" w:rsidRPr="00593428" w:rsidRDefault="001F0CEC" w:rsidP="00ED7735">
            <w:pPr>
              <w:autoSpaceDE w:val="0"/>
              <w:autoSpaceDN w:val="0"/>
              <w:adjustRightInd w:val="0"/>
              <w:spacing w:before="240" w:line="360" w:lineRule="auto"/>
              <w:jc w:val="both"/>
              <w:rPr>
                <w:rFonts w:ascii="Palatino Linotype" w:eastAsia="Calibri" w:hAnsi="Palatino Linotype" w:cs="Arial"/>
                <w:i/>
                <w:lang w:val="es-ES_tradnl" w:eastAsia="es-MX"/>
              </w:rPr>
            </w:pPr>
            <w:r w:rsidRPr="00593428">
              <w:rPr>
                <w:rFonts w:ascii="Palatino Linotype" w:eastAsia="Calibri" w:hAnsi="Palatino Linotype" w:cs="Arial"/>
                <w:i/>
                <w:lang w:val="es-ES_tradnl" w:eastAsia="es-MX"/>
              </w:rPr>
              <w:t>(…)</w:t>
            </w:r>
          </w:p>
          <w:p w:rsidR="001F0CEC" w:rsidRPr="00593428" w:rsidRDefault="001F0CEC" w:rsidP="00ED7735">
            <w:pPr>
              <w:autoSpaceDE w:val="0"/>
              <w:autoSpaceDN w:val="0"/>
              <w:adjustRightInd w:val="0"/>
              <w:spacing w:before="240" w:line="360" w:lineRule="auto"/>
              <w:jc w:val="both"/>
              <w:rPr>
                <w:rFonts w:ascii="Palatino Linotype" w:eastAsia="Calibri" w:hAnsi="Palatino Linotype" w:cs="Arial"/>
                <w:i/>
                <w:lang w:val="es-ES_tradnl" w:eastAsia="es-MX"/>
              </w:rPr>
            </w:pPr>
            <w:r w:rsidRPr="00593428">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1F0CEC" w:rsidRPr="00593428" w:rsidRDefault="001F0CEC" w:rsidP="00ED7735">
            <w:pPr>
              <w:autoSpaceDE w:val="0"/>
              <w:autoSpaceDN w:val="0"/>
              <w:adjustRightInd w:val="0"/>
              <w:spacing w:before="240" w:line="360" w:lineRule="auto"/>
              <w:jc w:val="both"/>
              <w:rPr>
                <w:rFonts w:ascii="Palatino Linotype" w:eastAsia="Calibri" w:hAnsi="Palatino Linotype" w:cs="Arial"/>
                <w:i/>
                <w:lang w:val="es-ES_tradnl" w:eastAsia="es-MX"/>
              </w:rPr>
            </w:pPr>
            <w:r w:rsidRPr="00593428">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F0CEC" w:rsidRPr="00593428" w:rsidRDefault="001F0CEC" w:rsidP="00ED7735">
            <w:pPr>
              <w:autoSpaceDE w:val="0"/>
              <w:autoSpaceDN w:val="0"/>
              <w:adjustRightInd w:val="0"/>
              <w:spacing w:before="240" w:line="360" w:lineRule="auto"/>
              <w:jc w:val="both"/>
              <w:rPr>
                <w:rFonts w:ascii="Palatino Linotype" w:eastAsia="Calibri" w:hAnsi="Palatino Linotype" w:cs="Arial"/>
                <w:i/>
                <w:lang w:val="es-ES_tradnl" w:eastAsia="es-MX"/>
              </w:rPr>
            </w:pPr>
            <w:r w:rsidRPr="00593428">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1F0CEC" w:rsidRPr="00593428" w:rsidRDefault="001F0CEC" w:rsidP="00ED7735">
            <w:pPr>
              <w:autoSpaceDE w:val="0"/>
              <w:autoSpaceDN w:val="0"/>
              <w:adjustRightInd w:val="0"/>
              <w:spacing w:before="240" w:line="360" w:lineRule="auto"/>
              <w:jc w:val="both"/>
              <w:rPr>
                <w:rFonts w:ascii="Palatino Linotype" w:eastAsia="Calibri" w:hAnsi="Palatino Linotype" w:cs="Arial"/>
                <w:i/>
                <w:lang w:val="es-ES_tradnl" w:eastAsia="es-MX"/>
              </w:rPr>
            </w:pPr>
            <w:r w:rsidRPr="00593428">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1F0CEC" w:rsidRPr="00593428" w:rsidRDefault="001F0CEC" w:rsidP="00ED7735">
            <w:pPr>
              <w:autoSpaceDE w:val="0"/>
              <w:autoSpaceDN w:val="0"/>
              <w:adjustRightInd w:val="0"/>
              <w:spacing w:before="240" w:line="360" w:lineRule="auto"/>
              <w:jc w:val="both"/>
              <w:rPr>
                <w:rFonts w:ascii="Palatino Linotype" w:hAnsi="Palatino Linotype" w:cs="Arial"/>
                <w:i/>
              </w:rPr>
            </w:pPr>
            <w:r w:rsidRPr="00593428">
              <w:rPr>
                <w:rFonts w:ascii="Palatino Linotype" w:hAnsi="Palatino Linotype" w:cs="Arial"/>
                <w:i/>
              </w:rPr>
              <w:t>(…)</w:t>
            </w:r>
          </w:p>
          <w:p w:rsidR="001F0CEC" w:rsidRPr="00593428" w:rsidRDefault="001F0CEC" w:rsidP="00ED7735">
            <w:pPr>
              <w:autoSpaceDE w:val="0"/>
              <w:autoSpaceDN w:val="0"/>
              <w:adjustRightInd w:val="0"/>
              <w:spacing w:before="240" w:line="360" w:lineRule="auto"/>
              <w:jc w:val="both"/>
              <w:rPr>
                <w:rFonts w:ascii="Palatino Linotype" w:hAnsi="Palatino Linotype" w:cs="Arial"/>
                <w:i/>
              </w:rPr>
            </w:pPr>
            <w:r w:rsidRPr="00593428">
              <w:rPr>
                <w:rFonts w:ascii="Palatino Linotype" w:hAnsi="Palatino Linotype" w:cs="Arial"/>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1F0CEC" w:rsidRPr="00593428" w:rsidRDefault="001F0CEC" w:rsidP="001F0CEC">
      <w:pPr>
        <w:autoSpaceDE w:val="0"/>
        <w:autoSpaceDN w:val="0"/>
        <w:adjustRightInd w:val="0"/>
        <w:spacing w:before="240" w:line="360" w:lineRule="auto"/>
        <w:jc w:val="both"/>
        <w:rPr>
          <w:rFonts w:ascii="Palatino Linotype" w:hAnsi="Palatino Linotype"/>
        </w:rPr>
      </w:pPr>
      <w:r w:rsidRPr="00593428">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93428">
        <w:rPr>
          <w:rFonts w:ascii="Palatino Linotype" w:hAnsi="Palatino Linotype"/>
          <w:b/>
          <w:u w:val="single"/>
        </w:rPr>
        <w:t>incluso, la solicitud de acceso a la información pueda ser anónima o no contener un nombre que identifique al solicitante o que permita tener certeza sobre su identidad</w:t>
      </w:r>
      <w:r w:rsidRPr="00593428">
        <w:rPr>
          <w:rFonts w:ascii="Palatino Linotype" w:hAnsi="Palatino Linotype"/>
        </w:rPr>
        <w:t xml:space="preserve">. </w:t>
      </w:r>
    </w:p>
    <w:p w:rsidR="001F0CEC" w:rsidRPr="00593428" w:rsidRDefault="001F0CEC" w:rsidP="001F0CEC">
      <w:pPr>
        <w:pStyle w:val="Prrafodelista"/>
        <w:autoSpaceDE w:val="0"/>
        <w:autoSpaceDN w:val="0"/>
        <w:adjustRightInd w:val="0"/>
        <w:spacing w:before="240" w:after="160" w:line="360" w:lineRule="auto"/>
        <w:ind w:left="0"/>
        <w:jc w:val="both"/>
        <w:rPr>
          <w:rFonts w:ascii="Palatino Linotype" w:hAnsi="Palatino Linotype"/>
        </w:rPr>
      </w:pPr>
      <w:r w:rsidRPr="00593428">
        <w:rPr>
          <w:rFonts w:ascii="Palatino Linotype" w:hAnsi="Palatino Linotype"/>
        </w:rPr>
        <w:t>En conclusión, se cubrieron los requisitos de procedencia y procedibilidad y conforme a las constancias que obran en el expediente.</w:t>
      </w:r>
    </w:p>
    <w:p w:rsidR="001F0CEC" w:rsidRPr="00593428" w:rsidRDefault="001F0CEC" w:rsidP="001F0CEC">
      <w:pPr>
        <w:pStyle w:val="Prrafodelista"/>
        <w:autoSpaceDE w:val="0"/>
        <w:autoSpaceDN w:val="0"/>
        <w:adjustRightInd w:val="0"/>
        <w:spacing w:before="240" w:after="160" w:line="360" w:lineRule="auto"/>
        <w:ind w:left="0"/>
        <w:jc w:val="both"/>
        <w:rPr>
          <w:rFonts w:ascii="Palatino Linotype" w:hAnsi="Palatino Linotype" w:cs="Arial"/>
        </w:rPr>
      </w:pPr>
    </w:p>
    <w:p w:rsidR="001F0CEC" w:rsidRPr="00593428" w:rsidRDefault="001F0CEC" w:rsidP="001F0CE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593428">
        <w:rPr>
          <w:rFonts w:ascii="Palatino Linotype" w:hAnsi="Palatino Linotype" w:cs="Arial"/>
          <w:b/>
          <w:sz w:val="28"/>
        </w:rPr>
        <w:t>TERCERO</w:t>
      </w:r>
      <w:r w:rsidRPr="00593428">
        <w:rPr>
          <w:rFonts w:ascii="Palatino Linotype" w:hAnsi="Palatino Linotype" w:cs="Arial"/>
          <w:b/>
        </w:rPr>
        <w:t xml:space="preserve">. </w:t>
      </w:r>
      <w:r w:rsidRPr="00593428">
        <w:rPr>
          <w:rFonts w:ascii="Palatino Linotype" w:hAnsi="Palatino Linotype" w:cs="Arial"/>
          <w:b/>
          <w:sz w:val="28"/>
          <w:szCs w:val="28"/>
        </w:rPr>
        <w:t>De las causas de improcedencia.</w:t>
      </w:r>
    </w:p>
    <w:p w:rsidR="001F0CEC" w:rsidRPr="00593428" w:rsidRDefault="001F0CEC" w:rsidP="001F0CEC">
      <w:pPr>
        <w:pStyle w:val="Prrafodelista"/>
        <w:autoSpaceDE w:val="0"/>
        <w:autoSpaceDN w:val="0"/>
        <w:adjustRightInd w:val="0"/>
        <w:spacing w:before="240" w:after="160" w:line="360" w:lineRule="auto"/>
        <w:ind w:left="0"/>
        <w:jc w:val="both"/>
        <w:rPr>
          <w:rFonts w:ascii="Palatino Linotype" w:hAnsi="Palatino Linotype" w:cs="Arial"/>
        </w:rPr>
      </w:pPr>
      <w:r w:rsidRPr="00593428">
        <w:rPr>
          <w:rFonts w:ascii="Palatino Linotype" w:hAnsi="Palatino Linotype" w:cs="Arial"/>
        </w:rPr>
        <w:t xml:space="preserve">En el procedimiento de acceso a la información y de los medios de impugnación de la materia, se advierten diversos supuestos de procedibilidad, los cuales deben estudiarse </w:t>
      </w:r>
      <w:r w:rsidRPr="00593428">
        <w:rPr>
          <w:rFonts w:ascii="Palatino Linotype" w:hAnsi="Palatino Linotype" w:cs="Arial"/>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F0CEC" w:rsidRPr="00593428" w:rsidRDefault="001F0CEC" w:rsidP="001F0CEC">
      <w:pPr>
        <w:pStyle w:val="Prrafodelista"/>
        <w:autoSpaceDE w:val="0"/>
        <w:autoSpaceDN w:val="0"/>
        <w:adjustRightInd w:val="0"/>
        <w:spacing w:line="360" w:lineRule="auto"/>
        <w:ind w:left="0"/>
        <w:jc w:val="both"/>
        <w:rPr>
          <w:rFonts w:ascii="Palatino Linotype" w:hAnsi="Palatino Linotype" w:cs="Arial"/>
        </w:rPr>
      </w:pPr>
      <w:r w:rsidRPr="0059342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93428">
        <w:rPr>
          <w:rStyle w:val="Refdenotaalpie"/>
          <w:rFonts w:ascii="Palatino Linotype" w:hAnsi="Palatino Linotype" w:cs="Arial"/>
        </w:rPr>
        <w:footnoteReference w:id="1"/>
      </w:r>
      <w:r w:rsidRPr="0059342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1F0CEC" w:rsidRPr="00593428" w:rsidRDefault="001F0CEC" w:rsidP="001F0CEC">
      <w:pPr>
        <w:tabs>
          <w:tab w:val="left" w:pos="709"/>
        </w:tabs>
        <w:spacing w:before="240" w:line="360" w:lineRule="auto"/>
        <w:ind w:right="51"/>
        <w:jc w:val="both"/>
        <w:rPr>
          <w:rFonts w:ascii="Palatino Linotype" w:hAnsi="Palatino Linotype"/>
          <w:b/>
          <w:sz w:val="28"/>
          <w:szCs w:val="28"/>
        </w:rPr>
      </w:pPr>
    </w:p>
    <w:p w:rsidR="001F0CEC" w:rsidRPr="00593428" w:rsidRDefault="001F0CEC" w:rsidP="001F0CEC">
      <w:pPr>
        <w:tabs>
          <w:tab w:val="left" w:pos="709"/>
        </w:tabs>
        <w:spacing w:before="240" w:line="360" w:lineRule="auto"/>
        <w:ind w:right="51"/>
        <w:jc w:val="both"/>
        <w:rPr>
          <w:rFonts w:ascii="Palatino Linotype" w:hAnsi="Palatino Linotype"/>
          <w:b/>
          <w:sz w:val="28"/>
          <w:szCs w:val="28"/>
        </w:rPr>
      </w:pPr>
      <w:r w:rsidRPr="00593428">
        <w:rPr>
          <w:rFonts w:ascii="Palatino Linotype" w:hAnsi="Palatino Linotype"/>
          <w:b/>
          <w:sz w:val="28"/>
          <w:szCs w:val="28"/>
        </w:rPr>
        <w:t xml:space="preserve">CUARTO. Estudio y resolución del asunto </w:t>
      </w:r>
      <w:r w:rsidRPr="00593428">
        <w:rPr>
          <w:rFonts w:ascii="Palatino Linotype" w:hAnsi="Palatino Linotype"/>
          <w:b/>
          <w:sz w:val="28"/>
          <w:szCs w:val="28"/>
        </w:rPr>
        <w:tab/>
      </w:r>
    </w:p>
    <w:p w:rsidR="001F0CEC" w:rsidRPr="00593428" w:rsidRDefault="001F0CEC" w:rsidP="001F0C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93428">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F0CEC" w:rsidRPr="00593428" w:rsidRDefault="001F0CEC" w:rsidP="001F0CEC">
      <w:pPr>
        <w:autoSpaceDE w:val="0"/>
        <w:autoSpaceDN w:val="0"/>
        <w:adjustRightInd w:val="0"/>
        <w:ind w:right="567"/>
        <w:rPr>
          <w:rFonts w:ascii="Palatino Linotype" w:eastAsia="Calibri" w:hAnsi="Palatino Linotype" w:cs="Arial"/>
        </w:rPr>
      </w:pPr>
    </w:p>
    <w:p w:rsidR="001F0CEC" w:rsidRPr="00593428" w:rsidRDefault="001F0CEC" w:rsidP="001F0C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93428">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1F0CEC" w:rsidRPr="00593428" w:rsidRDefault="001F0CEC" w:rsidP="001F0CEC">
      <w:pPr>
        <w:pStyle w:val="Citas"/>
        <w:spacing w:before="0" w:after="0" w:line="240" w:lineRule="auto"/>
      </w:pPr>
      <w:r w:rsidRPr="00593428">
        <w:rPr>
          <w:b/>
        </w:rPr>
        <w:t>Artículo 179.</w:t>
      </w:r>
      <w:r w:rsidRPr="00593428">
        <w:t xml:space="preserve"> El recurso de revisión es un medio de protección que la Ley otorga a los particulares, para hacer valer su derecho de acceso a la información pública, y procederá en contra de las siguientes causas: </w:t>
      </w:r>
    </w:p>
    <w:p w:rsidR="001F0CEC" w:rsidRPr="00593428" w:rsidRDefault="001F0CEC" w:rsidP="001F0CEC">
      <w:pPr>
        <w:pStyle w:val="Citas"/>
        <w:numPr>
          <w:ilvl w:val="0"/>
          <w:numId w:val="2"/>
        </w:numPr>
        <w:spacing w:before="0" w:after="0" w:line="240" w:lineRule="auto"/>
        <w:rPr>
          <w:b/>
        </w:rPr>
      </w:pPr>
      <w:r w:rsidRPr="00593428">
        <w:rPr>
          <w:b/>
        </w:rPr>
        <w:t xml:space="preserve">La negativa a la información solicitada; </w:t>
      </w:r>
    </w:p>
    <w:p w:rsidR="001F0CEC" w:rsidRPr="00593428" w:rsidRDefault="001F0CEC" w:rsidP="001F0CEC">
      <w:pPr>
        <w:pStyle w:val="Citas"/>
        <w:numPr>
          <w:ilvl w:val="0"/>
          <w:numId w:val="2"/>
        </w:numPr>
        <w:spacing w:before="0" w:after="0" w:line="240" w:lineRule="auto"/>
      </w:pPr>
      <w:r w:rsidRPr="00593428">
        <w:t xml:space="preserve">La clasificación de la información; </w:t>
      </w:r>
    </w:p>
    <w:p w:rsidR="001F0CEC" w:rsidRPr="00593428" w:rsidRDefault="001F0CEC" w:rsidP="001F0CEC">
      <w:pPr>
        <w:pStyle w:val="Citas"/>
        <w:numPr>
          <w:ilvl w:val="0"/>
          <w:numId w:val="2"/>
        </w:numPr>
        <w:spacing w:before="0" w:after="0" w:line="240" w:lineRule="auto"/>
      </w:pPr>
      <w:r w:rsidRPr="00593428">
        <w:t xml:space="preserve">La declaración de inexistencia de la información; </w:t>
      </w:r>
    </w:p>
    <w:p w:rsidR="001F0CEC" w:rsidRPr="00593428" w:rsidRDefault="001F0CEC" w:rsidP="001F0CEC">
      <w:pPr>
        <w:pStyle w:val="Citas"/>
        <w:numPr>
          <w:ilvl w:val="0"/>
          <w:numId w:val="2"/>
        </w:numPr>
        <w:spacing w:before="0" w:after="0" w:line="240" w:lineRule="auto"/>
      </w:pPr>
      <w:r w:rsidRPr="00593428">
        <w:t xml:space="preserve">La declaración de incompetencia por el sujeto obligado; </w:t>
      </w:r>
    </w:p>
    <w:p w:rsidR="001F0CEC" w:rsidRPr="00593428" w:rsidRDefault="001F0CEC" w:rsidP="001F0CEC">
      <w:pPr>
        <w:pStyle w:val="Citas"/>
        <w:numPr>
          <w:ilvl w:val="0"/>
          <w:numId w:val="2"/>
        </w:numPr>
        <w:spacing w:before="0" w:after="0" w:line="240" w:lineRule="auto"/>
      </w:pPr>
      <w:r w:rsidRPr="00593428">
        <w:t xml:space="preserve">La entrega de información incompleta; </w:t>
      </w:r>
    </w:p>
    <w:p w:rsidR="001F0CEC" w:rsidRPr="00593428" w:rsidRDefault="001F0CEC" w:rsidP="001F0CEC">
      <w:pPr>
        <w:pStyle w:val="Citas"/>
        <w:numPr>
          <w:ilvl w:val="0"/>
          <w:numId w:val="2"/>
        </w:numPr>
        <w:spacing w:before="0" w:after="0" w:line="240" w:lineRule="auto"/>
      </w:pPr>
      <w:r w:rsidRPr="00593428">
        <w:t xml:space="preserve">La entrega de información que no corresponda con lo solicitado; </w:t>
      </w:r>
    </w:p>
    <w:p w:rsidR="001F0CEC" w:rsidRPr="00593428" w:rsidRDefault="001F0CEC" w:rsidP="001F0CEC">
      <w:pPr>
        <w:pStyle w:val="Citas"/>
        <w:numPr>
          <w:ilvl w:val="0"/>
          <w:numId w:val="2"/>
        </w:numPr>
        <w:spacing w:before="0" w:after="0" w:line="240" w:lineRule="auto"/>
      </w:pPr>
      <w:r w:rsidRPr="00593428">
        <w:t xml:space="preserve">La falta de respuesta a una solicitud de acceso a la información; </w:t>
      </w:r>
    </w:p>
    <w:p w:rsidR="001F0CEC" w:rsidRPr="00593428" w:rsidRDefault="001F0CEC" w:rsidP="001F0CEC">
      <w:pPr>
        <w:pStyle w:val="Citas"/>
        <w:numPr>
          <w:ilvl w:val="0"/>
          <w:numId w:val="2"/>
        </w:numPr>
        <w:spacing w:before="0" w:after="0" w:line="240" w:lineRule="auto"/>
      </w:pPr>
      <w:r w:rsidRPr="00593428">
        <w:t xml:space="preserve">La notificación, entrega o puesta a disposición de información en una modalidad o formato distinto al solicitado; </w:t>
      </w:r>
    </w:p>
    <w:p w:rsidR="001F0CEC" w:rsidRPr="00593428" w:rsidRDefault="001F0CEC" w:rsidP="001F0CEC">
      <w:pPr>
        <w:pStyle w:val="Citas"/>
        <w:numPr>
          <w:ilvl w:val="0"/>
          <w:numId w:val="2"/>
        </w:numPr>
        <w:spacing w:before="0" w:after="0" w:line="240" w:lineRule="auto"/>
      </w:pPr>
      <w:r w:rsidRPr="00593428">
        <w:t xml:space="preserve">La entrega o puesta a disposición de información en un formato incomprensible y/o no accesible para el solicitante; </w:t>
      </w:r>
    </w:p>
    <w:p w:rsidR="001F0CEC" w:rsidRPr="00593428" w:rsidRDefault="001F0CEC" w:rsidP="001F0CEC">
      <w:pPr>
        <w:pStyle w:val="Citas"/>
        <w:numPr>
          <w:ilvl w:val="0"/>
          <w:numId w:val="2"/>
        </w:numPr>
        <w:spacing w:before="0" w:after="0" w:line="240" w:lineRule="auto"/>
      </w:pPr>
      <w:r w:rsidRPr="00593428">
        <w:t xml:space="preserve">Los costos o tiempos de entrega de la información; </w:t>
      </w:r>
    </w:p>
    <w:p w:rsidR="001F0CEC" w:rsidRPr="00593428" w:rsidRDefault="001F0CEC" w:rsidP="001F0CEC">
      <w:pPr>
        <w:pStyle w:val="Citas"/>
        <w:numPr>
          <w:ilvl w:val="0"/>
          <w:numId w:val="2"/>
        </w:numPr>
        <w:spacing w:before="0" w:after="0" w:line="240" w:lineRule="auto"/>
      </w:pPr>
      <w:r w:rsidRPr="00593428">
        <w:t xml:space="preserve">La falta de trámite a una solicitud; </w:t>
      </w:r>
    </w:p>
    <w:p w:rsidR="001F0CEC" w:rsidRPr="00593428" w:rsidRDefault="001F0CEC" w:rsidP="001F0CEC">
      <w:pPr>
        <w:pStyle w:val="Citas"/>
        <w:numPr>
          <w:ilvl w:val="0"/>
          <w:numId w:val="2"/>
        </w:numPr>
        <w:spacing w:before="0" w:after="0" w:line="240" w:lineRule="auto"/>
      </w:pPr>
      <w:r w:rsidRPr="00593428">
        <w:t xml:space="preserve">La negativa a permitir la consulta directa de la información; </w:t>
      </w:r>
    </w:p>
    <w:p w:rsidR="001F0CEC" w:rsidRPr="00593428" w:rsidRDefault="001F0CEC" w:rsidP="001F0CEC">
      <w:pPr>
        <w:pStyle w:val="Citas"/>
        <w:numPr>
          <w:ilvl w:val="0"/>
          <w:numId w:val="2"/>
        </w:numPr>
        <w:spacing w:before="0" w:after="0" w:line="240" w:lineRule="auto"/>
      </w:pPr>
      <w:r w:rsidRPr="00593428">
        <w:lastRenderedPageBreak/>
        <w:t xml:space="preserve">La falta, deficiencia o insuficiencia de la fundamentación y/o motivación en la respuesta; y </w:t>
      </w:r>
    </w:p>
    <w:p w:rsidR="001F0CEC" w:rsidRPr="00593428" w:rsidRDefault="001F0CEC" w:rsidP="001F0CEC">
      <w:pPr>
        <w:pStyle w:val="Citas"/>
        <w:numPr>
          <w:ilvl w:val="0"/>
          <w:numId w:val="2"/>
        </w:numPr>
        <w:spacing w:before="0" w:after="0" w:line="240" w:lineRule="auto"/>
      </w:pPr>
      <w:r w:rsidRPr="00593428">
        <w:t xml:space="preserve">La orientación a un trámite específico. </w:t>
      </w:r>
    </w:p>
    <w:p w:rsidR="001F0CEC" w:rsidRPr="00593428" w:rsidRDefault="001F0CEC" w:rsidP="001F0CEC">
      <w:pPr>
        <w:pStyle w:val="Citas"/>
        <w:spacing w:before="0" w:after="0" w:line="240" w:lineRule="auto"/>
      </w:pPr>
      <w:r w:rsidRPr="00593428">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1F0CEC" w:rsidRPr="00593428" w:rsidRDefault="001F0CEC" w:rsidP="001F0CEC">
      <w:pPr>
        <w:autoSpaceDE w:val="0"/>
        <w:autoSpaceDN w:val="0"/>
        <w:adjustRightInd w:val="0"/>
        <w:ind w:right="567"/>
        <w:rPr>
          <w:rFonts w:ascii="Palatino Linotype" w:eastAsia="Calibri" w:hAnsi="Palatino Linotype" w:cs="Arial"/>
        </w:rPr>
      </w:pPr>
    </w:p>
    <w:p w:rsidR="001F0CEC" w:rsidRPr="00593428" w:rsidRDefault="001F0CEC" w:rsidP="001F0CEC">
      <w:pPr>
        <w:autoSpaceDE w:val="0"/>
        <w:autoSpaceDN w:val="0"/>
        <w:adjustRightInd w:val="0"/>
        <w:ind w:right="567"/>
        <w:rPr>
          <w:rFonts w:ascii="Palatino Linotype" w:eastAsia="Calibri" w:hAnsi="Palatino Linotype" w:cs="Arial"/>
        </w:rPr>
      </w:pPr>
    </w:p>
    <w:p w:rsidR="001F0CEC" w:rsidRPr="00593428" w:rsidRDefault="001F0CEC" w:rsidP="001F0CEC">
      <w:pPr>
        <w:spacing w:line="360" w:lineRule="auto"/>
        <w:jc w:val="both"/>
        <w:rPr>
          <w:rFonts w:ascii="Palatino Linotype" w:hAnsi="Palatino Linotype" w:cs="Tahoma"/>
          <w:bCs/>
        </w:rPr>
      </w:pPr>
      <w:r w:rsidRPr="00593428">
        <w:rPr>
          <w:rFonts w:ascii="Palatino Linotype" w:hAnsi="Palatino Linotype" w:cs="Tahoma"/>
          <w:bCs/>
        </w:rPr>
        <w:t xml:space="preserve">Bajo estas líneas argumentativas, al retomar y delimitar los requerimientos del ahora </w:t>
      </w:r>
      <w:r w:rsidRPr="00593428">
        <w:rPr>
          <w:rFonts w:ascii="Palatino Linotype" w:hAnsi="Palatino Linotype" w:cs="Tahoma"/>
          <w:b/>
          <w:bCs/>
        </w:rPr>
        <w:t>Recurrente</w:t>
      </w:r>
      <w:r w:rsidRPr="00593428">
        <w:rPr>
          <w:rFonts w:ascii="Palatino Linotype" w:hAnsi="Palatino Linotype" w:cs="Tahoma"/>
          <w:bCs/>
        </w:rPr>
        <w:t>, de manera objetiva se precisa que requiere la siguiente información:</w:t>
      </w:r>
    </w:p>
    <w:p w:rsidR="001F0CEC" w:rsidRPr="00593428" w:rsidRDefault="00BB3851" w:rsidP="001F0CEC">
      <w:pPr>
        <w:pStyle w:val="Prrafodelista"/>
        <w:numPr>
          <w:ilvl w:val="0"/>
          <w:numId w:val="3"/>
        </w:numPr>
        <w:spacing w:before="240" w:line="360" w:lineRule="auto"/>
        <w:jc w:val="both"/>
        <w:rPr>
          <w:rFonts w:ascii="Palatino Linotype" w:hAnsi="Palatino Linotype" w:cs="Arial"/>
        </w:rPr>
      </w:pPr>
      <w:r w:rsidRPr="00593428">
        <w:rPr>
          <w:rFonts w:ascii="Palatino Linotype" w:hAnsi="Palatino Linotype" w:cs="Arial"/>
        </w:rPr>
        <w:t>De enero a marzo de 2025 las o</w:t>
      </w:r>
      <w:r w:rsidR="00FC2DA4" w:rsidRPr="00593428">
        <w:rPr>
          <w:rFonts w:ascii="Palatino Linotype" w:hAnsi="Palatino Linotype" w:cs="Arial"/>
        </w:rPr>
        <w:t>bligaciones de transparencia común</w:t>
      </w:r>
      <w:r w:rsidRPr="00593428">
        <w:rPr>
          <w:rFonts w:ascii="Palatino Linotype" w:hAnsi="Palatino Linotype" w:cs="Arial"/>
        </w:rPr>
        <w:t xml:space="preserve"> y </w:t>
      </w:r>
      <w:r w:rsidR="00944E4B" w:rsidRPr="00593428">
        <w:rPr>
          <w:rFonts w:ascii="Palatino Linotype" w:hAnsi="Palatino Linotype" w:cs="Arial"/>
        </w:rPr>
        <w:t>específicas</w:t>
      </w:r>
      <w:r w:rsidR="001F0CEC" w:rsidRPr="00593428">
        <w:rPr>
          <w:rFonts w:ascii="Palatino Linotype" w:hAnsi="Palatino Linotype" w:cs="Arial"/>
        </w:rPr>
        <w:t>.</w:t>
      </w:r>
    </w:p>
    <w:p w:rsidR="001F0CEC" w:rsidRPr="00593428" w:rsidRDefault="001F0CEC" w:rsidP="001F0CEC">
      <w:pPr>
        <w:spacing w:before="240" w:line="360" w:lineRule="auto"/>
        <w:jc w:val="both"/>
        <w:rPr>
          <w:rFonts w:ascii="Palatino Linotype" w:hAnsi="Palatino Linotype" w:cs="Arial"/>
          <w:b/>
        </w:rPr>
      </w:pPr>
      <w:r w:rsidRPr="00593428">
        <w:rPr>
          <w:rFonts w:ascii="Palatino Linotype" w:hAnsi="Palatino Linotype" w:cs="Arial"/>
        </w:rPr>
        <w:t xml:space="preserve">De conformidad con las constancias que obran en el expediente electrónico, se observa que el </w:t>
      </w:r>
      <w:r w:rsidRPr="00593428">
        <w:rPr>
          <w:rFonts w:ascii="Palatino Linotype" w:hAnsi="Palatino Linotype" w:cs="Arial"/>
          <w:b/>
        </w:rPr>
        <w:t>Sujeto Obligado</w:t>
      </w:r>
      <w:r w:rsidRPr="00593428">
        <w:rPr>
          <w:rFonts w:ascii="Palatino Linotype" w:hAnsi="Palatino Linotype" w:cs="Arial"/>
        </w:rPr>
        <w:t xml:space="preserve"> dio respuesta por medio del sistema SAIMEX, a la solicitud de información</w:t>
      </w:r>
      <w:r w:rsidRPr="00593428">
        <w:rPr>
          <w:rFonts w:ascii="Palatino Linotype" w:eastAsia="Palatino Linotype" w:hAnsi="Palatino Linotype" w:cs="Palatino Linotype"/>
          <w:b/>
          <w:color w:val="000000"/>
        </w:rPr>
        <w:t xml:space="preserve"> </w:t>
      </w:r>
      <w:r w:rsidR="00FC2DA4" w:rsidRPr="00593428">
        <w:rPr>
          <w:rFonts w:ascii="Palatino Linotype" w:hAnsi="Palatino Linotype" w:cs="Arial"/>
          <w:b/>
        </w:rPr>
        <w:t>00005/DIFMORELOS/IP/2025</w:t>
      </w:r>
      <w:r w:rsidRPr="00593428">
        <w:rPr>
          <w:rFonts w:ascii="Palatino Linotype" w:hAnsi="Palatino Linotype" w:cs="Arial"/>
          <w:b/>
        </w:rPr>
        <w:t xml:space="preserve">; </w:t>
      </w:r>
      <w:r w:rsidRPr="00593428">
        <w:rPr>
          <w:rFonts w:ascii="Palatino Linotype" w:hAnsi="Palatino Linotype" w:cs="Arial"/>
        </w:rPr>
        <w:t>a través de los archivos electrónicos</w:t>
      </w:r>
      <w:r w:rsidRPr="00593428">
        <w:rPr>
          <w:rFonts w:ascii="Palatino Linotype" w:hAnsi="Palatino Linotype" w:cs="Arial"/>
          <w:b/>
        </w:rPr>
        <w:t>:</w:t>
      </w:r>
    </w:p>
    <w:p w:rsidR="001F0CEC" w:rsidRPr="00593428" w:rsidRDefault="00FC2DA4" w:rsidP="00FC2DA4">
      <w:pPr>
        <w:pStyle w:val="Sinespaciado"/>
        <w:numPr>
          <w:ilvl w:val="0"/>
          <w:numId w:val="6"/>
        </w:numPr>
        <w:spacing w:before="240" w:line="360" w:lineRule="auto"/>
        <w:ind w:left="426"/>
        <w:jc w:val="both"/>
        <w:rPr>
          <w:rFonts w:ascii="Palatino Linotype" w:hAnsi="Palatino Linotype" w:cs="Arial"/>
          <w:b/>
          <w:i/>
          <w:sz w:val="24"/>
        </w:rPr>
      </w:pPr>
      <w:r w:rsidRPr="00593428">
        <w:rPr>
          <w:rFonts w:ascii="Palatino Linotype" w:hAnsi="Palatino Linotype" w:cs="Arial"/>
          <w:b/>
          <w:i/>
          <w:sz w:val="24"/>
        </w:rPr>
        <w:t>Respuesta a solicitud 00005-DIFMORELOS-IP-2025.pdf</w:t>
      </w:r>
      <w:r w:rsidR="00ED7735" w:rsidRPr="00593428">
        <w:rPr>
          <w:rFonts w:ascii="Palatino Linotype" w:hAnsi="Palatino Linotype" w:cs="Arial"/>
          <w:b/>
          <w:i/>
          <w:sz w:val="24"/>
        </w:rPr>
        <w:t xml:space="preserve"> y </w:t>
      </w:r>
      <w:r w:rsidRPr="00593428">
        <w:rPr>
          <w:rFonts w:ascii="Palatino Linotype" w:hAnsi="Palatino Linotype" w:cs="Arial"/>
          <w:b/>
          <w:i/>
          <w:sz w:val="24"/>
        </w:rPr>
        <w:t>Respuesta a solicitud 0005-DIFMORELOS-IP-2025-2.pdf</w:t>
      </w:r>
      <w:r w:rsidR="001F0CEC" w:rsidRPr="00593428">
        <w:rPr>
          <w:rFonts w:ascii="Palatino Linotype" w:hAnsi="Palatino Linotype" w:cs="Arial"/>
          <w:b/>
          <w:i/>
          <w:sz w:val="24"/>
        </w:rPr>
        <w:t xml:space="preserve">: </w:t>
      </w:r>
      <w:r w:rsidR="001F0CEC" w:rsidRPr="00593428">
        <w:rPr>
          <w:rFonts w:ascii="Palatino Linotype" w:hAnsi="Palatino Linotype" w:cs="Arial"/>
          <w:sz w:val="24"/>
        </w:rPr>
        <w:t xml:space="preserve">contiene </w:t>
      </w:r>
      <w:r w:rsidR="00ED7735" w:rsidRPr="00593428">
        <w:rPr>
          <w:rFonts w:ascii="Palatino Linotype" w:hAnsi="Palatino Linotype" w:cs="Arial"/>
          <w:sz w:val="24"/>
        </w:rPr>
        <w:t>la respuesta, firmada por el Titular de la Unidad de Transparencia, en el que refiere lo siguiente:</w:t>
      </w:r>
    </w:p>
    <w:p w:rsidR="001F0CEC" w:rsidRPr="00593428" w:rsidRDefault="001F0CEC" w:rsidP="001F0CEC">
      <w:pPr>
        <w:pStyle w:val="Citas"/>
      </w:pPr>
      <w:r w:rsidRPr="00593428">
        <w:t xml:space="preserve"> “…</w:t>
      </w:r>
    </w:p>
    <w:p w:rsidR="001F0CEC" w:rsidRPr="00593428" w:rsidRDefault="00ED7735" w:rsidP="001F0CEC">
      <w:pPr>
        <w:pStyle w:val="Citas"/>
      </w:pPr>
      <w:r w:rsidRPr="00593428">
        <w:t xml:space="preserve">Al respecto, me permito comunicarte que la información que usted solicita corresponde a Información Pública de Oficio que los sujetos deben publicar, sin embargo, me permito compartirle que el Sistema Municipal para el Desarrollo Integral de la Familia del municipio de Morelos, Estado de México, se integró recientemente el padrón de sujetos obligados en materia de Transparencia y Acceso a la Información, lo cual se puede constatar en la Gaceta de Gobierno del Estado de México de fecha 25 de octubre de 2024 y fue el 9 de mayo de 2025 cuando el Instituto </w:t>
      </w:r>
      <w:r w:rsidRPr="00593428">
        <w:lastRenderedPageBreak/>
        <w:t>de Transparencia, Acceso a la Información Pública</w:t>
      </w:r>
      <w:r w:rsidR="00B23A66" w:rsidRPr="00593428">
        <w:t xml:space="preserve"> y protección de Datos Personales del Estado de México y Municipios, aprobó la tabla de aplicabilidad de estas obligaciones de transparencia,</w:t>
      </w:r>
    </w:p>
    <w:p w:rsidR="00B23A66" w:rsidRPr="00593428" w:rsidRDefault="00B23A66" w:rsidP="001F0CEC">
      <w:pPr>
        <w:pStyle w:val="Citas"/>
      </w:pPr>
      <w:r w:rsidRPr="00593428">
        <w:t>Motivo por el cual, de la información solicitada, solo estamos en posibilidad de atender lo que corresponda a las tablas de aplicabilidad de obligaciones de transparencia comunes y específicas que como sujeto obligado se nos fue notificado, por lo que en los días y meses subsecuentes podrá estar paulatinamente teniendo acceso a dicha información a través del portal correspondiente, toda vez, desde la notificación, se disponen de 6 meses para dar cumplimiento a esta obligación y aún estamos en el periodo de atención.</w:t>
      </w:r>
    </w:p>
    <w:p w:rsidR="001F0CEC" w:rsidRPr="00593428" w:rsidRDefault="001F0CEC" w:rsidP="001F0CEC">
      <w:pPr>
        <w:pStyle w:val="Citas"/>
        <w:rPr>
          <w:b/>
          <w:i w:val="0"/>
          <w:sz w:val="24"/>
        </w:rPr>
      </w:pPr>
      <w:r w:rsidRPr="00593428">
        <w:t>…” (Sic)</w:t>
      </w:r>
    </w:p>
    <w:p w:rsidR="001F0CEC" w:rsidRPr="00593428" w:rsidRDefault="001F0CEC" w:rsidP="001F0CEC">
      <w:pPr>
        <w:spacing w:line="360" w:lineRule="auto"/>
        <w:jc w:val="both"/>
        <w:rPr>
          <w:rFonts w:ascii="Palatino Linotype" w:hAnsi="Palatino Linotype" w:cs="Arial"/>
          <w:bCs/>
        </w:rPr>
      </w:pPr>
    </w:p>
    <w:p w:rsidR="001F0CEC" w:rsidRPr="00593428" w:rsidRDefault="001F0CEC" w:rsidP="001F0CEC">
      <w:pPr>
        <w:spacing w:line="360" w:lineRule="auto"/>
        <w:jc w:val="both"/>
        <w:rPr>
          <w:rFonts w:ascii="Palatino Linotype" w:hAnsi="Palatino Linotype"/>
          <w:b/>
          <w:i/>
          <w:u w:val="single"/>
        </w:rPr>
      </w:pPr>
      <w:r w:rsidRPr="00593428">
        <w:rPr>
          <w:rFonts w:ascii="Palatino Linotype" w:hAnsi="Palatino Linotype" w:cs="Arial"/>
          <w:bCs/>
        </w:rPr>
        <w:t xml:space="preserve">Es así como, derivado de la respuesta emitida por </w:t>
      </w:r>
      <w:r w:rsidRPr="00593428">
        <w:rPr>
          <w:rFonts w:ascii="Palatino Linotype" w:hAnsi="Palatino Linotype" w:cs="Arial"/>
          <w:b/>
          <w:bCs/>
        </w:rPr>
        <w:t>El Sujeto Obligado</w:t>
      </w:r>
      <w:r w:rsidRPr="00593428">
        <w:rPr>
          <w:rFonts w:ascii="Palatino Linotype" w:hAnsi="Palatino Linotype" w:cs="Arial"/>
          <w:bCs/>
        </w:rPr>
        <w:t xml:space="preserve">, </w:t>
      </w:r>
      <w:r w:rsidRPr="00593428">
        <w:rPr>
          <w:rFonts w:ascii="Palatino Linotype" w:hAnsi="Palatino Linotype" w:cs="Arial"/>
          <w:b/>
          <w:bCs/>
        </w:rPr>
        <w:t>el Recurrente</w:t>
      </w:r>
      <w:r w:rsidRPr="00593428">
        <w:rPr>
          <w:rFonts w:ascii="Palatino Linotype" w:hAnsi="Palatino Linotype" w:cs="Arial"/>
          <w:bCs/>
        </w:rPr>
        <w:t>, interpuso el presente recurso de revisión, señalando sustancialmente como sus razones o motivos de inconformidad, lo siguiente:</w:t>
      </w:r>
      <w:r w:rsidRPr="00593428" w:rsidDel="00107C3B">
        <w:rPr>
          <w:rFonts w:ascii="Palatino Linotype" w:hAnsi="Palatino Linotype"/>
          <w:b/>
          <w:i/>
        </w:rPr>
        <w:t xml:space="preserve"> </w:t>
      </w:r>
      <w:r w:rsidRPr="00593428">
        <w:rPr>
          <w:rFonts w:ascii="Palatino Linotype" w:hAnsi="Palatino Linotype"/>
          <w:i/>
        </w:rPr>
        <w:t>“</w:t>
      </w:r>
      <w:r w:rsidR="004558E2" w:rsidRPr="00593428">
        <w:rPr>
          <w:rFonts w:ascii="Palatino Linotype" w:hAnsi="Palatino Linotype"/>
          <w:i/>
        </w:rPr>
        <w:t>SE INFORMA EL PERIODO ESTABLECIDO PARA LA CARGA DE SUS OBLIGACIONES PERO NO SOLICITE INFORMACIÓN DE NINGUN LINK</w:t>
      </w:r>
      <w:r w:rsidRPr="00593428">
        <w:rPr>
          <w:rFonts w:ascii="Palatino Linotype" w:hAnsi="Palatino Linotype"/>
          <w:i/>
        </w:rPr>
        <w:t>” (Sic).</w:t>
      </w:r>
    </w:p>
    <w:p w:rsidR="001F0CEC" w:rsidRPr="00593428" w:rsidRDefault="001F0CEC" w:rsidP="001F0CEC">
      <w:pPr>
        <w:spacing w:line="360" w:lineRule="auto"/>
        <w:jc w:val="both"/>
        <w:rPr>
          <w:rFonts w:ascii="Palatino Linotype" w:hAnsi="Palatino Linotype"/>
          <w:i/>
        </w:rPr>
      </w:pPr>
      <w:r w:rsidRPr="00593428">
        <w:rPr>
          <w:rFonts w:ascii="Palatino Linotype" w:hAnsi="Palatino Linotype"/>
          <w:i/>
        </w:rPr>
        <w:t xml:space="preserve"> </w:t>
      </w:r>
    </w:p>
    <w:p w:rsidR="001F0CEC" w:rsidRPr="00593428" w:rsidRDefault="001F0CEC" w:rsidP="001F0CEC">
      <w:pPr>
        <w:spacing w:line="360" w:lineRule="auto"/>
        <w:jc w:val="both"/>
        <w:rPr>
          <w:rFonts w:ascii="Palatino Linotype" w:hAnsi="Palatino Linotype" w:cs="Arial"/>
        </w:rPr>
      </w:pPr>
      <w:r w:rsidRPr="00593428">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por medio </w:t>
      </w:r>
      <w:r w:rsidR="00AA23E0" w:rsidRPr="00593428">
        <w:rPr>
          <w:rFonts w:ascii="Palatino Linotype" w:eastAsia="Calibri" w:hAnsi="Palatino Linotype" w:cs="Calibri"/>
          <w:lang w:val="es-ES_tradnl" w:eastAsia="es-MX"/>
        </w:rPr>
        <w:t>del archivo electrónico</w:t>
      </w:r>
      <w:r w:rsidRPr="00593428">
        <w:rPr>
          <w:rFonts w:ascii="Palatino Linotype" w:eastAsia="Calibri" w:hAnsi="Palatino Linotype" w:cs="Calibri"/>
          <w:lang w:val="es-ES_tradnl" w:eastAsia="es-MX"/>
        </w:rPr>
        <w:t xml:space="preserve"> denominado “</w:t>
      </w:r>
      <w:r w:rsidR="00AA23E0" w:rsidRPr="00593428">
        <w:rPr>
          <w:rFonts w:ascii="Palatino Linotype" w:hAnsi="Palatino Linotype" w:cs="Arial"/>
          <w:b/>
          <w:i/>
        </w:rPr>
        <w:t>Manifestaciones.pdf</w:t>
      </w:r>
      <w:r w:rsidRPr="00593428">
        <w:rPr>
          <w:rFonts w:ascii="Palatino Linotype" w:hAnsi="Palatino Linotype" w:cs="Arial"/>
          <w:b/>
          <w:i/>
        </w:rPr>
        <w:t>”</w:t>
      </w:r>
      <w:r w:rsidRPr="00593428">
        <w:rPr>
          <w:rFonts w:ascii="Palatino Linotype" w:hAnsi="Palatino Linotype" w:cs="Arial"/>
        </w:rPr>
        <w:t xml:space="preserve">, en </w:t>
      </w:r>
      <w:r w:rsidR="00BE6597" w:rsidRPr="00593428">
        <w:rPr>
          <w:rFonts w:ascii="Palatino Linotype" w:hAnsi="Palatino Linotype" w:cs="Arial"/>
        </w:rPr>
        <w:t>el</w:t>
      </w:r>
      <w:r w:rsidRPr="00593428">
        <w:rPr>
          <w:rFonts w:ascii="Palatino Linotype" w:hAnsi="Palatino Linotype" w:cs="Arial"/>
        </w:rPr>
        <w:t xml:space="preserve"> que ratifica su respuesta.</w:t>
      </w:r>
    </w:p>
    <w:p w:rsidR="001F0CEC" w:rsidRPr="00593428" w:rsidRDefault="001F0CEC" w:rsidP="001F0CEC">
      <w:pPr>
        <w:autoSpaceDE w:val="0"/>
        <w:autoSpaceDN w:val="0"/>
        <w:adjustRightInd w:val="0"/>
        <w:spacing w:line="360" w:lineRule="auto"/>
        <w:jc w:val="both"/>
        <w:rPr>
          <w:rFonts w:ascii="Palatino Linotype" w:hAnsi="Palatino Linotype" w:cs="Arial"/>
        </w:rPr>
      </w:pPr>
    </w:p>
    <w:p w:rsidR="001F0CEC" w:rsidRPr="00593428" w:rsidRDefault="001F0CEC" w:rsidP="00BE6597">
      <w:pPr>
        <w:autoSpaceDE w:val="0"/>
        <w:autoSpaceDN w:val="0"/>
        <w:adjustRightInd w:val="0"/>
        <w:spacing w:line="360" w:lineRule="auto"/>
        <w:jc w:val="both"/>
        <w:rPr>
          <w:rFonts w:ascii="Palatino Linotype" w:hAnsi="Palatino Linotype" w:cs="Arial"/>
        </w:rPr>
      </w:pPr>
      <w:r w:rsidRPr="00593428">
        <w:rPr>
          <w:rFonts w:ascii="Palatino Linotype" w:hAnsi="Palatino Linotype" w:cs="Arial"/>
        </w:rPr>
        <w:t xml:space="preserve">Es primer término, conforme al </w:t>
      </w:r>
      <w:r w:rsidR="00860D63" w:rsidRPr="00593428">
        <w:rPr>
          <w:rFonts w:ascii="Palatino Linotype" w:hAnsi="Palatino Linotype" w:cs="Arial"/>
        </w:rPr>
        <w:t xml:space="preserve">ACUERDO MEDIANTE EL CUAL EL PLENO DEL INSTITUTO DE TRANSPARENCIA, ACCESO A LA INFORMACIÓN PÚBLICA Y </w:t>
      </w:r>
      <w:r w:rsidR="00860D63" w:rsidRPr="00593428">
        <w:rPr>
          <w:rFonts w:ascii="Palatino Linotype" w:hAnsi="Palatino Linotype" w:cs="Arial"/>
        </w:rPr>
        <w:lastRenderedPageBreak/>
        <w:t>PROTECCIÓN DE DATOS PERSONALES DEL ESTADO DE MÉXICO Y MUNICIPIOS, MODIFICA EL PADRÓN DE SUJETOS OBLIGADOS EN MATERIA DE TRANSPARENCIA Y ACCESO A LA INFORMACIÓN PÚBLICA DEL ESTADO DE MÉXICO Y MUNICIPIOS, publicado el 24 de octubre de 2024 en la gaceta de gobierno, se incorporó al Padrón de Sujetos Obligados al Sistema Municipal para el Desarrollo Integral de la Familia de Morelos, tal como se ilustra:</w:t>
      </w:r>
    </w:p>
    <w:p w:rsidR="00860D63" w:rsidRPr="00593428" w:rsidRDefault="00860D63" w:rsidP="00BE6597">
      <w:pPr>
        <w:autoSpaceDE w:val="0"/>
        <w:autoSpaceDN w:val="0"/>
        <w:adjustRightInd w:val="0"/>
        <w:spacing w:line="360" w:lineRule="auto"/>
        <w:jc w:val="both"/>
      </w:pPr>
      <w:r w:rsidRPr="00593428">
        <w:rPr>
          <w:noProof/>
          <w:lang w:val="es-MX" w:eastAsia="es-MX"/>
        </w:rPr>
        <w:drawing>
          <wp:inline distT="0" distB="0" distL="0" distR="0">
            <wp:extent cx="5791835" cy="39884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F4B6D0.tmp"/>
                    <pic:cNvPicPr/>
                  </pic:nvPicPr>
                  <pic:blipFill>
                    <a:blip r:embed="rId7">
                      <a:extLst>
                        <a:ext uri="{28A0092B-C50C-407E-A947-70E740481C1C}">
                          <a14:useLocalDpi xmlns:a14="http://schemas.microsoft.com/office/drawing/2010/main" val="0"/>
                        </a:ext>
                      </a:extLst>
                    </a:blip>
                    <a:stretch>
                      <a:fillRect/>
                    </a:stretch>
                  </pic:blipFill>
                  <pic:spPr>
                    <a:xfrm>
                      <a:off x="0" y="0"/>
                      <a:ext cx="5791835" cy="3988435"/>
                    </a:xfrm>
                    <a:prstGeom prst="rect">
                      <a:avLst/>
                    </a:prstGeom>
                  </pic:spPr>
                </pic:pic>
              </a:graphicData>
            </a:graphic>
          </wp:inline>
        </w:drawing>
      </w:r>
    </w:p>
    <w:p w:rsidR="001878D7" w:rsidRPr="00593428" w:rsidRDefault="00944E4B" w:rsidP="00BE6597">
      <w:pPr>
        <w:autoSpaceDE w:val="0"/>
        <w:autoSpaceDN w:val="0"/>
        <w:adjustRightInd w:val="0"/>
        <w:spacing w:line="360" w:lineRule="auto"/>
        <w:jc w:val="both"/>
      </w:pPr>
      <w:r w:rsidRPr="00593428">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157480</wp:posOffset>
                </wp:positionV>
                <wp:extent cx="5858510" cy="504825"/>
                <wp:effectExtent l="19050" t="19050" r="27940" b="28575"/>
                <wp:wrapNone/>
                <wp:docPr id="12" name="Rectángulo 12"/>
                <wp:cNvGraphicFramePr/>
                <a:graphic xmlns:a="http://schemas.openxmlformats.org/drawingml/2006/main">
                  <a:graphicData uri="http://schemas.microsoft.com/office/word/2010/wordprocessingShape">
                    <wps:wsp>
                      <wps:cNvSpPr/>
                      <wps:spPr>
                        <a:xfrm>
                          <a:off x="0" y="0"/>
                          <a:ext cx="5858510" cy="5048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98D1E5" id="Rectángulo 12" o:spid="_x0000_s1026" style="position:absolute;margin-left:-5.55pt;margin-top:12.4pt;width:461.3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" filled="f" strokecolor="red" strokeweight="3pt"/>
            </w:pict>
          </mc:Fallback>
        </mc:AlternateContent>
      </w:r>
    </w:p>
    <w:p w:rsidR="001878D7" w:rsidRPr="00593428" w:rsidRDefault="001878D7" w:rsidP="00BE6597">
      <w:pPr>
        <w:autoSpaceDE w:val="0"/>
        <w:autoSpaceDN w:val="0"/>
        <w:adjustRightInd w:val="0"/>
        <w:spacing w:line="360" w:lineRule="auto"/>
        <w:jc w:val="both"/>
      </w:pPr>
      <w:r w:rsidRPr="00593428">
        <w:rPr>
          <w:noProof/>
          <w:lang w:val="es-MX" w:eastAsia="es-MX"/>
        </w:rPr>
        <w:drawing>
          <wp:inline distT="0" distB="0" distL="0" distR="0">
            <wp:extent cx="5719050" cy="895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F46A40.tmp"/>
                    <pic:cNvPicPr/>
                  </pic:nvPicPr>
                  <pic:blipFill>
                    <a:blip r:embed="rId8">
                      <a:extLst>
                        <a:ext uri="{28A0092B-C50C-407E-A947-70E740481C1C}">
                          <a14:useLocalDpi xmlns:a14="http://schemas.microsoft.com/office/drawing/2010/main" val="0"/>
                        </a:ext>
                      </a:extLst>
                    </a:blip>
                    <a:stretch>
                      <a:fillRect/>
                    </a:stretch>
                  </pic:blipFill>
                  <pic:spPr>
                    <a:xfrm>
                      <a:off x="0" y="0"/>
                      <a:ext cx="5751227" cy="900388"/>
                    </a:xfrm>
                    <a:prstGeom prst="rect">
                      <a:avLst/>
                    </a:prstGeom>
                  </pic:spPr>
                </pic:pic>
              </a:graphicData>
            </a:graphic>
          </wp:inline>
        </w:drawing>
      </w:r>
    </w:p>
    <w:p w:rsidR="001878D7" w:rsidRPr="00593428" w:rsidRDefault="001878D7" w:rsidP="00BE6597">
      <w:pPr>
        <w:autoSpaceDE w:val="0"/>
        <w:autoSpaceDN w:val="0"/>
        <w:adjustRightInd w:val="0"/>
        <w:spacing w:line="360" w:lineRule="auto"/>
        <w:jc w:val="both"/>
      </w:pPr>
    </w:p>
    <w:p w:rsidR="001878D7" w:rsidRPr="00593428" w:rsidRDefault="001878D7" w:rsidP="00BE6597">
      <w:pPr>
        <w:autoSpaceDE w:val="0"/>
        <w:autoSpaceDN w:val="0"/>
        <w:adjustRightInd w:val="0"/>
        <w:spacing w:line="360" w:lineRule="auto"/>
        <w:jc w:val="both"/>
      </w:pPr>
    </w:p>
    <w:p w:rsidR="001F0CEC" w:rsidRPr="00593428" w:rsidRDefault="001F0CEC" w:rsidP="001F0CEC">
      <w:pPr>
        <w:autoSpaceDE w:val="0"/>
        <w:autoSpaceDN w:val="0"/>
        <w:adjustRightInd w:val="0"/>
        <w:spacing w:line="360" w:lineRule="auto"/>
        <w:jc w:val="both"/>
        <w:rPr>
          <w:rFonts w:ascii="Palatino Linotype" w:hAnsi="Palatino Linotype" w:cs="Arial"/>
        </w:rPr>
      </w:pPr>
    </w:p>
    <w:p w:rsidR="001F0CEC" w:rsidRPr="00593428" w:rsidRDefault="001878D7" w:rsidP="001F0CEC">
      <w:pPr>
        <w:autoSpaceDE w:val="0"/>
        <w:autoSpaceDN w:val="0"/>
        <w:adjustRightInd w:val="0"/>
        <w:spacing w:line="360" w:lineRule="auto"/>
        <w:jc w:val="both"/>
        <w:rPr>
          <w:rFonts w:ascii="Palatino Linotype" w:hAnsi="Palatino Linotype" w:cs="Arial"/>
        </w:rPr>
      </w:pPr>
      <w:r w:rsidRPr="00593428">
        <w:rPr>
          <w:rFonts w:ascii="Palatino Linotype" w:hAnsi="Palatino Linotype" w:cs="Arial"/>
        </w:rPr>
        <w:t xml:space="preserve">En ese orden de ideas, en fecha </w:t>
      </w:r>
      <w:r w:rsidRPr="00593428">
        <w:rPr>
          <w:rFonts w:ascii="Palatino Linotype" w:hAnsi="Palatino Linotype" w:cs="Arial"/>
          <w:b/>
          <w:u w:val="single"/>
        </w:rPr>
        <w:t>09 de mayo de 2025</w:t>
      </w:r>
      <w:r w:rsidRPr="00593428">
        <w:rPr>
          <w:rFonts w:ascii="Palatino Linotype" w:hAnsi="Palatino Linotype" w:cs="Arial"/>
        </w:rPr>
        <w:t xml:space="preserve"> se publicó en la gaceta de gobierno el </w:t>
      </w:r>
      <w:r w:rsidRPr="00593428">
        <w:rPr>
          <w:rFonts w:ascii="Palatino Linotype" w:hAnsi="Palatino Linotype" w:cs="Arial"/>
          <w:b/>
        </w:rPr>
        <w:t>ACUERDO</w:t>
      </w:r>
      <w:r w:rsidRPr="00593428">
        <w:rPr>
          <w:rFonts w:ascii="Palatino Linotype" w:hAnsi="Palatino Linotype" w:cs="Arial"/>
        </w:rPr>
        <w:t xml:space="preserve"> MEDIANTE EL CUAL </w:t>
      </w:r>
      <w:r w:rsidRPr="00593428">
        <w:rPr>
          <w:rFonts w:ascii="Palatino Linotype" w:hAnsi="Palatino Linotype" w:cs="Arial"/>
          <w:b/>
        </w:rPr>
        <w:t>EL PLENO</w:t>
      </w:r>
      <w:r w:rsidRPr="00593428">
        <w:rPr>
          <w:rFonts w:ascii="Palatino Linotype" w:hAnsi="Palatino Linotype" w:cs="Arial"/>
        </w:rPr>
        <w:t xml:space="preserve"> DEL INSTITUTO DE TRANSPARENCIA, ACCESO A LA INFORMACIÓN PÚBLICA Y PROTECCIÓN DE DATOS PERSONALES DEL ESTADO DE MÉXICO Y MUNICIPIOS </w:t>
      </w:r>
      <w:r w:rsidRPr="00593428">
        <w:rPr>
          <w:rFonts w:ascii="Palatino Linotype" w:hAnsi="Palatino Linotype" w:cs="Arial"/>
          <w:b/>
        </w:rPr>
        <w:t>APRUEBA LAS TABLAS DE APLICABILIDAD DE LAS OBLIGACIONES DE TRANSPARENCIA COMUNES</w:t>
      </w:r>
      <w:r w:rsidRPr="00593428">
        <w:rPr>
          <w:rFonts w:ascii="Palatino Linotype" w:hAnsi="Palatino Linotype" w:cs="Arial"/>
        </w:rPr>
        <w:t xml:space="preserve"> Y ESPECÍFICAS DE DIVERSOS SUJETOS OBLIGADOS, entre ellos el Sistema Municipal para el Desarrollo Integral de la Familia de Morelos</w:t>
      </w:r>
      <w:r w:rsidR="00CD6559" w:rsidRPr="00593428">
        <w:rPr>
          <w:rFonts w:ascii="Palatino Linotype" w:hAnsi="Palatino Linotype" w:cs="Arial"/>
        </w:rPr>
        <w:t>:</w:t>
      </w:r>
    </w:p>
    <w:p w:rsidR="00CD6559" w:rsidRPr="00593428" w:rsidRDefault="00CD6559" w:rsidP="001F0CEC">
      <w:pPr>
        <w:autoSpaceDE w:val="0"/>
        <w:autoSpaceDN w:val="0"/>
        <w:adjustRightInd w:val="0"/>
        <w:spacing w:line="360" w:lineRule="auto"/>
        <w:jc w:val="both"/>
        <w:rPr>
          <w:rFonts w:ascii="Palatino Linotype" w:hAnsi="Palatino Linotype" w:cs="Arial"/>
        </w:rPr>
      </w:pPr>
      <w:r w:rsidRPr="00593428">
        <w:rPr>
          <w:rFonts w:ascii="Palatino Linotype" w:hAnsi="Palatino Linotype" w:cs="Arial"/>
          <w:noProof/>
          <w:lang w:val="es-MX" w:eastAsia="es-MX"/>
        </w:rPr>
        <w:drawing>
          <wp:inline distT="0" distB="0" distL="0" distR="0">
            <wp:extent cx="5287113" cy="3639058"/>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9F4A6AE.tmp"/>
                    <pic:cNvPicPr/>
                  </pic:nvPicPr>
                  <pic:blipFill>
                    <a:blip r:embed="rId9">
                      <a:extLst>
                        <a:ext uri="{28A0092B-C50C-407E-A947-70E740481C1C}">
                          <a14:useLocalDpi xmlns:a14="http://schemas.microsoft.com/office/drawing/2010/main" val="0"/>
                        </a:ext>
                      </a:extLst>
                    </a:blip>
                    <a:stretch>
                      <a:fillRect/>
                    </a:stretch>
                  </pic:blipFill>
                  <pic:spPr>
                    <a:xfrm>
                      <a:off x="0" y="0"/>
                      <a:ext cx="5287113" cy="3639058"/>
                    </a:xfrm>
                    <a:prstGeom prst="rect">
                      <a:avLst/>
                    </a:prstGeom>
                  </pic:spPr>
                </pic:pic>
              </a:graphicData>
            </a:graphic>
          </wp:inline>
        </w:drawing>
      </w:r>
    </w:p>
    <w:p w:rsidR="001F0CEC" w:rsidRPr="00593428" w:rsidRDefault="001F0CEC" w:rsidP="001F0CEC">
      <w:pPr>
        <w:autoSpaceDE w:val="0"/>
        <w:autoSpaceDN w:val="0"/>
        <w:adjustRightInd w:val="0"/>
        <w:spacing w:line="360" w:lineRule="auto"/>
        <w:jc w:val="both"/>
        <w:rPr>
          <w:rFonts w:ascii="Palatino Linotype" w:hAnsi="Palatino Linotype" w:cs="Arial"/>
        </w:rPr>
      </w:pPr>
    </w:p>
    <w:p w:rsidR="0064112F" w:rsidRPr="00593428" w:rsidRDefault="0064112F" w:rsidP="001F0CEC">
      <w:pPr>
        <w:autoSpaceDE w:val="0"/>
        <w:autoSpaceDN w:val="0"/>
        <w:adjustRightInd w:val="0"/>
        <w:spacing w:line="360" w:lineRule="auto"/>
        <w:jc w:val="both"/>
        <w:rPr>
          <w:rFonts w:ascii="Palatino Linotype" w:hAnsi="Palatino Linotype" w:cs="Arial"/>
        </w:rPr>
      </w:pPr>
    </w:p>
    <w:p w:rsidR="0064112F" w:rsidRPr="00593428" w:rsidRDefault="0064112F" w:rsidP="001F0CEC">
      <w:pPr>
        <w:autoSpaceDE w:val="0"/>
        <w:autoSpaceDN w:val="0"/>
        <w:adjustRightInd w:val="0"/>
        <w:spacing w:line="360" w:lineRule="auto"/>
        <w:jc w:val="both"/>
        <w:rPr>
          <w:rFonts w:ascii="Palatino Linotype" w:hAnsi="Palatino Linotype" w:cs="Arial"/>
        </w:rPr>
      </w:pPr>
    </w:p>
    <w:p w:rsidR="001E3C91" w:rsidRPr="00593428" w:rsidRDefault="001E3C91" w:rsidP="001F0CEC">
      <w:pPr>
        <w:autoSpaceDE w:val="0"/>
        <w:autoSpaceDN w:val="0"/>
        <w:adjustRightInd w:val="0"/>
        <w:spacing w:line="360" w:lineRule="auto"/>
        <w:jc w:val="both"/>
        <w:rPr>
          <w:rFonts w:ascii="Palatino Linotype" w:hAnsi="Palatino Linotype" w:cs="Arial"/>
        </w:rPr>
      </w:pPr>
      <w:r w:rsidRPr="00593428">
        <w:rPr>
          <w:rFonts w:ascii="Palatino Linotype" w:hAnsi="Palatino Linotype" w:cs="Arial"/>
        </w:rPr>
        <w:lastRenderedPageBreak/>
        <w:t>Conforme a la tabla de aplicabilidad antes referida se tiene lo siguiente:</w:t>
      </w:r>
    </w:p>
    <w:p w:rsidR="001E3C91" w:rsidRPr="00593428" w:rsidRDefault="00BB3851" w:rsidP="00BB3851">
      <w:pPr>
        <w:autoSpaceDE w:val="0"/>
        <w:autoSpaceDN w:val="0"/>
        <w:adjustRightInd w:val="0"/>
        <w:spacing w:line="360" w:lineRule="auto"/>
        <w:jc w:val="center"/>
        <w:rPr>
          <w:rFonts w:ascii="Palatino Linotype" w:hAnsi="Palatino Linotype" w:cs="Arial"/>
        </w:rPr>
      </w:pPr>
      <w:r w:rsidRPr="00593428">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2129790</wp:posOffset>
                </wp:positionH>
                <wp:positionV relativeFrom="paragraph">
                  <wp:posOffset>536575</wp:posOffset>
                </wp:positionV>
                <wp:extent cx="1590675" cy="228600"/>
                <wp:effectExtent l="19050" t="19050" r="28575" b="19050"/>
                <wp:wrapNone/>
                <wp:docPr id="11" name="Rectángulo 11"/>
                <wp:cNvGraphicFramePr/>
                <a:graphic xmlns:a="http://schemas.openxmlformats.org/drawingml/2006/main">
                  <a:graphicData uri="http://schemas.microsoft.com/office/word/2010/wordprocessingShape">
                    <wps:wsp>
                      <wps:cNvSpPr/>
                      <wps:spPr>
                        <a:xfrm>
                          <a:off x="0" y="0"/>
                          <a:ext cx="1590675" cy="2286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A9DCB4" id="Rectángulo 11" o:spid="_x0000_s1026" style="position:absolute;margin-left:167.7pt;margin-top:42.25pt;width:125.25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" filled="f" strokecolor="red" strokeweight="3pt"/>
            </w:pict>
          </mc:Fallback>
        </mc:AlternateContent>
      </w:r>
      <w:r w:rsidRPr="00593428">
        <w:rPr>
          <w:rFonts w:ascii="Palatino Linotype" w:hAnsi="Palatino Linotype" w:cs="Arial"/>
          <w:noProof/>
          <w:lang w:val="es-MX" w:eastAsia="es-MX"/>
        </w:rPr>
        <w:drawing>
          <wp:inline distT="0" distB="0" distL="0" distR="0">
            <wp:extent cx="5715808" cy="39147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F47AF6.tmp"/>
                    <pic:cNvPicPr/>
                  </pic:nvPicPr>
                  <pic:blipFill>
                    <a:blip r:embed="rId10">
                      <a:extLst>
                        <a:ext uri="{28A0092B-C50C-407E-A947-70E740481C1C}">
                          <a14:useLocalDpi xmlns:a14="http://schemas.microsoft.com/office/drawing/2010/main" val="0"/>
                        </a:ext>
                      </a:extLst>
                    </a:blip>
                    <a:stretch>
                      <a:fillRect/>
                    </a:stretch>
                  </pic:blipFill>
                  <pic:spPr>
                    <a:xfrm>
                      <a:off x="0" y="0"/>
                      <a:ext cx="5746394" cy="3935723"/>
                    </a:xfrm>
                    <a:prstGeom prst="rect">
                      <a:avLst/>
                    </a:prstGeom>
                  </pic:spPr>
                </pic:pic>
              </a:graphicData>
            </a:graphic>
          </wp:inline>
        </w:drawing>
      </w:r>
    </w:p>
    <w:p w:rsidR="00BB3851" w:rsidRPr="00593428" w:rsidRDefault="00BB3851" w:rsidP="001F0CEC">
      <w:pPr>
        <w:autoSpaceDE w:val="0"/>
        <w:autoSpaceDN w:val="0"/>
        <w:adjustRightInd w:val="0"/>
        <w:spacing w:line="360" w:lineRule="auto"/>
        <w:jc w:val="both"/>
        <w:rPr>
          <w:rFonts w:ascii="Palatino Linotype" w:hAnsi="Palatino Linotype" w:cs="Arial"/>
        </w:rPr>
      </w:pPr>
      <w:r w:rsidRPr="00593428">
        <w:rPr>
          <w:rFonts w:ascii="Palatino Linotype" w:hAnsi="Palatino Linotype" w:cs="Arial"/>
          <w:noProof/>
          <w:lang w:val="es-MX" w:eastAsia="es-MX"/>
        </w:rPr>
        <w:lastRenderedPageBreak/>
        <w:drawing>
          <wp:inline distT="0" distB="0" distL="0" distR="0">
            <wp:extent cx="5680831" cy="38671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9F4D396.tmp"/>
                    <pic:cNvPicPr/>
                  </pic:nvPicPr>
                  <pic:blipFill>
                    <a:blip r:embed="rId11">
                      <a:extLst>
                        <a:ext uri="{28A0092B-C50C-407E-A947-70E740481C1C}">
                          <a14:useLocalDpi xmlns:a14="http://schemas.microsoft.com/office/drawing/2010/main" val="0"/>
                        </a:ext>
                      </a:extLst>
                    </a:blip>
                    <a:stretch>
                      <a:fillRect/>
                    </a:stretch>
                  </pic:blipFill>
                  <pic:spPr>
                    <a:xfrm>
                      <a:off x="0" y="0"/>
                      <a:ext cx="5692660" cy="3875203"/>
                    </a:xfrm>
                    <a:prstGeom prst="rect">
                      <a:avLst/>
                    </a:prstGeom>
                  </pic:spPr>
                </pic:pic>
              </a:graphicData>
            </a:graphic>
          </wp:inline>
        </w:drawing>
      </w:r>
    </w:p>
    <w:p w:rsidR="00BB3851" w:rsidRPr="00593428" w:rsidRDefault="00BB3851" w:rsidP="001F0CEC">
      <w:pPr>
        <w:autoSpaceDE w:val="0"/>
        <w:autoSpaceDN w:val="0"/>
        <w:adjustRightInd w:val="0"/>
        <w:spacing w:line="360" w:lineRule="auto"/>
        <w:jc w:val="both"/>
        <w:rPr>
          <w:rFonts w:ascii="Palatino Linotype" w:hAnsi="Palatino Linotype" w:cs="Arial"/>
        </w:rPr>
      </w:pPr>
    </w:p>
    <w:p w:rsidR="001E3C91" w:rsidRPr="00593428" w:rsidRDefault="001E3C91" w:rsidP="001F0CEC">
      <w:pPr>
        <w:autoSpaceDE w:val="0"/>
        <w:autoSpaceDN w:val="0"/>
        <w:adjustRightInd w:val="0"/>
        <w:spacing w:line="360" w:lineRule="auto"/>
        <w:jc w:val="both"/>
        <w:rPr>
          <w:rFonts w:ascii="Palatino Linotype" w:hAnsi="Palatino Linotype" w:cs="Arial"/>
        </w:rPr>
      </w:pPr>
    </w:p>
    <w:p w:rsidR="001F0CEC" w:rsidRPr="00593428" w:rsidRDefault="001F0CEC" w:rsidP="001F0CEC">
      <w:pPr>
        <w:autoSpaceDE w:val="0"/>
        <w:autoSpaceDN w:val="0"/>
        <w:adjustRightInd w:val="0"/>
        <w:spacing w:line="360" w:lineRule="auto"/>
        <w:jc w:val="both"/>
        <w:rPr>
          <w:rFonts w:ascii="Palatino Linotype" w:hAnsi="Palatino Linotype" w:cs="Arial"/>
        </w:rPr>
      </w:pPr>
      <w:r w:rsidRPr="00593428">
        <w:rPr>
          <w:rFonts w:ascii="Palatino Linotype" w:hAnsi="Palatino Linotype" w:cs="Arial"/>
        </w:rPr>
        <w:t>Del estudio realizado, es necesario acotar si el Sujeto Obligado colmó el derecho de acceso a la información pública:</w:t>
      </w:r>
    </w:p>
    <w:p w:rsidR="001F0CEC" w:rsidRPr="00593428" w:rsidRDefault="001F0CEC" w:rsidP="001F0CEC">
      <w:pPr>
        <w:autoSpaceDE w:val="0"/>
        <w:autoSpaceDN w:val="0"/>
        <w:adjustRightInd w:val="0"/>
        <w:spacing w:line="360" w:lineRule="auto"/>
        <w:jc w:val="both"/>
        <w:rPr>
          <w:rFonts w:ascii="Palatino Linotype" w:hAnsi="Palatino Linotype" w:cs="Arial"/>
        </w:rPr>
      </w:pPr>
    </w:p>
    <w:tbl>
      <w:tblPr>
        <w:tblStyle w:val="Tablaconcuadrcula"/>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5"/>
        <w:gridCol w:w="5387"/>
        <w:gridCol w:w="1275"/>
      </w:tblGrid>
      <w:tr w:rsidR="001F0CEC" w:rsidRPr="00593428" w:rsidTr="00ED7735">
        <w:trPr>
          <w:trHeight w:val="396"/>
        </w:trPr>
        <w:tc>
          <w:tcPr>
            <w:tcW w:w="2395" w:type="dxa"/>
            <w:shd w:val="clear" w:color="auto" w:fill="E7E6E6" w:themeFill="background2"/>
          </w:tcPr>
          <w:p w:rsidR="001F0CEC" w:rsidRPr="00593428" w:rsidRDefault="001F0CEC" w:rsidP="00ED7735">
            <w:pPr>
              <w:spacing w:line="360" w:lineRule="auto"/>
              <w:jc w:val="center"/>
              <w:rPr>
                <w:rFonts w:ascii="Palatino Linotype" w:hAnsi="Palatino Linotype"/>
                <w:b/>
                <w:i/>
                <w:color w:val="000000"/>
              </w:rPr>
            </w:pPr>
            <w:r w:rsidRPr="00593428">
              <w:rPr>
                <w:rFonts w:ascii="Palatino Linotype" w:hAnsi="Palatino Linotype"/>
                <w:b/>
                <w:i/>
                <w:color w:val="000000"/>
              </w:rPr>
              <w:t>Requerimientos</w:t>
            </w:r>
          </w:p>
        </w:tc>
        <w:tc>
          <w:tcPr>
            <w:tcW w:w="5387" w:type="dxa"/>
            <w:shd w:val="clear" w:color="auto" w:fill="E7E6E6" w:themeFill="background2"/>
          </w:tcPr>
          <w:p w:rsidR="001F0CEC" w:rsidRPr="00593428" w:rsidRDefault="001F0CEC" w:rsidP="00ED7735">
            <w:pPr>
              <w:spacing w:line="360" w:lineRule="auto"/>
              <w:jc w:val="center"/>
              <w:rPr>
                <w:rFonts w:ascii="Palatino Linotype" w:hAnsi="Palatino Linotype"/>
                <w:b/>
                <w:i/>
                <w:color w:val="000000"/>
              </w:rPr>
            </w:pPr>
            <w:r w:rsidRPr="00593428">
              <w:rPr>
                <w:rFonts w:ascii="Palatino Linotype" w:hAnsi="Palatino Linotype"/>
                <w:b/>
                <w:i/>
                <w:color w:val="000000"/>
              </w:rPr>
              <w:t>Respuesta</w:t>
            </w:r>
          </w:p>
        </w:tc>
        <w:tc>
          <w:tcPr>
            <w:tcW w:w="1275" w:type="dxa"/>
            <w:shd w:val="clear" w:color="auto" w:fill="E7E6E6" w:themeFill="background2"/>
          </w:tcPr>
          <w:p w:rsidR="001F0CEC" w:rsidRPr="00593428" w:rsidRDefault="001F0CEC" w:rsidP="00ED7735">
            <w:pPr>
              <w:spacing w:line="360" w:lineRule="auto"/>
              <w:jc w:val="center"/>
              <w:rPr>
                <w:rFonts w:ascii="Palatino Linotype" w:hAnsi="Palatino Linotype"/>
                <w:b/>
                <w:i/>
                <w:color w:val="000000"/>
              </w:rPr>
            </w:pPr>
            <w:r w:rsidRPr="00593428">
              <w:rPr>
                <w:rFonts w:ascii="Palatino Linotype" w:hAnsi="Palatino Linotype"/>
                <w:b/>
                <w:i/>
                <w:color w:val="000000"/>
              </w:rPr>
              <w:t>Colma</w:t>
            </w:r>
          </w:p>
        </w:tc>
      </w:tr>
      <w:tr w:rsidR="001F0CEC" w:rsidRPr="00593428" w:rsidTr="00ED7735">
        <w:trPr>
          <w:trHeight w:val="396"/>
        </w:trPr>
        <w:tc>
          <w:tcPr>
            <w:tcW w:w="2395" w:type="dxa"/>
            <w:shd w:val="clear" w:color="auto" w:fill="auto"/>
          </w:tcPr>
          <w:p w:rsidR="001F0CEC" w:rsidRPr="00593428" w:rsidRDefault="001E0C1E" w:rsidP="00ED7735">
            <w:pPr>
              <w:tabs>
                <w:tab w:val="left" w:pos="1828"/>
              </w:tabs>
              <w:jc w:val="both"/>
              <w:rPr>
                <w:rFonts w:ascii="Palatino Linotype" w:hAnsi="Palatino Linotype"/>
                <w:color w:val="000000"/>
              </w:rPr>
            </w:pPr>
            <w:r w:rsidRPr="00593428">
              <w:rPr>
                <w:rFonts w:ascii="Palatino Linotype" w:hAnsi="Palatino Linotype"/>
                <w:color w:val="000000"/>
              </w:rPr>
              <w:t>De enero a marzo de 2025 las obligaciones de transparencia común y específicas</w:t>
            </w:r>
          </w:p>
        </w:tc>
        <w:tc>
          <w:tcPr>
            <w:tcW w:w="5387" w:type="dxa"/>
            <w:shd w:val="clear" w:color="auto" w:fill="auto"/>
          </w:tcPr>
          <w:p w:rsidR="001F0CEC" w:rsidRPr="00593428" w:rsidRDefault="001E0C1E" w:rsidP="00ED7735">
            <w:pPr>
              <w:jc w:val="both"/>
              <w:rPr>
                <w:rFonts w:ascii="Palatino Linotype" w:hAnsi="Palatino Linotype"/>
                <w:color w:val="000000"/>
              </w:rPr>
            </w:pPr>
            <w:r w:rsidRPr="00593428">
              <w:rPr>
                <w:rFonts w:ascii="Palatino Linotype" w:hAnsi="Palatino Linotype"/>
                <w:color w:val="000000"/>
              </w:rPr>
              <w:t>El TUT informó que fue incorporado al padrón de sujetos obligados en octubre 2024 y las tablas de aplicabilidad de nuevos sujetos obligados le fueron notificadas en mayo 2025.</w:t>
            </w:r>
          </w:p>
        </w:tc>
        <w:tc>
          <w:tcPr>
            <w:tcW w:w="1275" w:type="dxa"/>
            <w:shd w:val="clear" w:color="auto" w:fill="auto"/>
          </w:tcPr>
          <w:p w:rsidR="001F0CEC" w:rsidRPr="00593428" w:rsidRDefault="001F0CEC" w:rsidP="00ED7735">
            <w:pPr>
              <w:jc w:val="center"/>
              <w:rPr>
                <w:rFonts w:ascii="Palatino Linotype" w:hAnsi="Palatino Linotype"/>
                <w:b/>
                <w:i/>
                <w:color w:val="000000"/>
              </w:rPr>
            </w:pPr>
            <w:r w:rsidRPr="00593428">
              <w:rPr>
                <w:rFonts w:ascii="Palatino Linotype" w:hAnsi="Palatino Linotype"/>
                <w:b/>
                <w:i/>
                <w:color w:val="000000"/>
              </w:rPr>
              <w:t>Sí</w:t>
            </w:r>
          </w:p>
        </w:tc>
      </w:tr>
    </w:tbl>
    <w:p w:rsidR="001F0CEC" w:rsidRPr="00593428" w:rsidRDefault="001F0CEC" w:rsidP="001F0CEC">
      <w:pPr>
        <w:spacing w:line="360" w:lineRule="auto"/>
        <w:jc w:val="both"/>
        <w:rPr>
          <w:rFonts w:ascii="Palatino Linotype" w:hAnsi="Palatino Linotype" w:cs="Arial"/>
        </w:rPr>
      </w:pPr>
    </w:p>
    <w:p w:rsidR="001F0CEC" w:rsidRPr="00593428" w:rsidRDefault="001F0CEC" w:rsidP="001F0CEC">
      <w:pPr>
        <w:spacing w:line="360" w:lineRule="auto"/>
        <w:jc w:val="both"/>
        <w:rPr>
          <w:rFonts w:ascii="Palatino Linotype" w:hAnsi="Palatino Linotype"/>
          <w:color w:val="000000"/>
        </w:rPr>
      </w:pPr>
    </w:p>
    <w:p w:rsidR="001E0C1E" w:rsidRPr="00593428" w:rsidRDefault="001E0C1E" w:rsidP="001E0C1E">
      <w:pPr>
        <w:spacing w:line="360" w:lineRule="auto"/>
        <w:jc w:val="both"/>
        <w:rPr>
          <w:rFonts w:ascii="Palatino Linotype" w:hAnsi="Palatino Linotype"/>
          <w:color w:val="000000"/>
        </w:rPr>
      </w:pPr>
      <w:r w:rsidRPr="00593428">
        <w:rPr>
          <w:rFonts w:ascii="Palatino Linotype" w:hAnsi="Palatino Linotype"/>
          <w:color w:val="000000"/>
        </w:rPr>
        <w:lastRenderedPageBreak/>
        <w:t>Conforme a las actuaciones en el expediente del recurso de revisión citado al rubro, se tiene que del periodo enero-marzo 2025, aún no se le notificaban las tablas de aplicabilidad, mismas que los LINEAMIENTOS PARA LA VERIFICACIÓN</w:t>
      </w:r>
      <w:r w:rsidR="00061164" w:rsidRPr="00593428">
        <w:rPr>
          <w:rFonts w:ascii="Palatino Linotype" w:hAnsi="Palatino Linotype"/>
          <w:color w:val="000000"/>
        </w:rPr>
        <w:t xml:space="preserve"> </w:t>
      </w:r>
      <w:r w:rsidRPr="00593428">
        <w:rPr>
          <w:rFonts w:ascii="Palatino Linotype" w:hAnsi="Palatino Linotype"/>
          <w:color w:val="000000"/>
        </w:rPr>
        <w:t>VIRTUAL OFICIOSA Y POR DENUNCIA A</w:t>
      </w:r>
      <w:r w:rsidR="00061164" w:rsidRPr="00593428">
        <w:rPr>
          <w:rFonts w:ascii="Palatino Linotype" w:hAnsi="Palatino Linotype"/>
          <w:color w:val="000000"/>
        </w:rPr>
        <w:t xml:space="preserve"> </w:t>
      </w:r>
      <w:r w:rsidRPr="00593428">
        <w:rPr>
          <w:rFonts w:ascii="Palatino Linotype" w:hAnsi="Palatino Linotype"/>
          <w:color w:val="000000"/>
        </w:rPr>
        <w:t>LA</w:t>
      </w:r>
      <w:r w:rsidR="00033A55" w:rsidRPr="00593428">
        <w:rPr>
          <w:rFonts w:ascii="Palatino Linotype" w:hAnsi="Palatino Linotype"/>
          <w:color w:val="000000"/>
        </w:rPr>
        <w:t>S OBLIGACIONES DE TRANSPARENCIA, definen como:</w:t>
      </w:r>
    </w:p>
    <w:p w:rsidR="00033A55" w:rsidRPr="00593428" w:rsidRDefault="00033A55" w:rsidP="00033A55">
      <w:pPr>
        <w:pStyle w:val="Citas"/>
        <w:rPr>
          <w:b/>
        </w:rPr>
      </w:pPr>
      <w:r w:rsidRPr="00593428">
        <w:rPr>
          <w:b/>
          <w:bCs/>
          <w:lang w:val="es-ES"/>
        </w:rPr>
        <w:t xml:space="preserve">SEGUNDO. </w:t>
      </w:r>
      <w:r w:rsidRPr="00593428">
        <w:rPr>
          <w:lang w:val="es-ES"/>
        </w:rPr>
        <w:t>Para efectos de estos lineamientos se entenderá por:</w:t>
      </w:r>
    </w:p>
    <w:p w:rsidR="00033A55" w:rsidRPr="00593428" w:rsidRDefault="00033A55" w:rsidP="00033A55">
      <w:pPr>
        <w:pStyle w:val="Citas"/>
      </w:pPr>
      <w:r w:rsidRPr="00593428">
        <w:rPr>
          <w:b/>
        </w:rPr>
        <w:t>XXVIII. Tabla de Aplicabilidad</w:t>
      </w:r>
      <w:r w:rsidRPr="00593428">
        <w:rPr>
          <w:b/>
          <w:u w:val="single"/>
        </w:rPr>
        <w:t>: Documento elaborado por el Instituto donde se enlistan las obligaciones de transparencia comunes y específicas que le corresponde publicar y actualizar a cada sujeto obligado</w:t>
      </w:r>
      <w:r w:rsidRPr="00593428">
        <w:t xml:space="preserve"> de acuerdo con sus facultades, atribuciones, funciones u objeto social, y la recepción y/o uso de recursos públicos o ejercicio de actos de autoridad, </w:t>
      </w:r>
      <w:r w:rsidRPr="00593428">
        <w:rPr>
          <w:lang w:val="es-ES"/>
        </w:rPr>
        <w:t>según corresponda, en la que se incluyen, en su caso, las que no le aplican.</w:t>
      </w:r>
    </w:p>
    <w:p w:rsidR="001E0C1E" w:rsidRPr="00593428" w:rsidRDefault="001E0C1E" w:rsidP="001F0CEC">
      <w:pPr>
        <w:spacing w:line="360" w:lineRule="auto"/>
        <w:jc w:val="both"/>
        <w:rPr>
          <w:rFonts w:ascii="Palatino Linotype" w:hAnsi="Palatino Linotype"/>
          <w:color w:val="000000"/>
        </w:rPr>
      </w:pPr>
    </w:p>
    <w:p w:rsidR="001F0CEC" w:rsidRPr="00593428" w:rsidRDefault="001F0CEC" w:rsidP="001F0CEC">
      <w:pPr>
        <w:spacing w:line="360" w:lineRule="auto"/>
        <w:jc w:val="both"/>
        <w:rPr>
          <w:rFonts w:ascii="Palatino Linotype" w:hAnsi="Palatino Linotype"/>
          <w:color w:val="000000"/>
        </w:rPr>
      </w:pPr>
      <w:r w:rsidRPr="00593428">
        <w:rPr>
          <w:rFonts w:ascii="Palatino Linotype" w:hAnsi="Palatino Linotype"/>
          <w:color w:val="000000"/>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1F0CEC" w:rsidRPr="00593428" w:rsidRDefault="001F0CEC" w:rsidP="001F0CEC">
      <w:pPr>
        <w:spacing w:line="360" w:lineRule="auto"/>
        <w:jc w:val="both"/>
        <w:rPr>
          <w:rFonts w:ascii="Palatino Linotype" w:hAnsi="Palatino Linotype"/>
          <w:color w:val="000000"/>
        </w:rPr>
      </w:pPr>
    </w:p>
    <w:p w:rsidR="001F0CEC" w:rsidRPr="00593428" w:rsidRDefault="001F0CEC" w:rsidP="001F0CEC">
      <w:pPr>
        <w:ind w:left="567" w:right="567"/>
        <w:jc w:val="both"/>
        <w:rPr>
          <w:rFonts w:ascii="Palatino Linotype" w:hAnsi="Palatino Linotype"/>
          <w:b/>
          <w:i/>
        </w:rPr>
      </w:pPr>
      <w:r w:rsidRPr="00593428">
        <w:rPr>
          <w:rFonts w:ascii="Palatino Linotype" w:hAnsi="Palatino Linotype"/>
          <w:b/>
          <w:i/>
        </w:rPr>
        <w:lastRenderedPageBreak/>
        <w:t>Artículo 6</w:t>
      </w:r>
    </w:p>
    <w:p w:rsidR="001F0CEC" w:rsidRPr="00593428" w:rsidRDefault="001F0CEC" w:rsidP="001F0CEC">
      <w:pPr>
        <w:ind w:left="567" w:right="567"/>
        <w:jc w:val="both"/>
        <w:rPr>
          <w:rFonts w:ascii="Palatino Linotype" w:hAnsi="Palatino Linotype"/>
          <w:i/>
        </w:rPr>
      </w:pPr>
      <w:r w:rsidRPr="00593428">
        <w:rPr>
          <w:rFonts w:ascii="Palatino Linotype" w:hAnsi="Palatino Linotype"/>
          <w:i/>
        </w:rPr>
        <w:t>…</w:t>
      </w:r>
    </w:p>
    <w:p w:rsidR="001F0CEC" w:rsidRPr="00593428" w:rsidRDefault="001F0CEC" w:rsidP="001F0CEC">
      <w:pPr>
        <w:ind w:left="567" w:right="567"/>
        <w:jc w:val="both"/>
        <w:rPr>
          <w:rFonts w:ascii="Palatino Linotype" w:hAnsi="Palatino Linotype"/>
          <w:i/>
        </w:rPr>
      </w:pPr>
      <w:r w:rsidRPr="00593428">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F0CEC" w:rsidRPr="00593428" w:rsidRDefault="001F0CEC" w:rsidP="001F0CEC">
      <w:pPr>
        <w:ind w:left="567" w:right="567"/>
        <w:jc w:val="both"/>
        <w:rPr>
          <w:rFonts w:ascii="Palatino Linotype" w:hAnsi="Palatino Linotype"/>
          <w:i/>
        </w:rPr>
      </w:pPr>
    </w:p>
    <w:p w:rsidR="001F0CEC" w:rsidRPr="00593428" w:rsidRDefault="001F0CEC" w:rsidP="001F0CEC">
      <w:pPr>
        <w:numPr>
          <w:ilvl w:val="0"/>
          <w:numId w:val="4"/>
        </w:numPr>
        <w:ind w:left="993" w:right="567"/>
        <w:jc w:val="both"/>
        <w:rPr>
          <w:rFonts w:ascii="Palatino Linotype" w:hAnsi="Palatino Linotype"/>
          <w:i/>
        </w:rPr>
      </w:pPr>
      <w:r w:rsidRPr="00593428">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F0CEC" w:rsidRPr="00593428" w:rsidRDefault="001F0CEC" w:rsidP="001F0CEC">
      <w:pPr>
        <w:spacing w:line="360" w:lineRule="auto"/>
        <w:jc w:val="both"/>
        <w:rPr>
          <w:rFonts w:ascii="Palatino Linotype" w:hAnsi="Palatino Linotype"/>
        </w:rPr>
      </w:pPr>
    </w:p>
    <w:p w:rsidR="001F0CEC" w:rsidRPr="00593428" w:rsidRDefault="001F0CEC" w:rsidP="001F0CEC">
      <w:pPr>
        <w:spacing w:line="360" w:lineRule="auto"/>
        <w:jc w:val="both"/>
        <w:rPr>
          <w:rFonts w:ascii="Palatino Linotype" w:hAnsi="Palatino Linotype" w:cs="Arial"/>
        </w:rPr>
      </w:pPr>
      <w:r w:rsidRPr="00593428">
        <w:rPr>
          <w:rFonts w:ascii="Palatino Linotype" w:hAnsi="Palatino Linotype" w:cs="Arial"/>
        </w:rPr>
        <w:t xml:space="preserve">Por otro lado, en atención a lo dispuesto por los artículos 3, fracción XI y 12 </w:t>
      </w:r>
      <w:r w:rsidRPr="00593428">
        <w:rPr>
          <w:rFonts w:ascii="Palatino Linotype" w:hAnsi="Palatino Linotype" w:cs="Arial"/>
          <w:bCs/>
        </w:rPr>
        <w:t>de la Ley de Transparencia y Acceso a la Información Pública del Estado de México y Municipios</w:t>
      </w:r>
      <w:r w:rsidRPr="00593428">
        <w:rPr>
          <w:rFonts w:ascii="Palatino Linotype" w:hAnsi="Palatino Linotype" w:cs="Arial"/>
        </w:rPr>
        <w:t>, los cuales son del tenor literal siguiente:</w:t>
      </w:r>
    </w:p>
    <w:p w:rsidR="001F0CEC" w:rsidRPr="00593428" w:rsidRDefault="001F0CEC" w:rsidP="001F0CEC">
      <w:pPr>
        <w:ind w:left="567" w:right="567"/>
        <w:jc w:val="both"/>
        <w:rPr>
          <w:rFonts w:ascii="Palatino Linotype" w:hAnsi="Palatino Linotype"/>
        </w:rPr>
      </w:pPr>
    </w:p>
    <w:p w:rsidR="001F0CEC" w:rsidRPr="00593428" w:rsidRDefault="001F0CEC" w:rsidP="001F0CEC">
      <w:pPr>
        <w:ind w:left="567" w:right="332"/>
        <w:jc w:val="both"/>
        <w:rPr>
          <w:rFonts w:ascii="Palatino Linotype" w:hAnsi="Palatino Linotype"/>
          <w:i/>
        </w:rPr>
      </w:pPr>
      <w:r w:rsidRPr="00593428">
        <w:rPr>
          <w:rFonts w:ascii="Palatino Linotype" w:hAnsi="Palatino Linotype"/>
          <w:b/>
          <w:bCs/>
          <w:i/>
        </w:rPr>
        <w:t xml:space="preserve">Artículo 3.- </w:t>
      </w:r>
      <w:r w:rsidRPr="00593428">
        <w:rPr>
          <w:rFonts w:ascii="Palatino Linotype" w:hAnsi="Palatino Linotype"/>
          <w:i/>
        </w:rPr>
        <w:t>Para los efectos de la presente Ley se entenderá por:</w:t>
      </w:r>
    </w:p>
    <w:p w:rsidR="001F0CEC" w:rsidRPr="00593428" w:rsidRDefault="001F0CEC" w:rsidP="001F0CEC">
      <w:pPr>
        <w:ind w:left="567" w:right="332"/>
        <w:jc w:val="both"/>
        <w:rPr>
          <w:rFonts w:ascii="Palatino Linotype" w:hAnsi="Palatino Linotype"/>
          <w:i/>
        </w:rPr>
      </w:pPr>
      <w:r w:rsidRPr="00593428">
        <w:rPr>
          <w:rFonts w:ascii="Palatino Linotype" w:hAnsi="Palatino Linotype"/>
          <w:i/>
        </w:rPr>
        <w:t>…</w:t>
      </w:r>
    </w:p>
    <w:p w:rsidR="001F0CEC" w:rsidRPr="00593428" w:rsidRDefault="001F0CEC" w:rsidP="001F0CEC">
      <w:pPr>
        <w:ind w:left="567" w:right="332"/>
        <w:jc w:val="both"/>
        <w:rPr>
          <w:rFonts w:ascii="Palatino Linotype" w:hAnsi="Palatino Linotype"/>
          <w:i/>
        </w:rPr>
      </w:pPr>
      <w:r w:rsidRPr="00593428">
        <w:rPr>
          <w:rFonts w:ascii="Palatino Linotype" w:hAnsi="Palatino Linotype"/>
          <w:b/>
          <w:i/>
        </w:rPr>
        <w:t>XI.</w:t>
      </w:r>
      <w:r w:rsidRPr="00593428">
        <w:rPr>
          <w:rFonts w:ascii="Palatino Linotype" w:hAnsi="Palatino Linotype"/>
          <w:i/>
        </w:rPr>
        <w:t xml:space="preserve"> </w:t>
      </w:r>
      <w:r w:rsidRPr="00593428">
        <w:rPr>
          <w:rFonts w:ascii="Palatino Linotype" w:hAnsi="Palatino Linotype"/>
          <w:b/>
          <w:i/>
        </w:rPr>
        <w:t>Documento:</w:t>
      </w:r>
      <w:r w:rsidRPr="00593428">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593428">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593428">
        <w:rPr>
          <w:rFonts w:ascii="Palatino Linotype" w:hAnsi="Palatino Linotype"/>
          <w:i/>
        </w:rPr>
        <w:t xml:space="preserve"> Los documentos podrán estar en cualquier medio, sea escrito, impreso, sonoro, visual, electrónico, informático u holográfico;</w:t>
      </w:r>
    </w:p>
    <w:p w:rsidR="001F0CEC" w:rsidRPr="00593428" w:rsidRDefault="001F0CEC" w:rsidP="001F0CEC">
      <w:pPr>
        <w:ind w:left="567" w:right="332"/>
        <w:jc w:val="both"/>
        <w:rPr>
          <w:rFonts w:ascii="Palatino Linotype" w:hAnsi="Palatino Linotype"/>
          <w:i/>
        </w:rPr>
      </w:pPr>
    </w:p>
    <w:p w:rsidR="001F0CEC" w:rsidRPr="00593428" w:rsidRDefault="001F0CEC" w:rsidP="001F0CEC">
      <w:pPr>
        <w:ind w:left="567" w:right="332"/>
        <w:jc w:val="both"/>
        <w:rPr>
          <w:rFonts w:ascii="Palatino Linotype" w:hAnsi="Palatino Linotype"/>
          <w:i/>
        </w:rPr>
      </w:pPr>
    </w:p>
    <w:p w:rsidR="001F0CEC" w:rsidRPr="00593428" w:rsidRDefault="001F0CEC" w:rsidP="001F0CEC">
      <w:pPr>
        <w:ind w:left="567" w:right="332"/>
        <w:jc w:val="both"/>
        <w:rPr>
          <w:rFonts w:ascii="Palatino Linotype" w:hAnsi="Palatino Linotype"/>
          <w:bCs/>
          <w:i/>
        </w:rPr>
      </w:pPr>
      <w:r w:rsidRPr="00593428">
        <w:rPr>
          <w:rFonts w:ascii="Palatino Linotype" w:hAnsi="Palatino Linotype"/>
          <w:b/>
          <w:bCs/>
          <w:i/>
        </w:rPr>
        <w:lastRenderedPageBreak/>
        <w:t>Artículo 4.</w:t>
      </w:r>
      <w:r w:rsidRPr="00593428">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F0CEC" w:rsidRPr="00593428" w:rsidRDefault="001F0CEC" w:rsidP="001F0CEC">
      <w:pPr>
        <w:ind w:left="567" w:right="332"/>
        <w:jc w:val="both"/>
        <w:rPr>
          <w:rFonts w:ascii="Palatino Linotype" w:hAnsi="Palatino Linotype"/>
          <w:bCs/>
          <w:i/>
        </w:rPr>
      </w:pPr>
      <w:r w:rsidRPr="00593428">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593428">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F0CEC" w:rsidRPr="00593428" w:rsidRDefault="001F0CEC" w:rsidP="001F0CEC">
      <w:pPr>
        <w:ind w:left="567" w:right="332"/>
        <w:jc w:val="both"/>
        <w:rPr>
          <w:rFonts w:ascii="Palatino Linotype" w:hAnsi="Palatino Linotype"/>
          <w:bCs/>
          <w:i/>
        </w:rPr>
      </w:pPr>
      <w:r w:rsidRPr="00593428">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F0CEC" w:rsidRPr="00593428" w:rsidRDefault="001F0CEC" w:rsidP="001F0CEC">
      <w:pPr>
        <w:ind w:left="567" w:right="332"/>
        <w:jc w:val="both"/>
        <w:rPr>
          <w:rFonts w:ascii="Palatino Linotype" w:hAnsi="Palatino Linotype"/>
          <w:i/>
        </w:rPr>
      </w:pPr>
    </w:p>
    <w:p w:rsidR="001F0CEC" w:rsidRPr="00593428" w:rsidRDefault="001F0CEC" w:rsidP="001F0CEC">
      <w:pPr>
        <w:ind w:left="567" w:right="332"/>
        <w:jc w:val="both"/>
        <w:rPr>
          <w:rFonts w:ascii="Palatino Linotype" w:hAnsi="Palatino Linotype"/>
          <w:i/>
        </w:rPr>
      </w:pPr>
      <w:r w:rsidRPr="00593428">
        <w:rPr>
          <w:rFonts w:ascii="Palatino Linotype" w:hAnsi="Palatino Linotype"/>
          <w:b/>
          <w:i/>
        </w:rPr>
        <w:t>Artículo 12.</w:t>
      </w:r>
      <w:r w:rsidRPr="00593428">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F0CEC" w:rsidRPr="00593428" w:rsidRDefault="001F0CEC" w:rsidP="001F0CEC">
      <w:pPr>
        <w:ind w:left="567" w:right="332"/>
        <w:jc w:val="both"/>
        <w:rPr>
          <w:rFonts w:ascii="Palatino Linotype" w:hAnsi="Palatino Linotype"/>
          <w:i/>
          <w:u w:val="single"/>
        </w:rPr>
      </w:pPr>
      <w:r w:rsidRPr="00593428">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93428">
        <w:rPr>
          <w:rFonts w:ascii="Palatino Linotype" w:hAnsi="Palatino Linotype"/>
          <w:i/>
        </w:rPr>
        <w:t>.</w:t>
      </w:r>
    </w:p>
    <w:p w:rsidR="001F0CEC" w:rsidRPr="00593428" w:rsidRDefault="001F0CEC" w:rsidP="001F0CEC">
      <w:pPr>
        <w:spacing w:line="360" w:lineRule="auto"/>
        <w:jc w:val="both"/>
        <w:rPr>
          <w:rFonts w:ascii="Palatino Linotype" w:hAnsi="Palatino Linotype"/>
        </w:rPr>
      </w:pPr>
    </w:p>
    <w:p w:rsidR="001F0CEC" w:rsidRPr="00593428" w:rsidRDefault="001F0CEC" w:rsidP="001F0CEC">
      <w:pPr>
        <w:spacing w:line="360" w:lineRule="auto"/>
        <w:jc w:val="both"/>
        <w:rPr>
          <w:rFonts w:ascii="Palatino Linotype" w:hAnsi="Palatino Linotype"/>
        </w:rPr>
      </w:pPr>
      <w:r w:rsidRPr="00593428">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1F0CEC" w:rsidRPr="00593428" w:rsidRDefault="001F0CEC" w:rsidP="001F0CEC">
      <w:pPr>
        <w:spacing w:line="360" w:lineRule="auto"/>
        <w:jc w:val="both"/>
        <w:rPr>
          <w:rFonts w:ascii="Palatino Linotype" w:hAnsi="Palatino Linotype"/>
        </w:rPr>
      </w:pPr>
    </w:p>
    <w:p w:rsidR="001F0CEC" w:rsidRPr="00593428" w:rsidRDefault="001F0CEC" w:rsidP="001F0CEC">
      <w:pPr>
        <w:tabs>
          <w:tab w:val="left" w:pos="709"/>
        </w:tabs>
        <w:spacing w:line="360" w:lineRule="auto"/>
        <w:jc w:val="both"/>
        <w:rPr>
          <w:rFonts w:ascii="Palatino Linotype" w:hAnsi="Palatino Linotype"/>
        </w:rPr>
      </w:pPr>
      <w:r w:rsidRPr="00593428">
        <w:rPr>
          <w:rFonts w:ascii="Palatino Linotype" w:hAnsi="Palatino Linotype" w:cs="Arial"/>
        </w:rPr>
        <w:lastRenderedPageBreak/>
        <w:t xml:space="preserve">En tal tesitura, este Órgano Garante estima que las razones o motivos de inconformidad hechos valer por </w:t>
      </w:r>
      <w:r w:rsidRPr="00593428">
        <w:rPr>
          <w:rFonts w:ascii="Palatino Linotype" w:hAnsi="Palatino Linotype"/>
        </w:rPr>
        <w:t xml:space="preserve">la parte </w:t>
      </w:r>
      <w:r w:rsidRPr="00593428">
        <w:rPr>
          <w:rFonts w:ascii="Palatino Linotype" w:hAnsi="Palatino Linotype" w:cs="Arial"/>
        </w:rPr>
        <w:t>Recurrente son infundados, en virtud de que,</w:t>
      </w:r>
      <w:r w:rsidRPr="00593428">
        <w:rPr>
          <w:rFonts w:ascii="Palatino Linotype" w:hAnsi="Palatino Linotype"/>
        </w:rPr>
        <w:t xml:space="preserve"> la respuesta se emitió por el servidor público habilitado</w:t>
      </w:r>
      <w:r w:rsidRPr="00593428">
        <w:rPr>
          <w:rFonts w:ascii="Palatino Linotype" w:hAnsi="Palatino Linotype" w:cs="Arial"/>
        </w:rPr>
        <w:t>, tal como ya quedo precisado en párrafos anteriores, por lo que</w:t>
      </w:r>
      <w:r w:rsidRPr="00593428">
        <w:rPr>
          <w:rFonts w:ascii="Palatino Linotype" w:hAnsi="Palatino Linotype"/>
        </w:rPr>
        <w:t>, se tiene que la autoridad que emitió la respuesta satisface la pretensión del particular.</w:t>
      </w:r>
    </w:p>
    <w:p w:rsidR="001F0CEC" w:rsidRPr="00593428" w:rsidRDefault="001F0CEC" w:rsidP="001F0CEC">
      <w:pPr>
        <w:spacing w:line="360" w:lineRule="auto"/>
        <w:jc w:val="both"/>
        <w:rPr>
          <w:rFonts w:ascii="Palatino Linotype" w:eastAsia="Calibri" w:hAnsi="Palatino Linotype" w:cs="Arial"/>
          <w:color w:val="000000"/>
          <w:lang w:val="es-ES_tradnl" w:eastAsia="es-MX"/>
        </w:rPr>
      </w:pPr>
    </w:p>
    <w:p w:rsidR="001F0CEC" w:rsidRPr="00593428" w:rsidRDefault="001F0CEC" w:rsidP="001F0CEC">
      <w:pPr>
        <w:spacing w:line="360" w:lineRule="auto"/>
        <w:jc w:val="both"/>
        <w:rPr>
          <w:rFonts w:ascii="Palatino Linotype" w:eastAsia="Calibri" w:hAnsi="Palatino Linotype" w:cs="Arial"/>
          <w:color w:val="000000"/>
          <w:lang w:val="es-ES_tradnl" w:eastAsia="es-MX"/>
        </w:rPr>
      </w:pPr>
      <w:r w:rsidRPr="00593428">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593428">
        <w:rPr>
          <w:rFonts w:ascii="Palatino Linotype" w:eastAsia="Calibri" w:hAnsi="Palatino Linotype" w:cs="Arial"/>
          <w:b/>
          <w:color w:val="000000"/>
          <w:lang w:val="es-ES_tradnl" w:eastAsia="es-MX"/>
        </w:rPr>
        <w:t xml:space="preserve"> </w:t>
      </w:r>
      <w:r w:rsidRPr="00593428">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w:t>
      </w:r>
      <w:r w:rsidRPr="00593428">
        <w:rPr>
          <w:rFonts w:ascii="Palatino Linotype" w:eastAsia="Calibri" w:hAnsi="Palatino Linotype" w:cs="Arial"/>
          <w:b/>
          <w:color w:val="000000"/>
          <w:lang w:val="es-ES_tradnl" w:eastAsia="es-MX"/>
        </w:rPr>
        <w:t xml:space="preserve">un documento </w:t>
      </w:r>
      <w:r w:rsidRPr="00593428">
        <w:rPr>
          <w:rFonts w:ascii="Palatino Linotype" w:eastAsia="Calibri" w:hAnsi="Palatino Linotype" w:cs="Arial"/>
          <w:b/>
          <w:i/>
          <w:color w:val="000000"/>
          <w:lang w:val="es-ES_tradnl" w:eastAsia="es-MX"/>
        </w:rPr>
        <w:t>ad hoc</w:t>
      </w:r>
      <w:r w:rsidRPr="00593428">
        <w:rPr>
          <w:rFonts w:ascii="Palatino Linotype" w:eastAsia="Calibri" w:hAnsi="Palatino Linotype" w:cs="Arial"/>
          <w:color w:val="000000"/>
          <w:lang w:val="es-ES_tradnl" w:eastAsia="es-MX"/>
        </w:rPr>
        <w:t>, para satisfacer el derecho de acceso a la información pública.</w:t>
      </w:r>
    </w:p>
    <w:p w:rsidR="001F0CEC" w:rsidRPr="00593428" w:rsidRDefault="001F0CEC" w:rsidP="001F0CEC">
      <w:pPr>
        <w:spacing w:line="360" w:lineRule="auto"/>
        <w:jc w:val="both"/>
        <w:rPr>
          <w:rFonts w:ascii="Palatino Linotype" w:eastAsia="Calibri" w:hAnsi="Palatino Linotype" w:cs="Arial"/>
          <w:color w:val="000000"/>
          <w:lang w:val="es-ES_tradnl" w:eastAsia="es-MX"/>
        </w:rPr>
      </w:pPr>
    </w:p>
    <w:p w:rsidR="001F0CEC" w:rsidRPr="00593428" w:rsidRDefault="001F0CEC" w:rsidP="001F0CEC">
      <w:pPr>
        <w:spacing w:line="360" w:lineRule="auto"/>
        <w:jc w:val="both"/>
        <w:rPr>
          <w:rFonts w:ascii="Palatino Linotype" w:eastAsia="Calibri" w:hAnsi="Palatino Linotype" w:cs="Calibri"/>
          <w:b/>
          <w:bCs/>
          <w:color w:val="000000"/>
          <w:lang w:val="es-ES_tradnl" w:eastAsia="es-MX"/>
        </w:rPr>
      </w:pPr>
      <w:r w:rsidRPr="00593428">
        <w:rPr>
          <w:rFonts w:ascii="Palatino Linotype" w:eastAsia="Calibri" w:hAnsi="Palatino Linotype" w:cs="Arial"/>
          <w:color w:val="000000"/>
          <w:lang w:val="es-ES_tradnl" w:eastAsia="es-MX"/>
        </w:rPr>
        <w:t xml:space="preserve">Como apoyo a lo anterior, es aplicable el Criterio orientador 03-17, emitido por </w:t>
      </w:r>
      <w:r w:rsidRPr="00593428">
        <w:rPr>
          <w:rFonts w:ascii="Palatino Linotype" w:eastAsia="Arial Unicode MS" w:hAnsi="Palatino Linotype" w:cs="Arial"/>
          <w:color w:val="000000"/>
          <w:lang w:val="es-ES_tradnl" w:eastAsia="es-MX"/>
        </w:rPr>
        <w:t>el entonces Instituto Nacional de Transparencia, Acceso a la Información y Protección de Datos Personales,</w:t>
      </w:r>
      <w:r w:rsidRPr="00593428">
        <w:rPr>
          <w:rFonts w:ascii="Palatino Linotype" w:eastAsia="Calibri" w:hAnsi="Palatino Linotype" w:cs="Calibri"/>
          <w:bCs/>
          <w:color w:val="000000"/>
          <w:lang w:val="es-ES_tradnl" w:eastAsia="es-MX"/>
        </w:rPr>
        <w:t xml:space="preserve"> que dice:</w:t>
      </w:r>
      <w:r w:rsidRPr="00593428">
        <w:rPr>
          <w:rFonts w:ascii="Palatino Linotype" w:eastAsia="Calibri" w:hAnsi="Palatino Linotype" w:cs="Calibri"/>
          <w:b/>
          <w:bCs/>
          <w:color w:val="000000"/>
          <w:lang w:val="es-ES_tradnl" w:eastAsia="es-MX"/>
        </w:rPr>
        <w:t xml:space="preserve"> </w:t>
      </w:r>
    </w:p>
    <w:p w:rsidR="001F0CEC" w:rsidRPr="00593428" w:rsidRDefault="001F0CEC" w:rsidP="001F0CEC">
      <w:pPr>
        <w:spacing w:line="360" w:lineRule="auto"/>
        <w:jc w:val="both"/>
        <w:rPr>
          <w:rFonts w:ascii="Palatino Linotype" w:hAnsi="Palatino Linotype"/>
          <w:lang w:val="es-ES_tradnl"/>
        </w:rPr>
      </w:pPr>
    </w:p>
    <w:p w:rsidR="001F0CEC" w:rsidRPr="00593428" w:rsidRDefault="001F0CEC" w:rsidP="001F0CEC">
      <w:pPr>
        <w:spacing w:line="360" w:lineRule="auto"/>
        <w:ind w:left="851" w:right="850"/>
        <w:jc w:val="both"/>
        <w:rPr>
          <w:rFonts w:ascii="Palatino Linotype" w:eastAsia="Calibri" w:hAnsi="Palatino Linotype" w:cs="Arial"/>
          <w:color w:val="000000"/>
          <w:sz w:val="2"/>
          <w:lang w:val="es-ES_tradnl" w:eastAsia="es-MX"/>
        </w:rPr>
      </w:pPr>
    </w:p>
    <w:p w:rsidR="001F0CEC" w:rsidRPr="00593428" w:rsidRDefault="001F0CEC" w:rsidP="001F0CEC">
      <w:pPr>
        <w:ind w:left="567" w:right="567"/>
        <w:jc w:val="both"/>
        <w:rPr>
          <w:rFonts w:ascii="Palatino Linotype" w:eastAsia="Calibri" w:hAnsi="Palatino Linotype" w:cs="Arial"/>
          <w:i/>
          <w:color w:val="000000"/>
          <w:lang w:val="es-ES_tradnl" w:eastAsia="es-MX"/>
        </w:rPr>
      </w:pPr>
      <w:r w:rsidRPr="00593428">
        <w:rPr>
          <w:rFonts w:ascii="Palatino Linotype" w:eastAsia="Calibri" w:hAnsi="Palatino Linotype" w:cs="Arial"/>
          <w:b/>
          <w:i/>
          <w:color w:val="000000"/>
          <w:lang w:val="es-ES_tradnl" w:eastAsia="es-MX"/>
        </w:rPr>
        <w:t>No existe obligación de elaborar documentos ad hoc para atender las solicitudes de acceso a la información.</w:t>
      </w:r>
      <w:r w:rsidRPr="00593428">
        <w:rPr>
          <w:rFonts w:ascii="Palatino Linotype" w:eastAsia="Calibri" w:hAnsi="Palatino Linotype" w:cs="Arial"/>
          <w:i/>
          <w:color w:val="000000"/>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593428">
        <w:rPr>
          <w:rFonts w:ascii="Palatino Linotype" w:eastAsia="Calibri" w:hAnsi="Palatino Linotype" w:cs="Arial"/>
          <w:i/>
          <w:color w:val="000000"/>
          <w:lang w:val="es-ES_tradnl" w:eastAsia="es-MX"/>
        </w:rPr>
        <w:lastRenderedPageBreak/>
        <w:t>cuentan en el formato en que la misma obre en sus archivos; sin necesidad de elaborar documentos ad hoc para atender las solicitudes de información.</w:t>
      </w:r>
    </w:p>
    <w:p w:rsidR="001F0CEC" w:rsidRPr="00593428" w:rsidRDefault="001F0CEC" w:rsidP="001F0CEC">
      <w:pPr>
        <w:ind w:left="567" w:right="567"/>
        <w:jc w:val="both"/>
        <w:rPr>
          <w:rFonts w:ascii="Palatino Linotype" w:eastAsia="Calibri" w:hAnsi="Palatino Linotype" w:cs="Arial"/>
          <w:i/>
          <w:color w:val="000000"/>
          <w:sz w:val="2"/>
          <w:lang w:val="es-ES_tradnl" w:eastAsia="es-MX"/>
        </w:rPr>
      </w:pPr>
    </w:p>
    <w:p w:rsidR="001F0CEC" w:rsidRPr="00593428" w:rsidRDefault="001F0CEC" w:rsidP="001F0CEC">
      <w:pPr>
        <w:spacing w:line="360" w:lineRule="auto"/>
        <w:jc w:val="both"/>
        <w:rPr>
          <w:rFonts w:ascii="Palatino Linotype" w:eastAsia="Calibri" w:hAnsi="Palatino Linotype" w:cs="Arial"/>
          <w:color w:val="000000"/>
          <w:lang w:val="es-ES_tradnl" w:eastAsia="es-MX"/>
        </w:rPr>
      </w:pPr>
    </w:p>
    <w:p w:rsidR="001F0CEC" w:rsidRPr="00593428" w:rsidRDefault="001F0CEC" w:rsidP="001F0CEC">
      <w:pPr>
        <w:spacing w:line="360" w:lineRule="auto"/>
        <w:jc w:val="both"/>
        <w:rPr>
          <w:rFonts w:ascii="Palatino Linotype" w:hAnsi="Palatino Linotype" w:cs="Arial"/>
        </w:rPr>
      </w:pPr>
      <w:r w:rsidRPr="00593428">
        <w:rPr>
          <w:rFonts w:ascii="Palatino Linotype" w:hAnsi="Palatino Linotype" w:cs="Arial"/>
          <w:noProof/>
          <w:color w:val="000000"/>
          <w:lang w:eastAsia="es-MX"/>
        </w:rPr>
        <w:t xml:space="preserve">En virtud de lo anterior, este Órgano Garante arriba a la conclusión de que la respuesta primigenia del </w:t>
      </w:r>
      <w:r w:rsidRPr="00593428">
        <w:rPr>
          <w:rFonts w:ascii="Palatino Linotype" w:hAnsi="Palatino Linotype" w:cs="Arial"/>
          <w:b/>
          <w:noProof/>
          <w:color w:val="000000"/>
          <w:lang w:eastAsia="es-MX"/>
        </w:rPr>
        <w:t xml:space="preserve">Sujeto Obligado </w:t>
      </w:r>
      <w:r w:rsidRPr="00593428">
        <w:rPr>
          <w:rFonts w:ascii="Palatino Linotype" w:hAnsi="Palatino Linotype" w:cs="Arial"/>
          <w:noProof/>
          <w:color w:val="000000"/>
          <w:lang w:eastAsia="es-MX"/>
        </w:rPr>
        <w:t xml:space="preserve">se encuentra dotada de los principios de </w:t>
      </w:r>
      <w:r w:rsidRPr="00593428">
        <w:rPr>
          <w:rFonts w:ascii="Palatino Linotype" w:hAnsi="Palatino Linotype" w:cs="Arial"/>
        </w:rPr>
        <w:t xml:space="preserve">congruencia y exhaustividad, los cuales a toda luz garantizan el derecho de acceso a la información pública. Robustece lo anterior el criterio orientador </w:t>
      </w:r>
      <w:r w:rsidRPr="00593428">
        <w:rPr>
          <w:rFonts w:ascii="Palatino Linotype" w:hAnsi="Palatino Linotype" w:cs="Arial"/>
          <w:b/>
        </w:rPr>
        <w:t xml:space="preserve">02/17 </w:t>
      </w:r>
      <w:r w:rsidRPr="00593428">
        <w:rPr>
          <w:rFonts w:ascii="Palatino Linotype" w:hAnsi="Palatino Linotype" w:cs="Arial"/>
        </w:rPr>
        <w:t xml:space="preserve">del entonces Instituto Nacional de Transparencia, Acceso a la Información y Protección de Datos Personales que dispone a la literalidad lo siguiente: </w:t>
      </w:r>
    </w:p>
    <w:p w:rsidR="001F0CEC" w:rsidRPr="00593428" w:rsidRDefault="001F0CEC" w:rsidP="001F0CEC">
      <w:pPr>
        <w:spacing w:before="240"/>
        <w:ind w:left="851" w:right="851"/>
        <w:jc w:val="both"/>
        <w:rPr>
          <w:rFonts w:ascii="Palatino Linotype" w:hAnsi="Palatino Linotype" w:cs="Arial"/>
          <w:b/>
          <w:i/>
        </w:rPr>
      </w:pPr>
      <w:r w:rsidRPr="00593428">
        <w:rPr>
          <w:rFonts w:ascii="Palatino Linotype" w:hAnsi="Palatino Linotype" w:cs="Arial"/>
          <w:b/>
          <w:i/>
        </w:rPr>
        <w:t xml:space="preserve">“CONGRUENCIA Y EXHAUSTIVIDAD. SUS ALCANCES PARA GARANTIZAR EL DERECHO DE ACCESO A LA INFORMACIÓN. </w:t>
      </w:r>
    </w:p>
    <w:p w:rsidR="001F0CEC" w:rsidRPr="00593428" w:rsidRDefault="001F0CEC" w:rsidP="001F0CEC">
      <w:pPr>
        <w:spacing w:before="240"/>
        <w:ind w:left="851" w:right="851"/>
        <w:jc w:val="both"/>
        <w:rPr>
          <w:rFonts w:ascii="Palatino Linotype" w:hAnsi="Palatino Linotype" w:cs="Arial"/>
          <w:i/>
        </w:rPr>
      </w:pPr>
      <w:r w:rsidRPr="00593428">
        <w:rPr>
          <w:rFonts w:ascii="Palatino Linotype" w:hAnsi="Palatino Linotype" w:cs="Arial"/>
          <w:i/>
        </w:rPr>
        <w:t xml:space="preserve">De conformidad con el artículo </w:t>
      </w:r>
      <w:r w:rsidRPr="00593428">
        <w:rPr>
          <w:rFonts w:ascii="Palatino Linotype" w:hAnsi="Palatino Linotype"/>
          <w:i/>
          <w:lang w:val="es-ES_tradnl"/>
        </w:rPr>
        <w:t>3 de la Ley Federal de Procedimiento Administrativo</w:t>
      </w:r>
      <w:r w:rsidRPr="00593428">
        <w:rPr>
          <w:rFonts w:ascii="Palatino Linotype" w:hAnsi="Palatino Linotype" w:cs="Arial"/>
          <w:i/>
        </w:rPr>
        <w:t>, de aplicación supletoria a la Ley Federal de Transparencia y Acceso a la Información Pública, en términos de su artículo 7</w:t>
      </w:r>
      <w:r w:rsidRPr="00593428">
        <w:rPr>
          <w:rFonts w:ascii="Palatino Linotype" w:hAnsi="Palatino Linotype" w:cs="Arial"/>
          <w:b/>
          <w:i/>
          <w:u w:val="single"/>
        </w:rPr>
        <w:t>; todo acto administrativo debe cumplir con los principios de congruencia y exhaustividad.</w:t>
      </w:r>
      <w:r w:rsidRPr="00593428">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1F0CEC" w:rsidRPr="00593428" w:rsidRDefault="001F0CEC" w:rsidP="001F0CEC">
      <w:pPr>
        <w:numPr>
          <w:ilvl w:val="0"/>
          <w:numId w:val="5"/>
        </w:numPr>
        <w:spacing w:before="240"/>
        <w:ind w:right="851"/>
        <w:jc w:val="both"/>
        <w:rPr>
          <w:rFonts w:ascii="Palatino Linotype" w:hAnsi="Palatino Linotype" w:cs="Arial"/>
          <w:i/>
        </w:rPr>
      </w:pPr>
      <w:r w:rsidRPr="00593428">
        <w:rPr>
          <w:rFonts w:ascii="Palatino Linotype" w:hAnsi="Palatino Linotype" w:cs="Arial"/>
          <w:i/>
        </w:rPr>
        <w:t xml:space="preserve">RRA 0003/16 Comisión Nacional de las Zonas Áridas. 29 de junio de 2016. Por unanimidad. Comisionado Ponente Oscar Mauricio Guerra Ford. </w:t>
      </w:r>
    </w:p>
    <w:p w:rsidR="001F0CEC" w:rsidRPr="00593428" w:rsidRDefault="001F0CEC" w:rsidP="001F0CEC">
      <w:pPr>
        <w:numPr>
          <w:ilvl w:val="0"/>
          <w:numId w:val="5"/>
        </w:numPr>
        <w:spacing w:before="240"/>
        <w:ind w:right="851"/>
        <w:jc w:val="both"/>
        <w:rPr>
          <w:rFonts w:ascii="Palatino Linotype" w:hAnsi="Palatino Linotype" w:cs="Arial"/>
          <w:i/>
        </w:rPr>
      </w:pPr>
      <w:r w:rsidRPr="00593428">
        <w:rPr>
          <w:rFonts w:ascii="Palatino Linotype" w:hAnsi="Palatino Linotype" w:cs="Arial"/>
          <w:i/>
        </w:rPr>
        <w:lastRenderedPageBreak/>
        <w:t xml:space="preserve">RRA 0100/16. Sindicato Nacional de Trabajadores de la Educación. 13 de julio de 2016. Por unanimidad. Comisionada Ponente Areli Cano Guadiana. </w:t>
      </w:r>
    </w:p>
    <w:p w:rsidR="001F0CEC" w:rsidRPr="00593428" w:rsidRDefault="001F0CEC" w:rsidP="001F0CEC">
      <w:pPr>
        <w:numPr>
          <w:ilvl w:val="0"/>
          <w:numId w:val="5"/>
        </w:numPr>
        <w:spacing w:before="240"/>
        <w:ind w:right="851"/>
        <w:jc w:val="both"/>
        <w:rPr>
          <w:rFonts w:ascii="Palatino Linotype" w:hAnsi="Palatino Linotype"/>
          <w:b/>
          <w:lang w:val="es-ES_tradnl"/>
        </w:rPr>
      </w:pPr>
      <w:r w:rsidRPr="00593428">
        <w:rPr>
          <w:rFonts w:ascii="Palatino Linotype" w:hAnsi="Palatino Linotype" w:cs="Arial"/>
          <w:i/>
        </w:rPr>
        <w:t xml:space="preserve">RRA 1419/16 Secretaría de Educación Pública. 14 de septiembre de 2016. Por unanimidad. Comisionado Ponente Rosendoevgueni Monterrey Chepov.” </w:t>
      </w:r>
      <w:r w:rsidRPr="00593428">
        <w:rPr>
          <w:rFonts w:ascii="Palatino Linotype" w:hAnsi="Palatino Linotype"/>
          <w:b/>
          <w:i/>
          <w:lang w:val="es-ES_tradnl"/>
        </w:rPr>
        <w:t>(Sic)</w:t>
      </w:r>
    </w:p>
    <w:p w:rsidR="001F0CEC" w:rsidRPr="00593428" w:rsidRDefault="001F0CEC" w:rsidP="001F0CEC">
      <w:pPr>
        <w:spacing w:line="360" w:lineRule="auto"/>
        <w:jc w:val="both"/>
        <w:rPr>
          <w:rFonts w:ascii="Palatino Linotype" w:hAnsi="Palatino Linotype" w:cs="Arial"/>
          <w:noProof/>
          <w:color w:val="000000"/>
          <w:lang w:eastAsia="es-MX"/>
        </w:rPr>
      </w:pPr>
    </w:p>
    <w:p w:rsidR="001F0CEC" w:rsidRPr="00593428" w:rsidRDefault="001F0CEC" w:rsidP="001F0CEC">
      <w:pPr>
        <w:spacing w:line="360" w:lineRule="auto"/>
        <w:jc w:val="both"/>
        <w:rPr>
          <w:rFonts w:ascii="Palatino Linotype" w:hAnsi="Palatino Linotype" w:cs="Arial"/>
          <w:noProof/>
          <w:color w:val="000000"/>
          <w:lang w:eastAsia="es-MX"/>
        </w:rPr>
      </w:pPr>
      <w:r w:rsidRPr="00593428">
        <w:rPr>
          <w:rFonts w:ascii="Palatino Linotype" w:hAnsi="Palatino Linotype" w:cs="Arial"/>
          <w:noProof/>
          <w:color w:val="000000"/>
          <w:lang w:eastAsia="es-MX"/>
        </w:rPr>
        <w:t xml:space="preserve">Con base en lo anteriormente expuesto, se arriba a la conclusión de que la respuesta del </w:t>
      </w:r>
      <w:r w:rsidRPr="00593428">
        <w:rPr>
          <w:rFonts w:ascii="Palatino Linotype" w:hAnsi="Palatino Linotype" w:cs="Arial"/>
          <w:b/>
          <w:noProof/>
          <w:color w:val="000000"/>
          <w:lang w:eastAsia="es-MX"/>
        </w:rPr>
        <w:t xml:space="preserve">Sujeto Obligado </w:t>
      </w:r>
      <w:r w:rsidRPr="00593428">
        <w:rPr>
          <w:rFonts w:ascii="Palatino Linotype" w:hAnsi="Palatino Linotype" w:cs="Arial"/>
          <w:noProof/>
          <w:color w:val="000000"/>
          <w:lang w:eastAsia="es-MX"/>
        </w:rPr>
        <w:t xml:space="preserve">colmó el derecho de acceso a la información ejercido por el particular. </w:t>
      </w:r>
    </w:p>
    <w:p w:rsidR="001F0CEC" w:rsidRPr="00593428" w:rsidRDefault="001F0CEC" w:rsidP="001F0CEC">
      <w:pPr>
        <w:spacing w:line="360" w:lineRule="auto"/>
        <w:jc w:val="both"/>
        <w:rPr>
          <w:rFonts w:ascii="Palatino Linotype" w:eastAsia="Palatino Linotype" w:hAnsi="Palatino Linotype" w:cs="Palatino Linotype"/>
          <w:color w:val="000000"/>
        </w:rPr>
      </w:pPr>
    </w:p>
    <w:p w:rsidR="001F0CEC" w:rsidRPr="00593428" w:rsidRDefault="001F0CEC" w:rsidP="001F0CEC">
      <w:pPr>
        <w:spacing w:line="360" w:lineRule="auto"/>
        <w:jc w:val="both"/>
        <w:rPr>
          <w:rFonts w:ascii="Palatino Linotype" w:hAnsi="Palatino Linotype"/>
        </w:rPr>
      </w:pPr>
      <w:r w:rsidRPr="00593428">
        <w:rPr>
          <w:rFonts w:ascii="Palatino Linotype" w:hAnsi="Palatino Linotype"/>
        </w:rPr>
        <w:t xml:space="preserve">En mérito de lo expuesto en líneas anteriores, resultan infundados los motivos de inconformidad que arguye la parte </w:t>
      </w:r>
      <w:r w:rsidRPr="00593428">
        <w:rPr>
          <w:rFonts w:ascii="Palatino Linotype" w:hAnsi="Palatino Linotype"/>
          <w:b/>
        </w:rPr>
        <w:t xml:space="preserve">RECURRENTE </w:t>
      </w:r>
      <w:r w:rsidRPr="00593428">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Municipios, se </w:t>
      </w:r>
      <w:r w:rsidRPr="00593428">
        <w:rPr>
          <w:rFonts w:ascii="Palatino Linotype" w:hAnsi="Palatino Linotype"/>
          <w:b/>
        </w:rPr>
        <w:t xml:space="preserve">CONFIRMA </w:t>
      </w:r>
      <w:r w:rsidRPr="00593428">
        <w:rPr>
          <w:rFonts w:ascii="Palatino Linotype" w:hAnsi="Palatino Linotype"/>
        </w:rPr>
        <w:t xml:space="preserve">la respuesta a la solicitud de información número </w:t>
      </w:r>
      <w:r w:rsidR="00FC2DA4" w:rsidRPr="00593428">
        <w:rPr>
          <w:rFonts w:ascii="Palatino Linotype" w:hAnsi="Palatino Linotype"/>
          <w:b/>
        </w:rPr>
        <w:t>00005/DIFMORELOS/IP/2025</w:t>
      </w:r>
      <w:r w:rsidRPr="00593428">
        <w:rPr>
          <w:rFonts w:ascii="Palatino Linotype" w:hAnsi="Palatino Linotype"/>
          <w:b/>
        </w:rPr>
        <w:t xml:space="preserve"> </w:t>
      </w:r>
      <w:r w:rsidRPr="00593428">
        <w:rPr>
          <w:rFonts w:ascii="Palatino Linotype" w:hAnsi="Palatino Linotype"/>
        </w:rPr>
        <w:t xml:space="preserve">que ha sido materia del presente fallo. </w:t>
      </w:r>
    </w:p>
    <w:p w:rsidR="001F0CEC" w:rsidRPr="00593428" w:rsidRDefault="001F0CEC" w:rsidP="001F0CEC">
      <w:pPr>
        <w:tabs>
          <w:tab w:val="left" w:pos="709"/>
        </w:tabs>
        <w:spacing w:before="240" w:line="360" w:lineRule="auto"/>
        <w:ind w:right="51"/>
        <w:jc w:val="both"/>
        <w:rPr>
          <w:rFonts w:ascii="Palatino Linotype" w:hAnsi="Palatino Linotype"/>
        </w:rPr>
      </w:pPr>
      <w:r w:rsidRPr="00593428">
        <w:rPr>
          <w:rFonts w:ascii="Palatino Linotype" w:hAnsi="Palatino Linotype"/>
        </w:rPr>
        <w:t xml:space="preserve">Por lo antes expuesto y fundado es de resolverse y, </w:t>
      </w:r>
    </w:p>
    <w:p w:rsidR="001F0CEC" w:rsidRPr="00593428" w:rsidRDefault="001F0CEC" w:rsidP="001F0CEC">
      <w:pPr>
        <w:spacing w:line="360" w:lineRule="auto"/>
        <w:jc w:val="both"/>
        <w:rPr>
          <w:rFonts w:ascii="Palatino Linotype" w:hAnsi="Palatino Linotype"/>
        </w:rPr>
      </w:pPr>
    </w:p>
    <w:p w:rsidR="001F0CEC" w:rsidRPr="00593428" w:rsidRDefault="001F0CEC" w:rsidP="001F0CEC">
      <w:pPr>
        <w:spacing w:line="360" w:lineRule="auto"/>
        <w:jc w:val="center"/>
        <w:rPr>
          <w:rFonts w:ascii="Palatino Linotype" w:hAnsi="Palatino Linotype"/>
          <w:bCs/>
          <w:spacing w:val="60"/>
          <w:lang w:val="es-ES_tradnl"/>
        </w:rPr>
      </w:pPr>
      <w:r w:rsidRPr="00593428">
        <w:rPr>
          <w:rFonts w:ascii="Palatino Linotype" w:hAnsi="Palatino Linotype"/>
          <w:b/>
          <w:bCs/>
          <w:spacing w:val="60"/>
          <w:sz w:val="28"/>
          <w:lang w:val="es-ES_tradnl"/>
        </w:rPr>
        <w:t>SE    RESUELVE</w:t>
      </w:r>
    </w:p>
    <w:p w:rsidR="001F0CEC" w:rsidRPr="00593428" w:rsidRDefault="001F0CEC" w:rsidP="001F0CEC">
      <w:pPr>
        <w:autoSpaceDE w:val="0"/>
        <w:autoSpaceDN w:val="0"/>
        <w:adjustRightInd w:val="0"/>
        <w:ind w:right="49"/>
        <w:jc w:val="both"/>
        <w:rPr>
          <w:rFonts w:ascii="Palatino Linotype" w:hAnsi="Palatino Linotype" w:cs="Arial"/>
          <w:sz w:val="28"/>
          <w:szCs w:val="28"/>
          <w:lang w:val="es-ES_tradnl"/>
        </w:rPr>
      </w:pPr>
    </w:p>
    <w:p w:rsidR="001F0CEC" w:rsidRPr="00593428" w:rsidRDefault="001F0CEC" w:rsidP="001F0CEC">
      <w:pPr>
        <w:spacing w:before="240" w:line="360" w:lineRule="auto"/>
        <w:jc w:val="both"/>
        <w:rPr>
          <w:rFonts w:ascii="Palatino Linotype" w:hAnsi="Palatino Linotype" w:cs="Arial"/>
        </w:rPr>
      </w:pPr>
      <w:r w:rsidRPr="00593428">
        <w:rPr>
          <w:rFonts w:ascii="Palatino Linotype" w:hAnsi="Palatino Linotype" w:cs="Arial"/>
          <w:b/>
          <w:sz w:val="28"/>
          <w:szCs w:val="28"/>
          <w:lang w:val="es-ES_tradnl"/>
        </w:rPr>
        <w:t>PRIMERO.</w:t>
      </w:r>
      <w:r w:rsidRPr="00593428">
        <w:rPr>
          <w:rFonts w:ascii="Palatino Linotype" w:hAnsi="Palatino Linotype" w:cs="Arial"/>
          <w:lang w:val="es-ES_tradnl"/>
        </w:rPr>
        <w:t xml:space="preserve"> Se </w:t>
      </w:r>
      <w:r w:rsidRPr="00593428">
        <w:rPr>
          <w:rFonts w:ascii="Palatino Linotype" w:hAnsi="Palatino Linotype" w:cs="Arial"/>
          <w:b/>
          <w:lang w:val="es-ES_tradnl"/>
        </w:rPr>
        <w:t>CONFIRMA</w:t>
      </w:r>
      <w:r w:rsidRPr="00593428">
        <w:rPr>
          <w:rFonts w:ascii="Palatino Linotype" w:hAnsi="Palatino Linotype" w:cs="Arial"/>
          <w:lang w:val="es-ES_tradnl"/>
        </w:rPr>
        <w:t xml:space="preserve"> </w:t>
      </w:r>
      <w:r w:rsidRPr="00593428">
        <w:rPr>
          <w:rFonts w:ascii="Palatino Linotype" w:eastAsia="Arial Unicode MS" w:hAnsi="Palatino Linotype" w:cs="Arial"/>
        </w:rPr>
        <w:t xml:space="preserve">la respuesta entregada por </w:t>
      </w:r>
      <w:r w:rsidRPr="00593428">
        <w:rPr>
          <w:rFonts w:ascii="Palatino Linotype" w:eastAsia="Arial Unicode MS" w:hAnsi="Palatino Linotype" w:cs="Arial"/>
          <w:b/>
        </w:rPr>
        <w:t xml:space="preserve">EL SUJETO OBLIGADO </w:t>
      </w:r>
      <w:r w:rsidRPr="00593428">
        <w:rPr>
          <w:rFonts w:ascii="Palatino Linotype" w:eastAsia="Arial Unicode MS" w:hAnsi="Palatino Linotype" w:cs="Arial"/>
        </w:rPr>
        <w:t xml:space="preserve">a la solicitud de información número </w:t>
      </w:r>
      <w:r w:rsidR="00FC2DA4" w:rsidRPr="00593428">
        <w:rPr>
          <w:rFonts w:ascii="Palatino Linotype" w:hAnsi="Palatino Linotype"/>
          <w:b/>
        </w:rPr>
        <w:t>00005/DIFMORELOS/IP/2025</w:t>
      </w:r>
      <w:r w:rsidRPr="00593428">
        <w:rPr>
          <w:rFonts w:ascii="Palatino Linotype" w:hAnsi="Palatino Linotype"/>
          <w:b/>
        </w:rPr>
        <w:t xml:space="preserve">, </w:t>
      </w:r>
      <w:r w:rsidRPr="00593428">
        <w:rPr>
          <w:rFonts w:ascii="Palatino Linotype" w:eastAsia="Arial Unicode MS" w:hAnsi="Palatino Linotype" w:cs="Arial"/>
        </w:rPr>
        <w:t xml:space="preserve">por resultar infundados los motivos de inconformidad que arguye </w:t>
      </w:r>
      <w:r w:rsidRPr="00593428">
        <w:rPr>
          <w:rFonts w:ascii="Palatino Linotype" w:hAnsi="Palatino Linotype"/>
        </w:rPr>
        <w:t xml:space="preserve">la parte </w:t>
      </w:r>
      <w:r w:rsidRPr="00593428">
        <w:rPr>
          <w:rFonts w:ascii="Palatino Linotype" w:eastAsia="Arial Unicode MS" w:hAnsi="Palatino Linotype" w:cs="Arial"/>
          <w:b/>
        </w:rPr>
        <w:t>RECURRENTE</w:t>
      </w:r>
      <w:r w:rsidRPr="00593428">
        <w:rPr>
          <w:rFonts w:ascii="Palatino Linotype" w:eastAsia="Arial Unicode MS" w:hAnsi="Palatino Linotype" w:cs="Arial"/>
        </w:rPr>
        <w:t>, en términos del</w:t>
      </w:r>
      <w:r w:rsidRPr="00593428">
        <w:rPr>
          <w:rFonts w:ascii="Palatino Linotype" w:eastAsia="Arial Unicode MS" w:hAnsi="Palatino Linotype" w:cs="Arial"/>
          <w:b/>
        </w:rPr>
        <w:t xml:space="preserve"> </w:t>
      </w:r>
      <w:r w:rsidRPr="00593428">
        <w:rPr>
          <w:rFonts w:ascii="Palatino Linotype" w:hAnsi="Palatino Linotype" w:cs="Arial"/>
          <w:b/>
        </w:rPr>
        <w:t>Considerando CUARTO</w:t>
      </w:r>
      <w:r w:rsidRPr="00593428">
        <w:rPr>
          <w:rFonts w:ascii="Palatino Linotype" w:hAnsi="Palatino Linotype" w:cs="Arial"/>
        </w:rPr>
        <w:t xml:space="preserve"> de la presente resolución.</w:t>
      </w:r>
    </w:p>
    <w:p w:rsidR="001F0CEC" w:rsidRPr="00593428" w:rsidRDefault="001F0CEC" w:rsidP="001F0CEC">
      <w:pPr>
        <w:spacing w:line="360" w:lineRule="auto"/>
        <w:jc w:val="both"/>
        <w:rPr>
          <w:rFonts w:ascii="Palatino Linotype" w:hAnsi="Palatino Linotype" w:cs="Arial"/>
        </w:rPr>
      </w:pPr>
    </w:p>
    <w:p w:rsidR="001F0CEC" w:rsidRPr="00593428" w:rsidRDefault="001F0CEC" w:rsidP="001F0CEC">
      <w:pPr>
        <w:autoSpaceDE w:val="0"/>
        <w:autoSpaceDN w:val="0"/>
        <w:adjustRightInd w:val="0"/>
        <w:spacing w:before="240" w:line="360" w:lineRule="auto"/>
        <w:jc w:val="both"/>
        <w:rPr>
          <w:rFonts w:ascii="Palatino Linotype" w:hAnsi="Palatino Linotype" w:cs="Arial"/>
          <w:b/>
        </w:rPr>
      </w:pPr>
      <w:r w:rsidRPr="00593428">
        <w:rPr>
          <w:rFonts w:ascii="Palatino Linotype" w:hAnsi="Palatino Linotype" w:cs="Arial"/>
          <w:b/>
          <w:sz w:val="28"/>
          <w:szCs w:val="28"/>
        </w:rPr>
        <w:t>SEGUNDO.</w:t>
      </w:r>
      <w:r w:rsidRPr="00593428">
        <w:rPr>
          <w:rFonts w:ascii="Palatino Linotype" w:hAnsi="Palatino Linotype" w:cs="Arial"/>
          <w:b/>
        </w:rPr>
        <w:t xml:space="preserve"> Notifíquese</w:t>
      </w:r>
      <w:r w:rsidRPr="00593428">
        <w:rPr>
          <w:rFonts w:ascii="Palatino Linotype" w:hAnsi="Palatino Linotype" w:cs="Arial"/>
          <w:b/>
          <w:i/>
        </w:rPr>
        <w:t xml:space="preserve"> </w:t>
      </w:r>
      <w:r w:rsidRPr="00593428">
        <w:rPr>
          <w:rFonts w:ascii="Palatino Linotype" w:hAnsi="Palatino Linotype" w:cs="Arial"/>
        </w:rPr>
        <w:t xml:space="preserve">la presente resolución al Titular de la Unidad de Transparencia del </w:t>
      </w:r>
      <w:r w:rsidRPr="00593428">
        <w:rPr>
          <w:rFonts w:ascii="Palatino Linotype" w:hAnsi="Palatino Linotype" w:cs="Arial"/>
          <w:b/>
        </w:rPr>
        <w:t xml:space="preserve">SUJETO OBLIGADO </w:t>
      </w:r>
      <w:r w:rsidRPr="00593428">
        <w:rPr>
          <w:rFonts w:ascii="Palatino Linotype" w:hAnsi="Palatino Linotype" w:cs="Arial"/>
        </w:rPr>
        <w:t xml:space="preserve">a través del Sistema de Acceso a la Información Mexiquense </w:t>
      </w:r>
      <w:r w:rsidRPr="00593428">
        <w:rPr>
          <w:rFonts w:ascii="Palatino Linotype" w:hAnsi="Palatino Linotype" w:cs="Arial"/>
          <w:b/>
        </w:rPr>
        <w:t xml:space="preserve">(SAIMEX).  </w:t>
      </w:r>
    </w:p>
    <w:p w:rsidR="001F0CEC" w:rsidRPr="00593428" w:rsidRDefault="001F0CEC" w:rsidP="001F0CEC">
      <w:pPr>
        <w:autoSpaceDE w:val="0"/>
        <w:autoSpaceDN w:val="0"/>
        <w:adjustRightInd w:val="0"/>
        <w:spacing w:line="360" w:lineRule="auto"/>
        <w:jc w:val="both"/>
        <w:rPr>
          <w:rFonts w:ascii="Palatino Linotype" w:hAnsi="Palatino Linotype" w:cs="Arial"/>
          <w:b/>
        </w:rPr>
      </w:pPr>
    </w:p>
    <w:p w:rsidR="001F0CEC" w:rsidRPr="00593428" w:rsidRDefault="001F0CEC" w:rsidP="001F0CEC">
      <w:pPr>
        <w:autoSpaceDE w:val="0"/>
        <w:autoSpaceDN w:val="0"/>
        <w:adjustRightInd w:val="0"/>
        <w:spacing w:before="240" w:line="360" w:lineRule="auto"/>
        <w:jc w:val="both"/>
        <w:rPr>
          <w:rFonts w:ascii="Palatino Linotype" w:hAnsi="Palatino Linotype" w:cs="Arial"/>
          <w:b/>
        </w:rPr>
      </w:pPr>
      <w:r w:rsidRPr="00593428">
        <w:rPr>
          <w:rFonts w:ascii="Palatino Linotype" w:hAnsi="Palatino Linotype" w:cs="Arial"/>
          <w:b/>
          <w:sz w:val="28"/>
          <w:szCs w:val="28"/>
        </w:rPr>
        <w:t>TERCERO</w:t>
      </w:r>
      <w:r w:rsidRPr="00593428">
        <w:rPr>
          <w:rFonts w:ascii="Palatino Linotype" w:hAnsi="Palatino Linotype" w:cs="Arial"/>
          <w:sz w:val="28"/>
          <w:szCs w:val="28"/>
        </w:rPr>
        <w:t>.</w:t>
      </w:r>
      <w:r w:rsidRPr="00593428">
        <w:rPr>
          <w:rFonts w:ascii="Palatino Linotype" w:hAnsi="Palatino Linotype" w:cs="Arial"/>
        </w:rPr>
        <w:t xml:space="preserve"> </w:t>
      </w:r>
      <w:r w:rsidRPr="00593428">
        <w:rPr>
          <w:rFonts w:ascii="Palatino Linotype" w:hAnsi="Palatino Linotype" w:cs="Arial"/>
          <w:b/>
          <w:bCs/>
          <w:color w:val="222222"/>
          <w:shd w:val="clear" w:color="auto" w:fill="FFFFFF"/>
        </w:rPr>
        <w:t>Notifíquese</w:t>
      </w:r>
      <w:r w:rsidRPr="00593428">
        <w:rPr>
          <w:rFonts w:ascii="Palatino Linotype" w:hAnsi="Palatino Linotype" w:cs="Arial"/>
        </w:rPr>
        <w:t xml:space="preserve"> la presente resolución a </w:t>
      </w:r>
      <w:r w:rsidRPr="00593428">
        <w:rPr>
          <w:rFonts w:ascii="Palatino Linotype" w:hAnsi="Palatino Linotype"/>
        </w:rPr>
        <w:t xml:space="preserve">la parte </w:t>
      </w:r>
      <w:r w:rsidRPr="00593428">
        <w:rPr>
          <w:rFonts w:ascii="Palatino Linotype" w:hAnsi="Palatino Linotype" w:cs="Arial"/>
          <w:b/>
        </w:rPr>
        <w:t xml:space="preserve">RECURRENTE </w:t>
      </w:r>
      <w:r w:rsidRPr="00593428">
        <w:rPr>
          <w:rFonts w:ascii="Palatino Linotype" w:hAnsi="Palatino Linotype" w:cs="Arial"/>
        </w:rPr>
        <w:t xml:space="preserve">a través del Sistema de Acceso a la Información Mexiquense </w:t>
      </w:r>
      <w:r w:rsidRPr="00593428">
        <w:rPr>
          <w:rFonts w:ascii="Palatino Linotype" w:hAnsi="Palatino Linotype" w:cs="Arial"/>
          <w:b/>
        </w:rPr>
        <w:t>(SAIMEX).</w:t>
      </w:r>
    </w:p>
    <w:p w:rsidR="001F0CEC" w:rsidRPr="00593428" w:rsidRDefault="001F0CEC" w:rsidP="001F0CEC">
      <w:pPr>
        <w:autoSpaceDE w:val="0"/>
        <w:autoSpaceDN w:val="0"/>
        <w:adjustRightInd w:val="0"/>
        <w:spacing w:line="360" w:lineRule="auto"/>
        <w:jc w:val="both"/>
        <w:rPr>
          <w:rFonts w:ascii="Palatino Linotype" w:hAnsi="Palatino Linotype" w:cs="Arial"/>
          <w:b/>
        </w:rPr>
      </w:pPr>
    </w:p>
    <w:p w:rsidR="001F0CEC" w:rsidRPr="00593428" w:rsidRDefault="001F0CEC" w:rsidP="001F0CEC">
      <w:pPr>
        <w:autoSpaceDE w:val="0"/>
        <w:autoSpaceDN w:val="0"/>
        <w:adjustRightInd w:val="0"/>
        <w:spacing w:before="240" w:line="360" w:lineRule="auto"/>
        <w:jc w:val="both"/>
        <w:rPr>
          <w:rFonts w:ascii="Palatino Linotype" w:hAnsi="Palatino Linotype" w:cs="Arial"/>
        </w:rPr>
      </w:pPr>
      <w:r w:rsidRPr="00593428">
        <w:rPr>
          <w:rFonts w:ascii="Palatino Linotype" w:hAnsi="Palatino Linotype" w:cs="Arial"/>
          <w:b/>
          <w:sz w:val="28"/>
          <w:szCs w:val="28"/>
        </w:rPr>
        <w:t xml:space="preserve">CUARTO. </w:t>
      </w:r>
      <w:r w:rsidRPr="00593428">
        <w:rPr>
          <w:rFonts w:ascii="Palatino Linotype" w:hAnsi="Palatino Linotype" w:cs="Arial"/>
        </w:rPr>
        <w:t xml:space="preserve">Se hace del conocimiento de </w:t>
      </w:r>
      <w:r w:rsidRPr="00593428">
        <w:rPr>
          <w:rFonts w:ascii="Palatino Linotype" w:hAnsi="Palatino Linotype"/>
        </w:rPr>
        <w:t xml:space="preserve">la parte </w:t>
      </w:r>
      <w:r w:rsidRPr="00593428">
        <w:rPr>
          <w:rFonts w:ascii="Palatino Linotype" w:hAnsi="Palatino Linotype" w:cs="Arial"/>
          <w:b/>
        </w:rPr>
        <w:t xml:space="preserve">RECURRENTE </w:t>
      </w:r>
      <w:r w:rsidRPr="00593428">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1F0CEC" w:rsidRPr="00593428" w:rsidRDefault="001F0CEC" w:rsidP="001F0CEC">
      <w:pPr>
        <w:autoSpaceDE w:val="0"/>
        <w:autoSpaceDN w:val="0"/>
        <w:adjustRightInd w:val="0"/>
        <w:spacing w:before="240" w:line="360" w:lineRule="auto"/>
        <w:jc w:val="both"/>
        <w:rPr>
          <w:rFonts w:ascii="Palatino Linotype" w:hAnsi="Palatino Linotype" w:cs="Arial"/>
        </w:rPr>
      </w:pPr>
    </w:p>
    <w:p w:rsidR="00E1514A" w:rsidRPr="00593428" w:rsidRDefault="00E1514A" w:rsidP="001F0CEC">
      <w:pPr>
        <w:autoSpaceDE w:val="0"/>
        <w:autoSpaceDN w:val="0"/>
        <w:adjustRightInd w:val="0"/>
        <w:spacing w:before="240" w:line="360" w:lineRule="auto"/>
        <w:jc w:val="both"/>
        <w:rPr>
          <w:rFonts w:ascii="Palatino Linotype" w:hAnsi="Palatino Linotype" w:cs="Arial"/>
        </w:rPr>
      </w:pPr>
    </w:p>
    <w:p w:rsidR="00E1514A" w:rsidRPr="00593428" w:rsidRDefault="00E1514A" w:rsidP="001F0CEC">
      <w:pPr>
        <w:autoSpaceDE w:val="0"/>
        <w:autoSpaceDN w:val="0"/>
        <w:adjustRightInd w:val="0"/>
        <w:spacing w:before="240" w:line="360" w:lineRule="auto"/>
        <w:jc w:val="both"/>
        <w:rPr>
          <w:rFonts w:ascii="Palatino Linotype" w:hAnsi="Palatino Linotype" w:cs="Arial"/>
        </w:rPr>
      </w:pPr>
    </w:p>
    <w:p w:rsidR="00E1514A" w:rsidRPr="00593428" w:rsidRDefault="00E1514A" w:rsidP="001F0CEC">
      <w:pPr>
        <w:autoSpaceDE w:val="0"/>
        <w:autoSpaceDN w:val="0"/>
        <w:adjustRightInd w:val="0"/>
        <w:spacing w:before="240" w:line="360" w:lineRule="auto"/>
        <w:jc w:val="both"/>
        <w:rPr>
          <w:rFonts w:ascii="Palatino Linotype" w:hAnsi="Palatino Linotype" w:cs="Arial"/>
        </w:rPr>
      </w:pPr>
    </w:p>
    <w:p w:rsidR="00E1514A" w:rsidRPr="00593428" w:rsidRDefault="00E1514A" w:rsidP="001F0CEC">
      <w:pPr>
        <w:autoSpaceDE w:val="0"/>
        <w:autoSpaceDN w:val="0"/>
        <w:adjustRightInd w:val="0"/>
        <w:spacing w:before="240" w:line="360" w:lineRule="auto"/>
        <w:jc w:val="both"/>
        <w:rPr>
          <w:rFonts w:ascii="Palatino Linotype" w:hAnsi="Palatino Linotype" w:cs="Arial"/>
        </w:rPr>
      </w:pPr>
    </w:p>
    <w:p w:rsidR="00E1514A" w:rsidRPr="00593428" w:rsidRDefault="00E1514A" w:rsidP="001F0CEC">
      <w:pPr>
        <w:autoSpaceDE w:val="0"/>
        <w:autoSpaceDN w:val="0"/>
        <w:adjustRightInd w:val="0"/>
        <w:spacing w:before="240" w:line="360" w:lineRule="auto"/>
        <w:jc w:val="both"/>
        <w:rPr>
          <w:rFonts w:ascii="Palatino Linotype" w:hAnsi="Palatino Linotype" w:cs="Arial"/>
        </w:rPr>
      </w:pPr>
    </w:p>
    <w:p w:rsidR="001F0CEC" w:rsidRPr="00593428" w:rsidRDefault="00593428" w:rsidP="001F0CEC">
      <w:pPr>
        <w:spacing w:line="360" w:lineRule="auto"/>
        <w:jc w:val="both"/>
        <w:rPr>
          <w:rFonts w:ascii="Palatino Linotype" w:hAnsi="Palatino Linotype" w:cs="Arial"/>
        </w:rPr>
      </w:pPr>
      <w:r w:rsidRPr="00593428">
        <w:rPr>
          <w:rFonts w:ascii="Palatino Linotype" w:hAnsi="Palatino Linotype" w:cs="Arial"/>
          <w:lang w:val="es-ES_tradnl"/>
        </w:rPr>
        <w:lastRenderedPageBreak/>
        <w:t>ASÍ LO RESUELVE, POR UNANIMIDAD DE VOTOS EL PLENO DEL</w:t>
      </w:r>
      <w:r w:rsidRPr="00593428">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593428">
        <w:rPr>
          <w:rFonts w:ascii="Palatino Linotype" w:hAnsi="Palatino Linotype" w:cs="Arial"/>
          <w:lang w:val="es-ES_tradnl"/>
        </w:rPr>
        <w:t>, CONFORMADO POR LOS COMISIONADOS JOSÉ MARTÍNEZ VILCHIS, MARÍA DEL ROSARIO MEJÍA AYALA, SHARON CRISTINA MORALES MARTÍNEZ, LUIS GUSTAVO PARRA NORIEGA Y GUADALUPE RAMÍREZ PEÑA, EN LA</w:t>
      </w:r>
      <w:r w:rsidRPr="00593428">
        <w:rPr>
          <w:rFonts w:ascii="Palatino Linotype" w:hAnsi="Palatino Linotype" w:cs="Arial"/>
          <w:lang w:val="es-419"/>
        </w:rPr>
        <w:t xml:space="preserve"> DÉCIMA SEGUNDA SESIÓN ORDINARIA CELEBRADA EL OCHO DE ABRIL DE DOS MIL VEINTISÉIS</w:t>
      </w:r>
      <w:r w:rsidRPr="00593428">
        <w:rPr>
          <w:rFonts w:ascii="Palatino Linotype" w:hAnsi="Palatino Linotype" w:cs="Arial"/>
          <w:lang w:val="es-ES_tradnl"/>
        </w:rPr>
        <w:t>, ANTE EL SECRETARIO TÉCNICO DEL PLENO, ALEXIS TAPIA RAMÍREZ</w:t>
      </w:r>
      <w:r w:rsidR="001F0CEC" w:rsidRPr="00593428">
        <w:rPr>
          <w:rFonts w:ascii="Palatino Linotype" w:hAnsi="Palatino Linotype" w:cs="Arial"/>
        </w:rPr>
        <w:t>. ----------------------------------------------------------------------------------------------------------------------------------------------------------------------------</w:t>
      </w:r>
      <w:r w:rsidR="00E1514A" w:rsidRPr="00593428">
        <w:rPr>
          <w:rFonts w:ascii="Palatino Linotype" w:hAnsi="Palatino Linotype" w:cs="Arial"/>
        </w:rPr>
        <w:t>------------------------------------------------------------------------------------------------------------------------------------------------------------------------------------------------------------------------------------------------------------------------------------------------------------------------------------------------------------------------------------------------------------------------------------------------------------------------------------------------------------------------------------------------------------------------------------------------------------------------------</w:t>
      </w:r>
    </w:p>
    <w:p w:rsidR="001F0CEC" w:rsidRDefault="001F0CEC" w:rsidP="001F0CEC">
      <w:pPr>
        <w:spacing w:line="360" w:lineRule="auto"/>
        <w:jc w:val="both"/>
        <w:rPr>
          <w:rFonts w:ascii="Palatino Linotype" w:hAnsi="Palatino Linotype" w:cs="Arial"/>
          <w:sz w:val="16"/>
        </w:rPr>
      </w:pPr>
      <w:r w:rsidRPr="00593428">
        <w:rPr>
          <w:rFonts w:ascii="Palatino Linotype" w:hAnsi="Palatino Linotype" w:cs="Arial"/>
          <w:sz w:val="16"/>
        </w:rPr>
        <w:t>JMV/CCR/LMST</w:t>
      </w:r>
    </w:p>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1F0CEC" w:rsidRDefault="001F0CEC" w:rsidP="001F0CEC"/>
    <w:p w:rsidR="00FC3A96" w:rsidRDefault="00FC3A96"/>
    <w:sectPr w:rsidR="00FC3A96" w:rsidSect="00ED7735">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0D7" w:rsidRDefault="001A10D7" w:rsidP="001F0CEC">
      <w:r>
        <w:separator/>
      </w:r>
    </w:p>
  </w:endnote>
  <w:endnote w:type="continuationSeparator" w:id="0">
    <w:p w:rsidR="001A10D7" w:rsidRDefault="001A10D7" w:rsidP="001F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C91" w:rsidRPr="00A2780F" w:rsidRDefault="001E3C91" w:rsidP="00ED773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B5DA0">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B5DA0">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C91" w:rsidRPr="00070856" w:rsidRDefault="001E3C91" w:rsidP="00ED773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B5DA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B5DA0">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0D7" w:rsidRDefault="001A10D7" w:rsidP="001F0CEC">
      <w:r>
        <w:separator/>
      </w:r>
    </w:p>
  </w:footnote>
  <w:footnote w:type="continuationSeparator" w:id="0">
    <w:p w:rsidR="001A10D7" w:rsidRDefault="001A10D7" w:rsidP="001F0CEC">
      <w:r>
        <w:continuationSeparator/>
      </w:r>
    </w:p>
  </w:footnote>
  <w:footnote w:id="1">
    <w:p w:rsidR="001E3C91" w:rsidRPr="005552A8" w:rsidRDefault="001E3C91" w:rsidP="001F0CEC">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1E3C91" w:rsidRPr="005552A8" w:rsidRDefault="001E3C91" w:rsidP="001F0CE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E3C91" w:rsidRPr="008F2CCC" w:rsidTr="00ED7735">
      <w:tc>
        <w:tcPr>
          <w:tcW w:w="3620" w:type="dxa"/>
          <w:shd w:val="clear" w:color="auto" w:fill="auto"/>
        </w:tcPr>
        <w:p w:rsidR="001E3C91" w:rsidRPr="007E5FC4" w:rsidRDefault="001E3C91" w:rsidP="00ED773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1E3C91" w:rsidRPr="00664658" w:rsidRDefault="001E3C91" w:rsidP="001F0CE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07965/INFOEM/IP/RR/2025</w:t>
          </w:r>
        </w:p>
      </w:tc>
    </w:tr>
    <w:tr w:rsidR="001E3C91" w:rsidRPr="008F2CCC" w:rsidTr="00ED7735">
      <w:tc>
        <w:tcPr>
          <w:tcW w:w="3620" w:type="dxa"/>
          <w:shd w:val="clear" w:color="auto" w:fill="auto"/>
        </w:tcPr>
        <w:p w:rsidR="001E3C91" w:rsidRPr="007E5FC4" w:rsidRDefault="001E3C91" w:rsidP="00ED773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1E3C91" w:rsidRPr="00664658" w:rsidRDefault="001E3C91" w:rsidP="00ED7735">
          <w:pPr>
            <w:spacing w:line="276" w:lineRule="auto"/>
            <w:jc w:val="right"/>
            <w:rPr>
              <w:rFonts w:ascii="Palatino Linotype" w:hAnsi="Palatino Linotype"/>
              <w:b/>
              <w:sz w:val="22"/>
              <w:szCs w:val="22"/>
              <w:lang w:val="es-ES_tradnl"/>
            </w:rPr>
          </w:pPr>
          <w:r w:rsidRPr="001F0CEC">
            <w:rPr>
              <w:rFonts w:ascii="Palatino Linotype" w:hAnsi="Palatino Linotype"/>
              <w:b/>
              <w:sz w:val="22"/>
              <w:szCs w:val="22"/>
            </w:rPr>
            <w:t>Sistema Municipal para el Desarrollo Integral de la Familia de Morelos</w:t>
          </w:r>
        </w:p>
      </w:tc>
    </w:tr>
    <w:tr w:rsidR="001E3C91" w:rsidRPr="008F2CCC" w:rsidTr="00ED7735">
      <w:trPr>
        <w:trHeight w:val="228"/>
      </w:trPr>
      <w:tc>
        <w:tcPr>
          <w:tcW w:w="3620" w:type="dxa"/>
          <w:shd w:val="clear" w:color="auto" w:fill="auto"/>
        </w:tcPr>
        <w:p w:rsidR="001E3C91" w:rsidRPr="007E5FC4" w:rsidRDefault="001E3C91" w:rsidP="00ED773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1E3C91" w:rsidRPr="00664658" w:rsidRDefault="001E3C91" w:rsidP="00ED773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E3C91" w:rsidRDefault="001E3C91" w:rsidP="00ED7735">
    <w:pPr>
      <w:pStyle w:val="Encabezado"/>
      <w:tabs>
        <w:tab w:val="clear" w:pos="4252"/>
        <w:tab w:val="clear" w:pos="8504"/>
        <w:tab w:val="left" w:pos="2326"/>
      </w:tabs>
      <w:rPr>
        <w:rFonts w:ascii="Palatino Linotype" w:hAnsi="Palatino Linotype"/>
        <w:sz w:val="20"/>
      </w:rPr>
    </w:pPr>
  </w:p>
  <w:p w:rsidR="001E3C91" w:rsidRPr="001779E0" w:rsidRDefault="001E3C91" w:rsidP="00ED7735">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B17C367" wp14:editId="19B0085C">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E3C91" w:rsidRPr="008F2CCC" w:rsidTr="00ED7735">
      <w:tc>
        <w:tcPr>
          <w:tcW w:w="2977" w:type="dxa"/>
          <w:shd w:val="clear" w:color="auto" w:fill="auto"/>
        </w:tcPr>
        <w:p w:rsidR="001E3C91" w:rsidRPr="007E5FC4" w:rsidRDefault="001E3C91" w:rsidP="00ED773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1E3C91" w:rsidRPr="008F2CCC" w:rsidRDefault="001E3C91" w:rsidP="001F0CE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07965/INFOEM/IP/RR/2025</w:t>
          </w:r>
        </w:p>
      </w:tc>
    </w:tr>
    <w:tr w:rsidR="001E3C91" w:rsidRPr="008F2CCC" w:rsidTr="00ED7735">
      <w:tc>
        <w:tcPr>
          <w:tcW w:w="2977" w:type="dxa"/>
          <w:shd w:val="clear" w:color="auto" w:fill="auto"/>
          <w:vAlign w:val="center"/>
        </w:tcPr>
        <w:p w:rsidR="001E3C91" w:rsidRPr="007E5FC4" w:rsidRDefault="001E3C91" w:rsidP="00ED773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1E3C91" w:rsidRPr="008F2CCC" w:rsidRDefault="008B5DA0" w:rsidP="00ED773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w:t>
          </w:r>
          <w:r w:rsidR="001E3C91">
            <w:rPr>
              <w:rFonts w:ascii="Palatino Linotype" w:hAnsi="Palatino Linotype"/>
              <w:b/>
              <w:sz w:val="22"/>
              <w:szCs w:val="22"/>
              <w:lang w:val="es-ES_tradnl"/>
            </w:rPr>
            <w:t xml:space="preserve"> </w:t>
          </w:r>
        </w:p>
      </w:tc>
    </w:tr>
    <w:tr w:rsidR="001E3C91" w:rsidRPr="008F2CCC" w:rsidTr="00ED7735">
      <w:trPr>
        <w:trHeight w:val="228"/>
      </w:trPr>
      <w:tc>
        <w:tcPr>
          <w:tcW w:w="2977" w:type="dxa"/>
          <w:shd w:val="clear" w:color="auto" w:fill="auto"/>
        </w:tcPr>
        <w:p w:rsidR="001E3C91" w:rsidRPr="007E5FC4" w:rsidRDefault="001E3C91" w:rsidP="00ED773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1E3C91" w:rsidRPr="00DC41C8" w:rsidRDefault="001E3C91" w:rsidP="00ED7735">
          <w:pPr>
            <w:spacing w:line="360" w:lineRule="auto"/>
            <w:jc w:val="right"/>
            <w:rPr>
              <w:rFonts w:ascii="Palatino Linotype" w:hAnsi="Palatino Linotype"/>
              <w:b/>
              <w:sz w:val="22"/>
              <w:szCs w:val="22"/>
            </w:rPr>
          </w:pPr>
          <w:r w:rsidRPr="001F0CEC">
            <w:rPr>
              <w:rFonts w:ascii="Palatino Linotype" w:hAnsi="Palatino Linotype"/>
              <w:b/>
              <w:sz w:val="22"/>
              <w:szCs w:val="22"/>
            </w:rPr>
            <w:t>Sistema Municipal para el Desarrollo Integral de la Familia de Morelos</w:t>
          </w:r>
        </w:p>
      </w:tc>
    </w:tr>
    <w:tr w:rsidR="001E3C91" w:rsidRPr="008F2CCC" w:rsidTr="00ED7735">
      <w:tc>
        <w:tcPr>
          <w:tcW w:w="2977" w:type="dxa"/>
          <w:shd w:val="clear" w:color="auto" w:fill="auto"/>
        </w:tcPr>
        <w:p w:rsidR="001E3C91" w:rsidRPr="007E5FC4" w:rsidRDefault="001E3C91" w:rsidP="00ED773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1E3C91" w:rsidRPr="008F2CCC" w:rsidRDefault="001E3C91" w:rsidP="00ED773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E3C91" w:rsidRPr="009F1AB6" w:rsidRDefault="001E3C91">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13D5EE8" wp14:editId="7A6EA792">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CC20037"/>
    <w:multiLevelType w:val="hybridMultilevel"/>
    <w:tmpl w:val="445E61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9F1517"/>
    <w:multiLevelType w:val="hybridMultilevel"/>
    <w:tmpl w:val="24620D0C"/>
    <w:lvl w:ilvl="0" w:tplc="080A0017">
      <w:start w:val="1"/>
      <w:numFmt w:val="lowerLetter"/>
      <w:lvlText w:val="%1)"/>
      <w:lvlJc w:val="left"/>
      <w:pPr>
        <w:ind w:left="1495" w:hanging="360"/>
      </w:pPr>
      <w:rPr>
        <w:rFonts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EC"/>
    <w:rsid w:val="00033A55"/>
    <w:rsid w:val="00061164"/>
    <w:rsid w:val="001878D7"/>
    <w:rsid w:val="001A10D7"/>
    <w:rsid w:val="001E0C1E"/>
    <w:rsid w:val="001E3C91"/>
    <w:rsid w:val="001F0CEC"/>
    <w:rsid w:val="004558E2"/>
    <w:rsid w:val="00593428"/>
    <w:rsid w:val="0064112F"/>
    <w:rsid w:val="00860D63"/>
    <w:rsid w:val="008B5DA0"/>
    <w:rsid w:val="00944E4B"/>
    <w:rsid w:val="00AA23E0"/>
    <w:rsid w:val="00B23A66"/>
    <w:rsid w:val="00BB3851"/>
    <w:rsid w:val="00BE6597"/>
    <w:rsid w:val="00CD6559"/>
    <w:rsid w:val="00D2638F"/>
    <w:rsid w:val="00E1514A"/>
    <w:rsid w:val="00ED7735"/>
    <w:rsid w:val="00FC2DA4"/>
    <w:rsid w:val="00FC3A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EF5BD-AE3B-43D7-A197-5DAD260B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E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0CE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F0CEC"/>
    <w:rPr>
      <w:rFonts w:eastAsiaTheme="minorEastAsia"/>
      <w:sz w:val="24"/>
      <w:szCs w:val="24"/>
      <w:lang w:val="es-ES_tradnl" w:eastAsia="es-ES"/>
    </w:rPr>
  </w:style>
  <w:style w:type="paragraph" w:styleId="Piedepgina">
    <w:name w:val="footer"/>
    <w:basedOn w:val="Normal"/>
    <w:link w:val="PiedepginaCar"/>
    <w:uiPriority w:val="99"/>
    <w:unhideWhenUsed/>
    <w:rsid w:val="001F0CE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F0CE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F0CE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F0CE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1F0CEC"/>
    <w:pPr>
      <w:spacing w:after="0" w:line="240" w:lineRule="auto"/>
    </w:pPr>
  </w:style>
  <w:style w:type="character" w:customStyle="1" w:styleId="SinespaciadoCar">
    <w:name w:val="Sin espaciado Car"/>
    <w:aliases w:val="Francesa Car,INAI Car"/>
    <w:link w:val="Sinespaciado"/>
    <w:uiPriority w:val="1"/>
    <w:locked/>
    <w:rsid w:val="001F0CEC"/>
  </w:style>
  <w:style w:type="character" w:styleId="Hipervnculo">
    <w:name w:val="Hyperlink"/>
    <w:aliases w:val="Hipervínculo1,Hipervínculo11,Hipervínculo12,Hipervínculo13,Hipervínculo14,Hipervínculo15"/>
    <w:basedOn w:val="Fuentedeprrafopredeter"/>
    <w:uiPriority w:val="99"/>
    <w:unhideWhenUsed/>
    <w:rsid w:val="001F0CEC"/>
    <w:rPr>
      <w:color w:val="0563C1" w:themeColor="hyperlink"/>
      <w:u w:val="single"/>
    </w:rPr>
  </w:style>
  <w:style w:type="paragraph" w:customStyle="1" w:styleId="INFOEM">
    <w:name w:val="INFOEM"/>
    <w:basedOn w:val="Normal"/>
    <w:qFormat/>
    <w:rsid w:val="001F0CEC"/>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1F0CE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F0CEC"/>
    <w:rPr>
      <w:vertAlign w:val="superscript"/>
    </w:rPr>
  </w:style>
  <w:style w:type="paragraph" w:customStyle="1" w:styleId="infoemcitas">
    <w:name w:val="infoem citas"/>
    <w:basedOn w:val="Normal"/>
    <w:qFormat/>
    <w:rsid w:val="001F0CEC"/>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1F0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F0CEC"/>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1">
    <w:name w:val="Tabla con cuadrícula1"/>
    <w:basedOn w:val="Tablanormal"/>
    <w:next w:val="Tablaconcuadrcula"/>
    <w:uiPriority w:val="39"/>
    <w:rsid w:val="001F0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30</Pages>
  <Words>6042</Words>
  <Characters>33237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2026-04-10T16:47:00Z</cp:lastPrinted>
  <dcterms:created xsi:type="dcterms:W3CDTF">2026-03-18T21:56:00Z</dcterms:created>
  <dcterms:modified xsi:type="dcterms:W3CDTF">2026-04-17T15:49:00Z</dcterms:modified>
</cp:coreProperties>
</file>