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0D0" w:rsidRPr="00F5374C" w:rsidRDefault="009650D0" w:rsidP="00F5374C">
      <w:pPr>
        <w:spacing w:line="360" w:lineRule="auto"/>
        <w:ind w:right="-787"/>
        <w:jc w:val="both"/>
        <w:rPr>
          <w:rFonts w:ascii="Palatino Linotype" w:eastAsia="Palatino Linotype" w:hAnsi="Palatino Linotype" w:cs="Palatino Linotype"/>
          <w:b/>
        </w:rPr>
      </w:pPr>
      <w:r w:rsidRPr="00F5374C">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F5374C">
        <w:rPr>
          <w:rFonts w:ascii="Palatino Linotype" w:eastAsia="Palatino Linotype" w:hAnsi="Palatino Linotype" w:cs="Palatino Linotype"/>
          <w:b/>
        </w:rPr>
        <w:t xml:space="preserve">fecha </w:t>
      </w:r>
      <w:r w:rsidR="000B66DD" w:rsidRPr="00F5374C">
        <w:rPr>
          <w:rFonts w:ascii="Palatino Linotype" w:eastAsia="Palatino Linotype" w:hAnsi="Palatino Linotype" w:cs="Palatino Linotype"/>
          <w:b/>
        </w:rPr>
        <w:t>veintisiete</w:t>
      </w:r>
      <w:r w:rsidR="00F5374C" w:rsidRPr="00F5374C">
        <w:rPr>
          <w:rFonts w:ascii="Palatino Linotype" w:eastAsia="Palatino Linotype" w:hAnsi="Palatino Linotype" w:cs="Palatino Linotype"/>
          <w:b/>
        </w:rPr>
        <w:t xml:space="preserve"> (27)</w:t>
      </w:r>
      <w:r w:rsidR="000B66DD" w:rsidRPr="00F5374C">
        <w:rPr>
          <w:rFonts w:ascii="Palatino Linotype" w:eastAsia="Palatino Linotype" w:hAnsi="Palatino Linotype" w:cs="Palatino Linotype"/>
          <w:b/>
        </w:rPr>
        <w:t xml:space="preserve"> de mayo de dos mil veintiséis</w:t>
      </w:r>
      <w:r w:rsidRPr="00F5374C">
        <w:rPr>
          <w:rFonts w:ascii="Palatino Linotype" w:eastAsia="Palatino Linotype" w:hAnsi="Palatino Linotype" w:cs="Palatino Linotype"/>
          <w:b/>
        </w:rPr>
        <w:t>.</w:t>
      </w:r>
    </w:p>
    <w:p w:rsidR="009650D0" w:rsidRPr="00F5374C" w:rsidRDefault="009650D0" w:rsidP="009650D0">
      <w:pPr>
        <w:tabs>
          <w:tab w:val="left" w:pos="3465"/>
        </w:tabs>
        <w:spacing w:line="360" w:lineRule="auto"/>
        <w:ind w:right="-787"/>
        <w:jc w:val="both"/>
        <w:rPr>
          <w:rFonts w:ascii="Palatino Linotype" w:eastAsia="Palatino Linotype" w:hAnsi="Palatino Linotype" w:cs="Palatino Linotype"/>
        </w:rPr>
      </w:pPr>
    </w:p>
    <w:p w:rsidR="009650D0" w:rsidRPr="00F5374C" w:rsidRDefault="009650D0" w:rsidP="009650D0">
      <w:pPr>
        <w:spacing w:line="360" w:lineRule="auto"/>
        <w:ind w:right="-787"/>
        <w:jc w:val="both"/>
        <w:rPr>
          <w:rFonts w:ascii="Palatino Linotype" w:eastAsia="Palatino Linotype" w:hAnsi="Palatino Linotype" w:cs="Palatino Linotype"/>
        </w:rPr>
      </w:pPr>
      <w:r w:rsidRPr="00F5374C">
        <w:rPr>
          <w:rFonts w:ascii="Palatino Linotype" w:eastAsia="Palatino Linotype" w:hAnsi="Palatino Linotype" w:cs="Palatino Linotype"/>
          <w:b/>
        </w:rPr>
        <w:t xml:space="preserve">VISTAS </w:t>
      </w:r>
      <w:r w:rsidRPr="00F5374C">
        <w:rPr>
          <w:rFonts w:ascii="Palatino Linotype" w:eastAsia="Palatino Linotype" w:hAnsi="Palatino Linotype" w:cs="Palatino Linotype"/>
        </w:rPr>
        <w:t xml:space="preserve">las constancias para resolver </w:t>
      </w:r>
      <w:r w:rsidRPr="00F5374C">
        <w:rPr>
          <w:rFonts w:ascii="Palatino Linotype" w:eastAsia="Palatino Linotype" w:hAnsi="Palatino Linotype" w:cs="Palatino Linotype"/>
          <w:color w:val="000000"/>
        </w:rPr>
        <w:t xml:space="preserve">el Recurso de Revisión </w:t>
      </w:r>
      <w:r w:rsidR="000B66DD" w:rsidRPr="00F5374C">
        <w:rPr>
          <w:rFonts w:ascii="Palatino Linotype" w:eastAsia="Palatino Linotype" w:hAnsi="Palatino Linotype" w:cs="Palatino Linotype"/>
          <w:b/>
          <w:color w:val="000000"/>
        </w:rPr>
        <w:t>03353/INFOEM/IP/RR/2026</w:t>
      </w:r>
      <w:r w:rsidRPr="00F5374C">
        <w:rPr>
          <w:rFonts w:ascii="Palatino Linotype" w:eastAsia="Palatino Linotype" w:hAnsi="Palatino Linotype" w:cs="Palatino Linotype"/>
          <w:color w:val="000000"/>
        </w:rPr>
        <w:t xml:space="preserve">, promovido </w:t>
      </w:r>
      <w:r w:rsidRPr="00F5374C">
        <w:rPr>
          <w:rFonts w:ascii="Palatino Linotype" w:eastAsia="Palatino Linotype" w:hAnsi="Palatino Linotype" w:cs="Palatino Linotype"/>
        </w:rPr>
        <w:t>por</w:t>
      </w:r>
      <w:r w:rsidRPr="00F5374C">
        <w:rPr>
          <w:rFonts w:ascii="Palatino Linotype" w:eastAsia="Palatino Linotype" w:hAnsi="Palatino Linotype" w:cs="Palatino Linotype"/>
          <w:b/>
        </w:rPr>
        <w:t xml:space="preserve"> </w:t>
      </w:r>
      <w:r w:rsidR="00E01EAE">
        <w:rPr>
          <w:rFonts w:ascii="Palatino Linotype" w:hAnsi="Palatino Linotype"/>
          <w:b/>
        </w:rPr>
        <w:t>XXXX</w:t>
      </w:r>
      <w:r w:rsidRPr="00F5374C">
        <w:rPr>
          <w:rFonts w:ascii="Palatino Linotype" w:eastAsia="Palatino Linotype" w:hAnsi="Palatino Linotype" w:cs="Palatino Linotype"/>
          <w:color w:val="000000"/>
        </w:rPr>
        <w:t>,</w:t>
      </w:r>
      <w:r w:rsidRPr="00F5374C">
        <w:rPr>
          <w:rFonts w:ascii="Palatino Linotype" w:eastAsia="Palatino Linotype" w:hAnsi="Palatino Linotype" w:cs="Palatino Linotype"/>
          <w:b/>
        </w:rPr>
        <w:t xml:space="preserve"> </w:t>
      </w:r>
      <w:r w:rsidRPr="00F5374C">
        <w:rPr>
          <w:rFonts w:ascii="Palatino Linotype" w:eastAsia="Palatino Linotype" w:hAnsi="Palatino Linotype" w:cs="Palatino Linotype"/>
        </w:rPr>
        <w:t xml:space="preserve">a quien en lo sucesivo se denominará  </w:t>
      </w:r>
      <w:r w:rsidRPr="00F5374C">
        <w:rPr>
          <w:rFonts w:ascii="Palatino Linotype" w:eastAsia="Palatino Linotype" w:hAnsi="Palatino Linotype" w:cs="Palatino Linotype"/>
          <w:b/>
        </w:rPr>
        <w:t>EL RECURRENTE</w:t>
      </w:r>
      <w:r w:rsidRPr="00F5374C">
        <w:rPr>
          <w:rFonts w:ascii="Palatino Linotype" w:eastAsia="Palatino Linotype" w:hAnsi="Palatino Linotype" w:cs="Palatino Linotype"/>
        </w:rPr>
        <w:t xml:space="preserve">, en contra de la respuesta otorgada a la solicitud de información </w:t>
      </w:r>
      <w:r w:rsidR="000B66DD" w:rsidRPr="00F5374C">
        <w:rPr>
          <w:rFonts w:ascii="Palatino Linotype" w:eastAsia="Palatino Linotype" w:hAnsi="Palatino Linotype" w:cs="Palatino Linotype"/>
          <w:b/>
        </w:rPr>
        <w:t>00054/IXTLAHUA/IP/2026</w:t>
      </w:r>
      <w:r w:rsidRPr="00F5374C">
        <w:rPr>
          <w:rFonts w:ascii="Palatino Linotype" w:eastAsia="Palatino Linotype" w:hAnsi="Palatino Linotype" w:cs="Palatino Linotype"/>
        </w:rPr>
        <w:t xml:space="preserve">, por parte del </w:t>
      </w:r>
      <w:r w:rsidR="000B66DD" w:rsidRPr="00F5374C">
        <w:rPr>
          <w:rFonts w:ascii="Palatino Linotype" w:eastAsia="Palatino Linotype" w:hAnsi="Palatino Linotype" w:cs="Palatino Linotype"/>
          <w:b/>
        </w:rPr>
        <w:t>Ayuntamiento de Ixtlahuaca</w:t>
      </w:r>
      <w:r w:rsidRPr="00F5374C">
        <w:rPr>
          <w:rFonts w:ascii="Palatino Linotype" w:eastAsia="Palatino Linotype" w:hAnsi="Palatino Linotype" w:cs="Palatino Linotype"/>
          <w:b/>
        </w:rPr>
        <w:t xml:space="preserve">, </w:t>
      </w:r>
      <w:r w:rsidRPr="00F5374C">
        <w:rPr>
          <w:rFonts w:ascii="Palatino Linotype" w:eastAsia="Palatino Linotype" w:hAnsi="Palatino Linotype" w:cs="Palatino Linotype"/>
        </w:rPr>
        <w:t xml:space="preserve">en adelante el </w:t>
      </w:r>
      <w:r w:rsidRPr="00F5374C">
        <w:rPr>
          <w:rFonts w:ascii="Palatino Linotype" w:eastAsia="Palatino Linotype" w:hAnsi="Palatino Linotype" w:cs="Palatino Linotype"/>
          <w:b/>
        </w:rPr>
        <w:t>SUJETO OBLIGADO,</w:t>
      </w:r>
      <w:r w:rsidRPr="00F5374C">
        <w:rPr>
          <w:rFonts w:ascii="Palatino Linotype" w:eastAsia="Palatino Linotype" w:hAnsi="Palatino Linotype" w:cs="Palatino Linotype"/>
        </w:rPr>
        <w:t xml:space="preserve"> se emite la presente resolución con base en los siguientes:</w:t>
      </w:r>
    </w:p>
    <w:p w:rsidR="009650D0" w:rsidRPr="00F5374C" w:rsidRDefault="009650D0" w:rsidP="009650D0">
      <w:pPr>
        <w:spacing w:line="360" w:lineRule="auto"/>
        <w:ind w:right="-787"/>
        <w:jc w:val="both"/>
        <w:rPr>
          <w:rFonts w:ascii="Palatino Linotype" w:eastAsia="Palatino Linotype" w:hAnsi="Palatino Linotype" w:cs="Palatino Linotype"/>
        </w:rPr>
      </w:pPr>
    </w:p>
    <w:p w:rsidR="009650D0" w:rsidRPr="00F5374C" w:rsidRDefault="009650D0" w:rsidP="009650D0">
      <w:pPr>
        <w:pStyle w:val="Ttulo1"/>
        <w:spacing w:before="0" w:line="360" w:lineRule="auto"/>
        <w:ind w:right="-787"/>
        <w:jc w:val="center"/>
        <w:rPr>
          <w:rFonts w:ascii="Palatino Linotype" w:eastAsia="Palatino Linotype" w:hAnsi="Palatino Linotype" w:cs="Palatino Linotype"/>
          <w:b/>
          <w:color w:val="000000"/>
          <w:sz w:val="24"/>
          <w:szCs w:val="24"/>
        </w:rPr>
      </w:pPr>
      <w:bookmarkStart w:id="0" w:name="_heading=h.gjdgxs" w:colFirst="0" w:colLast="0"/>
      <w:bookmarkEnd w:id="0"/>
      <w:r w:rsidRPr="00F5374C">
        <w:rPr>
          <w:rFonts w:ascii="Palatino Linotype" w:eastAsia="Palatino Linotype" w:hAnsi="Palatino Linotype" w:cs="Palatino Linotype"/>
          <w:b/>
          <w:color w:val="000000"/>
          <w:sz w:val="24"/>
          <w:szCs w:val="24"/>
        </w:rPr>
        <w:t>A N T E C E D E N T E S</w:t>
      </w:r>
    </w:p>
    <w:p w:rsidR="009650D0" w:rsidRPr="00F5374C" w:rsidRDefault="009650D0" w:rsidP="009650D0">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9650D0" w:rsidRPr="00F5374C" w:rsidRDefault="009650D0" w:rsidP="009650D0">
      <w:pPr>
        <w:numPr>
          <w:ilvl w:val="0"/>
          <w:numId w:val="35"/>
        </w:numPr>
        <w:pBdr>
          <w:top w:val="nil"/>
          <w:left w:val="nil"/>
          <w:bottom w:val="nil"/>
          <w:right w:val="nil"/>
          <w:between w:val="nil"/>
        </w:pBdr>
        <w:tabs>
          <w:tab w:val="left" w:pos="0"/>
        </w:tabs>
        <w:spacing w:line="360" w:lineRule="auto"/>
        <w:ind w:left="0" w:right="-787" w:firstLine="0"/>
        <w:jc w:val="both"/>
        <w:rPr>
          <w:color w:val="000000"/>
        </w:rPr>
      </w:pPr>
      <w:r w:rsidRPr="00F5374C">
        <w:rPr>
          <w:rFonts w:ascii="Palatino Linotype" w:eastAsia="Palatino Linotype" w:hAnsi="Palatino Linotype" w:cs="Palatino Linotype"/>
          <w:color w:val="000000"/>
        </w:rPr>
        <w:t xml:space="preserve">El </w:t>
      </w:r>
      <w:r w:rsidR="000B66DD" w:rsidRPr="00F5374C">
        <w:rPr>
          <w:rFonts w:ascii="Palatino Linotype" w:eastAsia="Palatino Linotype" w:hAnsi="Palatino Linotype" w:cs="Palatino Linotype"/>
          <w:b/>
          <w:color w:val="000000"/>
        </w:rPr>
        <w:t>trece de marzo de dos mil veintiséis</w:t>
      </w:r>
      <w:r w:rsidRPr="00F5374C">
        <w:rPr>
          <w:rFonts w:ascii="Palatino Linotype" w:eastAsia="Palatino Linotype" w:hAnsi="Palatino Linotype" w:cs="Palatino Linotype"/>
          <w:color w:val="000000"/>
        </w:rPr>
        <w:t>,</w:t>
      </w:r>
      <w:r w:rsidRPr="00F5374C">
        <w:rPr>
          <w:rFonts w:ascii="Palatino Linotype" w:eastAsia="Palatino Linotype" w:hAnsi="Palatino Linotype" w:cs="Palatino Linotype"/>
          <w:b/>
          <w:color w:val="000000"/>
        </w:rPr>
        <w:t xml:space="preserve"> </w:t>
      </w:r>
      <w:r w:rsidRPr="00F5374C">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rsidR="009650D0" w:rsidRPr="00F5374C" w:rsidRDefault="009650D0" w:rsidP="009650D0">
      <w:pPr>
        <w:pBdr>
          <w:top w:val="nil"/>
          <w:left w:val="nil"/>
          <w:bottom w:val="nil"/>
          <w:right w:val="nil"/>
          <w:between w:val="nil"/>
        </w:pBdr>
        <w:ind w:right="-787"/>
        <w:jc w:val="both"/>
        <w:rPr>
          <w:rFonts w:ascii="Palatino Linotype" w:eastAsia="Palatino Linotype" w:hAnsi="Palatino Linotype" w:cs="Palatino Linotype"/>
          <w:color w:val="000000"/>
        </w:rPr>
      </w:pPr>
    </w:p>
    <w:p w:rsidR="009650D0" w:rsidRPr="00F5374C" w:rsidRDefault="009650D0" w:rsidP="009650D0">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F5374C">
        <w:rPr>
          <w:rFonts w:ascii="Palatino Linotype" w:eastAsia="Palatino Linotype" w:hAnsi="Palatino Linotype" w:cs="Palatino Linotype"/>
          <w:i/>
          <w:color w:val="000000"/>
        </w:rPr>
        <w:t>“</w:t>
      </w:r>
      <w:r w:rsidR="000B66DD" w:rsidRPr="00F5374C">
        <w:rPr>
          <w:rFonts w:ascii="Palatino Linotype" w:eastAsia="Palatino Linotype" w:hAnsi="Palatino Linotype" w:cs="Palatino Linotype"/>
          <w:i/>
          <w:color w:val="000000"/>
        </w:rPr>
        <w:t>Solicito los manuales de procedimientos de las dependencias del ayuntamiento, que menciona la secretaria Dianita, que se ponga a las ordenes de la ciudadania, como le dice a Guadalupe.</w:t>
      </w:r>
      <w:r w:rsidRPr="00F5374C">
        <w:rPr>
          <w:rFonts w:ascii="Palatino Linotype" w:eastAsia="Palatino Linotype" w:hAnsi="Palatino Linotype" w:cs="Palatino Linotype"/>
          <w:i/>
          <w:color w:val="000000"/>
        </w:rPr>
        <w:t>” (Sic)</w:t>
      </w:r>
    </w:p>
    <w:p w:rsidR="009650D0" w:rsidRDefault="009650D0" w:rsidP="009650D0">
      <w:pPr>
        <w:spacing w:line="360" w:lineRule="auto"/>
        <w:ind w:right="-787"/>
        <w:jc w:val="both"/>
        <w:rPr>
          <w:rFonts w:ascii="Palatino Linotype" w:eastAsia="Palatino Linotype" w:hAnsi="Palatino Linotype" w:cs="Palatino Linotype"/>
        </w:rPr>
      </w:pPr>
    </w:p>
    <w:p w:rsidR="00F5374C" w:rsidRPr="00F5374C" w:rsidRDefault="00F5374C" w:rsidP="009650D0">
      <w:pPr>
        <w:spacing w:line="360" w:lineRule="auto"/>
        <w:ind w:right="-787"/>
        <w:jc w:val="both"/>
        <w:rPr>
          <w:rFonts w:ascii="Palatino Linotype" w:eastAsia="Palatino Linotype" w:hAnsi="Palatino Linotype" w:cs="Palatino Linotype"/>
        </w:rPr>
      </w:pPr>
    </w:p>
    <w:p w:rsidR="009650D0" w:rsidRPr="00F5374C" w:rsidRDefault="009650D0" w:rsidP="009650D0">
      <w:pPr>
        <w:numPr>
          <w:ilvl w:val="0"/>
          <w:numId w:val="36"/>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F5374C">
        <w:rPr>
          <w:rFonts w:ascii="Palatino Linotype" w:eastAsia="Palatino Linotype" w:hAnsi="Palatino Linotype" w:cs="Palatino Linotype"/>
          <w:b/>
          <w:color w:val="000000"/>
        </w:rPr>
        <w:t>Modalidad de entrega de la información</w:t>
      </w:r>
      <w:r w:rsidRPr="00F5374C">
        <w:rPr>
          <w:rFonts w:ascii="Palatino Linotype" w:eastAsia="Palatino Linotype" w:hAnsi="Palatino Linotype" w:cs="Palatino Linotype"/>
          <w:color w:val="000000"/>
        </w:rPr>
        <w:t xml:space="preserve">: A través del </w:t>
      </w:r>
      <w:r w:rsidRPr="00F5374C">
        <w:rPr>
          <w:rFonts w:ascii="Palatino Linotype" w:eastAsia="Palatino Linotype" w:hAnsi="Palatino Linotype" w:cs="Palatino Linotype"/>
          <w:b/>
          <w:color w:val="000000"/>
        </w:rPr>
        <w:t>SAIMEX.</w:t>
      </w:r>
    </w:p>
    <w:p w:rsidR="00BE07B5" w:rsidRPr="00F5374C" w:rsidRDefault="00BE07B5" w:rsidP="00BE07B5">
      <w:pPr>
        <w:pBdr>
          <w:top w:val="nil"/>
          <w:left w:val="nil"/>
          <w:bottom w:val="nil"/>
          <w:right w:val="nil"/>
          <w:between w:val="nil"/>
        </w:pBdr>
        <w:tabs>
          <w:tab w:val="left" w:pos="0"/>
        </w:tabs>
        <w:spacing w:line="360" w:lineRule="auto"/>
        <w:ind w:left="349" w:right="-787" w:firstLine="720"/>
        <w:jc w:val="both"/>
        <w:rPr>
          <w:rFonts w:ascii="Palatino Linotype" w:eastAsia="Palatino Linotype" w:hAnsi="Palatino Linotype" w:cs="Palatino Linotype"/>
          <w:color w:val="000000"/>
        </w:rPr>
      </w:pPr>
    </w:p>
    <w:p w:rsidR="009650D0" w:rsidRPr="00F5374C" w:rsidRDefault="009650D0" w:rsidP="009650D0">
      <w:pPr>
        <w:pBdr>
          <w:top w:val="nil"/>
          <w:left w:val="nil"/>
          <w:bottom w:val="nil"/>
          <w:right w:val="nil"/>
          <w:between w:val="nil"/>
        </w:pBdr>
        <w:tabs>
          <w:tab w:val="left" w:pos="0"/>
        </w:tabs>
        <w:spacing w:line="360" w:lineRule="auto"/>
        <w:ind w:right="-788"/>
        <w:jc w:val="both"/>
        <w:rPr>
          <w:rFonts w:ascii="Calibri" w:eastAsiaTheme="minorEastAsia" w:hAnsi="Calibri" w:cs="Calibri"/>
          <w:color w:val="000000"/>
        </w:rPr>
      </w:pPr>
    </w:p>
    <w:p w:rsidR="009650D0" w:rsidRPr="00F5374C" w:rsidRDefault="009650D0" w:rsidP="009650D0">
      <w:pPr>
        <w:numPr>
          <w:ilvl w:val="0"/>
          <w:numId w:val="35"/>
        </w:numPr>
        <w:pBdr>
          <w:top w:val="nil"/>
          <w:left w:val="nil"/>
          <w:bottom w:val="nil"/>
          <w:right w:val="nil"/>
          <w:between w:val="nil"/>
        </w:pBdr>
        <w:tabs>
          <w:tab w:val="left" w:pos="0"/>
        </w:tabs>
        <w:spacing w:line="360" w:lineRule="auto"/>
        <w:ind w:left="0" w:right="-788" w:firstLine="0"/>
        <w:jc w:val="both"/>
        <w:rPr>
          <w:color w:val="000000"/>
        </w:rPr>
      </w:pPr>
      <w:r w:rsidRPr="00F5374C">
        <w:rPr>
          <w:rFonts w:ascii="Palatino Linotype" w:eastAsia="Palatino Linotype" w:hAnsi="Palatino Linotype" w:cs="Palatino Linotype"/>
          <w:color w:val="000000"/>
        </w:rPr>
        <w:lastRenderedPageBreak/>
        <w:t>El</w:t>
      </w:r>
      <w:r w:rsidRPr="00F5374C">
        <w:rPr>
          <w:rFonts w:ascii="Palatino Linotype" w:eastAsia="Palatino Linotype" w:hAnsi="Palatino Linotype" w:cs="Palatino Linotype"/>
          <w:b/>
          <w:color w:val="000000"/>
        </w:rPr>
        <w:t xml:space="preserve"> </w:t>
      </w:r>
      <w:r w:rsidR="000B66DD" w:rsidRPr="00F5374C">
        <w:rPr>
          <w:rFonts w:ascii="Palatino Linotype" w:eastAsia="Palatino Linotype" w:hAnsi="Palatino Linotype" w:cs="Palatino Linotype"/>
          <w:b/>
          <w:color w:val="000000"/>
        </w:rPr>
        <w:t>dieciocho de marzo de dos mil veintiséis</w:t>
      </w:r>
      <w:r w:rsidRPr="00F5374C">
        <w:rPr>
          <w:rFonts w:ascii="Palatino Linotype" w:eastAsia="Palatino Linotype" w:hAnsi="Palatino Linotype" w:cs="Palatino Linotype"/>
          <w:color w:val="000000"/>
        </w:rPr>
        <w:t>, el Sujeto Obligado</w:t>
      </w:r>
      <w:r w:rsidRPr="00F5374C">
        <w:rPr>
          <w:rFonts w:ascii="Palatino Linotype" w:eastAsia="Palatino Linotype" w:hAnsi="Palatino Linotype" w:cs="Palatino Linotype"/>
          <w:b/>
          <w:color w:val="000000"/>
        </w:rPr>
        <w:t>,</w:t>
      </w:r>
      <w:r w:rsidRPr="00F5374C">
        <w:rPr>
          <w:rFonts w:ascii="Palatino Linotype" w:eastAsia="Palatino Linotype" w:hAnsi="Palatino Linotype" w:cs="Palatino Linotype"/>
          <w:color w:val="000000"/>
        </w:rPr>
        <w:t xml:space="preserve"> dio </w:t>
      </w:r>
      <w:r w:rsidRPr="00F5374C">
        <w:rPr>
          <w:rFonts w:ascii="Palatino Linotype" w:eastAsia="Palatino Linotype" w:hAnsi="Palatino Linotype" w:cs="Palatino Linotype"/>
          <w:b/>
          <w:color w:val="000000"/>
        </w:rPr>
        <w:t>respuesta</w:t>
      </w:r>
      <w:r w:rsidRPr="00F5374C">
        <w:rPr>
          <w:rFonts w:ascii="Palatino Linotype" w:eastAsia="Palatino Linotype" w:hAnsi="Palatino Linotype" w:cs="Palatino Linotype"/>
          <w:color w:val="000000"/>
        </w:rPr>
        <w:t xml:space="preserve"> a través </w:t>
      </w:r>
      <w:r w:rsidR="000B66DD" w:rsidRPr="00F5374C">
        <w:rPr>
          <w:rFonts w:ascii="Palatino Linotype" w:eastAsia="Palatino Linotype" w:hAnsi="Palatino Linotype" w:cs="Palatino Linotype"/>
          <w:color w:val="000000"/>
        </w:rPr>
        <w:t>de archivo electrónico</w:t>
      </w:r>
      <w:r w:rsidRPr="00F5374C">
        <w:rPr>
          <w:rFonts w:ascii="Palatino Linotype" w:eastAsia="Palatino Linotype" w:hAnsi="Palatino Linotype" w:cs="Palatino Linotype"/>
          <w:color w:val="000000"/>
        </w:rPr>
        <w:t xml:space="preserve"> que a lo que nos atañe, medularmente contiene lo siguiente:</w:t>
      </w:r>
    </w:p>
    <w:p w:rsidR="009650D0" w:rsidRPr="00F5374C" w:rsidRDefault="009650D0" w:rsidP="009650D0">
      <w:pPr>
        <w:pBdr>
          <w:top w:val="nil"/>
          <w:left w:val="nil"/>
          <w:bottom w:val="nil"/>
          <w:right w:val="nil"/>
          <w:between w:val="nil"/>
        </w:pBdr>
        <w:tabs>
          <w:tab w:val="left" w:pos="0"/>
        </w:tabs>
        <w:spacing w:line="360" w:lineRule="auto"/>
        <w:ind w:right="-788"/>
        <w:jc w:val="both"/>
        <w:rPr>
          <w:color w:val="000000"/>
        </w:rPr>
      </w:pPr>
    </w:p>
    <w:p w:rsidR="00072332" w:rsidRPr="00F5374C" w:rsidRDefault="000B66DD" w:rsidP="00040442">
      <w:pPr>
        <w:pBdr>
          <w:top w:val="nil"/>
          <w:left w:val="nil"/>
          <w:bottom w:val="nil"/>
          <w:right w:val="nil"/>
          <w:between w:val="nil"/>
        </w:pBdr>
        <w:tabs>
          <w:tab w:val="left" w:pos="1134"/>
        </w:tabs>
        <w:ind w:left="1134" w:right="1389"/>
        <w:jc w:val="both"/>
        <w:rPr>
          <w:rFonts w:ascii="Palatino Linotype" w:eastAsia="Palatino Linotype" w:hAnsi="Palatino Linotype" w:cs="Palatino Linotype"/>
          <w:i/>
          <w:color w:val="000000"/>
        </w:rPr>
      </w:pPr>
      <w:r w:rsidRPr="00F5374C">
        <w:rPr>
          <w:rFonts w:ascii="Palatino Linotype" w:eastAsia="Palatino Linotype" w:hAnsi="Palatino Linotype" w:cs="Palatino Linotype"/>
          <w:b/>
          <w:color w:val="000000"/>
        </w:rPr>
        <w:t>RESP_SOL_054_2026.pdf</w:t>
      </w:r>
      <w:r w:rsidR="00072332" w:rsidRPr="00F5374C">
        <w:rPr>
          <w:rFonts w:ascii="Palatino Linotype" w:eastAsia="Palatino Linotype" w:hAnsi="Palatino Linotype" w:cs="Palatino Linotype"/>
          <w:b/>
          <w:color w:val="000000"/>
        </w:rPr>
        <w:t xml:space="preserve">: </w:t>
      </w:r>
      <w:r w:rsidR="00072332" w:rsidRPr="00F5374C">
        <w:rPr>
          <w:rFonts w:ascii="Palatino Linotype" w:eastAsia="Palatino Linotype" w:hAnsi="Palatino Linotype" w:cs="Palatino Linotype"/>
          <w:i/>
          <w:color w:val="000000"/>
        </w:rPr>
        <w:t xml:space="preserve">Donde </w:t>
      </w:r>
      <w:r w:rsidRPr="00F5374C">
        <w:rPr>
          <w:rFonts w:ascii="Palatino Linotype" w:eastAsia="Palatino Linotype" w:hAnsi="Palatino Linotype" w:cs="Palatino Linotype"/>
          <w:i/>
          <w:color w:val="000000"/>
        </w:rPr>
        <w:t>Director General de Simplificación y Digitalización entrega liga en formato cerrado para la consulta de la información requerida.</w:t>
      </w:r>
      <w:bookmarkStart w:id="1" w:name="_GoBack"/>
      <w:bookmarkEnd w:id="1"/>
    </w:p>
    <w:p w:rsidR="00040442" w:rsidRPr="00F5374C" w:rsidRDefault="00040442" w:rsidP="00040442">
      <w:pPr>
        <w:pBdr>
          <w:top w:val="nil"/>
          <w:left w:val="nil"/>
          <w:bottom w:val="nil"/>
          <w:right w:val="nil"/>
          <w:between w:val="nil"/>
        </w:pBdr>
        <w:tabs>
          <w:tab w:val="left" w:pos="1134"/>
        </w:tabs>
        <w:ind w:left="1134" w:right="1389"/>
        <w:jc w:val="both"/>
        <w:rPr>
          <w:rFonts w:ascii="Palatino Linotype" w:eastAsia="Palatino Linotype" w:hAnsi="Palatino Linotype" w:cs="Palatino Linotype"/>
          <w:i/>
          <w:color w:val="000000"/>
        </w:rPr>
      </w:pPr>
    </w:p>
    <w:p w:rsidR="009650D0" w:rsidRPr="00F5374C" w:rsidRDefault="009650D0" w:rsidP="009650D0">
      <w:pPr>
        <w:pBdr>
          <w:top w:val="nil"/>
          <w:left w:val="nil"/>
          <w:bottom w:val="nil"/>
          <w:right w:val="nil"/>
          <w:between w:val="nil"/>
        </w:pBdr>
        <w:tabs>
          <w:tab w:val="left" w:pos="1134"/>
        </w:tabs>
        <w:ind w:left="1134" w:right="900"/>
        <w:jc w:val="both"/>
        <w:rPr>
          <w:rFonts w:ascii="Palatino Linotype" w:eastAsia="Palatino Linotype" w:hAnsi="Palatino Linotype" w:cs="Palatino Linotype"/>
          <w:i/>
          <w:color w:val="000000"/>
        </w:rPr>
      </w:pPr>
    </w:p>
    <w:p w:rsidR="009650D0" w:rsidRPr="00F5374C" w:rsidRDefault="009650D0" w:rsidP="009650D0">
      <w:pPr>
        <w:numPr>
          <w:ilvl w:val="0"/>
          <w:numId w:val="35"/>
        </w:numPr>
        <w:pBdr>
          <w:top w:val="nil"/>
          <w:left w:val="nil"/>
          <w:bottom w:val="nil"/>
          <w:right w:val="nil"/>
          <w:between w:val="nil"/>
        </w:pBdr>
        <w:tabs>
          <w:tab w:val="left" w:pos="0"/>
        </w:tabs>
        <w:spacing w:line="360" w:lineRule="auto"/>
        <w:ind w:left="0" w:right="-787" w:firstLine="0"/>
        <w:jc w:val="both"/>
        <w:rPr>
          <w:color w:val="000000"/>
        </w:rPr>
      </w:pPr>
      <w:r w:rsidRPr="00F5374C">
        <w:rPr>
          <w:rFonts w:ascii="Palatino Linotype" w:eastAsia="Palatino Linotype" w:hAnsi="Palatino Linotype" w:cs="Palatino Linotype"/>
          <w:color w:val="000000"/>
        </w:rPr>
        <w:t>El</w:t>
      </w:r>
      <w:r w:rsidRPr="00F5374C">
        <w:rPr>
          <w:rFonts w:ascii="Palatino Linotype" w:eastAsia="Palatino Linotype" w:hAnsi="Palatino Linotype" w:cs="Palatino Linotype"/>
          <w:b/>
          <w:color w:val="000000"/>
        </w:rPr>
        <w:t xml:space="preserve"> </w:t>
      </w:r>
      <w:r w:rsidR="000B66DD" w:rsidRPr="00F5374C">
        <w:rPr>
          <w:rFonts w:ascii="Palatino Linotype" w:eastAsia="Palatino Linotype" w:hAnsi="Palatino Linotype" w:cs="Palatino Linotype"/>
          <w:b/>
          <w:color w:val="000000"/>
        </w:rPr>
        <w:t>dieciocho de marzo de dos mil veintiséis</w:t>
      </w:r>
      <w:r w:rsidRPr="00F5374C">
        <w:rPr>
          <w:rFonts w:ascii="Palatino Linotype" w:eastAsia="Palatino Linotype" w:hAnsi="Palatino Linotype" w:cs="Palatino Linotype"/>
          <w:color w:val="000000"/>
        </w:rPr>
        <w:t xml:space="preserve">, el particular interpuso el </w:t>
      </w:r>
      <w:r w:rsidRPr="00F5374C">
        <w:rPr>
          <w:rFonts w:ascii="Palatino Linotype" w:eastAsia="Palatino Linotype" w:hAnsi="Palatino Linotype" w:cs="Palatino Linotype"/>
          <w:b/>
          <w:color w:val="000000"/>
        </w:rPr>
        <w:t>recurso de revisión</w:t>
      </w:r>
      <w:r w:rsidRPr="00F5374C">
        <w:rPr>
          <w:rFonts w:ascii="Palatino Linotype" w:eastAsia="Palatino Linotype" w:hAnsi="Palatino Linotype" w:cs="Palatino Linotype"/>
          <w:color w:val="000000"/>
        </w:rPr>
        <w:t xml:space="preserve"> en contra de la respuesta otorgada por el Sujeto Obligado, realizando las siguientes manifestaciones:</w:t>
      </w:r>
    </w:p>
    <w:p w:rsidR="00F5374C" w:rsidRPr="00F5374C" w:rsidRDefault="00F5374C" w:rsidP="00F5374C">
      <w:pPr>
        <w:pBdr>
          <w:top w:val="nil"/>
          <w:left w:val="nil"/>
          <w:bottom w:val="nil"/>
          <w:right w:val="nil"/>
          <w:between w:val="nil"/>
        </w:pBdr>
        <w:tabs>
          <w:tab w:val="left" w:pos="0"/>
        </w:tabs>
        <w:spacing w:line="360" w:lineRule="auto"/>
        <w:ind w:right="-787"/>
        <w:jc w:val="both"/>
        <w:rPr>
          <w:color w:val="000000"/>
        </w:rPr>
      </w:pPr>
    </w:p>
    <w:p w:rsidR="009650D0" w:rsidRPr="00F5374C" w:rsidRDefault="009650D0" w:rsidP="00040442">
      <w:pPr>
        <w:pBdr>
          <w:top w:val="nil"/>
          <w:left w:val="nil"/>
          <w:bottom w:val="nil"/>
          <w:right w:val="nil"/>
          <w:between w:val="nil"/>
        </w:pBdr>
        <w:tabs>
          <w:tab w:val="left" w:pos="7797"/>
        </w:tabs>
        <w:ind w:left="1134" w:right="1389"/>
        <w:jc w:val="both"/>
        <w:rPr>
          <w:rFonts w:ascii="Palatino Linotype" w:eastAsia="Palatino Linotype" w:hAnsi="Palatino Linotype" w:cs="Palatino Linotype"/>
          <w:i/>
          <w:color w:val="000000"/>
        </w:rPr>
      </w:pPr>
      <w:bookmarkStart w:id="2" w:name="_heading=h.30j0zll" w:colFirst="0" w:colLast="0"/>
      <w:bookmarkEnd w:id="2"/>
      <w:r w:rsidRPr="00F5374C">
        <w:rPr>
          <w:rFonts w:ascii="Palatino Linotype" w:eastAsia="Palatino Linotype" w:hAnsi="Palatino Linotype" w:cs="Palatino Linotype"/>
          <w:b/>
          <w:color w:val="000000"/>
        </w:rPr>
        <w:t xml:space="preserve">ACTO IMPUGNADO: </w:t>
      </w:r>
    </w:p>
    <w:p w:rsidR="009650D0" w:rsidRPr="00F5374C" w:rsidRDefault="009650D0" w:rsidP="00040442">
      <w:pPr>
        <w:pBdr>
          <w:top w:val="nil"/>
          <w:left w:val="nil"/>
          <w:bottom w:val="nil"/>
          <w:right w:val="nil"/>
          <w:between w:val="nil"/>
        </w:pBdr>
        <w:tabs>
          <w:tab w:val="left" w:pos="7797"/>
        </w:tabs>
        <w:ind w:left="1134" w:right="1389"/>
        <w:jc w:val="both"/>
        <w:rPr>
          <w:rFonts w:ascii="Palatino Linotype" w:eastAsia="Palatino Linotype" w:hAnsi="Palatino Linotype" w:cs="Palatino Linotype"/>
          <w:i/>
          <w:color w:val="000000"/>
        </w:rPr>
      </w:pPr>
      <w:r w:rsidRPr="00F5374C">
        <w:rPr>
          <w:rFonts w:ascii="Palatino Linotype" w:eastAsia="Palatino Linotype" w:hAnsi="Palatino Linotype" w:cs="Palatino Linotype"/>
          <w:i/>
          <w:color w:val="000000"/>
        </w:rPr>
        <w:t>“</w:t>
      </w:r>
      <w:r w:rsidR="000B66DD" w:rsidRPr="00F5374C">
        <w:rPr>
          <w:rFonts w:ascii="Palatino Linotype" w:eastAsia="Palatino Linotype" w:hAnsi="Palatino Linotype" w:cs="Palatino Linotype"/>
          <w:i/>
          <w:color w:val="000000"/>
        </w:rPr>
        <w:t>NO ENTREGA LA INFORMACION</w:t>
      </w:r>
      <w:r w:rsidRPr="00F5374C">
        <w:rPr>
          <w:rFonts w:ascii="Palatino Linotype" w:eastAsia="Palatino Linotype" w:hAnsi="Palatino Linotype" w:cs="Palatino Linotype"/>
          <w:i/>
          <w:color w:val="000000"/>
        </w:rPr>
        <w:t>” (Sic)</w:t>
      </w:r>
    </w:p>
    <w:p w:rsidR="009650D0" w:rsidRPr="00F5374C" w:rsidRDefault="009650D0" w:rsidP="00040442">
      <w:pPr>
        <w:pBdr>
          <w:top w:val="nil"/>
          <w:left w:val="nil"/>
          <w:bottom w:val="nil"/>
          <w:right w:val="nil"/>
          <w:between w:val="nil"/>
        </w:pBdr>
        <w:tabs>
          <w:tab w:val="left" w:pos="7797"/>
        </w:tabs>
        <w:ind w:left="1134" w:right="1389"/>
        <w:jc w:val="both"/>
        <w:rPr>
          <w:rFonts w:ascii="Palatino Linotype" w:eastAsia="Palatino Linotype" w:hAnsi="Palatino Linotype" w:cs="Palatino Linotype"/>
          <w:i/>
          <w:color w:val="000000"/>
        </w:rPr>
      </w:pPr>
    </w:p>
    <w:p w:rsidR="009650D0" w:rsidRPr="00F5374C" w:rsidRDefault="009650D0" w:rsidP="00040442">
      <w:pPr>
        <w:pBdr>
          <w:top w:val="nil"/>
          <w:left w:val="nil"/>
          <w:bottom w:val="nil"/>
          <w:right w:val="nil"/>
          <w:between w:val="nil"/>
        </w:pBdr>
        <w:tabs>
          <w:tab w:val="left" w:pos="7797"/>
        </w:tabs>
        <w:ind w:left="1134" w:right="1389"/>
        <w:jc w:val="both"/>
        <w:rPr>
          <w:rFonts w:ascii="Palatino Linotype" w:eastAsia="Palatino Linotype" w:hAnsi="Palatino Linotype" w:cs="Palatino Linotype"/>
          <w:i/>
          <w:color w:val="000000"/>
        </w:rPr>
      </w:pPr>
      <w:bookmarkStart w:id="3" w:name="_heading=h.1fob9te" w:colFirst="0" w:colLast="0"/>
      <w:bookmarkEnd w:id="3"/>
      <w:r w:rsidRPr="00F5374C">
        <w:rPr>
          <w:rFonts w:ascii="Palatino Linotype" w:eastAsia="Palatino Linotype" w:hAnsi="Palatino Linotype" w:cs="Palatino Linotype"/>
          <w:b/>
          <w:color w:val="000000"/>
        </w:rPr>
        <w:t>RAZONES O MOTIVOS DE INCONFORMIDAD:</w:t>
      </w:r>
    </w:p>
    <w:p w:rsidR="009650D0" w:rsidRPr="00F5374C" w:rsidRDefault="009650D0" w:rsidP="00040442">
      <w:pPr>
        <w:pBdr>
          <w:top w:val="nil"/>
          <w:left w:val="nil"/>
          <w:bottom w:val="nil"/>
          <w:right w:val="nil"/>
          <w:between w:val="nil"/>
        </w:pBdr>
        <w:ind w:left="1134" w:right="1389"/>
        <w:jc w:val="both"/>
        <w:rPr>
          <w:rFonts w:ascii="Palatino Linotype" w:eastAsia="Palatino Linotype" w:hAnsi="Palatino Linotype" w:cs="Palatino Linotype"/>
          <w:i/>
          <w:color w:val="000000"/>
        </w:rPr>
      </w:pPr>
      <w:r w:rsidRPr="00F5374C">
        <w:rPr>
          <w:rFonts w:ascii="Palatino Linotype" w:eastAsia="Palatino Linotype" w:hAnsi="Palatino Linotype" w:cs="Palatino Linotype"/>
          <w:i/>
          <w:color w:val="000000"/>
        </w:rPr>
        <w:t>“</w:t>
      </w:r>
      <w:r w:rsidR="000B66DD" w:rsidRPr="00F5374C">
        <w:rPr>
          <w:rFonts w:ascii="Palatino Linotype" w:eastAsia="Palatino Linotype" w:hAnsi="Palatino Linotype" w:cs="Palatino Linotype"/>
          <w:i/>
          <w:color w:val="000000"/>
        </w:rPr>
        <w:t>LA INFORMACION FUE SOLICITADA A LA LIC. DIANA VILCHIS SECRETARIA DEL AYUNTAMIENTO, TODA VEZ QUE UNA DE SUS FACULTADES ES PREPARAR LOS CABILDOS CON CADA UNO DE SUS ANEXOS, Y FUE EN SESION DE CABILDO CUANDO SE APROBARON LOS MANUALES, SIN EMBARGO EN LA TRANSMICIÓN SE APRUEGA EN LO GENERAL, SIN VISUALIZAR LOS ANEXOS O QUE SE ESTA APROBANDO, LO QUE OCAPA LA TRASPERENCIA Y EL BUEN EJERCICIO DE GOBIERNO SU CHINGAO 4T, ASI MISMO EL SUGETO OBLIGADO FUE OMISO AL TURNAR ESTA INFORMACION A LA SECRETARIA DEL AYUNTAMIENTO, YA QUE QUIEN CONSTESTA ES EL MAESTRO PEDRO, DESDE LA PREPA</w:t>
      </w:r>
      <w:r w:rsidRPr="00F5374C">
        <w:rPr>
          <w:rFonts w:ascii="Palatino Linotype" w:eastAsia="Palatino Linotype" w:hAnsi="Palatino Linotype" w:cs="Palatino Linotype"/>
          <w:i/>
          <w:color w:val="000000"/>
        </w:rPr>
        <w:t>” (Sic)</w:t>
      </w:r>
    </w:p>
    <w:p w:rsidR="009650D0" w:rsidRPr="00F5374C" w:rsidRDefault="009650D0" w:rsidP="009650D0">
      <w:pPr>
        <w:pBdr>
          <w:top w:val="nil"/>
          <w:left w:val="nil"/>
          <w:bottom w:val="nil"/>
          <w:right w:val="nil"/>
          <w:between w:val="nil"/>
        </w:pBdr>
        <w:ind w:left="567" w:right="-518"/>
        <w:jc w:val="both"/>
        <w:rPr>
          <w:rFonts w:ascii="Palatino Linotype" w:eastAsia="Palatino Linotype" w:hAnsi="Palatino Linotype" w:cs="Palatino Linotype"/>
          <w:i/>
          <w:color w:val="000000"/>
        </w:rPr>
      </w:pPr>
    </w:p>
    <w:p w:rsidR="009650D0" w:rsidRPr="00F5374C" w:rsidRDefault="009650D0" w:rsidP="009650D0">
      <w:pPr>
        <w:numPr>
          <w:ilvl w:val="0"/>
          <w:numId w:val="35"/>
        </w:numPr>
        <w:pBdr>
          <w:top w:val="nil"/>
          <w:left w:val="nil"/>
          <w:bottom w:val="nil"/>
          <w:right w:val="nil"/>
          <w:between w:val="nil"/>
        </w:pBdr>
        <w:tabs>
          <w:tab w:val="left" w:pos="0"/>
        </w:tabs>
        <w:spacing w:line="360" w:lineRule="auto"/>
        <w:ind w:left="0" w:right="-787" w:firstLine="0"/>
        <w:jc w:val="both"/>
        <w:rPr>
          <w:color w:val="000000"/>
        </w:rPr>
      </w:pPr>
      <w:r w:rsidRPr="00F5374C">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F5374C">
        <w:rPr>
          <w:rFonts w:ascii="Palatino Linotype" w:eastAsia="Palatino Linotype" w:hAnsi="Palatino Linotype" w:cs="Palatino Linotype"/>
          <w:b/>
          <w:color w:val="000000"/>
        </w:rPr>
        <w:t xml:space="preserve">acuerdo de admisión </w:t>
      </w:r>
      <w:r w:rsidRPr="00F5374C">
        <w:rPr>
          <w:rFonts w:ascii="Palatino Linotype" w:eastAsia="Palatino Linotype" w:hAnsi="Palatino Linotype" w:cs="Palatino Linotype"/>
          <w:color w:val="000000"/>
        </w:rPr>
        <w:t xml:space="preserve">de fecha </w:t>
      </w:r>
      <w:r w:rsidR="000B66DD" w:rsidRPr="00F5374C">
        <w:rPr>
          <w:rFonts w:ascii="Palatino Linotype" w:eastAsia="Palatino Linotype" w:hAnsi="Palatino Linotype" w:cs="Palatino Linotype"/>
          <w:b/>
          <w:color w:val="000000"/>
        </w:rPr>
        <w:t>veintitrés de marzo de dos mil veintiséis</w:t>
      </w:r>
      <w:r w:rsidRPr="00F5374C">
        <w:rPr>
          <w:rFonts w:ascii="Palatino Linotype" w:eastAsia="Palatino Linotype" w:hAnsi="Palatino Linotype" w:cs="Palatino Linotype"/>
          <w:b/>
          <w:color w:val="000000"/>
        </w:rPr>
        <w:t xml:space="preserve">, </w:t>
      </w:r>
      <w:r w:rsidRPr="00F5374C">
        <w:rPr>
          <w:rFonts w:ascii="Palatino Linotype" w:eastAsia="Palatino Linotype" w:hAnsi="Palatino Linotype" w:cs="Palatino Linotype"/>
          <w:color w:val="000000"/>
        </w:rPr>
        <w:t xml:space="preserve">puso a disposición de las partes el expediente electrónico vía SAIMEX a efecto de </w:t>
      </w:r>
      <w:r w:rsidRPr="00F5374C">
        <w:rPr>
          <w:rFonts w:ascii="Palatino Linotype" w:eastAsia="Palatino Linotype" w:hAnsi="Palatino Linotype" w:cs="Palatino Linotype"/>
          <w:color w:val="000000"/>
        </w:rPr>
        <w:lastRenderedPageBreak/>
        <w:t xml:space="preserve">que en un plazo máximo de siete días </w:t>
      </w:r>
      <w:r w:rsidRPr="00F5374C">
        <w:rPr>
          <w:rFonts w:ascii="Palatino Linotype" w:eastAsia="Palatino Linotype" w:hAnsi="Palatino Linotype" w:cs="Palatino Linotype"/>
        </w:rPr>
        <w:t>manifestara</w:t>
      </w:r>
      <w:r w:rsidRPr="00F5374C">
        <w:rPr>
          <w:rFonts w:ascii="Palatino Linotype" w:eastAsia="Palatino Linotype" w:hAnsi="Palatino Linotype" w:cs="Palatino Linotype"/>
          <w:color w:val="000000"/>
        </w:rPr>
        <w:t xml:space="preserve"> lo que a su derecho conviniera, </w:t>
      </w:r>
      <w:r w:rsidRPr="00F5374C">
        <w:rPr>
          <w:rFonts w:ascii="Palatino Linotype" w:eastAsia="Palatino Linotype" w:hAnsi="Palatino Linotype" w:cs="Palatino Linotype"/>
        </w:rPr>
        <w:t>ofreciera</w:t>
      </w:r>
      <w:r w:rsidRPr="00F5374C">
        <w:rPr>
          <w:rFonts w:ascii="Palatino Linotype" w:eastAsia="Palatino Linotype" w:hAnsi="Palatino Linotype" w:cs="Palatino Linotype"/>
          <w:color w:val="000000"/>
        </w:rPr>
        <w:t xml:space="preserve"> pruebas y alegatos según corresponda al caso concreto, de esta forma para que el </w:t>
      </w:r>
      <w:r w:rsidRPr="00F5374C">
        <w:rPr>
          <w:rFonts w:ascii="Palatino Linotype" w:eastAsia="Palatino Linotype" w:hAnsi="Palatino Linotype" w:cs="Palatino Linotype"/>
          <w:b/>
          <w:color w:val="000000"/>
        </w:rPr>
        <w:t xml:space="preserve">SUJETO OBLIGADO </w:t>
      </w:r>
      <w:r w:rsidRPr="00F5374C">
        <w:rPr>
          <w:rFonts w:ascii="Palatino Linotype" w:eastAsia="Palatino Linotype" w:hAnsi="Palatino Linotype" w:cs="Palatino Linotype"/>
        </w:rPr>
        <w:t>presentará</w:t>
      </w:r>
      <w:r w:rsidRPr="00F5374C">
        <w:rPr>
          <w:rFonts w:ascii="Palatino Linotype" w:eastAsia="Palatino Linotype" w:hAnsi="Palatino Linotype" w:cs="Palatino Linotype"/>
          <w:color w:val="000000"/>
        </w:rPr>
        <w:t xml:space="preserve"> el Informe Justificado procedente.</w:t>
      </w:r>
    </w:p>
    <w:p w:rsidR="009650D0" w:rsidRPr="00F5374C" w:rsidRDefault="009650D0" w:rsidP="009650D0">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9650D0" w:rsidRPr="00F5374C" w:rsidRDefault="009650D0" w:rsidP="009650D0">
      <w:pPr>
        <w:pStyle w:val="Prrafodelista"/>
        <w:numPr>
          <w:ilvl w:val="0"/>
          <w:numId w:val="35"/>
        </w:numPr>
        <w:tabs>
          <w:tab w:val="left" w:pos="426"/>
        </w:tabs>
        <w:spacing w:line="360" w:lineRule="auto"/>
        <w:ind w:left="0" w:right="-801" w:firstLine="0"/>
        <w:jc w:val="both"/>
        <w:rPr>
          <w:rFonts w:ascii="Palatino Linotype" w:eastAsia="Calibri" w:hAnsi="Palatino Linotype" w:cs="Arial"/>
          <w:color w:val="000000" w:themeColor="text1"/>
          <w:sz w:val="24"/>
        </w:rPr>
      </w:pPr>
      <w:r w:rsidRPr="00F5374C">
        <w:rPr>
          <w:rFonts w:ascii="Palatino Linotype" w:eastAsia="Calibri" w:hAnsi="Palatino Linotype" w:cs="Arial"/>
          <w:color w:val="000000" w:themeColor="text1"/>
          <w:sz w:val="24"/>
        </w:rPr>
        <w:t xml:space="preserve">En fecha </w:t>
      </w:r>
      <w:r w:rsidR="000B66DD" w:rsidRPr="00F5374C">
        <w:rPr>
          <w:rFonts w:ascii="Palatino Linotype" w:eastAsia="Calibri" w:hAnsi="Palatino Linotype" w:cs="Arial"/>
          <w:b/>
          <w:color w:val="000000" w:themeColor="text1"/>
          <w:sz w:val="24"/>
        </w:rPr>
        <w:t>veintiséis de marzo de dos mil veintiséis</w:t>
      </w:r>
      <w:r w:rsidRPr="00F5374C">
        <w:rPr>
          <w:rFonts w:ascii="Palatino Linotype" w:eastAsia="Calibri" w:hAnsi="Palatino Linotype" w:cs="Arial"/>
          <w:color w:val="000000" w:themeColor="text1"/>
          <w:sz w:val="24"/>
        </w:rPr>
        <w:t xml:space="preserve"> el </w:t>
      </w:r>
      <w:r w:rsidRPr="00F5374C">
        <w:rPr>
          <w:rFonts w:ascii="Palatino Linotype" w:eastAsia="Calibri" w:hAnsi="Palatino Linotype" w:cs="Arial"/>
          <w:b/>
          <w:bCs/>
          <w:color w:val="000000" w:themeColor="text1"/>
          <w:sz w:val="24"/>
        </w:rPr>
        <w:t xml:space="preserve">SUJETO OBLIGADO </w:t>
      </w:r>
      <w:r w:rsidRPr="00F5374C">
        <w:rPr>
          <w:rFonts w:ascii="Palatino Linotype" w:eastAsia="Calibri" w:hAnsi="Palatino Linotype" w:cs="Arial"/>
          <w:color w:val="000000" w:themeColor="text1"/>
          <w:sz w:val="24"/>
        </w:rPr>
        <w:t xml:space="preserve">al rendir el informe justificado correspondiente presentó dos archivos electrónicos en formato pdf que </w:t>
      </w:r>
      <w:r w:rsidR="00820C77" w:rsidRPr="00F5374C">
        <w:rPr>
          <w:rFonts w:ascii="Palatino Linotype" w:eastAsia="Calibri" w:hAnsi="Palatino Linotype" w:cs="Arial"/>
          <w:color w:val="000000" w:themeColor="text1"/>
          <w:sz w:val="24"/>
        </w:rPr>
        <w:t xml:space="preserve">fueron puestos a la vista del Recurrente en fecha </w:t>
      </w:r>
      <w:r w:rsidR="008874A2" w:rsidRPr="00F5374C">
        <w:rPr>
          <w:rFonts w:ascii="Palatino Linotype" w:eastAsia="Calibri" w:hAnsi="Palatino Linotype" w:cs="Arial"/>
          <w:color w:val="000000" w:themeColor="text1"/>
          <w:sz w:val="24"/>
        </w:rPr>
        <w:t>cinco de marzo</w:t>
      </w:r>
      <w:r w:rsidR="00820C77" w:rsidRPr="00F5374C">
        <w:rPr>
          <w:rFonts w:ascii="Palatino Linotype" w:eastAsia="Calibri" w:hAnsi="Palatino Linotype" w:cs="Arial"/>
          <w:color w:val="000000" w:themeColor="text1"/>
          <w:sz w:val="24"/>
        </w:rPr>
        <w:t xml:space="preserve"> de dos mil veinticinco y </w:t>
      </w:r>
      <w:r w:rsidRPr="00F5374C">
        <w:rPr>
          <w:rFonts w:ascii="Palatino Linotype" w:eastAsia="Calibri" w:hAnsi="Palatino Linotype" w:cs="Arial"/>
          <w:color w:val="000000" w:themeColor="text1"/>
          <w:sz w:val="24"/>
        </w:rPr>
        <w:t>contienen lo que a continuación se desglosa:</w:t>
      </w:r>
    </w:p>
    <w:p w:rsidR="009650D0" w:rsidRPr="00F5374C" w:rsidRDefault="000B66DD" w:rsidP="009650D0">
      <w:pPr>
        <w:pStyle w:val="Prrafodelista"/>
        <w:ind w:left="1134" w:right="900"/>
        <w:rPr>
          <w:rFonts w:ascii="Palatino Linotype" w:eastAsia="Calibri" w:hAnsi="Palatino Linotype" w:cs="Arial"/>
          <w:b/>
          <w:color w:val="000000" w:themeColor="text1"/>
          <w:sz w:val="24"/>
        </w:rPr>
      </w:pPr>
      <w:r w:rsidRPr="00F5374C">
        <w:rPr>
          <w:rFonts w:ascii="Palatino Linotype" w:eastAsia="Calibri" w:hAnsi="Palatino Linotype" w:cs="Arial"/>
          <w:b/>
          <w:color w:val="000000" w:themeColor="text1"/>
          <w:sz w:val="24"/>
        </w:rPr>
        <w:t>IF_RR 03353_SOL54_2026.pdf</w:t>
      </w:r>
      <w:r w:rsidR="009650D0" w:rsidRPr="00F5374C">
        <w:rPr>
          <w:rFonts w:ascii="Palatino Linotype" w:eastAsia="Calibri" w:hAnsi="Palatino Linotype" w:cs="Arial"/>
          <w:b/>
          <w:color w:val="000000" w:themeColor="text1"/>
          <w:sz w:val="24"/>
        </w:rPr>
        <w:t>:</w:t>
      </w:r>
    </w:p>
    <w:p w:rsidR="009650D0" w:rsidRPr="00F5374C" w:rsidRDefault="000B66DD" w:rsidP="008874A2">
      <w:pPr>
        <w:tabs>
          <w:tab w:val="left" w:pos="426"/>
        </w:tabs>
        <w:ind w:left="1134" w:right="900"/>
        <w:jc w:val="both"/>
        <w:rPr>
          <w:rFonts w:ascii="Palatino Linotype" w:eastAsia="Calibri" w:hAnsi="Palatino Linotype" w:cs="Arial"/>
          <w:b/>
          <w:color w:val="000000" w:themeColor="text1"/>
        </w:rPr>
      </w:pPr>
      <w:r w:rsidRPr="00F5374C">
        <w:rPr>
          <w:rFonts w:ascii="Palatino Linotype" w:eastAsia="Calibri" w:hAnsi="Palatino Linotype" w:cs="Arial"/>
          <w:i/>
          <w:color w:val="000000" w:themeColor="text1"/>
        </w:rPr>
        <w:t>Donde la Titular de la Unidad de Transparencia rinde su Informe Justificado ratificando su respuesta primigenia.</w:t>
      </w:r>
      <w:r w:rsidR="009650D0" w:rsidRPr="00F5374C">
        <w:rPr>
          <w:rFonts w:ascii="Palatino Linotype" w:eastAsia="Calibri" w:hAnsi="Palatino Linotype" w:cs="Arial"/>
          <w:b/>
          <w:color w:val="000000" w:themeColor="text1"/>
        </w:rPr>
        <w:tab/>
      </w:r>
    </w:p>
    <w:p w:rsidR="000B66DD" w:rsidRPr="00F5374C" w:rsidRDefault="000B66DD" w:rsidP="008874A2">
      <w:pPr>
        <w:tabs>
          <w:tab w:val="left" w:pos="426"/>
        </w:tabs>
        <w:ind w:left="1134" w:right="900"/>
        <w:jc w:val="both"/>
        <w:rPr>
          <w:rFonts w:ascii="Palatino Linotype" w:eastAsia="Calibri" w:hAnsi="Palatino Linotype" w:cs="Arial"/>
          <w:b/>
          <w:color w:val="000000" w:themeColor="text1"/>
        </w:rPr>
      </w:pPr>
    </w:p>
    <w:p w:rsidR="009650D0" w:rsidRPr="00F5374C" w:rsidRDefault="000B66DD" w:rsidP="000B66DD">
      <w:pPr>
        <w:tabs>
          <w:tab w:val="left" w:pos="426"/>
        </w:tabs>
        <w:spacing w:line="360" w:lineRule="auto"/>
        <w:ind w:right="-801"/>
        <w:jc w:val="both"/>
        <w:rPr>
          <w:rFonts w:ascii="Palatino Linotype" w:eastAsia="Calibri" w:hAnsi="Palatino Linotype" w:cs="Arial"/>
          <w:color w:val="000000" w:themeColor="text1"/>
        </w:rPr>
      </w:pPr>
      <w:r w:rsidRPr="00F5374C">
        <w:rPr>
          <w:rFonts w:ascii="Palatino Linotype" w:eastAsia="Calibri" w:hAnsi="Palatino Linotype" w:cs="Arial"/>
          <w:color w:val="000000" w:themeColor="text1"/>
        </w:rPr>
        <w:t xml:space="preserve">Así mismo anexa liga </w:t>
      </w:r>
      <w:hyperlink r:id="rId9" w:anchor="municipales" w:history="1">
        <w:r w:rsidRPr="00F5374C">
          <w:rPr>
            <w:rStyle w:val="Hipervnculo"/>
            <w:rFonts w:ascii="Palatino Linotype" w:eastAsia="Calibri" w:hAnsi="Palatino Linotype" w:cs="Arial"/>
          </w:rPr>
          <w:t>https://www.ixtlahuaca.gob.mx/index.php/mejora-regulatoria/catalogo-mpal-de-regulaciones#municipales</w:t>
        </w:r>
      </w:hyperlink>
      <w:r w:rsidRPr="00F5374C">
        <w:rPr>
          <w:rFonts w:ascii="Palatino Linotype" w:eastAsia="Calibri" w:hAnsi="Palatino Linotype" w:cs="Arial"/>
          <w:color w:val="000000" w:themeColor="text1"/>
        </w:rPr>
        <w:t xml:space="preserve">   para consulta en formato abierto.</w:t>
      </w:r>
    </w:p>
    <w:p w:rsidR="000B66DD" w:rsidRPr="00F5374C" w:rsidRDefault="000B66DD" w:rsidP="000B66DD">
      <w:pPr>
        <w:tabs>
          <w:tab w:val="left" w:pos="426"/>
        </w:tabs>
        <w:spacing w:line="360" w:lineRule="auto"/>
        <w:ind w:right="-801"/>
        <w:jc w:val="both"/>
        <w:rPr>
          <w:rFonts w:ascii="Palatino Linotype" w:eastAsia="Calibri" w:hAnsi="Palatino Linotype" w:cs="Arial"/>
          <w:color w:val="000000" w:themeColor="text1"/>
        </w:rPr>
      </w:pPr>
    </w:p>
    <w:p w:rsidR="009650D0" w:rsidRPr="00F5374C" w:rsidRDefault="009650D0" w:rsidP="00F5374C">
      <w:pPr>
        <w:pStyle w:val="Prrafodelista"/>
        <w:numPr>
          <w:ilvl w:val="0"/>
          <w:numId w:val="26"/>
        </w:numPr>
        <w:spacing w:line="360" w:lineRule="auto"/>
        <w:ind w:left="0" w:right="-801" w:firstLine="0"/>
        <w:jc w:val="both"/>
        <w:rPr>
          <w:rFonts w:ascii="Palatino Linotype" w:eastAsia="Calibri" w:hAnsi="Palatino Linotype" w:cs="Arial"/>
          <w:color w:val="000000" w:themeColor="text1"/>
          <w:sz w:val="24"/>
        </w:rPr>
      </w:pPr>
      <w:r w:rsidRPr="00F5374C">
        <w:rPr>
          <w:rFonts w:ascii="Palatino Linotype" w:eastAsia="Calibri" w:hAnsi="Palatino Linotype" w:cs="Arial"/>
          <w:color w:val="000000" w:themeColor="text1"/>
          <w:sz w:val="24"/>
        </w:rPr>
        <w:t xml:space="preserve">Por su parte, el </w:t>
      </w:r>
      <w:r w:rsidRPr="00F5374C">
        <w:rPr>
          <w:rFonts w:ascii="Palatino Linotype" w:eastAsia="Calibri" w:hAnsi="Palatino Linotype" w:cs="Arial"/>
          <w:b/>
          <w:color w:val="000000" w:themeColor="text1"/>
          <w:sz w:val="24"/>
        </w:rPr>
        <w:t>RECURRENTE</w:t>
      </w:r>
      <w:r w:rsidRPr="00F5374C">
        <w:rPr>
          <w:rFonts w:ascii="Palatino Linotype" w:eastAsia="Calibri" w:hAnsi="Palatino Linotype" w:cs="Arial"/>
          <w:color w:val="000000" w:themeColor="text1"/>
          <w:sz w:val="24"/>
        </w:rPr>
        <w:t xml:space="preserve"> no realizó manifestaciones que a su derecho convinieran y asistieran.</w:t>
      </w:r>
    </w:p>
    <w:p w:rsidR="000B66DD" w:rsidRPr="00F5374C" w:rsidRDefault="000B66DD" w:rsidP="000B66DD">
      <w:pPr>
        <w:tabs>
          <w:tab w:val="left" w:pos="426"/>
        </w:tabs>
        <w:spacing w:line="360" w:lineRule="auto"/>
        <w:ind w:right="-801"/>
        <w:jc w:val="both"/>
        <w:rPr>
          <w:rFonts w:ascii="Palatino Linotype" w:eastAsia="Calibri" w:hAnsi="Palatino Linotype" w:cs="Arial"/>
          <w:color w:val="000000" w:themeColor="text1"/>
        </w:rPr>
      </w:pPr>
    </w:p>
    <w:p w:rsidR="009650D0" w:rsidRPr="00F5374C" w:rsidRDefault="009650D0" w:rsidP="000B66DD">
      <w:pPr>
        <w:pStyle w:val="Prrafodelista"/>
        <w:numPr>
          <w:ilvl w:val="0"/>
          <w:numId w:val="26"/>
        </w:numPr>
        <w:spacing w:line="360" w:lineRule="auto"/>
        <w:ind w:left="0" w:right="-801" w:firstLine="0"/>
        <w:contextualSpacing w:val="0"/>
        <w:jc w:val="both"/>
        <w:rPr>
          <w:rFonts w:ascii="Palatino Linotype" w:hAnsi="Palatino Linotype"/>
          <w:b/>
          <w:color w:val="000000" w:themeColor="text1"/>
          <w:sz w:val="24"/>
        </w:rPr>
      </w:pPr>
      <w:r w:rsidRPr="00F5374C">
        <w:rPr>
          <w:rFonts w:ascii="Palatino Linotype" w:hAnsi="Palatino Linotype"/>
          <w:sz w:val="24"/>
        </w:rPr>
        <w:t xml:space="preserve">En </w:t>
      </w:r>
      <w:r w:rsidRPr="00F5374C">
        <w:rPr>
          <w:rFonts w:ascii="Palatino Linotype" w:hAnsi="Palatino Linotype"/>
          <w:b/>
          <w:sz w:val="24"/>
        </w:rPr>
        <w:t xml:space="preserve">fecha </w:t>
      </w:r>
      <w:r w:rsidR="000B66DD" w:rsidRPr="00F5374C">
        <w:rPr>
          <w:rFonts w:ascii="Palatino Linotype" w:hAnsi="Palatino Linotype"/>
          <w:b/>
          <w:sz w:val="24"/>
        </w:rPr>
        <w:t>once de mayo</w:t>
      </w:r>
      <w:r w:rsidRPr="00F5374C">
        <w:rPr>
          <w:rFonts w:ascii="Palatino Linotype" w:hAnsi="Palatino Linotype"/>
          <w:b/>
          <w:sz w:val="24"/>
        </w:rPr>
        <w:t xml:space="preserve"> de dos mil veintiséis</w:t>
      </w:r>
      <w:r w:rsidRPr="00F5374C">
        <w:rPr>
          <w:rFonts w:ascii="Palatino Linotype" w:hAnsi="Palatino Linotype"/>
          <w:sz w:val="24"/>
        </w:rPr>
        <w:t>, se acordó ampliar el término para resolver el presente asunto.</w:t>
      </w:r>
    </w:p>
    <w:p w:rsidR="009650D0" w:rsidRPr="00F5374C" w:rsidRDefault="009650D0" w:rsidP="009650D0">
      <w:pPr>
        <w:pStyle w:val="Prrafodelista"/>
        <w:ind w:right="-801"/>
        <w:rPr>
          <w:rFonts w:ascii="Palatino Linotype" w:hAnsi="Palatino Linotype"/>
          <w:b/>
          <w:color w:val="000000" w:themeColor="text1"/>
          <w:sz w:val="24"/>
        </w:rPr>
      </w:pPr>
    </w:p>
    <w:p w:rsidR="009650D0" w:rsidRPr="00F5374C" w:rsidRDefault="009650D0" w:rsidP="009650D0">
      <w:pPr>
        <w:numPr>
          <w:ilvl w:val="0"/>
          <w:numId w:val="26"/>
        </w:numPr>
        <w:pBdr>
          <w:top w:val="nil"/>
          <w:left w:val="nil"/>
          <w:bottom w:val="nil"/>
          <w:right w:val="nil"/>
          <w:between w:val="nil"/>
        </w:pBdr>
        <w:spacing w:line="360" w:lineRule="auto"/>
        <w:ind w:left="0" w:right="-801" w:firstLine="0"/>
        <w:jc w:val="both"/>
        <w:rPr>
          <w:rFonts w:ascii="Palatino Linotype" w:hAnsi="Palatino Linotype"/>
          <w:color w:val="000000"/>
        </w:rPr>
      </w:pPr>
      <w:r w:rsidRPr="00F5374C">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9650D0" w:rsidRPr="00F5374C" w:rsidRDefault="009650D0" w:rsidP="00F5374C">
      <w:pPr>
        <w:pStyle w:val="Prrafodelista"/>
        <w:numPr>
          <w:ilvl w:val="0"/>
          <w:numId w:val="26"/>
        </w:numPr>
        <w:spacing w:line="360" w:lineRule="auto"/>
        <w:ind w:left="0" w:right="-801" w:firstLine="0"/>
        <w:jc w:val="both"/>
        <w:rPr>
          <w:rFonts w:ascii="Palatino Linotype" w:eastAsia="Palatino Linotype" w:hAnsi="Palatino Linotype" w:cs="Palatino Linotype"/>
          <w:sz w:val="24"/>
        </w:rPr>
      </w:pPr>
      <w:r w:rsidRPr="00F5374C">
        <w:rPr>
          <w:rFonts w:ascii="Palatino Linotype" w:eastAsia="Palatino Linotype" w:hAnsi="Palatino Linotype" w:cs="Palatino Linotype"/>
          <w:sz w:val="24"/>
        </w:rPr>
        <w:lastRenderedPageBreak/>
        <w:t xml:space="preserve">La Comisionada Ponente decretó el cierre de instrucción mediante el acuerdo del </w:t>
      </w:r>
      <w:r w:rsidR="00825B39" w:rsidRPr="00F5374C">
        <w:rPr>
          <w:rFonts w:ascii="Palatino Linotype" w:eastAsia="Palatino Linotype" w:hAnsi="Palatino Linotype" w:cs="Palatino Linotype"/>
          <w:b/>
          <w:sz w:val="24"/>
        </w:rPr>
        <w:t>veinte de mayo</w:t>
      </w:r>
      <w:r w:rsidRPr="00F5374C">
        <w:rPr>
          <w:rFonts w:ascii="Palatino Linotype" w:eastAsia="Palatino Linotype" w:hAnsi="Palatino Linotype" w:cs="Palatino Linotype"/>
          <w:b/>
          <w:sz w:val="24"/>
        </w:rPr>
        <w:t xml:space="preserve"> de dos mil veintiséis; </w:t>
      </w:r>
      <w:r w:rsidRPr="00F5374C">
        <w:rPr>
          <w:rFonts w:ascii="Palatino Linotype" w:eastAsia="Palatino Linotype" w:hAnsi="Palatino Linotype" w:cs="Palatino Linotype"/>
          <w:sz w:val="24"/>
        </w:rPr>
        <w:t xml:space="preserve">por lo que en virtud de que el expediente electrónico ha sido debidamente substanciado y no existe diligencia pendiente de desahogo, se procede a emitir la presente resolución que conforme a Derecho corresponda y </w:t>
      </w:r>
    </w:p>
    <w:p w:rsidR="00F4095B" w:rsidRPr="00F5374C" w:rsidRDefault="00F4095B" w:rsidP="00F4095B">
      <w:pPr>
        <w:spacing w:before="600" w:after="600" w:line="276" w:lineRule="auto"/>
        <w:jc w:val="center"/>
        <w:rPr>
          <w:rFonts w:ascii="Palatino Linotype" w:hAnsi="Palatino Linotype" w:cs="Arial"/>
          <w:b/>
          <w:bCs/>
          <w:spacing w:val="60"/>
        </w:rPr>
      </w:pPr>
      <w:r w:rsidRPr="00F5374C">
        <w:rPr>
          <w:rFonts w:ascii="Palatino Linotype" w:hAnsi="Palatino Linotype" w:cs="Arial"/>
          <w:b/>
          <w:bCs/>
          <w:spacing w:val="60"/>
        </w:rPr>
        <w:t>CONSIDERANDO</w:t>
      </w:r>
    </w:p>
    <w:p w:rsidR="00F4095B" w:rsidRPr="00F5374C" w:rsidRDefault="00F4095B" w:rsidP="00861857">
      <w:pPr>
        <w:widowControl w:val="0"/>
        <w:numPr>
          <w:ilvl w:val="0"/>
          <w:numId w:val="4"/>
        </w:numPr>
        <w:tabs>
          <w:tab w:val="left" w:pos="1701"/>
        </w:tabs>
        <w:autoSpaceDE w:val="0"/>
        <w:autoSpaceDN w:val="0"/>
        <w:adjustRightInd w:val="0"/>
        <w:spacing w:before="100" w:beforeAutospacing="1" w:line="360" w:lineRule="auto"/>
        <w:ind w:left="0" w:firstLine="0"/>
        <w:jc w:val="both"/>
        <w:rPr>
          <w:rFonts w:ascii="Palatino Linotype" w:hAnsi="Palatino Linotype" w:cs="Arial"/>
        </w:rPr>
      </w:pPr>
      <w:r w:rsidRPr="00F5374C">
        <w:rPr>
          <w:rFonts w:ascii="Palatino Linotype" w:hAnsi="Palatino Linotype"/>
          <w:b/>
        </w:rPr>
        <w:t>De la Competencia</w:t>
      </w:r>
      <w:r w:rsidRPr="00F5374C">
        <w:rPr>
          <w:rFonts w:ascii="Palatino Linotype" w:hAnsi="Palatino Linotype"/>
        </w:rPr>
        <w:t>.</w:t>
      </w:r>
      <w:r w:rsidRPr="00F5374C">
        <w:rPr>
          <w:rFonts w:ascii="Palatino Linotype" w:hAnsi="Palatino Linotype"/>
          <w:b/>
        </w:rPr>
        <w:t xml:space="preserve"> </w:t>
      </w:r>
    </w:p>
    <w:p w:rsidR="00B249F5" w:rsidRPr="00F5374C" w:rsidRDefault="00B249F5" w:rsidP="00F5374C">
      <w:pPr>
        <w:pStyle w:val="Prrafodelista"/>
        <w:numPr>
          <w:ilvl w:val="0"/>
          <w:numId w:val="26"/>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sz w:val="24"/>
        </w:rPr>
      </w:pPr>
      <w:r w:rsidRPr="00F5374C">
        <w:rPr>
          <w:rFonts w:ascii="Palatino Linotype" w:eastAsia="Palatino Linotype" w:hAnsi="Palatino Linotype" w:cs="Palatino Linotype"/>
          <w:color w:val="000000"/>
          <w:sz w:val="24"/>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 II, III, IV y V de la Constitución Política del Estado Libre y Soberano de México; 1°, 8°, 9°, 10, 37 y 42, fracciones I, II y III, de la Ley General de Transparencia y Acceso a la Información Pública vigente a la fecha de la solicitud de información;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rsidR="00F4095B" w:rsidRPr="00F5374C" w:rsidRDefault="00F4095B" w:rsidP="00F4095B">
      <w:pPr>
        <w:spacing w:line="360" w:lineRule="auto"/>
        <w:ind w:right="-28"/>
        <w:jc w:val="both"/>
        <w:rPr>
          <w:rFonts w:ascii="Palatino Linotype" w:eastAsia="Palatino Linotype" w:hAnsi="Palatino Linotype" w:cs="Palatino Linotype"/>
        </w:rPr>
      </w:pPr>
    </w:p>
    <w:p w:rsidR="00F4095B" w:rsidRPr="00F5374C" w:rsidRDefault="00F4095B" w:rsidP="00F4095B">
      <w:pPr>
        <w:pStyle w:val="Ttulo2"/>
        <w:spacing w:before="0" w:line="360" w:lineRule="auto"/>
        <w:rPr>
          <w:rFonts w:ascii="Palatino Linotype" w:eastAsia="Palatino Linotype" w:hAnsi="Palatino Linotype" w:cs="Palatino Linotype"/>
          <w:b/>
          <w:color w:val="000000"/>
          <w:sz w:val="24"/>
          <w:szCs w:val="24"/>
        </w:rPr>
      </w:pPr>
      <w:r w:rsidRPr="00F5374C">
        <w:rPr>
          <w:rFonts w:ascii="Palatino Linotype" w:eastAsia="Palatino Linotype" w:hAnsi="Palatino Linotype" w:cs="Palatino Linotype"/>
          <w:b/>
          <w:color w:val="000000"/>
          <w:sz w:val="24"/>
          <w:szCs w:val="24"/>
        </w:rPr>
        <w:t>SEGUNDO. De la oportunidad y procedencia.</w:t>
      </w:r>
    </w:p>
    <w:p w:rsidR="00B249F5" w:rsidRPr="00F5374C" w:rsidRDefault="00B249F5" w:rsidP="00F5374C">
      <w:pPr>
        <w:pStyle w:val="Prrafodelista"/>
        <w:numPr>
          <w:ilvl w:val="0"/>
          <w:numId w:val="26"/>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F5374C">
        <w:rPr>
          <w:rFonts w:ascii="Palatino Linotype" w:eastAsia="Palatino Linotype" w:hAnsi="Palatino Linotype" w:cs="Palatino Linotype"/>
        </w:rPr>
        <w:t xml:space="preserve">Este Órgano Garante considera que el medio de impugnación reúne los requisitos de </w:t>
      </w:r>
      <w:r w:rsidRPr="00F5374C">
        <w:rPr>
          <w:rFonts w:ascii="Palatino Linotype" w:eastAsia="Palatino Linotype" w:hAnsi="Palatino Linotype" w:cs="Palatino Linotype"/>
          <w:color w:val="000000"/>
        </w:rPr>
        <w:t>procedencia</w:t>
      </w:r>
      <w:r w:rsidRPr="00F5374C">
        <w:rPr>
          <w:rFonts w:ascii="Palatino Linotype" w:eastAsia="Palatino Linotype" w:hAnsi="Palatino Linotype" w:cs="Palatino Linotype"/>
        </w:rPr>
        <w:t xml:space="preserve"> </w:t>
      </w:r>
      <w:r w:rsidRPr="00F5374C">
        <w:rPr>
          <w:rFonts w:ascii="Palatino Linotype" w:eastAsia="Palatino Linotype" w:hAnsi="Palatino Linotype" w:cs="Palatino Linotype"/>
          <w:color w:val="000000"/>
        </w:rPr>
        <w:t xml:space="preserve">toda vez que: el recurso fue presentado dentro del plazo establecido en el artículo </w:t>
      </w:r>
      <w:r w:rsidRPr="00F5374C">
        <w:rPr>
          <w:rFonts w:ascii="Palatino Linotype" w:eastAsia="Palatino Linotype" w:hAnsi="Palatino Linotype" w:cs="Palatino Linotype"/>
          <w:color w:val="000000"/>
        </w:rPr>
        <w:lastRenderedPageBreak/>
        <w:t>178 de la Ley de Transparencia y Acceso a la Información Pública del Estado de México y Municipios; asimismo no se tiene conocimiento de que se encuentre en trámite algún medio de defensa presentado por el Recurrente ante otra instancia.</w:t>
      </w:r>
    </w:p>
    <w:p w:rsidR="00B249F5" w:rsidRPr="00F5374C" w:rsidRDefault="00B249F5" w:rsidP="00B249F5">
      <w:pPr>
        <w:spacing w:line="360" w:lineRule="auto"/>
        <w:ind w:left="360" w:right="49"/>
        <w:jc w:val="both"/>
        <w:rPr>
          <w:rFonts w:ascii="Palatino Linotype" w:eastAsia="Palatino Linotype" w:hAnsi="Palatino Linotype" w:cs="Palatino Linotype"/>
        </w:rPr>
      </w:pPr>
    </w:p>
    <w:p w:rsidR="009650D0" w:rsidRPr="00F5374C" w:rsidRDefault="009650D0" w:rsidP="00F5374C">
      <w:pPr>
        <w:numPr>
          <w:ilvl w:val="0"/>
          <w:numId w:val="26"/>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F5374C">
        <w:rPr>
          <w:rFonts w:ascii="Palatino Linotype" w:eastAsia="Palatino Linotype" w:hAnsi="Palatino Linotype" w:cs="Palatino Linotype"/>
        </w:rPr>
        <w:t xml:space="preserve">El </w:t>
      </w:r>
      <w:r w:rsidRPr="00F5374C">
        <w:rPr>
          <w:rFonts w:ascii="Palatino Linotype" w:eastAsia="Palatino Linotype" w:hAnsi="Palatino Linotype" w:cs="Palatino Linotype"/>
          <w:color w:val="000000"/>
        </w:rPr>
        <w:t>medio</w:t>
      </w:r>
      <w:r w:rsidRPr="00F5374C">
        <w:rPr>
          <w:rFonts w:ascii="Palatino Linotype" w:eastAsia="Palatino Linotype" w:hAnsi="Palatino Linotype" w:cs="Palatino Linotype"/>
        </w:rPr>
        <w:t xml:space="preserve"> de impugnación fue presentado a través del </w:t>
      </w:r>
      <w:r w:rsidRPr="00F5374C">
        <w:rPr>
          <w:rFonts w:ascii="Palatino Linotype" w:eastAsia="Palatino Linotype" w:hAnsi="Palatino Linotype" w:cs="Palatino Linotype"/>
          <w:b/>
        </w:rPr>
        <w:t>SAIMEX,</w:t>
      </w:r>
      <w:r w:rsidRPr="00F5374C">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F5374C">
        <w:rPr>
          <w:rFonts w:ascii="Palatino Linotype" w:eastAsia="Palatino Linotype" w:hAnsi="Palatino Linotype" w:cs="Palatino Linotype"/>
          <w:b/>
        </w:rPr>
        <w:t>SUJETO OBLIGADO</w:t>
      </w:r>
      <w:r w:rsidRPr="00F5374C">
        <w:rPr>
          <w:rFonts w:ascii="Palatino Linotype" w:eastAsia="Palatino Linotype" w:hAnsi="Palatino Linotype" w:cs="Palatino Linotype"/>
        </w:rPr>
        <w:t xml:space="preserve"> entregó respuesta el </w:t>
      </w:r>
      <w:r w:rsidR="00825B39" w:rsidRPr="00F5374C">
        <w:rPr>
          <w:rFonts w:ascii="Palatino Linotype" w:eastAsia="Palatino Linotype" w:hAnsi="Palatino Linotype" w:cs="Palatino Linotype"/>
          <w:b/>
        </w:rPr>
        <w:t>dieciocho de marzo de dos mil veintiséis</w:t>
      </w:r>
      <w:r w:rsidRPr="00F5374C">
        <w:rPr>
          <w:rFonts w:ascii="Palatino Linotype" w:eastAsia="Palatino Linotype" w:hAnsi="Palatino Linotype" w:cs="Palatino Linotype"/>
        </w:rPr>
        <w:t xml:space="preserve">, de tal forma que el plazo para interponer el recurso transcurrió del </w:t>
      </w:r>
      <w:r w:rsidR="00825B39" w:rsidRPr="00F5374C">
        <w:rPr>
          <w:rFonts w:ascii="Palatino Linotype" w:eastAsia="Palatino Linotype" w:hAnsi="Palatino Linotype" w:cs="Palatino Linotype"/>
          <w:b/>
        </w:rPr>
        <w:t>diecinueve de marzo al quince de abril de dos mil veintiséis</w:t>
      </w:r>
      <w:r w:rsidRPr="00F5374C">
        <w:rPr>
          <w:rFonts w:ascii="Palatino Linotype" w:eastAsia="Palatino Linotype" w:hAnsi="Palatino Linotype" w:cs="Palatino Linotype"/>
          <w:b/>
        </w:rPr>
        <w:t xml:space="preserve">, </w:t>
      </w:r>
      <w:r w:rsidRPr="00F5374C">
        <w:rPr>
          <w:rFonts w:ascii="Palatino Linotype" w:eastAsia="Palatino Linotype" w:hAnsi="Palatino Linotype" w:cs="Palatino Linotype"/>
        </w:rPr>
        <w:t xml:space="preserve">en consecuencia, si el </w:t>
      </w:r>
      <w:r w:rsidRPr="00F5374C">
        <w:rPr>
          <w:rFonts w:ascii="Palatino Linotype" w:eastAsia="Palatino Linotype" w:hAnsi="Palatino Linotype" w:cs="Palatino Linotype"/>
          <w:b/>
        </w:rPr>
        <w:t>PARTICULAR</w:t>
      </w:r>
      <w:r w:rsidRPr="00F5374C">
        <w:rPr>
          <w:rFonts w:ascii="Palatino Linotype" w:eastAsia="Palatino Linotype" w:hAnsi="Palatino Linotype" w:cs="Palatino Linotype"/>
        </w:rPr>
        <w:t xml:space="preserve"> presentó su inconformidad el </w:t>
      </w:r>
      <w:r w:rsidR="00825B39" w:rsidRPr="00F5374C">
        <w:rPr>
          <w:rFonts w:ascii="Palatino Linotype" w:eastAsia="Palatino Linotype" w:hAnsi="Palatino Linotype" w:cs="Palatino Linotype"/>
          <w:b/>
        </w:rPr>
        <w:t>dieciocho de marzo de dos mil veintiséis</w:t>
      </w:r>
      <w:r w:rsidRPr="00F5374C">
        <w:rPr>
          <w:rFonts w:ascii="Palatino Linotype" w:eastAsia="Palatino Linotype" w:hAnsi="Palatino Linotype" w:cs="Palatino Linotype"/>
        </w:rPr>
        <w:t xml:space="preserve">, este  se encuentra dentro de los márgenes temporales previstos en el </w:t>
      </w:r>
      <w:r w:rsidRPr="00F5374C">
        <w:rPr>
          <w:rFonts w:ascii="Palatino Linotype" w:eastAsia="Palatino Linotype" w:hAnsi="Palatino Linotype" w:cs="Palatino Linotype"/>
          <w:b/>
        </w:rPr>
        <w:t>artículo 178</w:t>
      </w:r>
      <w:r w:rsidRPr="00F5374C">
        <w:rPr>
          <w:rFonts w:ascii="Palatino Linotype" w:eastAsia="Palatino Linotype" w:hAnsi="Palatino Linotype" w:cs="Palatino Linotype"/>
        </w:rPr>
        <w:t xml:space="preserve"> de la </w:t>
      </w:r>
      <w:r w:rsidRPr="00F5374C">
        <w:rPr>
          <w:rFonts w:ascii="Palatino Linotype" w:eastAsia="Palatino Linotype" w:hAnsi="Palatino Linotype" w:cs="Palatino Linotype"/>
          <w:b/>
        </w:rPr>
        <w:t xml:space="preserve">Ley de Transparencia y Acceso a la Información Pública del Estado de México y Municipios </w:t>
      </w:r>
      <w:r w:rsidRPr="00F5374C">
        <w:rPr>
          <w:rFonts w:ascii="Palatino Linotype" w:eastAsia="Palatino Linotype" w:hAnsi="Palatino Linotype" w:cs="Palatino Linotype"/>
        </w:rPr>
        <w:t xml:space="preserve">vigente.  </w:t>
      </w:r>
    </w:p>
    <w:p w:rsidR="00825B39" w:rsidRPr="00F5374C" w:rsidRDefault="00825B39" w:rsidP="00825B39">
      <w:pPr>
        <w:pStyle w:val="Prrafodelista"/>
        <w:rPr>
          <w:rFonts w:ascii="Palatino Linotype" w:eastAsia="Palatino Linotype" w:hAnsi="Palatino Linotype" w:cs="Palatino Linotype"/>
          <w:sz w:val="24"/>
        </w:rPr>
      </w:pPr>
    </w:p>
    <w:p w:rsidR="00825B39" w:rsidRPr="00F5374C" w:rsidRDefault="00825B39" w:rsidP="00F5374C">
      <w:pPr>
        <w:pStyle w:val="Prrafodelista"/>
        <w:numPr>
          <w:ilvl w:val="0"/>
          <w:numId w:val="26"/>
        </w:numPr>
        <w:spacing w:line="360" w:lineRule="auto"/>
        <w:ind w:left="0" w:right="27" w:firstLine="0"/>
        <w:jc w:val="both"/>
        <w:rPr>
          <w:rFonts w:ascii="Palatino Linotype" w:eastAsia="Calibri" w:hAnsi="Palatino Linotype" w:cs="Arial"/>
          <w:sz w:val="24"/>
        </w:rPr>
      </w:pPr>
      <w:r w:rsidRPr="00F5374C">
        <w:rPr>
          <w:rFonts w:ascii="Palatino Linotype" w:eastAsia="Calibri" w:hAnsi="Palatino Linotype" w:cs="Arial"/>
          <w:sz w:val="24"/>
        </w:rPr>
        <w:t>Al respecto 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825B39" w:rsidRPr="00F5374C" w:rsidRDefault="00825B39" w:rsidP="00825B39">
      <w:pPr>
        <w:spacing w:line="360" w:lineRule="auto"/>
        <w:ind w:right="27"/>
        <w:contextualSpacing/>
        <w:rPr>
          <w:rFonts w:ascii="Palatino Linotype" w:hAnsi="Palatino Linotype" w:cs="Arial"/>
        </w:rPr>
      </w:pPr>
    </w:p>
    <w:p w:rsidR="00825B39" w:rsidRPr="00F5374C" w:rsidRDefault="00825B39" w:rsidP="00F5374C">
      <w:pPr>
        <w:pStyle w:val="Prrafodelista"/>
        <w:numPr>
          <w:ilvl w:val="0"/>
          <w:numId w:val="26"/>
        </w:numPr>
        <w:spacing w:line="360" w:lineRule="auto"/>
        <w:ind w:left="0" w:right="27" w:firstLine="0"/>
        <w:jc w:val="both"/>
        <w:rPr>
          <w:rFonts w:ascii="Palatino Linotype" w:eastAsia="Calibri" w:hAnsi="Palatino Linotype" w:cs="Arial"/>
          <w:sz w:val="24"/>
        </w:rPr>
      </w:pPr>
      <w:r w:rsidRPr="00F5374C">
        <w:rPr>
          <w:rFonts w:ascii="Palatino Linotype" w:eastAsia="Calibri" w:hAnsi="Palatino Linotype" w:cs="Arial"/>
          <w:sz w:val="24"/>
        </w:rPr>
        <w:t xml:space="preserve">Lo anterior se robustece con la jurisprudencia número 1a./J. 41/2015 (10a.), Décima época, sustentada por la Primera Sala de la Suprema Corte de Justicia de la Nación, </w:t>
      </w:r>
      <w:r w:rsidRPr="00F5374C">
        <w:rPr>
          <w:rFonts w:ascii="Palatino Linotype" w:eastAsia="Calibri" w:hAnsi="Palatino Linotype" w:cs="Arial"/>
          <w:sz w:val="24"/>
        </w:rPr>
        <w:lastRenderedPageBreak/>
        <w:t xml:space="preserve">visible en la página 569, libro 19, tomo I, de la Gaceta del Semanario Judicial de la Federación, del diecinueve de junio de 2015, cuyo rubro y texto disponen: </w:t>
      </w:r>
    </w:p>
    <w:p w:rsidR="00825B39" w:rsidRPr="00F5374C" w:rsidRDefault="00825B39" w:rsidP="00825B39">
      <w:pPr>
        <w:spacing w:line="360" w:lineRule="auto"/>
        <w:ind w:left="1134" w:right="1530"/>
        <w:contextualSpacing/>
        <w:jc w:val="both"/>
        <w:rPr>
          <w:rFonts w:ascii="Palatino Linotype" w:hAnsi="Palatino Linotype" w:cs="Arial"/>
          <w:i/>
        </w:rPr>
      </w:pPr>
      <w:r w:rsidRPr="00F5374C">
        <w:rPr>
          <w:rFonts w:ascii="Palatino Linotype" w:hAnsi="Palatino Linotype" w:cs="Arial"/>
          <w:b/>
          <w:i/>
        </w:rPr>
        <w:t>“RECURSO DE RECLAMACIÓN. SU INTERPOSICIÓN NO ES EXTEMPORÁNEA SI SE REALIZA ANTES DE QUE INICIE EL PLAZO PARA HACERLO</w:t>
      </w:r>
      <w:r w:rsidRPr="00F5374C">
        <w:rPr>
          <w:rFonts w:ascii="Palatino Linotype" w:hAnsi="Palatino Linotype" w:cs="Arial"/>
          <w:i/>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rsidR="00825B39" w:rsidRPr="00F5374C" w:rsidRDefault="00825B39" w:rsidP="00825B39">
      <w:pPr>
        <w:spacing w:line="360" w:lineRule="auto"/>
        <w:ind w:right="27"/>
        <w:contextualSpacing/>
        <w:jc w:val="both"/>
        <w:rPr>
          <w:rFonts w:ascii="Palatino Linotype" w:hAnsi="Palatino Linotype" w:cs="Arial"/>
          <w:i/>
        </w:rPr>
      </w:pPr>
    </w:p>
    <w:p w:rsidR="00825B39" w:rsidRPr="00F5374C" w:rsidRDefault="00825B39" w:rsidP="00F5374C">
      <w:pPr>
        <w:pStyle w:val="Prrafodelista"/>
        <w:numPr>
          <w:ilvl w:val="0"/>
          <w:numId w:val="26"/>
        </w:numPr>
        <w:spacing w:line="360" w:lineRule="auto"/>
        <w:ind w:left="0" w:right="27" w:firstLine="0"/>
        <w:jc w:val="both"/>
        <w:rPr>
          <w:rFonts w:ascii="Palatino Linotype" w:eastAsia="Calibri" w:hAnsi="Palatino Linotype" w:cs="Arial"/>
          <w:sz w:val="24"/>
        </w:rPr>
      </w:pPr>
      <w:r w:rsidRPr="00F5374C">
        <w:rPr>
          <w:rFonts w:ascii="Palatino Linotype" w:eastAsia="Calibri" w:hAnsi="Palatino Linotype" w:cs="Arial"/>
          <w:sz w:val="24"/>
        </w:rPr>
        <w:t>Esto es así porque en primer lugar es necesario que EL RECURRENTE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rsidR="00825B39" w:rsidRPr="00F5374C" w:rsidRDefault="00825B39" w:rsidP="00825B39">
      <w:pPr>
        <w:tabs>
          <w:tab w:val="left" w:pos="0"/>
        </w:tabs>
        <w:spacing w:line="360" w:lineRule="auto"/>
        <w:ind w:right="27"/>
        <w:contextualSpacing/>
        <w:jc w:val="both"/>
        <w:rPr>
          <w:rFonts w:ascii="Palatino Linotype" w:hAnsi="Palatino Linotype" w:cs="Arial"/>
          <w:i/>
        </w:rPr>
      </w:pPr>
    </w:p>
    <w:p w:rsidR="00825B39" w:rsidRPr="00F5374C" w:rsidRDefault="00825B39" w:rsidP="00F5374C">
      <w:pPr>
        <w:pStyle w:val="Prrafodelista"/>
        <w:numPr>
          <w:ilvl w:val="0"/>
          <w:numId w:val="26"/>
        </w:numPr>
        <w:spacing w:line="360" w:lineRule="auto"/>
        <w:ind w:left="0" w:right="27" w:firstLine="0"/>
        <w:jc w:val="both"/>
        <w:rPr>
          <w:rFonts w:ascii="Palatino Linotype" w:eastAsia="Calibri" w:hAnsi="Palatino Linotype" w:cs="Arial"/>
          <w:sz w:val="24"/>
        </w:rPr>
      </w:pPr>
      <w:r w:rsidRPr="00F5374C">
        <w:rPr>
          <w:rFonts w:ascii="Palatino Linotype" w:eastAsia="Calibri" w:hAnsi="Palatino Linotype" w:cs="Arial"/>
          <w:sz w:val="24"/>
        </w:rPr>
        <w:t xml:space="preserve">Por lo que la presentación del recurso, el mismo día del conocimiento de la respuesta, -se insiste- no constituye un acto que altere el procedimiento, solo permite su </w:t>
      </w:r>
      <w:r w:rsidRPr="00F5374C">
        <w:rPr>
          <w:rFonts w:ascii="Palatino Linotype" w:eastAsia="Calibri" w:hAnsi="Palatino Linotype" w:cs="Arial"/>
          <w:sz w:val="24"/>
        </w:rPr>
        <w:lastRenderedPageBreak/>
        <w:t>gestión de manera rápida lo que no afecta ningún principio procesal y es protector del derecho de acceso a la justicia pronta y expedita.</w:t>
      </w:r>
    </w:p>
    <w:p w:rsidR="00825B39" w:rsidRPr="00F5374C" w:rsidRDefault="00825B39" w:rsidP="00825B39">
      <w:pPr>
        <w:spacing w:line="360" w:lineRule="auto"/>
        <w:ind w:right="27"/>
        <w:contextualSpacing/>
        <w:rPr>
          <w:rFonts w:ascii="Palatino Linotype" w:hAnsi="Palatino Linotype"/>
        </w:rPr>
      </w:pPr>
    </w:p>
    <w:p w:rsidR="00825B39" w:rsidRPr="00F5374C" w:rsidRDefault="00825B39" w:rsidP="00F5374C">
      <w:pPr>
        <w:pStyle w:val="Prrafodelista"/>
        <w:numPr>
          <w:ilvl w:val="0"/>
          <w:numId w:val="26"/>
        </w:numPr>
        <w:spacing w:line="360" w:lineRule="auto"/>
        <w:ind w:left="0" w:right="27" w:firstLine="0"/>
        <w:jc w:val="both"/>
        <w:rPr>
          <w:rFonts w:ascii="Palatino Linotype" w:eastAsia="Calibri" w:hAnsi="Palatino Linotype" w:cs="Arial"/>
          <w:sz w:val="24"/>
        </w:rPr>
      </w:pPr>
      <w:r w:rsidRPr="00F5374C">
        <w:rPr>
          <w:rFonts w:ascii="Palatino Linotype" w:eastAsia="Calibri" w:hAnsi="Palatino Linotype" w:cs="Arial"/>
          <w:sz w:val="24"/>
        </w:rPr>
        <w:t>Por lo tanto, la interposición del recurso de revisión antes de que inicie el plazo para su presentación no es determinante para declararlo extemporáneo, siempre y cuando ello ocurra de manera posterior a que se ha notificado la respuesta del SUJETO OBLIGADO.</w:t>
      </w:r>
    </w:p>
    <w:p w:rsidR="00825B39" w:rsidRPr="00F5374C" w:rsidRDefault="00825B39" w:rsidP="00825B39">
      <w:pPr>
        <w:pBdr>
          <w:top w:val="nil"/>
          <w:left w:val="nil"/>
          <w:bottom w:val="nil"/>
          <w:right w:val="nil"/>
          <w:between w:val="nil"/>
        </w:pBdr>
        <w:spacing w:line="360" w:lineRule="auto"/>
        <w:ind w:right="-29"/>
        <w:jc w:val="both"/>
        <w:rPr>
          <w:rFonts w:ascii="Palatino Linotype" w:eastAsia="Palatino Linotype" w:hAnsi="Palatino Linotype" w:cs="Palatino Linotype"/>
        </w:rPr>
      </w:pPr>
    </w:p>
    <w:p w:rsidR="00B249F5" w:rsidRPr="00F5374C" w:rsidRDefault="00B249F5" w:rsidP="00F5374C">
      <w:pPr>
        <w:pStyle w:val="Prrafodelista"/>
        <w:numPr>
          <w:ilvl w:val="0"/>
          <w:numId w:val="26"/>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sz w:val="24"/>
        </w:rPr>
      </w:pPr>
      <w:r w:rsidRPr="00F5374C">
        <w:rPr>
          <w:rFonts w:ascii="Palatino Linotype" w:eastAsia="Palatino Linotype" w:hAnsi="Palatino Linotype" w:cs="Palatino Linotype"/>
          <w:sz w:val="24"/>
        </w:rPr>
        <w:t>Finalmente, el escrito contiene las formalidades previstas por el artículo 180 último párrafo de la citada Ley de la materia, por lo que es procedente que este Instituto conozca y resuelva el presente Recurso de Revisión.</w:t>
      </w:r>
    </w:p>
    <w:p w:rsidR="00F4095B" w:rsidRPr="00F5374C" w:rsidRDefault="00F4095B" w:rsidP="00F4095B">
      <w:pPr>
        <w:pStyle w:val="Prrafodelista"/>
        <w:rPr>
          <w:rFonts w:ascii="Palatino Linotype" w:eastAsia="Palatino Linotype" w:hAnsi="Palatino Linotype" w:cs="Palatino Linotype"/>
          <w:color w:val="000000"/>
          <w:sz w:val="24"/>
        </w:rPr>
      </w:pPr>
    </w:p>
    <w:p w:rsidR="00F4095B" w:rsidRPr="00F5374C" w:rsidRDefault="00F4095B" w:rsidP="00F4095B">
      <w:pPr>
        <w:pStyle w:val="Ttulo2"/>
        <w:spacing w:before="0" w:line="360" w:lineRule="auto"/>
        <w:rPr>
          <w:rFonts w:ascii="Palatino Linotype" w:eastAsia="Palatino Linotype" w:hAnsi="Palatino Linotype" w:cs="Palatino Linotype"/>
          <w:b/>
          <w:color w:val="000000"/>
          <w:sz w:val="24"/>
          <w:szCs w:val="24"/>
        </w:rPr>
      </w:pPr>
      <w:r w:rsidRPr="00F5374C">
        <w:rPr>
          <w:rFonts w:ascii="Palatino Linotype" w:eastAsia="Palatino Linotype" w:hAnsi="Palatino Linotype" w:cs="Palatino Linotype"/>
          <w:b/>
          <w:color w:val="000000"/>
          <w:sz w:val="24"/>
          <w:szCs w:val="24"/>
        </w:rPr>
        <w:t>TERCERO. De</w:t>
      </w:r>
      <w:r w:rsidR="00B249F5" w:rsidRPr="00F5374C">
        <w:rPr>
          <w:rFonts w:ascii="Palatino Linotype" w:eastAsia="Palatino Linotype" w:hAnsi="Palatino Linotype" w:cs="Palatino Linotype"/>
          <w:b/>
          <w:color w:val="000000"/>
          <w:sz w:val="24"/>
          <w:szCs w:val="24"/>
        </w:rPr>
        <w:t xml:space="preserve"> </w:t>
      </w:r>
      <w:r w:rsidRPr="00F5374C">
        <w:rPr>
          <w:rFonts w:ascii="Palatino Linotype" w:eastAsia="Palatino Linotype" w:hAnsi="Palatino Linotype" w:cs="Palatino Linotype"/>
          <w:b/>
          <w:color w:val="000000"/>
          <w:sz w:val="24"/>
          <w:szCs w:val="24"/>
        </w:rPr>
        <w:t>l</w:t>
      </w:r>
      <w:r w:rsidR="00B249F5" w:rsidRPr="00F5374C">
        <w:rPr>
          <w:rFonts w:ascii="Palatino Linotype" w:eastAsia="Palatino Linotype" w:hAnsi="Palatino Linotype" w:cs="Palatino Linotype"/>
          <w:b/>
          <w:color w:val="000000"/>
          <w:sz w:val="24"/>
          <w:szCs w:val="24"/>
        </w:rPr>
        <w:t>as causales de sobreseimiento</w:t>
      </w:r>
    </w:p>
    <w:p w:rsidR="00F4095B" w:rsidRPr="00F5374C" w:rsidRDefault="00F4095B" w:rsidP="00F5374C">
      <w:pPr>
        <w:pStyle w:val="Prrafodelista"/>
        <w:numPr>
          <w:ilvl w:val="0"/>
          <w:numId w:val="2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5374C">
        <w:rPr>
          <w:rFonts w:ascii="Palatino Linotype" w:eastAsia="Palatino Linotype" w:hAnsi="Palatino Linotype" w:cs="Palatino Linotype"/>
          <w:color w:val="000000"/>
        </w:rPr>
        <w:t>De las constancias en el expediente al rubro indicado, se desprende que el particular  solicitó tener acceso a la información que a continuación se desagrega:</w:t>
      </w:r>
    </w:p>
    <w:p w:rsidR="00247F2B" w:rsidRPr="00F5374C" w:rsidRDefault="00825B39" w:rsidP="00F5374C">
      <w:pPr>
        <w:pStyle w:val="Prrafodelista"/>
        <w:numPr>
          <w:ilvl w:val="3"/>
          <w:numId w:val="26"/>
        </w:numPr>
        <w:tabs>
          <w:tab w:val="left" w:pos="7938"/>
        </w:tabs>
        <w:spacing w:line="276" w:lineRule="auto"/>
        <w:ind w:left="1701" w:right="1389"/>
        <w:jc w:val="center"/>
        <w:rPr>
          <w:rFonts w:ascii="Palatino Linotype" w:eastAsia="Palatino Linotype" w:hAnsi="Palatino Linotype" w:cs="Palatino Linotype"/>
          <w:i/>
          <w:sz w:val="24"/>
        </w:rPr>
      </w:pPr>
      <w:r w:rsidRPr="00F5374C">
        <w:rPr>
          <w:rFonts w:ascii="Palatino Linotype" w:hAnsi="Palatino Linotype"/>
          <w:i/>
          <w:color w:val="000000"/>
          <w:sz w:val="24"/>
        </w:rPr>
        <w:t>Manuales de procedimientos de las dependencias del ayuntamiento vigentes a la fecha de la solicitud.</w:t>
      </w:r>
    </w:p>
    <w:p w:rsidR="00247F2B" w:rsidRPr="00F5374C" w:rsidRDefault="00247F2B" w:rsidP="00040442">
      <w:pPr>
        <w:tabs>
          <w:tab w:val="left" w:pos="7938"/>
        </w:tabs>
        <w:spacing w:line="276" w:lineRule="auto"/>
        <w:ind w:left="1701" w:right="1389"/>
        <w:jc w:val="center"/>
        <w:rPr>
          <w:rFonts w:ascii="Palatino Linotype" w:eastAsia="Palatino Linotype" w:hAnsi="Palatino Linotype" w:cs="Palatino Linotype"/>
          <w:i/>
        </w:rPr>
      </w:pPr>
    </w:p>
    <w:p w:rsidR="00F4095B" w:rsidRPr="00F5374C" w:rsidRDefault="00F4095B" w:rsidP="00F5374C">
      <w:pPr>
        <w:numPr>
          <w:ilvl w:val="0"/>
          <w:numId w:val="2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5374C">
        <w:rPr>
          <w:rFonts w:ascii="Palatino Linotype" w:eastAsia="Palatino Linotype" w:hAnsi="Palatino Linotype" w:cs="Palatino Linotype"/>
          <w:color w:val="000000"/>
        </w:rPr>
        <w:t xml:space="preserve">En respuesta, el </w:t>
      </w:r>
      <w:r w:rsidRPr="00F5374C">
        <w:rPr>
          <w:rFonts w:ascii="Palatino Linotype" w:eastAsia="Palatino Linotype" w:hAnsi="Palatino Linotype" w:cs="Palatino Linotype"/>
          <w:b/>
          <w:color w:val="000000"/>
        </w:rPr>
        <w:t>SUJETO OBLIGADO</w:t>
      </w:r>
      <w:r w:rsidRPr="00F5374C">
        <w:rPr>
          <w:rFonts w:ascii="Palatino Linotype" w:eastAsia="Palatino Linotype" w:hAnsi="Palatino Linotype" w:cs="Palatino Linotype"/>
          <w:color w:val="000000"/>
        </w:rPr>
        <w:t xml:space="preserve">, remitió </w:t>
      </w:r>
      <w:r w:rsidR="00485EF5" w:rsidRPr="00F5374C">
        <w:rPr>
          <w:rFonts w:ascii="Palatino Linotype" w:eastAsia="Palatino Linotype" w:hAnsi="Palatino Linotype" w:cs="Palatino Linotype"/>
          <w:color w:val="000000"/>
        </w:rPr>
        <w:t>el</w:t>
      </w:r>
      <w:r w:rsidRPr="00F5374C">
        <w:rPr>
          <w:rFonts w:ascii="Palatino Linotype" w:eastAsia="Palatino Linotype" w:hAnsi="Palatino Linotype" w:cs="Palatino Linotype"/>
          <w:color w:val="000000"/>
        </w:rPr>
        <w:t xml:space="preserve"> archivo electrónico en formato PDF, </w:t>
      </w:r>
      <w:r w:rsidR="00485EF5" w:rsidRPr="00F5374C">
        <w:rPr>
          <w:rFonts w:ascii="Palatino Linotype" w:eastAsia="Palatino Linotype" w:hAnsi="Palatino Linotype" w:cs="Palatino Linotype"/>
          <w:color w:val="000000"/>
        </w:rPr>
        <w:t xml:space="preserve">desglosado en el párrafo </w:t>
      </w:r>
      <w:r w:rsidR="00825B39" w:rsidRPr="00F5374C">
        <w:rPr>
          <w:rFonts w:ascii="Palatino Linotype" w:eastAsia="Palatino Linotype" w:hAnsi="Palatino Linotype" w:cs="Palatino Linotype"/>
          <w:color w:val="000000"/>
        </w:rPr>
        <w:t>segundo</w:t>
      </w:r>
      <w:r w:rsidR="00485EF5" w:rsidRPr="00F5374C">
        <w:rPr>
          <w:rFonts w:ascii="Palatino Linotype" w:eastAsia="Palatino Linotype" w:hAnsi="Palatino Linotype" w:cs="Palatino Linotype"/>
          <w:color w:val="000000"/>
        </w:rPr>
        <w:t xml:space="preserve"> del presente. </w:t>
      </w:r>
    </w:p>
    <w:p w:rsidR="00485EF5" w:rsidRPr="00F5374C" w:rsidRDefault="00485EF5" w:rsidP="00485EF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4095B" w:rsidRPr="00F5374C" w:rsidRDefault="00F4095B" w:rsidP="00F5374C">
      <w:pPr>
        <w:numPr>
          <w:ilvl w:val="0"/>
          <w:numId w:val="2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5374C">
        <w:rPr>
          <w:rFonts w:ascii="Palatino Linotype" w:eastAsia="Palatino Linotype" w:hAnsi="Palatino Linotype" w:cs="Palatino Linotype"/>
          <w:color w:val="000000"/>
        </w:rPr>
        <w:t xml:space="preserve">Por lo que, el </w:t>
      </w:r>
      <w:r w:rsidR="007A5DA2" w:rsidRPr="00F5374C">
        <w:rPr>
          <w:rFonts w:ascii="Palatino Linotype" w:eastAsia="Palatino Linotype" w:hAnsi="Palatino Linotype" w:cs="Palatino Linotype"/>
          <w:color w:val="000000"/>
        </w:rPr>
        <w:t xml:space="preserve">particular se inconformó por la </w:t>
      </w:r>
      <w:r w:rsidR="00825B39" w:rsidRPr="00F5374C">
        <w:rPr>
          <w:rFonts w:ascii="Palatino Linotype" w:eastAsia="Palatino Linotype" w:hAnsi="Palatino Linotype" w:cs="Palatino Linotype"/>
          <w:color w:val="000000"/>
        </w:rPr>
        <w:t xml:space="preserve">negativa a la entrega </w:t>
      </w:r>
      <w:r w:rsidR="00247F2B" w:rsidRPr="00F5374C">
        <w:rPr>
          <w:rFonts w:ascii="Palatino Linotype" w:eastAsia="Palatino Linotype" w:hAnsi="Palatino Linotype" w:cs="Palatino Linotype"/>
          <w:color w:val="000000"/>
        </w:rPr>
        <w:t xml:space="preserve">a </w:t>
      </w:r>
      <w:r w:rsidR="00F20047" w:rsidRPr="00F5374C">
        <w:rPr>
          <w:rFonts w:ascii="Palatino Linotype" w:eastAsia="Palatino Linotype" w:hAnsi="Palatino Linotype" w:cs="Palatino Linotype"/>
          <w:color w:val="000000"/>
        </w:rPr>
        <w:t>de</w:t>
      </w:r>
      <w:r w:rsidR="007A5DA2" w:rsidRPr="00F5374C">
        <w:rPr>
          <w:rFonts w:ascii="Palatino Linotype" w:eastAsia="Palatino Linotype" w:hAnsi="Palatino Linotype" w:cs="Palatino Linotype"/>
          <w:color w:val="000000"/>
        </w:rPr>
        <w:t xml:space="preserve"> la </w:t>
      </w:r>
      <w:r w:rsidRPr="00F5374C">
        <w:rPr>
          <w:rFonts w:ascii="Palatino Linotype" w:eastAsia="Palatino Linotype" w:hAnsi="Palatino Linotype" w:cs="Palatino Linotype"/>
          <w:color w:val="000000"/>
        </w:rPr>
        <w:t xml:space="preserve"> información  por parte del  </w:t>
      </w:r>
      <w:r w:rsidRPr="00F5374C">
        <w:rPr>
          <w:rFonts w:ascii="Palatino Linotype" w:eastAsia="Palatino Linotype" w:hAnsi="Palatino Linotype" w:cs="Palatino Linotype"/>
          <w:b/>
          <w:color w:val="000000"/>
        </w:rPr>
        <w:t>SUJETO OBLIGADO.</w:t>
      </w:r>
    </w:p>
    <w:p w:rsidR="00784CD9" w:rsidRPr="00F5374C" w:rsidRDefault="00784CD9" w:rsidP="00784CD9">
      <w:pPr>
        <w:pStyle w:val="Prrafodelista"/>
        <w:rPr>
          <w:rFonts w:ascii="Palatino Linotype" w:eastAsia="Palatino Linotype" w:hAnsi="Palatino Linotype" w:cs="Palatino Linotype"/>
          <w:color w:val="000000"/>
          <w:sz w:val="24"/>
        </w:rPr>
      </w:pPr>
    </w:p>
    <w:p w:rsidR="00F4095B" w:rsidRPr="00F5374C" w:rsidRDefault="00F4095B" w:rsidP="00F5374C">
      <w:pPr>
        <w:numPr>
          <w:ilvl w:val="0"/>
          <w:numId w:val="26"/>
        </w:numPr>
        <w:spacing w:line="360" w:lineRule="auto"/>
        <w:ind w:left="0" w:firstLine="0"/>
        <w:jc w:val="both"/>
        <w:rPr>
          <w:rFonts w:ascii="Palatino Linotype" w:eastAsia="Palatino Linotype" w:hAnsi="Palatino Linotype" w:cs="Palatino Linotype"/>
        </w:rPr>
      </w:pPr>
      <w:r w:rsidRPr="00F5374C">
        <w:rPr>
          <w:rFonts w:ascii="Palatino Linotype" w:eastAsia="Palatino Linotype" w:hAnsi="Palatino Linotype" w:cs="Palatino Linotype"/>
        </w:rPr>
        <w:t xml:space="preserve">En dichas condiciones, la </w:t>
      </w:r>
      <w:r w:rsidRPr="00F5374C">
        <w:rPr>
          <w:rFonts w:ascii="Palatino Linotype" w:eastAsia="Palatino Linotype" w:hAnsi="Palatino Linotype" w:cs="Palatino Linotype"/>
          <w:i/>
        </w:rPr>
        <w:t>Litis</w:t>
      </w:r>
      <w:r w:rsidRPr="00F5374C">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00825B39" w:rsidRPr="00F5374C">
        <w:rPr>
          <w:rFonts w:ascii="Palatino Linotype" w:eastAsia="Palatino Linotype" w:hAnsi="Palatino Linotype" w:cs="Palatino Linotype"/>
          <w:b/>
        </w:rPr>
        <w:lastRenderedPageBreak/>
        <w:t>fracción I</w:t>
      </w:r>
      <w:r w:rsidRPr="00F5374C">
        <w:rPr>
          <w:rFonts w:ascii="Palatino Linotype" w:eastAsia="Palatino Linotype" w:hAnsi="Palatino Linotype" w:cs="Palatino Linotype"/>
          <w:b/>
        </w:rPr>
        <w:t xml:space="preserve"> </w:t>
      </w:r>
      <w:r w:rsidRPr="00F5374C">
        <w:rPr>
          <w:rFonts w:ascii="Palatino Linotype" w:eastAsia="Palatino Linotype" w:hAnsi="Palatino Linotype" w:cs="Palatino Linotype"/>
        </w:rPr>
        <w:t xml:space="preserve">de la </w:t>
      </w:r>
      <w:r w:rsidRPr="00F5374C">
        <w:rPr>
          <w:rFonts w:ascii="Palatino Linotype" w:eastAsia="Palatino Linotype" w:hAnsi="Palatino Linotype" w:cs="Palatino Linotype"/>
          <w:b/>
        </w:rPr>
        <w:t>Ley de Transparencia y Acceso a la Información Pública del Estado de México y Municipios</w:t>
      </w:r>
      <w:r w:rsidRPr="00F5374C">
        <w:rPr>
          <w:rFonts w:ascii="Palatino Linotype" w:eastAsia="Palatino Linotype" w:hAnsi="Palatino Linotype" w:cs="Palatino Linotype"/>
        </w:rPr>
        <w:t xml:space="preserve">; </w:t>
      </w:r>
      <w:r w:rsidRPr="00F5374C">
        <w:rPr>
          <w:rFonts w:ascii="Palatino Linotype" w:eastAsia="Palatino Linotype" w:hAnsi="Palatino Linotype" w:cs="Palatino Linotype"/>
          <w:color w:val="000000"/>
        </w:rPr>
        <w:t xml:space="preserve">fracción que determina la </w:t>
      </w:r>
      <w:r w:rsidR="00825B39" w:rsidRPr="00F5374C">
        <w:rPr>
          <w:rFonts w:ascii="Palatino Linotype" w:eastAsia="Palatino Linotype" w:hAnsi="Palatino Linotype" w:cs="Palatino Linotype"/>
          <w:color w:val="000000"/>
        </w:rPr>
        <w:t>negativa  la entrega</w:t>
      </w:r>
      <w:r w:rsidR="00247F2B" w:rsidRPr="00F5374C">
        <w:rPr>
          <w:rFonts w:ascii="Palatino Linotype" w:eastAsia="Palatino Linotype" w:hAnsi="Palatino Linotype" w:cs="Palatino Linotype"/>
          <w:color w:val="000000"/>
        </w:rPr>
        <w:t xml:space="preserve"> </w:t>
      </w:r>
      <w:r w:rsidR="009650D0" w:rsidRPr="00F5374C">
        <w:rPr>
          <w:rFonts w:ascii="Palatino Linotype" w:eastAsia="Palatino Linotype" w:hAnsi="Palatino Linotype" w:cs="Palatino Linotype"/>
          <w:color w:val="000000"/>
        </w:rPr>
        <w:t>de la información</w:t>
      </w:r>
      <w:r w:rsidRPr="00F5374C">
        <w:rPr>
          <w:rFonts w:ascii="Palatino Linotype" w:eastAsia="Palatino Linotype" w:hAnsi="Palatino Linotype" w:cs="Palatino Linotype"/>
          <w:color w:val="000000"/>
        </w:rPr>
        <w:t xml:space="preserve">; </w:t>
      </w:r>
      <w:r w:rsidRPr="00F5374C">
        <w:rPr>
          <w:rFonts w:ascii="Palatino Linotype" w:eastAsia="Palatino Linotype" w:hAnsi="Palatino Linotype" w:cs="Palatino Linotype"/>
        </w:rPr>
        <w:t xml:space="preserve">contexto del  cual se dolió </w:t>
      </w:r>
      <w:r w:rsidRPr="00F5374C">
        <w:rPr>
          <w:rFonts w:ascii="Palatino Linotype" w:eastAsia="Palatino Linotype" w:hAnsi="Palatino Linotype" w:cs="Palatino Linotype"/>
          <w:b/>
        </w:rPr>
        <w:t xml:space="preserve">EL RECURRENTE </w:t>
      </w:r>
      <w:r w:rsidRPr="00F5374C">
        <w:rPr>
          <w:rFonts w:ascii="Palatino Linotype" w:eastAsia="Palatino Linotype" w:hAnsi="Palatino Linotype" w:cs="Palatino Linotype"/>
        </w:rPr>
        <w:t>al momento de interponer su inconformidad.</w:t>
      </w:r>
      <w:r w:rsidRPr="00F5374C">
        <w:rPr>
          <w:rFonts w:ascii="Palatino Linotype" w:eastAsia="Palatino Linotype" w:hAnsi="Palatino Linotype" w:cs="Palatino Linotype"/>
          <w:color w:val="000000"/>
        </w:rPr>
        <w:t xml:space="preserve"> </w:t>
      </w:r>
    </w:p>
    <w:p w:rsidR="00F4095B" w:rsidRPr="00F5374C" w:rsidRDefault="00F4095B" w:rsidP="00F4095B">
      <w:pPr>
        <w:pBdr>
          <w:top w:val="nil"/>
          <w:left w:val="nil"/>
          <w:bottom w:val="nil"/>
          <w:right w:val="nil"/>
          <w:between w:val="nil"/>
        </w:pBdr>
        <w:ind w:left="720"/>
        <w:rPr>
          <w:rFonts w:ascii="Palatino Linotype" w:eastAsia="Palatino Linotype" w:hAnsi="Palatino Linotype" w:cs="Palatino Linotype"/>
          <w:color w:val="000000"/>
        </w:rPr>
      </w:pPr>
    </w:p>
    <w:p w:rsidR="00532778" w:rsidRPr="00F5374C" w:rsidRDefault="00532778" w:rsidP="00F5374C">
      <w:pPr>
        <w:numPr>
          <w:ilvl w:val="0"/>
          <w:numId w:val="26"/>
        </w:numPr>
        <w:spacing w:line="360" w:lineRule="auto"/>
        <w:ind w:left="0" w:right="49" w:firstLine="0"/>
        <w:jc w:val="both"/>
        <w:rPr>
          <w:rFonts w:ascii="Palatino Linotype" w:eastAsia="Palatino Linotype" w:hAnsi="Palatino Linotype" w:cs="Palatino Linotype"/>
        </w:rPr>
      </w:pPr>
      <w:bookmarkStart w:id="4" w:name="_heading=h.3dy6vkm" w:colFirst="0" w:colLast="0"/>
      <w:bookmarkEnd w:id="4"/>
      <w:r w:rsidRPr="00F5374C">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532778" w:rsidRPr="00F5374C" w:rsidRDefault="00532778" w:rsidP="00532778">
      <w:pPr>
        <w:spacing w:line="360" w:lineRule="auto"/>
        <w:ind w:right="49"/>
        <w:jc w:val="both"/>
        <w:rPr>
          <w:rFonts w:ascii="Palatino Linotype" w:eastAsia="Palatino Linotype" w:hAnsi="Palatino Linotype" w:cs="Palatino Linotype"/>
        </w:rPr>
      </w:pPr>
    </w:p>
    <w:p w:rsidR="00532778" w:rsidRPr="00F5374C" w:rsidRDefault="009E7C12" w:rsidP="00F5374C">
      <w:pPr>
        <w:pStyle w:val="Prrafodelista"/>
        <w:numPr>
          <w:ilvl w:val="0"/>
          <w:numId w:val="26"/>
        </w:numPr>
        <w:spacing w:line="360" w:lineRule="auto"/>
        <w:ind w:left="0" w:right="49" w:firstLine="0"/>
        <w:jc w:val="both"/>
        <w:rPr>
          <w:rFonts w:ascii="Palatino Linotype" w:eastAsia="Palatino Linotype" w:hAnsi="Palatino Linotype" w:cs="Palatino Linotype"/>
          <w:sz w:val="24"/>
        </w:rPr>
      </w:pPr>
      <w:r w:rsidRPr="00F5374C">
        <w:rPr>
          <w:rFonts w:ascii="Palatino Linotype" w:eastAsia="Palatino Linotype" w:hAnsi="Palatino Linotype" w:cs="Palatino Linotype"/>
          <w:sz w:val="24"/>
        </w:rPr>
        <w:t>Ahora bien,</w:t>
      </w:r>
      <w:r w:rsidR="00532778" w:rsidRPr="00F5374C">
        <w:rPr>
          <w:rFonts w:ascii="Palatino Linotype" w:eastAsia="Palatino Linotype" w:hAnsi="Palatino Linotype" w:cs="Palatino Linotype"/>
          <w:sz w:val="24"/>
        </w:rPr>
        <w:t xml:space="preserv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C85E3C" w:rsidRPr="00F5374C" w:rsidRDefault="00C85E3C" w:rsidP="00F5374C">
      <w:pPr>
        <w:pStyle w:val="Default"/>
        <w:numPr>
          <w:ilvl w:val="0"/>
          <w:numId w:val="26"/>
        </w:numPr>
        <w:spacing w:line="360" w:lineRule="auto"/>
        <w:ind w:left="0" w:firstLine="0"/>
        <w:jc w:val="both"/>
        <w:rPr>
          <w:rFonts w:ascii="Palatino Linotype" w:eastAsia="Arial Unicode MS" w:hAnsi="Palatino Linotype"/>
          <w:color w:val="auto"/>
        </w:rPr>
      </w:pPr>
      <w:r w:rsidRPr="00F5374C">
        <w:rPr>
          <w:rFonts w:ascii="Palatino Linotype" w:eastAsia="Arial Unicode MS" w:hAnsi="Palatino Linotype"/>
          <w:color w:val="auto"/>
        </w:rPr>
        <w:lastRenderedPageBreak/>
        <w:t>En atención a lo expuesto, de conformidad con el contenido de los documentos descritos previamente, podemos concluir que, se obvia el estudio del marco normativo que rige el actual del Sujeto Obligado,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rsidR="00C85E3C" w:rsidRPr="00F5374C" w:rsidRDefault="00C85E3C" w:rsidP="00C85E3C">
      <w:pPr>
        <w:pStyle w:val="Default"/>
        <w:spacing w:line="360" w:lineRule="auto"/>
        <w:jc w:val="both"/>
        <w:rPr>
          <w:rFonts w:ascii="Palatino Linotype" w:eastAsia="Arial Unicode MS" w:hAnsi="Palatino Linotype"/>
          <w:color w:val="auto"/>
        </w:rPr>
      </w:pPr>
    </w:p>
    <w:p w:rsidR="00C85E3C" w:rsidRPr="00F5374C" w:rsidRDefault="00C85E3C" w:rsidP="00F5374C">
      <w:pPr>
        <w:pStyle w:val="Default"/>
        <w:numPr>
          <w:ilvl w:val="0"/>
          <w:numId w:val="26"/>
        </w:numPr>
        <w:spacing w:line="360" w:lineRule="auto"/>
        <w:ind w:left="0" w:firstLine="0"/>
        <w:jc w:val="both"/>
        <w:rPr>
          <w:rFonts w:ascii="Palatino Linotype" w:eastAsia="Arial Unicode MS" w:hAnsi="Palatino Linotype"/>
          <w:color w:val="auto"/>
        </w:rPr>
      </w:pPr>
      <w:r w:rsidRPr="00F5374C">
        <w:rPr>
          <w:rFonts w:ascii="Palatino Linotype" w:eastAsia="Arial Unicode MS" w:hAnsi="Palatino Linotype"/>
          <w:color w:val="auto"/>
        </w:rPr>
        <w:t>En este sentido, el hecho de que el SUJETO OBLIGADO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C85E3C" w:rsidRPr="00F5374C" w:rsidRDefault="00C85E3C" w:rsidP="00C85E3C">
      <w:pPr>
        <w:pStyle w:val="Default"/>
        <w:spacing w:line="276" w:lineRule="auto"/>
        <w:ind w:left="1134" w:right="1389"/>
        <w:jc w:val="both"/>
        <w:rPr>
          <w:rFonts w:ascii="Palatino Linotype" w:eastAsia="Arial Unicode MS" w:hAnsi="Palatino Linotype"/>
          <w:i/>
          <w:color w:val="auto"/>
        </w:rPr>
      </w:pPr>
      <w:r w:rsidRPr="00F5374C">
        <w:rPr>
          <w:rFonts w:ascii="Palatino Linotype" w:eastAsia="Arial Unicode MS" w:hAnsi="Palatino Linotype"/>
          <w:i/>
          <w:color w:val="auto"/>
        </w:rPr>
        <w:t>“Artículo 12. Quienes generen, recopilen, administren, manejen, procesen, archiven o conserven información pública serán responsables de la misma en los términos de las disposiciones jurídicas aplicables.</w:t>
      </w:r>
    </w:p>
    <w:p w:rsidR="00C85E3C" w:rsidRPr="00F5374C" w:rsidRDefault="00C85E3C" w:rsidP="00C85E3C">
      <w:pPr>
        <w:pStyle w:val="Default"/>
        <w:spacing w:line="276" w:lineRule="auto"/>
        <w:ind w:left="1134" w:right="1389"/>
        <w:jc w:val="both"/>
        <w:rPr>
          <w:rFonts w:ascii="Palatino Linotype" w:eastAsia="Arial Unicode MS" w:hAnsi="Palatino Linotype"/>
          <w:i/>
          <w:color w:val="auto"/>
        </w:rPr>
      </w:pPr>
    </w:p>
    <w:p w:rsidR="00C85E3C" w:rsidRPr="00F5374C" w:rsidRDefault="00C85E3C" w:rsidP="00C85E3C">
      <w:pPr>
        <w:pStyle w:val="Default"/>
        <w:spacing w:line="276" w:lineRule="auto"/>
        <w:ind w:left="1134" w:right="1389"/>
        <w:jc w:val="both"/>
        <w:rPr>
          <w:rFonts w:ascii="Palatino Linotype" w:eastAsia="Arial Unicode MS" w:hAnsi="Palatino Linotype"/>
          <w:i/>
          <w:color w:val="auto"/>
        </w:rPr>
      </w:pPr>
      <w:r w:rsidRPr="00F5374C">
        <w:rPr>
          <w:rFonts w:ascii="Palatino Linotype" w:eastAsia="Arial Unicode MS" w:hAnsi="Palatino Linotype"/>
          <w:i/>
          <w:color w:val="auto"/>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C85E3C" w:rsidRPr="00F5374C" w:rsidRDefault="00C85E3C" w:rsidP="00C85E3C">
      <w:pPr>
        <w:pStyle w:val="Default"/>
        <w:spacing w:line="360" w:lineRule="auto"/>
        <w:jc w:val="both"/>
        <w:rPr>
          <w:rFonts w:ascii="Palatino Linotype" w:eastAsia="Arial Unicode MS" w:hAnsi="Palatino Linotype"/>
          <w:color w:val="auto"/>
        </w:rPr>
      </w:pPr>
    </w:p>
    <w:p w:rsidR="00C85E3C" w:rsidRPr="00F5374C" w:rsidRDefault="00C85E3C" w:rsidP="00F5374C">
      <w:pPr>
        <w:pStyle w:val="Default"/>
        <w:numPr>
          <w:ilvl w:val="0"/>
          <w:numId w:val="26"/>
        </w:numPr>
        <w:spacing w:line="360" w:lineRule="auto"/>
        <w:ind w:left="0" w:firstLine="0"/>
        <w:jc w:val="both"/>
        <w:rPr>
          <w:rFonts w:ascii="Palatino Linotype" w:eastAsia="Arial Unicode MS" w:hAnsi="Palatino Linotype"/>
          <w:color w:val="auto"/>
        </w:rPr>
      </w:pPr>
      <w:r w:rsidRPr="00F5374C">
        <w:rPr>
          <w:rFonts w:ascii="Palatino Linotype" w:eastAsia="Arial Unicode MS" w:hAnsi="Palatino Linotype"/>
          <w:color w:val="auto"/>
        </w:rPr>
        <w:t xml:space="preserve">En atención a lo expuesto, se advierte que la respuesta fue emitida por el Servidor Público Habilitado competente, así es dable sostener que, al haber existido un pronunciamiento por parte del SUJETO OBLIGADO, este Instituto no está facultado para </w:t>
      </w:r>
      <w:r w:rsidRPr="00F5374C">
        <w:rPr>
          <w:rFonts w:ascii="Palatino Linotype" w:eastAsia="Arial Unicode MS" w:hAnsi="Palatino Linotype"/>
          <w:color w:val="auto"/>
        </w:rPr>
        <w:lastRenderedPageBreak/>
        <w:t>manifestarse sobre la veracidad de este, pues no existe precepto legal alguno en la Ley de la materia que lo faculte para que, vía recurso de revisión, pueda pronunciarse al respecto.</w:t>
      </w:r>
    </w:p>
    <w:p w:rsidR="00C85E3C" w:rsidRPr="00F5374C" w:rsidRDefault="00C85E3C" w:rsidP="00C85E3C">
      <w:pPr>
        <w:pStyle w:val="Default"/>
        <w:spacing w:line="360" w:lineRule="auto"/>
        <w:jc w:val="both"/>
        <w:rPr>
          <w:rFonts w:ascii="Palatino Linotype" w:eastAsia="Arial Unicode MS" w:hAnsi="Palatino Linotype"/>
          <w:color w:val="auto"/>
        </w:rPr>
      </w:pPr>
    </w:p>
    <w:p w:rsidR="00825B39" w:rsidRDefault="00825B39" w:rsidP="00F5374C">
      <w:pPr>
        <w:pStyle w:val="Prrafodelista"/>
        <w:numPr>
          <w:ilvl w:val="0"/>
          <w:numId w:val="26"/>
        </w:numPr>
        <w:spacing w:line="360" w:lineRule="auto"/>
        <w:ind w:left="0" w:right="-28" w:firstLine="0"/>
        <w:jc w:val="both"/>
        <w:rPr>
          <w:rFonts w:ascii="Palatino Linotype" w:eastAsia="Palatino Linotype" w:hAnsi="Palatino Linotype" w:cs="Palatino Linotype"/>
          <w:sz w:val="24"/>
        </w:rPr>
      </w:pPr>
      <w:r w:rsidRPr="00F5374C">
        <w:rPr>
          <w:rFonts w:ascii="Palatino Linotype" w:eastAsia="Palatino Linotype" w:hAnsi="Palatino Linotype" w:cs="Palatino Linotype"/>
          <w:sz w:val="24"/>
        </w:rPr>
        <w:t>Por lo que de la respuesta emitida por el Sujeto Obligado se advierte que la liga a la que hace referencia se encuentra en formato cerrado como se advierte:</w:t>
      </w:r>
    </w:p>
    <w:p w:rsidR="00F5374C" w:rsidRPr="00F5374C" w:rsidRDefault="00F5374C" w:rsidP="00F5374C">
      <w:pPr>
        <w:pStyle w:val="Prrafodelista"/>
        <w:rPr>
          <w:rFonts w:ascii="Palatino Linotype" w:eastAsia="Palatino Linotype" w:hAnsi="Palatino Linotype" w:cs="Palatino Linotype"/>
          <w:sz w:val="24"/>
        </w:rPr>
      </w:pPr>
    </w:p>
    <w:p w:rsidR="00825B39" w:rsidRDefault="00825B39" w:rsidP="00825B39">
      <w:pPr>
        <w:spacing w:line="360" w:lineRule="auto"/>
        <w:ind w:right="-28"/>
        <w:jc w:val="both"/>
        <w:rPr>
          <w:rFonts w:ascii="Palatino Linotype" w:eastAsia="Palatino Linotype" w:hAnsi="Palatino Linotype" w:cs="Palatino Linotype"/>
        </w:rPr>
      </w:pPr>
      <w:r w:rsidRPr="00F5374C">
        <w:rPr>
          <w:rFonts w:ascii="Palatino Linotype" w:eastAsia="Palatino Linotype" w:hAnsi="Palatino Linotype" w:cs="Palatino Linotype"/>
          <w:noProof/>
        </w:rPr>
        <w:drawing>
          <wp:inline distT="0" distB="0" distL="0" distR="0" wp14:anchorId="5943BFF0" wp14:editId="0B5166B5">
            <wp:extent cx="5922645" cy="1235710"/>
            <wp:effectExtent l="76200" t="38100" r="78105" b="1168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22645" cy="1235710"/>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F5374C" w:rsidRPr="00F5374C" w:rsidRDefault="00F5374C" w:rsidP="00825B39">
      <w:pPr>
        <w:spacing w:line="360" w:lineRule="auto"/>
        <w:ind w:right="-28"/>
        <w:jc w:val="both"/>
        <w:rPr>
          <w:rFonts w:ascii="Palatino Linotype" w:eastAsia="Palatino Linotype" w:hAnsi="Palatino Linotype" w:cs="Palatino Linotype"/>
        </w:rPr>
      </w:pPr>
    </w:p>
    <w:p w:rsidR="00825B39" w:rsidRPr="00F5374C" w:rsidRDefault="00825B39" w:rsidP="00F5374C">
      <w:pPr>
        <w:numPr>
          <w:ilvl w:val="0"/>
          <w:numId w:val="26"/>
        </w:numPr>
        <w:spacing w:line="360" w:lineRule="auto"/>
        <w:ind w:left="0" w:right="27" w:firstLine="0"/>
        <w:jc w:val="both"/>
        <w:rPr>
          <w:rFonts w:ascii="Palatino Linotype" w:eastAsia="Palatino Linotype" w:hAnsi="Palatino Linotype" w:cs="Palatino Linotype"/>
          <w:b/>
          <w:color w:val="000000"/>
        </w:rPr>
      </w:pPr>
      <w:r w:rsidRPr="00F5374C">
        <w:rPr>
          <w:rFonts w:ascii="Palatino Linotype" w:eastAsia="Palatino Linotype" w:hAnsi="Palatino Linotype" w:cs="Palatino Linotype"/>
          <w:color w:val="000000"/>
        </w:rPr>
        <w:t xml:space="preserve">que 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w:t>
      </w:r>
      <w:r w:rsidRPr="00F5374C">
        <w:rPr>
          <w:rFonts w:ascii="Palatino Linotype" w:eastAsia="Palatino Linotype" w:hAnsi="Palatino Linotype" w:cs="Palatino Linotype"/>
          <w:b/>
          <w:color w:val="000000"/>
        </w:rPr>
        <w:t>entrega</w:t>
      </w:r>
      <w:r w:rsidRPr="00F5374C">
        <w:rPr>
          <w:rFonts w:ascii="Palatino Linotype" w:eastAsia="Palatino Linotype" w:hAnsi="Palatino Linotype" w:cs="Palatino Linotype"/>
          <w:color w:val="000000"/>
        </w:rPr>
        <w:t xml:space="preserve"> de la información a los Particulares </w:t>
      </w:r>
      <w:r w:rsidRPr="00F5374C">
        <w:rPr>
          <w:rFonts w:ascii="Palatino Linotype" w:eastAsia="Palatino Linotype" w:hAnsi="Palatino Linotype" w:cs="Palatino Linotype"/>
          <w:b/>
          <w:color w:val="000000"/>
        </w:rPr>
        <w:t>en formatos abiertos, con los efectos de facilitar la reutilización de la información.</w:t>
      </w:r>
    </w:p>
    <w:p w:rsidR="00825B39" w:rsidRPr="00F5374C" w:rsidRDefault="00825B39" w:rsidP="00825B39">
      <w:pPr>
        <w:spacing w:line="360" w:lineRule="auto"/>
        <w:ind w:right="27"/>
        <w:jc w:val="both"/>
        <w:rPr>
          <w:rFonts w:ascii="Palatino Linotype" w:eastAsia="Palatino Linotype" w:hAnsi="Palatino Linotype" w:cs="Palatino Linotype"/>
          <w:b/>
          <w:color w:val="000000"/>
        </w:rPr>
      </w:pPr>
    </w:p>
    <w:p w:rsidR="00825B39" w:rsidRPr="00F5374C" w:rsidRDefault="00825B39" w:rsidP="00F5374C">
      <w:pPr>
        <w:numPr>
          <w:ilvl w:val="0"/>
          <w:numId w:val="26"/>
        </w:numPr>
        <w:spacing w:line="360" w:lineRule="auto"/>
        <w:ind w:left="0" w:right="27" w:firstLine="0"/>
        <w:jc w:val="both"/>
        <w:rPr>
          <w:rFonts w:ascii="Palatino Linotype" w:eastAsia="Palatino Linotype" w:hAnsi="Palatino Linotype" w:cs="Palatino Linotype"/>
          <w:color w:val="000000"/>
        </w:rPr>
      </w:pPr>
      <w:r w:rsidRPr="00F5374C">
        <w:rPr>
          <w:rFonts w:ascii="Palatino Linotype" w:eastAsia="Palatino Linotype" w:hAnsi="Palatino Linotype" w:cs="Palatino Linotype"/>
          <w:color w:val="000000"/>
        </w:rPr>
        <w:t xml:space="preserve">Lo anterior,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w:t>
      </w:r>
      <w:r w:rsidRPr="00F5374C">
        <w:rPr>
          <w:rFonts w:ascii="Palatino Linotype" w:eastAsia="Palatino Linotype" w:hAnsi="Palatino Linotype" w:cs="Palatino Linotype"/>
          <w:color w:val="000000"/>
        </w:rPr>
        <w:lastRenderedPageBreak/>
        <w:t xml:space="preserve">medio, </w:t>
      </w:r>
      <w:r w:rsidRPr="00F5374C">
        <w:rPr>
          <w:rFonts w:ascii="Palatino Linotype" w:eastAsia="Palatino Linotype" w:hAnsi="Palatino Linotype" w:cs="Palatino Linotype"/>
          <w:b/>
          <w:color w:val="000000"/>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w:t>
      </w:r>
    </w:p>
    <w:p w:rsidR="00825B39" w:rsidRPr="00F5374C" w:rsidRDefault="00825B39" w:rsidP="00825B39">
      <w:pPr>
        <w:spacing w:line="360" w:lineRule="auto"/>
        <w:ind w:right="-28"/>
        <w:jc w:val="both"/>
        <w:rPr>
          <w:rFonts w:ascii="Palatino Linotype" w:eastAsia="Palatino Linotype" w:hAnsi="Palatino Linotype" w:cs="Palatino Linotype"/>
        </w:rPr>
      </w:pPr>
    </w:p>
    <w:p w:rsidR="009134F9" w:rsidRPr="00F5374C" w:rsidRDefault="007A5DA2" w:rsidP="00F5374C">
      <w:pPr>
        <w:numPr>
          <w:ilvl w:val="0"/>
          <w:numId w:val="26"/>
        </w:numPr>
        <w:spacing w:line="360" w:lineRule="auto"/>
        <w:ind w:left="0" w:right="-28" w:firstLine="0"/>
        <w:jc w:val="both"/>
        <w:rPr>
          <w:rFonts w:ascii="Palatino Linotype" w:eastAsia="Palatino Linotype" w:hAnsi="Palatino Linotype" w:cs="Palatino Linotype"/>
        </w:rPr>
      </w:pPr>
      <w:r w:rsidRPr="00F5374C">
        <w:rPr>
          <w:rFonts w:ascii="Palatino Linotype" w:eastAsia="Palatino Linotype" w:hAnsi="Palatino Linotype" w:cs="Palatino Linotype"/>
        </w:rPr>
        <w:t>De lo anterior</w:t>
      </w:r>
      <w:r w:rsidR="00532778" w:rsidRPr="00F5374C">
        <w:rPr>
          <w:rFonts w:ascii="Palatino Linotype" w:eastAsia="Palatino Linotype" w:hAnsi="Palatino Linotype" w:cs="Palatino Linotype"/>
        </w:rPr>
        <w:t xml:space="preserve">, se aprecia que en informe justificado se pronunció el </w:t>
      </w:r>
      <w:r w:rsidR="00532778" w:rsidRPr="00F5374C">
        <w:rPr>
          <w:rFonts w:ascii="Palatino Linotype" w:eastAsia="Palatino Linotype" w:hAnsi="Palatino Linotype" w:cs="Palatino Linotype"/>
          <w:b/>
        </w:rPr>
        <w:t>SUJETO OBLIGADO</w:t>
      </w:r>
      <w:r w:rsidR="00532778" w:rsidRPr="00F5374C">
        <w:rPr>
          <w:rFonts w:ascii="Palatino Linotype" w:eastAsia="Palatino Linotype" w:hAnsi="Palatino Linotype" w:cs="Palatino Linotype"/>
        </w:rPr>
        <w:t xml:space="preserve"> </w:t>
      </w:r>
      <w:r w:rsidR="00F21A66" w:rsidRPr="00F5374C">
        <w:rPr>
          <w:rFonts w:ascii="Palatino Linotype" w:eastAsia="Palatino Linotype" w:hAnsi="Palatino Linotype" w:cs="Palatino Linotype"/>
        </w:rPr>
        <w:t xml:space="preserve">quien </w:t>
      </w:r>
      <w:r w:rsidR="009134F9" w:rsidRPr="00F5374C">
        <w:rPr>
          <w:rFonts w:ascii="Palatino Linotype" w:eastAsia="Palatino Linotype" w:hAnsi="Palatino Linotype" w:cs="Palatino Linotype"/>
        </w:rPr>
        <w:t>refirió el link en formato abierto para la consulta de las documentales requeridas por el particular como se observa de la captura  de pantalla;</w:t>
      </w:r>
    </w:p>
    <w:p w:rsidR="009134F9" w:rsidRPr="00F5374C" w:rsidRDefault="009134F9" w:rsidP="009134F9">
      <w:pPr>
        <w:pStyle w:val="Prrafodelista"/>
        <w:ind w:left="0"/>
        <w:rPr>
          <w:rFonts w:ascii="Palatino Linotype" w:eastAsia="Palatino Linotype" w:hAnsi="Palatino Linotype" w:cs="Palatino Linotype"/>
          <w:sz w:val="24"/>
        </w:rPr>
      </w:pPr>
      <w:r w:rsidRPr="00F5374C">
        <w:rPr>
          <w:rFonts w:ascii="Palatino Linotype" w:eastAsia="Palatino Linotype" w:hAnsi="Palatino Linotype" w:cs="Palatino Linotype"/>
          <w:noProof/>
          <w:sz w:val="24"/>
        </w:rPr>
        <w:drawing>
          <wp:inline distT="0" distB="0" distL="0" distR="0" wp14:anchorId="38D35E5B" wp14:editId="42D3DEF1">
            <wp:extent cx="5922645" cy="890270"/>
            <wp:effectExtent l="76200" t="38100" r="78105" b="1193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22645" cy="890270"/>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9134F9" w:rsidRPr="00F5374C" w:rsidRDefault="009134F9" w:rsidP="009134F9">
      <w:pPr>
        <w:spacing w:line="360" w:lineRule="auto"/>
        <w:ind w:right="-28"/>
        <w:jc w:val="both"/>
        <w:rPr>
          <w:rFonts w:ascii="Palatino Linotype" w:eastAsia="Palatino Linotype" w:hAnsi="Palatino Linotype" w:cs="Palatino Linotype"/>
          <w:sz w:val="28"/>
        </w:rPr>
      </w:pPr>
    </w:p>
    <w:p w:rsidR="009134F9" w:rsidRPr="00F5374C" w:rsidRDefault="009134F9" w:rsidP="00F5374C">
      <w:pPr>
        <w:pStyle w:val="Prrafodelista"/>
        <w:numPr>
          <w:ilvl w:val="0"/>
          <w:numId w:val="26"/>
        </w:numPr>
        <w:spacing w:line="360" w:lineRule="auto"/>
        <w:ind w:left="0" w:right="-28" w:firstLine="0"/>
        <w:jc w:val="both"/>
        <w:rPr>
          <w:rFonts w:ascii="Palatino Linotype" w:eastAsia="Palatino Linotype" w:hAnsi="Palatino Linotype" w:cs="Palatino Linotype"/>
          <w:sz w:val="24"/>
        </w:rPr>
      </w:pPr>
      <w:r w:rsidRPr="00F5374C">
        <w:rPr>
          <w:rFonts w:ascii="Palatino Linotype" w:eastAsia="Palatino Linotype" w:hAnsi="Palatino Linotype" w:cs="Palatino Linotype"/>
          <w:sz w:val="24"/>
        </w:rPr>
        <w:t>Liga que al ser copiada y pegada al buscador arrojó como resultado la página del Ayuntamiento de Ixtlahuaca en su apartado de Mejora Regulatoria y en particular al Catálogo Municipal de Regulaciones como se observa:</w:t>
      </w:r>
    </w:p>
    <w:p w:rsidR="009134F9" w:rsidRPr="00F5374C" w:rsidRDefault="009134F9" w:rsidP="009134F9">
      <w:pPr>
        <w:spacing w:line="360" w:lineRule="auto"/>
        <w:ind w:right="-28"/>
        <w:jc w:val="center"/>
        <w:rPr>
          <w:rFonts w:ascii="Palatino Linotype" w:eastAsia="Palatino Linotype" w:hAnsi="Palatino Linotype" w:cs="Palatino Linotype"/>
        </w:rPr>
      </w:pPr>
      <w:r w:rsidRPr="00F5374C">
        <w:rPr>
          <w:rFonts w:ascii="Palatino Linotype" w:eastAsia="Palatino Linotype" w:hAnsi="Palatino Linotype" w:cs="Palatino Linotype"/>
          <w:noProof/>
        </w:rPr>
        <w:lastRenderedPageBreak/>
        <w:drawing>
          <wp:inline distT="0" distB="0" distL="0" distR="0" wp14:anchorId="714D60B3" wp14:editId="71178681">
            <wp:extent cx="3857228" cy="5001371"/>
            <wp:effectExtent l="76200" t="38100" r="67310" b="1231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80472" cy="5031510"/>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9134F9" w:rsidRPr="00F5374C" w:rsidRDefault="009134F9" w:rsidP="009134F9">
      <w:pPr>
        <w:spacing w:line="360" w:lineRule="auto"/>
        <w:ind w:right="-28"/>
        <w:jc w:val="center"/>
        <w:rPr>
          <w:rFonts w:ascii="Palatino Linotype" w:eastAsia="Palatino Linotype" w:hAnsi="Palatino Linotype" w:cs="Palatino Linotype"/>
        </w:rPr>
      </w:pPr>
      <w:r w:rsidRPr="00F5374C">
        <w:rPr>
          <w:rFonts w:ascii="Palatino Linotype" w:eastAsia="Palatino Linotype" w:hAnsi="Palatino Linotype" w:cs="Palatino Linotype"/>
          <w:noProof/>
        </w:rPr>
        <w:lastRenderedPageBreak/>
        <w:drawing>
          <wp:inline distT="0" distB="0" distL="0" distR="0" wp14:anchorId="2B802F13" wp14:editId="6BE7F5C9">
            <wp:extent cx="3562184" cy="6997700"/>
            <wp:effectExtent l="76200" t="38100" r="76835" b="1079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69296" cy="7011671"/>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290BD2" w:rsidRPr="00F5374C" w:rsidRDefault="00290BD2" w:rsidP="00EA6FAC">
      <w:pPr>
        <w:spacing w:line="360" w:lineRule="auto"/>
        <w:ind w:right="49"/>
        <w:jc w:val="both"/>
        <w:rPr>
          <w:rFonts w:ascii="Palatino Linotype" w:eastAsia="Palatino Linotype" w:hAnsi="Palatino Linotype" w:cs="Palatino Linotype"/>
        </w:rPr>
      </w:pPr>
    </w:p>
    <w:p w:rsidR="009134F9" w:rsidRDefault="009134F9" w:rsidP="00F5374C">
      <w:pPr>
        <w:pStyle w:val="Prrafodelista"/>
        <w:numPr>
          <w:ilvl w:val="0"/>
          <w:numId w:val="26"/>
        </w:numPr>
        <w:spacing w:line="360" w:lineRule="auto"/>
        <w:ind w:left="0" w:right="49" w:firstLine="0"/>
        <w:jc w:val="both"/>
        <w:rPr>
          <w:rFonts w:ascii="Palatino Linotype" w:eastAsia="Palatino Linotype" w:hAnsi="Palatino Linotype" w:cs="Palatino Linotype"/>
          <w:sz w:val="24"/>
        </w:rPr>
      </w:pPr>
      <w:r w:rsidRPr="00F5374C">
        <w:rPr>
          <w:rFonts w:ascii="Palatino Linotype" w:eastAsia="Palatino Linotype" w:hAnsi="Palatino Linotype" w:cs="Palatino Linotype"/>
          <w:sz w:val="24"/>
        </w:rPr>
        <w:lastRenderedPageBreak/>
        <w:t>Así mismo al consultar de forma enunciativa el Manual General de Organización se advierte que el mismo corresponde al vigente utilizado por la administración en funciones a la fecha de la solicitud.</w:t>
      </w:r>
    </w:p>
    <w:p w:rsidR="00F5374C" w:rsidRPr="00F5374C" w:rsidRDefault="00F5374C" w:rsidP="00F5374C">
      <w:pPr>
        <w:pStyle w:val="Prrafodelista"/>
        <w:spacing w:line="360" w:lineRule="auto"/>
        <w:ind w:left="0" w:right="49"/>
        <w:jc w:val="both"/>
        <w:rPr>
          <w:rFonts w:ascii="Palatino Linotype" w:eastAsia="Palatino Linotype" w:hAnsi="Palatino Linotype" w:cs="Palatino Linotype"/>
          <w:sz w:val="24"/>
        </w:rPr>
      </w:pPr>
    </w:p>
    <w:p w:rsidR="009134F9" w:rsidRPr="00F5374C" w:rsidRDefault="009134F9" w:rsidP="009134F9">
      <w:pPr>
        <w:spacing w:line="360" w:lineRule="auto"/>
        <w:ind w:right="49"/>
        <w:jc w:val="both"/>
        <w:rPr>
          <w:rFonts w:ascii="Palatino Linotype" w:eastAsia="Palatino Linotype" w:hAnsi="Palatino Linotype" w:cs="Palatino Linotype"/>
        </w:rPr>
      </w:pPr>
      <w:r w:rsidRPr="00F5374C">
        <w:rPr>
          <w:rFonts w:ascii="Palatino Linotype" w:eastAsia="Palatino Linotype" w:hAnsi="Palatino Linotype" w:cs="Palatino Linotype"/>
          <w:noProof/>
        </w:rPr>
        <w:drawing>
          <wp:inline distT="0" distB="0" distL="0" distR="0" wp14:anchorId="5B4E3FBC" wp14:editId="4EAD34EA">
            <wp:extent cx="5677692" cy="1247949"/>
            <wp:effectExtent l="76200" t="38100" r="75565" b="1238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77692" cy="1247949"/>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5F5F62" w:rsidRPr="00F5374C" w:rsidRDefault="005F5F62" w:rsidP="00F5374C">
      <w:pPr>
        <w:numPr>
          <w:ilvl w:val="0"/>
          <w:numId w:val="26"/>
        </w:numPr>
        <w:spacing w:line="360" w:lineRule="auto"/>
        <w:ind w:left="0" w:right="49" w:firstLine="0"/>
        <w:jc w:val="both"/>
        <w:rPr>
          <w:rFonts w:ascii="Palatino Linotype" w:eastAsia="Palatino Linotype" w:hAnsi="Palatino Linotype" w:cs="Palatino Linotype"/>
        </w:rPr>
      </w:pPr>
      <w:r w:rsidRPr="00F5374C">
        <w:rPr>
          <w:rFonts w:ascii="Palatino Linotype" w:eastAsia="Palatino Linotype" w:hAnsi="Palatino Linotype" w:cs="Palatino Linotype"/>
        </w:rPr>
        <w:t xml:space="preserve">Por lo tanto, en virtud de los argumentos expuestos con anterioridad así como del análisis realizado a las constancias que obran en el expediente electrónico y toda vez que el </w:t>
      </w:r>
      <w:r w:rsidRPr="00F5374C">
        <w:rPr>
          <w:rFonts w:ascii="Palatino Linotype" w:eastAsia="Palatino Linotype" w:hAnsi="Palatino Linotype" w:cs="Palatino Linotype"/>
          <w:b/>
        </w:rPr>
        <w:t>SUJETO OBLIGADO</w:t>
      </w:r>
      <w:r w:rsidRPr="00F5374C">
        <w:rPr>
          <w:rFonts w:ascii="Palatino Linotype" w:eastAsia="Palatino Linotype" w:hAnsi="Palatino Linotype" w:cs="Palatino Linotype"/>
        </w:rPr>
        <w:t xml:space="preserve">, atendió lo requerido en informe justificado,  se determina </w:t>
      </w:r>
      <w:r w:rsidRPr="00F5374C">
        <w:rPr>
          <w:rFonts w:ascii="Palatino Linotype" w:eastAsia="Palatino Linotype" w:hAnsi="Palatino Linotype" w:cs="Palatino Linotype"/>
          <w:b/>
          <w:i/>
        </w:rPr>
        <w:t xml:space="preserve">sobreseer </w:t>
      </w:r>
      <w:r w:rsidRPr="00F5374C">
        <w:rPr>
          <w:rFonts w:ascii="Palatino Linotype" w:eastAsia="Palatino Linotype" w:hAnsi="Palatino Linotype" w:cs="Palatino Linotype"/>
        </w:rPr>
        <w:t xml:space="preserve">el presente recurso de revisión por actualizarse la causal de sobreseimiento prevista en la </w:t>
      </w:r>
      <w:r w:rsidRPr="00F5374C">
        <w:rPr>
          <w:rFonts w:ascii="Palatino Linotype" w:eastAsia="Palatino Linotype" w:hAnsi="Palatino Linotype" w:cs="Palatino Linotype"/>
          <w:b/>
          <w:i/>
        </w:rPr>
        <w:t>fracción III del artículo 192</w:t>
      </w:r>
      <w:r w:rsidRPr="00F5374C">
        <w:rPr>
          <w:rFonts w:ascii="Palatino Linotype" w:eastAsia="Palatino Linotype" w:hAnsi="Palatino Linotype" w:cs="Palatino Linotype"/>
        </w:rPr>
        <w:t xml:space="preserve">, de la Ley de Transparencia y Acceso a la Información Pública del Estado de México y Municipios en su correlación con la causal de improcedencia contemplada en la </w:t>
      </w:r>
      <w:r w:rsidRPr="00F5374C">
        <w:rPr>
          <w:rFonts w:ascii="Palatino Linotype" w:eastAsia="Palatino Linotype" w:hAnsi="Palatino Linotype" w:cs="Palatino Linotype"/>
        </w:rPr>
        <w:fldChar w:fldCharType="begin"/>
      </w:r>
      <w:r w:rsidRPr="00F5374C">
        <w:rPr>
          <w:rFonts w:ascii="Palatino Linotype" w:eastAsia="Palatino Linotype" w:hAnsi="Palatino Linotype" w:cs="Palatino Linotype"/>
        </w:rPr>
        <w:instrText xml:space="preserve"> fracción VII del  </w:instrText>
      </w:r>
      <w:r w:rsidRPr="00F5374C">
        <w:rPr>
          <w:rFonts w:ascii="Palatino Linotype" w:eastAsia="Palatino Linotype" w:hAnsi="Palatino Linotype" w:cs="Palatino Linotype"/>
        </w:rPr>
        <w:fldChar w:fldCharType="separate"/>
      </w:r>
      <w:r w:rsidR="00574C2B" w:rsidRPr="00F5374C">
        <w:rPr>
          <w:rFonts w:ascii="Palatino Linotype" w:eastAsia="Palatino Linotype" w:hAnsi="Palatino Linotype" w:cs="Palatino Linotype"/>
          <w:b/>
          <w:bCs/>
          <w:lang w:val="es-ES"/>
        </w:rPr>
        <w:t>¡Error! Marcador no definido.</w:t>
      </w:r>
      <w:r w:rsidRPr="00F5374C">
        <w:rPr>
          <w:rFonts w:ascii="Palatino Linotype" w:eastAsia="Palatino Linotype" w:hAnsi="Palatino Linotype" w:cs="Palatino Linotype"/>
        </w:rPr>
        <w:fldChar w:fldCharType="end"/>
      </w:r>
      <w:r w:rsidRPr="00F5374C">
        <w:rPr>
          <w:rFonts w:ascii="Palatino Linotype" w:eastAsia="Palatino Linotype" w:hAnsi="Palatino Linotype" w:cs="Palatino Linotype"/>
        </w:rPr>
        <w:t>artículo 191, del ordenamiento legal en cita, los que se transcriben a continuación, para un mejor entendimiento:</w:t>
      </w:r>
    </w:p>
    <w:p w:rsidR="005F5F62" w:rsidRPr="00F5374C" w:rsidRDefault="005F5F62" w:rsidP="00E3471D">
      <w:pPr>
        <w:pStyle w:val="Prrafodelista"/>
        <w:pBdr>
          <w:top w:val="nil"/>
          <w:left w:val="nil"/>
          <w:bottom w:val="nil"/>
          <w:right w:val="nil"/>
          <w:between w:val="nil"/>
        </w:pBdr>
        <w:tabs>
          <w:tab w:val="left" w:pos="7938"/>
        </w:tabs>
        <w:spacing w:line="360" w:lineRule="auto"/>
        <w:ind w:left="1134" w:right="1389"/>
        <w:jc w:val="both"/>
        <w:rPr>
          <w:rFonts w:ascii="Palatino Linotype" w:eastAsia="Palatino Linotype" w:hAnsi="Palatino Linotype" w:cs="Palatino Linotype"/>
          <w:i/>
          <w:sz w:val="24"/>
        </w:rPr>
      </w:pPr>
      <w:r w:rsidRPr="00F5374C">
        <w:rPr>
          <w:rFonts w:ascii="Palatino Linotype" w:eastAsia="Palatino Linotype" w:hAnsi="Palatino Linotype" w:cs="Palatino Linotype"/>
          <w:b/>
          <w:i/>
          <w:sz w:val="24"/>
        </w:rPr>
        <w:t>Artículo 192.</w:t>
      </w:r>
      <w:r w:rsidRPr="00F5374C">
        <w:rPr>
          <w:rFonts w:ascii="Palatino Linotype" w:eastAsia="Palatino Linotype" w:hAnsi="Palatino Linotype" w:cs="Palatino Linotype"/>
          <w:i/>
          <w:sz w:val="24"/>
        </w:rPr>
        <w:t xml:space="preserve"> El recurso será sobreseído, en todo o en parte, cuando una vez admitido, se actualicen alguno de los siguientes supuestos:</w:t>
      </w:r>
    </w:p>
    <w:p w:rsidR="005F5F62" w:rsidRPr="00F5374C" w:rsidRDefault="005F5F62" w:rsidP="00E3471D">
      <w:pPr>
        <w:pStyle w:val="Prrafodelista"/>
        <w:pBdr>
          <w:top w:val="nil"/>
          <w:left w:val="nil"/>
          <w:bottom w:val="nil"/>
          <w:right w:val="nil"/>
          <w:between w:val="nil"/>
        </w:pBdr>
        <w:tabs>
          <w:tab w:val="left" w:pos="7938"/>
        </w:tabs>
        <w:spacing w:line="360" w:lineRule="auto"/>
        <w:ind w:left="1134" w:right="1389"/>
        <w:jc w:val="both"/>
        <w:rPr>
          <w:rFonts w:ascii="Palatino Linotype" w:eastAsia="Palatino Linotype" w:hAnsi="Palatino Linotype" w:cs="Palatino Linotype"/>
          <w:i/>
          <w:sz w:val="24"/>
        </w:rPr>
      </w:pPr>
      <w:r w:rsidRPr="00F5374C">
        <w:rPr>
          <w:rFonts w:ascii="Palatino Linotype" w:eastAsia="Palatino Linotype" w:hAnsi="Palatino Linotype" w:cs="Palatino Linotype"/>
          <w:i/>
          <w:sz w:val="24"/>
        </w:rPr>
        <w:t>…</w:t>
      </w:r>
    </w:p>
    <w:p w:rsidR="005F5F62" w:rsidRPr="00F5374C" w:rsidRDefault="005F5F62" w:rsidP="00E3471D">
      <w:pPr>
        <w:tabs>
          <w:tab w:val="left" w:pos="7938"/>
        </w:tabs>
        <w:autoSpaceDE w:val="0"/>
        <w:autoSpaceDN w:val="0"/>
        <w:adjustRightInd w:val="0"/>
        <w:ind w:left="1134" w:right="1389"/>
        <w:rPr>
          <w:rFonts w:ascii="Palatino Linotype" w:eastAsia="Calibri" w:hAnsi="Palatino Linotype" w:cs="Bookman Old Style"/>
          <w:i/>
          <w:color w:val="000000"/>
        </w:rPr>
      </w:pPr>
      <w:r w:rsidRPr="00F5374C">
        <w:rPr>
          <w:rFonts w:ascii="Palatino Linotype" w:eastAsia="Calibri" w:hAnsi="Palatino Linotype" w:cs="Bookman Old Style"/>
          <w:b/>
          <w:bCs/>
          <w:i/>
          <w:color w:val="000000"/>
        </w:rPr>
        <w:t xml:space="preserve">III. </w:t>
      </w:r>
      <w:r w:rsidRPr="00F5374C">
        <w:rPr>
          <w:rFonts w:ascii="Palatino Linotype" w:hAnsi="Palatino Linotype"/>
          <w:i/>
        </w:rPr>
        <w:t>El sujeto obligado responsable del acto lo modifique o revoque de tal manera que el  recurso de revisión quede sin materia;</w:t>
      </w:r>
      <w:r w:rsidRPr="00F5374C">
        <w:rPr>
          <w:rFonts w:ascii="Palatino Linotype" w:eastAsia="Calibri" w:hAnsi="Palatino Linotype" w:cs="Bookman Old Style"/>
          <w:i/>
          <w:color w:val="000000"/>
        </w:rPr>
        <w:t xml:space="preserve">. </w:t>
      </w:r>
    </w:p>
    <w:p w:rsidR="005F5F62" w:rsidRPr="00F5374C" w:rsidRDefault="005F5F62" w:rsidP="00E3471D">
      <w:pPr>
        <w:pStyle w:val="Prrafodelista"/>
        <w:pBdr>
          <w:top w:val="nil"/>
          <w:left w:val="nil"/>
          <w:bottom w:val="nil"/>
          <w:right w:val="nil"/>
          <w:between w:val="nil"/>
        </w:pBdr>
        <w:tabs>
          <w:tab w:val="left" w:pos="7938"/>
        </w:tabs>
        <w:spacing w:line="360" w:lineRule="auto"/>
        <w:ind w:left="1134" w:right="1389"/>
        <w:jc w:val="both"/>
        <w:rPr>
          <w:rFonts w:ascii="Palatino Linotype" w:eastAsia="Palatino Linotype" w:hAnsi="Palatino Linotype" w:cs="Palatino Linotype"/>
          <w:i/>
          <w:sz w:val="24"/>
        </w:rPr>
      </w:pPr>
      <w:r w:rsidRPr="00F5374C">
        <w:rPr>
          <w:rFonts w:ascii="Palatino Linotype" w:eastAsia="Palatino Linotype" w:hAnsi="Palatino Linotype" w:cs="Palatino Linotype"/>
          <w:b/>
          <w:i/>
          <w:sz w:val="24"/>
        </w:rPr>
        <w:t>…</w:t>
      </w:r>
      <w:r w:rsidRPr="00F5374C">
        <w:rPr>
          <w:rFonts w:ascii="Palatino Linotype" w:eastAsia="Palatino Linotype" w:hAnsi="Palatino Linotype" w:cs="Palatino Linotype"/>
          <w:i/>
          <w:sz w:val="24"/>
        </w:rPr>
        <w:t>“</w:t>
      </w:r>
    </w:p>
    <w:p w:rsidR="005F5F62" w:rsidRPr="00F5374C" w:rsidRDefault="005F5F62" w:rsidP="00F5374C">
      <w:pPr>
        <w:numPr>
          <w:ilvl w:val="0"/>
          <w:numId w:val="26"/>
        </w:numPr>
        <w:spacing w:line="360" w:lineRule="auto"/>
        <w:ind w:left="0" w:right="49" w:firstLine="0"/>
        <w:jc w:val="both"/>
        <w:rPr>
          <w:rFonts w:ascii="Palatino Linotype" w:eastAsia="Palatino Linotype" w:hAnsi="Palatino Linotype" w:cs="Palatino Linotype"/>
        </w:rPr>
      </w:pPr>
      <w:r w:rsidRPr="00F5374C">
        <w:rPr>
          <w:rFonts w:ascii="Palatino Linotype" w:eastAsia="Palatino Linotype" w:hAnsi="Palatino Linotype" w:cs="Palatino Linotype"/>
        </w:rPr>
        <w:t xml:space="preserve">Siendo el </w:t>
      </w:r>
      <w:r w:rsidRPr="00F5374C">
        <w:rPr>
          <w:rFonts w:ascii="Palatino Linotype" w:eastAsia="Palatino Linotype" w:hAnsi="Palatino Linotype" w:cs="Palatino Linotype"/>
          <w:i/>
        </w:rPr>
        <w:t>sobreseimiento</w:t>
      </w:r>
      <w:r w:rsidRPr="00F5374C">
        <w:rPr>
          <w:rFonts w:ascii="Palatino Linotype" w:eastAsia="Palatino Linotype" w:hAnsi="Palatino Linotype" w:cs="Palatino Linotype"/>
        </w:rPr>
        <w:t xml:space="preserve"> un acto que da por terminado el procedimiento administrativo de impugnación sin resolver el fondo de la cuestión planteada, por </w:t>
      </w:r>
      <w:r w:rsidRPr="00F5374C">
        <w:rPr>
          <w:rFonts w:ascii="Palatino Linotype" w:eastAsia="Palatino Linotype" w:hAnsi="Palatino Linotype" w:cs="Palatino Linotype"/>
        </w:rPr>
        <w:lastRenderedPageBreak/>
        <w:t>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rsidR="005F5F62" w:rsidRPr="00F5374C" w:rsidRDefault="005F5F62" w:rsidP="00E3471D">
      <w:pPr>
        <w:pStyle w:val="Prrafodelista"/>
        <w:spacing w:line="360" w:lineRule="auto"/>
        <w:ind w:left="1134" w:right="1389"/>
        <w:jc w:val="both"/>
        <w:rPr>
          <w:rFonts w:ascii="Palatino Linotype" w:eastAsia="Palatino Linotype" w:hAnsi="Palatino Linotype" w:cs="Palatino Linotype"/>
          <w:b/>
          <w:i/>
          <w:sz w:val="24"/>
        </w:rPr>
      </w:pPr>
      <w:r w:rsidRPr="00F5374C">
        <w:rPr>
          <w:rFonts w:ascii="Palatino Linotype" w:eastAsia="Palatino Linotype" w:hAnsi="Palatino Linotype" w:cs="Palatino Linotype"/>
          <w:i/>
          <w:sz w:val="24"/>
        </w:rPr>
        <w:t>“</w:t>
      </w:r>
      <w:r w:rsidRPr="00F5374C">
        <w:rPr>
          <w:rFonts w:ascii="Palatino Linotype" w:eastAsia="Palatino Linotype" w:hAnsi="Palatino Linotype" w:cs="Palatino Linotype"/>
          <w:b/>
          <w:i/>
          <w:sz w:val="24"/>
        </w:rPr>
        <w:t>SOBRESEIMIENTO, NO PERMITE ENTRAR AL ESTUDIO DE LAS CUESTIONES DE FONDO</w:t>
      </w:r>
    </w:p>
    <w:p w:rsidR="005F5F62" w:rsidRPr="00F5374C" w:rsidRDefault="005F5F62" w:rsidP="00E3471D">
      <w:pPr>
        <w:pStyle w:val="Prrafodelista"/>
        <w:spacing w:line="360" w:lineRule="auto"/>
        <w:ind w:left="1134" w:right="1389"/>
        <w:jc w:val="both"/>
        <w:rPr>
          <w:rFonts w:ascii="Palatino Linotype" w:eastAsia="Palatino Linotype" w:hAnsi="Palatino Linotype" w:cs="Palatino Linotype"/>
          <w:i/>
          <w:sz w:val="24"/>
        </w:rPr>
      </w:pPr>
      <w:r w:rsidRPr="00F5374C">
        <w:rPr>
          <w:rFonts w:ascii="Palatino Linotype" w:eastAsia="Palatino Linotype" w:hAnsi="Palatino Linotype" w:cs="Palatino Linotype"/>
          <w:i/>
          <w:sz w:val="24"/>
        </w:rPr>
        <w:t>Localización: 213609. II.2o.183 K. Tribunales Colegiados de Circuito. Octava Época. Semanario Judicial de la Federación. Tomo XIII, Febrero de 1994, Pág. 420</w:t>
      </w:r>
    </w:p>
    <w:p w:rsidR="005F5F62" w:rsidRPr="00F5374C" w:rsidRDefault="005F5F62" w:rsidP="00E3471D">
      <w:pPr>
        <w:pStyle w:val="Prrafodelista"/>
        <w:spacing w:line="360" w:lineRule="auto"/>
        <w:ind w:left="1134" w:right="1389"/>
        <w:jc w:val="both"/>
        <w:rPr>
          <w:rFonts w:ascii="Palatino Linotype" w:eastAsia="Palatino Linotype" w:hAnsi="Palatino Linotype" w:cs="Palatino Linotype"/>
          <w:i/>
          <w:sz w:val="24"/>
        </w:rPr>
      </w:pPr>
      <w:r w:rsidRPr="00F5374C">
        <w:rPr>
          <w:rFonts w:ascii="Palatino Linotype" w:eastAsia="Palatino Linotype" w:hAnsi="Palatino Linotype" w:cs="Palatino Linotype"/>
          <w:i/>
          <w:sz w:val="24"/>
        </w:rPr>
        <w:t xml:space="preserve">Cuerpo de tesis: No causa agravio la sentencia que no se ocupa de los razonamientos tendientes a demostrar la inconstitucionalidad de los actos reclamados de las autoridades responsables, que constituyen el problema de fondo, si se decreta el sobreseimiento del juicio.” </w:t>
      </w:r>
    </w:p>
    <w:p w:rsidR="005F5F62" w:rsidRPr="00F5374C" w:rsidRDefault="005F5F62" w:rsidP="005F5F62">
      <w:pPr>
        <w:pStyle w:val="Prrafodelista"/>
        <w:spacing w:line="360" w:lineRule="auto"/>
        <w:ind w:left="360" w:right="902"/>
        <w:jc w:val="both"/>
        <w:rPr>
          <w:rFonts w:ascii="Palatino Linotype" w:eastAsia="Palatino Linotype" w:hAnsi="Palatino Linotype" w:cs="Palatino Linotype"/>
          <w:i/>
          <w:sz w:val="24"/>
        </w:rPr>
      </w:pPr>
    </w:p>
    <w:p w:rsidR="005F5F62" w:rsidRPr="00F5374C" w:rsidRDefault="005F5F62" w:rsidP="00F5374C">
      <w:pPr>
        <w:numPr>
          <w:ilvl w:val="0"/>
          <w:numId w:val="26"/>
        </w:numPr>
        <w:spacing w:line="360" w:lineRule="auto"/>
        <w:ind w:left="0" w:right="49" w:firstLine="0"/>
        <w:jc w:val="both"/>
        <w:rPr>
          <w:rFonts w:ascii="Palatino Linotype" w:eastAsia="Palatino Linotype" w:hAnsi="Palatino Linotype" w:cs="Palatino Linotype"/>
        </w:rPr>
      </w:pPr>
      <w:r w:rsidRPr="00F5374C">
        <w:rPr>
          <w:rFonts w:ascii="Palatino Linotype" w:eastAsia="Palatino Linotype" w:hAnsi="Palatino Linotype" w:cs="Palatino Linotype"/>
        </w:rPr>
        <w:t>Cabe destacar que la decisión de este Organismo Colegiado de sobreseer el recurso de revisión no implica una limitación o negación a la justicia, según lo ha establecido el Poder Judicial Federal, en el criterio que es aplicable por analogía, con rubro:</w:t>
      </w:r>
    </w:p>
    <w:p w:rsidR="005F5F62" w:rsidRPr="00F5374C" w:rsidRDefault="005F5F62" w:rsidP="00E3471D">
      <w:pPr>
        <w:pStyle w:val="Prrafodelista"/>
        <w:spacing w:line="360" w:lineRule="auto"/>
        <w:ind w:left="1134" w:right="1389"/>
        <w:jc w:val="both"/>
        <w:rPr>
          <w:rFonts w:ascii="Palatino Linotype" w:eastAsia="Palatino Linotype" w:hAnsi="Palatino Linotype" w:cs="Palatino Linotype"/>
          <w:b/>
          <w:i/>
          <w:sz w:val="24"/>
        </w:rPr>
      </w:pPr>
      <w:r w:rsidRPr="00F5374C">
        <w:rPr>
          <w:rFonts w:ascii="Palatino Linotype" w:eastAsia="Palatino Linotype" w:hAnsi="Palatino Linotype" w:cs="Palatino Linotype"/>
          <w:b/>
          <w:i/>
          <w:sz w:val="24"/>
        </w:rPr>
        <w:t>“DESECHAMIENTO O SOBRESEIMIENTO EN EL JUICIO DE AMPARO. NO IMPLICA DENEGACIÓN DE JUSTICIA NI GENERA INSEGURIDAD JURÍDICA”</w:t>
      </w:r>
    </w:p>
    <w:p w:rsidR="005F5F62" w:rsidRPr="00F5374C" w:rsidRDefault="005F5F62" w:rsidP="00E3471D">
      <w:pPr>
        <w:pStyle w:val="Prrafodelista"/>
        <w:spacing w:line="360" w:lineRule="auto"/>
        <w:ind w:left="1134" w:right="1389"/>
        <w:jc w:val="both"/>
        <w:rPr>
          <w:rFonts w:ascii="Palatino Linotype" w:eastAsia="Palatino Linotype" w:hAnsi="Palatino Linotype" w:cs="Palatino Linotype"/>
          <w:i/>
          <w:sz w:val="24"/>
        </w:rPr>
      </w:pPr>
      <w:r w:rsidRPr="00F5374C">
        <w:rPr>
          <w:rFonts w:ascii="Palatino Linotype" w:eastAsia="Palatino Linotype" w:hAnsi="Palatino Linotype" w:cs="Palatino Linotype"/>
          <w:i/>
          <w:sz w:val="24"/>
        </w:rPr>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w:t>
      </w:r>
      <w:r w:rsidRPr="00F5374C">
        <w:rPr>
          <w:rFonts w:ascii="Palatino Linotype" w:eastAsia="Palatino Linotype" w:hAnsi="Palatino Linotype" w:cs="Palatino Linotype"/>
          <w:i/>
          <w:sz w:val="24"/>
        </w:rPr>
        <w:lastRenderedPageBreak/>
        <w:t>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p>
    <w:p w:rsidR="005F5F62" w:rsidRPr="00F5374C" w:rsidRDefault="005F5F62" w:rsidP="005F5F62">
      <w:pPr>
        <w:pStyle w:val="Prrafodelista"/>
        <w:spacing w:line="360" w:lineRule="auto"/>
        <w:ind w:left="360" w:right="902"/>
        <w:jc w:val="both"/>
        <w:rPr>
          <w:rFonts w:ascii="Palatino Linotype" w:eastAsia="Palatino Linotype" w:hAnsi="Palatino Linotype" w:cs="Palatino Linotype"/>
          <w:i/>
          <w:sz w:val="24"/>
        </w:rPr>
      </w:pPr>
      <w:r w:rsidRPr="00F5374C">
        <w:rPr>
          <w:rFonts w:ascii="Palatino Linotype" w:eastAsia="Palatino Linotype" w:hAnsi="Palatino Linotype" w:cs="Palatino Linotype"/>
          <w:sz w:val="24"/>
        </w:rPr>
        <w:tab/>
      </w:r>
    </w:p>
    <w:p w:rsidR="005F5F62" w:rsidRPr="00F5374C" w:rsidRDefault="005F5F62" w:rsidP="00F5374C">
      <w:pPr>
        <w:numPr>
          <w:ilvl w:val="0"/>
          <w:numId w:val="26"/>
        </w:numPr>
        <w:spacing w:line="360" w:lineRule="auto"/>
        <w:ind w:left="0" w:right="49" w:firstLine="0"/>
        <w:jc w:val="both"/>
        <w:rPr>
          <w:rFonts w:ascii="Palatino Linotype" w:eastAsia="Palatino Linotype" w:hAnsi="Palatino Linotype" w:cs="Palatino Linotype"/>
        </w:rPr>
      </w:pPr>
      <w:r w:rsidRPr="00F5374C">
        <w:rPr>
          <w:rFonts w:ascii="Palatino Linotype" w:eastAsia="Palatino Linotype" w:hAnsi="Palatino Linotype" w:cs="Palatino Linotype"/>
        </w:rPr>
        <w:t xml:space="preserve">Bajo ese tenor con fundamento en la segunda hipótesis de la fracción I del artículo 186, de la Ley de Transparencia y Acceso a la Información Pública del Estado de México y Municipios, se </w:t>
      </w:r>
      <w:r w:rsidRPr="00F5374C">
        <w:rPr>
          <w:rFonts w:ascii="Palatino Linotype" w:eastAsia="Palatino Linotype" w:hAnsi="Palatino Linotype" w:cs="Palatino Linotype"/>
          <w:b/>
        </w:rPr>
        <w:t xml:space="preserve">Sobresee </w:t>
      </w:r>
      <w:r w:rsidRPr="00F5374C">
        <w:rPr>
          <w:rFonts w:ascii="Palatino Linotype" w:eastAsia="Palatino Linotype" w:hAnsi="Palatino Linotype" w:cs="Palatino Linotype"/>
        </w:rPr>
        <w:t xml:space="preserve">el recurso de revisión </w:t>
      </w:r>
      <w:r w:rsidR="00B25AB3" w:rsidRPr="00F5374C">
        <w:rPr>
          <w:rFonts w:ascii="Palatino Linotype" w:eastAsia="Palatino Linotype" w:hAnsi="Palatino Linotype" w:cs="Palatino Linotype"/>
          <w:b/>
        </w:rPr>
        <w:t>03353</w:t>
      </w:r>
      <w:r w:rsidRPr="00F5374C">
        <w:rPr>
          <w:rFonts w:ascii="Palatino Linotype" w:eastAsia="Palatino Linotype" w:hAnsi="Palatino Linotype" w:cs="Palatino Linotype"/>
          <w:b/>
        </w:rPr>
        <w:t>/INFOEM/IP/RR/2</w:t>
      </w:r>
      <w:r w:rsidR="00B25AB3" w:rsidRPr="00F5374C">
        <w:rPr>
          <w:rFonts w:ascii="Palatino Linotype" w:eastAsia="Palatino Linotype" w:hAnsi="Palatino Linotype" w:cs="Palatino Linotype"/>
          <w:b/>
        </w:rPr>
        <w:t>026</w:t>
      </w:r>
      <w:r w:rsidRPr="00F5374C">
        <w:rPr>
          <w:rFonts w:ascii="Palatino Linotype" w:eastAsia="Palatino Linotype" w:hAnsi="Palatino Linotype" w:cs="Palatino Linotype"/>
        </w:rPr>
        <w:t>, que ha sido materia del presente fallo.</w:t>
      </w:r>
    </w:p>
    <w:p w:rsidR="005F5F62" w:rsidRPr="00F5374C" w:rsidRDefault="005F5F62" w:rsidP="005F5F62">
      <w:pPr>
        <w:pStyle w:val="Prrafodelista"/>
        <w:spacing w:line="360" w:lineRule="auto"/>
        <w:rPr>
          <w:rFonts w:ascii="Palatino Linotype" w:eastAsia="Palatino Linotype" w:hAnsi="Palatino Linotype" w:cs="Palatino Linotype"/>
          <w:sz w:val="24"/>
        </w:rPr>
      </w:pPr>
    </w:p>
    <w:p w:rsidR="005F5F62" w:rsidRPr="00F5374C" w:rsidRDefault="005F5F62" w:rsidP="00F5374C">
      <w:pPr>
        <w:numPr>
          <w:ilvl w:val="0"/>
          <w:numId w:val="26"/>
        </w:numPr>
        <w:spacing w:line="360" w:lineRule="auto"/>
        <w:ind w:left="0" w:right="49" w:firstLine="0"/>
        <w:jc w:val="both"/>
        <w:rPr>
          <w:rFonts w:ascii="Palatino Linotype" w:eastAsia="Palatino Linotype" w:hAnsi="Palatino Linotype" w:cs="Palatino Linotype"/>
        </w:rPr>
      </w:pPr>
      <w:r w:rsidRPr="00F5374C">
        <w:rPr>
          <w:rFonts w:ascii="Palatino Linotype" w:eastAsia="Palatino Linotype" w:hAnsi="Palatino Linotype" w:cs="Palatino Linotype"/>
        </w:rPr>
        <w:t>Así, con fundamento en lo prescrito en los artículos 5 párrafos trigésimo, trigésimo primero y trigésimo segundo de la Constitución Política del Estado Libre y Soberano de México; 2, fracción II; 29, 36 fracciones I y II; 176, 178, 181, 185 y 186 fracción II de la Ley de Transparencia y Acceso a la Información Pública del Estado de México y Municipios, este Pleno</w:t>
      </w:r>
      <w:r w:rsidRPr="00F5374C">
        <w:rPr>
          <w:rFonts w:ascii="Palatino Linotype" w:eastAsia="Palatino Linotype" w:hAnsi="Palatino Linotype" w:cs="Palatino Linotype"/>
          <w:color w:val="000000"/>
        </w:rPr>
        <w:t xml:space="preserve"> emite los siguientes:</w:t>
      </w:r>
      <w:r w:rsidR="00F5374C">
        <w:rPr>
          <w:rFonts w:ascii="Palatino Linotype" w:eastAsia="Palatino Linotype" w:hAnsi="Palatino Linotype" w:cs="Palatino Linotype"/>
          <w:color w:val="000000"/>
        </w:rPr>
        <w:t xml:space="preserve"> ----------------------------------------------------------</w:t>
      </w:r>
    </w:p>
    <w:p w:rsidR="005F5F62" w:rsidRPr="00F5374C" w:rsidRDefault="005F5F62" w:rsidP="005F5F62">
      <w:pPr>
        <w:pStyle w:val="Prrafodelista"/>
        <w:rPr>
          <w:rFonts w:ascii="Palatino Linotype" w:eastAsia="Palatino Linotype" w:hAnsi="Palatino Linotype" w:cs="Palatino Linotype"/>
          <w:sz w:val="24"/>
        </w:rPr>
      </w:pPr>
    </w:p>
    <w:p w:rsidR="005F5F62" w:rsidRPr="00F5374C" w:rsidRDefault="005F5F62" w:rsidP="005F5F62">
      <w:pPr>
        <w:pStyle w:val="Ttulo1"/>
        <w:spacing w:before="0" w:line="360" w:lineRule="auto"/>
        <w:ind w:right="49"/>
        <w:jc w:val="center"/>
        <w:rPr>
          <w:rFonts w:ascii="Palatino Linotype" w:eastAsia="Palatino Linotype" w:hAnsi="Palatino Linotype" w:cs="Palatino Linotype"/>
          <w:b/>
          <w:color w:val="000000"/>
          <w:sz w:val="24"/>
          <w:szCs w:val="24"/>
        </w:rPr>
      </w:pPr>
      <w:bookmarkStart w:id="5" w:name="_heading=h.4d34og8" w:colFirst="0" w:colLast="0"/>
      <w:bookmarkEnd w:id="5"/>
      <w:r w:rsidRPr="00F5374C">
        <w:rPr>
          <w:rFonts w:ascii="Palatino Linotype" w:eastAsia="Palatino Linotype" w:hAnsi="Palatino Linotype" w:cs="Palatino Linotype"/>
          <w:b/>
          <w:color w:val="000000"/>
          <w:sz w:val="24"/>
          <w:szCs w:val="24"/>
        </w:rPr>
        <w:t>R E S O L U T I V O S</w:t>
      </w:r>
    </w:p>
    <w:p w:rsidR="005F5F62" w:rsidRPr="00F5374C" w:rsidRDefault="005F5F62" w:rsidP="005F5F62">
      <w:pPr>
        <w:spacing w:line="360" w:lineRule="auto"/>
        <w:ind w:right="49"/>
        <w:rPr>
          <w:rFonts w:ascii="Palatino Linotype" w:eastAsia="Palatino Linotype" w:hAnsi="Palatino Linotype" w:cs="Palatino Linotype"/>
        </w:rPr>
      </w:pPr>
    </w:p>
    <w:p w:rsidR="005F5F62" w:rsidRPr="00F5374C" w:rsidRDefault="005F5F62" w:rsidP="005F5F6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bookmarkStart w:id="6" w:name="_heading=h.1t3h5sf" w:colFirst="0" w:colLast="0"/>
      <w:bookmarkEnd w:id="6"/>
      <w:r w:rsidRPr="00F5374C">
        <w:rPr>
          <w:rFonts w:ascii="Palatino Linotype" w:eastAsia="Palatino Linotype" w:hAnsi="Palatino Linotype" w:cs="Palatino Linotype"/>
          <w:b/>
          <w:color w:val="000000"/>
        </w:rPr>
        <w:t xml:space="preserve">PRIMERO. </w:t>
      </w:r>
      <w:r w:rsidRPr="00F5374C">
        <w:rPr>
          <w:rFonts w:ascii="Palatino Linotype" w:eastAsia="Palatino Linotype" w:hAnsi="Palatino Linotype" w:cs="Palatino Linotype"/>
          <w:color w:val="000000"/>
        </w:rPr>
        <w:t xml:space="preserve">Se </w:t>
      </w:r>
      <w:r w:rsidRPr="00F5374C">
        <w:rPr>
          <w:rFonts w:ascii="Palatino Linotype" w:eastAsia="Palatino Linotype" w:hAnsi="Palatino Linotype" w:cs="Palatino Linotype"/>
          <w:b/>
          <w:color w:val="000000"/>
        </w:rPr>
        <w:t>SOBRESEE</w:t>
      </w:r>
      <w:r w:rsidRPr="00F5374C">
        <w:rPr>
          <w:rFonts w:ascii="Palatino Linotype" w:eastAsia="Palatino Linotype" w:hAnsi="Palatino Linotype" w:cs="Palatino Linotype"/>
          <w:color w:val="000000"/>
        </w:rPr>
        <w:t xml:space="preserve"> el Recurso de Revisión número </w:t>
      </w:r>
      <w:r w:rsidRPr="00F5374C">
        <w:rPr>
          <w:rFonts w:ascii="Palatino Linotype" w:eastAsia="Palatino Linotype" w:hAnsi="Palatino Linotype" w:cs="Palatino Linotype"/>
          <w:b/>
          <w:color w:val="000000"/>
        </w:rPr>
        <w:t> </w:t>
      </w:r>
      <w:r w:rsidR="009134F9" w:rsidRPr="00F5374C">
        <w:rPr>
          <w:rFonts w:ascii="Palatino Linotype" w:eastAsia="Palatino Linotype" w:hAnsi="Palatino Linotype" w:cs="Palatino Linotype"/>
          <w:b/>
          <w:color w:val="000000"/>
        </w:rPr>
        <w:t>0335</w:t>
      </w:r>
      <w:r w:rsidR="00BF49B6" w:rsidRPr="00F5374C">
        <w:rPr>
          <w:rFonts w:ascii="Palatino Linotype" w:eastAsia="Palatino Linotype" w:hAnsi="Palatino Linotype" w:cs="Palatino Linotype"/>
          <w:b/>
          <w:color w:val="000000"/>
        </w:rPr>
        <w:t>3</w:t>
      </w:r>
      <w:r w:rsidR="009134F9" w:rsidRPr="00F5374C">
        <w:rPr>
          <w:rFonts w:ascii="Palatino Linotype" w:eastAsia="Palatino Linotype" w:hAnsi="Palatino Linotype" w:cs="Palatino Linotype"/>
          <w:b/>
          <w:color w:val="000000"/>
        </w:rPr>
        <w:t>/INFOEM/IP/RR/2026</w:t>
      </w:r>
      <w:r w:rsidRPr="00F5374C">
        <w:rPr>
          <w:rFonts w:ascii="Palatino Linotype" w:eastAsia="Palatino Linotype" w:hAnsi="Palatino Linotype" w:cs="Palatino Linotype"/>
          <w:color w:val="000000"/>
        </w:rPr>
        <w:t>, conforme al artículo 192, fracción III,</w:t>
      </w:r>
      <w:r w:rsidRPr="00F5374C">
        <w:rPr>
          <w:rFonts w:ascii="Palatino Linotype" w:eastAsia="Palatino Linotype" w:hAnsi="Palatino Linotype" w:cs="Palatino Linotype"/>
        </w:rPr>
        <w:t xml:space="preserve"> de la Ley de Transparencia y Acceso a la Información Pública del Estado de México y Municipios</w:t>
      </w:r>
      <w:r w:rsidRPr="00F5374C">
        <w:rPr>
          <w:rFonts w:ascii="Palatino Linotype" w:eastAsia="Palatino Linotype" w:hAnsi="Palatino Linotype" w:cs="Palatino Linotype"/>
          <w:color w:val="000000"/>
        </w:rPr>
        <w:t xml:space="preserve">, porque al modificar la respuesta el </w:t>
      </w:r>
      <w:r w:rsidRPr="00F5374C">
        <w:rPr>
          <w:rFonts w:ascii="Palatino Linotype" w:eastAsia="Palatino Linotype" w:hAnsi="Palatino Linotype" w:cs="Palatino Linotype"/>
          <w:b/>
          <w:color w:val="000000"/>
        </w:rPr>
        <w:t>SUJETO OBLIGADO</w:t>
      </w:r>
      <w:r w:rsidRPr="00F5374C">
        <w:rPr>
          <w:rFonts w:ascii="Palatino Linotype" w:eastAsia="Palatino Linotype" w:hAnsi="Palatino Linotype" w:cs="Palatino Linotype"/>
          <w:color w:val="000000"/>
        </w:rPr>
        <w:t xml:space="preserve">, el Recurso de Revisión quedó sin materia en términos del  Considerando </w:t>
      </w:r>
      <w:r w:rsidRPr="00F5374C">
        <w:rPr>
          <w:rFonts w:ascii="Palatino Linotype" w:eastAsia="Palatino Linotype" w:hAnsi="Palatino Linotype" w:cs="Palatino Linotype"/>
          <w:b/>
          <w:color w:val="000000"/>
        </w:rPr>
        <w:t>TERCERO</w:t>
      </w:r>
      <w:r w:rsidRPr="00F5374C">
        <w:rPr>
          <w:rFonts w:ascii="Palatino Linotype" w:eastAsia="Palatino Linotype" w:hAnsi="Palatino Linotype" w:cs="Palatino Linotype"/>
          <w:color w:val="000000"/>
        </w:rPr>
        <w:t xml:space="preserve"> de la presente Resolución.</w:t>
      </w:r>
    </w:p>
    <w:p w:rsidR="005F5F62" w:rsidRPr="00F5374C" w:rsidRDefault="005F5F62" w:rsidP="005F5F62">
      <w:pPr>
        <w:spacing w:line="360" w:lineRule="auto"/>
        <w:ind w:right="49"/>
        <w:jc w:val="both"/>
        <w:rPr>
          <w:rFonts w:ascii="Palatino Linotype" w:eastAsia="Palatino Linotype" w:hAnsi="Palatino Linotype" w:cs="Palatino Linotype"/>
          <w:b/>
        </w:rPr>
      </w:pPr>
    </w:p>
    <w:p w:rsidR="005F5F62" w:rsidRPr="00F5374C" w:rsidRDefault="005F5F62" w:rsidP="005F5F62">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bookmarkStart w:id="7" w:name="_heading=h.35nkun2" w:colFirst="0" w:colLast="0"/>
      <w:bookmarkEnd w:id="7"/>
      <w:r w:rsidRPr="00F5374C">
        <w:rPr>
          <w:rFonts w:ascii="Palatino Linotype" w:eastAsia="Palatino Linotype" w:hAnsi="Palatino Linotype" w:cs="Palatino Linotype"/>
          <w:b/>
          <w:color w:val="000000"/>
        </w:rPr>
        <w:t xml:space="preserve">SEGUNDO. Notifíquese </w:t>
      </w:r>
      <w:r w:rsidRPr="00F5374C">
        <w:rPr>
          <w:rFonts w:ascii="Palatino Linotype" w:eastAsia="Palatino Linotype" w:hAnsi="Palatino Linotype" w:cs="Palatino Linotype"/>
          <w:color w:val="000000"/>
        </w:rPr>
        <w:t xml:space="preserve">a través del Sistema de Acceso a la Información Mexiquense </w:t>
      </w:r>
      <w:r w:rsidRPr="00F5374C">
        <w:rPr>
          <w:rFonts w:ascii="Palatino Linotype" w:eastAsia="Palatino Linotype" w:hAnsi="Palatino Linotype" w:cs="Palatino Linotype"/>
          <w:b/>
          <w:color w:val="000000"/>
        </w:rPr>
        <w:t xml:space="preserve">(SAIMEX) </w:t>
      </w:r>
      <w:r w:rsidRPr="00F5374C">
        <w:rPr>
          <w:rFonts w:ascii="Palatino Linotype" w:eastAsia="Palatino Linotype" w:hAnsi="Palatino Linotype" w:cs="Palatino Linotype"/>
          <w:color w:val="000000"/>
        </w:rPr>
        <w:t>la presente resolución al Titular de la Unidad de Transparencia del</w:t>
      </w:r>
      <w:r w:rsidRPr="00F5374C">
        <w:rPr>
          <w:rFonts w:ascii="Palatino Linotype" w:eastAsia="Palatino Linotype" w:hAnsi="Palatino Linotype" w:cs="Palatino Linotype"/>
          <w:b/>
          <w:color w:val="000000"/>
        </w:rPr>
        <w:t xml:space="preserve"> SUJETO OBLIGADO. </w:t>
      </w:r>
    </w:p>
    <w:p w:rsidR="005F5F62" w:rsidRPr="00F5374C" w:rsidRDefault="005F5F62" w:rsidP="005F5F62">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rsidR="005F5F62" w:rsidRPr="00F5374C" w:rsidRDefault="005F5F62" w:rsidP="005F5F6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F5374C">
        <w:rPr>
          <w:rFonts w:ascii="Palatino Linotype" w:eastAsia="Palatino Linotype" w:hAnsi="Palatino Linotype" w:cs="Palatino Linotype"/>
          <w:b/>
          <w:color w:val="000000"/>
        </w:rPr>
        <w:t xml:space="preserve">TERCERO. Notifíquese </w:t>
      </w:r>
      <w:r w:rsidRPr="00F5374C">
        <w:rPr>
          <w:rFonts w:ascii="Palatino Linotype" w:eastAsia="Palatino Linotype" w:hAnsi="Palatino Linotype" w:cs="Palatino Linotype"/>
          <w:color w:val="000000"/>
        </w:rPr>
        <w:t xml:space="preserve">al </w:t>
      </w:r>
      <w:r w:rsidRPr="00F5374C">
        <w:rPr>
          <w:rFonts w:ascii="Palatino Linotype" w:eastAsia="Palatino Linotype" w:hAnsi="Palatino Linotype" w:cs="Palatino Linotype"/>
          <w:b/>
          <w:color w:val="000000"/>
        </w:rPr>
        <w:t xml:space="preserve">RECURRENTE </w:t>
      </w:r>
      <w:r w:rsidRPr="00F5374C">
        <w:rPr>
          <w:rFonts w:ascii="Palatino Linotype" w:eastAsia="Palatino Linotype" w:hAnsi="Palatino Linotype" w:cs="Palatino Linotype"/>
          <w:color w:val="000000"/>
        </w:rPr>
        <w:t>la presente resolución, vía SAIMEX.</w:t>
      </w:r>
    </w:p>
    <w:p w:rsidR="005F5F62" w:rsidRPr="00F5374C" w:rsidRDefault="005F5F62" w:rsidP="005F5F62">
      <w:pPr>
        <w:tabs>
          <w:tab w:val="left" w:pos="8080"/>
        </w:tabs>
        <w:spacing w:line="360" w:lineRule="auto"/>
        <w:ind w:right="49"/>
        <w:jc w:val="both"/>
        <w:rPr>
          <w:rFonts w:ascii="Palatino Linotype" w:eastAsia="Palatino Linotype" w:hAnsi="Palatino Linotype" w:cs="Palatino Linotype"/>
          <w:b/>
        </w:rPr>
      </w:pPr>
    </w:p>
    <w:p w:rsidR="005F5F62" w:rsidRPr="00F5374C" w:rsidRDefault="005F5F62" w:rsidP="005F5F62">
      <w:pPr>
        <w:shd w:val="clear" w:color="auto" w:fill="FFFFFF"/>
        <w:spacing w:line="360" w:lineRule="auto"/>
        <w:ind w:right="49"/>
        <w:jc w:val="both"/>
        <w:rPr>
          <w:rFonts w:ascii="Palatino Linotype" w:eastAsia="Palatino Linotype" w:hAnsi="Palatino Linotype" w:cs="Palatino Linotype"/>
        </w:rPr>
      </w:pPr>
      <w:r w:rsidRPr="00F5374C">
        <w:rPr>
          <w:rFonts w:ascii="Palatino Linotype" w:eastAsia="Palatino Linotype" w:hAnsi="Palatino Linotype" w:cs="Palatino Linotype"/>
          <w:b/>
        </w:rPr>
        <w:t>CUARTO.</w:t>
      </w:r>
      <w:r w:rsidRPr="00F5374C">
        <w:rPr>
          <w:rFonts w:ascii="Palatino Linotype" w:eastAsia="Palatino Linotype" w:hAnsi="Palatino Linotype" w:cs="Palatino Linotype"/>
        </w:rPr>
        <w:t xml:space="preserve"> Se hace del conocimiento del </w:t>
      </w:r>
      <w:r w:rsidRPr="00F5374C">
        <w:rPr>
          <w:rFonts w:ascii="Palatino Linotype" w:eastAsia="Palatino Linotype" w:hAnsi="Palatino Linotype" w:cs="Palatino Linotype"/>
          <w:b/>
        </w:rPr>
        <w:t xml:space="preserve">RECURRENTE </w:t>
      </w:r>
      <w:r w:rsidRPr="00F5374C">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F5F62" w:rsidRPr="00F5374C" w:rsidRDefault="005F5F62" w:rsidP="005F5F62">
      <w:pPr>
        <w:shd w:val="clear" w:color="auto" w:fill="FFFFFF"/>
        <w:spacing w:line="360" w:lineRule="auto"/>
        <w:ind w:right="49"/>
        <w:jc w:val="both"/>
        <w:rPr>
          <w:rFonts w:ascii="Palatino Linotype" w:eastAsia="Palatino Linotype" w:hAnsi="Palatino Linotype" w:cs="Palatino Linotype"/>
        </w:rPr>
      </w:pPr>
    </w:p>
    <w:p w:rsidR="004331ED" w:rsidRPr="00F5374C" w:rsidRDefault="004331ED" w:rsidP="004331ED">
      <w:pPr>
        <w:spacing w:before="240" w:after="240" w:line="360" w:lineRule="auto"/>
        <w:ind w:firstLine="1"/>
        <w:jc w:val="both"/>
        <w:rPr>
          <w:rFonts w:ascii="Palatino Linotype" w:hAnsi="Palatino Linotype"/>
        </w:rPr>
      </w:pPr>
      <w:bookmarkStart w:id="8" w:name="_Hlk99014733"/>
      <w:r w:rsidRPr="00F5374C">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w:t>
      </w:r>
      <w:r w:rsidRPr="00F5374C">
        <w:rPr>
          <w:rFonts w:ascii="Palatino Linotype" w:hAnsi="Palatino Linotype" w:cs="Palatino Linotype"/>
        </w:rPr>
        <w:lastRenderedPageBreak/>
        <w:t xml:space="preserve">MARÍA DEL ROSARIO MEJÍA AYALA, SHARON CRISTINA MORALES MARTÍNEZ, LUIS GUSTAVO PARRA NORIEGA Y GUADALUPE RAMÍREZ PEÑA; EN LA DÉCIMA NOVENA SESIÓN ORDINARIA, CELEBRADA EL VEINTISIETE (27) DE MAYO DE DOS MIL VEINTISÉIS, ANTE EL SECRETARIO TÉCNICO DEL PLENO </w:t>
      </w:r>
      <w:r w:rsidRPr="00F5374C">
        <w:rPr>
          <w:rFonts w:ascii="Palatino Linotype" w:hAnsi="Palatino Linotype" w:cs="Palatino Linotype"/>
          <w:color w:val="000000" w:themeColor="text1"/>
        </w:rPr>
        <w:t>ALEXIS TAPIA RAMÍREZ.</w:t>
      </w:r>
    </w:p>
    <w:bookmarkEnd w:id="8"/>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1748EC" w:rsidRPr="00F5374C" w:rsidRDefault="001748EC" w:rsidP="005F5F62">
      <w:pPr>
        <w:spacing w:line="360" w:lineRule="auto"/>
        <w:jc w:val="both"/>
        <w:rPr>
          <w:rFonts w:ascii="Palatino Linotype" w:eastAsia="Palatino Linotype" w:hAnsi="Palatino Linotype" w:cs="Palatino Linotype"/>
        </w:rPr>
      </w:pPr>
    </w:p>
    <w:p w:rsidR="00FE2217" w:rsidRPr="00F5374C" w:rsidRDefault="00FE2217" w:rsidP="005F5F62">
      <w:pPr>
        <w:spacing w:line="360" w:lineRule="auto"/>
        <w:jc w:val="both"/>
        <w:rPr>
          <w:rFonts w:ascii="Palatino Linotype" w:eastAsia="Palatino Linotype" w:hAnsi="Palatino Linotype" w:cs="Palatino Linotype"/>
        </w:rPr>
      </w:pPr>
    </w:p>
    <w:sectPr w:rsidR="00FE2217" w:rsidRPr="00F5374C" w:rsidSect="00F5374C">
      <w:headerReference w:type="even" r:id="rId15"/>
      <w:headerReference w:type="default" r:id="rId16"/>
      <w:footerReference w:type="default" r:id="rId17"/>
      <w:headerReference w:type="first" r:id="rId18"/>
      <w:footerReference w:type="first" r:id="rId19"/>
      <w:pgSz w:w="12240" w:h="15840"/>
      <w:pgMar w:top="133" w:right="1325"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7DB" w:rsidRDefault="005B37DB">
      <w:r>
        <w:separator/>
      </w:r>
    </w:p>
  </w:endnote>
  <w:endnote w:type="continuationSeparator" w:id="0">
    <w:p w:rsidR="005B37DB" w:rsidRDefault="005B3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Montserrat">
    <w:altName w:val="Montserrat"/>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6DD" w:rsidRDefault="000B66DD">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E01EAE">
      <w:rPr>
        <w:b/>
        <w:noProof/>
        <w:color w:val="000000"/>
      </w:rPr>
      <w:t>6</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E01EAE">
      <w:rPr>
        <w:b/>
        <w:noProof/>
        <w:color w:val="000000"/>
      </w:rPr>
      <w:t>19</w:t>
    </w:r>
    <w:r>
      <w:rPr>
        <w:b/>
        <w:color w:val="000000"/>
      </w:rPr>
      <w:fldChar w:fldCharType="end"/>
    </w:r>
  </w:p>
  <w:p w:rsidR="000B66DD" w:rsidRDefault="000B66D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6DD" w:rsidRDefault="000B66DD">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E01EAE">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E01EAE">
      <w:rPr>
        <w:b/>
        <w:noProof/>
        <w:color w:val="000000"/>
      </w:rPr>
      <w:t>19</w:t>
    </w:r>
    <w:r>
      <w:rPr>
        <w:b/>
        <w:color w:val="000000"/>
      </w:rPr>
      <w:fldChar w:fldCharType="end"/>
    </w:r>
  </w:p>
  <w:p w:rsidR="000B66DD" w:rsidRDefault="000B66D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7DB" w:rsidRDefault="005B37DB">
      <w:r>
        <w:separator/>
      </w:r>
    </w:p>
  </w:footnote>
  <w:footnote w:type="continuationSeparator" w:id="0">
    <w:p w:rsidR="005B37DB" w:rsidRDefault="005B37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6DD" w:rsidRDefault="005B37D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3"/>
      <w:tblW w:w="10290" w:type="dxa"/>
      <w:tblInd w:w="0" w:type="dxa"/>
      <w:tblLayout w:type="fixed"/>
      <w:tblLook w:val="0400" w:firstRow="0" w:lastRow="0" w:firstColumn="0" w:lastColumn="0" w:noHBand="0" w:noVBand="1"/>
    </w:tblPr>
    <w:tblGrid>
      <w:gridCol w:w="2310"/>
      <w:gridCol w:w="7980"/>
    </w:tblGrid>
    <w:tr w:rsidR="000B66DD">
      <w:trPr>
        <w:trHeight w:val="917"/>
      </w:trPr>
      <w:tc>
        <w:tcPr>
          <w:tcW w:w="2310" w:type="dxa"/>
          <w:shd w:val="clear" w:color="auto" w:fill="auto"/>
        </w:tcPr>
        <w:p w:rsidR="000B66DD" w:rsidRDefault="000B66DD">
          <w:pPr>
            <w:tabs>
              <w:tab w:val="right" w:pos="4273"/>
            </w:tabs>
            <w:rPr>
              <w:rFonts w:ascii="Garamond" w:eastAsia="Garamond" w:hAnsi="Garamond" w:cs="Garamond"/>
              <w:sz w:val="16"/>
              <w:szCs w:val="16"/>
            </w:rPr>
          </w:pPr>
        </w:p>
      </w:tc>
      <w:tc>
        <w:tcPr>
          <w:tcW w:w="7980" w:type="dxa"/>
          <w:shd w:val="clear" w:color="auto" w:fill="auto"/>
        </w:tcPr>
        <w:tbl>
          <w:tblPr>
            <w:tblStyle w:val="af4"/>
            <w:tblW w:w="7787" w:type="dxa"/>
            <w:tblInd w:w="552" w:type="dxa"/>
            <w:tblLayout w:type="fixed"/>
            <w:tblLook w:val="0400" w:firstRow="0" w:lastRow="0" w:firstColumn="0" w:lastColumn="0" w:noHBand="0" w:noVBand="1"/>
          </w:tblPr>
          <w:tblGrid>
            <w:gridCol w:w="3827"/>
            <w:gridCol w:w="3960"/>
          </w:tblGrid>
          <w:tr w:rsidR="000B66DD" w:rsidTr="00F5374C">
            <w:trPr>
              <w:trHeight w:val="68"/>
            </w:trPr>
            <w:tc>
              <w:tcPr>
                <w:tcW w:w="3827" w:type="dxa"/>
                <w:shd w:val="clear" w:color="auto" w:fill="auto"/>
              </w:tcPr>
              <w:p w:rsidR="000B66DD" w:rsidRPr="00F5374C" w:rsidRDefault="000B66DD">
                <w:pPr>
                  <w:tabs>
                    <w:tab w:val="right" w:pos="8838"/>
                  </w:tabs>
                  <w:ind w:left="850" w:right="-274"/>
                  <w:rPr>
                    <w:rFonts w:ascii="Palatino Linotype" w:eastAsia="Palatino Linotype" w:hAnsi="Palatino Linotype" w:cs="Palatino Linotype"/>
                    <w:b/>
                    <w:szCs w:val="22"/>
                  </w:rPr>
                </w:pPr>
                <w:r w:rsidRPr="00F5374C">
                  <w:rPr>
                    <w:rFonts w:ascii="Palatino Linotype" w:eastAsia="Palatino Linotype" w:hAnsi="Palatino Linotype" w:cs="Palatino Linotype"/>
                    <w:b/>
                    <w:szCs w:val="22"/>
                  </w:rPr>
                  <w:t>Recurso de Revisión:</w:t>
                </w:r>
              </w:p>
            </w:tc>
            <w:tc>
              <w:tcPr>
                <w:tcW w:w="3960" w:type="dxa"/>
                <w:shd w:val="clear" w:color="auto" w:fill="auto"/>
              </w:tcPr>
              <w:p w:rsidR="000B66DD" w:rsidRPr="00F5374C" w:rsidRDefault="000B66DD" w:rsidP="00A70CA6">
                <w:pPr>
                  <w:ind w:right="-1512"/>
                  <w:rPr>
                    <w:rFonts w:ascii="Palatino Linotype" w:eastAsia="Palatino Linotype" w:hAnsi="Palatino Linotype" w:cs="Palatino Linotype"/>
                    <w:szCs w:val="22"/>
                  </w:rPr>
                </w:pPr>
                <w:r w:rsidRPr="00F5374C">
                  <w:rPr>
                    <w:rFonts w:ascii="Palatino Linotype" w:eastAsia="Palatino Linotype" w:hAnsi="Palatino Linotype" w:cs="Palatino Linotype"/>
                    <w:szCs w:val="22"/>
                  </w:rPr>
                  <w:t>03353/INFOEM/IP/RR/2026</w:t>
                </w:r>
              </w:p>
            </w:tc>
          </w:tr>
          <w:tr w:rsidR="000B66DD" w:rsidTr="00F5374C">
            <w:trPr>
              <w:trHeight w:val="135"/>
            </w:trPr>
            <w:tc>
              <w:tcPr>
                <w:tcW w:w="3827" w:type="dxa"/>
                <w:shd w:val="clear" w:color="auto" w:fill="auto"/>
              </w:tcPr>
              <w:p w:rsidR="000B66DD" w:rsidRPr="00F5374C" w:rsidRDefault="000B66DD">
                <w:pPr>
                  <w:tabs>
                    <w:tab w:val="right" w:pos="8838"/>
                  </w:tabs>
                  <w:ind w:left="850" w:right="-274"/>
                  <w:rPr>
                    <w:rFonts w:ascii="Palatino Linotype" w:eastAsia="Palatino Linotype" w:hAnsi="Palatino Linotype" w:cs="Palatino Linotype"/>
                    <w:b/>
                    <w:szCs w:val="22"/>
                  </w:rPr>
                </w:pPr>
                <w:r w:rsidRPr="00F5374C">
                  <w:rPr>
                    <w:rFonts w:ascii="Palatino Linotype" w:eastAsia="Palatino Linotype" w:hAnsi="Palatino Linotype" w:cs="Palatino Linotype"/>
                    <w:b/>
                    <w:szCs w:val="22"/>
                  </w:rPr>
                  <w:t>Sujeto Obligado:</w:t>
                </w:r>
              </w:p>
            </w:tc>
            <w:tc>
              <w:tcPr>
                <w:tcW w:w="3960" w:type="dxa"/>
                <w:shd w:val="clear" w:color="auto" w:fill="auto"/>
              </w:tcPr>
              <w:p w:rsidR="000B66DD" w:rsidRPr="00F5374C" w:rsidRDefault="000B66DD" w:rsidP="00BE07B5">
                <w:pPr>
                  <w:tabs>
                    <w:tab w:val="left" w:pos="2834"/>
                  </w:tabs>
                  <w:ind w:right="-810"/>
                  <w:rPr>
                    <w:rFonts w:ascii="Palatino Linotype" w:eastAsia="Palatino Linotype" w:hAnsi="Palatino Linotype" w:cs="Palatino Linotype"/>
                    <w:szCs w:val="22"/>
                  </w:rPr>
                </w:pPr>
                <w:r w:rsidRPr="00F5374C">
                  <w:rPr>
                    <w:rFonts w:ascii="Palatino Linotype" w:hAnsi="Palatino Linotype"/>
                    <w:bCs/>
                  </w:rPr>
                  <w:t>Ayuntamiento de Ixtlahuaca</w:t>
                </w:r>
              </w:p>
            </w:tc>
          </w:tr>
          <w:tr w:rsidR="000B66DD" w:rsidTr="00F5374C">
            <w:trPr>
              <w:trHeight w:val="135"/>
            </w:trPr>
            <w:tc>
              <w:tcPr>
                <w:tcW w:w="3827" w:type="dxa"/>
                <w:shd w:val="clear" w:color="auto" w:fill="auto"/>
              </w:tcPr>
              <w:p w:rsidR="000B66DD" w:rsidRPr="00F5374C" w:rsidRDefault="000B66DD">
                <w:pPr>
                  <w:tabs>
                    <w:tab w:val="right" w:pos="8838"/>
                  </w:tabs>
                  <w:ind w:left="850" w:right="-274"/>
                  <w:rPr>
                    <w:rFonts w:ascii="Palatino Linotype" w:eastAsia="Palatino Linotype" w:hAnsi="Palatino Linotype" w:cs="Palatino Linotype"/>
                    <w:b/>
                    <w:szCs w:val="22"/>
                  </w:rPr>
                </w:pPr>
                <w:r w:rsidRPr="00F5374C">
                  <w:rPr>
                    <w:rFonts w:ascii="Palatino Linotype" w:eastAsia="Palatino Linotype" w:hAnsi="Palatino Linotype" w:cs="Palatino Linotype"/>
                    <w:b/>
                    <w:szCs w:val="22"/>
                  </w:rPr>
                  <w:t>Comisionada ponente:</w:t>
                </w:r>
              </w:p>
            </w:tc>
            <w:tc>
              <w:tcPr>
                <w:tcW w:w="3960" w:type="dxa"/>
                <w:shd w:val="clear" w:color="auto" w:fill="auto"/>
              </w:tcPr>
              <w:p w:rsidR="000B66DD" w:rsidRPr="00F5374C" w:rsidRDefault="000B66DD">
                <w:pPr>
                  <w:ind w:right="-1512"/>
                  <w:rPr>
                    <w:rFonts w:ascii="Palatino Linotype" w:eastAsia="Palatino Linotype" w:hAnsi="Palatino Linotype" w:cs="Palatino Linotype"/>
                    <w:szCs w:val="22"/>
                  </w:rPr>
                </w:pPr>
                <w:r w:rsidRPr="00F5374C">
                  <w:rPr>
                    <w:rFonts w:ascii="Palatino Linotype" w:eastAsia="Palatino Linotype" w:hAnsi="Palatino Linotype" w:cs="Palatino Linotype"/>
                    <w:szCs w:val="22"/>
                  </w:rPr>
                  <w:t>María del Rosario Mejía Ayala</w:t>
                </w:r>
              </w:p>
              <w:p w:rsidR="000B66DD" w:rsidRPr="00F5374C" w:rsidRDefault="000B66DD">
                <w:pPr>
                  <w:ind w:right="-1512"/>
                  <w:rPr>
                    <w:rFonts w:ascii="Palatino Linotype" w:eastAsia="Palatino Linotype" w:hAnsi="Palatino Linotype" w:cs="Palatino Linotype"/>
                    <w:szCs w:val="22"/>
                  </w:rPr>
                </w:pPr>
              </w:p>
            </w:tc>
          </w:tr>
        </w:tbl>
        <w:p w:rsidR="000B66DD" w:rsidRDefault="000B66DD">
          <w:pPr>
            <w:tabs>
              <w:tab w:val="right" w:pos="8838"/>
            </w:tabs>
            <w:ind w:left="-28"/>
            <w:jc w:val="both"/>
            <w:rPr>
              <w:rFonts w:ascii="Arial" w:eastAsia="Arial" w:hAnsi="Arial" w:cs="Arial"/>
              <w:b/>
              <w:sz w:val="22"/>
              <w:szCs w:val="22"/>
            </w:rPr>
          </w:pPr>
        </w:p>
      </w:tc>
    </w:tr>
  </w:tbl>
  <w:p w:rsidR="000B66DD" w:rsidRDefault="005B37DB">
    <w:pPr>
      <w:pBdr>
        <w:top w:val="nil"/>
        <w:left w:val="nil"/>
        <w:bottom w:val="nil"/>
        <w:right w:val="nil"/>
        <w:between w:val="nil"/>
      </w:pBdr>
      <w:tabs>
        <w:tab w:val="center" w:pos="4419"/>
        <w:tab w:val="right" w:pos="8838"/>
      </w:tabs>
      <w:rPr>
        <w:color w:val="000000"/>
        <w:sz w:val="14"/>
        <w:szCs w:val="14"/>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alt="" style="position:absolute;margin-left:-55.2pt;margin-top:-111.15pt;width:589.8pt;height:768pt;z-index:-25165977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5"/>
      <w:tblW w:w="10350" w:type="dxa"/>
      <w:tblInd w:w="0" w:type="dxa"/>
      <w:tblLayout w:type="fixed"/>
      <w:tblLook w:val="0400" w:firstRow="0" w:lastRow="0" w:firstColumn="0" w:lastColumn="0" w:noHBand="0" w:noVBand="1"/>
    </w:tblPr>
    <w:tblGrid>
      <w:gridCol w:w="3092"/>
      <w:gridCol w:w="7258"/>
    </w:tblGrid>
    <w:tr w:rsidR="000B66DD">
      <w:trPr>
        <w:trHeight w:val="2303"/>
      </w:trPr>
      <w:tc>
        <w:tcPr>
          <w:tcW w:w="3092" w:type="dxa"/>
          <w:shd w:val="clear" w:color="auto" w:fill="auto"/>
        </w:tcPr>
        <w:p w:rsidR="000B66DD" w:rsidRDefault="000B66DD" w:rsidP="00F5374C">
          <w:pPr>
            <w:rPr>
              <w:rFonts w:ascii="Garamond" w:eastAsia="Garamond" w:hAnsi="Garamond" w:cs="Garamond"/>
              <w:sz w:val="22"/>
              <w:szCs w:val="22"/>
            </w:rPr>
          </w:pPr>
        </w:p>
      </w:tc>
      <w:tc>
        <w:tcPr>
          <w:tcW w:w="7258" w:type="dxa"/>
          <w:shd w:val="clear" w:color="auto" w:fill="auto"/>
        </w:tcPr>
        <w:tbl>
          <w:tblPr>
            <w:tblStyle w:val="af6"/>
            <w:tblW w:w="6856" w:type="dxa"/>
            <w:tblInd w:w="479" w:type="dxa"/>
            <w:tblLayout w:type="fixed"/>
            <w:tblLook w:val="0400" w:firstRow="0" w:lastRow="0" w:firstColumn="0" w:lastColumn="0" w:noHBand="0" w:noVBand="1"/>
          </w:tblPr>
          <w:tblGrid>
            <w:gridCol w:w="2835"/>
            <w:gridCol w:w="3771"/>
            <w:gridCol w:w="250"/>
          </w:tblGrid>
          <w:tr w:rsidR="000B66DD" w:rsidTr="00F5374C">
            <w:trPr>
              <w:trHeight w:val="144"/>
            </w:trPr>
            <w:tc>
              <w:tcPr>
                <w:tcW w:w="2835" w:type="dxa"/>
                <w:shd w:val="clear" w:color="auto" w:fill="auto"/>
              </w:tcPr>
              <w:p w:rsidR="000B66DD" w:rsidRPr="00F5374C" w:rsidRDefault="000B66DD" w:rsidP="00F5374C">
                <w:pPr>
                  <w:tabs>
                    <w:tab w:val="right" w:pos="8838"/>
                  </w:tabs>
                  <w:ind w:left="80" w:right="-105" w:hanging="80"/>
                  <w:jc w:val="both"/>
                  <w:rPr>
                    <w:rFonts w:ascii="Palatino Linotype" w:eastAsia="Palatino Linotype" w:hAnsi="Palatino Linotype" w:cs="Palatino Linotype"/>
                    <w:b/>
                    <w:szCs w:val="22"/>
                  </w:rPr>
                </w:pPr>
                <w:r w:rsidRPr="00F5374C">
                  <w:rPr>
                    <w:rFonts w:ascii="Palatino Linotype" w:eastAsia="Palatino Linotype" w:hAnsi="Palatino Linotype" w:cs="Palatino Linotype"/>
                    <w:b/>
                    <w:szCs w:val="22"/>
                  </w:rPr>
                  <w:t>Recurso de Revisión:</w:t>
                </w:r>
              </w:p>
            </w:tc>
            <w:tc>
              <w:tcPr>
                <w:tcW w:w="3771" w:type="dxa"/>
              </w:tcPr>
              <w:p w:rsidR="000B66DD" w:rsidRPr="00F5374C" w:rsidRDefault="004331ED" w:rsidP="00F5374C">
                <w:pPr>
                  <w:ind w:left="80" w:right="68" w:hanging="80"/>
                  <w:rPr>
                    <w:rFonts w:ascii="Palatino Linotype" w:hAnsi="Palatino Linotype" w:cs="Arial"/>
                    <w:b/>
                    <w:bCs/>
                  </w:rPr>
                </w:pPr>
                <w:r w:rsidRPr="00F5374C">
                  <w:rPr>
                    <w:rFonts w:ascii="Palatino Linotype" w:hAnsi="Palatino Linotype" w:cs="Arial"/>
                    <w:bCs/>
                  </w:rPr>
                  <w:t>0335</w:t>
                </w:r>
                <w:r w:rsidR="000B66DD" w:rsidRPr="00F5374C">
                  <w:rPr>
                    <w:rFonts w:ascii="Palatino Linotype" w:hAnsi="Palatino Linotype" w:cs="Arial"/>
                    <w:bCs/>
                  </w:rPr>
                  <w:t>3/INFOEM/IP/RR/2026</w:t>
                </w:r>
              </w:p>
            </w:tc>
            <w:tc>
              <w:tcPr>
                <w:tcW w:w="250" w:type="dxa"/>
                <w:shd w:val="clear" w:color="auto" w:fill="auto"/>
              </w:tcPr>
              <w:p w:rsidR="000B66DD" w:rsidRDefault="000B66DD" w:rsidP="004331ED">
                <w:pPr>
                  <w:ind w:right="-810"/>
                  <w:rPr>
                    <w:rFonts w:ascii="Palatino Linotype" w:eastAsia="Palatino Linotype" w:hAnsi="Palatino Linotype" w:cs="Palatino Linotype"/>
                    <w:sz w:val="22"/>
                    <w:szCs w:val="22"/>
                  </w:rPr>
                </w:pPr>
              </w:p>
            </w:tc>
          </w:tr>
          <w:tr w:rsidR="000B66DD" w:rsidTr="00F5374C">
            <w:trPr>
              <w:trHeight w:val="144"/>
            </w:trPr>
            <w:tc>
              <w:tcPr>
                <w:tcW w:w="2835" w:type="dxa"/>
                <w:shd w:val="clear" w:color="auto" w:fill="auto"/>
              </w:tcPr>
              <w:p w:rsidR="000B66DD" w:rsidRPr="00F5374C" w:rsidRDefault="000B66DD" w:rsidP="00F5374C">
                <w:pPr>
                  <w:tabs>
                    <w:tab w:val="right" w:pos="8838"/>
                  </w:tabs>
                  <w:ind w:left="80" w:right="-105" w:hanging="80"/>
                  <w:jc w:val="both"/>
                  <w:rPr>
                    <w:rFonts w:ascii="Palatino Linotype" w:eastAsia="Palatino Linotype" w:hAnsi="Palatino Linotype" w:cs="Palatino Linotype"/>
                    <w:b/>
                    <w:szCs w:val="22"/>
                  </w:rPr>
                </w:pPr>
                <w:r w:rsidRPr="00F5374C">
                  <w:rPr>
                    <w:rFonts w:ascii="Palatino Linotype" w:eastAsia="Palatino Linotype" w:hAnsi="Palatino Linotype" w:cs="Palatino Linotype"/>
                    <w:b/>
                    <w:szCs w:val="22"/>
                  </w:rPr>
                  <w:t>Recurrente:</w:t>
                </w:r>
              </w:p>
            </w:tc>
            <w:tc>
              <w:tcPr>
                <w:tcW w:w="3771" w:type="dxa"/>
              </w:tcPr>
              <w:p w:rsidR="000B66DD" w:rsidRPr="00F5374C" w:rsidRDefault="00E01EAE" w:rsidP="00F5374C">
                <w:pPr>
                  <w:ind w:left="80" w:hanging="80"/>
                  <w:rPr>
                    <w:rFonts w:ascii="Palatino Linotype" w:hAnsi="Palatino Linotype"/>
                    <w:b/>
                  </w:rPr>
                </w:pPr>
                <w:r>
                  <w:rPr>
                    <w:rFonts w:ascii="Palatino Linotype" w:hAnsi="Palatino Linotype"/>
                    <w:b/>
                  </w:rPr>
                  <w:t>XXXX</w:t>
                </w:r>
              </w:p>
            </w:tc>
            <w:tc>
              <w:tcPr>
                <w:tcW w:w="250" w:type="dxa"/>
                <w:shd w:val="clear" w:color="auto" w:fill="auto"/>
              </w:tcPr>
              <w:p w:rsidR="000B66DD" w:rsidRDefault="000B66DD" w:rsidP="00AF618E">
                <w:pPr>
                  <w:tabs>
                    <w:tab w:val="left" w:pos="3122"/>
                  </w:tabs>
                  <w:ind w:right="-810"/>
                  <w:rPr>
                    <w:rFonts w:ascii="Palatino Linotype" w:eastAsia="Palatino Linotype" w:hAnsi="Palatino Linotype" w:cs="Palatino Linotype"/>
                    <w:sz w:val="22"/>
                    <w:szCs w:val="22"/>
                  </w:rPr>
                </w:pPr>
              </w:p>
            </w:tc>
          </w:tr>
          <w:tr w:rsidR="000B66DD" w:rsidTr="00F5374C">
            <w:trPr>
              <w:trHeight w:val="283"/>
            </w:trPr>
            <w:tc>
              <w:tcPr>
                <w:tcW w:w="2835" w:type="dxa"/>
                <w:shd w:val="clear" w:color="auto" w:fill="auto"/>
              </w:tcPr>
              <w:p w:rsidR="000B66DD" w:rsidRPr="00F5374C" w:rsidRDefault="000B66DD" w:rsidP="00F5374C">
                <w:pPr>
                  <w:tabs>
                    <w:tab w:val="right" w:pos="8838"/>
                  </w:tabs>
                  <w:ind w:left="80" w:right="-105" w:hanging="80"/>
                  <w:jc w:val="both"/>
                  <w:rPr>
                    <w:rFonts w:ascii="Palatino Linotype" w:eastAsia="Palatino Linotype" w:hAnsi="Palatino Linotype" w:cs="Palatino Linotype"/>
                    <w:b/>
                    <w:szCs w:val="22"/>
                  </w:rPr>
                </w:pPr>
                <w:r w:rsidRPr="00F5374C">
                  <w:rPr>
                    <w:rFonts w:ascii="Palatino Linotype" w:eastAsia="Palatino Linotype" w:hAnsi="Palatino Linotype" w:cs="Palatino Linotype"/>
                    <w:b/>
                    <w:szCs w:val="22"/>
                  </w:rPr>
                  <w:t>Sujeto Obligado:</w:t>
                </w:r>
              </w:p>
            </w:tc>
            <w:tc>
              <w:tcPr>
                <w:tcW w:w="3771" w:type="dxa"/>
              </w:tcPr>
              <w:p w:rsidR="000B66DD" w:rsidRPr="00F5374C" w:rsidRDefault="000B66DD" w:rsidP="00F5374C">
                <w:pPr>
                  <w:ind w:left="80" w:right="68" w:hanging="80"/>
                  <w:rPr>
                    <w:rFonts w:ascii="Palatino Linotype" w:hAnsi="Palatino Linotype" w:cs="Arial"/>
                  </w:rPr>
                </w:pPr>
                <w:r w:rsidRPr="00F5374C">
                  <w:rPr>
                    <w:rFonts w:ascii="Palatino Linotype" w:hAnsi="Palatino Linotype"/>
                    <w:bCs/>
                  </w:rPr>
                  <w:t>Ayuntamiento de Ixtlahuaca</w:t>
                </w:r>
              </w:p>
            </w:tc>
            <w:tc>
              <w:tcPr>
                <w:tcW w:w="250" w:type="dxa"/>
                <w:shd w:val="clear" w:color="auto" w:fill="auto"/>
              </w:tcPr>
              <w:p w:rsidR="000B66DD" w:rsidRDefault="000B66DD" w:rsidP="004331ED">
                <w:pPr>
                  <w:tabs>
                    <w:tab w:val="left" w:pos="2834"/>
                  </w:tabs>
                  <w:ind w:right="-810"/>
                  <w:rPr>
                    <w:rFonts w:ascii="Palatino Linotype" w:eastAsia="Palatino Linotype" w:hAnsi="Palatino Linotype" w:cs="Palatino Linotype"/>
                    <w:sz w:val="22"/>
                    <w:szCs w:val="22"/>
                  </w:rPr>
                </w:pPr>
              </w:p>
            </w:tc>
          </w:tr>
          <w:tr w:rsidR="000B66DD" w:rsidTr="00F5374C">
            <w:trPr>
              <w:trHeight w:val="283"/>
            </w:trPr>
            <w:tc>
              <w:tcPr>
                <w:tcW w:w="2835" w:type="dxa"/>
                <w:shd w:val="clear" w:color="auto" w:fill="auto"/>
              </w:tcPr>
              <w:p w:rsidR="000B66DD" w:rsidRPr="00F5374C" w:rsidRDefault="000B66DD" w:rsidP="00F5374C">
                <w:pPr>
                  <w:tabs>
                    <w:tab w:val="right" w:pos="8838"/>
                  </w:tabs>
                  <w:ind w:left="80" w:right="-105" w:hanging="80"/>
                  <w:jc w:val="both"/>
                  <w:rPr>
                    <w:rFonts w:ascii="Palatino Linotype" w:eastAsia="Palatino Linotype" w:hAnsi="Palatino Linotype" w:cs="Palatino Linotype"/>
                    <w:b/>
                    <w:szCs w:val="22"/>
                  </w:rPr>
                </w:pPr>
                <w:r w:rsidRPr="00F5374C">
                  <w:rPr>
                    <w:rFonts w:ascii="Palatino Linotype" w:eastAsia="Palatino Linotype" w:hAnsi="Palatino Linotype" w:cs="Palatino Linotype"/>
                    <w:b/>
                    <w:szCs w:val="22"/>
                  </w:rPr>
                  <w:t>Comisionada ponente:</w:t>
                </w:r>
              </w:p>
            </w:tc>
            <w:tc>
              <w:tcPr>
                <w:tcW w:w="3771" w:type="dxa"/>
              </w:tcPr>
              <w:p w:rsidR="000B66DD" w:rsidRPr="00F5374C" w:rsidRDefault="000B66DD" w:rsidP="00F5374C">
                <w:pPr>
                  <w:ind w:left="80" w:right="68" w:hanging="80"/>
                  <w:rPr>
                    <w:rFonts w:ascii="Palatino Linotype" w:hAnsi="Palatino Linotype" w:cs="Arial"/>
                  </w:rPr>
                </w:pPr>
                <w:r w:rsidRPr="00F5374C">
                  <w:rPr>
                    <w:rFonts w:ascii="Palatino Linotype" w:hAnsi="Palatino Linotype" w:cs="Arial"/>
                  </w:rPr>
                  <w:t>María del Rosario Mejía Ayala</w:t>
                </w:r>
              </w:p>
            </w:tc>
            <w:tc>
              <w:tcPr>
                <w:tcW w:w="250" w:type="dxa"/>
                <w:shd w:val="clear" w:color="auto" w:fill="auto"/>
              </w:tcPr>
              <w:p w:rsidR="000B66DD" w:rsidRDefault="000B66DD" w:rsidP="004331ED">
                <w:pPr>
                  <w:ind w:right="-810"/>
                  <w:rPr>
                    <w:rFonts w:ascii="Palatino Linotype" w:eastAsia="Palatino Linotype" w:hAnsi="Palatino Linotype" w:cs="Palatino Linotype"/>
                    <w:sz w:val="22"/>
                    <w:szCs w:val="22"/>
                  </w:rPr>
                </w:pPr>
              </w:p>
            </w:tc>
          </w:tr>
        </w:tbl>
        <w:p w:rsidR="000B66DD" w:rsidRDefault="000B66DD">
          <w:pPr>
            <w:tabs>
              <w:tab w:val="right" w:pos="8838"/>
            </w:tabs>
            <w:ind w:left="-28"/>
            <w:jc w:val="both"/>
            <w:rPr>
              <w:rFonts w:ascii="Arial" w:eastAsia="Arial" w:hAnsi="Arial" w:cs="Arial"/>
              <w:b/>
              <w:sz w:val="22"/>
              <w:szCs w:val="22"/>
            </w:rPr>
          </w:pPr>
        </w:p>
      </w:tc>
    </w:tr>
  </w:tbl>
  <w:p w:rsidR="000B66DD" w:rsidRDefault="005B37DB">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45.3pt;margin-top:-151.6pt;width:589.8pt;height:768pt;z-index:-25165875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2598E4F"/>
    <w:multiLevelType w:val="hybridMultilevel"/>
    <w:tmpl w:val="EAEE9DCD"/>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1A976D"/>
    <w:multiLevelType w:val="hybridMultilevel"/>
    <w:tmpl w:val="5B1F2F5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3791B"/>
    <w:multiLevelType w:val="multilevel"/>
    <w:tmpl w:val="F48E9BD4"/>
    <w:lvl w:ilvl="0">
      <w:start w:val="12"/>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1FF538A"/>
    <w:multiLevelType w:val="multilevel"/>
    <w:tmpl w:val="8848D8EA"/>
    <w:lvl w:ilvl="0">
      <w:start w:val="36"/>
      <w:numFmt w:val="decimal"/>
      <w:lvlText w:val="%1."/>
      <w:lvlJc w:val="left"/>
      <w:pPr>
        <w:ind w:left="501"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475E04"/>
    <w:multiLevelType w:val="hybridMultilevel"/>
    <w:tmpl w:val="FE943D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207EDF"/>
    <w:multiLevelType w:val="multilevel"/>
    <w:tmpl w:val="B4906510"/>
    <w:lvl w:ilvl="0">
      <w:start w:val="12"/>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E394268"/>
    <w:multiLevelType w:val="hybridMultilevel"/>
    <w:tmpl w:val="1CA6715E"/>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7" w15:restartNumberingAfterBreak="0">
    <w:nsid w:val="0F990795"/>
    <w:multiLevelType w:val="multilevel"/>
    <w:tmpl w:val="41CEFF0E"/>
    <w:lvl w:ilvl="0">
      <w:start w:val="30"/>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0BE0878"/>
    <w:multiLevelType w:val="hybridMultilevel"/>
    <w:tmpl w:val="1BA4A796"/>
    <w:lvl w:ilvl="0" w:tplc="038C6C46">
      <w:start w:val="9"/>
      <w:numFmt w:val="bullet"/>
      <w:lvlText w:val="-"/>
      <w:lvlJc w:val="left"/>
      <w:pPr>
        <w:ind w:left="1494" w:hanging="360"/>
      </w:pPr>
      <w:rPr>
        <w:rFonts w:ascii="Palatino Linotype" w:eastAsia="Times New Roman" w:hAnsi="Palatino Linotype" w:cs="Times New Roman"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9"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1B216A6"/>
    <w:multiLevelType w:val="multilevel"/>
    <w:tmpl w:val="1B46B0DE"/>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BC1DC8"/>
    <w:multiLevelType w:val="hybridMultilevel"/>
    <w:tmpl w:val="839A15B8"/>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2" w15:restartNumberingAfterBreak="0">
    <w:nsid w:val="161023C3"/>
    <w:multiLevelType w:val="hybridMultilevel"/>
    <w:tmpl w:val="527275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78D2008"/>
    <w:multiLevelType w:val="hybridMultilevel"/>
    <w:tmpl w:val="CA8270B4"/>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80F1A08"/>
    <w:multiLevelType w:val="hybridMultilevel"/>
    <w:tmpl w:val="9CC4A0CC"/>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5" w15:restartNumberingAfterBreak="0">
    <w:nsid w:val="1860488F"/>
    <w:multiLevelType w:val="multilevel"/>
    <w:tmpl w:val="3CB0BB96"/>
    <w:lvl w:ilvl="0">
      <w:start w:val="6"/>
      <w:numFmt w:val="decimal"/>
      <w:lvlText w:val="%1."/>
      <w:lvlJc w:val="left"/>
      <w:pPr>
        <w:ind w:left="644" w:hanging="357"/>
      </w:pPr>
      <w:rPr>
        <w:rFonts w:ascii="Palatino Linotype" w:eastAsia="Palatino Linotype" w:hAnsi="Palatino Linotype" w:cs="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AD04A0E"/>
    <w:multiLevelType w:val="multilevel"/>
    <w:tmpl w:val="089EEE94"/>
    <w:lvl w:ilvl="0">
      <w:start w:val="32"/>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E6C3CD9"/>
    <w:multiLevelType w:val="hybridMultilevel"/>
    <w:tmpl w:val="4080C7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75B1264"/>
    <w:multiLevelType w:val="multilevel"/>
    <w:tmpl w:val="A386B37A"/>
    <w:lvl w:ilvl="0">
      <w:start w:val="37"/>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9A30EE0"/>
    <w:multiLevelType w:val="multilevel"/>
    <w:tmpl w:val="5E22CA20"/>
    <w:lvl w:ilvl="0">
      <w:start w:val="26"/>
      <w:numFmt w:val="decimal"/>
      <w:lvlText w:val="%1."/>
      <w:lvlJc w:val="left"/>
      <w:pPr>
        <w:ind w:left="501"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CFD1FC6"/>
    <w:multiLevelType w:val="multilevel"/>
    <w:tmpl w:val="7372475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DB377EE"/>
    <w:multiLevelType w:val="multilevel"/>
    <w:tmpl w:val="EF3EA2FE"/>
    <w:lvl w:ilvl="0">
      <w:start w:val="65"/>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06A009B"/>
    <w:multiLevelType w:val="hybridMultilevel"/>
    <w:tmpl w:val="D95C3CE4"/>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24" w15:restartNumberingAfterBreak="0">
    <w:nsid w:val="32AC1E4F"/>
    <w:multiLevelType w:val="hybridMultilevel"/>
    <w:tmpl w:val="C35AE2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3C96499"/>
    <w:multiLevelType w:val="multilevel"/>
    <w:tmpl w:val="C1DCC092"/>
    <w:lvl w:ilvl="0">
      <w:start w:val="21"/>
      <w:numFmt w:val="decimal"/>
      <w:lvlText w:val="%1."/>
      <w:lvlJc w:val="left"/>
      <w:pPr>
        <w:ind w:left="501"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1637"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4317490"/>
    <w:multiLevelType w:val="hybridMultilevel"/>
    <w:tmpl w:val="66DA59C0"/>
    <w:lvl w:ilvl="0" w:tplc="F5C4018E">
      <w:start w:val="1"/>
      <w:numFmt w:val="decimal"/>
      <w:lvlText w:val="%1."/>
      <w:lvlJc w:val="left"/>
      <w:pPr>
        <w:ind w:left="360"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865426D"/>
    <w:multiLevelType w:val="multilevel"/>
    <w:tmpl w:val="EBBC1C00"/>
    <w:lvl w:ilvl="0">
      <w:start w:val="51"/>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98B5606"/>
    <w:multiLevelType w:val="hybridMultilevel"/>
    <w:tmpl w:val="D690FF42"/>
    <w:lvl w:ilvl="0" w:tplc="080A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246439C"/>
    <w:multiLevelType w:val="multilevel"/>
    <w:tmpl w:val="FFB439AA"/>
    <w:lvl w:ilvl="0">
      <w:start w:val="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05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40839EE"/>
    <w:multiLevelType w:val="multilevel"/>
    <w:tmpl w:val="14DA44C2"/>
    <w:lvl w:ilvl="0">
      <w:start w:val="24"/>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3F65C20"/>
    <w:multiLevelType w:val="multilevel"/>
    <w:tmpl w:val="2C3073F2"/>
    <w:lvl w:ilvl="0">
      <w:start w:val="60"/>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57D7726"/>
    <w:multiLevelType w:val="hybridMultilevel"/>
    <w:tmpl w:val="6598EB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A177B67"/>
    <w:multiLevelType w:val="multilevel"/>
    <w:tmpl w:val="A468D25E"/>
    <w:lvl w:ilvl="0">
      <w:start w:val="13"/>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657696E"/>
    <w:multiLevelType w:val="multilevel"/>
    <w:tmpl w:val="526EBFEA"/>
    <w:lvl w:ilvl="0">
      <w:start w:val="14"/>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D424E7C"/>
    <w:multiLevelType w:val="multilevel"/>
    <w:tmpl w:val="BDEEC39E"/>
    <w:lvl w:ilvl="0">
      <w:start w:val="13"/>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EB3166C"/>
    <w:multiLevelType w:val="multilevel"/>
    <w:tmpl w:val="A748E8AE"/>
    <w:lvl w:ilvl="0">
      <w:start w:val="20"/>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F8A5C7A"/>
    <w:multiLevelType w:val="multilevel"/>
    <w:tmpl w:val="17382A62"/>
    <w:lvl w:ilvl="0">
      <w:start w:val="31"/>
      <w:numFmt w:val="decimal"/>
      <w:lvlText w:val="%1."/>
      <w:lvlJc w:val="left"/>
      <w:pPr>
        <w:ind w:left="360" w:hanging="360"/>
      </w:pPr>
      <w:rPr>
        <w:rFonts w:ascii="Palatino Linotype" w:eastAsia="Palatino Linotype" w:hAnsi="Palatino Linotype" w:cs="Palatino Linotype" w:hint="default"/>
        <w:b/>
        <w:i w:val="0"/>
        <w:strike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74B5893"/>
    <w:multiLevelType w:val="hybridMultilevel"/>
    <w:tmpl w:val="A510C1BA"/>
    <w:lvl w:ilvl="0" w:tplc="080A0017">
      <w:start w:val="1"/>
      <w:numFmt w:val="lowerLetter"/>
      <w:lvlText w:val="%1)"/>
      <w:lvlJc w:val="left"/>
      <w:pPr>
        <w:ind w:left="1494" w:hanging="360"/>
      </w:p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0" w15:restartNumberingAfterBreak="0">
    <w:nsid w:val="79795EEB"/>
    <w:multiLevelType w:val="hybridMultilevel"/>
    <w:tmpl w:val="7804B722"/>
    <w:lvl w:ilvl="0" w:tplc="FAA8B6DC">
      <w:start w:val="1"/>
      <w:numFmt w:val="ordinalText"/>
      <w:lvlText w:val="%1."/>
      <w:lvlJc w:val="left"/>
      <w:pPr>
        <w:ind w:left="1920" w:hanging="360"/>
      </w:pPr>
      <w:rPr>
        <w:b/>
        <w:caps/>
        <w:sz w:val="28"/>
      </w:rPr>
    </w:lvl>
    <w:lvl w:ilvl="1" w:tplc="16B6B4A4">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7C261E6C"/>
    <w:multiLevelType w:val="multilevel"/>
    <w:tmpl w:val="773A506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2" w15:restartNumberingAfterBreak="0">
    <w:nsid w:val="7D881BE9"/>
    <w:multiLevelType w:val="hybridMultilevel"/>
    <w:tmpl w:val="D26871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FAF3AF7"/>
    <w:multiLevelType w:val="multilevel"/>
    <w:tmpl w:val="D6DEAE7E"/>
    <w:lvl w:ilvl="0">
      <w:start w:val="1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25"/>
  </w:num>
  <w:num w:numId="3">
    <w:abstractNumId w:val="18"/>
  </w:num>
  <w:num w:numId="4">
    <w:abstractNumId w:val="40"/>
  </w:num>
  <w:num w:numId="5">
    <w:abstractNumId w:val="23"/>
  </w:num>
  <w:num w:numId="6">
    <w:abstractNumId w:val="13"/>
  </w:num>
  <w:num w:numId="7">
    <w:abstractNumId w:val="35"/>
  </w:num>
  <w:num w:numId="8">
    <w:abstractNumId w:val="42"/>
  </w:num>
  <w:num w:numId="9">
    <w:abstractNumId w:val="2"/>
  </w:num>
  <w:num w:numId="10">
    <w:abstractNumId w:val="26"/>
  </w:num>
  <w:num w:numId="11">
    <w:abstractNumId w:val="21"/>
  </w:num>
  <w:num w:numId="12">
    <w:abstractNumId w:val="33"/>
  </w:num>
  <w:num w:numId="13">
    <w:abstractNumId w:val="12"/>
  </w:num>
  <w:num w:numId="14">
    <w:abstractNumId w:val="32"/>
  </w:num>
  <w:num w:numId="15">
    <w:abstractNumId w:val="22"/>
  </w:num>
  <w:num w:numId="16">
    <w:abstractNumId w:val="1"/>
  </w:num>
  <w:num w:numId="17">
    <w:abstractNumId w:val="0"/>
  </w:num>
  <w:num w:numId="18">
    <w:abstractNumId w:val="29"/>
  </w:num>
  <w:num w:numId="19">
    <w:abstractNumId w:val="34"/>
  </w:num>
  <w:num w:numId="20">
    <w:abstractNumId w:val="28"/>
  </w:num>
  <w:num w:numId="21">
    <w:abstractNumId w:val="6"/>
  </w:num>
  <w:num w:numId="22">
    <w:abstractNumId w:val="36"/>
  </w:num>
  <w:num w:numId="23">
    <w:abstractNumId w:val="37"/>
  </w:num>
  <w:num w:numId="24">
    <w:abstractNumId w:val="19"/>
  </w:num>
  <w:num w:numId="25">
    <w:abstractNumId w:val="11"/>
  </w:num>
  <w:num w:numId="26">
    <w:abstractNumId w:val="15"/>
  </w:num>
  <w:num w:numId="27">
    <w:abstractNumId w:val="14"/>
  </w:num>
  <w:num w:numId="28">
    <w:abstractNumId w:val="24"/>
  </w:num>
  <w:num w:numId="29">
    <w:abstractNumId w:val="43"/>
  </w:num>
  <w:num w:numId="30">
    <w:abstractNumId w:val="8"/>
  </w:num>
  <w:num w:numId="31">
    <w:abstractNumId w:val="39"/>
  </w:num>
  <w:num w:numId="32">
    <w:abstractNumId w:val="20"/>
  </w:num>
  <w:num w:numId="33">
    <w:abstractNumId w:val="17"/>
  </w:num>
  <w:num w:numId="34">
    <w:abstractNumId w:val="4"/>
  </w:num>
  <w:num w:numId="35">
    <w:abstractNumId w:val="9"/>
  </w:num>
  <w:num w:numId="36">
    <w:abstractNumId w:val="41"/>
  </w:num>
  <w:num w:numId="37">
    <w:abstractNumId w:val="30"/>
  </w:num>
  <w:num w:numId="38">
    <w:abstractNumId w:val="38"/>
  </w:num>
  <w:num w:numId="39">
    <w:abstractNumId w:val="3"/>
  </w:num>
  <w:num w:numId="40">
    <w:abstractNumId w:val="16"/>
  </w:num>
  <w:num w:numId="41">
    <w:abstractNumId w:val="10"/>
  </w:num>
  <w:num w:numId="42">
    <w:abstractNumId w:val="31"/>
  </w:num>
  <w:num w:numId="43">
    <w:abstractNumId w:val="27"/>
  </w:num>
  <w:num w:numId="44">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E1D"/>
    <w:rsid w:val="0001425F"/>
    <w:rsid w:val="00040442"/>
    <w:rsid w:val="0004438A"/>
    <w:rsid w:val="00050A15"/>
    <w:rsid w:val="00060BBB"/>
    <w:rsid w:val="00072332"/>
    <w:rsid w:val="00076C70"/>
    <w:rsid w:val="00076E1D"/>
    <w:rsid w:val="00091376"/>
    <w:rsid w:val="00093B3D"/>
    <w:rsid w:val="000A22F1"/>
    <w:rsid w:val="000A3F4C"/>
    <w:rsid w:val="000A3F65"/>
    <w:rsid w:val="000B66DD"/>
    <w:rsid w:val="000B67DE"/>
    <w:rsid w:val="000C004D"/>
    <w:rsid w:val="000C33A6"/>
    <w:rsid w:val="000E0662"/>
    <w:rsid w:val="000F7609"/>
    <w:rsid w:val="00106C7A"/>
    <w:rsid w:val="00112B86"/>
    <w:rsid w:val="00123678"/>
    <w:rsid w:val="00133D8E"/>
    <w:rsid w:val="00146F61"/>
    <w:rsid w:val="001523E5"/>
    <w:rsid w:val="001603E8"/>
    <w:rsid w:val="001615EC"/>
    <w:rsid w:val="001748EC"/>
    <w:rsid w:val="00176B68"/>
    <w:rsid w:val="001837B3"/>
    <w:rsid w:val="00196196"/>
    <w:rsid w:val="001C5B65"/>
    <w:rsid w:val="001E67B1"/>
    <w:rsid w:val="001E68CE"/>
    <w:rsid w:val="0021031D"/>
    <w:rsid w:val="00210B49"/>
    <w:rsid w:val="00225AAD"/>
    <w:rsid w:val="00234F5F"/>
    <w:rsid w:val="00247F2B"/>
    <w:rsid w:val="00276E64"/>
    <w:rsid w:val="00280F4B"/>
    <w:rsid w:val="00290BD2"/>
    <w:rsid w:val="002934FE"/>
    <w:rsid w:val="002A745C"/>
    <w:rsid w:val="0032326B"/>
    <w:rsid w:val="00327E7C"/>
    <w:rsid w:val="00346165"/>
    <w:rsid w:val="0037591C"/>
    <w:rsid w:val="00386DDB"/>
    <w:rsid w:val="003A71FB"/>
    <w:rsid w:val="003B2E10"/>
    <w:rsid w:val="003C66E5"/>
    <w:rsid w:val="003F24AB"/>
    <w:rsid w:val="003F5679"/>
    <w:rsid w:val="00402BCB"/>
    <w:rsid w:val="004240EF"/>
    <w:rsid w:val="004331ED"/>
    <w:rsid w:val="004452B2"/>
    <w:rsid w:val="004714F4"/>
    <w:rsid w:val="00475809"/>
    <w:rsid w:val="004765BB"/>
    <w:rsid w:val="0048078B"/>
    <w:rsid w:val="0048280B"/>
    <w:rsid w:val="00485EF5"/>
    <w:rsid w:val="0049426B"/>
    <w:rsid w:val="004F69F4"/>
    <w:rsid w:val="00520D5C"/>
    <w:rsid w:val="00524287"/>
    <w:rsid w:val="00532778"/>
    <w:rsid w:val="00535BBC"/>
    <w:rsid w:val="005624DA"/>
    <w:rsid w:val="00574C2B"/>
    <w:rsid w:val="005A30AC"/>
    <w:rsid w:val="005B37DB"/>
    <w:rsid w:val="005C4C15"/>
    <w:rsid w:val="005C5278"/>
    <w:rsid w:val="005E2476"/>
    <w:rsid w:val="005F3E05"/>
    <w:rsid w:val="005F5F62"/>
    <w:rsid w:val="00600DC1"/>
    <w:rsid w:val="0061776B"/>
    <w:rsid w:val="00640005"/>
    <w:rsid w:val="00645FDA"/>
    <w:rsid w:val="00656215"/>
    <w:rsid w:val="00660164"/>
    <w:rsid w:val="006652D9"/>
    <w:rsid w:val="00665DAA"/>
    <w:rsid w:val="006667B6"/>
    <w:rsid w:val="00670281"/>
    <w:rsid w:val="00693333"/>
    <w:rsid w:val="006A6DE4"/>
    <w:rsid w:val="006C6604"/>
    <w:rsid w:val="006D1726"/>
    <w:rsid w:val="006E3FCF"/>
    <w:rsid w:val="006F69D5"/>
    <w:rsid w:val="0070729D"/>
    <w:rsid w:val="00712CFA"/>
    <w:rsid w:val="00712EA0"/>
    <w:rsid w:val="0073351F"/>
    <w:rsid w:val="00744985"/>
    <w:rsid w:val="007571FD"/>
    <w:rsid w:val="007631CF"/>
    <w:rsid w:val="00784CD9"/>
    <w:rsid w:val="007A5675"/>
    <w:rsid w:val="007A5DA2"/>
    <w:rsid w:val="007A7F73"/>
    <w:rsid w:val="007C37B0"/>
    <w:rsid w:val="007E4EC7"/>
    <w:rsid w:val="007F0FC6"/>
    <w:rsid w:val="007F5FBA"/>
    <w:rsid w:val="008029DD"/>
    <w:rsid w:val="00811703"/>
    <w:rsid w:val="00812822"/>
    <w:rsid w:val="00820C77"/>
    <w:rsid w:val="00825B39"/>
    <w:rsid w:val="008269E7"/>
    <w:rsid w:val="0083340E"/>
    <w:rsid w:val="00861857"/>
    <w:rsid w:val="008650AF"/>
    <w:rsid w:val="0088472D"/>
    <w:rsid w:val="008874A2"/>
    <w:rsid w:val="008A285F"/>
    <w:rsid w:val="008B2DED"/>
    <w:rsid w:val="008B36C1"/>
    <w:rsid w:val="008D4315"/>
    <w:rsid w:val="008F22B7"/>
    <w:rsid w:val="009134F9"/>
    <w:rsid w:val="00915DE5"/>
    <w:rsid w:val="009267C3"/>
    <w:rsid w:val="00941CA9"/>
    <w:rsid w:val="00962BC3"/>
    <w:rsid w:val="009650D0"/>
    <w:rsid w:val="00984530"/>
    <w:rsid w:val="009959B7"/>
    <w:rsid w:val="00995D09"/>
    <w:rsid w:val="00996D47"/>
    <w:rsid w:val="009B256D"/>
    <w:rsid w:val="009C7738"/>
    <w:rsid w:val="009C7955"/>
    <w:rsid w:val="009E7A2F"/>
    <w:rsid w:val="009E7C12"/>
    <w:rsid w:val="009F03DF"/>
    <w:rsid w:val="009F7D59"/>
    <w:rsid w:val="00A11527"/>
    <w:rsid w:val="00A309EE"/>
    <w:rsid w:val="00A56C8C"/>
    <w:rsid w:val="00A70CA6"/>
    <w:rsid w:val="00AA564C"/>
    <w:rsid w:val="00AC3B35"/>
    <w:rsid w:val="00AF618E"/>
    <w:rsid w:val="00B0107C"/>
    <w:rsid w:val="00B04A3A"/>
    <w:rsid w:val="00B15303"/>
    <w:rsid w:val="00B2266B"/>
    <w:rsid w:val="00B249F5"/>
    <w:rsid w:val="00B25AB3"/>
    <w:rsid w:val="00B3709B"/>
    <w:rsid w:val="00B414BB"/>
    <w:rsid w:val="00B43726"/>
    <w:rsid w:val="00B443E6"/>
    <w:rsid w:val="00B500C6"/>
    <w:rsid w:val="00B71FC8"/>
    <w:rsid w:val="00BB220C"/>
    <w:rsid w:val="00BC2363"/>
    <w:rsid w:val="00BC3C12"/>
    <w:rsid w:val="00BE07B5"/>
    <w:rsid w:val="00BE499F"/>
    <w:rsid w:val="00BE6019"/>
    <w:rsid w:val="00BF49B6"/>
    <w:rsid w:val="00C108F5"/>
    <w:rsid w:val="00C11BBA"/>
    <w:rsid w:val="00C11F87"/>
    <w:rsid w:val="00C31B92"/>
    <w:rsid w:val="00C4693E"/>
    <w:rsid w:val="00C55A48"/>
    <w:rsid w:val="00C72DF5"/>
    <w:rsid w:val="00C777D1"/>
    <w:rsid w:val="00C818EC"/>
    <w:rsid w:val="00C85E3C"/>
    <w:rsid w:val="00C94350"/>
    <w:rsid w:val="00CB6621"/>
    <w:rsid w:val="00CF4288"/>
    <w:rsid w:val="00D03249"/>
    <w:rsid w:val="00D12E2D"/>
    <w:rsid w:val="00D15636"/>
    <w:rsid w:val="00D43B38"/>
    <w:rsid w:val="00D70B4F"/>
    <w:rsid w:val="00D7277E"/>
    <w:rsid w:val="00DA731B"/>
    <w:rsid w:val="00DB1694"/>
    <w:rsid w:val="00DB68D2"/>
    <w:rsid w:val="00DD138D"/>
    <w:rsid w:val="00DD4880"/>
    <w:rsid w:val="00DD5EDB"/>
    <w:rsid w:val="00DE5585"/>
    <w:rsid w:val="00E01EAE"/>
    <w:rsid w:val="00E15C47"/>
    <w:rsid w:val="00E21FF3"/>
    <w:rsid w:val="00E2358D"/>
    <w:rsid w:val="00E3291D"/>
    <w:rsid w:val="00E3471D"/>
    <w:rsid w:val="00E454A1"/>
    <w:rsid w:val="00E50720"/>
    <w:rsid w:val="00E52018"/>
    <w:rsid w:val="00E533FB"/>
    <w:rsid w:val="00E736BE"/>
    <w:rsid w:val="00E74BAA"/>
    <w:rsid w:val="00E761EC"/>
    <w:rsid w:val="00EA6FAC"/>
    <w:rsid w:val="00EB1E1A"/>
    <w:rsid w:val="00EB2E61"/>
    <w:rsid w:val="00EC1FB6"/>
    <w:rsid w:val="00EF2128"/>
    <w:rsid w:val="00F008ED"/>
    <w:rsid w:val="00F03281"/>
    <w:rsid w:val="00F16CD7"/>
    <w:rsid w:val="00F20047"/>
    <w:rsid w:val="00F21A66"/>
    <w:rsid w:val="00F306AA"/>
    <w:rsid w:val="00F31948"/>
    <w:rsid w:val="00F32874"/>
    <w:rsid w:val="00F32B67"/>
    <w:rsid w:val="00F4095B"/>
    <w:rsid w:val="00F5374C"/>
    <w:rsid w:val="00F918EE"/>
    <w:rsid w:val="00F96532"/>
    <w:rsid w:val="00FA17FF"/>
    <w:rsid w:val="00FA19C7"/>
    <w:rsid w:val="00FC15B3"/>
    <w:rsid w:val="00FC3BD0"/>
    <w:rsid w:val="00FE2217"/>
    <w:rsid w:val="00FF0242"/>
    <w:rsid w:val="00FF09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F79EE862-700B-4A1B-B9FB-5DAB0DEC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EF5"/>
  </w:style>
  <w:style w:type="paragraph" w:styleId="Ttulo1">
    <w:name w:val="heading 1"/>
    <w:basedOn w:val="Normal"/>
    <w:next w:val="Normal"/>
    <w:link w:val="Ttulo1Car"/>
    <w:uiPriority w:val="9"/>
    <w:qFormat/>
    <w:rsid w:val="00CE3E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E3EF5"/>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rPr>
  </w:style>
  <w:style w:type="paragraph" w:styleId="Ttulo5">
    <w:name w:val="heading 5"/>
    <w:basedOn w:val="Normal"/>
    <w:next w:val="Normal"/>
    <w:link w:val="Ttulo5Car"/>
    <w:uiPriority w:val="9"/>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CE3EF5"/>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CE3EF5"/>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E3EF5"/>
    <w:pPr>
      <w:tabs>
        <w:tab w:val="center" w:pos="4419"/>
        <w:tab w:val="right" w:pos="8838"/>
      </w:tabs>
    </w:pPr>
  </w:style>
  <w:style w:type="character" w:customStyle="1" w:styleId="EncabezadoCar">
    <w:name w:val="Encabezado Car"/>
    <w:basedOn w:val="Fuentedeprrafopredeter"/>
    <w:link w:val="Encabezado"/>
    <w:uiPriority w:val="99"/>
    <w:rsid w:val="00CE3EF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CE3EF5"/>
    <w:pPr>
      <w:tabs>
        <w:tab w:val="center" w:pos="4419"/>
        <w:tab w:val="right" w:pos="8838"/>
      </w:tabs>
    </w:pPr>
  </w:style>
  <w:style w:type="character" w:customStyle="1" w:styleId="PiedepginaCar">
    <w:name w:val="Pie de página Car"/>
    <w:basedOn w:val="Fuentedeprrafopredeter"/>
    <w:link w:val="Piedepgina"/>
    <w:uiPriority w:val="99"/>
    <w:rsid w:val="00CE3EF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E3EF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CE3EF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CE3EF5"/>
    <w:rPr>
      <w:color w:val="0563C1"/>
      <w:u w:val="single"/>
    </w:rPr>
  </w:style>
  <w:style w:type="paragraph" w:styleId="Sinespaciado">
    <w:name w:val="No Spacing"/>
    <w:aliases w:val="Francesa,INAI,Fundamentos"/>
    <w:link w:val="SinespaciadoCar"/>
    <w:uiPriority w:val="1"/>
    <w:qFormat/>
    <w:rsid w:val="00CE3EF5"/>
  </w:style>
  <w:style w:type="character" w:customStyle="1" w:styleId="SinespaciadoCar">
    <w:name w:val="Sin espaciado Car"/>
    <w:aliases w:val="Francesa Car,INAI Car,Fundamentos Car"/>
    <w:link w:val="Sinespaciado"/>
    <w:uiPriority w:val="1"/>
    <w:qFormat/>
    <w:locked/>
    <w:rsid w:val="00CE3EF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CE3EF5"/>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CE3EF5"/>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E3EF5"/>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CE3EF5"/>
    <w:rPr>
      <w:rFonts w:ascii="Times New Roman" w:eastAsia="Times New Roman" w:hAnsi="Times New Roman" w:cs="Times New Roman"/>
      <w:sz w:val="20"/>
      <w:szCs w:val="20"/>
      <w:lang w:eastAsia="es-MX"/>
    </w:rPr>
  </w:style>
  <w:style w:type="character" w:styleId="Hipervnculovisitado">
    <w:name w:val="FollowedHyperlink"/>
    <w:basedOn w:val="Fuentedeprrafopredeter"/>
    <w:uiPriority w:val="99"/>
    <w:semiHidden/>
    <w:unhideWhenUsed/>
    <w:rsid w:val="00243D8E"/>
    <w:rPr>
      <w:color w:val="954F72" w:themeColor="followedHyperlink"/>
      <w:u w:val="single"/>
    </w:rPr>
  </w:style>
  <w:style w:type="table" w:styleId="Tabladecuadrcula6concolores">
    <w:name w:val="Grid Table 6 Colorful"/>
    <w:basedOn w:val="Tablanormal"/>
    <w:uiPriority w:val="51"/>
    <w:rsid w:val="00DC69E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qFormat/>
    <w:rsid w:val="0095227B"/>
    <w:pPr>
      <w:autoSpaceDE w:val="0"/>
      <w:autoSpaceDN w:val="0"/>
      <w:adjustRightInd w:val="0"/>
    </w:pPr>
    <w:rPr>
      <w:rFonts w:ascii="Arial" w:hAnsi="Arial" w:cs="Arial"/>
      <w:color w:val="000000"/>
    </w:rPr>
  </w:style>
  <w:style w:type="character" w:customStyle="1" w:styleId="markedcontent">
    <w:name w:val="markedcontent"/>
    <w:basedOn w:val="Fuentedeprrafopredeter"/>
    <w:rsid w:val="00AD0C84"/>
  </w:style>
  <w:style w:type="numbering" w:customStyle="1" w:styleId="Estiloimportado1">
    <w:name w:val="Estilo importado 1"/>
    <w:rsid w:val="008B5F61"/>
    <w:pPr>
      <w:numPr>
        <w:numId w:val="3"/>
      </w:numPr>
    </w:pPr>
  </w:style>
  <w:style w:type="table" w:customStyle="1" w:styleId="Tablanormal13">
    <w:name w:val="Tabla normal 13"/>
    <w:basedOn w:val="Tablanormal"/>
    <w:next w:val="Tablanormal1"/>
    <w:uiPriority w:val="41"/>
    <w:rsid w:val="002023A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2023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rPr>
      <w:color w:val="000000"/>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rPr>
      <w:color w:val="000000"/>
    </w:r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3"/>
    <w:rPr>
      <w:color w:val="000000"/>
    </w:rPr>
    <w:tblPr>
      <w:tblStyleRowBandSize w:val="1"/>
      <w:tblStyleColBandSize w:val="1"/>
      <w:tblCellMar>
        <w:left w:w="115" w:type="dxa"/>
        <w:right w:w="115" w:type="dxa"/>
      </w:tblCellMar>
    </w:tblPr>
  </w:style>
  <w:style w:type="table" w:customStyle="1" w:styleId="a6">
    <w:basedOn w:val="TableNormal3"/>
    <w:rPr>
      <w:color w:val="000000"/>
    </w:rPr>
    <w:tblPr>
      <w:tblStyleRowBandSize w:val="1"/>
      <w:tblStyleColBandSize w:val="1"/>
      <w:tblCellMar>
        <w:left w:w="115" w:type="dxa"/>
        <w:right w:w="115" w:type="dxa"/>
      </w:tblCellMar>
    </w:tblPr>
  </w:style>
  <w:style w:type="table" w:customStyle="1" w:styleId="a7">
    <w:basedOn w:val="TableNormal3"/>
    <w:rPr>
      <w:color w:val="000000"/>
    </w:rPr>
    <w:tblPr>
      <w:tblStyleRowBandSize w:val="1"/>
      <w:tblStyleColBandSize w:val="1"/>
      <w:tblCellMar>
        <w:left w:w="115" w:type="dxa"/>
        <w:right w:w="115" w:type="dxa"/>
      </w:tblCellMar>
    </w:tblPr>
  </w:style>
  <w:style w:type="table" w:customStyle="1" w:styleId="a8">
    <w:basedOn w:val="TableNormal3"/>
    <w:rPr>
      <w:color w:val="00000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EF7312"/>
    <w:rPr>
      <w:color w:val="605E5C"/>
      <w:shd w:val="clear" w:color="auto" w:fill="E1DFDD"/>
    </w:rPr>
  </w:style>
  <w:style w:type="character" w:styleId="Refdecomentario">
    <w:name w:val="annotation reference"/>
    <w:basedOn w:val="Fuentedeprrafopredeter"/>
    <w:uiPriority w:val="99"/>
    <w:semiHidden/>
    <w:unhideWhenUsed/>
    <w:rsid w:val="00E60A26"/>
    <w:rPr>
      <w:sz w:val="16"/>
      <w:szCs w:val="16"/>
    </w:rPr>
  </w:style>
  <w:style w:type="paragraph" w:styleId="Textocomentario">
    <w:name w:val="annotation text"/>
    <w:basedOn w:val="Normal"/>
    <w:link w:val="TextocomentarioCar"/>
    <w:uiPriority w:val="99"/>
    <w:unhideWhenUsed/>
    <w:rsid w:val="00E60A26"/>
    <w:rPr>
      <w:sz w:val="20"/>
      <w:szCs w:val="20"/>
    </w:rPr>
  </w:style>
  <w:style w:type="character" w:customStyle="1" w:styleId="TextocomentarioCar">
    <w:name w:val="Texto comentario Car"/>
    <w:basedOn w:val="Fuentedeprrafopredeter"/>
    <w:link w:val="Textocomentario"/>
    <w:uiPriority w:val="99"/>
    <w:rsid w:val="00E60A26"/>
    <w:rPr>
      <w:sz w:val="20"/>
      <w:szCs w:val="20"/>
    </w:rPr>
  </w:style>
  <w:style w:type="paragraph" w:styleId="Asuntodelcomentario">
    <w:name w:val="annotation subject"/>
    <w:basedOn w:val="Textocomentario"/>
    <w:next w:val="Textocomentario"/>
    <w:link w:val="AsuntodelcomentarioCar"/>
    <w:uiPriority w:val="99"/>
    <w:semiHidden/>
    <w:unhideWhenUsed/>
    <w:rsid w:val="00E60A26"/>
    <w:rPr>
      <w:b/>
      <w:bCs/>
    </w:rPr>
  </w:style>
  <w:style w:type="character" w:customStyle="1" w:styleId="AsuntodelcomentarioCar">
    <w:name w:val="Asunto del comentario Car"/>
    <w:basedOn w:val="TextocomentarioCar"/>
    <w:link w:val="Asuntodelcomentario"/>
    <w:uiPriority w:val="99"/>
    <w:semiHidden/>
    <w:rsid w:val="00E60A26"/>
    <w:rPr>
      <w:b/>
      <w:bCs/>
      <w:sz w:val="20"/>
      <w:szCs w:val="20"/>
    </w:rPr>
  </w:style>
  <w:style w:type="paragraph" w:styleId="Textodeglobo">
    <w:name w:val="Balloon Text"/>
    <w:basedOn w:val="Normal"/>
    <w:link w:val="TextodegloboCar"/>
    <w:uiPriority w:val="99"/>
    <w:semiHidden/>
    <w:unhideWhenUsed/>
    <w:rsid w:val="00E60A2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0A26"/>
    <w:rPr>
      <w:rFonts w:ascii="Segoe UI" w:hAnsi="Segoe UI" w:cs="Segoe UI"/>
      <w:sz w:val="18"/>
      <w:szCs w:val="18"/>
    </w:rPr>
  </w:style>
  <w:style w:type="table" w:styleId="Tablaconcuadrcula">
    <w:name w:val="Table Grid"/>
    <w:basedOn w:val="Tablanormal"/>
    <w:uiPriority w:val="59"/>
    <w:rsid w:val="00D46DD8"/>
    <w:rPr>
      <w:rFonts w:asciiTheme="minorHAnsi" w:eastAsiaTheme="minorEastAsia" w:hAnsiTheme="minorHAnsi" w:cstheme="minorBidi"/>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2"/>
    <w:rPr>
      <w:rFonts w:ascii="Calibri" w:eastAsia="Calibri" w:hAnsi="Calibri" w:cs="Calibri"/>
      <w:color w:val="000000"/>
    </w:rPr>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rPr>
      <w:color w:val="000000"/>
    </w:rPr>
    <w:tblPr>
      <w:tblStyleRowBandSize w:val="1"/>
      <w:tblStyleColBandSize w:val="1"/>
      <w:tblCellMar>
        <w:left w:w="115" w:type="dxa"/>
        <w:right w:w="115" w:type="dxa"/>
      </w:tblCellMar>
    </w:tblPr>
  </w:style>
  <w:style w:type="table" w:customStyle="1" w:styleId="ac">
    <w:basedOn w:val="TableNormal2"/>
    <w:rPr>
      <w:color w:val="000000"/>
    </w:rPr>
    <w:tblPr>
      <w:tblStyleRowBandSize w:val="1"/>
      <w:tblStyleColBandSize w:val="1"/>
      <w:tblCellMar>
        <w:left w:w="115" w:type="dxa"/>
        <w:right w:w="115" w:type="dxa"/>
      </w:tblCellMar>
    </w:tblPr>
  </w:style>
  <w:style w:type="table" w:customStyle="1" w:styleId="ad">
    <w:basedOn w:val="TableNormal2"/>
    <w:rPr>
      <w:color w:val="000000"/>
    </w:rPr>
    <w:tblPr>
      <w:tblStyleRowBandSize w:val="1"/>
      <w:tblStyleColBandSize w:val="1"/>
      <w:tblCellMar>
        <w:left w:w="115" w:type="dxa"/>
        <w:right w:w="115" w:type="dxa"/>
      </w:tblCellMar>
    </w:tblPr>
  </w:style>
  <w:style w:type="table" w:customStyle="1" w:styleId="ae">
    <w:basedOn w:val="TableNormal2"/>
    <w:rPr>
      <w:color w:val="000000"/>
    </w:rPr>
    <w:tblPr>
      <w:tblStyleRowBandSize w:val="1"/>
      <w:tblStyleColBandSize w:val="1"/>
      <w:tblCellMar>
        <w:left w:w="115" w:type="dxa"/>
        <w:right w:w="115" w:type="dxa"/>
      </w:tblCellMar>
    </w:tblPr>
  </w:style>
  <w:style w:type="table" w:customStyle="1" w:styleId="af">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0">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1">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2">
    <w:basedOn w:val="TableNormal1"/>
    <w:rPr>
      <w:rFonts w:ascii="Calibri" w:eastAsia="Calibri" w:hAnsi="Calibri" w:cs="Calibri"/>
      <w:color w:val="000000"/>
    </w:rPr>
    <w:tblPr>
      <w:tblStyleRowBandSize w:val="1"/>
      <w:tblStyleColBandSize w:val="1"/>
      <w:tblCellMar>
        <w:left w:w="115" w:type="dxa"/>
        <w:right w:w="115" w:type="dxa"/>
      </w:tblCellMar>
    </w:tblPr>
  </w:style>
  <w:style w:type="character" w:styleId="Referenciasutil">
    <w:name w:val="Subtle Reference"/>
    <w:basedOn w:val="Fuentedeprrafopredeter"/>
    <w:uiPriority w:val="31"/>
    <w:qFormat/>
    <w:rsid w:val="00A36329"/>
    <w:rPr>
      <w:rFonts w:cs="Times New Roman"/>
      <w:smallCaps/>
      <w:color w:val="5A5A5A" w:themeColor="text1" w:themeTint="A5"/>
    </w:rPr>
  </w:style>
  <w:style w:type="table" w:customStyle="1" w:styleId="af3">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4">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5">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6">
    <w:basedOn w:val="TableNormal0"/>
    <w:rPr>
      <w:rFonts w:ascii="Calibri" w:eastAsia="Calibri" w:hAnsi="Calibri" w:cs="Calibri"/>
      <w:color w:val="000000"/>
    </w:rPr>
    <w:tblPr>
      <w:tblStyleRowBandSize w:val="1"/>
      <w:tblStyleColBandSize w:val="1"/>
      <w:tblCellMar>
        <w:left w:w="115" w:type="dxa"/>
        <w:right w:w="115" w:type="dxa"/>
      </w:tblCellMar>
    </w:tblPr>
  </w:style>
  <w:style w:type="paragraph" w:styleId="NormalWeb">
    <w:name w:val="Normal (Web)"/>
    <w:basedOn w:val="Normal"/>
    <w:uiPriority w:val="99"/>
    <w:rsid w:val="00F4095B"/>
    <w:pPr>
      <w:spacing w:before="100" w:beforeAutospacing="1" w:after="100" w:afterAutospacing="1"/>
    </w:pPr>
    <w:rPr>
      <w:lang w:eastAsia="es-ES"/>
    </w:rPr>
  </w:style>
  <w:style w:type="character" w:styleId="Textoennegrita">
    <w:name w:val="Strong"/>
    <w:uiPriority w:val="22"/>
    <w:qFormat/>
    <w:rsid w:val="00F4095B"/>
    <w:rPr>
      <w:b/>
      <w:bCs/>
    </w:rPr>
  </w:style>
  <w:style w:type="paragraph" w:styleId="Textoindependiente2">
    <w:name w:val="Body Text 2"/>
    <w:basedOn w:val="Normal"/>
    <w:link w:val="Textoindependiente2Car"/>
    <w:uiPriority w:val="99"/>
    <w:unhideWhenUsed/>
    <w:rsid w:val="00F4095B"/>
    <w:pPr>
      <w:spacing w:after="120" w:line="480" w:lineRule="auto"/>
    </w:pPr>
    <w:rPr>
      <w:lang w:eastAsia="es-ES"/>
    </w:rPr>
  </w:style>
  <w:style w:type="character" w:customStyle="1" w:styleId="Textoindependiente2Car">
    <w:name w:val="Texto independiente 2 Car"/>
    <w:basedOn w:val="Fuentedeprrafopredeter"/>
    <w:link w:val="Textoindependiente2"/>
    <w:uiPriority w:val="99"/>
    <w:rsid w:val="00F4095B"/>
    <w:rPr>
      <w:lang w:eastAsia="es-ES"/>
    </w:rPr>
  </w:style>
  <w:style w:type="character" w:customStyle="1" w:styleId="apple-converted-space">
    <w:name w:val="apple-converted-space"/>
    <w:basedOn w:val="Fuentedeprrafopredeter"/>
    <w:rsid w:val="00F4095B"/>
  </w:style>
  <w:style w:type="paragraph" w:customStyle="1" w:styleId="Listavistosa-nfasis11">
    <w:name w:val="Lista vistosa - Énfasis 11"/>
    <w:basedOn w:val="Normal"/>
    <w:link w:val="Listavistosa-nfasis1Car"/>
    <w:uiPriority w:val="34"/>
    <w:qFormat/>
    <w:rsid w:val="00F4095B"/>
    <w:pPr>
      <w:ind w:left="708"/>
    </w:pPr>
    <w:rPr>
      <w:lang w:eastAsia="es-ES"/>
    </w:rPr>
  </w:style>
  <w:style w:type="character" w:customStyle="1" w:styleId="Listavistosa-nfasis1Car">
    <w:name w:val="Lista vistosa - Énfasis 1 Car"/>
    <w:link w:val="Listavistosa-nfasis11"/>
    <w:uiPriority w:val="34"/>
    <w:locked/>
    <w:rsid w:val="00F4095B"/>
    <w:rPr>
      <w:lang w:eastAsia="es-ES"/>
    </w:rPr>
  </w:style>
  <w:style w:type="paragraph" w:customStyle="1" w:styleId="Texto">
    <w:name w:val="Texto"/>
    <w:basedOn w:val="Normal"/>
    <w:link w:val="TextoCar"/>
    <w:qFormat/>
    <w:rsid w:val="00F4095B"/>
    <w:pPr>
      <w:spacing w:after="101" w:line="216" w:lineRule="exact"/>
      <w:ind w:firstLine="288"/>
      <w:jc w:val="both"/>
    </w:pPr>
    <w:rPr>
      <w:rFonts w:ascii="Arial" w:hAnsi="Arial" w:cs="Arial"/>
      <w:sz w:val="18"/>
      <w:szCs w:val="18"/>
      <w:lang w:eastAsia="es-ES"/>
    </w:rPr>
  </w:style>
  <w:style w:type="character" w:customStyle="1" w:styleId="apple-style-span">
    <w:name w:val="apple-style-span"/>
    <w:rsid w:val="00F4095B"/>
  </w:style>
  <w:style w:type="paragraph" w:styleId="Textosinformato">
    <w:name w:val="Plain Text"/>
    <w:basedOn w:val="Normal"/>
    <w:link w:val="TextosinformatoCar"/>
    <w:rsid w:val="00F4095B"/>
    <w:rPr>
      <w:rFonts w:ascii="Courier New" w:hAnsi="Courier New"/>
      <w:sz w:val="20"/>
      <w:szCs w:val="20"/>
      <w:lang w:eastAsia="es-ES"/>
    </w:rPr>
  </w:style>
  <w:style w:type="character" w:customStyle="1" w:styleId="TextosinformatoCar">
    <w:name w:val="Texto sin formato Car"/>
    <w:basedOn w:val="Fuentedeprrafopredeter"/>
    <w:link w:val="Textosinformato"/>
    <w:rsid w:val="00F4095B"/>
    <w:rPr>
      <w:rFonts w:ascii="Courier New" w:hAnsi="Courier New"/>
      <w:sz w:val="20"/>
      <w:szCs w:val="20"/>
      <w:lang w:eastAsia="es-ES"/>
    </w:rPr>
  </w:style>
  <w:style w:type="paragraph" w:customStyle="1" w:styleId="Standard">
    <w:name w:val="Standard"/>
    <w:rsid w:val="00F4095B"/>
    <w:pPr>
      <w:widowControl w:val="0"/>
      <w:suppressAutoHyphens/>
      <w:autoSpaceDN w:val="0"/>
      <w:textAlignment w:val="baseline"/>
    </w:pPr>
    <w:rPr>
      <w:rFonts w:ascii="Liberation Serif" w:eastAsia="DejaVu Sans" w:hAnsi="Liberation Serif" w:cs="Lohit Hindi"/>
      <w:kern w:val="3"/>
      <w:lang w:eastAsia="zh-CN" w:bidi="hi-IN"/>
    </w:rPr>
  </w:style>
  <w:style w:type="character" w:customStyle="1" w:styleId="negritas1">
    <w:name w:val="negritas1"/>
    <w:rsid w:val="00F4095B"/>
    <w:rPr>
      <w:rFonts w:ascii="Arial" w:hAnsi="Arial" w:cs="Arial" w:hint="default"/>
      <w:b/>
      <w:bCs/>
      <w:sz w:val="18"/>
      <w:szCs w:val="18"/>
    </w:rPr>
  </w:style>
  <w:style w:type="paragraph" w:customStyle="1" w:styleId="Pa2">
    <w:name w:val="Pa2"/>
    <w:basedOn w:val="Normal"/>
    <w:next w:val="Normal"/>
    <w:uiPriority w:val="99"/>
    <w:rsid w:val="00F4095B"/>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F4095B"/>
    <w:pPr>
      <w:spacing w:before="100" w:beforeAutospacing="1" w:after="100" w:afterAutospacing="1"/>
    </w:pPr>
  </w:style>
  <w:style w:type="character" w:customStyle="1" w:styleId="d">
    <w:name w:val="d"/>
    <w:basedOn w:val="Fuentedeprrafopredeter"/>
    <w:rsid w:val="00F4095B"/>
  </w:style>
  <w:style w:type="character" w:customStyle="1" w:styleId="b">
    <w:name w:val="b"/>
    <w:basedOn w:val="Fuentedeprrafopredeter"/>
    <w:rsid w:val="00F4095B"/>
  </w:style>
  <w:style w:type="character" w:customStyle="1" w:styleId="k">
    <w:name w:val="k"/>
    <w:basedOn w:val="Fuentedeprrafopredeter"/>
    <w:rsid w:val="00F4095B"/>
  </w:style>
  <w:style w:type="character" w:customStyle="1" w:styleId="h">
    <w:name w:val="h"/>
    <w:basedOn w:val="Fuentedeprrafopredeter"/>
    <w:rsid w:val="00F4095B"/>
  </w:style>
  <w:style w:type="character" w:styleId="CitaHTML">
    <w:name w:val="HTML Cite"/>
    <w:uiPriority w:val="99"/>
    <w:semiHidden/>
    <w:unhideWhenUsed/>
    <w:rsid w:val="00F4095B"/>
    <w:rPr>
      <w:i/>
      <w:iCs/>
    </w:rPr>
  </w:style>
  <w:style w:type="paragraph" w:customStyle="1" w:styleId="RSCGnotaalpie">
    <w:name w:val="RSCG nota al pie"/>
    <w:basedOn w:val="Normal"/>
    <w:uiPriority w:val="99"/>
    <w:qFormat/>
    <w:rsid w:val="00F4095B"/>
    <w:pPr>
      <w:spacing w:after="120"/>
      <w:jc w:val="both"/>
    </w:pPr>
    <w:rPr>
      <w:rFonts w:ascii="Palatino" w:hAnsi="Palatino" w:cstheme="minorBidi"/>
      <w:sz w:val="22"/>
      <w:szCs w:val="22"/>
      <w:lang w:eastAsia="en-US"/>
    </w:rPr>
  </w:style>
  <w:style w:type="character" w:customStyle="1" w:styleId="lbl-encabezado-blanco2">
    <w:name w:val="lbl-encabezado-blanco2"/>
    <w:rsid w:val="00F4095B"/>
    <w:rPr>
      <w:color w:val="FFFFFF"/>
    </w:rPr>
  </w:style>
  <w:style w:type="character" w:customStyle="1" w:styleId="TextoCar">
    <w:name w:val="Texto Car"/>
    <w:link w:val="Texto"/>
    <w:locked/>
    <w:rsid w:val="00F4095B"/>
    <w:rPr>
      <w:rFonts w:ascii="Arial" w:hAnsi="Arial" w:cs="Arial"/>
      <w:sz w:val="18"/>
      <w:szCs w:val="18"/>
      <w:lang w:eastAsia="es-ES"/>
    </w:rPr>
  </w:style>
  <w:style w:type="character" w:customStyle="1" w:styleId="Ttulo3Car">
    <w:name w:val="Título 3 Car"/>
    <w:basedOn w:val="Fuentedeprrafopredeter"/>
    <w:link w:val="Ttulo3"/>
    <w:uiPriority w:val="9"/>
    <w:rsid w:val="00F4095B"/>
    <w:rPr>
      <w:b/>
      <w:sz w:val="28"/>
      <w:szCs w:val="28"/>
    </w:rPr>
  </w:style>
  <w:style w:type="paragraph" w:customStyle="1" w:styleId="ANOTACION">
    <w:name w:val="ANOTACION"/>
    <w:basedOn w:val="Normal"/>
    <w:link w:val="ANOTACIONCar"/>
    <w:rsid w:val="00F4095B"/>
    <w:pPr>
      <w:spacing w:before="101" w:after="101"/>
      <w:jc w:val="center"/>
    </w:pPr>
    <w:rPr>
      <w:b/>
      <w:sz w:val="18"/>
      <w:szCs w:val="18"/>
      <w:lang w:eastAsia="es-ES"/>
    </w:rPr>
  </w:style>
  <w:style w:type="character" w:customStyle="1" w:styleId="ANOTACIONCar">
    <w:name w:val="ANOTACION Car"/>
    <w:link w:val="ANOTACION"/>
    <w:locked/>
    <w:rsid w:val="00F4095B"/>
    <w:rPr>
      <w:b/>
      <w:sz w:val="18"/>
      <w:szCs w:val="18"/>
      <w:lang w:eastAsia="es-ES"/>
    </w:rPr>
  </w:style>
  <w:style w:type="character" w:styleId="nfasis">
    <w:name w:val="Emphasis"/>
    <w:basedOn w:val="Fuentedeprrafopredeter"/>
    <w:uiPriority w:val="20"/>
    <w:qFormat/>
    <w:rsid w:val="00F4095B"/>
    <w:rPr>
      <w:i/>
      <w:iCs/>
    </w:rPr>
  </w:style>
  <w:style w:type="paragraph" w:styleId="Bibliografa">
    <w:name w:val="Bibliography"/>
    <w:basedOn w:val="Normal"/>
    <w:next w:val="Normal"/>
    <w:uiPriority w:val="37"/>
    <w:semiHidden/>
    <w:unhideWhenUsed/>
    <w:rsid w:val="00F4095B"/>
    <w:rPr>
      <w:lang w:eastAsia="es-ES"/>
    </w:rPr>
  </w:style>
  <w:style w:type="paragraph" w:customStyle="1" w:styleId="ROMANOS">
    <w:name w:val="ROMANOS"/>
    <w:basedOn w:val="Normal"/>
    <w:link w:val="ROMANOSCar"/>
    <w:rsid w:val="00F4095B"/>
    <w:pPr>
      <w:tabs>
        <w:tab w:val="left" w:pos="720"/>
      </w:tabs>
      <w:spacing w:after="101" w:line="216" w:lineRule="exact"/>
      <w:ind w:left="720" w:hanging="432"/>
      <w:jc w:val="both"/>
    </w:pPr>
    <w:rPr>
      <w:rFonts w:ascii="Arial" w:hAnsi="Arial" w:cs="Arial"/>
      <w:sz w:val="18"/>
      <w:szCs w:val="18"/>
      <w:lang w:val="es-ES" w:eastAsia="es-ES"/>
    </w:rPr>
  </w:style>
  <w:style w:type="character" w:customStyle="1" w:styleId="ROMANOSCar">
    <w:name w:val="ROMANOS Car"/>
    <w:link w:val="ROMANOS"/>
    <w:locked/>
    <w:rsid w:val="00F4095B"/>
    <w:rPr>
      <w:rFonts w:ascii="Arial"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F4095B"/>
  </w:style>
  <w:style w:type="character" w:customStyle="1" w:styleId="Ninguno">
    <w:name w:val="Ninguno"/>
    <w:rsid w:val="00F4095B"/>
    <w:rPr>
      <w:lang w:val="es-ES_tradnl"/>
    </w:rPr>
  </w:style>
  <w:style w:type="paragraph" w:customStyle="1" w:styleId="Cuerpo">
    <w:name w:val="Cuerpo"/>
    <w:rsid w:val="00F4095B"/>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de-DE" w:eastAsia="es-ES"/>
    </w:rPr>
  </w:style>
  <w:style w:type="numbering" w:customStyle="1" w:styleId="Estiloimportado2">
    <w:name w:val="Estilo importado 2"/>
    <w:rsid w:val="00F4095B"/>
    <w:pPr>
      <w:numPr>
        <w:numId w:val="2"/>
      </w:numPr>
    </w:pPr>
  </w:style>
  <w:style w:type="character" w:customStyle="1" w:styleId="normaltextrun">
    <w:name w:val="normaltextrun"/>
    <w:basedOn w:val="Fuentedeprrafopredeter"/>
    <w:rsid w:val="00F4095B"/>
  </w:style>
  <w:style w:type="paragraph" w:customStyle="1" w:styleId="INCISO">
    <w:name w:val="INCISO"/>
    <w:basedOn w:val="Normal"/>
    <w:rsid w:val="00F4095B"/>
    <w:pPr>
      <w:spacing w:after="101" w:line="216" w:lineRule="exact"/>
      <w:ind w:left="1080" w:hanging="360"/>
      <w:jc w:val="both"/>
    </w:pPr>
    <w:rPr>
      <w:rFonts w:ascii="Arial" w:hAnsi="Arial" w:cs="Arial"/>
      <w:sz w:val="18"/>
      <w:szCs w:val="18"/>
      <w:lang w:val="es-ES"/>
    </w:rPr>
  </w:style>
  <w:style w:type="paragraph" w:customStyle="1" w:styleId="n2">
    <w:name w:val="n2"/>
    <w:basedOn w:val="Normal"/>
    <w:rsid w:val="00F4095B"/>
    <w:pPr>
      <w:spacing w:before="100" w:beforeAutospacing="1" w:after="100" w:afterAutospacing="1"/>
    </w:pPr>
  </w:style>
  <w:style w:type="paragraph" w:customStyle="1" w:styleId="j">
    <w:name w:val="j"/>
    <w:basedOn w:val="Normal"/>
    <w:rsid w:val="00F4095B"/>
    <w:pPr>
      <w:spacing w:before="100" w:beforeAutospacing="1" w:after="100" w:afterAutospacing="1"/>
    </w:pPr>
  </w:style>
  <w:style w:type="character" w:customStyle="1" w:styleId="nacep">
    <w:name w:val="n_acep"/>
    <w:basedOn w:val="Fuentedeprrafopredeter"/>
    <w:rsid w:val="00F4095B"/>
  </w:style>
  <w:style w:type="paragraph" w:customStyle="1" w:styleId="m5212863947045306324gmail-msonormal">
    <w:name w:val="m_5212863947045306324gmail-msonormal"/>
    <w:basedOn w:val="Normal"/>
    <w:rsid w:val="00F4095B"/>
    <w:pPr>
      <w:spacing w:before="100" w:beforeAutospacing="1" w:after="100" w:afterAutospacing="1"/>
    </w:pPr>
  </w:style>
  <w:style w:type="character" w:customStyle="1" w:styleId="user-highlighted-active">
    <w:name w:val="user-highlighted-active"/>
    <w:basedOn w:val="Fuentedeprrafopredeter"/>
    <w:rsid w:val="00F4095B"/>
  </w:style>
  <w:style w:type="character" w:customStyle="1" w:styleId="Ttulo4Car">
    <w:name w:val="Título 4 Car"/>
    <w:basedOn w:val="Fuentedeprrafopredeter"/>
    <w:link w:val="Ttulo4"/>
    <w:uiPriority w:val="9"/>
    <w:rsid w:val="00F4095B"/>
    <w:rPr>
      <w:b/>
    </w:rPr>
  </w:style>
  <w:style w:type="character" w:customStyle="1" w:styleId="Ttulo5Car">
    <w:name w:val="Título 5 Car"/>
    <w:basedOn w:val="Fuentedeprrafopredeter"/>
    <w:link w:val="Ttulo5"/>
    <w:uiPriority w:val="9"/>
    <w:rsid w:val="00F4095B"/>
    <w:rPr>
      <w:b/>
      <w:sz w:val="22"/>
      <w:szCs w:val="22"/>
    </w:rPr>
  </w:style>
  <w:style w:type="character" w:customStyle="1" w:styleId="Ttulo6Car">
    <w:name w:val="Título 6 Car"/>
    <w:basedOn w:val="Fuentedeprrafopredeter"/>
    <w:link w:val="Ttulo6"/>
    <w:uiPriority w:val="9"/>
    <w:rsid w:val="00F4095B"/>
    <w:rPr>
      <w:b/>
      <w:sz w:val="20"/>
      <w:szCs w:val="20"/>
    </w:rPr>
  </w:style>
  <w:style w:type="paragraph" w:styleId="Lista">
    <w:name w:val="List"/>
    <w:basedOn w:val="Normal"/>
    <w:uiPriority w:val="99"/>
    <w:unhideWhenUsed/>
    <w:rsid w:val="00F4095B"/>
    <w:pPr>
      <w:ind w:left="283" w:hanging="283"/>
      <w:contextualSpacing/>
    </w:pPr>
    <w:rPr>
      <w:lang w:val="es-ES" w:eastAsia="es-ES"/>
    </w:rPr>
  </w:style>
  <w:style w:type="paragraph" w:styleId="Lista2">
    <w:name w:val="List 2"/>
    <w:basedOn w:val="Normal"/>
    <w:uiPriority w:val="99"/>
    <w:unhideWhenUsed/>
    <w:rsid w:val="00F4095B"/>
    <w:pPr>
      <w:ind w:left="566" w:hanging="283"/>
      <w:contextualSpacing/>
    </w:pPr>
    <w:rPr>
      <w:lang w:val="es-ES" w:eastAsia="es-ES"/>
    </w:rPr>
  </w:style>
  <w:style w:type="paragraph" w:styleId="Lista3">
    <w:name w:val="List 3"/>
    <w:basedOn w:val="Normal"/>
    <w:uiPriority w:val="99"/>
    <w:unhideWhenUsed/>
    <w:rsid w:val="00F4095B"/>
    <w:pPr>
      <w:ind w:left="849" w:hanging="283"/>
      <w:contextualSpacing/>
    </w:pPr>
    <w:rPr>
      <w:lang w:val="es-ES" w:eastAsia="es-ES"/>
    </w:rPr>
  </w:style>
  <w:style w:type="paragraph" w:styleId="Textoindependiente">
    <w:name w:val="Body Text"/>
    <w:basedOn w:val="Normal"/>
    <w:link w:val="TextoindependienteCar"/>
    <w:uiPriority w:val="99"/>
    <w:unhideWhenUsed/>
    <w:rsid w:val="00F4095B"/>
    <w:pPr>
      <w:spacing w:after="120"/>
    </w:pPr>
    <w:rPr>
      <w:lang w:val="es-ES" w:eastAsia="es-ES"/>
    </w:rPr>
  </w:style>
  <w:style w:type="character" w:customStyle="1" w:styleId="TextoindependienteCar">
    <w:name w:val="Texto independiente Car"/>
    <w:basedOn w:val="Fuentedeprrafopredeter"/>
    <w:link w:val="Textoindependiente"/>
    <w:uiPriority w:val="99"/>
    <w:rsid w:val="00F4095B"/>
    <w:rPr>
      <w:lang w:val="es-ES" w:eastAsia="es-ES"/>
    </w:rPr>
  </w:style>
  <w:style w:type="paragraph" w:styleId="Sangradetextonormal">
    <w:name w:val="Body Text Indent"/>
    <w:basedOn w:val="Normal"/>
    <w:link w:val="SangradetextonormalCar"/>
    <w:uiPriority w:val="99"/>
    <w:unhideWhenUsed/>
    <w:rsid w:val="00F4095B"/>
    <w:pPr>
      <w:spacing w:after="120"/>
      <w:ind w:left="283"/>
    </w:pPr>
    <w:rPr>
      <w:lang w:val="es-ES" w:eastAsia="es-ES"/>
    </w:rPr>
  </w:style>
  <w:style w:type="character" w:customStyle="1" w:styleId="SangradetextonormalCar">
    <w:name w:val="Sangría de texto normal Car"/>
    <w:basedOn w:val="Fuentedeprrafopredeter"/>
    <w:link w:val="Sangradetextonormal"/>
    <w:uiPriority w:val="99"/>
    <w:rsid w:val="00F4095B"/>
    <w:rPr>
      <w:lang w:val="es-ES" w:eastAsia="es-ES"/>
    </w:rPr>
  </w:style>
  <w:style w:type="paragraph" w:styleId="Textoindependienteprimerasangra2">
    <w:name w:val="Body Text First Indent 2"/>
    <w:basedOn w:val="Sangradetextonormal"/>
    <w:link w:val="Textoindependienteprimerasangra2Car"/>
    <w:uiPriority w:val="99"/>
    <w:unhideWhenUsed/>
    <w:rsid w:val="00F4095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4095B"/>
    <w:rPr>
      <w:lang w:val="es-ES" w:eastAsia="es-ES"/>
    </w:rPr>
  </w:style>
  <w:style w:type="character" w:customStyle="1" w:styleId="numberfracccentro">
    <w:name w:val="numberfracccentro"/>
    <w:basedOn w:val="Fuentedeprrafopredeter"/>
    <w:rsid w:val="00F4095B"/>
  </w:style>
  <w:style w:type="character" w:customStyle="1" w:styleId="titulorubrolgt">
    <w:name w:val="titulorubrolgt"/>
    <w:basedOn w:val="Fuentedeprrafopredeter"/>
    <w:rsid w:val="00F4095B"/>
  </w:style>
  <w:style w:type="paragraph" w:customStyle="1" w:styleId="Text">
    <w:name w:val="Text"/>
    <w:basedOn w:val="Normal"/>
    <w:link w:val="TextChar"/>
    <w:rsid w:val="00F4095B"/>
    <w:pPr>
      <w:spacing w:after="240"/>
    </w:pPr>
    <w:rPr>
      <w:szCs w:val="20"/>
      <w:lang w:val="en-US" w:eastAsia="en-US"/>
    </w:rPr>
  </w:style>
  <w:style w:type="character" w:customStyle="1" w:styleId="TextChar">
    <w:name w:val="Text Char"/>
    <w:link w:val="Text"/>
    <w:locked/>
    <w:rsid w:val="00F4095B"/>
    <w:rPr>
      <w:szCs w:val="20"/>
      <w:lang w:val="en-US" w:eastAsia="en-US"/>
    </w:rPr>
  </w:style>
  <w:style w:type="paragraph" w:customStyle="1" w:styleId="corte5transcripcion">
    <w:name w:val="corte5 transcripcion"/>
    <w:basedOn w:val="Normal"/>
    <w:rsid w:val="00F4095B"/>
    <w:pPr>
      <w:spacing w:line="360" w:lineRule="auto"/>
      <w:ind w:left="709" w:right="709"/>
      <w:jc w:val="both"/>
    </w:pPr>
    <w:rPr>
      <w:rFonts w:ascii="Arial" w:hAnsi="Arial" w:cs="Arial"/>
      <w:b/>
      <w:bCs/>
      <w:i/>
      <w:iCs/>
      <w:sz w:val="30"/>
      <w:szCs w:val="30"/>
    </w:rPr>
  </w:style>
  <w:style w:type="paragraph" w:customStyle="1" w:styleId="FAFunotente1">
    <w:name w:val="FA Fu?notente1"/>
    <w:basedOn w:val="Normal"/>
    <w:next w:val="Textonotapie"/>
    <w:uiPriority w:val="99"/>
    <w:rsid w:val="00F4095B"/>
    <w:rPr>
      <w:rFonts w:asciiTheme="minorHAnsi" w:eastAsia="Cambria" w:hAnsiTheme="minorHAnsi" w:cstheme="minorBidi"/>
      <w:sz w:val="20"/>
      <w:szCs w:val="20"/>
      <w:lang w:eastAsia="en-US"/>
    </w:rPr>
  </w:style>
  <w:style w:type="paragraph" w:customStyle="1" w:styleId="paragraph">
    <w:name w:val="paragraph"/>
    <w:basedOn w:val="Normal"/>
    <w:uiPriority w:val="99"/>
    <w:rsid w:val="00F4095B"/>
    <w:pPr>
      <w:spacing w:before="100" w:beforeAutospacing="1" w:after="100" w:afterAutospacing="1" w:line="264" w:lineRule="auto"/>
    </w:pPr>
    <w:rPr>
      <w:rFonts w:asciiTheme="minorHAnsi" w:eastAsiaTheme="minorEastAsia" w:hAnsiTheme="minorHAnsi" w:cstheme="minorBidi"/>
      <w:sz w:val="20"/>
      <w:szCs w:val="20"/>
    </w:rPr>
  </w:style>
  <w:style w:type="table" w:customStyle="1" w:styleId="Tablaconcuadrcula1">
    <w:name w:val="Tabla con cuadrícula1"/>
    <w:basedOn w:val="Tablanormal"/>
    <w:next w:val="Tablaconcuadrcula"/>
    <w:uiPriority w:val="59"/>
    <w:rsid w:val="00F4095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F4095B"/>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F4095B"/>
    <w:pPr>
      <w:spacing w:before="100" w:beforeAutospacing="1" w:after="100" w:afterAutospacing="1"/>
    </w:pPr>
  </w:style>
  <w:style w:type="character" w:customStyle="1" w:styleId="bold">
    <w:name w:val="bold"/>
    <w:basedOn w:val="Fuentedeprrafopredeter"/>
    <w:rsid w:val="00F4095B"/>
  </w:style>
  <w:style w:type="paragraph" w:customStyle="1" w:styleId="ng-star-inserted">
    <w:name w:val="ng-star-inserted"/>
    <w:basedOn w:val="Normal"/>
    <w:rsid w:val="00F4095B"/>
    <w:pPr>
      <w:spacing w:before="100" w:beforeAutospacing="1" w:after="100" w:afterAutospacing="1"/>
    </w:pPr>
  </w:style>
  <w:style w:type="character" w:customStyle="1" w:styleId="Mencinsinresolver2">
    <w:name w:val="Mención sin resolver2"/>
    <w:basedOn w:val="Fuentedeprrafopredeter"/>
    <w:uiPriority w:val="99"/>
    <w:semiHidden/>
    <w:unhideWhenUsed/>
    <w:rsid w:val="00F4095B"/>
    <w:rPr>
      <w:color w:val="605E5C"/>
      <w:shd w:val="clear" w:color="auto" w:fill="E1DFDD"/>
    </w:rPr>
  </w:style>
  <w:style w:type="character" w:customStyle="1" w:styleId="Mencinsinresolver3">
    <w:name w:val="Mención sin resolver3"/>
    <w:basedOn w:val="Fuentedeprrafopredeter"/>
    <w:uiPriority w:val="99"/>
    <w:semiHidden/>
    <w:unhideWhenUsed/>
    <w:rsid w:val="00F4095B"/>
    <w:rPr>
      <w:color w:val="605E5C"/>
      <w:shd w:val="clear" w:color="auto" w:fill="E1DFDD"/>
    </w:rPr>
  </w:style>
  <w:style w:type="paragraph" w:styleId="Saludo">
    <w:name w:val="Salutation"/>
    <w:basedOn w:val="Normal"/>
    <w:next w:val="Normal"/>
    <w:link w:val="SaludoCar"/>
    <w:uiPriority w:val="99"/>
    <w:unhideWhenUsed/>
    <w:rsid w:val="00F4095B"/>
    <w:rPr>
      <w:lang w:eastAsia="es-ES"/>
    </w:rPr>
  </w:style>
  <w:style w:type="character" w:customStyle="1" w:styleId="SaludoCar">
    <w:name w:val="Saludo Car"/>
    <w:basedOn w:val="Fuentedeprrafopredeter"/>
    <w:link w:val="Saludo"/>
    <w:uiPriority w:val="99"/>
    <w:rsid w:val="00F4095B"/>
    <w:rPr>
      <w:lang w:eastAsia="es-ES"/>
    </w:rPr>
  </w:style>
  <w:style w:type="character" w:customStyle="1" w:styleId="Caracteresdenotaalpie">
    <w:name w:val="Caracteres de nota al pie"/>
    <w:qFormat/>
    <w:rsid w:val="00F4095B"/>
  </w:style>
  <w:style w:type="character" w:customStyle="1" w:styleId="Mencinsinresolver4">
    <w:name w:val="Mención sin resolver4"/>
    <w:basedOn w:val="Fuentedeprrafopredeter"/>
    <w:uiPriority w:val="99"/>
    <w:semiHidden/>
    <w:unhideWhenUsed/>
    <w:rsid w:val="00F4095B"/>
    <w:rPr>
      <w:color w:val="605E5C"/>
      <w:shd w:val="clear" w:color="auto" w:fill="E1DFDD"/>
    </w:rPr>
  </w:style>
  <w:style w:type="character" w:customStyle="1" w:styleId="Mencinsinresolver5">
    <w:name w:val="Mención sin resolver5"/>
    <w:basedOn w:val="Fuentedeprrafopredeter"/>
    <w:uiPriority w:val="99"/>
    <w:semiHidden/>
    <w:unhideWhenUsed/>
    <w:rsid w:val="00F4095B"/>
    <w:rPr>
      <w:color w:val="605E5C"/>
      <w:shd w:val="clear" w:color="auto" w:fill="E1DFDD"/>
    </w:rPr>
  </w:style>
  <w:style w:type="character" w:customStyle="1" w:styleId="Mencinsinresolver6">
    <w:name w:val="Mención sin resolver6"/>
    <w:basedOn w:val="Fuentedeprrafopredeter"/>
    <w:uiPriority w:val="99"/>
    <w:semiHidden/>
    <w:unhideWhenUsed/>
    <w:rsid w:val="00F4095B"/>
    <w:rPr>
      <w:color w:val="605E5C"/>
      <w:shd w:val="clear" w:color="auto" w:fill="E1DFDD"/>
    </w:rPr>
  </w:style>
  <w:style w:type="table" w:customStyle="1" w:styleId="Tablaconcuadrcula111121">
    <w:name w:val="Tabla con cuadrícula11112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1">
    <w:name w:val="Tabla con cuadrícula1111211"/>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7">
    <w:name w:val="Mención sin resolver7"/>
    <w:basedOn w:val="Fuentedeprrafopredeter"/>
    <w:uiPriority w:val="99"/>
    <w:semiHidden/>
    <w:unhideWhenUsed/>
    <w:rsid w:val="00F4095B"/>
    <w:rPr>
      <w:color w:val="605E5C"/>
      <w:shd w:val="clear" w:color="auto" w:fill="E1DFDD"/>
    </w:rPr>
  </w:style>
  <w:style w:type="character" w:customStyle="1" w:styleId="Mencinsinresolver8">
    <w:name w:val="Mención sin resolver8"/>
    <w:basedOn w:val="Fuentedeprrafopredeter"/>
    <w:uiPriority w:val="99"/>
    <w:semiHidden/>
    <w:unhideWhenUsed/>
    <w:rsid w:val="00F4095B"/>
    <w:rPr>
      <w:color w:val="605E5C"/>
      <w:shd w:val="clear" w:color="auto" w:fill="E1DFDD"/>
    </w:rPr>
  </w:style>
  <w:style w:type="table" w:customStyle="1" w:styleId="Tablaconcuadrcula1111212">
    <w:name w:val="Tabla con cuadrícula1111212"/>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4095B"/>
    <w:rPr>
      <w:lang w:eastAsia="es-ES"/>
    </w:rPr>
  </w:style>
  <w:style w:type="table" w:customStyle="1" w:styleId="Tablaconcuadrcula3">
    <w:name w:val="Tabla con cuadrícula3"/>
    <w:basedOn w:val="Tablanormal"/>
    <w:next w:val="Tablaconcuadrcula"/>
    <w:uiPriority w:val="39"/>
    <w:rsid w:val="00F4095B"/>
    <w:rPr>
      <w:rFonts w:ascii="Arial" w:eastAsia="Calibr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F4095B"/>
    <w:pPr>
      <w:spacing w:after="120"/>
    </w:pPr>
    <w:rPr>
      <w:sz w:val="16"/>
      <w:szCs w:val="16"/>
      <w:lang w:eastAsia="es-ES"/>
    </w:rPr>
  </w:style>
  <w:style w:type="character" w:customStyle="1" w:styleId="Textoindependiente3Car">
    <w:name w:val="Texto independiente 3 Car"/>
    <w:basedOn w:val="Fuentedeprrafopredeter"/>
    <w:link w:val="Textoindependiente3"/>
    <w:uiPriority w:val="99"/>
    <w:semiHidden/>
    <w:rsid w:val="00F4095B"/>
    <w:rPr>
      <w:sz w:val="16"/>
      <w:szCs w:val="16"/>
      <w:lang w:eastAsia="es-ES"/>
    </w:rPr>
  </w:style>
  <w:style w:type="paragraph" w:customStyle="1" w:styleId="xmsonormal">
    <w:name w:val="x_msonormal"/>
    <w:basedOn w:val="Normal"/>
    <w:rsid w:val="00F4095B"/>
    <w:pPr>
      <w:spacing w:before="100" w:beforeAutospacing="1" w:after="100" w:afterAutospacing="1"/>
    </w:pPr>
  </w:style>
  <w:style w:type="character" w:customStyle="1" w:styleId="eop">
    <w:name w:val="eop"/>
    <w:basedOn w:val="Fuentedeprrafopredeter"/>
    <w:rsid w:val="00F4095B"/>
  </w:style>
  <w:style w:type="paragraph" w:styleId="Textonotaalfinal">
    <w:name w:val="endnote text"/>
    <w:basedOn w:val="Normal"/>
    <w:link w:val="TextonotaalfinalCar"/>
    <w:uiPriority w:val="99"/>
    <w:semiHidden/>
    <w:unhideWhenUsed/>
    <w:rsid w:val="00F4095B"/>
    <w:rPr>
      <w:sz w:val="20"/>
      <w:szCs w:val="20"/>
      <w:lang w:eastAsia="es-ES"/>
    </w:rPr>
  </w:style>
  <w:style w:type="character" w:customStyle="1" w:styleId="TextonotaalfinalCar">
    <w:name w:val="Texto nota al final Car"/>
    <w:basedOn w:val="Fuentedeprrafopredeter"/>
    <w:link w:val="Textonotaalfinal"/>
    <w:uiPriority w:val="99"/>
    <w:semiHidden/>
    <w:rsid w:val="00F4095B"/>
    <w:rPr>
      <w:sz w:val="20"/>
      <w:szCs w:val="20"/>
      <w:lang w:eastAsia="es-ES"/>
    </w:rPr>
  </w:style>
  <w:style w:type="character" w:styleId="Refdenotaalfinal">
    <w:name w:val="endnote reference"/>
    <w:basedOn w:val="Fuentedeprrafopredeter"/>
    <w:uiPriority w:val="99"/>
    <w:semiHidden/>
    <w:unhideWhenUsed/>
    <w:rsid w:val="00F4095B"/>
    <w:rPr>
      <w:vertAlign w:val="superscript"/>
    </w:rPr>
  </w:style>
  <w:style w:type="table" w:customStyle="1" w:styleId="Tablaconcuadrcula1111213">
    <w:name w:val="Tabla con cuadrícula1111213"/>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9">
    <w:name w:val="Mención sin resolver9"/>
    <w:basedOn w:val="Fuentedeprrafopredeter"/>
    <w:uiPriority w:val="99"/>
    <w:semiHidden/>
    <w:unhideWhenUsed/>
    <w:rsid w:val="00F4095B"/>
    <w:rPr>
      <w:color w:val="605E5C"/>
      <w:shd w:val="clear" w:color="auto" w:fill="E1DFDD"/>
    </w:rPr>
  </w:style>
  <w:style w:type="character" w:customStyle="1" w:styleId="Mencinsinresolver10">
    <w:name w:val="Mención sin resolver10"/>
    <w:basedOn w:val="Fuentedeprrafopredeter"/>
    <w:uiPriority w:val="99"/>
    <w:semiHidden/>
    <w:unhideWhenUsed/>
    <w:rsid w:val="00F4095B"/>
    <w:rPr>
      <w:color w:val="605E5C"/>
      <w:shd w:val="clear" w:color="auto" w:fill="E1DFDD"/>
    </w:rPr>
  </w:style>
  <w:style w:type="table" w:customStyle="1" w:styleId="Tablaconcuadrcula31">
    <w:name w:val="Tabla con cuadrícula3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1">
    <w:name w:val="Mención sin resolver11"/>
    <w:basedOn w:val="Fuentedeprrafopredeter"/>
    <w:uiPriority w:val="99"/>
    <w:semiHidden/>
    <w:unhideWhenUsed/>
    <w:rsid w:val="00F4095B"/>
    <w:rPr>
      <w:color w:val="605E5C"/>
      <w:shd w:val="clear" w:color="auto" w:fill="E1DFDD"/>
    </w:rPr>
  </w:style>
  <w:style w:type="character" w:customStyle="1" w:styleId="Mencinsinresolver12">
    <w:name w:val="Mención sin resolver12"/>
    <w:basedOn w:val="Fuentedeprrafopredeter"/>
    <w:uiPriority w:val="99"/>
    <w:semiHidden/>
    <w:unhideWhenUsed/>
    <w:rsid w:val="00F4095B"/>
    <w:rPr>
      <w:color w:val="605E5C"/>
      <w:shd w:val="clear" w:color="auto" w:fill="E1DFDD"/>
    </w:rPr>
  </w:style>
  <w:style w:type="character" w:customStyle="1" w:styleId="Mencinsinresolver13">
    <w:name w:val="Mención sin resolver13"/>
    <w:basedOn w:val="Fuentedeprrafopredeter"/>
    <w:uiPriority w:val="99"/>
    <w:semiHidden/>
    <w:unhideWhenUsed/>
    <w:rsid w:val="00F4095B"/>
    <w:rPr>
      <w:color w:val="605E5C"/>
      <w:shd w:val="clear" w:color="auto" w:fill="E1DFDD"/>
    </w:rPr>
  </w:style>
  <w:style w:type="character" w:customStyle="1" w:styleId="Mencinsinresolver14">
    <w:name w:val="Mención sin resolver14"/>
    <w:basedOn w:val="Fuentedeprrafopredeter"/>
    <w:uiPriority w:val="99"/>
    <w:semiHidden/>
    <w:unhideWhenUsed/>
    <w:rsid w:val="00F4095B"/>
    <w:rPr>
      <w:color w:val="605E5C"/>
      <w:shd w:val="clear" w:color="auto" w:fill="E1DFDD"/>
    </w:rPr>
  </w:style>
  <w:style w:type="character" w:customStyle="1" w:styleId="Mencinsinresolver15">
    <w:name w:val="Mención sin resolver15"/>
    <w:basedOn w:val="Fuentedeprrafopredeter"/>
    <w:uiPriority w:val="99"/>
    <w:semiHidden/>
    <w:unhideWhenUsed/>
    <w:rsid w:val="00F4095B"/>
    <w:rPr>
      <w:color w:val="605E5C"/>
      <w:shd w:val="clear" w:color="auto" w:fill="E1DFDD"/>
    </w:rPr>
  </w:style>
  <w:style w:type="character" w:customStyle="1" w:styleId="Mencinsinresolver16">
    <w:name w:val="Mención sin resolver16"/>
    <w:basedOn w:val="Fuentedeprrafopredeter"/>
    <w:uiPriority w:val="99"/>
    <w:semiHidden/>
    <w:unhideWhenUsed/>
    <w:rsid w:val="00F4095B"/>
    <w:rPr>
      <w:color w:val="605E5C"/>
      <w:shd w:val="clear" w:color="auto" w:fill="E1DFDD"/>
    </w:rPr>
  </w:style>
  <w:style w:type="character" w:customStyle="1" w:styleId="Mencinsinresolver17">
    <w:name w:val="Mención sin resolver17"/>
    <w:basedOn w:val="Fuentedeprrafopredeter"/>
    <w:uiPriority w:val="99"/>
    <w:semiHidden/>
    <w:unhideWhenUsed/>
    <w:rsid w:val="00F4095B"/>
    <w:rPr>
      <w:color w:val="605E5C"/>
      <w:shd w:val="clear" w:color="auto" w:fill="E1DFDD"/>
    </w:rPr>
  </w:style>
  <w:style w:type="table" w:customStyle="1" w:styleId="Tablaconcuadrcula1111214">
    <w:name w:val="Tabla con cuadrícula1111214"/>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8">
    <w:name w:val="Mención sin resolver18"/>
    <w:basedOn w:val="Fuentedeprrafopredeter"/>
    <w:uiPriority w:val="99"/>
    <w:semiHidden/>
    <w:unhideWhenUsed/>
    <w:rsid w:val="00F4095B"/>
    <w:rPr>
      <w:color w:val="605E5C"/>
      <w:shd w:val="clear" w:color="auto" w:fill="E1DFDD"/>
    </w:rPr>
  </w:style>
  <w:style w:type="table" w:customStyle="1" w:styleId="Tablaconcuadrcula11112131">
    <w:name w:val="Tabla con cuadrícula1111213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311">
    <w:name w:val="Tabla con cuadrícula11112131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9">
    <w:name w:val="Mención sin resolver19"/>
    <w:basedOn w:val="Fuentedeprrafopredeter"/>
    <w:uiPriority w:val="99"/>
    <w:semiHidden/>
    <w:unhideWhenUsed/>
    <w:rsid w:val="00F4095B"/>
    <w:rPr>
      <w:color w:val="605E5C"/>
      <w:shd w:val="clear" w:color="auto" w:fill="E1DFDD"/>
    </w:rPr>
  </w:style>
  <w:style w:type="table" w:customStyle="1" w:styleId="Tablaconcuadrcula311">
    <w:name w:val="Tabla con cuadrícula31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F409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
    <w:name w:val="INFOEM"/>
    <w:basedOn w:val="Normal"/>
    <w:qFormat/>
    <w:rsid w:val="00F4095B"/>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customStyle="1" w:styleId="Mencinsinresolver20">
    <w:name w:val="Mención sin resolver20"/>
    <w:basedOn w:val="Fuentedeprrafopredeter"/>
    <w:uiPriority w:val="99"/>
    <w:semiHidden/>
    <w:unhideWhenUsed/>
    <w:rsid w:val="00F4095B"/>
    <w:rPr>
      <w:color w:val="605E5C"/>
      <w:shd w:val="clear" w:color="auto" w:fill="E1DFDD"/>
    </w:rPr>
  </w:style>
  <w:style w:type="character" w:customStyle="1" w:styleId="medium">
    <w:name w:val="medium"/>
    <w:basedOn w:val="Fuentedeprrafopredeter"/>
    <w:rsid w:val="00F4095B"/>
  </w:style>
  <w:style w:type="character" w:customStyle="1" w:styleId="A60">
    <w:name w:val="A6"/>
    <w:uiPriority w:val="99"/>
    <w:rsid w:val="00076C70"/>
    <w:rPr>
      <w:rFonts w:cs="Montserra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3751">
      <w:bodyDiv w:val="1"/>
      <w:marLeft w:val="0"/>
      <w:marRight w:val="0"/>
      <w:marTop w:val="0"/>
      <w:marBottom w:val="0"/>
      <w:divBdr>
        <w:top w:val="none" w:sz="0" w:space="0" w:color="auto"/>
        <w:left w:val="none" w:sz="0" w:space="0" w:color="auto"/>
        <w:bottom w:val="none" w:sz="0" w:space="0" w:color="auto"/>
        <w:right w:val="none" w:sz="0" w:space="0" w:color="auto"/>
      </w:divBdr>
    </w:div>
    <w:div w:id="156846415">
      <w:bodyDiv w:val="1"/>
      <w:marLeft w:val="0"/>
      <w:marRight w:val="0"/>
      <w:marTop w:val="0"/>
      <w:marBottom w:val="0"/>
      <w:divBdr>
        <w:top w:val="none" w:sz="0" w:space="0" w:color="auto"/>
        <w:left w:val="none" w:sz="0" w:space="0" w:color="auto"/>
        <w:bottom w:val="none" w:sz="0" w:space="0" w:color="auto"/>
        <w:right w:val="none" w:sz="0" w:space="0" w:color="auto"/>
      </w:divBdr>
    </w:div>
    <w:div w:id="368650995">
      <w:bodyDiv w:val="1"/>
      <w:marLeft w:val="0"/>
      <w:marRight w:val="0"/>
      <w:marTop w:val="0"/>
      <w:marBottom w:val="0"/>
      <w:divBdr>
        <w:top w:val="none" w:sz="0" w:space="0" w:color="auto"/>
        <w:left w:val="none" w:sz="0" w:space="0" w:color="auto"/>
        <w:bottom w:val="none" w:sz="0" w:space="0" w:color="auto"/>
        <w:right w:val="none" w:sz="0" w:space="0" w:color="auto"/>
      </w:divBdr>
    </w:div>
    <w:div w:id="380131739">
      <w:bodyDiv w:val="1"/>
      <w:marLeft w:val="0"/>
      <w:marRight w:val="0"/>
      <w:marTop w:val="0"/>
      <w:marBottom w:val="0"/>
      <w:divBdr>
        <w:top w:val="none" w:sz="0" w:space="0" w:color="auto"/>
        <w:left w:val="none" w:sz="0" w:space="0" w:color="auto"/>
        <w:bottom w:val="none" w:sz="0" w:space="0" w:color="auto"/>
        <w:right w:val="none" w:sz="0" w:space="0" w:color="auto"/>
      </w:divBdr>
    </w:div>
    <w:div w:id="476803416">
      <w:bodyDiv w:val="1"/>
      <w:marLeft w:val="0"/>
      <w:marRight w:val="0"/>
      <w:marTop w:val="0"/>
      <w:marBottom w:val="0"/>
      <w:divBdr>
        <w:top w:val="none" w:sz="0" w:space="0" w:color="auto"/>
        <w:left w:val="none" w:sz="0" w:space="0" w:color="auto"/>
        <w:bottom w:val="none" w:sz="0" w:space="0" w:color="auto"/>
        <w:right w:val="none" w:sz="0" w:space="0" w:color="auto"/>
      </w:divBdr>
    </w:div>
    <w:div w:id="576520448">
      <w:bodyDiv w:val="1"/>
      <w:marLeft w:val="0"/>
      <w:marRight w:val="0"/>
      <w:marTop w:val="0"/>
      <w:marBottom w:val="0"/>
      <w:divBdr>
        <w:top w:val="none" w:sz="0" w:space="0" w:color="auto"/>
        <w:left w:val="none" w:sz="0" w:space="0" w:color="auto"/>
        <w:bottom w:val="none" w:sz="0" w:space="0" w:color="auto"/>
        <w:right w:val="none" w:sz="0" w:space="0" w:color="auto"/>
      </w:divBdr>
    </w:div>
    <w:div w:id="876968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ixtlahuaca.gob.mx/index.php/mejora-regulatoria/catalogo-mpal-de-regulaciones"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xKw50Afj50jLv6gPGZ1K226MOw==">CgMxLjAyCWguMWZvYjl0ZTIIaC5namRneHMyCWguM3pueXNoNzIJaC4yZXQ5MnAwMgloLjNkeTZ2a20yCGgudHlqY3d0MghoLmxueGJ6OTIJaC4zcmRjcmpuMgloLjMwajB6bGwyCWguMzBqMHpsbDgAciExeUFyTDh0T3pzV3RDYjhHMDZQVDBfWGVVaWVrXzZ3NGs=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BA1F060-746C-40C6-9979-4E67C009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3441</Words>
  <Characters>18931</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Cuenta Microsoft</dc:creator>
  <cp:lastModifiedBy>Cuenta Microsoft</cp:lastModifiedBy>
  <cp:revision>9</cp:revision>
  <cp:lastPrinted>2026-05-29T00:09:00Z</cp:lastPrinted>
  <dcterms:created xsi:type="dcterms:W3CDTF">2026-05-21T20:46:00Z</dcterms:created>
  <dcterms:modified xsi:type="dcterms:W3CDTF">2026-06-02T23:32:00Z</dcterms:modified>
</cp:coreProperties>
</file>