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Resolución del Pleno del Instituto de Transparencia, Acceso a la Información Pública y Protección de Datos Personales del Estado de México y Municipios, con domicilio en Metepec, Estado de México, a diecisiete de junio de dos mil veintiséis.</w:t>
      </w:r>
    </w:p>
    <w:p w:rsidR="00FC41BA" w:rsidRPr="00186BF8" w:rsidRDefault="00FC41BA" w:rsidP="00FC41BA">
      <w:pPr>
        <w:pStyle w:val="Textoindependiente"/>
        <w:spacing w:line="360" w:lineRule="auto"/>
        <w:jc w:val="both"/>
        <w:rPr>
          <w:rFonts w:ascii="Palatino Linotype" w:hAnsi="Palatino Linotype"/>
        </w:rPr>
      </w:pP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cs="Arial"/>
          <w:b/>
        </w:rPr>
        <w:t>VISTO</w:t>
      </w:r>
      <w:r w:rsidRPr="00186BF8">
        <w:rPr>
          <w:rFonts w:ascii="Palatino Linotype" w:hAnsi="Palatino Linotype" w:cs="Arial"/>
        </w:rPr>
        <w:t xml:space="preserve"> el expediente electrónico formado con motivo del recurso de revisión número</w:t>
      </w:r>
      <w:r w:rsidRPr="00186BF8">
        <w:rPr>
          <w:rFonts w:ascii="Palatino Linotype" w:hAnsi="Palatino Linotype" w:cs="Arial"/>
          <w:b/>
        </w:rPr>
        <w:t xml:space="preserve"> </w:t>
      </w:r>
      <w:r w:rsidRPr="00186BF8">
        <w:rPr>
          <w:rFonts w:ascii="Palatino Linotype" w:hAnsi="Palatino Linotype" w:cs="Arial"/>
          <w:b/>
          <w:bCs/>
          <w:lang w:eastAsia="es-MX"/>
        </w:rPr>
        <w:t xml:space="preserve">010395/INFOEM/IP/RR/2025, </w:t>
      </w:r>
      <w:r w:rsidRPr="00186BF8">
        <w:rPr>
          <w:rFonts w:ascii="Palatino Linotype" w:hAnsi="Palatino Linotype"/>
        </w:rPr>
        <w:t>interpuesto por “</w:t>
      </w:r>
      <w:r w:rsidR="00416E49">
        <w:rPr>
          <w:rFonts w:ascii="Palatino Linotype" w:hAnsi="Palatino Linotype"/>
          <w:b/>
          <w:lang w:val="es-ES_tradnl"/>
        </w:rPr>
        <w:t>XXXXXXXXXXXXXXXXX</w:t>
      </w:r>
      <w:bookmarkStart w:id="0" w:name="_GoBack"/>
      <w:bookmarkEnd w:id="0"/>
      <w:r w:rsidRPr="00186BF8">
        <w:rPr>
          <w:rFonts w:ascii="Palatino Linotype" w:hAnsi="Palatino Linotype"/>
        </w:rPr>
        <w:t xml:space="preserve">”, en lo sucesivo la parte </w:t>
      </w:r>
      <w:r w:rsidRPr="00186BF8">
        <w:rPr>
          <w:rFonts w:ascii="Palatino Linotype" w:hAnsi="Palatino Linotype"/>
          <w:b/>
        </w:rPr>
        <w:t>Recurrente</w:t>
      </w:r>
      <w:r w:rsidRPr="00186BF8">
        <w:rPr>
          <w:rFonts w:ascii="Palatino Linotype" w:hAnsi="Palatino Linotype"/>
        </w:rPr>
        <w:t xml:space="preserve">, en contra de la respuesta del </w:t>
      </w:r>
      <w:r w:rsidRPr="00186BF8">
        <w:rPr>
          <w:rFonts w:ascii="Palatino Linotype" w:hAnsi="Palatino Linotype"/>
          <w:b/>
        </w:rPr>
        <w:t>Ayuntamiento de Aculco</w:t>
      </w:r>
      <w:r w:rsidRPr="00186BF8">
        <w:rPr>
          <w:rFonts w:ascii="Palatino Linotype" w:hAnsi="Palatino Linotype"/>
        </w:rPr>
        <w:t xml:space="preserve">, en lo subsecuente el </w:t>
      </w:r>
      <w:r w:rsidRPr="00186BF8">
        <w:rPr>
          <w:rFonts w:ascii="Palatino Linotype" w:hAnsi="Palatino Linotype"/>
          <w:b/>
        </w:rPr>
        <w:t>Sujeto Obligado</w:t>
      </w:r>
      <w:r w:rsidRPr="00186BF8">
        <w:rPr>
          <w:rFonts w:ascii="Palatino Linotype" w:hAnsi="Palatino Linotype"/>
        </w:rPr>
        <w:t>, se procede a dictar la presente resolución.</w:t>
      </w:r>
    </w:p>
    <w:p w:rsidR="00FC41BA" w:rsidRPr="00186BF8" w:rsidRDefault="00FC41BA" w:rsidP="00FC41BA">
      <w:pPr>
        <w:pStyle w:val="Textoindependiente"/>
        <w:spacing w:line="360" w:lineRule="auto"/>
        <w:jc w:val="both"/>
        <w:rPr>
          <w:rFonts w:ascii="Palatino Linotype" w:hAnsi="Palatino Linotype" w:cs="Arial"/>
          <w:sz w:val="28"/>
        </w:rPr>
      </w:pPr>
    </w:p>
    <w:p w:rsidR="00251F2C" w:rsidRPr="00186BF8" w:rsidRDefault="00251F2C" w:rsidP="00FC41BA">
      <w:pPr>
        <w:pStyle w:val="infoemcitas"/>
        <w:jc w:val="center"/>
        <w:rPr>
          <w:b/>
          <w:bCs/>
          <w:i w:val="0"/>
          <w:iCs/>
          <w:sz w:val="28"/>
          <w:szCs w:val="28"/>
        </w:rPr>
      </w:pPr>
      <w:r w:rsidRPr="00186BF8">
        <w:rPr>
          <w:b/>
          <w:bCs/>
          <w:i w:val="0"/>
          <w:iCs/>
          <w:sz w:val="28"/>
          <w:szCs w:val="28"/>
        </w:rPr>
        <w:t>A N T E C E D E N T E S   D E L   A S U N T O</w:t>
      </w:r>
    </w:p>
    <w:p w:rsidR="00251F2C" w:rsidRPr="00186BF8" w:rsidRDefault="00251F2C" w:rsidP="00FC41BA">
      <w:pPr>
        <w:pStyle w:val="Lneadeasunto"/>
        <w:spacing w:line="360" w:lineRule="auto"/>
        <w:jc w:val="both"/>
        <w:rPr>
          <w:rFonts w:ascii="Palatino Linotype" w:hAnsi="Palatino Linotype"/>
        </w:rPr>
      </w:pPr>
      <w:r w:rsidRPr="00186BF8">
        <w:rPr>
          <w:rFonts w:ascii="Palatino Linotype" w:hAnsi="Palatino Linotype" w:cs="Arial"/>
          <w:b/>
          <w:sz w:val="28"/>
        </w:rPr>
        <w:t xml:space="preserve">PRIMERO. </w:t>
      </w:r>
      <w:r w:rsidRPr="00186BF8">
        <w:rPr>
          <w:rFonts w:ascii="Palatino Linotype" w:hAnsi="Palatino Linotype"/>
          <w:b/>
          <w:sz w:val="28"/>
        </w:rPr>
        <w:t>De la Solicitud de Información.</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 xml:space="preserve">Con fecha </w:t>
      </w:r>
      <w:r w:rsidRPr="00186BF8">
        <w:rPr>
          <w:rFonts w:ascii="Palatino Linotype" w:hAnsi="Palatino Linotype"/>
          <w:b/>
        </w:rPr>
        <w:t>nueve de julio de dos mil veinticinco</w:t>
      </w:r>
      <w:r w:rsidRPr="00186BF8">
        <w:rPr>
          <w:rFonts w:ascii="Palatino Linotype" w:hAnsi="Palatino Linotype"/>
        </w:rPr>
        <w:t>, la parte</w:t>
      </w:r>
      <w:r w:rsidRPr="00186BF8">
        <w:rPr>
          <w:rFonts w:ascii="Palatino Linotype" w:hAnsi="Palatino Linotype"/>
          <w:b/>
        </w:rPr>
        <w:t xml:space="preserve"> Recurrente </w:t>
      </w:r>
      <w:r w:rsidRPr="00186BF8">
        <w:rPr>
          <w:rFonts w:ascii="Palatino Linotype" w:hAnsi="Palatino Linotype"/>
        </w:rPr>
        <w:t>presentó a través del Sistema de Acceso a la Información Mexiquense (</w:t>
      </w:r>
      <w:r w:rsidRPr="00186BF8">
        <w:rPr>
          <w:rFonts w:ascii="Palatino Linotype" w:hAnsi="Palatino Linotype"/>
          <w:b/>
        </w:rPr>
        <w:t>SAIMEX)</w:t>
      </w:r>
      <w:r w:rsidRPr="00186BF8">
        <w:rPr>
          <w:rFonts w:ascii="Palatino Linotype" w:hAnsi="Palatino Linotype"/>
        </w:rPr>
        <w:t xml:space="preserve"> ante </w:t>
      </w:r>
      <w:r w:rsidRPr="00186BF8">
        <w:rPr>
          <w:rFonts w:ascii="Palatino Linotype" w:hAnsi="Palatino Linotype"/>
          <w:b/>
        </w:rPr>
        <w:t>El Sujeto Obligado</w:t>
      </w:r>
      <w:r w:rsidRPr="00186BF8">
        <w:rPr>
          <w:rFonts w:ascii="Palatino Linotype" w:hAnsi="Palatino Linotype"/>
        </w:rPr>
        <w:t xml:space="preserve">, solicitud de acceso a la información pública, registrada bajo el número de expediente </w:t>
      </w:r>
      <w:r w:rsidRPr="00186BF8">
        <w:rPr>
          <w:rFonts w:ascii="Palatino Linotype" w:hAnsi="Palatino Linotype"/>
          <w:b/>
        </w:rPr>
        <w:t xml:space="preserve">00139/ACULCO/IP/2025, </w:t>
      </w:r>
      <w:r w:rsidRPr="00186BF8">
        <w:rPr>
          <w:rFonts w:ascii="Palatino Linotype" w:hAnsi="Palatino Linotype"/>
        </w:rPr>
        <w:t>mediante la cual solicitó información en el tenor siguiente:</w:t>
      </w:r>
    </w:p>
    <w:p w:rsidR="00251F2C" w:rsidRPr="00186BF8" w:rsidRDefault="00251F2C" w:rsidP="00251F2C">
      <w:pPr>
        <w:pStyle w:val="INFOEM"/>
        <w:rPr>
          <w:lang w:val="es-ES_tradnl" w:eastAsia="es-ES"/>
        </w:rPr>
      </w:pPr>
      <w:r w:rsidRPr="00186BF8">
        <w:rPr>
          <w:lang w:val="es-ES_tradnl" w:eastAsia="es-ES"/>
        </w:rPr>
        <w:t>“</w:t>
      </w:r>
      <w:r w:rsidRPr="00186BF8">
        <w:rPr>
          <w:lang w:val="es-ES" w:eastAsia="es-ES"/>
        </w:rPr>
        <w:t xml:space="preserve">SOLICITO EL NOMBRE DE LA EMPRESA A LA QUE SE LE HAN OTORGADO LOS CONTRATOS DE LA CONTRATACIÓN DE LAS BANDAS PARA TODOS LOS BAILES Y EVENTOS QUE SE HAN REALIZADO DESDE EL 1 DE ENERO AL 09 DE JULIO DE 2025 Y CUANTO PRESUPUESTO SE HA DESTINADO PARA CADA EVENTO. SOLICITO SABER A QUE EMPRESA LE ESTAN COMPRANDO LAS REFACCIONES PARA LOS </w:t>
      </w:r>
      <w:r w:rsidRPr="00186BF8">
        <w:rPr>
          <w:lang w:val="es-ES" w:eastAsia="es-ES"/>
        </w:rPr>
        <w:lastRenderedPageBreak/>
        <w:t>VEHICULOS OFICIALES, REQUIERO FACTURAS POR MES. SOLICITO SABER LA LISTA DE PROVEEDORES DEL MUNICIPIO DE ACULCO Y QUE SE LE HA COMPRADO Y EL MONTO DE CADA PROVEEDOR DEL 01 DE ENERO AL 09* DE JULIO DE 2025.</w:t>
      </w:r>
      <w:r w:rsidRPr="00186BF8">
        <w:rPr>
          <w:lang w:val="es-ES_tradnl" w:eastAsia="es-ES"/>
        </w:rPr>
        <w:t>” (Sic)</w:t>
      </w:r>
    </w:p>
    <w:p w:rsidR="00251F2C" w:rsidRPr="00186BF8" w:rsidRDefault="00251F2C" w:rsidP="00103B43">
      <w:pPr>
        <w:pStyle w:val="Textoindependiente"/>
        <w:rPr>
          <w:rFonts w:ascii="Palatino Linotype" w:hAnsi="Palatino Linotype"/>
          <w:lang w:val="es-ES_tradnl"/>
        </w:rPr>
      </w:pPr>
      <w:r w:rsidRPr="00186BF8">
        <w:rPr>
          <w:rFonts w:ascii="Palatino Linotype" w:hAnsi="Palatino Linotype"/>
          <w:b/>
          <w:lang w:val="es-ES_tradnl"/>
        </w:rPr>
        <w:t>Modalidad de entrega:</w:t>
      </w:r>
      <w:r w:rsidRPr="00186BF8">
        <w:rPr>
          <w:rFonts w:ascii="Palatino Linotype" w:hAnsi="Palatino Linotype"/>
          <w:lang w:val="es-ES_tradnl"/>
        </w:rPr>
        <w:t xml:space="preserve"> A través del SAIMEX.</w:t>
      </w:r>
    </w:p>
    <w:p w:rsidR="00FC41BA" w:rsidRPr="00186BF8" w:rsidRDefault="00FC41BA" w:rsidP="00103B43">
      <w:pPr>
        <w:pStyle w:val="Textoindependiente"/>
        <w:rPr>
          <w:rFonts w:ascii="Palatino Linotype" w:hAnsi="Palatino Linotype"/>
          <w:sz w:val="28"/>
          <w:lang w:val="es-ES_tradnl"/>
        </w:rPr>
      </w:pPr>
    </w:p>
    <w:p w:rsidR="00251F2C" w:rsidRPr="00186BF8" w:rsidRDefault="00251F2C" w:rsidP="00FC41BA">
      <w:pPr>
        <w:pStyle w:val="Textoindependiente"/>
        <w:spacing w:line="360" w:lineRule="auto"/>
        <w:rPr>
          <w:rFonts w:ascii="Palatino Linotype" w:hAnsi="Palatino Linotype"/>
          <w:b/>
          <w:sz w:val="28"/>
        </w:rPr>
      </w:pPr>
      <w:r w:rsidRPr="00186BF8">
        <w:rPr>
          <w:rFonts w:ascii="Palatino Linotype" w:hAnsi="Palatino Linotype"/>
          <w:b/>
          <w:sz w:val="28"/>
        </w:rPr>
        <w:t>SEGUNDO. De la prórroga.</w:t>
      </w:r>
    </w:p>
    <w:p w:rsidR="00251F2C" w:rsidRPr="00186BF8" w:rsidRDefault="00251F2C" w:rsidP="00FC41BA">
      <w:pPr>
        <w:pStyle w:val="Textoindependiente"/>
        <w:spacing w:line="360" w:lineRule="auto"/>
        <w:rPr>
          <w:rFonts w:ascii="Palatino Linotype" w:hAnsi="Palatino Linotype"/>
        </w:rPr>
      </w:pPr>
      <w:r w:rsidRPr="00186BF8">
        <w:rPr>
          <w:rFonts w:ascii="Palatino Linotype" w:hAnsi="Palatino Linotype"/>
        </w:rPr>
        <w:t xml:space="preserve">En fecha </w:t>
      </w:r>
      <w:r w:rsidRPr="00186BF8">
        <w:rPr>
          <w:rFonts w:ascii="Palatino Linotype" w:hAnsi="Palatino Linotype"/>
          <w:b/>
        </w:rPr>
        <w:t>trece de agosto de dos mil veinticinco</w:t>
      </w:r>
      <w:r w:rsidRPr="00186BF8">
        <w:rPr>
          <w:rFonts w:ascii="Palatino Linotype" w:hAnsi="Palatino Linotype"/>
        </w:rPr>
        <w:t xml:space="preserve"> el Sujeto Obligado notificó a la parte Recurrente una prórroga para dar respuesta, en los  términos siguientes:</w:t>
      </w:r>
    </w:p>
    <w:p w:rsidR="00251F2C" w:rsidRPr="00186BF8" w:rsidRDefault="00251F2C" w:rsidP="00251F2C">
      <w:pPr>
        <w:pStyle w:val="INFOEM"/>
      </w:pPr>
      <w:r w:rsidRPr="00186BF8">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251F2C" w:rsidRPr="00186BF8" w:rsidRDefault="00251F2C" w:rsidP="00251F2C">
      <w:pPr>
        <w:pStyle w:val="INFOEM"/>
      </w:pPr>
      <w:r w:rsidRPr="00186BF8">
        <w:t>Derivado del proceso y la carga excesiva de trabajo administrativo en la Dirección, se aprueba prórroga.” (Sic)</w:t>
      </w:r>
    </w:p>
    <w:p w:rsidR="00FC41BA" w:rsidRPr="00186BF8" w:rsidRDefault="00FC41BA" w:rsidP="00103B43">
      <w:pPr>
        <w:pStyle w:val="Textoindependiente"/>
        <w:rPr>
          <w:rFonts w:ascii="Palatino Linotype" w:hAnsi="Palatino Linotype"/>
          <w:b/>
        </w:rPr>
      </w:pPr>
    </w:p>
    <w:p w:rsidR="00251F2C" w:rsidRPr="00186BF8" w:rsidRDefault="00251F2C" w:rsidP="00103B43">
      <w:pPr>
        <w:pStyle w:val="Textoindependiente"/>
        <w:rPr>
          <w:rFonts w:ascii="Palatino Linotype" w:hAnsi="Palatino Linotype"/>
          <w:b/>
          <w:sz w:val="28"/>
        </w:rPr>
      </w:pPr>
      <w:r w:rsidRPr="00186BF8">
        <w:rPr>
          <w:rFonts w:ascii="Palatino Linotype" w:hAnsi="Palatino Linotype"/>
          <w:b/>
          <w:sz w:val="28"/>
        </w:rPr>
        <w:t>TERCERO. De la respuesta o entrega de la información.</w:t>
      </w:r>
    </w:p>
    <w:p w:rsidR="00251F2C" w:rsidRPr="00186BF8" w:rsidRDefault="00251F2C" w:rsidP="00251F2C">
      <w:pPr>
        <w:pStyle w:val="Sinespaciado"/>
        <w:spacing w:line="360" w:lineRule="auto"/>
        <w:jc w:val="both"/>
        <w:rPr>
          <w:rFonts w:ascii="Palatino Linotype" w:hAnsi="Palatino Linotype" w:cs="Arial"/>
          <w:b/>
          <w:sz w:val="24"/>
        </w:rPr>
      </w:pPr>
      <w:r w:rsidRPr="00186BF8">
        <w:rPr>
          <w:rFonts w:ascii="Palatino Linotype" w:hAnsi="Palatino Linotype"/>
          <w:sz w:val="24"/>
        </w:rPr>
        <w:t xml:space="preserve">De las constancias que obran en el expediente electrónico, se advierte que el </w:t>
      </w:r>
      <w:r w:rsidRPr="00186BF8">
        <w:rPr>
          <w:rFonts w:ascii="Palatino Linotype" w:hAnsi="Palatino Linotype" w:cs="Arial"/>
          <w:sz w:val="24"/>
        </w:rPr>
        <w:t xml:space="preserve">día </w:t>
      </w:r>
      <w:r w:rsidR="00103B43" w:rsidRPr="00186BF8">
        <w:rPr>
          <w:rFonts w:ascii="Palatino Linotype" w:hAnsi="Palatino Linotype" w:cs="Arial"/>
          <w:b/>
          <w:sz w:val="24"/>
        </w:rPr>
        <w:t>veinticinco de agosto</w:t>
      </w:r>
      <w:r w:rsidRPr="00186BF8">
        <w:rPr>
          <w:rFonts w:ascii="Palatino Linotype" w:hAnsi="Palatino Linotype" w:cs="Arial"/>
          <w:b/>
          <w:sz w:val="24"/>
        </w:rPr>
        <w:t xml:space="preserve"> de dos mil veinticinco</w:t>
      </w:r>
      <w:r w:rsidRPr="00186BF8">
        <w:rPr>
          <w:rFonts w:ascii="Palatino Linotype" w:hAnsi="Palatino Linotype" w:cs="Arial"/>
          <w:sz w:val="24"/>
        </w:rPr>
        <w:t xml:space="preserve">, el </w:t>
      </w:r>
      <w:r w:rsidRPr="00186BF8">
        <w:rPr>
          <w:rFonts w:ascii="Palatino Linotype" w:hAnsi="Palatino Linotype" w:cs="Arial"/>
          <w:b/>
          <w:sz w:val="24"/>
        </w:rPr>
        <w:t>Sujeto Obligado</w:t>
      </w:r>
      <w:r w:rsidRPr="00186BF8">
        <w:rPr>
          <w:rFonts w:ascii="Palatino Linotype" w:hAnsi="Palatino Linotype" w:cs="Arial"/>
          <w:sz w:val="24"/>
        </w:rPr>
        <w:t xml:space="preserve"> dio respuesta a la solicitud de información en los siguientes términos: </w:t>
      </w:r>
    </w:p>
    <w:p w:rsidR="00103B43" w:rsidRPr="00186BF8" w:rsidRDefault="00251F2C" w:rsidP="00FC41BA">
      <w:pPr>
        <w:pStyle w:val="Citas"/>
      </w:pPr>
      <w:r w:rsidRPr="00186BF8">
        <w:t>“</w:t>
      </w:r>
      <w:r w:rsidR="00103B43" w:rsidRPr="00186BF8">
        <w:t>En respuesta a la solicitud recibida, nos permitimos hacer de su conocimiento que con fundamento en el artículo 53, Fracciones: II, V y VI de la Ley de Transparencia y Acceso a la Información Pública del Estado de México y Municipios, le contestamos que:</w:t>
      </w:r>
    </w:p>
    <w:p w:rsidR="00251F2C" w:rsidRPr="00186BF8" w:rsidRDefault="00103B43" w:rsidP="00FC41BA">
      <w:pPr>
        <w:pStyle w:val="Citas"/>
      </w:pPr>
      <w:r w:rsidRPr="00186BF8">
        <w:lastRenderedPageBreak/>
        <w:t>Se adjuntan respuestas.</w:t>
      </w:r>
      <w:r w:rsidR="00251F2C" w:rsidRPr="00186BF8">
        <w:t xml:space="preserve"> “(Sic).</w:t>
      </w:r>
    </w:p>
    <w:p w:rsidR="00103B43" w:rsidRPr="00186BF8" w:rsidRDefault="00103B43" w:rsidP="00FC41BA">
      <w:pPr>
        <w:pStyle w:val="Textoindependiente"/>
        <w:spacing w:line="360" w:lineRule="auto"/>
        <w:jc w:val="both"/>
        <w:rPr>
          <w:rFonts w:ascii="Palatino Linotype" w:hAnsi="Palatino Linotype"/>
        </w:rPr>
      </w:pPr>
      <w:r w:rsidRPr="00186BF8">
        <w:rPr>
          <w:rFonts w:ascii="Palatino Linotype" w:hAnsi="Palatino Linotype"/>
        </w:rPr>
        <w:t xml:space="preserve">Adicionalmente, el </w:t>
      </w:r>
      <w:r w:rsidRPr="00186BF8">
        <w:rPr>
          <w:rFonts w:ascii="Palatino Linotype" w:hAnsi="Palatino Linotype"/>
          <w:b/>
        </w:rPr>
        <w:t>Sujeto Obligado</w:t>
      </w:r>
      <w:r w:rsidRPr="00186BF8">
        <w:rPr>
          <w:rFonts w:ascii="Palatino Linotype" w:hAnsi="Palatino Linotype"/>
        </w:rPr>
        <w:t xml:space="preserve"> adjuntó el archivo electrónico denominado “</w:t>
      </w:r>
      <w:r w:rsidRPr="00186BF8">
        <w:rPr>
          <w:rFonts w:ascii="Palatino Linotype" w:hAnsi="Palatino Linotype"/>
          <w:b/>
          <w:i/>
        </w:rPr>
        <w:t xml:space="preserve">SOLICITUD 00139.PDF”, </w:t>
      </w:r>
      <w:r w:rsidRPr="00186BF8">
        <w:rPr>
          <w:rFonts w:ascii="Palatino Linotype" w:hAnsi="Palatino Linotype"/>
        </w:rPr>
        <w:t xml:space="preserve">mismo que no se reproduce por ser del conocimiento de las partes, sin embargo, será materia de estudio en el considerando respectivo. </w:t>
      </w:r>
    </w:p>
    <w:p w:rsidR="00FC41BA" w:rsidRPr="00186BF8" w:rsidRDefault="00FC41BA" w:rsidP="00FC41BA">
      <w:pPr>
        <w:pStyle w:val="Textoindependiente"/>
        <w:spacing w:line="360" w:lineRule="auto"/>
        <w:jc w:val="both"/>
        <w:rPr>
          <w:rFonts w:ascii="Palatino Linotype" w:hAnsi="Palatino Linotype" w:cs="Arial"/>
          <w:b/>
        </w:rPr>
      </w:pPr>
    </w:p>
    <w:p w:rsidR="00251F2C" w:rsidRPr="00186BF8" w:rsidRDefault="00251F2C" w:rsidP="00FC41BA">
      <w:pPr>
        <w:pStyle w:val="Textoindependiente"/>
        <w:spacing w:line="360" w:lineRule="auto"/>
        <w:jc w:val="both"/>
        <w:rPr>
          <w:rFonts w:ascii="Palatino Linotype" w:hAnsi="Palatino Linotype" w:cs="Arial"/>
          <w:b/>
          <w:sz w:val="28"/>
        </w:rPr>
      </w:pPr>
      <w:r w:rsidRPr="00186BF8">
        <w:rPr>
          <w:rFonts w:ascii="Palatino Linotype" w:hAnsi="Palatino Linotype" w:cs="Arial"/>
          <w:b/>
          <w:sz w:val="28"/>
        </w:rPr>
        <w:t xml:space="preserve">CUARTO. </w:t>
      </w:r>
      <w:r w:rsidRPr="00186BF8">
        <w:rPr>
          <w:rFonts w:ascii="Palatino Linotype" w:hAnsi="Palatino Linotype"/>
          <w:b/>
          <w:sz w:val="28"/>
        </w:rPr>
        <w:t>Del recurso de revisión.</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 xml:space="preserve">Inconforme con la respuesta notificada por </w:t>
      </w:r>
      <w:r w:rsidRPr="00186BF8">
        <w:rPr>
          <w:rFonts w:ascii="Palatino Linotype" w:hAnsi="Palatino Linotype"/>
          <w:b/>
        </w:rPr>
        <w:t xml:space="preserve">El Sujeto Obligado, </w:t>
      </w:r>
      <w:r w:rsidRPr="00186BF8">
        <w:rPr>
          <w:rFonts w:ascii="Palatino Linotype" w:hAnsi="Palatino Linotype"/>
        </w:rPr>
        <w:t>el</w:t>
      </w:r>
      <w:r w:rsidRPr="00186BF8">
        <w:rPr>
          <w:rFonts w:ascii="Palatino Linotype" w:hAnsi="Palatino Linotype"/>
          <w:b/>
        </w:rPr>
        <w:t xml:space="preserve"> Recurrente </w:t>
      </w:r>
      <w:r w:rsidRPr="00186BF8">
        <w:rPr>
          <w:rFonts w:ascii="Palatino Linotype" w:hAnsi="Palatino Linotype"/>
        </w:rPr>
        <w:t xml:space="preserve">interpuso recurso de revisión, en fecha </w:t>
      </w:r>
      <w:r w:rsidR="00103B43" w:rsidRPr="00186BF8">
        <w:rPr>
          <w:rFonts w:ascii="Palatino Linotype" w:hAnsi="Palatino Linotype"/>
          <w:b/>
        </w:rPr>
        <w:t>tres</w:t>
      </w:r>
      <w:r w:rsidRPr="00186BF8">
        <w:rPr>
          <w:rFonts w:ascii="Palatino Linotype" w:hAnsi="Palatino Linotype"/>
          <w:b/>
        </w:rPr>
        <w:t xml:space="preserve"> de septiembre de dos mil veinticinco</w:t>
      </w:r>
      <w:r w:rsidRPr="00186BF8">
        <w:rPr>
          <w:rFonts w:ascii="Palatino Linotype" w:hAnsi="Palatino Linotype"/>
        </w:rPr>
        <w:t xml:space="preserve">, el cual fue registrado en el sistema electrónico con el expediente número </w:t>
      </w:r>
      <w:r w:rsidRPr="00186BF8">
        <w:rPr>
          <w:rFonts w:ascii="Palatino Linotype" w:hAnsi="Palatino Linotype"/>
          <w:b/>
        </w:rPr>
        <w:t xml:space="preserve">010395/INFOEM/IP/RR/2025; </w:t>
      </w:r>
      <w:r w:rsidRPr="00186BF8">
        <w:rPr>
          <w:rFonts w:ascii="Palatino Linotype" w:hAnsi="Palatino Linotype"/>
        </w:rPr>
        <w:t>en los cuales arguye las siguientes manifestaciones:</w:t>
      </w:r>
    </w:p>
    <w:p w:rsidR="00251F2C" w:rsidRPr="00186BF8" w:rsidRDefault="00251F2C" w:rsidP="00251F2C">
      <w:pPr>
        <w:pStyle w:val="Prrafodelista"/>
        <w:numPr>
          <w:ilvl w:val="0"/>
          <w:numId w:val="1"/>
        </w:numPr>
        <w:spacing w:before="240" w:line="360" w:lineRule="auto"/>
        <w:ind w:left="142" w:firstLine="0"/>
        <w:jc w:val="both"/>
        <w:rPr>
          <w:rFonts w:ascii="Palatino Linotype" w:hAnsi="Palatino Linotype" w:cs="Arial"/>
          <w:b/>
          <w:i/>
        </w:rPr>
      </w:pPr>
      <w:r w:rsidRPr="00186BF8">
        <w:rPr>
          <w:rFonts w:ascii="Palatino Linotype" w:hAnsi="Palatino Linotype" w:cs="Arial"/>
          <w:b/>
          <w:i/>
        </w:rPr>
        <w:t xml:space="preserve">Acto impugnado </w:t>
      </w:r>
    </w:p>
    <w:p w:rsidR="00251F2C" w:rsidRPr="00186BF8" w:rsidRDefault="00251F2C" w:rsidP="00251F2C">
      <w:pPr>
        <w:pStyle w:val="INFOEM"/>
        <w:ind w:left="720"/>
      </w:pPr>
      <w:r w:rsidRPr="00186BF8">
        <w:t>“</w:t>
      </w:r>
      <w:r w:rsidR="00103B43" w:rsidRPr="00186BF8">
        <w:t>NO SE ENTREGA LA INFORACIÓN SOLICITADA</w:t>
      </w:r>
      <w:r w:rsidRPr="00186BF8">
        <w:t>” (sic)</w:t>
      </w:r>
    </w:p>
    <w:p w:rsidR="00251F2C" w:rsidRPr="00186BF8" w:rsidRDefault="00251F2C" w:rsidP="00251F2C">
      <w:pPr>
        <w:pStyle w:val="Prrafodelista"/>
        <w:numPr>
          <w:ilvl w:val="0"/>
          <w:numId w:val="1"/>
        </w:numPr>
        <w:spacing w:before="240" w:line="360" w:lineRule="auto"/>
        <w:ind w:left="142" w:firstLine="0"/>
        <w:jc w:val="both"/>
        <w:rPr>
          <w:rFonts w:ascii="Palatino Linotype" w:hAnsi="Palatino Linotype" w:cs="Arial"/>
          <w:b/>
          <w:i/>
        </w:rPr>
      </w:pPr>
      <w:r w:rsidRPr="00186BF8">
        <w:rPr>
          <w:rFonts w:ascii="Palatino Linotype" w:hAnsi="Palatino Linotype" w:cs="Arial"/>
          <w:b/>
          <w:i/>
        </w:rPr>
        <w:t>Razones o motivos de inconformidad</w:t>
      </w:r>
    </w:p>
    <w:p w:rsidR="00251F2C" w:rsidRPr="00186BF8" w:rsidRDefault="00251F2C" w:rsidP="00251F2C">
      <w:pPr>
        <w:pStyle w:val="INFOEM"/>
        <w:ind w:left="709"/>
      </w:pPr>
      <w:r w:rsidRPr="00186BF8">
        <w:t>“</w:t>
      </w:r>
      <w:r w:rsidR="00103B43" w:rsidRPr="00186BF8">
        <w:t>EL LINK NO ABRE POR LO QUE NO PUDE TENER ACCESO A LA INFORMACIÓN</w:t>
      </w:r>
      <w:r w:rsidRPr="00186BF8">
        <w:t>” (sic)</w:t>
      </w:r>
    </w:p>
    <w:p w:rsidR="00251F2C" w:rsidRPr="00186BF8" w:rsidRDefault="00251F2C" w:rsidP="00FC41BA">
      <w:pPr>
        <w:pStyle w:val="Textoindependiente"/>
        <w:spacing w:line="360" w:lineRule="auto"/>
        <w:rPr>
          <w:rFonts w:ascii="Palatino Linotype" w:hAnsi="Palatino Linotype"/>
          <w:b/>
          <w:sz w:val="28"/>
        </w:rPr>
      </w:pPr>
      <w:r w:rsidRPr="00186BF8">
        <w:rPr>
          <w:rFonts w:ascii="Palatino Linotype" w:hAnsi="Palatino Linotype"/>
          <w:b/>
          <w:sz w:val="28"/>
        </w:rPr>
        <w:t>QUINTO. Del turno y admisión del recurso de revisión.</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 xml:space="preserve">El medio de impugnación fue turnado al Comisionado Presidente </w:t>
      </w:r>
      <w:r w:rsidRPr="00186BF8">
        <w:rPr>
          <w:rFonts w:ascii="Palatino Linotype" w:hAnsi="Palatino Linotype"/>
          <w:b/>
        </w:rPr>
        <w:t>José Martínez Vilchis,</w:t>
      </w:r>
      <w:r w:rsidRPr="00186BF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186BF8">
        <w:rPr>
          <w:rFonts w:ascii="Palatino Linotype" w:hAnsi="Palatino Linotype"/>
          <w:b/>
        </w:rPr>
        <w:t>admisión</w:t>
      </w:r>
      <w:r w:rsidRPr="00186BF8">
        <w:rPr>
          <w:rFonts w:ascii="Palatino Linotype" w:hAnsi="Palatino Linotype"/>
        </w:rPr>
        <w:t xml:space="preserve"> en fecha </w:t>
      </w:r>
      <w:r w:rsidRPr="00186BF8">
        <w:rPr>
          <w:rFonts w:ascii="Palatino Linotype" w:hAnsi="Palatino Linotype"/>
          <w:b/>
        </w:rPr>
        <w:t>cinco de septiembre de dos mil veinticinco</w:t>
      </w:r>
      <w:r w:rsidRPr="00186BF8">
        <w:rPr>
          <w:rFonts w:ascii="Palatino Linotype" w:hAnsi="Palatino Linotype"/>
        </w:rPr>
        <w:t xml:space="preserve">, determinándose en ellos, un plazo de siete días </w:t>
      </w:r>
      <w:r w:rsidRPr="00186BF8">
        <w:rPr>
          <w:rFonts w:ascii="Palatino Linotype" w:hAnsi="Palatino Linotype"/>
        </w:rPr>
        <w:lastRenderedPageBreak/>
        <w:t>para que las partes manifestaran lo que a su derecho corresponda en términos del numeral ya citado.</w:t>
      </w:r>
    </w:p>
    <w:p w:rsidR="00FC41BA" w:rsidRPr="00186BF8" w:rsidRDefault="00FC41BA" w:rsidP="00FC41BA">
      <w:pPr>
        <w:pStyle w:val="Textoindependiente"/>
        <w:spacing w:line="360" w:lineRule="auto"/>
        <w:jc w:val="both"/>
        <w:rPr>
          <w:rFonts w:ascii="Palatino Linotype" w:hAnsi="Palatino Linotype" w:cs="Arial"/>
          <w:sz w:val="28"/>
        </w:rPr>
      </w:pPr>
    </w:p>
    <w:p w:rsidR="00251F2C" w:rsidRPr="00186BF8" w:rsidRDefault="00251F2C" w:rsidP="00FC41BA">
      <w:pPr>
        <w:pStyle w:val="Prrafodelista"/>
        <w:spacing w:line="360" w:lineRule="auto"/>
        <w:ind w:left="0"/>
        <w:jc w:val="both"/>
        <w:rPr>
          <w:rFonts w:ascii="Palatino Linotype" w:hAnsi="Palatino Linotype" w:cs="Arial"/>
          <w:b/>
          <w:sz w:val="28"/>
          <w:szCs w:val="28"/>
        </w:rPr>
      </w:pPr>
      <w:r w:rsidRPr="00186BF8">
        <w:rPr>
          <w:rFonts w:ascii="Palatino Linotype" w:hAnsi="Palatino Linotype" w:cs="Arial"/>
          <w:b/>
          <w:sz w:val="28"/>
          <w:szCs w:val="28"/>
        </w:rPr>
        <w:t>SEXTO. De la etapa de instrucción.</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De las constancias que obran en el expediente electrónico del SAIMEX, se advierte que el Sujeto Obligado fue omiso al rendir su informe justificado. De igual manera, se advierte que el Recurrente</w:t>
      </w:r>
      <w:r w:rsidRPr="00186BF8">
        <w:rPr>
          <w:rFonts w:ascii="Palatino Linotype" w:hAnsi="Palatino Linotype"/>
          <w:b/>
        </w:rPr>
        <w:t>,</w:t>
      </w:r>
      <w:r w:rsidRPr="00186BF8">
        <w:rPr>
          <w:rFonts w:ascii="Palatino Linotype" w:hAnsi="Palatino Linotype"/>
        </w:rPr>
        <w:t xml:space="preserve"> omitió rendir dentro del término de Ley, las manifestaciones que a sus intereses conviniera.</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FC41BA" w:rsidRPr="00186BF8" w:rsidRDefault="00FC41BA" w:rsidP="00FC41BA">
      <w:pPr>
        <w:pStyle w:val="Textoindependiente"/>
        <w:spacing w:line="360" w:lineRule="auto"/>
        <w:jc w:val="both"/>
        <w:rPr>
          <w:rFonts w:ascii="Palatino Linotype" w:hAnsi="Palatino Linotype"/>
        </w:rPr>
      </w:pPr>
    </w:p>
    <w:p w:rsidR="00251F2C" w:rsidRPr="00186BF8" w:rsidRDefault="00251F2C" w:rsidP="00103B43">
      <w:pPr>
        <w:pStyle w:val="Textoindependiente"/>
        <w:rPr>
          <w:rFonts w:ascii="Palatino Linotype" w:hAnsi="Palatino Linotype"/>
          <w:b/>
          <w:sz w:val="28"/>
        </w:rPr>
      </w:pPr>
      <w:r w:rsidRPr="00186BF8">
        <w:rPr>
          <w:rFonts w:ascii="Palatino Linotype" w:eastAsia="Calibri" w:hAnsi="Palatino Linotype"/>
          <w:b/>
          <w:sz w:val="28"/>
          <w:lang w:val="es-ES_tradnl"/>
        </w:rPr>
        <w:t>SÉPTIMO</w:t>
      </w:r>
      <w:r w:rsidRPr="00186BF8">
        <w:rPr>
          <w:rFonts w:ascii="Palatino Linotype" w:hAnsi="Palatino Linotype"/>
          <w:b/>
          <w:sz w:val="28"/>
        </w:rPr>
        <w:t>. Del Cierre de Instrucción.</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03B43" w:rsidRPr="00186BF8">
        <w:rPr>
          <w:rFonts w:ascii="Palatino Linotype" w:hAnsi="Palatino Linotype"/>
          <w:b/>
        </w:rPr>
        <w:t>veinticuatro de febrero de dos mil veintiséis</w:t>
      </w:r>
      <w:r w:rsidRPr="00186BF8">
        <w:rPr>
          <w:rFonts w:ascii="Palatino Linotype" w:hAnsi="Palatino Linotype"/>
        </w:rPr>
        <w:t>, en términos del artículo 185 fracción VI de la Ley de Transparencia y Acceso a la Información Pública del Estado de México y Municipios, ordenándose turnar el expediente a la resolución que en derecho proceda.</w:t>
      </w:r>
    </w:p>
    <w:p w:rsidR="00FC41BA" w:rsidRPr="00186BF8" w:rsidRDefault="00FC41BA" w:rsidP="00FC41BA">
      <w:pPr>
        <w:pStyle w:val="Textoindependiente"/>
        <w:spacing w:line="360" w:lineRule="auto"/>
        <w:jc w:val="both"/>
        <w:rPr>
          <w:rFonts w:ascii="Palatino Linotype" w:hAnsi="Palatino Linotype"/>
        </w:rPr>
      </w:pPr>
    </w:p>
    <w:p w:rsidR="00251F2C" w:rsidRPr="00186BF8" w:rsidRDefault="00251F2C" w:rsidP="00FC41BA">
      <w:pPr>
        <w:pStyle w:val="Textoindependiente"/>
        <w:spacing w:line="360" w:lineRule="auto"/>
        <w:jc w:val="both"/>
        <w:rPr>
          <w:rFonts w:ascii="Palatino Linotype" w:eastAsia="Calibri" w:hAnsi="Palatino Linotype"/>
          <w:b/>
          <w:sz w:val="28"/>
          <w:lang w:val="es-ES_tradnl"/>
        </w:rPr>
      </w:pPr>
      <w:r w:rsidRPr="00186BF8">
        <w:rPr>
          <w:rFonts w:ascii="Palatino Linotype" w:eastAsia="Calibri" w:hAnsi="Palatino Linotype"/>
          <w:b/>
          <w:sz w:val="28"/>
          <w:lang w:val="es-ES_tradnl"/>
        </w:rPr>
        <w:lastRenderedPageBreak/>
        <w:t>OCTAVO. De la ampliación del término para resolver.</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 xml:space="preserve">De las constancias que integran el expediente electrónico, se advierte que han transcurrido los términos de Ley, para la emisión de la resolución en el presente recurso de revisión, por lo que en fecha </w:t>
      </w:r>
      <w:r w:rsidRPr="00186BF8">
        <w:rPr>
          <w:rFonts w:ascii="Palatino Linotype" w:hAnsi="Palatino Linotype"/>
          <w:b/>
        </w:rPr>
        <w:t>veinticuatro de febrero de dos mil veintiséis</w:t>
      </w:r>
      <w:r w:rsidRPr="00186BF8">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FC41BA" w:rsidRPr="00186BF8" w:rsidRDefault="00FC41BA" w:rsidP="00FC41BA">
      <w:pPr>
        <w:pStyle w:val="Textoindependiente"/>
        <w:spacing w:line="360" w:lineRule="auto"/>
        <w:jc w:val="both"/>
        <w:rPr>
          <w:rFonts w:ascii="Palatino Linotype" w:hAnsi="Palatino Linotype"/>
          <w:b/>
        </w:rPr>
      </w:pPr>
    </w:p>
    <w:p w:rsidR="00251F2C" w:rsidRPr="00186BF8" w:rsidRDefault="00251F2C" w:rsidP="00FC41BA">
      <w:pPr>
        <w:pStyle w:val="Textoindependiente"/>
        <w:jc w:val="center"/>
        <w:rPr>
          <w:rFonts w:ascii="Palatino Linotype" w:hAnsi="Palatino Linotype"/>
          <w:b/>
          <w:sz w:val="28"/>
          <w:lang w:val="es-ES_tradnl"/>
        </w:rPr>
      </w:pPr>
      <w:r w:rsidRPr="00186BF8">
        <w:rPr>
          <w:rFonts w:ascii="Palatino Linotype" w:hAnsi="Palatino Linotype"/>
          <w:b/>
          <w:sz w:val="28"/>
          <w:lang w:val="es-ES_tradnl"/>
        </w:rPr>
        <w:t>C</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O</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N</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S</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I</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D</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E</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R</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A</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N</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D</w:t>
      </w:r>
      <w:r w:rsidR="00FC41BA" w:rsidRPr="00186BF8">
        <w:rPr>
          <w:rFonts w:ascii="Palatino Linotype" w:hAnsi="Palatino Linotype"/>
          <w:b/>
          <w:sz w:val="28"/>
          <w:lang w:val="es-ES_tradnl"/>
        </w:rPr>
        <w:t xml:space="preserve"> </w:t>
      </w:r>
      <w:r w:rsidRPr="00186BF8">
        <w:rPr>
          <w:rFonts w:ascii="Palatino Linotype" w:hAnsi="Palatino Linotype"/>
          <w:b/>
          <w:sz w:val="28"/>
          <w:lang w:val="es-ES_tradnl"/>
        </w:rPr>
        <w:t>O</w:t>
      </w:r>
    </w:p>
    <w:p w:rsidR="00251F2C" w:rsidRPr="00186BF8" w:rsidRDefault="00251F2C" w:rsidP="00103B43">
      <w:pPr>
        <w:pStyle w:val="Textoindependiente"/>
        <w:rPr>
          <w:rFonts w:ascii="Palatino Linotype" w:hAnsi="Palatino Linotype"/>
          <w:b/>
          <w:sz w:val="28"/>
        </w:rPr>
      </w:pPr>
      <w:r w:rsidRPr="00186BF8">
        <w:rPr>
          <w:rFonts w:ascii="Palatino Linotype" w:hAnsi="Palatino Linotype"/>
          <w:b/>
          <w:sz w:val="28"/>
        </w:rPr>
        <w:t>PRIMERO. De la competencia.</w:t>
      </w:r>
    </w:p>
    <w:p w:rsidR="00251F2C" w:rsidRPr="00186BF8" w:rsidRDefault="00251F2C" w:rsidP="00FC41BA">
      <w:pPr>
        <w:pStyle w:val="Textoindependiente"/>
        <w:spacing w:line="360" w:lineRule="auto"/>
        <w:jc w:val="both"/>
        <w:rPr>
          <w:rFonts w:ascii="Palatino Linotype" w:hAnsi="Palatino Linotype"/>
        </w:rPr>
      </w:pPr>
      <w:r w:rsidRPr="00186BF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C41BA" w:rsidRPr="00186BF8" w:rsidRDefault="00FC41BA" w:rsidP="00FC41BA">
      <w:pPr>
        <w:pStyle w:val="Textoindependiente"/>
        <w:spacing w:line="360" w:lineRule="auto"/>
        <w:jc w:val="both"/>
        <w:rPr>
          <w:rFonts w:ascii="Palatino Linotype" w:hAnsi="Palatino Linotype"/>
        </w:rPr>
      </w:pPr>
    </w:p>
    <w:p w:rsidR="00251F2C" w:rsidRPr="00186BF8" w:rsidRDefault="00251F2C" w:rsidP="00251F2C">
      <w:pPr>
        <w:pStyle w:val="Prrafodelista"/>
        <w:autoSpaceDE w:val="0"/>
        <w:autoSpaceDN w:val="0"/>
        <w:adjustRightInd w:val="0"/>
        <w:spacing w:before="240" w:after="160" w:line="360" w:lineRule="auto"/>
        <w:ind w:left="0"/>
        <w:jc w:val="both"/>
        <w:rPr>
          <w:rFonts w:ascii="Palatino Linotype" w:hAnsi="Palatino Linotype" w:cs="Arial"/>
          <w:b/>
        </w:rPr>
      </w:pPr>
      <w:r w:rsidRPr="00186BF8">
        <w:rPr>
          <w:rFonts w:ascii="Palatino Linotype" w:hAnsi="Palatino Linotype" w:cs="Arial"/>
          <w:b/>
          <w:sz w:val="28"/>
        </w:rPr>
        <w:t>SEGUNDO</w:t>
      </w:r>
      <w:r w:rsidRPr="00186BF8">
        <w:rPr>
          <w:rFonts w:ascii="Palatino Linotype" w:hAnsi="Palatino Linotype" w:cs="Arial"/>
          <w:b/>
        </w:rPr>
        <w:t xml:space="preserve">. </w:t>
      </w:r>
      <w:r w:rsidRPr="00186BF8">
        <w:rPr>
          <w:rFonts w:ascii="Palatino Linotype" w:hAnsi="Palatino Linotype" w:cs="Arial"/>
          <w:b/>
          <w:sz w:val="28"/>
          <w:szCs w:val="28"/>
        </w:rPr>
        <w:t>Sobre los alcances del recurso de revisión.</w:t>
      </w:r>
      <w:r w:rsidRPr="00186BF8">
        <w:rPr>
          <w:rFonts w:ascii="Palatino Linotype" w:hAnsi="Palatino Linotype" w:cs="Arial"/>
          <w:b/>
        </w:rPr>
        <w:t xml:space="preserve"> </w:t>
      </w:r>
    </w:p>
    <w:p w:rsidR="00251F2C" w:rsidRPr="00186BF8" w:rsidRDefault="00251F2C" w:rsidP="00251F2C">
      <w:pPr>
        <w:pStyle w:val="Prrafodelista"/>
        <w:autoSpaceDE w:val="0"/>
        <w:autoSpaceDN w:val="0"/>
        <w:adjustRightInd w:val="0"/>
        <w:spacing w:before="240" w:after="160" w:line="360" w:lineRule="auto"/>
        <w:ind w:left="0"/>
        <w:jc w:val="both"/>
        <w:rPr>
          <w:rFonts w:ascii="Palatino Linotype" w:hAnsi="Palatino Linotype" w:cs="Arial"/>
        </w:rPr>
      </w:pPr>
      <w:r w:rsidRPr="00186BF8">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251F2C" w:rsidRPr="00186BF8" w:rsidRDefault="00251F2C" w:rsidP="00251F2C">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186BF8">
        <w:rPr>
          <w:rFonts w:ascii="Palatino Linotype" w:hAnsi="Palatino Linotype" w:cs="Arial"/>
          <w:b/>
          <w:sz w:val="28"/>
        </w:rPr>
        <w:t>TERCERO</w:t>
      </w:r>
      <w:r w:rsidRPr="00186BF8">
        <w:rPr>
          <w:rFonts w:ascii="Palatino Linotype" w:hAnsi="Palatino Linotype" w:cs="Arial"/>
          <w:b/>
        </w:rPr>
        <w:t xml:space="preserve">. </w:t>
      </w:r>
      <w:r w:rsidRPr="00186BF8">
        <w:rPr>
          <w:rFonts w:ascii="Palatino Linotype" w:hAnsi="Palatino Linotype" w:cs="Arial"/>
          <w:b/>
          <w:sz w:val="28"/>
          <w:szCs w:val="28"/>
        </w:rPr>
        <w:t>De las causas de improcedencia.</w:t>
      </w:r>
    </w:p>
    <w:p w:rsidR="00251F2C" w:rsidRPr="00186BF8" w:rsidRDefault="00251F2C" w:rsidP="00251F2C">
      <w:pPr>
        <w:pStyle w:val="Prrafodelista"/>
        <w:autoSpaceDE w:val="0"/>
        <w:autoSpaceDN w:val="0"/>
        <w:adjustRightInd w:val="0"/>
        <w:spacing w:before="240" w:after="160" w:line="360" w:lineRule="auto"/>
        <w:ind w:left="0"/>
        <w:jc w:val="both"/>
        <w:rPr>
          <w:rFonts w:ascii="Palatino Linotype" w:hAnsi="Palatino Linotype" w:cs="Arial"/>
        </w:rPr>
      </w:pPr>
      <w:r w:rsidRPr="00186BF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251F2C" w:rsidRPr="00186BF8" w:rsidRDefault="00251F2C" w:rsidP="00251F2C">
      <w:pPr>
        <w:pStyle w:val="Prrafodelista"/>
        <w:autoSpaceDE w:val="0"/>
        <w:autoSpaceDN w:val="0"/>
        <w:adjustRightInd w:val="0"/>
        <w:spacing w:line="360" w:lineRule="auto"/>
        <w:ind w:left="0"/>
        <w:jc w:val="both"/>
        <w:rPr>
          <w:rFonts w:ascii="Palatino Linotype" w:hAnsi="Palatino Linotype" w:cs="Arial"/>
        </w:rPr>
      </w:pPr>
      <w:r w:rsidRPr="00186BF8">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w:t>
      </w:r>
      <w:r w:rsidRPr="00186BF8">
        <w:rPr>
          <w:rFonts w:ascii="Palatino Linotype" w:hAnsi="Palatino Linotype" w:cs="Arial"/>
        </w:rPr>
        <w:lastRenderedPageBreak/>
        <w:t>derecho de acceso a la justicia, ya que éste no se coarta por regular causas de improcedencia y sobreseimiento con tales fines</w:t>
      </w:r>
      <w:r w:rsidRPr="00186BF8">
        <w:rPr>
          <w:rStyle w:val="Refdenotaalpie"/>
          <w:rFonts w:ascii="Palatino Linotype" w:hAnsi="Palatino Linotype" w:cs="Arial"/>
        </w:rPr>
        <w:footnoteReference w:id="1"/>
      </w:r>
      <w:r w:rsidRPr="00186BF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C41BA" w:rsidRPr="00186BF8" w:rsidRDefault="00FC41BA" w:rsidP="00251F2C">
      <w:pPr>
        <w:pStyle w:val="Prrafodelista"/>
        <w:autoSpaceDE w:val="0"/>
        <w:autoSpaceDN w:val="0"/>
        <w:adjustRightInd w:val="0"/>
        <w:spacing w:line="360" w:lineRule="auto"/>
        <w:ind w:left="0"/>
        <w:jc w:val="both"/>
        <w:rPr>
          <w:rFonts w:ascii="Palatino Linotype" w:hAnsi="Palatino Linotype" w:cs="Arial"/>
        </w:rPr>
      </w:pPr>
    </w:p>
    <w:p w:rsidR="00251F2C" w:rsidRPr="00186BF8" w:rsidRDefault="00251F2C" w:rsidP="00103B43">
      <w:pPr>
        <w:pStyle w:val="Textoindependiente"/>
        <w:rPr>
          <w:rFonts w:ascii="Palatino Linotype" w:hAnsi="Palatino Linotype"/>
          <w:b/>
          <w:sz w:val="28"/>
        </w:rPr>
      </w:pPr>
      <w:r w:rsidRPr="00186BF8">
        <w:rPr>
          <w:rFonts w:ascii="Palatino Linotype" w:hAnsi="Palatino Linotype"/>
          <w:b/>
          <w:sz w:val="28"/>
        </w:rPr>
        <w:t xml:space="preserve">CUARTO. Estudio y resolución del asunto </w:t>
      </w:r>
      <w:r w:rsidRPr="00186BF8">
        <w:rPr>
          <w:rFonts w:ascii="Palatino Linotype" w:hAnsi="Palatino Linotype"/>
          <w:b/>
          <w:sz w:val="28"/>
        </w:rPr>
        <w:tab/>
      </w:r>
    </w:p>
    <w:p w:rsidR="00251F2C" w:rsidRPr="00186BF8" w:rsidRDefault="00251F2C" w:rsidP="00FC41BA">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251F2C" w:rsidRPr="00186BF8" w:rsidRDefault="00251F2C" w:rsidP="00FC41BA">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Ahora bien, el artículo 179 de la Ley de Transparencia establece las causales para la procedencia del recurso de revisión, tal como se transcribe:</w:t>
      </w:r>
    </w:p>
    <w:p w:rsidR="00251F2C" w:rsidRPr="00186BF8" w:rsidRDefault="00251F2C" w:rsidP="00251F2C">
      <w:pPr>
        <w:pStyle w:val="Citas"/>
        <w:spacing w:before="0" w:after="0" w:line="240" w:lineRule="auto"/>
      </w:pPr>
      <w:r w:rsidRPr="00186BF8">
        <w:rPr>
          <w:b/>
        </w:rPr>
        <w:lastRenderedPageBreak/>
        <w:t>Artículo 179.</w:t>
      </w:r>
      <w:r w:rsidRPr="00186BF8">
        <w:t xml:space="preserve"> El recurso de revisión es un medio de protección que la Ley otorga a los particulares, para hacer valer su derecho de acceso a la información pública, y procederá en contra de las siguientes causas: </w:t>
      </w:r>
    </w:p>
    <w:p w:rsidR="00251F2C" w:rsidRPr="00186BF8" w:rsidRDefault="00251F2C" w:rsidP="00251F2C">
      <w:pPr>
        <w:pStyle w:val="Citas"/>
        <w:numPr>
          <w:ilvl w:val="0"/>
          <w:numId w:val="3"/>
        </w:numPr>
        <w:spacing w:before="0" w:after="0" w:line="240" w:lineRule="auto"/>
        <w:rPr>
          <w:b/>
        </w:rPr>
      </w:pPr>
      <w:r w:rsidRPr="00186BF8">
        <w:rPr>
          <w:b/>
        </w:rPr>
        <w:t xml:space="preserve">La negativa a la información solicitada; </w:t>
      </w:r>
    </w:p>
    <w:p w:rsidR="00251F2C" w:rsidRPr="00186BF8" w:rsidRDefault="00251F2C" w:rsidP="00251F2C">
      <w:pPr>
        <w:pStyle w:val="Citas"/>
        <w:numPr>
          <w:ilvl w:val="0"/>
          <w:numId w:val="3"/>
        </w:numPr>
        <w:spacing w:before="0" w:after="0" w:line="240" w:lineRule="auto"/>
      </w:pPr>
      <w:r w:rsidRPr="00186BF8">
        <w:t xml:space="preserve">La clasificación de la información; </w:t>
      </w:r>
    </w:p>
    <w:p w:rsidR="00251F2C" w:rsidRPr="00186BF8" w:rsidRDefault="00251F2C" w:rsidP="00251F2C">
      <w:pPr>
        <w:pStyle w:val="Citas"/>
        <w:numPr>
          <w:ilvl w:val="0"/>
          <w:numId w:val="3"/>
        </w:numPr>
        <w:spacing w:before="0" w:after="0" w:line="240" w:lineRule="auto"/>
      </w:pPr>
      <w:r w:rsidRPr="00186BF8">
        <w:t xml:space="preserve">La declaración de inexistencia de la información; </w:t>
      </w:r>
    </w:p>
    <w:p w:rsidR="00251F2C" w:rsidRPr="00186BF8" w:rsidRDefault="00251F2C" w:rsidP="00251F2C">
      <w:pPr>
        <w:pStyle w:val="Citas"/>
        <w:numPr>
          <w:ilvl w:val="0"/>
          <w:numId w:val="3"/>
        </w:numPr>
        <w:spacing w:before="0" w:after="0" w:line="240" w:lineRule="auto"/>
      </w:pPr>
      <w:r w:rsidRPr="00186BF8">
        <w:t xml:space="preserve">La declaración de incompetencia por el sujeto obligado; </w:t>
      </w:r>
    </w:p>
    <w:p w:rsidR="00251F2C" w:rsidRPr="00186BF8" w:rsidRDefault="00251F2C" w:rsidP="00251F2C">
      <w:pPr>
        <w:pStyle w:val="Citas"/>
        <w:numPr>
          <w:ilvl w:val="0"/>
          <w:numId w:val="3"/>
        </w:numPr>
        <w:spacing w:before="0" w:after="0" w:line="240" w:lineRule="auto"/>
      </w:pPr>
      <w:r w:rsidRPr="00186BF8">
        <w:t xml:space="preserve">La entrega de información incompleta; </w:t>
      </w:r>
    </w:p>
    <w:p w:rsidR="00251F2C" w:rsidRPr="00186BF8" w:rsidRDefault="00251F2C" w:rsidP="00251F2C">
      <w:pPr>
        <w:pStyle w:val="Citas"/>
        <w:numPr>
          <w:ilvl w:val="0"/>
          <w:numId w:val="3"/>
        </w:numPr>
        <w:spacing w:before="0" w:after="0" w:line="240" w:lineRule="auto"/>
      </w:pPr>
      <w:r w:rsidRPr="00186BF8">
        <w:t xml:space="preserve">La entrega de información que no corresponda con lo solicitado; </w:t>
      </w:r>
    </w:p>
    <w:p w:rsidR="00251F2C" w:rsidRPr="00186BF8" w:rsidRDefault="00251F2C" w:rsidP="00251F2C">
      <w:pPr>
        <w:pStyle w:val="Citas"/>
        <w:numPr>
          <w:ilvl w:val="0"/>
          <w:numId w:val="3"/>
        </w:numPr>
        <w:spacing w:before="0" w:after="0" w:line="240" w:lineRule="auto"/>
      </w:pPr>
      <w:r w:rsidRPr="00186BF8">
        <w:t xml:space="preserve">La falta de respuesta a una solicitud de acceso a la información; </w:t>
      </w:r>
    </w:p>
    <w:p w:rsidR="00251F2C" w:rsidRPr="00186BF8" w:rsidRDefault="00251F2C" w:rsidP="00251F2C">
      <w:pPr>
        <w:pStyle w:val="Citas"/>
        <w:numPr>
          <w:ilvl w:val="0"/>
          <w:numId w:val="3"/>
        </w:numPr>
        <w:spacing w:before="0" w:after="0" w:line="240" w:lineRule="auto"/>
      </w:pPr>
      <w:r w:rsidRPr="00186BF8">
        <w:t xml:space="preserve">La notificación, entrega o puesta a disposición de información en una modalidad o formato distinto al solicitado; </w:t>
      </w:r>
    </w:p>
    <w:p w:rsidR="00251F2C" w:rsidRPr="00186BF8" w:rsidRDefault="00251F2C" w:rsidP="00251F2C">
      <w:pPr>
        <w:pStyle w:val="Citas"/>
        <w:numPr>
          <w:ilvl w:val="0"/>
          <w:numId w:val="3"/>
        </w:numPr>
        <w:spacing w:before="0" w:after="0" w:line="240" w:lineRule="auto"/>
      </w:pPr>
      <w:r w:rsidRPr="00186BF8">
        <w:t xml:space="preserve">La entrega o puesta a disposición de información en un formato incomprensible y/o no accesible para el solicitante; </w:t>
      </w:r>
    </w:p>
    <w:p w:rsidR="00251F2C" w:rsidRPr="00186BF8" w:rsidRDefault="00251F2C" w:rsidP="00251F2C">
      <w:pPr>
        <w:pStyle w:val="Citas"/>
        <w:numPr>
          <w:ilvl w:val="0"/>
          <w:numId w:val="3"/>
        </w:numPr>
        <w:spacing w:before="0" w:after="0" w:line="240" w:lineRule="auto"/>
      </w:pPr>
      <w:r w:rsidRPr="00186BF8">
        <w:t xml:space="preserve">Los costos o tiempos de entrega de la información; </w:t>
      </w:r>
    </w:p>
    <w:p w:rsidR="00251F2C" w:rsidRPr="00186BF8" w:rsidRDefault="00251F2C" w:rsidP="00251F2C">
      <w:pPr>
        <w:pStyle w:val="Citas"/>
        <w:numPr>
          <w:ilvl w:val="0"/>
          <w:numId w:val="3"/>
        </w:numPr>
        <w:spacing w:before="0" w:after="0" w:line="240" w:lineRule="auto"/>
      </w:pPr>
      <w:r w:rsidRPr="00186BF8">
        <w:t xml:space="preserve">La falta de trámite a una solicitud; </w:t>
      </w:r>
    </w:p>
    <w:p w:rsidR="00251F2C" w:rsidRPr="00186BF8" w:rsidRDefault="00251F2C" w:rsidP="00251F2C">
      <w:pPr>
        <w:pStyle w:val="Citas"/>
        <w:numPr>
          <w:ilvl w:val="0"/>
          <w:numId w:val="3"/>
        </w:numPr>
        <w:spacing w:before="0" w:after="0" w:line="240" w:lineRule="auto"/>
      </w:pPr>
      <w:r w:rsidRPr="00186BF8">
        <w:t xml:space="preserve">La negativa a permitir la consulta directa de la información; </w:t>
      </w:r>
    </w:p>
    <w:p w:rsidR="00251F2C" w:rsidRPr="00186BF8" w:rsidRDefault="00251F2C" w:rsidP="00251F2C">
      <w:pPr>
        <w:pStyle w:val="Citas"/>
        <w:numPr>
          <w:ilvl w:val="0"/>
          <w:numId w:val="3"/>
        </w:numPr>
        <w:spacing w:before="0" w:after="0" w:line="240" w:lineRule="auto"/>
      </w:pPr>
      <w:r w:rsidRPr="00186BF8">
        <w:t xml:space="preserve">La falta, deficiencia o insuficiencia de la fundamentación y/o motivación en la respuesta; y </w:t>
      </w:r>
    </w:p>
    <w:p w:rsidR="00251F2C" w:rsidRPr="00186BF8" w:rsidRDefault="00251F2C" w:rsidP="00251F2C">
      <w:pPr>
        <w:pStyle w:val="Citas"/>
        <w:numPr>
          <w:ilvl w:val="0"/>
          <w:numId w:val="3"/>
        </w:numPr>
        <w:spacing w:before="0" w:after="0" w:line="240" w:lineRule="auto"/>
      </w:pPr>
      <w:r w:rsidRPr="00186BF8">
        <w:t xml:space="preserve">La orientación a un trámite específico. </w:t>
      </w:r>
    </w:p>
    <w:p w:rsidR="00251F2C" w:rsidRPr="00186BF8" w:rsidRDefault="00251F2C" w:rsidP="00251F2C">
      <w:pPr>
        <w:pStyle w:val="Citas"/>
        <w:spacing w:before="0" w:after="0" w:line="240" w:lineRule="auto"/>
      </w:pPr>
      <w:r w:rsidRPr="00186BF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C41BA" w:rsidRPr="00186BF8" w:rsidRDefault="00FC41BA" w:rsidP="00885005">
      <w:pPr>
        <w:pStyle w:val="Textoindependiente"/>
        <w:spacing w:line="360" w:lineRule="auto"/>
        <w:rPr>
          <w:rFonts w:ascii="Palatino Linotype" w:hAnsi="Palatino Linotype"/>
        </w:rPr>
      </w:pPr>
    </w:p>
    <w:p w:rsidR="00251F2C" w:rsidRPr="00186BF8" w:rsidRDefault="00251F2C" w:rsidP="00885005">
      <w:pPr>
        <w:pStyle w:val="Textoindependiente"/>
        <w:spacing w:line="360" w:lineRule="auto"/>
        <w:rPr>
          <w:rFonts w:ascii="Palatino Linotype" w:hAnsi="Palatino Linotype"/>
        </w:rPr>
      </w:pPr>
      <w:r w:rsidRPr="00186BF8">
        <w:rPr>
          <w:rFonts w:ascii="Palatino Linotype" w:hAnsi="Palatino Linotype"/>
        </w:rPr>
        <w:t xml:space="preserve">Bajo estas líneas argumentativas, al retomar y delimitar los requerimientos del ahora </w:t>
      </w:r>
      <w:r w:rsidRPr="00186BF8">
        <w:rPr>
          <w:rFonts w:ascii="Palatino Linotype" w:hAnsi="Palatino Linotype"/>
          <w:b/>
        </w:rPr>
        <w:t>Recurrente</w:t>
      </w:r>
      <w:r w:rsidRPr="00186BF8">
        <w:rPr>
          <w:rFonts w:ascii="Palatino Linotype" w:hAnsi="Palatino Linotype"/>
        </w:rPr>
        <w:t>, de manera objetiva se precisa que requiere la siguiente información:</w:t>
      </w:r>
    </w:p>
    <w:p w:rsidR="00103B43" w:rsidRPr="00186BF8" w:rsidRDefault="00885005" w:rsidP="00103B43">
      <w:pPr>
        <w:pStyle w:val="Prrafodelista"/>
        <w:numPr>
          <w:ilvl w:val="0"/>
          <w:numId w:val="2"/>
        </w:numPr>
        <w:tabs>
          <w:tab w:val="left" w:pos="1828"/>
        </w:tabs>
        <w:spacing w:line="360" w:lineRule="auto"/>
        <w:ind w:left="284"/>
        <w:jc w:val="both"/>
        <w:rPr>
          <w:rFonts w:ascii="Palatino Linotype" w:hAnsi="Palatino Linotype" w:cs="Tahoma"/>
          <w:bCs/>
        </w:rPr>
      </w:pPr>
      <w:r w:rsidRPr="00186BF8">
        <w:rPr>
          <w:rFonts w:ascii="Palatino Linotype" w:hAnsi="Palatino Linotype" w:cs="Tahoma"/>
          <w:bCs/>
        </w:rPr>
        <w:t>N</w:t>
      </w:r>
      <w:r w:rsidR="00103B43" w:rsidRPr="00186BF8">
        <w:rPr>
          <w:rFonts w:ascii="Palatino Linotype" w:hAnsi="Palatino Linotype" w:cs="Tahoma"/>
          <w:bCs/>
        </w:rPr>
        <w:t xml:space="preserve">ombre de </w:t>
      </w:r>
      <w:r w:rsidR="009339A7" w:rsidRPr="00186BF8">
        <w:rPr>
          <w:rFonts w:ascii="Palatino Linotype" w:hAnsi="Palatino Linotype" w:cs="Tahoma"/>
          <w:bCs/>
        </w:rPr>
        <w:t>las empresas</w:t>
      </w:r>
      <w:r w:rsidR="00103B43" w:rsidRPr="00186BF8">
        <w:rPr>
          <w:rFonts w:ascii="Palatino Linotype" w:hAnsi="Palatino Linotype" w:cs="Tahoma"/>
          <w:bCs/>
        </w:rPr>
        <w:t xml:space="preserve"> a la que se le han otorgado los contratos de la contratación de las bandas para todos los bailes y eventos que se han realizado desde el 1 de enero al 09 de julio de 2025 y cuanto presupuesto se ha destinado para cada evento. </w:t>
      </w:r>
    </w:p>
    <w:p w:rsidR="00103B43" w:rsidRPr="00186BF8" w:rsidRDefault="00885005" w:rsidP="00103B43">
      <w:pPr>
        <w:pStyle w:val="Prrafodelista"/>
        <w:numPr>
          <w:ilvl w:val="0"/>
          <w:numId w:val="2"/>
        </w:numPr>
        <w:tabs>
          <w:tab w:val="left" w:pos="1828"/>
        </w:tabs>
        <w:spacing w:line="360" w:lineRule="auto"/>
        <w:ind w:left="284"/>
        <w:jc w:val="both"/>
        <w:rPr>
          <w:rFonts w:ascii="Palatino Linotype" w:hAnsi="Palatino Linotype" w:cs="Tahoma"/>
          <w:bCs/>
        </w:rPr>
      </w:pPr>
      <w:r w:rsidRPr="00186BF8">
        <w:rPr>
          <w:rFonts w:ascii="Palatino Linotype" w:hAnsi="Palatino Linotype" w:cs="Tahoma"/>
          <w:bCs/>
        </w:rPr>
        <w:t>E</w:t>
      </w:r>
      <w:r w:rsidR="00103B43" w:rsidRPr="00186BF8">
        <w:rPr>
          <w:rFonts w:ascii="Palatino Linotype" w:hAnsi="Palatino Linotype" w:cs="Tahoma"/>
          <w:bCs/>
        </w:rPr>
        <w:t>mpresa</w:t>
      </w:r>
      <w:r w:rsidRPr="00186BF8">
        <w:rPr>
          <w:rFonts w:ascii="Palatino Linotype" w:hAnsi="Palatino Linotype" w:cs="Tahoma"/>
          <w:bCs/>
        </w:rPr>
        <w:t xml:space="preserve"> a las que</w:t>
      </w:r>
      <w:r w:rsidR="00103B43" w:rsidRPr="00186BF8">
        <w:rPr>
          <w:rFonts w:ascii="Palatino Linotype" w:hAnsi="Palatino Linotype" w:cs="Tahoma"/>
          <w:bCs/>
        </w:rPr>
        <w:t xml:space="preserve"> le están comprando las refacciones para los vehículos oficiales, requiero facturas por mes. </w:t>
      </w:r>
    </w:p>
    <w:p w:rsidR="00251F2C" w:rsidRPr="00186BF8" w:rsidRDefault="00885005" w:rsidP="00103B43">
      <w:pPr>
        <w:pStyle w:val="Prrafodelista"/>
        <w:numPr>
          <w:ilvl w:val="0"/>
          <w:numId w:val="2"/>
        </w:numPr>
        <w:tabs>
          <w:tab w:val="left" w:pos="1828"/>
        </w:tabs>
        <w:spacing w:line="360" w:lineRule="auto"/>
        <w:ind w:left="284"/>
        <w:jc w:val="both"/>
        <w:rPr>
          <w:rFonts w:ascii="Palatino Linotype" w:hAnsi="Palatino Linotype" w:cs="Tahoma"/>
          <w:bCs/>
        </w:rPr>
      </w:pPr>
      <w:r w:rsidRPr="00186BF8">
        <w:rPr>
          <w:rFonts w:ascii="Palatino Linotype" w:hAnsi="Palatino Linotype" w:cs="Tahoma"/>
          <w:bCs/>
        </w:rPr>
        <w:t xml:space="preserve">Lista de proveedores, </w:t>
      </w:r>
      <w:r w:rsidR="00103B43" w:rsidRPr="00186BF8">
        <w:rPr>
          <w:rFonts w:ascii="Palatino Linotype" w:hAnsi="Palatino Linotype" w:cs="Tahoma"/>
          <w:bCs/>
        </w:rPr>
        <w:t xml:space="preserve">que se le ha comprado y el monto de cada </w:t>
      </w:r>
      <w:r w:rsidR="00667B93" w:rsidRPr="00186BF8">
        <w:rPr>
          <w:rFonts w:ascii="Palatino Linotype" w:hAnsi="Palatino Linotype" w:cs="Tahoma"/>
          <w:bCs/>
        </w:rPr>
        <w:t>proveedor del 01 de enero al 09</w:t>
      </w:r>
      <w:r w:rsidR="00103B43" w:rsidRPr="00186BF8">
        <w:rPr>
          <w:rFonts w:ascii="Palatino Linotype" w:hAnsi="Palatino Linotype" w:cs="Tahoma"/>
          <w:bCs/>
        </w:rPr>
        <w:t xml:space="preserve"> de julio de 2025.</w:t>
      </w:r>
    </w:p>
    <w:p w:rsidR="00103B43" w:rsidRPr="00186BF8" w:rsidRDefault="00103B43" w:rsidP="00251F2C">
      <w:pPr>
        <w:spacing w:before="240" w:line="360" w:lineRule="auto"/>
        <w:jc w:val="both"/>
        <w:rPr>
          <w:rFonts w:ascii="Palatino Linotype" w:hAnsi="Palatino Linotype" w:cs="Arial"/>
        </w:rPr>
      </w:pPr>
    </w:p>
    <w:p w:rsidR="00251F2C" w:rsidRPr="00186BF8" w:rsidRDefault="00251F2C" w:rsidP="00885005">
      <w:pPr>
        <w:pStyle w:val="Textoindependiente"/>
        <w:spacing w:line="360" w:lineRule="auto"/>
        <w:jc w:val="both"/>
        <w:rPr>
          <w:rFonts w:ascii="Palatino Linotype" w:hAnsi="Palatino Linotype"/>
          <w:b/>
        </w:rPr>
      </w:pPr>
      <w:r w:rsidRPr="00186BF8">
        <w:rPr>
          <w:rFonts w:ascii="Palatino Linotype" w:hAnsi="Palatino Linotype"/>
        </w:rPr>
        <w:t xml:space="preserve">De conformidad con las constancias que obran en el expediente electrónico, se observa que el </w:t>
      </w:r>
      <w:r w:rsidRPr="00186BF8">
        <w:rPr>
          <w:rFonts w:ascii="Palatino Linotype" w:hAnsi="Palatino Linotype"/>
          <w:b/>
        </w:rPr>
        <w:t>Sujeto Obligado</w:t>
      </w:r>
      <w:r w:rsidRPr="00186BF8">
        <w:rPr>
          <w:rFonts w:ascii="Palatino Linotype" w:hAnsi="Palatino Linotype"/>
        </w:rPr>
        <w:t xml:space="preserve"> dio respuesta por medio del sistema SAIMEX, a la solicitud de información</w:t>
      </w:r>
      <w:r w:rsidRPr="00186BF8">
        <w:rPr>
          <w:rFonts w:ascii="Palatino Linotype" w:eastAsia="Palatino Linotype" w:hAnsi="Palatino Linotype" w:cs="Palatino Linotype"/>
          <w:b/>
          <w:color w:val="000000"/>
        </w:rPr>
        <w:t xml:space="preserve"> </w:t>
      </w:r>
      <w:r w:rsidRPr="00186BF8">
        <w:rPr>
          <w:rFonts w:ascii="Palatino Linotype" w:hAnsi="Palatino Linotype"/>
          <w:b/>
        </w:rPr>
        <w:t xml:space="preserve">00139/ACULCO/IP/2025; </w:t>
      </w:r>
      <w:r w:rsidR="00103B43" w:rsidRPr="00186BF8">
        <w:rPr>
          <w:rFonts w:ascii="Palatino Linotype" w:hAnsi="Palatino Linotype"/>
        </w:rPr>
        <w:t>por medio del archivo electrónico siguiente</w:t>
      </w:r>
      <w:r w:rsidRPr="00186BF8">
        <w:rPr>
          <w:rFonts w:ascii="Palatino Linotype" w:hAnsi="Palatino Linotype"/>
          <w:b/>
        </w:rPr>
        <w:t>:</w:t>
      </w:r>
    </w:p>
    <w:p w:rsidR="00103B43" w:rsidRPr="00186BF8" w:rsidRDefault="00103B43" w:rsidP="00103B43">
      <w:pPr>
        <w:pStyle w:val="Prrafodelista"/>
        <w:numPr>
          <w:ilvl w:val="0"/>
          <w:numId w:val="10"/>
        </w:numPr>
        <w:spacing w:before="240" w:line="360" w:lineRule="auto"/>
        <w:jc w:val="both"/>
        <w:rPr>
          <w:rFonts w:ascii="Palatino Linotype" w:hAnsi="Palatino Linotype" w:cs="Arial"/>
          <w:b/>
        </w:rPr>
      </w:pPr>
      <w:r w:rsidRPr="00186BF8">
        <w:rPr>
          <w:rFonts w:ascii="Palatino Linotype" w:hAnsi="Palatino Linotype" w:cs="Arial"/>
          <w:b/>
          <w:i/>
        </w:rPr>
        <w:t>SOLICITUD 00139.PDF</w:t>
      </w:r>
      <w:r w:rsidRPr="00186BF8">
        <w:rPr>
          <w:rFonts w:ascii="Palatino Linotype" w:hAnsi="Palatino Linotype" w:cs="Arial"/>
          <w:b/>
        </w:rPr>
        <w:t xml:space="preserve">: </w:t>
      </w:r>
      <w:r w:rsidRPr="00186BF8">
        <w:rPr>
          <w:rFonts w:ascii="Palatino Linotype" w:hAnsi="Palatino Linotype" w:cs="Arial"/>
        </w:rPr>
        <w:t xml:space="preserve">oficio número MAC/DA/RMyA/046/2025, firmado por el Jefe del Departamento de Recursos Materiales y Adquisiciones, por medio del cual refiere que la información puede ser consultada mediante una liga electrónica, misma que </w:t>
      </w:r>
      <w:r w:rsidR="007B3575" w:rsidRPr="00186BF8">
        <w:rPr>
          <w:rFonts w:ascii="Palatino Linotype" w:hAnsi="Palatino Linotype" w:cs="Arial"/>
        </w:rPr>
        <w:t>marca error.</w:t>
      </w:r>
    </w:p>
    <w:p w:rsidR="0010564F" w:rsidRPr="00186BF8" w:rsidRDefault="0010564F" w:rsidP="0010564F">
      <w:pPr>
        <w:pStyle w:val="Textoindependiente"/>
        <w:jc w:val="center"/>
        <w:rPr>
          <w:rFonts w:ascii="Palatino Linotype" w:hAnsi="Palatino Linotype"/>
          <w:i/>
        </w:rPr>
      </w:pPr>
      <w:r w:rsidRPr="00186BF8">
        <w:rPr>
          <w:rFonts w:ascii="Palatino Linotype" w:hAnsi="Palatino Linotype"/>
          <w:i/>
          <w:noProof/>
          <w:lang w:val="es-MX" w:eastAsia="es-MX"/>
        </w:rPr>
        <w:drawing>
          <wp:inline distT="0" distB="0" distL="0" distR="0">
            <wp:extent cx="4286250" cy="2340020"/>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089B2F.tmp"/>
                    <pic:cNvPicPr/>
                  </pic:nvPicPr>
                  <pic:blipFill>
                    <a:blip r:embed="rId7">
                      <a:extLst>
                        <a:ext uri="{28A0092B-C50C-407E-A947-70E740481C1C}">
                          <a14:useLocalDpi xmlns:a14="http://schemas.microsoft.com/office/drawing/2010/main" val="0"/>
                        </a:ext>
                      </a:extLst>
                    </a:blip>
                    <a:stretch>
                      <a:fillRect/>
                    </a:stretch>
                  </pic:blipFill>
                  <pic:spPr>
                    <a:xfrm>
                      <a:off x="0" y="0"/>
                      <a:ext cx="4297209" cy="2346003"/>
                    </a:xfrm>
                    <a:prstGeom prst="rect">
                      <a:avLst/>
                    </a:prstGeom>
                  </pic:spPr>
                </pic:pic>
              </a:graphicData>
            </a:graphic>
          </wp:inline>
        </w:drawing>
      </w:r>
    </w:p>
    <w:p w:rsidR="0010564F" w:rsidRPr="00186BF8" w:rsidRDefault="0010564F" w:rsidP="00103B43">
      <w:pPr>
        <w:pStyle w:val="Textoindependiente"/>
        <w:rPr>
          <w:rFonts w:ascii="Palatino Linotype" w:hAnsi="Palatino Linotype"/>
          <w:i/>
        </w:rPr>
      </w:pPr>
    </w:p>
    <w:p w:rsidR="00251F2C" w:rsidRPr="00186BF8" w:rsidRDefault="00251F2C" w:rsidP="00E64B94">
      <w:pPr>
        <w:pStyle w:val="Textoindependiente"/>
        <w:spacing w:line="360" w:lineRule="auto"/>
        <w:jc w:val="both"/>
        <w:rPr>
          <w:rFonts w:ascii="Palatino Linotype" w:hAnsi="Palatino Linotype"/>
          <w:i/>
        </w:rPr>
      </w:pPr>
      <w:r w:rsidRPr="00186BF8">
        <w:rPr>
          <w:rFonts w:ascii="Palatino Linotype" w:hAnsi="Palatino Linotype"/>
        </w:rPr>
        <w:t xml:space="preserve">Es así como, derivado de la respuesta emitida por </w:t>
      </w:r>
      <w:r w:rsidRPr="00186BF8">
        <w:rPr>
          <w:rFonts w:ascii="Palatino Linotype" w:hAnsi="Palatino Linotype"/>
          <w:b/>
        </w:rPr>
        <w:t>El Sujeto Obligado</w:t>
      </w:r>
      <w:r w:rsidRPr="00186BF8">
        <w:rPr>
          <w:rFonts w:ascii="Palatino Linotype" w:hAnsi="Palatino Linotype"/>
        </w:rPr>
        <w:t xml:space="preserve">, </w:t>
      </w:r>
      <w:r w:rsidRPr="00186BF8">
        <w:rPr>
          <w:rFonts w:ascii="Palatino Linotype" w:hAnsi="Palatino Linotype"/>
          <w:b/>
        </w:rPr>
        <w:t>el Recurrente</w:t>
      </w:r>
      <w:r w:rsidRPr="00186BF8">
        <w:rPr>
          <w:rFonts w:ascii="Palatino Linotype" w:hAnsi="Palatino Linotype"/>
        </w:rPr>
        <w:t>, interpuso el presente recurso de revisión, señalando sustancialmente como sus razones o motivos de inconformidad, lo siguiente:</w:t>
      </w:r>
      <w:r w:rsidRPr="00186BF8" w:rsidDel="00107C3B">
        <w:rPr>
          <w:rFonts w:ascii="Palatino Linotype" w:hAnsi="Palatino Linotype"/>
          <w:b/>
          <w:i/>
        </w:rPr>
        <w:t xml:space="preserve"> </w:t>
      </w:r>
      <w:r w:rsidRPr="00186BF8">
        <w:rPr>
          <w:rFonts w:ascii="Palatino Linotype" w:hAnsi="Palatino Linotype"/>
          <w:i/>
        </w:rPr>
        <w:t>“</w:t>
      </w:r>
      <w:r w:rsidR="00E64B94" w:rsidRPr="00186BF8">
        <w:rPr>
          <w:rFonts w:ascii="Palatino Linotype" w:hAnsi="Palatino Linotype"/>
          <w:i/>
        </w:rPr>
        <w:t>EL LINK NO ABRE POR LO QUE NO PUDE TENER ACCESO A LA INFORMACIÓN</w:t>
      </w:r>
      <w:r w:rsidRPr="00186BF8">
        <w:rPr>
          <w:rFonts w:ascii="Palatino Linotype" w:hAnsi="Palatino Linotype"/>
          <w:i/>
        </w:rPr>
        <w:t>” (Sic).</w:t>
      </w:r>
    </w:p>
    <w:p w:rsidR="00E64B94" w:rsidRPr="00186BF8" w:rsidRDefault="00E64B94" w:rsidP="00E64B94">
      <w:pPr>
        <w:pStyle w:val="Textoindependiente"/>
        <w:spacing w:line="360" w:lineRule="auto"/>
        <w:jc w:val="both"/>
        <w:rPr>
          <w:rFonts w:ascii="Palatino Linotype" w:hAnsi="Palatino Linotype"/>
          <w:b/>
          <w:i/>
          <w:u w:val="single"/>
        </w:rPr>
      </w:pPr>
    </w:p>
    <w:p w:rsidR="00251F2C" w:rsidRPr="00186BF8" w:rsidRDefault="00251F2C" w:rsidP="00E64B94">
      <w:pPr>
        <w:pStyle w:val="Textoindependiente"/>
        <w:spacing w:line="360" w:lineRule="auto"/>
        <w:jc w:val="both"/>
        <w:rPr>
          <w:rFonts w:ascii="Palatino Linotype" w:eastAsia="Calibri" w:hAnsi="Palatino Linotype"/>
          <w:lang w:val="es-ES_tradnl" w:eastAsia="es-MX"/>
        </w:rPr>
      </w:pPr>
      <w:r w:rsidRPr="00186BF8">
        <w:rPr>
          <w:rFonts w:ascii="Palatino Linotype" w:eastAsia="Calibri" w:hAnsi="Palatino Linotype"/>
          <w:lang w:val="es-ES_tradnl" w:eastAsia="es-MX"/>
        </w:rPr>
        <w:t xml:space="preserve">Se debe resaltar que ninguna de las partes realizó manifestaciones durante la etapa de instrucción en el presente procedimiento. En consecuencia, es necesario precisar que, </w:t>
      </w:r>
      <w:r w:rsidRPr="00186BF8">
        <w:rPr>
          <w:rFonts w:ascii="Palatino Linotype" w:eastAsia="Calibri" w:hAnsi="Palatino Linotype"/>
          <w:lang w:val="es-ES_tradnl" w:eastAsia="es-MX"/>
        </w:rPr>
        <w:lastRenderedPageBreak/>
        <w:t>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E64B94" w:rsidRPr="00186BF8" w:rsidRDefault="00E64B94" w:rsidP="00E64B94">
      <w:pPr>
        <w:pStyle w:val="Textoindependiente"/>
        <w:spacing w:line="360" w:lineRule="auto"/>
        <w:jc w:val="both"/>
        <w:rPr>
          <w:rFonts w:ascii="Palatino Linotype" w:eastAsia="Calibri" w:hAnsi="Palatino Linotype"/>
          <w:lang w:val="es-ES_tradnl" w:eastAsia="es-MX"/>
        </w:rPr>
      </w:pPr>
    </w:p>
    <w:p w:rsidR="00E64B94"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En ese orden de ideas, resulta necesario analizar las direcciones, coordinación y unidades con las que cuenta el Sujeto Obligado, por lo que, sirve de sustento el artículo 57 del Bando Municipal, mismo que establece la organización de la administración</w:t>
      </w:r>
      <w:r w:rsidR="00E64B94" w:rsidRPr="00186BF8">
        <w:rPr>
          <w:rFonts w:ascii="Palatino Linotype" w:hAnsi="Palatino Linotype"/>
        </w:rPr>
        <w:t>.</w:t>
      </w:r>
    </w:p>
    <w:p w:rsidR="00251F2C" w:rsidRPr="00186BF8" w:rsidRDefault="00E64B94" w:rsidP="00E64B94">
      <w:pPr>
        <w:pStyle w:val="Textoindependiente"/>
        <w:spacing w:line="360" w:lineRule="auto"/>
        <w:jc w:val="both"/>
        <w:rPr>
          <w:rFonts w:ascii="Palatino Linotype" w:hAnsi="Palatino Linotype"/>
        </w:rPr>
      </w:pPr>
      <w:r w:rsidRPr="00186BF8">
        <w:rPr>
          <w:rFonts w:ascii="Palatino Linotype" w:hAnsi="Palatino Linotype"/>
        </w:rPr>
        <w:t>S</w:t>
      </w:r>
      <w:r w:rsidR="00251F2C" w:rsidRPr="00186BF8">
        <w:rPr>
          <w:rFonts w:ascii="Palatino Linotype" w:hAnsi="Palatino Linotype"/>
        </w:rPr>
        <w:t xml:space="preserve">iendo de nuestro interés la Tesorería Municipal, quien dentro de sus atribuciones se encarga </w:t>
      </w:r>
      <w:r w:rsidRPr="00186BF8">
        <w:rPr>
          <w:rFonts w:ascii="Palatino Linotype" w:hAnsi="Palatino Linotype"/>
        </w:rPr>
        <w:t>de los registros contables y financieros</w:t>
      </w:r>
      <w:r w:rsidR="00251F2C" w:rsidRPr="00186BF8">
        <w:rPr>
          <w:rFonts w:ascii="Palatino Linotype" w:hAnsi="Palatino Linotype"/>
        </w:rPr>
        <w:t>, por tanto, es área competente para atender los requerimientos, todo ello conforme a la normatividad siguiente:</w:t>
      </w:r>
    </w:p>
    <w:p w:rsidR="00251F2C" w:rsidRPr="00186BF8" w:rsidRDefault="00251F2C" w:rsidP="00251F2C">
      <w:pPr>
        <w:spacing w:line="360" w:lineRule="auto"/>
        <w:jc w:val="both"/>
        <w:rPr>
          <w:rFonts w:ascii="Palatino Linotype" w:hAnsi="Palatino Linotype" w:cs="Arial"/>
        </w:rPr>
      </w:pPr>
      <w:r w:rsidRPr="00186BF8">
        <w:rPr>
          <w:rFonts w:ascii="Palatino Linotype" w:hAnsi="Palatino Linotype" w:cs="Arial"/>
          <w:noProof/>
          <w:lang w:val="es-MX" w:eastAsia="es-MX"/>
        </w:rPr>
        <w:drawing>
          <wp:inline distT="0" distB="0" distL="0" distR="0" wp14:anchorId="3F2DD0AA" wp14:editId="5BAACFD0">
            <wp:extent cx="5791835" cy="29406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5CC69E.tmp"/>
                    <pic:cNvPicPr/>
                  </pic:nvPicPr>
                  <pic:blipFill>
                    <a:blip r:embed="rId8">
                      <a:extLst>
                        <a:ext uri="{28A0092B-C50C-407E-A947-70E740481C1C}">
                          <a14:useLocalDpi xmlns:a14="http://schemas.microsoft.com/office/drawing/2010/main" val="0"/>
                        </a:ext>
                      </a:extLst>
                    </a:blip>
                    <a:stretch>
                      <a:fillRect/>
                    </a:stretch>
                  </pic:blipFill>
                  <pic:spPr>
                    <a:xfrm>
                      <a:off x="0" y="0"/>
                      <a:ext cx="5791835" cy="2940685"/>
                    </a:xfrm>
                    <a:prstGeom prst="rect">
                      <a:avLst/>
                    </a:prstGeom>
                  </pic:spPr>
                </pic:pic>
              </a:graphicData>
            </a:graphic>
          </wp:inline>
        </w:drawing>
      </w:r>
      <w:r w:rsidRPr="00186BF8">
        <w:rPr>
          <w:rFonts w:ascii="Palatino Linotype" w:hAnsi="Palatino Linotype" w:cs="Arial"/>
        </w:rPr>
        <w:t xml:space="preserve"> </w:t>
      </w:r>
    </w:p>
    <w:p w:rsidR="00251F2C" w:rsidRPr="00186BF8" w:rsidRDefault="00251F2C" w:rsidP="00251F2C">
      <w:pPr>
        <w:spacing w:line="360" w:lineRule="auto"/>
        <w:jc w:val="center"/>
        <w:rPr>
          <w:rFonts w:ascii="Palatino Linotype" w:hAnsi="Palatino Linotype" w:cs="Arial"/>
        </w:rPr>
      </w:pPr>
      <w:r w:rsidRPr="00186BF8">
        <w:rPr>
          <w:rFonts w:ascii="Palatino Linotype" w:hAnsi="Palatino Linotype" w:cs="Arial"/>
          <w:noProof/>
          <w:lang w:val="es-MX" w:eastAsia="es-MX"/>
        </w:rPr>
        <w:lastRenderedPageBreak/>
        <w:drawing>
          <wp:inline distT="0" distB="0" distL="0" distR="0" wp14:anchorId="42F35865" wp14:editId="0C9301DF">
            <wp:extent cx="1019175" cy="17781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5CA4F9.tmp"/>
                    <pic:cNvPicPr/>
                  </pic:nvPicPr>
                  <pic:blipFill>
                    <a:blip r:embed="rId9">
                      <a:extLst>
                        <a:ext uri="{28A0092B-C50C-407E-A947-70E740481C1C}">
                          <a14:useLocalDpi xmlns:a14="http://schemas.microsoft.com/office/drawing/2010/main" val="0"/>
                        </a:ext>
                      </a:extLst>
                    </a:blip>
                    <a:stretch>
                      <a:fillRect/>
                    </a:stretch>
                  </pic:blipFill>
                  <pic:spPr>
                    <a:xfrm>
                      <a:off x="0" y="0"/>
                      <a:ext cx="1021921" cy="1782926"/>
                    </a:xfrm>
                    <a:prstGeom prst="rect">
                      <a:avLst/>
                    </a:prstGeom>
                  </pic:spPr>
                </pic:pic>
              </a:graphicData>
            </a:graphic>
          </wp:inline>
        </w:drawing>
      </w:r>
    </w:p>
    <w:p w:rsidR="00251F2C" w:rsidRPr="00186BF8" w:rsidRDefault="00251F2C" w:rsidP="00251F2C">
      <w:pPr>
        <w:pStyle w:val="INFOEM"/>
        <w:rPr>
          <w:lang w:val="es-ES"/>
        </w:rPr>
      </w:pPr>
      <w:r w:rsidRPr="00186BF8">
        <w:rPr>
          <w:lang w:val="es-ES"/>
        </w:rPr>
        <w:t>ARTÍCULO 85.- La Tesorería Municipal es el órgano encargado de la recaudación de los ingresos municipales y responsable de realizar las erogaciones que haga el Ayuntamiento. Al tomar posesión de su cargo, recibirá la hacienda pública y remitirá un ejemplar de dicha documentación al Ayuntamiento, al Órgano Superior de Fiscalización del Estado de México y al archivo de la Tesorería. La administración de la hacienda pública municipal se sujetará y tendrá como líneas de acción los principios de libre administración, ejercicio directo de los recursos que integran la hacienda pública municipal, integridad de los recursos municipales, percepción de contribuciones, reserva de fuentes de ingresos municipales, facultad para proponer a la Legislatura del Estado de México las cuotas y tarifas aplicables a impuestos, derechos, aportaciones de mejoras y tablas de valores unitarios de suelo y construcciones, que sirvan de base para el cobro de las contribuciones sobre la propiedad inmobiliaria, en términos de lo que dispone el Artículo 115, fracción IV de la Constitución Política de los Estados Unidos Mexicanos.</w:t>
      </w:r>
    </w:p>
    <w:p w:rsidR="00251F2C" w:rsidRPr="00186BF8" w:rsidRDefault="00251F2C" w:rsidP="00251F2C">
      <w:pPr>
        <w:pStyle w:val="INFOEM"/>
        <w:rPr>
          <w:b/>
          <w:lang w:val="es-ES"/>
        </w:rPr>
      </w:pPr>
      <w:r w:rsidRPr="00186BF8">
        <w:rPr>
          <w:b/>
          <w:lang w:val="es-ES"/>
        </w:rPr>
        <w:t xml:space="preserve">ARTÍCULO 86.- Son atribuciones del Tesorero Municipal: </w:t>
      </w:r>
    </w:p>
    <w:p w:rsidR="00251F2C" w:rsidRPr="00186BF8" w:rsidRDefault="00251F2C" w:rsidP="00251F2C">
      <w:pPr>
        <w:pStyle w:val="INFOEM"/>
        <w:numPr>
          <w:ilvl w:val="0"/>
          <w:numId w:val="9"/>
        </w:numPr>
        <w:spacing w:before="0" w:after="0" w:line="240" w:lineRule="auto"/>
        <w:rPr>
          <w:lang w:val="es-ES"/>
        </w:rPr>
      </w:pPr>
      <w:r w:rsidRPr="00186BF8">
        <w:rPr>
          <w:lang w:val="es-ES"/>
        </w:rPr>
        <w:t xml:space="preserve">Administrar la hacienda pública municipal, de conformidad con las disposiciones legales aplicables; </w:t>
      </w:r>
    </w:p>
    <w:p w:rsidR="00251F2C" w:rsidRPr="00186BF8" w:rsidRDefault="00251F2C" w:rsidP="00251F2C">
      <w:pPr>
        <w:pStyle w:val="INFOEM"/>
        <w:numPr>
          <w:ilvl w:val="0"/>
          <w:numId w:val="9"/>
        </w:numPr>
        <w:spacing w:before="0" w:after="0" w:line="240" w:lineRule="auto"/>
      </w:pPr>
      <w:r w:rsidRPr="00186BF8">
        <w:rPr>
          <w:lang w:val="es-ES"/>
        </w:rPr>
        <w:t xml:space="preserve">Determinar, liquidar, recaudar, fiscalizar y administrar las contribuciones en los términos de los ordenamientos jurídicos aplicables y, en su caso, aplicar el procedimiento administrativo de ejecución, en términos de las disposiciones aplicables; </w:t>
      </w:r>
    </w:p>
    <w:p w:rsidR="00251F2C" w:rsidRPr="00186BF8" w:rsidRDefault="00251F2C" w:rsidP="00251F2C">
      <w:pPr>
        <w:pStyle w:val="INFOEM"/>
        <w:numPr>
          <w:ilvl w:val="0"/>
          <w:numId w:val="9"/>
        </w:numPr>
        <w:spacing w:before="0" w:after="0" w:line="240" w:lineRule="auto"/>
      </w:pPr>
      <w:r w:rsidRPr="00186BF8">
        <w:rPr>
          <w:lang w:val="es-ES"/>
        </w:rPr>
        <w:lastRenderedPageBreak/>
        <w:t xml:space="preserve">Imponer las sanciones administrativas que procedan por infracciones a las disposiciones fiscales; </w:t>
      </w:r>
    </w:p>
    <w:p w:rsidR="00251F2C" w:rsidRPr="00186BF8" w:rsidRDefault="00251F2C" w:rsidP="00251F2C">
      <w:pPr>
        <w:pStyle w:val="INFOEM"/>
        <w:numPr>
          <w:ilvl w:val="0"/>
          <w:numId w:val="9"/>
        </w:numPr>
        <w:spacing w:before="0" w:after="0" w:line="240" w:lineRule="auto"/>
        <w:rPr>
          <w:b/>
          <w:u w:val="single"/>
        </w:rPr>
      </w:pPr>
      <w:r w:rsidRPr="00186BF8">
        <w:rPr>
          <w:b/>
          <w:u w:val="single"/>
          <w:lang w:val="es-ES"/>
        </w:rPr>
        <w:t xml:space="preserve">Llevar los registros contables, financieros y administrativos de los ingresos, egresos, e inventarios; </w:t>
      </w:r>
    </w:p>
    <w:p w:rsidR="00251F2C" w:rsidRPr="00186BF8" w:rsidRDefault="00251F2C" w:rsidP="00251F2C">
      <w:pPr>
        <w:pStyle w:val="INFOEM"/>
        <w:numPr>
          <w:ilvl w:val="0"/>
          <w:numId w:val="9"/>
        </w:numPr>
        <w:spacing w:before="0" w:after="0" w:line="240" w:lineRule="auto"/>
      </w:pPr>
      <w:r w:rsidRPr="00186BF8">
        <w:rPr>
          <w:lang w:val="es-ES"/>
        </w:rPr>
        <w:t xml:space="preserve">Proporcionar oportunamente al Ayuntamiento todos los datos o informes que sean necesarios para la formulación del Presupuesto de Egresos Municipales, vigilando que se ajuste a las disposiciones de esta Ley y otros ordenamientos aplicables; </w:t>
      </w:r>
    </w:p>
    <w:p w:rsidR="00251F2C" w:rsidRPr="00186BF8" w:rsidRDefault="00251F2C" w:rsidP="00251F2C">
      <w:pPr>
        <w:pStyle w:val="INFOEM"/>
        <w:numPr>
          <w:ilvl w:val="0"/>
          <w:numId w:val="9"/>
        </w:numPr>
        <w:spacing w:before="0" w:after="0" w:line="240" w:lineRule="auto"/>
      </w:pPr>
      <w:r w:rsidRPr="00186BF8">
        <w:rPr>
          <w:lang w:val="es-ES"/>
        </w:rPr>
        <w:t xml:space="preserve">Presentar anualmente al Ayuntamiento un informe de la situación contable financiera de la Tesorería Municipal; </w:t>
      </w:r>
    </w:p>
    <w:p w:rsidR="00251F2C" w:rsidRPr="00186BF8" w:rsidRDefault="00251F2C" w:rsidP="00251F2C">
      <w:pPr>
        <w:pStyle w:val="INFOEM"/>
        <w:numPr>
          <w:ilvl w:val="0"/>
          <w:numId w:val="9"/>
        </w:numPr>
        <w:spacing w:before="0" w:after="0" w:line="240" w:lineRule="auto"/>
      </w:pPr>
      <w:r w:rsidRPr="00186BF8">
        <w:rPr>
          <w:lang w:val="es-ES"/>
        </w:rPr>
        <w:t xml:space="preserve">Diseñar y aprobar las formas oficiales de manifestaciones, avisos, declaraciones y demás documentos requeridos; </w:t>
      </w:r>
    </w:p>
    <w:p w:rsidR="00251F2C" w:rsidRPr="00186BF8" w:rsidRDefault="00251F2C" w:rsidP="00251F2C">
      <w:pPr>
        <w:pStyle w:val="INFOEM"/>
        <w:numPr>
          <w:ilvl w:val="0"/>
          <w:numId w:val="9"/>
        </w:numPr>
        <w:spacing w:before="0" w:after="0" w:line="240" w:lineRule="auto"/>
      </w:pPr>
      <w:r w:rsidRPr="00186BF8">
        <w:rPr>
          <w:lang w:val="es-ES"/>
        </w:rPr>
        <w:t xml:space="preserve">Participar en la formulación de Convenios Fiscales y ejercer las atribuciones que le correspondan en el ámbito de su competencia. </w:t>
      </w:r>
    </w:p>
    <w:p w:rsidR="00251F2C" w:rsidRPr="00186BF8" w:rsidRDefault="00251F2C" w:rsidP="00251F2C">
      <w:pPr>
        <w:pStyle w:val="INFOEM"/>
        <w:numPr>
          <w:ilvl w:val="0"/>
          <w:numId w:val="9"/>
        </w:numPr>
        <w:spacing w:before="0" w:after="0" w:line="240" w:lineRule="auto"/>
      </w:pPr>
      <w:r w:rsidRPr="00186BF8">
        <w:rPr>
          <w:lang w:val="es-ES"/>
        </w:rPr>
        <w:t xml:space="preserve">Proponer al Ayuntamiento la cancelación de cuentas incobrables; </w:t>
      </w:r>
    </w:p>
    <w:p w:rsidR="00251F2C" w:rsidRPr="00186BF8" w:rsidRDefault="00251F2C" w:rsidP="00251F2C">
      <w:pPr>
        <w:pStyle w:val="INFOEM"/>
        <w:numPr>
          <w:ilvl w:val="0"/>
          <w:numId w:val="9"/>
        </w:numPr>
        <w:spacing w:before="0" w:after="0" w:line="240" w:lineRule="auto"/>
      </w:pPr>
      <w:r w:rsidRPr="00186BF8">
        <w:rPr>
          <w:lang w:val="es-ES"/>
        </w:rPr>
        <w:t xml:space="preserve">Custodiar y ejercer las garantías que se otorguen en favor de la Hacienda Municipal; </w:t>
      </w:r>
    </w:p>
    <w:p w:rsidR="00251F2C" w:rsidRPr="00186BF8" w:rsidRDefault="00251F2C" w:rsidP="00251F2C">
      <w:pPr>
        <w:pStyle w:val="INFOEM"/>
        <w:numPr>
          <w:ilvl w:val="0"/>
          <w:numId w:val="9"/>
        </w:numPr>
        <w:spacing w:before="0" w:after="0" w:line="240" w:lineRule="auto"/>
      </w:pPr>
      <w:r w:rsidRPr="00186BF8">
        <w:rPr>
          <w:lang w:val="es-ES"/>
        </w:rPr>
        <w:t xml:space="preserve">Proponer la política de ingresos de la Tesorería Municipal; </w:t>
      </w:r>
    </w:p>
    <w:p w:rsidR="00251F2C" w:rsidRPr="00186BF8" w:rsidRDefault="00251F2C" w:rsidP="00251F2C">
      <w:pPr>
        <w:pStyle w:val="INFOEM"/>
        <w:numPr>
          <w:ilvl w:val="0"/>
          <w:numId w:val="9"/>
        </w:numPr>
        <w:spacing w:before="0" w:after="0" w:line="240" w:lineRule="auto"/>
      </w:pPr>
      <w:r w:rsidRPr="00186BF8">
        <w:rPr>
          <w:lang w:val="es-ES"/>
        </w:rPr>
        <w:t xml:space="preserve">Intervenir en la elaboración del programa financiero municipal. </w:t>
      </w:r>
    </w:p>
    <w:p w:rsidR="00251F2C" w:rsidRPr="00186BF8" w:rsidRDefault="00251F2C" w:rsidP="00251F2C">
      <w:pPr>
        <w:pStyle w:val="INFOEM"/>
        <w:numPr>
          <w:ilvl w:val="0"/>
          <w:numId w:val="9"/>
        </w:numPr>
        <w:spacing w:before="0" w:after="0" w:line="240" w:lineRule="auto"/>
      </w:pPr>
      <w:r w:rsidRPr="00186BF8">
        <w:rPr>
          <w:lang w:val="es-ES"/>
        </w:rPr>
        <w:t xml:space="preserve">Elaborar y mantener actualizado el Padrón de Contribuyentes; </w:t>
      </w:r>
    </w:p>
    <w:p w:rsidR="00251F2C" w:rsidRPr="00186BF8" w:rsidRDefault="00251F2C" w:rsidP="00251F2C">
      <w:pPr>
        <w:pStyle w:val="INFOEM"/>
        <w:numPr>
          <w:ilvl w:val="0"/>
          <w:numId w:val="9"/>
        </w:numPr>
        <w:spacing w:before="0" w:after="0" w:line="240" w:lineRule="auto"/>
      </w:pPr>
      <w:r w:rsidRPr="00186BF8">
        <w:rPr>
          <w:lang w:val="es-ES"/>
        </w:rPr>
        <w:t xml:space="preserve">Ministrar a su inmediato antecesor todos los datos oficiales que le solicitare, para contestar los pliegos de observaciones y alcances que formule y deduzca el Órgano Superior de Fiscalización del Estado de México; </w:t>
      </w:r>
    </w:p>
    <w:p w:rsidR="00251F2C" w:rsidRPr="00186BF8" w:rsidRDefault="00251F2C" w:rsidP="00251F2C">
      <w:pPr>
        <w:pStyle w:val="INFOEM"/>
        <w:numPr>
          <w:ilvl w:val="0"/>
          <w:numId w:val="9"/>
        </w:numPr>
        <w:spacing w:before="0" w:after="0" w:line="240" w:lineRule="auto"/>
      </w:pPr>
      <w:r w:rsidRPr="00186BF8">
        <w:rPr>
          <w:lang w:val="es-ES"/>
        </w:rPr>
        <w:t>Solicitar a las instancias competentes, la práctica de revisiones circunstanciadas, de conformidad con las normas que rigen en materia de control y evaluación gubernamental en el ámbito Municipal;</w:t>
      </w:r>
    </w:p>
    <w:p w:rsidR="00251F2C" w:rsidRPr="00186BF8" w:rsidRDefault="00251F2C" w:rsidP="00251F2C">
      <w:pPr>
        <w:pStyle w:val="INFOEM"/>
        <w:numPr>
          <w:ilvl w:val="0"/>
          <w:numId w:val="9"/>
        </w:numPr>
        <w:spacing w:before="0" w:after="0" w:line="240" w:lineRule="auto"/>
      </w:pPr>
      <w:r w:rsidRPr="00186BF8">
        <w:rPr>
          <w:lang w:val="es-ES"/>
        </w:rPr>
        <w:t xml:space="preserve">Glosar oportunamente las cuentas del Ayuntamiento; </w:t>
      </w:r>
    </w:p>
    <w:p w:rsidR="00251F2C" w:rsidRPr="00186BF8" w:rsidRDefault="00251F2C" w:rsidP="00251F2C">
      <w:pPr>
        <w:pStyle w:val="INFOEM"/>
        <w:numPr>
          <w:ilvl w:val="0"/>
          <w:numId w:val="9"/>
        </w:numPr>
        <w:spacing w:before="0" w:after="0" w:line="240" w:lineRule="auto"/>
      </w:pPr>
      <w:r w:rsidRPr="00186BF8">
        <w:rPr>
          <w:lang w:val="es-ES"/>
        </w:rPr>
        <w:t xml:space="preserve">Contestar oportunamente los pliegos de observaciones y responsabilidades que haga el Órgano Superior de Fiscalización del Estado de México, así como atender en tiempo y forma las solicitudes de información que éste requiera, informando al Ayuntamiento; </w:t>
      </w:r>
    </w:p>
    <w:p w:rsidR="00251F2C" w:rsidRPr="00186BF8" w:rsidRDefault="00251F2C" w:rsidP="00251F2C">
      <w:pPr>
        <w:pStyle w:val="INFOEM"/>
        <w:numPr>
          <w:ilvl w:val="0"/>
          <w:numId w:val="9"/>
        </w:numPr>
        <w:spacing w:before="0" w:after="0" w:line="240" w:lineRule="auto"/>
      </w:pPr>
      <w:r w:rsidRPr="00186BF8">
        <w:rPr>
          <w:lang w:val="es-ES"/>
        </w:rPr>
        <w:t xml:space="preserve">Expedir copias certificadas de los documentos a su cuidado por acuerdo expreso del Ayuntamiento y cuando se trate de documentación presentada ante el Órgano Superior de Fiscalización del Estado de México; </w:t>
      </w:r>
    </w:p>
    <w:p w:rsidR="00251F2C" w:rsidRPr="00186BF8" w:rsidRDefault="00251F2C" w:rsidP="00251F2C">
      <w:pPr>
        <w:pStyle w:val="INFOEM"/>
        <w:numPr>
          <w:ilvl w:val="0"/>
          <w:numId w:val="9"/>
        </w:numPr>
        <w:spacing w:before="0" w:after="0" w:line="240" w:lineRule="auto"/>
      </w:pPr>
      <w:r w:rsidRPr="00186BF8">
        <w:rPr>
          <w:lang w:val="es-ES"/>
        </w:rPr>
        <w:t xml:space="preserve">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w:t>
      </w:r>
      <w:r w:rsidRPr="00186BF8">
        <w:rPr>
          <w:lang w:val="es-ES"/>
        </w:rPr>
        <w:lastRenderedPageBreak/>
        <w:t xml:space="preserve">diversas disposiciones legales, constituyendo los créditos fiscales correspondientes; </w:t>
      </w:r>
    </w:p>
    <w:p w:rsidR="00251F2C" w:rsidRPr="00186BF8" w:rsidRDefault="00251F2C" w:rsidP="00251F2C">
      <w:pPr>
        <w:pStyle w:val="INFOEM"/>
        <w:numPr>
          <w:ilvl w:val="0"/>
          <w:numId w:val="9"/>
        </w:numPr>
        <w:spacing w:before="0" w:after="0" w:line="240" w:lineRule="auto"/>
      </w:pPr>
      <w:r w:rsidRPr="00186BF8">
        <w:rPr>
          <w:lang w:val="es-ES"/>
        </w:rPr>
        <w:t xml:space="preserve">Dar cumplimiento a las leyes, convenios de coordinación fiscal y demás que en materia hacendaria celebre el Ayuntamiento con el Estado; </w:t>
      </w:r>
    </w:p>
    <w:p w:rsidR="00251F2C" w:rsidRPr="00186BF8" w:rsidRDefault="00251F2C" w:rsidP="00251F2C">
      <w:pPr>
        <w:pStyle w:val="INFOEM"/>
        <w:numPr>
          <w:ilvl w:val="0"/>
          <w:numId w:val="9"/>
        </w:numPr>
        <w:spacing w:before="0" w:after="0" w:line="240" w:lineRule="auto"/>
      </w:pPr>
      <w:r w:rsidRPr="00186BF8">
        <w:rPr>
          <w:lang w:val="es-ES"/>
        </w:rPr>
        <w:t xml:space="preserve">Entregar oportunamente a él o los Síndicos, según sea el caso, el informe mensual que corresponda, a fin de que se revise, y, de ser necesario, para que se formulen las observaciones respectivas. </w:t>
      </w:r>
    </w:p>
    <w:p w:rsidR="00251F2C" w:rsidRPr="00186BF8" w:rsidRDefault="00251F2C" w:rsidP="00251F2C">
      <w:pPr>
        <w:pStyle w:val="INFOEM"/>
        <w:numPr>
          <w:ilvl w:val="0"/>
          <w:numId w:val="9"/>
        </w:numPr>
        <w:spacing w:before="0" w:after="0" w:line="240" w:lineRule="auto"/>
      </w:pPr>
      <w:r w:rsidRPr="00186BF8">
        <w:rPr>
          <w:lang w:val="es-ES"/>
        </w:rPr>
        <w:t>Las que les señalen las demás disposiciones legales.</w:t>
      </w:r>
    </w:p>
    <w:p w:rsidR="00251F2C" w:rsidRPr="00186BF8" w:rsidRDefault="00251F2C" w:rsidP="00251F2C">
      <w:pPr>
        <w:pStyle w:val="INFOEM"/>
        <w:spacing w:before="0" w:after="0" w:line="240" w:lineRule="auto"/>
        <w:rPr>
          <w:lang w:val="es-ES"/>
        </w:rPr>
      </w:pPr>
    </w:p>
    <w:p w:rsidR="00251F2C" w:rsidRPr="00186BF8" w:rsidRDefault="00251F2C" w:rsidP="00251F2C">
      <w:pPr>
        <w:pStyle w:val="INFOEM"/>
        <w:spacing w:before="0" w:after="0" w:line="240" w:lineRule="auto"/>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Por su parte, el Reglamento Interno de la Dirección de Administración establece el Comité de Adquisiciones le corresponde dictaminar y participar en los procedimientos de licitación, invitación restringida y adjudicación directa, tal como se transcribe:</w:t>
      </w:r>
    </w:p>
    <w:p w:rsidR="00251F2C" w:rsidRPr="00186BF8" w:rsidRDefault="00251F2C" w:rsidP="00251F2C">
      <w:pPr>
        <w:pStyle w:val="INFOEM"/>
        <w:rPr>
          <w:lang w:val="es-ES"/>
        </w:rPr>
      </w:pPr>
      <w:r w:rsidRPr="00186BF8">
        <w:rPr>
          <w:lang w:val="es-ES"/>
        </w:rPr>
        <w:t xml:space="preserve">Artículo 9.- El comité de Adquisiciones, Arrendamientos y servicios sesionara por lo menos dos veces al mes, y de manera extraordinaria cuantas veces sean necesarias. </w:t>
      </w:r>
    </w:p>
    <w:p w:rsidR="00251F2C" w:rsidRPr="00186BF8" w:rsidRDefault="00251F2C" w:rsidP="00251F2C">
      <w:pPr>
        <w:pStyle w:val="INFOEM"/>
        <w:rPr>
          <w:lang w:val="es-ES"/>
        </w:rPr>
      </w:pPr>
      <w:r w:rsidRPr="00186BF8">
        <w:rPr>
          <w:lang w:val="es-ES"/>
        </w:rPr>
        <w:t xml:space="preserve">Artículo 10.- Corresponden al comité de Adquisiciones, Arrendamientos y servicios a las atribuciones siguientes: </w:t>
      </w:r>
    </w:p>
    <w:p w:rsidR="00251F2C" w:rsidRPr="00186BF8" w:rsidRDefault="00251F2C" w:rsidP="00251F2C">
      <w:pPr>
        <w:pStyle w:val="INFOEM"/>
        <w:rPr>
          <w:lang w:val="es-ES"/>
        </w:rPr>
      </w:pPr>
      <w:r w:rsidRPr="00186BF8">
        <w:rPr>
          <w:lang w:val="es-ES"/>
        </w:rPr>
        <w:t xml:space="preserve">I.- Dictaminar sobre la procedencia de los casos de excepción al procedimiento de licitación pública, tratándose de adquisición de inmuebles y arrendamientos. </w:t>
      </w:r>
    </w:p>
    <w:p w:rsidR="00251F2C" w:rsidRPr="00186BF8" w:rsidRDefault="00251F2C" w:rsidP="00251F2C">
      <w:pPr>
        <w:pStyle w:val="INFOEM"/>
        <w:rPr>
          <w:lang w:val="es-ES"/>
        </w:rPr>
      </w:pPr>
      <w:r w:rsidRPr="00186BF8">
        <w:rPr>
          <w:lang w:val="es-ES"/>
        </w:rPr>
        <w:t xml:space="preserve">II.- Participar en los procedimientos de licitación, invitación restringida y adjudicación directa, hasta dejarlo en estado de dictar el fallo correspondiente, tratándose de adquisición de inmuebles y arrendamientos. </w:t>
      </w:r>
    </w:p>
    <w:p w:rsidR="00251F2C" w:rsidRPr="00186BF8" w:rsidRDefault="00251F2C" w:rsidP="00251F2C">
      <w:pPr>
        <w:pStyle w:val="INFOEM"/>
        <w:rPr>
          <w:lang w:val="es-ES"/>
        </w:rPr>
      </w:pPr>
      <w:r w:rsidRPr="00186BF8">
        <w:rPr>
          <w:lang w:val="es-ES"/>
        </w:rPr>
        <w:t>III.- Emitir los dictámenes de adjudicación, tratándose de adquisiciones de inmuebles y arrendamientos.</w:t>
      </w:r>
    </w:p>
    <w:p w:rsidR="00251F2C" w:rsidRPr="00186BF8" w:rsidRDefault="00251F2C" w:rsidP="00251F2C">
      <w:pPr>
        <w:pStyle w:val="INFOEM"/>
        <w:rPr>
          <w:lang w:val="es-ES"/>
        </w:rPr>
      </w:pPr>
      <w:r w:rsidRPr="00186BF8">
        <w:rPr>
          <w:lang w:val="es-ES"/>
        </w:rPr>
        <w:t xml:space="preserve">IV.- Participar en los procedimientos de subasta pública, hasta dejarlos en estado de dictar el fallo de adjudicación. </w:t>
      </w:r>
    </w:p>
    <w:p w:rsidR="00251F2C" w:rsidRPr="00186BF8" w:rsidRDefault="00251F2C" w:rsidP="00251F2C">
      <w:pPr>
        <w:pStyle w:val="INFOEM"/>
      </w:pPr>
      <w:r w:rsidRPr="00186BF8">
        <w:rPr>
          <w:lang w:val="es-ES"/>
        </w:rPr>
        <w:lastRenderedPageBreak/>
        <w:t>V.- Las demás que establezcan el reglamento de esta ley.</w:t>
      </w:r>
    </w:p>
    <w:p w:rsidR="00E64B94" w:rsidRPr="00186BF8" w:rsidRDefault="00E64B94" w:rsidP="00251F2C">
      <w:pPr>
        <w:pStyle w:val="Sinespaciado"/>
        <w:spacing w:line="360" w:lineRule="auto"/>
        <w:jc w:val="both"/>
        <w:rPr>
          <w:rFonts w:ascii="Palatino Linotype" w:eastAsia="Palatino Linotype" w:hAnsi="Palatino Linotype" w:cs="Palatino Linotype"/>
          <w:color w:val="000000"/>
          <w:sz w:val="24"/>
          <w:lang w:val="es-ES_tradnl" w:eastAsia="es-MX"/>
        </w:rPr>
      </w:pPr>
    </w:p>
    <w:p w:rsidR="00251F2C" w:rsidRPr="00186BF8" w:rsidRDefault="00251F2C" w:rsidP="00251F2C">
      <w:pPr>
        <w:pStyle w:val="Sinespaciado"/>
        <w:spacing w:line="360" w:lineRule="auto"/>
        <w:jc w:val="both"/>
        <w:rPr>
          <w:rFonts w:ascii="Palatino Linotype" w:eastAsia="Palatino Linotype" w:hAnsi="Palatino Linotype" w:cs="Palatino Linotype"/>
          <w:color w:val="000000"/>
          <w:sz w:val="24"/>
          <w:lang w:val="es-ES_tradnl" w:eastAsia="es-MX"/>
        </w:rPr>
      </w:pPr>
      <w:r w:rsidRPr="00186BF8">
        <w:rPr>
          <w:rFonts w:ascii="Palatino Linotype" w:eastAsia="Palatino Linotype" w:hAnsi="Palatino Linotype" w:cs="Palatino Linotype"/>
          <w:color w:val="000000"/>
          <w:sz w:val="24"/>
          <w:lang w:val="es-ES_tradnl" w:eastAsia="es-MX"/>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3827"/>
        <w:gridCol w:w="1089"/>
      </w:tblGrid>
      <w:tr w:rsidR="00251F2C" w:rsidRPr="00186BF8" w:rsidTr="00667B93">
        <w:trPr>
          <w:trHeight w:val="396"/>
        </w:trPr>
        <w:tc>
          <w:tcPr>
            <w:tcW w:w="4238" w:type="dxa"/>
            <w:shd w:val="clear" w:color="auto" w:fill="E7E6E6" w:themeFill="background2"/>
          </w:tcPr>
          <w:p w:rsidR="00251F2C" w:rsidRPr="00186BF8" w:rsidRDefault="00251F2C" w:rsidP="00667B93">
            <w:pPr>
              <w:spacing w:line="360" w:lineRule="auto"/>
              <w:jc w:val="center"/>
              <w:rPr>
                <w:rFonts w:ascii="Palatino Linotype" w:hAnsi="Palatino Linotype"/>
                <w:b/>
                <w:i/>
                <w:color w:val="000000"/>
              </w:rPr>
            </w:pPr>
            <w:r w:rsidRPr="00186BF8">
              <w:rPr>
                <w:rFonts w:ascii="Palatino Linotype" w:hAnsi="Palatino Linotype"/>
                <w:b/>
                <w:i/>
                <w:color w:val="000000"/>
              </w:rPr>
              <w:t>Requerimientos</w:t>
            </w:r>
          </w:p>
        </w:tc>
        <w:tc>
          <w:tcPr>
            <w:tcW w:w="3827" w:type="dxa"/>
            <w:shd w:val="clear" w:color="auto" w:fill="E7E6E6" w:themeFill="background2"/>
          </w:tcPr>
          <w:p w:rsidR="00251F2C" w:rsidRPr="00186BF8" w:rsidRDefault="00251F2C" w:rsidP="00667B93">
            <w:pPr>
              <w:spacing w:line="360" w:lineRule="auto"/>
              <w:jc w:val="center"/>
              <w:rPr>
                <w:rFonts w:ascii="Palatino Linotype" w:hAnsi="Palatino Linotype"/>
                <w:b/>
                <w:i/>
                <w:color w:val="000000"/>
              </w:rPr>
            </w:pPr>
            <w:r w:rsidRPr="00186BF8">
              <w:rPr>
                <w:rFonts w:ascii="Palatino Linotype" w:hAnsi="Palatino Linotype"/>
                <w:b/>
                <w:i/>
                <w:color w:val="000000"/>
              </w:rPr>
              <w:t>Respuesta</w:t>
            </w:r>
          </w:p>
        </w:tc>
        <w:tc>
          <w:tcPr>
            <w:tcW w:w="1089" w:type="dxa"/>
            <w:shd w:val="clear" w:color="auto" w:fill="E7E6E6" w:themeFill="background2"/>
          </w:tcPr>
          <w:p w:rsidR="00251F2C" w:rsidRPr="00186BF8" w:rsidRDefault="00251F2C" w:rsidP="00667B93">
            <w:pPr>
              <w:spacing w:line="360" w:lineRule="auto"/>
              <w:jc w:val="center"/>
              <w:rPr>
                <w:rFonts w:ascii="Palatino Linotype" w:hAnsi="Palatino Linotype"/>
                <w:b/>
                <w:i/>
                <w:color w:val="000000"/>
              </w:rPr>
            </w:pPr>
            <w:r w:rsidRPr="00186BF8">
              <w:rPr>
                <w:rFonts w:ascii="Palatino Linotype" w:hAnsi="Palatino Linotype"/>
                <w:b/>
                <w:i/>
                <w:color w:val="000000"/>
              </w:rPr>
              <w:t>Colma</w:t>
            </w:r>
          </w:p>
        </w:tc>
      </w:tr>
      <w:tr w:rsidR="00667B93" w:rsidRPr="00186BF8" w:rsidTr="00E64B94">
        <w:trPr>
          <w:trHeight w:val="239"/>
        </w:trPr>
        <w:tc>
          <w:tcPr>
            <w:tcW w:w="4238" w:type="dxa"/>
            <w:shd w:val="clear" w:color="auto" w:fill="auto"/>
          </w:tcPr>
          <w:p w:rsidR="00667B93" w:rsidRPr="00186BF8" w:rsidRDefault="00667B93" w:rsidP="00885005">
            <w:pPr>
              <w:tabs>
                <w:tab w:val="left" w:pos="1380"/>
              </w:tabs>
              <w:jc w:val="both"/>
              <w:rPr>
                <w:rFonts w:ascii="Palatino Linotype" w:hAnsi="Palatino Linotype"/>
                <w:color w:val="000000"/>
                <w:sz w:val="22"/>
              </w:rPr>
            </w:pPr>
            <w:r w:rsidRPr="00186BF8">
              <w:rPr>
                <w:rFonts w:ascii="Palatino Linotype" w:hAnsi="Palatino Linotype" w:cs="Tahoma"/>
                <w:bCs/>
                <w:sz w:val="22"/>
              </w:rPr>
              <w:t>Nombre de la empresa a la que se le han otorgado los contratos de la contratación de las bandas para todos los bailes y eventos que se han realizado desde el 1 de enero al 09 de julio de 2025 y cuanto presupuesto se ha destinado para cada evento.</w:t>
            </w:r>
          </w:p>
        </w:tc>
        <w:tc>
          <w:tcPr>
            <w:tcW w:w="3827" w:type="dxa"/>
            <w:vMerge w:val="restart"/>
            <w:shd w:val="clear" w:color="auto" w:fill="auto"/>
          </w:tcPr>
          <w:p w:rsidR="00667B93" w:rsidRPr="00186BF8" w:rsidRDefault="00667B93" w:rsidP="00667B93">
            <w:pPr>
              <w:jc w:val="both"/>
              <w:rPr>
                <w:rFonts w:ascii="Palatino Linotype" w:hAnsi="Palatino Linotype"/>
                <w:color w:val="000000"/>
                <w:sz w:val="22"/>
              </w:rPr>
            </w:pPr>
            <w:r w:rsidRPr="00186BF8">
              <w:rPr>
                <w:rFonts w:ascii="Palatino Linotype" w:hAnsi="Palatino Linotype"/>
                <w:color w:val="000000"/>
                <w:sz w:val="22"/>
              </w:rPr>
              <w:t>Liga electrónica que marca error.</w:t>
            </w:r>
          </w:p>
        </w:tc>
        <w:tc>
          <w:tcPr>
            <w:tcW w:w="1089" w:type="dxa"/>
            <w:vMerge w:val="restart"/>
            <w:shd w:val="clear" w:color="auto" w:fill="auto"/>
          </w:tcPr>
          <w:p w:rsidR="00667B93" w:rsidRPr="00186BF8" w:rsidRDefault="00667B93" w:rsidP="00667B93">
            <w:pPr>
              <w:jc w:val="center"/>
              <w:rPr>
                <w:rFonts w:ascii="Palatino Linotype" w:hAnsi="Palatino Linotype"/>
                <w:i/>
                <w:color w:val="000000"/>
              </w:rPr>
            </w:pPr>
            <w:r w:rsidRPr="00186BF8">
              <w:rPr>
                <w:rFonts w:ascii="Palatino Linotype" w:hAnsi="Palatino Linotype"/>
                <w:i/>
                <w:color w:val="000000"/>
              </w:rPr>
              <w:t>No</w:t>
            </w:r>
          </w:p>
        </w:tc>
      </w:tr>
      <w:tr w:rsidR="00667B93" w:rsidRPr="00186BF8" w:rsidTr="00E64B94">
        <w:trPr>
          <w:trHeight w:val="239"/>
        </w:trPr>
        <w:tc>
          <w:tcPr>
            <w:tcW w:w="4238" w:type="dxa"/>
            <w:shd w:val="clear" w:color="auto" w:fill="auto"/>
          </w:tcPr>
          <w:p w:rsidR="00667B93" w:rsidRPr="00186BF8" w:rsidRDefault="00667B93" w:rsidP="00667B93">
            <w:pPr>
              <w:tabs>
                <w:tab w:val="left" w:pos="1828"/>
              </w:tabs>
              <w:jc w:val="both"/>
              <w:rPr>
                <w:rFonts w:ascii="Palatino Linotype" w:hAnsi="Palatino Linotype"/>
                <w:color w:val="000000"/>
                <w:sz w:val="22"/>
              </w:rPr>
            </w:pPr>
            <w:r w:rsidRPr="00186BF8">
              <w:rPr>
                <w:rFonts w:ascii="Palatino Linotype" w:hAnsi="Palatino Linotype"/>
                <w:color w:val="000000"/>
                <w:sz w:val="22"/>
              </w:rPr>
              <w:t>Empresa a las que le están comprando las refacciones para los vehículos oficiales, requiero facturas por mes</w:t>
            </w:r>
          </w:p>
        </w:tc>
        <w:tc>
          <w:tcPr>
            <w:tcW w:w="3827" w:type="dxa"/>
            <w:vMerge/>
            <w:shd w:val="clear" w:color="auto" w:fill="auto"/>
          </w:tcPr>
          <w:p w:rsidR="00667B93" w:rsidRPr="00186BF8" w:rsidRDefault="00667B93" w:rsidP="00667B93">
            <w:pPr>
              <w:jc w:val="both"/>
              <w:rPr>
                <w:rFonts w:ascii="Palatino Linotype" w:hAnsi="Palatino Linotype"/>
                <w:color w:val="000000"/>
                <w:sz w:val="22"/>
              </w:rPr>
            </w:pPr>
          </w:p>
        </w:tc>
        <w:tc>
          <w:tcPr>
            <w:tcW w:w="1089" w:type="dxa"/>
            <w:vMerge/>
            <w:shd w:val="clear" w:color="auto" w:fill="auto"/>
          </w:tcPr>
          <w:p w:rsidR="00667B93" w:rsidRPr="00186BF8" w:rsidRDefault="00667B93" w:rsidP="00667B93">
            <w:pPr>
              <w:jc w:val="center"/>
              <w:rPr>
                <w:rFonts w:ascii="Palatino Linotype" w:hAnsi="Palatino Linotype"/>
                <w:i/>
                <w:color w:val="000000"/>
              </w:rPr>
            </w:pPr>
          </w:p>
        </w:tc>
      </w:tr>
      <w:tr w:rsidR="00667B93" w:rsidRPr="00186BF8" w:rsidTr="00E64B94">
        <w:trPr>
          <w:trHeight w:val="239"/>
        </w:trPr>
        <w:tc>
          <w:tcPr>
            <w:tcW w:w="4238" w:type="dxa"/>
            <w:shd w:val="clear" w:color="auto" w:fill="auto"/>
          </w:tcPr>
          <w:p w:rsidR="00667B93" w:rsidRPr="00186BF8" w:rsidRDefault="00667B93" w:rsidP="00885005">
            <w:pPr>
              <w:tabs>
                <w:tab w:val="left" w:pos="1828"/>
              </w:tabs>
              <w:jc w:val="both"/>
              <w:rPr>
                <w:rFonts w:ascii="Palatino Linotype" w:hAnsi="Palatino Linotype"/>
                <w:color w:val="000000"/>
                <w:sz w:val="22"/>
              </w:rPr>
            </w:pPr>
            <w:r w:rsidRPr="00186BF8">
              <w:rPr>
                <w:rFonts w:ascii="Palatino Linotype" w:hAnsi="Palatino Linotype"/>
                <w:color w:val="000000"/>
                <w:sz w:val="22"/>
              </w:rPr>
              <w:t>Lista de proveedores, que se le ha comprado y el monto de cada proveedor del 01 de enero al 09* de julio de 2025</w:t>
            </w:r>
          </w:p>
        </w:tc>
        <w:tc>
          <w:tcPr>
            <w:tcW w:w="3827" w:type="dxa"/>
            <w:vMerge/>
            <w:shd w:val="clear" w:color="auto" w:fill="auto"/>
          </w:tcPr>
          <w:p w:rsidR="00667B93" w:rsidRPr="00186BF8" w:rsidRDefault="00667B93" w:rsidP="00667B93">
            <w:pPr>
              <w:jc w:val="both"/>
              <w:rPr>
                <w:rFonts w:ascii="Palatino Linotype" w:hAnsi="Palatino Linotype"/>
                <w:color w:val="000000"/>
                <w:sz w:val="22"/>
              </w:rPr>
            </w:pPr>
          </w:p>
        </w:tc>
        <w:tc>
          <w:tcPr>
            <w:tcW w:w="1089" w:type="dxa"/>
            <w:vMerge/>
            <w:shd w:val="clear" w:color="auto" w:fill="auto"/>
          </w:tcPr>
          <w:p w:rsidR="00667B93" w:rsidRPr="00186BF8" w:rsidRDefault="00667B93" w:rsidP="00667B93">
            <w:pPr>
              <w:jc w:val="center"/>
              <w:rPr>
                <w:rFonts w:ascii="Palatino Linotype" w:hAnsi="Palatino Linotype"/>
                <w:i/>
                <w:color w:val="000000"/>
              </w:rPr>
            </w:pPr>
          </w:p>
        </w:tc>
      </w:tr>
    </w:tbl>
    <w:p w:rsidR="00251F2C" w:rsidRPr="00186BF8" w:rsidRDefault="00251F2C" w:rsidP="00251F2C">
      <w:pPr>
        <w:spacing w:line="360" w:lineRule="auto"/>
        <w:jc w:val="both"/>
        <w:rPr>
          <w:rFonts w:ascii="Palatino Linotype" w:hAnsi="Palatino Linotype"/>
          <w:color w:val="000000"/>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 xml:space="preserve">En primer término, se considera que el documento que puede </w:t>
      </w:r>
      <w:r w:rsidR="00667B93" w:rsidRPr="00186BF8">
        <w:rPr>
          <w:rFonts w:ascii="Palatino Linotype" w:hAnsi="Palatino Linotype"/>
        </w:rPr>
        <w:t>dar cuenta del primer punto</w:t>
      </w:r>
      <w:r w:rsidRPr="00186BF8">
        <w:rPr>
          <w:rFonts w:ascii="Palatino Linotype" w:hAnsi="Palatino Linotype"/>
        </w:rPr>
        <w:t xml:space="preserve"> son los contratos:</w:t>
      </w:r>
    </w:p>
    <w:p w:rsidR="00251F2C" w:rsidRPr="00186BF8" w:rsidRDefault="00251F2C" w:rsidP="00251F2C">
      <w:pPr>
        <w:pStyle w:val="Prrafodelista"/>
        <w:numPr>
          <w:ilvl w:val="0"/>
          <w:numId w:val="8"/>
        </w:numPr>
        <w:spacing w:line="360" w:lineRule="auto"/>
        <w:jc w:val="both"/>
        <w:rPr>
          <w:rFonts w:ascii="Palatino Linotype" w:hAnsi="Palatino Linotype"/>
        </w:rPr>
      </w:pPr>
      <w:r w:rsidRPr="00186BF8">
        <w:rPr>
          <w:rFonts w:ascii="Palatino Linotype" w:hAnsi="Palatino Linotype" w:cs="Tahoma"/>
          <w:b/>
        </w:rPr>
        <w:t>El contrato</w:t>
      </w:r>
      <w:r w:rsidRPr="00186BF8">
        <w:rPr>
          <w:rFonts w:ascii="Palatino Linotype" w:hAnsi="Palatino Linotype" w:cs="Tahoma"/>
        </w:rPr>
        <w:t xml:space="preserve"> es definido como </w:t>
      </w:r>
      <w:r w:rsidRPr="00186BF8">
        <w:rPr>
          <w:rFonts w:ascii="Palatino Linotype" w:hAnsi="Palatino Linotype"/>
        </w:rPr>
        <w:t>un acto jurídico bilateral que se constituye por el acuerdo de voluntades de dos o más personas y que produce ciertas consecuencias jurídicas (creación o transmisión de derechos y obligaciones), debido al reconocimiento de una norma de derecho.</w:t>
      </w:r>
    </w:p>
    <w:p w:rsidR="00667B93" w:rsidRPr="00186BF8" w:rsidRDefault="00667B93" w:rsidP="00E64B94">
      <w:pPr>
        <w:pStyle w:val="Textoindependiente"/>
        <w:spacing w:line="360" w:lineRule="auto"/>
        <w:jc w:val="both"/>
        <w:rPr>
          <w:rFonts w:ascii="Palatino Linotype" w:hAnsi="Palatino Linotype"/>
          <w:color w:val="000000"/>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color w:val="000000"/>
        </w:rPr>
        <w:lastRenderedPageBreak/>
        <w:t xml:space="preserve">Así, </w:t>
      </w:r>
      <w:r w:rsidRPr="00186BF8">
        <w:rPr>
          <w:rFonts w:ascii="Palatino Linotype" w:hAnsi="Palatino Linotype"/>
        </w:rPr>
        <w:t xml:space="preserve">en alusión a los requerimientos formulados por el particular, resulta oportuno traer a colación el artículo 92, fracciones </w:t>
      </w:r>
      <w:r w:rsidR="00667B93" w:rsidRPr="00186BF8">
        <w:rPr>
          <w:rFonts w:ascii="Palatino Linotype" w:hAnsi="Palatino Linotype"/>
        </w:rPr>
        <w:t xml:space="preserve">XXV, XXIX, </w:t>
      </w:r>
      <w:r w:rsidRPr="00186BF8">
        <w:rPr>
          <w:rFonts w:ascii="Palatino Linotype" w:hAnsi="Palatino Linotype"/>
        </w:rPr>
        <w:t xml:space="preserve">XXXII y XXXVI de la Ley de Transparencia y Acceso a la Información Pública del Estado de México y Municipios, dispositivos jurídicos que disponen a la literalidad lo siguiente: </w:t>
      </w:r>
    </w:p>
    <w:p w:rsidR="00251F2C" w:rsidRPr="00186BF8" w:rsidRDefault="00251F2C" w:rsidP="00E64B94">
      <w:pPr>
        <w:pStyle w:val="INFOEM"/>
      </w:pPr>
      <w:r w:rsidRPr="00186BF8">
        <w:t>“</w:t>
      </w:r>
      <w:r w:rsidRPr="00186BF8">
        <w:rPr>
          <w:b/>
        </w:rPr>
        <w:t>Artículo 92.</w:t>
      </w:r>
      <w:r w:rsidRPr="00186BF8">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67B93" w:rsidRPr="00186BF8" w:rsidRDefault="00667B93" w:rsidP="00667B93">
      <w:pPr>
        <w:tabs>
          <w:tab w:val="left" w:pos="851"/>
        </w:tabs>
        <w:spacing w:before="120" w:after="120"/>
        <w:ind w:left="851" w:right="851"/>
        <w:jc w:val="both"/>
        <w:rPr>
          <w:rFonts w:ascii="Palatino Linotype" w:hAnsi="Palatino Linotype"/>
          <w:b/>
          <w:bCs/>
          <w:i/>
          <w:iCs/>
        </w:rPr>
      </w:pPr>
      <w:r w:rsidRPr="00186BF8">
        <w:rPr>
          <w:rFonts w:ascii="Palatino Linotype" w:hAnsi="Palatino Linotype"/>
          <w:b/>
          <w:bCs/>
          <w:i/>
          <w:iCs/>
        </w:rPr>
        <w:t xml:space="preserve">XXV. La información financiera sobre el presupuesto asignado, así como los informes del ejercicio trimestral del gasto, en términos de la Ley General de Contabilidad Gubernamental y demás disposiciones jurídicas aplicables; </w:t>
      </w:r>
    </w:p>
    <w:p w:rsidR="00667B93" w:rsidRPr="00186BF8" w:rsidRDefault="00667B93" w:rsidP="00667B93">
      <w:pPr>
        <w:tabs>
          <w:tab w:val="left" w:pos="851"/>
        </w:tabs>
        <w:spacing w:before="120" w:after="120"/>
        <w:ind w:left="851" w:right="851"/>
        <w:jc w:val="both"/>
        <w:rPr>
          <w:rFonts w:ascii="Palatino Linotype" w:hAnsi="Palatino Linotype"/>
          <w:b/>
          <w:i/>
        </w:rPr>
      </w:pPr>
    </w:p>
    <w:p w:rsidR="00667B93" w:rsidRPr="00186BF8" w:rsidRDefault="00667B93" w:rsidP="00667B93">
      <w:pPr>
        <w:tabs>
          <w:tab w:val="left" w:pos="851"/>
        </w:tabs>
        <w:spacing w:before="120" w:after="120"/>
        <w:ind w:left="851" w:right="851"/>
        <w:jc w:val="both"/>
        <w:rPr>
          <w:rFonts w:ascii="Palatino Linotype" w:hAnsi="Palatino Linotype"/>
          <w:b/>
          <w:i/>
        </w:rPr>
      </w:pPr>
      <w:r w:rsidRPr="00186BF8">
        <w:rPr>
          <w:rFonts w:ascii="Palatino Linotype" w:hAnsi="Palatino Linotype"/>
          <w:b/>
          <w:i/>
        </w:rPr>
        <w:t xml:space="preserve">XXIX. </w:t>
      </w:r>
      <w:r w:rsidRPr="00186BF8">
        <w:rPr>
          <w:rFonts w:ascii="Palatino Linotype" w:hAnsi="Palatino Linotype"/>
          <w:bCs/>
          <w:i/>
        </w:rPr>
        <w:t xml:space="preserve">La información sobre los procesos y resultados sobre </w:t>
      </w:r>
      <w:r w:rsidRPr="00186BF8">
        <w:rPr>
          <w:rFonts w:ascii="Palatino Linotype" w:hAnsi="Palatino Linotype"/>
          <w:b/>
          <w:i/>
          <w:u w:val="single"/>
        </w:rPr>
        <w:t>procedimientos de adjudicación directa, invitación restringida y licitación de cualquier naturaleza</w:t>
      </w:r>
      <w:r w:rsidRPr="00186BF8">
        <w:rPr>
          <w:rFonts w:ascii="Palatino Linotype" w:hAnsi="Palatino Linotype"/>
          <w:bCs/>
          <w:i/>
        </w:rPr>
        <w:t xml:space="preserve">, </w:t>
      </w:r>
      <w:r w:rsidRPr="00186BF8">
        <w:rPr>
          <w:rFonts w:ascii="Palatino Linotype" w:hAnsi="Palatino Linotype"/>
          <w:b/>
          <w:i/>
        </w:rPr>
        <w:t>incluyendo la versión pública</w:t>
      </w:r>
      <w:r w:rsidRPr="00186BF8">
        <w:rPr>
          <w:rFonts w:ascii="Palatino Linotype" w:hAnsi="Palatino Linotype"/>
          <w:bCs/>
          <w:i/>
        </w:rPr>
        <w:t xml:space="preserve"> del expediente respectivo y </w:t>
      </w:r>
      <w:r w:rsidRPr="00186BF8">
        <w:rPr>
          <w:rFonts w:ascii="Palatino Linotype" w:hAnsi="Palatino Linotype"/>
          <w:b/>
          <w:i/>
        </w:rPr>
        <w:t xml:space="preserve">de los contratos celebrados, que deberán contener, por los menos, lo siguiente: </w:t>
      </w:r>
    </w:p>
    <w:p w:rsidR="00667B93" w:rsidRPr="00186BF8" w:rsidRDefault="00667B93" w:rsidP="00667B93">
      <w:pPr>
        <w:tabs>
          <w:tab w:val="left" w:pos="851"/>
        </w:tabs>
        <w:spacing w:before="120" w:after="120"/>
        <w:ind w:left="851" w:right="851"/>
        <w:jc w:val="both"/>
        <w:rPr>
          <w:rFonts w:ascii="Palatino Linotype" w:hAnsi="Palatino Linotype"/>
          <w:b/>
          <w:i/>
        </w:rPr>
      </w:pPr>
      <w:r w:rsidRPr="00186BF8">
        <w:rPr>
          <w:rFonts w:ascii="Palatino Linotype" w:hAnsi="Palatino Linotype"/>
          <w:b/>
          <w:i/>
        </w:rPr>
        <w:t xml:space="preserve">a) </w:t>
      </w:r>
      <w:r w:rsidRPr="00186BF8">
        <w:rPr>
          <w:rFonts w:ascii="Palatino Linotype" w:hAnsi="Palatino Linotype"/>
          <w:b/>
          <w:bCs/>
          <w:i/>
        </w:rPr>
        <w:t>De licitaciones públicas o procedimientos de invitación restringida</w:t>
      </w:r>
      <w:r w:rsidRPr="00186BF8">
        <w:rPr>
          <w:rFonts w:ascii="Palatino Linotype" w:hAnsi="Palatino Linotype"/>
          <w:b/>
          <w:i/>
        </w:rPr>
        <w:t xml:space="preserve">: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
          <w:i/>
        </w:rPr>
        <w:t xml:space="preserve">1) </w:t>
      </w:r>
      <w:r w:rsidRPr="00186BF8">
        <w:rPr>
          <w:rFonts w:ascii="Palatino Linotype" w:hAnsi="Palatino Linotype"/>
          <w:bCs/>
          <w:i/>
        </w:rPr>
        <w:t xml:space="preserve">La convocatoria o invitación emitida, así como los fundamentos legales aplicados para llevarla a cabo;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2) Los nombres de los participantes o invitados;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3) El nombre del ganador y las razones que lo justifican;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4) El área solicitante y la responsable de su ejecución;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5) Las convocatorias e invitaciones emitidas;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6) Los dictámenes y fallo de adjudicación;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i/>
        </w:rPr>
        <w:t xml:space="preserve">7) El contrato y, en su caso, sus anexos;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lastRenderedPageBreak/>
        <w:t xml:space="preserve">8) Los mecanismos de vigilancia y supervisión, incluyendo en su caso, los estudios de impacto urbano y ambiental, según corresponda;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9) La partida presupuestal, de conformidad con el clasificador por objeto del gasto, en el caso de ser aplicable;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10) Origen de los recursos especificando si son federales, estatales o municipales, así como el tipo de fondo de participación o aportación respectiva;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i/>
        </w:rPr>
        <w:t xml:space="preserve">11) Los convenios modificatorios que, en su caso, sean firmados, precisando el objeto y la fecha de celebración;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12) Los informes de avance físico y financiero sobre las obras o servicios contratados;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13) El convenio de terminación; y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14) El finiquito. </w:t>
      </w:r>
    </w:p>
    <w:p w:rsidR="00667B93" w:rsidRPr="00186BF8" w:rsidRDefault="00667B93" w:rsidP="00667B93">
      <w:pPr>
        <w:tabs>
          <w:tab w:val="left" w:pos="851"/>
        </w:tabs>
        <w:spacing w:before="120" w:after="120"/>
        <w:ind w:left="851" w:right="851"/>
        <w:jc w:val="both"/>
        <w:rPr>
          <w:rFonts w:ascii="Palatino Linotype" w:hAnsi="Palatino Linotype"/>
          <w:b/>
          <w:i/>
          <w:u w:val="single"/>
        </w:rPr>
      </w:pPr>
      <w:r w:rsidRPr="00186BF8">
        <w:rPr>
          <w:rFonts w:ascii="Palatino Linotype" w:hAnsi="Palatino Linotype"/>
          <w:b/>
          <w:i/>
          <w:u w:val="single"/>
        </w:rPr>
        <w:t xml:space="preserve">b) De las adjudicaciones directas: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 La propuesta enviada por el participante;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i/>
        </w:rPr>
        <w:t xml:space="preserve">2) Los motivos y fundamentos legales aplicados para llevarla a cabo;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3) La autorización del ejercicio de la opción;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4) En su caso, las cotizaciones consideradas, especificando los nombres de los proveedores y sus montos;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bCs/>
          <w:i/>
        </w:rPr>
        <w:t>5</w:t>
      </w:r>
      <w:r w:rsidRPr="00186BF8">
        <w:rPr>
          <w:rFonts w:ascii="Palatino Linotype" w:hAnsi="Palatino Linotype"/>
          <w:i/>
        </w:rPr>
        <w:t xml:space="preserve">) El nombre de la persona física o jurídica colectiva adjudicada;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6) La unidad administrativa solicitante y la responsable de su ejecución;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bCs/>
          <w:i/>
        </w:rPr>
        <w:t xml:space="preserve">7) </w:t>
      </w:r>
      <w:r w:rsidRPr="00186BF8">
        <w:rPr>
          <w:rFonts w:ascii="Palatino Linotype" w:hAnsi="Palatino Linotype"/>
          <w:i/>
        </w:rPr>
        <w:t xml:space="preserve">El número, fecha, el monto del contrato y el plazo de entrega o de ejecución de los servicios u obra; </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i/>
        </w:rPr>
        <w:t>8) Los mecanismos de vigilancia y supervisión, incluyendo, en su caso, los estudios de impacto urbano y ambiental, según corresponda;</w:t>
      </w:r>
    </w:p>
    <w:p w:rsidR="00667B93" w:rsidRPr="00186BF8" w:rsidRDefault="00667B93" w:rsidP="00667B93">
      <w:pPr>
        <w:tabs>
          <w:tab w:val="left" w:pos="851"/>
        </w:tabs>
        <w:spacing w:before="120" w:after="120"/>
        <w:ind w:left="851" w:right="851"/>
        <w:jc w:val="both"/>
        <w:rPr>
          <w:rFonts w:ascii="Palatino Linotype" w:hAnsi="Palatino Linotype"/>
          <w:i/>
        </w:rPr>
      </w:pPr>
      <w:r w:rsidRPr="00186BF8">
        <w:rPr>
          <w:rFonts w:ascii="Palatino Linotype" w:hAnsi="Palatino Linotype"/>
          <w:i/>
        </w:rPr>
        <w:t xml:space="preserve"> 9) Los informes de avance sobre las obras o servicios contratados;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10) El convenio de terminación; y </w:t>
      </w:r>
    </w:p>
    <w:p w:rsidR="00667B93" w:rsidRPr="00186BF8" w:rsidRDefault="00667B93" w:rsidP="00667B93">
      <w:pPr>
        <w:tabs>
          <w:tab w:val="left" w:pos="851"/>
        </w:tabs>
        <w:spacing w:before="120" w:after="120"/>
        <w:ind w:left="851" w:right="851"/>
        <w:jc w:val="both"/>
        <w:rPr>
          <w:rFonts w:ascii="Palatino Linotype" w:hAnsi="Palatino Linotype"/>
          <w:bCs/>
          <w:i/>
        </w:rPr>
      </w:pPr>
      <w:r w:rsidRPr="00186BF8">
        <w:rPr>
          <w:rFonts w:ascii="Palatino Linotype" w:hAnsi="Palatino Linotype"/>
          <w:bCs/>
          <w:i/>
        </w:rPr>
        <w:t xml:space="preserve">11) </w:t>
      </w:r>
      <w:r w:rsidRPr="00186BF8">
        <w:rPr>
          <w:rFonts w:ascii="Palatino Linotype" w:hAnsi="Palatino Linotype"/>
          <w:i/>
        </w:rPr>
        <w:t>El finiquito</w:t>
      </w:r>
      <w:r w:rsidRPr="00186BF8">
        <w:rPr>
          <w:rFonts w:ascii="Palatino Linotype" w:hAnsi="Palatino Linotype"/>
          <w:bCs/>
          <w:i/>
        </w:rPr>
        <w:t>.;</w:t>
      </w:r>
    </w:p>
    <w:p w:rsidR="00667B93" w:rsidRPr="00186BF8" w:rsidRDefault="00667B93" w:rsidP="00E64B94">
      <w:pPr>
        <w:pStyle w:val="INFOEM"/>
        <w:rPr>
          <w:b/>
        </w:rPr>
      </w:pPr>
    </w:p>
    <w:p w:rsidR="00251F2C" w:rsidRPr="00186BF8" w:rsidRDefault="00251F2C" w:rsidP="00E64B94">
      <w:pPr>
        <w:pStyle w:val="INFOEM"/>
        <w:rPr>
          <w:b/>
        </w:rPr>
      </w:pPr>
      <w:r w:rsidRPr="00186BF8">
        <w:rPr>
          <w:b/>
        </w:rPr>
        <w:lastRenderedPageBreak/>
        <w:t xml:space="preserve">XXXII. </w:t>
      </w:r>
      <w:r w:rsidRPr="00186BF8">
        <w:t>Las concesiones, c</w:t>
      </w:r>
      <w:r w:rsidRPr="00186BF8">
        <w:rPr>
          <w:b/>
        </w:rPr>
        <w:t xml:space="preserve">ontratos, </w:t>
      </w:r>
      <w:r w:rsidRPr="00186BF8">
        <w:t xml:space="preserve">convenios, permisos, licencias o autorizaciones otorgados, especificando los titulares de aquéllos, debiendo publicarse su objeto, </w:t>
      </w:r>
      <w:r w:rsidRPr="00186BF8">
        <w:rPr>
          <w:b/>
          <w:u w:val="single"/>
        </w:rPr>
        <w:t>nombre o razón social del titular</w:t>
      </w:r>
      <w:r w:rsidRPr="00186BF8">
        <w:t xml:space="preserve">, vigencia, </w:t>
      </w:r>
      <w:r w:rsidRPr="00186BF8">
        <w:rPr>
          <w:b/>
          <w:u w:val="single"/>
        </w:rPr>
        <w:t>tipo,</w:t>
      </w:r>
      <w:r w:rsidRPr="00186BF8">
        <w:t xml:space="preserve"> términos, </w:t>
      </w:r>
      <w:r w:rsidRPr="00186BF8">
        <w:rPr>
          <w:b/>
        </w:rPr>
        <w:t>condiciones,</w:t>
      </w:r>
      <w:r w:rsidRPr="00186BF8">
        <w:t xml:space="preserve"> </w:t>
      </w:r>
      <w:r w:rsidRPr="00186BF8">
        <w:rPr>
          <w:b/>
          <w:u w:val="single"/>
        </w:rPr>
        <w:t xml:space="preserve">monto </w:t>
      </w:r>
      <w:r w:rsidRPr="00186BF8">
        <w:t>y modificaciones, así como si el procedimiento involucra el aprovechamiento de bienes, servicios y/o recursos públicos;</w:t>
      </w:r>
    </w:p>
    <w:p w:rsidR="00251F2C" w:rsidRPr="00186BF8" w:rsidRDefault="00251F2C" w:rsidP="00E64B94">
      <w:pPr>
        <w:pStyle w:val="INFOEM"/>
        <w:rPr>
          <w:b/>
        </w:rPr>
      </w:pPr>
      <w:r w:rsidRPr="00186BF8">
        <w:rPr>
          <w:b/>
        </w:rPr>
        <w:t>XXXVI. Padrón de proveedores y contratistas;</w:t>
      </w:r>
    </w:p>
    <w:p w:rsidR="00667B93" w:rsidRPr="00186BF8" w:rsidRDefault="00667B93" w:rsidP="00667B93">
      <w:pPr>
        <w:spacing w:line="360" w:lineRule="auto"/>
        <w:jc w:val="both"/>
        <w:rPr>
          <w:rFonts w:ascii="Palatino Linotype" w:hAnsi="Palatino Linotype"/>
        </w:rPr>
      </w:pPr>
    </w:p>
    <w:p w:rsidR="00667B93" w:rsidRPr="00186BF8" w:rsidRDefault="00667B93" w:rsidP="00667B93">
      <w:pPr>
        <w:spacing w:line="360" w:lineRule="auto"/>
        <w:jc w:val="both"/>
        <w:rPr>
          <w:rFonts w:ascii="Palatino Linotype" w:hAnsi="Palatino Linotype" w:cs="Arial"/>
        </w:rPr>
      </w:pPr>
      <w:r w:rsidRPr="00186BF8">
        <w:rPr>
          <w:rFonts w:ascii="Palatino Linotype" w:hAnsi="Palatino Linotype"/>
        </w:rPr>
        <w:t xml:space="preserve">Del numeral citado, se observa que </w:t>
      </w:r>
      <w:r w:rsidRPr="00186BF8">
        <w:rPr>
          <w:rFonts w:ascii="Palatino Linotype" w:hAnsi="Palatino Linotype" w:cs="Arial"/>
        </w:rPr>
        <w:t>la información solicitada forma parte de las Obligaciones de Transparencia Comunes de los Sujetos Obligados, las cuales deben poner a disposición de manera permanente y actualizada en los respectivos medios electrónicos, como lo es el portal de Información Pública de Oficio Mexiquense (IPOMEX) y por tanto el Sujeto Obligado debe contar con la información requerida.</w:t>
      </w:r>
    </w:p>
    <w:p w:rsidR="00E64B94" w:rsidRPr="00186BF8" w:rsidRDefault="00E64B94" w:rsidP="00103B43">
      <w:pPr>
        <w:pStyle w:val="Textoindependiente"/>
        <w:rPr>
          <w:rFonts w:ascii="Palatino Linotype" w:hAnsi="Palatino Linotype"/>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Es conveniente remitirnos a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al respecto señalan:</w:t>
      </w:r>
    </w:p>
    <w:p w:rsidR="00251F2C" w:rsidRPr="00186BF8" w:rsidRDefault="00251F2C" w:rsidP="00E64B94">
      <w:pPr>
        <w:pStyle w:val="INFOEM"/>
        <w:rPr>
          <w:b/>
        </w:rPr>
      </w:pPr>
      <w:r w:rsidRPr="00186BF8">
        <w:rPr>
          <w:b/>
        </w:rPr>
        <w:t>XXXII. Padrón de proveedores y contratistas</w:t>
      </w:r>
    </w:p>
    <w:p w:rsidR="00251F2C" w:rsidRPr="00186BF8" w:rsidRDefault="00251F2C" w:rsidP="00E64B94">
      <w:pPr>
        <w:pStyle w:val="INFOEM"/>
      </w:pPr>
      <w:r w:rsidRPr="00186BF8">
        <w:t>En cumplimiento a la presente fracción, los sujetos obligados deberán publicar un padrón con información relativa a las personas físicas y morales con las que celebren contratos de adquisiciones, arrendamientos, servicios, obras públicas y/o servicios relacionados con las mismas, que deberá actualizarse por lo menos cada tres meses.</w:t>
      </w:r>
    </w:p>
    <w:p w:rsidR="00251F2C" w:rsidRPr="00186BF8" w:rsidRDefault="00251F2C" w:rsidP="00E64B94">
      <w:pPr>
        <w:pStyle w:val="INFOEM"/>
      </w:pPr>
      <w:r w:rsidRPr="00186BF8">
        <w:lastRenderedPageBreak/>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251F2C" w:rsidRPr="00186BF8" w:rsidRDefault="00251F2C" w:rsidP="00E64B94">
      <w:pPr>
        <w:pStyle w:val="INFOEM"/>
      </w:pPr>
      <w:r w:rsidRPr="00186BF8">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rsidR="00251F2C" w:rsidRPr="00186BF8" w:rsidRDefault="00251F2C" w:rsidP="00E64B94">
      <w:pPr>
        <w:pStyle w:val="INFOEM"/>
      </w:pPr>
      <w:r w:rsidRPr="00186BF8">
        <w:t xml:space="preserve">Criterios sustantivos de contenido </w:t>
      </w:r>
    </w:p>
    <w:p w:rsidR="00251F2C" w:rsidRPr="00186BF8" w:rsidRDefault="00251F2C" w:rsidP="00E64B94">
      <w:pPr>
        <w:pStyle w:val="INFOEM"/>
      </w:pPr>
      <w:r w:rsidRPr="00186BF8">
        <w:t>Criterio 1 Ejercicio</w:t>
      </w:r>
    </w:p>
    <w:p w:rsidR="00251F2C" w:rsidRPr="00186BF8" w:rsidRDefault="00251F2C" w:rsidP="00E64B94">
      <w:pPr>
        <w:pStyle w:val="INFOEM"/>
      </w:pPr>
      <w:r w:rsidRPr="00186BF8">
        <w:t>Criterio 2 Periodo que se informa (fecha de inicio y fecha de término con el formato día/mes/año)</w:t>
      </w:r>
    </w:p>
    <w:p w:rsidR="00251F2C" w:rsidRPr="00186BF8" w:rsidRDefault="00251F2C" w:rsidP="00E64B94">
      <w:pPr>
        <w:pStyle w:val="INFOEM"/>
      </w:pPr>
      <w:r w:rsidRPr="00186BF8">
        <w:t>Criterio 3 Personería jurídica del proveedor o contratista (catálogo): Persona física/Persona moral</w:t>
      </w:r>
    </w:p>
    <w:p w:rsidR="00251F2C" w:rsidRPr="00186BF8" w:rsidRDefault="00251F2C" w:rsidP="00E64B94">
      <w:pPr>
        <w:pStyle w:val="INFOEM"/>
      </w:pPr>
      <w:r w:rsidRPr="00186BF8">
        <w:t>Criterio 4 Nombre (nombre[s], primer apellido, segundo apellido), denominación o razón social del proveedor o contratista.</w:t>
      </w:r>
    </w:p>
    <w:p w:rsidR="00251F2C" w:rsidRPr="00186BF8" w:rsidRDefault="00251F2C" w:rsidP="00E64B94">
      <w:pPr>
        <w:pStyle w:val="INFOEM"/>
      </w:pPr>
      <w:r w:rsidRPr="00186BF8">
        <w:t>Criterio 5 Sexo (catálogo): Mujer/Hombre, tratándose de persona física.</w:t>
      </w:r>
    </w:p>
    <w:p w:rsidR="00251F2C" w:rsidRPr="00186BF8" w:rsidRDefault="00251F2C" w:rsidP="00E64B94">
      <w:pPr>
        <w:pStyle w:val="INFOEM"/>
      </w:pPr>
      <w:r w:rsidRPr="00186BF8">
        <w:t>Criterio 6 Denominación o razón social, tratándose de persona moral.</w:t>
      </w:r>
    </w:p>
    <w:p w:rsidR="00251F2C" w:rsidRPr="00186BF8" w:rsidRDefault="00251F2C" w:rsidP="00E64B94">
      <w:pPr>
        <w:pStyle w:val="INFOEM"/>
      </w:pPr>
      <w:r w:rsidRPr="00186BF8">
        <w:lastRenderedPageBreak/>
        <w:t>Criterio 7 Nombre completo (nombre[s], primer apellido y segundo apellido) de la(s) persona(s) beneficiaria(s) final(es), es decir, de quien controle, posea o se beneficie de los actos jurídicos celebrados por la persona moral, en su caso.</w:t>
      </w:r>
    </w:p>
    <w:p w:rsidR="00251F2C" w:rsidRPr="00186BF8" w:rsidRDefault="00251F2C" w:rsidP="00E64B94">
      <w:pPr>
        <w:pStyle w:val="INFOEM"/>
      </w:pPr>
      <w:r w:rsidRPr="00186BF8">
        <w:t>Criterio 8 Estratificación132, por ejemplo: microempresa, pequeña empresa, mediana empresa.</w:t>
      </w:r>
    </w:p>
    <w:p w:rsidR="00251F2C" w:rsidRPr="00186BF8" w:rsidRDefault="00251F2C" w:rsidP="00E64B94">
      <w:pPr>
        <w:pStyle w:val="INFOEM"/>
      </w:pPr>
      <w:r w:rsidRPr="00186BF8">
        <w:t>Criterio 9 Origen de la persona proveedora o contratista (catálogo): Nacional/Extranjero.</w:t>
      </w:r>
    </w:p>
    <w:p w:rsidR="00251F2C" w:rsidRPr="00186BF8" w:rsidRDefault="00251F2C" w:rsidP="00E64B94">
      <w:pPr>
        <w:pStyle w:val="INFOEM"/>
      </w:pPr>
      <w:r w:rsidRPr="00186BF8">
        <w:t>Criterio 10 País de origen si la empresa es una filial extranjera</w:t>
      </w:r>
    </w:p>
    <w:p w:rsidR="00251F2C" w:rsidRPr="00186BF8" w:rsidRDefault="00251F2C" w:rsidP="00E64B94">
      <w:pPr>
        <w:pStyle w:val="INFOEM"/>
      </w:pPr>
      <w:r w:rsidRPr="00186BF8">
        <w:t xml:space="preserve">Criterio 11 Registro Federal de Contribuyentes (RFC) de la persona física o moral con homoclave incluida, emitido por el Servicio de Administración Tributaria (SAT). En el caso de personas morales son 12 caracteres y en el de personas físicas 13.  </w:t>
      </w:r>
    </w:p>
    <w:p w:rsidR="00251F2C" w:rsidRPr="00186BF8" w:rsidRDefault="00251F2C" w:rsidP="00E64B94">
      <w:pPr>
        <w:pStyle w:val="INFOEM"/>
      </w:pPr>
      <w:r w:rsidRPr="00186BF8">
        <w:t>Criterio 12 Entidad federativa de la persona física o moral (catálogo)</w:t>
      </w:r>
    </w:p>
    <w:p w:rsidR="00251F2C" w:rsidRPr="00186BF8" w:rsidRDefault="00251F2C" w:rsidP="00E64B94">
      <w:pPr>
        <w:pStyle w:val="INFOEM"/>
      </w:pPr>
      <w:r w:rsidRPr="00186BF8">
        <w:t xml:space="preserve">Criterio 13 La persona proveedora o contratista realiza subcontrataciones (catálogo): Sí / No </w:t>
      </w:r>
    </w:p>
    <w:p w:rsidR="00251F2C" w:rsidRPr="00186BF8" w:rsidRDefault="00251F2C" w:rsidP="00E64B94">
      <w:pPr>
        <w:pStyle w:val="INFOEM"/>
      </w:pPr>
      <w:r w:rsidRPr="00186BF8">
        <w:rPr>
          <w:bCs/>
        </w:rPr>
        <w:t>Criterio 14</w:t>
      </w:r>
      <w:r w:rsidRPr="00186BF8">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w:t>
      </w:r>
    </w:p>
    <w:p w:rsidR="00251F2C" w:rsidRPr="00186BF8" w:rsidRDefault="00251F2C" w:rsidP="00E64B94">
      <w:pPr>
        <w:pStyle w:val="INFOEM"/>
      </w:pPr>
      <w:r w:rsidRPr="00186BF8">
        <w:rPr>
          <w:bCs/>
        </w:rPr>
        <w:t>Criterio 15</w:t>
      </w:r>
      <w:r w:rsidRPr="00186BF8">
        <w:t xml:space="preserve"> Domicilio fiscal de la empresa (tipo de vialidad [catálogo], nombre de vialidad [calle], número exterior, número interior [en su caso], Tipo de asentamiento humano [catálogo], nombre de asentamiento humano [colonia], clave de la localidad, </w:t>
      </w:r>
      <w:r w:rsidRPr="00186BF8">
        <w:lastRenderedPageBreak/>
        <w:t xml:space="preserve">nombre de la localidad, clave del municipio, nombre del municipio o delegación, clave de la entidad federativa, nombre de la entidad federativa [catálogo], código postal), es decir, el proporcionado ante el SAT. </w:t>
      </w:r>
    </w:p>
    <w:p w:rsidR="00251F2C" w:rsidRPr="00186BF8" w:rsidRDefault="00251F2C" w:rsidP="00E64B94">
      <w:pPr>
        <w:pStyle w:val="INFOEM"/>
      </w:pPr>
      <w:r w:rsidRPr="00186BF8">
        <w:rPr>
          <w:bCs/>
        </w:rPr>
        <w:t>Criterio 16</w:t>
      </w:r>
      <w:r w:rsidRPr="00186BF8">
        <w:t xml:space="preserve"> Domicilio en el extranjero. En caso de que la persona proveedora o contratista sea de otro país, se deberá incluir el domicilio el cual deberá incluir por lo menos: país, ciudad, calle y número.</w:t>
      </w:r>
    </w:p>
    <w:p w:rsidR="00251F2C" w:rsidRPr="00186BF8" w:rsidRDefault="00251F2C" w:rsidP="00E64B94">
      <w:pPr>
        <w:pStyle w:val="INFOEM"/>
      </w:pPr>
      <w:r w:rsidRPr="00186BF8">
        <w:t>Respecto del/la Representante legal se publicará la siguiente información:</w:t>
      </w:r>
    </w:p>
    <w:p w:rsidR="00251F2C" w:rsidRPr="00186BF8" w:rsidRDefault="00251F2C" w:rsidP="00E64B94">
      <w:pPr>
        <w:pStyle w:val="INFOEM"/>
      </w:pPr>
      <w:r w:rsidRPr="00186BF8">
        <w:t xml:space="preserve">Criterio 17 Nombre del/la representante legal de la empresa, es decir, la persona que posee facultades legales para representarla  </w:t>
      </w:r>
    </w:p>
    <w:p w:rsidR="00251F2C" w:rsidRPr="00186BF8" w:rsidRDefault="00251F2C" w:rsidP="00E64B94">
      <w:pPr>
        <w:pStyle w:val="INFOEM"/>
      </w:pPr>
      <w:r w:rsidRPr="00186BF8">
        <w:t xml:space="preserve">Criterio 18 Datos de contacto: teléfono, en su caso extensión. </w:t>
      </w:r>
    </w:p>
    <w:p w:rsidR="00251F2C" w:rsidRPr="00186BF8" w:rsidRDefault="00251F2C" w:rsidP="00E64B94">
      <w:pPr>
        <w:pStyle w:val="INFOEM"/>
      </w:pPr>
      <w:r w:rsidRPr="00186BF8">
        <w:t>Criterio 19 Correo electrónico, siempre y cuando éstos hayan sido proporcionados por la empresa.</w:t>
      </w:r>
    </w:p>
    <w:p w:rsidR="00251F2C" w:rsidRPr="00186BF8" w:rsidRDefault="00251F2C" w:rsidP="00E64B94">
      <w:pPr>
        <w:pStyle w:val="INFOEM"/>
        <w:rPr>
          <w:u w:val="single"/>
        </w:rPr>
      </w:pPr>
      <w:r w:rsidRPr="00186BF8">
        <w:t>Criterio 20</w:t>
      </w:r>
      <w:r w:rsidRPr="00186BF8">
        <w:rPr>
          <w:u w:val="single"/>
        </w:rPr>
        <w:t xml:space="preserve"> </w:t>
      </w:r>
      <w:r w:rsidRPr="00186BF8">
        <w:t xml:space="preserve">Tipo de acreditación legal que posee o, en su caso, señalar que no se cuenta con uno. </w:t>
      </w:r>
    </w:p>
    <w:p w:rsidR="00251F2C" w:rsidRPr="00186BF8" w:rsidRDefault="00251F2C" w:rsidP="00E64B94">
      <w:pPr>
        <w:pStyle w:val="INFOEM"/>
        <w:rPr>
          <w:rFonts w:cs="Arial"/>
        </w:rPr>
      </w:pPr>
      <w:r w:rsidRPr="00186BF8">
        <w:rPr>
          <w:rFonts w:cs="Arial"/>
        </w:rPr>
        <w:t>(…)</w:t>
      </w:r>
    </w:p>
    <w:p w:rsidR="00251F2C" w:rsidRPr="00186BF8" w:rsidRDefault="00251F2C" w:rsidP="00251F2C">
      <w:pPr>
        <w:spacing w:line="360" w:lineRule="auto"/>
        <w:jc w:val="both"/>
        <w:rPr>
          <w:rFonts w:ascii="Palatino Linotype" w:hAnsi="Palatino Linotype" w:cs="Arial"/>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De lo anterior, se desprende que los Sujetos Obligados están obligados a poner a disposición del público de manera constante y actualizada, de forma sencilla, precisa y entendible, en los respectivos medios electrónicos, la información referente al padrón de proveedores y contratistas, sus montos, así como el origen de los recursos.</w:t>
      </w:r>
    </w:p>
    <w:p w:rsidR="00667B93" w:rsidRPr="00186BF8" w:rsidRDefault="00667B93" w:rsidP="00667B93">
      <w:pPr>
        <w:spacing w:before="240" w:after="240" w:line="360" w:lineRule="auto"/>
        <w:ind w:right="49"/>
        <w:jc w:val="both"/>
        <w:rPr>
          <w:rFonts w:ascii="Palatino Linotype" w:eastAsia="Palatino Linotype" w:hAnsi="Palatino Linotype" w:cs="Palatino Linotype"/>
        </w:rPr>
      </w:pPr>
    </w:p>
    <w:p w:rsidR="00667B93" w:rsidRPr="00186BF8" w:rsidRDefault="00667B93" w:rsidP="00667B93">
      <w:pPr>
        <w:spacing w:before="240" w:after="240" w:line="360" w:lineRule="auto"/>
        <w:ind w:right="49"/>
        <w:jc w:val="both"/>
        <w:rPr>
          <w:rFonts w:ascii="Palatino Linotype" w:eastAsia="Palatino Linotype" w:hAnsi="Palatino Linotype" w:cs="Palatino Linotype"/>
        </w:rPr>
      </w:pPr>
      <w:r w:rsidRPr="00186BF8">
        <w:rPr>
          <w:rFonts w:ascii="Palatino Linotype" w:eastAsia="Palatino Linotype" w:hAnsi="Palatino Linotype" w:cs="Palatino Linotype"/>
        </w:rPr>
        <w:lastRenderedPageBreak/>
        <w:t xml:space="preserve">Ahora bien, </w:t>
      </w:r>
      <w:r w:rsidR="00A004D9" w:rsidRPr="00186BF8">
        <w:rPr>
          <w:rFonts w:ascii="Palatino Linotype" w:eastAsia="Palatino Linotype" w:hAnsi="Palatino Linotype" w:cs="Palatino Linotype"/>
        </w:rPr>
        <w:t xml:space="preserve"> respecto del punto 2 </w:t>
      </w:r>
      <w:r w:rsidRPr="00186BF8">
        <w:rPr>
          <w:rFonts w:ascii="Palatino Linotype" w:eastAsia="Palatino Linotype" w:hAnsi="Palatino Linotype" w:cs="Palatino Linotype"/>
        </w:rPr>
        <w:t xml:space="preserve"> es de mencionar que el particular peticionó </w:t>
      </w:r>
      <w:r w:rsidR="00A004D9" w:rsidRPr="00186BF8">
        <w:rPr>
          <w:rFonts w:ascii="Palatino Linotype" w:eastAsia="Palatino Linotype" w:hAnsi="Palatino Linotype" w:cs="Palatino Linotype"/>
        </w:rPr>
        <w:t>facturas</w:t>
      </w:r>
      <w:r w:rsidRPr="00186BF8">
        <w:rPr>
          <w:rFonts w:ascii="Palatino Linotype" w:eastAsia="Palatino Linotype" w:hAnsi="Palatino Linotype" w:cs="Palatino Linotype"/>
        </w:rPr>
        <w:t>, acompañado facturas</w:t>
      </w:r>
      <w:r w:rsidRPr="00186BF8">
        <w:rPr>
          <w:rFonts w:ascii="Palatino Linotype" w:hAnsi="Palatino Linotype"/>
          <w:lang w:val="es-ES_tradnl"/>
        </w:rPr>
        <w:t xml:space="preserve"> o contratos, </w:t>
      </w:r>
      <w:r w:rsidRPr="00186BF8">
        <w:rPr>
          <w:rFonts w:ascii="Palatino Linotype" w:eastAsia="Palatino Linotype" w:hAnsi="Palatino Linotype" w:cs="Palatino Linotype"/>
        </w:rPr>
        <w:t>resulta importante señalar que este término se encuentra definido en el Glosario de Términos Hacendarios que emite el Instituto Hacendario del Estado de México, el cual expresa lo siguiente:</w:t>
      </w:r>
    </w:p>
    <w:p w:rsidR="00667B93" w:rsidRPr="00186BF8" w:rsidRDefault="00667B93" w:rsidP="00667B93">
      <w:pPr>
        <w:ind w:left="851" w:right="851"/>
        <w:jc w:val="both"/>
        <w:rPr>
          <w:rFonts w:ascii="Palatino Linotype" w:eastAsia="Palatino Linotype" w:hAnsi="Palatino Linotype" w:cs="Palatino Linotype"/>
          <w:b/>
          <w:i/>
        </w:rPr>
      </w:pPr>
      <w:r w:rsidRPr="00186BF8">
        <w:rPr>
          <w:rFonts w:ascii="Palatino Linotype" w:eastAsia="Palatino Linotype" w:hAnsi="Palatino Linotype" w:cs="Palatino Linotype"/>
          <w:i/>
        </w:rPr>
        <w:t>“</w:t>
      </w:r>
      <w:r w:rsidRPr="00186BF8">
        <w:rPr>
          <w:rFonts w:ascii="Palatino Linotype" w:eastAsia="Palatino Linotype" w:hAnsi="Palatino Linotype" w:cs="Palatino Linotype"/>
          <w:b/>
          <w:i/>
        </w:rPr>
        <w:t>FACTURA</w:t>
      </w:r>
    </w:p>
    <w:p w:rsidR="00667B93" w:rsidRPr="00186BF8" w:rsidRDefault="00667B93" w:rsidP="00667B93">
      <w:pPr>
        <w:ind w:left="851" w:right="851"/>
        <w:jc w:val="both"/>
        <w:rPr>
          <w:rFonts w:ascii="Palatino Linotype" w:eastAsia="Palatino Linotype" w:hAnsi="Palatino Linotype" w:cs="Palatino Linotype"/>
          <w:i/>
        </w:rPr>
      </w:pPr>
      <w:r w:rsidRPr="00186BF8">
        <w:rPr>
          <w:rFonts w:ascii="Palatino Linotype" w:eastAsia="Palatino Linotype" w:hAnsi="Palatino Linotype" w:cs="Palatino Linotype"/>
          <w:i/>
        </w:rPr>
        <w:t xml:space="preserve">Es el documento fiscal que emite la persona física o moral para </w:t>
      </w:r>
      <w:r w:rsidRPr="00186BF8">
        <w:rPr>
          <w:rFonts w:ascii="Palatino Linotype" w:eastAsia="Palatino Linotype" w:hAnsi="Palatino Linotype" w:cs="Palatino Linotype"/>
          <w:b/>
          <w:i/>
          <w:u w:val="single"/>
        </w:rPr>
        <w:t>comprobar la venta o adquisición de un bien y/o servicio</w:t>
      </w:r>
      <w:r w:rsidRPr="00186BF8">
        <w:rPr>
          <w:rFonts w:ascii="Palatino Linotype" w:eastAsia="Palatino Linotype" w:hAnsi="Palatino Linotype" w:cs="Palatino Linotype"/>
          <w:i/>
        </w:rPr>
        <w:t>.” (Sic) (Énfasis añadido)</w:t>
      </w:r>
    </w:p>
    <w:p w:rsidR="00667B93" w:rsidRPr="00186BF8" w:rsidRDefault="00667B93" w:rsidP="00667B93">
      <w:pPr>
        <w:ind w:left="851" w:right="851"/>
        <w:jc w:val="both"/>
        <w:rPr>
          <w:rFonts w:ascii="Palatino Linotype" w:eastAsia="Palatino Linotype" w:hAnsi="Palatino Linotype" w:cs="Palatino Linotype"/>
          <w:i/>
        </w:rPr>
      </w:pPr>
    </w:p>
    <w:p w:rsidR="00667B93" w:rsidRPr="00186BF8" w:rsidRDefault="00667B93" w:rsidP="00667B93">
      <w:pPr>
        <w:spacing w:line="360" w:lineRule="auto"/>
        <w:jc w:val="both"/>
        <w:rPr>
          <w:rFonts w:ascii="Palatino Linotype" w:eastAsia="Palatino Linotype" w:hAnsi="Palatino Linotype" w:cs="Palatino Linotype"/>
        </w:rPr>
      </w:pPr>
      <w:r w:rsidRPr="00186BF8">
        <w:rPr>
          <w:rFonts w:ascii="Palatino Linotype" w:eastAsia="Palatino Linotype" w:hAnsi="Palatino Linotype" w:cs="Palatino Linotype"/>
        </w:rPr>
        <w:t>Es de señalarse que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w:t>
      </w:r>
      <w:r w:rsidRPr="00186BF8">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rsidR="00667B93" w:rsidRPr="00186BF8" w:rsidRDefault="00667B93" w:rsidP="00667B93">
      <w:pPr>
        <w:spacing w:line="360" w:lineRule="auto"/>
        <w:ind w:right="49"/>
        <w:contextualSpacing/>
        <w:jc w:val="both"/>
        <w:rPr>
          <w:rFonts w:ascii="Palatino Linotype" w:hAnsi="Palatino Linotype" w:cs="Arial"/>
        </w:rPr>
      </w:pPr>
    </w:p>
    <w:p w:rsidR="00667B93" w:rsidRPr="00186BF8" w:rsidRDefault="00667B93" w:rsidP="00667B93">
      <w:pPr>
        <w:spacing w:line="360" w:lineRule="auto"/>
        <w:ind w:right="49"/>
        <w:contextualSpacing/>
        <w:jc w:val="both"/>
        <w:rPr>
          <w:rFonts w:ascii="Palatino Linotype" w:hAnsi="Palatino Linotype" w:cs="Arial"/>
        </w:rPr>
      </w:pPr>
      <w:r w:rsidRPr="00186BF8">
        <w:rPr>
          <w:rFonts w:ascii="Palatino Linotype" w:hAnsi="Palatino Linotype" w:cs="Arial"/>
        </w:rPr>
        <w:t>Ahora bien, el Código Fiscal de Federación en su artículo 29- A, establece los requisitos con los que debe contar un Comprobante Fiscal Digital,  el cual son los siguientes:</w:t>
      </w:r>
    </w:p>
    <w:p w:rsidR="00667B93" w:rsidRPr="00186BF8" w:rsidRDefault="00667B93" w:rsidP="00667B93">
      <w:pPr>
        <w:pStyle w:val="Citas"/>
        <w:numPr>
          <w:ilvl w:val="0"/>
          <w:numId w:val="13"/>
        </w:numPr>
        <w:rPr>
          <w:lang w:eastAsia="es-ES"/>
        </w:rPr>
      </w:pPr>
      <w:r w:rsidRPr="00186BF8">
        <w:rPr>
          <w:lang w:eastAsia="es-ES"/>
        </w:rPr>
        <w:t xml:space="preserve">Clave del Registro Federal de Contribuyentes de quien los expida. </w:t>
      </w:r>
    </w:p>
    <w:p w:rsidR="00667B93" w:rsidRPr="00186BF8" w:rsidRDefault="00667B93" w:rsidP="00667B93">
      <w:pPr>
        <w:pStyle w:val="Citas"/>
        <w:numPr>
          <w:ilvl w:val="0"/>
          <w:numId w:val="13"/>
        </w:numPr>
        <w:rPr>
          <w:lang w:eastAsia="es-ES"/>
        </w:rPr>
      </w:pPr>
      <w:r w:rsidRPr="00186BF8">
        <w:rPr>
          <w:lang w:eastAsia="es-ES"/>
        </w:rPr>
        <w:t>Régimen Fiscal en que tributen conforme a la Ley del ISR.</w:t>
      </w:r>
    </w:p>
    <w:p w:rsidR="00667B93" w:rsidRPr="00186BF8" w:rsidRDefault="00667B93" w:rsidP="00667B93">
      <w:pPr>
        <w:pStyle w:val="Citas"/>
        <w:numPr>
          <w:ilvl w:val="0"/>
          <w:numId w:val="13"/>
        </w:numPr>
        <w:rPr>
          <w:lang w:eastAsia="es-ES"/>
        </w:rPr>
      </w:pPr>
      <w:r w:rsidRPr="00186BF8">
        <w:rPr>
          <w:lang w:eastAsia="es-ES"/>
        </w:rPr>
        <w:t xml:space="preserve">Sí se tiene más de un local o establecimiento, se deberá señalar el domicilio del local o establecimiento en el que se expidan las Facturas Electrónicas. </w:t>
      </w:r>
    </w:p>
    <w:p w:rsidR="00667B93" w:rsidRPr="00186BF8" w:rsidRDefault="00667B93" w:rsidP="00667B93">
      <w:pPr>
        <w:pStyle w:val="Citas"/>
        <w:numPr>
          <w:ilvl w:val="0"/>
          <w:numId w:val="13"/>
        </w:numPr>
        <w:rPr>
          <w:lang w:eastAsia="es-ES"/>
        </w:rPr>
      </w:pPr>
      <w:r w:rsidRPr="00186BF8">
        <w:rPr>
          <w:lang w:eastAsia="es-ES"/>
        </w:rPr>
        <w:t xml:space="preserve">Contener el número de folio. </w:t>
      </w:r>
    </w:p>
    <w:p w:rsidR="00667B93" w:rsidRPr="00186BF8" w:rsidRDefault="00667B93" w:rsidP="00667B93">
      <w:pPr>
        <w:pStyle w:val="Citas"/>
        <w:numPr>
          <w:ilvl w:val="0"/>
          <w:numId w:val="13"/>
        </w:numPr>
        <w:rPr>
          <w:lang w:eastAsia="es-ES"/>
        </w:rPr>
      </w:pPr>
      <w:r w:rsidRPr="00186BF8">
        <w:rPr>
          <w:lang w:eastAsia="es-ES"/>
        </w:rPr>
        <w:t xml:space="preserve">Sello digital del contribuyente que lo expide. </w:t>
      </w:r>
    </w:p>
    <w:p w:rsidR="00667B93" w:rsidRPr="00186BF8" w:rsidRDefault="00667B93" w:rsidP="00667B93">
      <w:pPr>
        <w:pStyle w:val="Citas"/>
        <w:numPr>
          <w:ilvl w:val="0"/>
          <w:numId w:val="13"/>
        </w:numPr>
        <w:rPr>
          <w:lang w:eastAsia="es-ES"/>
        </w:rPr>
      </w:pPr>
      <w:r w:rsidRPr="00186BF8">
        <w:rPr>
          <w:lang w:eastAsia="es-ES"/>
        </w:rPr>
        <w:lastRenderedPageBreak/>
        <w:t xml:space="preserve">Lugar y fecha de expedición. </w:t>
      </w:r>
    </w:p>
    <w:p w:rsidR="00667B93" w:rsidRPr="00186BF8" w:rsidRDefault="00667B93" w:rsidP="00667B93">
      <w:pPr>
        <w:pStyle w:val="Citas"/>
        <w:numPr>
          <w:ilvl w:val="0"/>
          <w:numId w:val="13"/>
        </w:numPr>
        <w:rPr>
          <w:lang w:eastAsia="es-ES"/>
        </w:rPr>
      </w:pPr>
      <w:r w:rsidRPr="00186BF8">
        <w:rPr>
          <w:lang w:eastAsia="es-ES"/>
        </w:rPr>
        <w:t xml:space="preserve"> Clave del Registro Federal de Contribuyentes de la persona a favor de quien se expida. </w:t>
      </w:r>
    </w:p>
    <w:p w:rsidR="00667B93" w:rsidRPr="00186BF8" w:rsidRDefault="00667B93" w:rsidP="00667B93">
      <w:pPr>
        <w:pStyle w:val="Citas"/>
        <w:numPr>
          <w:ilvl w:val="0"/>
          <w:numId w:val="13"/>
        </w:numPr>
        <w:rPr>
          <w:lang w:eastAsia="es-ES"/>
        </w:rPr>
      </w:pPr>
      <w:r w:rsidRPr="00186BF8">
        <w:rPr>
          <w:lang w:eastAsia="es-ES"/>
        </w:rPr>
        <w:t xml:space="preserve">Cantidad, unidad de medida y clase de los bienes, mercancías o descripción del servicio o del uso o goce que amparen. </w:t>
      </w:r>
    </w:p>
    <w:p w:rsidR="00667B93" w:rsidRPr="00186BF8" w:rsidRDefault="00667B93" w:rsidP="00667B93">
      <w:pPr>
        <w:pStyle w:val="Citas"/>
        <w:numPr>
          <w:ilvl w:val="0"/>
          <w:numId w:val="13"/>
        </w:numPr>
        <w:rPr>
          <w:lang w:eastAsia="es-ES"/>
        </w:rPr>
      </w:pPr>
      <w:r w:rsidRPr="00186BF8">
        <w:rPr>
          <w:lang w:eastAsia="es-ES"/>
        </w:rPr>
        <w:t xml:space="preserve">Valor unitario consignado en número. </w:t>
      </w:r>
    </w:p>
    <w:p w:rsidR="00667B93" w:rsidRPr="00186BF8" w:rsidRDefault="00667B93" w:rsidP="00667B93">
      <w:pPr>
        <w:pStyle w:val="Citas"/>
        <w:numPr>
          <w:ilvl w:val="0"/>
          <w:numId w:val="13"/>
        </w:numPr>
        <w:rPr>
          <w:lang w:eastAsia="es-ES"/>
        </w:rPr>
      </w:pPr>
      <w:r w:rsidRPr="00186BF8">
        <w:rPr>
          <w:lang w:eastAsia="es-ES"/>
        </w:rPr>
        <w:t xml:space="preserve">Importe total señalado en número o en letra. </w:t>
      </w:r>
    </w:p>
    <w:p w:rsidR="00667B93" w:rsidRPr="00186BF8" w:rsidRDefault="00667B93" w:rsidP="00667B93">
      <w:pPr>
        <w:pStyle w:val="Citas"/>
        <w:numPr>
          <w:ilvl w:val="0"/>
          <w:numId w:val="13"/>
        </w:numPr>
        <w:rPr>
          <w:lang w:eastAsia="es-ES"/>
        </w:rPr>
      </w:pPr>
      <w:r w:rsidRPr="00186BF8">
        <w:rPr>
          <w:lang w:eastAsia="es-ES"/>
        </w:rPr>
        <w:t xml:space="preserve">Señalamiento expreso cuando la contraprestación se pague en una sola exhibición o en parcialidades. </w:t>
      </w:r>
    </w:p>
    <w:p w:rsidR="00667B93" w:rsidRPr="00186BF8" w:rsidRDefault="00667B93" w:rsidP="00667B93">
      <w:pPr>
        <w:pStyle w:val="Citas"/>
        <w:numPr>
          <w:ilvl w:val="0"/>
          <w:numId w:val="13"/>
        </w:numPr>
        <w:rPr>
          <w:lang w:eastAsia="es-ES"/>
        </w:rPr>
      </w:pPr>
      <w:r w:rsidRPr="00186BF8">
        <w:rPr>
          <w:lang w:eastAsia="es-ES"/>
        </w:rPr>
        <w:t xml:space="preserve">Cuando proceda, se indicará el monto de los impuestos trasladados desglosados por tasa de impuesto y, en su caso, el monto de los impuestos retenidos. </w:t>
      </w:r>
    </w:p>
    <w:p w:rsidR="00667B93" w:rsidRPr="00186BF8" w:rsidRDefault="00667B93" w:rsidP="00667B93">
      <w:pPr>
        <w:pStyle w:val="Citas"/>
        <w:numPr>
          <w:ilvl w:val="0"/>
          <w:numId w:val="13"/>
        </w:numPr>
        <w:rPr>
          <w:lang w:eastAsia="es-ES"/>
        </w:rPr>
      </w:pPr>
      <w:r w:rsidRPr="00186BF8">
        <w:rPr>
          <w:lang w:eastAsia="es-ES"/>
        </w:rPr>
        <w:t xml:space="preserve">Forma en que se realizó el pago (efectivo, transferencia electrónica de fondos, cheque nominativo o tarjeta de débito, de crédito, de servicio o la denominada monedero electrónico, indicando al menos los últimos cuatro dígitos del número de cuenta o de la tarjeta correspondiente). </w:t>
      </w:r>
    </w:p>
    <w:p w:rsidR="00667B93" w:rsidRPr="00186BF8" w:rsidRDefault="00667B93" w:rsidP="00667B93">
      <w:pPr>
        <w:pStyle w:val="Citas"/>
        <w:numPr>
          <w:ilvl w:val="0"/>
          <w:numId w:val="13"/>
        </w:numPr>
        <w:rPr>
          <w:lang w:eastAsia="es-ES"/>
        </w:rPr>
      </w:pPr>
      <w:r w:rsidRPr="00186BF8">
        <w:rPr>
          <w:lang w:eastAsia="es-ES"/>
        </w:rPr>
        <w:t>Número y fecha del documento aduanero, tratándose de ventas de primera mano de mercancías de importación.</w:t>
      </w:r>
    </w:p>
    <w:p w:rsidR="00667B93" w:rsidRPr="00186BF8" w:rsidRDefault="00667B93" w:rsidP="00667B93">
      <w:pPr>
        <w:spacing w:line="360" w:lineRule="auto"/>
        <w:ind w:right="49"/>
        <w:contextualSpacing/>
        <w:jc w:val="both"/>
        <w:rPr>
          <w:rFonts w:ascii="Palatino Linotype" w:hAnsi="Palatino Linotype" w:cs="Arial"/>
        </w:rPr>
      </w:pPr>
      <w:r w:rsidRPr="00186BF8">
        <w:rPr>
          <w:rFonts w:ascii="Palatino Linotype" w:hAnsi="Palatino Linotype" w:cs="Arial"/>
        </w:rPr>
        <w:t xml:space="preserve"> Por otro lado, en el portal de internet del Servicio de Administración Tributaria establece los requisitos de las facturas</w:t>
      </w:r>
      <w:r w:rsidRPr="00186BF8">
        <w:rPr>
          <w:rStyle w:val="Refdenotaalpie"/>
          <w:rFonts w:ascii="Palatino Linotype" w:hAnsi="Palatino Linotype" w:cs="Arial"/>
        </w:rPr>
        <w:footnoteReference w:id="2"/>
      </w:r>
      <w:r w:rsidRPr="00186BF8">
        <w:rPr>
          <w:rFonts w:ascii="Palatino Linotype" w:hAnsi="Palatino Linotype" w:cs="Arial"/>
        </w:rPr>
        <w:t>, tal como se desprende:</w:t>
      </w:r>
    </w:p>
    <w:p w:rsidR="00667B93" w:rsidRPr="00186BF8" w:rsidRDefault="00667B93" w:rsidP="00667B93">
      <w:pPr>
        <w:pStyle w:val="INFOEM"/>
        <w:spacing w:line="240" w:lineRule="auto"/>
        <w:rPr>
          <w:sz w:val="24"/>
          <w:lang w:val="es-ES" w:eastAsia="es-ES"/>
        </w:rPr>
      </w:pPr>
      <w:r w:rsidRPr="00186BF8">
        <w:rPr>
          <w:sz w:val="24"/>
          <w:lang w:val="es-ES" w:eastAsia="es-ES"/>
        </w:rPr>
        <w:t>Requisitos que deben reunir las facturas que recibas:</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lastRenderedPageBreak/>
        <w:t>Clave del Registro Federal de Contribuyentes de quien los expida.</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Régimen Fiscal en que tributen conforme a la Ley del ISR.</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Sí se tiene más de un local o establecimiento, se deberá señalar el domicilio del local o establecimiento en el que se expidan las Facturas.</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Contener el número de folio asignado por el SAT y el sello digital del SAT.</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Sello digital del contribuyente que lo expide.</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Lugar y fecha de expedición.</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Clave del Registro Federal de Contribuyentes de la persona a favor de quien se expida.</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Nombre denominación o razón social de la persona a favor de quien se expide el comprobante.</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Régimen fiscal del receptor de comprobante.</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Código postal del domicilio fiscal del receptor del comprobante.</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Uso del comprobante.</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Cantidad, unidad de medida y clase de los bienes, mercancías o descripción del servicio o del uso o goce que amparen*.</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Valor unitario consignado en número.</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Importe total señalado en número o en letra.</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Señalamiento expreso cuando la prestación se pague en una sola exhibición o en parcialidades.</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Cuando proceda, se indicará el monto de los impuestos trasladados, desglosados por tasa de impuesto y, en su caso, el monto de los impuestos retenidos.</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 xml:space="preserve">Forma en que se realizó el pago (efectivo, transferencia electrónica de fondos, cheque nominativos o tarjeta de débito, de crédito, de servicio o la </w:t>
      </w:r>
      <w:r w:rsidRPr="00186BF8">
        <w:rPr>
          <w:sz w:val="24"/>
          <w:lang w:val="es-ES" w:eastAsia="es-ES"/>
        </w:rPr>
        <w:lastRenderedPageBreak/>
        <w:t>denominada monedero electrónico que autorice el Servicio de Administración Tributaria).</w:t>
      </w:r>
    </w:p>
    <w:p w:rsidR="00667B93" w:rsidRPr="00186BF8" w:rsidRDefault="00667B93" w:rsidP="00667B93">
      <w:pPr>
        <w:pStyle w:val="INFOEM"/>
        <w:numPr>
          <w:ilvl w:val="1"/>
          <w:numId w:val="14"/>
        </w:numPr>
        <w:spacing w:line="240" w:lineRule="auto"/>
        <w:ind w:left="1276"/>
        <w:rPr>
          <w:sz w:val="24"/>
          <w:lang w:val="es-ES" w:eastAsia="es-ES"/>
        </w:rPr>
      </w:pPr>
      <w:r w:rsidRPr="00186BF8">
        <w:rPr>
          <w:sz w:val="24"/>
          <w:lang w:val="es-ES" w:eastAsia="es-ES"/>
        </w:rPr>
        <w:t>Número y fecha del documento aduanero, tratándose de ventas de primera mano de mercancías de importación.</w:t>
      </w:r>
    </w:p>
    <w:p w:rsidR="00667B93" w:rsidRPr="00186BF8" w:rsidRDefault="00667B93" w:rsidP="00667B93">
      <w:pPr>
        <w:pStyle w:val="INFOEM"/>
        <w:numPr>
          <w:ilvl w:val="0"/>
          <w:numId w:val="14"/>
        </w:numPr>
        <w:spacing w:line="240" w:lineRule="auto"/>
        <w:ind w:left="1276"/>
        <w:rPr>
          <w:sz w:val="24"/>
          <w:lang w:val="es-ES" w:eastAsia="es-ES"/>
        </w:rPr>
      </w:pPr>
      <w:r w:rsidRPr="00186BF8">
        <w:rPr>
          <w:sz w:val="24"/>
          <w:lang w:val="es-ES" w:eastAsia="es-ES"/>
        </w:rPr>
        <w:t>*Nota: El SAT pone a tu disposición una herramienta en la que podrás identificar la clave del Producto o Servicio que deseas facturar, para lo cual, deberás dar clic aquí.</w:t>
      </w:r>
    </w:p>
    <w:p w:rsidR="00667B93" w:rsidRPr="00186BF8" w:rsidRDefault="00667B93" w:rsidP="00667B93">
      <w:pPr>
        <w:pStyle w:val="INFOEM"/>
        <w:spacing w:line="240" w:lineRule="auto"/>
        <w:ind w:left="1276"/>
        <w:rPr>
          <w:sz w:val="24"/>
          <w:lang w:val="es-ES" w:eastAsia="es-ES"/>
        </w:rPr>
      </w:pPr>
    </w:p>
    <w:p w:rsidR="00667B93" w:rsidRPr="00186BF8" w:rsidRDefault="00667B93" w:rsidP="00667B93">
      <w:pPr>
        <w:pStyle w:val="INFOEM"/>
        <w:spacing w:line="240" w:lineRule="auto"/>
        <w:rPr>
          <w:b/>
          <w:sz w:val="24"/>
          <w:lang w:val="es-ES" w:eastAsia="es-ES"/>
        </w:rPr>
      </w:pPr>
      <w:r w:rsidRPr="00186BF8">
        <w:rPr>
          <w:b/>
          <w:sz w:val="24"/>
          <w:lang w:val="es-ES" w:eastAsia="es-ES"/>
        </w:rPr>
        <w:t>Además, debe contener los siguientes datos:</w:t>
      </w:r>
    </w:p>
    <w:p w:rsidR="00667B93" w:rsidRPr="00186BF8" w:rsidRDefault="00667B93" w:rsidP="00667B93">
      <w:pPr>
        <w:pStyle w:val="INFOEM"/>
        <w:numPr>
          <w:ilvl w:val="1"/>
          <w:numId w:val="15"/>
        </w:numPr>
        <w:spacing w:line="240" w:lineRule="auto"/>
        <w:ind w:left="1418"/>
        <w:rPr>
          <w:sz w:val="24"/>
          <w:lang w:val="es-ES" w:eastAsia="es-ES"/>
        </w:rPr>
      </w:pPr>
      <w:r w:rsidRPr="00186BF8">
        <w:rPr>
          <w:sz w:val="24"/>
          <w:lang w:val="es-ES" w:eastAsia="es-ES"/>
        </w:rPr>
        <w:t>Fecha y hora de certificación.</w:t>
      </w:r>
    </w:p>
    <w:p w:rsidR="00667B93" w:rsidRPr="00186BF8" w:rsidRDefault="00667B93" w:rsidP="00667B93">
      <w:pPr>
        <w:pStyle w:val="INFOEM"/>
        <w:numPr>
          <w:ilvl w:val="1"/>
          <w:numId w:val="15"/>
        </w:numPr>
        <w:spacing w:line="240" w:lineRule="auto"/>
        <w:ind w:left="1418"/>
        <w:rPr>
          <w:sz w:val="24"/>
          <w:lang w:val="es-ES" w:eastAsia="es-ES"/>
        </w:rPr>
      </w:pPr>
      <w:r w:rsidRPr="00186BF8">
        <w:rPr>
          <w:sz w:val="24"/>
          <w:lang w:val="es-ES" w:eastAsia="es-ES"/>
        </w:rPr>
        <w:t>Número de serie del certificado digital del SAT con el que se realizó el sellado.</w:t>
      </w:r>
    </w:p>
    <w:p w:rsidR="00667B93" w:rsidRPr="00186BF8" w:rsidRDefault="00667B93" w:rsidP="00667B93">
      <w:pPr>
        <w:pStyle w:val="INFOEM"/>
        <w:spacing w:line="240" w:lineRule="auto"/>
        <w:ind w:left="1276"/>
        <w:rPr>
          <w:sz w:val="24"/>
          <w:lang w:val="es-ES" w:eastAsia="es-ES"/>
        </w:rPr>
      </w:pPr>
    </w:p>
    <w:p w:rsidR="00667B93" w:rsidRPr="00186BF8" w:rsidRDefault="00667B93" w:rsidP="00667B93">
      <w:pPr>
        <w:pStyle w:val="INFOEM"/>
        <w:spacing w:line="240" w:lineRule="auto"/>
        <w:rPr>
          <w:b/>
          <w:sz w:val="24"/>
          <w:lang w:val="es-ES" w:eastAsia="es-ES"/>
        </w:rPr>
      </w:pPr>
      <w:r w:rsidRPr="00186BF8">
        <w:rPr>
          <w:b/>
          <w:sz w:val="24"/>
          <w:lang w:val="es-ES" w:eastAsia="es-ES"/>
        </w:rPr>
        <w:t>La representación impresa además debe contener los requisitos contenidos en la Resolución Miscelánea Fiscal vigente:</w:t>
      </w:r>
    </w:p>
    <w:p w:rsidR="00667B93" w:rsidRPr="00186BF8" w:rsidRDefault="00667B93" w:rsidP="00667B93">
      <w:pPr>
        <w:pStyle w:val="INFOEM"/>
        <w:numPr>
          <w:ilvl w:val="1"/>
          <w:numId w:val="16"/>
        </w:numPr>
        <w:spacing w:line="240" w:lineRule="auto"/>
        <w:ind w:left="1418"/>
        <w:rPr>
          <w:sz w:val="24"/>
          <w:lang w:val="es-ES" w:eastAsia="es-ES"/>
        </w:rPr>
      </w:pPr>
      <w:r w:rsidRPr="00186BF8">
        <w:rPr>
          <w:sz w:val="24"/>
          <w:lang w:val="es-ES" w:eastAsia="es-ES"/>
        </w:rPr>
        <w:t>Código de barras generado conforme al rubro I.D del Anexo 20 o el número de folio fiscal del comprobante.</w:t>
      </w:r>
    </w:p>
    <w:p w:rsidR="00667B93" w:rsidRPr="00186BF8" w:rsidRDefault="00667B93" w:rsidP="00667B93">
      <w:pPr>
        <w:pStyle w:val="INFOEM"/>
        <w:numPr>
          <w:ilvl w:val="1"/>
          <w:numId w:val="16"/>
        </w:numPr>
        <w:spacing w:line="240" w:lineRule="auto"/>
        <w:ind w:left="1418"/>
        <w:rPr>
          <w:sz w:val="24"/>
          <w:lang w:val="es-ES" w:eastAsia="es-ES"/>
        </w:rPr>
      </w:pPr>
      <w:r w:rsidRPr="00186BF8">
        <w:rPr>
          <w:sz w:val="24"/>
          <w:lang w:val="es-ES" w:eastAsia="es-ES"/>
        </w:rPr>
        <w:t>Número de serie del CSD del emisor y del SAT.</w:t>
      </w:r>
    </w:p>
    <w:p w:rsidR="00667B93" w:rsidRPr="00186BF8" w:rsidRDefault="00667B93" w:rsidP="00667B93">
      <w:pPr>
        <w:pStyle w:val="INFOEM"/>
        <w:numPr>
          <w:ilvl w:val="1"/>
          <w:numId w:val="16"/>
        </w:numPr>
        <w:spacing w:line="240" w:lineRule="auto"/>
        <w:ind w:left="1418"/>
        <w:rPr>
          <w:b/>
          <w:sz w:val="24"/>
          <w:lang w:val="es-ES" w:eastAsia="es-ES"/>
        </w:rPr>
      </w:pPr>
      <w:r w:rsidRPr="00186BF8">
        <w:rPr>
          <w:b/>
          <w:sz w:val="24"/>
          <w:lang w:val="es-ES" w:eastAsia="es-ES"/>
        </w:rPr>
        <w:t>La leyenda “Este documento es una representación impresa de un CFDI”.</w:t>
      </w:r>
    </w:p>
    <w:p w:rsidR="00667B93" w:rsidRPr="00186BF8" w:rsidRDefault="00667B93" w:rsidP="00667B93">
      <w:pPr>
        <w:pStyle w:val="INFOEM"/>
        <w:numPr>
          <w:ilvl w:val="1"/>
          <w:numId w:val="16"/>
        </w:numPr>
        <w:spacing w:line="240" w:lineRule="auto"/>
        <w:ind w:left="1418"/>
        <w:rPr>
          <w:sz w:val="24"/>
          <w:lang w:val="es-ES" w:eastAsia="es-ES"/>
        </w:rPr>
      </w:pPr>
      <w:r w:rsidRPr="00186BF8">
        <w:rPr>
          <w:sz w:val="24"/>
          <w:lang w:val="es-ES" w:eastAsia="es-ES"/>
        </w:rPr>
        <w:t>Fecha y hora de emisión y de certificación de la Factura en adición a lo señalado en el artículo 29-A, fracción III del CFF.</w:t>
      </w:r>
    </w:p>
    <w:p w:rsidR="00667B93" w:rsidRPr="00186BF8" w:rsidRDefault="00667B93" w:rsidP="00667B93">
      <w:pPr>
        <w:pStyle w:val="INFOEM"/>
        <w:numPr>
          <w:ilvl w:val="1"/>
          <w:numId w:val="16"/>
        </w:numPr>
        <w:spacing w:line="240" w:lineRule="auto"/>
        <w:ind w:left="1418"/>
        <w:rPr>
          <w:sz w:val="24"/>
          <w:lang w:val="es-ES" w:eastAsia="es-ES"/>
        </w:rPr>
      </w:pPr>
      <w:r w:rsidRPr="00186BF8">
        <w:rPr>
          <w:sz w:val="24"/>
          <w:lang w:val="es-ES" w:eastAsia="es-ES"/>
        </w:rPr>
        <w:t>Cadena original del complemento de certificación digital del SAT.</w:t>
      </w:r>
    </w:p>
    <w:p w:rsidR="00667B93" w:rsidRPr="00186BF8" w:rsidRDefault="00667B93" w:rsidP="00667B93">
      <w:pPr>
        <w:spacing w:line="360" w:lineRule="auto"/>
        <w:ind w:right="49"/>
        <w:contextualSpacing/>
        <w:jc w:val="both"/>
        <w:rPr>
          <w:rFonts w:ascii="Palatino Linotype" w:hAnsi="Palatino Linotype" w:cs="Arial"/>
        </w:rPr>
      </w:pPr>
    </w:p>
    <w:p w:rsidR="00A004D9" w:rsidRPr="00186BF8" w:rsidRDefault="00A004D9" w:rsidP="00A004D9">
      <w:pPr>
        <w:spacing w:line="360" w:lineRule="auto"/>
        <w:ind w:right="49"/>
        <w:contextualSpacing/>
        <w:jc w:val="both"/>
        <w:rPr>
          <w:rFonts w:ascii="Palatino Linotype" w:hAnsi="Palatino Linotype" w:cs="Arial"/>
        </w:rPr>
      </w:pPr>
      <w:r w:rsidRPr="00186BF8">
        <w:rPr>
          <w:rFonts w:ascii="Palatino Linotype" w:hAnsi="Palatino Linotype" w:cs="Arial"/>
        </w:rPr>
        <w:t xml:space="preserve">Aunado a lo anterior, los artículos 342, 343, 344 y 345 del Código Financiero del Estado de México y Municipios disponen el sistema y las políticas que deben seguirse para </w:t>
      </w:r>
      <w:r w:rsidRPr="00186BF8">
        <w:rPr>
          <w:rFonts w:ascii="Palatino Linotype" w:hAnsi="Palatino Linotype" w:cs="Arial"/>
        </w:rPr>
        <w:lastRenderedPageBreak/>
        <w:t>llevar el registro contable y presupuestal de las operaciones financieras, en los siguientes términos:</w:t>
      </w:r>
    </w:p>
    <w:p w:rsidR="00A004D9" w:rsidRPr="00186BF8" w:rsidRDefault="00A004D9" w:rsidP="00A004D9">
      <w:pPr>
        <w:spacing w:line="360" w:lineRule="auto"/>
        <w:ind w:right="49"/>
        <w:jc w:val="both"/>
        <w:rPr>
          <w:rFonts w:ascii="Palatino Linotype" w:hAnsi="Palatino Linotype" w:cs="Arial"/>
        </w:rPr>
      </w:pPr>
    </w:p>
    <w:p w:rsidR="00A004D9" w:rsidRPr="00186BF8" w:rsidRDefault="00A004D9" w:rsidP="00A004D9">
      <w:pPr>
        <w:ind w:left="567" w:right="567"/>
        <w:jc w:val="both"/>
        <w:rPr>
          <w:rFonts w:ascii="Palatino Linotype" w:hAnsi="Palatino Linotype"/>
          <w:b/>
          <w:i/>
        </w:rPr>
      </w:pPr>
      <w:r w:rsidRPr="00186BF8">
        <w:rPr>
          <w:rFonts w:ascii="Palatino Linotype" w:hAnsi="Palatino Linotype" w:cs="Arial"/>
          <w:bCs/>
          <w:i/>
          <w:color w:val="000000"/>
        </w:rPr>
        <w:t>“</w:t>
      </w:r>
      <w:r w:rsidRPr="00186BF8">
        <w:rPr>
          <w:rFonts w:ascii="Palatino Linotype" w:hAnsi="Palatino Linotype"/>
          <w:b/>
          <w:i/>
        </w:rPr>
        <w:t>Artículo 342.-</w:t>
      </w:r>
      <w:r w:rsidRPr="00186BF8">
        <w:rPr>
          <w:rFonts w:ascii="Palatino Linotype" w:hAnsi="Palatino Linotype"/>
          <w:i/>
        </w:rPr>
        <w:t xml:space="preserve"> </w:t>
      </w:r>
      <w:r w:rsidRPr="00186BF8">
        <w:rPr>
          <w:rFonts w:ascii="Palatino Linotype" w:hAnsi="Palatino Linotype"/>
          <w:b/>
          <w:i/>
        </w:rPr>
        <w:t xml:space="preserve">El registro contable del efecto patrimonial y presupuestal de las operaciones financieras, se realizará conforme al sistema y a las disposiciones que se aprueben en materia </w:t>
      </w:r>
      <w:r w:rsidRPr="00186BF8">
        <w:rPr>
          <w:rFonts w:ascii="Palatino Linotype" w:hAnsi="Palatino Linotype"/>
          <w:i/>
        </w:rPr>
        <w:t xml:space="preserve">de </w:t>
      </w:r>
      <w:r w:rsidRPr="00186BF8">
        <w:rPr>
          <w:rFonts w:ascii="Palatino Linotype" w:hAnsi="Palatino Linotype" w:cs="Arial"/>
          <w:i/>
          <w:color w:val="000000"/>
        </w:rPr>
        <w:t>planeación</w:t>
      </w:r>
      <w:r w:rsidRPr="00186BF8">
        <w:rPr>
          <w:rFonts w:ascii="Palatino Linotype" w:hAnsi="Palatino Linotype"/>
          <w:i/>
        </w:rPr>
        <w:t>,</w:t>
      </w:r>
      <w:r w:rsidRPr="00186BF8">
        <w:rPr>
          <w:rFonts w:ascii="Palatino Linotype" w:hAnsi="Palatino Linotype"/>
          <w:b/>
          <w:i/>
        </w:rPr>
        <w:t xml:space="preserve"> programación, presupuestación</w:t>
      </w:r>
      <w:r w:rsidRPr="00186BF8">
        <w:rPr>
          <w:rFonts w:ascii="Palatino Linotype" w:hAnsi="Palatino Linotype"/>
          <w:i/>
        </w:rPr>
        <w:t xml:space="preserve">, evaluación y </w:t>
      </w:r>
      <w:r w:rsidRPr="00186BF8">
        <w:rPr>
          <w:rFonts w:ascii="Palatino Linotype" w:hAnsi="Palatino Linotype" w:cs="Arial"/>
          <w:b/>
          <w:i/>
          <w:color w:val="000000"/>
        </w:rPr>
        <w:t>contabilidad</w:t>
      </w:r>
      <w:r w:rsidRPr="00186BF8">
        <w:rPr>
          <w:rFonts w:ascii="Palatino Linotype" w:hAnsi="Palatino Linotype"/>
          <w:b/>
          <w:i/>
        </w:rPr>
        <w:t xml:space="preserve"> gubernamental.</w:t>
      </w:r>
      <w:r w:rsidRPr="00186BF8">
        <w:rPr>
          <w:rFonts w:ascii="Palatino Linotype" w:hAnsi="Palatino Linotype"/>
          <w:i/>
        </w:rPr>
        <w:t xml:space="preserve"> </w:t>
      </w:r>
    </w:p>
    <w:p w:rsidR="00A004D9" w:rsidRPr="00186BF8" w:rsidRDefault="00A004D9" w:rsidP="00A004D9">
      <w:pPr>
        <w:ind w:left="567" w:right="567"/>
        <w:jc w:val="both"/>
        <w:rPr>
          <w:rFonts w:ascii="Palatino Linotype" w:hAnsi="Palatino Linotype"/>
          <w:b/>
          <w:i/>
        </w:rPr>
      </w:pPr>
      <w:r w:rsidRPr="00186BF8">
        <w:rPr>
          <w:rFonts w:ascii="Palatino Linotype" w:hAnsi="Palatino Linotype" w:cs="Arial"/>
          <w:b/>
          <w:bCs/>
          <w:i/>
          <w:color w:val="000000"/>
        </w:rPr>
        <w:t>…</w:t>
      </w:r>
    </w:p>
    <w:p w:rsidR="00A004D9" w:rsidRPr="00186BF8" w:rsidRDefault="00A004D9" w:rsidP="00A004D9">
      <w:pPr>
        <w:ind w:left="567" w:right="567"/>
        <w:jc w:val="both"/>
        <w:rPr>
          <w:rFonts w:ascii="Palatino Linotype" w:hAnsi="Palatino Linotype"/>
          <w:i/>
        </w:rPr>
      </w:pPr>
      <w:r w:rsidRPr="00186BF8">
        <w:rPr>
          <w:rFonts w:ascii="Palatino Linotype" w:hAnsi="Palatino Linotype"/>
          <w:b/>
          <w:i/>
        </w:rPr>
        <w:t>Artículo 343.-</w:t>
      </w:r>
      <w:r w:rsidRPr="00186BF8">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A004D9" w:rsidRPr="00186BF8" w:rsidRDefault="00A004D9" w:rsidP="00A004D9">
      <w:pPr>
        <w:ind w:left="567" w:right="567"/>
        <w:jc w:val="both"/>
        <w:rPr>
          <w:rFonts w:ascii="Palatino Linotype" w:hAnsi="Palatino Linotype"/>
          <w:i/>
        </w:rPr>
      </w:pPr>
      <w:r w:rsidRPr="00186BF8">
        <w:rPr>
          <w:rFonts w:ascii="Palatino Linotype" w:hAnsi="Palatino Linotype"/>
          <w:i/>
        </w:rPr>
        <w:t xml:space="preserve">El sistema de contabilidad sobre base acumulativa total se sustentará en los postulados básicos y el marco conceptual de la contabilidad gubernamental. </w:t>
      </w:r>
    </w:p>
    <w:p w:rsidR="00A004D9" w:rsidRPr="00186BF8" w:rsidRDefault="00A004D9" w:rsidP="00A004D9">
      <w:pPr>
        <w:ind w:left="567" w:right="567"/>
        <w:jc w:val="both"/>
        <w:rPr>
          <w:rFonts w:ascii="Palatino Linotype" w:hAnsi="Palatino Linotype"/>
          <w:i/>
        </w:rPr>
      </w:pPr>
    </w:p>
    <w:p w:rsidR="00A004D9" w:rsidRPr="00186BF8" w:rsidRDefault="00A004D9" w:rsidP="00A004D9">
      <w:pPr>
        <w:ind w:left="567" w:right="567"/>
        <w:jc w:val="both"/>
        <w:rPr>
          <w:rFonts w:ascii="Palatino Linotype" w:hAnsi="Palatino Linotype"/>
          <w:i/>
        </w:rPr>
      </w:pPr>
      <w:r w:rsidRPr="00186BF8">
        <w:rPr>
          <w:rFonts w:ascii="Palatino Linotype" w:hAnsi="Palatino Linotype"/>
          <w:b/>
          <w:i/>
        </w:rPr>
        <w:t xml:space="preserve">Artículo 344.- Las Dependencias, Entidades Públicas y unidades administrativas registrarán contablemente el efecto patrimonial y presupuestal de las operaciones financieras que realicen, en el momento en que ocurran, con base en el sistema y políticas de registro establecidas, </w:t>
      </w:r>
      <w:r w:rsidRPr="00186BF8">
        <w:rPr>
          <w:rFonts w:ascii="Palatino Linotype" w:hAnsi="Palatino Linotype"/>
          <w:i/>
        </w:rPr>
        <w:t xml:space="preserve">en el caso de los Municipios se hará por la Tesorería. </w:t>
      </w:r>
    </w:p>
    <w:p w:rsidR="00A004D9" w:rsidRPr="00186BF8" w:rsidRDefault="00A004D9" w:rsidP="00A004D9">
      <w:pPr>
        <w:autoSpaceDE w:val="0"/>
        <w:autoSpaceDN w:val="0"/>
        <w:adjustRightInd w:val="0"/>
        <w:ind w:left="567" w:right="567"/>
        <w:jc w:val="both"/>
        <w:rPr>
          <w:rFonts w:ascii="Palatino Linotype" w:hAnsi="Palatino Linotype"/>
          <w:i/>
        </w:rPr>
      </w:pPr>
      <w:r w:rsidRPr="00186BF8">
        <w:rPr>
          <w:rFonts w:ascii="Palatino Linotype" w:hAnsi="Palatino Linotype"/>
          <w:i/>
        </w:rPr>
        <w:t xml:space="preserve">Derogado. </w:t>
      </w:r>
    </w:p>
    <w:p w:rsidR="00A004D9" w:rsidRPr="00186BF8" w:rsidRDefault="00A004D9" w:rsidP="00A004D9">
      <w:pPr>
        <w:autoSpaceDE w:val="0"/>
        <w:autoSpaceDN w:val="0"/>
        <w:adjustRightInd w:val="0"/>
        <w:ind w:left="567" w:right="567"/>
        <w:jc w:val="both"/>
        <w:rPr>
          <w:rFonts w:ascii="Palatino Linotype" w:hAnsi="Palatino Linotype"/>
          <w:i/>
        </w:rPr>
      </w:pPr>
    </w:p>
    <w:p w:rsidR="00A004D9" w:rsidRPr="00186BF8" w:rsidRDefault="00A004D9" w:rsidP="00A004D9">
      <w:pPr>
        <w:ind w:left="567" w:right="567"/>
        <w:jc w:val="both"/>
        <w:rPr>
          <w:rFonts w:ascii="Palatino Linotype" w:hAnsi="Palatino Linotype"/>
          <w:i/>
        </w:rPr>
      </w:pPr>
      <w:r w:rsidRPr="00186BF8">
        <w:rPr>
          <w:rFonts w:ascii="Palatino Linotype" w:hAnsi="Palatino Linotype"/>
          <w:b/>
          <w:i/>
        </w:rPr>
        <w:t>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w:t>
      </w:r>
      <w:r w:rsidRPr="00186BF8">
        <w:rPr>
          <w:rFonts w:ascii="Palatino Linotype" w:hAnsi="Palatino Linotype"/>
          <w:i/>
        </w:rPr>
        <w:t xml:space="preserve"> a partir del ejercicio presupuestal siguiente al que corresponda, en el caso de los municipios se hará por la Tesorería. </w:t>
      </w:r>
    </w:p>
    <w:p w:rsidR="00A004D9" w:rsidRPr="00186BF8" w:rsidRDefault="00A004D9" w:rsidP="00A004D9">
      <w:pPr>
        <w:autoSpaceDE w:val="0"/>
        <w:autoSpaceDN w:val="0"/>
        <w:adjustRightInd w:val="0"/>
        <w:ind w:left="567" w:right="567"/>
        <w:jc w:val="both"/>
        <w:rPr>
          <w:rFonts w:ascii="Palatino Linotype" w:hAnsi="Palatino Linotype"/>
          <w:i/>
        </w:rPr>
      </w:pPr>
      <w:r w:rsidRPr="00186BF8">
        <w:rPr>
          <w:rFonts w:ascii="Palatino Linotype" w:hAnsi="Palatino Linotype"/>
          <w:i/>
        </w:rPr>
        <w:t>…</w:t>
      </w:r>
    </w:p>
    <w:p w:rsidR="00A004D9" w:rsidRPr="00186BF8" w:rsidRDefault="00A004D9" w:rsidP="00A004D9">
      <w:pPr>
        <w:ind w:left="567" w:right="567"/>
        <w:jc w:val="both"/>
        <w:rPr>
          <w:rFonts w:ascii="Palatino Linotype" w:hAnsi="Palatino Linotype"/>
          <w:i/>
        </w:rPr>
      </w:pPr>
      <w:r w:rsidRPr="00186BF8">
        <w:rPr>
          <w:rFonts w:ascii="Palatino Linotype" w:hAnsi="Palatino Linotype"/>
          <w:b/>
          <w:i/>
        </w:rPr>
        <w:t>Artículo 345.-</w:t>
      </w:r>
      <w:r w:rsidRPr="00186BF8">
        <w:rPr>
          <w:rFonts w:ascii="Palatino Linotype" w:hAnsi="Palatino Linotype"/>
          <w:i/>
        </w:rPr>
        <w:t xml:space="preserve"> </w:t>
      </w:r>
      <w:r w:rsidRPr="00186BF8">
        <w:rPr>
          <w:rFonts w:ascii="Palatino Linotype" w:hAnsi="Palatino Linotype"/>
          <w:b/>
          <w:i/>
        </w:rPr>
        <w:t>Las Dependencias, Entidades Públicas y unidades administrativas deberán conservar la documentación contable del año en curso y la de ejercicios anteriores cuyas cuentas públicas hayan sido revisadas y fiscalizadas por la Legislatura</w:t>
      </w:r>
      <w:r w:rsidRPr="00186BF8">
        <w:rPr>
          <w:rFonts w:ascii="Palatino Linotype" w:hAnsi="Palatino Linotype"/>
          <w:i/>
        </w:rPr>
        <w:t xml:space="preserve">, la remitirán en un plazo que no excederá de seis meses al Archivo Contable Gubernamental. </w:t>
      </w:r>
      <w:r w:rsidRPr="00186BF8">
        <w:rPr>
          <w:rFonts w:ascii="Palatino Linotype" w:hAnsi="Palatino Linotype"/>
          <w:b/>
          <w:i/>
        </w:rPr>
        <w:t xml:space="preserve">Tratándose de los </w:t>
      </w:r>
      <w:r w:rsidRPr="00186BF8">
        <w:rPr>
          <w:rFonts w:ascii="Palatino Linotype" w:hAnsi="Palatino Linotype"/>
          <w:b/>
          <w:i/>
        </w:rPr>
        <w:lastRenderedPageBreak/>
        <w:t>comprobantes fiscales digitales, estos deberán estar agregados en forma electrónica en cada póliza de registro contable</w:t>
      </w:r>
      <w:r w:rsidRPr="00186BF8">
        <w:rPr>
          <w:rFonts w:ascii="Palatino Linotype" w:hAnsi="Palatino Linotype"/>
          <w:i/>
        </w:rPr>
        <w:t xml:space="preserve">. </w:t>
      </w:r>
    </w:p>
    <w:p w:rsidR="00A004D9" w:rsidRPr="00186BF8" w:rsidRDefault="00A004D9" w:rsidP="00A004D9">
      <w:pPr>
        <w:ind w:left="567" w:right="567"/>
        <w:jc w:val="both"/>
        <w:rPr>
          <w:rFonts w:ascii="Palatino Linotype" w:hAnsi="Palatino Linotype" w:cs="Arial"/>
          <w:bCs/>
          <w:i/>
          <w:color w:val="000000"/>
        </w:rPr>
      </w:pPr>
      <w:r w:rsidRPr="00186BF8">
        <w:rPr>
          <w:rFonts w:ascii="Palatino Linotype" w:hAnsi="Palatino Linotype"/>
          <w:i/>
        </w:rPr>
        <w:t>El plazo señalado en el párrafo anterior, empezará a contar a partir de la publicación en el Periódico Oficial, del decreto correspondiente.</w:t>
      </w:r>
      <w:r w:rsidRPr="00186BF8">
        <w:rPr>
          <w:rFonts w:ascii="Palatino Linotype" w:hAnsi="Palatino Linotype" w:cs="Arial"/>
          <w:bCs/>
          <w:i/>
          <w:color w:val="000000"/>
        </w:rPr>
        <w:t xml:space="preserve"> “</w:t>
      </w:r>
      <w:r w:rsidRPr="00186BF8">
        <w:rPr>
          <w:rFonts w:ascii="Palatino Linotype" w:hAnsi="Palatino Linotype" w:cs="Arial"/>
          <w:i/>
        </w:rPr>
        <w:t>(Sic)</w:t>
      </w:r>
      <w:r w:rsidRPr="00186BF8">
        <w:rPr>
          <w:rFonts w:ascii="Palatino Linotype" w:hAnsi="Palatino Linotype" w:cs="Arial"/>
          <w:bCs/>
          <w:i/>
          <w:color w:val="000000"/>
        </w:rPr>
        <w:t xml:space="preserve"> </w:t>
      </w:r>
    </w:p>
    <w:p w:rsidR="00A004D9" w:rsidRPr="00186BF8" w:rsidRDefault="00A004D9" w:rsidP="00A004D9">
      <w:pPr>
        <w:ind w:left="567" w:right="567"/>
        <w:jc w:val="both"/>
        <w:rPr>
          <w:rFonts w:ascii="Palatino Linotype" w:hAnsi="Palatino Linotype" w:cs="Arial"/>
          <w:bCs/>
          <w:i/>
          <w:color w:val="000000"/>
        </w:rPr>
      </w:pPr>
    </w:p>
    <w:p w:rsidR="00A004D9" w:rsidRPr="00186BF8" w:rsidRDefault="00A004D9" w:rsidP="00A004D9">
      <w:pPr>
        <w:ind w:left="567" w:right="567"/>
        <w:jc w:val="right"/>
        <w:rPr>
          <w:rFonts w:ascii="Palatino Linotype" w:hAnsi="Palatino Linotype" w:cs="Arial"/>
          <w:bCs/>
          <w:color w:val="000000"/>
        </w:rPr>
      </w:pPr>
      <w:r w:rsidRPr="00186BF8">
        <w:rPr>
          <w:rFonts w:ascii="Palatino Linotype" w:hAnsi="Palatino Linotype" w:cs="Arial"/>
          <w:bCs/>
          <w:color w:val="000000"/>
        </w:rPr>
        <w:t>(Énfasis añadido)</w:t>
      </w:r>
    </w:p>
    <w:p w:rsidR="00A004D9" w:rsidRPr="00186BF8" w:rsidRDefault="00A004D9" w:rsidP="00A004D9">
      <w:pPr>
        <w:spacing w:line="360" w:lineRule="auto"/>
        <w:contextualSpacing/>
        <w:jc w:val="both"/>
        <w:rPr>
          <w:rFonts w:ascii="Palatino Linotype" w:hAnsi="Palatino Linotype" w:cs="Arial"/>
          <w:bCs/>
          <w:color w:val="000000"/>
        </w:rPr>
      </w:pPr>
      <w:r w:rsidRPr="00186BF8">
        <w:rPr>
          <w:rFonts w:ascii="Palatino Linotype" w:hAnsi="Palatino Linotype" w:cs="Arial"/>
        </w:rPr>
        <w:t>De una interpretación sistemática de los artículos transcritos, se desprende primeramente que el</w:t>
      </w:r>
      <w:r w:rsidRPr="00186BF8">
        <w:rPr>
          <w:rFonts w:ascii="Palatino Linotype" w:hAnsi="Palatino Linotype" w:cs="Arial"/>
          <w:bCs/>
          <w:color w:val="000000"/>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rsidR="00A004D9" w:rsidRPr="00186BF8" w:rsidRDefault="00A004D9" w:rsidP="00A004D9">
      <w:pPr>
        <w:spacing w:line="360" w:lineRule="auto"/>
        <w:jc w:val="both"/>
        <w:rPr>
          <w:rFonts w:ascii="Palatino Linotype" w:hAnsi="Palatino Linotype" w:cs="Arial"/>
          <w:bCs/>
          <w:color w:val="000000"/>
        </w:rPr>
      </w:pPr>
    </w:p>
    <w:p w:rsidR="00A004D9" w:rsidRPr="00186BF8" w:rsidRDefault="00A004D9" w:rsidP="00A004D9">
      <w:pPr>
        <w:spacing w:line="360" w:lineRule="auto"/>
        <w:contextualSpacing/>
        <w:jc w:val="both"/>
        <w:rPr>
          <w:rFonts w:ascii="Palatino Linotype" w:hAnsi="Palatino Linotype" w:cs="Arial"/>
          <w:bCs/>
          <w:color w:val="000000"/>
        </w:rPr>
      </w:pPr>
      <w:r w:rsidRPr="00186BF8">
        <w:rPr>
          <w:rFonts w:ascii="Palatino Linotype" w:hAnsi="Palatino Linotype" w:cs="Arial"/>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w:t>
      </w:r>
      <w:r w:rsidRPr="00186BF8">
        <w:rPr>
          <w:rFonts w:ascii="Palatino Linotype" w:hAnsi="Palatino Linotype" w:cs="Arial"/>
          <w:lang w:eastAsia="es-MX"/>
        </w:rPr>
        <w:t xml:space="preserve">;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rsidR="00A004D9" w:rsidRPr="00186BF8" w:rsidRDefault="00A004D9" w:rsidP="00A004D9">
      <w:pPr>
        <w:spacing w:line="360" w:lineRule="auto"/>
        <w:jc w:val="both"/>
        <w:rPr>
          <w:rFonts w:ascii="Palatino Linotype" w:hAnsi="Palatino Linotype" w:cs="Arial"/>
          <w:bCs/>
          <w:color w:val="000000"/>
        </w:rPr>
      </w:pPr>
    </w:p>
    <w:p w:rsidR="00A004D9" w:rsidRPr="00186BF8" w:rsidRDefault="00A004D9" w:rsidP="00A004D9">
      <w:pPr>
        <w:ind w:left="567" w:right="567"/>
        <w:jc w:val="both"/>
        <w:rPr>
          <w:rFonts w:ascii="Palatino Linotype" w:hAnsi="Palatino Linotype" w:cs="Arial"/>
          <w:b/>
          <w:i/>
          <w:lang w:eastAsia="es-MX"/>
        </w:rPr>
      </w:pPr>
      <w:r w:rsidRPr="00186BF8">
        <w:rPr>
          <w:rFonts w:ascii="Palatino Linotype" w:hAnsi="Palatino Linotype" w:cs="Arial"/>
          <w:b/>
          <w:i/>
          <w:lang w:eastAsia="es-MX"/>
        </w:rPr>
        <w:t xml:space="preserve">“REGISTRO CONTABLE </w:t>
      </w:r>
    </w:p>
    <w:p w:rsidR="00A004D9" w:rsidRPr="00186BF8" w:rsidRDefault="00A004D9" w:rsidP="00A004D9">
      <w:pPr>
        <w:ind w:left="567" w:right="567"/>
        <w:jc w:val="both"/>
        <w:rPr>
          <w:rFonts w:ascii="Palatino Linotype" w:hAnsi="Palatino Linotype" w:cs="Arial"/>
          <w:i/>
        </w:rPr>
      </w:pPr>
      <w:r w:rsidRPr="00186BF8">
        <w:rPr>
          <w:rFonts w:ascii="Palatino Linotype" w:hAnsi="Palatino Linotype" w:cs="Arial"/>
          <w:i/>
          <w:lang w:eastAsia="es-MX"/>
        </w:rPr>
        <w:t xml:space="preserve">Asiento que se realiza en los libros de contabilidad de las actividades relacionadas con el ingreso y egresos de un ente económico.” </w:t>
      </w:r>
      <w:r w:rsidRPr="00186BF8">
        <w:rPr>
          <w:rFonts w:ascii="Palatino Linotype" w:hAnsi="Palatino Linotype" w:cs="Arial"/>
          <w:i/>
        </w:rPr>
        <w:t>(Sic)</w:t>
      </w:r>
    </w:p>
    <w:p w:rsidR="00A004D9" w:rsidRPr="00186BF8" w:rsidRDefault="00A004D9" w:rsidP="00A004D9">
      <w:pPr>
        <w:ind w:left="567" w:right="567"/>
        <w:jc w:val="both"/>
        <w:rPr>
          <w:rFonts w:ascii="Palatino Linotype" w:hAnsi="Palatino Linotype" w:cs="Arial"/>
          <w:i/>
          <w:lang w:eastAsia="es-MX"/>
        </w:rPr>
      </w:pPr>
    </w:p>
    <w:p w:rsidR="00A004D9" w:rsidRPr="00186BF8" w:rsidRDefault="00A004D9" w:rsidP="00A004D9">
      <w:pPr>
        <w:ind w:left="567" w:right="567"/>
        <w:jc w:val="both"/>
        <w:rPr>
          <w:rFonts w:ascii="Palatino Linotype" w:hAnsi="Palatino Linotype" w:cs="Arial"/>
          <w:b/>
          <w:i/>
          <w:lang w:eastAsia="es-MX"/>
        </w:rPr>
      </w:pPr>
      <w:r w:rsidRPr="00186BF8">
        <w:rPr>
          <w:rFonts w:ascii="Palatino Linotype" w:hAnsi="Palatino Linotype" w:cs="Arial"/>
          <w:b/>
          <w:i/>
          <w:lang w:eastAsia="es-MX"/>
        </w:rPr>
        <w:lastRenderedPageBreak/>
        <w:t>“REGISTRO PRESUPUESTARIO</w:t>
      </w:r>
    </w:p>
    <w:p w:rsidR="00A004D9" w:rsidRPr="00186BF8" w:rsidRDefault="00A004D9" w:rsidP="00A004D9">
      <w:pPr>
        <w:ind w:left="567" w:right="567"/>
        <w:jc w:val="both"/>
        <w:rPr>
          <w:rFonts w:ascii="Palatino Linotype" w:hAnsi="Palatino Linotype" w:cs="Arial"/>
          <w:i/>
        </w:rPr>
      </w:pPr>
      <w:r w:rsidRPr="00186BF8">
        <w:rPr>
          <w:rFonts w:ascii="Palatino Linotype" w:hAnsi="Palatino Linotype" w:cs="Arial"/>
          <w:i/>
          <w:lang w:eastAsia="es-MX"/>
        </w:rPr>
        <w:t xml:space="preserve">Asiento contable de las erogaciones realizadas por las dependencias y entidades con relación a la asignación, modificación y ejercicio de los recursos presupuestarios que se les hayan autorizado.” </w:t>
      </w:r>
      <w:r w:rsidRPr="00186BF8">
        <w:rPr>
          <w:rFonts w:ascii="Palatino Linotype" w:hAnsi="Palatino Linotype" w:cs="Arial"/>
          <w:i/>
        </w:rPr>
        <w:t>(Sic)</w:t>
      </w:r>
    </w:p>
    <w:p w:rsidR="00A004D9" w:rsidRPr="00186BF8" w:rsidRDefault="00A004D9" w:rsidP="00A004D9">
      <w:pPr>
        <w:spacing w:line="360" w:lineRule="auto"/>
        <w:contextualSpacing/>
        <w:jc w:val="both"/>
        <w:rPr>
          <w:rFonts w:ascii="Palatino Linotype" w:hAnsi="Palatino Linotype" w:cs="Arial"/>
          <w:bCs/>
          <w:color w:val="000000"/>
        </w:rPr>
      </w:pPr>
    </w:p>
    <w:p w:rsidR="00A004D9" w:rsidRPr="00186BF8" w:rsidRDefault="00A004D9" w:rsidP="00A004D9">
      <w:pPr>
        <w:spacing w:line="360" w:lineRule="auto"/>
        <w:contextualSpacing/>
        <w:jc w:val="both"/>
        <w:rPr>
          <w:rFonts w:ascii="Palatino Linotype" w:hAnsi="Palatino Linotype" w:cs="Arial"/>
          <w:bCs/>
          <w:color w:val="000000"/>
        </w:rPr>
      </w:pPr>
      <w:r w:rsidRPr="00186BF8">
        <w:rPr>
          <w:rFonts w:ascii="Palatino Linotype" w:hAnsi="Palatino Linotype" w:cs="Arial"/>
          <w:bCs/>
          <w:color w:val="000000"/>
        </w:rPr>
        <w:t xml:space="preserve">Por otra parte, se establece que el sistema de contabilidad sobre base acumulativa total se sustentará en los principios de contabilidad gubernamental, igualmente señalan que los </w:t>
      </w:r>
      <w:r w:rsidRPr="00186BF8">
        <w:rPr>
          <w:rFonts w:ascii="Palatino Linotype" w:hAnsi="Palatino Linotype" w:cs="Arial"/>
          <w:b/>
          <w:bCs/>
          <w:color w:val="000000"/>
        </w:rPr>
        <w:t>sujetos obligados</w:t>
      </w:r>
      <w:r w:rsidRPr="00186BF8">
        <w:rPr>
          <w:rFonts w:ascii="Palatino Linotype" w:hAnsi="Palatino Linotype" w:cs="Arial"/>
          <w:bCs/>
          <w:color w:val="000000"/>
        </w:rPr>
        <w:t xml:space="preserve"> deben contar con una unidad administrativa que registra contablemente el efecto patrimonial y presupuestal de las operaciones financieras que realizan, en el momento en que ocurran, con base en el sistema y políticas de registro establecidas.</w:t>
      </w:r>
    </w:p>
    <w:p w:rsidR="00667B93" w:rsidRPr="00186BF8" w:rsidRDefault="00667B93" w:rsidP="00E64B94">
      <w:pPr>
        <w:pStyle w:val="Textoindependiente"/>
        <w:spacing w:line="360" w:lineRule="auto"/>
        <w:jc w:val="both"/>
        <w:rPr>
          <w:rFonts w:ascii="Palatino Linotype" w:hAnsi="Palatino Linotype"/>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 xml:space="preserve">Atento a lo anterior, resulta claro que existe fuente obligacional que constriñe al </w:t>
      </w:r>
      <w:r w:rsidRPr="00186BF8">
        <w:rPr>
          <w:rFonts w:ascii="Palatino Linotype" w:hAnsi="Palatino Linotype"/>
          <w:b/>
        </w:rPr>
        <w:t>Sujeto Obligado</w:t>
      </w:r>
      <w:r w:rsidRPr="00186BF8">
        <w:rPr>
          <w:rFonts w:ascii="Palatino Linotype" w:hAnsi="Palatino Linotype"/>
        </w:rPr>
        <w:t xml:space="preserve"> a generar administrar y poseer la información interés del Particular, en consecuencia, la información solicitada; debe obrar en los archivos del </w:t>
      </w:r>
      <w:r w:rsidRPr="00186BF8">
        <w:rPr>
          <w:rFonts w:ascii="Palatino Linotype" w:hAnsi="Palatino Linotype"/>
          <w:b/>
        </w:rPr>
        <w:t>Sujeto Obligado</w:t>
      </w:r>
      <w:r w:rsidRPr="00186BF8">
        <w:rPr>
          <w:rFonts w:ascii="Palatino Linotype" w:hAnsi="Palatino Linotype"/>
        </w:rPr>
        <w:t xml:space="preserve">. </w:t>
      </w: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En este sentido, de acuerdo a la naturaleza de la información solicitada se concluye que esta es de interés general y de alcance público, puesto que la ciudadanía tiene derecho a saber los gastos realizados por los sujetos obligados, esto es, su acceso permite transparentar las erogaciones del servicio público.</w:t>
      </w:r>
    </w:p>
    <w:p w:rsidR="00251F2C" w:rsidRPr="00186BF8" w:rsidRDefault="00251F2C" w:rsidP="00E64B94">
      <w:pPr>
        <w:pStyle w:val="Textoindependiente"/>
        <w:spacing w:line="360" w:lineRule="auto"/>
        <w:jc w:val="both"/>
        <w:rPr>
          <w:rFonts w:ascii="Palatino Linotype" w:hAnsi="Palatino Linotype"/>
          <w:b/>
        </w:rPr>
      </w:pPr>
      <w:r w:rsidRPr="00186BF8">
        <w:rPr>
          <w:rFonts w:ascii="Palatino Linotype" w:hAnsi="Palatino Linotype"/>
          <w:color w:val="000000"/>
        </w:rPr>
        <w:t xml:space="preserve">El </w:t>
      </w:r>
      <w:r w:rsidRPr="00186BF8">
        <w:rPr>
          <w:rFonts w:ascii="Palatino Linotype" w:hAnsi="Palatino Linotype"/>
        </w:rPr>
        <w:t>nombre, firma y rubrica del apoderado legal, se consideran públicos de conformidad con el criterio orientador 01/19 reiterado del entonces INAI:</w:t>
      </w:r>
    </w:p>
    <w:p w:rsidR="00251F2C" w:rsidRPr="00186BF8" w:rsidRDefault="00251F2C" w:rsidP="00251F2C">
      <w:pPr>
        <w:pStyle w:val="INFOEM"/>
        <w:rPr>
          <w:bCs/>
        </w:rPr>
      </w:pPr>
      <w:r w:rsidRPr="00186BF8">
        <w:rPr>
          <w:b/>
        </w:rPr>
        <w:t>Datos de identificación del representante o apoderado legal.</w:t>
      </w:r>
      <w:r w:rsidRPr="00186BF8">
        <w:t xml:space="preserve"> </w:t>
      </w:r>
      <w:r w:rsidRPr="00186BF8">
        <w:rPr>
          <w:b/>
        </w:rPr>
        <w:t xml:space="preserve">Naturaleza jurídica. </w:t>
      </w:r>
      <w:r w:rsidRPr="00186BF8">
        <w:t xml:space="preserve">El nombre, la firma y la rúbrica de una persona física, que actúe como representante o apoderado legal de un tercero que haya celebrado un acto jurídico, </w:t>
      </w:r>
      <w:r w:rsidRPr="00186BF8">
        <w:lastRenderedPageBreak/>
        <w:t>con algún sujeto obligado, es información pública, en razón de que tales datos fueron proporcionados con el objeto de expresar el consentimiento obligacional del tercero y otorgar validez a dicho instrumento jurídico.</w:t>
      </w:r>
    </w:p>
    <w:p w:rsidR="00251F2C" w:rsidRPr="00186BF8" w:rsidRDefault="00251F2C" w:rsidP="00251F2C">
      <w:pPr>
        <w:pStyle w:val="INFOEM"/>
        <w:rPr>
          <w:b/>
        </w:rPr>
      </w:pPr>
      <w:r w:rsidRPr="00186BF8">
        <w:rPr>
          <w:b/>
        </w:rPr>
        <w:t>Precedentes:</w:t>
      </w:r>
    </w:p>
    <w:p w:rsidR="00251F2C" w:rsidRPr="00186BF8" w:rsidRDefault="00251F2C" w:rsidP="00251F2C">
      <w:pPr>
        <w:pStyle w:val="INFOEM"/>
        <w:numPr>
          <w:ilvl w:val="0"/>
          <w:numId w:val="6"/>
        </w:numPr>
      </w:pPr>
      <w:r w:rsidRPr="00186BF8">
        <w:t xml:space="preserve">Acceso a la información pública. RRA 3104/16. Sesión del 01 de noviembre del 2016. Votación por unanimidad. Sin votos disidentes o particulares. Secretaría de la Defensa Nacional. Comisionado Ponente </w:t>
      </w:r>
      <w:r w:rsidRPr="00186BF8">
        <w:rPr>
          <w:lang w:val="es-ES"/>
        </w:rPr>
        <w:t>Oscar Mauricio Guerra Ford.</w:t>
      </w:r>
    </w:p>
    <w:p w:rsidR="00251F2C" w:rsidRPr="00186BF8" w:rsidRDefault="00251F2C" w:rsidP="00251F2C">
      <w:pPr>
        <w:pStyle w:val="INFOEM"/>
        <w:numPr>
          <w:ilvl w:val="0"/>
          <w:numId w:val="6"/>
        </w:numPr>
        <w:rPr>
          <w:b/>
          <w:bCs/>
        </w:rPr>
      </w:pPr>
      <w:r w:rsidRPr="00186BF8">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251F2C" w:rsidRPr="00186BF8" w:rsidRDefault="00251F2C" w:rsidP="00251F2C">
      <w:pPr>
        <w:pStyle w:val="INFOEM"/>
        <w:numPr>
          <w:ilvl w:val="0"/>
          <w:numId w:val="6"/>
        </w:numPr>
      </w:pPr>
      <w:r w:rsidRPr="00186BF8">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251F2C" w:rsidRPr="00186BF8" w:rsidRDefault="00251F2C" w:rsidP="00251F2C">
      <w:pPr>
        <w:spacing w:line="360" w:lineRule="auto"/>
        <w:jc w:val="both"/>
        <w:rPr>
          <w:rFonts w:ascii="Palatino Linotype" w:hAnsi="Palatino Linotype"/>
          <w:color w:val="000000"/>
        </w:rPr>
      </w:pPr>
    </w:p>
    <w:p w:rsidR="00251F2C" w:rsidRPr="00186BF8" w:rsidRDefault="00251F2C" w:rsidP="00E64B94">
      <w:pPr>
        <w:pStyle w:val="Textoindependiente"/>
        <w:spacing w:line="360" w:lineRule="auto"/>
        <w:jc w:val="both"/>
        <w:rPr>
          <w:rFonts w:ascii="Palatino Linotype" w:hAnsi="Palatino Linotype" w:cs="Arial"/>
          <w:lang w:val="es-ES_tradnl" w:eastAsia="es-MX"/>
        </w:rPr>
      </w:pPr>
      <w:r w:rsidRPr="00186BF8">
        <w:rPr>
          <w:rFonts w:ascii="Palatino Linotype" w:hAnsi="Palatino Linotype"/>
        </w:rPr>
        <w:t xml:space="preserve">El RFC de las personas físicas proveedores o contratistas es público de conformidad con el Criterio Orientador del entonces INAI </w:t>
      </w:r>
      <w:r w:rsidRPr="00186BF8">
        <w:rPr>
          <w:rFonts w:ascii="Palatino Linotype" w:hAnsi="Palatino Linotype" w:cs="Arial"/>
          <w:b/>
          <w:lang w:eastAsia="es-MX"/>
        </w:rPr>
        <w:t>004/2021</w:t>
      </w:r>
      <w:r w:rsidRPr="00186BF8">
        <w:rPr>
          <w:rFonts w:ascii="Palatino Linotype" w:hAnsi="Palatino Linotype" w:cs="Arial"/>
          <w:b/>
          <w:lang w:val="es-ES_tradnl" w:eastAsia="es-MX"/>
        </w:rPr>
        <w:t>,</w:t>
      </w:r>
      <w:r w:rsidRPr="00186BF8">
        <w:rPr>
          <w:rFonts w:ascii="Palatino Linotype" w:hAnsi="Palatino Linotype" w:cs="Arial"/>
          <w:lang w:val="es-ES_tradnl" w:eastAsia="es-MX"/>
        </w:rPr>
        <w:t xml:space="preserve"> el cual es del tenor literal siguiente:</w:t>
      </w:r>
    </w:p>
    <w:p w:rsidR="00251F2C" w:rsidRPr="00186BF8" w:rsidRDefault="00251F2C" w:rsidP="00A004D9">
      <w:pPr>
        <w:pStyle w:val="INFOEM"/>
        <w:jc w:val="center"/>
        <w:rPr>
          <w:b/>
        </w:rPr>
      </w:pPr>
      <w:r w:rsidRPr="00186BF8">
        <w:rPr>
          <w:b/>
        </w:rPr>
        <w:t>“Registro Federal de Contribuyentes (RFC) de personas físicas proveedores o contratistas.</w:t>
      </w:r>
    </w:p>
    <w:p w:rsidR="00251F2C" w:rsidRPr="00186BF8" w:rsidRDefault="00251F2C" w:rsidP="00E64B94">
      <w:pPr>
        <w:pStyle w:val="INFOEM"/>
      </w:pPr>
      <w:r w:rsidRPr="00186BF8">
        <w:t xml:space="preserve">El RFC de contratistas o proveedores de sujetos obligados debe ser público, ya que al tratarse de personas relacionadas con contrataciones públicas, su difusión favorece la </w:t>
      </w:r>
      <w:r w:rsidRPr="00186BF8">
        <w:lastRenderedPageBreak/>
        <w:t xml:space="preserve">transparencia con la que deben administrarse los recursos públicos, en términos del artículo 134 de la Constitución Política de los Estados Unidos Mexicanos. </w:t>
      </w:r>
    </w:p>
    <w:p w:rsidR="00251F2C" w:rsidRPr="00186BF8" w:rsidRDefault="00251F2C" w:rsidP="00E64B94">
      <w:pPr>
        <w:pStyle w:val="INFOEM"/>
      </w:pPr>
      <w:r w:rsidRPr="00186BF8">
        <w:t>Precedentes:</w:t>
      </w:r>
    </w:p>
    <w:p w:rsidR="00251F2C" w:rsidRPr="00186BF8" w:rsidRDefault="00251F2C" w:rsidP="00E64B94">
      <w:pPr>
        <w:pStyle w:val="INFOEM"/>
      </w:pPr>
      <w:r w:rsidRPr="00186BF8">
        <w:t>Acceso a la información Pública. RRA 3639/19.</w:t>
      </w:r>
      <w:r w:rsidRPr="00186BF8">
        <w:rPr>
          <w:bCs/>
        </w:rPr>
        <w:t xml:space="preserve"> </w:t>
      </w:r>
      <w:r w:rsidRPr="00186BF8">
        <w:t>Sesión del 10 de julio de 2019. Votación por mayoría. Con voto disidente del Comisionado Joel Salas Suárez. Instituto para la Protección del Ahorro Bancario. Comisionada Ponente María Patricia Kurczyn Villalobos.</w:t>
      </w:r>
    </w:p>
    <w:p w:rsidR="00251F2C" w:rsidRPr="00186BF8" w:rsidRDefault="00251F2C" w:rsidP="00E64B94">
      <w:pPr>
        <w:pStyle w:val="INFOEM"/>
        <w:rPr>
          <w:bCs/>
        </w:rPr>
      </w:pPr>
      <w:r w:rsidRPr="00186BF8">
        <w:t>Acceso a la información Pública. RRA 7709/19.</w:t>
      </w:r>
      <w:r w:rsidRPr="00186BF8">
        <w:rPr>
          <w:bCs/>
        </w:rPr>
        <w:t xml:space="preserve"> </w:t>
      </w:r>
      <w:r w:rsidRPr="00186BF8">
        <w:t>Sesión del 13 de agosto de 2019. Votación por unanimidad. Con voto particular de la Comisionada Josefina Román Vergara. Suprema Corte de Justicia de la Nación. Comisionada Ponente Josefina Román Vergara.</w:t>
      </w:r>
    </w:p>
    <w:p w:rsidR="00251F2C" w:rsidRPr="00186BF8" w:rsidRDefault="00251F2C" w:rsidP="00E64B94">
      <w:pPr>
        <w:pStyle w:val="INFOEM"/>
      </w:pPr>
      <w:r w:rsidRPr="00186BF8">
        <w:t>Acceso a la información Pública. RRA 5774/19.</w:t>
      </w:r>
      <w:r w:rsidRPr="00186BF8">
        <w:rPr>
          <w:bCs/>
        </w:rPr>
        <w:t xml:space="preserve"> </w:t>
      </w:r>
      <w:r w:rsidRPr="00186BF8">
        <w:t>Sesión del 21 de agosto de 2019. Votación por mayoría. Con voto disidente del Comisionado Joel Salas Suárez. Secretaría de Marina. Comisionada Ponente Blanca Lilia Ibarra Cadena.” [Sic]</w:t>
      </w:r>
    </w:p>
    <w:p w:rsidR="00251F2C" w:rsidRPr="00186BF8" w:rsidRDefault="00251F2C" w:rsidP="00251F2C">
      <w:pPr>
        <w:spacing w:line="360" w:lineRule="auto"/>
        <w:jc w:val="both"/>
        <w:rPr>
          <w:rFonts w:ascii="Palatino Linotype" w:hAnsi="Palatino Linotype" w:cs="Arial"/>
          <w:lang w:val="es-ES_tradnl" w:eastAsia="es-MX"/>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251F2C" w:rsidRPr="00186BF8" w:rsidRDefault="00251F2C" w:rsidP="00E64B94">
      <w:pPr>
        <w:pStyle w:val="INFOEM"/>
      </w:pPr>
      <w:r w:rsidRPr="00186BF8">
        <w:lastRenderedPageBreak/>
        <w:t>Artículo 6</w:t>
      </w:r>
    </w:p>
    <w:p w:rsidR="00251F2C" w:rsidRPr="00186BF8" w:rsidRDefault="00251F2C" w:rsidP="00E64B94">
      <w:pPr>
        <w:pStyle w:val="INFOEM"/>
      </w:pPr>
      <w:r w:rsidRPr="00186BF8">
        <w:t>…</w:t>
      </w:r>
    </w:p>
    <w:p w:rsidR="00251F2C" w:rsidRPr="00186BF8" w:rsidRDefault="00251F2C" w:rsidP="00E64B94">
      <w:pPr>
        <w:pStyle w:val="INFOEM"/>
      </w:pPr>
      <w:r w:rsidRPr="00186BF8">
        <w:t>Para el ejercicio del derecho de acceso a la información, la Federación, los Estados y el Distrito Federal, en el ámbito de sus respectivas competencias, se regirán por los siguientes principios y bases:</w:t>
      </w:r>
    </w:p>
    <w:p w:rsidR="00251F2C" w:rsidRPr="00186BF8" w:rsidRDefault="00251F2C" w:rsidP="00E64B94">
      <w:pPr>
        <w:pStyle w:val="INFOEM"/>
      </w:pPr>
      <w:r w:rsidRPr="00186BF8">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251F2C" w:rsidRPr="00186BF8" w:rsidRDefault="00251F2C" w:rsidP="00251F2C">
      <w:pPr>
        <w:spacing w:line="360" w:lineRule="auto"/>
        <w:jc w:val="both"/>
        <w:rPr>
          <w:rFonts w:ascii="Palatino Linotype" w:hAnsi="Palatino Linotype"/>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rPr>
        <w:t xml:space="preserve">Por otro, en atención a lo dispuesto por los artículos 3, fracción XI y 12 </w:t>
      </w:r>
      <w:r w:rsidRPr="00186BF8">
        <w:rPr>
          <w:rFonts w:ascii="Palatino Linotype" w:hAnsi="Palatino Linotype"/>
          <w:bCs/>
        </w:rPr>
        <w:t>de la Ley de Transparencia y Acceso a la Información Pública del Estado de México y Municipios</w:t>
      </w:r>
      <w:r w:rsidRPr="00186BF8">
        <w:rPr>
          <w:rFonts w:ascii="Palatino Linotype" w:hAnsi="Palatino Linotype"/>
        </w:rPr>
        <w:t>, los cuales son del tenor literal siguiente:</w:t>
      </w:r>
    </w:p>
    <w:p w:rsidR="00251F2C" w:rsidRPr="00186BF8" w:rsidRDefault="00251F2C" w:rsidP="00E64B94">
      <w:pPr>
        <w:pStyle w:val="INFOEM"/>
      </w:pPr>
      <w:r w:rsidRPr="00186BF8">
        <w:rPr>
          <w:b/>
          <w:bCs/>
        </w:rPr>
        <w:t xml:space="preserve">Artículo 3.- </w:t>
      </w:r>
      <w:r w:rsidRPr="00186BF8">
        <w:t>Para los efectos de la presente Ley se entenderá por:</w:t>
      </w:r>
    </w:p>
    <w:p w:rsidR="00251F2C" w:rsidRPr="00186BF8" w:rsidRDefault="00251F2C" w:rsidP="00E64B94">
      <w:pPr>
        <w:pStyle w:val="INFOEM"/>
      </w:pPr>
      <w:r w:rsidRPr="00186BF8">
        <w:t>…</w:t>
      </w:r>
    </w:p>
    <w:p w:rsidR="00251F2C" w:rsidRPr="00186BF8" w:rsidRDefault="00251F2C" w:rsidP="00E64B94">
      <w:pPr>
        <w:pStyle w:val="INFOEM"/>
      </w:pPr>
      <w:r w:rsidRPr="00186BF8">
        <w:rPr>
          <w:b/>
        </w:rPr>
        <w:lastRenderedPageBreak/>
        <w:t>XI.</w:t>
      </w:r>
      <w:r w:rsidRPr="00186BF8">
        <w:t xml:space="preserve"> </w:t>
      </w:r>
      <w:r w:rsidRPr="00186BF8">
        <w:rPr>
          <w:b/>
        </w:rPr>
        <w:t>Documento:</w:t>
      </w:r>
      <w:r w:rsidRPr="00186BF8">
        <w:t xml:space="preserve"> Los expedientes, reportes, estudios, actas, resoluciones, oficios, correspondencia, acuerdos, directivas, directrices, circulares, contratos, convenios, instructivos, notas, memorandos, estadísticas o bien, </w:t>
      </w:r>
      <w:r w:rsidRPr="00186BF8">
        <w:rPr>
          <w:b/>
          <w:u w:val="single"/>
        </w:rPr>
        <w:t>cualquier otro registro que documente el ejercicio de las facultades, funciones y competencias de los sujetos obligados, sus servidores públicos e integrantes, sin importar su fuente o fecha de elaboración.</w:t>
      </w:r>
      <w:r w:rsidRPr="00186BF8">
        <w:t xml:space="preserve"> Los documentos podrán estar en cualquier medio, sea escrito, impreso, sonoro, visual, electrónico, informático u holográfico;</w:t>
      </w:r>
    </w:p>
    <w:p w:rsidR="00251F2C" w:rsidRPr="00186BF8" w:rsidRDefault="00251F2C" w:rsidP="00E64B94">
      <w:pPr>
        <w:pStyle w:val="INFOEM"/>
      </w:pPr>
      <w:r w:rsidRPr="00186BF8">
        <w:rPr>
          <w:b/>
        </w:rPr>
        <w:t>Artículo 4.</w:t>
      </w:r>
      <w:r w:rsidRPr="00186BF8">
        <w:t xml:space="preserve"> El derecho humano de acceso a la información pública es la prerrogativa de las personas para buscar, difundir, investigar, recabar, recibir y solicitar información pública, sin necesidad de acreditar personalidad ni interés jurídico.</w:t>
      </w:r>
    </w:p>
    <w:p w:rsidR="00251F2C" w:rsidRPr="00186BF8" w:rsidRDefault="00251F2C" w:rsidP="00E64B94">
      <w:pPr>
        <w:pStyle w:val="INFOEM"/>
      </w:pPr>
      <w:r w:rsidRPr="00186BF8">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51F2C" w:rsidRPr="00186BF8" w:rsidRDefault="00251F2C" w:rsidP="00E64B94">
      <w:pPr>
        <w:pStyle w:val="INFOEM"/>
      </w:pPr>
      <w:r w:rsidRPr="00186BF8">
        <w:t>Los sujetos obligados deben poner en práctica, políticas y programas de acceso a la información que se apeguen a criterios de publicidad, veracidad, oportunidad, precisión y suficiencia en beneficio de los solicitantes.</w:t>
      </w:r>
    </w:p>
    <w:p w:rsidR="00251F2C" w:rsidRPr="00186BF8" w:rsidRDefault="00251F2C" w:rsidP="00E64B94">
      <w:pPr>
        <w:pStyle w:val="INFOEM"/>
      </w:pPr>
      <w:r w:rsidRPr="00186BF8">
        <w:rPr>
          <w:b/>
        </w:rPr>
        <w:t>Artículo 12.</w:t>
      </w:r>
      <w:r w:rsidRPr="00186BF8">
        <w:t xml:space="preserve"> Quienes generen, recopilen, administren, manejen, procesen, archiven o conserven información pública serán responsables de la misma en los términos de las disposiciones jurídicas aplicables.</w:t>
      </w:r>
    </w:p>
    <w:p w:rsidR="00251F2C" w:rsidRPr="00186BF8" w:rsidRDefault="00251F2C" w:rsidP="00E64B94">
      <w:pPr>
        <w:pStyle w:val="INFOEM"/>
        <w:rPr>
          <w:b/>
          <w:u w:val="single"/>
        </w:rPr>
      </w:pPr>
      <w:r w:rsidRPr="00186BF8">
        <w:rPr>
          <w:b/>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251F2C" w:rsidRPr="00186BF8" w:rsidRDefault="00251F2C" w:rsidP="00E64B94">
      <w:pPr>
        <w:pStyle w:val="Textoindependiente"/>
        <w:spacing w:line="360" w:lineRule="auto"/>
        <w:jc w:val="both"/>
        <w:rPr>
          <w:rFonts w:ascii="Palatino Linotype" w:hAnsi="Palatino Linotype"/>
          <w:noProof/>
          <w:lang w:eastAsia="es-MX"/>
        </w:rPr>
      </w:pPr>
      <w:r w:rsidRPr="00186BF8">
        <w:rPr>
          <w:rFonts w:ascii="Palatino Linotype" w:hAnsi="Palatino Linotype"/>
          <w:noProof/>
          <w:lang w:eastAsia="es-MX"/>
        </w:rPr>
        <w:t xml:space="preserve">Con base en lo anteriormente expuesto, se arriba a la conclusión de que la respuesta del </w:t>
      </w:r>
      <w:r w:rsidRPr="00186BF8">
        <w:rPr>
          <w:rFonts w:ascii="Palatino Linotype" w:hAnsi="Palatino Linotype"/>
          <w:b/>
          <w:noProof/>
          <w:lang w:eastAsia="es-MX"/>
        </w:rPr>
        <w:t xml:space="preserve">Sujeto Obligado </w:t>
      </w:r>
      <w:r w:rsidRPr="00186BF8">
        <w:rPr>
          <w:rFonts w:ascii="Palatino Linotype" w:hAnsi="Palatino Linotype"/>
          <w:noProof/>
          <w:lang w:eastAsia="es-MX"/>
        </w:rPr>
        <w:t>no</w:t>
      </w:r>
      <w:r w:rsidRPr="00186BF8">
        <w:rPr>
          <w:rFonts w:ascii="Palatino Linotype" w:hAnsi="Palatino Linotype"/>
          <w:b/>
          <w:noProof/>
          <w:lang w:eastAsia="es-MX"/>
        </w:rPr>
        <w:t xml:space="preserve"> </w:t>
      </w:r>
      <w:r w:rsidRPr="00186BF8">
        <w:rPr>
          <w:rFonts w:ascii="Palatino Linotype" w:hAnsi="Palatino Linotype"/>
          <w:noProof/>
          <w:lang w:eastAsia="es-MX"/>
        </w:rPr>
        <w:t xml:space="preserve">colmó el derecho de acceso a la información ejercido por el particular. </w:t>
      </w:r>
    </w:p>
    <w:p w:rsidR="00E64B94" w:rsidRPr="00186BF8" w:rsidRDefault="00E64B94" w:rsidP="00E64B94">
      <w:pPr>
        <w:pStyle w:val="Textoindependiente"/>
        <w:spacing w:line="360" w:lineRule="auto"/>
        <w:jc w:val="both"/>
        <w:rPr>
          <w:rFonts w:ascii="Palatino Linotype" w:hAnsi="Palatino Linotype"/>
          <w:noProof/>
          <w:lang w:eastAsia="es-MX"/>
        </w:rPr>
      </w:pPr>
    </w:p>
    <w:p w:rsidR="00251F2C" w:rsidRPr="00186BF8" w:rsidRDefault="00251F2C" w:rsidP="00E64B94">
      <w:pPr>
        <w:pStyle w:val="Textoindependiente"/>
        <w:spacing w:line="360" w:lineRule="auto"/>
        <w:jc w:val="both"/>
        <w:rPr>
          <w:rFonts w:ascii="Palatino Linotype" w:hAnsi="Palatino Linotype"/>
          <w:b/>
          <w:i/>
          <w:sz w:val="28"/>
        </w:rPr>
      </w:pPr>
      <w:r w:rsidRPr="00186BF8">
        <w:rPr>
          <w:rFonts w:ascii="Palatino Linotype" w:hAnsi="Palatino Linotype"/>
          <w:b/>
          <w:i/>
          <w:sz w:val="28"/>
        </w:rPr>
        <w:t xml:space="preserve">De la Versión Pública </w:t>
      </w:r>
    </w:p>
    <w:p w:rsidR="00251F2C" w:rsidRPr="00186BF8" w:rsidRDefault="00251F2C" w:rsidP="00E64B94">
      <w:pPr>
        <w:pStyle w:val="Textoindependiente"/>
        <w:spacing w:line="360" w:lineRule="auto"/>
        <w:jc w:val="both"/>
        <w:rPr>
          <w:rFonts w:ascii="Palatino Linotype" w:eastAsia="Arial Unicode MS" w:hAnsi="Palatino Linotype"/>
          <w:lang w:val="es-ES_tradnl" w:eastAsia="es-MX"/>
        </w:rPr>
      </w:pPr>
      <w:r w:rsidRPr="00186BF8">
        <w:rPr>
          <w:rFonts w:ascii="Palatino Linotype" w:eastAsia="Arial Unicode MS" w:hAnsi="Palatino Linotype"/>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251F2C" w:rsidRPr="00186BF8" w:rsidRDefault="00251F2C" w:rsidP="00103B43">
      <w:pPr>
        <w:pStyle w:val="Sangradetextonormal"/>
        <w:rPr>
          <w:rFonts w:ascii="Palatino Linotype" w:eastAsia="Calibri" w:hAnsi="Palatino Linotype"/>
          <w:i/>
          <w:lang w:val="es-ES_tradnl" w:eastAsia="es-MX"/>
        </w:rPr>
      </w:pPr>
      <w:r w:rsidRPr="00186BF8">
        <w:rPr>
          <w:rFonts w:ascii="Palatino Linotype" w:eastAsia="Calibri" w:hAnsi="Palatino Linotype"/>
          <w:i/>
          <w:lang w:val="es-ES_tradnl" w:eastAsia="es-MX"/>
        </w:rPr>
        <w:t>“Artículo 3. Para los efectos de la presente Ley se entenderá por:</w:t>
      </w:r>
    </w:p>
    <w:p w:rsidR="00251F2C" w:rsidRPr="00186BF8" w:rsidRDefault="00251F2C" w:rsidP="00251F2C">
      <w:pPr>
        <w:spacing w:before="240" w:line="360" w:lineRule="auto"/>
        <w:ind w:left="851" w:right="851"/>
        <w:jc w:val="both"/>
        <w:rPr>
          <w:rFonts w:ascii="Palatino Linotype" w:eastAsia="Calibri" w:hAnsi="Palatino Linotype" w:cs="Arial"/>
          <w:i/>
          <w:lang w:val="es-ES_tradnl" w:eastAsia="es-MX"/>
        </w:rPr>
      </w:pPr>
      <w:r w:rsidRPr="00186BF8">
        <w:rPr>
          <w:rFonts w:ascii="Palatino Linotype" w:eastAsia="Calibri" w:hAnsi="Palatino Linotype" w:cs="Arial"/>
          <w:i/>
          <w:lang w:val="es-ES_tradnl" w:eastAsia="es-MX"/>
        </w:rPr>
        <w:t>(…)</w:t>
      </w:r>
    </w:p>
    <w:p w:rsidR="00251F2C" w:rsidRPr="00186BF8" w:rsidRDefault="00251F2C" w:rsidP="00103B43">
      <w:pPr>
        <w:pStyle w:val="Textoindependienteprimerasangra2"/>
        <w:rPr>
          <w:rFonts w:ascii="Palatino Linotype" w:eastAsia="Calibri" w:hAnsi="Palatino Linotype"/>
          <w:b/>
          <w:i/>
          <w:lang w:val="es-ES_tradnl" w:eastAsia="es-MX"/>
        </w:rPr>
      </w:pPr>
      <w:r w:rsidRPr="00186BF8">
        <w:rPr>
          <w:rFonts w:ascii="Palatino Linotype" w:eastAsia="Calibri" w:hAnsi="Palatino Linotype"/>
          <w:b/>
          <w:i/>
          <w:u w:val="single"/>
          <w:lang w:val="es-ES_tradnl" w:eastAsia="es-MX"/>
        </w:rPr>
        <w:lastRenderedPageBreak/>
        <w:t>IX. Datos personales:</w:t>
      </w:r>
      <w:r w:rsidRPr="00186BF8">
        <w:rPr>
          <w:rFonts w:ascii="Palatino Linotype" w:eastAsia="Calibri" w:hAnsi="Palatino Linotype"/>
          <w:b/>
          <w:i/>
          <w:lang w:val="es-ES_tradnl" w:eastAsia="es-MX"/>
        </w:rPr>
        <w:t xml:space="preserve"> </w:t>
      </w:r>
      <w:r w:rsidRPr="00186BF8">
        <w:rPr>
          <w:rFonts w:ascii="Palatino Linotype" w:eastAsia="Calibri" w:hAnsi="Palatino Linotype"/>
          <w:i/>
          <w:lang w:val="es-ES_tradnl" w:eastAsia="es-MX"/>
        </w:rPr>
        <w:t>La información concerniente a una persona, identificada o identificable según lo dispuesto por la Ley de Protección de Datos Personales del Estado de México;</w:t>
      </w:r>
    </w:p>
    <w:p w:rsidR="00251F2C" w:rsidRPr="00186BF8" w:rsidRDefault="00251F2C" w:rsidP="00251F2C">
      <w:pPr>
        <w:spacing w:before="240" w:line="360" w:lineRule="auto"/>
        <w:ind w:left="851" w:right="851"/>
        <w:jc w:val="both"/>
        <w:rPr>
          <w:rFonts w:ascii="Palatino Linotype" w:eastAsia="Calibri" w:hAnsi="Palatino Linotype" w:cs="Arial"/>
          <w:b/>
          <w:i/>
          <w:lang w:val="es-ES_tradnl" w:eastAsia="es-MX"/>
        </w:rPr>
      </w:pPr>
      <w:r w:rsidRPr="00186BF8">
        <w:rPr>
          <w:rFonts w:ascii="Palatino Linotype" w:eastAsia="Calibri" w:hAnsi="Palatino Linotype" w:cs="Arial"/>
          <w:b/>
          <w:i/>
          <w:lang w:val="es-ES_tradnl" w:eastAsia="es-MX"/>
        </w:rPr>
        <w:t>(…)</w:t>
      </w:r>
    </w:p>
    <w:p w:rsidR="00251F2C" w:rsidRPr="00186BF8" w:rsidRDefault="00251F2C" w:rsidP="00103B43">
      <w:pPr>
        <w:pStyle w:val="Textoindependienteprimerasangra2"/>
        <w:rPr>
          <w:rFonts w:ascii="Palatino Linotype" w:eastAsia="Calibri" w:hAnsi="Palatino Linotype"/>
          <w:b/>
          <w:i/>
          <w:lang w:val="es-ES_tradnl" w:eastAsia="es-MX"/>
        </w:rPr>
      </w:pPr>
      <w:r w:rsidRPr="00186BF8">
        <w:rPr>
          <w:rFonts w:ascii="Palatino Linotype" w:eastAsia="Calibri" w:hAnsi="Palatino Linotype"/>
          <w:b/>
          <w:i/>
          <w:u w:val="single"/>
          <w:lang w:val="es-ES_tradnl" w:eastAsia="es-MX"/>
        </w:rPr>
        <w:t>XLV. Versión pública:</w:t>
      </w:r>
      <w:r w:rsidRPr="00186BF8">
        <w:rPr>
          <w:rFonts w:ascii="Palatino Linotype" w:eastAsia="Calibri" w:hAnsi="Palatino Linotype"/>
          <w:b/>
          <w:i/>
          <w:lang w:val="es-ES_tradnl" w:eastAsia="es-MX"/>
        </w:rPr>
        <w:t xml:space="preserve"> </w:t>
      </w:r>
      <w:r w:rsidRPr="00186BF8">
        <w:rPr>
          <w:rFonts w:ascii="Palatino Linotype" w:eastAsia="Calibri" w:hAnsi="Palatino Linotype"/>
          <w:i/>
          <w:lang w:val="es-ES_tradnl" w:eastAsia="es-MX"/>
        </w:rPr>
        <w:t>Documento en el que se elimine, suprime o borra la información clasificada como reservada o confidencial para permitir su acceso.</w:t>
      </w:r>
    </w:p>
    <w:p w:rsidR="00251F2C" w:rsidRPr="00186BF8" w:rsidRDefault="00251F2C" w:rsidP="00103B43">
      <w:pPr>
        <w:pStyle w:val="Textoindependienteprimerasangra2"/>
        <w:rPr>
          <w:rFonts w:ascii="Palatino Linotype" w:eastAsia="Calibri" w:hAnsi="Palatino Linotype"/>
          <w:b/>
          <w:i/>
          <w:lang w:val="es-ES_tradnl" w:eastAsia="es-MX"/>
        </w:rPr>
      </w:pPr>
      <w:r w:rsidRPr="00186BF8">
        <w:rPr>
          <w:rFonts w:ascii="Palatino Linotype" w:eastAsia="Calibri" w:hAnsi="Palatino Linotype"/>
          <w:b/>
          <w:i/>
          <w:lang w:val="es-ES_tradnl" w:eastAsia="es-MX"/>
        </w:rPr>
        <w:t>Artículo 122. La clasificación es el proceso mediante el cual el sujeto obligado determina que la información en su poder actualiza alguno de los supuestos de reserva o confidencialidad, de conformidad con lo dispuesto en el presente título.</w:t>
      </w:r>
    </w:p>
    <w:p w:rsidR="00251F2C" w:rsidRPr="00186BF8" w:rsidRDefault="00251F2C" w:rsidP="00251F2C">
      <w:pPr>
        <w:spacing w:before="240" w:line="360" w:lineRule="auto"/>
        <w:ind w:left="851" w:right="851"/>
        <w:jc w:val="both"/>
        <w:rPr>
          <w:rFonts w:ascii="Palatino Linotype" w:eastAsia="Calibri" w:hAnsi="Palatino Linotype" w:cs="Arial"/>
          <w:i/>
          <w:lang w:val="es-ES_tradnl" w:eastAsia="es-MX"/>
        </w:rPr>
      </w:pPr>
      <w:r w:rsidRPr="00186BF8">
        <w:rPr>
          <w:rFonts w:ascii="Palatino Linotype" w:eastAsia="Calibri" w:hAnsi="Palatino Linotype" w:cs="Arial"/>
          <w:i/>
          <w:lang w:val="es-ES_tradnl" w:eastAsia="es-MX"/>
        </w:rPr>
        <w:t>[…]</w:t>
      </w:r>
    </w:p>
    <w:p w:rsidR="00251F2C" w:rsidRPr="00186BF8" w:rsidRDefault="00251F2C" w:rsidP="00103B43">
      <w:pPr>
        <w:pStyle w:val="Textoindependienteprimerasangra2"/>
        <w:rPr>
          <w:rFonts w:ascii="Palatino Linotype" w:eastAsia="Calibri" w:hAnsi="Palatino Linotype"/>
          <w:i/>
          <w:lang w:val="es-ES_tradnl" w:eastAsia="es-MX"/>
        </w:rPr>
      </w:pPr>
      <w:r w:rsidRPr="00186BF8">
        <w:rPr>
          <w:rFonts w:ascii="Palatino Linotype" w:eastAsia="Calibri" w:hAnsi="Palatino Linotype"/>
          <w:i/>
          <w:lang w:val="es-ES_tradnl" w:eastAsia="es-MX"/>
        </w:rPr>
        <w:t>Artículo 132. La clasificación de la información se llevará a cabo en el momento en que:</w:t>
      </w:r>
    </w:p>
    <w:p w:rsidR="00251F2C" w:rsidRPr="00186BF8" w:rsidRDefault="00251F2C" w:rsidP="00251F2C">
      <w:pPr>
        <w:spacing w:before="240" w:line="360" w:lineRule="auto"/>
        <w:ind w:left="851" w:right="851"/>
        <w:jc w:val="both"/>
        <w:rPr>
          <w:rFonts w:ascii="Palatino Linotype" w:eastAsia="Calibri" w:hAnsi="Palatino Linotype" w:cs="Arial"/>
          <w:i/>
          <w:lang w:val="es-ES_tradnl" w:eastAsia="es-MX"/>
        </w:rPr>
      </w:pPr>
      <w:r w:rsidRPr="00186BF8">
        <w:rPr>
          <w:rFonts w:ascii="Palatino Linotype" w:eastAsia="Calibri" w:hAnsi="Palatino Linotype" w:cs="Arial"/>
          <w:i/>
          <w:lang w:val="es-ES_tradnl" w:eastAsia="es-MX"/>
        </w:rPr>
        <w:t>[…]</w:t>
      </w:r>
    </w:p>
    <w:p w:rsidR="00251F2C" w:rsidRPr="00186BF8" w:rsidRDefault="00251F2C" w:rsidP="00103B43">
      <w:pPr>
        <w:pStyle w:val="Textoindependienteprimerasangra2"/>
        <w:rPr>
          <w:rFonts w:ascii="Palatino Linotype" w:eastAsia="Calibri" w:hAnsi="Palatino Linotype"/>
          <w:b/>
          <w:i/>
          <w:u w:val="single"/>
          <w:lang w:val="es-ES_tradnl" w:eastAsia="es-MX"/>
        </w:rPr>
      </w:pPr>
      <w:r w:rsidRPr="00186BF8">
        <w:rPr>
          <w:rFonts w:ascii="Palatino Linotype" w:eastAsia="Calibri" w:hAnsi="Palatino Linotype"/>
          <w:b/>
          <w:i/>
          <w:u w:val="single"/>
          <w:lang w:val="es-ES_tradnl" w:eastAsia="es-MX"/>
        </w:rPr>
        <w:t>II. Se determine mediante resolución de autoridad competente; o</w:t>
      </w:r>
    </w:p>
    <w:p w:rsidR="00251F2C" w:rsidRPr="00186BF8" w:rsidRDefault="00251F2C" w:rsidP="00251F2C">
      <w:pPr>
        <w:spacing w:before="240" w:line="360" w:lineRule="auto"/>
        <w:ind w:left="851" w:right="851"/>
        <w:jc w:val="both"/>
        <w:rPr>
          <w:rFonts w:ascii="Palatino Linotype" w:eastAsia="Calibri" w:hAnsi="Palatino Linotype" w:cs="Arial"/>
          <w:b/>
          <w:i/>
          <w:lang w:val="es-ES_tradnl" w:eastAsia="es-MX"/>
        </w:rPr>
      </w:pPr>
      <w:r w:rsidRPr="00186BF8">
        <w:rPr>
          <w:rFonts w:ascii="Palatino Linotype" w:eastAsia="Calibri" w:hAnsi="Palatino Linotype" w:cs="Arial"/>
          <w:b/>
          <w:i/>
          <w:lang w:val="es-ES_tradnl" w:eastAsia="es-MX"/>
        </w:rPr>
        <w:t>(…)</w:t>
      </w:r>
    </w:p>
    <w:p w:rsidR="00251F2C" w:rsidRPr="00186BF8" w:rsidRDefault="00251F2C" w:rsidP="00103B43">
      <w:pPr>
        <w:pStyle w:val="Textoindependienteprimerasangra2"/>
        <w:rPr>
          <w:rFonts w:ascii="Palatino Linotype" w:eastAsia="Calibri" w:hAnsi="Palatino Linotype"/>
          <w:b/>
          <w:i/>
          <w:lang w:val="es-ES_tradnl" w:eastAsia="es-MX"/>
        </w:rPr>
      </w:pPr>
      <w:r w:rsidRPr="00186BF8">
        <w:rPr>
          <w:rFonts w:ascii="Palatino Linotype" w:eastAsia="Calibri" w:hAnsi="Palatino Linotype"/>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186BF8">
        <w:rPr>
          <w:rFonts w:ascii="Palatino Linotype" w:eastAsia="Calibri" w:hAnsi="Palatino Linotype"/>
          <w:b/>
          <w:i/>
          <w:lang w:val="es-ES_tradnl" w:eastAsia="es-MX"/>
        </w:rPr>
        <w:t xml:space="preserve"> </w:t>
      </w:r>
      <w:r w:rsidRPr="00186BF8">
        <w:rPr>
          <w:rFonts w:ascii="Palatino Linotype" w:eastAsia="Calibri" w:hAnsi="Palatino Linotype"/>
          <w:b/>
          <w:i/>
          <w:u w:val="single"/>
          <w:lang w:val="es-ES_tradnl" w:eastAsia="es-MX"/>
        </w:rPr>
        <w:t xml:space="preserve">de manera genérica y fundando y motivando su clasificación.” </w:t>
      </w:r>
      <w:r w:rsidRPr="00186BF8">
        <w:rPr>
          <w:rFonts w:ascii="Palatino Linotype" w:eastAsia="Calibri" w:hAnsi="Palatino Linotype"/>
          <w:b/>
          <w:i/>
          <w:lang w:val="es-ES_tradnl" w:eastAsia="es-MX"/>
        </w:rPr>
        <w:t>[Sic]</w:t>
      </w:r>
    </w:p>
    <w:p w:rsidR="00E64B94" w:rsidRPr="00186BF8" w:rsidRDefault="00E64B94" w:rsidP="00103B43">
      <w:pPr>
        <w:pStyle w:val="Textoindependiente"/>
        <w:rPr>
          <w:rFonts w:ascii="Palatino Linotype" w:eastAsia="Palatino Linotype" w:hAnsi="Palatino Linotype"/>
        </w:rPr>
      </w:pP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w:t>
      </w:r>
      <w:r w:rsidRPr="00186BF8">
        <w:rPr>
          <w:rFonts w:ascii="Palatino Linotype" w:eastAsia="Palatino Linotype" w:hAnsi="Palatino Linotype"/>
        </w:rPr>
        <w:lastRenderedPageBreak/>
        <w:t>número de OCR, CURP, el número de cuenta bancaria que sean exclusivamente de particulares, entre otros.</w:t>
      </w:r>
    </w:p>
    <w:p w:rsidR="00251F2C" w:rsidRPr="00186BF8" w:rsidRDefault="00251F2C" w:rsidP="00251F2C">
      <w:pPr>
        <w:pStyle w:val="Prrafodelista"/>
        <w:numPr>
          <w:ilvl w:val="0"/>
          <w:numId w:val="8"/>
        </w:numPr>
        <w:spacing w:line="360" w:lineRule="auto"/>
        <w:jc w:val="both"/>
        <w:rPr>
          <w:rFonts w:ascii="Palatino Linotype" w:eastAsia="Palatino Linotype" w:hAnsi="Palatino Linotype" w:cs="Palatino Linotype"/>
        </w:rPr>
      </w:pPr>
      <w:r w:rsidRPr="00186BF8">
        <w:rPr>
          <w:rFonts w:ascii="Palatino Linotype" w:eastAsia="Palatino Linotype" w:hAnsi="Palatino Linotype" w:cs="Palatino Linotype"/>
        </w:rPr>
        <w:t xml:space="preserve">La </w:t>
      </w:r>
      <w:r w:rsidRPr="00186BF8">
        <w:rPr>
          <w:rFonts w:ascii="Palatino Linotype" w:eastAsia="Palatino Linotype" w:hAnsi="Palatino Linotype" w:cs="Palatino Linotype"/>
          <w:b/>
        </w:rPr>
        <w:t>clave de elector</w:t>
      </w:r>
      <w:r w:rsidRPr="00186BF8">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251F2C" w:rsidRPr="00186BF8" w:rsidRDefault="00251F2C" w:rsidP="00251F2C">
      <w:pPr>
        <w:pStyle w:val="Prrafodelista"/>
        <w:numPr>
          <w:ilvl w:val="0"/>
          <w:numId w:val="8"/>
        </w:numPr>
        <w:spacing w:line="360" w:lineRule="auto"/>
        <w:jc w:val="both"/>
        <w:rPr>
          <w:rFonts w:ascii="Palatino Linotype" w:eastAsia="Palatino Linotype" w:hAnsi="Palatino Linotype" w:cs="Palatino Linotype"/>
        </w:rPr>
      </w:pPr>
      <w:r w:rsidRPr="00186BF8">
        <w:rPr>
          <w:rFonts w:ascii="Palatino Linotype" w:eastAsia="Palatino Linotype" w:hAnsi="Palatino Linotype" w:cs="Palatino Linotype"/>
        </w:rPr>
        <w:t xml:space="preserve">El </w:t>
      </w:r>
      <w:r w:rsidRPr="00186BF8">
        <w:rPr>
          <w:rFonts w:ascii="Palatino Linotype" w:eastAsia="Palatino Linotype" w:hAnsi="Palatino Linotype" w:cs="Palatino Linotype"/>
          <w:b/>
        </w:rPr>
        <w:t>número de OCR,</w:t>
      </w:r>
      <w:r w:rsidRPr="00186BF8">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rsidR="00251F2C" w:rsidRPr="00186BF8" w:rsidRDefault="00251F2C" w:rsidP="00251F2C">
      <w:pPr>
        <w:pStyle w:val="Prrafodelista"/>
        <w:numPr>
          <w:ilvl w:val="0"/>
          <w:numId w:val="8"/>
        </w:numPr>
        <w:spacing w:line="360" w:lineRule="auto"/>
        <w:ind w:right="51"/>
        <w:jc w:val="both"/>
        <w:rPr>
          <w:rFonts w:ascii="Palatino Linotype" w:eastAsiaTheme="minorHAnsi" w:hAnsi="Palatino Linotype" w:cstheme="minorBidi"/>
          <w:szCs w:val="14"/>
        </w:rPr>
      </w:pPr>
      <w:r w:rsidRPr="00186BF8">
        <w:rPr>
          <w:rFonts w:ascii="Palatino Linotype" w:eastAsia="Palatino Linotype" w:hAnsi="Palatino Linotype" w:cs="Palatino Linotype"/>
        </w:rPr>
        <w:t xml:space="preserve">Igualmente, resulta importante destacar que el </w:t>
      </w:r>
      <w:r w:rsidRPr="00186BF8">
        <w:rPr>
          <w:rFonts w:ascii="Palatino Linotype" w:eastAsia="Palatino Linotype" w:hAnsi="Palatino Linotype" w:cs="Palatino Linotype"/>
          <w:b/>
          <w:i/>
        </w:rPr>
        <w:t>número de cuenta bancaria</w:t>
      </w:r>
      <w:r w:rsidRPr="00186BF8">
        <w:rPr>
          <w:rFonts w:ascii="Palatino Linotype" w:eastAsia="Palatino Linotype" w:hAnsi="Palatino Linotype" w:cs="Palatino Linotype"/>
          <w:b/>
        </w:rPr>
        <w:t xml:space="preserve"> de las personas físicas y morales privadas </w:t>
      </w:r>
      <w:r w:rsidRPr="00186BF8">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251F2C" w:rsidRPr="00186BF8" w:rsidRDefault="00251F2C" w:rsidP="00251F2C">
      <w:pPr>
        <w:spacing w:line="360" w:lineRule="auto"/>
        <w:ind w:right="50"/>
        <w:jc w:val="both"/>
        <w:rPr>
          <w:rFonts w:ascii="Palatino Linotype" w:eastAsia="Palatino Linotype" w:hAnsi="Palatino Linotype" w:cs="Palatino Linotype"/>
        </w:rPr>
      </w:pP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 xml:space="preserve">Por lo anterior, el número de cuenta bancaria de particulares debe ser clasificado como confidencial con fundamento en las fracciones I y II del artículo 143 de la Ley de la Materia de la Entidad; en razón de que, con su difusión se estaría poniendo en riesgo la seguridad de su titular. </w:t>
      </w: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 xml:space="preserve">En esa virtud, este Pleno determina que dicha información no puede ser del dominio público, toda vez que se podría dar un uso inadecuado a la misma o cometer algún ilícito o fraude como ya ha sido expuesto. </w:t>
      </w: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Es por esta razón que se debe omitir el o los números de cuentas bancarias de particulares en las versiones públicas que del contrato y la o las facturas se hagan, para ser entregadas.</w:t>
      </w: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251F2C" w:rsidRPr="00186BF8" w:rsidRDefault="00251F2C" w:rsidP="00E64B94">
      <w:pPr>
        <w:pStyle w:val="Textoindependiente"/>
        <w:spacing w:line="360" w:lineRule="auto"/>
        <w:jc w:val="both"/>
        <w:rPr>
          <w:rFonts w:ascii="Palatino Linotype" w:eastAsia="Palatino Linotype" w:hAnsi="Palatino Linotype"/>
        </w:rPr>
      </w:pPr>
      <w:r w:rsidRPr="00186BF8">
        <w:rPr>
          <w:rFonts w:ascii="Palatino Linotype" w:eastAsia="Palatino Linotype" w:hAnsi="Palatino Linotype"/>
        </w:rPr>
        <w:t>Lo argumentado encuentra sustento en los criterios 10/17 y 11/17 emitidos por el Instituto Nacional de Transparencia, Acceso a la Información y Protección de Datos Personales, INAI, que llevan por rubro y texto los siguientes:</w:t>
      </w:r>
    </w:p>
    <w:p w:rsidR="00251F2C" w:rsidRPr="00186BF8" w:rsidRDefault="00251F2C" w:rsidP="00E64B94">
      <w:pPr>
        <w:pStyle w:val="Citas"/>
      </w:pPr>
      <w:r w:rsidRPr="00186BF8">
        <w:rPr>
          <w:b/>
        </w:rPr>
        <w:t>“Cuentas bancarias y/o CLABE interbancaria de personas físicas y morales privadas.</w:t>
      </w:r>
      <w:r w:rsidRPr="00186BF8">
        <w:t xml:space="preserve"> El número de cuenta bancaria y/o CLABE interbancaria de particulares es información confidencial, al tratarse de un conjunto de caracteres numéricos utilizados por los grupos financieros para identificar las cuentas de sus clientes, a </w:t>
      </w:r>
      <w:r w:rsidRPr="00186BF8">
        <w:lastRenderedPageBreak/>
        <w:t>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251F2C" w:rsidRPr="00186BF8" w:rsidRDefault="00251F2C" w:rsidP="00E64B94">
      <w:pPr>
        <w:pStyle w:val="Citas"/>
      </w:pPr>
      <w:r w:rsidRPr="00186BF8">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E64B94" w:rsidRPr="00186BF8" w:rsidRDefault="00E64B94" w:rsidP="00E64B94">
      <w:pPr>
        <w:pStyle w:val="Textoindependiente"/>
        <w:spacing w:line="360" w:lineRule="auto"/>
        <w:jc w:val="both"/>
        <w:rPr>
          <w:rFonts w:ascii="Palatino Linotype" w:eastAsia="Calibri" w:hAnsi="Palatino Linotype"/>
          <w:lang w:val="es-ES_tradnl" w:eastAsia="es-MX"/>
        </w:rPr>
      </w:pPr>
    </w:p>
    <w:p w:rsidR="00251F2C" w:rsidRPr="00186BF8" w:rsidRDefault="00251F2C" w:rsidP="00E64B94">
      <w:pPr>
        <w:pStyle w:val="Textoindependiente"/>
        <w:spacing w:line="360" w:lineRule="auto"/>
        <w:jc w:val="both"/>
        <w:rPr>
          <w:rFonts w:ascii="Palatino Linotype" w:eastAsia="Calibri" w:hAnsi="Palatino Linotype"/>
          <w:lang w:val="es-ES_tradnl" w:eastAsia="es-MX"/>
        </w:rPr>
      </w:pPr>
      <w:r w:rsidRPr="00186BF8">
        <w:rPr>
          <w:rFonts w:ascii="Palatino Linotype" w:eastAsia="Calibri" w:hAnsi="Palatino Linotype"/>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186BF8">
        <w:rPr>
          <w:rFonts w:ascii="Palatino Linotype" w:eastAsia="Calibri" w:hAnsi="Palatino Linotype"/>
          <w:b/>
          <w:lang w:val="es-ES_tradnl" w:eastAsia="es-MX"/>
        </w:rPr>
        <w:t>LINEAMIENTOS GENERALES EN MATERIA DE CLASIFICACIÓN Y DESCLASIFICACIÓN DE LA INFORMACIÓN, ASÍ COMO PARA LA ELABORACIÓN DE VERSIONES PÚBLICAS,</w:t>
      </w:r>
      <w:r w:rsidRPr="00186BF8">
        <w:rPr>
          <w:rFonts w:ascii="Palatino Linotype" w:eastAsia="Calibri" w:hAnsi="Palatino Linotype"/>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C41BA" w:rsidRPr="00186BF8" w:rsidRDefault="00FC41BA" w:rsidP="00E64B94">
      <w:pPr>
        <w:pStyle w:val="Textoindependiente"/>
        <w:spacing w:line="360" w:lineRule="auto"/>
        <w:jc w:val="both"/>
        <w:rPr>
          <w:rFonts w:ascii="Palatino Linotype" w:eastAsia="Calibri" w:hAnsi="Palatino Linotype"/>
          <w:lang w:val="es-ES_tradnl" w:eastAsia="es-MX"/>
        </w:rPr>
      </w:pPr>
    </w:p>
    <w:p w:rsidR="00251F2C" w:rsidRPr="00186BF8" w:rsidRDefault="00251F2C" w:rsidP="00E64B94">
      <w:pPr>
        <w:pStyle w:val="Textoindependiente"/>
        <w:spacing w:line="360" w:lineRule="auto"/>
        <w:jc w:val="both"/>
        <w:rPr>
          <w:rFonts w:ascii="Palatino Linotype" w:eastAsiaTheme="minorHAnsi" w:hAnsi="Palatino Linotype"/>
          <w:lang w:val="es-MX" w:eastAsia="en-US"/>
        </w:rPr>
      </w:pPr>
      <w:r w:rsidRPr="00186BF8">
        <w:rPr>
          <w:rFonts w:ascii="Palatino Linotype" w:eastAsiaTheme="minorHAnsi" w:hAnsi="Palatino Linotype"/>
          <w:lang w:val="es-MX" w:eastAsia="en-US"/>
        </w:rPr>
        <w:lastRenderedPageBreak/>
        <w:t xml:space="preserve">En mérito de lo expuesto en líneas anteriores, al resultar parcialmente fundados los motivos de inconformidad vertidos por </w:t>
      </w:r>
      <w:r w:rsidRPr="00186BF8">
        <w:rPr>
          <w:rFonts w:ascii="Palatino Linotype" w:eastAsiaTheme="minorHAnsi" w:hAnsi="Palatino Linotype"/>
          <w:b/>
          <w:lang w:val="es-MX" w:eastAsia="en-US"/>
        </w:rPr>
        <w:t>el Recurrente</w:t>
      </w:r>
      <w:r w:rsidRPr="00186BF8">
        <w:rPr>
          <w:rFonts w:ascii="Palatino Linotype" w:eastAsiaTheme="minorHAnsi" w:hAnsi="Palatino Linotype"/>
          <w:lang w:val="es-MX" w:eastAsia="en-US"/>
        </w:rPr>
        <w:t xml:space="preserve">, con fundamento en la segunda hipótesis del artículo 186 fracción III de la Ley de Transparencia y Acceso a la Información Pública del Estado de México y Municipios, se </w:t>
      </w:r>
      <w:r w:rsidRPr="00186BF8">
        <w:rPr>
          <w:rFonts w:ascii="Palatino Linotype" w:eastAsiaTheme="minorHAnsi" w:hAnsi="Palatino Linotype"/>
          <w:b/>
          <w:lang w:val="es-MX" w:eastAsia="en-US"/>
        </w:rPr>
        <w:t xml:space="preserve">REVOCA </w:t>
      </w:r>
      <w:r w:rsidRPr="00186BF8">
        <w:rPr>
          <w:rFonts w:ascii="Palatino Linotype" w:eastAsiaTheme="minorHAnsi" w:hAnsi="Palatino Linotype"/>
          <w:lang w:val="es-MX" w:eastAsia="en-US"/>
        </w:rPr>
        <w:t xml:space="preserve">la respuesta emitida a la solicitud de información </w:t>
      </w:r>
      <w:r w:rsidRPr="00186BF8">
        <w:rPr>
          <w:rFonts w:ascii="Palatino Linotype" w:hAnsi="Palatino Linotype"/>
          <w:b/>
          <w:bCs/>
        </w:rPr>
        <w:t>00139/ACULCO/IP/2025</w:t>
      </w:r>
      <w:r w:rsidRPr="00186BF8">
        <w:rPr>
          <w:rFonts w:ascii="Palatino Linotype" w:eastAsiaTheme="minorHAnsi" w:hAnsi="Palatino Linotype"/>
          <w:b/>
          <w:bCs/>
        </w:rPr>
        <w:t>,</w:t>
      </w:r>
      <w:r w:rsidRPr="00186BF8">
        <w:rPr>
          <w:rFonts w:ascii="Palatino Linotype" w:eastAsiaTheme="minorHAnsi" w:hAnsi="Palatino Linotype" w:cs="Arial"/>
          <w:lang w:val="es-MX" w:eastAsia="en-US"/>
        </w:rPr>
        <w:t xml:space="preserve"> </w:t>
      </w:r>
      <w:r w:rsidRPr="00186BF8">
        <w:rPr>
          <w:rFonts w:ascii="Palatino Linotype" w:eastAsiaTheme="minorHAnsi" w:hAnsi="Palatino Linotype"/>
          <w:lang w:val="es-MX" w:eastAsia="en-US"/>
        </w:rPr>
        <w:t>que ha sido materia del presente fallo.</w:t>
      </w:r>
    </w:p>
    <w:p w:rsidR="00251F2C" w:rsidRPr="00186BF8" w:rsidRDefault="00251F2C" w:rsidP="00E64B94">
      <w:pPr>
        <w:pStyle w:val="Textoindependiente"/>
        <w:spacing w:line="360" w:lineRule="auto"/>
        <w:jc w:val="both"/>
        <w:rPr>
          <w:rFonts w:ascii="Palatino Linotype" w:hAnsi="Palatino Linotype"/>
          <w:lang w:val="es-MX"/>
        </w:rPr>
      </w:pPr>
      <w:r w:rsidRPr="00186BF8">
        <w:rPr>
          <w:rFonts w:ascii="Palatino Linotype" w:hAnsi="Palatino Linotype"/>
          <w:lang w:val="es-MX"/>
        </w:rPr>
        <w:t>Por lo antes expuesto y fundado es de resolverse y,</w:t>
      </w:r>
    </w:p>
    <w:p w:rsidR="00251F2C" w:rsidRPr="00186BF8" w:rsidRDefault="00251F2C" w:rsidP="00E64B94">
      <w:pPr>
        <w:pStyle w:val="Textoindependiente"/>
        <w:jc w:val="center"/>
        <w:rPr>
          <w:rFonts w:ascii="Palatino Linotype" w:hAnsi="Palatino Linotype"/>
          <w:b/>
          <w:sz w:val="28"/>
          <w:lang w:val="es-ES_tradnl"/>
        </w:rPr>
      </w:pPr>
      <w:r w:rsidRPr="00186BF8">
        <w:rPr>
          <w:rFonts w:ascii="Palatino Linotype" w:hAnsi="Palatino Linotype"/>
          <w:b/>
          <w:sz w:val="28"/>
          <w:lang w:val="es-ES_tradnl"/>
        </w:rPr>
        <w:t>SE    RESUELVE</w:t>
      </w: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b/>
          <w:sz w:val="28"/>
        </w:rPr>
        <w:t>PRIMERO</w:t>
      </w:r>
      <w:r w:rsidRPr="00186BF8">
        <w:rPr>
          <w:rFonts w:ascii="Palatino Linotype" w:hAnsi="Palatino Linotype"/>
        </w:rPr>
        <w:t>. Se</w:t>
      </w:r>
      <w:r w:rsidRPr="00186BF8">
        <w:rPr>
          <w:rFonts w:ascii="Palatino Linotype" w:hAnsi="Palatino Linotype"/>
          <w:b/>
        </w:rPr>
        <w:t xml:space="preserve"> REVOCA </w:t>
      </w:r>
      <w:r w:rsidRPr="00186BF8">
        <w:rPr>
          <w:rFonts w:ascii="Palatino Linotype" w:hAnsi="Palatino Linotype"/>
        </w:rPr>
        <w:t xml:space="preserve">la respuesta del </w:t>
      </w:r>
      <w:r w:rsidRPr="00186BF8">
        <w:rPr>
          <w:rFonts w:ascii="Palatino Linotype" w:hAnsi="Palatino Linotype"/>
          <w:b/>
        </w:rPr>
        <w:t>Sujeto Obligado</w:t>
      </w:r>
      <w:r w:rsidRPr="00186BF8">
        <w:rPr>
          <w:rFonts w:ascii="Palatino Linotype" w:hAnsi="Palatino Linotype"/>
        </w:rPr>
        <w:t xml:space="preserve"> a la solicitud de acceso a la información pública</w:t>
      </w:r>
      <w:r w:rsidRPr="00186BF8">
        <w:rPr>
          <w:rFonts w:ascii="Palatino Linotype" w:hAnsi="Palatino Linotype"/>
          <w:b/>
        </w:rPr>
        <w:t xml:space="preserve"> </w:t>
      </w:r>
      <w:r w:rsidRPr="00186BF8">
        <w:rPr>
          <w:rFonts w:ascii="Palatino Linotype" w:hAnsi="Palatino Linotype"/>
          <w:b/>
          <w:bCs/>
        </w:rPr>
        <w:t>00139/ACULCO/IP/2025</w:t>
      </w:r>
      <w:r w:rsidRPr="00186BF8">
        <w:rPr>
          <w:rFonts w:ascii="Palatino Linotype" w:hAnsi="Palatino Linotype"/>
        </w:rPr>
        <w:t>,</w:t>
      </w:r>
      <w:r w:rsidRPr="00186BF8">
        <w:rPr>
          <w:rFonts w:ascii="Palatino Linotype" w:hAnsi="Palatino Linotype" w:cs="Tahoma"/>
          <w:b/>
        </w:rPr>
        <w:t xml:space="preserve"> </w:t>
      </w:r>
      <w:r w:rsidRPr="00186BF8">
        <w:rPr>
          <w:rFonts w:ascii="Palatino Linotype" w:hAnsi="Palatino Linotype"/>
        </w:rPr>
        <w:t>por resultar fundados</w:t>
      </w:r>
      <w:r w:rsidRPr="00186BF8">
        <w:rPr>
          <w:rFonts w:ascii="Palatino Linotype" w:hAnsi="Palatino Linotype"/>
          <w:b/>
        </w:rPr>
        <w:t xml:space="preserve"> </w:t>
      </w:r>
      <w:r w:rsidRPr="00186BF8">
        <w:rPr>
          <w:rFonts w:ascii="Palatino Linotype" w:hAnsi="Palatino Linotype"/>
        </w:rPr>
        <w:t xml:space="preserve">los motivos de inconformidad vertidos por la parte </w:t>
      </w:r>
      <w:r w:rsidRPr="00186BF8">
        <w:rPr>
          <w:rFonts w:ascii="Palatino Linotype" w:hAnsi="Palatino Linotype"/>
          <w:b/>
        </w:rPr>
        <w:t>Recurrente</w:t>
      </w:r>
      <w:r w:rsidRPr="00186BF8">
        <w:rPr>
          <w:rFonts w:ascii="Palatino Linotype" w:hAnsi="Palatino Linotype"/>
        </w:rPr>
        <w:t>, en términos del considerando</w:t>
      </w:r>
      <w:r w:rsidRPr="00186BF8">
        <w:rPr>
          <w:rFonts w:ascii="Palatino Linotype" w:hAnsi="Palatino Linotype"/>
          <w:b/>
        </w:rPr>
        <w:t xml:space="preserve"> CUARTO </w:t>
      </w:r>
      <w:r w:rsidRPr="00186BF8">
        <w:rPr>
          <w:rFonts w:ascii="Palatino Linotype" w:hAnsi="Palatino Linotype"/>
        </w:rPr>
        <w:t>de la presente Resolución.</w:t>
      </w:r>
    </w:p>
    <w:p w:rsidR="00E64B94" w:rsidRPr="00186BF8" w:rsidRDefault="00E64B94" w:rsidP="00E64B94">
      <w:pPr>
        <w:pStyle w:val="Textoindependiente"/>
        <w:spacing w:line="360" w:lineRule="auto"/>
        <w:jc w:val="both"/>
        <w:rPr>
          <w:rFonts w:ascii="Palatino Linotype" w:hAnsi="Palatino Linotype"/>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cs="Arial"/>
          <w:b/>
          <w:sz w:val="28"/>
        </w:rPr>
        <w:t>SEGUNDO</w:t>
      </w:r>
      <w:r w:rsidRPr="00186BF8">
        <w:rPr>
          <w:rFonts w:ascii="Palatino Linotype" w:hAnsi="Palatino Linotype" w:cs="Arial"/>
          <w:b/>
        </w:rPr>
        <w:t>.</w:t>
      </w:r>
      <w:r w:rsidRPr="00186BF8">
        <w:rPr>
          <w:rFonts w:ascii="Palatino Linotype" w:hAnsi="Palatino Linotype"/>
        </w:rPr>
        <w:t xml:space="preserve"> Se </w:t>
      </w:r>
      <w:r w:rsidRPr="00186BF8">
        <w:rPr>
          <w:rFonts w:ascii="Palatino Linotype" w:hAnsi="Palatino Linotype"/>
          <w:b/>
        </w:rPr>
        <w:t>ORDENA</w:t>
      </w:r>
      <w:r w:rsidRPr="00186BF8">
        <w:rPr>
          <w:rFonts w:ascii="Palatino Linotype" w:hAnsi="Palatino Linotype"/>
        </w:rPr>
        <w:t xml:space="preserve"> al </w:t>
      </w:r>
      <w:r w:rsidRPr="00186BF8">
        <w:rPr>
          <w:rFonts w:ascii="Palatino Linotype" w:hAnsi="Palatino Linotype"/>
          <w:b/>
        </w:rPr>
        <w:t>Sujeto Obligado,</w:t>
      </w:r>
      <w:r w:rsidRPr="00186BF8">
        <w:rPr>
          <w:rFonts w:ascii="Palatino Linotype" w:hAnsi="Palatino Linotype"/>
        </w:rPr>
        <w:t xml:space="preserve"> haga entrega a la parte </w:t>
      </w:r>
      <w:r w:rsidRPr="00186BF8">
        <w:rPr>
          <w:rFonts w:ascii="Palatino Linotype" w:hAnsi="Palatino Linotype"/>
          <w:b/>
        </w:rPr>
        <w:t>Recurrente</w:t>
      </w:r>
      <w:r w:rsidRPr="00186BF8">
        <w:rPr>
          <w:rFonts w:ascii="Palatino Linotype" w:hAnsi="Palatino Linotype"/>
        </w:rPr>
        <w:t>, a través del Sistema de Acceso a la Información Mexiquense (</w:t>
      </w:r>
      <w:r w:rsidRPr="00186BF8">
        <w:rPr>
          <w:rFonts w:ascii="Palatino Linotype" w:hAnsi="Palatino Linotype"/>
          <w:b/>
        </w:rPr>
        <w:t>SAIMEX</w:t>
      </w:r>
      <w:r w:rsidRPr="00186BF8">
        <w:rPr>
          <w:rFonts w:ascii="Palatino Linotype" w:hAnsi="Palatino Linotype"/>
        </w:rPr>
        <w:t xml:space="preserve">), </w:t>
      </w:r>
      <w:r w:rsidR="00383945" w:rsidRPr="00186BF8">
        <w:rPr>
          <w:rFonts w:ascii="Palatino Linotype" w:hAnsi="Palatino Linotype"/>
        </w:rPr>
        <w:t xml:space="preserve">previa búsqueda exhaustiva y razonable, </w:t>
      </w:r>
      <w:r w:rsidRPr="00186BF8">
        <w:rPr>
          <w:rFonts w:ascii="Palatino Linotype" w:hAnsi="Palatino Linotype"/>
        </w:rPr>
        <w:t xml:space="preserve">en versión pública de ser procedente, </w:t>
      </w:r>
      <w:r w:rsidRPr="00186BF8">
        <w:rPr>
          <w:rFonts w:ascii="Palatino Linotype" w:hAnsi="Palatino Linotype"/>
          <w:bCs/>
        </w:rPr>
        <w:t>los documentos que den cuenta de</w:t>
      </w:r>
      <w:r w:rsidR="009339A7" w:rsidRPr="00186BF8">
        <w:rPr>
          <w:rFonts w:ascii="Palatino Linotype" w:hAnsi="Palatino Linotype"/>
          <w:bCs/>
        </w:rPr>
        <w:t xml:space="preserve"> lo siguiente</w:t>
      </w:r>
      <w:r w:rsidRPr="00186BF8">
        <w:rPr>
          <w:rFonts w:ascii="Palatino Linotype" w:hAnsi="Palatino Linotype"/>
          <w:bCs/>
        </w:rPr>
        <w:t>:</w:t>
      </w:r>
    </w:p>
    <w:p w:rsidR="009339A7" w:rsidRPr="00186BF8" w:rsidRDefault="00871F05" w:rsidP="009339A7">
      <w:pPr>
        <w:pStyle w:val="Prrafodelista"/>
        <w:numPr>
          <w:ilvl w:val="0"/>
          <w:numId w:val="5"/>
        </w:numPr>
        <w:tabs>
          <w:tab w:val="left" w:pos="1828"/>
        </w:tabs>
        <w:spacing w:line="360" w:lineRule="auto"/>
        <w:ind w:left="567" w:hanging="229"/>
        <w:jc w:val="both"/>
        <w:rPr>
          <w:rFonts w:ascii="Palatino Linotype" w:hAnsi="Palatino Linotype" w:cs="Tahoma"/>
          <w:bCs/>
        </w:rPr>
      </w:pPr>
      <w:r w:rsidRPr="00186BF8">
        <w:rPr>
          <w:rFonts w:ascii="Palatino Linotype" w:hAnsi="Palatino Linotype" w:cs="Tahoma"/>
          <w:bCs/>
        </w:rPr>
        <w:t>E</w:t>
      </w:r>
      <w:r w:rsidR="009339A7" w:rsidRPr="00186BF8">
        <w:rPr>
          <w:rFonts w:ascii="Palatino Linotype" w:hAnsi="Palatino Linotype" w:cs="Tahoma"/>
          <w:bCs/>
        </w:rPr>
        <w:t xml:space="preserve">mpresas a las que se les otorgaron los contratos de las bandas </w:t>
      </w:r>
      <w:r w:rsidR="00FC41BA" w:rsidRPr="00186BF8">
        <w:rPr>
          <w:rFonts w:ascii="Palatino Linotype" w:hAnsi="Palatino Linotype" w:cs="Tahoma"/>
          <w:bCs/>
        </w:rPr>
        <w:t xml:space="preserve">musicales </w:t>
      </w:r>
      <w:r w:rsidR="009339A7" w:rsidRPr="00186BF8">
        <w:rPr>
          <w:rFonts w:ascii="Palatino Linotype" w:hAnsi="Palatino Linotype" w:cs="Tahoma"/>
          <w:bCs/>
        </w:rPr>
        <w:t xml:space="preserve">para bailes y eventos que se han realizado, del 01 de enero al 09 de julio de 2025, así como, el presupuesto que se ha destinado para cada evento. </w:t>
      </w:r>
    </w:p>
    <w:p w:rsidR="009339A7" w:rsidRPr="00186BF8" w:rsidRDefault="009339A7" w:rsidP="009339A7">
      <w:pPr>
        <w:pStyle w:val="Prrafodelista"/>
        <w:numPr>
          <w:ilvl w:val="0"/>
          <w:numId w:val="5"/>
        </w:numPr>
        <w:tabs>
          <w:tab w:val="left" w:pos="1828"/>
        </w:tabs>
        <w:spacing w:line="360" w:lineRule="auto"/>
        <w:ind w:left="567" w:hanging="229"/>
        <w:jc w:val="both"/>
        <w:rPr>
          <w:rFonts w:ascii="Palatino Linotype" w:hAnsi="Palatino Linotype" w:cs="Tahoma"/>
          <w:bCs/>
        </w:rPr>
      </w:pPr>
      <w:r w:rsidRPr="00186BF8">
        <w:rPr>
          <w:rFonts w:ascii="Palatino Linotype" w:hAnsi="Palatino Linotype" w:cs="Tahoma"/>
          <w:bCs/>
        </w:rPr>
        <w:t>Empresa</w:t>
      </w:r>
      <w:r w:rsidR="00871F05" w:rsidRPr="00186BF8">
        <w:rPr>
          <w:rFonts w:ascii="Palatino Linotype" w:hAnsi="Palatino Linotype" w:cs="Tahoma"/>
          <w:bCs/>
        </w:rPr>
        <w:t>s</w:t>
      </w:r>
      <w:r w:rsidRPr="00186BF8">
        <w:rPr>
          <w:rFonts w:ascii="Palatino Linotype" w:hAnsi="Palatino Linotype" w:cs="Tahoma"/>
          <w:bCs/>
        </w:rPr>
        <w:t xml:space="preserve"> </w:t>
      </w:r>
      <w:r w:rsidR="00871F05" w:rsidRPr="00186BF8">
        <w:rPr>
          <w:rFonts w:ascii="Palatino Linotype" w:hAnsi="Palatino Linotype" w:cs="Tahoma"/>
          <w:bCs/>
        </w:rPr>
        <w:t xml:space="preserve">proveedoras de </w:t>
      </w:r>
      <w:r w:rsidRPr="00186BF8">
        <w:rPr>
          <w:rFonts w:ascii="Palatino Linotype" w:hAnsi="Palatino Linotype" w:cs="Tahoma"/>
          <w:bCs/>
        </w:rPr>
        <w:t xml:space="preserve">refacciones para los vehículos oficiales, </w:t>
      </w:r>
      <w:r w:rsidR="00871F05" w:rsidRPr="00186BF8">
        <w:rPr>
          <w:rFonts w:ascii="Palatino Linotype" w:hAnsi="Palatino Linotype" w:cs="Tahoma"/>
          <w:bCs/>
        </w:rPr>
        <w:t>así como, las</w:t>
      </w:r>
      <w:r w:rsidRPr="00186BF8">
        <w:rPr>
          <w:rFonts w:ascii="Palatino Linotype" w:hAnsi="Palatino Linotype" w:cs="Tahoma"/>
          <w:bCs/>
        </w:rPr>
        <w:t xml:space="preserve"> facturas por mes</w:t>
      </w:r>
      <w:r w:rsidR="00383945" w:rsidRPr="00186BF8">
        <w:rPr>
          <w:rFonts w:ascii="Palatino Linotype" w:hAnsi="Palatino Linotype" w:cs="Tahoma"/>
          <w:bCs/>
        </w:rPr>
        <w:t>, del 01 de enero al 09 de julio de 2025</w:t>
      </w:r>
      <w:r w:rsidRPr="00186BF8">
        <w:rPr>
          <w:rFonts w:ascii="Palatino Linotype" w:hAnsi="Palatino Linotype" w:cs="Tahoma"/>
          <w:bCs/>
        </w:rPr>
        <w:t xml:space="preserve">. </w:t>
      </w:r>
    </w:p>
    <w:p w:rsidR="00251F2C" w:rsidRPr="00186BF8" w:rsidRDefault="00871F05" w:rsidP="009339A7">
      <w:pPr>
        <w:pStyle w:val="INFOEM"/>
        <w:numPr>
          <w:ilvl w:val="0"/>
          <w:numId w:val="5"/>
        </w:numPr>
        <w:spacing w:before="0" w:after="0"/>
        <w:ind w:left="567" w:right="567" w:hanging="229"/>
        <w:rPr>
          <w:i w:val="0"/>
          <w:sz w:val="24"/>
          <w:szCs w:val="24"/>
        </w:rPr>
      </w:pPr>
      <w:r w:rsidRPr="00186BF8">
        <w:rPr>
          <w:rFonts w:cs="Tahoma"/>
          <w:bCs/>
          <w:i w:val="0"/>
          <w:sz w:val="24"/>
          <w:szCs w:val="24"/>
        </w:rPr>
        <w:lastRenderedPageBreak/>
        <w:t>Lista de proveedores,</w:t>
      </w:r>
      <w:r w:rsidR="009339A7" w:rsidRPr="00186BF8">
        <w:rPr>
          <w:rFonts w:cs="Tahoma"/>
          <w:bCs/>
          <w:i w:val="0"/>
          <w:sz w:val="24"/>
          <w:szCs w:val="24"/>
        </w:rPr>
        <w:t xml:space="preserve"> </w:t>
      </w:r>
      <w:r w:rsidRPr="00186BF8">
        <w:rPr>
          <w:rFonts w:cs="Tahoma"/>
          <w:bCs/>
          <w:i w:val="0"/>
          <w:sz w:val="24"/>
          <w:szCs w:val="24"/>
        </w:rPr>
        <w:t>objeto de la compra</w:t>
      </w:r>
      <w:r w:rsidR="009339A7" w:rsidRPr="00186BF8">
        <w:rPr>
          <w:rFonts w:cs="Tahoma"/>
          <w:bCs/>
          <w:i w:val="0"/>
          <w:sz w:val="24"/>
          <w:szCs w:val="24"/>
        </w:rPr>
        <w:t xml:space="preserve"> y monto </w:t>
      </w:r>
      <w:r w:rsidRPr="00186BF8">
        <w:rPr>
          <w:rFonts w:cs="Tahoma"/>
          <w:bCs/>
          <w:i w:val="0"/>
          <w:sz w:val="24"/>
          <w:szCs w:val="24"/>
        </w:rPr>
        <w:t>pagado a</w:t>
      </w:r>
      <w:r w:rsidR="009339A7" w:rsidRPr="00186BF8">
        <w:rPr>
          <w:rFonts w:cs="Tahoma"/>
          <w:bCs/>
          <w:i w:val="0"/>
          <w:sz w:val="24"/>
          <w:szCs w:val="24"/>
        </w:rPr>
        <w:t xml:space="preserve"> cada proveedor</w:t>
      </w:r>
      <w:r w:rsidRPr="00186BF8">
        <w:rPr>
          <w:rFonts w:cs="Tahoma"/>
          <w:bCs/>
          <w:i w:val="0"/>
          <w:sz w:val="24"/>
          <w:szCs w:val="24"/>
        </w:rPr>
        <w:t>,</w:t>
      </w:r>
      <w:r w:rsidR="009339A7" w:rsidRPr="00186BF8">
        <w:rPr>
          <w:rFonts w:cs="Tahoma"/>
          <w:bCs/>
          <w:i w:val="0"/>
          <w:sz w:val="24"/>
          <w:szCs w:val="24"/>
        </w:rPr>
        <w:t xml:space="preserve"> del 01 de enero al 09 de julio de 2025</w:t>
      </w:r>
      <w:r w:rsidR="00251F2C" w:rsidRPr="00186BF8">
        <w:rPr>
          <w:rFonts w:cs="Tahoma"/>
          <w:bCs/>
          <w:i w:val="0"/>
          <w:sz w:val="24"/>
          <w:szCs w:val="24"/>
          <w:lang w:val="es-ES"/>
        </w:rPr>
        <w:t>.</w:t>
      </w:r>
    </w:p>
    <w:p w:rsidR="00251F2C" w:rsidRPr="00186BF8" w:rsidRDefault="00251F2C" w:rsidP="00251F2C">
      <w:pPr>
        <w:pStyle w:val="INFOEM"/>
        <w:spacing w:before="0" w:after="0"/>
        <w:ind w:left="1080" w:right="567"/>
      </w:pPr>
    </w:p>
    <w:p w:rsidR="00251F2C" w:rsidRPr="00186BF8" w:rsidRDefault="00251F2C" w:rsidP="00251F2C">
      <w:pPr>
        <w:pStyle w:val="INFOEM"/>
        <w:spacing w:before="0" w:after="0"/>
        <w:ind w:left="1080" w:right="567"/>
      </w:pPr>
      <w:r w:rsidRPr="00186BF8">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E64B94" w:rsidRPr="00186BF8" w:rsidRDefault="00E64B94" w:rsidP="00103B43">
      <w:pPr>
        <w:pStyle w:val="Textoindependiente"/>
        <w:rPr>
          <w:rFonts w:ascii="Palatino Linotype" w:hAnsi="Palatino Linotype" w:cs="Arial"/>
          <w:b/>
          <w:sz w:val="28"/>
        </w:rPr>
      </w:pPr>
    </w:p>
    <w:p w:rsidR="00251F2C" w:rsidRPr="00186BF8" w:rsidRDefault="00251F2C" w:rsidP="00E64B94">
      <w:pPr>
        <w:pStyle w:val="Textoindependiente"/>
        <w:spacing w:line="360" w:lineRule="auto"/>
        <w:jc w:val="both"/>
        <w:rPr>
          <w:rFonts w:ascii="Palatino Linotype" w:eastAsia="Palatino Linotype" w:hAnsi="Palatino Linotype" w:cs="Palatino Linotype"/>
          <w:b/>
          <w:color w:val="000000"/>
          <w:lang w:val="es-ES_tradnl" w:eastAsia="es-MX"/>
        </w:rPr>
      </w:pPr>
      <w:r w:rsidRPr="00186BF8">
        <w:rPr>
          <w:rFonts w:ascii="Palatino Linotype" w:hAnsi="Palatino Linotype" w:cs="Arial"/>
          <w:b/>
          <w:sz w:val="28"/>
        </w:rPr>
        <w:t>TERCERO</w:t>
      </w:r>
      <w:r w:rsidRPr="00186BF8">
        <w:rPr>
          <w:rFonts w:ascii="Palatino Linotype" w:hAnsi="Palatino Linotype" w:cs="Arial"/>
          <w:b/>
        </w:rPr>
        <w:t>.</w:t>
      </w:r>
      <w:r w:rsidRPr="00186BF8">
        <w:rPr>
          <w:rFonts w:ascii="Palatino Linotype" w:hAnsi="Palatino Linotype" w:cs="Arial"/>
        </w:rPr>
        <w:t xml:space="preserve"> </w:t>
      </w:r>
      <w:r w:rsidRPr="00186BF8">
        <w:rPr>
          <w:rFonts w:ascii="Palatino Linotype" w:hAnsi="Palatino Linotype"/>
          <w:b/>
        </w:rPr>
        <w:t xml:space="preserve">NOTIFÍQUESE </w:t>
      </w:r>
      <w:r w:rsidRPr="00186BF8">
        <w:rPr>
          <w:rFonts w:ascii="Palatino Linotype" w:hAnsi="Palatino Linotype" w:cs="Arial"/>
        </w:rPr>
        <w:t xml:space="preserve">a través del Sistema de Acceso a la Información Mexiquense </w:t>
      </w:r>
      <w:r w:rsidRPr="00186BF8">
        <w:rPr>
          <w:rFonts w:ascii="Palatino Linotype" w:hAnsi="Palatino Linotype" w:cs="Arial"/>
          <w:b/>
        </w:rPr>
        <w:t>(SAIMEX)</w:t>
      </w:r>
      <w:r w:rsidRPr="00186BF8">
        <w:rPr>
          <w:rFonts w:ascii="Palatino Linotype" w:hAnsi="Palatino Linotype" w:cs="Arial"/>
        </w:rPr>
        <w:t xml:space="preserve">, </w:t>
      </w:r>
      <w:r w:rsidRPr="00186BF8">
        <w:rPr>
          <w:rFonts w:ascii="Palatino Linotype" w:hAnsi="Palatino Linotype"/>
        </w:rPr>
        <w:t xml:space="preserve">la presente Resolución al Titular de la Unidad de Transparencia del </w:t>
      </w:r>
      <w:r w:rsidRPr="00186BF8">
        <w:rPr>
          <w:rFonts w:ascii="Palatino Linotype" w:hAnsi="Palatino Linotype"/>
          <w:b/>
        </w:rPr>
        <w:t>Sujeto Obligado</w:t>
      </w:r>
      <w:r w:rsidRPr="00186BF8">
        <w:rPr>
          <w:rFonts w:ascii="Palatino Linotype" w:hAnsi="Palatino Linotype"/>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186BF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B3575" w:rsidRPr="00186BF8" w:rsidRDefault="007B3575" w:rsidP="00E64B94">
      <w:pPr>
        <w:pStyle w:val="Textoindependiente"/>
        <w:spacing w:line="360" w:lineRule="auto"/>
        <w:jc w:val="both"/>
        <w:rPr>
          <w:rFonts w:ascii="Palatino Linotype" w:hAnsi="Palatino Linotype"/>
          <w:bCs/>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b/>
          <w:sz w:val="28"/>
          <w:szCs w:val="28"/>
        </w:rPr>
        <w:t>CUARTO.</w:t>
      </w:r>
      <w:r w:rsidRPr="00186BF8">
        <w:rPr>
          <w:rFonts w:ascii="Palatino Linotype" w:hAnsi="Palatino Linotype"/>
          <w:b/>
        </w:rPr>
        <w:t xml:space="preserve"> </w:t>
      </w:r>
      <w:r w:rsidRPr="00186BF8">
        <w:rPr>
          <w:rFonts w:ascii="Palatino Linotype" w:hAnsi="Palatino Linotype"/>
        </w:rPr>
        <w:t xml:space="preserve">De conformidad con el artículo 198 de la Ley de Transparencia y Acceso a la Información Pública del Estado de México y Municipios, de considerarlo </w:t>
      </w:r>
      <w:r w:rsidRPr="00186BF8">
        <w:rPr>
          <w:rFonts w:ascii="Palatino Linotype" w:hAnsi="Palatino Linotype"/>
        </w:rPr>
        <w:lastRenderedPageBreak/>
        <w:t xml:space="preserve">procedente, el </w:t>
      </w:r>
      <w:r w:rsidRPr="00186BF8">
        <w:rPr>
          <w:rFonts w:ascii="Palatino Linotype" w:hAnsi="Palatino Linotype"/>
          <w:b/>
        </w:rPr>
        <w:t>Sujeto Obligado</w:t>
      </w:r>
      <w:r w:rsidRPr="00186BF8">
        <w:rPr>
          <w:rFonts w:ascii="Palatino Linotype" w:hAnsi="Palatino Linotype"/>
        </w:rPr>
        <w:t xml:space="preserve"> de manera fundada y motivada, podrá solicitar una ampliación de plazo para el cumplimiento de la presente resolución.</w:t>
      </w:r>
    </w:p>
    <w:p w:rsidR="00871F05" w:rsidRPr="00186BF8" w:rsidRDefault="00871F05" w:rsidP="00E64B94">
      <w:pPr>
        <w:pStyle w:val="Textoindependiente"/>
        <w:spacing w:line="360" w:lineRule="auto"/>
        <w:jc w:val="both"/>
        <w:rPr>
          <w:rFonts w:ascii="Palatino Linotype" w:hAnsi="Palatino Linotype"/>
        </w:rPr>
      </w:pPr>
    </w:p>
    <w:p w:rsidR="00251F2C" w:rsidRPr="00186BF8" w:rsidRDefault="00251F2C" w:rsidP="00E64B94">
      <w:pPr>
        <w:pStyle w:val="Textoindependiente"/>
        <w:spacing w:line="360" w:lineRule="auto"/>
        <w:jc w:val="both"/>
        <w:rPr>
          <w:rFonts w:ascii="Palatino Linotype" w:hAnsi="Palatino Linotype"/>
        </w:rPr>
      </w:pPr>
      <w:r w:rsidRPr="00186BF8">
        <w:rPr>
          <w:rFonts w:ascii="Palatino Linotype" w:hAnsi="Palatino Linotype"/>
          <w:b/>
          <w:sz w:val="28"/>
          <w:szCs w:val="28"/>
        </w:rPr>
        <w:t>QUINTO</w:t>
      </w:r>
      <w:r w:rsidRPr="00186BF8">
        <w:rPr>
          <w:rFonts w:ascii="Palatino Linotype" w:hAnsi="Palatino Linotype"/>
          <w:b/>
        </w:rPr>
        <w:t>. NOTIFÍQUESE</w:t>
      </w:r>
      <w:r w:rsidRPr="00186BF8">
        <w:rPr>
          <w:rFonts w:ascii="Palatino Linotype" w:hAnsi="Palatino Linotype"/>
        </w:rPr>
        <w:t xml:space="preserve"> a través del Sistema de Acceso a la Información Mexiquense </w:t>
      </w:r>
      <w:r w:rsidRPr="00186BF8">
        <w:rPr>
          <w:rFonts w:ascii="Palatino Linotype" w:hAnsi="Palatino Linotype"/>
          <w:b/>
        </w:rPr>
        <w:t>(SAIMEX)</w:t>
      </w:r>
      <w:r w:rsidRPr="00186BF8">
        <w:rPr>
          <w:rFonts w:ascii="Palatino Linotype" w:hAnsi="Palatino Linotype"/>
        </w:rPr>
        <w:t xml:space="preserve">, al </w:t>
      </w:r>
      <w:r w:rsidRPr="00186BF8">
        <w:rPr>
          <w:rFonts w:ascii="Palatino Linotype" w:hAnsi="Palatino Linotype"/>
          <w:b/>
        </w:rPr>
        <w:t>Recurrente</w:t>
      </w:r>
      <w:r w:rsidRPr="00186BF8">
        <w:rPr>
          <w:rFonts w:ascii="Palatino Linotype" w:hAnsi="Palatino Linotype"/>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FC41BA" w:rsidRPr="00186BF8" w:rsidRDefault="00FC41BA" w:rsidP="00E64B94">
      <w:pPr>
        <w:pStyle w:val="Textoindependiente"/>
        <w:spacing w:line="360" w:lineRule="auto"/>
        <w:jc w:val="both"/>
        <w:rPr>
          <w:rFonts w:ascii="Palatino Linotype" w:hAnsi="Palatino Linotype"/>
        </w:rPr>
      </w:pPr>
    </w:p>
    <w:p w:rsidR="00871F05" w:rsidRPr="00186BF8" w:rsidRDefault="00186BF8" w:rsidP="00871F05">
      <w:pPr>
        <w:pStyle w:val="Textoindependiente"/>
        <w:spacing w:line="360" w:lineRule="auto"/>
        <w:jc w:val="both"/>
        <w:rPr>
          <w:rFonts w:ascii="Palatino Linotype" w:hAnsi="Palatino Linotype"/>
          <w:sz w:val="16"/>
        </w:rPr>
      </w:pPr>
      <w:r w:rsidRPr="00186BF8">
        <w:rPr>
          <w:rFonts w:ascii="Palatino Linotype" w:hAnsi="Palatino Linotype" w:cs="Arial"/>
        </w:rPr>
        <w:t>ASÍ LO RESUELVE, POR UNANIMIDAD DE VOTOS, EL PLENO DEL</w:t>
      </w:r>
      <w:r w:rsidRPr="00186BF8">
        <w:rPr>
          <w:rFonts w:ascii="Palatino Linotype" w:eastAsia="Arial Unicode MS" w:hAnsi="Palatino Linotype" w:cs="Arial"/>
        </w:rPr>
        <w:t xml:space="preserve"> INSTITUTO DE TRANSPARENCIA, ACCESO A LA INFORMACIÓN PÚBLICA Y PROTECCIÓN DE DATOS PERSONALES DEL ESTADO DE MÉXICO Y MUNICIPIOS</w:t>
      </w:r>
      <w:r w:rsidRPr="00186BF8">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251F2C" w:rsidRPr="00186BF8">
        <w:rPr>
          <w:rFonts w:ascii="Palatino Linotype" w:hAnsi="Palatino Linotype"/>
        </w:rPr>
        <w:t>. -----------------------------------------------------------------------------</w:t>
      </w:r>
      <w:r w:rsidR="00FC41BA" w:rsidRPr="00186BF8">
        <w:rPr>
          <w:rFonts w:ascii="Palatino Linotype" w:hAnsi="Palatino Linotype"/>
        </w:rPr>
        <w:t>------------------------------------------------------------------------------------------------------------------------------------------------------------------------------------------------------------------------------------------------------------------------------------------------------------------------------------------------------------------------------------------------------------------------------------------------------------------------</w:t>
      </w:r>
      <w:r w:rsidR="00A75A51" w:rsidRPr="00186BF8">
        <w:rPr>
          <w:rFonts w:ascii="Palatino Linotype" w:hAnsi="Palatino Linotype"/>
        </w:rPr>
        <w:t>--------------------</w:t>
      </w:r>
    </w:p>
    <w:p w:rsidR="00251F2C" w:rsidRPr="00E64B94" w:rsidRDefault="00251F2C" w:rsidP="00103B43">
      <w:pPr>
        <w:pStyle w:val="Textoindependiente"/>
        <w:rPr>
          <w:rFonts w:ascii="Palatino Linotype" w:hAnsi="Palatino Linotype"/>
          <w:sz w:val="16"/>
        </w:rPr>
      </w:pPr>
      <w:r w:rsidRPr="00186BF8">
        <w:rPr>
          <w:rFonts w:ascii="Palatino Linotype" w:hAnsi="Palatino Linotype"/>
          <w:sz w:val="16"/>
        </w:rPr>
        <w:t>JMV/CCR/LMST</w:t>
      </w: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251F2C" w:rsidRPr="00E64B94" w:rsidRDefault="00251F2C" w:rsidP="00251F2C">
      <w:pPr>
        <w:rPr>
          <w:rFonts w:ascii="Palatino Linotype" w:hAnsi="Palatino Linotype"/>
        </w:rPr>
      </w:pPr>
    </w:p>
    <w:p w:rsidR="00785E16" w:rsidRPr="00E64B94" w:rsidRDefault="00785E16">
      <w:pPr>
        <w:rPr>
          <w:rFonts w:ascii="Palatino Linotype" w:hAnsi="Palatino Linotype"/>
        </w:rPr>
      </w:pPr>
    </w:p>
    <w:sectPr w:rsidR="00785E16" w:rsidRPr="00E64B94" w:rsidSect="00667B93">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141" w:rsidRDefault="00951141" w:rsidP="00251F2C">
      <w:r>
        <w:separator/>
      </w:r>
    </w:p>
  </w:endnote>
  <w:endnote w:type="continuationSeparator" w:id="0">
    <w:p w:rsidR="00951141" w:rsidRDefault="00951141" w:rsidP="0025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3" w:rsidRPr="00A2780F" w:rsidRDefault="00667B93" w:rsidP="00667B9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16E49">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16E49">
      <w:rPr>
        <w:rFonts w:ascii="Arial" w:hAnsi="Arial" w:cs="Arial"/>
        <w:b/>
        <w:bCs/>
        <w:noProof/>
        <w:sz w:val="20"/>
        <w:szCs w:val="20"/>
      </w:rPr>
      <w:t>40</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3" w:rsidRPr="00070856" w:rsidRDefault="00667B93" w:rsidP="00667B9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16E4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16E49">
      <w:rPr>
        <w:rFonts w:ascii="Arial" w:hAnsi="Arial" w:cs="Arial"/>
        <w:b/>
        <w:bCs/>
        <w:noProof/>
        <w:sz w:val="20"/>
        <w:szCs w:val="20"/>
      </w:rPr>
      <w:t>40</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141" w:rsidRDefault="00951141" w:rsidP="00251F2C">
      <w:r>
        <w:separator/>
      </w:r>
    </w:p>
  </w:footnote>
  <w:footnote w:type="continuationSeparator" w:id="0">
    <w:p w:rsidR="00951141" w:rsidRDefault="00951141" w:rsidP="00251F2C">
      <w:r>
        <w:continuationSeparator/>
      </w:r>
    </w:p>
  </w:footnote>
  <w:footnote w:id="1">
    <w:p w:rsidR="00667B93" w:rsidRPr="005552A8" w:rsidRDefault="00667B93" w:rsidP="00251F2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667B93" w:rsidRPr="005552A8" w:rsidRDefault="00667B93" w:rsidP="00251F2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667B93" w:rsidRDefault="00667B93" w:rsidP="00667B93">
      <w:pPr>
        <w:pStyle w:val="Textonotapie"/>
      </w:pPr>
      <w:r>
        <w:rPr>
          <w:rStyle w:val="Refdenotaalpie"/>
        </w:rPr>
        <w:footnoteRef/>
      </w:r>
      <w:r>
        <w:t xml:space="preserve"> </w:t>
      </w:r>
      <w:hyperlink r:id="rId3" w:history="1">
        <w:r w:rsidRPr="00715EC3">
          <w:rPr>
            <w:rStyle w:val="Hipervnculo"/>
          </w:rPr>
          <w:t>http://omawww.sat.gob.mx/factura/Paginas/solicita_requisitos.htm</w:t>
        </w:r>
      </w:hyperlink>
    </w:p>
    <w:p w:rsidR="00667B93" w:rsidRDefault="00667B93" w:rsidP="00667B93">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667B93" w:rsidRPr="008F2CCC" w:rsidTr="00667B93">
      <w:tc>
        <w:tcPr>
          <w:tcW w:w="3620" w:type="dxa"/>
          <w:shd w:val="clear" w:color="auto" w:fill="auto"/>
        </w:tcPr>
        <w:p w:rsidR="00667B93" w:rsidRPr="007E5FC4" w:rsidRDefault="00667B93" w:rsidP="00667B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667B93" w:rsidRPr="00664658" w:rsidRDefault="00667B93" w:rsidP="00251F2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010395/INFOEM/IP/RR/2025</w:t>
          </w:r>
        </w:p>
      </w:tc>
    </w:tr>
    <w:tr w:rsidR="00667B93" w:rsidRPr="008F2CCC" w:rsidTr="00667B93">
      <w:tc>
        <w:tcPr>
          <w:tcW w:w="3620" w:type="dxa"/>
          <w:shd w:val="clear" w:color="auto" w:fill="auto"/>
        </w:tcPr>
        <w:p w:rsidR="00667B93" w:rsidRPr="007E5FC4" w:rsidRDefault="00667B93" w:rsidP="00667B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667B93" w:rsidRPr="00664658" w:rsidRDefault="00667B93" w:rsidP="00667B93">
          <w:pPr>
            <w:spacing w:line="276" w:lineRule="auto"/>
            <w:jc w:val="right"/>
            <w:rPr>
              <w:rFonts w:ascii="Palatino Linotype" w:hAnsi="Palatino Linotype"/>
              <w:b/>
              <w:sz w:val="22"/>
              <w:szCs w:val="22"/>
              <w:lang w:val="es-ES_tradnl"/>
            </w:rPr>
          </w:pPr>
          <w:r w:rsidRPr="00BC55E8">
            <w:rPr>
              <w:rFonts w:ascii="Palatino Linotype" w:hAnsi="Palatino Linotype"/>
              <w:b/>
              <w:sz w:val="22"/>
              <w:szCs w:val="22"/>
            </w:rPr>
            <w:t>Ayuntamiento de Aculco</w:t>
          </w:r>
        </w:p>
      </w:tc>
    </w:tr>
    <w:tr w:rsidR="00667B93" w:rsidRPr="008F2CCC" w:rsidTr="00667B93">
      <w:trPr>
        <w:trHeight w:val="228"/>
      </w:trPr>
      <w:tc>
        <w:tcPr>
          <w:tcW w:w="3620" w:type="dxa"/>
          <w:shd w:val="clear" w:color="auto" w:fill="auto"/>
        </w:tcPr>
        <w:p w:rsidR="00667B93" w:rsidRPr="007E5FC4" w:rsidRDefault="00667B93" w:rsidP="00667B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667B93" w:rsidRPr="00664658" w:rsidRDefault="00667B93" w:rsidP="00667B9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67B93" w:rsidRDefault="00667B93" w:rsidP="00667B93">
    <w:pPr>
      <w:pStyle w:val="Encabezado"/>
      <w:tabs>
        <w:tab w:val="clear" w:pos="4252"/>
        <w:tab w:val="clear" w:pos="8504"/>
        <w:tab w:val="left" w:pos="2326"/>
      </w:tabs>
      <w:rPr>
        <w:rFonts w:ascii="Palatino Linotype" w:hAnsi="Palatino Linotype"/>
        <w:sz w:val="20"/>
      </w:rPr>
    </w:pPr>
  </w:p>
  <w:p w:rsidR="00667B93" w:rsidRPr="001779E0" w:rsidRDefault="00667B93" w:rsidP="00667B9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09FEEE4" wp14:editId="329C695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667B93" w:rsidRPr="008F2CCC" w:rsidTr="00667B93">
      <w:tc>
        <w:tcPr>
          <w:tcW w:w="2977" w:type="dxa"/>
          <w:shd w:val="clear" w:color="auto" w:fill="auto"/>
        </w:tcPr>
        <w:p w:rsidR="00667B93" w:rsidRPr="007E5FC4" w:rsidRDefault="00667B93" w:rsidP="00667B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667B93" w:rsidRPr="008F2CCC" w:rsidRDefault="00667B93" w:rsidP="00251F2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010395/INFOEM/IP/RR/2025</w:t>
          </w:r>
        </w:p>
      </w:tc>
    </w:tr>
    <w:tr w:rsidR="00667B93" w:rsidRPr="008F2CCC" w:rsidTr="00667B93">
      <w:tc>
        <w:tcPr>
          <w:tcW w:w="2977" w:type="dxa"/>
          <w:shd w:val="clear" w:color="auto" w:fill="auto"/>
          <w:vAlign w:val="center"/>
        </w:tcPr>
        <w:p w:rsidR="00667B93" w:rsidRPr="007E5FC4" w:rsidRDefault="00667B93" w:rsidP="00667B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667B93" w:rsidRPr="008F2CCC" w:rsidRDefault="00416E49" w:rsidP="00667B9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w:t>
          </w:r>
        </w:p>
      </w:tc>
    </w:tr>
    <w:tr w:rsidR="00667B93" w:rsidRPr="008F2CCC" w:rsidTr="00667B93">
      <w:trPr>
        <w:trHeight w:val="228"/>
      </w:trPr>
      <w:tc>
        <w:tcPr>
          <w:tcW w:w="2977" w:type="dxa"/>
          <w:shd w:val="clear" w:color="auto" w:fill="auto"/>
        </w:tcPr>
        <w:p w:rsidR="00667B93" w:rsidRPr="007E5FC4" w:rsidRDefault="00667B93" w:rsidP="00667B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667B93" w:rsidRPr="00DC41C8" w:rsidRDefault="00667B93" w:rsidP="00667B93">
          <w:pPr>
            <w:spacing w:line="360" w:lineRule="auto"/>
            <w:jc w:val="right"/>
            <w:rPr>
              <w:rFonts w:ascii="Palatino Linotype" w:hAnsi="Palatino Linotype"/>
              <w:b/>
              <w:sz w:val="22"/>
              <w:szCs w:val="22"/>
            </w:rPr>
          </w:pPr>
          <w:r w:rsidRPr="00BC55E8">
            <w:rPr>
              <w:rFonts w:ascii="Palatino Linotype" w:hAnsi="Palatino Linotype"/>
              <w:b/>
              <w:sz w:val="22"/>
              <w:szCs w:val="22"/>
            </w:rPr>
            <w:t>Ayuntamiento de Aculco</w:t>
          </w:r>
        </w:p>
      </w:tc>
    </w:tr>
    <w:tr w:rsidR="00667B93" w:rsidRPr="008F2CCC" w:rsidTr="00667B93">
      <w:tc>
        <w:tcPr>
          <w:tcW w:w="2977" w:type="dxa"/>
          <w:shd w:val="clear" w:color="auto" w:fill="auto"/>
        </w:tcPr>
        <w:p w:rsidR="00667B93" w:rsidRPr="007E5FC4" w:rsidRDefault="00667B93" w:rsidP="00667B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667B93" w:rsidRPr="008F2CCC" w:rsidRDefault="00667B93" w:rsidP="00667B9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67B93" w:rsidRPr="009F1AB6" w:rsidRDefault="00667B93">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582C1AB" wp14:editId="744C8F6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1D873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4DC25D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6B90645"/>
    <w:multiLevelType w:val="hybridMultilevel"/>
    <w:tmpl w:val="4E98965A"/>
    <w:lvl w:ilvl="0" w:tplc="E05CC37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0"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C9F62EE"/>
    <w:multiLevelType w:val="hybridMultilevel"/>
    <w:tmpl w:val="5ED81048"/>
    <w:lvl w:ilvl="0" w:tplc="080A0013">
      <w:start w:val="1"/>
      <w:numFmt w:val="upperRoman"/>
      <w:lvlText w:val="%1."/>
      <w:lvlJc w:val="right"/>
      <w:pPr>
        <w:ind w:left="720" w:hanging="360"/>
      </w:pPr>
    </w:lvl>
    <w:lvl w:ilvl="1" w:tplc="1EF8854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6C8A3503"/>
    <w:multiLevelType w:val="hybridMultilevel"/>
    <w:tmpl w:val="F7E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4"/>
  </w:num>
  <w:num w:numId="2">
    <w:abstractNumId w:val="10"/>
  </w:num>
  <w:num w:numId="3">
    <w:abstractNumId w:val="6"/>
  </w:num>
  <w:num w:numId="4">
    <w:abstractNumId w:val="8"/>
  </w:num>
  <w:num w:numId="5">
    <w:abstractNumId w:val="12"/>
  </w:num>
  <w:num w:numId="6">
    <w:abstractNumId w:val="3"/>
  </w:num>
  <w:num w:numId="7">
    <w:abstractNumId w:val="5"/>
  </w:num>
  <w:num w:numId="8">
    <w:abstractNumId w:val="14"/>
  </w:num>
  <w:num w:numId="9">
    <w:abstractNumId w:val="2"/>
  </w:num>
  <w:num w:numId="10">
    <w:abstractNumId w:val="13"/>
  </w:num>
  <w:num w:numId="11">
    <w:abstractNumId w:val="1"/>
  </w:num>
  <w:num w:numId="12">
    <w:abstractNumId w:val="0"/>
  </w:num>
  <w:num w:numId="13">
    <w:abstractNumId w:val="11"/>
  </w:num>
  <w:num w:numId="14">
    <w:abstractNumId w:val="15"/>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2C"/>
    <w:rsid w:val="00103B43"/>
    <w:rsid w:val="0010564F"/>
    <w:rsid w:val="00186BF8"/>
    <w:rsid w:val="00251F2C"/>
    <w:rsid w:val="00383945"/>
    <w:rsid w:val="00416E49"/>
    <w:rsid w:val="004E5AF2"/>
    <w:rsid w:val="00612FE5"/>
    <w:rsid w:val="00667B93"/>
    <w:rsid w:val="00785E16"/>
    <w:rsid w:val="007B3575"/>
    <w:rsid w:val="00871F05"/>
    <w:rsid w:val="00885005"/>
    <w:rsid w:val="009339A7"/>
    <w:rsid w:val="00951141"/>
    <w:rsid w:val="00A004D9"/>
    <w:rsid w:val="00A75A51"/>
    <w:rsid w:val="00E64B94"/>
    <w:rsid w:val="00FC41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98F77-810F-4596-A1F7-3F1B32AE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F2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1F2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51F2C"/>
    <w:rPr>
      <w:rFonts w:eastAsiaTheme="minorEastAsia"/>
      <w:sz w:val="24"/>
      <w:szCs w:val="24"/>
      <w:lang w:val="es-ES_tradnl" w:eastAsia="es-ES"/>
    </w:rPr>
  </w:style>
  <w:style w:type="paragraph" w:styleId="Piedepgina">
    <w:name w:val="footer"/>
    <w:basedOn w:val="Normal"/>
    <w:link w:val="PiedepginaCar"/>
    <w:uiPriority w:val="99"/>
    <w:unhideWhenUsed/>
    <w:rsid w:val="00251F2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51F2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51F2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51F2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251F2C"/>
    <w:pPr>
      <w:spacing w:after="0" w:line="240" w:lineRule="auto"/>
    </w:pPr>
  </w:style>
  <w:style w:type="character" w:customStyle="1" w:styleId="SinespaciadoCar">
    <w:name w:val="Sin espaciado Car"/>
    <w:aliases w:val="Francesa Car,INAI Car"/>
    <w:link w:val="Sinespaciado"/>
    <w:uiPriority w:val="1"/>
    <w:locked/>
    <w:rsid w:val="00251F2C"/>
  </w:style>
  <w:style w:type="character" w:styleId="Hipervnculo">
    <w:name w:val="Hyperlink"/>
    <w:aliases w:val="Hipervínculo1,Hipervínculo11,Hipervínculo12,Hipervínculo13,Hipervínculo14,Hipervínculo15"/>
    <w:basedOn w:val="Fuentedeprrafopredeter"/>
    <w:uiPriority w:val="99"/>
    <w:unhideWhenUsed/>
    <w:rsid w:val="00251F2C"/>
    <w:rPr>
      <w:color w:val="0563C1" w:themeColor="hyperlink"/>
      <w:u w:val="single"/>
    </w:rPr>
  </w:style>
  <w:style w:type="paragraph" w:customStyle="1" w:styleId="INFOEM">
    <w:name w:val="INFOEM"/>
    <w:basedOn w:val="Normal"/>
    <w:qFormat/>
    <w:rsid w:val="00251F2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251F2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51F2C"/>
    <w:rPr>
      <w:vertAlign w:val="superscript"/>
    </w:rPr>
  </w:style>
  <w:style w:type="paragraph" w:customStyle="1" w:styleId="infoemcitas">
    <w:name w:val="infoem citas"/>
    <w:basedOn w:val="Normal"/>
    <w:qFormat/>
    <w:rsid w:val="00251F2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25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51F2C"/>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Lista2">
    <w:name w:val="List 2"/>
    <w:basedOn w:val="Normal"/>
    <w:uiPriority w:val="99"/>
    <w:unhideWhenUsed/>
    <w:rsid w:val="00103B43"/>
    <w:pPr>
      <w:ind w:left="566" w:hanging="283"/>
      <w:contextualSpacing/>
    </w:pPr>
  </w:style>
  <w:style w:type="paragraph" w:styleId="Listaconvietas2">
    <w:name w:val="List Bullet 2"/>
    <w:basedOn w:val="Normal"/>
    <w:uiPriority w:val="99"/>
    <w:unhideWhenUsed/>
    <w:rsid w:val="00103B43"/>
    <w:pPr>
      <w:numPr>
        <w:numId w:val="11"/>
      </w:numPr>
      <w:contextualSpacing/>
    </w:pPr>
  </w:style>
  <w:style w:type="paragraph" w:styleId="Listaconvietas3">
    <w:name w:val="List Bullet 3"/>
    <w:basedOn w:val="Normal"/>
    <w:uiPriority w:val="99"/>
    <w:unhideWhenUsed/>
    <w:rsid w:val="00103B43"/>
    <w:pPr>
      <w:numPr>
        <w:numId w:val="12"/>
      </w:numPr>
      <w:contextualSpacing/>
    </w:pPr>
  </w:style>
  <w:style w:type="paragraph" w:styleId="Textoindependiente">
    <w:name w:val="Body Text"/>
    <w:basedOn w:val="Normal"/>
    <w:link w:val="TextoindependienteCar"/>
    <w:uiPriority w:val="99"/>
    <w:unhideWhenUsed/>
    <w:rsid w:val="00103B43"/>
    <w:pPr>
      <w:spacing w:after="120"/>
    </w:pPr>
  </w:style>
  <w:style w:type="character" w:customStyle="1" w:styleId="TextoindependienteCar">
    <w:name w:val="Texto independiente Car"/>
    <w:basedOn w:val="Fuentedeprrafopredeter"/>
    <w:link w:val="Textoindependiente"/>
    <w:uiPriority w:val="99"/>
    <w:rsid w:val="00103B43"/>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103B43"/>
    <w:pPr>
      <w:spacing w:after="120"/>
      <w:ind w:left="283"/>
    </w:pPr>
  </w:style>
  <w:style w:type="character" w:customStyle="1" w:styleId="SangradetextonormalCar">
    <w:name w:val="Sangría de texto normal Car"/>
    <w:basedOn w:val="Fuentedeprrafopredeter"/>
    <w:link w:val="Sangradetextonormal"/>
    <w:uiPriority w:val="99"/>
    <w:rsid w:val="00103B43"/>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103B43"/>
  </w:style>
  <w:style w:type="paragraph" w:styleId="Textoindependienteprimerasangra2">
    <w:name w:val="Body Text First Indent 2"/>
    <w:basedOn w:val="Sangradetextonormal"/>
    <w:link w:val="Textoindependienteprimerasangra2Car"/>
    <w:uiPriority w:val="99"/>
    <w:unhideWhenUsed/>
    <w:rsid w:val="00103B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03B43"/>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667B93"/>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667B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omawww.sat.gob.mx/factura/Paginas/solicita_requisitos.htm"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40</Pages>
  <Words>9129</Words>
  <Characters>50213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2026-06-18T15:22:00Z</cp:lastPrinted>
  <dcterms:created xsi:type="dcterms:W3CDTF">2026-06-08T23:18:00Z</dcterms:created>
  <dcterms:modified xsi:type="dcterms:W3CDTF">2026-06-23T19:32:00Z</dcterms:modified>
</cp:coreProperties>
</file>