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57C" w:rsidRPr="001461AD" w:rsidRDefault="00FA309E">
      <w:pPr>
        <w:spacing w:before="240" w:after="240" w:line="360" w:lineRule="auto"/>
        <w:ind w:right="49"/>
        <w:jc w:val="both"/>
        <w:rPr>
          <w:rFonts w:ascii="Palatino Linotype" w:eastAsia="Palatino Linotype" w:hAnsi="Palatino Linotype" w:cs="Palatino Linotype"/>
          <w:b/>
        </w:rPr>
      </w:pPr>
      <w:r w:rsidRPr="001461A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1461AD">
        <w:rPr>
          <w:rFonts w:ascii="Palatino Linotype" w:eastAsia="Palatino Linotype" w:hAnsi="Palatino Linotype" w:cs="Palatino Linotype"/>
          <w:b/>
        </w:rPr>
        <w:t xml:space="preserve">de fecha diecinueve (19) de marzo de dos mil veintiséis. </w:t>
      </w:r>
    </w:p>
    <w:p w:rsidR="001461AD" w:rsidRDefault="00FA309E">
      <w:pPr>
        <w:spacing w:line="360" w:lineRule="auto"/>
        <w:ind w:right="49"/>
        <w:jc w:val="both"/>
        <w:rPr>
          <w:rFonts w:ascii="Palatino Linotype" w:eastAsia="Palatino Linotype" w:hAnsi="Palatino Linotype" w:cs="Palatino Linotype"/>
        </w:rPr>
      </w:pPr>
      <w:bookmarkStart w:id="0" w:name="_heading=h.1t3h5sf" w:colFirst="0" w:colLast="0"/>
      <w:bookmarkEnd w:id="0"/>
      <w:r w:rsidRPr="001461AD">
        <w:rPr>
          <w:rFonts w:ascii="Palatino Linotype" w:eastAsia="Palatino Linotype" w:hAnsi="Palatino Linotype" w:cs="Palatino Linotype"/>
          <w:b/>
          <w:bCs/>
        </w:rPr>
        <w:t>VISTO</w:t>
      </w:r>
      <w:r w:rsidRPr="001461AD">
        <w:rPr>
          <w:rFonts w:ascii="Palatino Linotype" w:eastAsia="Palatino Linotype" w:hAnsi="Palatino Linotype" w:cs="Palatino Linotype"/>
        </w:rPr>
        <w:t xml:space="preserve"> el expediente formado con motivo del recurso de revisión </w:t>
      </w:r>
      <w:r w:rsidRPr="001461AD">
        <w:rPr>
          <w:rFonts w:ascii="Palatino Linotype" w:eastAsia="Palatino Linotype" w:hAnsi="Palatino Linotype" w:cs="Palatino Linotype"/>
          <w:b/>
          <w:bCs/>
        </w:rPr>
        <w:t>05613/INFOEM/IP/RR/2025</w:t>
      </w:r>
      <w:r w:rsidRPr="001461AD">
        <w:rPr>
          <w:rFonts w:ascii="Palatino Linotype" w:eastAsia="Palatino Linotype" w:hAnsi="Palatino Linotype" w:cs="Palatino Linotype"/>
        </w:rPr>
        <w:t xml:space="preserve">, promovido por </w:t>
      </w:r>
      <w:r w:rsidR="00883AA7">
        <w:rPr>
          <w:rFonts w:ascii="Palatino Linotype" w:eastAsia="Palatino Linotype" w:hAnsi="Palatino Linotype" w:cs="Palatino Linotype"/>
          <w:b/>
          <w:bCs/>
        </w:rPr>
        <w:t>XXXX</w:t>
      </w:r>
      <w:r w:rsidRPr="001461AD">
        <w:rPr>
          <w:rFonts w:ascii="Palatino Linotype" w:eastAsia="Palatino Linotype" w:hAnsi="Palatino Linotype" w:cs="Palatino Linotype"/>
          <w:b/>
          <w:bCs/>
        </w:rPr>
        <w:t xml:space="preserve">, </w:t>
      </w:r>
      <w:r w:rsidRPr="001461AD">
        <w:rPr>
          <w:rFonts w:ascii="Palatino Linotype" w:eastAsia="Palatino Linotype" w:hAnsi="Palatino Linotype" w:cs="Palatino Linotype"/>
        </w:rPr>
        <w:t>en lo sucesivo la</w:t>
      </w:r>
      <w:r w:rsidRPr="001461AD">
        <w:rPr>
          <w:rFonts w:ascii="Palatino Linotype" w:eastAsia="Palatino Linotype" w:hAnsi="Palatino Linotype" w:cs="Palatino Linotype"/>
          <w:b/>
          <w:bCs/>
        </w:rPr>
        <w:t xml:space="preserve"> RECURRENTE,</w:t>
      </w:r>
      <w:r w:rsidRPr="001461AD">
        <w:rPr>
          <w:rFonts w:ascii="Palatino Linotype" w:eastAsia="Palatino Linotype" w:hAnsi="Palatino Linotype" w:cs="Palatino Linotype"/>
        </w:rPr>
        <w:t xml:space="preserve"> en contra de la respuesta del </w:t>
      </w:r>
      <w:r w:rsidRPr="001461AD">
        <w:rPr>
          <w:rFonts w:ascii="Palatino Linotype" w:eastAsia="Palatino Linotype" w:hAnsi="Palatino Linotype" w:cs="Palatino Linotype"/>
          <w:b/>
          <w:bCs/>
        </w:rPr>
        <w:t xml:space="preserve">Poder Judicial, </w:t>
      </w:r>
      <w:r w:rsidRPr="001461AD">
        <w:rPr>
          <w:rFonts w:ascii="Palatino Linotype" w:eastAsia="Palatino Linotype" w:hAnsi="Palatino Linotype" w:cs="Palatino Linotype"/>
        </w:rPr>
        <w:t>en adelante el</w:t>
      </w:r>
      <w:r w:rsidRPr="001461AD">
        <w:rPr>
          <w:rFonts w:ascii="Palatino Linotype" w:eastAsia="Palatino Linotype" w:hAnsi="Palatino Linotype" w:cs="Palatino Linotype"/>
          <w:b/>
          <w:bCs/>
        </w:rPr>
        <w:t xml:space="preserve"> SUJETO OBLIGADO</w:t>
      </w:r>
      <w:r w:rsidRPr="001461AD">
        <w:rPr>
          <w:rFonts w:ascii="Palatino Linotype" w:eastAsia="Palatino Linotype" w:hAnsi="Palatino Linotype" w:cs="Palatino Linotype"/>
        </w:rPr>
        <w:t>, se procede a dictar la presente resolución con base en los siguientes:</w:t>
      </w:r>
    </w:p>
    <w:p w:rsidR="00DF057C" w:rsidRPr="001461AD" w:rsidRDefault="00FA309E">
      <w:pPr>
        <w:spacing w:line="360" w:lineRule="auto"/>
        <w:ind w:right="49"/>
        <w:jc w:val="both"/>
        <w:rPr>
          <w:rFonts w:ascii="Palatino Linotype" w:eastAsia="Palatino Linotype" w:hAnsi="Palatino Linotype" w:cs="Palatino Linotype"/>
          <w:b/>
          <w:bCs/>
        </w:rPr>
      </w:pPr>
      <w:r w:rsidRPr="001461AD">
        <w:rPr>
          <w:rFonts w:ascii="Palatino Linotype" w:eastAsia="Palatino Linotype" w:hAnsi="Palatino Linotype" w:cs="Palatino Linotype"/>
        </w:rPr>
        <w:t xml:space="preserve">  </w:t>
      </w:r>
    </w:p>
    <w:p w:rsidR="00DF057C" w:rsidRPr="001461AD" w:rsidRDefault="00FA309E">
      <w:pPr>
        <w:spacing w:before="240" w:after="240" w:line="360" w:lineRule="auto"/>
        <w:ind w:right="49"/>
        <w:jc w:val="center"/>
        <w:rPr>
          <w:rFonts w:ascii="Palatino Linotype" w:eastAsia="Palatino Linotype" w:hAnsi="Palatino Linotype" w:cs="Palatino Linotype"/>
          <w:b/>
          <w:bCs/>
        </w:rPr>
      </w:pPr>
      <w:r w:rsidRPr="001461AD">
        <w:rPr>
          <w:rFonts w:ascii="Palatino Linotype" w:eastAsia="Palatino Linotype" w:hAnsi="Palatino Linotype" w:cs="Palatino Linotype"/>
          <w:b/>
          <w:bCs/>
        </w:rPr>
        <w:t>A N T E C E D E N T E S</w:t>
      </w: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b/>
          <w:bCs/>
          <w:color w:val="000000"/>
        </w:rPr>
        <w:t xml:space="preserve">Solicitud de Acceso a Datos. </w:t>
      </w:r>
      <w:r w:rsidRPr="001461AD">
        <w:rPr>
          <w:rFonts w:ascii="Palatino Linotype" w:eastAsia="Palatino Linotype" w:hAnsi="Palatino Linotype" w:cs="Palatino Linotype"/>
          <w:color w:val="000000"/>
        </w:rPr>
        <w:t xml:space="preserve">En fecha </w:t>
      </w:r>
      <w:r w:rsidRPr="001461AD">
        <w:rPr>
          <w:rFonts w:ascii="Palatino Linotype" w:eastAsia="Palatino Linotype" w:hAnsi="Palatino Linotype" w:cs="Palatino Linotype"/>
          <w:b/>
          <w:bCs/>
          <w:color w:val="000000"/>
        </w:rPr>
        <w:t>dieciséis de mayo de dos mil veinticinco</w:t>
      </w:r>
      <w:r w:rsidRPr="001461AD">
        <w:rPr>
          <w:rFonts w:ascii="Palatino Linotype" w:eastAsia="Palatino Linotype" w:hAnsi="Palatino Linotype" w:cs="Palatino Linotype"/>
          <w:color w:val="000000"/>
        </w:rPr>
        <w:t xml:space="preserve">, la </w:t>
      </w:r>
      <w:r w:rsidRPr="001461AD">
        <w:rPr>
          <w:rFonts w:ascii="Palatino Linotype" w:eastAsia="Palatino Linotype" w:hAnsi="Palatino Linotype" w:cs="Palatino Linotype"/>
          <w:b/>
          <w:bCs/>
          <w:color w:val="000000"/>
        </w:rPr>
        <w:t>Recurrente</w:t>
      </w:r>
      <w:r w:rsidRPr="001461AD">
        <w:rPr>
          <w:rFonts w:ascii="Palatino Linotype" w:eastAsia="Palatino Linotype" w:hAnsi="Palatino Linotype" w:cs="Palatino Linotype"/>
          <w:color w:val="000000"/>
        </w:rPr>
        <w:t xml:space="preserve"> presentó a través del Sistema de Acceso a la Información Mexiquense (SAIMEX)</w:t>
      </w:r>
      <w:r w:rsidRPr="001461AD">
        <w:rPr>
          <w:rFonts w:ascii="Palatino Linotype" w:eastAsia="Palatino Linotype" w:hAnsi="Palatino Linotype" w:cs="Palatino Linotype"/>
          <w:b/>
          <w:bCs/>
          <w:color w:val="000000"/>
        </w:rPr>
        <w:t>,</w:t>
      </w:r>
      <w:r w:rsidRPr="001461AD">
        <w:rPr>
          <w:rFonts w:ascii="Palatino Linotype" w:eastAsia="Palatino Linotype" w:hAnsi="Palatino Linotype" w:cs="Palatino Linotype"/>
          <w:color w:val="000000"/>
        </w:rPr>
        <w:t xml:space="preserve"> ante el </w:t>
      </w:r>
      <w:r w:rsidRPr="001461AD">
        <w:rPr>
          <w:rFonts w:ascii="Palatino Linotype" w:eastAsia="Palatino Linotype" w:hAnsi="Palatino Linotype" w:cs="Palatino Linotype"/>
          <w:b/>
          <w:bCs/>
          <w:color w:val="000000"/>
        </w:rPr>
        <w:t>Sujeto Obligado</w:t>
      </w:r>
      <w:r w:rsidRPr="001461AD">
        <w:rPr>
          <w:rFonts w:ascii="Palatino Linotype" w:eastAsia="Palatino Linotype" w:hAnsi="Palatino Linotype" w:cs="Palatino Linotype"/>
          <w:color w:val="000000"/>
        </w:rPr>
        <w:t xml:space="preserve">, la solicitud de acceso a datos personales, a la que se le asignó el número de expediente </w:t>
      </w:r>
      <w:r w:rsidRPr="001461AD">
        <w:rPr>
          <w:rFonts w:ascii="Palatino Linotype" w:eastAsia="Palatino Linotype" w:hAnsi="Palatino Linotype" w:cs="Palatino Linotype"/>
          <w:b/>
          <w:bCs/>
          <w:color w:val="000000"/>
        </w:rPr>
        <w:t xml:space="preserve">00495/PJUDICI/IP/2025, </w:t>
      </w:r>
      <w:r w:rsidRPr="001461AD">
        <w:rPr>
          <w:rFonts w:ascii="Palatino Linotype" w:eastAsia="Palatino Linotype" w:hAnsi="Palatino Linotype" w:cs="Palatino Linotype"/>
          <w:color w:val="000000"/>
        </w:rPr>
        <w:t xml:space="preserve">en  la que requirió el acceso a lo siguiente: </w:t>
      </w:r>
    </w:p>
    <w:p w:rsidR="00DF057C" w:rsidRPr="001461AD" w:rsidRDefault="00DF057C">
      <w:pPr>
        <w:spacing w:line="360" w:lineRule="auto"/>
        <w:ind w:right="49"/>
        <w:jc w:val="both"/>
        <w:rPr>
          <w:rFonts w:ascii="Palatino Linotype" w:eastAsia="Palatino Linotype" w:hAnsi="Palatino Linotype" w:cs="Palatino Linotype"/>
        </w:rPr>
      </w:pPr>
    </w:p>
    <w:p w:rsidR="00DF057C" w:rsidRPr="001461AD" w:rsidRDefault="00FA309E">
      <w:pP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“Solicito los últimos 75 recibos de nómina de Juan José Hernández García, quién es mi esposo. Y laboró como juez de primera instancia en el Poder Judicial del Estado de México.” (Sic)</w:t>
      </w:r>
      <w:bookmarkStart w:id="1" w:name="_GoBack"/>
      <w:bookmarkEnd w:id="1"/>
    </w:p>
    <w:p w:rsidR="00DF057C" w:rsidRPr="001461AD" w:rsidRDefault="00DF057C">
      <w:pPr>
        <w:spacing w:line="276" w:lineRule="auto"/>
        <w:ind w:right="49"/>
        <w:jc w:val="both"/>
        <w:rPr>
          <w:rFonts w:ascii="Palatino Linotype" w:eastAsia="Palatino Linotype" w:hAnsi="Palatino Linotype" w:cs="Palatino Linotype"/>
          <w:b/>
          <w:bCs/>
        </w:rPr>
      </w:pPr>
    </w:p>
    <w:p w:rsidR="00DF057C" w:rsidRPr="001461AD" w:rsidRDefault="00FA309E">
      <w:pPr>
        <w:spacing w:line="360" w:lineRule="auto"/>
        <w:ind w:left="567" w:right="49"/>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Señalando como </w:t>
      </w:r>
      <w:r w:rsidRPr="001461AD">
        <w:rPr>
          <w:rFonts w:ascii="Palatino Linotype" w:eastAsia="Palatino Linotype" w:hAnsi="Palatino Linotype" w:cs="Palatino Linotype"/>
          <w:b/>
          <w:bCs/>
          <w:color w:val="000000"/>
        </w:rPr>
        <w:t>modalidad</w:t>
      </w:r>
      <w:r w:rsidRPr="001461AD">
        <w:rPr>
          <w:rFonts w:ascii="Palatino Linotype" w:eastAsia="Palatino Linotype" w:hAnsi="Palatino Linotype" w:cs="Palatino Linotype"/>
          <w:color w:val="000000"/>
        </w:rPr>
        <w:t xml:space="preserve"> de acceso, </w:t>
      </w:r>
      <w:r w:rsidRPr="001461AD">
        <w:rPr>
          <w:rFonts w:ascii="Palatino Linotype" w:eastAsia="Palatino Linotype" w:hAnsi="Palatino Linotype" w:cs="Palatino Linotype"/>
          <w:i/>
          <w:iCs/>
          <w:color w:val="000000"/>
        </w:rPr>
        <w:t>“el medio que me resulte gratuito considerando que pertenezco a un grupo vulnerable”</w:t>
      </w:r>
      <w:r w:rsidRPr="001461AD">
        <w:rPr>
          <w:rFonts w:ascii="Palatino Linotype" w:eastAsia="Palatino Linotype" w:hAnsi="Palatino Linotype" w:cs="Palatino Linotype"/>
          <w:b/>
          <w:bCs/>
          <w:i/>
          <w:iCs/>
          <w:color w:val="000000"/>
        </w:rPr>
        <w:t>(Sic )</w:t>
      </w:r>
      <w:r w:rsidRPr="001461AD">
        <w:rPr>
          <w:rFonts w:ascii="Palatino Linotype" w:eastAsia="Palatino Linotype" w:hAnsi="Palatino Linotype" w:cs="Palatino Linotype"/>
          <w:b/>
          <w:bCs/>
          <w:color w:val="000000"/>
        </w:rPr>
        <w:t>.</w:t>
      </w:r>
    </w:p>
    <w:p w:rsidR="00DF057C" w:rsidRPr="001461AD" w:rsidRDefault="00DF057C">
      <w:pPr>
        <w:ind w:left="567" w:right="49"/>
        <w:jc w:val="both"/>
        <w:rPr>
          <w:rFonts w:ascii="Palatino Linotype" w:eastAsia="Palatino Linotype" w:hAnsi="Palatino Linotype" w:cs="Palatino Linotype"/>
          <w:color w:val="000000"/>
        </w:rPr>
      </w:pPr>
    </w:p>
    <w:p w:rsidR="00DF057C" w:rsidRPr="001461AD" w:rsidRDefault="00FA309E">
      <w:pPr>
        <w:numPr>
          <w:ilvl w:val="0"/>
          <w:numId w:val="2"/>
        </w:numP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lastRenderedPageBreak/>
        <w:t>La solicitante señaló como documento oficial de identificación la credencial para votar; expedida por el Instituto Nacional Electoral, en el que se advierte el nombre y fotografía de la solicitante.</w:t>
      </w:r>
    </w:p>
    <w:p w:rsidR="00DF057C" w:rsidRPr="001461AD" w:rsidRDefault="00DF057C">
      <w:pPr>
        <w:ind w:right="49"/>
        <w:jc w:val="both"/>
        <w:rPr>
          <w:rFonts w:ascii="Palatino Linotype" w:eastAsia="Palatino Linotype" w:hAnsi="Palatino Linotype" w:cs="Palatino Linotype"/>
          <w:color w:val="000000"/>
        </w:rPr>
      </w:pPr>
    </w:p>
    <w:p w:rsidR="00DF057C" w:rsidRPr="001461AD" w:rsidRDefault="00FA309E">
      <w:pPr>
        <w:numPr>
          <w:ilvl w:val="0"/>
          <w:numId w:val="2"/>
        </w:numP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La solicitante adjuntó el archivo de nombre </w:t>
      </w:r>
      <w:r w:rsidRPr="001461AD">
        <w:rPr>
          <w:rFonts w:ascii="Palatino Linotype" w:eastAsia="Palatino Linotype" w:hAnsi="Palatino Linotype" w:cs="Palatino Linotype"/>
          <w:b/>
          <w:bCs/>
          <w:i/>
          <w:iCs/>
          <w:color w:val="000000"/>
        </w:rPr>
        <w:t xml:space="preserve">acta de matrimonio.pdf: </w:t>
      </w:r>
      <w:r w:rsidRPr="001461AD">
        <w:rPr>
          <w:rFonts w:ascii="Palatino Linotype" w:eastAsia="Palatino Linotype" w:hAnsi="Palatino Linotype" w:cs="Palatino Linotype"/>
          <w:color w:val="000000"/>
        </w:rPr>
        <w:t>en el que se advierte el Acta de Matrimonio de fecha nueve de agosto de dos mil trece, entre la solicitante y la persona referida en la solicitud de información.</w:t>
      </w:r>
    </w:p>
    <w:p w:rsidR="00DF057C" w:rsidRPr="001461AD" w:rsidRDefault="00DF057C">
      <w:pPr>
        <w:ind w:right="49"/>
        <w:jc w:val="both"/>
        <w:rPr>
          <w:rFonts w:ascii="Palatino Linotype" w:eastAsia="Palatino Linotype" w:hAnsi="Palatino Linotype" w:cs="Palatino Linotype"/>
          <w:b/>
          <w:bCs/>
          <w:color w:val="000000"/>
        </w:rPr>
      </w:pPr>
    </w:p>
    <w:p w:rsidR="00DF057C" w:rsidRPr="001461AD" w:rsidRDefault="00FA309E">
      <w:pPr>
        <w:numPr>
          <w:ilvl w:val="0"/>
          <w:numId w:val="2"/>
        </w:numP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De lo anterior, el Titular de la Unidad de Transparencia, refirió que del análisis de la </w:t>
      </w:r>
      <w:r w:rsidRPr="001461AD">
        <w:rPr>
          <w:rFonts w:ascii="Palatino Linotype" w:eastAsia="Palatino Linotype" w:hAnsi="Palatino Linotype" w:cs="Palatino Linotype"/>
        </w:rPr>
        <w:t>solicitud</w:t>
      </w:r>
      <w:r w:rsidRPr="001461AD">
        <w:rPr>
          <w:rFonts w:ascii="Palatino Linotype" w:eastAsia="Palatino Linotype" w:hAnsi="Palatino Linotype" w:cs="Palatino Linotype"/>
          <w:color w:val="000000"/>
        </w:rPr>
        <w:t xml:space="preserve"> de información se advierte que el interés de la impetrante es acceder a datos personales de particulares, por lo que le hace del conocimiento que el ejercicio del derechos de acceso a la información no es la vía para acceder a recibos de nómina en versión íntegra, toda vez que la ley establece que el derecho de acceso a la información pública es la prerrogativa de las personas para buscar, difundir, investigar, recabar, recibir y solicitar información pública sin necesidad de acreditar personalidad ni interés jurídico, por el contrario </w:t>
      </w:r>
      <w:r w:rsidRPr="001461AD">
        <w:rPr>
          <w:rFonts w:ascii="Palatino Linotype" w:eastAsia="Palatino Linotype" w:hAnsi="Palatino Linotype" w:cs="Palatino Linotype"/>
        </w:rPr>
        <w:t>el derecho</w:t>
      </w:r>
      <w:r w:rsidRPr="001461AD">
        <w:rPr>
          <w:rFonts w:ascii="Palatino Linotype" w:eastAsia="Palatino Linotype" w:hAnsi="Palatino Linotype" w:cs="Palatino Linotype"/>
          <w:color w:val="000000"/>
        </w:rPr>
        <w:t xml:space="preserve"> de acceso a datos personales se encuentra regulador por la Ley de Protección de Datos Personales en Posesión de Sujeto Obligados del Estado de México y Municipios, por lo que en términos de la ley en comento, </w:t>
      </w:r>
      <w:r w:rsidRPr="001461AD">
        <w:rPr>
          <w:rFonts w:ascii="Palatino Linotype" w:eastAsia="Palatino Linotype" w:hAnsi="Palatino Linotype" w:cs="Palatino Linotype"/>
        </w:rPr>
        <w:t>sólo</w:t>
      </w:r>
      <w:r w:rsidRPr="001461AD">
        <w:rPr>
          <w:rFonts w:ascii="Palatino Linotype" w:eastAsia="Palatino Linotype" w:hAnsi="Palatino Linotype" w:cs="Palatino Linotype"/>
          <w:color w:val="000000"/>
        </w:rPr>
        <w:t xml:space="preserve"> el titular de los datos o su representante legal debidamente acreditado puede tener acceso a los datos, por lo que a través del derecho de acceso a la información no es posible dar a conocer ni acceder a datos personales.</w:t>
      </w:r>
    </w:p>
    <w:p w:rsidR="00DF057C" w:rsidRPr="001461AD" w:rsidRDefault="00DF057C">
      <w:pPr>
        <w:pBdr>
          <w:top w:val="nil"/>
          <w:left w:val="nil"/>
          <w:bottom w:val="nil"/>
          <w:right w:val="nil"/>
          <w:between w:val="nil"/>
        </w:pBdr>
        <w:ind w:left="720" w:right="49"/>
        <w:rPr>
          <w:rFonts w:ascii="Palatino Linotype" w:eastAsia="Palatino Linotype" w:hAnsi="Palatino Linotype" w:cs="Palatino Linotype"/>
          <w:color w:val="000000"/>
        </w:rPr>
      </w:pPr>
    </w:p>
    <w:p w:rsidR="00DF057C" w:rsidRPr="001461AD" w:rsidRDefault="00FA309E">
      <w:pPr>
        <w:numPr>
          <w:ilvl w:val="0"/>
          <w:numId w:val="2"/>
        </w:numP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En tal sentido, se le recomendó que en caso de ser titular de los datos personales, representante legal debidamente acreditado o tener interés jurídico y legítimo, puede ejercer su derecho de acceso a datos personales mediante sus derechos ARCO a través de la plataforma SARCOEM.</w:t>
      </w: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461AD">
        <w:rPr>
          <w:rFonts w:ascii="Palatino Linotype" w:eastAsia="Palatino Linotype" w:hAnsi="Palatino Linotype" w:cs="Palatino Linotype"/>
          <w:color w:val="000000"/>
        </w:rPr>
        <w:lastRenderedPageBreak/>
        <w:t xml:space="preserve">El </w:t>
      </w:r>
      <w:r w:rsidRPr="001461AD">
        <w:rPr>
          <w:rFonts w:ascii="Palatino Linotype" w:eastAsia="Palatino Linotype" w:hAnsi="Palatino Linotype" w:cs="Palatino Linotype"/>
          <w:b/>
          <w:bCs/>
          <w:color w:val="000000"/>
        </w:rPr>
        <w:t>diecinueve de mayo de dos mil veinticinco,</w:t>
      </w:r>
      <w:r w:rsidRPr="001461AD">
        <w:rPr>
          <w:rFonts w:ascii="Palatino Linotype" w:eastAsia="Palatino Linotype" w:hAnsi="Palatino Linotype" w:cs="Palatino Linotype"/>
          <w:color w:val="000000"/>
        </w:rPr>
        <w:t xml:space="preserve"> el particular</w:t>
      </w:r>
      <w:r w:rsidRPr="001461AD">
        <w:rPr>
          <w:rFonts w:ascii="Palatino Linotype" w:eastAsia="Palatino Linotype" w:hAnsi="Palatino Linotype" w:cs="Palatino Linotype"/>
        </w:rPr>
        <w:t xml:space="preserve"> interpuso el recurso de revisión respectivo, refiriendo sus razones o motivos de inconformidad que se describen a continuación en su sentido toral:</w:t>
      </w:r>
    </w:p>
    <w:p w:rsidR="00DF057C" w:rsidRPr="001461AD" w:rsidRDefault="001461AD">
      <w:pPr>
        <w:numPr>
          <w:ilvl w:val="0"/>
          <w:numId w:val="1"/>
        </w:numPr>
        <w:ind w:left="567" w:right="616" w:firstLine="0"/>
        <w:jc w:val="both"/>
        <w:rPr>
          <w:rFonts w:ascii="Palatino Linotype" w:eastAsia="Palatino Linotype" w:hAnsi="Palatino Linotype" w:cs="Palatino Linotype"/>
          <w:b/>
          <w:bCs/>
        </w:rPr>
      </w:pPr>
      <w:r w:rsidRPr="001461AD">
        <w:rPr>
          <w:rFonts w:ascii="Palatino Linotype" w:eastAsia="Palatino Linotype" w:hAnsi="Palatino Linotype" w:cs="Palatino Linotype"/>
          <w:b/>
          <w:bCs/>
        </w:rPr>
        <w:t>ACTO IMPUGNADO:</w:t>
      </w:r>
    </w:p>
    <w:p w:rsidR="00DF057C" w:rsidRDefault="00FA309E">
      <w:pP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“La negativa del sujeto obligado a proporcionarme los recibos de nómina de mi esposo por considerar que contienen datos personales, no obstante no contienen datos personales sensibles y además las percepciones de los servidores públicos deben ser asequibles para todo aquel que la solicite” (Sic)</w:t>
      </w:r>
    </w:p>
    <w:p w:rsidR="001461AD" w:rsidRPr="001461AD" w:rsidRDefault="001461AD">
      <w:pPr>
        <w:ind w:left="567" w:right="616"/>
        <w:jc w:val="both"/>
        <w:rPr>
          <w:rFonts w:ascii="Palatino Linotype" w:eastAsia="Palatino Linotype" w:hAnsi="Palatino Linotype" w:cs="Palatino Linotype"/>
          <w:i/>
          <w:iCs/>
          <w:color w:val="000000"/>
        </w:rPr>
      </w:pPr>
    </w:p>
    <w:p w:rsidR="00DF057C" w:rsidRPr="001461AD" w:rsidRDefault="001461AD">
      <w:pPr>
        <w:numPr>
          <w:ilvl w:val="0"/>
          <w:numId w:val="4"/>
        </w:numPr>
        <w:ind w:left="567" w:right="616" w:firstLine="0"/>
        <w:jc w:val="both"/>
        <w:rPr>
          <w:rFonts w:ascii="Palatino Linotype" w:eastAsia="Palatino Linotype" w:hAnsi="Palatino Linotype" w:cs="Palatino Linotype"/>
          <w:b/>
          <w:bCs/>
        </w:rPr>
      </w:pPr>
      <w:r w:rsidRPr="001461AD">
        <w:rPr>
          <w:rFonts w:ascii="Palatino Linotype" w:eastAsia="Palatino Linotype" w:hAnsi="Palatino Linotype" w:cs="Palatino Linotype"/>
          <w:b/>
          <w:bCs/>
        </w:rPr>
        <w:t>RAZONES O MOTIVOS DE LA INCONFORMIDAD:</w:t>
      </w:r>
    </w:p>
    <w:p w:rsidR="00DF057C" w:rsidRPr="001461AD" w:rsidRDefault="00FA309E">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rPr>
      </w:pPr>
      <w:r w:rsidRPr="001461AD">
        <w:rPr>
          <w:rFonts w:ascii="Palatino Linotype" w:eastAsia="Palatino Linotype" w:hAnsi="Palatino Linotype" w:cs="Palatino Linotype"/>
          <w:i/>
          <w:iCs/>
          <w:color w:val="000000"/>
        </w:rPr>
        <w:t>“Se exponen en el documento adjunto.” (Sic)</w:t>
      </w:r>
      <w:r w:rsidRPr="001461AD">
        <w:rPr>
          <w:rFonts w:ascii="Palatino Linotype" w:eastAsia="Palatino Linotype" w:hAnsi="Palatino Linotype" w:cs="Palatino Linotype"/>
          <w:i/>
          <w:iCs/>
        </w:rPr>
        <w:t xml:space="preserve"> </w:t>
      </w:r>
    </w:p>
    <w:p w:rsidR="00DF057C" w:rsidRPr="001461AD" w:rsidRDefault="00DF057C">
      <w:pPr>
        <w:pBdr>
          <w:top w:val="nil"/>
          <w:left w:val="nil"/>
          <w:bottom w:val="nil"/>
          <w:right w:val="nil"/>
          <w:between w:val="nil"/>
        </w:pBdr>
        <w:spacing w:line="360" w:lineRule="auto"/>
        <w:ind w:left="1134" w:right="49"/>
        <w:jc w:val="both"/>
        <w:rPr>
          <w:rFonts w:ascii="Palatino Linotype" w:eastAsia="Palatino Linotype" w:hAnsi="Palatino Linotype" w:cs="Palatino Linotype"/>
          <w:i/>
          <w:iCs/>
        </w:rPr>
      </w:pPr>
    </w:p>
    <w:p w:rsidR="00DF057C" w:rsidRPr="001461AD" w:rsidRDefault="00FA309E" w:rsidP="001461AD">
      <w:pPr>
        <w:pBdr>
          <w:top w:val="nil"/>
          <w:left w:val="nil"/>
          <w:bottom w:val="nil"/>
          <w:right w:val="nil"/>
          <w:between w:val="nil"/>
        </w:pBdr>
        <w:spacing w:line="360" w:lineRule="auto"/>
        <w:ind w:right="616"/>
        <w:jc w:val="both"/>
        <w:rPr>
          <w:rFonts w:ascii="Palatino Linotype" w:eastAsia="Palatino Linotype" w:hAnsi="Palatino Linotype" w:cs="Palatino Linotype"/>
          <w:i/>
          <w:iCs/>
        </w:rPr>
      </w:pPr>
      <w:r w:rsidRPr="001461AD">
        <w:rPr>
          <w:rFonts w:ascii="Palatino Linotype" w:eastAsia="Palatino Linotype" w:hAnsi="Palatino Linotype" w:cs="Palatino Linotype"/>
        </w:rPr>
        <w:t>Se adjunta el documento denominado “</w:t>
      </w:r>
      <w:r w:rsidRPr="001461AD">
        <w:rPr>
          <w:rFonts w:ascii="Palatino Linotype" w:eastAsia="Palatino Linotype" w:hAnsi="Palatino Linotype" w:cs="Palatino Linotype"/>
          <w:b/>
          <w:bCs/>
          <w:i/>
          <w:iCs/>
        </w:rPr>
        <w:t>RR Recibos de nomina .pdf</w:t>
      </w:r>
      <w:r w:rsidRPr="001461AD">
        <w:rPr>
          <w:rFonts w:ascii="Palatino Linotype" w:eastAsia="Palatino Linotype" w:hAnsi="Palatino Linotype" w:cs="Palatino Linotype"/>
        </w:rPr>
        <w:t>”: Documento con número de folio 000495/PJUDIC/IP/2025, suscrito por la solicitante, en el cual refiere que el titular de los datos a los que se pretende tener acceso se encuentra privado de su libertad, por lo que no es posible que solicite sus recibos de manera personal; aseverando que como esposa tiene el interés legítimo de solicitarlos, por lo cual adjunta las identificaciones de ambos; así como el acta de matrimonio; así mismo, refiere que los datos contenidos en los recibos de nómina son datos de los que ya tienen conocimiento al ser su esposa.</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b/>
          <w:bCs/>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b/>
          <w:bCs/>
          <w:color w:val="000000"/>
        </w:rPr>
        <w:t>C</w:t>
      </w:r>
      <w:r w:rsidRPr="001461AD">
        <w:rPr>
          <w:rFonts w:ascii="Palatino Linotype" w:eastAsia="Palatino Linotype" w:hAnsi="Palatino Linotype" w:cs="Palatino Linotype"/>
          <w:color w:val="000000"/>
        </w:rPr>
        <w:t xml:space="preserve">on fundamento en los artículos 11, 127 y 131, de la </w:t>
      </w:r>
      <w:r w:rsidRPr="001461AD">
        <w:rPr>
          <w:rFonts w:ascii="Palatino Linotype" w:eastAsia="Palatino Linotype" w:hAnsi="Palatino Linotype" w:cs="Palatino Linotype"/>
          <w:b/>
          <w:bCs/>
          <w:color w:val="000000"/>
        </w:rPr>
        <w:t>Ley de Protección de Datos Personales en Posesión de Sujetos Obligados del Estado de México y Municipios</w:t>
      </w:r>
      <w:r w:rsidRPr="001461AD">
        <w:rPr>
          <w:rFonts w:ascii="Palatino Linotype" w:eastAsia="Palatino Linotype" w:hAnsi="Palatino Linotype" w:cs="Palatino Linotype"/>
          <w:color w:val="000000"/>
        </w:rPr>
        <w:t xml:space="preserve"> y 185, fracciones I, II y IV, de la Ley de Transparencia y Acceso a la Información Pública del Estado de México y Municipios de aplicación supletoria,  en fecha </w:t>
      </w:r>
      <w:r w:rsidRPr="001461AD">
        <w:rPr>
          <w:rFonts w:ascii="Palatino Linotype" w:eastAsia="Palatino Linotype" w:hAnsi="Palatino Linotype" w:cs="Palatino Linotype"/>
          <w:b/>
          <w:bCs/>
          <w:color w:val="000000"/>
        </w:rPr>
        <w:t>veintidós de mayo de dos mil veinticinco</w:t>
      </w:r>
      <w:r w:rsidRPr="001461AD">
        <w:rPr>
          <w:rFonts w:ascii="Palatino Linotype" w:eastAsia="Palatino Linotype" w:hAnsi="Palatino Linotype" w:cs="Palatino Linotype"/>
          <w:color w:val="000000"/>
        </w:rPr>
        <w:t xml:space="preserve">, </w:t>
      </w:r>
      <w:r w:rsidRPr="001461AD">
        <w:rPr>
          <w:rFonts w:ascii="Palatino Linotype" w:eastAsia="Palatino Linotype" w:hAnsi="Palatino Linotype" w:cs="Palatino Linotype"/>
          <w:b/>
          <w:bCs/>
          <w:color w:val="000000"/>
        </w:rPr>
        <w:t>se</w:t>
      </w:r>
      <w:r w:rsidRPr="001461AD">
        <w:rPr>
          <w:rFonts w:ascii="Palatino Linotype" w:eastAsia="Palatino Linotype" w:hAnsi="Palatino Linotype" w:cs="Palatino Linotype"/>
          <w:color w:val="000000"/>
        </w:rPr>
        <w:t xml:space="preserve"> </w:t>
      </w:r>
      <w:r w:rsidRPr="001461AD">
        <w:rPr>
          <w:rFonts w:ascii="Palatino Linotype" w:eastAsia="Palatino Linotype" w:hAnsi="Palatino Linotype" w:cs="Palatino Linotype"/>
          <w:b/>
          <w:bCs/>
          <w:color w:val="000000"/>
        </w:rPr>
        <w:t>admitió</w:t>
      </w:r>
      <w:r w:rsidRPr="001461AD">
        <w:rPr>
          <w:rFonts w:ascii="Palatino Linotype" w:eastAsia="Palatino Linotype" w:hAnsi="Palatino Linotype" w:cs="Palatino Linotype"/>
          <w:color w:val="000000"/>
        </w:rPr>
        <w:t xml:space="preserve"> el presente recurso de revisión a través del acuerdo de admisión respectivo.</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lastRenderedPageBreak/>
        <w:t xml:space="preserve">El </w:t>
      </w:r>
      <w:r w:rsidRPr="001461AD">
        <w:rPr>
          <w:rFonts w:ascii="Palatino Linotype" w:eastAsia="Palatino Linotype" w:hAnsi="Palatino Linotype" w:cs="Palatino Linotype"/>
          <w:b/>
          <w:bCs/>
          <w:color w:val="000000"/>
        </w:rPr>
        <w:t xml:space="preserve">SUJETO OBLIGADO, </w:t>
      </w:r>
      <w:r w:rsidRPr="001461AD">
        <w:rPr>
          <w:rFonts w:ascii="Palatino Linotype" w:eastAsia="Palatino Linotype" w:hAnsi="Palatino Linotype" w:cs="Palatino Linotype"/>
          <w:color w:val="000000"/>
        </w:rPr>
        <w:t xml:space="preserve">en fecha </w:t>
      </w:r>
      <w:r w:rsidRPr="001461AD">
        <w:rPr>
          <w:rFonts w:ascii="Palatino Linotype" w:eastAsia="Palatino Linotype" w:hAnsi="Palatino Linotype" w:cs="Palatino Linotype"/>
          <w:b/>
          <w:bCs/>
          <w:color w:val="000000"/>
        </w:rPr>
        <w:t xml:space="preserve">dos de junio de dos mil veinticinco, </w:t>
      </w:r>
      <w:r w:rsidRPr="001461AD">
        <w:rPr>
          <w:rFonts w:ascii="Palatino Linotype" w:eastAsia="Palatino Linotype" w:hAnsi="Palatino Linotype" w:cs="Palatino Linotype"/>
          <w:color w:val="000000"/>
        </w:rPr>
        <w:t>rindió el informe justificado correspondiente, mediante el cual confirma su respuesta.</w:t>
      </w:r>
    </w:p>
    <w:p w:rsidR="00DF057C" w:rsidRPr="001461AD" w:rsidRDefault="00DF057C">
      <w:pPr>
        <w:pBdr>
          <w:top w:val="nil"/>
          <w:left w:val="nil"/>
          <w:bottom w:val="nil"/>
          <w:right w:val="nil"/>
          <w:between w:val="nil"/>
        </w:pBdr>
        <w:ind w:left="720" w:right="49"/>
        <w:rPr>
          <w:rFonts w:ascii="Palatino Linotype" w:eastAsia="Palatino Linotype" w:hAnsi="Palatino Linotype" w:cs="Palatino Linotype"/>
          <w:color w:val="000000"/>
        </w:rPr>
      </w:pPr>
    </w:p>
    <w:p w:rsidR="00DF057C" w:rsidRPr="001461AD" w:rsidRDefault="00FA309E">
      <w:pPr>
        <w:numPr>
          <w:ilvl w:val="0"/>
          <w:numId w:val="2"/>
        </w:numPr>
        <w:spacing w:line="360" w:lineRule="auto"/>
        <w:ind w:left="0" w:right="49" w:firstLine="0"/>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rPr>
        <w:t xml:space="preserve">De lo anterior </w:t>
      </w:r>
      <w:r w:rsidRPr="001461AD">
        <w:rPr>
          <w:rFonts w:ascii="Palatino Linotype" w:eastAsia="Palatino Linotype" w:hAnsi="Palatino Linotype" w:cs="Palatino Linotype"/>
          <w:b/>
          <w:bCs/>
        </w:rPr>
        <w:t xml:space="preserve">el RECURRENTE </w:t>
      </w:r>
      <w:r w:rsidRPr="001461AD">
        <w:rPr>
          <w:rFonts w:ascii="Palatino Linotype" w:eastAsia="Palatino Linotype" w:hAnsi="Palatino Linotype" w:cs="Palatino Linotype"/>
        </w:rPr>
        <w:t xml:space="preserve">dejó de realizar manifestaciones que a su derecho conviniera y asistiera, respectivamente el recurso de revisión. </w:t>
      </w:r>
    </w:p>
    <w:p w:rsidR="00DF057C" w:rsidRPr="001461AD" w:rsidRDefault="00DF057C">
      <w:pPr>
        <w:spacing w:line="360" w:lineRule="auto"/>
        <w:ind w:left="2912" w:right="49"/>
        <w:jc w:val="both"/>
        <w:rPr>
          <w:rFonts w:ascii="Palatino Linotype" w:eastAsia="Palatino Linotype" w:hAnsi="Palatino Linotype" w:cs="Palatino Linotype"/>
        </w:rPr>
      </w:pPr>
    </w:p>
    <w:p w:rsidR="00DF057C" w:rsidRPr="001461AD" w:rsidRDefault="00FA309E">
      <w:pPr>
        <w:numPr>
          <w:ilvl w:val="0"/>
          <w:numId w:val="2"/>
        </w:numPr>
        <w:pBdr>
          <w:top w:val="nil"/>
          <w:left w:val="nil"/>
          <w:bottom w:val="nil"/>
          <w:right w:val="nil"/>
          <w:between w:val="nil"/>
        </w:pBdr>
        <w:tabs>
          <w:tab w:val="left" w:pos="426"/>
          <w:tab w:val="left" w:pos="567"/>
        </w:tabs>
        <w:spacing w:line="360" w:lineRule="auto"/>
        <w:ind w:left="0" w:right="49" w:firstLine="0"/>
        <w:jc w:val="both"/>
        <w:rPr>
          <w:rFonts w:ascii="Palatino Linotype" w:eastAsia="Palatino Linotype" w:hAnsi="Palatino Linotype" w:cs="Palatino Linotype"/>
          <w:b/>
          <w:bCs/>
        </w:rPr>
      </w:pPr>
      <w:r w:rsidRPr="001461AD">
        <w:rPr>
          <w:rFonts w:ascii="Palatino Linotype" w:eastAsia="Palatino Linotype" w:hAnsi="Palatino Linotype" w:cs="Palatino Linotype"/>
          <w:color w:val="000000"/>
        </w:rPr>
        <w:t xml:space="preserve">El </w:t>
      </w:r>
      <w:r w:rsidRPr="001461AD">
        <w:rPr>
          <w:rFonts w:ascii="Palatino Linotype" w:eastAsia="Palatino Linotype" w:hAnsi="Palatino Linotype" w:cs="Palatino Linotype"/>
          <w:b/>
          <w:bCs/>
          <w:color w:val="000000"/>
        </w:rPr>
        <w:t>ocho de julio de dos mil veinticinco</w:t>
      </w:r>
      <w:r w:rsidRPr="001461AD">
        <w:rPr>
          <w:rFonts w:ascii="Palatino Linotype" w:eastAsia="Palatino Linotype" w:hAnsi="Palatino Linotype" w:cs="Palatino Linotype"/>
          <w:color w:val="000000"/>
        </w:rPr>
        <w:t>, se notificó el acuerdo mediante el cual se amplió el plazo para emitir resolución por un término de 15 días adicionales.</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El </w:t>
      </w:r>
      <w:r w:rsidRPr="001461AD">
        <w:rPr>
          <w:rFonts w:ascii="Palatino Linotype" w:eastAsia="Palatino Linotype" w:hAnsi="Palatino Linotype" w:cs="Palatino Linotype"/>
          <w:b/>
          <w:bCs/>
          <w:color w:val="000000"/>
        </w:rPr>
        <w:t xml:space="preserve">diecinueve de febrero de dos mil veintiséis, </w:t>
      </w:r>
      <w:r w:rsidRPr="001461AD">
        <w:rPr>
          <w:rFonts w:ascii="Palatino Linotype" w:eastAsia="Palatino Linotype" w:hAnsi="Palatino Linotype" w:cs="Palatino Linotype"/>
          <w:color w:val="000000"/>
        </w:rPr>
        <w:t>se notificó acuerdo de prevención al recurrente, para que en un término no mayor a cinco días hábiles acredite la personalidad e identidad de representante.</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El </w:t>
      </w:r>
      <w:r w:rsidRPr="001461AD">
        <w:rPr>
          <w:rFonts w:ascii="Palatino Linotype" w:eastAsia="Palatino Linotype" w:hAnsi="Palatino Linotype" w:cs="Palatino Linotype"/>
          <w:b/>
          <w:bCs/>
          <w:color w:val="000000"/>
        </w:rPr>
        <w:t xml:space="preserve">veintidós de febrero de dos mil veintiséis, </w:t>
      </w:r>
      <w:r w:rsidRPr="001461AD">
        <w:rPr>
          <w:rFonts w:ascii="Palatino Linotype" w:eastAsia="Palatino Linotype" w:hAnsi="Palatino Linotype" w:cs="Palatino Linotype"/>
          <w:color w:val="000000"/>
        </w:rPr>
        <w:t xml:space="preserve">se recibió el documento denominado  </w:t>
      </w:r>
      <w:r w:rsidRPr="001461AD">
        <w:rPr>
          <w:rFonts w:ascii="Palatino Linotype" w:eastAsia="Palatino Linotype" w:hAnsi="Palatino Linotype" w:cs="Palatino Linotype"/>
          <w:b/>
          <w:bCs/>
          <w:i/>
          <w:iCs/>
          <w:color w:val="000000"/>
        </w:rPr>
        <w:t xml:space="preserve">“Escrito Archivo Vacio SAIMEX.pdf”, </w:t>
      </w:r>
      <w:r w:rsidRPr="001461AD">
        <w:rPr>
          <w:rFonts w:ascii="Palatino Linotype" w:eastAsia="Palatino Linotype" w:hAnsi="Palatino Linotype" w:cs="Palatino Linotype"/>
          <w:color w:val="000000"/>
        </w:rPr>
        <w:t xml:space="preserve">mediante el cual la solicitante refirió </w:t>
      </w:r>
      <w:r w:rsidRPr="001461AD">
        <w:rPr>
          <w:rFonts w:ascii="Palatino Linotype" w:eastAsia="Palatino Linotype" w:hAnsi="Palatino Linotype" w:cs="Palatino Linotype"/>
        </w:rPr>
        <w:t>que al</w:t>
      </w:r>
      <w:r w:rsidRPr="001461AD">
        <w:rPr>
          <w:rFonts w:ascii="Palatino Linotype" w:eastAsia="Palatino Linotype" w:hAnsi="Palatino Linotype" w:cs="Palatino Linotype"/>
          <w:color w:val="000000"/>
        </w:rPr>
        <w:t xml:space="preserve"> intentar acceder al archivo denominado </w:t>
      </w:r>
      <w:r w:rsidRPr="001461AD">
        <w:rPr>
          <w:rFonts w:ascii="Palatino Linotype" w:eastAsia="Palatino Linotype" w:hAnsi="Palatino Linotype" w:cs="Palatino Linotype"/>
          <w:b/>
          <w:bCs/>
          <w:i/>
          <w:iCs/>
          <w:color w:val="000000"/>
        </w:rPr>
        <w:t xml:space="preserve">“manifestaciones 5613_2025 Acuerdo de prevención.pdf”, </w:t>
      </w:r>
      <w:r w:rsidRPr="001461AD">
        <w:rPr>
          <w:rFonts w:ascii="Palatino Linotype" w:eastAsia="Palatino Linotype" w:hAnsi="Palatino Linotype" w:cs="Palatino Linotype"/>
          <w:color w:val="000000"/>
        </w:rPr>
        <w:t>el mismo se encuentra vacío, ya que a su dicho no contiene información alguna que le permita conocer el contenido del Acuerdo de Prevención, situación que considera la deja en imposibilidad material de dar cumplimiento a cualquier requerimiento o prevención que pudiera contener dicho acuerdo, toda vez que desconoce el contenido, por lo que solicita se vuelva a subir el archivo con el Acuerdo de Prevención de manera correcta o se le notifique por otro medio; no se omite mencionar que en dicho escrito proporcionó correo electrónico para oír y recibir todo tipo de notificaciones.</w:t>
      </w:r>
    </w:p>
    <w:p w:rsidR="00DF057C" w:rsidRPr="001461AD" w:rsidRDefault="00DF057C">
      <w:pPr>
        <w:pBdr>
          <w:top w:val="nil"/>
          <w:left w:val="nil"/>
          <w:bottom w:val="nil"/>
          <w:right w:val="nil"/>
          <w:between w:val="nil"/>
        </w:pBdr>
        <w:ind w:left="720" w:right="49"/>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lastRenderedPageBreak/>
        <w:t xml:space="preserve">En atención a las manifestaciones vertidas en el punto que antecede, en fecha </w:t>
      </w:r>
      <w:r w:rsidRPr="001461AD">
        <w:rPr>
          <w:rFonts w:ascii="Palatino Linotype" w:eastAsia="Palatino Linotype" w:hAnsi="Palatino Linotype" w:cs="Palatino Linotype"/>
          <w:b/>
          <w:bCs/>
          <w:color w:val="000000"/>
        </w:rPr>
        <w:t xml:space="preserve">veintitrés de febrero de dos mil veintiséis, </w:t>
      </w:r>
      <w:r w:rsidRPr="001461AD">
        <w:rPr>
          <w:rFonts w:ascii="Palatino Linotype" w:eastAsia="Palatino Linotype" w:hAnsi="Palatino Linotype" w:cs="Palatino Linotype"/>
          <w:color w:val="000000"/>
        </w:rPr>
        <w:t>personal de este Instituto procedió a notificar el Acuerdo de Prevención al correo electrónico proporcionado por la particular.</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Cabe precisar que hasta el </w:t>
      </w:r>
      <w:r w:rsidRPr="001461AD">
        <w:rPr>
          <w:rFonts w:ascii="Palatino Linotype" w:eastAsia="Palatino Linotype" w:hAnsi="Palatino Linotype" w:cs="Palatino Linotype"/>
          <w:b/>
          <w:bCs/>
          <w:color w:val="000000"/>
        </w:rPr>
        <w:t xml:space="preserve">nueve de marzo de dos mil veintiséis, </w:t>
      </w:r>
      <w:r w:rsidRPr="001461AD">
        <w:rPr>
          <w:rFonts w:ascii="Palatino Linotype" w:eastAsia="Palatino Linotype" w:hAnsi="Palatino Linotype" w:cs="Palatino Linotype"/>
          <w:color w:val="000000"/>
        </w:rPr>
        <w:t>personal de este Instituto, procedió a revisar los correos electrónicos proporcionados a la solicitante, a efecto de verificar si cumplió con el requerimiento, sin que a la fecha se haya pronunciado al respecto, por tanto no cumplió con lo solicitado.</w:t>
      </w:r>
    </w:p>
    <w:p w:rsidR="00DF057C" w:rsidRPr="001461AD" w:rsidRDefault="00DF057C">
      <w:pPr>
        <w:ind w:right="49"/>
        <w:jc w:val="both"/>
        <w:rPr>
          <w:rFonts w:ascii="Palatino Linotype" w:eastAsia="Palatino Linotype" w:hAnsi="Palatino Linotype" w:cs="Palatino Linotype"/>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En fecha </w:t>
      </w:r>
      <w:r w:rsidRPr="001461AD">
        <w:rPr>
          <w:rFonts w:ascii="Palatino Linotype" w:eastAsia="Palatino Linotype" w:hAnsi="Palatino Linotype" w:cs="Palatino Linotype"/>
          <w:b/>
          <w:bCs/>
          <w:color w:val="000000"/>
        </w:rPr>
        <w:t>nueve de marzo de dos mil veintiséis</w:t>
      </w:r>
      <w:r w:rsidRPr="001461AD">
        <w:rPr>
          <w:rFonts w:ascii="Palatino Linotype" w:eastAsia="Palatino Linotype" w:hAnsi="Palatino Linotype" w:cs="Palatino Linotype"/>
          <w:color w:val="000000"/>
        </w:rPr>
        <w:t xml:space="preserve">, se decretó el cierre de instrucción del recurso de revisión referido al rubro. </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las siguientes:</w:t>
      </w:r>
    </w:p>
    <w:p w:rsidR="00DF057C" w:rsidRPr="001461AD" w:rsidRDefault="00DF057C">
      <w:pPr>
        <w:pBdr>
          <w:top w:val="nil"/>
          <w:left w:val="nil"/>
          <w:bottom w:val="nil"/>
          <w:right w:val="nil"/>
          <w:between w:val="nil"/>
        </w:pBdr>
        <w:ind w:left="720" w:right="49"/>
        <w:rPr>
          <w:rFonts w:ascii="Palatino Linotype" w:eastAsia="Palatino Linotype" w:hAnsi="Palatino Linotype" w:cs="Palatino Linotype"/>
          <w:color w:val="000000"/>
        </w:rPr>
      </w:pPr>
    </w:p>
    <w:p w:rsidR="00DF057C" w:rsidRPr="001461AD" w:rsidRDefault="00FA309E">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r w:rsidRPr="001461AD">
        <w:rPr>
          <w:rFonts w:ascii="Palatino Linotype" w:eastAsia="Palatino Linotype" w:hAnsi="Palatino Linotype" w:cs="Palatino Linotype"/>
          <w:b/>
          <w:bCs/>
          <w:color w:val="000000"/>
        </w:rPr>
        <w:t>C O N S I D E R A C I O N E S</w:t>
      </w:r>
    </w:p>
    <w:p w:rsidR="00DF057C" w:rsidRPr="001461AD" w:rsidRDefault="00DF057C">
      <w:pPr>
        <w:pBdr>
          <w:top w:val="nil"/>
          <w:left w:val="nil"/>
          <w:bottom w:val="nil"/>
          <w:right w:val="nil"/>
          <w:between w:val="nil"/>
        </w:pBdr>
        <w:spacing w:line="360" w:lineRule="auto"/>
        <w:ind w:right="49"/>
        <w:jc w:val="center"/>
        <w:rPr>
          <w:rFonts w:ascii="Palatino Linotype" w:eastAsia="Palatino Linotype" w:hAnsi="Palatino Linotype" w:cs="Palatino Linotype"/>
          <w:b/>
          <w:bCs/>
        </w:rPr>
      </w:pPr>
    </w:p>
    <w:p w:rsidR="00DF057C" w:rsidRPr="001461AD" w:rsidRDefault="00FA309E">
      <w:pPr>
        <w:pStyle w:val="Ttulo2"/>
        <w:spacing w:before="0" w:line="360" w:lineRule="auto"/>
        <w:ind w:right="49"/>
        <w:rPr>
          <w:rFonts w:ascii="Palatino Linotype" w:eastAsia="Palatino Linotype" w:hAnsi="Palatino Linotype" w:cs="Palatino Linotype"/>
          <w:b/>
          <w:bCs/>
          <w:color w:val="000000"/>
          <w:sz w:val="24"/>
          <w:szCs w:val="24"/>
        </w:rPr>
      </w:pPr>
      <w:r w:rsidRPr="001461AD">
        <w:rPr>
          <w:rFonts w:ascii="Palatino Linotype" w:eastAsia="Palatino Linotype" w:hAnsi="Palatino Linotype" w:cs="Palatino Linotype"/>
          <w:b/>
          <w:bCs/>
          <w:color w:val="000000"/>
          <w:sz w:val="24"/>
          <w:szCs w:val="24"/>
        </w:rPr>
        <w:t>PRIMERA. Competencia</w:t>
      </w: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fracción IV de la Constitución Política del Estado Libre y Soberano de México;  1, 8, 9, 10, 37 y 42, fracciones I, II y III, de la Ley General de Transparencia y Acceso a la Información Pública; 1, 2, </w:t>
      </w:r>
      <w:r w:rsidRPr="001461AD">
        <w:rPr>
          <w:rFonts w:ascii="Palatino Linotype" w:eastAsia="Palatino Linotype" w:hAnsi="Palatino Linotype" w:cs="Palatino Linotype"/>
          <w:color w:val="000000"/>
        </w:rPr>
        <w:lastRenderedPageBreak/>
        <w:t>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9, fracciones I y XXIII y 11 del Reglamento Interior del Instituto de Transparencia, Acceso a la Información Pública y Protección de Datos Personales del Estado de México y Municipios.</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DF057C" w:rsidRPr="001461AD" w:rsidRDefault="00FA309E">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rPr>
      </w:pPr>
      <w:r w:rsidRPr="001461AD">
        <w:rPr>
          <w:rFonts w:ascii="Palatino Linotype" w:eastAsia="Palatino Linotype" w:hAnsi="Palatino Linotype" w:cs="Palatino Linotype"/>
          <w:b/>
          <w:bCs/>
          <w:color w:val="000000"/>
        </w:rPr>
        <w:t>SEGUNDA. Procedencia y oportunidad.</w:t>
      </w: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461AD">
        <w:rPr>
          <w:rFonts w:ascii="Palatino Linotype" w:eastAsia="Palatino Linotype" w:hAnsi="Palatino Linotype" w:cs="Palatino Linotype"/>
        </w:rPr>
        <w:t>Es de precisar, que la Ley de Protección de Datos Personales en Posesión de Sujetos Obligados del Estado de México y Municipios, en el artículo 108 describe el plazo de respuesta, ampliación y negativa.</w:t>
      </w: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i/>
          <w:iCs/>
        </w:rPr>
      </w:pPr>
      <w:r w:rsidRPr="001461AD">
        <w:rPr>
          <w:rFonts w:ascii="Palatino Linotype" w:eastAsia="Palatino Linotype" w:hAnsi="Palatino Linotype" w:cs="Palatino Linotype"/>
          <w:b/>
          <w:bCs/>
          <w:i/>
          <w:iCs/>
        </w:rPr>
        <w:t>Artículo 108.</w:t>
      </w:r>
      <w:r w:rsidRPr="001461AD">
        <w:rPr>
          <w:rFonts w:ascii="Palatino Linotype" w:eastAsia="Palatino Linotype" w:hAnsi="Palatino Linotype" w:cs="Palatino Linotype"/>
          <w:i/>
          <w:iCs/>
        </w:rPr>
        <w:t xml:space="preserve"> El responsable deberá establecer procedimientos sencillos que permitan el ejercicio de los derechos ARCO, privilegiando los mecanismos que faciliten su ejercicio de una manera breve y ágil. </w:t>
      </w:r>
      <w:r w:rsidRPr="001461AD">
        <w:rPr>
          <w:rFonts w:ascii="Palatino Linotype" w:eastAsia="Palatino Linotype" w:hAnsi="Palatino Linotype" w:cs="Palatino Linotype"/>
          <w:b/>
          <w:bCs/>
          <w:i/>
          <w:iCs/>
        </w:rPr>
        <w:t>El plazo de respuesta no deberá exceder de veinte días contados a partir del día siguiente a la recepción</w:t>
      </w:r>
      <w:r w:rsidRPr="001461AD">
        <w:rPr>
          <w:rFonts w:ascii="Palatino Linotype" w:eastAsia="Palatino Linotype" w:hAnsi="Palatino Linotype" w:cs="Palatino Linotype"/>
          <w:i/>
          <w:iCs/>
        </w:rPr>
        <w:t xml:space="preserve"> de la solicitud. </w:t>
      </w:r>
    </w:p>
    <w:p w:rsidR="00DF057C" w:rsidRPr="001461AD" w:rsidRDefault="00DF057C">
      <w:pPr>
        <w:pBdr>
          <w:top w:val="nil"/>
          <w:left w:val="nil"/>
          <w:bottom w:val="nil"/>
          <w:right w:val="nil"/>
          <w:between w:val="nil"/>
        </w:pBdr>
        <w:ind w:left="566" w:right="616"/>
        <w:jc w:val="both"/>
        <w:rPr>
          <w:rFonts w:ascii="Palatino Linotype" w:eastAsia="Palatino Linotype" w:hAnsi="Palatino Linotype" w:cs="Palatino Linotype"/>
          <w:i/>
          <w:iCs/>
        </w:rPr>
      </w:pP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i/>
          <w:iCs/>
        </w:rPr>
      </w:pPr>
      <w:r w:rsidRPr="001461AD">
        <w:rPr>
          <w:rFonts w:ascii="Palatino Linotype" w:eastAsia="Palatino Linotype" w:hAnsi="Palatino Linotype" w:cs="Palatino Linotype"/>
          <w:i/>
          <w:iCs/>
        </w:rPr>
        <w:t>El plazo referido en el párrafo anterior podrá ser ampliado por una sola vez hasta por diez días cuando así lo justifiquen las circunstancias y siempre y cuando se le notifique al titular dentro del plazo de respuesta.</w:t>
      </w:r>
    </w:p>
    <w:p w:rsidR="00DF057C" w:rsidRPr="001461AD" w:rsidRDefault="00DF057C">
      <w:pPr>
        <w:pBdr>
          <w:top w:val="nil"/>
          <w:left w:val="nil"/>
          <w:bottom w:val="nil"/>
          <w:right w:val="nil"/>
          <w:between w:val="nil"/>
        </w:pBdr>
        <w:ind w:left="566" w:right="616"/>
        <w:jc w:val="both"/>
        <w:rPr>
          <w:rFonts w:ascii="Palatino Linotype" w:eastAsia="Palatino Linotype" w:hAnsi="Palatino Linotype" w:cs="Palatino Linotype"/>
          <w:i/>
          <w:iCs/>
        </w:rPr>
      </w:pP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i/>
          <w:iCs/>
        </w:rPr>
      </w:pPr>
      <w:r w:rsidRPr="001461AD">
        <w:rPr>
          <w:rFonts w:ascii="Palatino Linotype" w:eastAsia="Palatino Linotype" w:hAnsi="Palatino Linotype" w:cs="Palatino Linotype"/>
          <w:i/>
          <w:iCs/>
        </w:rPr>
        <w:t xml:space="preserve">En caso de resultar procedente el ejercicio de los derechos ARCO, el responsable deberá hacerlo efectivo en un plazo que no podrá exceder de quince días contados a partir del día siguiente en que se haya notificado la respuesta al titular. </w:t>
      </w:r>
    </w:p>
    <w:p w:rsidR="00DF057C" w:rsidRPr="001461AD" w:rsidRDefault="00DF057C">
      <w:pPr>
        <w:pBdr>
          <w:top w:val="nil"/>
          <w:left w:val="nil"/>
          <w:bottom w:val="nil"/>
          <w:right w:val="nil"/>
          <w:between w:val="nil"/>
        </w:pBdr>
        <w:ind w:left="566" w:right="616"/>
        <w:jc w:val="both"/>
        <w:rPr>
          <w:rFonts w:ascii="Palatino Linotype" w:eastAsia="Palatino Linotype" w:hAnsi="Palatino Linotype" w:cs="Palatino Linotype"/>
          <w:i/>
          <w:iCs/>
        </w:rPr>
      </w:pP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i/>
          <w:iCs/>
        </w:rPr>
      </w:pPr>
      <w:r w:rsidRPr="001461AD">
        <w:rPr>
          <w:rFonts w:ascii="Palatino Linotype" w:eastAsia="Palatino Linotype" w:hAnsi="Palatino Linotype" w:cs="Palatino Linotype"/>
          <w:i/>
          <w:iCs/>
        </w:rPr>
        <w:t>En caso que el responsable no emita respuesta a la solicitud de ejercicio de derechos ARCO se entenderá que la respuesta es negativa.</w:t>
      </w:r>
    </w:p>
    <w:p w:rsidR="00DF057C" w:rsidRPr="001461AD" w:rsidRDefault="00DF057C">
      <w:pPr>
        <w:pBdr>
          <w:top w:val="nil"/>
          <w:left w:val="nil"/>
          <w:bottom w:val="nil"/>
          <w:right w:val="nil"/>
          <w:between w:val="nil"/>
        </w:pBdr>
        <w:ind w:left="566" w:right="616"/>
        <w:jc w:val="both"/>
        <w:rPr>
          <w:rFonts w:ascii="Palatino Linotype" w:eastAsia="Palatino Linotype" w:hAnsi="Palatino Linotype" w:cs="Palatino Linotype"/>
          <w:i/>
          <w:iCs/>
        </w:rPr>
      </w:pP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i/>
          <w:iCs/>
        </w:rPr>
      </w:pPr>
      <w:r w:rsidRPr="001461AD">
        <w:rPr>
          <w:rFonts w:ascii="Palatino Linotype" w:eastAsia="Palatino Linotype" w:hAnsi="Palatino Linotype" w:cs="Palatino Linotype"/>
          <w:i/>
          <w:iCs/>
        </w:rPr>
        <w:lastRenderedPageBreak/>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rsidR="00DF057C" w:rsidRPr="001461AD" w:rsidRDefault="00DF057C">
      <w:pPr>
        <w:pBdr>
          <w:top w:val="nil"/>
          <w:left w:val="nil"/>
          <w:bottom w:val="nil"/>
          <w:right w:val="nil"/>
          <w:between w:val="nil"/>
        </w:pBdr>
        <w:ind w:left="1134" w:right="49"/>
        <w:jc w:val="both"/>
        <w:rPr>
          <w:rFonts w:ascii="Palatino Linotype" w:eastAsia="Palatino Linotype" w:hAnsi="Palatino Linotype" w:cs="Palatino Linotype"/>
          <w:i/>
          <w:iCs/>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461AD">
        <w:rPr>
          <w:rFonts w:ascii="Palatino Linotype" w:eastAsia="Palatino Linotype" w:hAnsi="Palatino Linotype" w:cs="Palatino Linotype"/>
        </w:rPr>
        <w:t xml:space="preserve"> Asimismo señala que el plazo del </w:t>
      </w:r>
      <w:r w:rsidRPr="001461AD">
        <w:rPr>
          <w:rFonts w:ascii="Palatino Linotype" w:eastAsia="Palatino Linotype" w:hAnsi="Palatino Linotype" w:cs="Palatino Linotype"/>
          <w:b/>
          <w:bCs/>
        </w:rPr>
        <w:t>SUJETO OBLIGADO</w:t>
      </w:r>
      <w:r w:rsidRPr="001461AD">
        <w:rPr>
          <w:rFonts w:ascii="Palatino Linotype" w:eastAsia="Palatino Linotype" w:hAnsi="Palatino Linotype" w:cs="Palatino Linotype"/>
        </w:rPr>
        <w:t xml:space="preserve"> para entregar la respuesta a una solicitud del </w:t>
      </w:r>
      <w:r w:rsidRPr="001461AD">
        <w:rPr>
          <w:rFonts w:ascii="Palatino Linotype" w:eastAsia="Palatino Linotype" w:hAnsi="Palatino Linotype" w:cs="Palatino Linotype"/>
          <w:i/>
          <w:iCs/>
        </w:rPr>
        <w:t>ejercicio de los derechos ARCO</w:t>
      </w:r>
      <w:r w:rsidRPr="001461AD">
        <w:rPr>
          <w:rFonts w:ascii="Palatino Linotype" w:eastAsia="Palatino Linotype" w:hAnsi="Palatino Linotype" w:cs="Palatino Linotype"/>
        </w:rPr>
        <w:t>, es de veinte días hábiles posteriores a la presentación de ésta; por lo que, 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rsidR="00DF057C" w:rsidRPr="001461AD" w:rsidRDefault="00DF057C">
      <w:pPr>
        <w:tabs>
          <w:tab w:val="left" w:pos="284"/>
        </w:tabs>
        <w:spacing w:line="360" w:lineRule="auto"/>
        <w:ind w:right="49"/>
        <w:jc w:val="both"/>
        <w:rPr>
          <w:rFonts w:ascii="Palatino Linotype" w:eastAsia="Palatino Linotype" w:hAnsi="Palatino Linotype" w:cs="Palatino Linotype"/>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461AD">
        <w:rPr>
          <w:rFonts w:ascii="Palatino Linotype" w:eastAsia="Palatino Linotype" w:hAnsi="Palatino Linotype" w:cs="Palatino Linotype"/>
        </w:rPr>
        <w:t xml:space="preserve">Por ende, se constituye la figura jurídica de la </w:t>
      </w:r>
      <w:r w:rsidRPr="001461AD">
        <w:rPr>
          <w:rFonts w:ascii="Palatino Linotype" w:eastAsia="Palatino Linotype" w:hAnsi="Palatino Linotype" w:cs="Palatino Linotype"/>
          <w:i/>
          <w:iCs/>
        </w:rPr>
        <w:t>negativa ficta</w:t>
      </w:r>
      <w:r w:rsidRPr="001461AD">
        <w:rPr>
          <w:rFonts w:ascii="Palatino Linotype" w:eastAsia="Palatino Linotype" w:hAnsi="Palatino Linotype" w:cs="Palatino Linotype"/>
        </w:rPr>
        <w:t>, cuya esencia es atribuir un efecto negativo al silencio de la autoridad administrativa frente a las instancias y solicitudes que hagan los particulares.</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461AD">
        <w:rPr>
          <w:rFonts w:ascii="Palatino Linotype" w:eastAsia="Palatino Linotype" w:hAnsi="Palatino Linotype" w:cs="Palatino Linotype"/>
        </w:rPr>
        <w:t>Resulta procedente la interposición del Recurso de Revisión, ya que se actualiza la causal de procedencia señalada en el artículo 129, fracción XI de la Ley de Protección de Datos Personales en Posesión de Sujetos Obligados del Estado de México y Municipios:</w:t>
      </w:r>
    </w:p>
    <w:p w:rsidR="00DF057C" w:rsidRPr="001461AD" w:rsidRDefault="00FA309E">
      <w:pPr>
        <w:pBdr>
          <w:top w:val="nil"/>
          <w:left w:val="nil"/>
          <w:bottom w:val="nil"/>
          <w:right w:val="nil"/>
          <w:between w:val="nil"/>
        </w:pBdr>
        <w:spacing w:line="360" w:lineRule="auto"/>
        <w:ind w:left="567" w:right="616"/>
        <w:jc w:val="both"/>
        <w:rPr>
          <w:rFonts w:ascii="Palatino Linotype" w:eastAsia="Palatino Linotype" w:hAnsi="Palatino Linotype" w:cs="Palatino Linotype"/>
          <w:b/>
          <w:bCs/>
          <w:i/>
          <w:iCs/>
        </w:rPr>
      </w:pPr>
      <w:r w:rsidRPr="001461AD">
        <w:rPr>
          <w:rFonts w:ascii="Palatino Linotype" w:eastAsia="Palatino Linotype" w:hAnsi="Palatino Linotype" w:cs="Palatino Linotype"/>
          <w:b/>
          <w:bCs/>
          <w:i/>
          <w:iCs/>
        </w:rPr>
        <w:t xml:space="preserve">Procedencia del Recurso de Revisión </w:t>
      </w:r>
    </w:p>
    <w:p w:rsidR="00DF057C" w:rsidRPr="001461AD" w:rsidRDefault="00FA309E">
      <w:pPr>
        <w:pBdr>
          <w:top w:val="nil"/>
          <w:left w:val="nil"/>
          <w:bottom w:val="nil"/>
          <w:right w:val="nil"/>
          <w:between w:val="nil"/>
        </w:pBdr>
        <w:spacing w:line="360" w:lineRule="auto"/>
        <w:ind w:left="567" w:right="616"/>
        <w:rPr>
          <w:rFonts w:ascii="Palatino Linotype" w:eastAsia="Palatino Linotype" w:hAnsi="Palatino Linotype" w:cs="Palatino Linotype"/>
          <w:i/>
          <w:iCs/>
        </w:rPr>
      </w:pPr>
      <w:r w:rsidRPr="001461AD">
        <w:rPr>
          <w:rFonts w:ascii="Palatino Linotype" w:eastAsia="Palatino Linotype" w:hAnsi="Palatino Linotype" w:cs="Palatino Linotype"/>
          <w:b/>
          <w:bCs/>
          <w:i/>
          <w:iCs/>
        </w:rPr>
        <w:t>Artículo 129</w:t>
      </w:r>
      <w:r w:rsidRPr="001461AD">
        <w:rPr>
          <w:rFonts w:ascii="Palatino Linotype" w:eastAsia="Palatino Linotype" w:hAnsi="Palatino Linotype" w:cs="Palatino Linotype"/>
          <w:i/>
          <w:iCs/>
        </w:rPr>
        <w:t>. El recurso de revisión procederá en los supuestos siguientes:</w:t>
      </w:r>
    </w:p>
    <w:p w:rsidR="00DF057C" w:rsidRPr="001461AD" w:rsidRDefault="00FA309E">
      <w:pPr>
        <w:pBdr>
          <w:top w:val="nil"/>
          <w:left w:val="nil"/>
          <w:bottom w:val="nil"/>
          <w:right w:val="nil"/>
          <w:between w:val="nil"/>
        </w:pBdr>
        <w:spacing w:line="360" w:lineRule="auto"/>
        <w:ind w:left="567" w:right="616"/>
        <w:rPr>
          <w:rFonts w:ascii="Palatino Linotype" w:eastAsia="Palatino Linotype" w:hAnsi="Palatino Linotype" w:cs="Palatino Linotype"/>
          <w:i/>
          <w:iCs/>
        </w:rPr>
      </w:pPr>
      <w:r w:rsidRPr="001461AD">
        <w:rPr>
          <w:rFonts w:ascii="Palatino Linotype" w:eastAsia="Palatino Linotype" w:hAnsi="Palatino Linotype" w:cs="Palatino Linotype"/>
          <w:i/>
          <w:iCs/>
        </w:rPr>
        <w:t>…</w:t>
      </w:r>
    </w:p>
    <w:p w:rsidR="00DF057C" w:rsidRPr="001461AD" w:rsidRDefault="00FA309E">
      <w:pPr>
        <w:pBdr>
          <w:top w:val="nil"/>
          <w:left w:val="nil"/>
          <w:bottom w:val="nil"/>
          <w:right w:val="nil"/>
          <w:between w:val="nil"/>
        </w:pBdr>
        <w:spacing w:line="360" w:lineRule="auto"/>
        <w:ind w:left="567" w:right="616"/>
        <w:rPr>
          <w:rFonts w:ascii="Palatino Linotype" w:eastAsia="Palatino Linotype" w:hAnsi="Palatino Linotype" w:cs="Palatino Linotype"/>
          <w:i/>
          <w:iCs/>
        </w:rPr>
      </w:pPr>
      <w:r w:rsidRPr="001461AD">
        <w:rPr>
          <w:rFonts w:ascii="Palatino Linotype" w:eastAsia="Palatino Linotype" w:hAnsi="Palatino Linotype" w:cs="Palatino Linotype"/>
          <w:i/>
          <w:iCs/>
        </w:rPr>
        <w:t>XI. No se dé trámite a una solicitud para el ejercicio de los derechos ARCO.</w:t>
      </w:r>
    </w:p>
    <w:p w:rsidR="00DF057C" w:rsidRPr="001461AD" w:rsidRDefault="00FA309E">
      <w:pPr>
        <w:pBdr>
          <w:top w:val="nil"/>
          <w:left w:val="nil"/>
          <w:bottom w:val="nil"/>
          <w:right w:val="nil"/>
          <w:between w:val="nil"/>
        </w:pBdr>
        <w:spacing w:line="360" w:lineRule="auto"/>
        <w:ind w:left="567" w:right="616"/>
        <w:rPr>
          <w:rFonts w:ascii="Palatino Linotype" w:eastAsia="Palatino Linotype" w:hAnsi="Palatino Linotype" w:cs="Palatino Linotype"/>
          <w:i/>
          <w:iCs/>
        </w:rPr>
      </w:pPr>
      <w:r w:rsidRPr="001461AD">
        <w:rPr>
          <w:rFonts w:ascii="Palatino Linotype" w:eastAsia="Palatino Linotype" w:hAnsi="Palatino Linotype" w:cs="Palatino Linotype"/>
          <w:i/>
          <w:iCs/>
        </w:rPr>
        <w:t>…</w:t>
      </w:r>
    </w:p>
    <w:p w:rsidR="00DF057C" w:rsidRDefault="00DF057C">
      <w:pPr>
        <w:pBdr>
          <w:top w:val="nil"/>
          <w:left w:val="nil"/>
          <w:bottom w:val="nil"/>
          <w:right w:val="nil"/>
          <w:between w:val="nil"/>
        </w:pBdr>
        <w:spacing w:line="360" w:lineRule="auto"/>
        <w:ind w:left="1134" w:right="49"/>
        <w:rPr>
          <w:rFonts w:ascii="Palatino Linotype" w:eastAsia="Palatino Linotype" w:hAnsi="Palatino Linotype" w:cs="Palatino Linotype"/>
          <w:i/>
          <w:iCs/>
        </w:rPr>
      </w:pPr>
    </w:p>
    <w:p w:rsidR="001461AD" w:rsidRDefault="001461AD">
      <w:pPr>
        <w:pBdr>
          <w:top w:val="nil"/>
          <w:left w:val="nil"/>
          <w:bottom w:val="nil"/>
          <w:right w:val="nil"/>
          <w:between w:val="nil"/>
        </w:pBdr>
        <w:spacing w:line="360" w:lineRule="auto"/>
        <w:ind w:left="1134" w:right="49"/>
        <w:rPr>
          <w:rFonts w:ascii="Palatino Linotype" w:eastAsia="Palatino Linotype" w:hAnsi="Palatino Linotype" w:cs="Palatino Linotype"/>
          <w:i/>
          <w:iCs/>
        </w:rPr>
      </w:pPr>
    </w:p>
    <w:p w:rsidR="001461AD" w:rsidRPr="001461AD" w:rsidRDefault="001461AD">
      <w:pPr>
        <w:pBdr>
          <w:top w:val="nil"/>
          <w:left w:val="nil"/>
          <w:bottom w:val="nil"/>
          <w:right w:val="nil"/>
          <w:between w:val="nil"/>
        </w:pBdr>
        <w:spacing w:line="360" w:lineRule="auto"/>
        <w:ind w:left="1134" w:right="49"/>
        <w:rPr>
          <w:rFonts w:ascii="Palatino Linotype" w:eastAsia="Palatino Linotype" w:hAnsi="Palatino Linotype" w:cs="Palatino Linotype"/>
          <w:i/>
          <w:iCs/>
        </w:rPr>
      </w:pPr>
    </w:p>
    <w:p w:rsidR="00DF057C" w:rsidRPr="001461AD" w:rsidRDefault="00FA309E">
      <w:pPr>
        <w:spacing w:line="360" w:lineRule="auto"/>
        <w:ind w:right="49"/>
        <w:jc w:val="both"/>
        <w:rPr>
          <w:rFonts w:ascii="Palatino Linotype" w:eastAsia="Palatino Linotype" w:hAnsi="Palatino Linotype" w:cs="Palatino Linotype"/>
        </w:rPr>
      </w:pPr>
      <w:r w:rsidRPr="001461AD">
        <w:rPr>
          <w:rFonts w:ascii="Palatino Linotype" w:eastAsia="Palatino Linotype" w:hAnsi="Palatino Linotype" w:cs="Palatino Linotype"/>
          <w:b/>
          <w:bCs/>
        </w:rPr>
        <w:lastRenderedPageBreak/>
        <w:t>TERCERA</w:t>
      </w:r>
      <w:r w:rsidRPr="001461AD">
        <w:rPr>
          <w:rFonts w:ascii="Palatino Linotype" w:eastAsia="Palatino Linotype" w:hAnsi="Palatino Linotype" w:cs="Palatino Linotype"/>
        </w:rPr>
        <w:t xml:space="preserve">. </w:t>
      </w:r>
      <w:r w:rsidRPr="001461AD">
        <w:rPr>
          <w:rFonts w:ascii="Palatino Linotype" w:eastAsia="Palatino Linotype" w:hAnsi="Palatino Linotype" w:cs="Palatino Linotype"/>
          <w:b/>
          <w:bCs/>
        </w:rPr>
        <w:t>Causales de improcedencia y sobreseimiento.</w:t>
      </w:r>
      <w:r w:rsidRPr="001461AD">
        <w:rPr>
          <w:rFonts w:ascii="Palatino Linotype" w:eastAsia="Palatino Linotype" w:hAnsi="Palatino Linotype" w:cs="Palatino Linotype"/>
        </w:rPr>
        <w:t xml:space="preserve"> </w:t>
      </w: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 </w:t>
      </w:r>
    </w:p>
    <w:p w:rsidR="00DF057C" w:rsidRPr="001461AD" w:rsidRDefault="00DF057C">
      <w:pPr>
        <w:spacing w:line="360" w:lineRule="auto"/>
        <w:ind w:right="49"/>
        <w:jc w:val="both"/>
        <w:rPr>
          <w:rFonts w:ascii="Palatino Linotype" w:eastAsia="Palatino Linotype" w:hAnsi="Palatino Linotype" w:cs="Palatino Linotype"/>
        </w:rPr>
      </w:pPr>
    </w:p>
    <w:p w:rsidR="00DF057C" w:rsidRPr="001461AD" w:rsidRDefault="00FA309E">
      <w:pPr>
        <w:numPr>
          <w:ilvl w:val="0"/>
          <w:numId w:val="3"/>
        </w:numPr>
        <w:spacing w:line="360" w:lineRule="auto"/>
        <w:ind w:right="49"/>
        <w:jc w:val="both"/>
        <w:rPr>
          <w:rFonts w:ascii="Palatino Linotype" w:eastAsia="Palatino Linotype" w:hAnsi="Palatino Linotype" w:cs="Palatino Linotype"/>
          <w:b/>
          <w:bCs/>
        </w:rPr>
      </w:pPr>
      <w:r w:rsidRPr="001461AD">
        <w:rPr>
          <w:rFonts w:ascii="Palatino Linotype" w:eastAsia="Palatino Linotype" w:hAnsi="Palatino Linotype" w:cs="Palatino Linotype"/>
          <w:b/>
          <w:bCs/>
        </w:rPr>
        <w:t>Causales de improcedencia.</w:t>
      </w: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la interposición del Recurso de Revisión; este Instituto no tiene conocimiento de haber resuelto sobre la materia del medio de impugnación que nos ocupa; se actualizan la causales de procedencia previstas por el artículo 129, fracciones XI y XII de la Ley en cita; no se tiene conocimiento que ante Tribunales competentes se esté tramitando algún recurso o medio de defensa en contra del acto recurrido ante este Instituto; el Particular no modificó ni amplió su solicitud  de acceso a datos personales y; finalmente el Particular acreditó el interés jurídico para efectos de interponer el medio de impugnación que nos ocupa. </w:t>
      </w:r>
    </w:p>
    <w:p w:rsidR="00DF057C" w:rsidRPr="001461AD" w:rsidRDefault="00DF057C">
      <w:pPr>
        <w:ind w:left="709" w:right="49"/>
        <w:jc w:val="both"/>
        <w:rPr>
          <w:rFonts w:ascii="Palatino Linotype" w:eastAsia="Palatino Linotype" w:hAnsi="Palatino Linotype" w:cs="Palatino Linotype"/>
          <w:color w:val="000000"/>
        </w:rPr>
      </w:pPr>
    </w:p>
    <w:p w:rsidR="00DF057C" w:rsidRPr="001461AD" w:rsidRDefault="00FA309E">
      <w:pPr>
        <w:numPr>
          <w:ilvl w:val="0"/>
          <w:numId w:val="3"/>
        </w:numPr>
        <w:spacing w:line="276" w:lineRule="auto"/>
        <w:ind w:right="49"/>
        <w:jc w:val="both"/>
        <w:rPr>
          <w:rFonts w:ascii="Palatino Linotype" w:eastAsia="Palatino Linotype" w:hAnsi="Palatino Linotype" w:cs="Palatino Linotype"/>
        </w:rPr>
      </w:pPr>
      <w:r w:rsidRPr="001461AD">
        <w:rPr>
          <w:rFonts w:ascii="Palatino Linotype" w:eastAsia="Palatino Linotype" w:hAnsi="Palatino Linotype" w:cs="Palatino Linotype"/>
          <w:b/>
          <w:bCs/>
        </w:rPr>
        <w:t>Causales de sobreseimiento</w:t>
      </w:r>
      <w:r w:rsidRPr="001461AD">
        <w:rPr>
          <w:rFonts w:ascii="Palatino Linotype" w:eastAsia="Palatino Linotype" w:hAnsi="Palatino Linotype" w:cs="Palatino Linotype"/>
        </w:rPr>
        <w:t>.</w:t>
      </w: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Por otra parte, el artículo 139, de la Ley de Protección de Datos Personales en Posesión de Sujetos Obligados del Estado de México y Municipios, señala que el Recurso de Revisión será sobreseído cuando una vez admitido, se actualice algún de los supuestos siguientes: </w:t>
      </w:r>
    </w:p>
    <w:p w:rsidR="00DF057C" w:rsidRPr="001461AD" w:rsidRDefault="00FA309E">
      <w:pPr>
        <w:spacing w:line="360" w:lineRule="auto"/>
        <w:ind w:left="567" w:right="616"/>
        <w:jc w:val="both"/>
        <w:rPr>
          <w:rFonts w:ascii="Palatino Linotype" w:eastAsia="Palatino Linotype" w:hAnsi="Palatino Linotype" w:cs="Palatino Linotype"/>
        </w:rPr>
      </w:pPr>
      <w:r w:rsidRPr="001461AD">
        <w:rPr>
          <w:rFonts w:ascii="Palatino Linotype" w:eastAsia="Palatino Linotype" w:hAnsi="Palatino Linotype" w:cs="Palatino Linotype"/>
        </w:rPr>
        <w:t xml:space="preserve">I. El recurrente se desista expresamente. </w:t>
      </w:r>
    </w:p>
    <w:p w:rsidR="00DF057C" w:rsidRPr="001461AD" w:rsidRDefault="00FA309E">
      <w:pPr>
        <w:spacing w:line="360" w:lineRule="auto"/>
        <w:ind w:left="567" w:right="616"/>
        <w:jc w:val="both"/>
        <w:rPr>
          <w:rFonts w:ascii="Palatino Linotype" w:eastAsia="Palatino Linotype" w:hAnsi="Palatino Linotype" w:cs="Palatino Linotype"/>
        </w:rPr>
      </w:pPr>
      <w:r w:rsidRPr="001461AD">
        <w:rPr>
          <w:rFonts w:ascii="Palatino Linotype" w:eastAsia="Palatino Linotype" w:hAnsi="Palatino Linotype" w:cs="Palatino Linotype"/>
        </w:rPr>
        <w:lastRenderedPageBreak/>
        <w:t xml:space="preserve">II. El recurrente fallezca. </w:t>
      </w:r>
    </w:p>
    <w:p w:rsidR="00DF057C" w:rsidRPr="001461AD" w:rsidRDefault="00FA309E">
      <w:pPr>
        <w:spacing w:line="360" w:lineRule="auto"/>
        <w:ind w:left="567" w:right="616"/>
        <w:jc w:val="both"/>
        <w:rPr>
          <w:rFonts w:ascii="Palatino Linotype" w:eastAsia="Palatino Linotype" w:hAnsi="Palatino Linotype" w:cs="Palatino Linotype"/>
          <w:b/>
          <w:bCs/>
        </w:rPr>
      </w:pPr>
      <w:r w:rsidRPr="001461AD">
        <w:rPr>
          <w:rFonts w:ascii="Palatino Linotype" w:eastAsia="Palatino Linotype" w:hAnsi="Palatino Linotype" w:cs="Palatino Linotype"/>
          <w:b/>
          <w:bCs/>
        </w:rPr>
        <w:t xml:space="preserve">III. Admitido el recurso de revisión, se actualice alguna causal de improcedencia en los términos de la presente Ley. </w:t>
      </w:r>
    </w:p>
    <w:p w:rsidR="00DF057C" w:rsidRPr="001461AD" w:rsidRDefault="00FA309E">
      <w:pPr>
        <w:spacing w:line="360" w:lineRule="auto"/>
        <w:ind w:left="567" w:right="616"/>
        <w:jc w:val="both"/>
        <w:rPr>
          <w:rFonts w:ascii="Palatino Linotype" w:eastAsia="Palatino Linotype" w:hAnsi="Palatino Linotype" w:cs="Palatino Linotype"/>
        </w:rPr>
      </w:pPr>
      <w:r w:rsidRPr="001461AD">
        <w:rPr>
          <w:rFonts w:ascii="Palatino Linotype" w:eastAsia="Palatino Linotype" w:hAnsi="Palatino Linotype" w:cs="Palatino Linotype"/>
        </w:rPr>
        <w:t xml:space="preserve">IV. El responsable modifique o revoque su respuesta de tal manera que el recurso de revisión quede sin materia. </w:t>
      </w:r>
    </w:p>
    <w:p w:rsidR="00DF057C" w:rsidRPr="001461AD" w:rsidRDefault="00FA309E">
      <w:pPr>
        <w:spacing w:line="360" w:lineRule="auto"/>
        <w:ind w:left="567" w:right="616"/>
        <w:jc w:val="both"/>
        <w:rPr>
          <w:rFonts w:ascii="Palatino Linotype" w:eastAsia="Palatino Linotype" w:hAnsi="Palatino Linotype" w:cs="Palatino Linotype"/>
        </w:rPr>
      </w:pPr>
      <w:r w:rsidRPr="001461AD">
        <w:rPr>
          <w:rFonts w:ascii="Palatino Linotype" w:eastAsia="Palatino Linotype" w:hAnsi="Palatino Linotype" w:cs="Palatino Linotype"/>
        </w:rPr>
        <w:t xml:space="preserve">V. Quede sin materia el recurso de revisión. </w:t>
      </w:r>
    </w:p>
    <w:p w:rsidR="00DF057C" w:rsidRPr="001461AD" w:rsidRDefault="00DF057C">
      <w:pPr>
        <w:spacing w:line="360" w:lineRule="auto"/>
        <w:ind w:right="49"/>
        <w:jc w:val="both"/>
        <w:rPr>
          <w:rFonts w:ascii="Palatino Linotype" w:eastAsia="Palatino Linotype" w:hAnsi="Palatino Linotype" w:cs="Palatino Linotype"/>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Es de señalar que toda vez que admitido el Recurso de Revisión, se actualiza una causal de sobreseimiento en términos de la Ley, es procedente analizar la causal III del artículo en cita. </w:t>
      </w:r>
    </w:p>
    <w:p w:rsidR="00DF057C" w:rsidRPr="001461AD" w:rsidRDefault="00DF057C">
      <w:pPr>
        <w:spacing w:line="360" w:lineRule="auto"/>
        <w:ind w:right="49"/>
        <w:jc w:val="both"/>
        <w:rPr>
          <w:rFonts w:ascii="Palatino Linotype" w:eastAsia="Palatino Linotype" w:hAnsi="Palatino Linotype" w:cs="Palatino Linotype"/>
          <w:b/>
          <w:bCs/>
          <w:color w:val="000000"/>
        </w:rPr>
      </w:pPr>
    </w:p>
    <w:p w:rsidR="00DF057C" w:rsidRPr="001461AD" w:rsidRDefault="00FA309E">
      <w:pPr>
        <w:spacing w:line="360" w:lineRule="auto"/>
        <w:ind w:right="49"/>
        <w:jc w:val="both"/>
        <w:rPr>
          <w:rFonts w:ascii="Palatino Linotype" w:eastAsia="Palatino Linotype" w:hAnsi="Palatino Linotype" w:cs="Palatino Linotype"/>
          <w:b/>
          <w:bCs/>
          <w:color w:val="000000"/>
        </w:rPr>
      </w:pPr>
      <w:r w:rsidRPr="001461AD">
        <w:rPr>
          <w:rFonts w:ascii="Palatino Linotype" w:eastAsia="Palatino Linotype" w:hAnsi="Palatino Linotype" w:cs="Palatino Linotype"/>
          <w:b/>
          <w:bCs/>
          <w:color w:val="000000"/>
        </w:rPr>
        <w:t>CUARTA. Análisis de las causales de sobreseimiento.</w:t>
      </w: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Así, con la finalidad de verificar si a</w:t>
      </w:r>
      <w:r w:rsidRPr="001461AD">
        <w:rPr>
          <w:rFonts w:ascii="Palatino Linotype" w:eastAsia="Palatino Linotype" w:hAnsi="Palatino Linotype" w:cs="Palatino Linotype"/>
          <w:b/>
          <w:bCs/>
          <w:color w:val="000000"/>
        </w:rPr>
        <w:t>dmitido el recurso de revisión, se actualiza alguna causal de improcedencia en los términos de la presente Ley</w:t>
      </w:r>
      <w:r w:rsidRPr="001461AD">
        <w:rPr>
          <w:rFonts w:ascii="Palatino Linotype" w:eastAsia="Palatino Linotype" w:hAnsi="Palatino Linotype" w:cs="Palatino Linotype"/>
          <w:color w:val="000000"/>
        </w:rPr>
        <w:t>, se realizará la relatoría de las actuaciones efectuadas por las partes durante el procedimiento de acceso a la información pública con el propósito de dar claridad en el tratamiento del tema en estudio.</w:t>
      </w:r>
    </w:p>
    <w:p w:rsidR="00DF057C" w:rsidRPr="001461AD" w:rsidRDefault="00FA309E">
      <w:pPr>
        <w:tabs>
          <w:tab w:val="left" w:pos="4962"/>
        </w:tabs>
        <w:spacing w:line="360" w:lineRule="auto"/>
        <w:ind w:right="49"/>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ab/>
      </w: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En ese sentido, es importante recordar que la información solicitada por la </w:t>
      </w:r>
      <w:r w:rsidRPr="001461AD">
        <w:rPr>
          <w:rFonts w:ascii="Palatino Linotype" w:eastAsia="Palatino Linotype" w:hAnsi="Palatino Linotype" w:cs="Palatino Linotype"/>
          <w:b/>
          <w:bCs/>
          <w:color w:val="000000"/>
        </w:rPr>
        <w:t xml:space="preserve">RECURRENTE </w:t>
      </w:r>
      <w:r w:rsidRPr="001461AD">
        <w:rPr>
          <w:rFonts w:ascii="Palatino Linotype" w:eastAsia="Palatino Linotype" w:hAnsi="Palatino Linotype" w:cs="Palatino Linotype"/>
          <w:color w:val="000000"/>
        </w:rPr>
        <w:t xml:space="preserve">fue la siguiente. </w:t>
      </w: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b/>
          <w:bCs/>
          <w:color w:val="000000"/>
        </w:rPr>
      </w:pPr>
      <w:r w:rsidRPr="001461AD">
        <w:rPr>
          <w:rFonts w:ascii="Palatino Linotype" w:eastAsia="Palatino Linotype" w:hAnsi="Palatino Linotype" w:cs="Palatino Linotype"/>
          <w:i/>
          <w:iCs/>
          <w:color w:val="000000"/>
        </w:rPr>
        <w:t>“solicito los últimos 75 recibos de nómina de Juan José Hernández García, quién es mi esposo. Y laboró como juez de primera instancia en el Poder Judicial del Estado de México.” (Sic)</w:t>
      </w:r>
    </w:p>
    <w:p w:rsidR="00DF057C" w:rsidRPr="001461AD" w:rsidRDefault="00DF057C">
      <w:pPr>
        <w:spacing w:line="360" w:lineRule="auto"/>
        <w:ind w:right="49"/>
        <w:jc w:val="both"/>
        <w:rPr>
          <w:rFonts w:ascii="Palatino Linotype" w:eastAsia="Palatino Linotype" w:hAnsi="Palatino Linotype" w:cs="Palatino Linotype"/>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Derivado de la solicitud, el </w:t>
      </w:r>
      <w:r w:rsidRPr="001461AD">
        <w:rPr>
          <w:rFonts w:ascii="Palatino Linotype" w:eastAsia="Palatino Linotype" w:hAnsi="Palatino Linotype" w:cs="Palatino Linotype"/>
          <w:b/>
          <w:bCs/>
          <w:smallCaps/>
          <w:color w:val="000000"/>
        </w:rPr>
        <w:t>SUJETO OBLIGADO</w:t>
      </w:r>
      <w:r w:rsidRPr="001461AD">
        <w:rPr>
          <w:rFonts w:ascii="Palatino Linotype" w:eastAsia="Palatino Linotype" w:hAnsi="Palatino Linotype" w:cs="Palatino Linotype"/>
          <w:color w:val="000000"/>
        </w:rPr>
        <w:t xml:space="preserve"> no dio trámite a la solicitud para el ejercicio de los derechos ARCO, al simular una respuesta que no muestra ningún pronunciamiento.</w:t>
      </w: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lastRenderedPageBreak/>
        <w:t>El Particular interpuso el presente Recurso de Revisión, en el que manifestó la negativa a la información solicitada.</w:t>
      </w:r>
    </w:p>
    <w:p w:rsidR="00DF057C" w:rsidRPr="001461AD" w:rsidRDefault="00DF057C">
      <w:pPr>
        <w:spacing w:line="360" w:lineRule="auto"/>
        <w:ind w:right="49"/>
        <w:jc w:val="both"/>
        <w:rPr>
          <w:rFonts w:ascii="Palatino Linotype" w:eastAsia="Palatino Linotype" w:hAnsi="Palatino Linotype" w:cs="Palatino Linotype"/>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Posteriormente el Sujeto Obligado, remitió informe justificado</w:t>
      </w:r>
      <w:r w:rsidRPr="001461AD">
        <w:rPr>
          <w:rFonts w:ascii="Palatino Linotype" w:eastAsia="Palatino Linotype" w:hAnsi="Palatino Linotype" w:cs="Palatino Linotype"/>
          <w:b/>
          <w:bCs/>
          <w:color w:val="000000"/>
        </w:rPr>
        <w:t xml:space="preserve">, </w:t>
      </w:r>
      <w:r w:rsidRPr="001461AD">
        <w:rPr>
          <w:rFonts w:ascii="Palatino Linotype" w:eastAsia="Palatino Linotype" w:hAnsi="Palatino Linotype" w:cs="Palatino Linotype"/>
          <w:color w:val="000000"/>
        </w:rPr>
        <w:t xml:space="preserve">mediante el cual ratifica su respuesta, mismo que se puso a la vista del </w:t>
      </w:r>
      <w:r w:rsidRPr="001461AD">
        <w:rPr>
          <w:rFonts w:ascii="Palatino Linotype" w:eastAsia="Palatino Linotype" w:hAnsi="Palatino Linotype" w:cs="Palatino Linotype"/>
          <w:b/>
          <w:bCs/>
          <w:color w:val="000000"/>
        </w:rPr>
        <w:t xml:space="preserve">RECURRENTE, </w:t>
      </w:r>
      <w:r w:rsidRPr="001461AD">
        <w:rPr>
          <w:rFonts w:ascii="Palatino Linotype" w:eastAsia="Palatino Linotype" w:hAnsi="Palatino Linotype" w:cs="Palatino Linotype"/>
          <w:color w:val="000000"/>
        </w:rPr>
        <w:t>sin embargo dejó de realizar manifestaciones que a su derecho conviniera y asistiera.</w:t>
      </w:r>
    </w:p>
    <w:p w:rsidR="00DF057C" w:rsidRPr="001461AD" w:rsidRDefault="00DF057C">
      <w:pPr>
        <w:pBdr>
          <w:top w:val="nil"/>
          <w:left w:val="nil"/>
          <w:bottom w:val="nil"/>
          <w:right w:val="nil"/>
          <w:between w:val="nil"/>
        </w:pBdr>
        <w:ind w:left="720" w:right="49"/>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rPr>
        <w:t>Así, posterior</w:t>
      </w:r>
      <w:r w:rsidRPr="001461AD">
        <w:rPr>
          <w:rFonts w:ascii="Palatino Linotype" w:eastAsia="Palatino Linotype" w:hAnsi="Palatino Linotype" w:cs="Palatino Linotype"/>
          <w:color w:val="000000"/>
        </w:rPr>
        <w:t xml:space="preserve"> a la admisión del presente Recurso de Revisión, la </w:t>
      </w:r>
      <w:r w:rsidRPr="001461AD">
        <w:rPr>
          <w:rFonts w:ascii="Palatino Linotype" w:eastAsia="Palatino Linotype" w:hAnsi="Palatino Linotype" w:cs="Palatino Linotype"/>
          <w:b/>
          <w:bCs/>
          <w:color w:val="000000"/>
        </w:rPr>
        <w:t xml:space="preserve">RECURRENTE, </w:t>
      </w:r>
      <w:r w:rsidRPr="001461AD">
        <w:rPr>
          <w:rFonts w:ascii="Palatino Linotype" w:eastAsia="Palatino Linotype" w:hAnsi="Palatino Linotype" w:cs="Palatino Linotype"/>
          <w:color w:val="000000"/>
        </w:rPr>
        <w:t>omitió acreditar la personalidad e identidad de representante, argumentando que el documento que se encuentra en el Sistema, no contienen información que le permita conocer el contenido del Acuerdo de Prevención, por lo que pide se le notifique por segunda ocasión o de ser posible se le remita al correo proporcionado.</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Es así, que a fin de hacerle del conocimiento al particular la necesidad de acreditar la personalidad en representación, el Acuerdo de Prevención correspondiente fue remitido al correo electrónico proporcionado en fecha veintidós de febrero de dos mil veintiséis, sin que al cierre de instrucción se haya pronunciado al respecto.</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Es importante señalar que para el ejercicio del derecho de acceso a datos personales es necesario que el titular acredite su identidad y de ser el caso cuando se pretenda acceder a través de un representante; </w:t>
      </w:r>
      <w:r w:rsidRPr="001461AD">
        <w:rPr>
          <w:rFonts w:ascii="Palatino Linotype" w:eastAsia="Palatino Linotype" w:hAnsi="Palatino Linotype" w:cs="Palatino Linotype"/>
        </w:rPr>
        <w:t>éste</w:t>
      </w:r>
      <w:r w:rsidRPr="001461AD">
        <w:rPr>
          <w:rFonts w:ascii="Palatino Linotype" w:eastAsia="Palatino Linotype" w:hAnsi="Palatino Linotype" w:cs="Palatino Linotype"/>
          <w:color w:val="000000"/>
        </w:rPr>
        <w:t>, deberá acreditar la identidad y personalidad con la que actué; requisito dispuesto en el artículo 106 de la Ley de Protección de Datos Personales en Posesión de Sujeto Obligados del Estado de México y Municipios, que es del texto literal siguiente:</w:t>
      </w: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w:t>
      </w:r>
      <w:r w:rsidRPr="001461AD">
        <w:rPr>
          <w:rFonts w:ascii="Palatino Linotype" w:eastAsia="Palatino Linotype" w:hAnsi="Palatino Linotype" w:cs="Palatino Linotype"/>
          <w:b/>
          <w:bCs/>
          <w:i/>
          <w:iCs/>
          <w:color w:val="000000"/>
        </w:rPr>
        <w:t>Artículo 106</w:t>
      </w:r>
      <w:r w:rsidRPr="001461AD">
        <w:rPr>
          <w:rFonts w:ascii="Palatino Linotype" w:eastAsia="Palatino Linotype" w:hAnsi="Palatino Linotype" w:cs="Palatino Linotype"/>
          <w:i/>
          <w:iCs/>
          <w:color w:val="000000"/>
        </w:rPr>
        <w:t xml:space="preserve">. La recepción y trámite de las solicitudes para el ejercicio de los derechos ARCO, de portabilidad de los datos y limitación del tratamiento, se sujetará al </w:t>
      </w:r>
      <w:r w:rsidRPr="001461AD">
        <w:rPr>
          <w:rFonts w:ascii="Palatino Linotype" w:eastAsia="Palatino Linotype" w:hAnsi="Palatino Linotype" w:cs="Palatino Linotype"/>
          <w:i/>
          <w:iCs/>
          <w:color w:val="000000"/>
        </w:rPr>
        <w:lastRenderedPageBreak/>
        <w:t xml:space="preserve">procedimiento establecido en el presente Título y demás disposiciones que resulten aplicables en la materia. </w:t>
      </w:r>
    </w:p>
    <w:p w:rsidR="00DF057C" w:rsidRPr="001461AD" w:rsidRDefault="00DF057C">
      <w:pPr>
        <w:pBdr>
          <w:top w:val="nil"/>
          <w:left w:val="nil"/>
          <w:bottom w:val="nil"/>
          <w:right w:val="nil"/>
          <w:between w:val="nil"/>
        </w:pBdr>
        <w:ind w:left="566" w:right="616"/>
        <w:jc w:val="both"/>
        <w:rPr>
          <w:rFonts w:ascii="Palatino Linotype" w:eastAsia="Palatino Linotype" w:hAnsi="Palatino Linotype" w:cs="Palatino Linotype"/>
          <w:i/>
          <w:iCs/>
          <w:color w:val="000000"/>
        </w:rPr>
      </w:pP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 xml:space="preserve">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 </w:t>
      </w:r>
    </w:p>
    <w:p w:rsidR="00DF057C" w:rsidRPr="001461AD" w:rsidRDefault="00DF057C">
      <w:pPr>
        <w:pBdr>
          <w:top w:val="nil"/>
          <w:left w:val="nil"/>
          <w:bottom w:val="nil"/>
          <w:right w:val="nil"/>
          <w:between w:val="nil"/>
        </w:pBdr>
        <w:ind w:left="566" w:right="616"/>
        <w:jc w:val="both"/>
        <w:rPr>
          <w:rFonts w:ascii="Palatino Linotype" w:eastAsia="Palatino Linotype" w:hAnsi="Palatino Linotype" w:cs="Palatino Linotype"/>
          <w:i/>
          <w:iCs/>
          <w:color w:val="000000"/>
        </w:rPr>
      </w:pP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b/>
          <w:bCs/>
          <w:i/>
          <w:iCs/>
          <w:color w:val="000000"/>
        </w:rPr>
        <w:t xml:space="preserve">Para el ejercicio de los derechos ARCO solicitados será necesario acreditar la identidad de titular y en su </w:t>
      </w:r>
      <w:r w:rsidRPr="001461AD">
        <w:rPr>
          <w:rFonts w:ascii="Palatino Linotype" w:eastAsia="Palatino Linotype" w:hAnsi="Palatino Linotype" w:cs="Palatino Linotype"/>
          <w:b/>
          <w:bCs/>
          <w:i/>
          <w:iCs/>
          <w:color w:val="000000"/>
          <w:u w:val="single"/>
        </w:rPr>
        <w:t>caso la identidad y personalidad</w:t>
      </w:r>
      <w:r w:rsidRPr="001461AD">
        <w:rPr>
          <w:rFonts w:ascii="Palatino Linotype" w:eastAsia="Palatino Linotype" w:hAnsi="Palatino Linotype" w:cs="Palatino Linotype"/>
          <w:b/>
          <w:bCs/>
          <w:i/>
          <w:iCs/>
          <w:color w:val="000000"/>
        </w:rPr>
        <w:t xml:space="preserve"> con la que actúe el representante</w:t>
      </w:r>
      <w:r w:rsidRPr="001461AD">
        <w:rPr>
          <w:rFonts w:ascii="Palatino Linotype" w:eastAsia="Palatino Linotype" w:hAnsi="Palatino Linotype" w:cs="Palatino Linotype"/>
          <w:i/>
          <w:iCs/>
          <w:color w:val="000000"/>
        </w:rPr>
        <w:t xml:space="preserve">. </w:t>
      </w: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w:t>
      </w:r>
    </w:p>
    <w:p w:rsidR="00DF057C" w:rsidRPr="001461AD" w:rsidRDefault="00DF057C">
      <w:pPr>
        <w:pBdr>
          <w:top w:val="nil"/>
          <w:left w:val="nil"/>
          <w:bottom w:val="nil"/>
          <w:right w:val="nil"/>
          <w:between w:val="nil"/>
        </w:pBdr>
        <w:spacing w:line="360" w:lineRule="auto"/>
        <w:ind w:left="851" w:right="49"/>
        <w:jc w:val="both"/>
        <w:rPr>
          <w:rFonts w:ascii="Palatino Linotype" w:eastAsia="Palatino Linotype" w:hAnsi="Palatino Linotype" w:cs="Palatino Linotype"/>
          <w:i/>
          <w:iCs/>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Ordenamiento jurídico del que se desprende que para el ejercicio de cualquiera de los derechos ARCO, el titular o su representante deberán acreditar su identidad o personalidad, según sea el caso. </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Es de señalar, que de las constancias que integran el expediente electrónico del recurso de revisión de mérito, no se advierten documentos para acreditar personalidad en representación.</w:t>
      </w:r>
    </w:p>
    <w:p w:rsidR="00DF057C" w:rsidRPr="001461AD" w:rsidRDefault="00DF057C">
      <w:pPr>
        <w:pBdr>
          <w:top w:val="nil"/>
          <w:left w:val="nil"/>
          <w:bottom w:val="nil"/>
          <w:right w:val="nil"/>
          <w:between w:val="nil"/>
        </w:pBdr>
        <w:spacing w:line="360" w:lineRule="auto"/>
        <w:ind w:right="49"/>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En ese contexto, la Ley de la materia establece de manera puntual que para el ejercicio de los derechos ARCO solicitados será necesario acreditar la identidad del titular y en su caso la identidad y personalidad con la que actúe el representante.</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616"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 Bajo esa lógica, toda vez que de la solicitud inicial y del escrito de interposición de los Recurso de Revisión se advierte que la Solicitante no hizo entrega de documento alguno para acreditar su identidad, se entiende que no cumple con los requisitos exigibles por el artículo 130, fracción VI de la Ley de Protección de Datos Personales </w:t>
      </w:r>
      <w:r w:rsidRPr="001461AD">
        <w:rPr>
          <w:rFonts w:ascii="Palatino Linotype" w:eastAsia="Palatino Linotype" w:hAnsi="Palatino Linotype" w:cs="Palatino Linotype"/>
          <w:color w:val="000000"/>
        </w:rPr>
        <w:lastRenderedPageBreak/>
        <w:t>en Posesión de Sujetos Obligados del Estado de México y Municipios; empero, al corresponder a un requisito no subsanable, se previno para que subsane la omisión, que en el caso concreto no aconteció, por ello la Ley de referencia ha estableciendo para tal efecto lo siguiente:</w:t>
      </w: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b/>
          <w:bCs/>
          <w:i/>
          <w:iCs/>
          <w:color w:val="000000"/>
        </w:rPr>
      </w:pPr>
      <w:r w:rsidRPr="001461AD">
        <w:rPr>
          <w:rFonts w:ascii="Palatino Linotype" w:eastAsia="Palatino Linotype" w:hAnsi="Palatino Linotype" w:cs="Palatino Linotype"/>
          <w:b/>
          <w:bCs/>
          <w:i/>
          <w:iCs/>
          <w:color w:val="000000"/>
        </w:rPr>
        <w:t>Prevención por la falta de requisitos en el escrito de interposición del recurso</w:t>
      </w:r>
    </w:p>
    <w:p w:rsidR="00DF057C" w:rsidRPr="001461AD" w:rsidRDefault="00DF057C">
      <w:pPr>
        <w:pBdr>
          <w:top w:val="nil"/>
          <w:left w:val="nil"/>
          <w:bottom w:val="nil"/>
          <w:right w:val="nil"/>
          <w:between w:val="nil"/>
        </w:pBdr>
        <w:ind w:left="566" w:right="616"/>
        <w:jc w:val="both"/>
        <w:rPr>
          <w:rFonts w:ascii="Palatino Linotype" w:eastAsia="Palatino Linotype" w:hAnsi="Palatino Linotype" w:cs="Palatino Linotype"/>
          <w:b/>
          <w:bCs/>
          <w:i/>
          <w:iCs/>
          <w:color w:val="000000"/>
        </w:rPr>
      </w:pP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 xml:space="preserve"> </w:t>
      </w:r>
      <w:r w:rsidRPr="001461AD">
        <w:rPr>
          <w:rFonts w:ascii="Palatino Linotype" w:eastAsia="Palatino Linotype" w:hAnsi="Palatino Linotype" w:cs="Palatino Linotype"/>
          <w:b/>
          <w:bCs/>
          <w:i/>
          <w:iCs/>
          <w:color w:val="000000"/>
        </w:rPr>
        <w:t>Artículo 136</w:t>
      </w:r>
      <w:r w:rsidRPr="001461AD">
        <w:rPr>
          <w:rFonts w:ascii="Palatino Linotype" w:eastAsia="Palatino Linotype" w:hAnsi="Palatino Linotype" w:cs="Palatino Linotype"/>
          <w:i/>
          <w:iCs/>
          <w:color w:val="000000"/>
        </w:rPr>
        <w:t>. Si en el escrito de interposición del recurso de revisión el recurrente no cumple con alguno de los requisitos previstos en el artículo 130 de la presente Ley y el Instituto no cuente con elementos para subsanarlos, deberá requerir al recurrente, por una sola ocasión, la información que subsane las omisiones en un plazo que no podrá exceder de cinco días, contados a partir del día siguiente de la presentación del escrito.</w:t>
      </w:r>
    </w:p>
    <w:p w:rsidR="00DF057C" w:rsidRPr="001461AD" w:rsidRDefault="00DF057C">
      <w:pPr>
        <w:pBdr>
          <w:top w:val="nil"/>
          <w:left w:val="nil"/>
          <w:bottom w:val="nil"/>
          <w:right w:val="nil"/>
          <w:between w:val="nil"/>
        </w:pBdr>
        <w:ind w:left="566" w:right="616"/>
        <w:jc w:val="both"/>
        <w:rPr>
          <w:rFonts w:ascii="Palatino Linotype" w:eastAsia="Palatino Linotype" w:hAnsi="Palatino Linotype" w:cs="Palatino Linotype"/>
          <w:i/>
          <w:iCs/>
          <w:color w:val="000000"/>
        </w:rPr>
      </w:pPr>
    </w:p>
    <w:p w:rsidR="00DF057C" w:rsidRPr="001461AD" w:rsidRDefault="00FA309E">
      <w:pPr>
        <w:pBdr>
          <w:top w:val="nil"/>
          <w:left w:val="nil"/>
          <w:bottom w:val="nil"/>
          <w:right w:val="nil"/>
          <w:between w:val="nil"/>
        </w:pBdr>
        <w:ind w:left="566" w:right="616"/>
        <w:jc w:val="both"/>
        <w:rPr>
          <w:rFonts w:ascii="Palatino Linotype" w:eastAsia="Palatino Linotype" w:hAnsi="Palatino Linotype" w:cs="Palatino Linotype"/>
          <w:b/>
          <w:bCs/>
          <w:i/>
          <w:iCs/>
          <w:color w:val="000000"/>
        </w:rPr>
      </w:pPr>
      <w:r w:rsidRPr="001461AD">
        <w:rPr>
          <w:rFonts w:ascii="Palatino Linotype" w:eastAsia="Palatino Linotype" w:hAnsi="Palatino Linotype" w:cs="Palatino Linotype"/>
          <w:b/>
          <w:bCs/>
          <w:i/>
          <w:iCs/>
          <w:color w:val="000000"/>
        </w:rPr>
        <w:t xml:space="preserve">El recurrente contará con un plazo que no podrá exceder de cinco días, contados a partir del día siguiente al de la notificación de la prevención, para subsanar las omisiones, con el apercibimiento que en caso de no cumplir con el requerimiento, se desechará el recurso de revisión. </w:t>
      </w:r>
    </w:p>
    <w:p w:rsidR="00DF057C" w:rsidRPr="001461AD" w:rsidRDefault="00DF057C">
      <w:pPr>
        <w:pBdr>
          <w:top w:val="nil"/>
          <w:left w:val="nil"/>
          <w:bottom w:val="nil"/>
          <w:right w:val="nil"/>
          <w:between w:val="nil"/>
        </w:pBdr>
        <w:ind w:left="566" w:right="616"/>
        <w:jc w:val="both"/>
        <w:rPr>
          <w:rFonts w:ascii="Palatino Linotype" w:eastAsia="Palatino Linotype" w:hAnsi="Palatino Linotype" w:cs="Palatino Linotype"/>
          <w:i/>
          <w:iCs/>
          <w:color w:val="000000"/>
        </w:rPr>
      </w:pPr>
    </w:p>
    <w:p w:rsidR="00DF057C" w:rsidRDefault="00FA309E">
      <w:pPr>
        <w:pBdr>
          <w:top w:val="nil"/>
          <w:left w:val="nil"/>
          <w:bottom w:val="nil"/>
          <w:right w:val="nil"/>
          <w:between w:val="nil"/>
        </w:pBdr>
        <w:ind w:left="566"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La prevención tendrá el efecto de interrumpir el plazo que tiene el Instituto para resolver el recurso, por lo que comenzará a computarse a partir del día siguiente a su desahogo.</w:t>
      </w:r>
    </w:p>
    <w:p w:rsidR="001461AD" w:rsidRPr="001461AD" w:rsidRDefault="001461AD">
      <w:pPr>
        <w:pBdr>
          <w:top w:val="nil"/>
          <w:left w:val="nil"/>
          <w:bottom w:val="nil"/>
          <w:right w:val="nil"/>
          <w:between w:val="nil"/>
        </w:pBdr>
        <w:ind w:left="566" w:right="616"/>
        <w:jc w:val="both"/>
        <w:rPr>
          <w:rFonts w:ascii="Palatino Linotype" w:eastAsia="Palatino Linotype" w:hAnsi="Palatino Linotype" w:cs="Palatino Linotype"/>
          <w:i/>
          <w:iCs/>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En ese sentido el artículo 139 de la Ley de Protección de Datos Personales en Posesión de Sujetos Obligados del Estado de México y Municipios, señala como causales </w:t>
      </w:r>
      <w:r w:rsidRPr="001461AD">
        <w:rPr>
          <w:rFonts w:ascii="Palatino Linotype" w:eastAsia="Palatino Linotype" w:hAnsi="Palatino Linotype" w:cs="Palatino Linotype"/>
        </w:rPr>
        <w:t>de sobreseimiento</w:t>
      </w:r>
      <w:r w:rsidRPr="001461AD">
        <w:rPr>
          <w:rFonts w:ascii="Palatino Linotype" w:eastAsia="Palatino Linotype" w:hAnsi="Palatino Linotype" w:cs="Palatino Linotype"/>
          <w:color w:val="000000"/>
        </w:rPr>
        <w:t xml:space="preserve"> las siguientes: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b/>
          <w:bCs/>
          <w:i/>
          <w:iCs/>
          <w:color w:val="000000"/>
        </w:rPr>
      </w:pPr>
      <w:r w:rsidRPr="001461AD">
        <w:rPr>
          <w:rFonts w:ascii="Palatino Linotype" w:eastAsia="Palatino Linotype" w:hAnsi="Palatino Linotype" w:cs="Palatino Linotype"/>
          <w:b/>
          <w:bCs/>
          <w:i/>
          <w:iCs/>
          <w:color w:val="000000"/>
        </w:rPr>
        <w:t>Causales de Sobreseimiento</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b/>
          <w:bCs/>
          <w:i/>
          <w:iCs/>
          <w:color w:val="000000"/>
        </w:rPr>
        <w:t>Artículo 139</w:t>
      </w:r>
      <w:r w:rsidRPr="001461AD">
        <w:rPr>
          <w:rFonts w:ascii="Palatino Linotype" w:eastAsia="Palatino Linotype" w:hAnsi="Palatino Linotype" w:cs="Palatino Linotype"/>
          <w:i/>
          <w:iCs/>
          <w:color w:val="000000"/>
        </w:rPr>
        <w:t xml:space="preserve">. El recurso de revisión sólo podrá ser sobreseído cuando: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 xml:space="preserve">I. El recurrente se desista expresamente.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 xml:space="preserve">II. El recurrente fallezca.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b/>
          <w:bCs/>
          <w:i/>
          <w:iCs/>
          <w:color w:val="000000"/>
        </w:rPr>
      </w:pPr>
      <w:r w:rsidRPr="001461AD">
        <w:rPr>
          <w:rFonts w:ascii="Palatino Linotype" w:eastAsia="Palatino Linotype" w:hAnsi="Palatino Linotype" w:cs="Palatino Linotype"/>
          <w:b/>
          <w:bCs/>
          <w:i/>
          <w:iCs/>
          <w:color w:val="000000"/>
        </w:rPr>
        <w:t xml:space="preserve">III. Admitido el recurso de revisión, se actualice alguna causal de improcedencia en los términos de la presente Ley.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 xml:space="preserve">IV. El responsable modifique o revoque su respuesta de tal manera que el recurso de revisión quede sin materia.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V. Quede sin materia el recurso de revisión.</w:t>
      </w:r>
    </w:p>
    <w:p w:rsidR="00DF057C" w:rsidRPr="001461AD" w:rsidRDefault="00DF057C">
      <w:pPr>
        <w:pBdr>
          <w:top w:val="nil"/>
          <w:left w:val="nil"/>
          <w:bottom w:val="nil"/>
          <w:right w:val="nil"/>
          <w:between w:val="nil"/>
        </w:pBdr>
        <w:ind w:left="567" w:right="616"/>
        <w:jc w:val="both"/>
        <w:rPr>
          <w:rFonts w:ascii="Palatino Linotype" w:eastAsia="Palatino Linotype" w:hAnsi="Palatino Linotype" w:cs="Palatino Linotype"/>
          <w:i/>
          <w:iCs/>
          <w:color w:val="000000"/>
        </w:rPr>
      </w:pP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b/>
          <w:bCs/>
          <w:i/>
          <w:iCs/>
          <w:color w:val="000000"/>
        </w:rPr>
        <w:t>Causales de improcedencia</w:t>
      </w:r>
      <w:r w:rsidRPr="001461AD">
        <w:rPr>
          <w:rFonts w:ascii="Palatino Linotype" w:eastAsia="Palatino Linotype" w:hAnsi="Palatino Linotype" w:cs="Palatino Linotype"/>
          <w:i/>
          <w:iCs/>
          <w:color w:val="000000"/>
        </w:rPr>
        <w:t xml:space="preserve">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b/>
          <w:bCs/>
          <w:i/>
          <w:iCs/>
          <w:color w:val="000000"/>
        </w:rPr>
        <w:lastRenderedPageBreak/>
        <w:t>Artículo 138.</w:t>
      </w:r>
      <w:r w:rsidRPr="001461AD">
        <w:rPr>
          <w:rFonts w:ascii="Palatino Linotype" w:eastAsia="Palatino Linotype" w:hAnsi="Palatino Linotype" w:cs="Palatino Linotype"/>
          <w:i/>
          <w:iCs/>
          <w:color w:val="000000"/>
        </w:rPr>
        <w:t xml:space="preserve"> El recurso de revisión podrá ser desechado por improcedente cuando: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 xml:space="preserve">I. Sea extemporáneo por haber transcurrido el plazo establecido en el artículo 128 de la presente Ley.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b/>
          <w:bCs/>
          <w:i/>
          <w:iCs/>
          <w:color w:val="000000"/>
        </w:rPr>
      </w:pPr>
      <w:r w:rsidRPr="001461AD">
        <w:rPr>
          <w:rFonts w:ascii="Palatino Linotype" w:eastAsia="Palatino Linotype" w:hAnsi="Palatino Linotype" w:cs="Palatino Linotype"/>
          <w:b/>
          <w:bCs/>
          <w:i/>
          <w:iCs/>
          <w:color w:val="000000"/>
        </w:rPr>
        <w:t xml:space="preserve">II. El titular o su representante no acrediten debidamente su identidad y personalidad de este último.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 xml:space="preserve">III. El Instituto haya resuelto anteriormente en definitiva sobre la materia del mismo.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 xml:space="preserve">IV. No se actualice alguna de las causales del recurso de revisión previstas en el artículo 129 de la presente Ley.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 xml:space="preserve">V. Se esté tramitando ante los tribunales competentes algún recurso o medio de defensa interpuesto por el recurrente, o en su caso, por el tercero interesado, en contra del acto recurrido ante el Instituto.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 xml:space="preserve">VI. El recurrente modifique o amplíe su petición en el recurso de revisión, únicamente respecto de los nuevos contenidos.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VII. El recurrente no acredite interés jurídico.</w:t>
      </w:r>
    </w:p>
    <w:p w:rsidR="00DF057C" w:rsidRPr="001461AD" w:rsidRDefault="00DF057C">
      <w:pPr>
        <w:pBdr>
          <w:top w:val="nil"/>
          <w:left w:val="nil"/>
          <w:bottom w:val="nil"/>
          <w:right w:val="nil"/>
          <w:between w:val="nil"/>
        </w:pBdr>
        <w:ind w:left="567" w:right="616"/>
        <w:jc w:val="both"/>
        <w:rPr>
          <w:rFonts w:ascii="Palatino Linotype" w:eastAsia="Palatino Linotype" w:hAnsi="Palatino Linotype" w:cs="Palatino Linotype"/>
          <w:i/>
          <w:iCs/>
          <w:color w:val="000000"/>
        </w:rPr>
      </w:pP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El desechamiento no implica la preclusión del derecho del titular para interponer ante el Instituto un nuevo recurso de revisión.</w:t>
      </w:r>
    </w:p>
    <w:p w:rsidR="00DF057C" w:rsidRPr="001461AD" w:rsidRDefault="00DF057C">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Por consiguiente, de las constancias que obran en el expediente electrónico en que se actúa, se advierte que se actualiza el supuesto de sobreseimiento previsto en la fracción III, del artículo 139, el cual establece que admitido el recurso de revisión, se actualice alguna causal de improcedencia, en relación con la fracción II, del artículo 138, que señala “El titular o su representante no acrediten debidamente su identidad y personalidad de este último.”</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 xml:space="preserve">En este contexto, el artículo 137, de la Ley de Protección de Datos Personales en Posesión de Sujetos Obligados del Estado de México y Municipios señala el sentido de las resoluciones: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b/>
          <w:bCs/>
          <w:i/>
          <w:iCs/>
          <w:color w:val="000000"/>
        </w:rPr>
        <w:t>Sentido de las resoluciones</w:t>
      </w:r>
      <w:r w:rsidRPr="001461AD">
        <w:rPr>
          <w:rFonts w:ascii="Palatino Linotype" w:eastAsia="Palatino Linotype" w:hAnsi="Palatino Linotype" w:cs="Palatino Linotype"/>
          <w:i/>
          <w:iCs/>
          <w:color w:val="000000"/>
        </w:rPr>
        <w:t xml:space="preserve">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b/>
          <w:bCs/>
          <w:i/>
          <w:iCs/>
          <w:color w:val="000000"/>
        </w:rPr>
        <w:t>Artículo 137</w:t>
      </w:r>
      <w:r w:rsidRPr="001461AD">
        <w:rPr>
          <w:rFonts w:ascii="Palatino Linotype" w:eastAsia="Palatino Linotype" w:hAnsi="Palatino Linotype" w:cs="Palatino Linotype"/>
          <w:i/>
          <w:iCs/>
          <w:color w:val="000000"/>
        </w:rPr>
        <w:t xml:space="preserve">. Las resoluciones del Instituto podrán: </w:t>
      </w:r>
    </w:p>
    <w:p w:rsidR="00DF057C" w:rsidRPr="001461AD" w:rsidRDefault="00DF057C">
      <w:pPr>
        <w:pBdr>
          <w:top w:val="nil"/>
          <w:left w:val="nil"/>
          <w:bottom w:val="nil"/>
          <w:right w:val="nil"/>
          <w:between w:val="nil"/>
        </w:pBdr>
        <w:ind w:left="567" w:right="616"/>
        <w:jc w:val="both"/>
        <w:rPr>
          <w:rFonts w:ascii="Palatino Linotype" w:eastAsia="Palatino Linotype" w:hAnsi="Palatino Linotype" w:cs="Palatino Linotype"/>
          <w:i/>
          <w:iCs/>
          <w:color w:val="000000"/>
        </w:rPr>
      </w:pP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b/>
          <w:bCs/>
          <w:i/>
          <w:iCs/>
          <w:color w:val="000000"/>
        </w:rPr>
      </w:pPr>
      <w:r w:rsidRPr="001461AD">
        <w:rPr>
          <w:rFonts w:ascii="Palatino Linotype" w:eastAsia="Palatino Linotype" w:hAnsi="Palatino Linotype" w:cs="Palatino Linotype"/>
          <w:b/>
          <w:bCs/>
          <w:i/>
          <w:iCs/>
          <w:color w:val="000000"/>
        </w:rPr>
        <w:t xml:space="preserve">I. Sobreseer o desechar el recurso de revisión por improcedente. </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II. Confirmar la respuesta del responsable.</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t>III. Revocar o modificar la respuesta del responsable.</w:t>
      </w:r>
    </w:p>
    <w:p w:rsidR="00DF057C" w:rsidRPr="001461AD" w:rsidRDefault="00FA309E">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461AD">
        <w:rPr>
          <w:rFonts w:ascii="Palatino Linotype" w:eastAsia="Palatino Linotype" w:hAnsi="Palatino Linotype" w:cs="Palatino Linotype"/>
          <w:i/>
          <w:iCs/>
          <w:color w:val="000000"/>
        </w:rPr>
        <w:lastRenderedPageBreak/>
        <w:t>IV. Ordenar el acceso, rectificación, cancelación u oposición de los datos personales, en caso de omisión del responsable.</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Por lo tanto, al prevalecer la causal de improcedencia inicial, lo procedente es sobreseer o desechar el recurso de revisión por improcedente. Ahora bien, en virtud de que se insiste, no existen constancias tendientes a acreditar debidamente la personalidad en representación del titular de los datos, desde la presentación de la solicitud ni durante la sustanciación del recurso de revisión que nos ocupa, se concluye que se está ante la presencia de la causal de desechamiento establecida en el diverso 138, fracción II, de la Ley de la materia; sin embargo, toda vez que fue admitido el medio de impugnación, y subsistió la causal de improcedencia consistente en la omisión de la Recurrente, resulta procedente Sobreseer el presente recurso de revisión.</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En ese contexto, de acuerdo con el procesalista Niceto Alcalá-Zamora y Castillo en su obra “Cuestiones de Terminología Procesal”, el sobreseimiento es “... una resolución en forma de auto, que produce la suspensión indefinida del procedimiento penal, o que pone fin al proceso, impidiendo en ambos casos, mientras subsista, la apertura del plenario o que en él se pronuncie sentencia...”</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Así, para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DF057C" w:rsidRPr="001461AD" w:rsidRDefault="00FA309E">
      <w:pPr>
        <w:pBdr>
          <w:top w:val="nil"/>
          <w:left w:val="nil"/>
          <w:bottom w:val="nil"/>
          <w:right w:val="nil"/>
          <w:between w:val="nil"/>
        </w:pBdr>
        <w:tabs>
          <w:tab w:val="left" w:pos="7938"/>
        </w:tabs>
        <w:ind w:left="567" w:right="616"/>
        <w:jc w:val="both"/>
        <w:rPr>
          <w:rFonts w:ascii="Palatino Linotype" w:eastAsia="Palatino Linotype" w:hAnsi="Palatino Linotype" w:cs="Palatino Linotype"/>
          <w:i/>
          <w:iCs/>
          <w:color w:val="000000"/>
        </w:rPr>
      </w:pPr>
      <w:bookmarkStart w:id="2" w:name="_heading=h.lvyd63yjenxu" w:colFirst="0" w:colLast="0"/>
      <w:bookmarkEnd w:id="2"/>
      <w:r w:rsidRPr="001461AD">
        <w:rPr>
          <w:rFonts w:ascii="Palatino Linotype" w:eastAsia="Palatino Linotype" w:hAnsi="Palatino Linotype" w:cs="Palatino Linotype"/>
          <w:i/>
          <w:iCs/>
          <w:color w:val="000000"/>
        </w:rPr>
        <w:t xml:space="preserve">“SOBRESEIMIENTO EN EL JUICIO DE AMPARO DIRECTO. IMPIDE EL ESTUDIO DE LAS VIOLACIONES PROCESALES PLANTEADAS EN LOS CONCEPTOS DE VIOLACIÓN. El sobreseimiento en el juicio de amparo directo </w:t>
      </w:r>
      <w:r w:rsidRPr="001461AD">
        <w:rPr>
          <w:rFonts w:ascii="Palatino Linotype" w:eastAsia="Palatino Linotype" w:hAnsi="Palatino Linotype" w:cs="Palatino Linotype"/>
          <w:i/>
          <w:iCs/>
          <w:color w:val="000000"/>
        </w:rPr>
        <w:lastRenderedPageBreak/>
        <w:t>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DF057C" w:rsidRPr="001461AD" w:rsidRDefault="00DF057C">
      <w:pPr>
        <w:pBdr>
          <w:top w:val="nil"/>
          <w:left w:val="nil"/>
          <w:bottom w:val="nil"/>
          <w:right w:val="nil"/>
          <w:between w:val="nil"/>
        </w:pBdr>
        <w:spacing w:line="360" w:lineRule="auto"/>
        <w:ind w:left="851" w:right="49"/>
        <w:jc w:val="both"/>
        <w:rPr>
          <w:rFonts w:ascii="Palatino Linotype" w:eastAsia="Palatino Linotype" w:hAnsi="Palatino Linotype" w:cs="Palatino Linotype"/>
          <w:i/>
          <w:iCs/>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461AD">
        <w:rPr>
          <w:rFonts w:ascii="Palatino Linotype" w:eastAsia="Palatino Linotype" w:hAnsi="Palatino Linotype" w:cs="Palatino Linotype"/>
          <w:color w:val="000000"/>
        </w:rPr>
        <w:t>No obstante, se dejan a salvo los derechos del particular para que presente nuevas solicitudes para el ejercicio de acceso a datos personales, que a sus intereses convenga.</w:t>
      </w:r>
    </w:p>
    <w:p w:rsidR="00DF057C" w:rsidRPr="001461AD" w:rsidRDefault="00DF057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F057C" w:rsidRPr="001461AD" w:rsidRDefault="00FA30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bookmarkStart w:id="3" w:name="_heading=h.gjdgxs" w:colFirst="0" w:colLast="0"/>
      <w:bookmarkEnd w:id="3"/>
      <w:r w:rsidRPr="001461AD">
        <w:rPr>
          <w:rFonts w:ascii="Palatino Linotype" w:eastAsia="Palatino Linotype" w:hAnsi="Palatino Linotype" w:cs="Palatino Linotype"/>
          <w:color w:val="000000"/>
        </w:rPr>
        <w:t xml:space="preserve">Por lo anteriormente expuesto y fundado, este </w:t>
      </w:r>
      <w:r w:rsidRPr="001461AD">
        <w:rPr>
          <w:rFonts w:ascii="Palatino Linotype" w:eastAsia="Palatino Linotype" w:hAnsi="Palatino Linotype" w:cs="Palatino Linotype"/>
          <w:b/>
          <w:bCs/>
          <w:color w:val="000000"/>
        </w:rPr>
        <w:t>ÓRGANO GARANTE</w:t>
      </w:r>
      <w:r w:rsidRPr="001461AD">
        <w:rPr>
          <w:rFonts w:ascii="Palatino Linotype" w:eastAsia="Palatino Linotype" w:hAnsi="Palatino Linotype" w:cs="Palatino Linotype"/>
          <w:color w:val="000000"/>
        </w:rPr>
        <w:t xml:space="preserve"> emite los siguientes:</w:t>
      </w:r>
    </w:p>
    <w:p w:rsidR="00DF057C" w:rsidRPr="001461AD" w:rsidRDefault="00DF057C">
      <w:pPr>
        <w:pBdr>
          <w:top w:val="nil"/>
          <w:left w:val="nil"/>
          <w:bottom w:val="nil"/>
          <w:right w:val="nil"/>
          <w:between w:val="nil"/>
        </w:pBdr>
        <w:spacing w:line="360" w:lineRule="auto"/>
        <w:ind w:left="2912" w:right="49"/>
        <w:jc w:val="both"/>
        <w:rPr>
          <w:rFonts w:ascii="Palatino Linotype" w:eastAsia="Palatino Linotype" w:hAnsi="Palatino Linotype" w:cs="Palatino Linotype"/>
        </w:rPr>
      </w:pPr>
      <w:bookmarkStart w:id="4" w:name="_heading=h.8j6dcgk2d46w" w:colFirst="0" w:colLast="0"/>
      <w:bookmarkEnd w:id="4"/>
    </w:p>
    <w:p w:rsidR="00DF057C" w:rsidRPr="001461AD" w:rsidRDefault="00FA309E">
      <w:pPr>
        <w:keepNext/>
        <w:keepLines/>
        <w:spacing w:line="360" w:lineRule="auto"/>
        <w:ind w:right="49"/>
        <w:jc w:val="center"/>
        <w:rPr>
          <w:rFonts w:ascii="Palatino Linotype" w:eastAsia="Palatino Linotype" w:hAnsi="Palatino Linotype" w:cs="Palatino Linotype"/>
          <w:b/>
          <w:bCs/>
        </w:rPr>
      </w:pPr>
      <w:bookmarkStart w:id="5" w:name="_heading=h.30j0zll" w:colFirst="0" w:colLast="0"/>
      <w:bookmarkEnd w:id="5"/>
      <w:r w:rsidRPr="001461AD">
        <w:rPr>
          <w:rFonts w:ascii="Palatino Linotype" w:eastAsia="Palatino Linotype" w:hAnsi="Palatino Linotype" w:cs="Palatino Linotype"/>
          <w:b/>
          <w:bCs/>
        </w:rPr>
        <w:t>R E S O L U T I V O S</w:t>
      </w:r>
    </w:p>
    <w:p w:rsidR="00DF057C" w:rsidRPr="001461AD" w:rsidRDefault="00DF057C">
      <w:pPr>
        <w:spacing w:line="360" w:lineRule="auto"/>
        <w:ind w:right="49"/>
        <w:jc w:val="both"/>
        <w:rPr>
          <w:rFonts w:ascii="Palatino Linotype" w:eastAsia="Palatino Linotype" w:hAnsi="Palatino Linotype" w:cs="Palatino Linotype"/>
          <w:b/>
          <w:bCs/>
        </w:rPr>
      </w:pPr>
    </w:p>
    <w:p w:rsidR="00DF057C" w:rsidRPr="001461AD" w:rsidRDefault="00FA309E">
      <w:pPr>
        <w:spacing w:line="360" w:lineRule="auto"/>
        <w:ind w:right="49"/>
        <w:jc w:val="both"/>
        <w:rPr>
          <w:rFonts w:ascii="Palatino Linotype" w:eastAsia="Palatino Linotype" w:hAnsi="Palatino Linotype" w:cs="Palatino Linotype"/>
        </w:rPr>
      </w:pPr>
      <w:r w:rsidRPr="001461AD">
        <w:rPr>
          <w:rFonts w:ascii="Palatino Linotype" w:eastAsia="Palatino Linotype" w:hAnsi="Palatino Linotype" w:cs="Palatino Linotype"/>
          <w:b/>
          <w:bCs/>
        </w:rPr>
        <w:t>PRIMERO</w:t>
      </w:r>
      <w:r w:rsidRPr="001461AD">
        <w:rPr>
          <w:rFonts w:ascii="Palatino Linotype" w:eastAsia="Palatino Linotype" w:hAnsi="Palatino Linotype" w:cs="Palatino Linotype"/>
        </w:rPr>
        <w:t xml:space="preserve">. Se </w:t>
      </w:r>
      <w:r w:rsidRPr="001461AD">
        <w:rPr>
          <w:rFonts w:ascii="Palatino Linotype" w:eastAsia="Palatino Linotype" w:hAnsi="Palatino Linotype" w:cs="Palatino Linotype"/>
          <w:b/>
          <w:bCs/>
        </w:rPr>
        <w:t xml:space="preserve">SOBRESEE por improcedente </w:t>
      </w:r>
      <w:r w:rsidRPr="001461AD">
        <w:rPr>
          <w:rFonts w:ascii="Palatino Linotype" w:eastAsia="Palatino Linotype" w:hAnsi="Palatino Linotype" w:cs="Palatino Linotype"/>
        </w:rPr>
        <w:t>el Recurso de Revisión</w:t>
      </w:r>
      <w:r w:rsidRPr="001461AD">
        <w:rPr>
          <w:rFonts w:ascii="Palatino Linotype" w:eastAsia="Palatino Linotype" w:hAnsi="Palatino Linotype" w:cs="Palatino Linotype"/>
          <w:b/>
          <w:bCs/>
        </w:rPr>
        <w:t xml:space="preserve"> </w:t>
      </w:r>
      <w:r w:rsidRPr="001461AD">
        <w:rPr>
          <w:rFonts w:ascii="Palatino Linotype" w:eastAsia="Palatino Linotype" w:hAnsi="Palatino Linotype" w:cs="Palatino Linotype"/>
        </w:rPr>
        <w:t xml:space="preserve">número </w:t>
      </w:r>
      <w:r w:rsidRPr="001461AD">
        <w:rPr>
          <w:rFonts w:ascii="Palatino Linotype" w:eastAsia="Palatino Linotype" w:hAnsi="Palatino Linotype" w:cs="Palatino Linotype"/>
          <w:b/>
          <w:bCs/>
        </w:rPr>
        <w:t xml:space="preserve"> 05613/INFOEM/IP/RR/2025,</w:t>
      </w:r>
      <w:r w:rsidRPr="001461AD">
        <w:rPr>
          <w:rFonts w:ascii="Palatino Linotype" w:eastAsia="Palatino Linotype" w:hAnsi="Palatino Linotype" w:cs="Palatino Linotype"/>
        </w:rPr>
        <w:t xml:space="preserve"> de conformidad con lo dispuesto en el artículo 139, fracción III, en relación con el artículo 138, fracción II, de la Ley de Protección de Datos Personales en Posesión de Sujetos Obligados del Estado de México y Municipios, en términos del </w:t>
      </w:r>
      <w:r w:rsidRPr="001461AD">
        <w:rPr>
          <w:rFonts w:ascii="Palatino Linotype" w:eastAsia="Palatino Linotype" w:hAnsi="Palatino Linotype" w:cs="Palatino Linotype"/>
          <w:b/>
          <w:bCs/>
        </w:rPr>
        <w:t>considerando CUARTO</w:t>
      </w:r>
      <w:r w:rsidRPr="001461AD">
        <w:rPr>
          <w:rFonts w:ascii="Palatino Linotype" w:eastAsia="Palatino Linotype" w:hAnsi="Palatino Linotype" w:cs="Palatino Linotype"/>
        </w:rPr>
        <w:t xml:space="preserve"> de la presente Resolución.</w:t>
      </w:r>
    </w:p>
    <w:p w:rsidR="00DF057C" w:rsidRPr="001461AD" w:rsidRDefault="00DF057C">
      <w:pPr>
        <w:spacing w:line="360" w:lineRule="auto"/>
        <w:ind w:right="49"/>
        <w:jc w:val="both"/>
        <w:rPr>
          <w:rFonts w:ascii="Palatino Linotype" w:eastAsia="Palatino Linotype" w:hAnsi="Palatino Linotype" w:cs="Palatino Linotype"/>
        </w:rPr>
      </w:pPr>
    </w:p>
    <w:p w:rsidR="00DF057C" w:rsidRPr="001461AD" w:rsidRDefault="00FA309E">
      <w:pPr>
        <w:spacing w:line="360" w:lineRule="auto"/>
        <w:ind w:right="49"/>
        <w:jc w:val="both"/>
        <w:rPr>
          <w:rFonts w:ascii="Palatino Linotype" w:eastAsia="Palatino Linotype" w:hAnsi="Palatino Linotype" w:cs="Palatino Linotype"/>
        </w:rPr>
      </w:pPr>
      <w:bookmarkStart w:id="6" w:name="_heading=h.1fob9te" w:colFirst="0" w:colLast="0"/>
      <w:bookmarkEnd w:id="6"/>
      <w:r w:rsidRPr="001461AD">
        <w:rPr>
          <w:rFonts w:ascii="Palatino Linotype" w:eastAsia="Palatino Linotype" w:hAnsi="Palatino Linotype" w:cs="Palatino Linotype"/>
          <w:b/>
          <w:bCs/>
        </w:rPr>
        <w:t>SEGUNDO</w:t>
      </w:r>
      <w:r w:rsidRPr="001461AD">
        <w:rPr>
          <w:rFonts w:ascii="Palatino Linotype" w:eastAsia="Palatino Linotype" w:hAnsi="Palatino Linotype" w:cs="Palatino Linotype"/>
        </w:rPr>
        <w:t xml:space="preserve">. </w:t>
      </w:r>
      <w:r w:rsidRPr="001461AD">
        <w:rPr>
          <w:rFonts w:ascii="Palatino Linotype" w:eastAsia="Palatino Linotype" w:hAnsi="Palatino Linotype" w:cs="Palatino Linotype"/>
          <w:b/>
          <w:bCs/>
        </w:rPr>
        <w:t>Notifíquese</w:t>
      </w:r>
      <w:r w:rsidRPr="001461AD">
        <w:rPr>
          <w:rFonts w:ascii="Palatino Linotype" w:eastAsia="Palatino Linotype" w:hAnsi="Palatino Linotype" w:cs="Palatino Linotype"/>
        </w:rPr>
        <w:t xml:space="preserve"> al Titular de la Unidad de Transparencia </w:t>
      </w:r>
      <w:r w:rsidRPr="001461AD">
        <w:rPr>
          <w:rFonts w:ascii="Palatino Linotype" w:eastAsia="Palatino Linotype" w:hAnsi="Palatino Linotype" w:cs="Palatino Linotype"/>
          <w:b/>
          <w:bCs/>
        </w:rPr>
        <w:t>del SUJETO OBLIGADO</w:t>
      </w:r>
      <w:r w:rsidRPr="001461AD">
        <w:rPr>
          <w:rFonts w:ascii="Palatino Linotype" w:eastAsia="Palatino Linotype" w:hAnsi="Palatino Linotype" w:cs="Palatino Linotype"/>
        </w:rPr>
        <w:t xml:space="preserve">, vía </w:t>
      </w:r>
      <w:r w:rsidRPr="001461AD">
        <w:rPr>
          <w:rFonts w:ascii="Palatino Linotype" w:eastAsia="Palatino Linotype" w:hAnsi="Palatino Linotype" w:cs="Palatino Linotype"/>
          <w:b/>
          <w:bCs/>
        </w:rPr>
        <w:t>SAIMEX</w:t>
      </w:r>
      <w:r w:rsidRPr="001461AD">
        <w:rPr>
          <w:rFonts w:ascii="Palatino Linotype" w:eastAsia="Palatino Linotype" w:hAnsi="Palatino Linotype" w:cs="Palatino Linotype"/>
        </w:rPr>
        <w:t>, la presente resolución.</w:t>
      </w:r>
    </w:p>
    <w:p w:rsidR="00DF057C" w:rsidRPr="001461AD" w:rsidRDefault="00DF057C">
      <w:pPr>
        <w:shd w:val="clear" w:color="auto" w:fill="FFFFFF"/>
        <w:spacing w:line="360" w:lineRule="auto"/>
        <w:ind w:right="49"/>
        <w:jc w:val="both"/>
        <w:rPr>
          <w:rFonts w:ascii="Palatino Linotype" w:eastAsia="Palatino Linotype" w:hAnsi="Palatino Linotype" w:cs="Palatino Linotype"/>
          <w:b/>
          <w:bCs/>
          <w:color w:val="000000"/>
        </w:rPr>
      </w:pPr>
    </w:p>
    <w:p w:rsidR="00DF057C" w:rsidRPr="001461AD" w:rsidRDefault="00FA309E">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color w:val="222222"/>
        </w:rPr>
      </w:pPr>
      <w:r w:rsidRPr="001461AD">
        <w:rPr>
          <w:rFonts w:ascii="Palatino Linotype" w:eastAsia="Palatino Linotype" w:hAnsi="Palatino Linotype" w:cs="Palatino Linotype"/>
          <w:b/>
          <w:bCs/>
          <w:color w:val="000000"/>
        </w:rPr>
        <w:t>TERCERO</w:t>
      </w:r>
      <w:r w:rsidRPr="001461AD">
        <w:rPr>
          <w:rFonts w:ascii="Palatino Linotype" w:eastAsia="Palatino Linotype" w:hAnsi="Palatino Linotype" w:cs="Palatino Linotype"/>
          <w:b/>
          <w:bCs/>
          <w:color w:val="222222"/>
        </w:rPr>
        <w:t xml:space="preserve">. Notifíquese </w:t>
      </w:r>
      <w:r w:rsidRPr="001461AD">
        <w:rPr>
          <w:rFonts w:ascii="Palatino Linotype" w:eastAsia="Palatino Linotype" w:hAnsi="Palatino Linotype" w:cs="Palatino Linotype"/>
          <w:color w:val="222222"/>
        </w:rPr>
        <w:t>a</w:t>
      </w:r>
      <w:r w:rsidR="00077BBB" w:rsidRPr="001461AD">
        <w:rPr>
          <w:rFonts w:ascii="Palatino Linotype" w:eastAsia="Palatino Linotype" w:hAnsi="Palatino Linotype" w:cs="Palatino Linotype"/>
          <w:color w:val="222222"/>
        </w:rPr>
        <w:t xml:space="preserve"> </w:t>
      </w:r>
      <w:r w:rsidRPr="001461AD">
        <w:rPr>
          <w:rFonts w:ascii="Palatino Linotype" w:eastAsia="Palatino Linotype" w:hAnsi="Palatino Linotype" w:cs="Palatino Linotype"/>
          <w:color w:val="222222"/>
        </w:rPr>
        <w:t>l</w:t>
      </w:r>
      <w:r w:rsidR="00077BBB" w:rsidRPr="001461AD">
        <w:rPr>
          <w:rFonts w:ascii="Palatino Linotype" w:eastAsia="Palatino Linotype" w:hAnsi="Palatino Linotype" w:cs="Palatino Linotype"/>
          <w:color w:val="222222"/>
        </w:rPr>
        <w:t>a</w:t>
      </w:r>
      <w:r w:rsidRPr="001461AD">
        <w:rPr>
          <w:rFonts w:ascii="Palatino Linotype" w:eastAsia="Palatino Linotype" w:hAnsi="Palatino Linotype" w:cs="Palatino Linotype"/>
          <w:b/>
          <w:bCs/>
          <w:color w:val="222222"/>
        </w:rPr>
        <w:t xml:space="preserve"> RECURRENTE </w:t>
      </w:r>
      <w:r w:rsidRPr="001461AD">
        <w:rPr>
          <w:rFonts w:ascii="Palatino Linotype" w:eastAsia="Palatino Linotype" w:hAnsi="Palatino Linotype" w:cs="Palatino Linotype"/>
          <w:color w:val="222222"/>
        </w:rPr>
        <w:t xml:space="preserve">la presente resolución, vía </w:t>
      </w:r>
      <w:r w:rsidRPr="001461AD">
        <w:rPr>
          <w:rFonts w:ascii="Palatino Linotype" w:eastAsia="Palatino Linotype" w:hAnsi="Palatino Linotype" w:cs="Palatino Linotype"/>
          <w:b/>
          <w:bCs/>
          <w:color w:val="000000"/>
        </w:rPr>
        <w:t xml:space="preserve">SAIMEX </w:t>
      </w:r>
      <w:r w:rsidRPr="001461AD">
        <w:rPr>
          <w:rFonts w:ascii="Palatino Linotype" w:eastAsia="Palatino Linotype" w:hAnsi="Palatino Linotype" w:cs="Palatino Linotype"/>
          <w:color w:val="000000"/>
        </w:rPr>
        <w:t>y al correo electrónico proporcionado para tal efecto</w:t>
      </w:r>
      <w:r w:rsidRPr="001461AD">
        <w:rPr>
          <w:rFonts w:ascii="Palatino Linotype" w:eastAsia="Palatino Linotype" w:hAnsi="Palatino Linotype" w:cs="Palatino Linotype"/>
          <w:color w:val="222222"/>
        </w:rPr>
        <w:t>.</w:t>
      </w:r>
    </w:p>
    <w:p w:rsidR="00DF057C" w:rsidRPr="001461AD" w:rsidRDefault="00DF057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color w:val="222222"/>
        </w:rPr>
      </w:pPr>
    </w:p>
    <w:p w:rsidR="00DF057C" w:rsidRPr="001461AD" w:rsidRDefault="00FA309E">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color w:val="222222"/>
        </w:rPr>
      </w:pPr>
      <w:r w:rsidRPr="001461AD">
        <w:rPr>
          <w:rFonts w:ascii="Palatino Linotype" w:eastAsia="Palatino Linotype" w:hAnsi="Palatino Linotype" w:cs="Palatino Linotype"/>
          <w:b/>
          <w:bCs/>
          <w:color w:val="222222"/>
        </w:rPr>
        <w:lastRenderedPageBreak/>
        <w:t xml:space="preserve">CUARTO. </w:t>
      </w:r>
      <w:r w:rsidRPr="001461AD">
        <w:rPr>
          <w:rFonts w:ascii="Palatino Linotype" w:eastAsia="Palatino Linotype" w:hAnsi="Palatino Linotype" w:cs="Palatino Linotype"/>
          <w:color w:val="222222"/>
        </w:rPr>
        <w:t>Se hace de conocimiento de</w:t>
      </w:r>
      <w:r w:rsidR="00077BBB" w:rsidRPr="001461AD">
        <w:rPr>
          <w:rFonts w:ascii="Palatino Linotype" w:eastAsia="Palatino Linotype" w:hAnsi="Palatino Linotype" w:cs="Palatino Linotype"/>
          <w:color w:val="222222"/>
        </w:rPr>
        <w:t xml:space="preserve"> </w:t>
      </w:r>
      <w:r w:rsidRPr="001461AD">
        <w:rPr>
          <w:rFonts w:ascii="Palatino Linotype" w:eastAsia="Palatino Linotype" w:hAnsi="Palatino Linotype" w:cs="Palatino Linotype"/>
          <w:color w:val="222222"/>
        </w:rPr>
        <w:t>l</w:t>
      </w:r>
      <w:r w:rsidR="00077BBB" w:rsidRPr="001461AD">
        <w:rPr>
          <w:rFonts w:ascii="Palatino Linotype" w:eastAsia="Palatino Linotype" w:hAnsi="Palatino Linotype" w:cs="Palatino Linotype"/>
          <w:color w:val="222222"/>
        </w:rPr>
        <w:t>a</w:t>
      </w:r>
      <w:r w:rsidRPr="001461AD">
        <w:rPr>
          <w:rFonts w:ascii="Palatino Linotype" w:eastAsia="Palatino Linotype" w:hAnsi="Palatino Linotype" w:cs="Palatino Linotype"/>
          <w:color w:val="222222"/>
        </w:rPr>
        <w:t xml:space="preserve"> </w:t>
      </w:r>
      <w:r w:rsidRPr="001461AD">
        <w:rPr>
          <w:rFonts w:ascii="Palatino Linotype" w:eastAsia="Palatino Linotype" w:hAnsi="Palatino Linotype" w:cs="Palatino Linotype"/>
          <w:b/>
          <w:bCs/>
          <w:color w:val="000000"/>
        </w:rPr>
        <w:t>RECURRENTE</w:t>
      </w:r>
      <w:r w:rsidRPr="001461AD">
        <w:rPr>
          <w:rFonts w:ascii="Palatino Linotype" w:eastAsia="Palatino Linotype" w:hAnsi="Palatino Linotype" w:cs="Palatino Linotype"/>
          <w:color w:val="222222"/>
        </w:rPr>
        <w:t xml:space="preserve"> que, de conformidad con lo establecido en el artículo 142 de la Ley de Protección de Datos Personales en Posesión de Sujetos Obligados del Estado de México y Municipios, en caso de que considere que la resolución le cause algún perjuicio podrá impugnar vía Juicio de Amparo en los términos de las leyes aplicables.</w:t>
      </w:r>
    </w:p>
    <w:p w:rsidR="00DF057C" w:rsidRPr="001461AD" w:rsidRDefault="00DF057C">
      <w:pPr>
        <w:spacing w:line="360" w:lineRule="auto"/>
        <w:ind w:right="49"/>
        <w:jc w:val="both"/>
        <w:rPr>
          <w:rFonts w:ascii="Palatino Linotype" w:eastAsia="Palatino Linotype" w:hAnsi="Palatino Linotype" w:cs="Palatino Linotype"/>
        </w:rPr>
      </w:pPr>
    </w:p>
    <w:p w:rsidR="00077BBB" w:rsidRPr="001461AD" w:rsidRDefault="00077BBB" w:rsidP="00077BBB">
      <w:pPr>
        <w:spacing w:before="240" w:after="240" w:line="360" w:lineRule="auto"/>
        <w:ind w:firstLine="1"/>
        <w:jc w:val="both"/>
        <w:rPr>
          <w:rFonts w:ascii="Palatino Linotype" w:hAnsi="Palatino Linotype"/>
        </w:rPr>
      </w:pPr>
      <w:bookmarkStart w:id="7" w:name="_Hlk99014733"/>
      <w:r w:rsidRPr="001461AD">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1461AD">
        <w:rPr>
          <w:rFonts w:ascii="Palatino Linotype" w:hAnsi="Palatino Linotype" w:cs="Palatino Linotype"/>
          <w:color w:val="000000" w:themeColor="text1"/>
        </w:rPr>
        <w:t>ALEXIS TAPIA RAMÍREZ.</w:t>
      </w:r>
    </w:p>
    <w:bookmarkEnd w:id="7"/>
    <w:p w:rsidR="00DF057C" w:rsidRPr="001461AD" w:rsidRDefault="00DF057C">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Default="00046E97">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Default="001461AD">
      <w:pPr>
        <w:tabs>
          <w:tab w:val="left" w:pos="1842"/>
        </w:tabs>
        <w:ind w:right="49"/>
        <w:rPr>
          <w:rFonts w:ascii="Palatino Linotype" w:eastAsia="Palatino Linotype" w:hAnsi="Palatino Linotype" w:cs="Palatino Linotype"/>
        </w:rPr>
      </w:pPr>
    </w:p>
    <w:p w:rsidR="001461AD" w:rsidRPr="001461AD" w:rsidRDefault="001461AD">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p w:rsidR="00046E97" w:rsidRPr="001461AD" w:rsidRDefault="00046E97">
      <w:pPr>
        <w:tabs>
          <w:tab w:val="left" w:pos="1842"/>
        </w:tabs>
        <w:ind w:right="49"/>
        <w:rPr>
          <w:rFonts w:ascii="Palatino Linotype" w:eastAsia="Palatino Linotype" w:hAnsi="Palatino Linotype" w:cs="Palatino Linotype"/>
        </w:rPr>
      </w:pPr>
    </w:p>
    <w:sectPr w:rsidR="00046E97" w:rsidRPr="001461AD" w:rsidSect="001461AD">
      <w:headerReference w:type="default" r:id="rId8"/>
      <w:footerReference w:type="default" r:id="rId9"/>
      <w:headerReference w:type="first" r:id="rId10"/>
      <w:footerReference w:type="first" r:id="rId11"/>
      <w:pgSz w:w="12240" w:h="15840"/>
      <w:pgMar w:top="1418" w:right="900"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D49" w:rsidRDefault="00F62D49">
      <w:r>
        <w:separator/>
      </w:r>
    </w:p>
  </w:endnote>
  <w:endnote w:type="continuationSeparator" w:id="0">
    <w:p w:rsidR="00F62D49" w:rsidRDefault="00F62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4FD642D6-8C10-4D5C-9C05-AD1B5CD44B4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6B6941-6BEE-4778-B82A-7308E7F9988A}"/>
  </w:font>
  <w:font w:name="Calibri Light">
    <w:panose1 w:val="020F0302020204030204"/>
    <w:charset w:val="00"/>
    <w:family w:val="swiss"/>
    <w:pitch w:val="variable"/>
    <w:sig w:usb0="E4002EFF" w:usb1="C200247B" w:usb2="00000009" w:usb3="00000000" w:csb0="000001FF" w:csb1="00000000"/>
    <w:embedRegular r:id="rId3" w:fontKey="{84C070BC-8FFC-459A-BE90-C88006F8085F}"/>
  </w:font>
  <w:font w:name="Georgia">
    <w:panose1 w:val="02040502050405020303"/>
    <w:charset w:val="00"/>
    <w:family w:val="roman"/>
    <w:pitch w:val="variable"/>
    <w:sig w:usb0="00000287" w:usb1="00000000" w:usb2="00000000" w:usb3="00000000" w:csb0="0000009F" w:csb1="00000000"/>
    <w:embedItalic r:id="rId4" w:fontKey="{38D1A79A-1B12-47A5-A169-834E6FE96AD0}"/>
  </w:font>
  <w:font w:name="Palatino Linotype">
    <w:panose1 w:val="02040502050505030304"/>
    <w:charset w:val="00"/>
    <w:family w:val="roman"/>
    <w:pitch w:val="variable"/>
    <w:sig w:usb0="E0000287" w:usb1="40000013" w:usb2="00000000" w:usb3="00000000" w:csb0="0000019F" w:csb1="00000000"/>
    <w:embedRegular r:id="rId5" w:fontKey="{FA8E84A7-B884-4DD3-839E-B379FEA420C0}"/>
    <w:embedBold r:id="rId6" w:fontKey="{2C333DEE-1854-4FEF-AAB6-BEF7A873E21A}"/>
    <w:embedItalic r:id="rId7" w:fontKey="{0EB523E7-FDC2-419A-8936-8D5ADD0153A3}"/>
    <w:embedBoldItalic r:id="rId8" w:fontKey="{AF7B5AAB-FED6-47CB-8425-75A7B88596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57C" w:rsidRDefault="00FA309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883AA7">
      <w:rPr>
        <w:rFonts w:ascii="Palatino Linotype" w:eastAsia="Palatino Linotype" w:hAnsi="Palatino Linotype" w:cs="Palatino Linotype"/>
        <w:b/>
        <w:bCs/>
        <w:noProof/>
        <w:color w:val="000000"/>
        <w:sz w:val="20"/>
        <w:szCs w:val="20"/>
      </w:rPr>
      <w:t>8</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883AA7">
      <w:rPr>
        <w:rFonts w:ascii="Palatino Linotype" w:eastAsia="Palatino Linotype" w:hAnsi="Palatino Linotype" w:cs="Palatino Linotype"/>
        <w:b/>
        <w:bCs/>
        <w:noProof/>
        <w:color w:val="000000"/>
        <w:sz w:val="20"/>
        <w:szCs w:val="20"/>
      </w:rPr>
      <w:t>17</w:t>
    </w:r>
    <w:r>
      <w:rPr>
        <w:rFonts w:ascii="Palatino Linotype" w:eastAsia="Palatino Linotype" w:hAnsi="Palatino Linotype" w:cs="Palatino Linotype"/>
        <w:b/>
        <w:bCs/>
        <w:color w:val="000000"/>
        <w:sz w:val="20"/>
        <w:szCs w:val="20"/>
      </w:rPr>
      <w:fldChar w:fldCharType="end"/>
    </w:r>
  </w:p>
  <w:p w:rsidR="00DF057C" w:rsidRDefault="00DF057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57C" w:rsidRPr="001461AD" w:rsidRDefault="00FA309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0"/>
      </w:rPr>
    </w:pPr>
    <w:r w:rsidRPr="001461AD">
      <w:rPr>
        <w:rFonts w:ascii="Palatino Linotype" w:eastAsia="Palatino Linotype" w:hAnsi="Palatino Linotype" w:cs="Palatino Linotype"/>
        <w:bCs/>
        <w:color w:val="000000"/>
        <w:sz w:val="22"/>
        <w:szCs w:val="20"/>
      </w:rPr>
      <w:t xml:space="preserve">Página </w:t>
    </w:r>
    <w:r w:rsidRPr="001461AD">
      <w:rPr>
        <w:rFonts w:ascii="Palatino Linotype" w:eastAsia="Palatino Linotype" w:hAnsi="Palatino Linotype" w:cs="Palatino Linotype"/>
        <w:bCs/>
        <w:color w:val="000000"/>
        <w:sz w:val="22"/>
        <w:szCs w:val="20"/>
      </w:rPr>
      <w:fldChar w:fldCharType="begin"/>
    </w:r>
    <w:r w:rsidRPr="001461AD">
      <w:rPr>
        <w:rFonts w:ascii="Palatino Linotype" w:eastAsia="Palatino Linotype" w:hAnsi="Palatino Linotype" w:cs="Palatino Linotype"/>
        <w:bCs/>
        <w:color w:val="000000"/>
        <w:sz w:val="22"/>
        <w:szCs w:val="20"/>
      </w:rPr>
      <w:instrText>PAGE</w:instrText>
    </w:r>
    <w:r w:rsidRPr="001461AD">
      <w:rPr>
        <w:rFonts w:ascii="Palatino Linotype" w:eastAsia="Palatino Linotype" w:hAnsi="Palatino Linotype" w:cs="Palatino Linotype"/>
        <w:bCs/>
        <w:color w:val="000000"/>
        <w:sz w:val="22"/>
        <w:szCs w:val="20"/>
      </w:rPr>
      <w:fldChar w:fldCharType="separate"/>
    </w:r>
    <w:r w:rsidR="00883AA7">
      <w:rPr>
        <w:rFonts w:ascii="Palatino Linotype" w:eastAsia="Palatino Linotype" w:hAnsi="Palatino Linotype" w:cs="Palatino Linotype"/>
        <w:bCs/>
        <w:noProof/>
        <w:color w:val="000000"/>
        <w:sz w:val="22"/>
        <w:szCs w:val="20"/>
      </w:rPr>
      <w:t>1</w:t>
    </w:r>
    <w:r w:rsidRPr="001461AD">
      <w:rPr>
        <w:rFonts w:ascii="Palatino Linotype" w:eastAsia="Palatino Linotype" w:hAnsi="Palatino Linotype" w:cs="Palatino Linotype"/>
        <w:bCs/>
        <w:color w:val="000000"/>
        <w:sz w:val="22"/>
        <w:szCs w:val="20"/>
      </w:rPr>
      <w:fldChar w:fldCharType="end"/>
    </w:r>
    <w:r w:rsidRPr="001461AD">
      <w:rPr>
        <w:rFonts w:ascii="Palatino Linotype" w:eastAsia="Palatino Linotype" w:hAnsi="Palatino Linotype" w:cs="Palatino Linotype"/>
        <w:color w:val="000000"/>
        <w:sz w:val="22"/>
        <w:szCs w:val="20"/>
      </w:rPr>
      <w:t xml:space="preserve"> de </w:t>
    </w:r>
    <w:r w:rsidRPr="001461AD">
      <w:rPr>
        <w:rFonts w:ascii="Palatino Linotype" w:eastAsia="Palatino Linotype" w:hAnsi="Palatino Linotype" w:cs="Palatino Linotype"/>
        <w:bCs/>
        <w:color w:val="000000"/>
        <w:sz w:val="22"/>
        <w:szCs w:val="20"/>
      </w:rPr>
      <w:fldChar w:fldCharType="begin"/>
    </w:r>
    <w:r w:rsidRPr="001461AD">
      <w:rPr>
        <w:rFonts w:ascii="Palatino Linotype" w:eastAsia="Palatino Linotype" w:hAnsi="Palatino Linotype" w:cs="Palatino Linotype"/>
        <w:bCs/>
        <w:color w:val="000000"/>
        <w:sz w:val="22"/>
        <w:szCs w:val="20"/>
      </w:rPr>
      <w:instrText>NUMPAGES</w:instrText>
    </w:r>
    <w:r w:rsidRPr="001461AD">
      <w:rPr>
        <w:rFonts w:ascii="Palatino Linotype" w:eastAsia="Palatino Linotype" w:hAnsi="Palatino Linotype" w:cs="Palatino Linotype"/>
        <w:bCs/>
        <w:color w:val="000000"/>
        <w:sz w:val="22"/>
        <w:szCs w:val="20"/>
      </w:rPr>
      <w:fldChar w:fldCharType="separate"/>
    </w:r>
    <w:r w:rsidR="00883AA7">
      <w:rPr>
        <w:rFonts w:ascii="Palatino Linotype" w:eastAsia="Palatino Linotype" w:hAnsi="Palatino Linotype" w:cs="Palatino Linotype"/>
        <w:bCs/>
        <w:noProof/>
        <w:color w:val="000000"/>
        <w:sz w:val="22"/>
        <w:szCs w:val="20"/>
      </w:rPr>
      <w:t>17</w:t>
    </w:r>
    <w:r w:rsidRPr="001461AD">
      <w:rPr>
        <w:rFonts w:ascii="Palatino Linotype" w:eastAsia="Palatino Linotype" w:hAnsi="Palatino Linotype" w:cs="Palatino Linotype"/>
        <w:bCs/>
        <w:color w:val="000000"/>
        <w:sz w:val="22"/>
        <w:szCs w:val="20"/>
      </w:rPr>
      <w:fldChar w:fldCharType="end"/>
    </w:r>
  </w:p>
  <w:p w:rsidR="00DF057C" w:rsidRDefault="00DF057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D49" w:rsidRDefault="00F62D49">
      <w:r>
        <w:separator/>
      </w:r>
    </w:p>
  </w:footnote>
  <w:footnote w:type="continuationSeparator" w:id="0">
    <w:p w:rsidR="00F62D49" w:rsidRDefault="00F62D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946" w:type="dxa"/>
      <w:tblInd w:w="3402" w:type="dxa"/>
      <w:tblLayout w:type="fixed"/>
      <w:tblLook w:val="0400" w:firstRow="0" w:lastRow="0" w:firstColumn="0" w:lastColumn="0" w:noHBand="0" w:noVBand="1"/>
    </w:tblPr>
    <w:tblGrid>
      <w:gridCol w:w="2977"/>
      <w:gridCol w:w="3969"/>
    </w:tblGrid>
    <w:tr w:rsidR="00DF057C" w:rsidRPr="001461AD" w:rsidTr="001461AD">
      <w:tc>
        <w:tcPr>
          <w:tcW w:w="2977" w:type="dxa"/>
          <w:vAlign w:val="center"/>
        </w:tcPr>
        <w:p w:rsidR="00DF057C" w:rsidRPr="001461AD" w:rsidRDefault="00FA309E">
          <w:pPr>
            <w:rPr>
              <w:rFonts w:ascii="Palatino Linotype" w:eastAsia="Palatino Linotype" w:hAnsi="Palatino Linotype" w:cs="Palatino Linotype"/>
              <w:b/>
              <w:bCs/>
              <w:szCs w:val="22"/>
            </w:rPr>
          </w:pPr>
          <w:r w:rsidRPr="001461AD">
            <w:rPr>
              <w:rFonts w:ascii="Palatino Linotype" w:eastAsia="Palatino Linotype" w:hAnsi="Palatino Linotype" w:cs="Palatino Linotype"/>
              <w:b/>
              <w:bCs/>
              <w:szCs w:val="22"/>
            </w:rPr>
            <w:t>Recurso de Revisión:</w:t>
          </w:r>
        </w:p>
      </w:tc>
      <w:tc>
        <w:tcPr>
          <w:tcW w:w="3969" w:type="dxa"/>
          <w:vAlign w:val="center"/>
        </w:tcPr>
        <w:p w:rsidR="00DF057C" w:rsidRPr="001461AD" w:rsidRDefault="00FA309E">
          <w:pPr>
            <w:jc w:val="both"/>
            <w:rPr>
              <w:rFonts w:ascii="Palatino Linotype" w:eastAsia="Palatino Linotype" w:hAnsi="Palatino Linotype" w:cs="Palatino Linotype"/>
              <w:szCs w:val="22"/>
            </w:rPr>
          </w:pPr>
          <w:r w:rsidRPr="001461AD">
            <w:rPr>
              <w:rFonts w:ascii="Palatino Linotype" w:eastAsia="Palatino Linotype" w:hAnsi="Palatino Linotype" w:cs="Palatino Linotype"/>
              <w:szCs w:val="22"/>
            </w:rPr>
            <w:t>05613/INFOEM/IP/RR/2025</w:t>
          </w:r>
        </w:p>
      </w:tc>
    </w:tr>
    <w:tr w:rsidR="00DF057C" w:rsidRPr="001461AD" w:rsidTr="001461AD">
      <w:trPr>
        <w:trHeight w:val="228"/>
      </w:trPr>
      <w:tc>
        <w:tcPr>
          <w:tcW w:w="2977" w:type="dxa"/>
          <w:vAlign w:val="center"/>
        </w:tcPr>
        <w:p w:rsidR="00DF057C" w:rsidRPr="001461AD" w:rsidRDefault="00FA309E">
          <w:pPr>
            <w:rPr>
              <w:rFonts w:ascii="Palatino Linotype" w:eastAsia="Palatino Linotype" w:hAnsi="Palatino Linotype" w:cs="Palatino Linotype"/>
              <w:b/>
              <w:bCs/>
              <w:szCs w:val="22"/>
            </w:rPr>
          </w:pPr>
          <w:r w:rsidRPr="001461AD">
            <w:rPr>
              <w:rFonts w:ascii="Palatino Linotype" w:eastAsia="Palatino Linotype" w:hAnsi="Palatino Linotype" w:cs="Palatino Linotype"/>
              <w:b/>
              <w:bCs/>
              <w:szCs w:val="22"/>
            </w:rPr>
            <w:t>Sujeto obligado:</w:t>
          </w:r>
        </w:p>
      </w:tc>
      <w:tc>
        <w:tcPr>
          <w:tcW w:w="3969" w:type="dxa"/>
          <w:vAlign w:val="center"/>
        </w:tcPr>
        <w:p w:rsidR="00DF057C" w:rsidRPr="001461AD" w:rsidRDefault="00FA309E">
          <w:pPr>
            <w:jc w:val="both"/>
            <w:rPr>
              <w:rFonts w:ascii="Palatino Linotype" w:eastAsia="Palatino Linotype" w:hAnsi="Palatino Linotype" w:cs="Palatino Linotype"/>
              <w:szCs w:val="22"/>
            </w:rPr>
          </w:pPr>
          <w:r w:rsidRPr="001461AD">
            <w:rPr>
              <w:rFonts w:ascii="Palatino Linotype" w:eastAsia="Palatino Linotype" w:hAnsi="Palatino Linotype" w:cs="Palatino Linotype"/>
              <w:szCs w:val="22"/>
            </w:rPr>
            <w:t>Poder Judicial</w:t>
          </w:r>
        </w:p>
      </w:tc>
    </w:tr>
    <w:tr w:rsidR="00DF057C" w:rsidRPr="001461AD" w:rsidTr="001461AD">
      <w:tc>
        <w:tcPr>
          <w:tcW w:w="2977" w:type="dxa"/>
          <w:vAlign w:val="center"/>
        </w:tcPr>
        <w:p w:rsidR="00DF057C" w:rsidRPr="001461AD" w:rsidRDefault="00FA309E">
          <w:pPr>
            <w:rPr>
              <w:rFonts w:ascii="Palatino Linotype" w:eastAsia="Palatino Linotype" w:hAnsi="Palatino Linotype" w:cs="Palatino Linotype"/>
              <w:b/>
              <w:bCs/>
              <w:szCs w:val="22"/>
            </w:rPr>
          </w:pPr>
          <w:r w:rsidRPr="001461AD">
            <w:rPr>
              <w:rFonts w:ascii="Palatino Linotype" w:eastAsia="Palatino Linotype" w:hAnsi="Palatino Linotype" w:cs="Palatino Linotype"/>
              <w:b/>
              <w:bCs/>
              <w:szCs w:val="22"/>
            </w:rPr>
            <w:t>Comisionada ponente:</w:t>
          </w:r>
        </w:p>
      </w:tc>
      <w:tc>
        <w:tcPr>
          <w:tcW w:w="3969" w:type="dxa"/>
          <w:vAlign w:val="center"/>
        </w:tcPr>
        <w:p w:rsidR="00DF057C" w:rsidRPr="001461AD" w:rsidRDefault="00FA309E">
          <w:pPr>
            <w:ind w:right="-533"/>
            <w:jc w:val="both"/>
            <w:rPr>
              <w:rFonts w:ascii="Palatino Linotype" w:eastAsia="Palatino Linotype" w:hAnsi="Palatino Linotype" w:cs="Palatino Linotype"/>
              <w:szCs w:val="22"/>
            </w:rPr>
          </w:pPr>
          <w:r w:rsidRPr="001461AD">
            <w:rPr>
              <w:rFonts w:ascii="Palatino Linotype" w:eastAsia="Palatino Linotype" w:hAnsi="Palatino Linotype" w:cs="Palatino Linotype"/>
              <w:szCs w:val="22"/>
            </w:rPr>
            <w:t>María del Rosario Mejía Ayala</w:t>
          </w:r>
        </w:p>
      </w:tc>
    </w:tr>
  </w:tbl>
  <w:p w:rsidR="00DF057C" w:rsidRDefault="001461A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7216" behindDoc="1" locked="0" layoutInCell="1" hidden="0" allowOverlap="1">
          <wp:simplePos x="0" y="0"/>
          <wp:positionH relativeFrom="margin">
            <wp:align>center</wp:align>
          </wp:positionH>
          <wp:positionV relativeFrom="margin">
            <wp:posOffset>-1445260</wp:posOffset>
          </wp:positionV>
          <wp:extent cx="7677507" cy="9998614"/>
          <wp:effectExtent l="0" t="0" r="0" b="317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7507" cy="9998614"/>
                  </a:xfrm>
                  <a:prstGeom prst="rect">
                    <a:avLst/>
                  </a:prstGeom>
                  <a:ln/>
                </pic:spPr>
              </pic:pic>
            </a:graphicData>
          </a:graphic>
        </wp:anchor>
      </w:drawing>
    </w:r>
    <w:r w:rsidR="00FA309E">
      <w:rPr>
        <w:rFonts w:ascii="Calibri" w:eastAsia="Calibri" w:hAnsi="Calibri" w:cs="Calibri"/>
        <w:color w:val="000000"/>
      </w:rPr>
      <w:t xml:space="preserve">                                                 </w:t>
    </w:r>
    <w:r w:rsidR="00FA309E">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095" w:type="dxa"/>
      <w:tblInd w:w="3119" w:type="dxa"/>
      <w:tblLayout w:type="fixed"/>
      <w:tblLook w:val="0400" w:firstRow="0" w:lastRow="0" w:firstColumn="0" w:lastColumn="0" w:noHBand="0" w:noVBand="1"/>
    </w:tblPr>
    <w:tblGrid>
      <w:gridCol w:w="2835"/>
      <w:gridCol w:w="4260"/>
    </w:tblGrid>
    <w:tr w:rsidR="00DF057C" w:rsidTr="001461AD">
      <w:tc>
        <w:tcPr>
          <w:tcW w:w="2835" w:type="dxa"/>
          <w:vAlign w:val="center"/>
        </w:tcPr>
        <w:p w:rsidR="00DF057C" w:rsidRPr="001461AD" w:rsidRDefault="00FA309E">
          <w:pPr>
            <w:rPr>
              <w:rFonts w:ascii="Palatino Linotype" w:eastAsia="Palatino Linotype" w:hAnsi="Palatino Linotype" w:cs="Palatino Linotype"/>
              <w:b/>
              <w:bCs/>
              <w:szCs w:val="22"/>
            </w:rPr>
          </w:pPr>
          <w:r w:rsidRPr="001461AD">
            <w:rPr>
              <w:rFonts w:ascii="Palatino Linotype" w:eastAsia="Palatino Linotype" w:hAnsi="Palatino Linotype" w:cs="Palatino Linotype"/>
              <w:b/>
              <w:bCs/>
              <w:szCs w:val="22"/>
            </w:rPr>
            <w:t>Recurso de Revisión:</w:t>
          </w:r>
        </w:p>
      </w:tc>
      <w:tc>
        <w:tcPr>
          <w:tcW w:w="4260" w:type="dxa"/>
          <w:vAlign w:val="center"/>
        </w:tcPr>
        <w:p w:rsidR="00DF057C" w:rsidRPr="001461AD" w:rsidRDefault="00FA309E">
          <w:pPr>
            <w:ind w:right="-1520"/>
            <w:rPr>
              <w:rFonts w:ascii="Palatino Linotype" w:eastAsia="Palatino Linotype" w:hAnsi="Palatino Linotype" w:cs="Palatino Linotype"/>
              <w:szCs w:val="22"/>
            </w:rPr>
          </w:pPr>
          <w:r w:rsidRPr="001461AD">
            <w:rPr>
              <w:rFonts w:ascii="Palatino Linotype" w:eastAsia="Palatino Linotype" w:hAnsi="Palatino Linotype" w:cs="Palatino Linotype"/>
              <w:szCs w:val="22"/>
            </w:rPr>
            <w:t>05613/INFOEM/IP/RR/2025</w:t>
          </w:r>
        </w:p>
      </w:tc>
    </w:tr>
    <w:tr w:rsidR="00DF057C" w:rsidTr="001461AD">
      <w:tc>
        <w:tcPr>
          <w:tcW w:w="2835" w:type="dxa"/>
          <w:vAlign w:val="center"/>
        </w:tcPr>
        <w:p w:rsidR="00DF057C" w:rsidRPr="001461AD" w:rsidRDefault="00FA309E">
          <w:pPr>
            <w:rPr>
              <w:rFonts w:ascii="Palatino Linotype" w:eastAsia="Palatino Linotype" w:hAnsi="Palatino Linotype" w:cs="Palatino Linotype"/>
              <w:b/>
              <w:bCs/>
              <w:szCs w:val="22"/>
            </w:rPr>
          </w:pPr>
          <w:r w:rsidRPr="001461AD">
            <w:rPr>
              <w:rFonts w:ascii="Palatino Linotype" w:eastAsia="Palatino Linotype" w:hAnsi="Palatino Linotype" w:cs="Palatino Linotype"/>
              <w:b/>
              <w:bCs/>
              <w:szCs w:val="22"/>
            </w:rPr>
            <w:t>Recurrente:</w:t>
          </w:r>
        </w:p>
      </w:tc>
      <w:tc>
        <w:tcPr>
          <w:tcW w:w="4260" w:type="dxa"/>
          <w:vAlign w:val="center"/>
        </w:tcPr>
        <w:p w:rsidR="00DF057C" w:rsidRPr="001461AD" w:rsidRDefault="00883AA7">
          <w:pPr>
            <w:ind w:right="-1520"/>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DF057C" w:rsidTr="001461AD">
      <w:trPr>
        <w:trHeight w:val="228"/>
      </w:trPr>
      <w:tc>
        <w:tcPr>
          <w:tcW w:w="2835" w:type="dxa"/>
          <w:vAlign w:val="center"/>
        </w:tcPr>
        <w:p w:rsidR="00DF057C" w:rsidRPr="001461AD" w:rsidRDefault="00FA309E">
          <w:pPr>
            <w:rPr>
              <w:rFonts w:ascii="Palatino Linotype" w:eastAsia="Palatino Linotype" w:hAnsi="Palatino Linotype" w:cs="Palatino Linotype"/>
              <w:b/>
              <w:bCs/>
              <w:szCs w:val="22"/>
            </w:rPr>
          </w:pPr>
          <w:r w:rsidRPr="001461AD">
            <w:rPr>
              <w:rFonts w:ascii="Palatino Linotype" w:eastAsia="Palatino Linotype" w:hAnsi="Palatino Linotype" w:cs="Palatino Linotype"/>
              <w:b/>
              <w:bCs/>
              <w:szCs w:val="22"/>
            </w:rPr>
            <w:t>Sujeto obligado:</w:t>
          </w:r>
        </w:p>
      </w:tc>
      <w:tc>
        <w:tcPr>
          <w:tcW w:w="4260" w:type="dxa"/>
          <w:vAlign w:val="center"/>
        </w:tcPr>
        <w:p w:rsidR="00DF057C" w:rsidRPr="001461AD" w:rsidRDefault="00FA309E">
          <w:pPr>
            <w:ind w:right="-1520"/>
            <w:rPr>
              <w:rFonts w:ascii="Palatino Linotype" w:eastAsia="Palatino Linotype" w:hAnsi="Palatino Linotype" w:cs="Palatino Linotype"/>
              <w:szCs w:val="22"/>
            </w:rPr>
          </w:pPr>
          <w:r w:rsidRPr="001461AD">
            <w:rPr>
              <w:rFonts w:ascii="Palatino Linotype" w:eastAsia="Palatino Linotype" w:hAnsi="Palatino Linotype" w:cs="Palatino Linotype"/>
              <w:szCs w:val="22"/>
            </w:rPr>
            <w:t>Poder Judicial</w:t>
          </w:r>
        </w:p>
      </w:tc>
    </w:tr>
    <w:tr w:rsidR="00DF057C" w:rsidTr="001461AD">
      <w:tc>
        <w:tcPr>
          <w:tcW w:w="2835" w:type="dxa"/>
          <w:vAlign w:val="center"/>
        </w:tcPr>
        <w:p w:rsidR="00DF057C" w:rsidRPr="001461AD" w:rsidRDefault="00FA309E">
          <w:pPr>
            <w:rPr>
              <w:rFonts w:ascii="Palatino Linotype" w:eastAsia="Palatino Linotype" w:hAnsi="Palatino Linotype" w:cs="Palatino Linotype"/>
              <w:b/>
              <w:bCs/>
              <w:szCs w:val="22"/>
            </w:rPr>
          </w:pPr>
          <w:r w:rsidRPr="001461AD">
            <w:rPr>
              <w:rFonts w:ascii="Palatino Linotype" w:eastAsia="Palatino Linotype" w:hAnsi="Palatino Linotype" w:cs="Palatino Linotype"/>
              <w:b/>
              <w:bCs/>
              <w:szCs w:val="22"/>
            </w:rPr>
            <w:t>Comisionada ponente:</w:t>
          </w:r>
        </w:p>
      </w:tc>
      <w:tc>
        <w:tcPr>
          <w:tcW w:w="4260" w:type="dxa"/>
          <w:vAlign w:val="center"/>
        </w:tcPr>
        <w:p w:rsidR="00DF057C" w:rsidRPr="001461AD" w:rsidRDefault="00FA309E">
          <w:pPr>
            <w:ind w:right="-1520"/>
            <w:rPr>
              <w:rFonts w:ascii="Palatino Linotype" w:eastAsia="Palatino Linotype" w:hAnsi="Palatino Linotype" w:cs="Palatino Linotype"/>
              <w:szCs w:val="22"/>
            </w:rPr>
          </w:pPr>
          <w:r w:rsidRPr="001461AD">
            <w:rPr>
              <w:rFonts w:ascii="Palatino Linotype" w:eastAsia="Palatino Linotype" w:hAnsi="Palatino Linotype" w:cs="Palatino Linotype"/>
              <w:szCs w:val="22"/>
            </w:rPr>
            <w:t>María del Rosario Mejía Ayala</w:t>
          </w:r>
        </w:p>
      </w:tc>
    </w:tr>
  </w:tbl>
  <w:p w:rsidR="00DF057C" w:rsidRDefault="00F62D49">
    <w:pPr>
      <w:pBdr>
        <w:top w:val="nil"/>
        <w:left w:val="nil"/>
        <w:bottom w:val="nil"/>
        <w:right w:val="nil"/>
        <w:between w:val="nil"/>
      </w:pBdr>
      <w:tabs>
        <w:tab w:val="center" w:pos="4252"/>
        <w:tab w:val="right" w:pos="8504"/>
      </w:tabs>
      <w:rPr>
        <w:rFonts w:ascii="Calibri" w:eastAsia="Calibri" w:hAnsi="Calibri" w:cs="Calibri"/>
        <w:color w:val="000000"/>
      </w:rPr>
    </w:pPr>
    <w:r>
      <w:rPr>
        <w:rFonts w:ascii="Palatino Linotype" w:eastAsia="Palatino Linotype" w:hAnsi="Palatino Linotype" w:cs="Palatino Linotype"/>
        <w:b/>
        <w:bCs/>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1.65pt;margin-top:-139.45pt;width:663.5pt;height:12in;z-index:-251658240;mso-position-horizontal-relative:margin;mso-position-vertical-relative:margin">
          <v:imagedata r:id="rId1" o:title="image1"/>
          <w10:wrap anchorx="margin" anchory="margin"/>
        </v:shape>
      </w:pict>
    </w:r>
  </w:p>
  <w:p w:rsidR="00DF057C" w:rsidRDefault="00DF057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804678"/>
    <w:multiLevelType w:val="multilevel"/>
    <w:tmpl w:val="6C14DAEE"/>
    <w:lvl w:ilvl="0">
      <w:start w:val="1"/>
      <w:numFmt w:val="decimal"/>
      <w:lvlText w:val="%1."/>
      <w:lvlJc w:val="left"/>
      <w:pPr>
        <w:ind w:left="291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7426FB"/>
    <w:multiLevelType w:val="multilevel"/>
    <w:tmpl w:val="4D82C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1D62311"/>
    <w:multiLevelType w:val="multilevel"/>
    <w:tmpl w:val="E17024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5926089"/>
    <w:multiLevelType w:val="multilevel"/>
    <w:tmpl w:val="6018E6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57C"/>
    <w:rsid w:val="00046E97"/>
    <w:rsid w:val="00077BBB"/>
    <w:rsid w:val="001372F0"/>
    <w:rsid w:val="001461AD"/>
    <w:rsid w:val="007E6D5D"/>
    <w:rsid w:val="00883AA7"/>
    <w:rsid w:val="008C6107"/>
    <w:rsid w:val="00D93D80"/>
    <w:rsid w:val="00DF057C"/>
    <w:rsid w:val="00F62D49"/>
    <w:rsid w:val="00FA309E"/>
    <w:rsid w:val="00FE2F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D9F2B1F-3373-4247-98D4-2D2C7F9C4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1053B7"/>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53B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53B7"/>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1053B7"/>
    <w:pPr>
      <w:tabs>
        <w:tab w:val="center" w:pos="4419"/>
        <w:tab w:val="right" w:pos="8838"/>
      </w:tabs>
    </w:pPr>
  </w:style>
  <w:style w:type="character" w:customStyle="1" w:styleId="EncabezadoCar">
    <w:name w:val="Encabezado Car"/>
    <w:basedOn w:val="Fuentedeprrafopredeter"/>
    <w:link w:val="Encabezado"/>
    <w:uiPriority w:val="99"/>
    <w:rsid w:val="001053B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1053B7"/>
    <w:pPr>
      <w:tabs>
        <w:tab w:val="center" w:pos="4419"/>
        <w:tab w:val="right" w:pos="8838"/>
      </w:tabs>
    </w:pPr>
  </w:style>
  <w:style w:type="character" w:customStyle="1" w:styleId="PiedepginaCar">
    <w:name w:val="Pie de página Car"/>
    <w:basedOn w:val="Fuentedeprrafopredeter"/>
    <w:link w:val="Piedepgina"/>
    <w:uiPriority w:val="99"/>
    <w:rsid w:val="001053B7"/>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91BEE"/>
    <w:rPr>
      <w:color w:val="0563C1" w:themeColor="hyperlink"/>
      <w:u w:val="single"/>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qL9k10AbWbfM4Ww/K/QxsHn9Lg==">CgMxLjAyCWguMXQzaDVzZjIOaC5sdnlkNjN5amVueHUyCGguZ2pkZ3hzMg5oLjhqNmRjZ2syZDQ2dzIJaC4zMGowemxsMgloLjFmb2I5dGUyCWguM3pueXNoNzgAciExaVNwbGdDcVhjNjB0R0lMOVYwRTdhWmN0MWZkZkVyeDY=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3990</Words>
  <Characters>21948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9</cp:revision>
  <cp:lastPrinted>2026-03-23T16:13:00Z</cp:lastPrinted>
  <dcterms:created xsi:type="dcterms:W3CDTF">2026-03-10T01:00:00Z</dcterms:created>
  <dcterms:modified xsi:type="dcterms:W3CDTF">2026-04-07T19:48:00Z</dcterms:modified>
</cp:coreProperties>
</file>