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A2E8F6" w14:textId="6E716B20" w:rsidR="000D134C" w:rsidRPr="00C703DC" w:rsidRDefault="000D134C" w:rsidP="005C2A3E">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C703DC">
        <w:rPr>
          <w:rFonts w:ascii="Palatino Linotype" w:eastAsia="Times New Roman" w:hAnsi="Palatino Linotype" w:cs="Palatino Linotype"/>
          <w:color w:val="000000"/>
          <w:sz w:val="24"/>
          <w:szCs w:val="24"/>
          <w:lang w:val="es-ES_tradnl" w:eastAsia="es-MX"/>
        </w:rPr>
        <w:t xml:space="preserve">Resolución del Pleno del Instituto de Transparencia, Acceso a la Información Pública y Protección de Datos Personales del Estado de México y Municipios, con domicilio en Metepec, Estado de México, </w:t>
      </w:r>
      <w:r w:rsidRPr="00C703DC">
        <w:rPr>
          <w:rFonts w:ascii="Palatino Linotype" w:eastAsia="Times New Roman" w:hAnsi="Palatino Linotype" w:cs="Palatino Linotype"/>
          <w:b/>
          <w:color w:val="000000"/>
          <w:sz w:val="24"/>
          <w:szCs w:val="24"/>
          <w:lang w:val="es-ES_tradnl" w:eastAsia="es-MX"/>
        </w:rPr>
        <w:t xml:space="preserve">a </w:t>
      </w:r>
      <w:r w:rsidR="0030527F" w:rsidRPr="00C703DC">
        <w:rPr>
          <w:rFonts w:ascii="Palatino Linotype" w:eastAsia="Times New Roman" w:hAnsi="Palatino Linotype" w:cs="Palatino Linotype"/>
          <w:b/>
          <w:color w:val="000000"/>
          <w:sz w:val="24"/>
          <w:szCs w:val="24"/>
          <w:lang w:val="es-ES_tradnl" w:eastAsia="es-MX"/>
        </w:rPr>
        <w:t>diecinueve de marzo de dos mil veintiséis</w:t>
      </w:r>
      <w:r w:rsidRPr="00C703DC">
        <w:rPr>
          <w:rFonts w:ascii="Palatino Linotype" w:eastAsia="Times New Roman" w:hAnsi="Palatino Linotype" w:cs="Palatino Linotype"/>
          <w:b/>
          <w:color w:val="000000"/>
          <w:sz w:val="24"/>
          <w:szCs w:val="24"/>
          <w:lang w:val="es-ES_tradnl" w:eastAsia="es-MX"/>
        </w:rPr>
        <w:t>.</w:t>
      </w:r>
    </w:p>
    <w:p w14:paraId="46CFF95D" w14:textId="77777777" w:rsidR="000D134C" w:rsidRPr="00C703DC" w:rsidRDefault="000D134C" w:rsidP="005C2A3E">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339E3004" w14:textId="4506F25E" w:rsidR="000D134C" w:rsidRPr="00C703DC" w:rsidRDefault="000D134C" w:rsidP="005C2A3E">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C703DC">
        <w:rPr>
          <w:rFonts w:ascii="Palatino Linotype" w:eastAsia="Times New Roman" w:hAnsi="Palatino Linotype" w:cs="Palatino Linotype"/>
          <w:b/>
          <w:color w:val="000000"/>
          <w:sz w:val="24"/>
          <w:szCs w:val="24"/>
          <w:lang w:val="es-ES_tradnl" w:eastAsia="es-MX"/>
        </w:rPr>
        <w:t>VISTO</w:t>
      </w:r>
      <w:r w:rsidRPr="00C703DC">
        <w:rPr>
          <w:rFonts w:ascii="Palatino Linotype" w:eastAsia="Times New Roman" w:hAnsi="Palatino Linotype" w:cs="Palatino Linotype"/>
          <w:color w:val="000000"/>
          <w:sz w:val="24"/>
          <w:szCs w:val="24"/>
          <w:lang w:val="es-ES_tradnl" w:eastAsia="es-MX"/>
        </w:rPr>
        <w:t xml:space="preserve"> el expediente electrónico formado con motivo del recurso de revisión número </w:t>
      </w:r>
      <w:r w:rsidR="0092771D" w:rsidRPr="00C703DC">
        <w:rPr>
          <w:rFonts w:ascii="Palatino Linotype" w:eastAsia="Times New Roman" w:hAnsi="Palatino Linotype" w:cs="Palatino Linotype"/>
          <w:b/>
          <w:color w:val="000000"/>
          <w:sz w:val="24"/>
          <w:szCs w:val="24"/>
          <w:lang w:val="es-ES_tradnl" w:eastAsia="es-MX"/>
        </w:rPr>
        <w:t>12325</w:t>
      </w:r>
      <w:r w:rsidRPr="00C703DC">
        <w:rPr>
          <w:rFonts w:ascii="Palatino Linotype" w:eastAsia="Times New Roman" w:hAnsi="Palatino Linotype" w:cs="Palatino Linotype"/>
          <w:b/>
          <w:color w:val="000000"/>
          <w:sz w:val="24"/>
          <w:szCs w:val="24"/>
          <w:lang w:val="es-ES_tradnl" w:eastAsia="es-MX"/>
        </w:rPr>
        <w:t>/INFOEM/IP/RR/2025</w:t>
      </w:r>
      <w:r w:rsidRPr="00C703DC">
        <w:rPr>
          <w:rFonts w:ascii="Palatino Linotype" w:eastAsia="Times New Roman" w:hAnsi="Palatino Linotype" w:cs="Palatino Linotype"/>
          <w:color w:val="000000"/>
          <w:sz w:val="24"/>
          <w:szCs w:val="24"/>
          <w:lang w:val="es-ES_tradnl" w:eastAsia="es-MX"/>
        </w:rPr>
        <w:t xml:space="preserve">, interpuesto por </w:t>
      </w:r>
      <w:r w:rsidR="0092771D" w:rsidRPr="00C703DC">
        <w:rPr>
          <w:rFonts w:ascii="Palatino Linotype" w:eastAsia="Times New Roman" w:hAnsi="Palatino Linotype" w:cs="Palatino Linotype"/>
          <w:color w:val="000000"/>
          <w:sz w:val="24"/>
          <w:szCs w:val="24"/>
          <w:lang w:val="es-ES_tradnl" w:eastAsia="es-MX"/>
        </w:rPr>
        <w:t xml:space="preserve">el C. </w:t>
      </w:r>
      <w:r w:rsidR="00D21BEF">
        <w:rPr>
          <w:rFonts w:ascii="Palatino Linotype" w:hAnsi="Palatino Linotype" w:cs="Arial"/>
          <w:b/>
          <w:bCs/>
          <w:sz w:val="24"/>
          <w:szCs w:val="24"/>
        </w:rPr>
        <w:t>XXXXXXXXXXXXXXX</w:t>
      </w:r>
      <w:bookmarkStart w:id="0" w:name="_GoBack"/>
      <w:bookmarkEnd w:id="0"/>
      <w:r w:rsidRPr="00C703DC">
        <w:rPr>
          <w:rFonts w:ascii="Palatino Linotype" w:eastAsia="Times New Roman" w:hAnsi="Palatino Linotype" w:cs="Arial"/>
          <w:sz w:val="24"/>
          <w:szCs w:val="24"/>
          <w:lang w:val="es-ES_tradnl" w:eastAsia="es-MX"/>
        </w:rPr>
        <w:t xml:space="preserve">, </w:t>
      </w:r>
      <w:r w:rsidRPr="00C703DC">
        <w:rPr>
          <w:rFonts w:ascii="Palatino Linotype" w:eastAsia="Times New Roman" w:hAnsi="Palatino Linotype" w:cs="Palatino Linotype"/>
          <w:color w:val="000000"/>
          <w:sz w:val="24"/>
          <w:szCs w:val="24"/>
          <w:lang w:val="es-ES_tradnl" w:eastAsia="es-MX"/>
        </w:rPr>
        <w:t xml:space="preserve">en lo sucesivo el </w:t>
      </w:r>
      <w:r w:rsidRPr="00C703DC">
        <w:rPr>
          <w:rFonts w:ascii="Palatino Linotype" w:eastAsia="Times New Roman" w:hAnsi="Palatino Linotype" w:cs="Palatino Linotype"/>
          <w:b/>
          <w:color w:val="000000"/>
          <w:sz w:val="24"/>
          <w:szCs w:val="24"/>
          <w:lang w:val="es-ES_tradnl" w:eastAsia="es-MX"/>
        </w:rPr>
        <w:t>Recurrente</w:t>
      </w:r>
      <w:r w:rsidRPr="00C703DC">
        <w:rPr>
          <w:rFonts w:ascii="Palatino Linotype" w:eastAsia="Times New Roman" w:hAnsi="Palatino Linotype" w:cs="Palatino Linotype"/>
          <w:color w:val="000000"/>
          <w:sz w:val="24"/>
          <w:szCs w:val="24"/>
          <w:lang w:val="es-ES_tradnl" w:eastAsia="es-MX"/>
        </w:rPr>
        <w:t xml:space="preserve">, en contra de la respuesta del </w:t>
      </w:r>
      <w:r w:rsidR="0092771D" w:rsidRPr="00C703DC">
        <w:rPr>
          <w:rFonts w:ascii="Palatino Linotype" w:hAnsi="Palatino Linotype"/>
          <w:b/>
          <w:bCs/>
          <w:color w:val="000000"/>
          <w:sz w:val="24"/>
          <w:szCs w:val="24"/>
        </w:rPr>
        <w:t>Ayuntamiento de Tezoyuca</w:t>
      </w:r>
      <w:r w:rsidRPr="00C703DC">
        <w:rPr>
          <w:rFonts w:ascii="Palatino Linotype" w:eastAsia="Times New Roman" w:hAnsi="Palatino Linotype" w:cs="Palatino Linotype"/>
          <w:color w:val="000000"/>
          <w:sz w:val="24"/>
          <w:szCs w:val="24"/>
          <w:lang w:val="es-ES_tradnl" w:eastAsia="es-MX"/>
        </w:rPr>
        <w:t>, en lo subsecuente</w:t>
      </w:r>
      <w:r w:rsidRPr="00C703DC">
        <w:rPr>
          <w:rFonts w:ascii="Palatino Linotype" w:eastAsia="Times New Roman" w:hAnsi="Palatino Linotype" w:cs="Palatino Linotype"/>
          <w:b/>
          <w:color w:val="000000"/>
          <w:sz w:val="24"/>
          <w:szCs w:val="24"/>
          <w:lang w:val="es-ES_tradnl" w:eastAsia="es-MX"/>
        </w:rPr>
        <w:t xml:space="preserve"> </w:t>
      </w:r>
      <w:r w:rsidRPr="00C703DC">
        <w:rPr>
          <w:rFonts w:ascii="Palatino Linotype" w:eastAsia="Times New Roman" w:hAnsi="Palatino Linotype" w:cs="Palatino Linotype"/>
          <w:color w:val="000000"/>
          <w:sz w:val="24"/>
          <w:szCs w:val="24"/>
          <w:lang w:val="es-ES_tradnl" w:eastAsia="es-MX"/>
        </w:rPr>
        <w:t>el</w:t>
      </w:r>
      <w:r w:rsidRPr="00C703DC">
        <w:rPr>
          <w:rFonts w:ascii="Palatino Linotype" w:eastAsia="Times New Roman" w:hAnsi="Palatino Linotype" w:cs="Palatino Linotype"/>
          <w:b/>
          <w:color w:val="000000"/>
          <w:sz w:val="24"/>
          <w:szCs w:val="24"/>
          <w:lang w:val="es-ES_tradnl" w:eastAsia="es-MX"/>
        </w:rPr>
        <w:t xml:space="preserve"> Sujeto Obligado, </w:t>
      </w:r>
      <w:r w:rsidRPr="00C703DC">
        <w:rPr>
          <w:rFonts w:ascii="Palatino Linotype" w:eastAsia="Times New Roman" w:hAnsi="Palatino Linotype" w:cs="Palatino Linotype"/>
          <w:color w:val="000000"/>
          <w:sz w:val="24"/>
          <w:szCs w:val="24"/>
          <w:lang w:val="es-ES_tradnl" w:eastAsia="es-MX"/>
        </w:rPr>
        <w:t>se procede a dictar la presente resolución.</w:t>
      </w:r>
    </w:p>
    <w:p w14:paraId="56A4CB04" w14:textId="77777777" w:rsidR="000D134C" w:rsidRPr="00C703DC" w:rsidRDefault="000D134C" w:rsidP="005C2A3E">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0B0D2FD3" w14:textId="77777777" w:rsidR="000D134C" w:rsidRPr="00C703DC" w:rsidRDefault="000D134C" w:rsidP="005C2A3E">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13F05D30" w14:textId="77777777" w:rsidR="000D134C" w:rsidRPr="00C703DC" w:rsidRDefault="000D134C" w:rsidP="005C2A3E">
      <w:pPr>
        <w:keepNext/>
        <w:keepLines/>
        <w:spacing w:after="0" w:line="360" w:lineRule="auto"/>
        <w:jc w:val="center"/>
        <w:outlineLvl w:val="0"/>
        <w:rPr>
          <w:rFonts w:ascii="Palatino Linotype" w:eastAsia="Times New Roman" w:hAnsi="Palatino Linotype" w:cs="Times New Roman"/>
          <w:b/>
          <w:color w:val="000000" w:themeColor="text1"/>
          <w:sz w:val="32"/>
          <w:szCs w:val="32"/>
          <w:lang w:val="es-ES_tradnl" w:eastAsia="es-ES"/>
        </w:rPr>
      </w:pPr>
      <w:r w:rsidRPr="00C703DC">
        <w:rPr>
          <w:rFonts w:ascii="Palatino Linotype" w:eastAsia="Times New Roman" w:hAnsi="Palatino Linotype" w:cs="Times New Roman"/>
          <w:b/>
          <w:color w:val="000000" w:themeColor="text1"/>
          <w:sz w:val="32"/>
          <w:szCs w:val="32"/>
          <w:lang w:val="es-ES_tradnl" w:eastAsia="es-ES"/>
        </w:rPr>
        <w:t>ANTECEDENTES</w:t>
      </w:r>
    </w:p>
    <w:p w14:paraId="0733C25F" w14:textId="77777777" w:rsidR="000D134C" w:rsidRPr="00C703DC" w:rsidRDefault="000D134C" w:rsidP="005C2A3E">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67B4785F" w14:textId="77777777" w:rsidR="000D134C" w:rsidRPr="00C703DC" w:rsidRDefault="000D134C" w:rsidP="005C2A3E">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C703DC">
        <w:rPr>
          <w:rFonts w:ascii="Palatino Linotype" w:eastAsia="Times New Roman" w:hAnsi="Palatino Linotype" w:cs="Times New Roman"/>
          <w:b/>
          <w:color w:val="000000" w:themeColor="text1"/>
          <w:sz w:val="28"/>
          <w:szCs w:val="28"/>
          <w:lang w:val="es-ES_tradnl" w:eastAsia="es-MX"/>
        </w:rPr>
        <w:t>PRIMERO. De la Solicitud de Información.</w:t>
      </w:r>
    </w:p>
    <w:p w14:paraId="117AC7C1" w14:textId="0FEA42C5" w:rsidR="000D134C" w:rsidRPr="00C703DC" w:rsidRDefault="000D134C" w:rsidP="005C2A3E">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C703DC">
        <w:rPr>
          <w:rFonts w:ascii="Palatino Linotype" w:eastAsia="Times New Roman" w:hAnsi="Palatino Linotype" w:cs="Palatino Linotype"/>
          <w:color w:val="000000"/>
          <w:sz w:val="24"/>
          <w:szCs w:val="24"/>
          <w:lang w:val="es-ES_tradnl" w:eastAsia="es-MX"/>
        </w:rPr>
        <w:t xml:space="preserve">Con fecha </w:t>
      </w:r>
      <w:r w:rsidR="0092771D" w:rsidRPr="00C703DC">
        <w:rPr>
          <w:rFonts w:ascii="Palatino Linotype" w:eastAsia="Times New Roman" w:hAnsi="Palatino Linotype" w:cs="Palatino Linotype"/>
          <w:color w:val="000000"/>
          <w:sz w:val="24"/>
          <w:szCs w:val="24"/>
          <w:lang w:val="es-ES_tradnl" w:eastAsia="es-MX"/>
        </w:rPr>
        <w:t>veintitrés</w:t>
      </w:r>
      <w:r w:rsidR="00273D73" w:rsidRPr="00C703DC">
        <w:rPr>
          <w:rFonts w:ascii="Palatino Linotype" w:eastAsia="Times New Roman" w:hAnsi="Palatino Linotype" w:cs="Palatino Linotype"/>
          <w:color w:val="000000"/>
          <w:sz w:val="24"/>
          <w:szCs w:val="24"/>
          <w:lang w:val="es-ES_tradnl" w:eastAsia="es-MX"/>
        </w:rPr>
        <w:t xml:space="preserve"> de septiembre</w:t>
      </w:r>
      <w:r w:rsidRPr="00C703DC">
        <w:rPr>
          <w:rFonts w:ascii="Palatino Linotype" w:eastAsia="Times New Roman" w:hAnsi="Palatino Linotype" w:cs="Palatino Linotype"/>
          <w:color w:val="000000"/>
          <w:sz w:val="24"/>
          <w:szCs w:val="24"/>
          <w:lang w:val="es-ES_tradnl" w:eastAsia="es-MX"/>
        </w:rPr>
        <w:t xml:space="preserve"> de dos mil veinticinco, el Recurrente presentó mediante el Sistema de Acceso a la Información Mexiquense (SAIMEX), solicitud de información registrada con el número de </w:t>
      </w:r>
      <w:r w:rsidRPr="00C703DC">
        <w:rPr>
          <w:rFonts w:ascii="Palatino Linotype" w:eastAsia="Times New Roman" w:hAnsi="Palatino Linotype" w:cs="Palatino Linotype"/>
          <w:sz w:val="24"/>
          <w:szCs w:val="24"/>
          <w:lang w:val="es-ES_tradnl" w:eastAsia="es-MX"/>
        </w:rPr>
        <w:t>expediente</w:t>
      </w:r>
      <w:r w:rsidRPr="00C703DC">
        <w:rPr>
          <w:rFonts w:ascii="Verdana" w:eastAsia="Times New Roman" w:hAnsi="Verdana" w:cs="Calibri"/>
          <w:b/>
          <w:bCs/>
          <w:color w:val="FF0000"/>
          <w:sz w:val="24"/>
          <w:lang w:val="es-ES_tradnl" w:eastAsia="es-MX"/>
        </w:rPr>
        <w:t> </w:t>
      </w:r>
      <w:r w:rsidRPr="00C703DC">
        <w:rPr>
          <w:color w:val="000000"/>
          <w:sz w:val="27"/>
          <w:szCs w:val="27"/>
        </w:rPr>
        <w:t> </w:t>
      </w:r>
      <w:r w:rsidRPr="00C703DC">
        <w:rPr>
          <w:rFonts w:ascii="Verdana" w:hAnsi="Verdana"/>
          <w:b/>
          <w:bCs/>
          <w:color w:val="FF0000"/>
          <w:sz w:val="20"/>
          <w:szCs w:val="20"/>
        </w:rPr>
        <w:t> </w:t>
      </w:r>
      <w:r w:rsidR="0092771D" w:rsidRPr="00C703DC">
        <w:rPr>
          <w:rFonts w:ascii="Palatino Linotype" w:hAnsi="Palatino Linotype"/>
          <w:b/>
          <w:bCs/>
          <w:sz w:val="24"/>
          <w:szCs w:val="24"/>
        </w:rPr>
        <w:t>00084/TEZOYUCA/IP/2025</w:t>
      </w:r>
      <w:r w:rsidRPr="00C703DC">
        <w:rPr>
          <w:rFonts w:ascii="Palatino Linotype" w:eastAsia="Times New Roman" w:hAnsi="Palatino Linotype" w:cs="Palatino Linotype"/>
          <w:sz w:val="24"/>
          <w:szCs w:val="24"/>
          <w:lang w:val="es-ES_tradnl" w:eastAsia="es-MX"/>
        </w:rPr>
        <w:t>,</w:t>
      </w:r>
      <w:r w:rsidRPr="00C703DC">
        <w:rPr>
          <w:rFonts w:ascii="Palatino Linotype" w:eastAsia="Times New Roman" w:hAnsi="Palatino Linotype" w:cs="Palatino Linotype"/>
          <w:b/>
          <w:sz w:val="24"/>
          <w:szCs w:val="24"/>
          <w:lang w:val="es-ES_tradnl" w:eastAsia="es-MX"/>
        </w:rPr>
        <w:t xml:space="preserve"> </w:t>
      </w:r>
      <w:r w:rsidRPr="00C703DC">
        <w:rPr>
          <w:rFonts w:ascii="Palatino Linotype" w:eastAsia="Times New Roman" w:hAnsi="Palatino Linotype" w:cs="Palatino Linotype"/>
          <w:color w:val="000000"/>
          <w:sz w:val="24"/>
          <w:szCs w:val="24"/>
          <w:lang w:val="es-ES_tradnl" w:eastAsia="es-MX"/>
        </w:rPr>
        <w:t>mediante la cual solicitó información en el tenor siguiente:</w:t>
      </w:r>
    </w:p>
    <w:p w14:paraId="2E4DF887" w14:textId="77777777" w:rsidR="000D134C" w:rsidRPr="00C703DC" w:rsidRDefault="000D134C" w:rsidP="005C2A3E">
      <w:pPr>
        <w:spacing w:after="0" w:line="360" w:lineRule="auto"/>
        <w:contextualSpacing/>
        <w:jc w:val="both"/>
        <w:rPr>
          <w:rFonts w:ascii="Palatino Linotype" w:eastAsia="Times New Roman" w:hAnsi="Palatino Linotype" w:cs="Palatino Linotype"/>
          <w:i/>
          <w:iCs/>
          <w:color w:val="000000"/>
          <w:sz w:val="24"/>
          <w:szCs w:val="24"/>
          <w:lang w:val="es-ES_tradnl" w:eastAsia="es-MX"/>
        </w:rPr>
      </w:pPr>
    </w:p>
    <w:p w14:paraId="00441C7A" w14:textId="0AE2D6ED" w:rsidR="000D134C" w:rsidRPr="00C703DC" w:rsidRDefault="000D134C" w:rsidP="005C2A3E">
      <w:pPr>
        <w:spacing w:after="0" w:line="360" w:lineRule="auto"/>
        <w:ind w:left="567" w:right="567"/>
        <w:contextualSpacing/>
        <w:jc w:val="both"/>
        <w:rPr>
          <w:rFonts w:ascii="Palatino Linotype" w:eastAsia="Times New Roman" w:hAnsi="Palatino Linotype" w:cs="Palatino Linotype"/>
          <w:i/>
          <w:color w:val="000000"/>
          <w:szCs w:val="24"/>
          <w:lang w:val="es-ES_tradnl" w:eastAsia="es-MX"/>
        </w:rPr>
      </w:pPr>
      <w:r w:rsidRPr="00C703DC">
        <w:rPr>
          <w:rFonts w:ascii="Palatino Linotype" w:eastAsia="Times New Roman" w:hAnsi="Palatino Linotype" w:cs="Palatino Linotype"/>
          <w:i/>
          <w:iCs/>
          <w:color w:val="000000"/>
          <w:sz w:val="24"/>
          <w:szCs w:val="24"/>
          <w:lang w:val="es-ES_tradnl" w:eastAsia="es-MX"/>
        </w:rPr>
        <w:t>“</w:t>
      </w:r>
      <w:r w:rsidR="0092771D" w:rsidRPr="00C703DC">
        <w:rPr>
          <w:rFonts w:ascii="Palatino Linotype" w:hAnsi="Palatino Linotype"/>
          <w:i/>
          <w:color w:val="000000"/>
          <w:sz w:val="24"/>
          <w:szCs w:val="24"/>
        </w:rPr>
        <w:t xml:space="preserve">Se informe por este medio, </w:t>
      </w:r>
      <w:proofErr w:type="spellStart"/>
      <w:r w:rsidR="0092771D" w:rsidRPr="00C703DC">
        <w:rPr>
          <w:rFonts w:ascii="Palatino Linotype" w:hAnsi="Palatino Linotype"/>
          <w:i/>
          <w:color w:val="000000"/>
          <w:sz w:val="24"/>
          <w:szCs w:val="24"/>
        </w:rPr>
        <w:t>cuales</w:t>
      </w:r>
      <w:proofErr w:type="spellEnd"/>
      <w:r w:rsidR="0092771D" w:rsidRPr="00C703DC">
        <w:rPr>
          <w:rFonts w:ascii="Palatino Linotype" w:hAnsi="Palatino Linotype"/>
          <w:i/>
          <w:color w:val="000000"/>
          <w:sz w:val="24"/>
          <w:szCs w:val="24"/>
        </w:rPr>
        <w:t xml:space="preserve"> fueron los recursos económicos que ingresaron por la Feria denominada del Maíz 2025, específicamente se me informe cuánto dinero entro a Delegación y/o </w:t>
      </w:r>
      <w:proofErr w:type="spellStart"/>
      <w:r w:rsidR="0092771D" w:rsidRPr="00C703DC">
        <w:rPr>
          <w:rFonts w:ascii="Palatino Linotype" w:hAnsi="Palatino Linotype"/>
          <w:i/>
          <w:color w:val="000000"/>
          <w:sz w:val="24"/>
          <w:szCs w:val="24"/>
        </w:rPr>
        <w:t>Copaci</w:t>
      </w:r>
      <w:proofErr w:type="spellEnd"/>
      <w:r w:rsidR="0092771D" w:rsidRPr="00C703DC">
        <w:rPr>
          <w:rFonts w:ascii="Palatino Linotype" w:hAnsi="Palatino Linotype"/>
          <w:i/>
          <w:color w:val="000000"/>
          <w:sz w:val="24"/>
          <w:szCs w:val="24"/>
        </w:rPr>
        <w:t xml:space="preserve"> de Tequisistlán, se desglose por rubro, es decir, cuánto dinero entro por puestos de bebidas alcohólicas, cuánto dinero entro por alimentos y cuánto dinero entro por otros puestos distintos a los mencionados, a partir del viernes 22 de </w:t>
      </w:r>
      <w:r w:rsidR="0092771D" w:rsidRPr="00C703DC">
        <w:rPr>
          <w:rFonts w:ascii="Palatino Linotype" w:hAnsi="Palatino Linotype"/>
          <w:i/>
          <w:color w:val="000000"/>
          <w:sz w:val="24"/>
          <w:szCs w:val="24"/>
        </w:rPr>
        <w:lastRenderedPageBreak/>
        <w:t xml:space="preserve">agosto al domingo 31 de agosto, quien fue la encargada o encargado de recolectar dicha contribución y quien es la persona encargada de resguardar el recurso económico. Sabedor de que son autoridades auxiliares, esta información debe ser solicitada por la Dirección, coordinación o Departamento correspondiente del Ayuntamiento de Tezoyuca, que sea encargado del cumplimiento de las obligaciones de las autoridades auxiliares, y ser entregada al </w:t>
      </w:r>
      <w:proofErr w:type="spellStart"/>
      <w:r w:rsidR="0092771D" w:rsidRPr="00C703DC">
        <w:rPr>
          <w:rFonts w:ascii="Palatino Linotype" w:hAnsi="Palatino Linotype"/>
          <w:i/>
          <w:color w:val="000000"/>
          <w:sz w:val="24"/>
          <w:szCs w:val="24"/>
        </w:rPr>
        <w:t>suscrrito</w:t>
      </w:r>
      <w:proofErr w:type="spellEnd"/>
      <w:r w:rsidR="0092771D" w:rsidRPr="00C703DC">
        <w:rPr>
          <w:rFonts w:ascii="Palatino Linotype" w:hAnsi="Palatino Linotype"/>
          <w:i/>
          <w:color w:val="000000"/>
          <w:sz w:val="24"/>
          <w:szCs w:val="24"/>
        </w:rPr>
        <w:t xml:space="preserve"> por este medio.</w:t>
      </w:r>
      <w:r w:rsidRPr="00C703DC">
        <w:rPr>
          <w:rFonts w:ascii="Palatino Linotype" w:hAnsi="Palatino Linotype"/>
          <w:i/>
          <w:iCs/>
          <w:color w:val="000000"/>
          <w:sz w:val="24"/>
          <w:szCs w:val="24"/>
        </w:rPr>
        <w:t>”</w:t>
      </w:r>
      <w:r w:rsidRPr="00C703DC">
        <w:rPr>
          <w:rFonts w:ascii="Verdana" w:hAnsi="Verdana"/>
          <w:color w:val="000000"/>
          <w:sz w:val="14"/>
          <w:szCs w:val="14"/>
        </w:rPr>
        <w:t xml:space="preserve"> </w:t>
      </w:r>
      <w:r w:rsidRPr="00C703DC">
        <w:rPr>
          <w:rFonts w:ascii="Palatino Linotype" w:eastAsia="Times New Roman" w:hAnsi="Palatino Linotype" w:cs="Palatino Linotype"/>
          <w:i/>
          <w:color w:val="000000"/>
          <w:szCs w:val="24"/>
          <w:lang w:val="es-ES_tradnl" w:eastAsia="es-MX"/>
        </w:rPr>
        <w:t xml:space="preserve"> (Sic)</w:t>
      </w:r>
    </w:p>
    <w:p w14:paraId="50052818" w14:textId="77777777" w:rsidR="00273D73" w:rsidRPr="00C703DC" w:rsidRDefault="00273D73" w:rsidP="005C2A3E">
      <w:pPr>
        <w:spacing w:after="0" w:line="360" w:lineRule="auto"/>
        <w:ind w:left="567" w:right="567"/>
        <w:contextualSpacing/>
        <w:jc w:val="both"/>
        <w:rPr>
          <w:rFonts w:ascii="Palatino Linotype" w:eastAsia="Times New Roman" w:hAnsi="Palatino Linotype" w:cs="Palatino Linotype"/>
          <w:i/>
          <w:color w:val="000000"/>
          <w:szCs w:val="24"/>
          <w:lang w:val="es-ES_tradnl" w:eastAsia="es-MX"/>
        </w:rPr>
      </w:pPr>
    </w:p>
    <w:p w14:paraId="70E00E43" w14:textId="77777777" w:rsidR="000D134C" w:rsidRPr="00C703DC" w:rsidRDefault="000D134C" w:rsidP="005C2A3E">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C703DC">
        <w:rPr>
          <w:rFonts w:ascii="Palatino Linotype" w:eastAsia="Times New Roman" w:hAnsi="Palatino Linotype" w:cs="Palatino Linotype"/>
          <w:color w:val="000000"/>
          <w:sz w:val="24"/>
          <w:szCs w:val="24"/>
          <w:lang w:val="es-ES_tradnl" w:eastAsia="es-MX"/>
        </w:rPr>
        <w:t xml:space="preserve">Modalidad de entrega: </w:t>
      </w:r>
      <w:r w:rsidRPr="00C703DC">
        <w:rPr>
          <w:rFonts w:ascii="Palatino Linotype" w:eastAsia="Times New Roman" w:hAnsi="Palatino Linotype" w:cs="Palatino Linotype"/>
          <w:b/>
          <w:color w:val="000000"/>
          <w:sz w:val="24"/>
          <w:szCs w:val="24"/>
          <w:lang w:val="es-ES_tradnl" w:eastAsia="es-MX"/>
        </w:rPr>
        <w:t>A través del SAIMEX</w:t>
      </w:r>
      <w:r w:rsidRPr="00C703DC">
        <w:rPr>
          <w:rFonts w:ascii="Palatino Linotype" w:eastAsia="Times New Roman" w:hAnsi="Palatino Linotype" w:cs="Palatino Linotype"/>
          <w:color w:val="000000"/>
          <w:sz w:val="24"/>
          <w:szCs w:val="24"/>
          <w:lang w:val="es-ES_tradnl" w:eastAsia="es-MX"/>
        </w:rPr>
        <w:t>.</w:t>
      </w:r>
    </w:p>
    <w:p w14:paraId="5E901DFE" w14:textId="77777777" w:rsidR="000D134C" w:rsidRPr="00C703DC" w:rsidRDefault="000D134C" w:rsidP="005C2A3E">
      <w:pPr>
        <w:spacing w:after="0" w:line="360" w:lineRule="auto"/>
        <w:contextualSpacing/>
        <w:jc w:val="both"/>
        <w:rPr>
          <w:rFonts w:ascii="Palatino Linotype" w:eastAsia="Times New Roman" w:hAnsi="Palatino Linotype" w:cs="Palatino Linotype"/>
          <w:b/>
          <w:color w:val="000000"/>
          <w:sz w:val="24"/>
          <w:szCs w:val="24"/>
          <w:lang w:val="es-ES_tradnl" w:eastAsia="es-MX"/>
        </w:rPr>
      </w:pPr>
    </w:p>
    <w:p w14:paraId="59DB8AA4" w14:textId="77777777" w:rsidR="000D134C" w:rsidRPr="00C703DC" w:rsidRDefault="000D134C" w:rsidP="005C2A3E">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C703DC">
        <w:rPr>
          <w:rFonts w:ascii="Palatino Linotype" w:eastAsia="Times New Roman" w:hAnsi="Palatino Linotype" w:cs="Times New Roman"/>
          <w:b/>
          <w:color w:val="000000" w:themeColor="text1"/>
          <w:sz w:val="28"/>
          <w:szCs w:val="28"/>
          <w:lang w:val="es-ES_tradnl" w:eastAsia="es-MX"/>
        </w:rPr>
        <w:t>SEGUNDO. De la respuesta del Sujeto Obligado.</w:t>
      </w:r>
    </w:p>
    <w:p w14:paraId="7B0B26F1" w14:textId="647AE2C2" w:rsidR="000D134C" w:rsidRPr="00C703DC" w:rsidRDefault="000D134C" w:rsidP="005C2A3E">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C703DC">
        <w:rPr>
          <w:rFonts w:ascii="Palatino Linotype" w:eastAsia="Times New Roman" w:hAnsi="Palatino Linotype" w:cs="Palatino Linotype"/>
          <w:color w:val="000000"/>
          <w:sz w:val="24"/>
          <w:szCs w:val="24"/>
          <w:lang w:val="es-ES_tradnl" w:eastAsia="es-MX"/>
        </w:rPr>
        <w:t xml:space="preserve">De las constancias que obran en el expediente electrónico, se observa que el </w:t>
      </w:r>
      <w:r w:rsidR="0092771D" w:rsidRPr="00C703DC">
        <w:rPr>
          <w:rFonts w:ascii="Palatino Linotype" w:eastAsia="Times New Roman" w:hAnsi="Palatino Linotype" w:cs="Palatino Linotype"/>
          <w:color w:val="000000"/>
          <w:sz w:val="24"/>
          <w:szCs w:val="24"/>
          <w:lang w:val="es-ES_tradnl" w:eastAsia="es-MX"/>
        </w:rPr>
        <w:t>nueve</w:t>
      </w:r>
      <w:r w:rsidR="00273D73" w:rsidRPr="00C703DC">
        <w:rPr>
          <w:rFonts w:ascii="Palatino Linotype" w:eastAsia="Times New Roman" w:hAnsi="Palatino Linotype" w:cs="Palatino Linotype"/>
          <w:color w:val="000000"/>
          <w:sz w:val="24"/>
          <w:szCs w:val="24"/>
          <w:lang w:val="es-ES_tradnl" w:eastAsia="es-MX"/>
        </w:rPr>
        <w:t xml:space="preserve"> de octubre </w:t>
      </w:r>
      <w:r w:rsidRPr="00C703DC">
        <w:rPr>
          <w:rFonts w:ascii="Palatino Linotype" w:eastAsia="Times New Roman" w:hAnsi="Palatino Linotype" w:cs="Palatino Linotype"/>
          <w:color w:val="000000"/>
          <w:sz w:val="24"/>
          <w:szCs w:val="24"/>
          <w:lang w:val="es-ES_tradnl" w:eastAsia="es-MX"/>
        </w:rPr>
        <w:t>de dos mil veinticinco, el Sujeto Obligado dio respuesta a la solicitud de informa</w:t>
      </w:r>
      <w:r w:rsidR="00273D73" w:rsidRPr="00C703DC">
        <w:rPr>
          <w:rFonts w:ascii="Palatino Linotype" w:eastAsia="Times New Roman" w:hAnsi="Palatino Linotype" w:cs="Palatino Linotype"/>
          <w:color w:val="000000"/>
          <w:sz w:val="24"/>
          <w:szCs w:val="24"/>
          <w:lang w:val="es-ES_tradnl" w:eastAsia="es-MX"/>
        </w:rPr>
        <w:t>ción manifestando lo siguiente:</w:t>
      </w:r>
    </w:p>
    <w:p w14:paraId="7B2DBEFA" w14:textId="77777777" w:rsidR="002F11B1" w:rsidRPr="00C703DC" w:rsidRDefault="002F11B1" w:rsidP="005C2A3E">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2072C732" w14:textId="71070512" w:rsidR="002F11B1" w:rsidRPr="00C703DC" w:rsidRDefault="002F11B1" w:rsidP="005C2A3E">
      <w:pPr>
        <w:spacing w:after="0" w:line="360" w:lineRule="auto"/>
        <w:ind w:left="567" w:right="567"/>
        <w:contextualSpacing/>
        <w:jc w:val="right"/>
        <w:rPr>
          <w:rFonts w:ascii="Palatino Linotype" w:eastAsia="Times New Roman" w:hAnsi="Palatino Linotype" w:cs="Palatino Linotype"/>
          <w:i/>
          <w:color w:val="000000"/>
          <w:sz w:val="24"/>
          <w:szCs w:val="24"/>
          <w:lang w:val="es-ES_tradnl" w:eastAsia="es-MX"/>
        </w:rPr>
      </w:pPr>
      <w:r w:rsidRPr="00C703DC">
        <w:rPr>
          <w:rFonts w:ascii="Palatino Linotype" w:eastAsia="Times New Roman" w:hAnsi="Palatino Linotype" w:cs="Palatino Linotype"/>
          <w:i/>
          <w:color w:val="000000"/>
          <w:sz w:val="24"/>
          <w:szCs w:val="24"/>
          <w:lang w:val="es-ES_tradnl" w:eastAsia="es-MX"/>
        </w:rPr>
        <w:t>“Folio de la solicitud: 00084/TEZOYUCA/IP/2025</w:t>
      </w:r>
    </w:p>
    <w:p w14:paraId="2504705D" w14:textId="77777777" w:rsidR="002F11B1" w:rsidRPr="00C703DC" w:rsidRDefault="002F11B1" w:rsidP="005C2A3E">
      <w:pPr>
        <w:spacing w:after="0" w:line="360" w:lineRule="auto"/>
        <w:ind w:left="567" w:right="567"/>
        <w:contextualSpacing/>
        <w:jc w:val="both"/>
        <w:rPr>
          <w:rFonts w:ascii="Palatino Linotype" w:eastAsia="Times New Roman" w:hAnsi="Palatino Linotype" w:cs="Palatino Linotype"/>
          <w:i/>
          <w:color w:val="000000"/>
          <w:sz w:val="24"/>
          <w:szCs w:val="24"/>
          <w:lang w:val="es-ES_tradnl" w:eastAsia="es-MX"/>
        </w:rPr>
      </w:pPr>
    </w:p>
    <w:p w14:paraId="6E50887A" w14:textId="77777777" w:rsidR="002F11B1" w:rsidRPr="00C703DC" w:rsidRDefault="002F11B1" w:rsidP="005C2A3E">
      <w:pPr>
        <w:spacing w:after="0" w:line="360" w:lineRule="auto"/>
        <w:ind w:left="567" w:right="567"/>
        <w:contextualSpacing/>
        <w:jc w:val="both"/>
        <w:rPr>
          <w:rFonts w:ascii="Palatino Linotype" w:eastAsia="Times New Roman" w:hAnsi="Palatino Linotype" w:cs="Palatino Linotype"/>
          <w:i/>
          <w:color w:val="000000"/>
          <w:sz w:val="24"/>
          <w:szCs w:val="24"/>
          <w:lang w:val="es-ES_tradnl" w:eastAsia="es-MX"/>
        </w:rPr>
      </w:pPr>
      <w:r w:rsidRPr="00C703DC">
        <w:rPr>
          <w:rFonts w:ascii="Palatino Linotype" w:eastAsia="Times New Roman" w:hAnsi="Palatino Linotype" w:cs="Palatino Linotype"/>
          <w:i/>
          <w:color w:val="000000"/>
          <w:sz w:val="24"/>
          <w:szCs w:val="24"/>
          <w:lang w:val="es-ES_tradnl"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65756DC" w14:textId="77777777" w:rsidR="002F11B1" w:rsidRPr="00C703DC" w:rsidRDefault="002F11B1" w:rsidP="005C2A3E">
      <w:pPr>
        <w:spacing w:after="0" w:line="360" w:lineRule="auto"/>
        <w:ind w:left="567" w:right="567"/>
        <w:contextualSpacing/>
        <w:jc w:val="both"/>
        <w:rPr>
          <w:rFonts w:ascii="Palatino Linotype" w:eastAsia="Times New Roman" w:hAnsi="Palatino Linotype" w:cs="Palatino Linotype"/>
          <w:i/>
          <w:color w:val="000000"/>
          <w:sz w:val="24"/>
          <w:szCs w:val="24"/>
          <w:lang w:val="es-ES_tradnl" w:eastAsia="es-MX"/>
        </w:rPr>
      </w:pPr>
    </w:p>
    <w:p w14:paraId="22909CD2" w14:textId="77777777" w:rsidR="002F11B1" w:rsidRPr="00C703DC" w:rsidRDefault="002F11B1" w:rsidP="005C2A3E">
      <w:pPr>
        <w:spacing w:after="0" w:line="360" w:lineRule="auto"/>
        <w:ind w:left="567" w:right="567"/>
        <w:contextualSpacing/>
        <w:jc w:val="both"/>
        <w:rPr>
          <w:rFonts w:ascii="Palatino Linotype" w:eastAsia="Times New Roman" w:hAnsi="Palatino Linotype" w:cs="Palatino Linotype"/>
          <w:i/>
          <w:color w:val="000000"/>
          <w:sz w:val="24"/>
          <w:szCs w:val="24"/>
          <w:lang w:val="es-ES_tradnl" w:eastAsia="es-MX"/>
        </w:rPr>
      </w:pPr>
      <w:r w:rsidRPr="00C703DC">
        <w:rPr>
          <w:rFonts w:ascii="Palatino Linotype" w:eastAsia="Times New Roman" w:hAnsi="Palatino Linotype" w:cs="Palatino Linotype"/>
          <w:i/>
          <w:color w:val="000000"/>
          <w:sz w:val="24"/>
          <w:szCs w:val="24"/>
          <w:lang w:val="es-ES_tradnl" w:eastAsia="es-MX"/>
        </w:rPr>
        <w:t>C. SOLICITANTE PRESENTE. Por este conducto y atendiendo a su solicitud de información, me permito enviarle el archivo de respuesta.</w:t>
      </w:r>
    </w:p>
    <w:p w14:paraId="4FABFCCE" w14:textId="77777777" w:rsidR="002F11B1" w:rsidRPr="00C703DC" w:rsidRDefault="002F11B1" w:rsidP="005C2A3E">
      <w:pPr>
        <w:spacing w:after="0" w:line="360" w:lineRule="auto"/>
        <w:ind w:left="567" w:right="567"/>
        <w:contextualSpacing/>
        <w:jc w:val="both"/>
        <w:rPr>
          <w:rFonts w:ascii="Palatino Linotype" w:eastAsia="Times New Roman" w:hAnsi="Palatino Linotype" w:cs="Palatino Linotype"/>
          <w:i/>
          <w:color w:val="000000"/>
          <w:sz w:val="24"/>
          <w:szCs w:val="24"/>
          <w:lang w:val="es-ES_tradnl" w:eastAsia="es-MX"/>
        </w:rPr>
      </w:pPr>
    </w:p>
    <w:p w14:paraId="20DCD85E" w14:textId="77777777" w:rsidR="002F11B1" w:rsidRPr="00C703DC" w:rsidRDefault="002F11B1" w:rsidP="005C2A3E">
      <w:pPr>
        <w:spacing w:after="0" w:line="360" w:lineRule="auto"/>
        <w:ind w:left="567" w:right="567"/>
        <w:contextualSpacing/>
        <w:jc w:val="both"/>
        <w:rPr>
          <w:rFonts w:ascii="Palatino Linotype" w:eastAsia="Times New Roman" w:hAnsi="Palatino Linotype" w:cs="Palatino Linotype"/>
          <w:i/>
          <w:color w:val="000000"/>
          <w:sz w:val="24"/>
          <w:szCs w:val="24"/>
          <w:lang w:val="es-ES_tradnl" w:eastAsia="es-MX"/>
        </w:rPr>
      </w:pPr>
      <w:r w:rsidRPr="00C703DC">
        <w:rPr>
          <w:rFonts w:ascii="Palatino Linotype" w:eastAsia="Times New Roman" w:hAnsi="Palatino Linotype" w:cs="Palatino Linotype"/>
          <w:i/>
          <w:color w:val="000000"/>
          <w:sz w:val="24"/>
          <w:szCs w:val="24"/>
          <w:lang w:val="es-ES_tradnl" w:eastAsia="es-MX"/>
        </w:rPr>
        <w:lastRenderedPageBreak/>
        <w:t>ATENTAMENTE</w:t>
      </w:r>
    </w:p>
    <w:p w14:paraId="595A0BEF" w14:textId="381AE771" w:rsidR="002F11B1" w:rsidRPr="00C703DC" w:rsidRDefault="002F11B1" w:rsidP="005C2A3E">
      <w:pPr>
        <w:spacing w:after="0" w:line="360" w:lineRule="auto"/>
        <w:ind w:left="567" w:right="567"/>
        <w:contextualSpacing/>
        <w:jc w:val="both"/>
        <w:rPr>
          <w:rFonts w:ascii="Palatino Linotype" w:eastAsia="Times New Roman" w:hAnsi="Palatino Linotype" w:cs="Palatino Linotype"/>
          <w:i/>
          <w:color w:val="000000"/>
          <w:sz w:val="24"/>
          <w:szCs w:val="24"/>
          <w:lang w:val="es-ES_tradnl" w:eastAsia="es-MX"/>
        </w:rPr>
      </w:pPr>
      <w:r w:rsidRPr="00C703DC">
        <w:rPr>
          <w:rFonts w:ascii="Palatino Linotype" w:eastAsia="Times New Roman" w:hAnsi="Palatino Linotype" w:cs="Palatino Linotype"/>
          <w:i/>
          <w:color w:val="000000"/>
          <w:sz w:val="24"/>
          <w:szCs w:val="24"/>
          <w:lang w:val="es-ES_tradnl" w:eastAsia="es-MX"/>
        </w:rPr>
        <w:t>Lic. Diana Cecilia García Toral” (sic)</w:t>
      </w:r>
    </w:p>
    <w:p w14:paraId="75E1DFD6" w14:textId="77777777" w:rsidR="000D134C" w:rsidRPr="00C703DC" w:rsidRDefault="000D134C" w:rsidP="005C2A3E">
      <w:pPr>
        <w:spacing w:after="0" w:line="360" w:lineRule="auto"/>
        <w:contextualSpacing/>
        <w:jc w:val="both"/>
        <w:rPr>
          <w:rFonts w:ascii="Palatino Linotype" w:eastAsia="Times New Roman" w:hAnsi="Palatino Linotype" w:cs="Palatino Linotype"/>
          <w:i/>
          <w:color w:val="000000"/>
          <w:lang w:val="es-ES_tradnl" w:eastAsia="es-MX"/>
        </w:rPr>
      </w:pPr>
    </w:p>
    <w:p w14:paraId="75551158" w14:textId="7749560E" w:rsidR="000D134C" w:rsidRPr="00C703DC" w:rsidRDefault="000D134C" w:rsidP="005C2A3E">
      <w:pPr>
        <w:spacing w:after="0" w:line="360" w:lineRule="auto"/>
        <w:contextualSpacing/>
        <w:jc w:val="both"/>
        <w:rPr>
          <w:rFonts w:ascii="Palatino Linotype" w:hAnsi="Palatino Linotype" w:cs="Arial"/>
          <w:b/>
          <w:bCs/>
          <w:i/>
          <w:sz w:val="24"/>
          <w:szCs w:val="24"/>
        </w:rPr>
      </w:pPr>
      <w:r w:rsidRPr="00C703DC">
        <w:rPr>
          <w:rFonts w:ascii="Palatino Linotype" w:eastAsia="Times New Roman" w:hAnsi="Palatino Linotype" w:cs="Palatino Linotype"/>
          <w:color w:val="000000"/>
          <w:sz w:val="24"/>
          <w:szCs w:val="24"/>
          <w:lang w:val="es-ES_tradnl" w:eastAsia="es-MX"/>
        </w:rPr>
        <w:t xml:space="preserve">El Sujeto Obligado adjuntó a su respuesta los documentos denominados </w:t>
      </w:r>
      <w:r w:rsidRPr="00C703DC">
        <w:rPr>
          <w:rFonts w:ascii="Palatino Linotype" w:eastAsia="Times New Roman" w:hAnsi="Palatino Linotype" w:cs="Palatino Linotype"/>
          <w:i/>
          <w:sz w:val="24"/>
          <w:szCs w:val="24"/>
          <w:lang w:val="es-ES_tradnl" w:eastAsia="es-MX"/>
        </w:rPr>
        <w:t>“</w:t>
      </w:r>
      <w:r w:rsidR="002F11B1" w:rsidRPr="00C703DC">
        <w:rPr>
          <w:rFonts w:ascii="Palatino Linotype" w:hAnsi="Palatino Linotype" w:cs="Arial"/>
          <w:b/>
          <w:bCs/>
          <w:i/>
          <w:sz w:val="24"/>
          <w:szCs w:val="24"/>
        </w:rPr>
        <w:t>RESPUESTA</w:t>
      </w:r>
      <w:proofErr w:type="gramStart"/>
      <w:r w:rsidR="002F11B1" w:rsidRPr="00C703DC">
        <w:rPr>
          <w:rFonts w:ascii="Palatino Linotype" w:hAnsi="Palatino Linotype" w:cs="Arial"/>
          <w:b/>
          <w:bCs/>
          <w:i/>
          <w:sz w:val="24"/>
          <w:szCs w:val="24"/>
        </w:rPr>
        <w:t>..</w:t>
      </w:r>
      <w:proofErr w:type="spellStart"/>
      <w:r w:rsidR="002F11B1" w:rsidRPr="00C703DC">
        <w:rPr>
          <w:rFonts w:ascii="Palatino Linotype" w:hAnsi="Palatino Linotype" w:cs="Arial"/>
          <w:b/>
          <w:bCs/>
          <w:i/>
          <w:sz w:val="24"/>
          <w:szCs w:val="24"/>
        </w:rPr>
        <w:t>pdf</w:t>
      </w:r>
      <w:proofErr w:type="spellEnd"/>
      <w:proofErr w:type="gramEnd"/>
      <w:r w:rsidRPr="00C703DC">
        <w:rPr>
          <w:rFonts w:ascii="Palatino Linotype" w:hAnsi="Palatino Linotype" w:cs="Arial"/>
          <w:b/>
          <w:bCs/>
          <w:i/>
          <w:iCs/>
          <w:sz w:val="24"/>
          <w:szCs w:val="24"/>
        </w:rPr>
        <w:t>”</w:t>
      </w:r>
      <w:r w:rsidRPr="00C703DC">
        <w:rPr>
          <w:rFonts w:ascii="Palatino Linotype" w:hAnsi="Palatino Linotype" w:cs="Arial"/>
          <w:b/>
          <w:bCs/>
          <w:i/>
          <w:sz w:val="24"/>
          <w:szCs w:val="24"/>
        </w:rPr>
        <w:t>,</w:t>
      </w:r>
      <w:r w:rsidRPr="00C703DC">
        <w:rPr>
          <w:rFonts w:ascii="Palatino Linotype" w:hAnsi="Palatino Linotype" w:cs="Arial"/>
          <w:b/>
          <w:bCs/>
          <w:sz w:val="24"/>
          <w:szCs w:val="24"/>
        </w:rPr>
        <w:t xml:space="preserve"> </w:t>
      </w:r>
      <w:r w:rsidRPr="00C703DC">
        <w:rPr>
          <w:rFonts w:ascii="Palatino Linotype" w:hAnsi="Palatino Linotype" w:cs="Arial"/>
          <w:bCs/>
          <w:sz w:val="24"/>
          <w:szCs w:val="24"/>
        </w:rPr>
        <w:t xml:space="preserve">los cuales </w:t>
      </w:r>
      <w:r w:rsidRPr="00C703DC">
        <w:rPr>
          <w:rFonts w:ascii="Palatino Linotype" w:eastAsia="Times New Roman" w:hAnsi="Palatino Linotype" w:cs="Palatino Linotype"/>
          <w:color w:val="000000"/>
          <w:sz w:val="24"/>
          <w:szCs w:val="24"/>
          <w:lang w:val="es-ES_tradnl" w:eastAsia="es-MX"/>
        </w:rPr>
        <w:t>no se reproducen por ser del conocimiento de las partes; no obstante, su contenido será motivo de análisis en el estudio correspondiente.</w:t>
      </w:r>
    </w:p>
    <w:p w14:paraId="5B875FDE" w14:textId="77777777" w:rsidR="000D134C" w:rsidRPr="00C703DC" w:rsidRDefault="000D134C" w:rsidP="005C2A3E">
      <w:pPr>
        <w:spacing w:after="0" w:line="360" w:lineRule="auto"/>
        <w:contextualSpacing/>
        <w:jc w:val="both"/>
        <w:rPr>
          <w:rFonts w:ascii="Palatino Linotype" w:hAnsi="Palatino Linotype"/>
          <w:sz w:val="24"/>
          <w:szCs w:val="24"/>
        </w:rPr>
      </w:pPr>
    </w:p>
    <w:p w14:paraId="7375AE13" w14:textId="77777777" w:rsidR="000D134C" w:rsidRPr="00C703DC" w:rsidRDefault="000D134C" w:rsidP="005C2A3E">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C703DC">
        <w:rPr>
          <w:rFonts w:ascii="Palatino Linotype" w:eastAsia="Times New Roman" w:hAnsi="Palatino Linotype" w:cs="Times New Roman"/>
          <w:b/>
          <w:color w:val="000000" w:themeColor="text1"/>
          <w:sz w:val="28"/>
          <w:szCs w:val="28"/>
          <w:lang w:val="es-ES_tradnl" w:eastAsia="es-MX"/>
        </w:rPr>
        <w:t>TERCERO. Del recurso de revisión.</w:t>
      </w:r>
    </w:p>
    <w:p w14:paraId="04A3F45C" w14:textId="1F29F0DE" w:rsidR="000D134C" w:rsidRPr="00C703DC" w:rsidRDefault="000D134C" w:rsidP="005C2A3E">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C703DC">
        <w:rPr>
          <w:rFonts w:ascii="Palatino Linotype" w:eastAsia="Times New Roman" w:hAnsi="Palatino Linotype" w:cs="Palatino Linotype"/>
          <w:color w:val="000000"/>
          <w:sz w:val="24"/>
          <w:szCs w:val="24"/>
          <w:lang w:val="es-ES_tradnl" w:eastAsia="es-MX"/>
        </w:rPr>
        <w:t xml:space="preserve">Inconforme con la respuesta emitida por el Sujeto Obligado, el Recurrente interpuso el presente recurso de revisión el día </w:t>
      </w:r>
      <w:r w:rsidR="002F11B1" w:rsidRPr="00C703DC">
        <w:rPr>
          <w:rFonts w:ascii="Palatino Linotype" w:eastAsia="Times New Roman" w:hAnsi="Palatino Linotype" w:cs="Palatino Linotype"/>
          <w:color w:val="000000"/>
          <w:sz w:val="24"/>
          <w:szCs w:val="24"/>
          <w:lang w:val="es-ES_tradnl" w:eastAsia="es-MX"/>
        </w:rPr>
        <w:t>veintiocho de octubre</w:t>
      </w:r>
      <w:r w:rsidRPr="00C703DC">
        <w:rPr>
          <w:rFonts w:ascii="Palatino Linotype" w:eastAsia="Times New Roman" w:hAnsi="Palatino Linotype" w:cs="Palatino Linotype"/>
          <w:color w:val="000000"/>
          <w:sz w:val="24"/>
          <w:szCs w:val="24"/>
          <w:lang w:val="es-ES_tradnl" w:eastAsia="es-MX"/>
        </w:rPr>
        <w:t xml:space="preserve"> de dos mil veinticinco, el cual se registró con el expediente número </w:t>
      </w:r>
      <w:r w:rsidR="002F11B1" w:rsidRPr="00C703DC">
        <w:rPr>
          <w:rFonts w:ascii="Palatino Linotype" w:eastAsia="Times New Roman" w:hAnsi="Palatino Linotype" w:cs="Palatino Linotype"/>
          <w:b/>
          <w:color w:val="000000"/>
          <w:sz w:val="24"/>
          <w:szCs w:val="24"/>
          <w:lang w:val="es-ES_tradnl" w:eastAsia="es-MX"/>
        </w:rPr>
        <w:t>12325</w:t>
      </w:r>
      <w:r w:rsidRPr="00C703DC">
        <w:rPr>
          <w:rFonts w:ascii="Palatino Linotype" w:eastAsia="Times New Roman" w:hAnsi="Palatino Linotype" w:cs="Palatino Linotype"/>
          <w:b/>
          <w:color w:val="000000"/>
          <w:sz w:val="24"/>
          <w:szCs w:val="24"/>
          <w:lang w:val="es-ES_tradnl" w:eastAsia="es-MX"/>
        </w:rPr>
        <w:t>/INFOEM/IP/RR/2025</w:t>
      </w:r>
      <w:r w:rsidRPr="00C703DC">
        <w:rPr>
          <w:rFonts w:ascii="Palatino Linotype" w:eastAsia="Times New Roman" w:hAnsi="Palatino Linotype" w:cs="Palatino Linotype"/>
          <w:color w:val="000000"/>
          <w:sz w:val="24"/>
          <w:szCs w:val="24"/>
          <w:lang w:val="es-ES_tradnl" w:eastAsia="es-MX"/>
        </w:rPr>
        <w:t>, manifestando lo siguiente:</w:t>
      </w:r>
    </w:p>
    <w:p w14:paraId="6283396E" w14:textId="77777777" w:rsidR="002F11B1" w:rsidRPr="00C703DC" w:rsidRDefault="002F11B1" w:rsidP="005C2A3E">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20E21ECD" w14:textId="77777777" w:rsidR="000D134C" w:rsidRPr="00C703DC" w:rsidRDefault="000D134C" w:rsidP="005C2A3E">
      <w:pPr>
        <w:pStyle w:val="Prrafodelista"/>
        <w:numPr>
          <w:ilvl w:val="0"/>
          <w:numId w:val="2"/>
        </w:numPr>
        <w:spacing w:after="0" w:line="360" w:lineRule="auto"/>
        <w:ind w:right="567"/>
        <w:jc w:val="both"/>
        <w:rPr>
          <w:rFonts w:ascii="Palatino Linotype" w:hAnsi="Palatino Linotype"/>
          <w:i/>
          <w:color w:val="000000"/>
          <w:sz w:val="24"/>
          <w:szCs w:val="24"/>
        </w:rPr>
      </w:pPr>
      <w:r w:rsidRPr="00C703DC">
        <w:rPr>
          <w:rFonts w:ascii="Palatino Linotype" w:hAnsi="Palatino Linotype" w:cs="Palatino Linotype"/>
          <w:b/>
          <w:i/>
          <w:sz w:val="24"/>
          <w:szCs w:val="24"/>
          <w:lang w:val="es-ES_tradnl" w:eastAsia="es-MX"/>
        </w:rPr>
        <w:t xml:space="preserve">Acto Impugnado y </w:t>
      </w:r>
    </w:p>
    <w:p w14:paraId="1DC46CDA" w14:textId="7F1DC350" w:rsidR="000D134C" w:rsidRPr="00C703DC" w:rsidRDefault="000D134C" w:rsidP="005C2A3E">
      <w:pPr>
        <w:spacing w:after="0"/>
        <w:ind w:left="425"/>
        <w:jc w:val="both"/>
        <w:rPr>
          <w:rFonts w:ascii="Times New Roman" w:eastAsia="Times New Roman" w:hAnsi="Times New Roman" w:cs="Times New Roman"/>
          <w:sz w:val="24"/>
          <w:szCs w:val="24"/>
          <w:lang w:eastAsia="es-MX"/>
        </w:rPr>
      </w:pPr>
      <w:r w:rsidRPr="00C703DC">
        <w:rPr>
          <w:rFonts w:ascii="Palatino Linotype" w:hAnsi="Palatino Linotype"/>
          <w:i/>
          <w:iCs/>
          <w:color w:val="000000"/>
          <w:sz w:val="24"/>
          <w:szCs w:val="24"/>
        </w:rPr>
        <w:t>“</w:t>
      </w:r>
      <w:r w:rsidR="002F11B1" w:rsidRPr="00C703DC">
        <w:rPr>
          <w:rFonts w:ascii="Palatino Linotype" w:hAnsi="Palatino Linotype"/>
          <w:i/>
          <w:iCs/>
          <w:color w:val="000000"/>
          <w:sz w:val="24"/>
          <w:szCs w:val="24"/>
        </w:rPr>
        <w:t>l</w:t>
      </w:r>
      <w:r w:rsidR="002F11B1" w:rsidRPr="00C703DC">
        <w:rPr>
          <w:rFonts w:ascii="Palatino Linotype" w:eastAsia="Times New Roman" w:hAnsi="Palatino Linotype" w:cs="Times New Roman"/>
          <w:i/>
          <w:lang w:eastAsia="es-MX"/>
        </w:rPr>
        <w:t>a respuesta entregada por el sujeto obligado.</w:t>
      </w:r>
      <w:r w:rsidRPr="00C703DC">
        <w:rPr>
          <w:rFonts w:ascii="Palatino Linotype" w:hAnsi="Palatino Linotype"/>
          <w:i/>
          <w:color w:val="000000"/>
          <w:sz w:val="24"/>
          <w:szCs w:val="24"/>
        </w:rPr>
        <w:t>” (Sic)</w:t>
      </w:r>
    </w:p>
    <w:p w14:paraId="13909A86" w14:textId="77777777" w:rsidR="000D134C" w:rsidRPr="00C703DC" w:rsidRDefault="000D134C" w:rsidP="005C2A3E">
      <w:pPr>
        <w:pStyle w:val="Prrafodelista"/>
        <w:spacing w:after="0" w:line="360" w:lineRule="auto"/>
        <w:ind w:left="785" w:right="567"/>
        <w:jc w:val="both"/>
        <w:rPr>
          <w:rFonts w:ascii="Palatino Linotype" w:hAnsi="Palatino Linotype"/>
          <w:i/>
          <w:color w:val="000000"/>
          <w:sz w:val="24"/>
          <w:szCs w:val="24"/>
        </w:rPr>
      </w:pPr>
    </w:p>
    <w:p w14:paraId="2D84CA6B" w14:textId="77777777" w:rsidR="000D134C" w:rsidRPr="00C703DC" w:rsidRDefault="000D134C" w:rsidP="005C2A3E">
      <w:pPr>
        <w:pStyle w:val="Prrafodelista"/>
        <w:numPr>
          <w:ilvl w:val="0"/>
          <w:numId w:val="2"/>
        </w:numPr>
        <w:spacing w:after="0" w:line="360" w:lineRule="auto"/>
        <w:ind w:right="567"/>
        <w:jc w:val="both"/>
        <w:rPr>
          <w:rFonts w:ascii="Palatino Linotype" w:hAnsi="Palatino Linotype"/>
          <w:i/>
          <w:color w:val="000000"/>
          <w:sz w:val="24"/>
          <w:szCs w:val="24"/>
        </w:rPr>
      </w:pPr>
      <w:r w:rsidRPr="00C703DC">
        <w:rPr>
          <w:rFonts w:ascii="Palatino Linotype" w:eastAsia="Times New Roman" w:hAnsi="Palatino Linotype" w:cs="Palatino Linotype"/>
          <w:b/>
          <w:i/>
          <w:sz w:val="24"/>
          <w:szCs w:val="24"/>
          <w:lang w:val="es-ES_tradnl" w:eastAsia="es-MX"/>
        </w:rPr>
        <w:t xml:space="preserve"> Motivos de Inconformidad</w:t>
      </w:r>
      <w:r w:rsidRPr="00C703DC">
        <w:rPr>
          <w:rFonts w:ascii="Palatino Linotype" w:eastAsia="Times New Roman" w:hAnsi="Palatino Linotype" w:cs="Palatino Linotype"/>
          <w:i/>
          <w:color w:val="000000"/>
          <w:sz w:val="24"/>
          <w:szCs w:val="24"/>
          <w:lang w:val="es-ES_tradnl" w:eastAsia="es-MX"/>
        </w:rPr>
        <w:t>:</w:t>
      </w:r>
      <w:r w:rsidRPr="00C703DC">
        <w:rPr>
          <w:rFonts w:ascii="Palatino Linotype" w:hAnsi="Palatino Linotype" w:cs="Palatino Linotype"/>
          <w:b/>
          <w:i/>
          <w:sz w:val="24"/>
          <w:szCs w:val="24"/>
          <w:lang w:val="es-ES_tradnl" w:eastAsia="es-MX"/>
        </w:rPr>
        <w:t xml:space="preserve">: </w:t>
      </w:r>
      <w:r w:rsidRPr="00C703DC">
        <w:rPr>
          <w:rFonts w:ascii="Palatino Linotype" w:hAnsi="Palatino Linotype"/>
          <w:i/>
          <w:iCs/>
          <w:color w:val="000000"/>
          <w:sz w:val="24"/>
          <w:szCs w:val="24"/>
        </w:rPr>
        <w:t>“</w:t>
      </w:r>
    </w:p>
    <w:p w14:paraId="5A562623" w14:textId="1B13D29B" w:rsidR="000D134C" w:rsidRPr="00C703DC" w:rsidRDefault="000D134C" w:rsidP="005C2A3E">
      <w:pPr>
        <w:spacing w:after="0" w:line="360" w:lineRule="auto"/>
        <w:ind w:left="425" w:right="567"/>
        <w:contextualSpacing/>
        <w:jc w:val="both"/>
        <w:rPr>
          <w:rFonts w:ascii="Palatino Linotype" w:eastAsia="Times New Roman" w:hAnsi="Palatino Linotype" w:cs="Palatino Linotype"/>
          <w:bCs/>
          <w:i/>
          <w:color w:val="000000"/>
          <w:lang w:eastAsia="es-MX"/>
        </w:rPr>
      </w:pPr>
      <w:r w:rsidRPr="00C703DC">
        <w:rPr>
          <w:rFonts w:ascii="Palatino Linotype" w:eastAsia="Times New Roman" w:hAnsi="Palatino Linotype" w:cs="Palatino Linotype"/>
          <w:bCs/>
          <w:i/>
          <w:color w:val="000000"/>
          <w:sz w:val="24"/>
          <w:szCs w:val="24"/>
          <w:lang w:eastAsia="es-MX"/>
        </w:rPr>
        <w:t>“</w:t>
      </w:r>
      <w:r w:rsidR="002F11B1" w:rsidRPr="00C703DC">
        <w:rPr>
          <w:rFonts w:ascii="Palatino Linotype" w:hAnsi="Palatino Linotype"/>
          <w:i/>
          <w:color w:val="000000"/>
          <w:sz w:val="24"/>
          <w:szCs w:val="24"/>
        </w:rPr>
        <w:t xml:space="preserve">el sujeto obligado no entrega la información solicitada, al tratarse de información que obran en archivos de autoridades auxiliares, la información debe ser solicitada por la Dirección, coordinación o departamento encargado de regular a las autoridades auxiliares bajo el principio de </w:t>
      </w:r>
      <w:proofErr w:type="spellStart"/>
      <w:r w:rsidR="002F11B1" w:rsidRPr="00C703DC">
        <w:rPr>
          <w:rFonts w:ascii="Palatino Linotype" w:hAnsi="Palatino Linotype"/>
          <w:i/>
          <w:color w:val="000000"/>
          <w:sz w:val="24"/>
          <w:szCs w:val="24"/>
        </w:rPr>
        <w:t>Maxime</w:t>
      </w:r>
      <w:proofErr w:type="spellEnd"/>
      <w:r w:rsidR="002F11B1" w:rsidRPr="00C703DC">
        <w:rPr>
          <w:rFonts w:ascii="Palatino Linotype" w:hAnsi="Palatino Linotype"/>
          <w:i/>
          <w:color w:val="000000"/>
          <w:sz w:val="24"/>
          <w:szCs w:val="24"/>
        </w:rPr>
        <w:t xml:space="preserve"> publicidad.</w:t>
      </w:r>
      <w:r w:rsidRPr="00C703DC">
        <w:rPr>
          <w:rFonts w:ascii="Palatino Linotype" w:hAnsi="Palatino Linotype"/>
          <w:i/>
          <w:color w:val="000000"/>
          <w:sz w:val="24"/>
          <w:szCs w:val="24"/>
        </w:rPr>
        <w:t>” (Sic)</w:t>
      </w:r>
    </w:p>
    <w:p w14:paraId="3602008E" w14:textId="77777777" w:rsidR="000D134C" w:rsidRPr="00C703DC" w:rsidRDefault="000D134C" w:rsidP="005C2A3E">
      <w:pPr>
        <w:spacing w:after="0" w:line="360" w:lineRule="auto"/>
        <w:ind w:right="567"/>
        <w:contextualSpacing/>
        <w:jc w:val="both"/>
        <w:rPr>
          <w:rFonts w:ascii="Palatino Linotype" w:eastAsia="Times New Roman" w:hAnsi="Palatino Linotype" w:cs="Palatino Linotype"/>
          <w:b/>
          <w:i/>
          <w:color w:val="000000"/>
          <w:lang w:eastAsia="es-MX"/>
        </w:rPr>
      </w:pPr>
    </w:p>
    <w:p w14:paraId="05DC1A63" w14:textId="77777777" w:rsidR="000D134C" w:rsidRPr="00C703DC" w:rsidRDefault="000D134C" w:rsidP="005C2A3E">
      <w:pPr>
        <w:spacing w:after="0" w:line="360" w:lineRule="auto"/>
        <w:ind w:right="567"/>
        <w:contextualSpacing/>
        <w:jc w:val="both"/>
        <w:rPr>
          <w:rFonts w:ascii="Palatino Linotype" w:eastAsia="Times New Roman" w:hAnsi="Palatino Linotype" w:cs="Palatino Linotype"/>
          <w:b/>
          <w:i/>
          <w:color w:val="000000"/>
          <w:lang w:val="es-ES_tradnl" w:eastAsia="es-MX"/>
        </w:rPr>
      </w:pPr>
    </w:p>
    <w:p w14:paraId="67ECF06D" w14:textId="77777777" w:rsidR="000D134C" w:rsidRPr="00C703DC" w:rsidRDefault="000D134C" w:rsidP="005C2A3E">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C703DC">
        <w:rPr>
          <w:rFonts w:ascii="Palatino Linotype" w:eastAsia="Times New Roman" w:hAnsi="Palatino Linotype" w:cs="Times New Roman"/>
          <w:b/>
          <w:color w:val="000000" w:themeColor="text1"/>
          <w:sz w:val="28"/>
          <w:szCs w:val="28"/>
          <w:lang w:val="es-ES_tradnl" w:eastAsia="es-MX"/>
        </w:rPr>
        <w:lastRenderedPageBreak/>
        <w:t>CUARTO. Del turno y admisión del recurso de revisión.</w:t>
      </w:r>
    </w:p>
    <w:p w14:paraId="07D062BD" w14:textId="207E4F0F" w:rsidR="000D134C" w:rsidRPr="00C703DC" w:rsidRDefault="000D134C" w:rsidP="005C2A3E">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C703DC">
        <w:rPr>
          <w:rFonts w:ascii="Palatino Linotype" w:eastAsia="Times New Roman" w:hAnsi="Palatino Linotype" w:cs="Palatino Linotype"/>
          <w:color w:val="000000"/>
          <w:sz w:val="24"/>
          <w:szCs w:val="24"/>
          <w:lang w:val="es-ES_tradnl" w:eastAsia="es-MX"/>
        </w:rPr>
        <w:t xml:space="preserve">Medio de impugnación que le fue turnado al </w:t>
      </w:r>
      <w:r w:rsidRPr="00C703DC">
        <w:rPr>
          <w:rFonts w:ascii="Palatino Linotype" w:eastAsia="Times New Roman" w:hAnsi="Palatino Linotype" w:cs="Palatino Linotype"/>
          <w:b/>
          <w:color w:val="000000"/>
          <w:sz w:val="24"/>
          <w:szCs w:val="24"/>
          <w:lang w:val="es-ES_tradnl" w:eastAsia="es-MX"/>
        </w:rPr>
        <w:t>Comisionado Presidente José Martínez Vilchis</w:t>
      </w:r>
      <w:r w:rsidRPr="00C703DC">
        <w:rPr>
          <w:rFonts w:ascii="Palatino Linotype" w:eastAsia="Times New Roman" w:hAnsi="Palatino Linotype" w:cs="Palatino Linotype"/>
          <w:color w:val="000000"/>
          <w:sz w:val="24"/>
          <w:szCs w:val="24"/>
          <w:lang w:val="es-ES_tradnl" w:eastAsia="es-MX"/>
        </w:rPr>
        <w:t>, por medio del sistema electrónico en términos del numeral 185 fracción I de la Ley de Transparencia y Acceso a la información Pública del Estado de México y Municipios, al cual recayó acuerdo de admisión de fecha</w:t>
      </w:r>
      <w:r w:rsidRPr="00C703DC">
        <w:rPr>
          <w:rFonts w:ascii="Palatino Linotype" w:eastAsia="Times New Roman" w:hAnsi="Palatino Linotype" w:cs="Palatino Linotype"/>
          <w:b/>
          <w:color w:val="000000"/>
          <w:sz w:val="24"/>
          <w:szCs w:val="24"/>
          <w:lang w:val="es-ES_tradnl" w:eastAsia="es-MX"/>
        </w:rPr>
        <w:t xml:space="preserve"> </w:t>
      </w:r>
      <w:r w:rsidR="002F11B1" w:rsidRPr="00C703DC">
        <w:rPr>
          <w:rFonts w:ascii="Palatino Linotype" w:eastAsia="Times New Roman" w:hAnsi="Palatino Linotype" w:cs="Palatino Linotype"/>
          <w:b/>
          <w:color w:val="000000"/>
          <w:sz w:val="24"/>
          <w:szCs w:val="24"/>
          <w:lang w:val="es-ES_tradnl" w:eastAsia="es-MX"/>
        </w:rPr>
        <w:t xml:space="preserve">tres </w:t>
      </w:r>
      <w:r w:rsidR="00273D73" w:rsidRPr="00C703DC">
        <w:rPr>
          <w:rFonts w:ascii="Palatino Linotype" w:eastAsia="Times New Roman" w:hAnsi="Palatino Linotype" w:cs="Palatino Linotype"/>
          <w:b/>
          <w:color w:val="000000"/>
          <w:sz w:val="24"/>
          <w:szCs w:val="24"/>
          <w:lang w:val="es-ES_tradnl" w:eastAsia="es-MX"/>
        </w:rPr>
        <w:t>de noviembre</w:t>
      </w:r>
      <w:r w:rsidRPr="00C703DC">
        <w:rPr>
          <w:rFonts w:ascii="Palatino Linotype" w:eastAsia="Times New Roman" w:hAnsi="Palatino Linotype" w:cs="Palatino Linotype"/>
          <w:b/>
          <w:color w:val="000000"/>
          <w:sz w:val="24"/>
          <w:szCs w:val="24"/>
          <w:lang w:val="es-ES_tradnl" w:eastAsia="es-MX"/>
        </w:rPr>
        <w:t xml:space="preserve"> de dos mil veinticinco</w:t>
      </w:r>
      <w:r w:rsidRPr="00C703DC">
        <w:rPr>
          <w:rFonts w:ascii="Palatino Linotype" w:eastAsia="Times New Roman" w:hAnsi="Palatino Linotype" w:cs="Palatino Linotype"/>
          <w:color w:val="000000"/>
          <w:sz w:val="24"/>
          <w:szCs w:val="24"/>
          <w:lang w:val="es-ES_tradnl" w:eastAsia="es-MX"/>
        </w:rPr>
        <w:t xml:space="preserve">, </w:t>
      </w:r>
      <w:r w:rsidRPr="00C703DC">
        <w:rPr>
          <w:rFonts w:ascii="Palatino Linotype" w:eastAsia="Times New Roman" w:hAnsi="Palatino Linotype" w:cs="Palatino Linotype"/>
          <w:sz w:val="24"/>
          <w:szCs w:val="24"/>
          <w:lang w:val="es-ES_tradnl" w:eastAsia="es-MX"/>
        </w:rPr>
        <w:t>otorgándose</w:t>
      </w:r>
      <w:r w:rsidRPr="00C703DC">
        <w:rPr>
          <w:rFonts w:ascii="Palatino Linotype" w:eastAsia="Times New Roman" w:hAnsi="Palatino Linotype" w:cs="Palatino Linotype"/>
          <w:color w:val="000000"/>
          <w:sz w:val="24"/>
          <w:szCs w:val="24"/>
          <w:lang w:val="es-ES_tradnl" w:eastAsia="es-MX"/>
        </w:rPr>
        <w:t xml:space="preserve"> en él un plazo de siete días para que las partes manifestaran lo que a su derecho corresponda en términos del numeral ya citado.</w:t>
      </w:r>
    </w:p>
    <w:p w14:paraId="606897AB" w14:textId="77777777" w:rsidR="000D134C" w:rsidRPr="00C703DC" w:rsidRDefault="000D134C" w:rsidP="005C2A3E">
      <w:pPr>
        <w:spacing w:after="0" w:line="360" w:lineRule="auto"/>
        <w:contextualSpacing/>
        <w:jc w:val="both"/>
        <w:rPr>
          <w:rFonts w:ascii="Palatino Linotype" w:eastAsia="Times New Roman" w:hAnsi="Palatino Linotype" w:cs="Palatino Linotype"/>
          <w:color w:val="000000"/>
          <w:sz w:val="28"/>
          <w:szCs w:val="28"/>
          <w:lang w:val="es-ES_tradnl" w:eastAsia="es-MX"/>
        </w:rPr>
      </w:pPr>
    </w:p>
    <w:p w14:paraId="278F5F01" w14:textId="77777777" w:rsidR="000D134C" w:rsidRPr="00C703DC" w:rsidRDefault="000D134C" w:rsidP="005C2A3E">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C703DC">
        <w:rPr>
          <w:rFonts w:ascii="Palatino Linotype" w:eastAsia="Times New Roman" w:hAnsi="Palatino Linotype" w:cs="Times New Roman"/>
          <w:b/>
          <w:color w:val="000000" w:themeColor="text1"/>
          <w:sz w:val="28"/>
          <w:szCs w:val="28"/>
          <w:lang w:val="es-ES_tradnl" w:eastAsia="es-MX"/>
        </w:rPr>
        <w:t>QUINTO. De la etapa de instrucción.</w:t>
      </w:r>
    </w:p>
    <w:p w14:paraId="423C61B6" w14:textId="087ACA58" w:rsidR="000D134C" w:rsidRPr="00C703DC" w:rsidRDefault="000D134C" w:rsidP="005C2A3E">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C703DC">
        <w:rPr>
          <w:rFonts w:ascii="Palatino Linotype" w:eastAsia="Times New Roman" w:hAnsi="Palatino Linotype" w:cs="Palatino Linotype"/>
          <w:color w:val="000000"/>
          <w:sz w:val="24"/>
          <w:szCs w:val="24"/>
          <w:lang w:val="es-ES_tradnl" w:eastAsia="es-MX"/>
        </w:rPr>
        <w:t xml:space="preserve">Una vez abierta la etapa de instrucción, el Sujeto Obligado </w:t>
      </w:r>
      <w:r w:rsidR="006A0A55" w:rsidRPr="00C703DC">
        <w:rPr>
          <w:rFonts w:ascii="Palatino Linotype" w:eastAsia="Times New Roman" w:hAnsi="Palatino Linotype" w:cs="Palatino Linotype"/>
          <w:color w:val="000000"/>
          <w:sz w:val="24"/>
          <w:szCs w:val="24"/>
          <w:lang w:val="es-ES_tradnl" w:eastAsia="es-MX"/>
        </w:rPr>
        <w:t xml:space="preserve">fue omiso en rendir </w:t>
      </w:r>
      <w:r w:rsidRPr="00C703DC">
        <w:rPr>
          <w:rFonts w:ascii="Palatino Linotype" w:eastAsia="Times New Roman" w:hAnsi="Palatino Linotype" w:cs="Palatino Linotype"/>
          <w:color w:val="000000"/>
          <w:sz w:val="24"/>
          <w:szCs w:val="24"/>
          <w:lang w:val="es-ES_tradnl" w:eastAsia="es-MX"/>
        </w:rPr>
        <w:t xml:space="preserve">su Informe Justificado.  Por su parte, el Recurrente no realizó manifestaciones, vertió alegatos ni presentó pruebas que a su derecho convinieran. </w:t>
      </w:r>
    </w:p>
    <w:p w14:paraId="217D4D60" w14:textId="77777777" w:rsidR="00273D73" w:rsidRPr="00C703DC" w:rsidRDefault="00273D73" w:rsidP="005C2A3E">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5F0E0F93" w14:textId="77777777" w:rsidR="000D134C" w:rsidRPr="00C703DC" w:rsidRDefault="000D134C" w:rsidP="005C2A3E">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C703DC">
        <w:rPr>
          <w:rFonts w:ascii="Palatino Linotype" w:eastAsia="Times New Roman" w:hAnsi="Palatino Linotype" w:cs="Times New Roman"/>
          <w:b/>
          <w:color w:val="000000" w:themeColor="text1"/>
          <w:sz w:val="28"/>
          <w:szCs w:val="28"/>
          <w:lang w:val="es-ES_tradnl" w:eastAsia="es-MX"/>
        </w:rPr>
        <w:t>SEXTO. Del cierre de instrucción.</w:t>
      </w:r>
    </w:p>
    <w:p w14:paraId="5A2D4A35" w14:textId="29A72FB5" w:rsidR="00273D73" w:rsidRPr="00C703DC" w:rsidRDefault="000D134C" w:rsidP="005C2A3E">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C703DC">
        <w:rPr>
          <w:rFonts w:ascii="Palatino Linotype" w:eastAsia="Times New Roman" w:hAnsi="Palatino Linotype" w:cs="Palatino Linotype"/>
          <w:color w:val="000000"/>
          <w:sz w:val="24"/>
          <w:szCs w:val="24"/>
          <w:lang w:val="es-ES_tradnl" w:eastAsia="es-MX"/>
        </w:rPr>
        <w:t>Así, una vez transcurrido el término legal, se decretó el cierre de instrucción en fecha</w:t>
      </w:r>
      <w:r w:rsidRPr="00C703DC">
        <w:rPr>
          <w:rFonts w:ascii="Palatino Linotype" w:eastAsia="Times New Roman" w:hAnsi="Palatino Linotype" w:cs="Palatino Linotype"/>
          <w:b/>
          <w:color w:val="000000"/>
          <w:sz w:val="24"/>
          <w:szCs w:val="24"/>
          <w:lang w:val="es-ES_tradnl" w:eastAsia="es-MX"/>
        </w:rPr>
        <w:t xml:space="preserve"> </w:t>
      </w:r>
      <w:r w:rsidR="006A0A55" w:rsidRPr="00C703DC">
        <w:rPr>
          <w:rFonts w:ascii="Palatino Linotype" w:eastAsia="Times New Roman" w:hAnsi="Palatino Linotype" w:cs="Palatino Linotype"/>
          <w:b/>
          <w:color w:val="000000"/>
          <w:sz w:val="24"/>
          <w:szCs w:val="24"/>
          <w:lang w:val="es-ES_tradnl" w:eastAsia="es-MX"/>
        </w:rPr>
        <w:t>nueve de marzo de dos mil veinticinco</w:t>
      </w:r>
      <w:r w:rsidRPr="00C703DC">
        <w:rPr>
          <w:rFonts w:ascii="Palatino Linotype" w:eastAsia="Times New Roman" w:hAnsi="Palatino Linotype" w:cs="Palatino Linotype"/>
          <w:color w:val="000000"/>
          <w:sz w:val="24"/>
          <w:szCs w:val="24"/>
          <w:lang w:val="es-ES_tradnl" w:eastAsia="es-MX"/>
        </w:rPr>
        <w:t>, en términos del artículo 185 fracción VI de la Ley de Transparencia y Acceso a la Información Pública del Estado de México y Municipios, iniciando el término legal para dictar resolución definitiva del asunto.</w:t>
      </w:r>
    </w:p>
    <w:p w14:paraId="1684C8F8" w14:textId="77777777" w:rsidR="00273D73" w:rsidRPr="00C703DC" w:rsidRDefault="00273D73" w:rsidP="005C2A3E">
      <w:pPr>
        <w:keepNext/>
        <w:keepLines/>
        <w:spacing w:after="0" w:line="360" w:lineRule="auto"/>
        <w:jc w:val="center"/>
        <w:outlineLvl w:val="0"/>
        <w:rPr>
          <w:rFonts w:ascii="Palatino Linotype" w:hAnsi="Palatino Linotype" w:cs="Arial"/>
          <w:b/>
          <w:sz w:val="28"/>
          <w:szCs w:val="28"/>
        </w:rPr>
      </w:pPr>
    </w:p>
    <w:p w14:paraId="7F1E9347" w14:textId="77777777" w:rsidR="000D134C" w:rsidRPr="00C703DC" w:rsidRDefault="000D134C" w:rsidP="005C2A3E">
      <w:pPr>
        <w:keepNext/>
        <w:keepLines/>
        <w:spacing w:after="0" w:line="360" w:lineRule="auto"/>
        <w:jc w:val="center"/>
        <w:outlineLvl w:val="0"/>
        <w:rPr>
          <w:rFonts w:ascii="Palatino Linotype" w:eastAsia="Times New Roman" w:hAnsi="Palatino Linotype" w:cs="Times New Roman"/>
          <w:b/>
          <w:color w:val="000000" w:themeColor="text1"/>
          <w:sz w:val="28"/>
          <w:szCs w:val="32"/>
          <w:lang w:val="es-ES_tradnl" w:eastAsia="es-ES"/>
        </w:rPr>
      </w:pPr>
      <w:r w:rsidRPr="00C703DC">
        <w:rPr>
          <w:rFonts w:ascii="Palatino Linotype" w:eastAsia="Times New Roman" w:hAnsi="Palatino Linotype" w:cs="Times New Roman"/>
          <w:b/>
          <w:color w:val="000000" w:themeColor="text1"/>
          <w:sz w:val="28"/>
          <w:szCs w:val="32"/>
          <w:lang w:val="es-ES_tradnl" w:eastAsia="es-ES"/>
        </w:rPr>
        <w:t>C  O   N   S   I   D  E   R  A   N   D   O</w:t>
      </w:r>
    </w:p>
    <w:p w14:paraId="53050C0B" w14:textId="77777777" w:rsidR="000D134C" w:rsidRPr="00C703DC" w:rsidRDefault="000D134C" w:rsidP="005C2A3E">
      <w:pPr>
        <w:keepNext/>
        <w:keepLines/>
        <w:spacing w:after="0" w:line="360" w:lineRule="auto"/>
        <w:jc w:val="center"/>
        <w:outlineLvl w:val="0"/>
        <w:rPr>
          <w:rFonts w:ascii="Palatino Linotype" w:eastAsia="Times New Roman" w:hAnsi="Palatino Linotype" w:cs="Times New Roman"/>
          <w:b/>
          <w:color w:val="000000" w:themeColor="text1"/>
          <w:sz w:val="28"/>
          <w:szCs w:val="32"/>
          <w:lang w:val="es-ES_tradnl" w:eastAsia="es-ES"/>
        </w:rPr>
      </w:pPr>
    </w:p>
    <w:p w14:paraId="03ABE894" w14:textId="77777777" w:rsidR="000D134C" w:rsidRPr="00C703DC" w:rsidRDefault="000D134C" w:rsidP="005C2A3E">
      <w:pPr>
        <w:keepNext/>
        <w:keepLines/>
        <w:spacing w:after="0" w:line="360" w:lineRule="auto"/>
        <w:outlineLvl w:val="0"/>
        <w:rPr>
          <w:rFonts w:ascii="Palatino Linotype" w:eastAsia="Times New Roman" w:hAnsi="Palatino Linotype" w:cs="Times New Roman"/>
          <w:b/>
          <w:color w:val="000000" w:themeColor="text1"/>
          <w:sz w:val="28"/>
          <w:szCs w:val="32"/>
          <w:lang w:val="es-ES_tradnl" w:eastAsia="es-ES"/>
        </w:rPr>
      </w:pPr>
    </w:p>
    <w:p w14:paraId="75061C6D" w14:textId="77777777" w:rsidR="000D134C" w:rsidRPr="00C703DC" w:rsidRDefault="000D134C" w:rsidP="005C2A3E">
      <w:pPr>
        <w:spacing w:after="0" w:line="360" w:lineRule="auto"/>
        <w:jc w:val="both"/>
        <w:rPr>
          <w:rFonts w:ascii="Palatino Linotype" w:hAnsi="Palatino Linotype" w:cs="Arial"/>
          <w:sz w:val="28"/>
          <w:szCs w:val="28"/>
        </w:rPr>
      </w:pPr>
      <w:r w:rsidRPr="00C703DC">
        <w:rPr>
          <w:rFonts w:ascii="Palatino Linotype" w:hAnsi="Palatino Linotype" w:cs="Arial"/>
          <w:b/>
          <w:sz w:val="28"/>
          <w:szCs w:val="28"/>
        </w:rPr>
        <w:t xml:space="preserve">PRIMERO. </w:t>
      </w:r>
      <w:r w:rsidRPr="00C703DC">
        <w:rPr>
          <w:rFonts w:ascii="Palatino Linotype" w:hAnsi="Palatino Linotype" w:cs="Arial"/>
          <w:b/>
          <w:sz w:val="26"/>
          <w:szCs w:val="26"/>
        </w:rPr>
        <w:t>De la competencia</w:t>
      </w:r>
      <w:r w:rsidRPr="00C703DC">
        <w:rPr>
          <w:rFonts w:ascii="Palatino Linotype" w:hAnsi="Palatino Linotype" w:cs="Arial"/>
          <w:sz w:val="26"/>
          <w:szCs w:val="26"/>
        </w:rPr>
        <w:t>.</w:t>
      </w:r>
    </w:p>
    <w:p w14:paraId="067D7750" w14:textId="77777777" w:rsidR="000D134C" w:rsidRPr="00C703DC" w:rsidRDefault="000D134C" w:rsidP="005C2A3E">
      <w:pPr>
        <w:spacing w:after="0" w:line="360" w:lineRule="auto"/>
        <w:jc w:val="both"/>
        <w:rPr>
          <w:rFonts w:ascii="Palatino Linotype" w:hAnsi="Palatino Linotype"/>
          <w:sz w:val="24"/>
          <w:szCs w:val="24"/>
        </w:rPr>
      </w:pPr>
      <w:r w:rsidRPr="00C703DC">
        <w:rPr>
          <w:rFonts w:ascii="Palatino Linotype" w:hAnsi="Palatino Linotype"/>
          <w:sz w:val="24"/>
          <w:szCs w:val="24"/>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1656F954" w14:textId="77777777" w:rsidR="000D134C" w:rsidRPr="00C703DC" w:rsidRDefault="000D134C" w:rsidP="005C2A3E">
      <w:pPr>
        <w:autoSpaceDE w:val="0"/>
        <w:autoSpaceDN w:val="0"/>
        <w:adjustRightInd w:val="0"/>
        <w:spacing w:after="0" w:line="360" w:lineRule="auto"/>
        <w:jc w:val="both"/>
        <w:rPr>
          <w:rFonts w:ascii="Palatino Linotype" w:hAnsi="Palatino Linotype" w:cs="Arial"/>
          <w:b/>
          <w:sz w:val="28"/>
          <w:szCs w:val="28"/>
        </w:rPr>
      </w:pPr>
    </w:p>
    <w:p w14:paraId="21A7C703" w14:textId="77777777" w:rsidR="000D134C" w:rsidRPr="00C703DC" w:rsidRDefault="000D134C" w:rsidP="005C2A3E">
      <w:pPr>
        <w:autoSpaceDE w:val="0"/>
        <w:autoSpaceDN w:val="0"/>
        <w:adjustRightInd w:val="0"/>
        <w:spacing w:after="0" w:line="360" w:lineRule="auto"/>
        <w:jc w:val="both"/>
        <w:rPr>
          <w:rFonts w:ascii="Palatino Linotype" w:hAnsi="Palatino Linotype" w:cs="Arial"/>
          <w:b/>
          <w:sz w:val="28"/>
          <w:szCs w:val="28"/>
        </w:rPr>
      </w:pPr>
      <w:r w:rsidRPr="00C703DC">
        <w:rPr>
          <w:rFonts w:ascii="Palatino Linotype" w:hAnsi="Palatino Linotype" w:cs="Arial"/>
          <w:b/>
          <w:sz w:val="28"/>
          <w:szCs w:val="28"/>
        </w:rPr>
        <w:t xml:space="preserve">SEGUNDO. </w:t>
      </w:r>
      <w:r w:rsidRPr="00C703DC">
        <w:rPr>
          <w:rFonts w:ascii="Palatino Linotype" w:hAnsi="Palatino Linotype" w:cs="Arial"/>
          <w:b/>
          <w:sz w:val="26"/>
          <w:szCs w:val="26"/>
        </w:rPr>
        <w:t>Alcances del recurso de revisión.</w:t>
      </w:r>
      <w:r w:rsidRPr="00C703DC">
        <w:rPr>
          <w:rFonts w:ascii="Palatino Linotype" w:hAnsi="Palatino Linotype" w:cs="Arial"/>
          <w:b/>
          <w:sz w:val="28"/>
          <w:szCs w:val="28"/>
        </w:rPr>
        <w:t xml:space="preserve"> </w:t>
      </w:r>
    </w:p>
    <w:p w14:paraId="277B4A9B" w14:textId="0DDDEA6E" w:rsidR="000D134C" w:rsidRPr="00C703DC" w:rsidRDefault="000D134C" w:rsidP="005C2A3E">
      <w:pPr>
        <w:autoSpaceDE w:val="0"/>
        <w:autoSpaceDN w:val="0"/>
        <w:adjustRightInd w:val="0"/>
        <w:spacing w:after="0" w:line="360" w:lineRule="auto"/>
        <w:jc w:val="both"/>
        <w:rPr>
          <w:rFonts w:ascii="Palatino Linotype" w:hAnsi="Palatino Linotype" w:cs="Arial"/>
          <w:lang w:val="es-ES" w:eastAsia="es-ES"/>
        </w:rPr>
      </w:pPr>
      <w:r w:rsidRPr="00C703DC">
        <w:rPr>
          <w:rFonts w:ascii="Palatino Linotype" w:hAnsi="Palatino Linotype" w:cs="Arial"/>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3FE9EC42" w14:textId="77777777" w:rsidR="000D134C" w:rsidRPr="00C703DC" w:rsidRDefault="000D134C" w:rsidP="005C2A3E">
      <w:pPr>
        <w:autoSpaceDE w:val="0"/>
        <w:autoSpaceDN w:val="0"/>
        <w:adjustRightInd w:val="0"/>
        <w:spacing w:after="0"/>
        <w:rPr>
          <w:rFonts w:ascii="Palatino Linotype" w:hAnsi="Palatino Linotype" w:cs="Arial"/>
          <w:b/>
        </w:rPr>
      </w:pPr>
      <w:r w:rsidRPr="00C703DC">
        <w:rPr>
          <w:rFonts w:ascii="Palatino Linotype" w:hAnsi="Palatino Linotype"/>
          <w:b/>
          <w:color w:val="000000" w:themeColor="text1"/>
          <w:sz w:val="26"/>
          <w:szCs w:val="26"/>
          <w:lang w:val="es-ES_tradnl"/>
        </w:rPr>
        <w:t>TERCERO.</w:t>
      </w:r>
      <w:r w:rsidRPr="00C703DC">
        <w:rPr>
          <w:rFonts w:ascii="Palatino Linotype" w:hAnsi="Palatino Linotype" w:cs="Arial"/>
          <w:b/>
          <w:sz w:val="28"/>
          <w:szCs w:val="28"/>
        </w:rPr>
        <w:t xml:space="preserve"> Cuestiones de previo y especial pronunciamiento</w:t>
      </w:r>
    </w:p>
    <w:p w14:paraId="0C19728D" w14:textId="77777777" w:rsidR="000D134C" w:rsidRPr="00C703DC" w:rsidRDefault="000D134C" w:rsidP="005C2A3E">
      <w:pPr>
        <w:autoSpaceDE w:val="0"/>
        <w:autoSpaceDN w:val="0"/>
        <w:adjustRightInd w:val="0"/>
        <w:spacing w:after="0" w:line="360" w:lineRule="auto"/>
        <w:jc w:val="both"/>
        <w:rPr>
          <w:rFonts w:ascii="Palatino Linotype" w:hAnsi="Palatino Linotype"/>
          <w:sz w:val="24"/>
          <w:szCs w:val="24"/>
        </w:rPr>
      </w:pPr>
      <w:r w:rsidRPr="00C703DC">
        <w:rPr>
          <w:rFonts w:ascii="Palatino Linotype" w:hAnsi="Palatino Linotype"/>
          <w:sz w:val="24"/>
          <w:szCs w:val="24"/>
        </w:rPr>
        <w:lastRenderedPageBreak/>
        <w:t>El Recurso de Revisión en estudio contiene los elementos normativos de validez exigidos en la Ley de Transparencia y Acceso a la Información Pública del Estado de México y Municipios, establecidos en el artículo 180 que enuncia:</w:t>
      </w:r>
    </w:p>
    <w:p w14:paraId="474C4524" w14:textId="77777777" w:rsidR="000D134C" w:rsidRPr="00C703DC" w:rsidRDefault="000D134C" w:rsidP="005C2A3E">
      <w:pPr>
        <w:autoSpaceDE w:val="0"/>
        <w:autoSpaceDN w:val="0"/>
        <w:adjustRightInd w:val="0"/>
        <w:spacing w:after="0" w:line="360" w:lineRule="auto"/>
        <w:ind w:left="360" w:firstLine="348"/>
        <w:jc w:val="both"/>
        <w:rPr>
          <w:rFonts w:ascii="Palatino Linotype" w:hAnsi="Palatino Linotype"/>
          <w:i/>
        </w:rPr>
      </w:pPr>
      <w:r w:rsidRPr="00C703DC">
        <w:rPr>
          <w:rFonts w:ascii="Palatino Linotype" w:hAnsi="Palatino Linotype"/>
          <w:i/>
        </w:rPr>
        <w:t>“Artículo 180. El recurso de revisión contendrá:</w:t>
      </w:r>
    </w:p>
    <w:p w14:paraId="54055F94" w14:textId="77777777" w:rsidR="000D134C" w:rsidRPr="00C703DC" w:rsidRDefault="000D134C" w:rsidP="005C2A3E">
      <w:pPr>
        <w:numPr>
          <w:ilvl w:val="0"/>
          <w:numId w:val="1"/>
        </w:numPr>
        <w:autoSpaceDE w:val="0"/>
        <w:autoSpaceDN w:val="0"/>
        <w:adjustRightInd w:val="0"/>
        <w:spacing w:after="0" w:line="360" w:lineRule="auto"/>
        <w:jc w:val="both"/>
        <w:rPr>
          <w:rFonts w:ascii="Palatino Linotype" w:hAnsi="Palatino Linotype"/>
          <w:i/>
        </w:rPr>
      </w:pPr>
      <w:r w:rsidRPr="00C703DC">
        <w:rPr>
          <w:rFonts w:ascii="Palatino Linotype" w:hAnsi="Palatino Linotype"/>
          <w:i/>
        </w:rPr>
        <w:t>EL sujeto obligado ante la cual se presentó la solicitud;</w:t>
      </w:r>
    </w:p>
    <w:p w14:paraId="6D308103" w14:textId="77777777" w:rsidR="000D134C" w:rsidRPr="00C703DC" w:rsidRDefault="000D134C" w:rsidP="005C2A3E">
      <w:pPr>
        <w:numPr>
          <w:ilvl w:val="0"/>
          <w:numId w:val="1"/>
        </w:numPr>
        <w:autoSpaceDE w:val="0"/>
        <w:autoSpaceDN w:val="0"/>
        <w:adjustRightInd w:val="0"/>
        <w:spacing w:after="0" w:line="360" w:lineRule="auto"/>
        <w:jc w:val="both"/>
        <w:rPr>
          <w:rFonts w:ascii="Palatino Linotype" w:hAnsi="Palatino Linotype"/>
          <w:i/>
        </w:rPr>
      </w:pPr>
      <w:r w:rsidRPr="00C703DC">
        <w:rPr>
          <w:rFonts w:ascii="Palatino Linotype" w:hAnsi="Palatino Linotype"/>
          <w:i/>
        </w:rPr>
        <w:t>El nombre del solicitante que recurre o de su representante y, en su caso, del tercero interesado, así como la dirección o medio que señale para recibir notificaciones;</w:t>
      </w:r>
    </w:p>
    <w:p w14:paraId="78D23E88" w14:textId="77777777" w:rsidR="000D134C" w:rsidRPr="00C703DC" w:rsidRDefault="000D134C" w:rsidP="005C2A3E">
      <w:pPr>
        <w:numPr>
          <w:ilvl w:val="0"/>
          <w:numId w:val="1"/>
        </w:numPr>
        <w:autoSpaceDE w:val="0"/>
        <w:autoSpaceDN w:val="0"/>
        <w:adjustRightInd w:val="0"/>
        <w:spacing w:after="0" w:line="360" w:lineRule="auto"/>
        <w:jc w:val="both"/>
        <w:rPr>
          <w:rFonts w:ascii="Palatino Linotype" w:hAnsi="Palatino Linotype"/>
          <w:i/>
        </w:rPr>
      </w:pPr>
      <w:r w:rsidRPr="00C703DC">
        <w:rPr>
          <w:rFonts w:ascii="Palatino Linotype" w:hAnsi="Palatino Linotype"/>
          <w:i/>
        </w:rPr>
        <w:t>El número de folio de respuesta de la solicitud de acceso;</w:t>
      </w:r>
    </w:p>
    <w:p w14:paraId="34B5DDB8" w14:textId="77777777" w:rsidR="000D134C" w:rsidRPr="00C703DC" w:rsidRDefault="000D134C" w:rsidP="005C2A3E">
      <w:pPr>
        <w:autoSpaceDE w:val="0"/>
        <w:autoSpaceDN w:val="0"/>
        <w:adjustRightInd w:val="0"/>
        <w:spacing w:after="0" w:line="360" w:lineRule="auto"/>
        <w:ind w:left="1080"/>
        <w:jc w:val="both"/>
        <w:rPr>
          <w:rFonts w:ascii="Palatino Linotype" w:hAnsi="Palatino Linotype"/>
          <w:i/>
        </w:rPr>
      </w:pPr>
      <w:r w:rsidRPr="00C703DC">
        <w:rPr>
          <w:rFonts w:ascii="Palatino Linotype" w:hAnsi="Palatino Linotype"/>
          <w:i/>
        </w:rPr>
        <w:t>IV. La fecha en que fue notificada la respuesta al solicitante o tuvo conocimiento del acto reclamado, o de presentación de la solicitud, en caso de falta de respuesta;</w:t>
      </w:r>
    </w:p>
    <w:p w14:paraId="4007AE7D" w14:textId="77777777" w:rsidR="000D134C" w:rsidRPr="00C703DC" w:rsidRDefault="000D134C" w:rsidP="005C2A3E">
      <w:pPr>
        <w:autoSpaceDE w:val="0"/>
        <w:autoSpaceDN w:val="0"/>
        <w:adjustRightInd w:val="0"/>
        <w:spacing w:after="0" w:line="360" w:lineRule="auto"/>
        <w:ind w:left="732" w:firstLine="348"/>
        <w:jc w:val="both"/>
        <w:rPr>
          <w:rFonts w:ascii="Palatino Linotype" w:hAnsi="Palatino Linotype"/>
          <w:i/>
        </w:rPr>
      </w:pPr>
      <w:r w:rsidRPr="00C703DC">
        <w:rPr>
          <w:rFonts w:ascii="Palatino Linotype" w:hAnsi="Palatino Linotype"/>
          <w:i/>
        </w:rPr>
        <w:t>V. El acto que se recurre;</w:t>
      </w:r>
    </w:p>
    <w:p w14:paraId="01BDD8AA" w14:textId="77777777" w:rsidR="000D134C" w:rsidRPr="00C703DC" w:rsidRDefault="000D134C" w:rsidP="005C2A3E">
      <w:pPr>
        <w:autoSpaceDE w:val="0"/>
        <w:autoSpaceDN w:val="0"/>
        <w:adjustRightInd w:val="0"/>
        <w:spacing w:after="0" w:line="360" w:lineRule="auto"/>
        <w:ind w:left="732" w:firstLine="348"/>
        <w:jc w:val="both"/>
        <w:rPr>
          <w:rFonts w:ascii="Palatino Linotype" w:hAnsi="Palatino Linotype"/>
          <w:i/>
        </w:rPr>
      </w:pPr>
      <w:r w:rsidRPr="00C703DC">
        <w:rPr>
          <w:rFonts w:ascii="Palatino Linotype" w:hAnsi="Palatino Linotype"/>
          <w:i/>
        </w:rPr>
        <w:t>VI. Las razones o motivos de inconformidad;</w:t>
      </w:r>
    </w:p>
    <w:p w14:paraId="6B2DB0C5" w14:textId="77777777" w:rsidR="000D134C" w:rsidRPr="00C703DC" w:rsidRDefault="000D134C" w:rsidP="005C2A3E">
      <w:pPr>
        <w:autoSpaceDE w:val="0"/>
        <w:autoSpaceDN w:val="0"/>
        <w:adjustRightInd w:val="0"/>
        <w:spacing w:after="0" w:line="360" w:lineRule="auto"/>
        <w:ind w:left="1080"/>
        <w:jc w:val="both"/>
        <w:rPr>
          <w:rFonts w:ascii="Palatino Linotype" w:hAnsi="Palatino Linotype"/>
          <w:i/>
        </w:rPr>
      </w:pPr>
      <w:r w:rsidRPr="00C703DC">
        <w:rPr>
          <w:rFonts w:ascii="Palatino Linotype" w:hAnsi="Palatino Linotype"/>
          <w:i/>
        </w:rPr>
        <w:t>VII. La copia de la respuesta que se impugna y, en su caso, de la notificación correspondiente, en el caso de respuesta de la solicitud; y</w:t>
      </w:r>
    </w:p>
    <w:p w14:paraId="52E36C8E" w14:textId="77777777" w:rsidR="000D134C" w:rsidRPr="00C703DC" w:rsidRDefault="000D134C" w:rsidP="005C2A3E">
      <w:pPr>
        <w:autoSpaceDE w:val="0"/>
        <w:autoSpaceDN w:val="0"/>
        <w:adjustRightInd w:val="0"/>
        <w:spacing w:after="0" w:line="360" w:lineRule="auto"/>
        <w:ind w:left="732" w:firstLine="348"/>
        <w:jc w:val="both"/>
        <w:rPr>
          <w:rFonts w:ascii="Palatino Linotype" w:hAnsi="Palatino Linotype"/>
          <w:i/>
        </w:rPr>
      </w:pPr>
      <w:r w:rsidRPr="00C703DC">
        <w:rPr>
          <w:rFonts w:ascii="Palatino Linotype" w:hAnsi="Palatino Linotype"/>
          <w:i/>
        </w:rPr>
        <w:t>VIII. Firma del recurrente, en su caso, cuando se presente por escrito, requisito sin el cual se dará trámite al recurso.</w:t>
      </w:r>
    </w:p>
    <w:p w14:paraId="79C85F38" w14:textId="77777777" w:rsidR="000D134C" w:rsidRPr="00C703DC" w:rsidRDefault="000D134C" w:rsidP="005C2A3E">
      <w:pPr>
        <w:autoSpaceDE w:val="0"/>
        <w:autoSpaceDN w:val="0"/>
        <w:adjustRightInd w:val="0"/>
        <w:spacing w:after="0" w:line="360" w:lineRule="auto"/>
        <w:ind w:left="1080"/>
        <w:jc w:val="both"/>
        <w:rPr>
          <w:rFonts w:ascii="Palatino Linotype" w:hAnsi="Palatino Linotype"/>
          <w:i/>
        </w:rPr>
      </w:pPr>
      <w:r w:rsidRPr="00C703DC">
        <w:rPr>
          <w:rFonts w:ascii="Palatino Linotype" w:hAnsi="Palatino Linotype"/>
          <w:i/>
        </w:rPr>
        <w:t>Adicionalmente, se podrán anexar las pruebas y demás elementos que considere procedentes someter a juicio del Instituto.</w:t>
      </w:r>
    </w:p>
    <w:p w14:paraId="16F9ED2B" w14:textId="77777777" w:rsidR="000D134C" w:rsidRPr="00C703DC" w:rsidRDefault="000D134C" w:rsidP="005C2A3E">
      <w:pPr>
        <w:autoSpaceDE w:val="0"/>
        <w:autoSpaceDN w:val="0"/>
        <w:adjustRightInd w:val="0"/>
        <w:spacing w:after="0" w:line="360" w:lineRule="auto"/>
        <w:ind w:left="732" w:firstLine="348"/>
        <w:jc w:val="both"/>
        <w:rPr>
          <w:rFonts w:ascii="Palatino Linotype" w:hAnsi="Palatino Linotype"/>
          <w:i/>
        </w:rPr>
      </w:pPr>
      <w:r w:rsidRPr="00C703DC">
        <w:rPr>
          <w:rFonts w:ascii="Palatino Linotype" w:hAnsi="Palatino Linotype"/>
          <w:i/>
        </w:rPr>
        <w:t>En ningún caso será necesario que el particular ratifique el recurso de revisión interpuesto.</w:t>
      </w:r>
    </w:p>
    <w:p w14:paraId="0D0C4DFC" w14:textId="77777777" w:rsidR="000D134C" w:rsidRPr="00C703DC" w:rsidRDefault="000D134C" w:rsidP="005C2A3E">
      <w:pPr>
        <w:autoSpaceDE w:val="0"/>
        <w:autoSpaceDN w:val="0"/>
        <w:adjustRightInd w:val="0"/>
        <w:spacing w:after="0" w:line="360" w:lineRule="auto"/>
        <w:ind w:left="1080"/>
        <w:jc w:val="both"/>
        <w:rPr>
          <w:rFonts w:ascii="Palatino Linotype" w:hAnsi="Palatino Linotype"/>
          <w:b/>
          <w:i/>
          <w:u w:val="single"/>
        </w:rPr>
      </w:pPr>
      <w:r w:rsidRPr="00C703DC">
        <w:rPr>
          <w:rFonts w:ascii="Palatino Linotype" w:hAnsi="Palatino Linotype"/>
          <w:b/>
          <w:i/>
          <w:u w:val="single"/>
        </w:rPr>
        <w:t>En caso de que el recurso se interponga de manera electrónica no será indispensable que contengan los requisitos establecidos en las fracciones II, IV, VII y VIII.” [Sic]</w:t>
      </w:r>
    </w:p>
    <w:p w14:paraId="2C187B57" w14:textId="77777777" w:rsidR="000D134C" w:rsidRPr="00C703DC" w:rsidRDefault="000D134C" w:rsidP="005C2A3E">
      <w:pPr>
        <w:autoSpaceDE w:val="0"/>
        <w:autoSpaceDN w:val="0"/>
        <w:adjustRightInd w:val="0"/>
        <w:spacing w:after="0" w:line="360" w:lineRule="auto"/>
        <w:ind w:left="1080"/>
        <w:jc w:val="both"/>
        <w:rPr>
          <w:rFonts w:ascii="Palatino Linotype" w:hAnsi="Palatino Linotype"/>
          <w:b/>
          <w:i/>
          <w:u w:val="single"/>
        </w:rPr>
      </w:pPr>
    </w:p>
    <w:p w14:paraId="42407453" w14:textId="77777777" w:rsidR="000D134C" w:rsidRPr="00C703DC" w:rsidRDefault="000D134C" w:rsidP="005C2A3E">
      <w:pPr>
        <w:spacing w:after="0" w:line="360" w:lineRule="auto"/>
        <w:jc w:val="both"/>
        <w:rPr>
          <w:rFonts w:ascii="Palatino Linotype" w:hAnsi="Palatino Linotype" w:cs="Arial"/>
          <w:sz w:val="24"/>
          <w:szCs w:val="24"/>
        </w:rPr>
      </w:pPr>
      <w:r w:rsidRPr="00C703DC">
        <w:rPr>
          <w:rFonts w:ascii="Palatino Linotype" w:hAnsi="Palatino Linotype" w:cs="Segoe UI"/>
          <w:sz w:val="24"/>
          <w:szCs w:val="24"/>
        </w:rPr>
        <w:t xml:space="preserve">Cabe señalar que </w:t>
      </w:r>
      <w:r w:rsidRPr="00C703DC">
        <w:rPr>
          <w:rFonts w:ascii="Palatino Linotype" w:hAnsi="Palatino Linotype" w:cs="Segoe UI"/>
          <w:b/>
          <w:sz w:val="24"/>
          <w:szCs w:val="24"/>
        </w:rPr>
        <w:t>El Recurrente</w:t>
      </w:r>
      <w:r w:rsidRPr="00C703DC">
        <w:rPr>
          <w:rFonts w:ascii="Palatino Linotype" w:hAnsi="Palatino Linotype" w:cs="Segoe UI"/>
          <w:sz w:val="24"/>
          <w:szCs w:val="24"/>
        </w:rPr>
        <w:t xml:space="preserve"> </w:t>
      </w:r>
      <w:r w:rsidRPr="00C703DC">
        <w:rPr>
          <w:rFonts w:ascii="Palatino Linotype" w:hAnsi="Palatino Linotype" w:cs="Segoe UI"/>
          <w:sz w:val="24"/>
          <w:szCs w:val="24"/>
          <w:u w:val="single"/>
        </w:rPr>
        <w:t xml:space="preserve">ejerció su derecho de manera anónima,  por lo que </w:t>
      </w:r>
      <w:r w:rsidRPr="00C703DC">
        <w:rPr>
          <w:rFonts w:ascii="Palatino Linotype" w:hAnsi="Palatino Linotype"/>
          <w:sz w:val="24"/>
          <w:szCs w:val="24"/>
        </w:rPr>
        <w:t xml:space="preserve">no sería motivo para desechar las </w:t>
      </w:r>
      <w:r w:rsidRPr="00C703DC">
        <w:rPr>
          <w:rFonts w:ascii="Palatino Linotype" w:hAnsi="Palatino Linotype" w:cs="Arial"/>
          <w:sz w:val="24"/>
          <w:szCs w:val="24"/>
        </w:rPr>
        <w:t xml:space="preserve">solicitudes de acceso a la información pública conforme a </w:t>
      </w:r>
      <w:r w:rsidRPr="00C703DC">
        <w:rPr>
          <w:rFonts w:ascii="Palatino Linotype" w:hAnsi="Palatino Linotype" w:cs="Arial"/>
          <w:sz w:val="24"/>
          <w:szCs w:val="24"/>
        </w:rPr>
        <w:lastRenderedPageBreak/>
        <w:t>lo previsto en el artículo 155, penúltimo párrafo de la Ley de Transparencia y Acceso a la Información Pública del Estado de México y Municipios que señala lo siguiente:</w:t>
      </w:r>
    </w:p>
    <w:p w14:paraId="3DBB6513" w14:textId="77777777" w:rsidR="000D134C" w:rsidRPr="00C703DC" w:rsidRDefault="000D134C" w:rsidP="005C2A3E">
      <w:pPr>
        <w:spacing w:after="0" w:line="360" w:lineRule="auto"/>
        <w:ind w:left="851" w:right="851"/>
        <w:jc w:val="both"/>
        <w:rPr>
          <w:rFonts w:ascii="Palatino Linotype" w:hAnsi="Palatino Linotype" w:cs="Arial"/>
          <w:b/>
          <w:i/>
        </w:rPr>
      </w:pPr>
      <w:r w:rsidRPr="00C703DC">
        <w:rPr>
          <w:rFonts w:ascii="Palatino Linotype" w:hAnsi="Palatino Linotype" w:cs="Arial"/>
          <w:i/>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C703DC">
        <w:rPr>
          <w:rFonts w:ascii="Palatino Linotype" w:hAnsi="Palatino Linotype" w:cs="Arial"/>
          <w:b/>
          <w:i/>
        </w:rPr>
        <w:t>[Sic]</w:t>
      </w:r>
    </w:p>
    <w:p w14:paraId="59216A55" w14:textId="77777777" w:rsidR="000D134C" w:rsidRPr="00C703DC" w:rsidRDefault="000D134C" w:rsidP="005C2A3E">
      <w:pPr>
        <w:spacing w:after="0" w:line="360" w:lineRule="auto"/>
        <w:ind w:left="851" w:right="851"/>
        <w:jc w:val="both"/>
        <w:rPr>
          <w:rFonts w:ascii="Palatino Linotype" w:hAnsi="Palatino Linotype" w:cs="Arial"/>
          <w:b/>
          <w:i/>
        </w:rPr>
      </w:pPr>
    </w:p>
    <w:p w14:paraId="71F93650" w14:textId="77777777" w:rsidR="000D134C" w:rsidRPr="00C703DC" w:rsidRDefault="000D134C" w:rsidP="005C2A3E">
      <w:pPr>
        <w:spacing w:after="0" w:line="360" w:lineRule="auto"/>
        <w:jc w:val="both"/>
        <w:rPr>
          <w:rFonts w:ascii="Palatino Linotype" w:hAnsi="Palatino Linotype"/>
          <w:sz w:val="24"/>
          <w:szCs w:val="24"/>
        </w:rPr>
      </w:pPr>
      <w:r w:rsidRPr="00C703DC">
        <w:rPr>
          <w:rFonts w:ascii="Palatino Linotype" w:hAnsi="Palatino Linotype"/>
          <w:sz w:val="24"/>
          <w:szCs w:val="24"/>
        </w:rPr>
        <w:t xml:space="preserve">Robustece lo anterior se encuentra lo dispuesto en el artículo 5 párrafos </w:t>
      </w:r>
      <w:r w:rsidRPr="00C703DC">
        <w:rPr>
          <w:rFonts w:ascii="Palatino Linotype" w:hAnsi="Palatino Linotype" w:cs="Arial"/>
          <w:sz w:val="24"/>
          <w:szCs w:val="24"/>
        </w:rPr>
        <w:t>vigésimo, vigésimo primero y vigésimo segundo</w:t>
      </w:r>
      <w:r w:rsidRPr="00C703DC">
        <w:rPr>
          <w:rFonts w:ascii="Palatino Linotype" w:hAnsi="Palatino Linotype"/>
          <w:sz w:val="24"/>
          <w:szCs w:val="24"/>
        </w:rPr>
        <w:t>, de la Constitución Política del Estado Libre y Soberano de México, se establece lo siguiente:</w:t>
      </w:r>
    </w:p>
    <w:p w14:paraId="00A58970" w14:textId="77777777" w:rsidR="000D134C" w:rsidRPr="00C703DC" w:rsidRDefault="000D134C" w:rsidP="005C2A3E">
      <w:pPr>
        <w:spacing w:after="0" w:line="360" w:lineRule="auto"/>
        <w:ind w:left="851" w:right="851"/>
        <w:jc w:val="both"/>
        <w:rPr>
          <w:rFonts w:ascii="Palatino Linotype" w:hAnsi="Palatino Linotype"/>
          <w:b/>
          <w:i/>
          <w:u w:val="single"/>
        </w:rPr>
      </w:pPr>
      <w:r w:rsidRPr="00C703DC">
        <w:rPr>
          <w:rFonts w:ascii="Palatino Linotype" w:hAnsi="Palatino Linotype"/>
          <w:b/>
          <w:i/>
          <w:u w:val="single"/>
        </w:rPr>
        <w:t>Constitución Política del Estado Libre y Soberano de México</w:t>
      </w:r>
    </w:p>
    <w:p w14:paraId="6996303A" w14:textId="77777777" w:rsidR="000D134C" w:rsidRPr="00C703DC" w:rsidRDefault="000D134C" w:rsidP="005C2A3E">
      <w:pPr>
        <w:spacing w:after="0" w:line="360" w:lineRule="auto"/>
        <w:ind w:left="851" w:right="851"/>
        <w:jc w:val="both"/>
        <w:rPr>
          <w:rFonts w:ascii="Palatino Linotype" w:hAnsi="Palatino Linotype"/>
          <w:i/>
        </w:rPr>
      </w:pPr>
      <w:r w:rsidRPr="00C703DC">
        <w:rPr>
          <w:rFonts w:ascii="Palatino Linotype" w:hAnsi="Palatino Linotype"/>
          <w:i/>
        </w:rPr>
        <w:t>“</w:t>
      </w:r>
      <w:r w:rsidRPr="00C703DC">
        <w:rPr>
          <w:rFonts w:ascii="Palatino Linotype" w:hAnsi="Palatino Linotype"/>
          <w:b/>
          <w:i/>
        </w:rPr>
        <w:t>Artículo 5</w:t>
      </w:r>
      <w:r w:rsidRPr="00C703DC">
        <w:rPr>
          <w:rFonts w:ascii="Palatino Linotype" w:hAnsi="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41C51729" w14:textId="77777777" w:rsidR="000D134C" w:rsidRPr="00C703DC" w:rsidRDefault="000D134C" w:rsidP="005C2A3E">
      <w:pPr>
        <w:spacing w:after="0" w:line="360" w:lineRule="auto"/>
        <w:ind w:left="851" w:right="851"/>
        <w:jc w:val="both"/>
        <w:rPr>
          <w:rFonts w:ascii="Palatino Linotype" w:hAnsi="Palatino Linotype"/>
          <w:i/>
        </w:rPr>
      </w:pPr>
      <w:r w:rsidRPr="00C703DC">
        <w:rPr>
          <w:rFonts w:ascii="Palatino Linotype" w:hAnsi="Palatino Linotype"/>
          <w:i/>
        </w:rPr>
        <w:t>(…)</w:t>
      </w:r>
    </w:p>
    <w:p w14:paraId="41164906" w14:textId="77777777" w:rsidR="000D134C" w:rsidRPr="00C703DC" w:rsidRDefault="000D134C" w:rsidP="005C2A3E">
      <w:pPr>
        <w:spacing w:after="0" w:line="360" w:lineRule="auto"/>
        <w:ind w:left="851" w:right="851"/>
        <w:jc w:val="both"/>
        <w:rPr>
          <w:rFonts w:ascii="Palatino Linotype" w:hAnsi="Palatino Linotype"/>
          <w:b/>
          <w:i/>
        </w:rPr>
      </w:pPr>
      <w:proofErr w:type="gramStart"/>
      <w:r w:rsidRPr="00C703DC">
        <w:rPr>
          <w:rFonts w:ascii="Palatino Linotype" w:hAnsi="Palatino Linotype"/>
          <w:i/>
        </w:rPr>
        <w:t>transparencia</w:t>
      </w:r>
      <w:proofErr w:type="gramEnd"/>
      <w:r w:rsidRPr="00C703DC">
        <w:rPr>
          <w:rFonts w:ascii="Palatino Linotype" w:hAnsi="Palatino Linotype"/>
          <w:i/>
        </w:rPr>
        <w:t xml:space="preserve">, acceso a la información pública y a la protección de datos personales en posesión de los sujetos obligados en los términos que establezca la ley. (…)” </w:t>
      </w:r>
      <w:r w:rsidRPr="00C703DC">
        <w:rPr>
          <w:rFonts w:ascii="Palatino Linotype" w:hAnsi="Palatino Linotype"/>
          <w:b/>
          <w:i/>
        </w:rPr>
        <w:t>[Sic]</w:t>
      </w:r>
    </w:p>
    <w:p w14:paraId="0EFC4FD0" w14:textId="77777777" w:rsidR="000D134C" w:rsidRPr="00C703DC" w:rsidRDefault="000D134C" w:rsidP="005C2A3E">
      <w:pPr>
        <w:autoSpaceDE w:val="0"/>
        <w:autoSpaceDN w:val="0"/>
        <w:adjustRightInd w:val="0"/>
        <w:spacing w:after="0" w:line="360" w:lineRule="auto"/>
        <w:jc w:val="both"/>
        <w:rPr>
          <w:rFonts w:ascii="Palatino Linotype" w:hAnsi="Palatino Linotype"/>
          <w:sz w:val="24"/>
          <w:szCs w:val="24"/>
        </w:rPr>
      </w:pPr>
    </w:p>
    <w:p w14:paraId="008E8FDF" w14:textId="77777777" w:rsidR="000D134C" w:rsidRPr="00C703DC" w:rsidRDefault="000D134C" w:rsidP="005C2A3E">
      <w:pPr>
        <w:autoSpaceDE w:val="0"/>
        <w:autoSpaceDN w:val="0"/>
        <w:adjustRightInd w:val="0"/>
        <w:spacing w:after="0" w:line="360" w:lineRule="auto"/>
        <w:jc w:val="both"/>
        <w:rPr>
          <w:rFonts w:ascii="Palatino Linotype" w:hAnsi="Palatino Linotype" w:cs="Arial"/>
          <w:sz w:val="24"/>
          <w:szCs w:val="24"/>
        </w:rPr>
      </w:pPr>
      <w:r w:rsidRPr="00C703DC">
        <w:rPr>
          <w:rFonts w:ascii="Palatino Linotype" w:hAnsi="Palatino Linotype"/>
          <w:sz w:val="24"/>
          <w:szCs w:val="24"/>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C703DC">
        <w:rPr>
          <w:rFonts w:ascii="Palatino Linotype" w:hAnsi="Palatino Linotype"/>
          <w:b/>
          <w:sz w:val="24"/>
          <w:szCs w:val="24"/>
          <w:u w:val="single"/>
        </w:rPr>
        <w:lastRenderedPageBreak/>
        <w:t>incluso, la solicitud de acceso a la información pueda ser anónima</w:t>
      </w:r>
      <w:r w:rsidRPr="00C703DC">
        <w:rPr>
          <w:rFonts w:ascii="Palatino Linotype" w:hAnsi="Palatino Linotype"/>
          <w:sz w:val="24"/>
          <w:szCs w:val="24"/>
        </w:rPr>
        <w:t xml:space="preserve"> o no contener un nombre que identifique al solicitante o que permita tener certeza sobre su identidad. </w:t>
      </w:r>
      <w:r w:rsidRPr="00C703DC">
        <w:rPr>
          <w:rFonts w:ascii="Palatino Linotype" w:hAnsi="Palatino Linotype" w:cs="Arial"/>
          <w:sz w:val="24"/>
          <w:szCs w:val="24"/>
        </w:rPr>
        <w:t xml:space="preserve">En conclusión, se cubrieron los requisitos de procedencia y </w:t>
      </w:r>
      <w:proofErr w:type="spellStart"/>
      <w:r w:rsidRPr="00C703DC">
        <w:rPr>
          <w:rFonts w:ascii="Palatino Linotype" w:hAnsi="Palatino Linotype" w:cs="Arial"/>
          <w:sz w:val="24"/>
          <w:szCs w:val="24"/>
        </w:rPr>
        <w:t>procedibilidad</w:t>
      </w:r>
      <w:proofErr w:type="spellEnd"/>
      <w:r w:rsidRPr="00C703DC">
        <w:rPr>
          <w:rFonts w:ascii="Palatino Linotype" w:hAnsi="Palatino Linotype" w:cs="Arial"/>
          <w:sz w:val="24"/>
          <w:szCs w:val="24"/>
        </w:rPr>
        <w:t xml:space="preserve"> y conforme a las constancias que obran en el expediente.</w:t>
      </w:r>
    </w:p>
    <w:p w14:paraId="7831FF0D" w14:textId="77777777" w:rsidR="000D134C" w:rsidRPr="00C703DC" w:rsidRDefault="000D134C" w:rsidP="005C2A3E">
      <w:pPr>
        <w:autoSpaceDE w:val="0"/>
        <w:autoSpaceDN w:val="0"/>
        <w:adjustRightInd w:val="0"/>
        <w:spacing w:after="0" w:line="360" w:lineRule="auto"/>
        <w:jc w:val="both"/>
        <w:rPr>
          <w:rFonts w:cs="Arial"/>
          <w:b/>
        </w:rPr>
      </w:pPr>
    </w:p>
    <w:p w14:paraId="311299E6" w14:textId="77777777" w:rsidR="000D134C" w:rsidRPr="00C703DC" w:rsidRDefault="000D134C" w:rsidP="005C2A3E">
      <w:pPr>
        <w:keepNext/>
        <w:keepLines/>
        <w:spacing w:after="0" w:line="360" w:lineRule="auto"/>
        <w:jc w:val="both"/>
        <w:outlineLvl w:val="1"/>
        <w:rPr>
          <w:rFonts w:ascii="Palatino Linotype" w:hAnsi="Palatino Linotype"/>
          <w:b/>
          <w:color w:val="000000" w:themeColor="text1"/>
          <w:sz w:val="26"/>
          <w:szCs w:val="26"/>
          <w:lang w:val="es-ES_tradnl"/>
        </w:rPr>
      </w:pPr>
      <w:r w:rsidRPr="00C703DC">
        <w:rPr>
          <w:rFonts w:ascii="Palatino Linotype" w:hAnsi="Palatino Linotype"/>
          <w:b/>
          <w:color w:val="000000" w:themeColor="text1"/>
          <w:sz w:val="26"/>
          <w:szCs w:val="26"/>
          <w:lang w:val="es-ES_tradnl"/>
        </w:rPr>
        <w:t>CUARTO. De las causas de improcedencia.</w:t>
      </w:r>
    </w:p>
    <w:p w14:paraId="31A6DB75" w14:textId="77777777" w:rsidR="000D134C" w:rsidRPr="00C703DC" w:rsidRDefault="000D134C" w:rsidP="005C2A3E">
      <w:pPr>
        <w:spacing w:after="0" w:line="360" w:lineRule="auto"/>
        <w:contextualSpacing/>
        <w:jc w:val="both"/>
        <w:rPr>
          <w:rFonts w:ascii="Palatino Linotype" w:hAnsi="Palatino Linotype" w:cs="Palatino Linotype"/>
          <w:color w:val="000000"/>
          <w:sz w:val="24"/>
          <w:szCs w:val="24"/>
          <w:lang w:val="es-ES_tradnl"/>
        </w:rPr>
      </w:pPr>
      <w:r w:rsidRPr="00C703DC">
        <w:rPr>
          <w:rFonts w:ascii="Palatino Linotype" w:hAnsi="Palatino Linotype" w:cs="Palatino Linotype"/>
          <w:color w:val="000000"/>
          <w:sz w:val="24"/>
          <w:szCs w:val="24"/>
          <w:lang w:val="es-ES_tradnl"/>
        </w:rPr>
        <w:t xml:space="preserve">En el procedimiento de acceso a la información y de los medios de impugnación de la materia, se advierten diversos supuestos de </w:t>
      </w:r>
      <w:proofErr w:type="spellStart"/>
      <w:r w:rsidRPr="00C703DC">
        <w:rPr>
          <w:rFonts w:ascii="Palatino Linotype" w:hAnsi="Palatino Linotype" w:cs="Palatino Linotype"/>
          <w:color w:val="000000"/>
          <w:sz w:val="24"/>
          <w:szCs w:val="24"/>
          <w:lang w:val="es-ES_tradnl"/>
        </w:rPr>
        <w:t>procedibilidad</w:t>
      </w:r>
      <w:proofErr w:type="spellEnd"/>
      <w:r w:rsidRPr="00C703DC">
        <w:rPr>
          <w:rFonts w:ascii="Palatino Linotype" w:hAnsi="Palatino Linotype" w:cs="Palatino Linotype"/>
          <w:color w:val="000000"/>
          <w:sz w:val="24"/>
          <w:szCs w:val="24"/>
          <w:lang w:val="es-ES_tradnl"/>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693DD53E" w14:textId="77777777" w:rsidR="000D134C" w:rsidRPr="00C703DC" w:rsidRDefault="000D134C" w:rsidP="005C2A3E">
      <w:pPr>
        <w:spacing w:after="0" w:line="360" w:lineRule="auto"/>
        <w:contextualSpacing/>
        <w:jc w:val="both"/>
        <w:rPr>
          <w:rFonts w:ascii="Palatino Linotype" w:hAnsi="Palatino Linotype" w:cs="Palatino Linotype"/>
          <w:color w:val="000000"/>
          <w:sz w:val="24"/>
          <w:szCs w:val="24"/>
          <w:lang w:val="es-ES_tradnl"/>
        </w:rPr>
      </w:pPr>
    </w:p>
    <w:p w14:paraId="042A9F24" w14:textId="77777777" w:rsidR="000D134C" w:rsidRPr="00C703DC" w:rsidRDefault="000D134C" w:rsidP="005C2A3E">
      <w:pPr>
        <w:spacing w:after="0" w:line="360" w:lineRule="auto"/>
        <w:contextualSpacing/>
        <w:jc w:val="both"/>
        <w:rPr>
          <w:rFonts w:ascii="Palatino Linotype" w:hAnsi="Palatino Linotype" w:cs="Palatino Linotype"/>
          <w:color w:val="000000"/>
          <w:sz w:val="24"/>
          <w:szCs w:val="24"/>
          <w:lang w:val="es-ES_tradnl"/>
        </w:rPr>
      </w:pPr>
      <w:r w:rsidRPr="00C703DC">
        <w:rPr>
          <w:rFonts w:ascii="Palatino Linotype" w:hAnsi="Palatino Linotype" w:cs="Palatino Linotype"/>
          <w:color w:val="000000"/>
          <w:sz w:val="24"/>
          <w:szCs w:val="24"/>
          <w:lang w:val="es-ES_tradnl"/>
        </w:rPr>
        <w:t xml:space="preserve">Por lo anterior, es una facultad legal entrar al estudio de las causas de improcedencia que hagan valer las partes o que se adviertan de oficio por este </w:t>
      </w:r>
      <w:proofErr w:type="spellStart"/>
      <w:r w:rsidRPr="00C703DC">
        <w:rPr>
          <w:rFonts w:ascii="Palatino Linotype" w:hAnsi="Palatino Linotype" w:cs="Palatino Linotype"/>
          <w:color w:val="000000"/>
          <w:sz w:val="24"/>
          <w:szCs w:val="24"/>
          <w:lang w:val="es-ES_tradnl"/>
        </w:rPr>
        <w:t>Resolutor</w:t>
      </w:r>
      <w:proofErr w:type="spellEnd"/>
      <w:r w:rsidRPr="00C703DC">
        <w:rPr>
          <w:rFonts w:ascii="Palatino Linotype" w:hAnsi="Palatino Linotype" w:cs="Palatino Linotype"/>
          <w:color w:val="000000"/>
          <w:sz w:val="24"/>
          <w:szCs w:val="24"/>
          <w:lang w:val="es-ES_tradnl"/>
        </w:rPr>
        <w:t xml:space="preserve"> y por ende objeto de análisis previo al estudio de fondo del asunto; presupuestos procesales de inicio o trámite de un proceso que dotan de seguridad jurídica las resoluciones, máxime que es una figura procesal adoptada en la ley de la materia</w:t>
      </w:r>
      <w:r w:rsidRPr="00C703DC">
        <w:rPr>
          <w:rFonts w:ascii="Palatino Linotype" w:hAnsi="Palatino Linotype" w:cs="Palatino Linotype"/>
          <w:color w:val="000000"/>
          <w:sz w:val="24"/>
          <w:szCs w:val="24"/>
          <w:vertAlign w:val="superscript"/>
          <w:lang w:val="es-ES_tradnl"/>
        </w:rPr>
        <w:footnoteReference w:id="1"/>
      </w:r>
      <w:r w:rsidRPr="00C703DC">
        <w:rPr>
          <w:rFonts w:ascii="Palatino Linotype" w:hAnsi="Palatino Linotype" w:cs="Palatino Linotype"/>
          <w:color w:val="000000"/>
          <w:sz w:val="24"/>
          <w:szCs w:val="24"/>
          <w:lang w:val="es-ES_tradnl"/>
        </w:rPr>
        <w:t xml:space="preserve">, la cual permite dilucidar alguna </w:t>
      </w:r>
      <w:r w:rsidRPr="00C703DC">
        <w:rPr>
          <w:rFonts w:ascii="Palatino Linotype" w:hAnsi="Palatino Linotype" w:cs="Palatino Linotype"/>
          <w:color w:val="000000"/>
          <w:sz w:val="24"/>
          <w:szCs w:val="24"/>
          <w:lang w:val="es-ES_tradnl"/>
        </w:rPr>
        <w:lastRenderedPageBreak/>
        <w:t>causal que impida el estudio y resolución, cuando una vez admitido el recurso de revisión se advierta una causa de improcedencia que permita sobreseerlo, sin estudiar el fondo del asunto.</w:t>
      </w:r>
    </w:p>
    <w:p w14:paraId="7227E5F7" w14:textId="77777777" w:rsidR="000D134C" w:rsidRPr="00C703DC" w:rsidRDefault="000D134C" w:rsidP="005C2A3E">
      <w:pPr>
        <w:spacing w:after="0" w:line="360" w:lineRule="auto"/>
        <w:contextualSpacing/>
        <w:jc w:val="both"/>
        <w:rPr>
          <w:rFonts w:ascii="Palatino Linotype" w:hAnsi="Palatino Linotype" w:cs="Palatino Linotype"/>
          <w:color w:val="000000"/>
          <w:sz w:val="24"/>
          <w:szCs w:val="24"/>
          <w:lang w:val="es-ES_tradnl"/>
        </w:rPr>
      </w:pPr>
    </w:p>
    <w:p w14:paraId="7FAE3647" w14:textId="77777777" w:rsidR="000D134C" w:rsidRPr="00C703DC" w:rsidRDefault="000D134C" w:rsidP="005C2A3E">
      <w:pPr>
        <w:spacing w:after="0" w:line="360" w:lineRule="auto"/>
        <w:contextualSpacing/>
        <w:jc w:val="both"/>
        <w:rPr>
          <w:rFonts w:ascii="Palatino Linotype" w:hAnsi="Palatino Linotype" w:cs="Palatino Linotype"/>
          <w:color w:val="000000"/>
          <w:sz w:val="24"/>
          <w:szCs w:val="24"/>
          <w:lang w:val="es-ES_tradnl"/>
        </w:rPr>
      </w:pPr>
      <w:r w:rsidRPr="00C703DC">
        <w:rPr>
          <w:rFonts w:ascii="Palatino Linotype" w:hAnsi="Palatino Linotype" w:cs="Palatino Linotype"/>
          <w:color w:val="000000"/>
          <w:sz w:val="24"/>
          <w:szCs w:val="24"/>
          <w:lang w:val="es-ES_tradnl"/>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5965443E" w14:textId="77777777" w:rsidR="000D134C" w:rsidRPr="00C703DC" w:rsidRDefault="000D134C" w:rsidP="005C2A3E">
      <w:pPr>
        <w:spacing w:after="0" w:line="360" w:lineRule="auto"/>
        <w:contextualSpacing/>
        <w:jc w:val="both"/>
        <w:rPr>
          <w:rFonts w:ascii="Palatino Linotype" w:hAnsi="Palatino Linotype" w:cs="Palatino Linotype"/>
          <w:color w:val="000000"/>
          <w:sz w:val="24"/>
          <w:szCs w:val="24"/>
          <w:lang w:val="es-ES_tradnl"/>
        </w:rPr>
      </w:pPr>
    </w:p>
    <w:p w14:paraId="1CF7E182" w14:textId="77777777" w:rsidR="000D134C" w:rsidRPr="00C703DC" w:rsidRDefault="000D134C" w:rsidP="005C2A3E">
      <w:pPr>
        <w:autoSpaceDE w:val="0"/>
        <w:autoSpaceDN w:val="0"/>
        <w:adjustRightInd w:val="0"/>
        <w:spacing w:after="0" w:line="360" w:lineRule="auto"/>
        <w:jc w:val="both"/>
        <w:rPr>
          <w:rFonts w:ascii="Palatino Linotype" w:hAnsi="Palatino Linotype" w:cs="Arial"/>
          <w:b/>
          <w:sz w:val="28"/>
        </w:rPr>
      </w:pPr>
      <w:r w:rsidRPr="00C703DC">
        <w:rPr>
          <w:rFonts w:ascii="Palatino Linotype" w:hAnsi="Palatino Linotype"/>
          <w:b/>
          <w:color w:val="000000" w:themeColor="text1"/>
          <w:sz w:val="26"/>
          <w:szCs w:val="26"/>
          <w:lang w:val="es-ES_tradnl"/>
        </w:rPr>
        <w:t xml:space="preserve">QUINTO. </w:t>
      </w:r>
      <w:r w:rsidRPr="00C703DC">
        <w:rPr>
          <w:rFonts w:ascii="Palatino Linotype" w:hAnsi="Palatino Linotype" w:cs="Arial"/>
          <w:b/>
          <w:sz w:val="28"/>
        </w:rPr>
        <w:t>Del estudio y resolución del asunto.</w:t>
      </w:r>
      <w:r w:rsidRPr="00C703DC">
        <w:rPr>
          <w:rFonts w:ascii="Palatino Linotype" w:hAnsi="Palatino Linotype" w:cs="Arial"/>
          <w:sz w:val="28"/>
        </w:rPr>
        <w:t xml:space="preserve"> </w:t>
      </w:r>
    </w:p>
    <w:p w14:paraId="6C92E9AD" w14:textId="77777777" w:rsidR="000D134C" w:rsidRPr="00C703DC" w:rsidRDefault="000D134C" w:rsidP="005C2A3E">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C703DC">
        <w:rPr>
          <w:rFonts w:ascii="Palatino Linotype" w:eastAsia="Times New Roman" w:hAnsi="Palatino Linotype" w:cs="Palatino Linotype"/>
          <w:color w:val="000000"/>
          <w:sz w:val="24"/>
          <w:szCs w:val="24"/>
          <w:lang w:val="es-ES_tradnl" w:eastAsia="es-MX"/>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w:t>
      </w:r>
      <w:r w:rsidRPr="00C703DC">
        <w:rPr>
          <w:rFonts w:ascii="Palatino Linotype" w:eastAsia="Times New Roman" w:hAnsi="Palatino Linotype" w:cs="Palatino Linotype"/>
          <w:color w:val="000000"/>
          <w:sz w:val="24"/>
          <w:szCs w:val="24"/>
          <w:lang w:val="es-ES_tradnl" w:eastAsia="es-MX"/>
        </w:rPr>
        <w:lastRenderedPageBreak/>
        <w:t>demás leyes aplicables en la materia, así como en los tratados internacionales en los que el Estado Mexicano sea parte, en concordancia con el párrafo tercero del artículo 1 de la Constitución Federal y el diverso 8 de la Ley de Transparencia local.</w:t>
      </w:r>
    </w:p>
    <w:p w14:paraId="5B1B8D8E" w14:textId="77777777" w:rsidR="000D134C" w:rsidRPr="00C703DC" w:rsidRDefault="000D134C" w:rsidP="005C2A3E">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4B12563B" w14:textId="77777777" w:rsidR="000D134C" w:rsidRPr="00C703DC" w:rsidRDefault="000D134C" w:rsidP="005C2A3E">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C703DC">
        <w:rPr>
          <w:rFonts w:ascii="Palatino Linotype" w:eastAsia="Times New Roman" w:hAnsi="Palatino Linotype" w:cs="Palatino Linotype"/>
          <w:color w:val="000000"/>
          <w:sz w:val="24"/>
          <w:szCs w:val="24"/>
          <w:lang w:val="es-ES_tradnl" w:eastAsia="es-MX"/>
        </w:rPr>
        <w:t>Por tanto, es conveniente recordar que el hoy Recurrente requirió del Sujeto Obligado, lo siguiente:</w:t>
      </w:r>
    </w:p>
    <w:p w14:paraId="1982E084" w14:textId="74CEB10F" w:rsidR="000D134C" w:rsidRPr="00C703DC" w:rsidRDefault="006A0A55" w:rsidP="005C2A3E">
      <w:pPr>
        <w:pStyle w:val="Prrafodelista"/>
        <w:numPr>
          <w:ilvl w:val="0"/>
          <w:numId w:val="4"/>
        </w:numPr>
        <w:spacing w:after="0" w:line="360" w:lineRule="auto"/>
        <w:jc w:val="both"/>
        <w:rPr>
          <w:rFonts w:ascii="Palatino Linotype" w:eastAsia="Times New Roman" w:hAnsi="Palatino Linotype" w:cs="Palatino Linotype"/>
          <w:color w:val="000000"/>
          <w:sz w:val="24"/>
          <w:szCs w:val="24"/>
          <w:lang w:eastAsia="es-MX"/>
        </w:rPr>
      </w:pPr>
      <w:r w:rsidRPr="00C703DC">
        <w:rPr>
          <w:rFonts w:ascii="Palatino Linotype" w:eastAsia="Times New Roman" w:hAnsi="Palatino Linotype" w:cs="Palatino Linotype"/>
          <w:color w:val="000000"/>
          <w:sz w:val="24"/>
          <w:szCs w:val="24"/>
          <w:lang w:eastAsia="es-MX"/>
        </w:rPr>
        <w:t>Los recursos económicos que ingresaron por la Feria denominada del Maíz 2025.</w:t>
      </w:r>
    </w:p>
    <w:p w14:paraId="4CEBDB94" w14:textId="542D12A9" w:rsidR="00273D73" w:rsidRPr="00C703DC" w:rsidRDefault="006A0A55" w:rsidP="005C2A3E">
      <w:pPr>
        <w:pStyle w:val="Prrafodelista"/>
        <w:numPr>
          <w:ilvl w:val="0"/>
          <w:numId w:val="4"/>
        </w:numPr>
        <w:spacing w:after="0" w:line="360" w:lineRule="auto"/>
        <w:jc w:val="both"/>
        <w:rPr>
          <w:rFonts w:ascii="Palatino Linotype" w:eastAsia="Times New Roman" w:hAnsi="Palatino Linotype" w:cs="Palatino Linotype"/>
          <w:color w:val="000000"/>
          <w:sz w:val="24"/>
          <w:szCs w:val="24"/>
          <w:lang w:eastAsia="es-MX"/>
        </w:rPr>
      </w:pPr>
      <w:r w:rsidRPr="00C703DC">
        <w:rPr>
          <w:rFonts w:ascii="Palatino Linotype" w:eastAsia="Times New Roman" w:hAnsi="Palatino Linotype" w:cs="Palatino Linotype"/>
          <w:color w:val="000000"/>
          <w:sz w:val="24"/>
          <w:szCs w:val="24"/>
          <w:lang w:eastAsia="es-MX"/>
        </w:rPr>
        <w:t xml:space="preserve">Monto que ingresó a Delegación y/o COPACI de Tequisistlán, desglosado por rubro, es decir ingreso por puestos de bebidas alcohólicas, ingreso por alimentos, ingreso por otros puestos, nombre del encargado de </w:t>
      </w:r>
      <w:r w:rsidR="00DE6A51" w:rsidRPr="00C703DC">
        <w:rPr>
          <w:rFonts w:ascii="Palatino Linotype" w:eastAsia="Times New Roman" w:hAnsi="Palatino Linotype" w:cs="Palatino Linotype"/>
          <w:color w:val="000000"/>
          <w:sz w:val="24"/>
          <w:szCs w:val="24"/>
          <w:lang w:eastAsia="es-MX"/>
        </w:rPr>
        <w:t xml:space="preserve">recolectar dicha contribución, nombre de la persona encargada de resguardar el recurso económico, </w:t>
      </w:r>
      <w:r w:rsidRPr="00C703DC">
        <w:rPr>
          <w:rFonts w:ascii="Palatino Linotype" w:eastAsia="Times New Roman" w:hAnsi="Palatino Linotype" w:cs="Palatino Linotype"/>
          <w:color w:val="000000"/>
          <w:sz w:val="24"/>
          <w:szCs w:val="24"/>
          <w:lang w:eastAsia="es-MX"/>
        </w:rPr>
        <w:t>del viernes veintidós de agosto al domingo treinta y uno de agosto</w:t>
      </w:r>
      <w:r w:rsidR="00DE6A51" w:rsidRPr="00C703DC">
        <w:rPr>
          <w:rFonts w:ascii="Palatino Linotype" w:eastAsia="Times New Roman" w:hAnsi="Palatino Linotype" w:cs="Palatino Linotype"/>
          <w:color w:val="000000"/>
          <w:sz w:val="24"/>
          <w:szCs w:val="24"/>
          <w:lang w:eastAsia="es-MX"/>
        </w:rPr>
        <w:t>.</w:t>
      </w:r>
    </w:p>
    <w:p w14:paraId="0F539C61" w14:textId="77777777" w:rsidR="00273D73" w:rsidRPr="00C703DC" w:rsidRDefault="00273D73" w:rsidP="005C2A3E">
      <w:pPr>
        <w:pStyle w:val="Prrafodelista"/>
        <w:spacing w:after="0" w:line="360" w:lineRule="auto"/>
        <w:ind w:left="1440"/>
        <w:jc w:val="both"/>
        <w:rPr>
          <w:rFonts w:ascii="Palatino Linotype" w:eastAsia="Times New Roman" w:hAnsi="Palatino Linotype" w:cs="Palatino Linotype"/>
          <w:color w:val="000000"/>
          <w:sz w:val="24"/>
          <w:szCs w:val="24"/>
          <w:lang w:val="es-ES_tradnl" w:eastAsia="es-MX"/>
        </w:rPr>
      </w:pPr>
    </w:p>
    <w:p w14:paraId="15A2E006" w14:textId="77777777" w:rsidR="000D134C" w:rsidRPr="00C703DC" w:rsidRDefault="000D134C" w:rsidP="005C2A3E">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C703DC">
        <w:rPr>
          <w:rFonts w:ascii="Palatino Linotype" w:eastAsia="Times New Roman" w:hAnsi="Palatino Linotype" w:cs="Palatino Linotype"/>
          <w:color w:val="000000"/>
          <w:sz w:val="24"/>
          <w:szCs w:val="24"/>
          <w:lang w:val="es-ES_tradnl" w:eastAsia="es-MX"/>
        </w:rPr>
        <w:t>Por lo que atento a la solicitud de información el Sujeto Obligado hizo entrega del siguiente archivo electrónico:</w:t>
      </w:r>
    </w:p>
    <w:p w14:paraId="6040CCDC" w14:textId="77777777" w:rsidR="00201590" w:rsidRPr="00C703DC" w:rsidRDefault="00201590" w:rsidP="005C2A3E">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75F3210E" w14:textId="39FD903D" w:rsidR="002B79A5" w:rsidRPr="00C703DC" w:rsidRDefault="00201590" w:rsidP="005C2A3E">
      <w:pPr>
        <w:pStyle w:val="Prrafodelista"/>
        <w:numPr>
          <w:ilvl w:val="0"/>
          <w:numId w:val="5"/>
        </w:numPr>
        <w:spacing w:after="0" w:line="360" w:lineRule="auto"/>
        <w:jc w:val="both"/>
        <w:rPr>
          <w:rFonts w:ascii="Palatino Linotype" w:hAnsi="Palatino Linotype" w:cs="Arial"/>
          <w:b/>
          <w:bCs/>
          <w:i/>
          <w:color w:val="333333"/>
          <w:sz w:val="24"/>
          <w:szCs w:val="24"/>
        </w:rPr>
      </w:pPr>
      <w:r w:rsidRPr="00C703DC">
        <w:rPr>
          <w:rFonts w:ascii="Palatino Linotype" w:hAnsi="Palatino Linotype" w:cs="Arial"/>
          <w:b/>
          <w:bCs/>
          <w:i/>
          <w:sz w:val="24"/>
          <w:szCs w:val="24"/>
        </w:rPr>
        <w:t>RESPUESTA</w:t>
      </w:r>
      <w:proofErr w:type="gramStart"/>
      <w:r w:rsidRPr="00C703DC">
        <w:rPr>
          <w:rFonts w:ascii="Palatino Linotype" w:hAnsi="Palatino Linotype" w:cs="Arial"/>
          <w:b/>
          <w:bCs/>
          <w:i/>
          <w:sz w:val="24"/>
          <w:szCs w:val="24"/>
        </w:rPr>
        <w:t>..</w:t>
      </w:r>
      <w:proofErr w:type="spellStart"/>
      <w:proofErr w:type="gramEnd"/>
      <w:r w:rsidRPr="00C703DC">
        <w:rPr>
          <w:rFonts w:ascii="Palatino Linotype" w:hAnsi="Palatino Linotype" w:cs="Arial"/>
          <w:b/>
          <w:bCs/>
          <w:i/>
          <w:sz w:val="24"/>
          <w:szCs w:val="24"/>
        </w:rPr>
        <w:t>pdf</w:t>
      </w:r>
      <w:proofErr w:type="spellEnd"/>
      <w:r w:rsidR="00273D73" w:rsidRPr="00C703DC">
        <w:rPr>
          <w:rFonts w:ascii="Palatino Linotype" w:hAnsi="Palatino Linotype" w:cs="Arial"/>
          <w:b/>
          <w:bCs/>
          <w:i/>
          <w:sz w:val="24"/>
          <w:szCs w:val="24"/>
        </w:rPr>
        <w:t xml:space="preserve">: </w:t>
      </w:r>
      <w:r w:rsidRPr="00C703DC">
        <w:rPr>
          <w:rFonts w:ascii="Palatino Linotype" w:hAnsi="Palatino Linotype" w:cs="Arial"/>
          <w:bCs/>
          <w:sz w:val="24"/>
          <w:szCs w:val="24"/>
        </w:rPr>
        <w:t>Consta del oficio número PMT/TESO/0227/2025, de fecha siete de octubre de dos mil veinticinco, signado por la Tesorera Municipal de Tezoyuca, mediante el cual medularmente refiere que no cuenta con información y/o documentación relativa a la solicitud de información</w:t>
      </w:r>
      <w:r w:rsidR="00273D73" w:rsidRPr="00C703DC">
        <w:rPr>
          <w:rFonts w:ascii="Palatino Linotype" w:hAnsi="Palatino Linotype"/>
          <w:sz w:val="24"/>
          <w:szCs w:val="24"/>
        </w:rPr>
        <w:t>.</w:t>
      </w:r>
    </w:p>
    <w:p w14:paraId="0B481E89" w14:textId="77777777" w:rsidR="00273D73" w:rsidRPr="00C703DC" w:rsidRDefault="00273D73" w:rsidP="005C2A3E">
      <w:pPr>
        <w:spacing w:after="0" w:line="360" w:lineRule="auto"/>
        <w:contextualSpacing/>
        <w:jc w:val="both"/>
        <w:rPr>
          <w:rFonts w:ascii="Palatino Linotype" w:eastAsia="Times New Roman" w:hAnsi="Palatino Linotype" w:cs="Calibri"/>
          <w:i/>
          <w:iCs/>
          <w:sz w:val="24"/>
          <w:szCs w:val="24"/>
          <w:lang w:val="es-ES_tradnl" w:eastAsia="es-MX"/>
        </w:rPr>
      </w:pPr>
    </w:p>
    <w:p w14:paraId="52548697" w14:textId="3F34BA36" w:rsidR="00F11C89" w:rsidRPr="00C703DC" w:rsidRDefault="000D134C" w:rsidP="005C2A3E">
      <w:pPr>
        <w:spacing w:after="0" w:line="360" w:lineRule="auto"/>
        <w:jc w:val="both"/>
        <w:rPr>
          <w:rFonts w:ascii="Palatino Linotype" w:eastAsia="Times New Roman" w:hAnsi="Palatino Linotype" w:cs="Palatino Linotype"/>
          <w:color w:val="000000"/>
          <w:sz w:val="24"/>
          <w:szCs w:val="24"/>
          <w:lang w:eastAsia="es-MX"/>
        </w:rPr>
      </w:pPr>
      <w:r w:rsidRPr="00C703DC">
        <w:rPr>
          <w:rFonts w:ascii="Palatino Linotype" w:eastAsia="Times New Roman" w:hAnsi="Palatino Linotype" w:cs="Palatino Linotype"/>
          <w:color w:val="000000"/>
          <w:sz w:val="24"/>
          <w:lang w:val="es-ES_tradnl" w:eastAsia="es-MX"/>
        </w:rPr>
        <w:t xml:space="preserve">Ante la respuesta emitida por el Sujeto Obligado, el Recurrente consideró que su derecho a la información pública había sido conculcado, por lo que interpuso el recurso de revisión al rubro citado, señalando como acto impugnado </w:t>
      </w:r>
      <w:r w:rsidRPr="00C703DC">
        <w:rPr>
          <w:rFonts w:ascii="Palatino Linotype" w:eastAsia="Times New Roman" w:hAnsi="Palatino Linotype" w:cs="Palatino Linotype"/>
          <w:i/>
          <w:iCs/>
          <w:color w:val="000000"/>
          <w:sz w:val="24"/>
          <w:lang w:val="es-ES_tradnl" w:eastAsia="es-MX"/>
        </w:rPr>
        <w:t>“</w:t>
      </w:r>
      <w:r w:rsidR="00067548" w:rsidRPr="00C703DC">
        <w:rPr>
          <w:rFonts w:ascii="Palatino Linotype" w:hAnsi="Palatino Linotype"/>
          <w:i/>
          <w:color w:val="000000"/>
          <w:sz w:val="24"/>
          <w:szCs w:val="24"/>
        </w:rPr>
        <w:t xml:space="preserve">la respuesta entregada por el </w:t>
      </w:r>
      <w:r w:rsidR="00067548" w:rsidRPr="00C703DC">
        <w:rPr>
          <w:rFonts w:ascii="Palatino Linotype" w:hAnsi="Palatino Linotype"/>
          <w:i/>
          <w:color w:val="000000"/>
          <w:sz w:val="24"/>
          <w:szCs w:val="24"/>
        </w:rPr>
        <w:lastRenderedPageBreak/>
        <w:t>sujeto obligado.</w:t>
      </w:r>
      <w:r w:rsidRPr="00C703DC">
        <w:rPr>
          <w:rFonts w:ascii="Palatino Linotype" w:eastAsia="Times New Roman" w:hAnsi="Palatino Linotype" w:cs="Palatino Linotype"/>
          <w:i/>
          <w:iCs/>
          <w:color w:val="000000"/>
          <w:sz w:val="24"/>
          <w:lang w:eastAsia="es-MX"/>
        </w:rPr>
        <w:t>”</w:t>
      </w:r>
      <w:r w:rsidRPr="00C703DC">
        <w:rPr>
          <w:rFonts w:ascii="Palatino Linotype" w:eastAsia="Times New Roman" w:hAnsi="Palatino Linotype" w:cs="Palatino Linotype"/>
          <w:i/>
          <w:iCs/>
          <w:color w:val="000000"/>
          <w:sz w:val="24"/>
          <w:lang w:val="es-ES_tradnl" w:eastAsia="es-MX"/>
        </w:rPr>
        <w:t xml:space="preserve"> </w:t>
      </w:r>
      <w:r w:rsidRPr="00C703DC">
        <w:rPr>
          <w:rFonts w:ascii="Palatino Linotype" w:eastAsia="Times New Roman" w:hAnsi="Palatino Linotype" w:cs="Palatino Linotype"/>
          <w:color w:val="000000"/>
          <w:sz w:val="24"/>
          <w:lang w:val="es-ES_tradnl" w:eastAsia="es-MX"/>
        </w:rPr>
        <w:t xml:space="preserve">y motivos de inconformidad </w:t>
      </w:r>
      <w:r w:rsidRPr="00C703DC">
        <w:rPr>
          <w:rFonts w:ascii="Palatino Linotype" w:eastAsia="Times New Roman" w:hAnsi="Palatino Linotype" w:cs="Palatino Linotype"/>
          <w:i/>
          <w:color w:val="000000"/>
          <w:sz w:val="24"/>
          <w:szCs w:val="24"/>
          <w:lang w:val="es-ES_tradnl" w:eastAsia="es-MX"/>
        </w:rPr>
        <w:t>“</w:t>
      </w:r>
      <w:r w:rsidR="00067548" w:rsidRPr="00C703DC">
        <w:rPr>
          <w:rFonts w:ascii="Palatino Linotype" w:hAnsi="Palatino Linotype"/>
          <w:i/>
          <w:color w:val="000000"/>
          <w:sz w:val="24"/>
          <w:szCs w:val="24"/>
        </w:rPr>
        <w:t xml:space="preserve">el sujeto obligado no entrega la información solicitada, al tratarse de información que obran en archivos de autoridades auxiliares, la información debe ser solicitada por la Dirección, coordinación o departamento encargado de regular a las autoridades auxiliares bajo el principio de </w:t>
      </w:r>
      <w:proofErr w:type="spellStart"/>
      <w:r w:rsidR="00067548" w:rsidRPr="00C703DC">
        <w:rPr>
          <w:rFonts w:ascii="Palatino Linotype" w:hAnsi="Palatino Linotype"/>
          <w:i/>
          <w:color w:val="000000"/>
          <w:sz w:val="24"/>
          <w:szCs w:val="24"/>
        </w:rPr>
        <w:t>Maxime</w:t>
      </w:r>
      <w:proofErr w:type="spellEnd"/>
      <w:r w:rsidR="00067548" w:rsidRPr="00C703DC">
        <w:rPr>
          <w:rFonts w:ascii="Palatino Linotype" w:hAnsi="Palatino Linotype"/>
          <w:i/>
          <w:color w:val="000000"/>
          <w:sz w:val="24"/>
          <w:szCs w:val="24"/>
        </w:rPr>
        <w:t xml:space="preserve"> publicidad.</w:t>
      </w:r>
      <w:r w:rsidRPr="00C703DC">
        <w:rPr>
          <w:rFonts w:ascii="Palatino Linotype" w:hAnsi="Palatino Linotype"/>
          <w:i/>
          <w:color w:val="000000"/>
          <w:sz w:val="24"/>
          <w:szCs w:val="24"/>
        </w:rPr>
        <w:t>”</w:t>
      </w:r>
      <w:r w:rsidRPr="00C703DC">
        <w:rPr>
          <w:rFonts w:ascii="Palatino Linotype" w:eastAsia="Times New Roman" w:hAnsi="Palatino Linotype" w:cs="Palatino Linotype"/>
          <w:i/>
          <w:color w:val="000000"/>
          <w:sz w:val="24"/>
          <w:szCs w:val="24"/>
          <w:lang w:val="es-ES_tradnl" w:eastAsia="es-MX"/>
        </w:rPr>
        <w:t>,</w:t>
      </w:r>
      <w:r w:rsidRPr="00C703DC">
        <w:rPr>
          <w:rFonts w:ascii="Palatino Linotype" w:eastAsia="Times New Roman" w:hAnsi="Palatino Linotype" w:cs="Palatino Linotype"/>
          <w:i/>
          <w:color w:val="000000"/>
          <w:lang w:val="es-ES_tradnl" w:eastAsia="es-MX"/>
        </w:rPr>
        <w:t xml:space="preserve"> </w:t>
      </w:r>
      <w:r w:rsidRPr="00C703DC">
        <w:rPr>
          <w:rFonts w:ascii="Palatino Linotype" w:eastAsia="Times New Roman" w:hAnsi="Palatino Linotype" w:cs="Palatino Linotype"/>
          <w:color w:val="000000"/>
          <w:sz w:val="24"/>
          <w:lang w:val="es-ES_tradnl" w:eastAsia="es-MX"/>
        </w:rPr>
        <w:t>en este sentido el Recurrente</w:t>
      </w:r>
      <w:r w:rsidR="00534385" w:rsidRPr="00C703DC">
        <w:rPr>
          <w:rFonts w:ascii="Palatino Linotype" w:eastAsia="Times New Roman" w:hAnsi="Palatino Linotype" w:cs="Palatino Linotype"/>
          <w:color w:val="000000"/>
          <w:sz w:val="24"/>
          <w:lang w:val="es-ES_tradnl" w:eastAsia="es-MX"/>
        </w:rPr>
        <w:t xml:space="preserve"> considero que el Sujeto Obligado no le dio cuenta de </w:t>
      </w:r>
      <w:r w:rsidR="00067548" w:rsidRPr="00C703DC">
        <w:rPr>
          <w:rFonts w:ascii="Palatino Linotype" w:eastAsia="Times New Roman" w:hAnsi="Palatino Linotype" w:cs="Palatino Linotype"/>
          <w:color w:val="000000"/>
          <w:sz w:val="24"/>
          <w:lang w:val="es-ES_tradnl" w:eastAsia="es-MX"/>
        </w:rPr>
        <w:t xml:space="preserve">la información solicitada respecto a los ingresos con motivo de la Feria del Maíz 2025. </w:t>
      </w:r>
    </w:p>
    <w:p w14:paraId="0FBC295F" w14:textId="4A1A67DE" w:rsidR="00534385" w:rsidRPr="00C703DC" w:rsidRDefault="00F11C89" w:rsidP="005C2A3E">
      <w:pPr>
        <w:spacing w:after="0" w:line="360" w:lineRule="auto"/>
        <w:jc w:val="center"/>
        <w:rPr>
          <w:rFonts w:ascii="Palatino Linotype" w:hAnsi="Palatino Linotype" w:cs="Arial"/>
          <w:b/>
          <w:bCs/>
          <w:i/>
          <w:iCs/>
          <w:sz w:val="24"/>
          <w:szCs w:val="24"/>
        </w:rPr>
      </w:pPr>
      <w:r w:rsidRPr="00C703DC">
        <w:rPr>
          <w:noProof/>
          <w:lang w:eastAsia="es-MX"/>
        </w:rPr>
        <w:t xml:space="preserve"> </w:t>
      </w:r>
    </w:p>
    <w:p w14:paraId="408BE52C" w14:textId="77777777" w:rsidR="00EA5B54" w:rsidRPr="00C703DC" w:rsidRDefault="00EA5B54" w:rsidP="005C2A3E">
      <w:pPr>
        <w:tabs>
          <w:tab w:val="left" w:pos="709"/>
        </w:tabs>
        <w:spacing w:after="0" w:line="360" w:lineRule="auto"/>
        <w:contextualSpacing/>
        <w:jc w:val="both"/>
        <w:rPr>
          <w:rFonts w:ascii="Palatino Linotype" w:eastAsia="Times New Roman" w:hAnsi="Palatino Linotype" w:cs="Arial"/>
          <w:sz w:val="24"/>
          <w:lang w:val="es-ES_tradnl" w:eastAsia="es-MX"/>
        </w:rPr>
      </w:pPr>
    </w:p>
    <w:p w14:paraId="51E3A3A6" w14:textId="77777777" w:rsidR="000D134C" w:rsidRPr="00C703DC" w:rsidRDefault="000D134C" w:rsidP="005C2A3E">
      <w:pPr>
        <w:tabs>
          <w:tab w:val="left" w:pos="709"/>
        </w:tabs>
        <w:spacing w:after="0" w:line="360" w:lineRule="auto"/>
        <w:contextualSpacing/>
        <w:jc w:val="both"/>
        <w:rPr>
          <w:rFonts w:ascii="Palatino Linotype" w:eastAsia="Times New Roman" w:hAnsi="Palatino Linotype" w:cs="Arial"/>
          <w:sz w:val="24"/>
          <w:lang w:val="es-ES_tradnl" w:eastAsia="es-MX"/>
        </w:rPr>
      </w:pPr>
      <w:r w:rsidRPr="00C703DC">
        <w:rPr>
          <w:rFonts w:ascii="Palatino Linotype" w:eastAsia="Times New Roman" w:hAnsi="Palatino Linotype" w:cs="Arial"/>
          <w:sz w:val="24"/>
          <w:lang w:val="es-ES_tradnl" w:eastAsia="es-MX"/>
        </w:rPr>
        <w:t>De lo anterior se debe señalar que el artículo 4, párrafo segundo de la Ley de Transparencia y Acceso a la Información Pública del Estado de México y Municipios, dispone:</w:t>
      </w:r>
    </w:p>
    <w:p w14:paraId="37C25DF1" w14:textId="77777777" w:rsidR="00067548" w:rsidRPr="00C703DC" w:rsidRDefault="00067548" w:rsidP="005C2A3E">
      <w:pPr>
        <w:tabs>
          <w:tab w:val="left" w:pos="709"/>
        </w:tabs>
        <w:spacing w:after="0" w:line="360" w:lineRule="auto"/>
        <w:contextualSpacing/>
        <w:jc w:val="both"/>
        <w:rPr>
          <w:rFonts w:ascii="Palatino Linotype" w:eastAsia="Times New Roman" w:hAnsi="Palatino Linotype" w:cs="Arial"/>
          <w:sz w:val="24"/>
          <w:lang w:val="es-ES_tradnl" w:eastAsia="es-MX"/>
        </w:rPr>
      </w:pPr>
    </w:p>
    <w:p w14:paraId="2509E8E7" w14:textId="77777777" w:rsidR="000D134C" w:rsidRPr="00C703DC" w:rsidRDefault="000D134C" w:rsidP="005C2A3E">
      <w:pPr>
        <w:spacing w:after="0" w:line="360" w:lineRule="auto"/>
        <w:ind w:left="567" w:right="616"/>
        <w:jc w:val="both"/>
        <w:rPr>
          <w:rFonts w:ascii="Palatino Linotype" w:eastAsia="Times New Roman" w:hAnsi="Palatino Linotype" w:cs="Arial"/>
          <w:i/>
          <w:lang w:val="es-ES_tradnl" w:eastAsia="es-MX"/>
        </w:rPr>
      </w:pPr>
      <w:r w:rsidRPr="00C703DC">
        <w:rPr>
          <w:rFonts w:ascii="Palatino Linotype" w:eastAsia="Times New Roman" w:hAnsi="Palatino Linotype" w:cs="Arial"/>
          <w:i/>
          <w:lang w:val="es-ES_tradnl" w:eastAsia="es-MX"/>
        </w:rPr>
        <w:t>“</w:t>
      </w:r>
      <w:r w:rsidRPr="00C703DC">
        <w:rPr>
          <w:rFonts w:ascii="Palatino Linotype" w:eastAsia="Times New Roman" w:hAnsi="Palatino Linotype" w:cs="Arial"/>
          <w:b/>
          <w:i/>
          <w:lang w:val="es-ES_tradnl" w:eastAsia="es-MX"/>
        </w:rPr>
        <w:t xml:space="preserve">Artículo 4. </w:t>
      </w:r>
      <w:r w:rsidRPr="00C703DC">
        <w:rPr>
          <w:rFonts w:ascii="Palatino Linotype" w:eastAsia="Times New Roman" w:hAnsi="Palatino Linotype" w:cs="Arial"/>
          <w:i/>
          <w:lang w:val="es-ES_tradnl" w:eastAsia="es-MX"/>
        </w:rPr>
        <w:t xml:space="preserve">… </w:t>
      </w:r>
    </w:p>
    <w:p w14:paraId="0838B858" w14:textId="77777777" w:rsidR="000D134C" w:rsidRPr="00C703DC" w:rsidRDefault="000D134C" w:rsidP="005C2A3E">
      <w:pPr>
        <w:spacing w:after="0" w:line="360" w:lineRule="auto"/>
        <w:ind w:left="567" w:right="616"/>
        <w:jc w:val="both"/>
        <w:rPr>
          <w:rFonts w:ascii="Palatino Linotype" w:eastAsia="Times New Roman" w:hAnsi="Palatino Linotype" w:cs="Arial"/>
          <w:i/>
          <w:lang w:val="es-ES_tradnl" w:eastAsia="es-MX"/>
        </w:rPr>
      </w:pPr>
      <w:r w:rsidRPr="00C703DC">
        <w:rPr>
          <w:rFonts w:ascii="Palatino Linotype" w:eastAsia="Times New Roman" w:hAnsi="Palatino Linotype" w:cs="Arial"/>
          <w:i/>
          <w:lang w:val="es-ES_tradnl" w:eastAsia="es-MX"/>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304B3F5" w14:textId="77777777" w:rsidR="000D134C" w:rsidRPr="00C703DC" w:rsidRDefault="000D134C" w:rsidP="005C2A3E">
      <w:pPr>
        <w:spacing w:after="0" w:line="360" w:lineRule="auto"/>
        <w:ind w:left="567" w:right="616"/>
        <w:jc w:val="both"/>
        <w:rPr>
          <w:rFonts w:ascii="Palatino Linotype" w:eastAsia="Times New Roman" w:hAnsi="Palatino Linotype" w:cs="Arial"/>
          <w:i/>
          <w:lang w:val="es-ES_tradnl" w:eastAsia="es-MX"/>
        </w:rPr>
      </w:pPr>
    </w:p>
    <w:p w14:paraId="66786304" w14:textId="77777777" w:rsidR="000D134C" w:rsidRPr="00C703DC" w:rsidRDefault="000D134C" w:rsidP="005C2A3E">
      <w:pPr>
        <w:tabs>
          <w:tab w:val="left" w:pos="709"/>
        </w:tabs>
        <w:spacing w:after="0" w:line="360" w:lineRule="auto"/>
        <w:contextualSpacing/>
        <w:jc w:val="both"/>
        <w:rPr>
          <w:rFonts w:ascii="Palatino Linotype" w:eastAsia="Times New Roman" w:hAnsi="Palatino Linotype" w:cs="Arial"/>
          <w:sz w:val="24"/>
          <w:lang w:val="es-ES_tradnl" w:eastAsia="es-MX"/>
        </w:rPr>
      </w:pPr>
      <w:r w:rsidRPr="00C703DC">
        <w:rPr>
          <w:rFonts w:ascii="Palatino Linotype" w:eastAsia="Times New Roman" w:hAnsi="Palatino Linotype" w:cs="Arial"/>
          <w:sz w:val="24"/>
          <w:lang w:val="es-ES_tradnl" w:eastAsia="es-MX"/>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337B8652" w14:textId="77777777" w:rsidR="000D134C" w:rsidRPr="00C703DC" w:rsidRDefault="000D134C" w:rsidP="005C2A3E">
      <w:pPr>
        <w:tabs>
          <w:tab w:val="left" w:pos="709"/>
        </w:tabs>
        <w:spacing w:after="0" w:line="360" w:lineRule="auto"/>
        <w:contextualSpacing/>
        <w:jc w:val="both"/>
        <w:rPr>
          <w:rFonts w:ascii="Palatino Linotype" w:eastAsia="Times New Roman" w:hAnsi="Palatino Linotype" w:cs="Arial"/>
          <w:sz w:val="24"/>
          <w:lang w:val="es-ES_tradnl" w:eastAsia="es-MX"/>
        </w:rPr>
      </w:pPr>
    </w:p>
    <w:p w14:paraId="24DCB78E" w14:textId="77777777" w:rsidR="000D134C" w:rsidRPr="00C703DC" w:rsidRDefault="000D134C" w:rsidP="005C2A3E">
      <w:pPr>
        <w:tabs>
          <w:tab w:val="left" w:pos="709"/>
        </w:tabs>
        <w:spacing w:after="0" w:line="360" w:lineRule="auto"/>
        <w:contextualSpacing/>
        <w:jc w:val="both"/>
        <w:rPr>
          <w:rFonts w:ascii="Palatino Linotype" w:eastAsia="Times New Roman" w:hAnsi="Palatino Linotype" w:cs="Arial"/>
          <w:sz w:val="24"/>
          <w:lang w:val="es-ES_tradnl" w:eastAsia="es-MX"/>
        </w:rPr>
      </w:pPr>
      <w:r w:rsidRPr="00C703DC">
        <w:rPr>
          <w:rFonts w:ascii="Palatino Linotype" w:eastAsia="Times New Roman" w:hAnsi="Palatino Linotype" w:cs="Arial"/>
          <w:sz w:val="24"/>
          <w:lang w:val="es-ES_tradnl" w:eastAsia="es-MX"/>
        </w:rPr>
        <w:t xml:space="preserve">En esta misma tesitura, el derecho de acceso a la información pública, consiste en que la información solicitada conste en un soporte documental en cualquiera de sus formas, a saber: </w:t>
      </w:r>
      <w:r w:rsidRPr="00C703DC">
        <w:rPr>
          <w:rFonts w:ascii="Palatino Linotype" w:eastAsia="Times New Roman" w:hAnsi="Palatino Linotype" w:cs="Arial"/>
          <w:b/>
          <w:sz w:val="24"/>
          <w:u w:val="single"/>
          <w:lang w:val="es-ES_tradnl" w:eastAsia="es-MX"/>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C703DC">
        <w:rPr>
          <w:rFonts w:ascii="Palatino Linotype" w:eastAsia="Times New Roman" w:hAnsi="Palatino Linotype" w:cs="Arial"/>
          <w:sz w:val="24"/>
          <w:lang w:val="es-ES_tradnl" w:eastAsia="es-MX"/>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64D87A17" w14:textId="77777777" w:rsidR="005C2A3E" w:rsidRPr="00C703DC" w:rsidRDefault="005C2A3E" w:rsidP="005C2A3E">
      <w:pPr>
        <w:tabs>
          <w:tab w:val="left" w:pos="709"/>
        </w:tabs>
        <w:spacing w:after="0" w:line="360" w:lineRule="auto"/>
        <w:contextualSpacing/>
        <w:jc w:val="both"/>
        <w:rPr>
          <w:rFonts w:ascii="Palatino Linotype" w:eastAsia="Times New Roman" w:hAnsi="Palatino Linotype" w:cs="Arial"/>
          <w:sz w:val="24"/>
          <w:lang w:val="es-ES_tradnl" w:eastAsia="es-MX"/>
        </w:rPr>
      </w:pPr>
    </w:p>
    <w:p w14:paraId="427A8C2A" w14:textId="77777777" w:rsidR="000D134C" w:rsidRPr="00C703DC" w:rsidRDefault="000D134C" w:rsidP="005C2A3E">
      <w:pPr>
        <w:spacing w:after="0" w:line="360" w:lineRule="auto"/>
        <w:ind w:left="567" w:right="616"/>
        <w:jc w:val="both"/>
        <w:rPr>
          <w:rFonts w:ascii="Palatino Linotype" w:eastAsia="Times New Roman" w:hAnsi="Palatino Linotype" w:cs="Arial"/>
          <w:i/>
          <w:lang w:val="es-ES_tradnl" w:eastAsia="es-MX"/>
        </w:rPr>
      </w:pPr>
      <w:r w:rsidRPr="00C703DC">
        <w:rPr>
          <w:rFonts w:ascii="Palatino Linotype" w:eastAsia="Times New Roman" w:hAnsi="Palatino Linotype" w:cs="Arial"/>
          <w:i/>
          <w:lang w:val="es-ES_tradnl" w:eastAsia="es-MX"/>
        </w:rPr>
        <w:t>“</w:t>
      </w:r>
      <w:r w:rsidRPr="00C703DC">
        <w:rPr>
          <w:rFonts w:ascii="Palatino Linotype" w:eastAsia="Times New Roman" w:hAnsi="Palatino Linotype" w:cs="Arial"/>
          <w:b/>
          <w:i/>
          <w:lang w:val="es-ES_tradnl" w:eastAsia="es-MX"/>
        </w:rPr>
        <w:t xml:space="preserve">Artículo 3. </w:t>
      </w:r>
      <w:r w:rsidRPr="00C703DC">
        <w:rPr>
          <w:rFonts w:ascii="Palatino Linotype" w:eastAsia="Times New Roman" w:hAnsi="Palatino Linotype" w:cs="Arial"/>
          <w:i/>
          <w:lang w:val="es-ES_tradnl" w:eastAsia="es-MX"/>
        </w:rPr>
        <w:t>Para los efectos de la presente Ley se entenderá por:</w:t>
      </w:r>
    </w:p>
    <w:p w14:paraId="72600F55" w14:textId="77777777" w:rsidR="000D134C" w:rsidRPr="00C703DC" w:rsidRDefault="000D134C" w:rsidP="005C2A3E">
      <w:pPr>
        <w:spacing w:after="0" w:line="360" w:lineRule="auto"/>
        <w:ind w:left="567" w:right="616"/>
        <w:jc w:val="both"/>
        <w:rPr>
          <w:rFonts w:ascii="Palatino Linotype" w:eastAsia="Times New Roman" w:hAnsi="Palatino Linotype" w:cs="Arial"/>
          <w:i/>
          <w:lang w:val="es-ES_tradnl" w:eastAsia="es-MX"/>
        </w:rPr>
      </w:pPr>
      <w:r w:rsidRPr="00C703DC">
        <w:rPr>
          <w:rFonts w:ascii="Palatino Linotype" w:eastAsia="Times New Roman" w:hAnsi="Palatino Linotype" w:cs="Arial"/>
          <w:i/>
          <w:lang w:val="es-ES_tradnl" w:eastAsia="es-MX"/>
        </w:rPr>
        <w:t>(…)</w:t>
      </w:r>
    </w:p>
    <w:p w14:paraId="6A39152E" w14:textId="77777777" w:rsidR="000D134C" w:rsidRPr="00C703DC" w:rsidRDefault="000D134C" w:rsidP="005C2A3E">
      <w:pPr>
        <w:spacing w:after="0" w:line="360" w:lineRule="auto"/>
        <w:ind w:left="567" w:right="616"/>
        <w:jc w:val="both"/>
        <w:rPr>
          <w:rFonts w:ascii="Palatino Linotype" w:eastAsia="Times New Roman" w:hAnsi="Palatino Linotype" w:cs="Arial"/>
          <w:i/>
          <w:lang w:val="es-ES_tradnl" w:eastAsia="es-MX"/>
        </w:rPr>
      </w:pPr>
      <w:r w:rsidRPr="00C703DC">
        <w:rPr>
          <w:rFonts w:ascii="Palatino Linotype" w:eastAsia="Times New Roman" w:hAnsi="Palatino Linotype" w:cs="Arial"/>
          <w:b/>
          <w:i/>
          <w:lang w:val="es-ES_tradnl" w:eastAsia="es-MX"/>
        </w:rPr>
        <w:t>XI. Documento:</w:t>
      </w:r>
      <w:r w:rsidRPr="00C703DC">
        <w:rPr>
          <w:rFonts w:ascii="Palatino Linotype" w:eastAsia="Times New Roman" w:hAnsi="Palatino Linotype" w:cs="Arial"/>
          <w:i/>
          <w:lang w:val="es-ES_tradnl" w:eastAsia="es-MX"/>
        </w:rPr>
        <w:t xml:space="preserve"> Los expedientes, reportes, estudios, actas, resoluciones, oficios, correspondencia, acuerdos, directivas, directrices, circulares, contratos, convenios, instructivos, notas, memorandos, estadísticas o bien, cualquier otro </w:t>
      </w:r>
      <w:r w:rsidRPr="00C703DC">
        <w:rPr>
          <w:rFonts w:ascii="Palatino Linotype" w:eastAsia="Times New Roman" w:hAnsi="Palatino Linotype" w:cs="Arial"/>
          <w:b/>
          <w:i/>
          <w:u w:val="single"/>
          <w:lang w:val="es-ES_tradnl" w:eastAsia="es-MX"/>
        </w:rPr>
        <w:t>registro que documente el ejercicio de las facultades, funciones y competencias de los sujetos obligados</w:t>
      </w:r>
      <w:r w:rsidRPr="00C703DC">
        <w:rPr>
          <w:rFonts w:ascii="Palatino Linotype" w:eastAsia="Times New Roman" w:hAnsi="Palatino Linotype" w:cs="Arial"/>
          <w:i/>
          <w:u w:val="single"/>
          <w:lang w:val="es-ES_tradnl" w:eastAsia="es-MX"/>
        </w:rPr>
        <w:t>,</w:t>
      </w:r>
      <w:r w:rsidRPr="00C703DC">
        <w:rPr>
          <w:rFonts w:ascii="Palatino Linotype" w:eastAsia="Times New Roman" w:hAnsi="Palatino Linotype" w:cs="Arial"/>
          <w:i/>
          <w:lang w:val="es-ES_tradnl" w:eastAsia="es-MX"/>
        </w:rPr>
        <w:t xml:space="preserve"> sus servidores públicos e integrantes, </w:t>
      </w:r>
      <w:r w:rsidRPr="00C703DC">
        <w:rPr>
          <w:rFonts w:ascii="Palatino Linotype" w:eastAsia="Times New Roman" w:hAnsi="Palatino Linotype" w:cs="Arial"/>
          <w:b/>
          <w:i/>
          <w:u w:val="single"/>
          <w:lang w:val="es-ES_tradnl" w:eastAsia="es-MX"/>
        </w:rPr>
        <w:t>sin importar su fuente o fecha de elaboración.</w:t>
      </w:r>
      <w:r w:rsidRPr="00C703DC">
        <w:rPr>
          <w:rFonts w:ascii="Palatino Linotype" w:eastAsia="Times New Roman" w:hAnsi="Palatino Linotype" w:cs="Arial"/>
          <w:i/>
          <w:lang w:val="es-ES_tradnl" w:eastAsia="es-MX"/>
        </w:rPr>
        <w:t xml:space="preserve"> Los documentos podrán estar en cualquier medio, sea escrito, impreso, sonoro, visual, electrónico, informático u holográfico;</w:t>
      </w:r>
    </w:p>
    <w:p w14:paraId="2AEE75BB" w14:textId="77777777" w:rsidR="000D134C" w:rsidRPr="00C703DC" w:rsidRDefault="000D134C" w:rsidP="005C2A3E">
      <w:pPr>
        <w:spacing w:after="0" w:line="360" w:lineRule="auto"/>
        <w:ind w:left="567" w:right="616"/>
        <w:jc w:val="both"/>
        <w:rPr>
          <w:rFonts w:ascii="Palatino Linotype" w:eastAsia="Times New Roman" w:hAnsi="Palatino Linotype" w:cs="Arial"/>
          <w:i/>
          <w:lang w:val="es-ES_tradnl" w:eastAsia="es-MX"/>
        </w:rPr>
      </w:pPr>
      <w:r w:rsidRPr="00C703DC">
        <w:rPr>
          <w:rFonts w:ascii="Palatino Linotype" w:eastAsia="Times New Roman" w:hAnsi="Palatino Linotype" w:cs="Arial"/>
          <w:i/>
          <w:lang w:val="es-ES_tradnl" w:eastAsia="es-MX"/>
        </w:rPr>
        <w:t>(…)”</w:t>
      </w:r>
    </w:p>
    <w:p w14:paraId="19274F9E" w14:textId="77777777" w:rsidR="000D134C" w:rsidRPr="00C703DC" w:rsidRDefault="000D134C" w:rsidP="005C2A3E">
      <w:pPr>
        <w:spacing w:after="0" w:line="360" w:lineRule="auto"/>
        <w:ind w:right="49"/>
        <w:contextualSpacing/>
        <w:jc w:val="both"/>
        <w:rPr>
          <w:rFonts w:ascii="Palatino Linotype" w:eastAsia="Times New Roman" w:hAnsi="Palatino Linotype" w:cs="Arial"/>
          <w:sz w:val="24"/>
          <w:lang w:val="es-ES_tradnl" w:eastAsia="es-MX"/>
        </w:rPr>
      </w:pPr>
    </w:p>
    <w:p w14:paraId="14EEFD60" w14:textId="5FD0A157" w:rsidR="000D134C" w:rsidRPr="00C703DC" w:rsidRDefault="000D134C" w:rsidP="005C2A3E">
      <w:pPr>
        <w:spacing w:after="0" w:line="360" w:lineRule="auto"/>
        <w:ind w:right="49"/>
        <w:contextualSpacing/>
        <w:jc w:val="both"/>
        <w:rPr>
          <w:rFonts w:ascii="Palatino Linotype" w:eastAsia="MS Mincho" w:hAnsi="Palatino Linotype" w:cs="Calibri"/>
          <w:sz w:val="24"/>
          <w:lang w:val="es-ES_tradnl" w:eastAsia="es-MX"/>
        </w:rPr>
      </w:pPr>
      <w:r w:rsidRPr="00C703DC">
        <w:rPr>
          <w:rFonts w:ascii="Palatino Linotype" w:eastAsia="Times New Roman" w:hAnsi="Palatino Linotype" w:cs="Arial"/>
          <w:sz w:val="24"/>
          <w:lang w:val="es-ES_tradnl" w:eastAsia="es-MX"/>
        </w:rPr>
        <w:t xml:space="preserve">Además, </w:t>
      </w:r>
      <w:r w:rsidRPr="00C703DC">
        <w:rPr>
          <w:rFonts w:ascii="Palatino Linotype" w:eastAsia="MS Mincho" w:hAnsi="Palatino Linotype" w:cs="Calibri"/>
          <w:sz w:val="24"/>
          <w:lang w:val="es-ES_tradnl" w:eastAsia="es-MX"/>
        </w:rPr>
        <w:t xml:space="preserve">es importante señalar que el artículo 18, de la Ley en la materia, los Sujetos Obligados cuenta con la obligación de documentar todos los actos que derive de sus atribuciones, funciones y competencia desde su origen la eventual y reutilización de la </w:t>
      </w:r>
      <w:r w:rsidRPr="00C703DC">
        <w:rPr>
          <w:rFonts w:ascii="Palatino Linotype" w:eastAsia="MS Mincho" w:hAnsi="Palatino Linotype" w:cs="Calibri"/>
          <w:sz w:val="24"/>
          <w:lang w:val="es-ES_tradnl" w:eastAsia="es-MX"/>
        </w:rPr>
        <w:lastRenderedPageBreak/>
        <w:t>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33EADF79" w14:textId="77777777" w:rsidR="005C2A3E" w:rsidRPr="00C703DC" w:rsidRDefault="005C2A3E" w:rsidP="005C2A3E">
      <w:pPr>
        <w:spacing w:after="0" w:line="360" w:lineRule="auto"/>
        <w:ind w:right="49"/>
        <w:contextualSpacing/>
        <w:jc w:val="both"/>
        <w:rPr>
          <w:rFonts w:ascii="Palatino Linotype" w:eastAsia="MS Mincho" w:hAnsi="Palatino Linotype" w:cs="Calibri"/>
          <w:sz w:val="24"/>
          <w:lang w:val="es-ES_tradnl" w:eastAsia="es-MX"/>
        </w:rPr>
      </w:pPr>
    </w:p>
    <w:p w14:paraId="2F7B1109" w14:textId="77777777" w:rsidR="000D134C" w:rsidRPr="00C703DC" w:rsidRDefault="000D134C" w:rsidP="005C2A3E">
      <w:pPr>
        <w:spacing w:after="0" w:line="360" w:lineRule="auto"/>
        <w:ind w:right="49"/>
        <w:contextualSpacing/>
        <w:jc w:val="both"/>
        <w:rPr>
          <w:rFonts w:ascii="Palatino Linotype" w:eastAsia="MS Mincho" w:hAnsi="Palatino Linotype" w:cs="Tahoma"/>
          <w:sz w:val="24"/>
          <w:lang w:val="es-ES_tradnl" w:eastAsia="es-MX"/>
        </w:rPr>
      </w:pPr>
      <w:r w:rsidRPr="00C703DC">
        <w:rPr>
          <w:rFonts w:ascii="Palatino Linotype" w:eastAsia="Times New Roman" w:hAnsi="Palatino Linotype" w:cs="Arial"/>
          <w:sz w:val="24"/>
          <w:lang w:val="es-ES_tradnl" w:eastAsia="es-MX"/>
        </w:rPr>
        <w:t xml:space="preserve">De la misma forma, </w:t>
      </w:r>
      <w:r w:rsidRPr="00C703DC">
        <w:rPr>
          <w:rFonts w:ascii="Palatino Linotype" w:eastAsia="MS Mincho" w:hAnsi="Palatino Linotype" w:cs="Calibri"/>
          <w:sz w:val="24"/>
          <w:lang w:val="es-ES_tradnl" w:eastAsia="es-MX"/>
        </w:rPr>
        <w:t>de acuerdo al contenido del artículo 160,</w:t>
      </w:r>
      <w:r w:rsidRPr="00C703DC">
        <w:rPr>
          <w:rFonts w:ascii="Palatino Linotype" w:eastAsia="Times New Roman" w:hAnsi="Palatino Linotype" w:cs="Arial"/>
          <w:sz w:val="24"/>
          <w:lang w:val="es-ES_tradnl" w:eastAsia="es-MX"/>
        </w:rPr>
        <w:t xml:space="preserve"> de la Ley </w:t>
      </w:r>
      <w:r w:rsidRPr="00C703DC">
        <w:rPr>
          <w:rFonts w:ascii="Palatino Linotype" w:eastAsia="MS Mincho" w:hAnsi="Palatino Linotype" w:cs="Tahoma"/>
          <w:sz w:val="24"/>
          <w:lang w:val="es-ES_tradnl" w:eastAsia="es-MX"/>
        </w:rPr>
        <w:t>General de Transparencia y Acceso a la Información Pública que a la letra dispone</w:t>
      </w:r>
    </w:p>
    <w:p w14:paraId="61CA7067" w14:textId="77777777" w:rsidR="005C2A3E" w:rsidRPr="00C703DC" w:rsidRDefault="005C2A3E" w:rsidP="005C2A3E">
      <w:pPr>
        <w:spacing w:after="0" w:line="360" w:lineRule="auto"/>
        <w:ind w:right="49"/>
        <w:contextualSpacing/>
        <w:jc w:val="both"/>
        <w:rPr>
          <w:rFonts w:ascii="Palatino Linotype" w:eastAsia="MS Mincho" w:hAnsi="Palatino Linotype" w:cs="Tahoma"/>
          <w:sz w:val="24"/>
          <w:lang w:val="es-ES_tradnl" w:eastAsia="es-MX"/>
        </w:rPr>
      </w:pPr>
    </w:p>
    <w:p w14:paraId="1F4952D9" w14:textId="77777777" w:rsidR="000D134C" w:rsidRPr="00C703DC" w:rsidRDefault="000D134C" w:rsidP="005C2A3E">
      <w:pPr>
        <w:spacing w:after="0" w:line="360" w:lineRule="auto"/>
        <w:ind w:left="567" w:right="616"/>
        <w:contextualSpacing/>
        <w:jc w:val="both"/>
        <w:rPr>
          <w:rFonts w:ascii="Palatino Linotype" w:eastAsia="Times New Roman" w:hAnsi="Palatino Linotype" w:cs="Arial"/>
          <w:i/>
          <w:sz w:val="24"/>
          <w:lang w:val="es-ES_tradnl" w:eastAsia="gl-ES"/>
        </w:rPr>
      </w:pPr>
      <w:r w:rsidRPr="00C703DC">
        <w:rPr>
          <w:rFonts w:ascii="Palatino Linotype" w:eastAsia="Times New Roman" w:hAnsi="Palatino Linotype" w:cs="Arial"/>
          <w:b/>
          <w:i/>
          <w:sz w:val="24"/>
          <w:lang w:val="es-ES_tradnl" w:eastAsia="gl-ES"/>
        </w:rPr>
        <w:t>Artículo 160</w:t>
      </w:r>
      <w:r w:rsidRPr="00C703DC">
        <w:rPr>
          <w:rFonts w:ascii="Palatino Linotype" w:eastAsia="Times New Roman" w:hAnsi="Palatino Linotype" w:cs="Arial"/>
          <w:i/>
          <w:sz w:val="24"/>
          <w:lang w:val="es-ES_tradnl"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5AFC1ABC" w14:textId="77777777" w:rsidR="000D134C" w:rsidRPr="00C703DC" w:rsidRDefault="000D134C" w:rsidP="005C2A3E">
      <w:pPr>
        <w:spacing w:after="0" w:line="360" w:lineRule="auto"/>
        <w:jc w:val="both"/>
        <w:rPr>
          <w:rFonts w:ascii="Palatino Linotype" w:eastAsia="Times New Roman" w:hAnsi="Palatino Linotype" w:cs="Arial"/>
          <w:sz w:val="24"/>
        </w:rPr>
      </w:pPr>
    </w:p>
    <w:p w14:paraId="149A7837" w14:textId="77777777" w:rsidR="000D134C" w:rsidRPr="00C703DC" w:rsidRDefault="000D134C" w:rsidP="005C2A3E">
      <w:pPr>
        <w:spacing w:after="0" w:line="360" w:lineRule="auto"/>
        <w:jc w:val="both"/>
        <w:rPr>
          <w:rFonts w:ascii="Palatino Linotype" w:eastAsia="Times New Roman" w:hAnsi="Palatino Linotype" w:cs="Arial"/>
          <w:sz w:val="24"/>
        </w:rPr>
      </w:pPr>
      <w:r w:rsidRPr="00C703DC">
        <w:rPr>
          <w:rFonts w:ascii="Palatino Linotype" w:eastAsia="Times New Roman" w:hAnsi="Palatino Linotype" w:cs="Arial"/>
          <w:sz w:val="24"/>
        </w:rPr>
        <w:t xml:space="preserve">Expuesto lo anterior, se procede al análisis de la totalidad de las constancias que integran el expediente electrónico del </w:t>
      </w:r>
      <w:r w:rsidRPr="00C703DC">
        <w:rPr>
          <w:rFonts w:ascii="Palatino Linotype" w:eastAsia="Times New Roman" w:hAnsi="Palatino Linotype" w:cs="Arial"/>
          <w:b/>
          <w:sz w:val="24"/>
        </w:rPr>
        <w:t>SAIMEX</w:t>
      </w:r>
      <w:r w:rsidRPr="00C703DC">
        <w:rPr>
          <w:rFonts w:ascii="Palatino Linotype" w:eastAsia="Times New Roman" w:hAnsi="Palatino Linotype" w:cs="Arial"/>
          <w:sz w:val="24"/>
        </w:rPr>
        <w:t xml:space="preserve">, a efecto de determinar si con la información remitida por </w:t>
      </w:r>
      <w:r w:rsidRPr="00C703DC">
        <w:rPr>
          <w:rFonts w:ascii="Palatino Linotype" w:eastAsia="Times New Roman" w:hAnsi="Palatino Linotype" w:cs="Arial"/>
          <w:b/>
          <w:sz w:val="24"/>
        </w:rPr>
        <w:t>El Sujeto Obligado</w:t>
      </w:r>
      <w:r w:rsidRPr="00C703DC">
        <w:rPr>
          <w:rFonts w:ascii="Palatino Linotype" w:eastAsia="Times New Roman" w:hAnsi="Palatino Linotype" w:cs="Arial"/>
          <w:sz w:val="24"/>
        </w:rPr>
        <w:t xml:space="preserve"> a través de su respuesta se colma lo requerido en dicha solicitud.</w:t>
      </w:r>
    </w:p>
    <w:p w14:paraId="2E470B8A" w14:textId="77777777" w:rsidR="005C2A3E" w:rsidRPr="00C703DC" w:rsidRDefault="005C2A3E" w:rsidP="005C2A3E">
      <w:pPr>
        <w:spacing w:after="0" w:line="360" w:lineRule="auto"/>
        <w:jc w:val="both"/>
        <w:rPr>
          <w:rFonts w:ascii="Palatino Linotype" w:eastAsia="Times New Roman" w:hAnsi="Palatino Linotype" w:cs="Arial"/>
          <w:sz w:val="24"/>
        </w:rPr>
      </w:pPr>
    </w:p>
    <w:p w14:paraId="05028843" w14:textId="77777777" w:rsidR="000D134C" w:rsidRPr="00C703DC" w:rsidRDefault="000D134C" w:rsidP="005C2A3E">
      <w:pPr>
        <w:pStyle w:val="Prrafodelista"/>
        <w:tabs>
          <w:tab w:val="left" w:pos="426"/>
        </w:tabs>
        <w:spacing w:after="0" w:line="360" w:lineRule="auto"/>
        <w:ind w:left="0" w:right="51"/>
        <w:jc w:val="both"/>
        <w:rPr>
          <w:rFonts w:ascii="Palatino Linotype" w:hAnsi="Palatino Linotype"/>
          <w:color w:val="000000" w:themeColor="text1"/>
          <w:sz w:val="24"/>
          <w:szCs w:val="24"/>
        </w:rPr>
      </w:pPr>
      <w:r w:rsidRPr="00C703DC">
        <w:rPr>
          <w:rFonts w:ascii="Palatino Linotype" w:hAnsi="Palatino Linotype"/>
          <w:sz w:val="24"/>
          <w:szCs w:val="24"/>
          <w:lang w:val="es-ES"/>
        </w:rPr>
        <w:lastRenderedPageBreak/>
        <w:t xml:space="preserve">Previo a iniciar el análisis de la información solicitada, se considera </w:t>
      </w:r>
      <w:r w:rsidRPr="00C703DC">
        <w:rPr>
          <w:rFonts w:ascii="Palatino Linotype" w:hAnsi="Palatino Linotype"/>
          <w:color w:val="000000" w:themeColor="text1"/>
          <w:sz w:val="24"/>
          <w:szCs w:val="24"/>
        </w:rPr>
        <w:t>esencial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(19) de octubre de dos mil once, cuyo rubro y texto dispone:</w:t>
      </w:r>
    </w:p>
    <w:p w14:paraId="70BA3E09" w14:textId="77777777" w:rsidR="005C2A3E" w:rsidRPr="00C703DC" w:rsidRDefault="005C2A3E" w:rsidP="005C2A3E">
      <w:pPr>
        <w:pStyle w:val="Prrafodelista"/>
        <w:tabs>
          <w:tab w:val="left" w:pos="426"/>
        </w:tabs>
        <w:spacing w:after="0" w:line="360" w:lineRule="auto"/>
        <w:ind w:left="0" w:right="51"/>
        <w:jc w:val="both"/>
        <w:rPr>
          <w:rFonts w:ascii="Palatino Linotype" w:hAnsi="Palatino Linotype"/>
          <w:color w:val="000000" w:themeColor="text1"/>
          <w:sz w:val="24"/>
          <w:szCs w:val="24"/>
        </w:rPr>
      </w:pPr>
    </w:p>
    <w:p w14:paraId="4D32213F" w14:textId="77777777" w:rsidR="000D134C" w:rsidRPr="00C703DC" w:rsidRDefault="000D134C" w:rsidP="005C2A3E">
      <w:pPr>
        <w:spacing w:after="0" w:line="276" w:lineRule="auto"/>
        <w:ind w:left="567" w:right="567"/>
        <w:jc w:val="both"/>
        <w:rPr>
          <w:rFonts w:ascii="Palatino Linotype" w:eastAsia="Palatino Linotype" w:hAnsi="Palatino Linotype" w:cs="Palatino Linotype"/>
          <w:i/>
          <w:sz w:val="24"/>
        </w:rPr>
      </w:pPr>
      <w:r w:rsidRPr="00C703DC">
        <w:rPr>
          <w:rFonts w:ascii="Palatino Linotype" w:eastAsia="Palatino Linotype" w:hAnsi="Palatino Linotype" w:cs="Palatino Linotype"/>
          <w:b/>
          <w:i/>
          <w:sz w:val="24"/>
        </w:rPr>
        <w:t>INFORMACIÓN PÚBLICA, CONCEPTO DE, EN MATERIA DE TRANSPARENCIA. INTERPRETACIÓN TEMÁTICA DE LOS ARTÍCULOS 2, FRACCIÓN V, XV, Y XVI, 3, 4,11 Y 41.</w:t>
      </w:r>
      <w:r w:rsidRPr="00C703DC">
        <w:rPr>
          <w:rFonts w:ascii="Palatino Linotype" w:eastAsia="Palatino Linotype" w:hAnsi="Palatino Linotype" w:cs="Palatino Linotype"/>
          <w:i/>
          <w:sz w:val="24"/>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7323C7D" w14:textId="77777777" w:rsidR="000D134C" w:rsidRPr="00C703DC" w:rsidRDefault="000D134C" w:rsidP="005C2A3E">
      <w:pPr>
        <w:spacing w:after="0" w:line="276" w:lineRule="auto"/>
        <w:ind w:left="567" w:right="567"/>
        <w:jc w:val="both"/>
        <w:rPr>
          <w:rFonts w:ascii="Palatino Linotype" w:eastAsia="Palatino Linotype" w:hAnsi="Palatino Linotype" w:cs="Palatino Linotype"/>
          <w:i/>
          <w:sz w:val="24"/>
        </w:rPr>
      </w:pPr>
      <w:r w:rsidRPr="00C703DC">
        <w:rPr>
          <w:rFonts w:ascii="Palatino Linotype" w:eastAsia="Palatino Linotype" w:hAnsi="Palatino Linotype" w:cs="Palatino Linotype"/>
          <w:i/>
          <w:sz w:val="24"/>
        </w:rPr>
        <w:t>En consecuencia el acceso a la información se refiere a que se cumplan cualquiera de los siguientes tres supuestos:</w:t>
      </w:r>
    </w:p>
    <w:p w14:paraId="7D474FA3" w14:textId="77777777" w:rsidR="000D134C" w:rsidRPr="00C703DC" w:rsidRDefault="000D134C" w:rsidP="005C2A3E">
      <w:pPr>
        <w:spacing w:after="0" w:line="276" w:lineRule="auto"/>
        <w:ind w:left="567" w:right="567"/>
        <w:jc w:val="both"/>
        <w:rPr>
          <w:rFonts w:ascii="Palatino Linotype" w:eastAsia="Palatino Linotype" w:hAnsi="Palatino Linotype" w:cs="Palatino Linotype"/>
          <w:i/>
          <w:sz w:val="24"/>
        </w:rPr>
      </w:pPr>
      <w:r w:rsidRPr="00C703DC">
        <w:rPr>
          <w:rFonts w:ascii="Palatino Linotype" w:eastAsia="Palatino Linotype" w:hAnsi="Palatino Linotype" w:cs="Palatino Linotype"/>
          <w:i/>
          <w:sz w:val="24"/>
        </w:rPr>
        <w:t>Que se trate de información registrada en cualquier soporte documental, que en ejercicio de las atribuciones conferidas, sea generada por los Sujetos Obligados;</w:t>
      </w:r>
    </w:p>
    <w:p w14:paraId="33C72451" w14:textId="77777777" w:rsidR="000D134C" w:rsidRPr="00C703DC" w:rsidRDefault="000D134C" w:rsidP="005C2A3E">
      <w:pPr>
        <w:spacing w:after="0" w:line="276" w:lineRule="auto"/>
        <w:ind w:left="567" w:right="567"/>
        <w:jc w:val="both"/>
        <w:rPr>
          <w:rFonts w:ascii="Palatino Linotype" w:eastAsia="Palatino Linotype" w:hAnsi="Palatino Linotype" w:cs="Palatino Linotype"/>
          <w:i/>
          <w:sz w:val="24"/>
        </w:rPr>
      </w:pPr>
      <w:r w:rsidRPr="00C703DC">
        <w:rPr>
          <w:rFonts w:ascii="Palatino Linotype" w:eastAsia="Palatino Linotype" w:hAnsi="Palatino Linotype" w:cs="Palatino Linotype"/>
          <w:i/>
          <w:sz w:val="24"/>
        </w:rPr>
        <w:t>Que se trate de información registrada en cualquier soporte documental, que en ejercicio de las atribuciones conferidas, sea administrada por los Sujetos Obligados, y</w:t>
      </w:r>
    </w:p>
    <w:p w14:paraId="188437C0" w14:textId="77777777" w:rsidR="005C2A3E" w:rsidRPr="00C703DC" w:rsidRDefault="000D134C" w:rsidP="005C2A3E">
      <w:pPr>
        <w:spacing w:after="0" w:line="276" w:lineRule="auto"/>
        <w:ind w:left="567" w:right="567"/>
        <w:jc w:val="both"/>
        <w:rPr>
          <w:rFonts w:ascii="Palatino Linotype" w:eastAsia="Palatino Linotype" w:hAnsi="Palatino Linotype" w:cs="Palatino Linotype"/>
          <w:i/>
          <w:sz w:val="24"/>
        </w:rPr>
      </w:pPr>
      <w:r w:rsidRPr="00C703DC">
        <w:rPr>
          <w:rFonts w:ascii="Palatino Linotype" w:eastAsia="Palatino Linotype" w:hAnsi="Palatino Linotype" w:cs="Palatino Linotype"/>
          <w:i/>
          <w:sz w:val="24"/>
        </w:rPr>
        <w:t>Que se trate de información registrada en cualquier soporte documental, que en ejercicio de las atribuciones conferidas, se encuentre en posesión de los Sujetos Obligados.”</w:t>
      </w:r>
    </w:p>
    <w:p w14:paraId="61986DF7" w14:textId="77777777" w:rsidR="005C2A3E" w:rsidRPr="00C703DC" w:rsidRDefault="005C2A3E" w:rsidP="005C2A3E">
      <w:pPr>
        <w:spacing w:after="0" w:line="276" w:lineRule="auto"/>
        <w:ind w:right="567"/>
        <w:jc w:val="both"/>
        <w:rPr>
          <w:rFonts w:ascii="Palatino Linotype" w:eastAsia="Palatino Linotype" w:hAnsi="Palatino Linotype" w:cs="Palatino Linotype"/>
          <w:i/>
          <w:sz w:val="24"/>
        </w:rPr>
      </w:pPr>
    </w:p>
    <w:p w14:paraId="405C2A46" w14:textId="235B8ADB" w:rsidR="000D134C" w:rsidRPr="00C703DC" w:rsidRDefault="000D134C" w:rsidP="005C2A3E">
      <w:pPr>
        <w:spacing w:after="0" w:line="360" w:lineRule="auto"/>
        <w:ind w:right="567"/>
        <w:jc w:val="both"/>
        <w:rPr>
          <w:rFonts w:ascii="Palatino Linotype" w:eastAsia="Palatino Linotype" w:hAnsi="Palatino Linotype" w:cs="Palatino Linotype"/>
          <w:color w:val="000000"/>
          <w:sz w:val="24"/>
          <w:szCs w:val="24"/>
        </w:rPr>
      </w:pPr>
      <w:r w:rsidRPr="00C703DC">
        <w:rPr>
          <w:rFonts w:ascii="Palatino Linotype" w:hAnsi="Palatino Linotype"/>
          <w:color w:val="000000" w:themeColor="text1"/>
          <w:sz w:val="24"/>
          <w:szCs w:val="24"/>
        </w:rPr>
        <w:lastRenderedPageBreak/>
        <w:t xml:space="preserve">El </w:t>
      </w:r>
      <w:r w:rsidRPr="00C703DC">
        <w:rPr>
          <w:rFonts w:ascii="Palatino Linotype" w:eastAsia="Palatino Linotype" w:hAnsi="Palatino Linotype" w:cs="Palatino Linotype"/>
          <w:color w:val="000000"/>
          <w:sz w:val="24"/>
          <w:szCs w:val="24"/>
        </w:rPr>
        <w:t>derecho de acceso a la información encuentra su materia elemental en los documentos, y la Ley de Transparencia local nos brinda el siguiente concepto</w:t>
      </w:r>
      <w:r w:rsidRPr="00C703DC">
        <w:rPr>
          <w:rFonts w:ascii="Palatino Linotype" w:eastAsia="Palatino Linotype" w:hAnsi="Palatino Linotype" w:cs="Palatino Linotype"/>
          <w:color w:val="000000"/>
          <w:sz w:val="24"/>
          <w:szCs w:val="24"/>
          <w:vertAlign w:val="superscript"/>
        </w:rPr>
        <w:footnoteReference w:id="2"/>
      </w:r>
      <w:r w:rsidRPr="00C703DC">
        <w:rPr>
          <w:rFonts w:ascii="Palatino Linotype" w:eastAsia="Palatino Linotype" w:hAnsi="Palatino Linotype" w:cs="Palatino Linotype"/>
          <w:color w:val="000000"/>
          <w:sz w:val="24"/>
          <w:szCs w:val="24"/>
        </w:rPr>
        <w:t>, para darnos un mejor panorama:</w:t>
      </w:r>
    </w:p>
    <w:p w14:paraId="2FBF997D" w14:textId="77777777" w:rsidR="005C2A3E" w:rsidRPr="00C703DC" w:rsidRDefault="005C2A3E" w:rsidP="005C2A3E">
      <w:pPr>
        <w:spacing w:after="0" w:line="276" w:lineRule="auto"/>
        <w:ind w:right="567"/>
        <w:jc w:val="both"/>
        <w:rPr>
          <w:rFonts w:ascii="Palatino Linotype" w:eastAsia="Palatino Linotype" w:hAnsi="Palatino Linotype" w:cs="Palatino Linotype"/>
          <w:sz w:val="24"/>
        </w:rPr>
      </w:pPr>
    </w:p>
    <w:p w14:paraId="2ACEA230" w14:textId="77777777" w:rsidR="000D134C" w:rsidRPr="00C703DC" w:rsidRDefault="000D134C" w:rsidP="005C2A3E">
      <w:pPr>
        <w:spacing w:after="0" w:line="360" w:lineRule="auto"/>
        <w:ind w:left="567" w:right="567"/>
        <w:jc w:val="both"/>
        <w:rPr>
          <w:rFonts w:ascii="Palatino Linotype" w:eastAsia="Palatino Linotype" w:hAnsi="Palatino Linotype" w:cs="Palatino Linotype"/>
          <w:i/>
        </w:rPr>
      </w:pPr>
      <w:r w:rsidRPr="00C703DC">
        <w:rPr>
          <w:rFonts w:ascii="Palatino Linotype" w:eastAsia="Palatino Linotype" w:hAnsi="Palatino Linotype" w:cs="Palatino Linotype"/>
          <w:b/>
          <w:i/>
        </w:rPr>
        <w:t xml:space="preserve">“XI. Documento: </w:t>
      </w:r>
      <w:r w:rsidRPr="00C703DC">
        <w:rPr>
          <w:rFonts w:ascii="Palatino Linotype" w:eastAsia="Palatino Linotype" w:hAnsi="Palatino Linotype" w:cs="Palatino Linotype"/>
          <w:b/>
          <w:bCs/>
          <w:i/>
        </w:rPr>
        <w:t>Los expedientes, reportes, estudios,</w:t>
      </w:r>
      <w:r w:rsidRPr="00C703DC">
        <w:rPr>
          <w:rFonts w:ascii="Palatino Linotype" w:eastAsia="Palatino Linotype" w:hAnsi="Palatino Linotype" w:cs="Palatino Linotype"/>
          <w:b/>
          <w:i/>
        </w:rPr>
        <w:t xml:space="preserve"> actas, resoluciones, oficios, correspondencia, acuerdos, directivas, directrices, circulares, contratos, convenios, instructivos, notas, memorandos, estadísticas o</w:t>
      </w:r>
      <w:r w:rsidRPr="00C703DC">
        <w:rPr>
          <w:rFonts w:ascii="Palatino Linotype" w:eastAsia="Palatino Linotype" w:hAnsi="Palatino Linotype" w:cs="Palatino Linotype"/>
          <w:i/>
        </w:rPr>
        <w:t xml:space="preserve"> bien, </w:t>
      </w:r>
      <w:r w:rsidRPr="00C703DC">
        <w:rPr>
          <w:rFonts w:ascii="Palatino Linotype" w:eastAsia="Palatino Linotype" w:hAnsi="Palatino Linotype" w:cs="Palatino Linotype"/>
          <w:b/>
          <w:bCs/>
          <w:i/>
        </w:rPr>
        <w:t>cualquier</w:t>
      </w:r>
      <w:r w:rsidRPr="00C703DC">
        <w:rPr>
          <w:rFonts w:ascii="Palatino Linotype" w:eastAsia="Palatino Linotype" w:hAnsi="Palatino Linotype" w:cs="Palatino Linotype"/>
          <w:i/>
        </w:rPr>
        <w:t xml:space="preserve"> otro </w:t>
      </w:r>
      <w:r w:rsidRPr="00C703DC">
        <w:rPr>
          <w:rFonts w:ascii="Palatino Linotype" w:eastAsia="Palatino Linotype" w:hAnsi="Palatino Linotype" w:cs="Palatino Linotype"/>
          <w:b/>
          <w:bCs/>
          <w:i/>
        </w:rPr>
        <w:t>registro que documente el ejercicio de las facultades, funciones y competencias de los</w:t>
      </w:r>
      <w:r w:rsidRPr="00C703DC">
        <w:rPr>
          <w:rFonts w:ascii="Palatino Linotype" w:eastAsia="Palatino Linotype" w:hAnsi="Palatino Linotype" w:cs="Palatino Linotype"/>
          <w:i/>
        </w:rPr>
        <w:t xml:space="preserve"> </w:t>
      </w:r>
      <w:r w:rsidRPr="00C703DC">
        <w:rPr>
          <w:rFonts w:ascii="Palatino Linotype" w:eastAsia="Palatino Linotype" w:hAnsi="Palatino Linotype" w:cs="Palatino Linotype"/>
          <w:b/>
          <w:i/>
        </w:rPr>
        <w:t>sujetos obligados</w:t>
      </w:r>
      <w:r w:rsidRPr="00C703DC">
        <w:rPr>
          <w:rFonts w:ascii="Palatino Linotype" w:eastAsia="Palatino Linotype" w:hAnsi="Palatino Linotype" w:cs="Palatino Linotype"/>
          <w:i/>
        </w:rPr>
        <w:t xml:space="preserve">, sus </w:t>
      </w:r>
      <w:r w:rsidRPr="00C703DC">
        <w:rPr>
          <w:rFonts w:ascii="Palatino Linotype" w:eastAsia="Palatino Linotype" w:hAnsi="Palatino Linotype" w:cs="Palatino Linotype"/>
          <w:bCs/>
          <w:i/>
        </w:rPr>
        <w:t>servidores públicos</w:t>
      </w:r>
      <w:r w:rsidRPr="00C703DC">
        <w:rPr>
          <w:rFonts w:ascii="Palatino Linotype" w:eastAsia="Palatino Linotype" w:hAnsi="Palatino Linotype" w:cs="Palatino Linotype"/>
          <w:i/>
        </w:rPr>
        <w:t xml:space="preserve"> e integrantes, sin importar su fuente o fecha de elaboración. Los documentos podrán estar en cualquier medio, sea escrito, impreso,  sonoro, visual, electrónico, informático u holográfico;”</w:t>
      </w:r>
    </w:p>
    <w:p w14:paraId="5430CE59" w14:textId="77777777" w:rsidR="000D134C" w:rsidRPr="00C703DC" w:rsidRDefault="000D134C" w:rsidP="005C2A3E">
      <w:pPr>
        <w:spacing w:after="0" w:line="360" w:lineRule="auto"/>
        <w:jc w:val="both"/>
        <w:rPr>
          <w:rFonts w:ascii="Palatino Linotype" w:hAnsi="Palatino Linotype"/>
          <w:sz w:val="24"/>
          <w:szCs w:val="24"/>
        </w:rPr>
      </w:pPr>
    </w:p>
    <w:p w14:paraId="6F690E09" w14:textId="77777777" w:rsidR="000D134C" w:rsidRPr="00C703DC" w:rsidRDefault="000D134C" w:rsidP="005C2A3E">
      <w:pPr>
        <w:spacing w:after="0" w:line="360" w:lineRule="auto"/>
        <w:jc w:val="both"/>
        <w:rPr>
          <w:rFonts w:ascii="Palatino Linotype" w:hAnsi="Palatino Linotype" w:cs="Tahoma"/>
          <w:b/>
          <w:bCs/>
          <w:sz w:val="24"/>
          <w:szCs w:val="24"/>
          <w:lang w:val="es-ES" w:eastAsia="es-ES"/>
        </w:rPr>
      </w:pPr>
      <w:r w:rsidRPr="00C703DC">
        <w:rPr>
          <w:rFonts w:ascii="Palatino Linotype" w:hAnsi="Palatino Linotype"/>
          <w:sz w:val="24"/>
          <w:szCs w:val="24"/>
        </w:rPr>
        <w:t xml:space="preserve">Atento a lo anterior, el </w:t>
      </w:r>
      <w:r w:rsidRPr="00C703DC">
        <w:rPr>
          <w:rFonts w:ascii="Palatino Linotype" w:hAnsi="Palatino Linotype" w:cs="Tahoma"/>
          <w:bCs/>
          <w:sz w:val="24"/>
          <w:szCs w:val="24"/>
          <w:lang w:val="es-ES" w:eastAsia="es-ES"/>
        </w:rPr>
        <w:t xml:space="preserve">artículo 4° de la Ley de Transparencia y Acceso a la Información Pública del Estado de México y Municipios, establece que </w:t>
      </w:r>
      <w:r w:rsidRPr="00C703DC">
        <w:rPr>
          <w:rFonts w:ascii="Palatino Linotype" w:hAnsi="Palatino Linotype" w:cs="Tahoma"/>
          <w:b/>
          <w:bCs/>
          <w:sz w:val="24"/>
          <w:szCs w:val="24"/>
          <w:lang w:val="es-ES" w:eastAsia="es-ES"/>
        </w:rPr>
        <w:t>toda la información que sea generada, obtenida, adquirida, transformada, administrada o se encuentre en posesión de los Sujetos Obligados, reviste el carácter de pública y, por tanto, debe ser accesible a cualquier persona.</w:t>
      </w:r>
    </w:p>
    <w:p w14:paraId="2C4C6A14" w14:textId="77777777" w:rsidR="000D134C" w:rsidRPr="00C703DC" w:rsidRDefault="000D134C" w:rsidP="005C2A3E">
      <w:pPr>
        <w:spacing w:after="0" w:line="360" w:lineRule="auto"/>
        <w:jc w:val="both"/>
        <w:rPr>
          <w:rFonts w:ascii="Palatino Linotype" w:hAnsi="Palatino Linotype"/>
          <w:sz w:val="24"/>
          <w:szCs w:val="24"/>
        </w:rPr>
      </w:pPr>
    </w:p>
    <w:p w14:paraId="0A8E5005" w14:textId="77777777" w:rsidR="000D134C" w:rsidRPr="00C703DC" w:rsidRDefault="000D134C" w:rsidP="005C2A3E">
      <w:pPr>
        <w:spacing w:after="0" w:line="360" w:lineRule="auto"/>
        <w:jc w:val="both"/>
        <w:rPr>
          <w:rFonts w:ascii="Palatino Linotype" w:hAnsi="Palatino Linotype" w:cs="Tahoma"/>
          <w:bCs/>
          <w:sz w:val="24"/>
          <w:szCs w:val="24"/>
          <w:lang w:val="es-ES" w:eastAsia="es-ES"/>
        </w:rPr>
      </w:pPr>
      <w:r w:rsidRPr="00C703DC">
        <w:rPr>
          <w:rFonts w:ascii="Palatino Linotype" w:hAnsi="Palatino Linotype" w:cs="Tahoma"/>
          <w:bCs/>
          <w:sz w:val="24"/>
          <w:szCs w:val="24"/>
          <w:lang w:val="es-ES" w:eastAsia="es-ES"/>
        </w:rPr>
        <w:t>Da la misma manera, los diversos 12 y 24 de la Ley de Transparencia Local, prevén que, es deber de los Sujetos Obligados proporcionar la información pública que se les requiera siempre y cuando obre en sus archivos; lo cual no implica que tengan que procesar, generar, resumir, efectuar cálculos o practicar investigaciones a fin de satisfacer la pretensión de los solicitantes.</w:t>
      </w:r>
    </w:p>
    <w:p w14:paraId="10A07FA0" w14:textId="77777777" w:rsidR="000D134C" w:rsidRPr="00C703DC" w:rsidRDefault="000D134C" w:rsidP="005C2A3E">
      <w:pPr>
        <w:spacing w:after="0" w:line="360" w:lineRule="auto"/>
        <w:jc w:val="both"/>
        <w:rPr>
          <w:rFonts w:ascii="Palatino Linotype" w:hAnsi="Palatino Linotype" w:cs="Tahoma"/>
          <w:bCs/>
          <w:sz w:val="24"/>
          <w:szCs w:val="24"/>
          <w:lang w:val="es-ES" w:eastAsia="es-ES"/>
        </w:rPr>
      </w:pPr>
    </w:p>
    <w:p w14:paraId="784CCC40" w14:textId="77777777" w:rsidR="000D134C" w:rsidRPr="00C703DC" w:rsidRDefault="000D134C" w:rsidP="005C2A3E">
      <w:pPr>
        <w:spacing w:after="0" w:line="360" w:lineRule="auto"/>
        <w:jc w:val="both"/>
        <w:rPr>
          <w:rFonts w:ascii="Palatino Linotype" w:hAnsi="Palatino Linotype" w:cs="Tahoma"/>
          <w:bCs/>
          <w:lang w:val="es-ES" w:eastAsia="es-ES"/>
        </w:rPr>
      </w:pPr>
      <w:r w:rsidRPr="00C703DC">
        <w:rPr>
          <w:rFonts w:ascii="Palatino Linotype" w:hAnsi="Palatino Linotype" w:cs="Tahoma"/>
          <w:bCs/>
          <w:sz w:val="24"/>
          <w:szCs w:val="24"/>
          <w:lang w:val="es-ES" w:eastAsia="es-ES"/>
        </w:rPr>
        <w:t>Además, el artículo 18 de la Ley de Transparencia y Acceso a la Información Pública del Estado de México y Municipios, contempla que los sujetos obligados deberán documentar todo acto que derive del ejercicio de sus facultades, competencias o funciones</w:t>
      </w:r>
      <w:r w:rsidRPr="00C703DC">
        <w:rPr>
          <w:rFonts w:ascii="Palatino Linotype" w:hAnsi="Palatino Linotype" w:cs="Tahoma"/>
          <w:bCs/>
          <w:lang w:val="es-ES" w:eastAsia="es-ES"/>
        </w:rPr>
        <w:t>.</w:t>
      </w:r>
    </w:p>
    <w:p w14:paraId="3544BD1E" w14:textId="77777777" w:rsidR="000D134C" w:rsidRPr="00C703DC" w:rsidRDefault="000D134C" w:rsidP="005C2A3E">
      <w:pPr>
        <w:spacing w:after="0" w:line="360" w:lineRule="auto"/>
        <w:jc w:val="both"/>
        <w:rPr>
          <w:rFonts w:ascii="Palatino Linotype" w:hAnsi="Palatino Linotype" w:cs="Tahoma"/>
          <w:bCs/>
          <w:lang w:val="es-ES" w:eastAsia="es-ES"/>
        </w:rPr>
      </w:pPr>
    </w:p>
    <w:p w14:paraId="29180A22" w14:textId="08BC8EB8" w:rsidR="000D134C" w:rsidRPr="00C703DC" w:rsidRDefault="000D134C" w:rsidP="005C2A3E">
      <w:pPr>
        <w:spacing w:after="0" w:line="360" w:lineRule="auto"/>
        <w:jc w:val="both"/>
        <w:rPr>
          <w:rFonts w:ascii="Palatino Linotype" w:hAnsi="Palatino Linotype"/>
          <w:sz w:val="24"/>
          <w:szCs w:val="24"/>
        </w:rPr>
      </w:pPr>
      <w:r w:rsidRPr="00C703DC">
        <w:rPr>
          <w:rFonts w:ascii="Palatino Linotype" w:hAnsi="Palatino Linotype"/>
          <w:sz w:val="24"/>
          <w:szCs w:val="24"/>
        </w:rPr>
        <w:t xml:space="preserve">En este tenor, en alusión a los requerimientos formulados por el particular, resulta oportuno traer a colación los artículos 24, fracción XII de la Ley de Transparencia y Acceso a la Información Pública del Estado de México y Municipios, dispositivos jurídicos que disponen a la literalidad lo siguiente: </w:t>
      </w:r>
    </w:p>
    <w:p w14:paraId="4117794D" w14:textId="77777777" w:rsidR="005C2A3E" w:rsidRPr="00C703DC" w:rsidRDefault="005C2A3E" w:rsidP="005C2A3E">
      <w:pPr>
        <w:spacing w:after="0" w:line="360" w:lineRule="auto"/>
        <w:jc w:val="both"/>
        <w:rPr>
          <w:rFonts w:ascii="Palatino Linotype" w:hAnsi="Palatino Linotype"/>
          <w:sz w:val="24"/>
          <w:szCs w:val="24"/>
        </w:rPr>
      </w:pPr>
    </w:p>
    <w:p w14:paraId="1A4972DA" w14:textId="77777777" w:rsidR="000D134C" w:rsidRPr="00C703DC" w:rsidRDefault="000D134C" w:rsidP="005C2A3E">
      <w:pPr>
        <w:spacing w:after="0" w:line="360" w:lineRule="auto"/>
        <w:ind w:left="708"/>
        <w:jc w:val="both"/>
        <w:rPr>
          <w:rFonts w:ascii="Palatino Linotype" w:hAnsi="Palatino Linotype"/>
          <w:i/>
        </w:rPr>
      </w:pPr>
      <w:r w:rsidRPr="00C703DC">
        <w:rPr>
          <w:rFonts w:ascii="Palatino Linotype" w:hAnsi="Palatino Linotype"/>
          <w:b/>
          <w:bCs/>
          <w:i/>
        </w:rPr>
        <w:t>Artículo 24</w:t>
      </w:r>
      <w:r w:rsidRPr="00C703DC">
        <w:rPr>
          <w:rFonts w:ascii="Palatino Linotype" w:hAnsi="Palatino Linotype"/>
          <w:i/>
        </w:rPr>
        <w:t xml:space="preserve">. Para el cumplimiento de los objetivos de esta Ley, los sujetos obligados deberán cumplir con las siguientes obligaciones, según corresponda, de acuerdo a su naturaleza: </w:t>
      </w:r>
    </w:p>
    <w:p w14:paraId="3C955A3C" w14:textId="77777777" w:rsidR="005C2A3E" w:rsidRPr="00C703DC" w:rsidRDefault="005C2A3E" w:rsidP="005C2A3E">
      <w:pPr>
        <w:spacing w:after="0" w:line="360" w:lineRule="auto"/>
        <w:ind w:left="708"/>
        <w:jc w:val="both"/>
        <w:rPr>
          <w:rFonts w:ascii="Palatino Linotype" w:hAnsi="Palatino Linotype"/>
          <w:i/>
        </w:rPr>
      </w:pPr>
    </w:p>
    <w:p w14:paraId="7E0B3613" w14:textId="225A996C" w:rsidR="000D134C" w:rsidRPr="00C703DC" w:rsidRDefault="000D134C" w:rsidP="008169A7">
      <w:pPr>
        <w:spacing w:after="0" w:line="360" w:lineRule="auto"/>
        <w:ind w:left="1416"/>
        <w:jc w:val="both"/>
        <w:rPr>
          <w:rFonts w:ascii="Palatino Linotype" w:hAnsi="Palatino Linotype"/>
          <w:i/>
          <w:sz w:val="24"/>
          <w:szCs w:val="24"/>
        </w:rPr>
      </w:pPr>
      <w:r w:rsidRPr="00C703DC">
        <w:rPr>
          <w:rFonts w:ascii="Palatino Linotype" w:hAnsi="Palatino Linotype"/>
          <w:b/>
          <w:i/>
        </w:rPr>
        <w:t>XII.</w:t>
      </w:r>
      <w:r w:rsidRPr="00C703DC">
        <w:rPr>
          <w:rFonts w:ascii="Palatino Linotype" w:hAnsi="Palatino Linotype"/>
          <w:i/>
        </w:rPr>
        <w:t xml:space="preserve"> Publicar y mantener actualizada la información relativa a las obligaciones generales de transparencia previstas en la presente Ley o determinadas así por el Instituto, y en general aquella que sea de interés público</w:t>
      </w:r>
      <w:r w:rsidR="008169A7" w:rsidRPr="00C703DC">
        <w:rPr>
          <w:rFonts w:ascii="Palatino Linotype" w:hAnsi="Palatino Linotype"/>
          <w:i/>
          <w:sz w:val="24"/>
          <w:szCs w:val="24"/>
        </w:rPr>
        <w:t>;</w:t>
      </w:r>
    </w:p>
    <w:p w14:paraId="2C12B41C" w14:textId="77777777" w:rsidR="005C2A3E" w:rsidRPr="00C703DC" w:rsidRDefault="005C2A3E" w:rsidP="005C2A3E">
      <w:pPr>
        <w:spacing w:after="0" w:line="360" w:lineRule="auto"/>
        <w:jc w:val="both"/>
        <w:rPr>
          <w:rFonts w:ascii="Palatino Linotype" w:hAnsi="Palatino Linotype"/>
          <w:sz w:val="24"/>
          <w:szCs w:val="24"/>
        </w:rPr>
      </w:pPr>
    </w:p>
    <w:p w14:paraId="0F2666EC" w14:textId="1C1FF1CF" w:rsidR="00683379" w:rsidRPr="00C703DC" w:rsidRDefault="00683379" w:rsidP="005C2A3E">
      <w:pPr>
        <w:spacing w:after="0" w:line="360" w:lineRule="auto"/>
        <w:jc w:val="both"/>
        <w:rPr>
          <w:rFonts w:ascii="Palatino Linotype" w:hAnsi="Palatino Linotype"/>
          <w:sz w:val="24"/>
          <w:szCs w:val="24"/>
        </w:rPr>
      </w:pPr>
      <w:r w:rsidRPr="00C703DC">
        <w:rPr>
          <w:rFonts w:ascii="Palatino Linotype" w:hAnsi="Palatino Linotype"/>
          <w:sz w:val="24"/>
          <w:szCs w:val="24"/>
        </w:rPr>
        <w:t>De lo anterior, se debe</w:t>
      </w:r>
      <w:r w:rsidRPr="00C703DC">
        <w:t xml:space="preserve"> </w:t>
      </w:r>
      <w:r w:rsidRPr="00C703DC">
        <w:rPr>
          <w:rFonts w:ascii="Palatino Linotype" w:hAnsi="Palatino Linotype"/>
          <w:sz w:val="24"/>
          <w:szCs w:val="24"/>
        </w:rPr>
        <w:t xml:space="preserve">señalar que el conforme los artículos 93 y 95 fracciones I y IV de la Ley Orgánica Municipal del Estado de México en los que se establece que la Tesorería es la dependencia administrativa que constituye el Municipio la cual  se encarga de consolidar los proyectos de presupuestos de las diferentes dependencias de la Administración Pública Municipal, proponer al Ayuntamiento por conducto del </w:t>
      </w:r>
      <w:r w:rsidRPr="00C703DC">
        <w:rPr>
          <w:rFonts w:ascii="Palatino Linotype" w:hAnsi="Palatino Linotype"/>
          <w:sz w:val="24"/>
          <w:szCs w:val="24"/>
        </w:rPr>
        <w:lastRenderedPageBreak/>
        <w:t>Presidente Municipal, las políticas, estrategias y campañas para incrementar los ingresos de la Hacienda Pública Municipal</w:t>
      </w:r>
      <w:r w:rsidR="008169A7" w:rsidRPr="00C703DC">
        <w:rPr>
          <w:rFonts w:ascii="Palatino Linotype" w:hAnsi="Palatino Linotype"/>
          <w:sz w:val="24"/>
          <w:szCs w:val="24"/>
        </w:rPr>
        <w:t>.</w:t>
      </w:r>
    </w:p>
    <w:p w14:paraId="108C5244" w14:textId="77777777" w:rsidR="008169A7" w:rsidRPr="00C703DC" w:rsidRDefault="008169A7" w:rsidP="005C2A3E">
      <w:pPr>
        <w:spacing w:after="0" w:line="360" w:lineRule="auto"/>
        <w:jc w:val="both"/>
        <w:rPr>
          <w:rFonts w:ascii="Palatino Linotype" w:hAnsi="Palatino Linotype"/>
          <w:sz w:val="24"/>
          <w:szCs w:val="24"/>
        </w:rPr>
      </w:pPr>
    </w:p>
    <w:p w14:paraId="13C81762" w14:textId="3A92CFCB" w:rsidR="008169A7" w:rsidRPr="00C703DC" w:rsidRDefault="008169A7" w:rsidP="008169A7">
      <w:pPr>
        <w:spacing w:after="0" w:line="360" w:lineRule="auto"/>
        <w:ind w:left="567" w:right="567"/>
        <w:jc w:val="center"/>
        <w:rPr>
          <w:rFonts w:ascii="Palatino Linotype" w:hAnsi="Palatino Linotype"/>
          <w:b/>
          <w:i/>
          <w:sz w:val="24"/>
          <w:szCs w:val="24"/>
        </w:rPr>
      </w:pPr>
      <w:r w:rsidRPr="00C703DC">
        <w:rPr>
          <w:rFonts w:ascii="Palatino Linotype" w:hAnsi="Palatino Linotype"/>
          <w:b/>
          <w:i/>
          <w:sz w:val="24"/>
          <w:szCs w:val="24"/>
        </w:rPr>
        <w:t>“CAPITULO SEGUNDO</w:t>
      </w:r>
    </w:p>
    <w:p w14:paraId="7E35BD1A" w14:textId="77777777" w:rsidR="008169A7" w:rsidRPr="00C703DC" w:rsidRDefault="008169A7" w:rsidP="008169A7">
      <w:pPr>
        <w:spacing w:after="0" w:line="360" w:lineRule="auto"/>
        <w:ind w:left="567" w:right="567"/>
        <w:jc w:val="center"/>
        <w:rPr>
          <w:rFonts w:ascii="Palatino Linotype" w:hAnsi="Palatino Linotype"/>
          <w:b/>
          <w:i/>
          <w:sz w:val="24"/>
          <w:szCs w:val="24"/>
        </w:rPr>
      </w:pPr>
      <w:r w:rsidRPr="00C703DC">
        <w:rPr>
          <w:rFonts w:ascii="Palatino Linotype" w:hAnsi="Palatino Linotype"/>
          <w:b/>
          <w:i/>
          <w:sz w:val="24"/>
          <w:szCs w:val="24"/>
        </w:rPr>
        <w:t>De la Tesorería Municipal</w:t>
      </w:r>
    </w:p>
    <w:p w14:paraId="723CB9CA" w14:textId="0E4CE2FE" w:rsidR="008169A7" w:rsidRPr="00C703DC" w:rsidRDefault="008169A7" w:rsidP="008169A7">
      <w:pPr>
        <w:spacing w:after="0" w:line="360" w:lineRule="auto"/>
        <w:ind w:left="567" w:right="567"/>
        <w:jc w:val="both"/>
        <w:rPr>
          <w:rFonts w:ascii="Palatino Linotype" w:hAnsi="Palatino Linotype"/>
          <w:i/>
          <w:sz w:val="24"/>
          <w:szCs w:val="24"/>
        </w:rPr>
      </w:pPr>
      <w:r w:rsidRPr="00C703DC">
        <w:rPr>
          <w:rFonts w:ascii="Palatino Linotype" w:hAnsi="Palatino Linotype"/>
          <w:b/>
          <w:i/>
          <w:sz w:val="24"/>
          <w:szCs w:val="24"/>
        </w:rPr>
        <w:t>Artículo 93.-</w:t>
      </w:r>
      <w:r w:rsidRPr="00C703DC">
        <w:rPr>
          <w:rFonts w:ascii="Palatino Linotype" w:hAnsi="Palatino Linotype"/>
          <w:i/>
          <w:sz w:val="24"/>
          <w:szCs w:val="24"/>
        </w:rPr>
        <w:t xml:space="preserve"> La tesorería municipal es el órgano encargado de la recaudación de los ingresos municipales y responsable de realizar las erogaciones que haga el ayuntamiento.</w:t>
      </w:r>
    </w:p>
    <w:p w14:paraId="04981663" w14:textId="77777777" w:rsidR="008169A7" w:rsidRPr="00C703DC" w:rsidRDefault="008169A7" w:rsidP="008169A7">
      <w:pPr>
        <w:spacing w:after="0" w:line="360" w:lineRule="auto"/>
        <w:ind w:left="567" w:right="567"/>
        <w:jc w:val="both"/>
        <w:rPr>
          <w:rFonts w:ascii="Palatino Linotype" w:hAnsi="Palatino Linotype"/>
          <w:i/>
          <w:sz w:val="24"/>
          <w:szCs w:val="24"/>
        </w:rPr>
      </w:pPr>
      <w:r w:rsidRPr="00C703DC">
        <w:rPr>
          <w:rFonts w:ascii="Palatino Linotype" w:hAnsi="Palatino Linotype"/>
          <w:b/>
          <w:i/>
          <w:sz w:val="24"/>
          <w:szCs w:val="24"/>
        </w:rPr>
        <w:t>Artículo 95.-</w:t>
      </w:r>
      <w:r w:rsidRPr="00C703DC">
        <w:rPr>
          <w:rFonts w:ascii="Palatino Linotype" w:hAnsi="Palatino Linotype"/>
          <w:i/>
          <w:sz w:val="24"/>
          <w:szCs w:val="24"/>
        </w:rPr>
        <w:t xml:space="preserve"> Son atribuciones del tesorero municipal:</w:t>
      </w:r>
    </w:p>
    <w:p w14:paraId="569A9D0D" w14:textId="382668D0" w:rsidR="008169A7" w:rsidRPr="00C703DC" w:rsidRDefault="008169A7" w:rsidP="008169A7">
      <w:pPr>
        <w:spacing w:after="0" w:line="360" w:lineRule="auto"/>
        <w:ind w:left="567" w:right="567"/>
        <w:jc w:val="both"/>
        <w:rPr>
          <w:rFonts w:ascii="Palatino Linotype" w:hAnsi="Palatino Linotype"/>
          <w:i/>
          <w:sz w:val="24"/>
          <w:szCs w:val="24"/>
        </w:rPr>
      </w:pPr>
      <w:r w:rsidRPr="00C703DC">
        <w:rPr>
          <w:rFonts w:ascii="Palatino Linotype" w:hAnsi="Palatino Linotype"/>
          <w:i/>
          <w:sz w:val="24"/>
          <w:szCs w:val="24"/>
        </w:rPr>
        <w:t>I. Administrar la hacienda pública municipal, de conformidad con las disposiciones legales aplicables;</w:t>
      </w:r>
    </w:p>
    <w:p w14:paraId="417F9D82" w14:textId="19C3A5A1" w:rsidR="008169A7" w:rsidRPr="00C703DC" w:rsidRDefault="008169A7" w:rsidP="008169A7">
      <w:pPr>
        <w:spacing w:after="0" w:line="360" w:lineRule="auto"/>
        <w:ind w:left="567" w:right="567"/>
        <w:jc w:val="both"/>
        <w:rPr>
          <w:rFonts w:ascii="Palatino Linotype" w:hAnsi="Palatino Linotype"/>
          <w:i/>
          <w:sz w:val="24"/>
          <w:szCs w:val="24"/>
        </w:rPr>
      </w:pPr>
      <w:r w:rsidRPr="00C703DC">
        <w:rPr>
          <w:rFonts w:ascii="Palatino Linotype" w:hAnsi="Palatino Linotype"/>
          <w:i/>
          <w:sz w:val="24"/>
          <w:szCs w:val="24"/>
        </w:rPr>
        <w:t>II. Determinar, liquidar, recaudar, fiscalizar y administrar las contribuciones en los términos de los ordenamientos jurídicos aplicables y, en su caso, aplicar el procedimiento administrativo de ejecución en términos de las disposiciones aplicables;</w:t>
      </w:r>
    </w:p>
    <w:p w14:paraId="074E5D75" w14:textId="21F4F52A" w:rsidR="008169A7" w:rsidRPr="00C703DC" w:rsidRDefault="008169A7" w:rsidP="008169A7">
      <w:pPr>
        <w:spacing w:after="0" w:line="360" w:lineRule="auto"/>
        <w:ind w:left="567" w:right="567"/>
        <w:jc w:val="both"/>
        <w:rPr>
          <w:rFonts w:ascii="Palatino Linotype" w:hAnsi="Palatino Linotype"/>
          <w:i/>
          <w:sz w:val="24"/>
          <w:szCs w:val="24"/>
        </w:rPr>
      </w:pPr>
      <w:r w:rsidRPr="00C703DC">
        <w:rPr>
          <w:rFonts w:ascii="Palatino Linotype" w:hAnsi="Palatino Linotype"/>
          <w:i/>
          <w:sz w:val="24"/>
          <w:szCs w:val="24"/>
        </w:rPr>
        <w:t>III. Imponer las sanciones administrativas que procedan por infracciones a las disposiciones fiscales;</w:t>
      </w:r>
    </w:p>
    <w:p w14:paraId="6D9B51C8" w14:textId="40505A3E" w:rsidR="008169A7" w:rsidRPr="00C703DC" w:rsidRDefault="008169A7" w:rsidP="008169A7">
      <w:pPr>
        <w:spacing w:after="0" w:line="360" w:lineRule="auto"/>
        <w:ind w:left="567" w:right="567"/>
        <w:jc w:val="both"/>
        <w:rPr>
          <w:rFonts w:ascii="Palatino Linotype" w:hAnsi="Palatino Linotype"/>
          <w:i/>
          <w:sz w:val="24"/>
          <w:szCs w:val="24"/>
        </w:rPr>
      </w:pPr>
      <w:r w:rsidRPr="00C703DC">
        <w:rPr>
          <w:rFonts w:ascii="Palatino Linotype" w:hAnsi="Palatino Linotype"/>
          <w:i/>
          <w:sz w:val="24"/>
          <w:szCs w:val="24"/>
        </w:rPr>
        <w:t>IV. Llevar los registros contables, financieros y administrativos de los ingresos, egresos, e inventarios;</w:t>
      </w:r>
    </w:p>
    <w:p w14:paraId="36ACF1D5" w14:textId="4BEC2EF5" w:rsidR="008169A7" w:rsidRPr="00C703DC" w:rsidRDefault="008169A7" w:rsidP="008169A7">
      <w:pPr>
        <w:spacing w:after="0" w:line="360" w:lineRule="auto"/>
        <w:ind w:left="567" w:right="567"/>
        <w:jc w:val="both"/>
        <w:rPr>
          <w:rFonts w:ascii="Palatino Linotype" w:hAnsi="Palatino Linotype"/>
          <w:b/>
          <w:i/>
          <w:sz w:val="24"/>
          <w:szCs w:val="24"/>
          <w:u w:val="single"/>
        </w:rPr>
      </w:pPr>
      <w:r w:rsidRPr="00C703DC">
        <w:rPr>
          <w:rFonts w:ascii="Palatino Linotype" w:hAnsi="Palatino Linotype"/>
          <w:b/>
          <w:i/>
          <w:sz w:val="24"/>
          <w:szCs w:val="24"/>
          <w:u w:val="single"/>
        </w:rPr>
        <w:t>V. Proporcionar oportunamente al ayuntamiento todos los datos o informes que sean necesarios para la formulación del Presupuesto de Egresos Municipales, vigilando que se ajuste a las disposiciones de esta Ley y otros ordenamientos aplicables;</w:t>
      </w:r>
    </w:p>
    <w:p w14:paraId="53CFE292" w14:textId="5D0FB62C" w:rsidR="008169A7" w:rsidRPr="00C703DC" w:rsidRDefault="008169A7" w:rsidP="008169A7">
      <w:pPr>
        <w:spacing w:after="0" w:line="360" w:lineRule="auto"/>
        <w:ind w:left="567" w:right="567"/>
        <w:jc w:val="both"/>
        <w:rPr>
          <w:rFonts w:ascii="Palatino Linotype" w:hAnsi="Palatino Linotype"/>
          <w:i/>
          <w:sz w:val="24"/>
          <w:szCs w:val="24"/>
        </w:rPr>
      </w:pPr>
      <w:r w:rsidRPr="00C703DC">
        <w:rPr>
          <w:rFonts w:ascii="Palatino Linotype" w:hAnsi="Palatino Linotype"/>
          <w:i/>
          <w:sz w:val="24"/>
          <w:szCs w:val="24"/>
        </w:rPr>
        <w:t>VI. Presentar anualmente al ayuntamiento un informe de la situación contable financiera de la Tesorería Municipal;</w:t>
      </w:r>
    </w:p>
    <w:p w14:paraId="046C2E10" w14:textId="4B93F818" w:rsidR="008169A7" w:rsidRPr="00C703DC" w:rsidRDefault="008169A7" w:rsidP="008169A7">
      <w:pPr>
        <w:spacing w:after="0" w:line="360" w:lineRule="auto"/>
        <w:ind w:left="567" w:right="567"/>
        <w:jc w:val="both"/>
        <w:rPr>
          <w:rFonts w:ascii="Palatino Linotype" w:hAnsi="Palatino Linotype"/>
          <w:i/>
          <w:sz w:val="24"/>
          <w:szCs w:val="24"/>
        </w:rPr>
      </w:pPr>
      <w:r w:rsidRPr="00C703DC">
        <w:rPr>
          <w:rFonts w:ascii="Palatino Linotype" w:hAnsi="Palatino Linotype"/>
          <w:i/>
          <w:sz w:val="24"/>
          <w:szCs w:val="24"/>
        </w:rPr>
        <w:lastRenderedPageBreak/>
        <w:t>VI Bis. Proporcionar para la formulación del proyecto de Presupuesto de Egresos Municipales la información financiera relativa a la solución o en su caso, el pago de los litigios laborales;</w:t>
      </w:r>
    </w:p>
    <w:p w14:paraId="53759AFB" w14:textId="1FE0BCBB" w:rsidR="008169A7" w:rsidRPr="00C703DC" w:rsidRDefault="008169A7" w:rsidP="008169A7">
      <w:pPr>
        <w:spacing w:after="0" w:line="360" w:lineRule="auto"/>
        <w:ind w:left="567" w:right="567"/>
        <w:jc w:val="both"/>
        <w:rPr>
          <w:rFonts w:ascii="Palatino Linotype" w:hAnsi="Palatino Linotype"/>
          <w:i/>
          <w:sz w:val="24"/>
          <w:szCs w:val="24"/>
        </w:rPr>
      </w:pPr>
      <w:r w:rsidRPr="00C703DC">
        <w:rPr>
          <w:rFonts w:ascii="Palatino Linotype" w:hAnsi="Palatino Linotype"/>
          <w:i/>
          <w:sz w:val="24"/>
          <w:szCs w:val="24"/>
        </w:rPr>
        <w:t>VII. Diseñar y aprobar las formas oficiales de manifestaciones, avisos y declaraciones y demás documentos requeridos;</w:t>
      </w:r>
    </w:p>
    <w:p w14:paraId="3A9BF6C6" w14:textId="5F665633" w:rsidR="008169A7" w:rsidRPr="00C703DC" w:rsidRDefault="008169A7" w:rsidP="008169A7">
      <w:pPr>
        <w:spacing w:after="0" w:line="360" w:lineRule="auto"/>
        <w:ind w:left="567" w:right="567"/>
        <w:jc w:val="both"/>
        <w:rPr>
          <w:rFonts w:ascii="Palatino Linotype" w:hAnsi="Palatino Linotype"/>
          <w:i/>
          <w:sz w:val="24"/>
          <w:szCs w:val="24"/>
        </w:rPr>
      </w:pPr>
      <w:r w:rsidRPr="00C703DC">
        <w:rPr>
          <w:rFonts w:ascii="Palatino Linotype" w:hAnsi="Palatino Linotype"/>
          <w:i/>
          <w:sz w:val="24"/>
          <w:szCs w:val="24"/>
        </w:rPr>
        <w:t>VIII. Participar en la formulación de Convenios Fiscales y ejercer las atribuciones que le correspondan en el ámbito de su competencia;</w:t>
      </w:r>
    </w:p>
    <w:p w14:paraId="0C56E173" w14:textId="77777777" w:rsidR="008169A7" w:rsidRPr="00C703DC" w:rsidRDefault="008169A7" w:rsidP="008169A7">
      <w:pPr>
        <w:spacing w:after="0" w:line="360" w:lineRule="auto"/>
        <w:ind w:left="567" w:right="567"/>
        <w:jc w:val="both"/>
        <w:rPr>
          <w:rFonts w:ascii="Palatino Linotype" w:hAnsi="Palatino Linotype"/>
          <w:i/>
          <w:sz w:val="24"/>
          <w:szCs w:val="24"/>
        </w:rPr>
      </w:pPr>
      <w:r w:rsidRPr="00C703DC">
        <w:rPr>
          <w:rFonts w:ascii="Palatino Linotype" w:hAnsi="Palatino Linotype"/>
          <w:i/>
          <w:sz w:val="24"/>
          <w:szCs w:val="24"/>
        </w:rPr>
        <w:t>IX. Proponer al ayuntamiento la cancelación de cuentas incobrables;</w:t>
      </w:r>
    </w:p>
    <w:p w14:paraId="7C13B23E" w14:textId="77777777" w:rsidR="008169A7" w:rsidRPr="00C703DC" w:rsidRDefault="008169A7" w:rsidP="008169A7">
      <w:pPr>
        <w:spacing w:after="0" w:line="360" w:lineRule="auto"/>
        <w:ind w:left="567" w:right="567"/>
        <w:jc w:val="both"/>
        <w:rPr>
          <w:rFonts w:ascii="Palatino Linotype" w:hAnsi="Palatino Linotype"/>
          <w:i/>
          <w:sz w:val="24"/>
          <w:szCs w:val="24"/>
        </w:rPr>
      </w:pPr>
      <w:r w:rsidRPr="00C703DC">
        <w:rPr>
          <w:rFonts w:ascii="Palatino Linotype" w:hAnsi="Palatino Linotype"/>
          <w:i/>
          <w:sz w:val="24"/>
          <w:szCs w:val="24"/>
        </w:rPr>
        <w:t>X. Custodiar y ejercer las garantías que se otorguen en favor de la hacienda municipal;</w:t>
      </w:r>
    </w:p>
    <w:p w14:paraId="1AAA00F1" w14:textId="77777777" w:rsidR="008169A7" w:rsidRPr="00C703DC" w:rsidRDefault="008169A7" w:rsidP="008169A7">
      <w:pPr>
        <w:spacing w:after="0" w:line="360" w:lineRule="auto"/>
        <w:ind w:left="567" w:right="567"/>
        <w:jc w:val="both"/>
        <w:rPr>
          <w:rFonts w:ascii="Palatino Linotype" w:hAnsi="Palatino Linotype"/>
          <w:i/>
          <w:sz w:val="24"/>
          <w:szCs w:val="24"/>
        </w:rPr>
      </w:pPr>
      <w:r w:rsidRPr="00C703DC">
        <w:rPr>
          <w:rFonts w:ascii="Palatino Linotype" w:hAnsi="Palatino Linotype"/>
          <w:i/>
          <w:sz w:val="24"/>
          <w:szCs w:val="24"/>
        </w:rPr>
        <w:t>XI. Proponer la política de ingresos de la tesorería municipal;</w:t>
      </w:r>
    </w:p>
    <w:p w14:paraId="06F2E051" w14:textId="77777777" w:rsidR="008169A7" w:rsidRPr="00C703DC" w:rsidRDefault="008169A7" w:rsidP="008169A7">
      <w:pPr>
        <w:spacing w:after="0" w:line="360" w:lineRule="auto"/>
        <w:ind w:left="567" w:right="567"/>
        <w:jc w:val="both"/>
        <w:rPr>
          <w:rFonts w:ascii="Palatino Linotype" w:hAnsi="Palatino Linotype"/>
          <w:i/>
          <w:sz w:val="24"/>
          <w:szCs w:val="24"/>
        </w:rPr>
      </w:pPr>
      <w:r w:rsidRPr="00C703DC">
        <w:rPr>
          <w:rFonts w:ascii="Palatino Linotype" w:hAnsi="Palatino Linotype"/>
          <w:i/>
          <w:sz w:val="24"/>
          <w:szCs w:val="24"/>
        </w:rPr>
        <w:t>XII. Intervenir en la elaboración del programa financiero municipal;</w:t>
      </w:r>
    </w:p>
    <w:p w14:paraId="2E9430D5" w14:textId="77777777" w:rsidR="008169A7" w:rsidRPr="00C703DC" w:rsidRDefault="008169A7" w:rsidP="008169A7">
      <w:pPr>
        <w:spacing w:after="0" w:line="360" w:lineRule="auto"/>
        <w:ind w:left="567" w:right="567"/>
        <w:jc w:val="both"/>
        <w:rPr>
          <w:rFonts w:ascii="Palatino Linotype" w:hAnsi="Palatino Linotype"/>
          <w:i/>
          <w:sz w:val="24"/>
          <w:szCs w:val="24"/>
        </w:rPr>
      </w:pPr>
      <w:r w:rsidRPr="00C703DC">
        <w:rPr>
          <w:rFonts w:ascii="Palatino Linotype" w:hAnsi="Palatino Linotype"/>
          <w:i/>
          <w:sz w:val="24"/>
          <w:szCs w:val="24"/>
        </w:rPr>
        <w:t>XIII. Elaborar y mantener actualizado el Padrón de Contribuyentes;</w:t>
      </w:r>
    </w:p>
    <w:p w14:paraId="133665B1" w14:textId="3CDEB992" w:rsidR="008169A7" w:rsidRPr="00C703DC" w:rsidRDefault="008169A7" w:rsidP="008169A7">
      <w:pPr>
        <w:spacing w:after="0" w:line="360" w:lineRule="auto"/>
        <w:ind w:left="567" w:right="567"/>
        <w:jc w:val="both"/>
        <w:rPr>
          <w:rFonts w:ascii="Palatino Linotype" w:hAnsi="Palatino Linotype"/>
          <w:i/>
          <w:sz w:val="24"/>
          <w:szCs w:val="24"/>
        </w:rPr>
      </w:pPr>
      <w:r w:rsidRPr="00C703DC">
        <w:rPr>
          <w:rFonts w:ascii="Palatino Linotype" w:hAnsi="Palatino Linotype"/>
          <w:i/>
          <w:sz w:val="24"/>
          <w:szCs w:val="24"/>
        </w:rPr>
        <w:t>XIV. Ministrar a su inmediato antecesor todos los datos oficiales que le solicitare, para contestar los pliegos de observaciones y alcances que formule y deduzca el Órgano Superior de Fiscalización del Estado de México;</w:t>
      </w:r>
    </w:p>
    <w:p w14:paraId="4D5A484B" w14:textId="22E20622" w:rsidR="008169A7" w:rsidRPr="00C703DC" w:rsidRDefault="008169A7" w:rsidP="008169A7">
      <w:pPr>
        <w:spacing w:after="0" w:line="360" w:lineRule="auto"/>
        <w:ind w:left="567" w:right="567"/>
        <w:jc w:val="both"/>
        <w:rPr>
          <w:rFonts w:ascii="Palatino Linotype" w:hAnsi="Palatino Linotype"/>
          <w:i/>
          <w:sz w:val="24"/>
          <w:szCs w:val="24"/>
        </w:rPr>
      </w:pPr>
      <w:r w:rsidRPr="00C703DC">
        <w:rPr>
          <w:rFonts w:ascii="Palatino Linotype" w:hAnsi="Palatino Linotype"/>
          <w:i/>
          <w:sz w:val="24"/>
          <w:szCs w:val="24"/>
        </w:rPr>
        <w:t>XV. Solicitar a las instancias competentes, la práctica de revisiones circunstanciadas, de conformidad con las normas que rigen en materia de control y evaluación gubernamental en el ámbito municipal;</w:t>
      </w:r>
    </w:p>
    <w:p w14:paraId="1B944096" w14:textId="77777777" w:rsidR="008169A7" w:rsidRPr="00C703DC" w:rsidRDefault="008169A7" w:rsidP="008169A7">
      <w:pPr>
        <w:spacing w:after="0" w:line="360" w:lineRule="auto"/>
        <w:ind w:left="567" w:right="567"/>
        <w:jc w:val="both"/>
        <w:rPr>
          <w:rFonts w:ascii="Palatino Linotype" w:hAnsi="Palatino Linotype"/>
          <w:i/>
          <w:sz w:val="24"/>
          <w:szCs w:val="24"/>
        </w:rPr>
      </w:pPr>
      <w:r w:rsidRPr="00C703DC">
        <w:rPr>
          <w:rFonts w:ascii="Palatino Linotype" w:hAnsi="Palatino Linotype"/>
          <w:i/>
          <w:sz w:val="24"/>
          <w:szCs w:val="24"/>
        </w:rPr>
        <w:t>XVI. Glosar oportunamente las cuentas del ayuntamiento;</w:t>
      </w:r>
    </w:p>
    <w:p w14:paraId="7A73EB15" w14:textId="0B690CCF" w:rsidR="008169A7" w:rsidRPr="00C703DC" w:rsidRDefault="008169A7" w:rsidP="008169A7">
      <w:pPr>
        <w:spacing w:after="0" w:line="360" w:lineRule="auto"/>
        <w:ind w:left="567" w:right="567"/>
        <w:jc w:val="both"/>
        <w:rPr>
          <w:rFonts w:ascii="Palatino Linotype" w:hAnsi="Palatino Linotype"/>
          <w:i/>
          <w:sz w:val="24"/>
          <w:szCs w:val="24"/>
        </w:rPr>
      </w:pPr>
      <w:r w:rsidRPr="00C703DC">
        <w:rPr>
          <w:rFonts w:ascii="Palatino Linotype" w:hAnsi="Palatino Linotype"/>
          <w:i/>
          <w:sz w:val="24"/>
          <w:szCs w:val="24"/>
        </w:rPr>
        <w:t>XVII. Contestar oportunamente los pliegos de observaciones y responsabilidad que haga el Órgano Superior de Fiscalización del Estado de México, así como atender en tiempo y forma las solicitudes de información que éste requiera, informando al Ayuntamiento;</w:t>
      </w:r>
    </w:p>
    <w:p w14:paraId="3C9EF45B" w14:textId="69A3BF65" w:rsidR="008169A7" w:rsidRPr="00C703DC" w:rsidRDefault="008169A7" w:rsidP="008169A7">
      <w:pPr>
        <w:spacing w:after="0" w:line="360" w:lineRule="auto"/>
        <w:ind w:left="567" w:right="567"/>
        <w:jc w:val="both"/>
        <w:rPr>
          <w:rFonts w:ascii="Palatino Linotype" w:hAnsi="Palatino Linotype"/>
          <w:i/>
          <w:sz w:val="24"/>
          <w:szCs w:val="24"/>
        </w:rPr>
      </w:pPr>
      <w:r w:rsidRPr="00C703DC">
        <w:rPr>
          <w:rFonts w:ascii="Palatino Linotype" w:hAnsi="Palatino Linotype"/>
          <w:i/>
          <w:sz w:val="24"/>
          <w:szCs w:val="24"/>
        </w:rPr>
        <w:lastRenderedPageBreak/>
        <w:t>XVIII. Expedir copias certificadas de los documentos a su cuidado, por acuerdo expreso del Ayuntamiento y cuando se trate de documentación presentada ante el Órgano Superior de Fiscalización del Estado de México;</w:t>
      </w:r>
    </w:p>
    <w:p w14:paraId="61A51825" w14:textId="7DE34985" w:rsidR="008169A7" w:rsidRPr="00C703DC" w:rsidRDefault="008169A7" w:rsidP="008169A7">
      <w:pPr>
        <w:spacing w:after="0" w:line="360" w:lineRule="auto"/>
        <w:ind w:left="567" w:right="567"/>
        <w:jc w:val="both"/>
        <w:rPr>
          <w:rFonts w:ascii="Palatino Linotype" w:hAnsi="Palatino Linotype"/>
          <w:i/>
          <w:sz w:val="24"/>
          <w:szCs w:val="24"/>
        </w:rPr>
      </w:pPr>
      <w:r w:rsidRPr="00C703DC">
        <w:rPr>
          <w:rFonts w:ascii="Palatino Linotype" w:hAnsi="Palatino Linotype"/>
          <w:i/>
          <w:sz w:val="24"/>
          <w:szCs w:val="24"/>
        </w:rPr>
        <w:t>XIX. Recaudar y administrar los ingresos que se deriven de la suscripción de convenios, acuerdos o la emisión de declaratorias de coordinación; los relativos a las transferencias otorgadas a favor del Municipio en el marco del Sistema Nacional o Estatal de Coordinación Fiscal, o los que reciba por cualquier otro concepto; así como el importe de las sanciones por infracciones impuestas por las autoridades competentes, por la inobservancia de las diversas disposiciones y ordenamientos legales, constituyendo los créditos fiscales correspondientes;</w:t>
      </w:r>
    </w:p>
    <w:p w14:paraId="348FCA42" w14:textId="74A2089D" w:rsidR="008169A7" w:rsidRPr="00C703DC" w:rsidRDefault="008169A7" w:rsidP="008169A7">
      <w:pPr>
        <w:spacing w:after="0" w:line="360" w:lineRule="auto"/>
        <w:ind w:left="567" w:right="567"/>
        <w:jc w:val="both"/>
        <w:rPr>
          <w:rFonts w:ascii="Palatino Linotype" w:hAnsi="Palatino Linotype"/>
          <w:i/>
          <w:sz w:val="24"/>
          <w:szCs w:val="24"/>
        </w:rPr>
      </w:pPr>
      <w:r w:rsidRPr="00C703DC">
        <w:rPr>
          <w:rFonts w:ascii="Palatino Linotype" w:hAnsi="Palatino Linotype"/>
          <w:i/>
          <w:sz w:val="24"/>
          <w:szCs w:val="24"/>
        </w:rPr>
        <w:t>XX. Dar cumplimiento a las leyes, convenios de coordinación fiscal y demás que en materia hacendaria celebre el Ayuntamiento con el Estado;</w:t>
      </w:r>
    </w:p>
    <w:p w14:paraId="6C218373" w14:textId="5455FCAC" w:rsidR="008169A7" w:rsidRPr="00C703DC" w:rsidRDefault="008169A7" w:rsidP="008169A7">
      <w:pPr>
        <w:spacing w:after="0" w:line="360" w:lineRule="auto"/>
        <w:ind w:left="567" w:right="567"/>
        <w:jc w:val="both"/>
        <w:rPr>
          <w:rFonts w:ascii="Palatino Linotype" w:hAnsi="Palatino Linotype"/>
          <w:i/>
          <w:sz w:val="24"/>
          <w:szCs w:val="24"/>
        </w:rPr>
      </w:pPr>
      <w:r w:rsidRPr="00C703DC">
        <w:rPr>
          <w:rFonts w:ascii="Palatino Linotype" w:hAnsi="Palatino Linotype"/>
          <w:i/>
          <w:sz w:val="24"/>
          <w:szCs w:val="24"/>
        </w:rPr>
        <w:t>XXI. Entregar oportunamente a él o los Síndicos, según sea el caso, el informe mensual que corresponda, a fin de que se revise, y de ser necesario, para que se formulen las observaciones respectivas.</w:t>
      </w:r>
    </w:p>
    <w:p w14:paraId="06A1829F" w14:textId="59DC856B" w:rsidR="008169A7" w:rsidRPr="00C703DC" w:rsidRDefault="008169A7" w:rsidP="008169A7">
      <w:pPr>
        <w:spacing w:after="0" w:line="360" w:lineRule="auto"/>
        <w:ind w:left="567" w:right="567"/>
        <w:jc w:val="both"/>
        <w:rPr>
          <w:rFonts w:ascii="Palatino Linotype" w:hAnsi="Palatino Linotype"/>
          <w:i/>
          <w:sz w:val="24"/>
          <w:szCs w:val="24"/>
        </w:rPr>
      </w:pPr>
      <w:r w:rsidRPr="00C703DC">
        <w:rPr>
          <w:rFonts w:ascii="Palatino Linotype" w:hAnsi="Palatino Linotype"/>
          <w:i/>
          <w:sz w:val="24"/>
          <w:szCs w:val="24"/>
        </w:rPr>
        <w:t>XXII. Las que les señalen las demás disposiciones legales y el ayuntamiento.” (</w:t>
      </w:r>
      <w:proofErr w:type="gramStart"/>
      <w:r w:rsidRPr="00C703DC">
        <w:rPr>
          <w:rFonts w:ascii="Palatino Linotype" w:hAnsi="Palatino Linotype"/>
          <w:i/>
          <w:sz w:val="24"/>
          <w:szCs w:val="24"/>
        </w:rPr>
        <w:t>sic</w:t>
      </w:r>
      <w:proofErr w:type="gramEnd"/>
      <w:r w:rsidRPr="00C703DC">
        <w:rPr>
          <w:rFonts w:ascii="Palatino Linotype" w:hAnsi="Palatino Linotype"/>
          <w:i/>
          <w:sz w:val="24"/>
          <w:szCs w:val="24"/>
        </w:rPr>
        <w:t>)</w:t>
      </w:r>
    </w:p>
    <w:p w14:paraId="4F47347D" w14:textId="77777777" w:rsidR="00683379" w:rsidRPr="00C703DC" w:rsidRDefault="00683379" w:rsidP="005C2A3E">
      <w:pPr>
        <w:spacing w:after="0" w:line="360" w:lineRule="auto"/>
        <w:jc w:val="both"/>
        <w:rPr>
          <w:rFonts w:ascii="Palatino Linotype" w:hAnsi="Palatino Linotype"/>
          <w:sz w:val="24"/>
          <w:szCs w:val="24"/>
        </w:rPr>
      </w:pPr>
    </w:p>
    <w:p w14:paraId="79B5878F" w14:textId="25438B91" w:rsidR="00EA5B54" w:rsidRPr="00C703DC" w:rsidRDefault="00683379" w:rsidP="005C2A3E">
      <w:pPr>
        <w:spacing w:after="0" w:line="360" w:lineRule="auto"/>
        <w:jc w:val="both"/>
        <w:rPr>
          <w:rFonts w:ascii="Palatino Linotype" w:hAnsi="Palatino Linotype"/>
          <w:sz w:val="24"/>
          <w:szCs w:val="24"/>
        </w:rPr>
      </w:pPr>
      <w:r w:rsidRPr="00C703DC">
        <w:rPr>
          <w:rFonts w:ascii="Palatino Linotype" w:hAnsi="Palatino Linotype"/>
          <w:sz w:val="24"/>
          <w:szCs w:val="24"/>
        </w:rPr>
        <w:t xml:space="preserve">En este sentido, </w:t>
      </w:r>
      <w:r w:rsidR="000D134C" w:rsidRPr="00C703DC">
        <w:rPr>
          <w:rFonts w:ascii="Palatino Linotype" w:hAnsi="Palatino Linotype"/>
          <w:sz w:val="24"/>
          <w:szCs w:val="24"/>
        </w:rPr>
        <w:t xml:space="preserve">resulta indispensable traer a colación el bando municipal vigente del Sujeto Obligado por lo que en términos de los </w:t>
      </w:r>
      <w:r w:rsidR="00E70459" w:rsidRPr="00C703DC">
        <w:rPr>
          <w:rFonts w:ascii="Palatino Linotype" w:hAnsi="Palatino Linotype"/>
          <w:sz w:val="24"/>
          <w:szCs w:val="24"/>
        </w:rPr>
        <w:t xml:space="preserve">artículos </w:t>
      </w:r>
      <w:r w:rsidR="001319D6" w:rsidRPr="00C703DC">
        <w:rPr>
          <w:rFonts w:ascii="Palatino Linotype" w:hAnsi="Palatino Linotype"/>
          <w:sz w:val="24"/>
          <w:szCs w:val="24"/>
        </w:rPr>
        <w:t>152, 155</w:t>
      </w:r>
      <w:r w:rsidR="00E70459" w:rsidRPr="00C703DC">
        <w:rPr>
          <w:rFonts w:ascii="Palatino Linotype" w:hAnsi="Palatino Linotype"/>
          <w:sz w:val="24"/>
          <w:szCs w:val="24"/>
        </w:rPr>
        <w:t>, del Band</w:t>
      </w:r>
      <w:r w:rsidR="001319D6" w:rsidRPr="00C703DC">
        <w:rPr>
          <w:rFonts w:ascii="Palatino Linotype" w:hAnsi="Palatino Linotype"/>
          <w:sz w:val="24"/>
          <w:szCs w:val="24"/>
        </w:rPr>
        <w:t>o Municipal del Sujeto Obligado, la T</w:t>
      </w:r>
      <w:r w:rsidR="00E70459" w:rsidRPr="00C703DC">
        <w:rPr>
          <w:rFonts w:ascii="Palatino Linotype" w:hAnsi="Palatino Linotype"/>
          <w:sz w:val="24"/>
          <w:szCs w:val="24"/>
        </w:rPr>
        <w:t xml:space="preserve">esorería </w:t>
      </w:r>
      <w:r w:rsidR="001319D6" w:rsidRPr="00C703DC">
        <w:rPr>
          <w:rFonts w:ascii="Palatino Linotype" w:hAnsi="Palatino Linotype"/>
          <w:sz w:val="24"/>
          <w:szCs w:val="24"/>
        </w:rPr>
        <w:t>M</w:t>
      </w:r>
      <w:r w:rsidR="00E70459" w:rsidRPr="00C703DC">
        <w:rPr>
          <w:rFonts w:ascii="Palatino Linotype" w:hAnsi="Palatino Linotype"/>
          <w:sz w:val="24"/>
          <w:szCs w:val="24"/>
        </w:rPr>
        <w:t>unicipal,</w:t>
      </w:r>
      <w:r w:rsidR="001319D6" w:rsidRPr="00C703DC">
        <w:rPr>
          <w:rFonts w:ascii="Palatino Linotype" w:hAnsi="Palatino Linotype"/>
          <w:sz w:val="24"/>
          <w:szCs w:val="24"/>
        </w:rPr>
        <w:t xml:space="preserve"> es el órgano encargado de la recaudación  de los ingresos municipales y responsable de realizar las erogaciones que haga el Ayuntamiento</w:t>
      </w:r>
      <w:r w:rsidR="00EA5B54" w:rsidRPr="00C703DC">
        <w:rPr>
          <w:rFonts w:ascii="Palatino Linotype" w:hAnsi="Palatino Linotype"/>
          <w:sz w:val="24"/>
          <w:szCs w:val="24"/>
        </w:rPr>
        <w:t>, conforme lo siguiente</w:t>
      </w:r>
      <w:r w:rsidR="001319D6" w:rsidRPr="00C703DC">
        <w:rPr>
          <w:rFonts w:ascii="Palatino Linotype" w:hAnsi="Palatino Linotype"/>
          <w:sz w:val="24"/>
          <w:szCs w:val="24"/>
        </w:rPr>
        <w:t>:</w:t>
      </w:r>
      <w:r w:rsidR="00EA5B54" w:rsidRPr="00C703DC">
        <w:rPr>
          <w:rFonts w:ascii="Palatino Linotype" w:hAnsi="Palatino Linotype"/>
          <w:sz w:val="24"/>
          <w:szCs w:val="24"/>
        </w:rPr>
        <w:t xml:space="preserve"> </w:t>
      </w:r>
    </w:p>
    <w:p w14:paraId="48B392C7" w14:textId="77777777" w:rsidR="005C2A3E" w:rsidRPr="00C703DC" w:rsidRDefault="005C2A3E" w:rsidP="005C2A3E">
      <w:pPr>
        <w:spacing w:after="0" w:line="360" w:lineRule="auto"/>
        <w:jc w:val="both"/>
        <w:rPr>
          <w:rFonts w:ascii="Palatino Linotype" w:hAnsi="Palatino Linotype"/>
          <w:sz w:val="24"/>
          <w:szCs w:val="24"/>
        </w:rPr>
      </w:pPr>
    </w:p>
    <w:p w14:paraId="7F5626DF" w14:textId="50EFDB7D" w:rsidR="00E70459" w:rsidRPr="00C703DC" w:rsidRDefault="001319D6" w:rsidP="001319D6">
      <w:pPr>
        <w:spacing w:after="0" w:line="360" w:lineRule="auto"/>
        <w:jc w:val="center"/>
        <w:rPr>
          <w:rFonts w:ascii="Palatino Linotype" w:hAnsi="Palatino Linotype"/>
          <w:i/>
        </w:rPr>
      </w:pPr>
      <w:r w:rsidRPr="00C703DC">
        <w:rPr>
          <w:rFonts w:ascii="Palatino Linotype" w:hAnsi="Palatino Linotype"/>
          <w:b/>
          <w:i/>
          <w:noProof/>
          <w:lang w:eastAsia="es-MX"/>
        </w:rPr>
        <w:lastRenderedPageBreak/>
        <w:drawing>
          <wp:inline distT="0" distB="0" distL="0" distR="0" wp14:anchorId="1CC435EF" wp14:editId="434A11FA">
            <wp:extent cx="5074722" cy="1504950"/>
            <wp:effectExtent l="190500" t="190500" r="183515" b="19050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121668" cy="1518872"/>
                    </a:xfrm>
                    <a:prstGeom prst="rect">
                      <a:avLst/>
                    </a:prstGeom>
                    <a:ln>
                      <a:noFill/>
                    </a:ln>
                    <a:effectLst>
                      <a:outerShdw blurRad="190500" algn="tl" rotWithShape="0">
                        <a:srgbClr val="000000">
                          <a:alpha val="70000"/>
                        </a:srgbClr>
                      </a:outerShdw>
                    </a:effectLst>
                  </pic:spPr>
                </pic:pic>
              </a:graphicData>
            </a:graphic>
          </wp:inline>
        </w:drawing>
      </w:r>
    </w:p>
    <w:p w14:paraId="444111E8" w14:textId="2A8660DF" w:rsidR="001319D6" w:rsidRPr="00C703DC" w:rsidRDefault="001319D6" w:rsidP="001319D6">
      <w:pPr>
        <w:spacing w:after="0" w:line="360" w:lineRule="auto"/>
        <w:jc w:val="center"/>
        <w:rPr>
          <w:rFonts w:ascii="Palatino Linotype" w:hAnsi="Palatino Linotype"/>
          <w:i/>
        </w:rPr>
      </w:pPr>
      <w:r w:rsidRPr="00C703DC">
        <w:rPr>
          <w:rFonts w:ascii="Palatino Linotype" w:hAnsi="Palatino Linotype"/>
          <w:i/>
          <w:noProof/>
          <w:lang w:eastAsia="es-MX"/>
        </w:rPr>
        <w:drawing>
          <wp:inline distT="0" distB="0" distL="0" distR="0" wp14:anchorId="003F0DB4" wp14:editId="71BE73BD">
            <wp:extent cx="5057775" cy="870219"/>
            <wp:effectExtent l="190500" t="190500" r="180975" b="1968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183320" cy="891820"/>
                    </a:xfrm>
                    <a:prstGeom prst="rect">
                      <a:avLst/>
                    </a:prstGeom>
                    <a:ln>
                      <a:noFill/>
                    </a:ln>
                    <a:effectLst>
                      <a:outerShdw blurRad="190500" algn="tl" rotWithShape="0">
                        <a:srgbClr val="000000">
                          <a:alpha val="70000"/>
                        </a:srgbClr>
                      </a:outerShdw>
                    </a:effectLst>
                  </pic:spPr>
                </pic:pic>
              </a:graphicData>
            </a:graphic>
          </wp:inline>
        </w:drawing>
      </w:r>
    </w:p>
    <w:p w14:paraId="758444C2" w14:textId="77777777" w:rsidR="005F557C" w:rsidRPr="00C703DC" w:rsidRDefault="005F557C" w:rsidP="005C2A3E">
      <w:pPr>
        <w:spacing w:after="0" w:line="360" w:lineRule="auto"/>
        <w:jc w:val="both"/>
        <w:rPr>
          <w:rFonts w:ascii="Palatino Linotype" w:eastAsia="Palatino Linotype" w:hAnsi="Palatino Linotype" w:cs="Palatino Linotype"/>
          <w:sz w:val="24"/>
          <w:szCs w:val="24"/>
        </w:rPr>
      </w:pPr>
    </w:p>
    <w:p w14:paraId="6E4ECFAB" w14:textId="2EC9B699" w:rsidR="000D134C" w:rsidRPr="00C703DC" w:rsidRDefault="001319D6" w:rsidP="005C2A3E">
      <w:pPr>
        <w:spacing w:after="0" w:line="360" w:lineRule="auto"/>
        <w:jc w:val="both"/>
        <w:rPr>
          <w:rFonts w:ascii="Palatino Linotype" w:eastAsia="Palatino Linotype" w:hAnsi="Palatino Linotype" w:cs="Palatino Linotype"/>
          <w:sz w:val="24"/>
          <w:szCs w:val="24"/>
        </w:rPr>
      </w:pPr>
      <w:r w:rsidRPr="00C703DC">
        <w:rPr>
          <w:rFonts w:ascii="Palatino Linotype" w:eastAsia="Palatino Linotype" w:hAnsi="Palatino Linotype" w:cs="Palatino Linotype"/>
          <w:sz w:val="24"/>
          <w:szCs w:val="24"/>
        </w:rPr>
        <w:t>Por lo que r</w:t>
      </w:r>
      <w:r w:rsidR="000D134C" w:rsidRPr="00C703DC">
        <w:rPr>
          <w:rFonts w:ascii="Palatino Linotype" w:eastAsia="Palatino Linotype" w:hAnsi="Palatino Linotype" w:cs="Palatino Linotype"/>
          <w:sz w:val="24"/>
          <w:szCs w:val="24"/>
        </w:rPr>
        <w:t xml:space="preserve">especto </w:t>
      </w:r>
      <w:r w:rsidRPr="00C703DC">
        <w:rPr>
          <w:rFonts w:ascii="Palatino Linotype" w:eastAsia="Palatino Linotype" w:hAnsi="Palatino Linotype" w:cs="Palatino Linotype"/>
          <w:sz w:val="24"/>
          <w:szCs w:val="24"/>
        </w:rPr>
        <w:t>a lo requerido referente a</w:t>
      </w:r>
      <w:r w:rsidR="000D134C" w:rsidRPr="00C703DC">
        <w:rPr>
          <w:rFonts w:ascii="Palatino Linotype" w:eastAsia="Palatino Linotype" w:hAnsi="Palatino Linotype" w:cs="Palatino Linotype"/>
          <w:sz w:val="24"/>
          <w:szCs w:val="24"/>
        </w:rPr>
        <w:t xml:space="preserve"> “</w:t>
      </w:r>
      <w:r w:rsidRPr="00C703DC">
        <w:rPr>
          <w:rFonts w:ascii="Palatino Linotype" w:eastAsia="Palatino Linotype" w:hAnsi="Palatino Linotype" w:cs="Palatino Linotype"/>
          <w:i/>
          <w:sz w:val="24"/>
          <w:szCs w:val="24"/>
        </w:rPr>
        <w:t>el dinero recaudado</w:t>
      </w:r>
      <w:r w:rsidR="000D134C" w:rsidRPr="00C703DC">
        <w:rPr>
          <w:rFonts w:ascii="Palatino Linotype" w:eastAsia="Palatino Linotype" w:hAnsi="Palatino Linotype" w:cs="Palatino Linotype"/>
          <w:sz w:val="24"/>
          <w:szCs w:val="24"/>
        </w:rPr>
        <w:t xml:space="preserve">”, se debe establecer que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 sin embargo, el “Glosario de Términos para el Proceso de Planeación, Programación, </w:t>
      </w:r>
      <w:proofErr w:type="spellStart"/>
      <w:r w:rsidR="000D134C" w:rsidRPr="00C703DC">
        <w:rPr>
          <w:rFonts w:ascii="Palatino Linotype" w:eastAsia="Palatino Linotype" w:hAnsi="Palatino Linotype" w:cs="Palatino Linotype"/>
          <w:sz w:val="24"/>
          <w:szCs w:val="24"/>
        </w:rPr>
        <w:t>Presupuestación</w:t>
      </w:r>
      <w:proofErr w:type="spellEnd"/>
      <w:r w:rsidR="000D134C" w:rsidRPr="00C703DC">
        <w:rPr>
          <w:rFonts w:ascii="Palatino Linotype" w:eastAsia="Palatino Linotype" w:hAnsi="Palatino Linotype" w:cs="Palatino Linotype"/>
          <w:sz w:val="24"/>
          <w:szCs w:val="24"/>
        </w:rPr>
        <w:t xml:space="preserve"> y Evaluación en la Administración Pública”</w:t>
      </w:r>
      <w:r w:rsidR="000D134C" w:rsidRPr="00C703DC">
        <w:rPr>
          <w:rFonts w:ascii="Palatino Linotype" w:eastAsia="Palatino Linotype" w:hAnsi="Palatino Linotype" w:cs="Palatino Linotype"/>
          <w:sz w:val="24"/>
          <w:szCs w:val="24"/>
          <w:vertAlign w:val="superscript"/>
        </w:rPr>
        <w:footnoteReference w:id="3"/>
      </w:r>
      <w:r w:rsidR="000D134C" w:rsidRPr="00C703DC">
        <w:rPr>
          <w:rFonts w:ascii="Palatino Linotype" w:eastAsia="Palatino Linotype" w:hAnsi="Palatino Linotype" w:cs="Palatino Linotype"/>
          <w:sz w:val="24"/>
          <w:szCs w:val="24"/>
        </w:rPr>
        <w:t xml:space="preserve">, elaborado por el Grupo de Trabajo de Sistemas de Información Financiera, Contable y Presupuestal de la Comisión Permanente de Funcionarios Fiscales del Instituto para el </w:t>
      </w:r>
      <w:r w:rsidR="000D134C" w:rsidRPr="00C703DC">
        <w:rPr>
          <w:rFonts w:ascii="Palatino Linotype" w:eastAsia="Palatino Linotype" w:hAnsi="Palatino Linotype" w:cs="Palatino Linotype"/>
          <w:sz w:val="24"/>
          <w:szCs w:val="24"/>
        </w:rPr>
        <w:lastRenderedPageBreak/>
        <w:t>Desarrollo Técnico de las Haciendas Públicas, INDETEC, señalan las siguientes definiciones de las palabras registro contable y registro presupuestario:</w:t>
      </w:r>
    </w:p>
    <w:p w14:paraId="0B6ECEA5" w14:textId="77777777" w:rsidR="001319D6" w:rsidRPr="00C703DC" w:rsidRDefault="001319D6" w:rsidP="005C2A3E">
      <w:pPr>
        <w:spacing w:after="0" w:line="360" w:lineRule="auto"/>
        <w:jc w:val="both"/>
        <w:rPr>
          <w:rFonts w:ascii="Palatino Linotype" w:eastAsia="Palatino Linotype" w:hAnsi="Palatino Linotype" w:cs="Palatino Linotype"/>
          <w:sz w:val="24"/>
          <w:szCs w:val="24"/>
        </w:rPr>
      </w:pPr>
    </w:p>
    <w:p w14:paraId="6081C370" w14:textId="77777777" w:rsidR="000D134C" w:rsidRPr="00C703DC" w:rsidRDefault="000D134C" w:rsidP="005C2A3E">
      <w:pPr>
        <w:spacing w:after="0" w:line="360" w:lineRule="auto"/>
        <w:ind w:left="567" w:right="616" w:hanging="9"/>
        <w:jc w:val="both"/>
        <w:rPr>
          <w:rFonts w:ascii="Palatino Linotype" w:eastAsia="Palatino Linotype" w:hAnsi="Palatino Linotype" w:cs="Palatino Linotype"/>
          <w:i/>
        </w:rPr>
      </w:pPr>
      <w:r w:rsidRPr="00C703DC">
        <w:rPr>
          <w:rFonts w:ascii="Palatino Linotype" w:eastAsia="Palatino Linotype" w:hAnsi="Palatino Linotype" w:cs="Palatino Linotype"/>
          <w:b/>
          <w:i/>
        </w:rPr>
        <w:t xml:space="preserve">“REGISTRO CONTABLE </w:t>
      </w:r>
      <w:r w:rsidRPr="00C703DC">
        <w:rPr>
          <w:rFonts w:ascii="Palatino Linotype" w:eastAsia="Palatino Linotype" w:hAnsi="Palatino Linotype" w:cs="Palatino Linotype"/>
          <w:i/>
        </w:rPr>
        <w:t>Asiento que se realiza en los libros de contabilidad de las actividades relacionadas con el ingreso y egresos de un ente económico.”</w:t>
      </w:r>
    </w:p>
    <w:p w14:paraId="6D338450" w14:textId="77777777" w:rsidR="000D134C" w:rsidRPr="00C703DC" w:rsidRDefault="000D134C" w:rsidP="005C2A3E">
      <w:pPr>
        <w:spacing w:after="0" w:line="360" w:lineRule="auto"/>
        <w:ind w:left="567" w:right="616" w:hanging="9"/>
        <w:jc w:val="both"/>
        <w:rPr>
          <w:rFonts w:ascii="Palatino Linotype" w:eastAsia="Palatino Linotype" w:hAnsi="Palatino Linotype" w:cs="Palatino Linotype"/>
          <w:i/>
        </w:rPr>
      </w:pPr>
    </w:p>
    <w:p w14:paraId="6C67EF17" w14:textId="77777777" w:rsidR="000D134C" w:rsidRPr="00C703DC" w:rsidRDefault="000D134C" w:rsidP="005C2A3E">
      <w:pPr>
        <w:spacing w:after="0" w:line="360" w:lineRule="auto"/>
        <w:ind w:left="567" w:right="616" w:hanging="9"/>
        <w:jc w:val="both"/>
        <w:rPr>
          <w:rFonts w:ascii="Palatino Linotype" w:eastAsia="Palatino Linotype" w:hAnsi="Palatino Linotype" w:cs="Palatino Linotype"/>
          <w:b/>
          <w:i/>
        </w:rPr>
      </w:pPr>
      <w:r w:rsidRPr="00C703DC">
        <w:rPr>
          <w:rFonts w:ascii="Palatino Linotype" w:eastAsia="Palatino Linotype" w:hAnsi="Palatino Linotype" w:cs="Palatino Linotype"/>
          <w:b/>
          <w:i/>
        </w:rPr>
        <w:t xml:space="preserve">“REGISTRO PRESUPUESTARIO </w:t>
      </w:r>
      <w:r w:rsidRPr="00C703DC">
        <w:rPr>
          <w:rFonts w:ascii="Palatino Linotype" w:eastAsia="Palatino Linotype" w:hAnsi="Palatino Linotype" w:cs="Palatino Linotype"/>
          <w:i/>
        </w:rPr>
        <w:t>Asiento contable de las erogaciones realizadas por las dependencias y entidades con relación a la asignación, modificación y ejercicio de los recursos presupuestarios que se les hayan autorizado.”</w:t>
      </w:r>
    </w:p>
    <w:p w14:paraId="6A4C3346" w14:textId="77777777" w:rsidR="000D134C" w:rsidRPr="00C703DC" w:rsidRDefault="000D134C" w:rsidP="005C2A3E">
      <w:pPr>
        <w:spacing w:after="0" w:line="360" w:lineRule="auto"/>
        <w:ind w:right="51"/>
        <w:jc w:val="both"/>
        <w:rPr>
          <w:rFonts w:ascii="Palatino Linotype" w:eastAsia="Palatino Linotype" w:hAnsi="Palatino Linotype" w:cs="Palatino Linotype"/>
          <w:sz w:val="24"/>
          <w:szCs w:val="24"/>
        </w:rPr>
      </w:pPr>
    </w:p>
    <w:p w14:paraId="0857F041" w14:textId="77777777" w:rsidR="000D134C" w:rsidRPr="00C703DC" w:rsidRDefault="000D134C" w:rsidP="005C2A3E">
      <w:pPr>
        <w:spacing w:after="0" w:line="360" w:lineRule="auto"/>
        <w:ind w:right="51"/>
        <w:jc w:val="both"/>
        <w:rPr>
          <w:rFonts w:ascii="Palatino Linotype" w:eastAsia="Palatino Linotype" w:hAnsi="Palatino Linotype" w:cs="Palatino Linotype"/>
          <w:sz w:val="24"/>
          <w:szCs w:val="24"/>
        </w:rPr>
      </w:pPr>
      <w:r w:rsidRPr="00C703DC">
        <w:rPr>
          <w:rFonts w:ascii="Palatino Linotype" w:eastAsia="Palatino Linotype" w:hAnsi="Palatino Linotype" w:cs="Palatino Linotype"/>
          <w:sz w:val="24"/>
          <w:szCs w:val="24"/>
        </w:rPr>
        <w:t>Como bien se desprende de las definiciones, los registros contables y presupuestarios son asientos o anotaciones contables que se realizan tanto de los ingresos como de los egresos, a decir se trata de un control financiero en el que se reconoce la obligación del Tesorero de llevar dicho registro.</w:t>
      </w:r>
    </w:p>
    <w:p w14:paraId="30A8AFB4" w14:textId="77777777" w:rsidR="000D134C" w:rsidRPr="00C703DC" w:rsidRDefault="000D134C" w:rsidP="005C2A3E">
      <w:pPr>
        <w:spacing w:after="0" w:line="360" w:lineRule="auto"/>
        <w:jc w:val="both"/>
        <w:rPr>
          <w:rFonts w:ascii="Palatino Linotype" w:eastAsia="Palatino Linotype" w:hAnsi="Palatino Linotype" w:cs="Palatino Linotype"/>
          <w:sz w:val="24"/>
          <w:szCs w:val="24"/>
        </w:rPr>
      </w:pPr>
    </w:p>
    <w:p w14:paraId="526947CF" w14:textId="77777777" w:rsidR="000D134C" w:rsidRPr="00C703DC" w:rsidRDefault="000D134C" w:rsidP="005C2A3E">
      <w:pPr>
        <w:spacing w:after="0" w:line="360" w:lineRule="auto"/>
        <w:jc w:val="both"/>
        <w:rPr>
          <w:rFonts w:ascii="Palatino Linotype" w:eastAsia="Palatino Linotype" w:hAnsi="Palatino Linotype" w:cs="Palatino Linotype"/>
          <w:sz w:val="24"/>
          <w:szCs w:val="24"/>
        </w:rPr>
      </w:pPr>
      <w:r w:rsidRPr="00C703DC">
        <w:rPr>
          <w:rFonts w:ascii="Palatino Linotype" w:eastAsia="Palatino Linotype" w:hAnsi="Palatino Linotype" w:cs="Palatino Linotype"/>
          <w:sz w:val="24"/>
          <w:szCs w:val="24"/>
        </w:rPr>
        <w:t>Por otra parte, se establece que el sistema de contabilidad sobre base acumulativa total se sustentará en los principios de contabilidad gubernamental. Igualmente, los preceptos legales citados señalan que los Sujetos Obligados deben contar con una unidad administrativa que registra contablemente el efecto patrimonial y presupuestal de las operaciones financieras que realizan, en el momento en que ocurran, con base en el sistema y pol</w:t>
      </w:r>
      <w:r w:rsidR="001D5FC0" w:rsidRPr="00C703DC">
        <w:rPr>
          <w:rFonts w:ascii="Palatino Linotype" w:eastAsia="Palatino Linotype" w:hAnsi="Palatino Linotype" w:cs="Palatino Linotype"/>
          <w:sz w:val="24"/>
          <w:szCs w:val="24"/>
        </w:rPr>
        <w:t>íticas de registro establecidas.</w:t>
      </w:r>
    </w:p>
    <w:p w14:paraId="2BF4AB9D" w14:textId="77777777" w:rsidR="001D5FC0" w:rsidRPr="00C703DC" w:rsidRDefault="001D5FC0" w:rsidP="005C2A3E">
      <w:pPr>
        <w:spacing w:after="0" w:line="360" w:lineRule="auto"/>
        <w:jc w:val="both"/>
        <w:rPr>
          <w:rFonts w:ascii="Palatino Linotype" w:eastAsia="Palatino Linotype" w:hAnsi="Palatino Linotype" w:cs="Palatino Linotype"/>
          <w:sz w:val="24"/>
          <w:szCs w:val="24"/>
        </w:rPr>
      </w:pPr>
    </w:p>
    <w:p w14:paraId="64687096" w14:textId="77777777" w:rsidR="000D134C" w:rsidRPr="00C703DC" w:rsidRDefault="000D134C" w:rsidP="005C2A3E">
      <w:pPr>
        <w:spacing w:after="0" w:line="360" w:lineRule="auto"/>
        <w:jc w:val="both"/>
        <w:rPr>
          <w:rFonts w:ascii="Palatino Linotype" w:eastAsia="Palatino Linotype" w:hAnsi="Palatino Linotype" w:cs="Palatino Linotype"/>
          <w:sz w:val="24"/>
          <w:szCs w:val="24"/>
        </w:rPr>
      </w:pPr>
      <w:r w:rsidRPr="00C703DC">
        <w:rPr>
          <w:rFonts w:ascii="Palatino Linotype" w:eastAsia="Palatino Linotype" w:hAnsi="Palatino Linotype" w:cs="Palatino Linotype"/>
          <w:sz w:val="24"/>
          <w:szCs w:val="24"/>
        </w:rPr>
        <w:lastRenderedPageBreak/>
        <w:t xml:space="preserve">Correlativo a lo anterior, es preciso referir una definición de </w:t>
      </w:r>
      <w:r w:rsidRPr="00C703DC">
        <w:rPr>
          <w:rFonts w:ascii="Palatino Linotype" w:eastAsia="Palatino Linotype" w:hAnsi="Palatino Linotype" w:cs="Palatino Linotype"/>
          <w:i/>
          <w:sz w:val="24"/>
          <w:szCs w:val="24"/>
        </w:rPr>
        <w:t>póliza contable</w:t>
      </w:r>
      <w:r w:rsidRPr="00C703DC">
        <w:rPr>
          <w:rFonts w:ascii="Palatino Linotype" w:eastAsia="Palatino Linotype" w:hAnsi="Palatino Linotype" w:cs="Palatino Linotype"/>
          <w:sz w:val="24"/>
          <w:szCs w:val="24"/>
        </w:rPr>
        <w:t>, la cual, primeramente, no está definida en el Código Financiero del Estado de México y Municipios; no obstante, el ya menc</w:t>
      </w:r>
      <w:r w:rsidR="001D5FC0" w:rsidRPr="00C703DC">
        <w:rPr>
          <w:rFonts w:ascii="Palatino Linotype" w:eastAsia="Palatino Linotype" w:hAnsi="Palatino Linotype" w:cs="Palatino Linotype"/>
          <w:sz w:val="24"/>
          <w:szCs w:val="24"/>
        </w:rPr>
        <w:t>ionado Glosario la define como:</w:t>
      </w:r>
    </w:p>
    <w:p w14:paraId="34FA5939" w14:textId="77777777" w:rsidR="001319D6" w:rsidRPr="00C703DC" w:rsidRDefault="001319D6" w:rsidP="005C2A3E">
      <w:pPr>
        <w:spacing w:after="0" w:line="360" w:lineRule="auto"/>
        <w:jc w:val="both"/>
        <w:rPr>
          <w:rFonts w:ascii="Palatino Linotype" w:eastAsia="Palatino Linotype" w:hAnsi="Palatino Linotype" w:cs="Palatino Linotype"/>
          <w:sz w:val="24"/>
          <w:szCs w:val="24"/>
        </w:rPr>
      </w:pPr>
    </w:p>
    <w:p w14:paraId="15B4206F" w14:textId="77777777" w:rsidR="000D134C" w:rsidRPr="00C703DC" w:rsidRDefault="000D134C" w:rsidP="005C2A3E">
      <w:pPr>
        <w:spacing w:after="0" w:line="360" w:lineRule="auto"/>
        <w:ind w:left="567" w:right="616"/>
        <w:jc w:val="both"/>
        <w:rPr>
          <w:rFonts w:ascii="Palatino Linotype" w:eastAsia="Palatino Linotype" w:hAnsi="Palatino Linotype" w:cs="Palatino Linotype"/>
          <w:b/>
          <w:i/>
        </w:rPr>
      </w:pPr>
      <w:r w:rsidRPr="00C703DC">
        <w:rPr>
          <w:rFonts w:ascii="Palatino Linotype" w:eastAsia="Palatino Linotype" w:hAnsi="Palatino Linotype" w:cs="Palatino Linotype"/>
          <w:i/>
        </w:rPr>
        <w:t>“</w:t>
      </w:r>
      <w:r w:rsidRPr="00C703DC">
        <w:rPr>
          <w:rFonts w:ascii="Palatino Linotype" w:eastAsia="Palatino Linotype" w:hAnsi="Palatino Linotype" w:cs="Palatino Linotype"/>
          <w:b/>
          <w:i/>
        </w:rPr>
        <w:t xml:space="preserve">PÓLIZA CONTABLE </w:t>
      </w:r>
      <w:r w:rsidRPr="00C703DC">
        <w:rPr>
          <w:rFonts w:ascii="Palatino Linotype" w:eastAsia="Palatino Linotype" w:hAnsi="Palatino Linotype" w:cs="Palatino Linotype"/>
          <w:i/>
        </w:rPr>
        <w:t xml:space="preserve">Documento en el cual se asientan en forma individual todas y cada una de las operaciones desarrolladas por una institución, así como la información necesaria para la identificación de dichas operaciones.” </w:t>
      </w:r>
    </w:p>
    <w:p w14:paraId="3A4CF20E" w14:textId="77777777" w:rsidR="000D134C" w:rsidRPr="00C703DC" w:rsidRDefault="000D134C" w:rsidP="005C2A3E">
      <w:pPr>
        <w:spacing w:after="0" w:line="360" w:lineRule="auto"/>
        <w:jc w:val="both"/>
        <w:rPr>
          <w:rFonts w:ascii="Palatino Linotype" w:eastAsia="Palatino Linotype" w:hAnsi="Palatino Linotype" w:cs="Palatino Linotype"/>
          <w:sz w:val="24"/>
          <w:szCs w:val="24"/>
        </w:rPr>
      </w:pPr>
    </w:p>
    <w:p w14:paraId="34EED19D" w14:textId="77777777" w:rsidR="000D134C" w:rsidRPr="00C703DC" w:rsidRDefault="000D134C" w:rsidP="005C2A3E">
      <w:pPr>
        <w:spacing w:after="0" w:line="360" w:lineRule="auto"/>
        <w:jc w:val="both"/>
        <w:rPr>
          <w:rFonts w:ascii="Palatino Linotype" w:eastAsia="Palatino Linotype" w:hAnsi="Palatino Linotype" w:cs="Palatino Linotype"/>
          <w:sz w:val="24"/>
          <w:szCs w:val="24"/>
        </w:rPr>
      </w:pPr>
      <w:r w:rsidRPr="00C703DC">
        <w:rPr>
          <w:rFonts w:ascii="Palatino Linotype" w:eastAsia="Palatino Linotype" w:hAnsi="Palatino Linotype" w:cs="Palatino Linotype"/>
          <w:sz w:val="24"/>
          <w:szCs w:val="24"/>
        </w:rPr>
        <w:t xml:space="preserve">Así, se advierte que la </w:t>
      </w:r>
      <w:r w:rsidRPr="00C703DC">
        <w:rPr>
          <w:rFonts w:ascii="Palatino Linotype" w:eastAsia="Palatino Linotype" w:hAnsi="Palatino Linotype" w:cs="Palatino Linotype"/>
          <w:i/>
          <w:sz w:val="24"/>
          <w:szCs w:val="24"/>
        </w:rPr>
        <w:t>póliza contable</w:t>
      </w:r>
      <w:r w:rsidRPr="00C703DC">
        <w:rPr>
          <w:rFonts w:ascii="Palatino Linotype" w:eastAsia="Palatino Linotype" w:hAnsi="Palatino Linotype" w:cs="Palatino Linotype"/>
          <w:sz w:val="24"/>
          <w:szCs w:val="24"/>
        </w:rPr>
        <w:t xml:space="preserve"> constituye un registro contable y presupuestal con el que cuentan los Municipios para el registro de operaciones relacionadas con </w:t>
      </w:r>
      <w:r w:rsidRPr="00C703DC">
        <w:rPr>
          <w:rFonts w:ascii="Palatino Linotype" w:eastAsia="Palatino Linotype" w:hAnsi="Palatino Linotype" w:cs="Palatino Linotype"/>
          <w:b/>
          <w:sz w:val="24"/>
          <w:szCs w:val="24"/>
          <w:u w:val="single"/>
        </w:rPr>
        <w:t>ingresos y egresos</w:t>
      </w:r>
      <w:r w:rsidRPr="00C703DC">
        <w:rPr>
          <w:rFonts w:ascii="Palatino Linotype" w:eastAsia="Palatino Linotype" w:hAnsi="Palatino Linotype" w:cs="Palatino Linotype"/>
          <w:sz w:val="24"/>
          <w:szCs w:val="24"/>
        </w:rPr>
        <w:t xml:space="preserve"> y se anexan los documentos o comprobantes que justifiquen las anotaciones y cantidades en ellas registradas, lo que permite la identificación plena de dichas operaciones.</w:t>
      </w:r>
    </w:p>
    <w:p w14:paraId="033DABEA" w14:textId="77777777" w:rsidR="001319D6" w:rsidRPr="00C703DC" w:rsidRDefault="001319D6" w:rsidP="005C2A3E">
      <w:pPr>
        <w:spacing w:after="0" w:line="360" w:lineRule="auto"/>
        <w:jc w:val="both"/>
        <w:rPr>
          <w:rFonts w:ascii="Palatino Linotype" w:eastAsia="Palatino Linotype" w:hAnsi="Palatino Linotype" w:cs="Palatino Linotype"/>
          <w:i/>
          <w:sz w:val="24"/>
          <w:szCs w:val="24"/>
        </w:rPr>
      </w:pPr>
    </w:p>
    <w:p w14:paraId="28C58678" w14:textId="6FF8D911" w:rsidR="000D134C" w:rsidRPr="00C703DC" w:rsidRDefault="000D134C" w:rsidP="001319D6">
      <w:pPr>
        <w:spacing w:after="0" w:line="360" w:lineRule="auto"/>
        <w:jc w:val="both"/>
        <w:rPr>
          <w:rFonts w:ascii="Palatino Linotype" w:eastAsia="Palatino Linotype" w:hAnsi="Palatino Linotype" w:cs="Palatino Linotype"/>
          <w:sz w:val="24"/>
          <w:szCs w:val="24"/>
        </w:rPr>
      </w:pPr>
      <w:r w:rsidRPr="00C703DC">
        <w:rPr>
          <w:rFonts w:ascii="Palatino Linotype" w:eastAsia="Palatino Linotype" w:hAnsi="Palatino Linotype" w:cs="Palatino Linotype"/>
          <w:sz w:val="24"/>
          <w:szCs w:val="24"/>
        </w:rPr>
        <w:t xml:space="preserve">En este sentido, este Instituto advierte de manera enunciativa mas no limitativa que existen diversos tipos de pólizas contables de acuerdo a las operaciones realizadas, dentro de las cuales, encontramos las </w:t>
      </w:r>
      <w:r w:rsidRPr="00C703DC">
        <w:rPr>
          <w:rFonts w:ascii="Palatino Linotype" w:eastAsia="Palatino Linotype" w:hAnsi="Palatino Linotype" w:cs="Palatino Linotype"/>
          <w:b/>
          <w:i/>
          <w:sz w:val="24"/>
          <w:szCs w:val="24"/>
        </w:rPr>
        <w:t xml:space="preserve">pólizas de </w:t>
      </w:r>
      <w:r w:rsidRPr="00C703DC">
        <w:rPr>
          <w:rFonts w:ascii="Palatino Linotype" w:eastAsia="Palatino Linotype" w:hAnsi="Palatino Linotype" w:cs="Palatino Linotype"/>
          <w:i/>
          <w:sz w:val="24"/>
          <w:szCs w:val="24"/>
        </w:rPr>
        <w:t>egresos e</w:t>
      </w:r>
      <w:r w:rsidRPr="00C703DC">
        <w:rPr>
          <w:rFonts w:ascii="Palatino Linotype" w:eastAsia="Palatino Linotype" w:hAnsi="Palatino Linotype" w:cs="Palatino Linotype"/>
          <w:b/>
          <w:i/>
          <w:sz w:val="24"/>
          <w:szCs w:val="24"/>
        </w:rPr>
        <w:t xml:space="preserve"> ingresos</w:t>
      </w:r>
      <w:r w:rsidRPr="00C703DC">
        <w:rPr>
          <w:rFonts w:ascii="Palatino Linotype" w:eastAsia="Palatino Linotype" w:hAnsi="Palatino Linotype" w:cs="Palatino Linotype"/>
          <w:sz w:val="24"/>
          <w:szCs w:val="24"/>
        </w:rPr>
        <w:t xml:space="preserve">, las primeras son aquellas en las cuales se anotan diariamente las operaciones que representan gastos, es decir, salidas de dinero para el </w:t>
      </w:r>
      <w:r w:rsidRPr="00C703DC">
        <w:rPr>
          <w:rFonts w:ascii="Palatino Linotype" w:eastAsia="Palatino Linotype" w:hAnsi="Palatino Linotype" w:cs="Palatino Linotype"/>
          <w:b/>
          <w:sz w:val="24"/>
          <w:szCs w:val="24"/>
        </w:rPr>
        <w:t xml:space="preserve">Sujeto Obligado </w:t>
      </w:r>
      <w:r w:rsidRPr="00C703DC">
        <w:rPr>
          <w:rFonts w:ascii="Palatino Linotype" w:eastAsia="Palatino Linotype" w:hAnsi="Palatino Linotype" w:cs="Palatino Linotype"/>
          <w:sz w:val="24"/>
          <w:szCs w:val="24"/>
        </w:rPr>
        <w:t xml:space="preserve"> siendo estás el soporte documental que podría colmar las pretensiones del recurrente</w:t>
      </w:r>
      <w:r w:rsidRPr="00C703DC">
        <w:rPr>
          <w:rFonts w:ascii="Palatino Linotype" w:eastAsia="Palatino Linotype" w:hAnsi="Palatino Linotype" w:cs="Palatino Linotype"/>
          <w:b/>
          <w:sz w:val="24"/>
          <w:szCs w:val="24"/>
        </w:rPr>
        <w:t xml:space="preserve">, </w:t>
      </w:r>
      <w:r w:rsidRPr="00C703DC">
        <w:rPr>
          <w:rFonts w:ascii="Palatino Linotype" w:eastAsia="Palatino Linotype" w:hAnsi="Palatino Linotype" w:cs="Palatino Linotype"/>
          <w:sz w:val="24"/>
          <w:szCs w:val="24"/>
        </w:rPr>
        <w:t>pues</w:t>
      </w:r>
      <w:r w:rsidRPr="00C703DC">
        <w:rPr>
          <w:rFonts w:ascii="Palatino Linotype" w:eastAsia="Palatino Linotype" w:hAnsi="Palatino Linotype" w:cs="Palatino Linotype"/>
          <w:b/>
          <w:sz w:val="24"/>
          <w:szCs w:val="24"/>
        </w:rPr>
        <w:t xml:space="preserve"> </w:t>
      </w:r>
      <w:r w:rsidRPr="00C703DC">
        <w:rPr>
          <w:rFonts w:ascii="Palatino Linotype" w:eastAsia="Palatino Linotype" w:hAnsi="Palatino Linotype" w:cs="Palatino Linotype"/>
          <w:sz w:val="24"/>
          <w:szCs w:val="24"/>
        </w:rPr>
        <w:t xml:space="preserve">además, deben encontrarse acompañadas de las documentales que sirven de soporte de dicho movimiento, </w:t>
      </w:r>
      <w:r w:rsidRPr="00C703DC">
        <w:rPr>
          <w:rFonts w:ascii="Palatino Linotype" w:eastAsia="Palatino Linotype" w:hAnsi="Palatino Linotype" w:cs="Palatino Linotype"/>
          <w:b/>
          <w:sz w:val="24"/>
          <w:szCs w:val="24"/>
        </w:rPr>
        <w:t>en atención a las segundas, registran todas la entradas de dinero independientemente de la modalidad, ya sea en efectivo, transferencia, cheque o pagaré, mediante la expedición de facturas.</w:t>
      </w:r>
    </w:p>
    <w:p w14:paraId="3CC4659D" w14:textId="77777777" w:rsidR="000D134C" w:rsidRPr="00C703DC" w:rsidRDefault="000D134C" w:rsidP="005C2A3E">
      <w:pPr>
        <w:spacing w:after="0" w:line="360" w:lineRule="auto"/>
        <w:ind w:right="51"/>
        <w:jc w:val="both"/>
        <w:rPr>
          <w:rFonts w:ascii="Palatino Linotype" w:eastAsia="Palatino Linotype" w:hAnsi="Palatino Linotype" w:cs="Palatino Linotype"/>
          <w:sz w:val="24"/>
          <w:szCs w:val="24"/>
        </w:rPr>
      </w:pPr>
      <w:r w:rsidRPr="00C703DC">
        <w:rPr>
          <w:rFonts w:ascii="Palatino Linotype" w:eastAsia="Palatino Linotype" w:hAnsi="Palatino Linotype" w:cs="Palatino Linotype"/>
          <w:sz w:val="24"/>
          <w:szCs w:val="24"/>
        </w:rPr>
        <w:lastRenderedPageBreak/>
        <w:t>Atento a lo anterior, como ya ha sido mencionado en la normatividad antes citada, todo registro contable y presupuestal deberá estar soportado con los documentos comprobatorios originales, como lo son las facturas o comprobantes fiscales digitales por internet, mismos que deberán permanecer en custodia y conservación de la Unidad Administrativa correspondiente y a disposición del Órgano Superior de Fiscalización del Estado de México; por un término de cinco años contados a partir del ejercicio presupuestal siguiente al que corresponda, tal y como se establece en el Código Financiero del Estado de México</w:t>
      </w:r>
      <w:r w:rsidR="00EA3D96" w:rsidRPr="00C703DC">
        <w:rPr>
          <w:rFonts w:ascii="Palatino Linotype" w:eastAsia="Palatino Linotype" w:hAnsi="Palatino Linotype" w:cs="Palatino Linotype"/>
          <w:sz w:val="24"/>
          <w:szCs w:val="24"/>
        </w:rPr>
        <w:t>, por lo que si bien el Sujeto Obligado manifiesta que dicha información forma parte de la integración del tercer y cuarto trimestre del año en curso este Instituto advierte que dicha información debe constar en los archivos del Sujeto Obligado</w:t>
      </w:r>
      <w:r w:rsidRPr="00C703DC">
        <w:rPr>
          <w:rFonts w:ascii="Palatino Linotype" w:eastAsia="Palatino Linotype" w:hAnsi="Palatino Linotype" w:cs="Palatino Linotype"/>
          <w:sz w:val="24"/>
          <w:szCs w:val="24"/>
        </w:rPr>
        <w:t xml:space="preserve">. </w:t>
      </w:r>
    </w:p>
    <w:p w14:paraId="557AFE77" w14:textId="77777777" w:rsidR="000D134C" w:rsidRPr="00C703DC" w:rsidRDefault="000D134C" w:rsidP="005C2A3E">
      <w:pPr>
        <w:spacing w:after="0" w:line="360" w:lineRule="auto"/>
        <w:contextualSpacing/>
        <w:jc w:val="both"/>
        <w:rPr>
          <w:rFonts w:ascii="Palatino Linotype" w:hAnsi="Palatino Linotype" w:cs="Tahoma"/>
          <w:bCs/>
          <w:sz w:val="24"/>
          <w:szCs w:val="24"/>
        </w:rPr>
      </w:pPr>
    </w:p>
    <w:p w14:paraId="6A81118A" w14:textId="77777777" w:rsidR="000D134C" w:rsidRPr="00C703DC" w:rsidRDefault="00EA3D96" w:rsidP="005C2A3E">
      <w:pPr>
        <w:spacing w:after="0" w:line="360" w:lineRule="auto"/>
        <w:jc w:val="both"/>
        <w:rPr>
          <w:rFonts w:ascii="Palatino Linotype" w:hAnsi="Palatino Linotype"/>
          <w:sz w:val="24"/>
          <w:szCs w:val="24"/>
        </w:rPr>
      </w:pPr>
      <w:r w:rsidRPr="00C703DC">
        <w:rPr>
          <w:rFonts w:ascii="Palatino Linotype" w:hAnsi="Palatino Linotype"/>
          <w:sz w:val="24"/>
          <w:szCs w:val="24"/>
        </w:rPr>
        <w:t xml:space="preserve">Entonces </w:t>
      </w:r>
      <w:r w:rsidR="000D134C" w:rsidRPr="00C703DC">
        <w:rPr>
          <w:rFonts w:ascii="Palatino Linotype" w:hAnsi="Palatino Linotype" w:cs="Arial"/>
          <w:sz w:val="24"/>
          <w:szCs w:val="24"/>
          <w:u w:val="single"/>
        </w:rPr>
        <w:t>la entrega de la información</w:t>
      </w:r>
      <w:r w:rsidR="000D134C" w:rsidRPr="00C703DC">
        <w:rPr>
          <w:rFonts w:ascii="Palatino Linotype" w:hAnsi="Palatino Linotype"/>
          <w:sz w:val="24"/>
          <w:szCs w:val="24"/>
          <w:u w:val="single"/>
        </w:rPr>
        <w:t xml:space="preserve"> no afectaría a la veracidad o análisis de la información </w:t>
      </w:r>
      <w:r w:rsidRPr="00C703DC">
        <w:rPr>
          <w:rFonts w:ascii="Palatino Linotype" w:hAnsi="Palatino Linotype"/>
          <w:sz w:val="24"/>
          <w:szCs w:val="24"/>
          <w:u w:val="single"/>
        </w:rPr>
        <w:t xml:space="preserve"> en cumplimiento con el tercer y cuarto informe trimestral entregado al OSFEM </w:t>
      </w:r>
      <w:r w:rsidR="000D134C" w:rsidRPr="00C703DC">
        <w:rPr>
          <w:rFonts w:ascii="Palatino Linotype" w:hAnsi="Palatino Linotype"/>
          <w:sz w:val="24"/>
          <w:szCs w:val="24"/>
          <w:u w:val="single"/>
        </w:rPr>
        <w:t>pues los documentos requeridos son definitivos.</w:t>
      </w:r>
      <w:r w:rsidRPr="00C703DC">
        <w:rPr>
          <w:rFonts w:ascii="Palatino Linotype" w:hAnsi="Palatino Linotype"/>
          <w:sz w:val="24"/>
          <w:szCs w:val="24"/>
          <w:u w:val="single"/>
        </w:rPr>
        <w:t xml:space="preserve"> </w:t>
      </w:r>
      <w:r w:rsidR="000D134C" w:rsidRPr="00C703DC">
        <w:rPr>
          <w:rFonts w:ascii="Palatino Linotype" w:hAnsi="Palatino Linotype"/>
          <w:sz w:val="24"/>
          <w:szCs w:val="24"/>
        </w:rPr>
        <w:t>Por lo que resulta prudente tomar en consideración lo plasmado en el criterio 09/2004 emitido por la Suprema Corte de Justicia de la Nación, cuya literalidad es la siguiente:</w:t>
      </w:r>
    </w:p>
    <w:p w14:paraId="38AC4FB3" w14:textId="77777777" w:rsidR="001319D6" w:rsidRPr="00C703DC" w:rsidRDefault="001319D6" w:rsidP="005C2A3E">
      <w:pPr>
        <w:spacing w:after="0" w:line="360" w:lineRule="auto"/>
        <w:jc w:val="both"/>
        <w:rPr>
          <w:rFonts w:ascii="Palatino Linotype" w:hAnsi="Palatino Linotype"/>
          <w:sz w:val="24"/>
          <w:szCs w:val="24"/>
          <w:u w:val="single"/>
        </w:rPr>
      </w:pPr>
    </w:p>
    <w:p w14:paraId="748AD410" w14:textId="77777777" w:rsidR="000D134C" w:rsidRPr="00C703DC" w:rsidRDefault="000D134C" w:rsidP="005C2A3E">
      <w:pPr>
        <w:tabs>
          <w:tab w:val="left" w:pos="4962"/>
        </w:tabs>
        <w:spacing w:after="0" w:line="360" w:lineRule="auto"/>
        <w:ind w:left="708" w:right="539"/>
        <w:jc w:val="both"/>
        <w:rPr>
          <w:rFonts w:ascii="Palatino Linotype" w:hAnsi="Palatino Linotype"/>
          <w:i/>
        </w:rPr>
      </w:pPr>
      <w:r w:rsidRPr="00C703DC">
        <w:rPr>
          <w:rFonts w:ascii="Palatino Linotype" w:hAnsi="Palatino Linotype"/>
          <w:i/>
        </w:rPr>
        <w:t>"</w:t>
      </w:r>
      <w:r w:rsidRPr="00C703DC">
        <w:rPr>
          <w:rFonts w:ascii="Palatino Linotype" w:hAnsi="Palatino Linotype"/>
          <w:b/>
          <w:i/>
        </w:rPr>
        <w:t>INFORMACIÓN SUJETA A REVISIÓN. SI YA CONSTA EN UN DOCUMENTO DEFINITIVO, DEBE PERMITIRSE EL ACCESO A ÉSTE</w:t>
      </w:r>
      <w:r w:rsidRPr="00C703DC">
        <w:rPr>
          <w:rFonts w:ascii="Palatino Linotype" w:hAnsi="Palatino Linotype"/>
          <w:i/>
        </w:rPr>
        <w:t xml:space="preserve">. Para el otorgamiento del acceso a la información que consta en un documento definitivo, no obsta que el mismo se encuentre sujeto a un proceso de revisión, pues la información existe y se encuentra plasmada en un documento que está bajo el resguardo de la Suprema Corte de Justicia de la Nación, en una de sus unidades administrativas y aun cuando se esté procesando para ser publicada en </w:t>
      </w:r>
      <w:r w:rsidRPr="00C703DC">
        <w:rPr>
          <w:rFonts w:ascii="Palatino Linotype" w:hAnsi="Palatino Linotype"/>
          <w:i/>
        </w:rPr>
        <w:lastRenderedPageBreak/>
        <w:t>diversa presentación. Ello no implica su falta de disponibilidad en la modalidad que se requirió, por lo que debe darse acceso a la misma en los términos solicitados, en aras de una total y absoluta transparencia de la información bajo el resguardo de este Alto Tribunal, independientemente de que en un futuro se cuente con una presentación distinta Clasificación de la información 10/2004-J, 19 de mayo de 2004."</w:t>
      </w:r>
    </w:p>
    <w:p w14:paraId="0CF67076" w14:textId="77777777" w:rsidR="00437829" w:rsidRPr="00C703DC" w:rsidRDefault="00437829" w:rsidP="005C2A3E">
      <w:pPr>
        <w:spacing w:after="0" w:line="360" w:lineRule="auto"/>
        <w:jc w:val="both"/>
        <w:rPr>
          <w:rFonts w:ascii="Palatino Linotype" w:hAnsi="Palatino Linotype"/>
          <w:sz w:val="24"/>
          <w:szCs w:val="24"/>
        </w:rPr>
      </w:pPr>
    </w:p>
    <w:p w14:paraId="65452213" w14:textId="77777777" w:rsidR="00437829" w:rsidRPr="00C703DC" w:rsidRDefault="00437829" w:rsidP="005C2A3E">
      <w:pPr>
        <w:spacing w:after="0" w:line="360" w:lineRule="auto"/>
        <w:jc w:val="both"/>
        <w:rPr>
          <w:rFonts w:ascii="Palatino Linotype" w:hAnsi="Palatino Linotype"/>
          <w:sz w:val="24"/>
          <w:szCs w:val="24"/>
        </w:rPr>
      </w:pPr>
      <w:r w:rsidRPr="00C703DC">
        <w:rPr>
          <w:rFonts w:ascii="Palatino Linotype" w:hAnsi="Palatino Linotype"/>
          <w:sz w:val="24"/>
          <w:szCs w:val="24"/>
        </w:rPr>
        <w:t>Ahora bien, la Resolución Miscelánea Fiscal para el 2025, establece que la factura es lo mismo, que un Comprobante Fiscal Digital por Internet, por lo que, se puede considerar como el documento que comprueba la realización de una transacción comercial, entre un comprador y un vendedor, mediante el cual, el primero queda obligado a realizar un pago, mientras que el segundo, a entregar o brindar un producto o servicio.</w:t>
      </w:r>
    </w:p>
    <w:p w14:paraId="2839307C" w14:textId="77777777" w:rsidR="00437829" w:rsidRPr="00C703DC" w:rsidRDefault="00437829" w:rsidP="005C2A3E">
      <w:pPr>
        <w:spacing w:after="0" w:line="360" w:lineRule="auto"/>
        <w:jc w:val="both"/>
        <w:rPr>
          <w:rFonts w:ascii="Palatino Linotype" w:hAnsi="Palatino Linotype"/>
          <w:sz w:val="24"/>
          <w:szCs w:val="24"/>
        </w:rPr>
      </w:pPr>
    </w:p>
    <w:p w14:paraId="3505C902" w14:textId="77777777" w:rsidR="00437829" w:rsidRPr="00C703DC" w:rsidRDefault="00437829" w:rsidP="005C2A3E">
      <w:pPr>
        <w:spacing w:after="0" w:line="360" w:lineRule="auto"/>
        <w:jc w:val="both"/>
        <w:rPr>
          <w:rFonts w:ascii="Palatino Linotype" w:hAnsi="Palatino Linotype"/>
          <w:sz w:val="24"/>
          <w:szCs w:val="24"/>
        </w:rPr>
      </w:pPr>
      <w:r w:rsidRPr="00C703DC">
        <w:rPr>
          <w:rFonts w:ascii="Palatino Linotype" w:hAnsi="Palatino Linotype"/>
          <w:sz w:val="24"/>
          <w:szCs w:val="24"/>
        </w:rPr>
        <w:t>Por su parte, la Ley de Transparencia y Acceso a la Información Pública del Estado de México y Municipios prevé, en su artículo 92, fracción XXV que dentro de la información pública de oficio, se encuentra la información financiera sobre el presupuesto asignado, así como los informes del ejercicio trimestral del gasto, en términos de la Ley General de Contabilidad Gubernamental y demás disposiciones jurídicas aplicables; lo cual permite advertir, que la información solicitada, tiene el carácter de información pública dado que se relaciona con información financiera.</w:t>
      </w:r>
    </w:p>
    <w:p w14:paraId="39FD21E7" w14:textId="77777777" w:rsidR="00437829" w:rsidRPr="00C703DC" w:rsidRDefault="00437829" w:rsidP="005C2A3E">
      <w:pPr>
        <w:spacing w:after="0" w:line="360" w:lineRule="auto"/>
        <w:jc w:val="both"/>
        <w:rPr>
          <w:rFonts w:ascii="Palatino Linotype" w:hAnsi="Palatino Linotype"/>
          <w:sz w:val="24"/>
          <w:szCs w:val="24"/>
        </w:rPr>
      </w:pPr>
    </w:p>
    <w:p w14:paraId="3F0A5C08" w14:textId="77777777" w:rsidR="00437829" w:rsidRPr="00C703DC" w:rsidRDefault="00437829" w:rsidP="005C2A3E">
      <w:pPr>
        <w:spacing w:after="0" w:line="360" w:lineRule="auto"/>
        <w:jc w:val="both"/>
        <w:rPr>
          <w:rFonts w:ascii="Palatino Linotype" w:hAnsi="Palatino Linotype"/>
          <w:sz w:val="24"/>
          <w:szCs w:val="24"/>
        </w:rPr>
      </w:pPr>
      <w:r w:rsidRPr="00C703DC">
        <w:rPr>
          <w:rFonts w:ascii="Palatino Linotype" w:hAnsi="Palatino Linotype"/>
          <w:sz w:val="24"/>
          <w:szCs w:val="24"/>
        </w:rPr>
        <w:t xml:space="preserve">Cabe señalar que, dentro de los documentos comprobatorios de las pólizas de egresos, se vinculan con </w:t>
      </w:r>
      <w:r w:rsidRPr="00C703DC">
        <w:rPr>
          <w:rFonts w:ascii="Palatino Linotype" w:hAnsi="Palatino Linotype"/>
          <w:b/>
          <w:bCs/>
          <w:sz w:val="24"/>
          <w:szCs w:val="24"/>
        </w:rPr>
        <w:t>los procesos de contratación pública o adquisición</w:t>
      </w:r>
      <w:r w:rsidRPr="00C703DC">
        <w:rPr>
          <w:rFonts w:ascii="Palatino Linotype" w:hAnsi="Palatino Linotype"/>
          <w:sz w:val="24"/>
          <w:szCs w:val="24"/>
        </w:rPr>
        <w:t xml:space="preserve">, al respecto se debe tener en consideración que, respecto a la contratación pública López Olvera, Miguel Alejandro </w:t>
      </w:r>
      <w:proofErr w:type="spellStart"/>
      <w:r w:rsidRPr="00C703DC">
        <w:rPr>
          <w:rFonts w:ascii="Palatino Linotype" w:hAnsi="Palatino Linotype"/>
          <w:sz w:val="24"/>
          <w:szCs w:val="24"/>
        </w:rPr>
        <w:t>Cancino</w:t>
      </w:r>
      <w:proofErr w:type="spellEnd"/>
      <w:r w:rsidRPr="00C703DC">
        <w:rPr>
          <w:rFonts w:ascii="Palatino Linotype" w:hAnsi="Palatino Linotype"/>
          <w:sz w:val="24"/>
          <w:szCs w:val="24"/>
        </w:rPr>
        <w:t xml:space="preserve"> Gómez, Rodolfo. (2020). “La Contratación Pública y el Sistema </w:t>
      </w:r>
      <w:r w:rsidRPr="00C703DC">
        <w:rPr>
          <w:rFonts w:ascii="Palatino Linotype" w:hAnsi="Palatino Linotype"/>
          <w:sz w:val="24"/>
          <w:szCs w:val="24"/>
        </w:rPr>
        <w:lastRenderedPageBreak/>
        <w:t xml:space="preserve">Nacional Anticorrupción”. (p. 4) la </w:t>
      </w:r>
      <w:r w:rsidRPr="00C703DC">
        <w:rPr>
          <w:rFonts w:ascii="Palatino Linotype" w:hAnsi="Palatino Linotype"/>
          <w:b/>
          <w:sz w:val="24"/>
          <w:szCs w:val="24"/>
        </w:rPr>
        <w:t>contratación pública</w:t>
      </w:r>
      <w:r w:rsidRPr="00C703DC">
        <w:rPr>
          <w:rFonts w:ascii="Palatino Linotype" w:hAnsi="Palatino Linotype"/>
          <w:sz w:val="24"/>
          <w:szCs w:val="24"/>
        </w:rPr>
        <w:t xml:space="preserve">, es el procedimiento de carácter administrativo, por medio del cual, un ente público selecciona y posteriormente, celebra un acuerdo de voluntades, con una persona física o jurídica colectiva, para que ésta, entregue o arrende un bien, </w:t>
      </w:r>
      <w:r w:rsidRPr="00C703DC">
        <w:rPr>
          <w:rFonts w:ascii="Palatino Linotype" w:hAnsi="Palatino Linotype"/>
          <w:b/>
          <w:sz w:val="24"/>
          <w:szCs w:val="24"/>
        </w:rPr>
        <w:t>preste algún servicio público</w:t>
      </w:r>
      <w:r w:rsidRPr="00C703DC">
        <w:rPr>
          <w:rFonts w:ascii="Palatino Linotype" w:hAnsi="Palatino Linotype"/>
          <w:sz w:val="24"/>
          <w:szCs w:val="24"/>
        </w:rPr>
        <w:t xml:space="preserve"> o lleve a cabo la ejecución de una obra pública, con recursos públicos del Estado y en beneficio de la colectividad.</w:t>
      </w:r>
    </w:p>
    <w:p w14:paraId="0B7972D4" w14:textId="77777777" w:rsidR="00437829" w:rsidRPr="00C703DC" w:rsidRDefault="00437829" w:rsidP="005C2A3E">
      <w:pPr>
        <w:spacing w:after="0" w:line="360" w:lineRule="auto"/>
        <w:jc w:val="both"/>
        <w:rPr>
          <w:rFonts w:ascii="Palatino Linotype" w:hAnsi="Palatino Linotype"/>
          <w:sz w:val="24"/>
          <w:szCs w:val="24"/>
        </w:rPr>
      </w:pPr>
    </w:p>
    <w:p w14:paraId="4D36F346" w14:textId="77777777" w:rsidR="00437829" w:rsidRPr="00C703DC" w:rsidRDefault="00437829" w:rsidP="005C2A3E">
      <w:pPr>
        <w:spacing w:after="0" w:line="360" w:lineRule="auto"/>
        <w:jc w:val="both"/>
        <w:rPr>
          <w:rFonts w:ascii="Palatino Linotype" w:hAnsi="Palatino Linotype"/>
          <w:sz w:val="24"/>
          <w:szCs w:val="24"/>
        </w:rPr>
      </w:pPr>
      <w:r w:rsidRPr="00C703DC">
        <w:rPr>
          <w:rFonts w:ascii="Palatino Linotype" w:hAnsi="Palatino Linotype"/>
          <w:sz w:val="24"/>
          <w:szCs w:val="24"/>
        </w:rPr>
        <w:t xml:space="preserve">Por otra parte, los artículos 1°, fracción III, y 4°de la Ley de la de Contratación Pública del Estado de México y Municipios, especifica que los Ayuntamientos serán los encargados de realizar los actos relativos a la planeación, programación, </w:t>
      </w:r>
      <w:proofErr w:type="spellStart"/>
      <w:r w:rsidRPr="00C703DC">
        <w:rPr>
          <w:rFonts w:ascii="Palatino Linotype" w:hAnsi="Palatino Linotype"/>
          <w:sz w:val="24"/>
          <w:szCs w:val="24"/>
        </w:rPr>
        <w:t>presupuestación</w:t>
      </w:r>
      <w:proofErr w:type="spellEnd"/>
      <w:r w:rsidRPr="00C703DC">
        <w:rPr>
          <w:rFonts w:ascii="Palatino Linotype" w:hAnsi="Palatino Linotype"/>
          <w:sz w:val="24"/>
          <w:szCs w:val="24"/>
        </w:rPr>
        <w:t xml:space="preserve">, ejecución y control de la adquisición (bienes muebles e inmuebles), arrendamiento (bienes muebles e inmuebles), y la </w:t>
      </w:r>
      <w:r w:rsidRPr="00C703DC">
        <w:rPr>
          <w:rFonts w:ascii="Palatino Linotype" w:hAnsi="Palatino Linotype"/>
          <w:b/>
          <w:sz w:val="24"/>
          <w:szCs w:val="24"/>
        </w:rPr>
        <w:t>contratación de servicios</w:t>
      </w:r>
      <w:r w:rsidRPr="00C703DC">
        <w:rPr>
          <w:rFonts w:ascii="Palatino Linotype" w:hAnsi="Palatino Linotype"/>
          <w:sz w:val="24"/>
          <w:szCs w:val="24"/>
        </w:rPr>
        <w:t xml:space="preserve"> de cualquier naturaleza. </w:t>
      </w:r>
    </w:p>
    <w:p w14:paraId="501FB07A" w14:textId="77777777" w:rsidR="00437829" w:rsidRPr="00C703DC" w:rsidRDefault="00437829" w:rsidP="005C2A3E">
      <w:pPr>
        <w:spacing w:after="0" w:line="360" w:lineRule="auto"/>
        <w:jc w:val="both"/>
        <w:rPr>
          <w:rFonts w:ascii="Palatino Linotype" w:hAnsi="Palatino Linotype"/>
          <w:sz w:val="24"/>
          <w:szCs w:val="24"/>
        </w:rPr>
      </w:pPr>
    </w:p>
    <w:p w14:paraId="6AC20F4F" w14:textId="77777777" w:rsidR="00437829" w:rsidRPr="00C703DC" w:rsidRDefault="00437829" w:rsidP="005C2A3E">
      <w:pPr>
        <w:spacing w:after="0" w:line="360" w:lineRule="auto"/>
        <w:jc w:val="both"/>
        <w:rPr>
          <w:rFonts w:ascii="Palatino Linotype" w:hAnsi="Palatino Linotype"/>
          <w:sz w:val="24"/>
          <w:szCs w:val="24"/>
        </w:rPr>
      </w:pPr>
      <w:r w:rsidRPr="00C703DC">
        <w:rPr>
          <w:rFonts w:ascii="Palatino Linotype" w:hAnsi="Palatino Linotype"/>
          <w:sz w:val="24"/>
          <w:szCs w:val="24"/>
        </w:rPr>
        <w:t xml:space="preserve">De lo anterior, conforme a los artículos 26 y 27 de dicho ordenamiento jurídico, las adquisiciones, arrendamientos y </w:t>
      </w:r>
      <w:r w:rsidRPr="00C703DC">
        <w:rPr>
          <w:rFonts w:ascii="Palatino Linotype" w:hAnsi="Palatino Linotype"/>
          <w:b/>
          <w:sz w:val="24"/>
          <w:szCs w:val="24"/>
        </w:rPr>
        <w:t>servicios</w:t>
      </w:r>
      <w:r w:rsidRPr="00C703DC">
        <w:rPr>
          <w:rFonts w:ascii="Palatino Linotype" w:hAnsi="Palatino Linotype"/>
          <w:sz w:val="24"/>
          <w:szCs w:val="24"/>
        </w:rPr>
        <w:t xml:space="preserve">, se adjudicará a través de procedimientos de licitación pública, invitación restringida y adjudicación directa. En ese orden de ideas, conforme al artículo 65 de la Ley de Contratación Pública del Estado de México y Municipios, la adjudicación de un procedimiento de adquisición y arrendamiento de bienes y </w:t>
      </w:r>
      <w:r w:rsidRPr="00C703DC">
        <w:rPr>
          <w:rFonts w:ascii="Palatino Linotype" w:hAnsi="Palatino Linotype"/>
          <w:b/>
          <w:sz w:val="24"/>
          <w:szCs w:val="24"/>
        </w:rPr>
        <w:t>contratación de servicios</w:t>
      </w:r>
      <w:r w:rsidRPr="00C703DC">
        <w:rPr>
          <w:rFonts w:ascii="Palatino Linotype" w:hAnsi="Palatino Linotype"/>
          <w:sz w:val="24"/>
          <w:szCs w:val="24"/>
        </w:rPr>
        <w:t xml:space="preserve"> se realizará mediante la suscripción de un </w:t>
      </w:r>
      <w:r w:rsidRPr="00C703DC">
        <w:rPr>
          <w:rFonts w:ascii="Palatino Linotype" w:hAnsi="Palatino Linotype"/>
          <w:b/>
          <w:sz w:val="24"/>
          <w:szCs w:val="24"/>
        </w:rPr>
        <w:t>contrato,</w:t>
      </w:r>
      <w:r w:rsidRPr="00C703DC">
        <w:rPr>
          <w:rFonts w:ascii="Palatino Linotype" w:hAnsi="Palatino Linotype"/>
          <w:sz w:val="24"/>
          <w:szCs w:val="24"/>
        </w:rPr>
        <w:t xml:space="preserve"> entre el Ayuntamiento y la persona a la cual haya ganado el procedimiento respectivo, dentro de los diez días hábiles siguientes a la notificación del fallo.</w:t>
      </w:r>
    </w:p>
    <w:p w14:paraId="31D2457B" w14:textId="77777777" w:rsidR="00437829" w:rsidRPr="00C703DC" w:rsidRDefault="00437829" w:rsidP="005C2A3E">
      <w:pPr>
        <w:spacing w:after="0" w:line="360" w:lineRule="auto"/>
        <w:jc w:val="both"/>
        <w:rPr>
          <w:rFonts w:ascii="Palatino Linotype" w:hAnsi="Palatino Linotype"/>
          <w:sz w:val="24"/>
          <w:szCs w:val="24"/>
        </w:rPr>
      </w:pPr>
    </w:p>
    <w:p w14:paraId="6AC05C38" w14:textId="77777777" w:rsidR="00437829" w:rsidRPr="00C703DC" w:rsidRDefault="00437829" w:rsidP="005C2A3E">
      <w:pPr>
        <w:spacing w:after="0" w:line="360" w:lineRule="auto"/>
        <w:jc w:val="both"/>
        <w:rPr>
          <w:rFonts w:ascii="Palatino Linotype" w:hAnsi="Palatino Linotype"/>
          <w:b/>
          <w:sz w:val="24"/>
          <w:szCs w:val="24"/>
        </w:rPr>
      </w:pPr>
      <w:r w:rsidRPr="00C703DC">
        <w:rPr>
          <w:rFonts w:ascii="Palatino Linotype" w:hAnsi="Palatino Linotype"/>
          <w:sz w:val="24"/>
          <w:szCs w:val="24"/>
        </w:rPr>
        <w:t xml:space="preserve">Ahora bien, conforme al artículo 120 del Reglamento de la Ley de Contratación Pública del Estado de México y Municipios y diverso 104 el Reglamento del Libro Décimo Segundo del Código Administrativo del Estado de México, dichos actos jurídicos se </w:t>
      </w:r>
      <w:r w:rsidRPr="00C703DC">
        <w:rPr>
          <w:rFonts w:ascii="Palatino Linotype" w:hAnsi="Palatino Linotype"/>
          <w:sz w:val="24"/>
          <w:szCs w:val="24"/>
        </w:rPr>
        <w:lastRenderedPageBreak/>
        <w:t xml:space="preserve">conforman por diversos datos, entre los cuales, se encuentran los datos de identificación de las partes y del contrato, </w:t>
      </w:r>
      <w:r w:rsidRPr="00C703DC">
        <w:rPr>
          <w:rFonts w:ascii="Palatino Linotype" w:hAnsi="Palatino Linotype"/>
          <w:b/>
          <w:sz w:val="24"/>
          <w:szCs w:val="24"/>
        </w:rPr>
        <w:t>así como el importe total.</w:t>
      </w:r>
    </w:p>
    <w:p w14:paraId="709EB6B1" w14:textId="77777777" w:rsidR="00437829" w:rsidRPr="00C703DC" w:rsidRDefault="00437829" w:rsidP="005C2A3E">
      <w:pPr>
        <w:spacing w:after="0" w:line="360" w:lineRule="auto"/>
        <w:jc w:val="both"/>
        <w:rPr>
          <w:rFonts w:ascii="Palatino Linotype" w:hAnsi="Palatino Linotype"/>
          <w:sz w:val="24"/>
          <w:szCs w:val="24"/>
        </w:rPr>
      </w:pPr>
    </w:p>
    <w:p w14:paraId="13D3A927" w14:textId="77777777" w:rsidR="00437829" w:rsidRPr="00C703DC" w:rsidRDefault="00437829" w:rsidP="005C2A3E">
      <w:pPr>
        <w:spacing w:after="0" w:line="360" w:lineRule="auto"/>
        <w:jc w:val="both"/>
        <w:rPr>
          <w:rFonts w:ascii="Palatino Linotype" w:hAnsi="Palatino Linotype"/>
          <w:color w:val="0D0D0D"/>
          <w:sz w:val="24"/>
          <w:szCs w:val="24"/>
        </w:rPr>
      </w:pPr>
      <w:r w:rsidRPr="00C703DC">
        <w:rPr>
          <w:rFonts w:ascii="Palatino Linotype" w:hAnsi="Palatino Linotype"/>
          <w:color w:val="0D0D0D"/>
          <w:sz w:val="24"/>
          <w:szCs w:val="24"/>
        </w:rPr>
        <w:t xml:space="preserve">Ahora bien, por lo que hace a las facturas de los contratos celebrados, </w:t>
      </w:r>
      <w:r w:rsidRPr="00C703DC">
        <w:rPr>
          <w:rFonts w:ascii="Palatino Linotype" w:hAnsi="Palatino Linotype"/>
          <w:sz w:val="24"/>
          <w:szCs w:val="24"/>
        </w:rPr>
        <w:t xml:space="preserve">el artículo 4°, fracción XVIII, de la Ley General de Contabilidad Gubernamental, establece que la información financiera consiste en información presupuestaria y contable que se expresa en unidades monetarias las </w:t>
      </w:r>
      <w:r w:rsidRPr="00C703DC">
        <w:rPr>
          <w:rFonts w:ascii="Palatino Linotype" w:hAnsi="Palatino Linotype"/>
          <w:b/>
          <w:sz w:val="24"/>
          <w:szCs w:val="24"/>
        </w:rPr>
        <w:t>transacciones que realiza un ente público y los eventos económicos identificables y cuantificable</w:t>
      </w:r>
      <w:r w:rsidRPr="00C703DC">
        <w:rPr>
          <w:rFonts w:ascii="Palatino Linotype" w:hAnsi="Palatino Linotype"/>
          <w:sz w:val="24"/>
          <w:szCs w:val="24"/>
        </w:rPr>
        <w:t xml:space="preserve"> la cual puede representarse por reportes, informes, estados y notas que expresan su situación financiera, los resultados de su operación y los cambios en su patrimonio. </w:t>
      </w:r>
    </w:p>
    <w:p w14:paraId="3A0CF298" w14:textId="77777777" w:rsidR="00437829" w:rsidRPr="00C703DC" w:rsidRDefault="00437829" w:rsidP="005C2A3E">
      <w:pPr>
        <w:spacing w:after="0" w:line="360" w:lineRule="auto"/>
        <w:jc w:val="both"/>
        <w:rPr>
          <w:rFonts w:ascii="Palatino Linotype" w:hAnsi="Palatino Linotype"/>
          <w:sz w:val="24"/>
          <w:szCs w:val="24"/>
        </w:rPr>
      </w:pPr>
    </w:p>
    <w:p w14:paraId="1DC37841" w14:textId="77777777" w:rsidR="00437829" w:rsidRPr="00C703DC" w:rsidRDefault="00437829" w:rsidP="005C2A3E">
      <w:pPr>
        <w:spacing w:after="0" w:line="360" w:lineRule="auto"/>
        <w:jc w:val="both"/>
        <w:rPr>
          <w:rFonts w:ascii="Palatino Linotype" w:hAnsi="Palatino Linotype"/>
          <w:sz w:val="24"/>
          <w:szCs w:val="24"/>
        </w:rPr>
      </w:pPr>
      <w:r w:rsidRPr="00C703DC">
        <w:rPr>
          <w:rFonts w:ascii="Palatino Linotype" w:hAnsi="Palatino Linotype"/>
          <w:sz w:val="24"/>
          <w:szCs w:val="24"/>
        </w:rPr>
        <w:t>En esa misma tesitura, los artículos 16, 18, 19, fracción V, y 34 de la Ley General en comento, establece que los entes públicos deben contar con un sistema de contabilidad gubernamental en el cual se registran operaciones presupuestarias y contables derivadas de la gestión pública, así como otros flujos económicos, los cuales serán expresados en términos monetarios. Dichos registros contables se llevarán con base acumulativa, por lo que la contabilización de las transacciones de gasto se hará conforme a la fecha de su realización, independientemente de la de su pago, y la del ingreso se registrará cuando exista jurídicamente el derecho de cobro.</w:t>
      </w:r>
    </w:p>
    <w:p w14:paraId="6EE91094" w14:textId="77777777" w:rsidR="00437829" w:rsidRPr="00C703DC" w:rsidRDefault="00437829" w:rsidP="005C2A3E">
      <w:pPr>
        <w:spacing w:after="0" w:line="360" w:lineRule="auto"/>
        <w:jc w:val="both"/>
        <w:rPr>
          <w:rFonts w:ascii="Palatino Linotype" w:hAnsi="Palatino Linotype"/>
          <w:sz w:val="24"/>
          <w:szCs w:val="24"/>
        </w:rPr>
      </w:pPr>
    </w:p>
    <w:p w14:paraId="7E2DFC17" w14:textId="77777777" w:rsidR="00437829" w:rsidRPr="00C703DC" w:rsidRDefault="00437829" w:rsidP="005C2A3E">
      <w:pPr>
        <w:spacing w:after="0" w:line="360" w:lineRule="auto"/>
        <w:jc w:val="both"/>
        <w:rPr>
          <w:rFonts w:ascii="Palatino Linotype" w:hAnsi="Palatino Linotype"/>
          <w:color w:val="0D0D0D"/>
          <w:sz w:val="24"/>
          <w:szCs w:val="24"/>
        </w:rPr>
      </w:pPr>
      <w:r w:rsidRPr="00C703DC">
        <w:rPr>
          <w:rFonts w:ascii="Palatino Linotype" w:hAnsi="Palatino Linotype"/>
          <w:color w:val="0D0D0D"/>
          <w:sz w:val="24"/>
          <w:szCs w:val="24"/>
        </w:rPr>
        <w:t xml:space="preserve">En ese contexto, la Guía técnica 05 “La contabilidad y la cuenta pública municipal”, emitida por el Instituto Nacional de Administración Pública, establece que la contabilidad municipal es la técnica que permite registrar en forma ordenada, completa y detallada de los ingresos y gastos, con el fin de poder determinar en cualquier momento </w:t>
      </w:r>
      <w:r w:rsidRPr="00C703DC">
        <w:rPr>
          <w:rFonts w:ascii="Palatino Linotype" w:hAnsi="Palatino Linotype"/>
          <w:color w:val="0D0D0D"/>
          <w:sz w:val="24"/>
          <w:szCs w:val="24"/>
        </w:rPr>
        <w:lastRenderedPageBreak/>
        <w:t>la situación financiera de la hacienda pública municipal.</w:t>
      </w:r>
      <w:r w:rsidR="005F557C" w:rsidRPr="00C703DC">
        <w:rPr>
          <w:rFonts w:ascii="Palatino Linotype" w:hAnsi="Palatino Linotype"/>
          <w:color w:val="0D0D0D"/>
          <w:sz w:val="24"/>
          <w:szCs w:val="24"/>
        </w:rPr>
        <w:t xml:space="preserve"> </w:t>
      </w:r>
      <w:r w:rsidRPr="00C703DC">
        <w:rPr>
          <w:rFonts w:ascii="Palatino Linotype" w:hAnsi="Palatino Linotype"/>
          <w:color w:val="0D0D0D"/>
          <w:sz w:val="24"/>
          <w:szCs w:val="24"/>
        </w:rPr>
        <w:t xml:space="preserve">De este modo, de acuerdo a la naturaleza de información solicitada, </w:t>
      </w:r>
      <w:r w:rsidRPr="00C703DC">
        <w:rPr>
          <w:rFonts w:ascii="Palatino Linotype" w:hAnsi="Palatino Linotype"/>
          <w:sz w:val="24"/>
          <w:szCs w:val="24"/>
        </w:rPr>
        <w:t xml:space="preserve">resulta necesario traer a colación, la Resolución Miscelánea Fiscal para el 2025, establece que la </w:t>
      </w:r>
      <w:r w:rsidRPr="00C703DC">
        <w:rPr>
          <w:rFonts w:ascii="Palatino Linotype" w:hAnsi="Palatino Linotype"/>
          <w:b/>
          <w:sz w:val="24"/>
          <w:szCs w:val="24"/>
        </w:rPr>
        <w:t>factura</w:t>
      </w:r>
      <w:r w:rsidRPr="00C703DC">
        <w:rPr>
          <w:rFonts w:ascii="Palatino Linotype" w:hAnsi="Palatino Linotype"/>
          <w:sz w:val="24"/>
          <w:szCs w:val="24"/>
        </w:rPr>
        <w:t xml:space="preserve"> es lo mismo, que un Comprobante Fiscal Digital por Internet, por lo que, se puede considerar como el documento que comprueba la realización de una </w:t>
      </w:r>
      <w:r w:rsidRPr="00C703DC">
        <w:rPr>
          <w:rFonts w:ascii="Palatino Linotype" w:hAnsi="Palatino Linotype"/>
          <w:b/>
          <w:sz w:val="24"/>
          <w:szCs w:val="24"/>
        </w:rPr>
        <w:t>transacción comercial</w:t>
      </w:r>
      <w:r w:rsidRPr="00C703DC">
        <w:rPr>
          <w:rFonts w:ascii="Palatino Linotype" w:hAnsi="Palatino Linotype"/>
          <w:sz w:val="24"/>
          <w:szCs w:val="24"/>
        </w:rPr>
        <w:t xml:space="preserve">, entre un comprador y un vendedor, mediante el cual, el primero queda obligado a realizar un pago, mientras que el segundo, a entregar o brindar un producto o </w:t>
      </w:r>
      <w:r w:rsidRPr="00C703DC">
        <w:rPr>
          <w:rFonts w:ascii="Palatino Linotype" w:hAnsi="Palatino Linotype"/>
          <w:b/>
          <w:sz w:val="24"/>
          <w:szCs w:val="24"/>
        </w:rPr>
        <w:t>servicio</w:t>
      </w:r>
      <w:r w:rsidRPr="00C703DC">
        <w:rPr>
          <w:rFonts w:ascii="Palatino Linotype" w:hAnsi="Palatino Linotype"/>
          <w:sz w:val="24"/>
          <w:szCs w:val="24"/>
        </w:rPr>
        <w:t xml:space="preserve">. </w:t>
      </w:r>
    </w:p>
    <w:p w14:paraId="452D0826" w14:textId="77777777" w:rsidR="00437829" w:rsidRPr="00C703DC" w:rsidRDefault="00437829" w:rsidP="005C2A3E">
      <w:pPr>
        <w:spacing w:after="0" w:line="360" w:lineRule="auto"/>
        <w:jc w:val="both"/>
        <w:rPr>
          <w:rFonts w:ascii="Palatino Linotype" w:hAnsi="Palatino Linotype"/>
          <w:sz w:val="24"/>
          <w:szCs w:val="24"/>
        </w:rPr>
      </w:pPr>
    </w:p>
    <w:p w14:paraId="25D79089" w14:textId="59D090DD" w:rsidR="004E3423" w:rsidRPr="00C703DC" w:rsidRDefault="00437829" w:rsidP="005C2A3E">
      <w:pPr>
        <w:widowControl w:val="0"/>
        <w:spacing w:after="0" w:line="360" w:lineRule="auto"/>
        <w:jc w:val="both"/>
        <w:rPr>
          <w:rFonts w:ascii="Palatino Linotype" w:hAnsi="Palatino Linotype"/>
          <w:color w:val="000000"/>
          <w:sz w:val="24"/>
          <w:szCs w:val="24"/>
        </w:rPr>
      </w:pPr>
      <w:r w:rsidRPr="00C703DC">
        <w:rPr>
          <w:rFonts w:ascii="Palatino Linotype" w:hAnsi="Palatino Linotype"/>
          <w:color w:val="000000"/>
          <w:sz w:val="24"/>
          <w:szCs w:val="24"/>
        </w:rPr>
        <w:t xml:space="preserve">Así mismo, el artículo 92 fracción XXIX, de la Ley de Transparencia y Acceso a la Información Pública del Estado de México y Municipios, precisa que es información que es pública de oficio, la información sobre los procesos y resultados sobre procedimientos de adjudicación directa, invitación restringida y licitación de cualquier naturaleza, </w:t>
      </w:r>
      <w:r w:rsidRPr="00C703DC">
        <w:rPr>
          <w:rFonts w:ascii="Palatino Linotype" w:hAnsi="Palatino Linotype"/>
          <w:b/>
          <w:color w:val="000000"/>
          <w:sz w:val="24"/>
          <w:szCs w:val="24"/>
        </w:rPr>
        <w:t>que incluye la versión pública del expediente respectivo y de los contratos celebrados y el pago correspondiente que puede obrar en las facturas o recibos de pago.</w:t>
      </w:r>
      <w:r w:rsidRPr="00C703DC">
        <w:rPr>
          <w:rFonts w:ascii="Palatino Linotype" w:hAnsi="Palatino Linotype"/>
          <w:color w:val="000000"/>
          <w:sz w:val="24"/>
          <w:szCs w:val="24"/>
        </w:rPr>
        <w:t xml:space="preserve"> </w:t>
      </w:r>
    </w:p>
    <w:p w14:paraId="315257DC" w14:textId="77777777" w:rsidR="004E3423" w:rsidRPr="00C703DC" w:rsidRDefault="004E3423" w:rsidP="005C2A3E">
      <w:pPr>
        <w:widowControl w:val="0"/>
        <w:spacing w:after="0" w:line="360" w:lineRule="auto"/>
        <w:jc w:val="both"/>
        <w:rPr>
          <w:rFonts w:ascii="Palatino Linotype" w:hAnsi="Palatino Linotype"/>
          <w:color w:val="000000"/>
          <w:sz w:val="24"/>
          <w:szCs w:val="24"/>
        </w:rPr>
      </w:pPr>
    </w:p>
    <w:p w14:paraId="3F016A24" w14:textId="3D53ED7F" w:rsidR="004E3423" w:rsidRPr="00C703DC" w:rsidRDefault="004E3423" w:rsidP="005C2A3E">
      <w:pPr>
        <w:widowControl w:val="0"/>
        <w:spacing w:after="0" w:line="360" w:lineRule="auto"/>
        <w:jc w:val="both"/>
        <w:rPr>
          <w:rFonts w:ascii="Palatino Linotype" w:hAnsi="Palatino Linotype"/>
          <w:color w:val="000000"/>
          <w:sz w:val="24"/>
          <w:szCs w:val="24"/>
        </w:rPr>
      </w:pPr>
      <w:r w:rsidRPr="00C703DC">
        <w:rPr>
          <w:rFonts w:ascii="Palatino Linotype" w:hAnsi="Palatino Linotype"/>
          <w:color w:val="000000"/>
          <w:sz w:val="24"/>
          <w:szCs w:val="24"/>
        </w:rPr>
        <w:t>Ahora bien también resulta importante traer a colación lo establecido en el Bando  Municipal respecto a los consejos de participación ciudadana, que a la letra señala lo siguiente:</w:t>
      </w:r>
    </w:p>
    <w:p w14:paraId="57CAF0EF" w14:textId="0111206A" w:rsidR="004E3423" w:rsidRPr="00C703DC" w:rsidRDefault="004E3423" w:rsidP="004E3423">
      <w:pPr>
        <w:widowControl w:val="0"/>
        <w:spacing w:after="0" w:line="360" w:lineRule="auto"/>
        <w:jc w:val="center"/>
        <w:rPr>
          <w:rFonts w:ascii="Palatino Linotype" w:hAnsi="Palatino Linotype"/>
          <w:color w:val="000000"/>
          <w:sz w:val="24"/>
          <w:szCs w:val="24"/>
        </w:rPr>
      </w:pPr>
      <w:r w:rsidRPr="00C703DC">
        <w:rPr>
          <w:rFonts w:ascii="Palatino Linotype" w:hAnsi="Palatino Linotype"/>
          <w:noProof/>
          <w:color w:val="000000"/>
          <w:sz w:val="24"/>
          <w:szCs w:val="24"/>
          <w:lang w:eastAsia="es-MX"/>
        </w:rPr>
        <w:drawing>
          <wp:inline distT="0" distB="0" distL="0" distR="0" wp14:anchorId="09153576" wp14:editId="281E711D">
            <wp:extent cx="5082540" cy="1412722"/>
            <wp:effectExtent l="190500" t="190500" r="194310" b="18796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131532" cy="1426340"/>
                    </a:xfrm>
                    <a:prstGeom prst="rect">
                      <a:avLst/>
                    </a:prstGeom>
                    <a:ln>
                      <a:noFill/>
                    </a:ln>
                    <a:effectLst>
                      <a:outerShdw blurRad="190500" algn="tl" rotWithShape="0">
                        <a:srgbClr val="000000">
                          <a:alpha val="70000"/>
                        </a:srgbClr>
                      </a:outerShdw>
                    </a:effectLst>
                  </pic:spPr>
                </pic:pic>
              </a:graphicData>
            </a:graphic>
          </wp:inline>
        </w:drawing>
      </w:r>
    </w:p>
    <w:p w14:paraId="32E62BAB" w14:textId="6C3FDB71" w:rsidR="004E3423" w:rsidRPr="00C703DC" w:rsidRDefault="004E3423" w:rsidP="004E3423">
      <w:pPr>
        <w:widowControl w:val="0"/>
        <w:spacing w:after="0" w:line="360" w:lineRule="auto"/>
        <w:jc w:val="center"/>
        <w:rPr>
          <w:rFonts w:ascii="Palatino Linotype" w:hAnsi="Palatino Linotype"/>
          <w:color w:val="000000"/>
          <w:sz w:val="24"/>
          <w:szCs w:val="24"/>
        </w:rPr>
      </w:pPr>
      <w:r w:rsidRPr="00C703DC">
        <w:rPr>
          <w:rFonts w:ascii="Palatino Linotype" w:hAnsi="Palatino Linotype"/>
          <w:noProof/>
          <w:color w:val="000000"/>
          <w:sz w:val="24"/>
          <w:szCs w:val="24"/>
          <w:lang w:eastAsia="es-MX"/>
        </w:rPr>
        <w:lastRenderedPageBreak/>
        <w:drawing>
          <wp:inline distT="0" distB="0" distL="0" distR="0" wp14:anchorId="68D26C91" wp14:editId="1FB6E96B">
            <wp:extent cx="5034780" cy="3324225"/>
            <wp:effectExtent l="190500" t="190500" r="185420" b="1809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047871" cy="3332869"/>
                    </a:xfrm>
                    <a:prstGeom prst="rect">
                      <a:avLst/>
                    </a:prstGeom>
                    <a:ln>
                      <a:noFill/>
                    </a:ln>
                    <a:effectLst>
                      <a:outerShdw blurRad="190500" algn="tl" rotWithShape="0">
                        <a:srgbClr val="000000">
                          <a:alpha val="70000"/>
                        </a:srgbClr>
                      </a:outerShdw>
                    </a:effectLst>
                  </pic:spPr>
                </pic:pic>
              </a:graphicData>
            </a:graphic>
          </wp:inline>
        </w:drawing>
      </w:r>
    </w:p>
    <w:p w14:paraId="3900D007" w14:textId="77777777" w:rsidR="000D134C" w:rsidRPr="00C703DC" w:rsidRDefault="000D134C" w:rsidP="005C2A3E">
      <w:pPr>
        <w:spacing w:after="0" w:line="360" w:lineRule="auto"/>
        <w:jc w:val="both"/>
        <w:rPr>
          <w:rFonts w:ascii="Palatino Linotype" w:hAnsi="Palatino Linotype"/>
          <w:sz w:val="24"/>
          <w:szCs w:val="24"/>
        </w:rPr>
      </w:pPr>
    </w:p>
    <w:p w14:paraId="5BADC94C" w14:textId="77777777" w:rsidR="001319D6" w:rsidRPr="00C703DC" w:rsidRDefault="000D134C" w:rsidP="005C2A3E">
      <w:pPr>
        <w:spacing w:after="0" w:line="360" w:lineRule="auto"/>
        <w:jc w:val="both"/>
        <w:rPr>
          <w:rFonts w:ascii="Palatino Linotype" w:hAnsi="Palatino Linotype"/>
          <w:sz w:val="24"/>
          <w:szCs w:val="24"/>
        </w:rPr>
      </w:pPr>
      <w:r w:rsidRPr="00C703DC">
        <w:rPr>
          <w:rFonts w:ascii="Palatino Linotype" w:hAnsi="Palatino Linotype"/>
          <w:sz w:val="24"/>
          <w:szCs w:val="24"/>
        </w:rPr>
        <w:t>Es decir, soportes documentales cuyo contenido de forma y fondo no es susceptible de variar por razón alguna, asimismo, la entrega de la información requerida no cambia o altera el proceso referido por el Sujeto Obligado.</w:t>
      </w:r>
      <w:r w:rsidR="00C165C6" w:rsidRPr="00C703DC">
        <w:rPr>
          <w:rFonts w:ascii="Palatino Linotype" w:hAnsi="Palatino Linotype"/>
          <w:sz w:val="24"/>
          <w:szCs w:val="24"/>
        </w:rPr>
        <w:t xml:space="preserve"> Por lo que resulta dable ordenar el soporte documental que dé cuenta de</w:t>
      </w:r>
      <w:r w:rsidR="001319D6" w:rsidRPr="00C703DC">
        <w:rPr>
          <w:rFonts w:ascii="Palatino Linotype" w:hAnsi="Palatino Linotype"/>
          <w:sz w:val="24"/>
          <w:szCs w:val="24"/>
        </w:rPr>
        <w:t xml:space="preserve"> lo siguiente:</w:t>
      </w:r>
    </w:p>
    <w:p w14:paraId="7DC1596B" w14:textId="231D3731" w:rsidR="001319D6" w:rsidRPr="00C703DC" w:rsidRDefault="001319D6" w:rsidP="001319D6">
      <w:pPr>
        <w:pStyle w:val="Prrafodelista"/>
        <w:numPr>
          <w:ilvl w:val="0"/>
          <w:numId w:val="15"/>
        </w:numPr>
        <w:spacing w:after="0" w:line="360" w:lineRule="auto"/>
        <w:jc w:val="both"/>
        <w:rPr>
          <w:rFonts w:ascii="Palatino Linotype" w:hAnsi="Palatino Linotype"/>
          <w:sz w:val="24"/>
          <w:szCs w:val="24"/>
        </w:rPr>
      </w:pPr>
      <w:r w:rsidRPr="00C703DC">
        <w:rPr>
          <w:rFonts w:ascii="Palatino Linotype" w:hAnsi="Palatino Linotype"/>
          <w:sz w:val="24"/>
          <w:szCs w:val="24"/>
        </w:rPr>
        <w:t>Los recursos económicos que ingresaron por la Feria denominada del Maíz 2025.</w:t>
      </w:r>
    </w:p>
    <w:p w14:paraId="6F397063" w14:textId="7D9047BE" w:rsidR="00EA3D96" w:rsidRPr="00C703DC" w:rsidRDefault="001319D6" w:rsidP="001319D6">
      <w:pPr>
        <w:pStyle w:val="Prrafodelista"/>
        <w:numPr>
          <w:ilvl w:val="0"/>
          <w:numId w:val="15"/>
        </w:numPr>
        <w:spacing w:after="0" w:line="360" w:lineRule="auto"/>
        <w:jc w:val="both"/>
        <w:rPr>
          <w:rFonts w:ascii="Palatino Linotype" w:hAnsi="Palatino Linotype"/>
          <w:sz w:val="24"/>
          <w:szCs w:val="24"/>
        </w:rPr>
      </w:pPr>
      <w:r w:rsidRPr="00C703DC">
        <w:rPr>
          <w:rFonts w:ascii="Palatino Linotype" w:hAnsi="Palatino Linotype"/>
          <w:sz w:val="24"/>
          <w:szCs w:val="24"/>
        </w:rPr>
        <w:t>Monto que ingresó a Delegación y/o COPACI de Tequisistlán, desglosado por rubro, es decir ingreso por puestos de bebidas alcohólicas, ingreso por alimentos, ingreso por otros puestos, nombre del encargado de recolectar dicha contribución, nombre de la persona encargada de resguardar el recurso económico, del viernes veintidós de agosto al domingo treinta y uno de agosto.</w:t>
      </w:r>
      <w:r w:rsidR="00C165C6" w:rsidRPr="00C703DC">
        <w:rPr>
          <w:rFonts w:ascii="Palatino Linotype" w:hAnsi="Palatino Linotype"/>
          <w:sz w:val="24"/>
          <w:szCs w:val="24"/>
        </w:rPr>
        <w:t xml:space="preserve"> </w:t>
      </w:r>
    </w:p>
    <w:p w14:paraId="099969A0" w14:textId="1AE74F0C" w:rsidR="008763BA" w:rsidRPr="00C703DC" w:rsidRDefault="004E3423" w:rsidP="005C2A3E">
      <w:pPr>
        <w:spacing w:after="0" w:line="360" w:lineRule="auto"/>
        <w:jc w:val="both"/>
        <w:rPr>
          <w:rFonts w:ascii="Palatino Linotype" w:hAnsi="Palatino Linotype"/>
          <w:sz w:val="24"/>
          <w:szCs w:val="24"/>
        </w:rPr>
      </w:pPr>
      <w:r w:rsidRPr="00C703DC">
        <w:rPr>
          <w:rFonts w:ascii="Palatino Linotype" w:hAnsi="Palatino Linotype"/>
          <w:sz w:val="24"/>
          <w:szCs w:val="24"/>
        </w:rPr>
        <w:lastRenderedPageBreak/>
        <w:t>De ser el caso que el Sujeto Obligado no cuente con el soporte documental que dé cuenta de ingresos referidos, bastara con que  así lo manifieste en términos de lo establecido por el segundo párrafo del artículo 19 de la Ley de Transparencia Local.</w:t>
      </w:r>
    </w:p>
    <w:p w14:paraId="53331BD7" w14:textId="77777777" w:rsidR="004E3423" w:rsidRPr="00C703DC" w:rsidRDefault="004E3423" w:rsidP="005C2A3E">
      <w:pPr>
        <w:spacing w:after="0" w:line="360" w:lineRule="auto"/>
        <w:jc w:val="both"/>
        <w:rPr>
          <w:rFonts w:ascii="Palatino Linotype" w:hAnsi="Palatino Linotype"/>
          <w:sz w:val="24"/>
          <w:szCs w:val="24"/>
        </w:rPr>
      </w:pPr>
    </w:p>
    <w:p w14:paraId="5D75C2B7" w14:textId="77777777" w:rsidR="000D134C" w:rsidRPr="00C703DC" w:rsidRDefault="000D134C" w:rsidP="005C2A3E">
      <w:pPr>
        <w:keepNext/>
        <w:keepLines/>
        <w:spacing w:after="0" w:line="360" w:lineRule="auto"/>
        <w:jc w:val="both"/>
        <w:outlineLvl w:val="2"/>
        <w:rPr>
          <w:rFonts w:ascii="Palatino Linotype" w:eastAsia="Palatino Linotype" w:hAnsi="Palatino Linotype" w:cstheme="majorBidi"/>
          <w:b/>
          <w:i/>
          <w:color w:val="000000" w:themeColor="text1"/>
          <w:u w:val="single"/>
          <w:lang w:val="es-ES_tradnl" w:eastAsia="es-MX"/>
        </w:rPr>
      </w:pPr>
      <w:r w:rsidRPr="00C703DC">
        <w:rPr>
          <w:rFonts w:ascii="Palatino Linotype" w:hAnsi="Palatino Linotype"/>
          <w:sz w:val="24"/>
          <w:szCs w:val="24"/>
        </w:rPr>
        <w:t xml:space="preserve"> </w:t>
      </w:r>
      <w:r w:rsidRPr="00C703DC">
        <w:rPr>
          <w:rFonts w:ascii="Palatino Linotype" w:eastAsia="Palatino Linotype" w:hAnsi="Palatino Linotype" w:cstheme="majorBidi"/>
          <w:b/>
          <w:i/>
          <w:color w:val="000000" w:themeColor="text1"/>
          <w:sz w:val="24"/>
          <w:u w:val="single"/>
          <w:lang w:val="es-ES_tradnl" w:eastAsia="es-MX"/>
        </w:rPr>
        <w:t>DE LA VERSIÓN PÚBLICA</w:t>
      </w:r>
    </w:p>
    <w:p w14:paraId="09BBCB0A" w14:textId="77777777" w:rsidR="000D134C" w:rsidRPr="00C703DC" w:rsidRDefault="000D134C" w:rsidP="005C2A3E">
      <w:pPr>
        <w:spacing w:after="0" w:line="360" w:lineRule="auto"/>
        <w:jc w:val="both"/>
        <w:rPr>
          <w:rFonts w:ascii="Palatino Linotype" w:eastAsia="Palatino Linotype" w:hAnsi="Palatino Linotype" w:cs="Palatino Linotype"/>
          <w:sz w:val="24"/>
          <w:szCs w:val="24"/>
          <w:lang w:val="es-ES_tradnl" w:eastAsia="es-MX"/>
        </w:rPr>
      </w:pPr>
      <w:r w:rsidRPr="00C703DC">
        <w:rPr>
          <w:rFonts w:ascii="Palatino Linotype" w:eastAsia="Palatino Linotype" w:hAnsi="Palatino Linotype" w:cs="Palatino Linotype"/>
          <w:sz w:val="24"/>
          <w:szCs w:val="24"/>
          <w:lang w:val="es-ES_tradnl" w:eastAsia="es-MX"/>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795C7D01" w14:textId="77777777" w:rsidR="001319D6" w:rsidRPr="00C703DC" w:rsidRDefault="001319D6" w:rsidP="005C2A3E">
      <w:pPr>
        <w:spacing w:after="0" w:line="360" w:lineRule="auto"/>
        <w:jc w:val="both"/>
        <w:rPr>
          <w:rFonts w:ascii="Palatino Linotype" w:eastAsia="Palatino Linotype" w:hAnsi="Palatino Linotype" w:cs="Palatino Linotype"/>
          <w:sz w:val="24"/>
          <w:szCs w:val="24"/>
          <w:lang w:val="es-ES_tradnl" w:eastAsia="es-MX"/>
        </w:rPr>
      </w:pPr>
    </w:p>
    <w:p w14:paraId="0468E8F9" w14:textId="77777777" w:rsidR="000D134C" w:rsidRPr="00C703DC" w:rsidRDefault="000D134C" w:rsidP="005C2A3E">
      <w:pPr>
        <w:spacing w:after="0"/>
        <w:ind w:left="567" w:right="567"/>
        <w:jc w:val="both"/>
        <w:rPr>
          <w:rFonts w:ascii="Palatino Linotype" w:eastAsia="Palatino Linotype" w:hAnsi="Palatino Linotype" w:cs="Palatino Linotype"/>
          <w:i/>
          <w:lang w:val="es-ES_tradnl" w:eastAsia="es-MX"/>
        </w:rPr>
      </w:pPr>
      <w:r w:rsidRPr="00C703DC">
        <w:rPr>
          <w:rFonts w:ascii="Palatino Linotype" w:eastAsia="Palatino Linotype" w:hAnsi="Palatino Linotype" w:cs="Palatino Linotype"/>
          <w:b/>
          <w:i/>
          <w:lang w:val="es-ES_tradnl" w:eastAsia="es-MX"/>
        </w:rPr>
        <w:t>Artículo 3.</w:t>
      </w:r>
      <w:r w:rsidRPr="00C703DC">
        <w:rPr>
          <w:rFonts w:ascii="Palatino Linotype" w:eastAsia="Palatino Linotype" w:hAnsi="Palatino Linotype" w:cs="Palatino Linotype"/>
          <w:i/>
          <w:lang w:val="es-ES_tradnl" w:eastAsia="es-MX"/>
        </w:rPr>
        <w:t xml:space="preserve"> Para los efectos de la presente Ley se entenderá por:</w:t>
      </w:r>
    </w:p>
    <w:p w14:paraId="47BE3D9F" w14:textId="77777777" w:rsidR="000D134C" w:rsidRPr="00C703DC" w:rsidRDefault="000D134C" w:rsidP="005C2A3E">
      <w:pPr>
        <w:spacing w:after="0"/>
        <w:ind w:left="567" w:right="567"/>
        <w:jc w:val="both"/>
        <w:rPr>
          <w:rFonts w:ascii="Palatino Linotype" w:eastAsia="Palatino Linotype" w:hAnsi="Palatino Linotype" w:cs="Palatino Linotype"/>
          <w:i/>
          <w:lang w:val="es-ES_tradnl" w:eastAsia="es-MX"/>
        </w:rPr>
      </w:pPr>
      <w:r w:rsidRPr="00C703DC">
        <w:rPr>
          <w:rFonts w:ascii="Palatino Linotype" w:eastAsia="Palatino Linotype" w:hAnsi="Palatino Linotype" w:cs="Palatino Linotype"/>
          <w:i/>
          <w:lang w:val="es-ES_tradnl" w:eastAsia="es-MX"/>
        </w:rPr>
        <w:t>[…]</w:t>
      </w:r>
    </w:p>
    <w:p w14:paraId="684EDA32" w14:textId="77777777" w:rsidR="000D134C" w:rsidRPr="00C703DC" w:rsidRDefault="000D134C" w:rsidP="005C2A3E">
      <w:pPr>
        <w:spacing w:after="0"/>
        <w:ind w:left="567" w:right="567"/>
        <w:jc w:val="both"/>
        <w:rPr>
          <w:rFonts w:ascii="Palatino Linotype" w:eastAsia="Palatino Linotype" w:hAnsi="Palatino Linotype" w:cs="Palatino Linotype"/>
          <w:i/>
          <w:lang w:val="es-ES_tradnl" w:eastAsia="es-MX"/>
        </w:rPr>
      </w:pPr>
      <w:r w:rsidRPr="00C703DC">
        <w:rPr>
          <w:rFonts w:ascii="Palatino Linotype" w:eastAsia="Palatino Linotype" w:hAnsi="Palatino Linotype" w:cs="Palatino Linotype"/>
          <w:b/>
          <w:i/>
          <w:lang w:val="es-ES_tradnl" w:eastAsia="es-MX"/>
        </w:rPr>
        <w:t>IX. Datos personales:</w:t>
      </w:r>
      <w:r w:rsidRPr="00C703DC">
        <w:rPr>
          <w:rFonts w:ascii="Palatino Linotype" w:eastAsia="Palatino Linotype" w:hAnsi="Palatino Linotype" w:cs="Palatino Linotype"/>
          <w:i/>
          <w:lang w:val="es-ES_tradnl" w:eastAsia="es-MX"/>
        </w:rPr>
        <w:t xml:space="preserve"> La información concerniente a una persona, identificada o identificable según lo dispuesto por la Ley de Protección de Datos Personales del Estado de México; </w:t>
      </w:r>
    </w:p>
    <w:p w14:paraId="34159D69" w14:textId="77777777" w:rsidR="000D134C" w:rsidRPr="00C703DC" w:rsidRDefault="000D134C" w:rsidP="005C2A3E">
      <w:pPr>
        <w:spacing w:after="0"/>
        <w:ind w:left="567" w:right="567"/>
        <w:jc w:val="both"/>
        <w:rPr>
          <w:rFonts w:ascii="Palatino Linotype" w:eastAsia="Palatino Linotype" w:hAnsi="Palatino Linotype" w:cs="Palatino Linotype"/>
          <w:i/>
          <w:lang w:val="es-ES_tradnl" w:eastAsia="es-MX"/>
        </w:rPr>
      </w:pPr>
      <w:r w:rsidRPr="00C703DC">
        <w:rPr>
          <w:rFonts w:ascii="Palatino Linotype" w:eastAsia="Palatino Linotype" w:hAnsi="Palatino Linotype" w:cs="Palatino Linotype"/>
          <w:b/>
          <w:i/>
          <w:lang w:val="es-ES_tradnl" w:eastAsia="es-MX"/>
        </w:rPr>
        <w:t>XX.</w:t>
      </w:r>
      <w:r w:rsidRPr="00C703DC">
        <w:rPr>
          <w:rFonts w:ascii="Palatino Linotype" w:eastAsia="Palatino Linotype" w:hAnsi="Palatino Linotype" w:cs="Palatino Linotype"/>
          <w:i/>
          <w:lang w:val="es-ES_tradnl" w:eastAsia="es-MX"/>
        </w:rPr>
        <w:t xml:space="preserve"> </w:t>
      </w:r>
      <w:r w:rsidRPr="00C703DC">
        <w:rPr>
          <w:rFonts w:ascii="Palatino Linotype" w:eastAsia="Palatino Linotype" w:hAnsi="Palatino Linotype" w:cs="Palatino Linotype"/>
          <w:b/>
          <w:i/>
          <w:lang w:val="es-ES_tradnl" w:eastAsia="es-MX"/>
        </w:rPr>
        <w:t>Información clasificada:</w:t>
      </w:r>
      <w:r w:rsidRPr="00C703DC">
        <w:rPr>
          <w:rFonts w:ascii="Palatino Linotype" w:eastAsia="Palatino Linotype" w:hAnsi="Palatino Linotype" w:cs="Palatino Linotype"/>
          <w:i/>
          <w:lang w:val="es-ES_tradnl" w:eastAsia="es-MX"/>
        </w:rPr>
        <w:t xml:space="preserve"> Aquella considerada por la presente Ley como reservada o confidencial;</w:t>
      </w:r>
    </w:p>
    <w:p w14:paraId="3C44988A" w14:textId="77777777" w:rsidR="000D134C" w:rsidRPr="00C703DC" w:rsidRDefault="000D134C" w:rsidP="005C2A3E">
      <w:pPr>
        <w:spacing w:after="0"/>
        <w:ind w:left="567" w:right="567"/>
        <w:jc w:val="both"/>
        <w:rPr>
          <w:rFonts w:ascii="Palatino Linotype" w:eastAsia="Palatino Linotype" w:hAnsi="Palatino Linotype" w:cs="Palatino Linotype"/>
          <w:i/>
          <w:lang w:val="es-ES_tradnl" w:eastAsia="es-MX"/>
        </w:rPr>
      </w:pPr>
      <w:r w:rsidRPr="00C703DC">
        <w:rPr>
          <w:rFonts w:ascii="Palatino Linotype" w:eastAsia="Palatino Linotype" w:hAnsi="Palatino Linotype" w:cs="Palatino Linotype"/>
          <w:b/>
          <w:i/>
          <w:lang w:val="es-ES_tradnl" w:eastAsia="es-MX"/>
        </w:rPr>
        <w:t>XXI.</w:t>
      </w:r>
      <w:r w:rsidRPr="00C703DC">
        <w:rPr>
          <w:rFonts w:ascii="Palatino Linotype" w:eastAsia="Palatino Linotype" w:hAnsi="Palatino Linotype" w:cs="Palatino Linotype"/>
          <w:i/>
          <w:lang w:val="es-ES_tradnl" w:eastAsia="es-MX"/>
        </w:rPr>
        <w:t xml:space="preserve"> </w:t>
      </w:r>
      <w:r w:rsidRPr="00C703DC">
        <w:rPr>
          <w:rFonts w:ascii="Palatino Linotype" w:eastAsia="Palatino Linotype" w:hAnsi="Palatino Linotype" w:cs="Palatino Linotype"/>
          <w:b/>
          <w:i/>
          <w:lang w:val="es-ES_tradnl" w:eastAsia="es-MX"/>
        </w:rPr>
        <w:t>Información confidencial:</w:t>
      </w:r>
      <w:r w:rsidRPr="00C703DC">
        <w:rPr>
          <w:rFonts w:ascii="Palatino Linotype" w:eastAsia="Palatino Linotype" w:hAnsi="Palatino Linotype" w:cs="Palatino Linotype"/>
          <w:i/>
          <w:lang w:val="es-ES_tradnl" w:eastAsia="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E9CC658" w14:textId="77777777" w:rsidR="000D134C" w:rsidRPr="00C703DC" w:rsidRDefault="000D134C" w:rsidP="005C2A3E">
      <w:pPr>
        <w:spacing w:after="0"/>
        <w:ind w:left="567" w:right="567"/>
        <w:jc w:val="both"/>
        <w:rPr>
          <w:rFonts w:ascii="Palatino Linotype" w:eastAsia="Palatino Linotype" w:hAnsi="Palatino Linotype" w:cs="Palatino Linotype"/>
          <w:i/>
          <w:lang w:val="es-ES_tradnl" w:eastAsia="es-MX"/>
        </w:rPr>
      </w:pPr>
      <w:r w:rsidRPr="00C703DC">
        <w:rPr>
          <w:rFonts w:ascii="Palatino Linotype" w:eastAsia="Palatino Linotype" w:hAnsi="Palatino Linotype" w:cs="Palatino Linotype"/>
          <w:b/>
          <w:i/>
          <w:lang w:val="es-ES_tradnl" w:eastAsia="es-MX"/>
        </w:rPr>
        <w:t>[…]</w:t>
      </w:r>
    </w:p>
    <w:p w14:paraId="4F71DA23" w14:textId="77777777" w:rsidR="000D134C" w:rsidRPr="00C703DC" w:rsidRDefault="000D134C" w:rsidP="005C2A3E">
      <w:pPr>
        <w:spacing w:after="0"/>
        <w:ind w:left="567" w:right="567"/>
        <w:jc w:val="both"/>
        <w:rPr>
          <w:rFonts w:ascii="Palatino Linotype" w:eastAsia="Palatino Linotype" w:hAnsi="Palatino Linotype" w:cs="Palatino Linotype"/>
          <w:i/>
          <w:lang w:val="es-ES_tradnl" w:eastAsia="es-MX"/>
        </w:rPr>
      </w:pPr>
      <w:r w:rsidRPr="00C703DC">
        <w:rPr>
          <w:rFonts w:ascii="Palatino Linotype" w:eastAsia="Palatino Linotype" w:hAnsi="Palatino Linotype" w:cs="Palatino Linotype"/>
          <w:b/>
          <w:i/>
          <w:lang w:val="es-ES_tradnl" w:eastAsia="es-MX"/>
        </w:rPr>
        <w:t>XLV.</w:t>
      </w:r>
      <w:r w:rsidRPr="00C703DC">
        <w:rPr>
          <w:rFonts w:ascii="Palatino Linotype" w:eastAsia="Palatino Linotype" w:hAnsi="Palatino Linotype" w:cs="Palatino Linotype"/>
          <w:i/>
          <w:lang w:val="es-ES_tradnl" w:eastAsia="es-MX"/>
        </w:rPr>
        <w:t xml:space="preserve"> </w:t>
      </w:r>
      <w:r w:rsidRPr="00C703DC">
        <w:rPr>
          <w:rFonts w:ascii="Palatino Linotype" w:eastAsia="Palatino Linotype" w:hAnsi="Palatino Linotype" w:cs="Palatino Linotype"/>
          <w:b/>
          <w:i/>
          <w:lang w:val="es-ES_tradnl" w:eastAsia="es-MX"/>
        </w:rPr>
        <w:t>Versión pública:</w:t>
      </w:r>
      <w:r w:rsidRPr="00C703DC">
        <w:rPr>
          <w:rFonts w:ascii="Palatino Linotype" w:eastAsia="Palatino Linotype" w:hAnsi="Palatino Linotype" w:cs="Palatino Linotype"/>
          <w:i/>
          <w:lang w:val="es-ES_tradnl" w:eastAsia="es-MX"/>
        </w:rPr>
        <w:t xml:space="preserve"> Documento en el que se elimine, suprime o borra la información clasificada como reservada o confidencial para permitir su acceso.</w:t>
      </w:r>
    </w:p>
    <w:p w14:paraId="5DCA4515" w14:textId="77777777" w:rsidR="000D134C" w:rsidRPr="00C703DC" w:rsidRDefault="000D134C" w:rsidP="005C2A3E">
      <w:pPr>
        <w:spacing w:after="0"/>
        <w:ind w:left="567" w:right="567"/>
        <w:jc w:val="both"/>
        <w:rPr>
          <w:rFonts w:ascii="Palatino Linotype" w:eastAsia="Palatino Linotype" w:hAnsi="Palatino Linotype" w:cs="Palatino Linotype"/>
          <w:i/>
          <w:lang w:val="es-ES_tradnl" w:eastAsia="es-MX"/>
        </w:rPr>
      </w:pPr>
      <w:r w:rsidRPr="00C703DC">
        <w:rPr>
          <w:rFonts w:ascii="Palatino Linotype" w:eastAsia="Palatino Linotype" w:hAnsi="Palatino Linotype" w:cs="Palatino Linotype"/>
          <w:i/>
          <w:lang w:val="es-ES_tradnl" w:eastAsia="es-MX"/>
        </w:rPr>
        <w:t>[…]</w:t>
      </w:r>
    </w:p>
    <w:p w14:paraId="33C924B3" w14:textId="77777777" w:rsidR="000D134C" w:rsidRPr="00C703DC" w:rsidRDefault="000D134C" w:rsidP="005C2A3E">
      <w:pPr>
        <w:spacing w:after="0"/>
        <w:ind w:left="567" w:right="567"/>
        <w:jc w:val="both"/>
        <w:rPr>
          <w:rFonts w:ascii="Palatino Linotype" w:eastAsia="Palatino Linotype" w:hAnsi="Palatino Linotype" w:cs="Palatino Linotype"/>
          <w:i/>
          <w:lang w:val="es-ES_tradnl" w:eastAsia="es-MX"/>
        </w:rPr>
      </w:pPr>
    </w:p>
    <w:p w14:paraId="4691BA59" w14:textId="77777777" w:rsidR="000D134C" w:rsidRPr="00C703DC" w:rsidRDefault="000D134C" w:rsidP="005C2A3E">
      <w:pPr>
        <w:spacing w:after="0"/>
        <w:ind w:left="567" w:right="567"/>
        <w:jc w:val="both"/>
        <w:rPr>
          <w:rFonts w:ascii="Palatino Linotype" w:eastAsia="Palatino Linotype" w:hAnsi="Palatino Linotype" w:cs="Palatino Linotype"/>
          <w:i/>
          <w:lang w:val="es-ES_tradnl" w:eastAsia="es-MX"/>
        </w:rPr>
      </w:pPr>
      <w:r w:rsidRPr="00C703DC">
        <w:rPr>
          <w:rFonts w:ascii="Palatino Linotype" w:eastAsia="Palatino Linotype" w:hAnsi="Palatino Linotype" w:cs="Palatino Linotype"/>
          <w:b/>
          <w:i/>
          <w:lang w:val="es-ES_tradnl" w:eastAsia="es-MX"/>
        </w:rPr>
        <w:t xml:space="preserve">Artículo 91. </w:t>
      </w:r>
      <w:r w:rsidRPr="00C703DC">
        <w:rPr>
          <w:rFonts w:ascii="Palatino Linotype" w:eastAsia="Palatino Linotype" w:hAnsi="Palatino Linotype" w:cs="Palatino Linotype"/>
          <w:i/>
          <w:lang w:val="es-ES_tradnl" w:eastAsia="es-MX"/>
        </w:rPr>
        <w:t>El acceso a la información pública será restringido excepcionalmente, cuando ésta sea clasificada como reservada o confidencial.</w:t>
      </w:r>
    </w:p>
    <w:p w14:paraId="5FA6C192" w14:textId="77777777" w:rsidR="000D134C" w:rsidRPr="00C703DC" w:rsidRDefault="000D134C" w:rsidP="005C2A3E">
      <w:pPr>
        <w:spacing w:after="0"/>
        <w:ind w:left="567" w:right="567"/>
        <w:jc w:val="both"/>
        <w:rPr>
          <w:rFonts w:ascii="Palatino Linotype" w:eastAsia="Palatino Linotype" w:hAnsi="Palatino Linotype" w:cs="Palatino Linotype"/>
          <w:i/>
          <w:lang w:val="es-ES_tradnl" w:eastAsia="es-MX"/>
        </w:rPr>
      </w:pPr>
    </w:p>
    <w:p w14:paraId="1B5CE4B2" w14:textId="77777777" w:rsidR="000D134C" w:rsidRPr="00C703DC" w:rsidRDefault="000D134C" w:rsidP="005C2A3E">
      <w:pPr>
        <w:spacing w:after="0"/>
        <w:ind w:left="567" w:right="567"/>
        <w:jc w:val="both"/>
        <w:rPr>
          <w:rFonts w:ascii="Palatino Linotype" w:eastAsia="Palatino Linotype" w:hAnsi="Palatino Linotype" w:cs="Palatino Linotype"/>
          <w:i/>
          <w:lang w:val="es-ES_tradnl" w:eastAsia="es-MX"/>
        </w:rPr>
      </w:pPr>
      <w:r w:rsidRPr="00C703DC">
        <w:rPr>
          <w:rFonts w:ascii="Palatino Linotype" w:eastAsia="Palatino Linotype" w:hAnsi="Palatino Linotype" w:cs="Palatino Linotype"/>
          <w:b/>
          <w:i/>
          <w:lang w:val="es-ES_tradnl" w:eastAsia="es-MX"/>
        </w:rPr>
        <w:t>Artículo 132.</w:t>
      </w:r>
      <w:r w:rsidRPr="00C703DC">
        <w:rPr>
          <w:rFonts w:ascii="Palatino Linotype" w:eastAsia="Palatino Linotype" w:hAnsi="Palatino Linotype" w:cs="Palatino Linotype"/>
          <w:i/>
          <w:lang w:val="es-ES_tradnl" w:eastAsia="es-MX"/>
        </w:rPr>
        <w:t xml:space="preserve"> </w:t>
      </w:r>
      <w:r w:rsidRPr="00C703DC">
        <w:rPr>
          <w:rFonts w:ascii="Palatino Linotype" w:eastAsia="Palatino Linotype" w:hAnsi="Palatino Linotype" w:cs="Palatino Linotype"/>
          <w:i/>
          <w:u w:val="single"/>
          <w:lang w:val="es-ES_tradnl" w:eastAsia="es-MX"/>
        </w:rPr>
        <w:t>La clasificación de la información se llevará a cabo en el momento en que</w:t>
      </w:r>
      <w:r w:rsidRPr="00C703DC">
        <w:rPr>
          <w:rFonts w:ascii="Palatino Linotype" w:eastAsia="Palatino Linotype" w:hAnsi="Palatino Linotype" w:cs="Palatino Linotype"/>
          <w:i/>
          <w:lang w:val="es-ES_tradnl" w:eastAsia="es-MX"/>
        </w:rPr>
        <w:t>:</w:t>
      </w:r>
    </w:p>
    <w:p w14:paraId="55BE2E4B" w14:textId="77777777" w:rsidR="000D134C" w:rsidRPr="00C703DC" w:rsidRDefault="000D134C" w:rsidP="005C2A3E">
      <w:pPr>
        <w:spacing w:after="0"/>
        <w:ind w:left="567" w:right="567"/>
        <w:jc w:val="both"/>
        <w:rPr>
          <w:rFonts w:ascii="Palatino Linotype" w:eastAsia="Palatino Linotype" w:hAnsi="Palatino Linotype" w:cs="Palatino Linotype"/>
          <w:i/>
          <w:lang w:val="es-ES_tradnl" w:eastAsia="es-MX"/>
        </w:rPr>
      </w:pPr>
      <w:r w:rsidRPr="00C703DC">
        <w:rPr>
          <w:rFonts w:ascii="Palatino Linotype" w:eastAsia="Palatino Linotype" w:hAnsi="Palatino Linotype" w:cs="Palatino Linotype"/>
          <w:b/>
          <w:i/>
          <w:lang w:val="es-ES_tradnl" w:eastAsia="es-MX"/>
        </w:rPr>
        <w:t>I.</w:t>
      </w:r>
      <w:r w:rsidRPr="00C703DC">
        <w:rPr>
          <w:rFonts w:ascii="Palatino Linotype" w:eastAsia="Palatino Linotype" w:hAnsi="Palatino Linotype" w:cs="Palatino Linotype"/>
          <w:i/>
          <w:lang w:val="es-ES_tradnl" w:eastAsia="es-MX"/>
        </w:rPr>
        <w:t xml:space="preserve"> Se reciba una solicitud de acceso a la información;</w:t>
      </w:r>
    </w:p>
    <w:p w14:paraId="7C02E4D6" w14:textId="77777777" w:rsidR="000D134C" w:rsidRPr="00C703DC" w:rsidRDefault="000D134C" w:rsidP="005C2A3E">
      <w:pPr>
        <w:spacing w:after="0"/>
        <w:ind w:left="567" w:right="567"/>
        <w:jc w:val="both"/>
        <w:rPr>
          <w:rFonts w:ascii="Palatino Linotype" w:eastAsia="Palatino Linotype" w:hAnsi="Palatino Linotype" w:cs="Palatino Linotype"/>
          <w:i/>
          <w:lang w:val="es-ES_tradnl" w:eastAsia="es-MX"/>
        </w:rPr>
      </w:pPr>
      <w:r w:rsidRPr="00C703DC">
        <w:rPr>
          <w:rFonts w:ascii="Palatino Linotype" w:eastAsia="Palatino Linotype" w:hAnsi="Palatino Linotype" w:cs="Palatino Linotype"/>
          <w:b/>
          <w:i/>
          <w:lang w:val="es-ES_tradnl" w:eastAsia="es-MX"/>
        </w:rPr>
        <w:lastRenderedPageBreak/>
        <w:t>II.</w:t>
      </w:r>
      <w:r w:rsidRPr="00C703DC">
        <w:rPr>
          <w:rFonts w:ascii="Palatino Linotype" w:eastAsia="Palatino Linotype" w:hAnsi="Palatino Linotype" w:cs="Palatino Linotype"/>
          <w:i/>
          <w:lang w:val="es-ES_tradnl" w:eastAsia="es-MX"/>
        </w:rPr>
        <w:t xml:space="preserve"> </w:t>
      </w:r>
      <w:r w:rsidRPr="00C703DC">
        <w:rPr>
          <w:rFonts w:ascii="Palatino Linotype" w:eastAsia="Palatino Linotype" w:hAnsi="Palatino Linotype" w:cs="Palatino Linotype"/>
          <w:i/>
          <w:u w:val="single"/>
          <w:lang w:val="es-ES_tradnl" w:eastAsia="es-MX"/>
        </w:rPr>
        <w:t>Se determine mediante resolución de autoridad competente; o</w:t>
      </w:r>
    </w:p>
    <w:p w14:paraId="1611CDAC" w14:textId="77777777" w:rsidR="000D134C" w:rsidRPr="00C703DC" w:rsidRDefault="000D134C" w:rsidP="005C2A3E">
      <w:pPr>
        <w:spacing w:after="0"/>
        <w:ind w:left="567" w:right="567"/>
        <w:jc w:val="both"/>
        <w:rPr>
          <w:rFonts w:ascii="Palatino Linotype" w:eastAsia="Palatino Linotype" w:hAnsi="Palatino Linotype" w:cs="Palatino Linotype"/>
          <w:i/>
          <w:u w:val="single"/>
          <w:lang w:val="es-ES_tradnl" w:eastAsia="es-MX"/>
        </w:rPr>
      </w:pPr>
      <w:r w:rsidRPr="00C703DC">
        <w:rPr>
          <w:rFonts w:ascii="Palatino Linotype" w:eastAsia="Palatino Linotype" w:hAnsi="Palatino Linotype" w:cs="Palatino Linotype"/>
          <w:b/>
          <w:i/>
          <w:lang w:val="es-ES_tradnl" w:eastAsia="es-MX"/>
        </w:rPr>
        <w:t>III.</w:t>
      </w:r>
      <w:r w:rsidRPr="00C703DC">
        <w:rPr>
          <w:rFonts w:ascii="Palatino Linotype" w:eastAsia="Palatino Linotype" w:hAnsi="Palatino Linotype" w:cs="Palatino Linotype"/>
          <w:i/>
          <w:lang w:val="es-ES_tradnl" w:eastAsia="es-MX"/>
        </w:rPr>
        <w:t xml:space="preserve"> </w:t>
      </w:r>
      <w:r w:rsidRPr="00C703DC">
        <w:rPr>
          <w:rFonts w:ascii="Palatino Linotype" w:eastAsia="Palatino Linotype" w:hAnsi="Palatino Linotype" w:cs="Palatino Linotype"/>
          <w:i/>
          <w:u w:val="single"/>
          <w:lang w:val="es-ES_tradnl" w:eastAsia="es-MX"/>
        </w:rPr>
        <w:t>Se generen versiones públicas para dar cumplimiento a las obligaciones de transparencia previstas en esta Ley.</w:t>
      </w:r>
    </w:p>
    <w:p w14:paraId="440BF090" w14:textId="77777777" w:rsidR="000D134C" w:rsidRPr="00C703DC" w:rsidRDefault="000D134C" w:rsidP="005C2A3E">
      <w:pPr>
        <w:spacing w:after="0"/>
        <w:ind w:left="567" w:right="567"/>
        <w:jc w:val="both"/>
        <w:rPr>
          <w:rFonts w:ascii="Palatino Linotype" w:eastAsia="Palatino Linotype" w:hAnsi="Palatino Linotype" w:cs="Palatino Linotype"/>
          <w:i/>
          <w:lang w:val="es-ES_tradnl" w:eastAsia="es-MX"/>
        </w:rPr>
      </w:pPr>
      <w:r w:rsidRPr="00C703DC">
        <w:rPr>
          <w:rFonts w:ascii="Palatino Linotype" w:eastAsia="Palatino Linotype" w:hAnsi="Palatino Linotype" w:cs="Palatino Linotype"/>
          <w:i/>
          <w:lang w:val="es-ES_tradnl" w:eastAsia="es-MX"/>
        </w:rPr>
        <w:t>[…]</w:t>
      </w:r>
    </w:p>
    <w:p w14:paraId="19189D2E" w14:textId="77777777" w:rsidR="000D134C" w:rsidRPr="00C703DC" w:rsidRDefault="000D134C" w:rsidP="005C2A3E">
      <w:pPr>
        <w:spacing w:after="0" w:line="360" w:lineRule="auto"/>
        <w:jc w:val="both"/>
        <w:rPr>
          <w:rFonts w:ascii="Palatino Linotype" w:eastAsia="Palatino Linotype" w:hAnsi="Palatino Linotype" w:cs="Palatino Linotype"/>
          <w:i/>
          <w:lang w:val="es-ES_tradnl" w:eastAsia="es-MX"/>
        </w:rPr>
      </w:pPr>
    </w:p>
    <w:p w14:paraId="6052B185" w14:textId="77777777" w:rsidR="000D134C" w:rsidRPr="00C703DC" w:rsidRDefault="000D134C" w:rsidP="005C2A3E">
      <w:pPr>
        <w:spacing w:after="0" w:line="360" w:lineRule="auto"/>
        <w:jc w:val="both"/>
        <w:rPr>
          <w:rFonts w:ascii="Palatino Linotype" w:eastAsia="Palatino Linotype" w:hAnsi="Palatino Linotype" w:cs="Palatino Linotype"/>
          <w:sz w:val="24"/>
          <w:szCs w:val="24"/>
          <w:lang w:val="es-ES_tradnl" w:eastAsia="es-MX"/>
        </w:rPr>
      </w:pPr>
      <w:r w:rsidRPr="00C703DC">
        <w:rPr>
          <w:rFonts w:ascii="Palatino Linotype" w:eastAsia="Palatino Linotype" w:hAnsi="Palatino Linotype" w:cs="Palatino Linotype"/>
          <w:sz w:val="24"/>
          <w:szCs w:val="24"/>
          <w:lang w:val="es-ES_tradnl" w:eastAsia="es-MX"/>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F7123EA" w14:textId="77777777" w:rsidR="000D134C" w:rsidRPr="00C703DC" w:rsidRDefault="000D134C" w:rsidP="005C2A3E">
      <w:pPr>
        <w:spacing w:after="0" w:line="360" w:lineRule="auto"/>
        <w:jc w:val="both"/>
        <w:rPr>
          <w:rFonts w:ascii="Palatino Linotype" w:eastAsia="Palatino Linotype" w:hAnsi="Palatino Linotype" w:cs="Palatino Linotype"/>
          <w:sz w:val="24"/>
          <w:szCs w:val="24"/>
          <w:lang w:val="es-ES_tradnl" w:eastAsia="es-MX"/>
        </w:rPr>
      </w:pPr>
    </w:p>
    <w:p w14:paraId="127BB7BB" w14:textId="77777777" w:rsidR="000D134C" w:rsidRPr="00C703DC" w:rsidRDefault="000D134C" w:rsidP="005C2A3E">
      <w:pPr>
        <w:spacing w:after="0" w:line="360" w:lineRule="auto"/>
        <w:jc w:val="both"/>
        <w:rPr>
          <w:rFonts w:ascii="Palatino Linotype" w:eastAsia="Palatino Linotype" w:hAnsi="Palatino Linotype" w:cs="Palatino Linotype"/>
          <w:sz w:val="24"/>
          <w:szCs w:val="24"/>
          <w:lang w:val="es-ES_tradnl" w:eastAsia="es-MX"/>
        </w:rPr>
      </w:pPr>
      <w:r w:rsidRPr="00C703DC">
        <w:rPr>
          <w:rFonts w:ascii="Palatino Linotype" w:eastAsia="Palatino Linotype" w:hAnsi="Palatino Linotype" w:cs="Palatino Linotype"/>
          <w:sz w:val="24"/>
          <w:szCs w:val="24"/>
          <w:lang w:val="es-ES_tradnl" w:eastAsia="es-MX"/>
        </w:rPr>
        <w:t xml:space="preserve">Por otro lado, los </w:t>
      </w:r>
      <w:r w:rsidRPr="00C703DC">
        <w:rPr>
          <w:rFonts w:ascii="Palatino Linotype" w:eastAsia="Palatino Linotype" w:hAnsi="Palatino Linotype" w:cs="Palatino Linotype"/>
          <w:iCs/>
          <w:sz w:val="24"/>
          <w:szCs w:val="24"/>
          <w:lang w:val="es-ES_tradnl" w:eastAsia="es-MX"/>
        </w:rPr>
        <w:t>Lineamientos Generales en Materia de Clasificación y Desclasificación de la Información, así como para la elaboración de Versiones Públicas</w:t>
      </w:r>
      <w:r w:rsidRPr="00C703DC">
        <w:rPr>
          <w:rFonts w:ascii="Palatino Linotype" w:eastAsia="Palatino Linotype" w:hAnsi="Palatino Linotype" w:cs="Palatino Linotype"/>
          <w:sz w:val="24"/>
          <w:szCs w:val="24"/>
          <w:lang w:val="es-ES_tradnl" w:eastAsia="es-MX"/>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2F442DBE" w14:textId="77777777" w:rsidR="008763BA" w:rsidRPr="00C703DC" w:rsidRDefault="008763BA" w:rsidP="005C2A3E">
      <w:pPr>
        <w:spacing w:after="0" w:line="360" w:lineRule="auto"/>
        <w:jc w:val="both"/>
        <w:rPr>
          <w:rFonts w:ascii="Palatino Linotype" w:hAnsi="Palatino Linotype"/>
          <w:color w:val="000000"/>
          <w:sz w:val="24"/>
          <w:szCs w:val="24"/>
        </w:rPr>
      </w:pPr>
    </w:p>
    <w:p w14:paraId="659B9D53" w14:textId="77777777" w:rsidR="008763BA" w:rsidRPr="00C703DC" w:rsidRDefault="008763BA" w:rsidP="005C2A3E">
      <w:pPr>
        <w:spacing w:after="0" w:line="360" w:lineRule="auto"/>
        <w:jc w:val="both"/>
        <w:rPr>
          <w:rFonts w:ascii="Palatino Linotype" w:hAnsi="Palatino Linotype"/>
          <w:color w:val="000000"/>
          <w:sz w:val="24"/>
          <w:szCs w:val="24"/>
        </w:rPr>
      </w:pPr>
      <w:r w:rsidRPr="00C703DC">
        <w:rPr>
          <w:rFonts w:ascii="Palatino Linotype" w:hAnsi="Palatino Linotype"/>
          <w:color w:val="000000"/>
          <w:sz w:val="24"/>
          <w:szCs w:val="24"/>
        </w:rPr>
        <w:t>Cabe precisar que la información que se ordena puede tener datos personales confidenciales e incluso información que sea reservada, por tanto, para la elaboración de las versiones públicas, se deberá tomar en consideración la posibilidad de testar parcialmente la información, conforme al análisis a los siguientes:</w:t>
      </w:r>
    </w:p>
    <w:p w14:paraId="1DEF680C" w14:textId="77777777" w:rsidR="008763BA" w:rsidRPr="00C703DC" w:rsidRDefault="008763BA" w:rsidP="005C2A3E">
      <w:pPr>
        <w:numPr>
          <w:ilvl w:val="0"/>
          <w:numId w:val="14"/>
        </w:numPr>
        <w:spacing w:after="0" w:line="360" w:lineRule="auto"/>
        <w:ind w:left="714" w:hanging="357"/>
        <w:jc w:val="both"/>
        <w:rPr>
          <w:rFonts w:ascii="Palatino Linotype" w:hAnsi="Palatino Linotype"/>
          <w:b/>
          <w:bCs/>
          <w:color w:val="000000"/>
          <w:sz w:val="24"/>
          <w:szCs w:val="24"/>
        </w:rPr>
      </w:pPr>
      <w:bookmarkStart w:id="1" w:name="_heading=h.c7th8vnlnine" w:colFirst="0" w:colLast="0"/>
      <w:bookmarkEnd w:id="1"/>
      <w:r w:rsidRPr="00C703DC">
        <w:rPr>
          <w:rFonts w:ascii="Palatino Linotype" w:hAnsi="Palatino Linotype"/>
          <w:b/>
          <w:bCs/>
          <w:color w:val="000000"/>
          <w:sz w:val="24"/>
          <w:szCs w:val="24"/>
        </w:rPr>
        <w:t>Clave Única de Registro de Población (CURP);</w:t>
      </w:r>
    </w:p>
    <w:p w14:paraId="0477679C" w14:textId="77777777" w:rsidR="008763BA" w:rsidRPr="00C703DC" w:rsidRDefault="008763BA" w:rsidP="005C2A3E">
      <w:pPr>
        <w:numPr>
          <w:ilvl w:val="0"/>
          <w:numId w:val="14"/>
        </w:numPr>
        <w:spacing w:after="0" w:line="360" w:lineRule="auto"/>
        <w:ind w:left="714" w:hanging="357"/>
        <w:jc w:val="both"/>
        <w:rPr>
          <w:rFonts w:ascii="Palatino Linotype" w:hAnsi="Palatino Linotype"/>
          <w:b/>
          <w:bCs/>
          <w:color w:val="000000"/>
          <w:sz w:val="24"/>
          <w:szCs w:val="24"/>
        </w:rPr>
      </w:pPr>
      <w:r w:rsidRPr="00C703DC">
        <w:rPr>
          <w:rFonts w:ascii="Palatino Linotype" w:hAnsi="Palatino Linotype"/>
          <w:b/>
          <w:bCs/>
          <w:color w:val="000000"/>
          <w:sz w:val="24"/>
          <w:szCs w:val="24"/>
        </w:rPr>
        <w:lastRenderedPageBreak/>
        <w:t>Registro Federal de Contribuyentes del servidor público (RFC); y de proveedores</w:t>
      </w:r>
    </w:p>
    <w:p w14:paraId="73CE7794" w14:textId="77777777" w:rsidR="008763BA" w:rsidRPr="00C703DC" w:rsidRDefault="008763BA" w:rsidP="005C2A3E">
      <w:pPr>
        <w:numPr>
          <w:ilvl w:val="0"/>
          <w:numId w:val="14"/>
        </w:numPr>
        <w:pBdr>
          <w:top w:val="nil"/>
          <w:left w:val="nil"/>
          <w:bottom w:val="nil"/>
          <w:right w:val="nil"/>
          <w:between w:val="nil"/>
        </w:pBdr>
        <w:spacing w:after="0" w:line="360" w:lineRule="auto"/>
        <w:ind w:left="714" w:hanging="357"/>
        <w:jc w:val="both"/>
        <w:rPr>
          <w:rFonts w:ascii="Palatino Linotype" w:hAnsi="Palatino Linotype"/>
          <w:b/>
          <w:bCs/>
          <w:color w:val="000000"/>
          <w:sz w:val="24"/>
          <w:szCs w:val="24"/>
        </w:rPr>
      </w:pPr>
      <w:r w:rsidRPr="00C703DC">
        <w:rPr>
          <w:rFonts w:ascii="Palatino Linotype" w:hAnsi="Palatino Linotype"/>
          <w:b/>
          <w:bCs/>
          <w:color w:val="000000"/>
          <w:sz w:val="24"/>
          <w:szCs w:val="24"/>
        </w:rPr>
        <w:t>Sellos digitales del emisor y del Servicio de Administración Tributaria, y</w:t>
      </w:r>
    </w:p>
    <w:p w14:paraId="52CE538A" w14:textId="77777777" w:rsidR="008763BA" w:rsidRPr="00C703DC" w:rsidRDefault="008763BA" w:rsidP="005C2A3E">
      <w:pPr>
        <w:numPr>
          <w:ilvl w:val="0"/>
          <w:numId w:val="14"/>
        </w:numPr>
        <w:spacing w:after="0" w:line="360" w:lineRule="auto"/>
        <w:ind w:left="714" w:hanging="357"/>
        <w:jc w:val="both"/>
        <w:rPr>
          <w:rFonts w:ascii="Palatino Linotype" w:hAnsi="Palatino Linotype"/>
          <w:color w:val="000000"/>
          <w:sz w:val="24"/>
          <w:szCs w:val="24"/>
        </w:rPr>
      </w:pPr>
      <w:r w:rsidRPr="00C703DC">
        <w:rPr>
          <w:rFonts w:ascii="Palatino Linotype" w:hAnsi="Palatino Linotype"/>
          <w:b/>
          <w:bCs/>
          <w:color w:val="000000"/>
          <w:sz w:val="24"/>
          <w:szCs w:val="24"/>
        </w:rPr>
        <w:t>Datos Bancarios de Particulares.</w:t>
      </w:r>
    </w:p>
    <w:p w14:paraId="5067A8D4" w14:textId="77777777" w:rsidR="008763BA" w:rsidRPr="00C703DC" w:rsidRDefault="008763BA" w:rsidP="005C2A3E">
      <w:pPr>
        <w:numPr>
          <w:ilvl w:val="0"/>
          <w:numId w:val="14"/>
        </w:numPr>
        <w:pBdr>
          <w:top w:val="nil"/>
          <w:left w:val="nil"/>
          <w:bottom w:val="nil"/>
          <w:right w:val="nil"/>
          <w:between w:val="nil"/>
        </w:pBdr>
        <w:spacing w:after="0" w:line="360" w:lineRule="auto"/>
        <w:ind w:left="714" w:hanging="357"/>
        <w:jc w:val="both"/>
        <w:rPr>
          <w:rFonts w:ascii="Palatino Linotype" w:hAnsi="Palatino Linotype"/>
          <w:b/>
          <w:bCs/>
          <w:color w:val="000000"/>
          <w:sz w:val="24"/>
          <w:szCs w:val="24"/>
        </w:rPr>
      </w:pPr>
      <w:r w:rsidRPr="00C703DC">
        <w:rPr>
          <w:rFonts w:ascii="Palatino Linotype" w:hAnsi="Palatino Linotype"/>
          <w:b/>
          <w:bCs/>
          <w:color w:val="000000"/>
          <w:sz w:val="24"/>
          <w:szCs w:val="24"/>
        </w:rPr>
        <w:t>Nombres de personas que no son servidores públicos ni proveedores.</w:t>
      </w:r>
    </w:p>
    <w:p w14:paraId="33C4A2BC" w14:textId="77777777" w:rsidR="008763BA" w:rsidRPr="00C703DC" w:rsidRDefault="008763BA" w:rsidP="005C2A3E">
      <w:pPr>
        <w:spacing w:after="0" w:line="360" w:lineRule="auto"/>
        <w:ind w:right="-28"/>
        <w:jc w:val="both"/>
        <w:rPr>
          <w:rFonts w:ascii="Palatino Linotype" w:hAnsi="Palatino Linotype"/>
          <w:color w:val="000000"/>
          <w:sz w:val="24"/>
          <w:szCs w:val="24"/>
        </w:rPr>
      </w:pPr>
    </w:p>
    <w:p w14:paraId="19A3D859" w14:textId="77777777" w:rsidR="008763BA" w:rsidRPr="00C703DC" w:rsidRDefault="008763BA" w:rsidP="005C2A3E">
      <w:pPr>
        <w:spacing w:after="0" w:line="360" w:lineRule="auto"/>
        <w:ind w:right="-28"/>
        <w:jc w:val="both"/>
        <w:rPr>
          <w:rFonts w:ascii="Palatino Linotype" w:hAnsi="Palatino Linotype"/>
          <w:color w:val="000000"/>
          <w:sz w:val="24"/>
          <w:szCs w:val="24"/>
        </w:rPr>
      </w:pPr>
      <w:r w:rsidRPr="00C703DC">
        <w:rPr>
          <w:rFonts w:ascii="Palatino Linotype" w:hAnsi="Palatino Linotype"/>
          <w:color w:val="000000"/>
          <w:sz w:val="24"/>
          <w:szCs w:val="24"/>
        </w:rPr>
        <w:t>De lo anterior, resulta procedente analizar si dichos datos son públicos o privados; en principio, cabe mencionar que el artículo 143, fracción I, de la Ley previamente citada, establece que la información privada y los datos personales, concernientes a una persona física o jurídica colectiva identificada o identificable son confidenciales.</w:t>
      </w:r>
    </w:p>
    <w:p w14:paraId="3DAF7DD6" w14:textId="77777777" w:rsidR="008763BA" w:rsidRPr="00C703DC" w:rsidRDefault="008763BA" w:rsidP="005C2A3E">
      <w:pPr>
        <w:spacing w:after="0" w:line="360" w:lineRule="auto"/>
        <w:jc w:val="both"/>
        <w:rPr>
          <w:rFonts w:ascii="Palatino Linotype" w:hAnsi="Palatino Linotype"/>
          <w:color w:val="000000"/>
          <w:sz w:val="24"/>
          <w:szCs w:val="24"/>
        </w:rPr>
      </w:pPr>
      <w:r w:rsidRPr="00C703DC">
        <w:rPr>
          <w:rFonts w:ascii="Palatino Linotype" w:hAnsi="Palatino Linotype"/>
          <w:color w:val="000000"/>
          <w:sz w:val="24"/>
          <w:szCs w:val="24"/>
        </w:rPr>
        <w:t>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67545F32" w14:textId="77777777" w:rsidR="008763BA" w:rsidRPr="00C703DC" w:rsidRDefault="008763BA" w:rsidP="005C2A3E">
      <w:pPr>
        <w:spacing w:after="0" w:line="360" w:lineRule="auto"/>
        <w:jc w:val="both"/>
        <w:rPr>
          <w:rFonts w:ascii="Palatino Linotype" w:hAnsi="Palatino Linotype"/>
          <w:color w:val="000000"/>
          <w:sz w:val="24"/>
          <w:szCs w:val="24"/>
        </w:rPr>
      </w:pPr>
    </w:p>
    <w:p w14:paraId="2AD4E1E6" w14:textId="77777777" w:rsidR="008763BA" w:rsidRPr="00C703DC" w:rsidRDefault="008763BA" w:rsidP="005C2A3E">
      <w:pPr>
        <w:spacing w:after="0" w:line="360" w:lineRule="auto"/>
        <w:jc w:val="both"/>
        <w:rPr>
          <w:rFonts w:ascii="Palatino Linotype" w:hAnsi="Palatino Linotype"/>
          <w:color w:val="000000"/>
          <w:sz w:val="24"/>
          <w:szCs w:val="24"/>
        </w:rPr>
      </w:pPr>
      <w:r w:rsidRPr="00C703DC">
        <w:rPr>
          <w:rFonts w:ascii="Palatino Linotype" w:hAnsi="Palatino Linotype"/>
          <w:color w:val="000000"/>
          <w:sz w:val="24"/>
          <w:szCs w:val="24"/>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w:t>
      </w:r>
      <w:r w:rsidRPr="00C703DC">
        <w:rPr>
          <w:rFonts w:ascii="Palatino Linotype" w:hAnsi="Palatino Linotype"/>
          <w:color w:val="000000"/>
          <w:sz w:val="24"/>
          <w:szCs w:val="24"/>
        </w:rPr>
        <w:lastRenderedPageBreak/>
        <w:t xml:space="preserve">identificada o identificable (cuando su identidad pueda determinarse directa o indirectamente a través de cualquier documento informativo físico o electrónico), establecida en cualquier formato o modalidad. </w:t>
      </w:r>
    </w:p>
    <w:p w14:paraId="28B14B9A" w14:textId="77777777" w:rsidR="008763BA" w:rsidRPr="00C703DC" w:rsidRDefault="008763BA" w:rsidP="005C2A3E">
      <w:pPr>
        <w:spacing w:after="0" w:line="360" w:lineRule="auto"/>
        <w:jc w:val="both"/>
        <w:rPr>
          <w:rFonts w:ascii="Palatino Linotype" w:hAnsi="Palatino Linotype"/>
          <w:color w:val="000000"/>
          <w:sz w:val="24"/>
          <w:szCs w:val="24"/>
        </w:rPr>
      </w:pPr>
    </w:p>
    <w:p w14:paraId="34AE1D46" w14:textId="77777777" w:rsidR="008763BA" w:rsidRPr="00C703DC" w:rsidRDefault="008763BA" w:rsidP="005C2A3E">
      <w:pPr>
        <w:spacing w:after="0" w:line="360" w:lineRule="auto"/>
        <w:jc w:val="both"/>
        <w:rPr>
          <w:rFonts w:ascii="Palatino Linotype" w:hAnsi="Palatino Linotype"/>
          <w:color w:val="000000"/>
          <w:sz w:val="24"/>
          <w:szCs w:val="24"/>
        </w:rPr>
      </w:pPr>
      <w:r w:rsidRPr="00C703DC">
        <w:rPr>
          <w:rFonts w:ascii="Palatino Linotype" w:hAnsi="Palatino Linotype"/>
          <w:color w:val="000000"/>
          <w:sz w:val="24"/>
          <w:szCs w:val="24"/>
        </w:rPr>
        <w:t>En este sentido, un dato personal es cualquier información que pueda hacer a una persona física o jurídica colectiva identificada e identificable; por lo que, bajo dicha circunstancia, se analizarán si los datos mencionados, deben ser considerados confidenciales, en términos del artículo 143, fracción I, de la Ley de Transparencia y Acceso a la Información Pública del Estado de México y Municipios, o públicos.</w:t>
      </w:r>
    </w:p>
    <w:p w14:paraId="16A5E777" w14:textId="77777777" w:rsidR="008763BA" w:rsidRPr="00C703DC" w:rsidRDefault="008763BA" w:rsidP="005C2A3E">
      <w:pPr>
        <w:spacing w:after="0" w:line="360" w:lineRule="auto"/>
        <w:jc w:val="both"/>
        <w:rPr>
          <w:rFonts w:ascii="Palatino Linotype" w:hAnsi="Palatino Linotype"/>
          <w:color w:val="000000"/>
          <w:sz w:val="24"/>
          <w:szCs w:val="24"/>
        </w:rPr>
      </w:pPr>
    </w:p>
    <w:p w14:paraId="75AD7C52" w14:textId="77777777" w:rsidR="008763BA" w:rsidRPr="00C703DC" w:rsidRDefault="008763BA" w:rsidP="005C2A3E">
      <w:pPr>
        <w:numPr>
          <w:ilvl w:val="0"/>
          <w:numId w:val="9"/>
        </w:numPr>
        <w:pBdr>
          <w:top w:val="nil"/>
          <w:left w:val="nil"/>
          <w:bottom w:val="nil"/>
          <w:right w:val="nil"/>
          <w:between w:val="nil"/>
        </w:pBdr>
        <w:spacing w:after="0" w:line="360" w:lineRule="auto"/>
        <w:jc w:val="both"/>
        <w:rPr>
          <w:rFonts w:ascii="Palatino Linotype" w:hAnsi="Palatino Linotype"/>
          <w:b/>
          <w:bCs/>
          <w:color w:val="000000"/>
          <w:sz w:val="24"/>
          <w:szCs w:val="24"/>
        </w:rPr>
      </w:pPr>
      <w:r w:rsidRPr="00C703DC">
        <w:rPr>
          <w:rFonts w:ascii="Palatino Linotype" w:hAnsi="Palatino Linotype"/>
          <w:b/>
          <w:bCs/>
          <w:color w:val="000000"/>
          <w:sz w:val="24"/>
          <w:szCs w:val="24"/>
        </w:rPr>
        <w:t>Clave Única de Registro de Población (CURP)</w:t>
      </w:r>
    </w:p>
    <w:p w14:paraId="1B87498E" w14:textId="77777777" w:rsidR="008763BA" w:rsidRPr="00C703DC" w:rsidRDefault="008763BA" w:rsidP="005C2A3E">
      <w:pPr>
        <w:spacing w:after="0" w:line="360" w:lineRule="auto"/>
        <w:jc w:val="both"/>
        <w:rPr>
          <w:rFonts w:ascii="Palatino Linotype" w:hAnsi="Palatino Linotype"/>
          <w:color w:val="000000"/>
          <w:sz w:val="24"/>
          <w:szCs w:val="24"/>
        </w:rPr>
      </w:pPr>
    </w:p>
    <w:p w14:paraId="301D987D" w14:textId="77777777" w:rsidR="008763BA" w:rsidRPr="00C703DC" w:rsidRDefault="008763BA" w:rsidP="005C2A3E">
      <w:pPr>
        <w:spacing w:after="0" w:line="360" w:lineRule="auto"/>
        <w:jc w:val="both"/>
        <w:rPr>
          <w:rFonts w:ascii="Palatino Linotype" w:hAnsi="Palatino Linotype"/>
          <w:color w:val="000000"/>
          <w:sz w:val="24"/>
          <w:szCs w:val="24"/>
        </w:rPr>
      </w:pPr>
      <w:r w:rsidRPr="00C703DC">
        <w:rPr>
          <w:rFonts w:ascii="Palatino Linotype" w:hAnsi="Palatino Linotype"/>
          <w:color w:val="000000"/>
          <w:sz w:val="24"/>
          <w:szCs w:val="24"/>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7A6FCD52" w14:textId="77777777" w:rsidR="008763BA" w:rsidRPr="00C703DC" w:rsidRDefault="008763BA" w:rsidP="005C2A3E">
      <w:pPr>
        <w:spacing w:after="0" w:line="360" w:lineRule="auto"/>
        <w:jc w:val="both"/>
        <w:rPr>
          <w:rFonts w:ascii="Palatino Linotype" w:hAnsi="Palatino Linotype"/>
          <w:color w:val="000000"/>
          <w:sz w:val="24"/>
          <w:szCs w:val="24"/>
        </w:rPr>
      </w:pPr>
    </w:p>
    <w:p w14:paraId="2E24C1CB" w14:textId="77777777" w:rsidR="008763BA" w:rsidRPr="00C703DC" w:rsidRDefault="008763BA" w:rsidP="005C2A3E">
      <w:pPr>
        <w:spacing w:after="0" w:line="360" w:lineRule="auto"/>
        <w:jc w:val="both"/>
        <w:rPr>
          <w:rFonts w:ascii="Palatino Linotype" w:hAnsi="Palatino Linotype"/>
          <w:color w:val="000000"/>
          <w:sz w:val="24"/>
          <w:szCs w:val="24"/>
        </w:rPr>
      </w:pPr>
      <w:r w:rsidRPr="00C703DC">
        <w:rPr>
          <w:rFonts w:ascii="Palatino Linotype" w:hAnsi="Palatino Linotype"/>
          <w:color w:val="000000"/>
          <w:sz w:val="24"/>
          <w:szCs w:val="24"/>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532B5E17" w14:textId="77777777" w:rsidR="008763BA" w:rsidRPr="00C703DC" w:rsidRDefault="008763BA" w:rsidP="005C2A3E">
      <w:pPr>
        <w:spacing w:after="0" w:line="360" w:lineRule="auto"/>
        <w:jc w:val="both"/>
        <w:rPr>
          <w:rFonts w:ascii="Palatino Linotype" w:hAnsi="Palatino Linotype"/>
          <w:color w:val="000000"/>
          <w:sz w:val="24"/>
          <w:szCs w:val="24"/>
        </w:rPr>
      </w:pPr>
    </w:p>
    <w:p w14:paraId="41C56DEC" w14:textId="77777777" w:rsidR="008763BA" w:rsidRPr="00C703DC" w:rsidRDefault="008763BA" w:rsidP="005C2A3E">
      <w:pPr>
        <w:spacing w:after="0" w:line="360" w:lineRule="auto"/>
        <w:jc w:val="both"/>
        <w:rPr>
          <w:rFonts w:ascii="Palatino Linotype" w:hAnsi="Palatino Linotype"/>
          <w:color w:val="000000"/>
          <w:sz w:val="24"/>
          <w:szCs w:val="24"/>
        </w:rPr>
      </w:pPr>
      <w:r w:rsidRPr="00C703DC">
        <w:rPr>
          <w:rFonts w:ascii="Palatino Linotype" w:hAnsi="Palatino Linotype"/>
          <w:color w:val="000000"/>
          <w:sz w:val="24"/>
          <w:szCs w:val="24"/>
        </w:rPr>
        <w:lastRenderedPageBreak/>
        <w:t xml:space="preserve">En ese orden de ideas, la Secretaría de Gobernación en las direcciones </w:t>
      </w:r>
      <w:hyperlink r:id="rId12">
        <w:r w:rsidRPr="00C703DC">
          <w:rPr>
            <w:rFonts w:ascii="Palatino Linotype" w:hAnsi="Palatino Linotype"/>
            <w:color w:val="0563C1"/>
            <w:sz w:val="24"/>
            <w:szCs w:val="24"/>
            <w:u w:val="single"/>
          </w:rPr>
          <w:t>https://consultas.curp.gob.mx/CurpSP/html/informacionecurpPS.html</w:t>
        </w:r>
      </w:hyperlink>
      <w:r w:rsidRPr="00C703DC">
        <w:rPr>
          <w:rFonts w:ascii="Palatino Linotype" w:hAnsi="Palatino Linotype"/>
          <w:color w:val="000000"/>
          <w:sz w:val="24"/>
          <w:szCs w:val="24"/>
        </w:rPr>
        <w:t xml:space="preserve"> y </w:t>
      </w:r>
      <w:hyperlink r:id="rId13">
        <w:r w:rsidRPr="00C703DC">
          <w:rPr>
            <w:rFonts w:ascii="Palatino Linotype" w:hAnsi="Palatino Linotype"/>
            <w:color w:val="0563C1"/>
            <w:sz w:val="24"/>
            <w:szCs w:val="24"/>
            <w:u w:val="single"/>
          </w:rPr>
          <w:t>https://www.gob.mx/segob/renapo/acciones-y-programas/clave-unica-de-registro-de-poblacion-curp-142226</w:t>
        </w:r>
      </w:hyperlink>
      <w:r w:rsidRPr="00C703DC">
        <w:rPr>
          <w:rFonts w:ascii="Palatino Linotype" w:hAnsi="Palatino Linotype"/>
          <w:color w:val="000000"/>
          <w:sz w:val="24"/>
          <w:szCs w:val="24"/>
        </w:rPr>
        <w:t xml:space="preserve"> (consultadas el seis de junio de dos mil veintidós),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C703DC">
        <w:rPr>
          <w:rFonts w:ascii="Palatino Linotype" w:hAnsi="Palatino Linotype"/>
          <w:b/>
          <w:bCs/>
          <w:color w:val="000000"/>
          <w:sz w:val="24"/>
          <w:szCs w:val="24"/>
        </w:rPr>
        <w:t>se generan a partir de los datos contenidos en el documento probatorio de la identidad</w:t>
      </w:r>
      <w:r w:rsidRPr="00C703DC">
        <w:rPr>
          <w:rFonts w:ascii="Palatino Linotype" w:hAnsi="Palatino Linotype"/>
          <w:color w:val="000000"/>
          <w:sz w:val="24"/>
          <w:szCs w:val="24"/>
        </w:rPr>
        <w:t xml:space="preserve"> </w:t>
      </w:r>
      <w:r w:rsidRPr="00C703DC">
        <w:rPr>
          <w:rFonts w:ascii="Palatino Linotype" w:hAnsi="Palatino Linotype"/>
          <w:b/>
          <w:bCs/>
          <w:color w:val="000000"/>
          <w:sz w:val="24"/>
          <w:szCs w:val="24"/>
        </w:rPr>
        <w:t xml:space="preserve">del interesado </w:t>
      </w:r>
      <w:r w:rsidRPr="00C703DC">
        <w:rPr>
          <w:rFonts w:ascii="Palatino Linotype" w:hAnsi="Palatino Linotype"/>
          <w:color w:val="000000"/>
          <w:sz w:val="24"/>
          <w:szCs w:val="24"/>
        </w:rPr>
        <w:t>(acta de nacimiento, carta de naturalización o documento migratorio) de la siguiente forma:</w:t>
      </w:r>
    </w:p>
    <w:p w14:paraId="6C3478C9" w14:textId="77777777" w:rsidR="001319D6" w:rsidRPr="00C703DC" w:rsidRDefault="001319D6" w:rsidP="005C2A3E">
      <w:pPr>
        <w:spacing w:after="0" w:line="360" w:lineRule="auto"/>
        <w:jc w:val="both"/>
        <w:rPr>
          <w:rFonts w:ascii="Palatino Linotype" w:hAnsi="Palatino Linotype"/>
          <w:color w:val="000000"/>
          <w:sz w:val="24"/>
          <w:szCs w:val="24"/>
        </w:rPr>
      </w:pPr>
    </w:p>
    <w:p w14:paraId="4E16E135" w14:textId="77777777" w:rsidR="008763BA" w:rsidRPr="00C703DC" w:rsidRDefault="008763BA" w:rsidP="005C2A3E">
      <w:pPr>
        <w:numPr>
          <w:ilvl w:val="0"/>
          <w:numId w:val="8"/>
        </w:numPr>
        <w:spacing w:after="0" w:line="360" w:lineRule="auto"/>
        <w:jc w:val="both"/>
        <w:rPr>
          <w:rFonts w:ascii="Palatino Linotype" w:hAnsi="Palatino Linotype"/>
          <w:color w:val="000000"/>
          <w:sz w:val="24"/>
          <w:szCs w:val="24"/>
        </w:rPr>
      </w:pPr>
      <w:r w:rsidRPr="00C703DC">
        <w:rPr>
          <w:rFonts w:ascii="Palatino Linotype" w:hAnsi="Palatino Linotype"/>
          <w:color w:val="000000"/>
          <w:sz w:val="24"/>
          <w:szCs w:val="24"/>
        </w:rPr>
        <w:t>El primero y segundo apellidos, así como al nombre de pila;</w:t>
      </w:r>
    </w:p>
    <w:p w14:paraId="5ECA8C5D" w14:textId="77777777" w:rsidR="008763BA" w:rsidRPr="00C703DC" w:rsidRDefault="008763BA" w:rsidP="005C2A3E">
      <w:pPr>
        <w:numPr>
          <w:ilvl w:val="0"/>
          <w:numId w:val="8"/>
        </w:numPr>
        <w:spacing w:after="0" w:line="360" w:lineRule="auto"/>
        <w:jc w:val="both"/>
        <w:rPr>
          <w:rFonts w:ascii="Palatino Linotype" w:hAnsi="Palatino Linotype"/>
          <w:color w:val="000000"/>
          <w:sz w:val="24"/>
          <w:szCs w:val="24"/>
        </w:rPr>
      </w:pPr>
      <w:r w:rsidRPr="00C703DC">
        <w:rPr>
          <w:rFonts w:ascii="Palatino Linotype" w:hAnsi="Palatino Linotype"/>
          <w:color w:val="000000"/>
          <w:sz w:val="24"/>
          <w:szCs w:val="24"/>
        </w:rPr>
        <w:t>La fecha de nacimiento;</w:t>
      </w:r>
    </w:p>
    <w:p w14:paraId="1B77AB06" w14:textId="77777777" w:rsidR="008763BA" w:rsidRPr="00C703DC" w:rsidRDefault="008763BA" w:rsidP="005C2A3E">
      <w:pPr>
        <w:numPr>
          <w:ilvl w:val="0"/>
          <w:numId w:val="8"/>
        </w:numPr>
        <w:spacing w:after="0" w:line="360" w:lineRule="auto"/>
        <w:jc w:val="both"/>
        <w:rPr>
          <w:rFonts w:ascii="Palatino Linotype" w:hAnsi="Palatino Linotype"/>
          <w:color w:val="000000"/>
          <w:sz w:val="24"/>
          <w:szCs w:val="24"/>
        </w:rPr>
      </w:pPr>
      <w:r w:rsidRPr="00C703DC">
        <w:rPr>
          <w:rFonts w:ascii="Palatino Linotype" w:hAnsi="Palatino Linotype"/>
          <w:color w:val="000000"/>
          <w:sz w:val="24"/>
          <w:szCs w:val="24"/>
        </w:rPr>
        <w:t>El sexo, y</w:t>
      </w:r>
    </w:p>
    <w:p w14:paraId="58E8B37C" w14:textId="77777777" w:rsidR="008763BA" w:rsidRPr="00C703DC" w:rsidRDefault="008763BA" w:rsidP="005C2A3E">
      <w:pPr>
        <w:numPr>
          <w:ilvl w:val="0"/>
          <w:numId w:val="8"/>
        </w:numPr>
        <w:spacing w:after="0" w:line="360" w:lineRule="auto"/>
        <w:jc w:val="both"/>
        <w:rPr>
          <w:rFonts w:ascii="Palatino Linotype" w:hAnsi="Palatino Linotype"/>
          <w:color w:val="000000"/>
          <w:sz w:val="24"/>
          <w:szCs w:val="24"/>
        </w:rPr>
      </w:pPr>
      <w:r w:rsidRPr="00C703DC">
        <w:rPr>
          <w:rFonts w:ascii="Palatino Linotype" w:hAnsi="Palatino Linotype"/>
          <w:color w:val="000000"/>
          <w:sz w:val="24"/>
          <w:szCs w:val="24"/>
        </w:rPr>
        <w:t>La entidad federativa de nacimiento.</w:t>
      </w:r>
    </w:p>
    <w:p w14:paraId="723A7FA0" w14:textId="77777777" w:rsidR="008763BA" w:rsidRPr="00C703DC" w:rsidRDefault="008763BA" w:rsidP="005C2A3E">
      <w:pPr>
        <w:spacing w:after="0" w:line="360" w:lineRule="auto"/>
        <w:jc w:val="both"/>
        <w:rPr>
          <w:rFonts w:ascii="Palatino Linotype" w:hAnsi="Palatino Linotype"/>
          <w:color w:val="000000"/>
          <w:sz w:val="24"/>
          <w:szCs w:val="24"/>
        </w:rPr>
      </w:pPr>
    </w:p>
    <w:p w14:paraId="11E278E5" w14:textId="340AA6BD" w:rsidR="008763BA" w:rsidRPr="00C703DC" w:rsidRDefault="008763BA" w:rsidP="005C2A3E">
      <w:pPr>
        <w:spacing w:after="0" w:line="360" w:lineRule="auto"/>
        <w:jc w:val="both"/>
        <w:rPr>
          <w:rFonts w:ascii="Palatino Linotype" w:hAnsi="Palatino Linotype"/>
          <w:color w:val="000000"/>
          <w:sz w:val="24"/>
          <w:szCs w:val="24"/>
        </w:rPr>
      </w:pPr>
      <w:r w:rsidRPr="00C703DC">
        <w:rPr>
          <w:rFonts w:ascii="Palatino Linotype" w:hAnsi="Palatino Linotype"/>
          <w:color w:val="000000"/>
          <w:sz w:val="24"/>
          <w:szCs w:val="24"/>
        </w:rPr>
        <w:t>Los dos últimos elementos de la Clave Única de Registro de Población evitan la duplicidad de la Clave y garantizan su correcta integración.</w:t>
      </w:r>
      <w:r w:rsidR="008E046C" w:rsidRPr="00C703DC">
        <w:rPr>
          <w:rFonts w:ascii="Palatino Linotype" w:hAnsi="Palatino Linotype"/>
          <w:color w:val="000000"/>
          <w:sz w:val="24"/>
          <w:szCs w:val="24"/>
        </w:rPr>
        <w:t xml:space="preserve"> </w:t>
      </w:r>
      <w:r w:rsidRPr="00C703DC">
        <w:rPr>
          <w:rFonts w:ascii="Palatino Linotype" w:hAnsi="Palatino Linotype"/>
          <w:color w:val="000000"/>
          <w:sz w:val="24"/>
          <w:szCs w:val="24"/>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38449B65" w14:textId="77777777" w:rsidR="008763BA" w:rsidRPr="00C703DC" w:rsidRDefault="008763BA" w:rsidP="005C2A3E">
      <w:pPr>
        <w:spacing w:after="0" w:line="360" w:lineRule="auto"/>
        <w:jc w:val="both"/>
        <w:rPr>
          <w:rFonts w:ascii="Palatino Linotype" w:hAnsi="Palatino Linotype"/>
          <w:color w:val="000000"/>
          <w:sz w:val="24"/>
          <w:szCs w:val="24"/>
        </w:rPr>
      </w:pPr>
      <w:r w:rsidRPr="00C703DC">
        <w:rPr>
          <w:rFonts w:ascii="Palatino Linotype" w:hAnsi="Palatino Linotype"/>
          <w:color w:val="000000"/>
          <w:sz w:val="24"/>
          <w:szCs w:val="24"/>
        </w:rPr>
        <w:lastRenderedPageBreak/>
        <w:t>Situación que se robustece, con el Criterio Orientador, de la Segunda Época, con número de registro SO/018/2017, emitido por el Instituto Nacional de Transparencia, Acceso a la Información y Protección de Datos Personales, vigente a la fecha de la solicitud, que establece lo siguiente:</w:t>
      </w:r>
    </w:p>
    <w:p w14:paraId="17AB73E9" w14:textId="77777777" w:rsidR="001319D6" w:rsidRPr="00C703DC" w:rsidRDefault="001319D6" w:rsidP="005C2A3E">
      <w:pPr>
        <w:spacing w:after="0" w:line="360" w:lineRule="auto"/>
        <w:jc w:val="both"/>
        <w:rPr>
          <w:rFonts w:ascii="Palatino Linotype" w:hAnsi="Palatino Linotype"/>
          <w:color w:val="000000"/>
          <w:sz w:val="24"/>
          <w:szCs w:val="24"/>
        </w:rPr>
      </w:pPr>
    </w:p>
    <w:p w14:paraId="3B0A3FFE" w14:textId="77777777" w:rsidR="008763BA" w:rsidRPr="00C703DC" w:rsidRDefault="008763BA" w:rsidP="005C2A3E">
      <w:pPr>
        <w:spacing w:after="0" w:line="360" w:lineRule="auto"/>
        <w:ind w:left="567" w:right="567"/>
        <w:jc w:val="both"/>
        <w:rPr>
          <w:rFonts w:ascii="Palatino Linotype" w:hAnsi="Palatino Linotype"/>
          <w:i/>
          <w:iCs/>
          <w:color w:val="000000"/>
        </w:rPr>
      </w:pPr>
      <w:r w:rsidRPr="00C703DC">
        <w:rPr>
          <w:rFonts w:ascii="Palatino Linotype" w:hAnsi="Palatino Linotype"/>
          <w:b/>
          <w:bCs/>
          <w:i/>
          <w:iCs/>
          <w:color w:val="000000"/>
        </w:rPr>
        <w:t xml:space="preserve">“Clave Única de Registro de Población (CURP). </w:t>
      </w:r>
      <w:r w:rsidRPr="00C703DC">
        <w:rPr>
          <w:rFonts w:ascii="Palatino Linotype" w:hAnsi="Palatino Linotype"/>
          <w:i/>
          <w:iCs/>
          <w:color w:val="000000"/>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1345C5FF" w14:textId="77777777" w:rsidR="008763BA" w:rsidRPr="00C703DC" w:rsidRDefault="008763BA" w:rsidP="005C2A3E">
      <w:pPr>
        <w:spacing w:after="0" w:line="360" w:lineRule="auto"/>
        <w:jc w:val="both"/>
        <w:rPr>
          <w:rFonts w:ascii="Palatino Linotype" w:hAnsi="Palatino Linotype"/>
          <w:color w:val="000000"/>
        </w:rPr>
      </w:pPr>
    </w:p>
    <w:p w14:paraId="76C98F7D" w14:textId="77777777" w:rsidR="008763BA" w:rsidRPr="00C703DC" w:rsidRDefault="008763BA" w:rsidP="005C2A3E">
      <w:pPr>
        <w:spacing w:after="0" w:line="360" w:lineRule="auto"/>
        <w:jc w:val="both"/>
        <w:rPr>
          <w:rFonts w:ascii="Palatino Linotype" w:hAnsi="Palatino Linotype"/>
          <w:color w:val="000000"/>
          <w:sz w:val="24"/>
          <w:szCs w:val="24"/>
        </w:rPr>
      </w:pPr>
      <w:r w:rsidRPr="00C703DC">
        <w:rPr>
          <w:rFonts w:ascii="Palatino Linotype" w:hAnsi="Palatino Linotype"/>
          <w:color w:val="000000"/>
          <w:sz w:val="24"/>
          <w:szCs w:val="24"/>
        </w:rPr>
        <w:t xml:space="preserve">De acuerdo con lo anterior, resulta procedente la clasificación de la Clave Única de Registro de Población, por tratarse de un dato personal confidencial, en términos del artículo 143, fracción I, de la Ley de Transparencia y Acceso a la Información Pública del Estado de México y Municipios. </w:t>
      </w:r>
    </w:p>
    <w:p w14:paraId="2D92B608" w14:textId="77777777" w:rsidR="008763BA" w:rsidRPr="00C703DC" w:rsidRDefault="008763BA" w:rsidP="005C2A3E">
      <w:pPr>
        <w:spacing w:after="0" w:line="360" w:lineRule="auto"/>
        <w:jc w:val="both"/>
        <w:rPr>
          <w:rFonts w:ascii="Palatino Linotype" w:hAnsi="Palatino Linotype"/>
          <w:color w:val="000000"/>
          <w:sz w:val="24"/>
          <w:szCs w:val="24"/>
        </w:rPr>
      </w:pPr>
    </w:p>
    <w:p w14:paraId="705E220D" w14:textId="77777777" w:rsidR="008763BA" w:rsidRPr="00C703DC" w:rsidRDefault="008763BA" w:rsidP="005C2A3E">
      <w:pPr>
        <w:numPr>
          <w:ilvl w:val="0"/>
          <w:numId w:val="10"/>
        </w:numPr>
        <w:spacing w:after="0" w:line="360" w:lineRule="auto"/>
        <w:jc w:val="both"/>
        <w:rPr>
          <w:rFonts w:ascii="Palatino Linotype" w:hAnsi="Palatino Linotype"/>
          <w:b/>
          <w:bCs/>
          <w:color w:val="000000"/>
          <w:sz w:val="24"/>
          <w:szCs w:val="24"/>
        </w:rPr>
      </w:pPr>
      <w:r w:rsidRPr="00C703DC">
        <w:rPr>
          <w:rFonts w:ascii="Palatino Linotype" w:hAnsi="Palatino Linotype"/>
          <w:b/>
          <w:bCs/>
          <w:color w:val="000000"/>
          <w:sz w:val="24"/>
          <w:szCs w:val="24"/>
        </w:rPr>
        <w:t>Registro Federal de Contribuyentes (RFC) y de Proveedores</w:t>
      </w:r>
    </w:p>
    <w:p w14:paraId="664D420F" w14:textId="77777777" w:rsidR="008763BA" w:rsidRPr="00C703DC" w:rsidRDefault="008763BA" w:rsidP="005C2A3E">
      <w:pPr>
        <w:spacing w:after="0" w:line="360" w:lineRule="auto"/>
        <w:jc w:val="both"/>
        <w:rPr>
          <w:rFonts w:ascii="Palatino Linotype" w:hAnsi="Palatino Linotype"/>
          <w:color w:val="000000"/>
          <w:sz w:val="24"/>
          <w:szCs w:val="24"/>
        </w:rPr>
      </w:pPr>
      <w:r w:rsidRPr="00C703DC">
        <w:rPr>
          <w:rFonts w:ascii="Palatino Linotype" w:hAnsi="Palatino Linotype"/>
          <w:color w:val="000000"/>
          <w:sz w:val="24"/>
          <w:szCs w:val="24"/>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3CEC24AC" w14:textId="77777777" w:rsidR="008763BA" w:rsidRPr="00C703DC" w:rsidRDefault="008763BA" w:rsidP="005C2A3E">
      <w:pPr>
        <w:spacing w:after="0" w:line="360" w:lineRule="auto"/>
        <w:jc w:val="both"/>
        <w:rPr>
          <w:rFonts w:ascii="Palatino Linotype" w:hAnsi="Palatino Linotype"/>
          <w:color w:val="000000"/>
          <w:sz w:val="24"/>
          <w:szCs w:val="24"/>
        </w:rPr>
      </w:pPr>
    </w:p>
    <w:p w14:paraId="4A47B18D" w14:textId="77777777" w:rsidR="008763BA" w:rsidRPr="00C703DC" w:rsidRDefault="008763BA" w:rsidP="005C2A3E">
      <w:pPr>
        <w:spacing w:after="0" w:line="360" w:lineRule="auto"/>
        <w:jc w:val="both"/>
        <w:rPr>
          <w:rFonts w:ascii="Palatino Linotype" w:hAnsi="Palatino Linotype"/>
          <w:color w:val="000000"/>
          <w:sz w:val="24"/>
          <w:szCs w:val="24"/>
        </w:rPr>
      </w:pPr>
      <w:r w:rsidRPr="00C703DC">
        <w:rPr>
          <w:rFonts w:ascii="Palatino Linotype" w:hAnsi="Palatino Linotype"/>
          <w:color w:val="000000"/>
          <w:sz w:val="24"/>
          <w:szCs w:val="24"/>
        </w:rPr>
        <w:lastRenderedPageBreak/>
        <w:t xml:space="preserve">De acuerdo a lo establecido en el artículo en comento, esta clave se compone de trece caracteres alfanuméricos, con datos obtenidos de los apellidos, nombre(s), fecha de nacimiento del titular, más una </w:t>
      </w:r>
      <w:proofErr w:type="spellStart"/>
      <w:r w:rsidRPr="00C703DC">
        <w:rPr>
          <w:rFonts w:ascii="Palatino Linotype" w:hAnsi="Palatino Linotype"/>
          <w:color w:val="000000"/>
          <w:sz w:val="24"/>
          <w:szCs w:val="24"/>
        </w:rPr>
        <w:t>homoclave</w:t>
      </w:r>
      <w:proofErr w:type="spellEnd"/>
      <w:r w:rsidRPr="00C703DC">
        <w:rPr>
          <w:rFonts w:ascii="Palatino Linotype" w:hAnsi="Palatino Linotype"/>
          <w:color w:val="000000"/>
          <w:sz w:val="24"/>
          <w:szCs w:val="24"/>
        </w:rPr>
        <w:t xml:space="preserve"> que establece el sistema automático del Servicio de Administración Tributaria.</w:t>
      </w:r>
    </w:p>
    <w:p w14:paraId="3B734A9C" w14:textId="77777777" w:rsidR="008763BA" w:rsidRPr="00C703DC" w:rsidRDefault="008763BA" w:rsidP="005C2A3E">
      <w:pPr>
        <w:spacing w:after="0" w:line="360" w:lineRule="auto"/>
        <w:jc w:val="both"/>
        <w:rPr>
          <w:rFonts w:ascii="Palatino Linotype" w:hAnsi="Palatino Linotype"/>
          <w:color w:val="000000"/>
          <w:sz w:val="24"/>
          <w:szCs w:val="24"/>
        </w:rPr>
      </w:pPr>
    </w:p>
    <w:p w14:paraId="51021B16" w14:textId="77777777" w:rsidR="008763BA" w:rsidRPr="00C703DC" w:rsidRDefault="008763BA" w:rsidP="005C2A3E">
      <w:pPr>
        <w:spacing w:after="0" w:line="360" w:lineRule="auto"/>
        <w:jc w:val="both"/>
        <w:rPr>
          <w:rFonts w:ascii="Palatino Linotype" w:hAnsi="Palatino Linotype"/>
          <w:color w:val="000000"/>
          <w:sz w:val="24"/>
          <w:szCs w:val="24"/>
        </w:rPr>
      </w:pPr>
      <w:r w:rsidRPr="00C703DC">
        <w:rPr>
          <w:rFonts w:ascii="Palatino Linotype" w:hAnsi="Palatino Linotype"/>
          <w:color w:val="000000"/>
          <w:sz w:val="24"/>
          <w:szCs w:val="24"/>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58D601B8" w14:textId="77777777" w:rsidR="008763BA" w:rsidRPr="00C703DC" w:rsidRDefault="008763BA" w:rsidP="005C2A3E">
      <w:pPr>
        <w:spacing w:after="0" w:line="360" w:lineRule="auto"/>
        <w:jc w:val="both"/>
        <w:rPr>
          <w:rFonts w:ascii="Palatino Linotype" w:hAnsi="Palatino Linotype"/>
          <w:color w:val="000000"/>
          <w:sz w:val="24"/>
          <w:szCs w:val="24"/>
        </w:rPr>
      </w:pPr>
    </w:p>
    <w:p w14:paraId="250CCACF" w14:textId="77777777" w:rsidR="008763BA" w:rsidRPr="00C703DC" w:rsidRDefault="008763BA" w:rsidP="005C2A3E">
      <w:pPr>
        <w:spacing w:after="0" w:line="360" w:lineRule="auto"/>
        <w:jc w:val="both"/>
        <w:rPr>
          <w:rFonts w:ascii="Palatino Linotype" w:hAnsi="Palatino Linotype"/>
          <w:color w:val="000000"/>
          <w:sz w:val="24"/>
          <w:szCs w:val="24"/>
        </w:rPr>
      </w:pPr>
      <w:r w:rsidRPr="00C703DC">
        <w:rPr>
          <w:rFonts w:ascii="Palatino Linotype" w:hAnsi="Palatino Linotype"/>
          <w:color w:val="000000"/>
          <w:sz w:val="24"/>
          <w:szCs w:val="24"/>
        </w:rPr>
        <w:t xml:space="preserve">Así, el Registro Federal de Contribuyentes, es un dato personal, ya que hace a las personas físicas </w:t>
      </w:r>
      <w:r w:rsidRPr="00C703DC">
        <w:rPr>
          <w:rFonts w:ascii="Palatino Linotype" w:hAnsi="Palatino Linotype"/>
          <w:sz w:val="24"/>
          <w:szCs w:val="24"/>
        </w:rPr>
        <w:t>identificadas</w:t>
      </w:r>
      <w:r w:rsidRPr="00C703DC">
        <w:rPr>
          <w:rFonts w:ascii="Palatino Linotype" w:hAnsi="Palatino Linotype"/>
          <w:color w:val="000000"/>
          <w:sz w:val="24"/>
          <w:szCs w:val="24"/>
        </w:rPr>
        <w:t xml:space="preserve"> e identificables, además de que las relaciona como contribuyentes de las autoridades fiscales. Es de destacar que dicho dato únicamente sirve para efectos fiscales y pago de contribuciones, por lo que se trata de un dato relevante únicamente para las personas </w:t>
      </w:r>
      <w:proofErr w:type="gramStart"/>
      <w:r w:rsidRPr="00C703DC">
        <w:rPr>
          <w:rFonts w:ascii="Palatino Linotype" w:hAnsi="Palatino Linotype"/>
          <w:sz w:val="24"/>
          <w:szCs w:val="24"/>
        </w:rPr>
        <w:t>involucradas</w:t>
      </w:r>
      <w:proofErr w:type="gramEnd"/>
      <w:r w:rsidRPr="00C703DC">
        <w:rPr>
          <w:rFonts w:ascii="Palatino Linotype" w:hAnsi="Palatino Linotype"/>
          <w:color w:val="000000"/>
          <w:sz w:val="24"/>
          <w:szCs w:val="24"/>
        </w:rPr>
        <w:t xml:space="preserve">, en el pago de estos, en el presente caso, del pago del Impuesto Sobre el Producto del Trabajo. </w:t>
      </w:r>
    </w:p>
    <w:p w14:paraId="76CD2E4E" w14:textId="77777777" w:rsidR="008763BA" w:rsidRPr="00C703DC" w:rsidRDefault="008763BA" w:rsidP="005C2A3E">
      <w:pPr>
        <w:spacing w:after="0" w:line="360" w:lineRule="auto"/>
        <w:jc w:val="both"/>
        <w:rPr>
          <w:rFonts w:ascii="Palatino Linotype" w:hAnsi="Palatino Linotype"/>
          <w:color w:val="000000"/>
          <w:sz w:val="24"/>
          <w:szCs w:val="24"/>
        </w:rPr>
      </w:pPr>
    </w:p>
    <w:p w14:paraId="38764EA3" w14:textId="77777777" w:rsidR="008763BA" w:rsidRPr="00C703DC" w:rsidRDefault="008763BA" w:rsidP="005C2A3E">
      <w:pPr>
        <w:spacing w:after="0" w:line="360" w:lineRule="auto"/>
        <w:jc w:val="both"/>
        <w:rPr>
          <w:rFonts w:ascii="Palatino Linotype" w:hAnsi="Palatino Linotype"/>
          <w:color w:val="000000"/>
          <w:sz w:val="24"/>
          <w:szCs w:val="24"/>
        </w:rPr>
      </w:pPr>
      <w:r w:rsidRPr="00C703DC">
        <w:rPr>
          <w:rFonts w:ascii="Palatino Linotype" w:hAnsi="Palatino Linotype"/>
          <w:color w:val="000000"/>
          <w:sz w:val="24"/>
          <w:szCs w:val="24"/>
        </w:rPr>
        <w:t>Lo anterior, resulta congruente con el Criterio Orientador, de la Segunda Época, con número de registro SO/019/2017, emitido por el entonces Instituto Nacional de Transparencia, Acceso a la Información y Protección de Datos Personales, vigente a la fecha de la solicitud, en el cual se señala lo siguiente:</w:t>
      </w:r>
    </w:p>
    <w:p w14:paraId="2DB39710" w14:textId="77777777" w:rsidR="008763BA" w:rsidRPr="00C703DC" w:rsidRDefault="008763BA" w:rsidP="005C2A3E">
      <w:pPr>
        <w:spacing w:after="0" w:line="360" w:lineRule="auto"/>
        <w:ind w:left="567" w:right="567"/>
        <w:jc w:val="both"/>
        <w:rPr>
          <w:rFonts w:ascii="Palatino Linotype" w:hAnsi="Palatino Linotype"/>
          <w:i/>
          <w:iCs/>
          <w:color w:val="000000"/>
        </w:rPr>
      </w:pPr>
      <w:r w:rsidRPr="00C703DC">
        <w:rPr>
          <w:rFonts w:ascii="Palatino Linotype" w:hAnsi="Palatino Linotype"/>
          <w:b/>
          <w:bCs/>
          <w:i/>
          <w:iCs/>
          <w:color w:val="000000"/>
        </w:rPr>
        <w:lastRenderedPageBreak/>
        <w:t>“Registro Federal de Contribuyentes (RFC) de personas físicas.</w:t>
      </w:r>
      <w:r w:rsidRPr="00C703DC">
        <w:rPr>
          <w:rFonts w:ascii="Palatino Linotype" w:hAnsi="Palatino Linotype"/>
          <w:i/>
          <w:iCs/>
          <w:color w:val="000000"/>
        </w:rPr>
        <w:t xml:space="preserve"> El RFC es una clave de carácter fiscal, única e irrepetible, que permite identificar al titular, su edad y fecha de nacimiento, por lo que es un dato personal de carácter confidencial.”</w:t>
      </w:r>
    </w:p>
    <w:p w14:paraId="5DB6FE1A" w14:textId="77777777" w:rsidR="008763BA" w:rsidRPr="00C703DC" w:rsidRDefault="008763BA" w:rsidP="005C2A3E">
      <w:pPr>
        <w:spacing w:after="0" w:line="360" w:lineRule="auto"/>
        <w:jc w:val="both"/>
        <w:rPr>
          <w:rFonts w:ascii="Palatino Linotype" w:hAnsi="Palatino Linotype"/>
          <w:color w:val="000000"/>
          <w:sz w:val="24"/>
          <w:szCs w:val="24"/>
        </w:rPr>
      </w:pPr>
    </w:p>
    <w:p w14:paraId="503F1B9D" w14:textId="77777777" w:rsidR="008763BA" w:rsidRPr="00C703DC" w:rsidRDefault="008763BA" w:rsidP="005C2A3E">
      <w:pPr>
        <w:spacing w:after="0" w:line="360" w:lineRule="auto"/>
        <w:jc w:val="both"/>
        <w:rPr>
          <w:rFonts w:ascii="Palatino Linotype" w:hAnsi="Palatino Linotype"/>
          <w:color w:val="000000"/>
          <w:sz w:val="24"/>
          <w:szCs w:val="24"/>
        </w:rPr>
      </w:pPr>
      <w:r w:rsidRPr="00C703DC">
        <w:rPr>
          <w:rFonts w:ascii="Palatino Linotype" w:hAnsi="Palatino Linotype"/>
          <w:color w:val="000000"/>
          <w:sz w:val="24"/>
          <w:szCs w:val="24"/>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20132CA8" w14:textId="77777777" w:rsidR="008763BA" w:rsidRPr="00C703DC" w:rsidRDefault="008763BA" w:rsidP="005C2A3E">
      <w:pPr>
        <w:spacing w:after="0" w:line="360" w:lineRule="auto"/>
        <w:jc w:val="both"/>
        <w:rPr>
          <w:rFonts w:ascii="Palatino Linotype" w:hAnsi="Palatino Linotype"/>
          <w:color w:val="000000"/>
          <w:sz w:val="24"/>
          <w:szCs w:val="24"/>
        </w:rPr>
      </w:pPr>
    </w:p>
    <w:p w14:paraId="1AA4DB9C" w14:textId="77777777" w:rsidR="008763BA" w:rsidRPr="00C703DC" w:rsidRDefault="008763BA" w:rsidP="005C2A3E">
      <w:pPr>
        <w:spacing w:after="0" w:line="360" w:lineRule="auto"/>
        <w:jc w:val="both"/>
        <w:rPr>
          <w:rFonts w:ascii="Palatino Linotype" w:hAnsi="Palatino Linotype"/>
          <w:color w:val="000000"/>
          <w:sz w:val="24"/>
          <w:szCs w:val="24"/>
        </w:rPr>
      </w:pPr>
      <w:r w:rsidRPr="00C703DC">
        <w:rPr>
          <w:rFonts w:ascii="Palatino Linotype" w:hAnsi="Palatino Linotype"/>
          <w:color w:val="000000"/>
          <w:sz w:val="24"/>
          <w:szCs w:val="24"/>
        </w:rPr>
        <w:t>No debe dejarse de lado, que cualquier persona que pretenda tener cualquier tipo de relación, laboral, empresarial, de trámites, servicios o comercial, para el caso que nos ocupa, debe en cierta medida ceder información relacionada con su vida, en aras de obtener el beneficio pretendido, como formar parte de los proveedores gubernamentales, al respecto, la información sobre la que se debe conceder publicidad sólo es aquella relacionada con el ejercicio de recursos públicos o de funciones y las facturas de pagos de sujetos obligados están vinculadas directamente con el ejercicio de recursos públicos.</w:t>
      </w:r>
    </w:p>
    <w:p w14:paraId="4189BA73" w14:textId="77777777" w:rsidR="008763BA" w:rsidRPr="00C703DC" w:rsidRDefault="008763BA" w:rsidP="005C2A3E">
      <w:pPr>
        <w:spacing w:after="0" w:line="360" w:lineRule="auto"/>
        <w:jc w:val="both"/>
        <w:rPr>
          <w:rFonts w:ascii="Palatino Linotype" w:hAnsi="Palatino Linotype"/>
          <w:color w:val="000000"/>
          <w:sz w:val="24"/>
          <w:szCs w:val="24"/>
        </w:rPr>
      </w:pPr>
    </w:p>
    <w:p w14:paraId="5BC2B241" w14:textId="77777777" w:rsidR="008763BA" w:rsidRPr="00C703DC" w:rsidRDefault="008763BA" w:rsidP="005C2A3E">
      <w:pPr>
        <w:spacing w:after="0" w:line="360" w:lineRule="auto"/>
        <w:jc w:val="both"/>
        <w:rPr>
          <w:rFonts w:ascii="Palatino Linotype" w:hAnsi="Palatino Linotype"/>
          <w:color w:val="000000"/>
          <w:sz w:val="24"/>
          <w:szCs w:val="24"/>
        </w:rPr>
      </w:pPr>
      <w:r w:rsidRPr="00C703DC">
        <w:rPr>
          <w:rFonts w:ascii="Palatino Linotype" w:hAnsi="Palatino Linotype"/>
          <w:color w:val="000000"/>
          <w:sz w:val="24"/>
          <w:szCs w:val="24"/>
        </w:rPr>
        <w:t>Ahora bien, si fuera el caso de que el Código QR diera cuenta del RFC de una persona jurídico-colectiva proveedor de una institución pública y el pago de los conceptos se realizó con recursos públicos; lo anterior se respalda con el Criterio 1/2014, del entonces Instituto Nacional de Transparencia, Acceso a la Información y Protección de Datos Personales (INAI).</w:t>
      </w:r>
    </w:p>
    <w:p w14:paraId="573D57B4" w14:textId="77777777" w:rsidR="008763BA" w:rsidRPr="00C703DC" w:rsidRDefault="008763BA" w:rsidP="005C2A3E">
      <w:pPr>
        <w:spacing w:after="0" w:line="360" w:lineRule="auto"/>
        <w:ind w:left="567" w:right="709"/>
        <w:jc w:val="both"/>
        <w:rPr>
          <w:rFonts w:ascii="Palatino Linotype" w:hAnsi="Palatino Linotype"/>
          <w:i/>
          <w:iCs/>
          <w:color w:val="000000"/>
        </w:rPr>
      </w:pPr>
      <w:r w:rsidRPr="00C703DC">
        <w:rPr>
          <w:rFonts w:ascii="Palatino Linotype" w:hAnsi="Palatino Linotype"/>
          <w:b/>
          <w:bCs/>
          <w:i/>
          <w:iCs/>
          <w:color w:val="000000"/>
        </w:rPr>
        <w:lastRenderedPageBreak/>
        <w:t xml:space="preserve">“Denominación o razón social, y Registro Federal de Contribuyentes de personas morales, no constituyen información confidencial. </w:t>
      </w:r>
      <w:r w:rsidRPr="00C703DC">
        <w:rPr>
          <w:rFonts w:ascii="Palatino Linotype" w:hAnsi="Palatino Linotype"/>
          <w:i/>
          <w:iCs/>
          <w:color w:val="000000"/>
        </w:rPr>
        <w:t>La denominación o razón social de personas morales es pública, por encontrarse inscritas en el Registro Público de Comercio. Por lo que respecta a su Registro Federal de Contribuyentes (RFC), en principio, también es público, ya que no se refiere a hechos o actos de carácter económico, contable, jurídico o administrativo que sean útiles o representen una ventaja a sus competidores, en términos de lo dispuesto en el artículo 18, fracción I de la Ley Federal de Transparencia y Acceso a la Información Pública Gubernamental y en el Trigésimo Sexto de los Lineamientos Generales para la clasificación y desclasificación de la información de las dependencias y entidades de la Administración Pública Federal; aunado al hecho de que tampoco se trata de información concerniente a personas físicas, por lo que no puede considerarse un dato personal, con fundamento en lo previsto en el artículo 18, fracción II de ese ordenamiento legal. Por lo anterior, la denominación o razón social, así como el RFC de personas morales, no constituye información confidencial.”</w:t>
      </w:r>
    </w:p>
    <w:p w14:paraId="675A8A67" w14:textId="77777777" w:rsidR="008763BA" w:rsidRPr="00C703DC" w:rsidRDefault="008763BA" w:rsidP="005C2A3E">
      <w:pPr>
        <w:spacing w:after="0" w:line="360" w:lineRule="auto"/>
        <w:jc w:val="both"/>
        <w:rPr>
          <w:rFonts w:ascii="Palatino Linotype" w:hAnsi="Palatino Linotype"/>
          <w:b/>
          <w:bCs/>
          <w:color w:val="000000"/>
          <w:sz w:val="24"/>
          <w:szCs w:val="24"/>
          <w:u w:val="single"/>
        </w:rPr>
      </w:pPr>
      <w:r w:rsidRPr="00C703DC">
        <w:rPr>
          <w:rFonts w:ascii="Palatino Linotype" w:hAnsi="Palatino Linotype"/>
          <w:color w:val="000000"/>
          <w:sz w:val="24"/>
          <w:szCs w:val="24"/>
        </w:rPr>
        <w:br/>
      </w:r>
      <w:r w:rsidRPr="00C703DC">
        <w:rPr>
          <w:rFonts w:ascii="Palatino Linotype" w:hAnsi="Palatino Linotype"/>
          <w:b/>
          <w:bCs/>
          <w:color w:val="000000"/>
          <w:sz w:val="24"/>
          <w:szCs w:val="24"/>
          <w:u w:val="single"/>
        </w:rPr>
        <w:t xml:space="preserve">Por lo que el RFC de los proveedores de algún servicio o producto, deberá ser público ya que no actualiza el supuesto jurídico. </w:t>
      </w:r>
    </w:p>
    <w:p w14:paraId="177C6E7B" w14:textId="77777777" w:rsidR="008763BA" w:rsidRPr="00C703DC" w:rsidRDefault="008763BA" w:rsidP="005C2A3E">
      <w:pPr>
        <w:tabs>
          <w:tab w:val="center" w:pos="4522"/>
        </w:tabs>
        <w:spacing w:after="0" w:line="360" w:lineRule="auto"/>
        <w:jc w:val="both"/>
        <w:rPr>
          <w:rFonts w:ascii="Palatino Linotype" w:hAnsi="Palatino Linotype"/>
          <w:color w:val="000000"/>
          <w:sz w:val="24"/>
          <w:szCs w:val="24"/>
        </w:rPr>
      </w:pPr>
    </w:p>
    <w:p w14:paraId="1BA72F17" w14:textId="77777777" w:rsidR="008763BA" w:rsidRPr="00C703DC" w:rsidRDefault="008763BA" w:rsidP="005C2A3E">
      <w:pPr>
        <w:numPr>
          <w:ilvl w:val="0"/>
          <w:numId w:val="11"/>
        </w:numPr>
        <w:spacing w:after="0" w:line="360" w:lineRule="auto"/>
        <w:jc w:val="both"/>
        <w:rPr>
          <w:rFonts w:ascii="Palatino Linotype" w:hAnsi="Palatino Linotype"/>
          <w:sz w:val="24"/>
          <w:szCs w:val="24"/>
        </w:rPr>
      </w:pPr>
      <w:r w:rsidRPr="00C703DC">
        <w:rPr>
          <w:rFonts w:ascii="Palatino Linotype" w:hAnsi="Palatino Linotype"/>
          <w:b/>
          <w:bCs/>
          <w:sz w:val="24"/>
          <w:szCs w:val="24"/>
        </w:rPr>
        <w:t>Sellos digitales del emisor y del Servicio de Administración Tributaria y cadena original del complemento de certificación digital del organismo previamente señalado</w:t>
      </w:r>
    </w:p>
    <w:p w14:paraId="77C646FD" w14:textId="77777777" w:rsidR="008763BA" w:rsidRPr="00C703DC" w:rsidRDefault="008763BA" w:rsidP="005C2A3E">
      <w:pPr>
        <w:spacing w:after="0" w:line="360" w:lineRule="auto"/>
        <w:ind w:left="720"/>
        <w:jc w:val="both"/>
        <w:rPr>
          <w:rFonts w:ascii="Palatino Linotype" w:hAnsi="Palatino Linotype"/>
          <w:b/>
          <w:bCs/>
          <w:sz w:val="24"/>
          <w:szCs w:val="24"/>
        </w:rPr>
      </w:pPr>
    </w:p>
    <w:p w14:paraId="0C9E5C9D" w14:textId="77777777" w:rsidR="008763BA" w:rsidRPr="00C703DC" w:rsidRDefault="008763BA" w:rsidP="005C2A3E">
      <w:pPr>
        <w:spacing w:after="0" w:line="360" w:lineRule="auto"/>
        <w:jc w:val="both"/>
        <w:rPr>
          <w:rFonts w:ascii="Palatino Linotype" w:hAnsi="Palatino Linotype"/>
          <w:sz w:val="24"/>
          <w:szCs w:val="24"/>
        </w:rPr>
      </w:pPr>
      <w:r w:rsidRPr="00C703DC">
        <w:rPr>
          <w:rFonts w:ascii="Palatino Linotype" w:hAnsi="Palatino Linotype"/>
          <w:sz w:val="24"/>
          <w:szCs w:val="24"/>
        </w:rPr>
        <w:t xml:space="preserve">Cuando, de la secuencia de números y letras, no se advierta un Registro Federal de Contribuyentes o una Clave Única de Registro de Población, que pueda hacer identificable al titular del dato personal, no puede tenerse como dato personal y por ende </w:t>
      </w:r>
      <w:r w:rsidRPr="00C703DC">
        <w:rPr>
          <w:rFonts w:ascii="Palatino Linotype" w:hAnsi="Palatino Linotype"/>
          <w:sz w:val="24"/>
          <w:szCs w:val="24"/>
        </w:rPr>
        <w:lastRenderedPageBreak/>
        <w:t>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está se encuentra encriptada como se verá a continuación.</w:t>
      </w:r>
    </w:p>
    <w:p w14:paraId="32539A86" w14:textId="77777777" w:rsidR="008763BA" w:rsidRPr="00C703DC" w:rsidRDefault="008763BA" w:rsidP="005C2A3E">
      <w:pPr>
        <w:spacing w:after="0" w:line="360" w:lineRule="auto"/>
        <w:jc w:val="both"/>
        <w:rPr>
          <w:rFonts w:ascii="Palatino Linotype" w:hAnsi="Palatino Linotype"/>
          <w:sz w:val="24"/>
          <w:szCs w:val="24"/>
        </w:rPr>
      </w:pPr>
      <w:r w:rsidRPr="00C703DC">
        <w:rPr>
          <w:rFonts w:ascii="Palatino Linotype" w:hAnsi="Palatino Linotype"/>
          <w:sz w:val="24"/>
          <w:szCs w:val="24"/>
        </w:rPr>
        <w:t> </w:t>
      </w:r>
    </w:p>
    <w:p w14:paraId="4C5BD5F4" w14:textId="77777777" w:rsidR="008763BA" w:rsidRPr="00C703DC" w:rsidRDefault="008763BA" w:rsidP="005C2A3E">
      <w:pPr>
        <w:spacing w:after="0" w:line="360" w:lineRule="auto"/>
        <w:jc w:val="both"/>
        <w:rPr>
          <w:rFonts w:ascii="Palatino Linotype" w:hAnsi="Palatino Linotype"/>
          <w:sz w:val="24"/>
          <w:szCs w:val="24"/>
        </w:rPr>
      </w:pPr>
      <w:r w:rsidRPr="00C703DC">
        <w:rPr>
          <w:rFonts w:ascii="Palatino Linotype" w:hAnsi="Palatino Linotype"/>
          <w:sz w:val="24"/>
          <w:szCs w:val="24"/>
        </w:rPr>
        <w:t>Las cadenas originales y sellos que se agregan a las facturas</w:t>
      </w:r>
      <w:r w:rsidRPr="00C703DC">
        <w:rPr>
          <w:rFonts w:ascii="Palatino Linotype" w:hAnsi="Palatino Linotype"/>
          <w:b/>
          <w:bCs/>
          <w:sz w:val="24"/>
          <w:szCs w:val="24"/>
        </w:rPr>
        <w:t>,</w:t>
      </w:r>
      <w:r w:rsidRPr="00C703DC">
        <w:rPr>
          <w:rFonts w:ascii="Palatino Linotype" w:hAnsi="Palatino Linotype"/>
          <w:sz w:val="24"/>
          <w:szCs w:val="24"/>
        </w:rPr>
        <w:t xml:space="preserve"> tienen una secuencia de generación, determinados con base en el ANEXO 20 de la Segunda Resolución de modificaciones a la Resolución Miscelánea Fiscal,  que precisa los datos de los que se componen los elementos de seguridad y se puntualiza que dicha información está encriptada.</w:t>
      </w:r>
    </w:p>
    <w:p w14:paraId="7A2BD238" w14:textId="77777777" w:rsidR="008763BA" w:rsidRPr="00C703DC" w:rsidRDefault="008763BA" w:rsidP="005C2A3E">
      <w:pPr>
        <w:spacing w:after="0" w:line="360" w:lineRule="auto"/>
        <w:ind w:left="567" w:right="539"/>
        <w:jc w:val="both"/>
        <w:rPr>
          <w:rFonts w:ascii="Palatino Linotype" w:hAnsi="Palatino Linotype"/>
          <w:i/>
          <w:iCs/>
        </w:rPr>
      </w:pPr>
      <w:r w:rsidRPr="00C703DC">
        <w:rPr>
          <w:rFonts w:ascii="Palatino Linotype" w:hAnsi="Palatino Linotype"/>
          <w:i/>
          <w:iCs/>
        </w:rPr>
        <w:t>“…</w:t>
      </w:r>
    </w:p>
    <w:p w14:paraId="7E2CB3B6" w14:textId="77777777" w:rsidR="008763BA" w:rsidRPr="00C703DC" w:rsidRDefault="008763BA" w:rsidP="005C2A3E">
      <w:pPr>
        <w:spacing w:after="0" w:line="360" w:lineRule="auto"/>
        <w:ind w:left="567" w:right="539"/>
        <w:jc w:val="both"/>
        <w:rPr>
          <w:rFonts w:ascii="Palatino Linotype" w:hAnsi="Palatino Linotype"/>
          <w:i/>
          <w:iCs/>
        </w:rPr>
      </w:pPr>
      <w:r w:rsidRPr="00C703DC">
        <w:rPr>
          <w:rFonts w:ascii="Palatino Linotype" w:hAnsi="Palatino Linotype"/>
          <w:i/>
          <w:iCs/>
        </w:rPr>
        <w:t>Elementos utilizados en la generación de Sellos Digitales:</w:t>
      </w:r>
    </w:p>
    <w:p w14:paraId="13F7599C" w14:textId="77777777" w:rsidR="008763BA" w:rsidRPr="00C703DC" w:rsidRDefault="008763BA" w:rsidP="005C2A3E">
      <w:pPr>
        <w:spacing w:after="0" w:line="360" w:lineRule="auto"/>
        <w:ind w:left="567" w:right="539"/>
        <w:jc w:val="both"/>
        <w:rPr>
          <w:rFonts w:ascii="Palatino Linotype" w:hAnsi="Palatino Linotype"/>
          <w:i/>
          <w:iCs/>
        </w:rPr>
      </w:pPr>
    </w:p>
    <w:p w14:paraId="13357F54" w14:textId="77777777" w:rsidR="008763BA" w:rsidRPr="00C703DC" w:rsidRDefault="008763BA" w:rsidP="005C2A3E">
      <w:pPr>
        <w:spacing w:after="0" w:line="360" w:lineRule="auto"/>
        <w:ind w:left="567" w:right="539"/>
        <w:jc w:val="both"/>
        <w:rPr>
          <w:rFonts w:ascii="Palatino Linotype" w:hAnsi="Palatino Linotype"/>
          <w:i/>
          <w:iCs/>
        </w:rPr>
      </w:pPr>
      <w:r w:rsidRPr="00C703DC">
        <w:rPr>
          <w:rFonts w:ascii="Palatino Linotype" w:hAnsi="Palatino Linotype"/>
          <w:i/>
          <w:iCs/>
        </w:rPr>
        <w:t>•</w:t>
      </w:r>
      <w:r w:rsidRPr="00C703DC">
        <w:rPr>
          <w:rFonts w:ascii="Palatino Linotype" w:hAnsi="Palatino Linotype"/>
          <w:i/>
          <w:iCs/>
        </w:rPr>
        <w:tab/>
        <w:t>Cadena Original, el elemento a sellar, en este caso de un comprobante fiscal digital a través de Internet.</w:t>
      </w:r>
    </w:p>
    <w:p w14:paraId="06628233" w14:textId="77777777" w:rsidR="008763BA" w:rsidRPr="00C703DC" w:rsidRDefault="008763BA" w:rsidP="005C2A3E">
      <w:pPr>
        <w:spacing w:after="0" w:line="360" w:lineRule="auto"/>
        <w:ind w:left="567" w:right="539"/>
        <w:jc w:val="both"/>
        <w:rPr>
          <w:rFonts w:ascii="Palatino Linotype" w:hAnsi="Palatino Linotype"/>
          <w:i/>
          <w:iCs/>
        </w:rPr>
      </w:pPr>
      <w:r w:rsidRPr="00C703DC">
        <w:rPr>
          <w:rFonts w:ascii="Palatino Linotype" w:hAnsi="Palatino Linotype"/>
          <w:i/>
          <w:iCs/>
        </w:rPr>
        <w:t>•</w:t>
      </w:r>
      <w:r w:rsidRPr="00C703DC">
        <w:rPr>
          <w:rFonts w:ascii="Palatino Linotype" w:hAnsi="Palatino Linotype"/>
          <w:i/>
          <w:iCs/>
        </w:rPr>
        <w:tab/>
        <w:t>Certificado de Sello Digital y su correspondiente clave privada.</w:t>
      </w:r>
    </w:p>
    <w:p w14:paraId="0C299959" w14:textId="77777777" w:rsidR="008763BA" w:rsidRPr="00C703DC" w:rsidRDefault="008763BA" w:rsidP="005C2A3E">
      <w:pPr>
        <w:spacing w:after="0" w:line="360" w:lineRule="auto"/>
        <w:ind w:left="567" w:right="539"/>
        <w:jc w:val="both"/>
        <w:rPr>
          <w:rFonts w:ascii="Palatino Linotype" w:hAnsi="Palatino Linotype"/>
          <w:i/>
          <w:iCs/>
        </w:rPr>
      </w:pPr>
      <w:r w:rsidRPr="00C703DC">
        <w:rPr>
          <w:rFonts w:ascii="Palatino Linotype" w:hAnsi="Palatino Linotype"/>
          <w:i/>
          <w:iCs/>
        </w:rPr>
        <w:t>•</w:t>
      </w:r>
      <w:r w:rsidRPr="00C703DC">
        <w:rPr>
          <w:rFonts w:ascii="Palatino Linotype" w:hAnsi="Palatino Linotype"/>
          <w:i/>
          <w:iCs/>
        </w:rPr>
        <w:tab/>
        <w:t>Algoritmos de criptografía de clave pública para firma electrónica avanzada.</w:t>
      </w:r>
    </w:p>
    <w:p w14:paraId="32ECB55D" w14:textId="77777777" w:rsidR="008763BA" w:rsidRPr="00C703DC" w:rsidRDefault="008763BA" w:rsidP="005C2A3E">
      <w:pPr>
        <w:spacing w:after="0" w:line="360" w:lineRule="auto"/>
        <w:ind w:left="567" w:right="539"/>
        <w:jc w:val="both"/>
        <w:rPr>
          <w:rFonts w:ascii="Palatino Linotype" w:hAnsi="Palatino Linotype"/>
          <w:i/>
          <w:iCs/>
        </w:rPr>
      </w:pPr>
      <w:r w:rsidRPr="00C703DC">
        <w:rPr>
          <w:rFonts w:ascii="Palatino Linotype" w:hAnsi="Palatino Linotype"/>
          <w:i/>
          <w:iCs/>
        </w:rPr>
        <w:t>•</w:t>
      </w:r>
      <w:r w:rsidRPr="00C703DC">
        <w:rPr>
          <w:rFonts w:ascii="Palatino Linotype" w:hAnsi="Palatino Linotype"/>
          <w:i/>
          <w:iCs/>
        </w:rPr>
        <w:tab/>
        <w:t>Especificaciones de conversión de la firma electrónica avanzada a Base 64.</w:t>
      </w:r>
    </w:p>
    <w:p w14:paraId="3DF675F2" w14:textId="77777777" w:rsidR="008763BA" w:rsidRPr="00C703DC" w:rsidRDefault="008763BA" w:rsidP="005C2A3E">
      <w:pPr>
        <w:spacing w:after="0" w:line="360" w:lineRule="auto"/>
        <w:ind w:left="567" w:right="539"/>
        <w:jc w:val="both"/>
        <w:rPr>
          <w:rFonts w:ascii="Palatino Linotype" w:hAnsi="Palatino Linotype"/>
          <w:i/>
          <w:iCs/>
        </w:rPr>
      </w:pPr>
      <w:r w:rsidRPr="00C703DC">
        <w:rPr>
          <w:rFonts w:ascii="Palatino Linotype" w:hAnsi="Palatino Linotype"/>
          <w:i/>
          <w:iCs/>
        </w:rPr>
        <w:t>Para la generación de sellos digitales se utiliza criptografía de clave pública aplicada a una cadena original.</w:t>
      </w:r>
    </w:p>
    <w:p w14:paraId="3317917E" w14:textId="77777777" w:rsidR="008763BA" w:rsidRPr="00C703DC" w:rsidRDefault="008763BA" w:rsidP="005C2A3E">
      <w:pPr>
        <w:spacing w:after="0" w:line="360" w:lineRule="auto"/>
        <w:ind w:left="567" w:right="539"/>
        <w:jc w:val="both"/>
        <w:rPr>
          <w:rFonts w:ascii="Palatino Linotype" w:hAnsi="Palatino Linotype"/>
          <w:i/>
          <w:iCs/>
        </w:rPr>
      </w:pPr>
    </w:p>
    <w:p w14:paraId="2A355AAD" w14:textId="77777777" w:rsidR="008763BA" w:rsidRPr="00C703DC" w:rsidRDefault="008763BA" w:rsidP="005C2A3E">
      <w:pPr>
        <w:spacing w:after="0" w:line="360" w:lineRule="auto"/>
        <w:ind w:left="567" w:right="539"/>
        <w:jc w:val="both"/>
        <w:rPr>
          <w:rFonts w:ascii="Palatino Linotype" w:hAnsi="Palatino Linotype"/>
          <w:i/>
          <w:iCs/>
        </w:rPr>
      </w:pPr>
      <w:r w:rsidRPr="00C703DC">
        <w:rPr>
          <w:rFonts w:ascii="Palatino Linotype" w:hAnsi="Palatino Linotype"/>
          <w:i/>
          <w:iCs/>
        </w:rPr>
        <w:lastRenderedPageBreak/>
        <w:t>Criptografía de la Clave Pública</w:t>
      </w:r>
    </w:p>
    <w:p w14:paraId="5BE478C3" w14:textId="77777777" w:rsidR="008763BA" w:rsidRPr="00C703DC" w:rsidRDefault="008763BA" w:rsidP="005C2A3E">
      <w:pPr>
        <w:spacing w:after="0" w:line="360" w:lineRule="auto"/>
        <w:ind w:left="567" w:right="539"/>
        <w:jc w:val="both"/>
        <w:rPr>
          <w:rFonts w:ascii="Palatino Linotype" w:hAnsi="Palatino Linotype"/>
          <w:i/>
          <w:iCs/>
        </w:rPr>
      </w:pPr>
    </w:p>
    <w:p w14:paraId="66F9A97A" w14:textId="77777777" w:rsidR="008763BA" w:rsidRPr="00C703DC" w:rsidRDefault="008763BA" w:rsidP="005C2A3E">
      <w:pPr>
        <w:spacing w:after="0" w:line="360" w:lineRule="auto"/>
        <w:ind w:left="567" w:right="539"/>
        <w:jc w:val="both"/>
        <w:rPr>
          <w:rFonts w:ascii="Palatino Linotype" w:hAnsi="Palatino Linotype"/>
          <w:i/>
          <w:iCs/>
        </w:rPr>
      </w:pPr>
      <w:r w:rsidRPr="00C703DC">
        <w:rPr>
          <w:rFonts w:ascii="Palatino Linotype" w:hAnsi="Palatino Linotype"/>
          <w:i/>
          <w:iCs/>
        </w:rPr>
        <w:t xml:space="preserve">La criptografía de Clave Pública se basa en la generación de una pareja de números muy grandes relacionados íntimamente entre sí, de tal manera que una operación de </w:t>
      </w:r>
      <w:proofErr w:type="spellStart"/>
      <w:r w:rsidRPr="00C703DC">
        <w:rPr>
          <w:rFonts w:ascii="Palatino Linotype" w:hAnsi="Palatino Linotype"/>
          <w:i/>
          <w:iCs/>
        </w:rPr>
        <w:t>encripción</w:t>
      </w:r>
      <w:proofErr w:type="spellEnd"/>
      <w:r w:rsidRPr="00C703DC">
        <w:rPr>
          <w:rFonts w:ascii="Palatino Linotype" w:hAnsi="Palatino Linotype"/>
          <w:i/>
          <w:iCs/>
        </w:rPr>
        <w:t xml:space="preserve"> sobre un mensaje tomando como clave de </w:t>
      </w:r>
      <w:proofErr w:type="spellStart"/>
      <w:r w:rsidRPr="00C703DC">
        <w:rPr>
          <w:rFonts w:ascii="Palatino Linotype" w:hAnsi="Palatino Linotype"/>
          <w:i/>
          <w:iCs/>
        </w:rPr>
        <w:t>encripción</w:t>
      </w:r>
      <w:proofErr w:type="spellEnd"/>
      <w:r w:rsidRPr="00C703DC">
        <w:rPr>
          <w:rFonts w:ascii="Palatino Linotype" w:hAnsi="Palatino Linotype"/>
          <w:i/>
          <w:iCs/>
        </w:rPr>
        <w:t xml:space="preserve"> a uno de los dos números, produce un mensaje alterado en su significado que solo puede ser devuelto a su estado original mediante la operación de </w:t>
      </w:r>
      <w:proofErr w:type="spellStart"/>
      <w:r w:rsidRPr="00C703DC">
        <w:rPr>
          <w:rFonts w:ascii="Palatino Linotype" w:hAnsi="Palatino Linotype"/>
          <w:i/>
          <w:iCs/>
        </w:rPr>
        <w:t>desencripción</w:t>
      </w:r>
      <w:proofErr w:type="spellEnd"/>
      <w:r w:rsidRPr="00C703DC">
        <w:rPr>
          <w:rFonts w:ascii="Palatino Linotype" w:hAnsi="Palatino Linotype"/>
          <w:i/>
          <w:iCs/>
        </w:rPr>
        <w:t xml:space="preserve"> correspondiente tomando como clave de </w:t>
      </w:r>
      <w:proofErr w:type="spellStart"/>
      <w:r w:rsidRPr="00C703DC">
        <w:rPr>
          <w:rFonts w:ascii="Palatino Linotype" w:hAnsi="Palatino Linotype"/>
          <w:i/>
          <w:iCs/>
        </w:rPr>
        <w:t>desencripción</w:t>
      </w:r>
      <w:proofErr w:type="spellEnd"/>
      <w:r w:rsidRPr="00C703DC">
        <w:rPr>
          <w:rFonts w:ascii="Palatino Linotype" w:hAnsi="Palatino Linotype"/>
          <w:i/>
          <w:iCs/>
        </w:rPr>
        <w:t xml:space="preserve"> al otro número de la pareja.</w:t>
      </w:r>
    </w:p>
    <w:p w14:paraId="12E7A8F4" w14:textId="77777777" w:rsidR="008763BA" w:rsidRPr="00C703DC" w:rsidRDefault="008763BA" w:rsidP="005C2A3E">
      <w:pPr>
        <w:spacing w:after="0" w:line="360" w:lineRule="auto"/>
        <w:ind w:left="567" w:right="539"/>
        <w:jc w:val="both"/>
        <w:rPr>
          <w:rFonts w:ascii="Palatino Linotype" w:hAnsi="Palatino Linotype"/>
          <w:i/>
          <w:iCs/>
        </w:rPr>
      </w:pPr>
      <w:r w:rsidRPr="00C703DC">
        <w:rPr>
          <w:rFonts w:ascii="Palatino Linotype" w:hAnsi="Palatino Linotype"/>
          <w:i/>
          <w:iCs/>
        </w:rPr>
        <w:t>…”</w:t>
      </w:r>
    </w:p>
    <w:p w14:paraId="5C49673D" w14:textId="77777777" w:rsidR="008763BA" w:rsidRPr="00C703DC" w:rsidRDefault="008763BA" w:rsidP="005C2A3E">
      <w:pPr>
        <w:spacing w:after="0" w:line="360" w:lineRule="auto"/>
        <w:jc w:val="both"/>
        <w:rPr>
          <w:rFonts w:ascii="Palatino Linotype" w:hAnsi="Palatino Linotype"/>
          <w:sz w:val="24"/>
          <w:szCs w:val="24"/>
        </w:rPr>
      </w:pPr>
      <w:r w:rsidRPr="00C703DC">
        <w:rPr>
          <w:rFonts w:ascii="Palatino Linotype" w:hAnsi="Palatino Linotype"/>
          <w:sz w:val="24"/>
          <w:szCs w:val="24"/>
        </w:rPr>
        <w:t> </w:t>
      </w:r>
    </w:p>
    <w:p w14:paraId="070A7DC2" w14:textId="77777777" w:rsidR="008763BA" w:rsidRPr="00C703DC" w:rsidRDefault="008763BA" w:rsidP="005C2A3E">
      <w:pPr>
        <w:spacing w:after="0" w:line="360" w:lineRule="auto"/>
        <w:jc w:val="both"/>
        <w:rPr>
          <w:rFonts w:ascii="Palatino Linotype" w:hAnsi="Palatino Linotype"/>
          <w:sz w:val="24"/>
          <w:szCs w:val="24"/>
        </w:rPr>
      </w:pPr>
      <w:r w:rsidRPr="00C703DC">
        <w:rPr>
          <w:rFonts w:ascii="Palatino Linotype" w:hAnsi="Palatino Linotype"/>
          <w:sz w:val="24"/>
          <w:szCs w:val="24"/>
        </w:rPr>
        <w:t>Es decir, por sí solos las cadenas originales y los sellos originales no contienen datos personales confidenciales, por lo que se considera que no actualizan el supuesto de confidencialidad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14:paraId="388732D9" w14:textId="77777777" w:rsidR="008763BA" w:rsidRPr="00C703DC" w:rsidRDefault="008763BA" w:rsidP="005C2A3E">
      <w:pPr>
        <w:spacing w:after="0" w:line="360" w:lineRule="auto"/>
        <w:jc w:val="both"/>
        <w:rPr>
          <w:rFonts w:ascii="Palatino Linotype" w:hAnsi="Palatino Linotype"/>
          <w:sz w:val="24"/>
          <w:szCs w:val="24"/>
        </w:rPr>
      </w:pPr>
    </w:p>
    <w:p w14:paraId="35B69197" w14:textId="77777777" w:rsidR="008763BA" w:rsidRPr="00C703DC" w:rsidRDefault="008763BA" w:rsidP="005C2A3E">
      <w:pPr>
        <w:spacing w:after="0" w:line="360" w:lineRule="auto"/>
        <w:jc w:val="both"/>
        <w:rPr>
          <w:rFonts w:ascii="Palatino Linotype" w:hAnsi="Palatino Linotype"/>
          <w:sz w:val="24"/>
          <w:szCs w:val="24"/>
        </w:rPr>
      </w:pPr>
      <w:r w:rsidRPr="00C703DC">
        <w:rPr>
          <w:rFonts w:ascii="Palatino Linotype" w:hAnsi="Palatino Linotype"/>
          <w:sz w:val="24"/>
          <w:szCs w:val="24"/>
        </w:rPr>
        <w:t>Sin embargo, existen ocasiones que las cadenas y sellos se conforman de datos personales, tales como, la Clave Única de Registro de Población, el Registro Federal de Contribuyentes o el número de seguridad social, por lo que, en el caso de que alguno de los datos analizados se conforme de información confidencial, deberá clasificarlo en términos del artículo referido.</w:t>
      </w:r>
    </w:p>
    <w:p w14:paraId="37FC10C4" w14:textId="77777777" w:rsidR="008763BA" w:rsidRPr="00C703DC" w:rsidRDefault="008763BA" w:rsidP="005C2A3E">
      <w:pPr>
        <w:spacing w:after="0" w:line="360" w:lineRule="auto"/>
        <w:jc w:val="both"/>
        <w:rPr>
          <w:rFonts w:ascii="Palatino Linotype" w:hAnsi="Palatino Linotype"/>
          <w:b/>
          <w:bCs/>
          <w:sz w:val="24"/>
          <w:szCs w:val="24"/>
        </w:rPr>
      </w:pPr>
    </w:p>
    <w:p w14:paraId="5C1C10E9" w14:textId="77777777" w:rsidR="008763BA" w:rsidRPr="00C703DC" w:rsidRDefault="008763BA" w:rsidP="005C2A3E">
      <w:pPr>
        <w:numPr>
          <w:ilvl w:val="0"/>
          <w:numId w:val="12"/>
        </w:numPr>
        <w:spacing w:after="0" w:line="360" w:lineRule="auto"/>
        <w:jc w:val="both"/>
        <w:rPr>
          <w:rFonts w:ascii="Palatino Linotype" w:hAnsi="Palatino Linotype"/>
          <w:color w:val="000000"/>
          <w:sz w:val="24"/>
          <w:szCs w:val="24"/>
        </w:rPr>
      </w:pPr>
      <w:r w:rsidRPr="00C703DC">
        <w:rPr>
          <w:rFonts w:ascii="Palatino Linotype" w:hAnsi="Palatino Linotype"/>
          <w:b/>
          <w:bCs/>
          <w:color w:val="000000"/>
          <w:sz w:val="24"/>
          <w:szCs w:val="24"/>
        </w:rPr>
        <w:t>Datos Bancarios de Particulares.</w:t>
      </w:r>
    </w:p>
    <w:p w14:paraId="3BC18F17" w14:textId="77777777" w:rsidR="008763BA" w:rsidRPr="00C703DC" w:rsidRDefault="008763BA" w:rsidP="005C2A3E">
      <w:pPr>
        <w:spacing w:after="0" w:line="360" w:lineRule="auto"/>
        <w:jc w:val="both"/>
        <w:rPr>
          <w:rFonts w:ascii="Palatino Linotype" w:hAnsi="Palatino Linotype"/>
          <w:color w:val="000000"/>
          <w:sz w:val="24"/>
          <w:szCs w:val="24"/>
        </w:rPr>
      </w:pPr>
      <w:r w:rsidRPr="00C703DC">
        <w:rPr>
          <w:rFonts w:ascii="Palatino Linotype" w:hAnsi="Palatino Linotype"/>
          <w:color w:val="000000"/>
          <w:sz w:val="24"/>
          <w:szCs w:val="24"/>
        </w:rPr>
        <w:lastRenderedPageBreak/>
        <w:t xml:space="preserve">Al respecto, se estima que dichos datos se relacionan con hechos y actos de carácter económico, pues los mismos darían cuenta, de la relación que tiene una institución financiero con un particular, inclusive dichos datos pudieran conformarse de las cuentas bancarias con las que cuenta un Particular, o bien, la </w:t>
      </w:r>
      <w:proofErr w:type="spellStart"/>
      <w:r w:rsidRPr="00C703DC">
        <w:rPr>
          <w:rFonts w:ascii="Palatino Linotype" w:hAnsi="Palatino Linotype"/>
          <w:color w:val="000000"/>
          <w:sz w:val="24"/>
          <w:szCs w:val="24"/>
        </w:rPr>
        <w:t>clabe</w:t>
      </w:r>
      <w:proofErr w:type="spellEnd"/>
      <w:r w:rsidRPr="00C703DC">
        <w:rPr>
          <w:rFonts w:ascii="Palatino Linotype" w:hAnsi="Palatino Linotype"/>
          <w:color w:val="000000"/>
          <w:sz w:val="24"/>
          <w:szCs w:val="24"/>
        </w:rPr>
        <w:t xml:space="preserve"> interbancaria; además, que con dicha información se podría obtener los recursos enviados a las órdenes de cargo, pago de nómina o a las transferencias electrónicas </w:t>
      </w:r>
      <w:r w:rsidRPr="00C703DC">
        <w:rPr>
          <w:rFonts w:ascii="Palatino Linotype" w:hAnsi="Palatino Linotype"/>
          <w:sz w:val="24"/>
          <w:szCs w:val="24"/>
        </w:rPr>
        <w:t>de fondos</w:t>
      </w:r>
      <w:r w:rsidRPr="00C703DC">
        <w:rPr>
          <w:rFonts w:ascii="Palatino Linotype" w:hAnsi="Palatino Linotype"/>
          <w:color w:val="000000"/>
          <w:sz w:val="24"/>
          <w:szCs w:val="24"/>
        </w:rPr>
        <w:t xml:space="preserve"> interbancarios, entre otros movimientos que sean utilizados exclusivamente en la cuenta señalada por el cliente y por lo tanto, los datos bancarios corresponden a información que se encuentra relacionada con el patrimonio de la persona titular de la cuenta.</w:t>
      </w:r>
    </w:p>
    <w:p w14:paraId="0B9B3409" w14:textId="77777777" w:rsidR="008763BA" w:rsidRPr="00C703DC" w:rsidRDefault="008763BA" w:rsidP="005C2A3E">
      <w:pPr>
        <w:spacing w:after="0" w:line="360" w:lineRule="auto"/>
        <w:jc w:val="both"/>
        <w:rPr>
          <w:rFonts w:ascii="Palatino Linotype" w:hAnsi="Palatino Linotype"/>
          <w:color w:val="000000"/>
          <w:sz w:val="24"/>
          <w:szCs w:val="24"/>
        </w:rPr>
      </w:pPr>
      <w:r w:rsidRPr="00C703DC">
        <w:rPr>
          <w:rFonts w:ascii="Palatino Linotype" w:hAnsi="Palatino Linotype"/>
          <w:color w:val="000000"/>
          <w:sz w:val="24"/>
          <w:szCs w:val="24"/>
        </w:rPr>
        <w:t xml:space="preserve"> </w:t>
      </w:r>
    </w:p>
    <w:p w14:paraId="5C27E61B" w14:textId="77777777" w:rsidR="008763BA" w:rsidRPr="00C703DC" w:rsidRDefault="008763BA" w:rsidP="005C2A3E">
      <w:pPr>
        <w:spacing w:after="0" w:line="360" w:lineRule="auto"/>
        <w:jc w:val="both"/>
        <w:rPr>
          <w:rFonts w:ascii="Palatino Linotype" w:hAnsi="Palatino Linotype"/>
          <w:color w:val="000000"/>
          <w:sz w:val="24"/>
          <w:szCs w:val="24"/>
        </w:rPr>
      </w:pPr>
      <w:r w:rsidRPr="00C703DC">
        <w:rPr>
          <w:rFonts w:ascii="Palatino Linotype" w:hAnsi="Palatino Linotype"/>
          <w:color w:val="000000"/>
          <w:sz w:val="24"/>
          <w:szCs w:val="24"/>
        </w:rPr>
        <w:t>A mayor abundamiento, resulta necesario traer a colación el Criterio 10/17 emitido por el Instituto Nacional de Transparencia, Acceso a la Información y Protección de Datos Personales, mismo que establece lo siguiente:</w:t>
      </w:r>
    </w:p>
    <w:p w14:paraId="278A5D8E" w14:textId="77777777" w:rsidR="001319D6" w:rsidRPr="00C703DC" w:rsidRDefault="001319D6" w:rsidP="005C2A3E">
      <w:pPr>
        <w:spacing w:after="0" w:line="360" w:lineRule="auto"/>
        <w:jc w:val="both"/>
        <w:rPr>
          <w:rFonts w:ascii="Palatino Linotype" w:hAnsi="Palatino Linotype"/>
          <w:color w:val="000000"/>
          <w:sz w:val="24"/>
          <w:szCs w:val="24"/>
        </w:rPr>
      </w:pPr>
    </w:p>
    <w:p w14:paraId="01B3736D" w14:textId="77777777" w:rsidR="008763BA" w:rsidRPr="00C703DC" w:rsidRDefault="008763BA" w:rsidP="005C2A3E">
      <w:pPr>
        <w:spacing w:after="0" w:line="360" w:lineRule="auto"/>
        <w:ind w:left="567" w:right="709"/>
        <w:jc w:val="both"/>
        <w:rPr>
          <w:rFonts w:ascii="Palatino Linotype" w:hAnsi="Palatino Linotype"/>
          <w:i/>
          <w:iCs/>
          <w:color w:val="000000"/>
        </w:rPr>
      </w:pPr>
      <w:r w:rsidRPr="00C703DC">
        <w:rPr>
          <w:rFonts w:ascii="Palatino Linotype" w:hAnsi="Palatino Linotype"/>
          <w:i/>
          <w:iCs/>
          <w:color w:val="000000"/>
        </w:rPr>
        <w:t>“</w:t>
      </w:r>
      <w:r w:rsidRPr="00C703DC">
        <w:rPr>
          <w:rFonts w:ascii="Palatino Linotype" w:hAnsi="Palatino Linotype"/>
          <w:b/>
          <w:bCs/>
          <w:i/>
          <w:iCs/>
          <w:color w:val="000000"/>
        </w:rPr>
        <w:t>Cuentas bancarias y/o CLABE interbancaria de personas físicas y morales privadas.</w:t>
      </w:r>
      <w:r w:rsidRPr="00C703DC">
        <w:rPr>
          <w:rFonts w:ascii="Palatino Linotype" w:hAnsi="Palatino Linotype"/>
          <w:i/>
          <w:iCs/>
          <w:color w:val="000000"/>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5C5FD95D" w14:textId="77777777" w:rsidR="008763BA" w:rsidRPr="00C703DC" w:rsidRDefault="008763BA" w:rsidP="005C2A3E">
      <w:pPr>
        <w:spacing w:after="0" w:line="360" w:lineRule="auto"/>
        <w:jc w:val="both"/>
        <w:rPr>
          <w:rFonts w:ascii="Palatino Linotype" w:hAnsi="Palatino Linotype"/>
          <w:color w:val="000000"/>
          <w:sz w:val="24"/>
          <w:szCs w:val="24"/>
        </w:rPr>
      </w:pPr>
    </w:p>
    <w:p w14:paraId="6422AA8A" w14:textId="77777777" w:rsidR="008763BA" w:rsidRPr="00C703DC" w:rsidRDefault="008763BA" w:rsidP="005C2A3E">
      <w:pPr>
        <w:spacing w:after="0" w:line="360" w:lineRule="auto"/>
        <w:jc w:val="both"/>
        <w:rPr>
          <w:rFonts w:ascii="Palatino Linotype" w:hAnsi="Palatino Linotype"/>
          <w:color w:val="000000"/>
          <w:sz w:val="24"/>
          <w:szCs w:val="24"/>
        </w:rPr>
      </w:pPr>
      <w:r w:rsidRPr="00C703DC">
        <w:rPr>
          <w:rFonts w:ascii="Palatino Linotype" w:hAnsi="Palatino Linotype"/>
          <w:color w:val="000000"/>
          <w:sz w:val="24"/>
          <w:szCs w:val="24"/>
        </w:rPr>
        <w:t xml:space="preserve">Por lo cual, se puede colegir que dichos datos no guardan relación con el servicio público ni con los recursos públicos, pues </w:t>
      </w:r>
      <w:r w:rsidRPr="00C703DC">
        <w:rPr>
          <w:rFonts w:ascii="Palatino Linotype" w:hAnsi="Palatino Linotype"/>
          <w:sz w:val="24"/>
          <w:szCs w:val="24"/>
        </w:rPr>
        <w:t>sólo</w:t>
      </w:r>
      <w:r w:rsidRPr="00C703DC">
        <w:rPr>
          <w:rFonts w:ascii="Palatino Linotype" w:hAnsi="Palatino Linotype"/>
          <w:color w:val="000000"/>
          <w:sz w:val="24"/>
          <w:szCs w:val="24"/>
        </w:rPr>
        <w:t xml:space="preserve"> corresponde a información, que le atañe a la </w:t>
      </w:r>
      <w:r w:rsidRPr="00C703DC">
        <w:rPr>
          <w:rFonts w:ascii="Palatino Linotype" w:hAnsi="Palatino Linotype"/>
          <w:color w:val="000000"/>
          <w:sz w:val="24"/>
          <w:szCs w:val="24"/>
        </w:rPr>
        <w:lastRenderedPageBreak/>
        <w:t>institución financiera y al cliente; por lo que este número constituye información confidencial al pertenecer exclusivamente al ámbito de la vida privada del Particular y procede su clasificación de conformidad con el artículo 143, fracción I, de la Ley de Transparencia y Acceso a la Información Pública del Estado de México y Municipios.</w:t>
      </w:r>
    </w:p>
    <w:p w14:paraId="20F5543D" w14:textId="77777777" w:rsidR="008763BA" w:rsidRPr="00C703DC" w:rsidRDefault="008763BA" w:rsidP="005C2A3E">
      <w:pPr>
        <w:spacing w:after="0" w:line="360" w:lineRule="auto"/>
        <w:jc w:val="both"/>
        <w:rPr>
          <w:rFonts w:ascii="Palatino Linotype" w:hAnsi="Palatino Linotype"/>
          <w:color w:val="000000"/>
          <w:sz w:val="24"/>
          <w:szCs w:val="24"/>
        </w:rPr>
      </w:pPr>
    </w:p>
    <w:p w14:paraId="7EAD7568" w14:textId="77777777" w:rsidR="008763BA" w:rsidRPr="00C703DC" w:rsidRDefault="008763BA" w:rsidP="005C2A3E">
      <w:pPr>
        <w:numPr>
          <w:ilvl w:val="0"/>
          <w:numId w:val="13"/>
        </w:numPr>
        <w:pBdr>
          <w:top w:val="nil"/>
          <w:left w:val="nil"/>
          <w:bottom w:val="nil"/>
          <w:right w:val="nil"/>
          <w:between w:val="nil"/>
        </w:pBdr>
        <w:spacing w:after="0" w:line="360" w:lineRule="auto"/>
        <w:jc w:val="both"/>
        <w:rPr>
          <w:rFonts w:ascii="Palatino Linotype" w:hAnsi="Palatino Linotype"/>
          <w:b/>
          <w:bCs/>
          <w:color w:val="000000"/>
          <w:sz w:val="24"/>
          <w:szCs w:val="24"/>
        </w:rPr>
      </w:pPr>
      <w:r w:rsidRPr="00C703DC">
        <w:rPr>
          <w:rFonts w:ascii="Palatino Linotype" w:hAnsi="Palatino Linotype"/>
          <w:b/>
          <w:bCs/>
          <w:color w:val="000000"/>
          <w:sz w:val="24"/>
          <w:szCs w:val="24"/>
        </w:rPr>
        <w:t>Nombres de personas que no son servidores públicos ni proveedores.</w:t>
      </w:r>
    </w:p>
    <w:p w14:paraId="5F7E2166" w14:textId="77777777" w:rsidR="008763BA" w:rsidRPr="00C703DC" w:rsidRDefault="008763BA" w:rsidP="005C2A3E">
      <w:pPr>
        <w:spacing w:after="0" w:line="360" w:lineRule="auto"/>
        <w:ind w:right="-93"/>
        <w:jc w:val="both"/>
        <w:rPr>
          <w:rFonts w:ascii="Palatino Linotype" w:hAnsi="Palatino Linotype"/>
          <w:b/>
          <w:bCs/>
          <w:sz w:val="24"/>
          <w:szCs w:val="24"/>
        </w:rPr>
      </w:pPr>
      <w:r w:rsidRPr="00C703DC">
        <w:rPr>
          <w:rFonts w:ascii="Palatino Linotype" w:hAnsi="Palatino Linotype"/>
          <w:sz w:val="24"/>
          <w:szCs w:val="24"/>
        </w:rPr>
        <w:t xml:space="preserve">Al respecto, se considera que el nombre se integra con el sustantivo propio y el primer apellido de los padres, en el orden que, de común acuerdo determinen; asimismo es la manifestación principal del derecho subjetivo a la personalidad y atributo de ésta en términos del artículo 2.3 del Código Civil del Estado de México, de tal suerte, el nombre </w:t>
      </w:r>
      <w:r w:rsidRPr="00C703DC">
        <w:rPr>
          <w:rFonts w:ascii="Palatino Linotype" w:hAnsi="Palatino Linotype"/>
          <w:i/>
          <w:iCs/>
          <w:sz w:val="24"/>
          <w:szCs w:val="24"/>
        </w:rPr>
        <w:t>per se</w:t>
      </w:r>
      <w:r w:rsidRPr="00C703DC">
        <w:rPr>
          <w:rFonts w:ascii="Palatino Linotype" w:hAnsi="Palatino Linotype"/>
          <w:sz w:val="24"/>
          <w:szCs w:val="24"/>
        </w:rPr>
        <w:t xml:space="preserve"> es un elemento que hace a una persona física identificada o identificable, por lo que, </w:t>
      </w:r>
      <w:r w:rsidRPr="00C703DC">
        <w:rPr>
          <w:rFonts w:ascii="Palatino Linotype" w:hAnsi="Palatino Linotype"/>
          <w:b/>
          <w:bCs/>
          <w:sz w:val="24"/>
          <w:szCs w:val="24"/>
        </w:rPr>
        <w:t>se considera un dato personal.</w:t>
      </w:r>
    </w:p>
    <w:p w14:paraId="04D42165" w14:textId="77777777" w:rsidR="008763BA" w:rsidRPr="00C703DC" w:rsidRDefault="008763BA" w:rsidP="005C2A3E">
      <w:pPr>
        <w:spacing w:after="0" w:line="360" w:lineRule="auto"/>
        <w:jc w:val="both"/>
        <w:rPr>
          <w:rFonts w:ascii="Palatino Linotype" w:hAnsi="Palatino Linotype"/>
          <w:sz w:val="24"/>
          <w:szCs w:val="24"/>
        </w:rPr>
      </w:pPr>
    </w:p>
    <w:p w14:paraId="5911E347" w14:textId="77777777" w:rsidR="008763BA" w:rsidRPr="00C703DC" w:rsidRDefault="008763BA" w:rsidP="005C2A3E">
      <w:pPr>
        <w:spacing w:after="0" w:line="360" w:lineRule="auto"/>
        <w:jc w:val="both"/>
        <w:rPr>
          <w:rFonts w:ascii="Palatino Linotype" w:hAnsi="Palatino Linotype"/>
          <w:sz w:val="24"/>
          <w:szCs w:val="24"/>
        </w:rPr>
      </w:pPr>
      <w:r w:rsidRPr="00C703DC">
        <w:rPr>
          <w:rFonts w:ascii="Palatino Linotype" w:hAnsi="Palatino Linotype"/>
          <w:sz w:val="24"/>
          <w:szCs w:val="24"/>
        </w:rPr>
        <w:t>Sobre el tema, se tiene presente que este Instituto emitió el Criterio Relevante 01/18, de la Segunda Época de este Instituto, que establece que el nombre del titular de una licencia, es información confidencial, cuando no involucra aprovechamiento de recursos públicos.</w:t>
      </w:r>
    </w:p>
    <w:p w14:paraId="1E48EE7E" w14:textId="77777777" w:rsidR="008763BA" w:rsidRPr="00C703DC" w:rsidRDefault="008763BA" w:rsidP="005C2A3E">
      <w:pPr>
        <w:spacing w:after="0" w:line="360" w:lineRule="auto"/>
        <w:ind w:left="567" w:right="567"/>
        <w:jc w:val="both"/>
        <w:rPr>
          <w:rFonts w:ascii="Palatino Linotype" w:hAnsi="Palatino Linotype"/>
          <w:i/>
          <w:iCs/>
          <w:sz w:val="24"/>
          <w:szCs w:val="24"/>
        </w:rPr>
      </w:pPr>
      <w:r w:rsidRPr="00C703DC">
        <w:rPr>
          <w:rFonts w:ascii="Palatino Linotype" w:hAnsi="Palatino Linotype"/>
          <w:b/>
          <w:bCs/>
          <w:i/>
          <w:iCs/>
        </w:rPr>
        <w:t>“Nombre del titular de una licencia que no involucre el aprovechamiento de bienes, servicios y/o recursos públicos, constituye un dato personal susceptible de clasificar como confidencial.</w:t>
      </w:r>
      <w:r w:rsidRPr="00C703DC">
        <w:rPr>
          <w:rFonts w:ascii="Palatino Linotype" w:hAnsi="Palatino Linotype"/>
          <w:i/>
          <w:iCs/>
        </w:rPr>
        <w:t xml:space="preserve"> El artículo 1, párrafo segundo de la Constitución Política de los Estados Unidos Mexicanos determina que las normas relativas a los derechos humanos se interpretarán de conformidad con la Constitución y con los tratados internacionales de la materia favoreciendo en todo tiempo a las personas la protección más amplia, por su parte el artículo 6, apartado A, fracciones I y II, de dicho ordenamiento establece que toda información en posesión de los sujetos obligados es pública y sólo podrá limitarse de manera justificada por razones de interés público, seguridad nacional, y para proteger la vida privada y datos </w:t>
      </w:r>
      <w:r w:rsidRPr="00C703DC">
        <w:rPr>
          <w:rFonts w:ascii="Palatino Linotype" w:hAnsi="Palatino Linotype"/>
          <w:i/>
          <w:iCs/>
        </w:rPr>
        <w:lastRenderedPageBreak/>
        <w:t>personales en los términos precisados por las Leyes reglamentarias. Ahora bien, el artículo 92, fracción XXXII de la Ley de Transparencia y Acceso a la Información Pública del Estado de México y Municipios, señala que el nombre de los titulares de las licencias es un dato de carácter público, no obstante, para su aplicación, dicho numeral debe ser interpretado de manera armónica y sistemática con el ordenamiento reglamentario de la materia de transparencia y protección de datos personales, pues la intromisión a los datos personales de particulares únicamente se verá justificada cuando se involucre el aprovechamiento de bienes, servicios y/o recursos públicos en términos de lo dispuesto por los artículos 6, 92, fracción XXXII, 122 y 143, fracción I, de la Ley de Transparencia referida en concordancia con lo establecido por los numerales 6 y 15 de la Ley de Protección de Datos Personales en Posesión de Sujetos Obligados de la entidad. En ese sentido, el nombre de los titulares de licencias constituye un dato personal que debe ser tratado bajo los principios y términos de la ley reglamentaria de la materia, y para su publicidad se requerirá que la expedición de la licencia correspondiente involucre el aprovechamiento de bienes, servicios y/o recursos públicos, caso contrario se deberá clasificar como confidencial</w:t>
      </w:r>
      <w:r w:rsidRPr="00C703DC">
        <w:rPr>
          <w:rFonts w:ascii="Palatino Linotype" w:hAnsi="Palatino Linotype"/>
          <w:i/>
          <w:iCs/>
          <w:sz w:val="24"/>
          <w:szCs w:val="24"/>
        </w:rPr>
        <w:t>.”</w:t>
      </w:r>
    </w:p>
    <w:p w14:paraId="6EF20720" w14:textId="77777777" w:rsidR="008763BA" w:rsidRPr="00C703DC" w:rsidRDefault="008763BA" w:rsidP="005C2A3E">
      <w:pPr>
        <w:spacing w:after="0" w:line="360" w:lineRule="auto"/>
        <w:ind w:right="-93"/>
        <w:jc w:val="both"/>
        <w:rPr>
          <w:rFonts w:ascii="Palatino Linotype" w:hAnsi="Palatino Linotype"/>
          <w:sz w:val="24"/>
          <w:szCs w:val="24"/>
        </w:rPr>
      </w:pPr>
    </w:p>
    <w:p w14:paraId="56084F09" w14:textId="77777777" w:rsidR="000D134C" w:rsidRPr="00C703DC" w:rsidRDefault="008763BA" w:rsidP="005C2A3E">
      <w:pPr>
        <w:spacing w:after="0" w:line="360" w:lineRule="auto"/>
        <w:jc w:val="both"/>
        <w:rPr>
          <w:rFonts w:ascii="Palatino Linotype" w:eastAsia="Palatino Linotype" w:hAnsi="Palatino Linotype" w:cs="Palatino Linotype"/>
          <w:sz w:val="24"/>
          <w:szCs w:val="24"/>
          <w:lang w:val="es-ES_tradnl" w:eastAsia="es-MX"/>
        </w:rPr>
      </w:pPr>
      <w:r w:rsidRPr="00C703DC">
        <w:rPr>
          <w:rFonts w:ascii="Palatino Linotype" w:hAnsi="Palatino Linotype"/>
          <w:sz w:val="24"/>
          <w:szCs w:val="24"/>
        </w:rPr>
        <w:t>Con base en lo anterior, procede su eliminación de las versiones públicas, pues actualiza el supuesto previsto en el artículo 143 fracción I de la Ley de Transparencia y Acceso a la Información Pública del Estado de México y Municipios.</w:t>
      </w:r>
      <w:r w:rsidR="008E046C" w:rsidRPr="00C703DC">
        <w:rPr>
          <w:rFonts w:ascii="Palatino Linotype" w:hAnsi="Palatino Linotype"/>
          <w:sz w:val="24"/>
          <w:szCs w:val="24"/>
        </w:rPr>
        <w:t xml:space="preserve"> E</w:t>
      </w:r>
      <w:proofErr w:type="spellStart"/>
      <w:r w:rsidR="000D134C" w:rsidRPr="00C703DC">
        <w:rPr>
          <w:rFonts w:ascii="Palatino Linotype" w:eastAsia="Palatino Linotype" w:hAnsi="Palatino Linotype" w:cs="Palatino Linotype"/>
          <w:sz w:val="24"/>
          <w:szCs w:val="24"/>
          <w:lang w:val="es-ES_tradnl" w:eastAsia="es-MX"/>
        </w:rPr>
        <w:t>ntorno</w:t>
      </w:r>
      <w:proofErr w:type="spellEnd"/>
      <w:r w:rsidR="000D134C" w:rsidRPr="00C703DC">
        <w:rPr>
          <w:rFonts w:ascii="Palatino Linotype" w:eastAsia="Palatino Linotype" w:hAnsi="Palatino Linotype" w:cs="Palatino Linotype"/>
          <w:sz w:val="24"/>
          <w:szCs w:val="24"/>
          <w:lang w:val="es-ES_tradnl" w:eastAsia="es-MX"/>
        </w:rPr>
        <w:t xml:space="preserve"> a lo que aquí nos interesa, los Lineamientos Quincuagésimo sexto, Quincuagésimo séptimo y Quincuagésimo octavo, establecen lo siguiente:</w:t>
      </w:r>
    </w:p>
    <w:p w14:paraId="0233D500" w14:textId="77777777" w:rsidR="001319D6" w:rsidRPr="00C703DC" w:rsidRDefault="001319D6" w:rsidP="005C2A3E">
      <w:pPr>
        <w:spacing w:after="0" w:line="360" w:lineRule="auto"/>
        <w:jc w:val="both"/>
        <w:rPr>
          <w:rFonts w:ascii="Palatino Linotype" w:hAnsi="Palatino Linotype"/>
          <w:sz w:val="24"/>
          <w:szCs w:val="24"/>
        </w:rPr>
      </w:pPr>
    </w:p>
    <w:p w14:paraId="17CCE237" w14:textId="77777777" w:rsidR="000D134C" w:rsidRPr="00C703DC" w:rsidRDefault="000D134C" w:rsidP="005C2A3E">
      <w:pPr>
        <w:spacing w:after="0"/>
        <w:ind w:left="567" w:right="567"/>
        <w:jc w:val="both"/>
        <w:rPr>
          <w:rFonts w:ascii="Palatino Linotype" w:eastAsia="Palatino Linotype" w:hAnsi="Palatino Linotype" w:cs="Palatino Linotype"/>
          <w:i/>
          <w:lang w:val="es-ES_tradnl" w:eastAsia="es-MX"/>
        </w:rPr>
      </w:pPr>
      <w:r w:rsidRPr="00C703DC">
        <w:rPr>
          <w:rFonts w:ascii="Palatino Linotype" w:eastAsia="Palatino Linotype" w:hAnsi="Palatino Linotype" w:cs="Palatino Linotype"/>
          <w:b/>
          <w:i/>
          <w:lang w:val="es-ES_tradnl" w:eastAsia="es-MX"/>
        </w:rPr>
        <w:t>Quincuagésimo sexto.</w:t>
      </w:r>
      <w:r w:rsidRPr="00C703DC">
        <w:rPr>
          <w:rFonts w:ascii="Palatino Linotype" w:eastAsia="Palatino Linotype" w:hAnsi="Palatino Linotype" w:cs="Palatino Linotype"/>
          <w:i/>
          <w:lang w:val="es-ES_tradnl" w:eastAsia="es-MX"/>
        </w:rPr>
        <w:t xml:space="preserve"> 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14:paraId="2A0F1892" w14:textId="77777777" w:rsidR="000D134C" w:rsidRPr="00C703DC" w:rsidRDefault="000D134C" w:rsidP="005C2A3E">
      <w:pPr>
        <w:spacing w:after="0"/>
        <w:ind w:left="567" w:right="567"/>
        <w:jc w:val="both"/>
        <w:rPr>
          <w:rFonts w:ascii="Palatino Linotype" w:eastAsia="Palatino Linotype" w:hAnsi="Palatino Linotype" w:cs="Palatino Linotype"/>
          <w:i/>
          <w:lang w:val="es-ES_tradnl" w:eastAsia="es-MX"/>
        </w:rPr>
      </w:pPr>
    </w:p>
    <w:p w14:paraId="202E628C" w14:textId="77777777" w:rsidR="000D134C" w:rsidRPr="00C703DC" w:rsidRDefault="000D134C" w:rsidP="005C2A3E">
      <w:pPr>
        <w:spacing w:after="0"/>
        <w:ind w:left="567" w:right="567"/>
        <w:jc w:val="both"/>
        <w:rPr>
          <w:rFonts w:ascii="Palatino Linotype" w:eastAsia="Palatino Linotype" w:hAnsi="Palatino Linotype" w:cs="Palatino Linotype"/>
          <w:i/>
          <w:lang w:val="es-ES_tradnl" w:eastAsia="es-MX"/>
        </w:rPr>
      </w:pPr>
      <w:r w:rsidRPr="00C703DC">
        <w:rPr>
          <w:rFonts w:ascii="Palatino Linotype" w:eastAsia="Palatino Linotype" w:hAnsi="Palatino Linotype" w:cs="Palatino Linotype"/>
          <w:b/>
          <w:i/>
          <w:lang w:val="es-ES_tradnl" w:eastAsia="es-MX"/>
        </w:rPr>
        <w:t>Quincuagésimo séptimo.</w:t>
      </w:r>
      <w:r w:rsidRPr="00C703DC">
        <w:rPr>
          <w:rFonts w:ascii="Palatino Linotype" w:eastAsia="Palatino Linotype" w:hAnsi="Palatino Linotype" w:cs="Palatino Linotype"/>
          <w:i/>
          <w:lang w:val="es-ES_tradnl" w:eastAsia="es-MX"/>
        </w:rPr>
        <w:t xml:space="preserve"> Se considera, en principio, como información pública y no podrá omitirse de las versiones públicas la siguiente:</w:t>
      </w:r>
    </w:p>
    <w:p w14:paraId="2E874F9B" w14:textId="77777777" w:rsidR="000D134C" w:rsidRPr="00C703DC" w:rsidRDefault="000D134C" w:rsidP="005C2A3E">
      <w:pPr>
        <w:spacing w:after="0"/>
        <w:ind w:left="567" w:right="567"/>
        <w:jc w:val="both"/>
        <w:rPr>
          <w:rFonts w:ascii="Palatino Linotype" w:eastAsia="Palatino Linotype" w:hAnsi="Palatino Linotype" w:cs="Palatino Linotype"/>
          <w:i/>
          <w:lang w:val="es-ES_tradnl" w:eastAsia="es-MX"/>
        </w:rPr>
      </w:pPr>
      <w:r w:rsidRPr="00C703DC">
        <w:rPr>
          <w:rFonts w:ascii="Palatino Linotype" w:eastAsia="Palatino Linotype" w:hAnsi="Palatino Linotype" w:cs="Palatino Linotype"/>
          <w:i/>
          <w:lang w:val="es-ES_tradnl" w:eastAsia="es-MX"/>
        </w:rPr>
        <w:t xml:space="preserve"> </w:t>
      </w:r>
    </w:p>
    <w:p w14:paraId="1805B05F" w14:textId="77777777" w:rsidR="000D134C" w:rsidRPr="00C703DC" w:rsidRDefault="000D134C" w:rsidP="005C2A3E">
      <w:pPr>
        <w:spacing w:after="0"/>
        <w:ind w:left="567" w:right="567"/>
        <w:jc w:val="both"/>
        <w:rPr>
          <w:rFonts w:ascii="Palatino Linotype" w:eastAsia="Palatino Linotype" w:hAnsi="Palatino Linotype" w:cs="Palatino Linotype"/>
          <w:i/>
          <w:lang w:val="es-ES_tradnl" w:eastAsia="es-MX"/>
        </w:rPr>
      </w:pPr>
      <w:r w:rsidRPr="00C703DC">
        <w:rPr>
          <w:rFonts w:ascii="Palatino Linotype" w:eastAsia="Palatino Linotype" w:hAnsi="Palatino Linotype" w:cs="Palatino Linotype"/>
          <w:i/>
          <w:lang w:val="es-ES_tradnl" w:eastAsia="es-MX"/>
        </w:rPr>
        <w:t xml:space="preserve">I. La relativa a las Obligaciones de Transparencia que contempla el Título V de la Ley General y las demás disposiciones legales aplicables; </w:t>
      </w:r>
    </w:p>
    <w:p w14:paraId="2D4BF5CB" w14:textId="77777777" w:rsidR="000D134C" w:rsidRPr="00C703DC" w:rsidRDefault="000D134C" w:rsidP="005C2A3E">
      <w:pPr>
        <w:spacing w:after="0"/>
        <w:ind w:left="567" w:right="567"/>
        <w:jc w:val="both"/>
        <w:rPr>
          <w:rFonts w:ascii="Palatino Linotype" w:eastAsia="Palatino Linotype" w:hAnsi="Palatino Linotype" w:cs="Palatino Linotype"/>
          <w:i/>
          <w:lang w:val="es-ES_tradnl" w:eastAsia="es-MX"/>
        </w:rPr>
      </w:pPr>
      <w:r w:rsidRPr="00C703DC">
        <w:rPr>
          <w:rFonts w:ascii="Palatino Linotype" w:eastAsia="Palatino Linotype" w:hAnsi="Palatino Linotype" w:cs="Palatino Linotype"/>
          <w:i/>
          <w:lang w:val="es-ES_tradnl" w:eastAsia="es-MX"/>
        </w:rPr>
        <w:t xml:space="preserve">II. El nombre de los integrantes de los sujetos obligados en los documentos, y sus firmas autógrafas o digitales, cuando sean utilizados en el ejercicio de las facultades conferidas para el desempeño del servicio público, y </w:t>
      </w:r>
    </w:p>
    <w:p w14:paraId="562138F2" w14:textId="77777777" w:rsidR="000D134C" w:rsidRPr="00C703DC" w:rsidRDefault="000D134C" w:rsidP="005C2A3E">
      <w:pPr>
        <w:spacing w:after="0"/>
        <w:ind w:left="567" w:right="567"/>
        <w:jc w:val="both"/>
        <w:rPr>
          <w:rFonts w:ascii="Palatino Linotype" w:eastAsia="Palatino Linotype" w:hAnsi="Palatino Linotype" w:cs="Palatino Linotype"/>
          <w:i/>
          <w:lang w:val="es-ES_tradnl" w:eastAsia="es-MX"/>
        </w:rPr>
      </w:pPr>
      <w:r w:rsidRPr="00C703DC">
        <w:rPr>
          <w:rFonts w:ascii="Palatino Linotype" w:eastAsia="Palatino Linotype" w:hAnsi="Palatino Linotype" w:cs="Palatino Linotype"/>
          <w:i/>
          <w:lang w:val="es-ES_tradnl" w:eastAsia="es-MX"/>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539291B3" w14:textId="77777777" w:rsidR="000D134C" w:rsidRPr="00C703DC" w:rsidRDefault="000D134C" w:rsidP="005C2A3E">
      <w:pPr>
        <w:spacing w:after="0"/>
        <w:ind w:left="567" w:right="567"/>
        <w:jc w:val="both"/>
        <w:rPr>
          <w:rFonts w:ascii="Palatino Linotype" w:eastAsia="Palatino Linotype" w:hAnsi="Palatino Linotype" w:cs="Palatino Linotype"/>
          <w:i/>
          <w:lang w:val="es-ES_tradnl" w:eastAsia="es-MX"/>
        </w:rPr>
      </w:pPr>
    </w:p>
    <w:p w14:paraId="38EC6E8C" w14:textId="77777777" w:rsidR="000D134C" w:rsidRPr="00C703DC" w:rsidRDefault="000D134C" w:rsidP="005C2A3E">
      <w:pPr>
        <w:spacing w:after="0"/>
        <w:ind w:left="567" w:right="567"/>
        <w:jc w:val="both"/>
        <w:rPr>
          <w:rFonts w:ascii="Palatino Linotype" w:eastAsia="Palatino Linotype" w:hAnsi="Palatino Linotype" w:cs="Palatino Linotype"/>
          <w:i/>
          <w:lang w:val="es-ES_tradnl" w:eastAsia="es-MX"/>
        </w:rPr>
      </w:pPr>
      <w:r w:rsidRPr="00C703DC">
        <w:rPr>
          <w:rFonts w:ascii="Palatino Linotype" w:eastAsia="Palatino Linotype" w:hAnsi="Palatino Linotype" w:cs="Palatino Linotype"/>
          <w:i/>
          <w:lang w:val="es-ES_tradnl" w:eastAsia="es-MX"/>
        </w:rPr>
        <w:t xml:space="preserve">Lo anterior, siempre y cuando no se acredite alguna causal de clasificación, prevista en las leyes o en los tratados internacionales suscritos por el Estado mexicano. </w:t>
      </w:r>
    </w:p>
    <w:p w14:paraId="6159C7A0" w14:textId="77777777" w:rsidR="000D134C" w:rsidRPr="00C703DC" w:rsidRDefault="000D134C" w:rsidP="005C2A3E">
      <w:pPr>
        <w:spacing w:after="0"/>
        <w:ind w:left="567" w:right="567"/>
        <w:jc w:val="both"/>
        <w:rPr>
          <w:rFonts w:ascii="Palatino Linotype" w:eastAsia="Palatino Linotype" w:hAnsi="Palatino Linotype" w:cs="Palatino Linotype"/>
          <w:i/>
          <w:lang w:val="es-ES_tradnl" w:eastAsia="es-MX"/>
        </w:rPr>
      </w:pPr>
    </w:p>
    <w:p w14:paraId="4C4C2C00" w14:textId="77777777" w:rsidR="000D134C" w:rsidRPr="00C703DC" w:rsidRDefault="000D134C" w:rsidP="005C2A3E">
      <w:pPr>
        <w:spacing w:after="0"/>
        <w:ind w:left="567" w:right="567"/>
        <w:jc w:val="both"/>
        <w:rPr>
          <w:rFonts w:ascii="Palatino Linotype" w:eastAsia="Palatino Linotype" w:hAnsi="Palatino Linotype" w:cs="Palatino Linotype"/>
          <w:i/>
          <w:lang w:val="es-ES_tradnl" w:eastAsia="es-MX"/>
        </w:rPr>
      </w:pPr>
      <w:r w:rsidRPr="00C703DC">
        <w:rPr>
          <w:rFonts w:ascii="Palatino Linotype" w:eastAsia="Palatino Linotype" w:hAnsi="Palatino Linotype" w:cs="Palatino Linotype"/>
          <w:b/>
          <w:i/>
          <w:lang w:val="es-ES_tradnl" w:eastAsia="es-MX"/>
        </w:rPr>
        <w:t>Quincuagésimo octavo.</w:t>
      </w:r>
      <w:r w:rsidRPr="00C703DC">
        <w:rPr>
          <w:rFonts w:ascii="Palatino Linotype" w:eastAsia="Palatino Linotype" w:hAnsi="Palatino Linotype" w:cs="Palatino Linotype"/>
          <w:i/>
          <w:lang w:val="es-ES_tradnl" w:eastAsia="es-MX"/>
        </w:rPr>
        <w:t xml:space="preserve"> Los sujetos obligados garantizarán que los sistemas o medios empleados para eliminar la información en las versiones públicas sean irreversibles, de tal forma que no permitan la recuperación o la visualización de la misma.</w:t>
      </w:r>
    </w:p>
    <w:p w14:paraId="2140E4E7" w14:textId="77777777" w:rsidR="000D134C" w:rsidRPr="00C703DC" w:rsidRDefault="000D134C" w:rsidP="005C2A3E">
      <w:pPr>
        <w:spacing w:after="0" w:line="360" w:lineRule="auto"/>
        <w:jc w:val="both"/>
        <w:rPr>
          <w:rFonts w:ascii="Palatino Linotype" w:eastAsia="Palatino Linotype" w:hAnsi="Palatino Linotype" w:cs="Palatino Linotype"/>
          <w:i/>
          <w:sz w:val="24"/>
          <w:szCs w:val="24"/>
          <w:lang w:val="es-ES_tradnl" w:eastAsia="es-MX"/>
        </w:rPr>
      </w:pPr>
    </w:p>
    <w:p w14:paraId="519A30C8" w14:textId="77777777" w:rsidR="000D134C" w:rsidRPr="00C703DC" w:rsidRDefault="000D134C" w:rsidP="005C2A3E">
      <w:pPr>
        <w:spacing w:after="0" w:line="360" w:lineRule="auto"/>
        <w:jc w:val="both"/>
        <w:rPr>
          <w:rFonts w:ascii="Palatino Linotype" w:eastAsia="Palatino Linotype" w:hAnsi="Palatino Linotype" w:cs="Palatino Linotype"/>
          <w:sz w:val="24"/>
          <w:szCs w:val="24"/>
          <w:lang w:val="es-ES_tradnl" w:eastAsia="es-MX"/>
        </w:rPr>
      </w:pPr>
      <w:r w:rsidRPr="00C703DC">
        <w:rPr>
          <w:rFonts w:ascii="Palatino Linotype" w:eastAsia="Palatino Linotype" w:hAnsi="Palatino Linotype" w:cs="Palatino Linotype"/>
          <w:sz w:val="24"/>
          <w:szCs w:val="24"/>
          <w:lang w:val="es-ES_tradnl" w:eastAsia="es-MX"/>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 Por lo que respecta al Acuerdo del Comité de Transparencia </w:t>
      </w:r>
      <w:r w:rsidRPr="00C703DC">
        <w:rPr>
          <w:rFonts w:ascii="Palatino Linotype" w:eastAsia="Palatino Linotype" w:hAnsi="Palatino Linotype" w:cs="Palatino Linotype"/>
          <w:sz w:val="24"/>
          <w:szCs w:val="24"/>
          <w:lang w:val="es-ES_tradnl" w:eastAsia="es-MX"/>
        </w:rPr>
        <w:lastRenderedPageBreak/>
        <w:t>que sustente la versión pública de la documentación a entregar, deberá ser notificado mediante el SAIMEX.</w:t>
      </w:r>
    </w:p>
    <w:p w14:paraId="234E51B5" w14:textId="77777777" w:rsidR="00C165C6" w:rsidRPr="00C703DC" w:rsidRDefault="00C165C6" w:rsidP="005C2A3E">
      <w:pPr>
        <w:spacing w:after="0" w:line="360" w:lineRule="auto"/>
        <w:jc w:val="both"/>
        <w:rPr>
          <w:rFonts w:ascii="Palatino Linotype" w:eastAsia="Palatino Linotype" w:hAnsi="Palatino Linotype" w:cs="Palatino Linotype"/>
          <w:sz w:val="24"/>
          <w:szCs w:val="24"/>
          <w:lang w:val="es-ES_tradnl" w:eastAsia="es-MX"/>
        </w:rPr>
      </w:pPr>
    </w:p>
    <w:p w14:paraId="0EA1598F" w14:textId="77777777" w:rsidR="000D134C" w:rsidRPr="00C703DC" w:rsidRDefault="000D134C" w:rsidP="005C2A3E">
      <w:pPr>
        <w:spacing w:after="0" w:line="360" w:lineRule="auto"/>
        <w:jc w:val="both"/>
        <w:rPr>
          <w:rFonts w:ascii="Palatino Linotype" w:hAnsi="Palatino Linotype" w:cs="Arial"/>
          <w:sz w:val="24"/>
          <w:szCs w:val="24"/>
        </w:rPr>
      </w:pPr>
      <w:r w:rsidRPr="00C703DC">
        <w:rPr>
          <w:rFonts w:ascii="Palatino Linotype" w:hAnsi="Palatino Linotype" w:cs="Arial"/>
          <w:sz w:val="24"/>
          <w:szCs w:val="24"/>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5EF57D64" w14:textId="77777777" w:rsidR="000D134C" w:rsidRPr="00C703DC" w:rsidRDefault="000D134C" w:rsidP="005C2A3E">
      <w:pPr>
        <w:spacing w:after="0" w:line="360" w:lineRule="auto"/>
        <w:jc w:val="both"/>
        <w:rPr>
          <w:rFonts w:ascii="Palatino Linotype" w:hAnsi="Palatino Linotype" w:cs="Arial"/>
          <w:sz w:val="24"/>
          <w:szCs w:val="24"/>
        </w:rPr>
      </w:pPr>
    </w:p>
    <w:p w14:paraId="0AD8593F" w14:textId="77777777" w:rsidR="000D134C" w:rsidRPr="00C703DC" w:rsidRDefault="000D134C" w:rsidP="005C2A3E">
      <w:pPr>
        <w:spacing w:after="0" w:line="360" w:lineRule="auto"/>
        <w:jc w:val="both"/>
        <w:rPr>
          <w:rFonts w:ascii="Palatino Linotype" w:hAnsi="Palatino Linotype" w:cs="Arial"/>
          <w:sz w:val="24"/>
          <w:szCs w:val="24"/>
        </w:rPr>
      </w:pPr>
      <w:r w:rsidRPr="00C703DC">
        <w:rPr>
          <w:rFonts w:ascii="Palatino Linotype" w:hAnsi="Palatino Linotype" w:cs="Arial"/>
          <w:sz w:val="24"/>
          <w:szCs w:val="24"/>
        </w:rPr>
        <w:t>Por tanto, la fundamentación y motivación consiste en la obligación que tiene todo ente público de expresar los preceptos jurídicos aplicables al asunto motivo del acto y las razones o argumentos de su actuar.</w:t>
      </w:r>
      <w:r w:rsidR="000C7439" w:rsidRPr="00C703DC">
        <w:rPr>
          <w:rFonts w:ascii="Palatino Linotype" w:hAnsi="Palatino Linotype" w:cs="Arial"/>
          <w:sz w:val="24"/>
          <w:szCs w:val="24"/>
        </w:rPr>
        <w:t xml:space="preserve"> </w:t>
      </w:r>
      <w:r w:rsidRPr="00C703DC">
        <w:rPr>
          <w:rFonts w:ascii="Palatino Linotype" w:hAnsi="Palatino Linotype" w:cs="Arial"/>
          <w:sz w:val="24"/>
          <w:szCs w:val="24"/>
        </w:rPr>
        <w:t>Al respecto, el máximo tribunal del país ha establecido jurisprudencia respecto a qué debe entenderse por fundamentación y motivación, en los siguientes términos:</w:t>
      </w:r>
    </w:p>
    <w:p w14:paraId="197F0E42" w14:textId="77777777" w:rsidR="001319D6" w:rsidRPr="00C703DC" w:rsidRDefault="001319D6" w:rsidP="005C2A3E">
      <w:pPr>
        <w:spacing w:after="0" w:line="360" w:lineRule="auto"/>
        <w:jc w:val="both"/>
        <w:rPr>
          <w:rFonts w:ascii="Palatino Linotype" w:hAnsi="Palatino Linotype" w:cs="Arial"/>
          <w:sz w:val="24"/>
          <w:szCs w:val="24"/>
        </w:rPr>
      </w:pPr>
    </w:p>
    <w:p w14:paraId="28E4794A" w14:textId="77777777" w:rsidR="000D134C" w:rsidRPr="00C703DC" w:rsidRDefault="000D134C" w:rsidP="005C2A3E">
      <w:pPr>
        <w:spacing w:after="0" w:line="360" w:lineRule="auto"/>
        <w:ind w:left="567" w:right="567"/>
        <w:jc w:val="both"/>
        <w:rPr>
          <w:rFonts w:ascii="Palatino Linotype" w:hAnsi="Palatino Linotype" w:cs="Arial"/>
          <w:i/>
        </w:rPr>
      </w:pPr>
      <w:r w:rsidRPr="00C703DC">
        <w:rPr>
          <w:rFonts w:ascii="Palatino Linotype" w:hAnsi="Palatino Linotype" w:cs="Arial"/>
          <w:b/>
          <w:i/>
        </w:rPr>
        <w:t>FUNDAMENTACIÓN Y MOTIVACIÓN</w:t>
      </w:r>
      <w:r w:rsidRPr="00C703DC">
        <w:rPr>
          <w:rFonts w:ascii="Palatino Linotype" w:hAnsi="Palatino Linotype" w:cs="Arial"/>
          <w:i/>
        </w:rPr>
        <w:t xml:space="preserve">. La debida fundamentación y motivación legal, deben entenderse, por lo primero, la cita del precepto legal aplicable al caso, y por lo segundo, las razones, motivos o circunstancias especiales que llevaron a la autoridad a concluir que el </w:t>
      </w:r>
      <w:r w:rsidRPr="00C703DC">
        <w:rPr>
          <w:rFonts w:ascii="Palatino Linotype" w:hAnsi="Palatino Linotype" w:cs="Arial"/>
          <w:i/>
        </w:rPr>
        <w:lastRenderedPageBreak/>
        <w:t>caso particular encuadra en el supuesto previsto por la norma legal invocada como fundamento.</w:t>
      </w:r>
    </w:p>
    <w:p w14:paraId="3A52C8BB" w14:textId="77777777" w:rsidR="001319D6" w:rsidRPr="00C703DC" w:rsidRDefault="001319D6" w:rsidP="005C2A3E">
      <w:pPr>
        <w:spacing w:after="0" w:line="360" w:lineRule="auto"/>
        <w:ind w:left="567" w:right="567"/>
        <w:jc w:val="both"/>
        <w:rPr>
          <w:rFonts w:ascii="Palatino Linotype" w:hAnsi="Palatino Linotype" w:cs="Arial"/>
          <w:i/>
        </w:rPr>
      </w:pPr>
    </w:p>
    <w:p w14:paraId="600DD696" w14:textId="77777777" w:rsidR="000D134C" w:rsidRPr="00C703DC" w:rsidRDefault="000D134C" w:rsidP="005C2A3E">
      <w:pPr>
        <w:spacing w:after="0" w:line="360" w:lineRule="auto"/>
        <w:jc w:val="both"/>
        <w:rPr>
          <w:rFonts w:ascii="Palatino Linotype" w:hAnsi="Palatino Linotype" w:cs="Arial"/>
          <w:sz w:val="24"/>
          <w:szCs w:val="24"/>
        </w:rPr>
      </w:pPr>
      <w:r w:rsidRPr="00C703DC">
        <w:rPr>
          <w:rFonts w:ascii="Palatino Linotype" w:hAnsi="Palatino Linotype" w:cs="Arial"/>
          <w:sz w:val="24"/>
          <w:szCs w:val="24"/>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0DEE1602" w14:textId="77777777" w:rsidR="000D134C" w:rsidRPr="00C703DC" w:rsidRDefault="000D134C" w:rsidP="005C2A3E">
      <w:pPr>
        <w:spacing w:after="0" w:line="360" w:lineRule="auto"/>
        <w:jc w:val="both"/>
        <w:rPr>
          <w:rFonts w:ascii="Palatino Linotype" w:hAnsi="Palatino Linotype" w:cs="Arial"/>
          <w:sz w:val="24"/>
          <w:szCs w:val="24"/>
        </w:rPr>
      </w:pPr>
    </w:p>
    <w:p w14:paraId="01CEF238" w14:textId="77777777" w:rsidR="000D134C" w:rsidRPr="00C703DC" w:rsidRDefault="000D134C" w:rsidP="005C2A3E">
      <w:pPr>
        <w:spacing w:after="0" w:line="360" w:lineRule="auto"/>
        <w:jc w:val="both"/>
        <w:rPr>
          <w:rFonts w:ascii="Palatino Linotype" w:hAnsi="Palatino Linotype" w:cs="Arial"/>
          <w:sz w:val="24"/>
          <w:szCs w:val="24"/>
        </w:rPr>
      </w:pPr>
      <w:r w:rsidRPr="00C703DC">
        <w:rPr>
          <w:rFonts w:ascii="Palatino Linotype" w:hAnsi="Palatino Linotype" w:cs="Arial"/>
          <w:sz w:val="24"/>
          <w:szCs w:val="24"/>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14EB74BE" w14:textId="77777777" w:rsidR="001319D6" w:rsidRPr="00C703DC" w:rsidRDefault="001319D6" w:rsidP="005C2A3E">
      <w:pPr>
        <w:spacing w:after="0" w:line="360" w:lineRule="auto"/>
        <w:jc w:val="both"/>
        <w:rPr>
          <w:rFonts w:ascii="Palatino Linotype" w:hAnsi="Palatino Linotype" w:cs="Arial"/>
          <w:sz w:val="24"/>
          <w:szCs w:val="24"/>
        </w:rPr>
      </w:pPr>
    </w:p>
    <w:p w14:paraId="7B2EF740" w14:textId="77777777" w:rsidR="000D134C" w:rsidRPr="00C703DC" w:rsidRDefault="000D134C" w:rsidP="005C2A3E">
      <w:pPr>
        <w:spacing w:after="0" w:line="360" w:lineRule="auto"/>
        <w:ind w:left="567" w:right="567"/>
        <w:jc w:val="both"/>
        <w:rPr>
          <w:rFonts w:ascii="Palatino Linotype" w:hAnsi="Palatino Linotype" w:cs="Arial"/>
          <w:i/>
        </w:rPr>
      </w:pPr>
      <w:r w:rsidRPr="00C703DC">
        <w:rPr>
          <w:rFonts w:ascii="Palatino Linotype" w:hAnsi="Palatino Linotype" w:cs="Arial"/>
          <w:b/>
          <w:i/>
        </w:rPr>
        <w:t>FUNDAMENTACIÓN Y MOTIVACIÓN. EL ASPECTO FORMAL DE LA GARANTÍA Y SU FINALIDAD SE TRADUCEN EN EXPLICAR, JUSTIFICAR, POSIBILITAR LA DEFENSA Y COMUNICAR LA DECISIÓN.</w:t>
      </w:r>
      <w:r w:rsidRPr="00C703DC">
        <w:rPr>
          <w:rFonts w:ascii="Palatino Linotype" w:hAnsi="Palatino Linotype" w:cs="Arial"/>
          <w:i/>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w:t>
      </w:r>
      <w:r w:rsidRPr="00C703DC">
        <w:rPr>
          <w:rFonts w:ascii="Palatino Linotype" w:hAnsi="Palatino Linotype" w:cs="Arial"/>
          <w:i/>
        </w:rPr>
        <w:lastRenderedPageBreak/>
        <w:t>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53D05933" w14:textId="77777777" w:rsidR="000D134C" w:rsidRPr="00C703DC" w:rsidRDefault="000D134C" w:rsidP="005C2A3E">
      <w:pPr>
        <w:spacing w:after="0" w:line="360" w:lineRule="auto"/>
        <w:jc w:val="both"/>
        <w:rPr>
          <w:rFonts w:ascii="Palatino Linotype" w:hAnsi="Palatino Linotype" w:cs="Arial"/>
        </w:rPr>
      </w:pPr>
    </w:p>
    <w:p w14:paraId="7AFAC92C" w14:textId="77777777" w:rsidR="000D134C" w:rsidRPr="00C703DC" w:rsidRDefault="000D134C" w:rsidP="005C2A3E">
      <w:pPr>
        <w:spacing w:after="0" w:line="360" w:lineRule="auto"/>
        <w:jc w:val="both"/>
        <w:rPr>
          <w:rFonts w:ascii="Palatino Linotype" w:hAnsi="Palatino Linotype" w:cs="Arial"/>
          <w:sz w:val="24"/>
          <w:szCs w:val="24"/>
        </w:rPr>
      </w:pPr>
      <w:r w:rsidRPr="00C703DC">
        <w:rPr>
          <w:rFonts w:ascii="Palatino Linotype" w:hAnsi="Palatino Linotype" w:cs="Arial"/>
          <w:sz w:val="24"/>
          <w:szCs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0204A06A" w14:textId="77777777" w:rsidR="000D134C" w:rsidRPr="00C703DC" w:rsidRDefault="000D134C" w:rsidP="005C2A3E">
      <w:pPr>
        <w:spacing w:after="0" w:line="360" w:lineRule="auto"/>
        <w:jc w:val="both"/>
        <w:rPr>
          <w:rFonts w:ascii="Palatino Linotype" w:hAnsi="Palatino Linotype" w:cs="Arial"/>
          <w:sz w:val="24"/>
          <w:szCs w:val="24"/>
        </w:rPr>
      </w:pPr>
    </w:p>
    <w:p w14:paraId="068AA6B4" w14:textId="77777777" w:rsidR="000D134C" w:rsidRPr="00C703DC" w:rsidRDefault="000D134C" w:rsidP="005C2A3E">
      <w:pPr>
        <w:spacing w:after="0" w:line="360" w:lineRule="auto"/>
        <w:jc w:val="both"/>
        <w:rPr>
          <w:rFonts w:ascii="Palatino Linotype" w:hAnsi="Palatino Linotype" w:cs="Arial"/>
          <w:sz w:val="24"/>
          <w:szCs w:val="24"/>
        </w:rPr>
      </w:pPr>
      <w:r w:rsidRPr="00C703DC">
        <w:rPr>
          <w:rFonts w:ascii="Palatino Linotype" w:hAnsi="Palatino Linotype" w:cs="Arial"/>
          <w:sz w:val="24"/>
          <w:szCs w:val="24"/>
        </w:rPr>
        <w:t>Por lo tanto, la entrega de documentos en su versión pública debe acompañarse necesariamente del Acuerdo del Comité de Transparencia del Sujeto Obligado 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1029F09B" w14:textId="77777777" w:rsidR="000D134C" w:rsidRPr="00C703DC" w:rsidRDefault="000D134C" w:rsidP="005C2A3E">
      <w:pPr>
        <w:spacing w:after="0" w:line="360" w:lineRule="auto"/>
        <w:jc w:val="both"/>
        <w:rPr>
          <w:rFonts w:ascii="Palatino Linotype" w:hAnsi="Palatino Linotype" w:cs="Arial"/>
        </w:rPr>
      </w:pPr>
    </w:p>
    <w:p w14:paraId="27EA6974" w14:textId="3800CFAA" w:rsidR="001319D6" w:rsidRPr="00C703DC" w:rsidRDefault="001319D6" w:rsidP="001319D6">
      <w:pPr>
        <w:spacing w:after="0" w:line="360" w:lineRule="auto"/>
        <w:jc w:val="both"/>
        <w:rPr>
          <w:rFonts w:ascii="Palatino Linotype" w:hAnsi="Palatino Linotype"/>
          <w:sz w:val="24"/>
          <w:szCs w:val="24"/>
        </w:rPr>
      </w:pPr>
      <w:r w:rsidRPr="00C703DC">
        <w:rPr>
          <w:rFonts w:ascii="Palatino Linotype" w:eastAsia="Calibri" w:hAnsi="Palatino Linotype"/>
          <w:sz w:val="24"/>
          <w:szCs w:val="24"/>
        </w:rPr>
        <w:lastRenderedPageBreak/>
        <w:t>En mérito de lo expuesto en líneas anteriores,</w:t>
      </w:r>
      <w:r w:rsidRPr="00C703DC">
        <w:rPr>
          <w:sz w:val="24"/>
          <w:szCs w:val="24"/>
        </w:rPr>
        <w:t xml:space="preserve"> </w:t>
      </w:r>
      <w:r w:rsidRPr="00C703DC">
        <w:rPr>
          <w:rFonts w:ascii="Palatino Linotype" w:eastAsia="Calibri" w:hAnsi="Palatino Linotype"/>
          <w:sz w:val="24"/>
          <w:szCs w:val="24"/>
        </w:rPr>
        <w:t xml:space="preserve">con fundamento en la primera hipótesis del artículo 186 fracción III de la Ley de Transparencia y Acceso a la Información Pública del Estado de México y Municipios, se </w:t>
      </w:r>
      <w:r w:rsidRPr="00C703DC">
        <w:rPr>
          <w:rFonts w:ascii="Palatino Linotype" w:eastAsia="Calibri" w:hAnsi="Palatino Linotype"/>
          <w:b/>
          <w:sz w:val="24"/>
          <w:szCs w:val="24"/>
        </w:rPr>
        <w:t xml:space="preserve">REVOCA </w:t>
      </w:r>
      <w:r w:rsidRPr="00C703DC">
        <w:rPr>
          <w:rFonts w:ascii="Palatino Linotype" w:eastAsia="Calibri" w:hAnsi="Palatino Linotype"/>
          <w:sz w:val="24"/>
          <w:szCs w:val="24"/>
        </w:rPr>
        <w:t xml:space="preserve">la respuesta emitida a la solicitud de información número </w:t>
      </w:r>
      <w:r w:rsidRPr="00C703DC">
        <w:rPr>
          <w:rFonts w:ascii="Palatino Linotype" w:eastAsia="Palatino Linotype" w:hAnsi="Palatino Linotype" w:cs="Palatino Linotype"/>
          <w:b/>
          <w:bCs/>
          <w:color w:val="000000"/>
          <w:sz w:val="24"/>
          <w:szCs w:val="24"/>
          <w:lang w:eastAsia="es-MX"/>
        </w:rPr>
        <w:t xml:space="preserve">00084/TEZOYUCA/IP/2025 </w:t>
      </w:r>
      <w:r w:rsidRPr="00C703DC">
        <w:rPr>
          <w:rFonts w:ascii="Palatino Linotype" w:eastAsia="Calibri" w:hAnsi="Palatino Linotype"/>
          <w:sz w:val="24"/>
          <w:szCs w:val="24"/>
        </w:rPr>
        <w:t xml:space="preserve">por resultar </w:t>
      </w:r>
      <w:r w:rsidRPr="00C703DC">
        <w:rPr>
          <w:rFonts w:ascii="Palatino Linotype" w:hAnsi="Palatino Linotype"/>
          <w:sz w:val="24"/>
          <w:szCs w:val="24"/>
          <w:lang w:eastAsia="es-ES"/>
        </w:rPr>
        <w:t xml:space="preserve">fundados los motivos de inconformidad que arguye </w:t>
      </w:r>
      <w:r w:rsidRPr="00C703DC">
        <w:rPr>
          <w:rFonts w:ascii="Palatino Linotype" w:hAnsi="Palatino Linotype"/>
          <w:b/>
          <w:sz w:val="24"/>
          <w:szCs w:val="24"/>
          <w:lang w:eastAsia="es-ES"/>
        </w:rPr>
        <w:t>el Recurrente</w:t>
      </w:r>
      <w:r w:rsidRPr="00C703DC">
        <w:rPr>
          <w:rFonts w:ascii="Palatino Linotype" w:hAnsi="Palatino Linotype"/>
          <w:sz w:val="24"/>
          <w:szCs w:val="24"/>
          <w:lang w:eastAsia="es-ES"/>
        </w:rPr>
        <w:t xml:space="preserve"> en sus medios de impugnación</w:t>
      </w:r>
      <w:r w:rsidRPr="00C703DC">
        <w:rPr>
          <w:rFonts w:ascii="Palatino Linotype" w:hAnsi="Palatino Linotype"/>
          <w:b/>
          <w:sz w:val="24"/>
          <w:szCs w:val="24"/>
          <w:lang w:eastAsia="es-ES"/>
        </w:rPr>
        <w:t xml:space="preserve"> </w:t>
      </w:r>
      <w:r w:rsidRPr="00C703DC">
        <w:rPr>
          <w:rFonts w:ascii="Palatino Linotype" w:hAnsi="Palatino Linotype"/>
          <w:bCs/>
          <w:sz w:val="24"/>
          <w:szCs w:val="24"/>
          <w:lang w:eastAsia="es-ES"/>
        </w:rPr>
        <w:t>que han sido materia del presente fallo</w:t>
      </w:r>
      <w:r w:rsidRPr="00C703DC">
        <w:rPr>
          <w:rFonts w:ascii="Palatino Linotype" w:hAnsi="Palatino Linotype"/>
          <w:sz w:val="24"/>
          <w:szCs w:val="24"/>
          <w:lang w:eastAsia="es-ES"/>
        </w:rPr>
        <w:t>.</w:t>
      </w:r>
      <w:r w:rsidR="000D134C" w:rsidRPr="00C703DC">
        <w:rPr>
          <w:rFonts w:ascii="Palatino Linotype" w:hAnsi="Palatino Linotype"/>
          <w:sz w:val="24"/>
          <w:szCs w:val="24"/>
        </w:rPr>
        <w:t>;</w:t>
      </w:r>
    </w:p>
    <w:p w14:paraId="66DC451B" w14:textId="77777777" w:rsidR="001319D6" w:rsidRPr="00C703DC" w:rsidRDefault="001319D6" w:rsidP="005C2A3E">
      <w:pPr>
        <w:spacing w:after="0" w:line="276" w:lineRule="auto"/>
        <w:jc w:val="both"/>
        <w:rPr>
          <w:rFonts w:ascii="Palatino Linotype" w:hAnsi="Palatino Linotype"/>
          <w:sz w:val="24"/>
          <w:szCs w:val="24"/>
        </w:rPr>
      </w:pPr>
    </w:p>
    <w:p w14:paraId="0CC83157" w14:textId="77777777" w:rsidR="000D134C" w:rsidRPr="00C703DC" w:rsidRDefault="000D134C" w:rsidP="005C2A3E">
      <w:pPr>
        <w:spacing w:after="0" w:line="360" w:lineRule="auto"/>
        <w:jc w:val="center"/>
        <w:rPr>
          <w:rFonts w:ascii="Palatino Linotype" w:hAnsi="Palatino Linotype"/>
          <w:b/>
          <w:sz w:val="28"/>
        </w:rPr>
      </w:pPr>
      <w:r w:rsidRPr="00C703DC">
        <w:rPr>
          <w:rFonts w:ascii="Palatino Linotype" w:hAnsi="Palatino Linotype"/>
          <w:b/>
          <w:sz w:val="28"/>
        </w:rPr>
        <w:t>S E    R E S U E L V E</w:t>
      </w:r>
    </w:p>
    <w:p w14:paraId="77199FD8" w14:textId="77777777" w:rsidR="000D134C" w:rsidRPr="00C703DC" w:rsidRDefault="000D134C" w:rsidP="005C2A3E">
      <w:pPr>
        <w:spacing w:after="0" w:line="360" w:lineRule="auto"/>
        <w:jc w:val="both"/>
      </w:pPr>
    </w:p>
    <w:p w14:paraId="2D1623BC" w14:textId="440E2A7C" w:rsidR="000D134C" w:rsidRPr="00C703DC" w:rsidRDefault="001319D6" w:rsidP="005C2A3E">
      <w:pPr>
        <w:spacing w:after="0" w:line="360" w:lineRule="auto"/>
        <w:jc w:val="both"/>
        <w:rPr>
          <w:rFonts w:ascii="Palatino Linotype" w:hAnsi="Palatino Linotype" w:cs="Arial"/>
          <w:b/>
        </w:rPr>
      </w:pPr>
      <w:r w:rsidRPr="00C703DC">
        <w:rPr>
          <w:rFonts w:ascii="Palatino Linotype" w:hAnsi="Palatino Linotype" w:cs="Arial"/>
          <w:b/>
          <w:sz w:val="28"/>
          <w:szCs w:val="24"/>
          <w:lang w:val="es-ES_tradnl"/>
        </w:rPr>
        <w:t>PRIMERO.</w:t>
      </w:r>
      <w:r w:rsidRPr="00C703DC">
        <w:rPr>
          <w:rFonts w:ascii="Palatino Linotype" w:hAnsi="Palatino Linotype" w:cs="Arial"/>
          <w:sz w:val="28"/>
          <w:szCs w:val="24"/>
          <w:lang w:val="es-ES_tradnl"/>
        </w:rPr>
        <w:t xml:space="preserve"> </w:t>
      </w:r>
      <w:r w:rsidRPr="00C703DC">
        <w:rPr>
          <w:rFonts w:ascii="Palatino Linotype" w:hAnsi="Palatino Linotype" w:cs="Arial"/>
          <w:sz w:val="24"/>
          <w:szCs w:val="24"/>
        </w:rPr>
        <w:t xml:space="preserve">Se </w:t>
      </w:r>
      <w:r w:rsidRPr="00C703DC">
        <w:rPr>
          <w:rFonts w:ascii="Palatino Linotype" w:hAnsi="Palatino Linotype" w:cs="Arial"/>
          <w:b/>
          <w:sz w:val="24"/>
          <w:szCs w:val="24"/>
        </w:rPr>
        <w:t xml:space="preserve">REVOCA </w:t>
      </w:r>
      <w:r w:rsidRPr="00C703DC">
        <w:rPr>
          <w:rFonts w:ascii="Palatino Linotype" w:hAnsi="Palatino Linotype" w:cs="Arial"/>
          <w:bCs/>
          <w:sz w:val="24"/>
          <w:szCs w:val="24"/>
        </w:rPr>
        <w:t xml:space="preserve">la respuesta a la solicitud de información número </w:t>
      </w:r>
      <w:r w:rsidR="00432E3D" w:rsidRPr="00C703DC">
        <w:rPr>
          <w:rFonts w:ascii="Palatino Linotype" w:hAnsi="Palatino Linotype"/>
          <w:b/>
          <w:sz w:val="24"/>
          <w:szCs w:val="24"/>
        </w:rPr>
        <w:t>00084/TEZOYUCA/IP/2025</w:t>
      </w:r>
      <w:r w:rsidRPr="00C703DC">
        <w:rPr>
          <w:rFonts w:ascii="Palatino Linotype" w:hAnsi="Palatino Linotype"/>
          <w:b/>
          <w:sz w:val="24"/>
          <w:szCs w:val="24"/>
        </w:rPr>
        <w:t xml:space="preserve"> </w:t>
      </w:r>
      <w:r w:rsidRPr="00C703DC">
        <w:rPr>
          <w:rFonts w:ascii="Palatino Linotype" w:hAnsi="Palatino Linotype" w:cs="Arial"/>
          <w:sz w:val="24"/>
          <w:szCs w:val="24"/>
        </w:rPr>
        <w:t>por resultar fundados</w:t>
      </w:r>
      <w:r w:rsidRPr="00C703DC">
        <w:rPr>
          <w:rFonts w:ascii="Palatino Linotype" w:hAnsi="Palatino Linotype" w:cs="Arial"/>
        </w:rPr>
        <w:t xml:space="preserve"> </w:t>
      </w:r>
      <w:r w:rsidRPr="00C703DC">
        <w:rPr>
          <w:rFonts w:ascii="Palatino Linotype" w:hAnsi="Palatino Linotype" w:cs="Arial"/>
          <w:sz w:val="24"/>
        </w:rPr>
        <w:t xml:space="preserve">los motivos de inconformidad que arguye </w:t>
      </w:r>
      <w:r w:rsidRPr="00C703DC">
        <w:rPr>
          <w:rFonts w:ascii="Palatino Linotype" w:hAnsi="Palatino Linotype" w:cs="Arial"/>
          <w:b/>
          <w:sz w:val="24"/>
        </w:rPr>
        <w:t xml:space="preserve">EL RECURRENTE, </w:t>
      </w:r>
      <w:r w:rsidRPr="00C703DC">
        <w:rPr>
          <w:rFonts w:ascii="Palatino Linotype" w:hAnsi="Palatino Linotype" w:cs="Arial"/>
          <w:sz w:val="24"/>
        </w:rPr>
        <w:t xml:space="preserve">en términos del </w:t>
      </w:r>
      <w:r w:rsidRPr="00C703DC">
        <w:rPr>
          <w:rFonts w:ascii="Palatino Linotype" w:hAnsi="Palatino Linotype" w:cs="Arial"/>
          <w:b/>
          <w:sz w:val="24"/>
        </w:rPr>
        <w:t xml:space="preserve">Considerando CUARTO </w:t>
      </w:r>
      <w:r w:rsidRPr="00C703DC">
        <w:rPr>
          <w:rFonts w:ascii="Palatino Linotype" w:hAnsi="Palatino Linotype" w:cs="Arial"/>
          <w:sz w:val="24"/>
        </w:rPr>
        <w:t>de la presente resolución.</w:t>
      </w:r>
    </w:p>
    <w:p w14:paraId="4565A1B6" w14:textId="77777777" w:rsidR="000D134C" w:rsidRPr="00C703DC" w:rsidRDefault="000D134C" w:rsidP="005C2A3E">
      <w:pPr>
        <w:autoSpaceDE w:val="0"/>
        <w:autoSpaceDN w:val="0"/>
        <w:adjustRightInd w:val="0"/>
        <w:spacing w:after="0" w:line="360" w:lineRule="auto"/>
        <w:ind w:right="49"/>
        <w:jc w:val="both"/>
        <w:rPr>
          <w:rFonts w:ascii="Palatino Linotype" w:hAnsi="Palatino Linotype"/>
          <w:b/>
          <w:sz w:val="28"/>
        </w:rPr>
      </w:pPr>
    </w:p>
    <w:p w14:paraId="66F9A8B8" w14:textId="77777777" w:rsidR="000D134C" w:rsidRPr="00C703DC" w:rsidRDefault="000D134C" w:rsidP="005C2A3E">
      <w:pPr>
        <w:spacing w:after="0" w:line="360" w:lineRule="auto"/>
        <w:ind w:right="49"/>
        <w:jc w:val="both"/>
        <w:rPr>
          <w:rFonts w:ascii="Palatino Linotype" w:eastAsia="Palatino Linotype" w:hAnsi="Palatino Linotype" w:cs="Palatino Linotype"/>
          <w:sz w:val="24"/>
          <w:szCs w:val="24"/>
        </w:rPr>
      </w:pPr>
      <w:r w:rsidRPr="00C703DC">
        <w:rPr>
          <w:rFonts w:ascii="Palatino Linotype" w:hAnsi="Palatino Linotype"/>
          <w:b/>
          <w:sz w:val="28"/>
        </w:rPr>
        <w:t>SEGUNDO.</w:t>
      </w:r>
      <w:r w:rsidRPr="00C703DC">
        <w:rPr>
          <w:rFonts w:ascii="Palatino Linotype" w:hAnsi="Palatino Linotype" w:cs="Arial"/>
          <w:sz w:val="28"/>
        </w:rPr>
        <w:t xml:space="preserve"> </w:t>
      </w:r>
      <w:r w:rsidRPr="00C703DC">
        <w:rPr>
          <w:rFonts w:ascii="Palatino Linotype" w:hAnsi="Palatino Linotype" w:cs="Arial"/>
          <w:sz w:val="24"/>
          <w:szCs w:val="24"/>
        </w:rPr>
        <w:t xml:space="preserve">Se ordena al Sujeto Obligado, haga entrega al </w:t>
      </w:r>
      <w:r w:rsidRPr="00C703DC">
        <w:rPr>
          <w:rFonts w:ascii="Palatino Linotype" w:hAnsi="Palatino Linotype" w:cs="Arial"/>
          <w:b/>
          <w:sz w:val="24"/>
          <w:szCs w:val="24"/>
        </w:rPr>
        <w:t>Recurrente</w:t>
      </w:r>
      <w:r w:rsidRPr="00C703DC">
        <w:rPr>
          <w:rFonts w:ascii="Palatino Linotype" w:hAnsi="Palatino Linotype" w:cs="Arial"/>
          <w:sz w:val="24"/>
          <w:szCs w:val="24"/>
        </w:rPr>
        <w:t xml:space="preserve"> en términos del Considerando</w:t>
      </w:r>
      <w:r w:rsidRPr="00C703DC">
        <w:rPr>
          <w:rFonts w:ascii="Palatino Linotype" w:hAnsi="Palatino Linotype" w:cs="Arial"/>
          <w:b/>
          <w:sz w:val="24"/>
          <w:szCs w:val="24"/>
          <w:lang w:val="es-419"/>
        </w:rPr>
        <w:t xml:space="preserve"> QUINTO</w:t>
      </w:r>
      <w:r w:rsidRPr="00C703DC">
        <w:rPr>
          <w:rFonts w:ascii="Palatino Linotype" w:hAnsi="Palatino Linotype" w:cs="Arial"/>
          <w:sz w:val="24"/>
          <w:szCs w:val="24"/>
        </w:rPr>
        <w:t xml:space="preserve"> de la presente resolución, </w:t>
      </w:r>
      <w:r w:rsidRPr="00C703DC">
        <w:rPr>
          <w:rFonts w:ascii="Palatino Linotype" w:eastAsia="Palatino Linotype" w:hAnsi="Palatino Linotype" w:cs="Palatino Linotype"/>
          <w:sz w:val="24"/>
          <w:szCs w:val="24"/>
        </w:rPr>
        <w:t xml:space="preserve">a través del Sistema de Acceso a la Información Mexiquense </w:t>
      </w:r>
      <w:r w:rsidRPr="00C703DC">
        <w:rPr>
          <w:rFonts w:ascii="Palatino Linotype" w:eastAsia="Palatino Linotype" w:hAnsi="Palatino Linotype" w:cs="Palatino Linotype"/>
          <w:b/>
          <w:sz w:val="24"/>
          <w:szCs w:val="24"/>
        </w:rPr>
        <w:t xml:space="preserve">(SAIMEX) </w:t>
      </w:r>
      <w:r w:rsidRPr="00C703DC">
        <w:rPr>
          <w:rFonts w:ascii="Palatino Linotype" w:eastAsia="Palatino Linotype" w:hAnsi="Palatino Linotype" w:cs="Palatino Linotype"/>
          <w:sz w:val="24"/>
          <w:szCs w:val="24"/>
        </w:rPr>
        <w:t>se entrega al Recurrente en versión pública de lo siguiente:</w:t>
      </w:r>
    </w:p>
    <w:p w14:paraId="7DC38BCC" w14:textId="77777777" w:rsidR="00432E3D" w:rsidRPr="00C703DC" w:rsidRDefault="00432E3D" w:rsidP="00432E3D">
      <w:pPr>
        <w:pStyle w:val="Prrafodelista"/>
        <w:numPr>
          <w:ilvl w:val="0"/>
          <w:numId w:val="3"/>
        </w:numPr>
        <w:spacing w:after="0" w:line="360" w:lineRule="auto"/>
        <w:jc w:val="both"/>
        <w:rPr>
          <w:rFonts w:ascii="Palatino Linotype" w:hAnsi="Palatino Linotype"/>
          <w:sz w:val="24"/>
          <w:szCs w:val="24"/>
        </w:rPr>
      </w:pPr>
      <w:r w:rsidRPr="00C703DC">
        <w:rPr>
          <w:rFonts w:ascii="Palatino Linotype" w:hAnsi="Palatino Linotype"/>
          <w:sz w:val="24"/>
          <w:szCs w:val="24"/>
        </w:rPr>
        <w:t>Los recursos económicos que ingresaron por la Feria denominada del Maíz 2025.</w:t>
      </w:r>
    </w:p>
    <w:p w14:paraId="3B68E438" w14:textId="401C7A20" w:rsidR="000D134C" w:rsidRPr="00C703DC" w:rsidRDefault="00432E3D" w:rsidP="00432E3D">
      <w:pPr>
        <w:pStyle w:val="Prrafodelista"/>
        <w:numPr>
          <w:ilvl w:val="0"/>
          <w:numId w:val="3"/>
        </w:numPr>
        <w:spacing w:after="0" w:line="360" w:lineRule="auto"/>
        <w:jc w:val="both"/>
        <w:rPr>
          <w:rFonts w:ascii="Palatino Linotype" w:hAnsi="Palatino Linotype"/>
          <w:sz w:val="24"/>
          <w:szCs w:val="24"/>
        </w:rPr>
      </w:pPr>
      <w:r w:rsidRPr="00C703DC">
        <w:rPr>
          <w:rFonts w:ascii="Palatino Linotype" w:hAnsi="Palatino Linotype"/>
          <w:sz w:val="24"/>
          <w:szCs w:val="24"/>
        </w:rPr>
        <w:t>Monto que ingresó a Delegación y/o COPACI de Tequisistlán, desglosado por rubro, es decir ingreso por puestos de bebidas alcohólicas, ingreso por alimentos, ingreso por otros puestos, nombre del encargado de recolectar dicha contribución, nombre de la persona encargada de resguardar el recurso económico, del viernes veintidós de agosto al domingo treinta y uno de agosto.</w:t>
      </w:r>
    </w:p>
    <w:p w14:paraId="42081ABA" w14:textId="77777777" w:rsidR="000D134C" w:rsidRPr="00C703DC" w:rsidRDefault="000D134C" w:rsidP="005C2A3E">
      <w:pPr>
        <w:tabs>
          <w:tab w:val="left" w:pos="720"/>
        </w:tabs>
        <w:spacing w:after="0" w:line="276" w:lineRule="auto"/>
        <w:ind w:left="709"/>
        <w:jc w:val="both"/>
        <w:rPr>
          <w:rFonts w:ascii="Palatino Linotype" w:hAnsi="Palatino Linotype"/>
          <w:i/>
        </w:rPr>
      </w:pPr>
      <w:r w:rsidRPr="00C703DC">
        <w:rPr>
          <w:rFonts w:ascii="Palatino Linotype" w:hAnsi="Palatino Linotype"/>
          <w:i/>
        </w:rPr>
        <w:lastRenderedPageBreak/>
        <w:t xml:space="preserve">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e se ponga a disposición de la parte </w:t>
      </w:r>
      <w:r w:rsidRPr="00C703DC">
        <w:rPr>
          <w:rFonts w:ascii="Palatino Linotype" w:hAnsi="Palatino Linotype"/>
          <w:b/>
          <w:i/>
        </w:rPr>
        <w:t>Recurrente</w:t>
      </w:r>
      <w:r w:rsidRPr="00C703DC">
        <w:rPr>
          <w:rFonts w:ascii="Palatino Linotype" w:hAnsi="Palatino Linotype"/>
          <w:i/>
        </w:rPr>
        <w:t>.</w:t>
      </w:r>
    </w:p>
    <w:p w14:paraId="36D0518E" w14:textId="77777777" w:rsidR="004E3423" w:rsidRPr="00C703DC" w:rsidRDefault="004E3423" w:rsidP="005C2A3E">
      <w:pPr>
        <w:tabs>
          <w:tab w:val="left" w:pos="720"/>
        </w:tabs>
        <w:spacing w:after="0" w:line="276" w:lineRule="auto"/>
        <w:ind w:left="709"/>
        <w:jc w:val="both"/>
        <w:rPr>
          <w:rFonts w:ascii="Palatino Linotype" w:hAnsi="Palatino Linotype"/>
          <w:i/>
        </w:rPr>
      </w:pPr>
    </w:p>
    <w:p w14:paraId="70D59863" w14:textId="1122A82D" w:rsidR="004E3423" w:rsidRPr="00C703DC" w:rsidRDefault="004E3423" w:rsidP="005C2A3E">
      <w:pPr>
        <w:tabs>
          <w:tab w:val="left" w:pos="720"/>
        </w:tabs>
        <w:spacing w:after="0" w:line="276" w:lineRule="auto"/>
        <w:ind w:left="709"/>
        <w:jc w:val="both"/>
        <w:rPr>
          <w:rFonts w:ascii="Palatino Linotype" w:hAnsi="Palatino Linotype"/>
          <w:i/>
        </w:rPr>
      </w:pPr>
      <w:r w:rsidRPr="00C703DC">
        <w:rPr>
          <w:rFonts w:ascii="Palatino Linotype" w:hAnsi="Palatino Linotype"/>
          <w:i/>
        </w:rPr>
        <w:t>Para el caso de que El Sujeto Obligado no haya generado la información que se ordena en el punto 2, bastará con que lo haga del conocimiento del Recurrente al momento de dar cumplimiento a la presente resolución.</w:t>
      </w:r>
    </w:p>
    <w:p w14:paraId="4BF61801" w14:textId="77777777" w:rsidR="000D134C" w:rsidRPr="00C703DC" w:rsidRDefault="000D134C" w:rsidP="005C2A3E">
      <w:pPr>
        <w:pBdr>
          <w:top w:val="nil"/>
          <w:left w:val="nil"/>
          <w:bottom w:val="nil"/>
          <w:right w:val="nil"/>
          <w:between w:val="nil"/>
        </w:pBdr>
        <w:spacing w:after="0" w:line="276" w:lineRule="auto"/>
        <w:ind w:right="49"/>
        <w:jc w:val="both"/>
        <w:rPr>
          <w:rFonts w:ascii="Palatino Linotype" w:eastAsia="Palatino Linotype" w:hAnsi="Palatino Linotype" w:cs="Palatino Linotype"/>
          <w:color w:val="000000"/>
          <w:lang w:eastAsia="es-MX"/>
        </w:rPr>
      </w:pPr>
    </w:p>
    <w:p w14:paraId="3B03AE50" w14:textId="77777777" w:rsidR="000D134C" w:rsidRPr="00C703DC" w:rsidRDefault="000D134C" w:rsidP="005C2A3E">
      <w:pPr>
        <w:autoSpaceDE w:val="0"/>
        <w:autoSpaceDN w:val="0"/>
        <w:adjustRightInd w:val="0"/>
        <w:spacing w:after="0" w:line="360" w:lineRule="auto"/>
        <w:jc w:val="both"/>
        <w:rPr>
          <w:rFonts w:ascii="Palatino Linotype" w:eastAsia="Palatino Linotype" w:hAnsi="Palatino Linotype" w:cs="Palatino Linotype"/>
          <w:b/>
          <w:color w:val="000000"/>
          <w:sz w:val="24"/>
          <w:szCs w:val="24"/>
          <w:lang w:val="es-ES_tradnl"/>
        </w:rPr>
      </w:pPr>
      <w:r w:rsidRPr="00C703DC">
        <w:rPr>
          <w:rFonts w:ascii="Palatino Linotype" w:hAnsi="Palatino Linotype" w:cs="Arial"/>
          <w:b/>
          <w:sz w:val="28"/>
          <w:szCs w:val="28"/>
        </w:rPr>
        <w:t>TERCERO.</w:t>
      </w:r>
      <w:r w:rsidRPr="00C703DC">
        <w:rPr>
          <w:rFonts w:ascii="Palatino Linotype" w:hAnsi="Palatino Linotype" w:cs="Arial"/>
          <w:b/>
        </w:rPr>
        <w:t xml:space="preserve"> </w:t>
      </w:r>
      <w:r w:rsidRPr="00C703DC">
        <w:rPr>
          <w:rFonts w:ascii="Palatino Linotype" w:hAnsi="Palatino Linotype" w:cs="Arial"/>
          <w:b/>
          <w:sz w:val="24"/>
          <w:szCs w:val="24"/>
        </w:rPr>
        <w:t>Notifíquese</w:t>
      </w:r>
      <w:r w:rsidRPr="00C703DC">
        <w:rPr>
          <w:rFonts w:ascii="Palatino Linotype" w:hAnsi="Palatino Linotype" w:cs="Arial"/>
          <w:b/>
          <w:i/>
          <w:sz w:val="24"/>
          <w:szCs w:val="24"/>
        </w:rPr>
        <w:t xml:space="preserve"> </w:t>
      </w:r>
      <w:r w:rsidRPr="00C703DC">
        <w:rPr>
          <w:rFonts w:ascii="Palatino Linotype" w:hAnsi="Palatino Linotype" w:cs="Arial"/>
          <w:sz w:val="24"/>
          <w:szCs w:val="24"/>
        </w:rPr>
        <w:t>al Titular de la Unidad de Transparencia del</w:t>
      </w:r>
      <w:r w:rsidRPr="00C703DC">
        <w:rPr>
          <w:rFonts w:ascii="Palatino Linotype" w:hAnsi="Palatino Linotype" w:cs="Arial"/>
          <w:b/>
          <w:sz w:val="24"/>
          <w:szCs w:val="24"/>
        </w:rPr>
        <w:t xml:space="preserve"> SUJETO OBLIGADO</w:t>
      </w:r>
      <w:r w:rsidRPr="00C703DC">
        <w:rPr>
          <w:rFonts w:ascii="Palatino Linotype" w:hAnsi="Palatino Linotype" w:cs="Arial"/>
          <w:sz w:val="24"/>
          <w:szCs w:val="24"/>
        </w:rPr>
        <w:t xml:space="preserve">, por medio del Sistema de Acceso a la Información Mexiquense </w:t>
      </w:r>
      <w:r w:rsidRPr="00C703DC">
        <w:rPr>
          <w:rFonts w:ascii="Palatino Linotype" w:hAnsi="Palatino Linotype" w:cs="Arial"/>
          <w:b/>
          <w:sz w:val="24"/>
          <w:szCs w:val="24"/>
        </w:rPr>
        <w:t>(SAIMEX)</w:t>
      </w:r>
      <w:r w:rsidRPr="00C703DC">
        <w:rPr>
          <w:rFonts w:ascii="Palatino Linotype" w:hAnsi="Palatino Linotype" w:cs="Arial"/>
          <w:sz w:val="24"/>
          <w:szCs w:val="24"/>
        </w:rPr>
        <w:t xml:space="preserve">,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 y </w:t>
      </w:r>
      <w:r w:rsidRPr="00C703DC">
        <w:rPr>
          <w:rFonts w:ascii="Palatino Linotype" w:eastAsia="Palatino Linotype" w:hAnsi="Palatino Linotype" w:cs="Palatino Linotype"/>
          <w:b/>
          <w:color w:val="000000"/>
          <w:sz w:val="24"/>
          <w:szCs w:val="24"/>
          <w:lang w:val="es-ES_tradnl"/>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74305A3" w14:textId="77777777" w:rsidR="00C165C6" w:rsidRPr="00C703DC" w:rsidRDefault="00C165C6" w:rsidP="005C2A3E">
      <w:pPr>
        <w:autoSpaceDE w:val="0"/>
        <w:autoSpaceDN w:val="0"/>
        <w:adjustRightInd w:val="0"/>
        <w:spacing w:after="0" w:line="360" w:lineRule="auto"/>
        <w:jc w:val="both"/>
        <w:rPr>
          <w:rFonts w:ascii="Palatino Linotype" w:hAnsi="Palatino Linotype" w:cs="Arial"/>
        </w:rPr>
      </w:pPr>
    </w:p>
    <w:p w14:paraId="013BF823" w14:textId="77777777" w:rsidR="000D134C" w:rsidRPr="00C703DC" w:rsidRDefault="000D134C" w:rsidP="005C2A3E">
      <w:pPr>
        <w:spacing w:after="0" w:line="360" w:lineRule="auto"/>
        <w:jc w:val="both"/>
        <w:rPr>
          <w:rFonts w:ascii="Palatino Linotype" w:hAnsi="Palatino Linotype" w:cs="Arial"/>
          <w:bCs/>
          <w:szCs w:val="32"/>
        </w:rPr>
      </w:pPr>
      <w:r w:rsidRPr="00C703DC">
        <w:rPr>
          <w:rFonts w:ascii="Palatino Linotype" w:hAnsi="Palatino Linotype" w:cs="Arial"/>
          <w:b/>
          <w:bCs/>
          <w:sz w:val="28"/>
          <w:szCs w:val="28"/>
        </w:rPr>
        <w:t>CUARTO.</w:t>
      </w:r>
      <w:r w:rsidRPr="00C703DC">
        <w:rPr>
          <w:rFonts w:ascii="Palatino Linotype" w:hAnsi="Palatino Linotype" w:cs="Arial"/>
          <w:bCs/>
          <w:szCs w:val="28"/>
        </w:rPr>
        <w:t xml:space="preserve"> </w:t>
      </w:r>
      <w:r w:rsidRPr="00C703DC">
        <w:rPr>
          <w:rFonts w:ascii="Palatino Linotype" w:hAnsi="Palatino Linotype" w:cs="Arial"/>
          <w:bCs/>
          <w:sz w:val="24"/>
          <w:szCs w:val="24"/>
        </w:rPr>
        <w:t xml:space="preserve">De conformidad con el artículo 198, de la Ley de Transparencia y Acceso a la Información Pública del Estado de México y Municipios, de considerarlo procedente, el </w:t>
      </w:r>
      <w:r w:rsidRPr="00C703DC">
        <w:rPr>
          <w:rFonts w:ascii="Palatino Linotype" w:hAnsi="Palatino Linotype" w:cs="Arial"/>
          <w:b/>
          <w:bCs/>
          <w:sz w:val="24"/>
          <w:szCs w:val="24"/>
        </w:rPr>
        <w:t>Sujeto Obligado</w:t>
      </w:r>
      <w:r w:rsidRPr="00C703DC">
        <w:rPr>
          <w:rFonts w:ascii="Palatino Linotype" w:hAnsi="Palatino Linotype" w:cs="Arial"/>
          <w:bCs/>
          <w:sz w:val="24"/>
          <w:szCs w:val="24"/>
        </w:rPr>
        <w:t xml:space="preserve"> de manera fundada y motivada, podrá solicitar una ampliación de plazo para el cumplimiento de la presente resolución.</w:t>
      </w:r>
    </w:p>
    <w:p w14:paraId="74AB19D9" w14:textId="77777777" w:rsidR="000D134C" w:rsidRPr="00C703DC" w:rsidRDefault="000D134C" w:rsidP="005C2A3E">
      <w:pPr>
        <w:autoSpaceDE w:val="0"/>
        <w:autoSpaceDN w:val="0"/>
        <w:adjustRightInd w:val="0"/>
        <w:spacing w:after="0" w:line="360" w:lineRule="auto"/>
        <w:ind w:right="51"/>
        <w:jc w:val="both"/>
        <w:rPr>
          <w:rFonts w:ascii="Palatino Linotype" w:hAnsi="Palatino Linotype" w:cs="Arial"/>
          <w:b/>
          <w:sz w:val="28"/>
          <w:szCs w:val="28"/>
        </w:rPr>
      </w:pPr>
    </w:p>
    <w:p w14:paraId="630B9071" w14:textId="77777777" w:rsidR="000D134C" w:rsidRPr="00C703DC" w:rsidRDefault="000D134C" w:rsidP="005C2A3E">
      <w:pPr>
        <w:autoSpaceDE w:val="0"/>
        <w:autoSpaceDN w:val="0"/>
        <w:adjustRightInd w:val="0"/>
        <w:spacing w:after="0" w:line="360" w:lineRule="auto"/>
        <w:ind w:right="49"/>
        <w:jc w:val="both"/>
        <w:rPr>
          <w:rFonts w:ascii="Palatino Linotype" w:hAnsi="Palatino Linotype" w:cs="Arial"/>
        </w:rPr>
      </w:pPr>
      <w:r w:rsidRPr="00C703DC">
        <w:rPr>
          <w:rFonts w:ascii="Palatino Linotype" w:hAnsi="Palatino Linotype" w:cs="Arial"/>
          <w:b/>
          <w:sz w:val="28"/>
          <w:szCs w:val="28"/>
        </w:rPr>
        <w:t>QUINTO.</w:t>
      </w:r>
      <w:r w:rsidRPr="00C703DC">
        <w:rPr>
          <w:rFonts w:ascii="Palatino Linotype" w:hAnsi="Palatino Linotype" w:cs="Arial"/>
          <w:b/>
        </w:rPr>
        <w:t xml:space="preserve"> </w:t>
      </w:r>
      <w:r w:rsidRPr="00C703DC">
        <w:rPr>
          <w:rFonts w:ascii="Palatino Linotype" w:hAnsi="Palatino Linotype" w:cs="Arial"/>
          <w:b/>
          <w:sz w:val="24"/>
          <w:szCs w:val="24"/>
        </w:rPr>
        <w:t>NOTIFÍQUESE</w:t>
      </w:r>
      <w:r w:rsidRPr="00C703DC">
        <w:rPr>
          <w:rFonts w:ascii="Palatino Linotype" w:hAnsi="Palatino Linotype" w:cs="Arial"/>
          <w:sz w:val="24"/>
          <w:szCs w:val="24"/>
        </w:rPr>
        <w:t xml:space="preserve"> al </w:t>
      </w:r>
      <w:r w:rsidRPr="00C703DC">
        <w:rPr>
          <w:rFonts w:ascii="Palatino Linotype" w:hAnsi="Palatino Linotype" w:cs="Arial"/>
          <w:b/>
          <w:sz w:val="24"/>
          <w:szCs w:val="24"/>
        </w:rPr>
        <w:t>Recurrente</w:t>
      </w:r>
      <w:r w:rsidRPr="00C703DC">
        <w:rPr>
          <w:rFonts w:ascii="Palatino Linotype" w:hAnsi="Palatino Linotype" w:cs="Arial"/>
          <w:sz w:val="24"/>
          <w:szCs w:val="24"/>
        </w:rPr>
        <w:t xml:space="preserve"> la presente resolución a través del Sistema de Acceso a la Información Mexiquense </w:t>
      </w:r>
      <w:r w:rsidRPr="00C703DC">
        <w:rPr>
          <w:rFonts w:ascii="Palatino Linotype" w:hAnsi="Palatino Linotype" w:cs="Arial"/>
          <w:b/>
          <w:sz w:val="24"/>
          <w:szCs w:val="24"/>
        </w:rPr>
        <w:t>(SAIMEX),</w:t>
      </w:r>
      <w:r w:rsidRPr="00C703DC">
        <w:rPr>
          <w:rFonts w:ascii="Palatino Linotype" w:hAnsi="Palatino Linotype" w:cs="Arial"/>
          <w:sz w:val="24"/>
          <w:szCs w:val="24"/>
        </w:rPr>
        <w:t xml:space="preserve"> y hágase de su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14:paraId="4DB1391C" w14:textId="77777777" w:rsidR="000D134C" w:rsidRPr="00C703DC" w:rsidRDefault="000D134C" w:rsidP="005C2A3E">
      <w:pPr>
        <w:spacing w:after="0" w:line="360" w:lineRule="auto"/>
        <w:jc w:val="both"/>
        <w:rPr>
          <w:rFonts w:ascii="Palatino Linotype" w:eastAsia="Times New Roman" w:hAnsi="Palatino Linotype" w:cs="Times New Roman"/>
          <w:color w:val="222222"/>
          <w:sz w:val="24"/>
          <w:szCs w:val="24"/>
          <w:shd w:val="clear" w:color="auto" w:fill="FFFFFF"/>
          <w:lang w:eastAsia="es-ES"/>
        </w:rPr>
      </w:pPr>
    </w:p>
    <w:p w14:paraId="5F971D81" w14:textId="1ED16458" w:rsidR="000D134C" w:rsidRPr="00C703DC" w:rsidRDefault="000D134C" w:rsidP="00432E3D">
      <w:pPr>
        <w:spacing w:after="0" w:line="360" w:lineRule="auto"/>
        <w:jc w:val="both"/>
        <w:rPr>
          <w:rFonts w:ascii="Palatino Linotype" w:eastAsia="Times New Roman" w:hAnsi="Palatino Linotype" w:cs="Arial"/>
          <w:sz w:val="20"/>
          <w:lang w:val="es-ES_tradnl" w:eastAsia="es-MX"/>
        </w:rPr>
      </w:pPr>
      <w:r w:rsidRPr="00C703DC">
        <w:rPr>
          <w:rFonts w:ascii="Palatino Linotype" w:eastAsia="Times New Roman" w:hAnsi="Palatino Linotype" w:cs="Arial"/>
          <w:sz w:val="24"/>
          <w:szCs w:val="24"/>
          <w:lang w:val="es-ES_tradnl" w:eastAsia="es-MX"/>
        </w:rPr>
        <w:t xml:space="preserve">ASÍ LO RESUELVE, POR </w:t>
      </w:r>
      <w:r w:rsidRPr="00C703DC">
        <w:rPr>
          <w:rFonts w:ascii="Palatino Linotype" w:eastAsia="Times New Roman" w:hAnsi="Palatino Linotype" w:cs="Arial"/>
          <w:b/>
          <w:sz w:val="24"/>
          <w:szCs w:val="24"/>
          <w:lang w:val="es-ES_tradnl" w:eastAsia="es-MX"/>
        </w:rPr>
        <w:t xml:space="preserve">UNANIMIDAD DE VOTOS </w:t>
      </w:r>
      <w:r w:rsidRPr="00C703DC">
        <w:rPr>
          <w:rFonts w:ascii="Palatino Linotype" w:eastAsia="Times New Roman" w:hAnsi="Palatino Linotype" w:cs="Arial"/>
          <w:sz w:val="24"/>
          <w:szCs w:val="24"/>
          <w:lang w:val="es-ES_tradnl" w:eastAsia="es-MX"/>
        </w:rPr>
        <w:t>EL PLENO DEL</w:t>
      </w:r>
      <w:r w:rsidRPr="00C703DC">
        <w:rPr>
          <w:rFonts w:ascii="Palatino Linotype" w:eastAsia="Arial Unicode MS" w:hAnsi="Palatino Linotype" w:cs="Arial"/>
          <w:sz w:val="24"/>
          <w:szCs w:val="24"/>
          <w:lang w:val="es-ES_tradnl" w:eastAsia="es-MX"/>
        </w:rPr>
        <w:t xml:space="preserve"> INSTITUTO DE TRANSPARENCIA, ACCESO A LA INFORMACIÓN PÚBLICA Y PROTECCIÓN DE DATOS PERSONALES DEL ESTADO DE MÉXICO Y MUNICIPIOS</w:t>
      </w:r>
      <w:r w:rsidRPr="00C703DC">
        <w:rPr>
          <w:rFonts w:ascii="Palatino Linotype" w:eastAsia="Times New Roman" w:hAnsi="Palatino Linotype" w:cs="Arial"/>
          <w:sz w:val="24"/>
          <w:szCs w:val="24"/>
          <w:lang w:val="es-ES_tradnl" w:eastAsia="es-MX"/>
        </w:rPr>
        <w:t>, CONFORMADO POR LOS COMISIONADOS JOSÉ MARTÍNEZ VILCHIS, MARÍA DEL ROSARIO MEJÍA AYALA, SHARON CRISTINA MORALES MARTÍNEZ, LUIS GUSTAVO PARRA NORIEGA Y GUADALUPE RAMÍREZ PEÑA</w:t>
      </w:r>
      <w:r w:rsidR="00A31C9B" w:rsidRPr="00C703DC">
        <w:rPr>
          <w:rFonts w:ascii="Palatino Linotype" w:eastAsia="Times New Roman" w:hAnsi="Palatino Linotype" w:cs="Arial"/>
          <w:sz w:val="24"/>
          <w:szCs w:val="24"/>
          <w:lang w:val="es-ES_tradnl" w:eastAsia="es-MX"/>
        </w:rPr>
        <w:t xml:space="preserve"> </w:t>
      </w:r>
      <w:r w:rsidRPr="00C703DC">
        <w:rPr>
          <w:rFonts w:ascii="Palatino Linotype" w:eastAsia="Times New Roman" w:hAnsi="Palatino Linotype" w:cs="Arial"/>
          <w:sz w:val="24"/>
          <w:szCs w:val="24"/>
          <w:lang w:val="es-ES_tradnl" w:eastAsia="es-MX"/>
        </w:rPr>
        <w:t>EN LA</w:t>
      </w:r>
      <w:r w:rsidRPr="00C703DC">
        <w:rPr>
          <w:rFonts w:ascii="Palatino Linotype" w:eastAsia="Times New Roman" w:hAnsi="Palatino Linotype" w:cs="Arial"/>
          <w:sz w:val="24"/>
          <w:szCs w:val="24"/>
          <w:lang w:val="es-419" w:eastAsia="es-MX"/>
        </w:rPr>
        <w:t xml:space="preserve"> </w:t>
      </w:r>
      <w:r w:rsidR="0030527F" w:rsidRPr="00C703DC">
        <w:rPr>
          <w:rFonts w:ascii="Palatino Linotype" w:eastAsia="Times New Roman" w:hAnsi="Palatino Linotype" w:cs="Arial"/>
          <w:b/>
          <w:sz w:val="24"/>
          <w:szCs w:val="24"/>
          <w:lang w:val="es-419" w:eastAsia="es-MX"/>
        </w:rPr>
        <w:t>DÉCIMA</w:t>
      </w:r>
      <w:r w:rsidRPr="00C703DC">
        <w:rPr>
          <w:rFonts w:ascii="Palatino Linotype" w:eastAsia="Times New Roman" w:hAnsi="Palatino Linotype" w:cs="Arial"/>
          <w:b/>
          <w:sz w:val="24"/>
          <w:szCs w:val="24"/>
          <w:lang w:val="es-419" w:eastAsia="es-MX"/>
        </w:rPr>
        <w:t xml:space="preserve"> SESIÓN ORDINARIA CELEBRADA EL </w:t>
      </w:r>
      <w:r w:rsidR="0030527F" w:rsidRPr="00C703DC">
        <w:rPr>
          <w:rFonts w:ascii="Palatino Linotype" w:eastAsia="Times New Roman" w:hAnsi="Palatino Linotype" w:cs="Arial"/>
          <w:b/>
          <w:sz w:val="24"/>
          <w:szCs w:val="24"/>
          <w:lang w:val="es-419" w:eastAsia="es-MX"/>
        </w:rPr>
        <w:t>DI</w:t>
      </w:r>
      <w:r w:rsidR="000805FA" w:rsidRPr="00C703DC">
        <w:rPr>
          <w:rFonts w:ascii="Palatino Linotype" w:eastAsia="Times New Roman" w:hAnsi="Palatino Linotype" w:cs="Arial"/>
          <w:b/>
          <w:sz w:val="24"/>
          <w:szCs w:val="24"/>
          <w:lang w:val="es-419" w:eastAsia="es-MX"/>
        </w:rPr>
        <w:t>ECINUEVE DE MARZO DE DOS MIL VEI</w:t>
      </w:r>
      <w:r w:rsidR="0030527F" w:rsidRPr="00C703DC">
        <w:rPr>
          <w:rFonts w:ascii="Palatino Linotype" w:eastAsia="Times New Roman" w:hAnsi="Palatino Linotype" w:cs="Arial"/>
          <w:b/>
          <w:sz w:val="24"/>
          <w:szCs w:val="24"/>
          <w:lang w:val="es-419" w:eastAsia="es-MX"/>
        </w:rPr>
        <w:t>NTISÉIS</w:t>
      </w:r>
      <w:r w:rsidRPr="00C703DC">
        <w:rPr>
          <w:rFonts w:ascii="Palatino Linotype" w:eastAsia="Times New Roman" w:hAnsi="Palatino Linotype" w:cs="Arial"/>
          <w:sz w:val="24"/>
          <w:szCs w:val="24"/>
          <w:lang w:val="es-ES_tradnl" w:eastAsia="es-MX"/>
        </w:rPr>
        <w:t>, ANTE EL SECRETARIO TÉCNICO D</w:t>
      </w:r>
      <w:r w:rsidR="00242265" w:rsidRPr="00C703DC">
        <w:rPr>
          <w:rFonts w:ascii="Palatino Linotype" w:eastAsia="Times New Roman" w:hAnsi="Palatino Linotype" w:cs="Arial"/>
          <w:sz w:val="24"/>
          <w:szCs w:val="24"/>
          <w:lang w:val="es-ES_tradnl" w:eastAsia="es-MX"/>
        </w:rPr>
        <w:t>EL PLENO, ALEXIS TAPIA RAMÍREZ.</w:t>
      </w:r>
      <w:r w:rsidRPr="00C703DC">
        <w:rPr>
          <w:rFonts w:ascii="Palatino Linotype" w:eastAsia="Times New Roman" w:hAnsi="Palatino Linotype" w:cs="Arial"/>
          <w:sz w:val="24"/>
          <w:szCs w:val="24"/>
          <w:lang w:val="es-ES_tradnl" w:eastAsia="es-MX"/>
        </w:rPr>
        <w:t>---------------------------------------------------------------------------------------------------------------------------------------------------------------------------------------------------------------------------</w:t>
      </w:r>
      <w:r w:rsidR="00242265" w:rsidRPr="00C703DC">
        <w:rPr>
          <w:rFonts w:ascii="Palatino Linotype" w:eastAsia="Times New Roman" w:hAnsi="Palatino Linotype" w:cs="Arial"/>
          <w:sz w:val="24"/>
          <w:szCs w:val="24"/>
          <w:lang w:val="es-ES_tradnl" w:eastAsia="es-MX"/>
        </w:rPr>
        <w:t>---------------------------------------</w:t>
      </w:r>
      <w:r w:rsidR="00242265" w:rsidRPr="00C703DC">
        <w:rPr>
          <w:rFonts w:ascii="Palatino Linotype" w:hAnsi="Palatino Linotype" w:cs="Arial"/>
          <w:sz w:val="24"/>
          <w:szCs w:val="24"/>
        </w:rPr>
        <w:t>------------------------------------------------------------------------------</w:t>
      </w:r>
      <w:r w:rsidR="00242265" w:rsidRPr="00C703DC">
        <w:rPr>
          <w:rFonts w:ascii="Palatino Linotype" w:eastAsia="Times New Roman" w:hAnsi="Palatino Linotype" w:cs="Arial"/>
          <w:sz w:val="24"/>
          <w:szCs w:val="24"/>
          <w:lang w:val="es-ES_tradnl" w:eastAsia="es-MX"/>
        </w:rPr>
        <w:t>---------------------------------------</w:t>
      </w:r>
      <w:r w:rsidR="00242265" w:rsidRPr="00C703DC">
        <w:rPr>
          <w:rFonts w:ascii="Palatino Linotype" w:hAnsi="Palatino Linotype" w:cs="Arial"/>
          <w:sz w:val="24"/>
          <w:szCs w:val="24"/>
        </w:rPr>
        <w:t>------------------------------------------------------------------------------</w:t>
      </w:r>
      <w:r w:rsidR="00242265" w:rsidRPr="00C703DC">
        <w:rPr>
          <w:rFonts w:ascii="Palatino Linotype" w:eastAsia="Times New Roman" w:hAnsi="Palatino Linotype" w:cs="Arial"/>
          <w:sz w:val="24"/>
          <w:szCs w:val="24"/>
          <w:lang w:val="es-ES_tradnl" w:eastAsia="es-MX"/>
        </w:rPr>
        <w:t>---------------------------------------</w:t>
      </w:r>
      <w:r w:rsidR="00242265" w:rsidRPr="00C703DC">
        <w:rPr>
          <w:rFonts w:ascii="Palatino Linotype" w:hAnsi="Palatino Linotype" w:cs="Arial"/>
          <w:sz w:val="24"/>
          <w:szCs w:val="24"/>
        </w:rPr>
        <w:t>------------------------------------------------------------------------------</w:t>
      </w:r>
      <w:r w:rsidR="00242265" w:rsidRPr="00C703DC">
        <w:rPr>
          <w:rFonts w:ascii="Palatino Linotype" w:eastAsia="Times New Roman" w:hAnsi="Palatino Linotype" w:cs="Arial"/>
          <w:sz w:val="24"/>
          <w:szCs w:val="24"/>
          <w:lang w:val="es-ES_tradnl" w:eastAsia="es-MX"/>
        </w:rPr>
        <w:t>---------------------------------------</w:t>
      </w:r>
      <w:r w:rsidR="00242265" w:rsidRPr="00C703DC">
        <w:rPr>
          <w:rFonts w:ascii="Palatino Linotype" w:hAnsi="Palatino Linotype" w:cs="Arial"/>
          <w:sz w:val="24"/>
          <w:szCs w:val="24"/>
        </w:rPr>
        <w:t>------------------------------------------------------------------------------</w:t>
      </w:r>
      <w:r w:rsidR="00242265" w:rsidRPr="00C703DC">
        <w:rPr>
          <w:rFonts w:ascii="Palatino Linotype" w:eastAsia="Times New Roman" w:hAnsi="Palatino Linotype" w:cs="Arial"/>
          <w:sz w:val="24"/>
          <w:szCs w:val="24"/>
          <w:lang w:val="es-ES_tradnl" w:eastAsia="es-MX"/>
        </w:rPr>
        <w:t>---------------------------------------</w:t>
      </w:r>
      <w:r w:rsidR="00242265" w:rsidRPr="00C703DC">
        <w:rPr>
          <w:rFonts w:ascii="Palatino Linotype" w:hAnsi="Palatino Linotype" w:cs="Arial"/>
          <w:sz w:val="24"/>
          <w:szCs w:val="24"/>
        </w:rPr>
        <w:t>------------------------------------------------------------------------------</w:t>
      </w:r>
      <w:r w:rsidR="00242265" w:rsidRPr="00C703DC">
        <w:rPr>
          <w:rFonts w:ascii="Palatino Linotype" w:eastAsia="Times New Roman" w:hAnsi="Palatino Linotype" w:cs="Arial"/>
          <w:sz w:val="24"/>
          <w:szCs w:val="24"/>
          <w:lang w:val="es-ES_tradnl" w:eastAsia="es-MX"/>
        </w:rPr>
        <w:t>---------------------------------------</w:t>
      </w:r>
      <w:r w:rsidR="00242265" w:rsidRPr="00C703DC">
        <w:rPr>
          <w:rFonts w:ascii="Palatino Linotype" w:hAnsi="Palatino Linotype" w:cs="Arial"/>
          <w:sz w:val="24"/>
          <w:szCs w:val="24"/>
        </w:rPr>
        <w:t>----</w:t>
      </w:r>
      <w:r w:rsidR="0030527F" w:rsidRPr="00C703DC">
        <w:rPr>
          <w:rFonts w:ascii="Palatino Linotype" w:hAnsi="Palatino Linotype" w:cs="Arial"/>
          <w:sz w:val="24"/>
          <w:szCs w:val="24"/>
        </w:rPr>
        <w:t xml:space="preserve"> </w:t>
      </w:r>
    </w:p>
    <w:p w14:paraId="4353D1ED" w14:textId="05C22765" w:rsidR="000D134C" w:rsidRPr="00F444C4" w:rsidRDefault="000D134C" w:rsidP="005C2A3E">
      <w:pPr>
        <w:spacing w:after="0" w:line="360" w:lineRule="auto"/>
        <w:jc w:val="both"/>
        <w:rPr>
          <w:rFonts w:ascii="Palatino Linotype" w:eastAsia="Times New Roman" w:hAnsi="Palatino Linotype" w:cs="Arial"/>
          <w:sz w:val="20"/>
          <w:lang w:val="es-ES_tradnl" w:eastAsia="es-MX"/>
        </w:rPr>
      </w:pPr>
      <w:r w:rsidRPr="00C703DC">
        <w:rPr>
          <w:rFonts w:ascii="Palatino Linotype" w:eastAsia="Times New Roman" w:hAnsi="Palatino Linotype" w:cs="Arial"/>
          <w:sz w:val="20"/>
          <w:lang w:val="es-ES_tradnl" w:eastAsia="es-MX"/>
        </w:rPr>
        <w:t>JMV</w:t>
      </w:r>
      <w:r w:rsidR="00432E3D" w:rsidRPr="00C703DC">
        <w:rPr>
          <w:rFonts w:ascii="Palatino Linotype" w:eastAsia="Times New Roman" w:hAnsi="Palatino Linotype" w:cs="Arial"/>
          <w:sz w:val="20"/>
          <w:lang w:val="es-ES_tradnl" w:eastAsia="es-MX"/>
        </w:rPr>
        <w:t>/CCR/</w:t>
      </w:r>
      <w:proofErr w:type="spellStart"/>
      <w:r w:rsidR="00432E3D" w:rsidRPr="00C703DC">
        <w:rPr>
          <w:rFonts w:ascii="Palatino Linotype" w:eastAsia="Times New Roman" w:hAnsi="Palatino Linotype" w:cs="Arial"/>
          <w:sz w:val="20"/>
          <w:lang w:val="es-ES_tradnl" w:eastAsia="es-MX"/>
        </w:rPr>
        <w:t>fjjc</w:t>
      </w:r>
      <w:proofErr w:type="spellEnd"/>
    </w:p>
    <w:p w14:paraId="01A958CD" w14:textId="77777777" w:rsidR="000D134C" w:rsidRPr="00F444C4" w:rsidRDefault="000D134C" w:rsidP="005C2A3E">
      <w:pPr>
        <w:spacing w:after="0" w:line="360" w:lineRule="auto"/>
        <w:jc w:val="both"/>
        <w:rPr>
          <w:rFonts w:ascii="Palatino Linotype" w:eastAsia="Times New Roman" w:hAnsi="Palatino Linotype" w:cs="Arial"/>
          <w:sz w:val="20"/>
          <w:lang w:val="es-ES_tradnl" w:eastAsia="es-MX"/>
        </w:rPr>
      </w:pPr>
    </w:p>
    <w:p w14:paraId="58C072EF" w14:textId="77777777" w:rsidR="000D134C" w:rsidRPr="00F444C4" w:rsidRDefault="000D134C" w:rsidP="005C2A3E">
      <w:pPr>
        <w:spacing w:after="0" w:line="360" w:lineRule="auto"/>
        <w:jc w:val="both"/>
        <w:rPr>
          <w:rFonts w:ascii="Palatino Linotype" w:eastAsia="Times New Roman" w:hAnsi="Palatino Linotype" w:cs="Arial"/>
          <w:sz w:val="20"/>
          <w:lang w:val="es-ES_tradnl" w:eastAsia="es-MX"/>
        </w:rPr>
      </w:pPr>
    </w:p>
    <w:p w14:paraId="6A061915" w14:textId="77777777" w:rsidR="000D134C" w:rsidRPr="00F444C4" w:rsidRDefault="000D134C" w:rsidP="005C2A3E">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06FD3344" w14:textId="77777777" w:rsidR="000D134C" w:rsidRPr="00F444C4" w:rsidRDefault="000D134C" w:rsidP="005C2A3E">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3AA47C1D" w14:textId="77777777" w:rsidR="000D134C" w:rsidRPr="00F444C4" w:rsidRDefault="000D134C" w:rsidP="005C2A3E">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533A3827" w14:textId="77777777" w:rsidR="000D134C" w:rsidRPr="00F444C4" w:rsidRDefault="000D134C" w:rsidP="005C2A3E">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7B892547" w14:textId="77777777" w:rsidR="000D134C" w:rsidRPr="00F444C4" w:rsidRDefault="000D134C" w:rsidP="005C2A3E">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57681153" w14:textId="77777777" w:rsidR="000D134C" w:rsidRPr="00F444C4" w:rsidRDefault="000D134C" w:rsidP="005C2A3E">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4E6D72CB" w14:textId="77777777" w:rsidR="000D134C" w:rsidRPr="00F444C4" w:rsidRDefault="000D134C" w:rsidP="005C2A3E">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57D9C730" w14:textId="77777777" w:rsidR="000D134C" w:rsidRPr="00F444C4" w:rsidRDefault="000D134C" w:rsidP="005C2A3E">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58BB566D" w14:textId="77777777" w:rsidR="000D134C" w:rsidRPr="00F444C4" w:rsidRDefault="000D134C" w:rsidP="005C2A3E">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25EF7335" w14:textId="77777777" w:rsidR="000D134C" w:rsidRPr="00F444C4" w:rsidRDefault="000D134C" w:rsidP="005C2A3E">
      <w:pPr>
        <w:spacing w:after="0" w:line="360" w:lineRule="auto"/>
        <w:jc w:val="both"/>
        <w:rPr>
          <w:rFonts w:ascii="Palatino Linotype" w:eastAsia="Times New Roman" w:hAnsi="Palatino Linotype" w:cs="Calibri"/>
          <w:sz w:val="24"/>
          <w:lang w:val="es-ES_tradnl" w:eastAsia="es-MX"/>
        </w:rPr>
      </w:pPr>
    </w:p>
    <w:p w14:paraId="6E238966" w14:textId="77777777" w:rsidR="000D134C" w:rsidRPr="00F444C4" w:rsidRDefault="000D134C" w:rsidP="005C2A3E">
      <w:pPr>
        <w:spacing w:after="0" w:line="360" w:lineRule="auto"/>
        <w:jc w:val="both"/>
        <w:rPr>
          <w:rFonts w:ascii="Palatino Linotype" w:eastAsia="Times New Roman" w:hAnsi="Palatino Linotype" w:cs="Calibri"/>
          <w:sz w:val="24"/>
          <w:lang w:val="es-ES_tradnl" w:eastAsia="es-MX"/>
        </w:rPr>
      </w:pPr>
    </w:p>
    <w:p w14:paraId="645B0364" w14:textId="77777777" w:rsidR="000D134C" w:rsidRPr="00F444C4" w:rsidRDefault="000D134C" w:rsidP="005C2A3E">
      <w:pPr>
        <w:spacing w:after="0" w:line="360" w:lineRule="auto"/>
        <w:jc w:val="both"/>
        <w:rPr>
          <w:rFonts w:ascii="Palatino Linotype" w:eastAsia="Times New Roman" w:hAnsi="Palatino Linotype" w:cs="Calibri"/>
          <w:sz w:val="24"/>
          <w:lang w:val="es-ES_tradnl" w:eastAsia="es-MX"/>
        </w:rPr>
      </w:pPr>
    </w:p>
    <w:p w14:paraId="129DFE8E" w14:textId="77777777" w:rsidR="000D134C" w:rsidRPr="00F444C4" w:rsidRDefault="000D134C" w:rsidP="005C2A3E">
      <w:pPr>
        <w:spacing w:after="0" w:line="360" w:lineRule="auto"/>
        <w:jc w:val="both"/>
        <w:rPr>
          <w:rFonts w:ascii="Palatino Linotype" w:eastAsia="Times New Roman" w:hAnsi="Palatino Linotype" w:cs="Calibri"/>
          <w:sz w:val="24"/>
          <w:lang w:val="es-ES_tradnl" w:eastAsia="es-MX"/>
        </w:rPr>
      </w:pPr>
    </w:p>
    <w:p w14:paraId="523B3E4A" w14:textId="77777777" w:rsidR="000D134C" w:rsidRDefault="000D134C" w:rsidP="005C2A3E">
      <w:pPr>
        <w:spacing w:after="0" w:line="360" w:lineRule="auto"/>
      </w:pPr>
    </w:p>
    <w:p w14:paraId="45D17945" w14:textId="77777777" w:rsidR="000D134C" w:rsidRDefault="000D134C" w:rsidP="005C2A3E">
      <w:pPr>
        <w:spacing w:after="0" w:line="360" w:lineRule="auto"/>
      </w:pPr>
    </w:p>
    <w:p w14:paraId="1026247C" w14:textId="77777777" w:rsidR="000D134C" w:rsidRDefault="000D134C" w:rsidP="005C2A3E">
      <w:pPr>
        <w:spacing w:after="0" w:line="360" w:lineRule="auto"/>
      </w:pPr>
    </w:p>
    <w:p w14:paraId="2252696A" w14:textId="77777777" w:rsidR="000D134C" w:rsidRDefault="000D134C" w:rsidP="005C2A3E">
      <w:pPr>
        <w:spacing w:after="0" w:line="360" w:lineRule="auto"/>
      </w:pPr>
    </w:p>
    <w:p w14:paraId="4EA2BC1B" w14:textId="77777777" w:rsidR="000D134C" w:rsidRDefault="000D134C" w:rsidP="005C2A3E">
      <w:pPr>
        <w:spacing w:after="0" w:line="360" w:lineRule="auto"/>
      </w:pPr>
    </w:p>
    <w:p w14:paraId="54174547" w14:textId="77777777" w:rsidR="000D134C" w:rsidRDefault="000D134C" w:rsidP="005C2A3E">
      <w:pPr>
        <w:spacing w:after="0"/>
      </w:pPr>
    </w:p>
    <w:p w14:paraId="1BC99D18" w14:textId="77777777" w:rsidR="000D134C" w:rsidRDefault="000D134C" w:rsidP="005C2A3E">
      <w:pPr>
        <w:spacing w:after="0"/>
      </w:pPr>
    </w:p>
    <w:p w14:paraId="209C7591" w14:textId="77777777" w:rsidR="000D134C" w:rsidRDefault="000D134C" w:rsidP="005C2A3E">
      <w:pPr>
        <w:spacing w:after="0"/>
      </w:pPr>
    </w:p>
    <w:p w14:paraId="2D56F8F8" w14:textId="77777777" w:rsidR="00F27565" w:rsidRDefault="00F27565" w:rsidP="005C2A3E">
      <w:pPr>
        <w:spacing w:after="0"/>
      </w:pPr>
    </w:p>
    <w:sectPr w:rsidR="00F27565" w:rsidSect="0027169F">
      <w:headerReference w:type="even" r:id="rId14"/>
      <w:headerReference w:type="default" r:id="rId15"/>
      <w:footerReference w:type="default" r:id="rId16"/>
      <w:headerReference w:type="first" r:id="rId17"/>
      <w:footerReference w:type="first" r:id="rId18"/>
      <w:pgSz w:w="12240" w:h="15840"/>
      <w:pgMar w:top="2977" w:right="1134" w:bottom="1191" w:left="1752" w:header="1077" w:footer="709"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8A7585" w14:textId="77777777" w:rsidR="00C94EF3" w:rsidRDefault="00C94EF3" w:rsidP="000D134C">
      <w:pPr>
        <w:spacing w:after="0" w:line="240" w:lineRule="auto"/>
      </w:pPr>
      <w:r>
        <w:separator/>
      </w:r>
    </w:p>
  </w:endnote>
  <w:endnote w:type="continuationSeparator" w:id="0">
    <w:p w14:paraId="13662DD6" w14:textId="77777777" w:rsidR="00C94EF3" w:rsidRDefault="00C94EF3" w:rsidP="000D1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A470A2" w14:textId="387BD767" w:rsidR="006A0A55" w:rsidRPr="00871A91" w:rsidRDefault="006A0A55" w:rsidP="0027169F">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D21BEF">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D21BEF">
      <w:rPr>
        <w:rFonts w:ascii="Palatino Linotype" w:hAnsi="Palatino Linotype"/>
        <w:b/>
        <w:bCs/>
        <w:noProof/>
        <w:sz w:val="20"/>
      </w:rPr>
      <w:t>50</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82E2A3" w14:textId="311BB8D1" w:rsidR="006A0A55" w:rsidRPr="00871A91" w:rsidRDefault="006A0A55" w:rsidP="0027169F">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D21BEF">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D21BEF">
      <w:rPr>
        <w:rFonts w:ascii="Palatino Linotype" w:hAnsi="Palatino Linotype"/>
        <w:b/>
        <w:bCs/>
        <w:noProof/>
        <w:sz w:val="20"/>
      </w:rPr>
      <w:t>50</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A850B0" w14:textId="77777777" w:rsidR="00C94EF3" w:rsidRDefault="00C94EF3" w:rsidP="000D134C">
      <w:pPr>
        <w:spacing w:after="0" w:line="240" w:lineRule="auto"/>
      </w:pPr>
      <w:r>
        <w:separator/>
      </w:r>
    </w:p>
  </w:footnote>
  <w:footnote w:type="continuationSeparator" w:id="0">
    <w:p w14:paraId="747C46F7" w14:textId="77777777" w:rsidR="00C94EF3" w:rsidRDefault="00C94EF3" w:rsidP="000D134C">
      <w:pPr>
        <w:spacing w:after="0" w:line="240" w:lineRule="auto"/>
      </w:pPr>
      <w:r>
        <w:continuationSeparator/>
      </w:r>
    </w:p>
  </w:footnote>
  <w:footnote w:id="1">
    <w:p w14:paraId="05C9BBE6" w14:textId="77777777" w:rsidR="006A0A55" w:rsidRPr="0031280C" w:rsidRDefault="006A0A55" w:rsidP="000D134C">
      <w:pPr>
        <w:rPr>
          <w:rFonts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273A177C" w14:textId="77777777" w:rsidR="006A0A55" w:rsidRPr="0031280C" w:rsidRDefault="006A0A55" w:rsidP="000D134C">
      <w:pPr>
        <w:rPr>
          <w:rFonts w:cs="Palatino Linotype"/>
          <w:color w:val="000000"/>
          <w:sz w:val="20"/>
          <w:szCs w:val="20"/>
        </w:rPr>
      </w:pPr>
    </w:p>
    <w:p w14:paraId="7AA3BAF9" w14:textId="77777777" w:rsidR="006A0A55" w:rsidRPr="0031280C" w:rsidRDefault="006A0A55" w:rsidP="000D134C">
      <w:pPr>
        <w:rPr>
          <w:rFonts w:cs="Palatino Linotype"/>
          <w:b/>
          <w:i/>
          <w:sz w:val="20"/>
          <w:szCs w:val="20"/>
        </w:rPr>
      </w:pPr>
      <w:r w:rsidRPr="0031280C">
        <w:rPr>
          <w:rFonts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7648D4DF" w14:textId="77777777" w:rsidR="006A0A55" w:rsidRPr="00783A97" w:rsidRDefault="006A0A55" w:rsidP="000D134C">
      <w:pPr>
        <w:jc w:val="both"/>
        <w:rPr>
          <w:rFonts w:cs="Palatino Linotype"/>
          <w:i/>
          <w:sz w:val="20"/>
          <w:szCs w:val="20"/>
        </w:rPr>
      </w:pPr>
      <w:r w:rsidRPr="0031280C">
        <w:rPr>
          <w:rFonts w:cs="Palatino Linotype"/>
          <w:i/>
          <w:sz w:val="20"/>
          <w:szCs w:val="20"/>
        </w:rPr>
        <w:t>Del examen de compatibilidad de los artículos</w:t>
      </w:r>
      <w:r>
        <w:rPr>
          <w:rFonts w:cs="Palatino Linotype"/>
          <w:i/>
          <w:sz w:val="20"/>
          <w:szCs w:val="20"/>
        </w:rPr>
        <w:t xml:space="preserve"> </w:t>
      </w:r>
      <w:hyperlink r:id="rId1">
        <w:r w:rsidRPr="0031280C">
          <w:rPr>
            <w:rFonts w:cs="Palatino Linotype"/>
            <w:i/>
            <w:color w:val="000000"/>
            <w:sz w:val="20"/>
            <w:szCs w:val="20"/>
            <w:u w:val="single"/>
          </w:rPr>
          <w:t>73 y 74 de la Ley de Amparo</w:t>
        </w:r>
      </w:hyperlink>
      <w:r>
        <w:rPr>
          <w:rFonts w:cs="Palatino Linotype"/>
          <w:i/>
          <w:sz w:val="20"/>
          <w:szCs w:val="20"/>
        </w:rPr>
        <w:t xml:space="preserve"> </w:t>
      </w:r>
      <w:r w:rsidRPr="0031280C">
        <w:rPr>
          <w:rFonts w:cs="Palatino Linotype"/>
          <w:i/>
          <w:sz w:val="20"/>
          <w:szCs w:val="20"/>
        </w:rPr>
        <w:t>con el artículo</w:t>
      </w:r>
      <w:r>
        <w:rPr>
          <w:rFonts w:cs="Palatino Linotype"/>
          <w:i/>
          <w:sz w:val="20"/>
          <w:szCs w:val="20"/>
        </w:rPr>
        <w:t xml:space="preserve"> </w:t>
      </w:r>
      <w:hyperlink r:id="rId2">
        <w:r w:rsidRPr="0031280C">
          <w:rPr>
            <w:rFonts w:cs="Palatino Linotype"/>
            <w:i/>
            <w:color w:val="000000"/>
            <w:sz w:val="20"/>
            <w:szCs w:val="20"/>
            <w:u w:val="single"/>
          </w:rPr>
          <w:t>25.1 de la Convención Americana sobre Derechos Humanos</w:t>
        </w:r>
      </w:hyperlink>
      <w:r>
        <w:rPr>
          <w:rFonts w:cs="Palatino Linotype"/>
          <w:i/>
          <w:sz w:val="20"/>
          <w:szCs w:val="20"/>
        </w:rPr>
        <w:t xml:space="preserve"> </w:t>
      </w:r>
      <w:r w:rsidRPr="0031280C">
        <w:rPr>
          <w:rFonts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1280C">
        <w:rPr>
          <w:rFonts w:cs="Palatino Linotype"/>
          <w:i/>
          <w:sz w:val="20"/>
          <w:szCs w:val="20"/>
        </w:rPr>
        <w:t>concesoria</w:t>
      </w:r>
      <w:proofErr w:type="spellEnd"/>
      <w:r w:rsidRPr="0031280C">
        <w:rPr>
          <w:rFonts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6368555A" w14:textId="77777777" w:rsidR="006A0A55" w:rsidRDefault="006A0A55" w:rsidP="000D134C">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Artículo 3, fracción XI, Ley de Transparencia y Acceso a la Información Pública del Estado de México y Municipios.</w:t>
      </w:r>
    </w:p>
  </w:footnote>
  <w:footnote w:id="3">
    <w:p w14:paraId="5D94F83F" w14:textId="77777777" w:rsidR="006A0A55" w:rsidRDefault="006A0A55" w:rsidP="000D134C">
      <w:pPr>
        <w:pBdr>
          <w:top w:val="nil"/>
          <w:left w:val="nil"/>
          <w:bottom w:val="nil"/>
          <w:right w:val="nil"/>
          <w:between w:val="nil"/>
        </w:pBdr>
        <w:rPr>
          <w:rFonts w:eastAsia="Palatino Linotype" w:cs="Palatino Linotype"/>
          <w:color w:val="000000"/>
          <w:sz w:val="16"/>
          <w:szCs w:val="16"/>
        </w:rPr>
      </w:pPr>
      <w:r>
        <w:rPr>
          <w:vertAlign w:val="superscript"/>
        </w:rPr>
        <w:footnoteRef/>
      </w:r>
      <w:r>
        <w:rPr>
          <w:rFonts w:eastAsia="Palatino Linotype" w:cs="Palatino Linotype"/>
          <w:color w:val="000000"/>
          <w:sz w:val="16"/>
          <w:szCs w:val="16"/>
        </w:rPr>
        <w:t xml:space="preserve"> Consultable en: </w:t>
      </w:r>
    </w:p>
    <w:p w14:paraId="3704789B" w14:textId="77777777" w:rsidR="006A0A55" w:rsidRDefault="00C94EF3" w:rsidP="000D134C">
      <w:pPr>
        <w:pBdr>
          <w:top w:val="nil"/>
          <w:left w:val="nil"/>
          <w:bottom w:val="nil"/>
          <w:right w:val="nil"/>
          <w:between w:val="nil"/>
        </w:pBdr>
        <w:rPr>
          <w:rFonts w:eastAsia="Palatino Linotype" w:cs="Palatino Linotype"/>
          <w:color w:val="000000"/>
          <w:sz w:val="16"/>
          <w:szCs w:val="16"/>
        </w:rPr>
      </w:pPr>
      <w:hyperlink r:id="rId3">
        <w:r w:rsidR="006A0A55">
          <w:rPr>
            <w:rFonts w:eastAsia="Palatino Linotype" w:cs="Palatino Linotype"/>
            <w:color w:val="0000FF"/>
            <w:sz w:val="16"/>
            <w:szCs w:val="16"/>
            <w:u w:val="single"/>
          </w:rPr>
          <w:t>https://www.indetec.gob.mx/delivery?srv=0&amp;sl=3&amp;path=/biblioteca/Especiales/386_Glosario_Terminos_Proceso_Planeacion.pdf</w:t>
        </w:r>
      </w:hyperlink>
      <w:r w:rsidR="006A0A55">
        <w:rPr>
          <w:rFonts w:eastAsia="Palatino Linotype" w:cs="Palatino Linotype"/>
          <w:color w:val="000000"/>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835559" w14:textId="77777777" w:rsidR="006A0A55" w:rsidRDefault="00C94EF3">
    <w:pPr>
      <w:pStyle w:val="Encabezado"/>
    </w:pPr>
    <w:r>
      <w:rPr>
        <w:noProof/>
        <w:lang w:val="es-MX" w:eastAsia="es-MX"/>
      </w:rPr>
      <w:pict w14:anchorId="5BA218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49" type="#_x0000_t75" alt="" style="position:absolute;left:0;text-align:left;margin-left:0;margin-top:0;width:609.4pt;height:793.75pt;z-index:-251656192;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1" w:type="dxa"/>
      <w:tblLayout w:type="fixed"/>
      <w:tblCellMar>
        <w:left w:w="70" w:type="dxa"/>
        <w:right w:w="70" w:type="dxa"/>
      </w:tblCellMar>
      <w:tblLook w:val="04A0" w:firstRow="1" w:lastRow="0" w:firstColumn="1" w:lastColumn="0" w:noHBand="0" w:noVBand="1"/>
    </w:tblPr>
    <w:tblGrid>
      <w:gridCol w:w="5180"/>
      <w:gridCol w:w="4461"/>
    </w:tblGrid>
    <w:tr w:rsidR="006A0A55" w:rsidRPr="00B17577" w14:paraId="58CB8F55" w14:textId="77777777" w:rsidTr="0027169F">
      <w:trPr>
        <w:trHeight w:val="237"/>
      </w:trPr>
      <w:tc>
        <w:tcPr>
          <w:tcW w:w="5180" w:type="dxa"/>
          <w:hideMark/>
        </w:tcPr>
        <w:p w14:paraId="2701CCC2" w14:textId="77777777" w:rsidR="006A0A55" w:rsidRPr="00F70BDE" w:rsidRDefault="006A0A55" w:rsidP="0027169F">
          <w:pPr>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Recurso de Revisión:</w:t>
          </w:r>
        </w:p>
      </w:tc>
      <w:tc>
        <w:tcPr>
          <w:tcW w:w="4461" w:type="dxa"/>
          <w:hideMark/>
        </w:tcPr>
        <w:p w14:paraId="0B18FDC1" w14:textId="487CF544" w:rsidR="006A0A55" w:rsidRPr="00F70BDE" w:rsidRDefault="006A0A55" w:rsidP="0092771D">
          <w:pPr>
            <w:spacing w:after="120" w:line="240" w:lineRule="auto"/>
            <w:ind w:right="71"/>
            <w:jc w:val="right"/>
            <w:rPr>
              <w:rFonts w:ascii="Palatino Linotype" w:hAnsi="Palatino Linotype" w:cs="Arial"/>
              <w:b/>
              <w:sz w:val="24"/>
              <w:szCs w:val="24"/>
            </w:rPr>
          </w:pPr>
          <w:r>
            <w:rPr>
              <w:rFonts w:ascii="Palatino Linotype" w:hAnsi="Palatino Linotype" w:cs="Arial"/>
              <w:b/>
              <w:bCs/>
              <w:sz w:val="24"/>
              <w:szCs w:val="24"/>
            </w:rPr>
            <w:t>12325/INFOEM/IP/RR/2025</w:t>
          </w:r>
        </w:p>
      </w:tc>
    </w:tr>
    <w:tr w:rsidR="006A0A55" w14:paraId="662610CC" w14:textId="77777777" w:rsidTr="0027169F">
      <w:trPr>
        <w:trHeight w:val="252"/>
      </w:trPr>
      <w:tc>
        <w:tcPr>
          <w:tcW w:w="5180" w:type="dxa"/>
          <w:hideMark/>
        </w:tcPr>
        <w:p w14:paraId="14468EE4" w14:textId="77777777" w:rsidR="006A0A55" w:rsidRPr="00F70BDE" w:rsidRDefault="006A0A55" w:rsidP="0027169F">
          <w:pPr>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Sujeto Obligado:</w:t>
          </w:r>
        </w:p>
      </w:tc>
      <w:tc>
        <w:tcPr>
          <w:tcW w:w="4461" w:type="dxa"/>
          <w:hideMark/>
        </w:tcPr>
        <w:p w14:paraId="71E48097" w14:textId="5DA116E9" w:rsidR="006A0A55" w:rsidRPr="00F70BDE" w:rsidRDefault="006A0A55" w:rsidP="0027169F">
          <w:pPr>
            <w:spacing w:after="120" w:line="240" w:lineRule="auto"/>
            <w:ind w:left="-81" w:right="71"/>
            <w:jc w:val="right"/>
            <w:rPr>
              <w:rFonts w:ascii="Palatino Linotype" w:hAnsi="Palatino Linotype" w:cs="Arial"/>
              <w:sz w:val="24"/>
              <w:szCs w:val="24"/>
            </w:rPr>
          </w:pPr>
          <w:r w:rsidRPr="0092771D">
            <w:rPr>
              <w:rFonts w:ascii="Palatino Linotype" w:hAnsi="Palatino Linotype"/>
              <w:b/>
              <w:bCs/>
              <w:color w:val="000000"/>
              <w:sz w:val="24"/>
              <w:szCs w:val="24"/>
            </w:rPr>
            <w:t>Ayuntamiento de Tezoyuca</w:t>
          </w:r>
        </w:p>
      </w:tc>
    </w:tr>
    <w:tr w:rsidR="006A0A55" w:rsidRPr="00F63239" w14:paraId="56646647" w14:textId="77777777" w:rsidTr="0027169F">
      <w:trPr>
        <w:trHeight w:val="357"/>
      </w:trPr>
      <w:tc>
        <w:tcPr>
          <w:tcW w:w="5180" w:type="dxa"/>
          <w:hideMark/>
        </w:tcPr>
        <w:p w14:paraId="5D5F4A55" w14:textId="77777777" w:rsidR="006A0A55" w:rsidRPr="00F70BDE" w:rsidRDefault="006A0A55" w:rsidP="0027169F">
          <w:pPr>
            <w:tabs>
              <w:tab w:val="left" w:pos="4892"/>
            </w:tabs>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Comisionado Ponente:</w:t>
          </w:r>
        </w:p>
      </w:tc>
      <w:tc>
        <w:tcPr>
          <w:tcW w:w="4461" w:type="dxa"/>
          <w:hideMark/>
        </w:tcPr>
        <w:p w14:paraId="2BB3921F" w14:textId="77777777" w:rsidR="006A0A55" w:rsidRPr="0092771D" w:rsidRDefault="006A0A55" w:rsidP="0027169F">
          <w:pPr>
            <w:spacing w:after="120" w:line="240" w:lineRule="auto"/>
            <w:ind w:left="-486" w:right="71" w:firstLine="567"/>
            <w:jc w:val="right"/>
            <w:rPr>
              <w:rFonts w:ascii="Palatino Linotype" w:hAnsi="Palatino Linotype" w:cs="Arial"/>
              <w:b/>
              <w:sz w:val="24"/>
              <w:szCs w:val="24"/>
            </w:rPr>
          </w:pPr>
          <w:r w:rsidRPr="0092771D">
            <w:rPr>
              <w:rFonts w:ascii="Palatino Linotype" w:hAnsi="Palatino Linotype" w:cs="Arial"/>
              <w:b/>
              <w:sz w:val="24"/>
              <w:szCs w:val="24"/>
            </w:rPr>
            <w:t>José Martínez Vilchis</w:t>
          </w:r>
        </w:p>
        <w:p w14:paraId="22F970AD" w14:textId="77777777" w:rsidR="006A0A55" w:rsidRPr="00F70BDE" w:rsidRDefault="006A0A55" w:rsidP="0027169F">
          <w:pPr>
            <w:spacing w:after="120" w:line="240" w:lineRule="auto"/>
            <w:ind w:left="-486" w:right="71" w:firstLine="567"/>
            <w:jc w:val="right"/>
            <w:rPr>
              <w:rFonts w:ascii="Palatino Linotype" w:hAnsi="Palatino Linotype" w:cs="Arial"/>
              <w:sz w:val="24"/>
              <w:szCs w:val="24"/>
            </w:rPr>
          </w:pPr>
        </w:p>
      </w:tc>
    </w:tr>
  </w:tbl>
  <w:p w14:paraId="64B48BEE" w14:textId="77777777" w:rsidR="006A0A55" w:rsidRPr="00871A91" w:rsidRDefault="00C94EF3">
    <w:pPr>
      <w:pStyle w:val="Encabezado"/>
      <w:rPr>
        <w:sz w:val="2"/>
      </w:rPr>
    </w:pPr>
    <w:r>
      <w:rPr>
        <w:noProof/>
        <w:lang w:val="es-MX" w:eastAsia="es-MX"/>
      </w:rPr>
      <w:pict w14:anchorId="74830E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left:0;text-align:left;margin-left:-81.55pt;margin-top:-142.95pt;width:609.4pt;height:793.75pt;z-index:-251655168;mso-wrap-edited:f;mso-width-percent:0;mso-height-percent:0;mso-position-horizontal-relative:margin;mso-position-vertical-relative:margin;mso-width-percent:0;mso-height-percent:0" o:allowincell="f">
          <v:imagedata r:id="rId1" o:title=""/>
          <w10:wrap anchorx="margin" anchory="margin"/>
        </v:shape>
      </w:pict>
    </w:r>
    <w:r w:rsidR="006A0A55">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6A0A55" w:rsidRPr="00F70BDE" w14:paraId="45B19BE3" w14:textId="77777777" w:rsidTr="0027169F">
      <w:trPr>
        <w:trHeight w:val="227"/>
      </w:trPr>
      <w:tc>
        <w:tcPr>
          <w:tcW w:w="5103" w:type="dxa"/>
          <w:hideMark/>
        </w:tcPr>
        <w:p w14:paraId="0BAEB94E" w14:textId="77777777" w:rsidR="006A0A55" w:rsidRPr="00F70BDE" w:rsidRDefault="006A0A55" w:rsidP="0027169F">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Recurso de Revisión:</w:t>
          </w:r>
        </w:p>
      </w:tc>
      <w:tc>
        <w:tcPr>
          <w:tcW w:w="4395" w:type="dxa"/>
          <w:hideMark/>
        </w:tcPr>
        <w:p w14:paraId="4907A77F" w14:textId="51411C0F" w:rsidR="006A0A55" w:rsidRPr="00F70BDE" w:rsidRDefault="006A0A55" w:rsidP="0027169F">
          <w:pPr>
            <w:spacing w:after="120" w:line="240" w:lineRule="auto"/>
            <w:ind w:left="-486" w:right="68" w:firstLine="558"/>
            <w:jc w:val="right"/>
            <w:rPr>
              <w:rFonts w:ascii="Palatino Linotype" w:hAnsi="Palatino Linotype" w:cs="Arial"/>
              <w:b/>
              <w:bCs/>
              <w:sz w:val="24"/>
              <w:szCs w:val="24"/>
            </w:rPr>
          </w:pPr>
          <w:r>
            <w:rPr>
              <w:rFonts w:ascii="Palatino Linotype" w:hAnsi="Palatino Linotype" w:cs="Arial"/>
              <w:b/>
              <w:bCs/>
              <w:sz w:val="24"/>
              <w:szCs w:val="24"/>
            </w:rPr>
            <w:t>12325/INFOEM/IP/RR/2025</w:t>
          </w:r>
        </w:p>
      </w:tc>
    </w:tr>
    <w:tr w:rsidR="006A0A55" w:rsidRPr="00F70BDE" w14:paraId="6328A4D5" w14:textId="77777777" w:rsidTr="0027169F">
      <w:trPr>
        <w:trHeight w:val="227"/>
      </w:trPr>
      <w:tc>
        <w:tcPr>
          <w:tcW w:w="5103" w:type="dxa"/>
        </w:tcPr>
        <w:p w14:paraId="49B62AC2" w14:textId="77777777" w:rsidR="006A0A55" w:rsidRPr="00F70BDE" w:rsidRDefault="006A0A55" w:rsidP="0027169F">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 xml:space="preserve">Recurrente:     </w:t>
          </w:r>
        </w:p>
      </w:tc>
      <w:tc>
        <w:tcPr>
          <w:tcW w:w="4395" w:type="dxa"/>
        </w:tcPr>
        <w:p w14:paraId="6C931F67" w14:textId="44ED33A4" w:rsidR="006A0A55" w:rsidRPr="00F70BDE" w:rsidRDefault="00D21BEF" w:rsidP="00516DE7">
          <w:pPr>
            <w:spacing w:after="120" w:line="240" w:lineRule="auto"/>
            <w:ind w:left="-486" w:right="68" w:firstLine="558"/>
            <w:jc w:val="right"/>
            <w:rPr>
              <w:rFonts w:ascii="Palatino Linotype" w:hAnsi="Palatino Linotype" w:cs="Arial"/>
              <w:b/>
              <w:bCs/>
              <w:sz w:val="24"/>
              <w:szCs w:val="24"/>
            </w:rPr>
          </w:pPr>
          <w:r>
            <w:rPr>
              <w:rFonts w:ascii="Palatino Linotype" w:hAnsi="Palatino Linotype" w:cs="Arial"/>
              <w:b/>
              <w:bCs/>
              <w:sz w:val="24"/>
              <w:szCs w:val="24"/>
            </w:rPr>
            <w:t>XXXXXXXXXXXXXXXXXXX</w:t>
          </w:r>
        </w:p>
      </w:tc>
    </w:tr>
    <w:tr w:rsidR="006A0A55" w:rsidRPr="00F70BDE" w14:paraId="4DFEB549" w14:textId="77777777" w:rsidTr="0027169F">
      <w:trPr>
        <w:trHeight w:val="242"/>
      </w:trPr>
      <w:tc>
        <w:tcPr>
          <w:tcW w:w="5103" w:type="dxa"/>
          <w:hideMark/>
        </w:tcPr>
        <w:p w14:paraId="2948674E" w14:textId="77777777" w:rsidR="006A0A55" w:rsidRPr="00F70BDE" w:rsidRDefault="006A0A55" w:rsidP="0027169F">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Sujeto Obligado:</w:t>
          </w:r>
        </w:p>
      </w:tc>
      <w:tc>
        <w:tcPr>
          <w:tcW w:w="4395" w:type="dxa"/>
          <w:hideMark/>
        </w:tcPr>
        <w:p w14:paraId="59AFF2B3" w14:textId="13E92758" w:rsidR="006A0A55" w:rsidRPr="00056169" w:rsidRDefault="006A0A55" w:rsidP="0027169F">
          <w:pPr>
            <w:spacing w:after="120" w:line="240" w:lineRule="auto"/>
            <w:ind w:left="-70" w:right="68"/>
            <w:jc w:val="right"/>
            <w:rPr>
              <w:rFonts w:ascii="Palatino Linotype" w:hAnsi="Palatino Linotype" w:cs="Arial"/>
              <w:sz w:val="24"/>
              <w:szCs w:val="24"/>
            </w:rPr>
          </w:pPr>
          <w:r w:rsidRPr="0092771D">
            <w:rPr>
              <w:rFonts w:ascii="Palatino Linotype" w:hAnsi="Palatino Linotype"/>
              <w:b/>
              <w:bCs/>
              <w:color w:val="000000"/>
              <w:sz w:val="24"/>
              <w:szCs w:val="24"/>
            </w:rPr>
            <w:t>Ayuntamiento de Tezoyuca</w:t>
          </w:r>
        </w:p>
      </w:tc>
    </w:tr>
    <w:tr w:rsidR="006A0A55" w:rsidRPr="00F70BDE" w14:paraId="3E04D042" w14:textId="77777777" w:rsidTr="0027169F">
      <w:trPr>
        <w:trHeight w:val="342"/>
      </w:trPr>
      <w:tc>
        <w:tcPr>
          <w:tcW w:w="5103" w:type="dxa"/>
          <w:hideMark/>
        </w:tcPr>
        <w:p w14:paraId="3F7D9FD0" w14:textId="77777777" w:rsidR="006A0A55" w:rsidRPr="00F70BDE" w:rsidRDefault="006A0A55" w:rsidP="0027169F">
          <w:pPr>
            <w:tabs>
              <w:tab w:val="left" w:pos="4892"/>
            </w:tabs>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Comisionado Ponente:</w:t>
          </w:r>
        </w:p>
      </w:tc>
      <w:tc>
        <w:tcPr>
          <w:tcW w:w="4395" w:type="dxa"/>
          <w:hideMark/>
        </w:tcPr>
        <w:p w14:paraId="5168D6C9" w14:textId="77777777" w:rsidR="006A0A55" w:rsidRPr="0092771D" w:rsidRDefault="006A0A55" w:rsidP="0027169F">
          <w:pPr>
            <w:spacing w:after="120" w:line="240" w:lineRule="auto"/>
            <w:ind w:left="-486" w:right="68" w:firstLine="567"/>
            <w:jc w:val="right"/>
            <w:rPr>
              <w:rFonts w:ascii="Palatino Linotype" w:hAnsi="Palatino Linotype" w:cs="Arial"/>
              <w:b/>
              <w:sz w:val="24"/>
              <w:szCs w:val="24"/>
            </w:rPr>
          </w:pPr>
          <w:r w:rsidRPr="0092771D">
            <w:rPr>
              <w:rFonts w:ascii="Palatino Linotype" w:hAnsi="Palatino Linotype" w:cs="Arial"/>
              <w:b/>
              <w:sz w:val="24"/>
              <w:szCs w:val="24"/>
            </w:rPr>
            <w:t>José Martínez Vilchis</w:t>
          </w:r>
        </w:p>
      </w:tc>
    </w:tr>
  </w:tbl>
  <w:p w14:paraId="59B65BC0" w14:textId="77777777" w:rsidR="006A0A55" w:rsidRPr="00871A91" w:rsidRDefault="006A0A55">
    <w:pPr>
      <w:pStyle w:val="Encabezado"/>
      <w:rPr>
        <w:sz w:val="2"/>
      </w:rPr>
    </w:pPr>
    <w:r>
      <w:rPr>
        <w:noProof/>
        <w:lang w:val="es-MX" w:eastAsia="es-MX"/>
      </w:rPr>
      <w:drawing>
        <wp:anchor distT="0" distB="0" distL="114300" distR="114300" simplePos="0" relativeHeight="251659264" behindDoc="1" locked="0" layoutInCell="0" allowOverlap="1" wp14:anchorId="62CBB23F" wp14:editId="3B82036A">
          <wp:simplePos x="0" y="0"/>
          <wp:positionH relativeFrom="margin">
            <wp:posOffset>-1029970</wp:posOffset>
          </wp:positionH>
          <wp:positionV relativeFrom="margin">
            <wp:posOffset>-1807845</wp:posOffset>
          </wp:positionV>
          <wp:extent cx="7739380" cy="10080625"/>
          <wp:effectExtent l="0" t="0" r="0" b="0"/>
          <wp:wrapNone/>
          <wp:docPr id="1" name="Imagen 1" descr="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9380" cy="1008062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64DDA"/>
    <w:multiLevelType w:val="hybridMultilevel"/>
    <w:tmpl w:val="A74241D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46D4516"/>
    <w:multiLevelType w:val="hybridMultilevel"/>
    <w:tmpl w:val="85626674"/>
    <w:lvl w:ilvl="0" w:tplc="B1323AEA">
      <w:start w:val="4749"/>
      <w:numFmt w:val="bullet"/>
      <w:lvlText w:val=""/>
      <w:lvlJc w:val="left"/>
      <w:pPr>
        <w:ind w:left="720" w:hanging="360"/>
      </w:pPr>
      <w:rPr>
        <w:rFonts w:ascii="Symbol" w:eastAsiaTheme="minorHAnsi" w:hAnsi="Symbol" w:cs="Aria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8262319"/>
    <w:multiLevelType w:val="hybridMultilevel"/>
    <w:tmpl w:val="F066029C"/>
    <w:lvl w:ilvl="0" w:tplc="686ECFFE">
      <w:start w:val="4749"/>
      <w:numFmt w:val="bullet"/>
      <w:lvlText w:val="-"/>
      <w:lvlJc w:val="left"/>
      <w:pPr>
        <w:ind w:left="1080" w:hanging="360"/>
      </w:pPr>
      <w:rPr>
        <w:rFonts w:ascii="Palatino Linotype" w:eastAsiaTheme="minorHAnsi"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1C215E57"/>
    <w:multiLevelType w:val="hybridMultilevel"/>
    <w:tmpl w:val="1D56BDBE"/>
    <w:lvl w:ilvl="0" w:tplc="384AF412">
      <w:start w:val="1"/>
      <w:numFmt w:val="decimal"/>
      <w:lvlText w:val="%1."/>
      <w:lvlJc w:val="left"/>
      <w:pPr>
        <w:ind w:left="720" w:hanging="360"/>
      </w:pPr>
      <w:rPr>
        <w:rFonts w:eastAsia="Arial Unicode M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D3A77C2"/>
    <w:multiLevelType w:val="multilevel"/>
    <w:tmpl w:val="407E713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E1F4C40"/>
    <w:multiLevelType w:val="multilevel"/>
    <w:tmpl w:val="DCA419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7F23BC4"/>
    <w:multiLevelType w:val="hybridMultilevel"/>
    <w:tmpl w:val="105ABB5A"/>
    <w:lvl w:ilvl="0" w:tplc="045477CA">
      <w:start w:val="1"/>
      <w:numFmt w:val="lowerLetter"/>
      <w:lvlText w:val="%1)"/>
      <w:lvlJc w:val="left"/>
      <w:pPr>
        <w:ind w:left="785" w:hanging="360"/>
      </w:pPr>
      <w:rPr>
        <w:rFonts w:hint="default"/>
      </w:r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7" w15:restartNumberingAfterBreak="0">
    <w:nsid w:val="30543778"/>
    <w:multiLevelType w:val="hybridMultilevel"/>
    <w:tmpl w:val="E3E0C432"/>
    <w:lvl w:ilvl="0" w:tplc="FF668BFC">
      <w:start w:val="1"/>
      <w:numFmt w:val="upperRoman"/>
      <w:lvlText w:val="%1."/>
      <w:lvlJc w:val="left"/>
      <w:pPr>
        <w:ind w:left="1800" w:hanging="720"/>
      </w:pPr>
      <w:rPr>
        <w:rFonts w:cs="Times New Roman" w:hint="default"/>
      </w:rPr>
    </w:lvl>
    <w:lvl w:ilvl="1" w:tplc="080A0019" w:tentative="1">
      <w:start w:val="1"/>
      <w:numFmt w:val="lowerLetter"/>
      <w:lvlText w:val="%2."/>
      <w:lvlJc w:val="left"/>
      <w:pPr>
        <w:ind w:left="2160" w:hanging="360"/>
      </w:pPr>
      <w:rPr>
        <w:rFonts w:cs="Times New Roman"/>
      </w:rPr>
    </w:lvl>
    <w:lvl w:ilvl="2" w:tplc="080A001B" w:tentative="1">
      <w:start w:val="1"/>
      <w:numFmt w:val="lowerRoman"/>
      <w:lvlText w:val="%3."/>
      <w:lvlJc w:val="right"/>
      <w:pPr>
        <w:ind w:left="2880" w:hanging="180"/>
      </w:pPr>
      <w:rPr>
        <w:rFonts w:cs="Times New Roman"/>
      </w:rPr>
    </w:lvl>
    <w:lvl w:ilvl="3" w:tplc="080A000F" w:tentative="1">
      <w:start w:val="1"/>
      <w:numFmt w:val="decimal"/>
      <w:lvlText w:val="%4."/>
      <w:lvlJc w:val="left"/>
      <w:pPr>
        <w:ind w:left="3600" w:hanging="360"/>
      </w:pPr>
      <w:rPr>
        <w:rFonts w:cs="Times New Roman"/>
      </w:rPr>
    </w:lvl>
    <w:lvl w:ilvl="4" w:tplc="080A0019" w:tentative="1">
      <w:start w:val="1"/>
      <w:numFmt w:val="lowerLetter"/>
      <w:lvlText w:val="%5."/>
      <w:lvlJc w:val="left"/>
      <w:pPr>
        <w:ind w:left="4320" w:hanging="360"/>
      </w:pPr>
      <w:rPr>
        <w:rFonts w:cs="Times New Roman"/>
      </w:rPr>
    </w:lvl>
    <w:lvl w:ilvl="5" w:tplc="080A001B" w:tentative="1">
      <w:start w:val="1"/>
      <w:numFmt w:val="lowerRoman"/>
      <w:lvlText w:val="%6."/>
      <w:lvlJc w:val="right"/>
      <w:pPr>
        <w:ind w:left="5040" w:hanging="180"/>
      </w:pPr>
      <w:rPr>
        <w:rFonts w:cs="Times New Roman"/>
      </w:rPr>
    </w:lvl>
    <w:lvl w:ilvl="6" w:tplc="080A000F" w:tentative="1">
      <w:start w:val="1"/>
      <w:numFmt w:val="decimal"/>
      <w:lvlText w:val="%7."/>
      <w:lvlJc w:val="left"/>
      <w:pPr>
        <w:ind w:left="5760" w:hanging="360"/>
      </w:pPr>
      <w:rPr>
        <w:rFonts w:cs="Times New Roman"/>
      </w:rPr>
    </w:lvl>
    <w:lvl w:ilvl="7" w:tplc="080A0019" w:tentative="1">
      <w:start w:val="1"/>
      <w:numFmt w:val="lowerLetter"/>
      <w:lvlText w:val="%8."/>
      <w:lvlJc w:val="left"/>
      <w:pPr>
        <w:ind w:left="6480" w:hanging="360"/>
      </w:pPr>
      <w:rPr>
        <w:rFonts w:cs="Times New Roman"/>
      </w:rPr>
    </w:lvl>
    <w:lvl w:ilvl="8" w:tplc="080A001B" w:tentative="1">
      <w:start w:val="1"/>
      <w:numFmt w:val="lowerRoman"/>
      <w:lvlText w:val="%9."/>
      <w:lvlJc w:val="right"/>
      <w:pPr>
        <w:ind w:left="7200" w:hanging="180"/>
      </w:pPr>
      <w:rPr>
        <w:rFonts w:cs="Times New Roman"/>
      </w:rPr>
    </w:lvl>
  </w:abstractNum>
  <w:abstractNum w:abstractNumId="8" w15:restartNumberingAfterBreak="0">
    <w:nsid w:val="32DA189A"/>
    <w:multiLevelType w:val="hybridMultilevel"/>
    <w:tmpl w:val="41A25E30"/>
    <w:lvl w:ilvl="0" w:tplc="9032571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92E5AC8"/>
    <w:multiLevelType w:val="multilevel"/>
    <w:tmpl w:val="F01C13C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0" w15:restartNumberingAfterBreak="0">
    <w:nsid w:val="46EF14FA"/>
    <w:multiLevelType w:val="multilevel"/>
    <w:tmpl w:val="EE8654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ED41B5A"/>
    <w:multiLevelType w:val="multilevel"/>
    <w:tmpl w:val="056429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45650D4"/>
    <w:multiLevelType w:val="multilevel"/>
    <w:tmpl w:val="5A945C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B0C51AA"/>
    <w:multiLevelType w:val="multilevel"/>
    <w:tmpl w:val="4F8AC9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CB33329"/>
    <w:multiLevelType w:val="hybridMultilevel"/>
    <w:tmpl w:val="E0D4E37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3"/>
  </w:num>
  <w:num w:numId="4">
    <w:abstractNumId w:val="0"/>
  </w:num>
  <w:num w:numId="5">
    <w:abstractNumId w:val="1"/>
  </w:num>
  <w:num w:numId="6">
    <w:abstractNumId w:val="2"/>
  </w:num>
  <w:num w:numId="7">
    <w:abstractNumId w:val="14"/>
  </w:num>
  <w:num w:numId="8">
    <w:abstractNumId w:val="10"/>
  </w:num>
  <w:num w:numId="9">
    <w:abstractNumId w:val="9"/>
  </w:num>
  <w:num w:numId="10">
    <w:abstractNumId w:val="11"/>
  </w:num>
  <w:num w:numId="11">
    <w:abstractNumId w:val="12"/>
  </w:num>
  <w:num w:numId="12">
    <w:abstractNumId w:val="13"/>
  </w:num>
  <w:num w:numId="13">
    <w:abstractNumId w:val="4"/>
  </w:num>
  <w:num w:numId="14">
    <w:abstractNumId w:val="5"/>
  </w:num>
  <w:num w:numId="15">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34C"/>
    <w:rsid w:val="000329DF"/>
    <w:rsid w:val="00067548"/>
    <w:rsid w:val="000805FA"/>
    <w:rsid w:val="000C7439"/>
    <w:rsid w:val="000D134C"/>
    <w:rsid w:val="001319D6"/>
    <w:rsid w:val="001D5FC0"/>
    <w:rsid w:val="00201590"/>
    <w:rsid w:val="002356E1"/>
    <w:rsid w:val="00242265"/>
    <w:rsid w:val="0027169F"/>
    <w:rsid w:val="00273D73"/>
    <w:rsid w:val="002B79A5"/>
    <w:rsid w:val="002F11B1"/>
    <w:rsid w:val="0030527F"/>
    <w:rsid w:val="003A71F6"/>
    <w:rsid w:val="00432E3D"/>
    <w:rsid w:val="00437829"/>
    <w:rsid w:val="004E3423"/>
    <w:rsid w:val="00516DE7"/>
    <w:rsid w:val="00534385"/>
    <w:rsid w:val="00537453"/>
    <w:rsid w:val="00597B06"/>
    <w:rsid w:val="005C2A3E"/>
    <w:rsid w:val="005F557C"/>
    <w:rsid w:val="00683379"/>
    <w:rsid w:val="006A0A55"/>
    <w:rsid w:val="006D03BE"/>
    <w:rsid w:val="008169A7"/>
    <w:rsid w:val="008763BA"/>
    <w:rsid w:val="008E046C"/>
    <w:rsid w:val="0092771D"/>
    <w:rsid w:val="009634D7"/>
    <w:rsid w:val="00A143A2"/>
    <w:rsid w:val="00A31C9B"/>
    <w:rsid w:val="00AE6D43"/>
    <w:rsid w:val="00BC2A15"/>
    <w:rsid w:val="00BC7773"/>
    <w:rsid w:val="00C165C6"/>
    <w:rsid w:val="00C408FD"/>
    <w:rsid w:val="00C703DC"/>
    <w:rsid w:val="00C94EF3"/>
    <w:rsid w:val="00CC023A"/>
    <w:rsid w:val="00CC1723"/>
    <w:rsid w:val="00D05370"/>
    <w:rsid w:val="00D21BEF"/>
    <w:rsid w:val="00DE6A51"/>
    <w:rsid w:val="00E70459"/>
    <w:rsid w:val="00EA3D96"/>
    <w:rsid w:val="00EA5B54"/>
    <w:rsid w:val="00F11C89"/>
    <w:rsid w:val="00F275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0BDF471"/>
  <w15:chartTrackingRefBased/>
  <w15:docId w15:val="{387D6C65-46A4-450D-82C0-BF40C2A91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134C"/>
  </w:style>
  <w:style w:type="paragraph" w:styleId="Ttulo1">
    <w:name w:val="heading 1"/>
    <w:basedOn w:val="Normal"/>
    <w:next w:val="Normal"/>
    <w:link w:val="Ttulo1Car"/>
    <w:uiPriority w:val="9"/>
    <w:qFormat/>
    <w:rsid w:val="000D134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0D134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0D134C"/>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0D134C"/>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0D134C"/>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0D134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D134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D134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D134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D134C"/>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0D134C"/>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0D134C"/>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0D134C"/>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0D134C"/>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0D134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D134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D134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D134C"/>
    <w:rPr>
      <w:rFonts w:eastAsiaTheme="majorEastAsia" w:cstheme="majorBidi"/>
      <w:color w:val="272727" w:themeColor="text1" w:themeTint="D8"/>
    </w:rPr>
  </w:style>
  <w:style w:type="paragraph" w:styleId="Puesto">
    <w:name w:val="Title"/>
    <w:basedOn w:val="Normal"/>
    <w:next w:val="Normal"/>
    <w:link w:val="PuestoCar"/>
    <w:uiPriority w:val="10"/>
    <w:qFormat/>
    <w:rsid w:val="000D13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0D134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D134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D134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D134C"/>
    <w:pPr>
      <w:spacing w:before="160"/>
      <w:jc w:val="center"/>
    </w:pPr>
    <w:rPr>
      <w:i/>
      <w:iCs/>
      <w:color w:val="404040" w:themeColor="text1" w:themeTint="BF"/>
    </w:rPr>
  </w:style>
  <w:style w:type="character" w:customStyle="1" w:styleId="CitaCar">
    <w:name w:val="Cita Car"/>
    <w:basedOn w:val="Fuentedeprrafopredeter"/>
    <w:link w:val="Cita"/>
    <w:uiPriority w:val="29"/>
    <w:rsid w:val="000D134C"/>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D134C"/>
    <w:pPr>
      <w:ind w:left="720"/>
      <w:contextualSpacing/>
    </w:pPr>
  </w:style>
  <w:style w:type="character" w:styleId="nfasisintenso">
    <w:name w:val="Intense Emphasis"/>
    <w:basedOn w:val="Fuentedeprrafopredeter"/>
    <w:uiPriority w:val="21"/>
    <w:qFormat/>
    <w:rsid w:val="000D134C"/>
    <w:rPr>
      <w:i/>
      <w:iCs/>
      <w:color w:val="2E74B5" w:themeColor="accent1" w:themeShade="BF"/>
    </w:rPr>
  </w:style>
  <w:style w:type="paragraph" w:styleId="Citadestacada">
    <w:name w:val="Intense Quote"/>
    <w:basedOn w:val="Normal"/>
    <w:next w:val="Normal"/>
    <w:link w:val="CitadestacadaCar"/>
    <w:uiPriority w:val="30"/>
    <w:qFormat/>
    <w:rsid w:val="000D134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0D134C"/>
    <w:rPr>
      <w:i/>
      <w:iCs/>
      <w:color w:val="2E74B5" w:themeColor="accent1" w:themeShade="BF"/>
    </w:rPr>
  </w:style>
  <w:style w:type="character" w:styleId="Referenciaintensa">
    <w:name w:val="Intense Reference"/>
    <w:basedOn w:val="Fuentedeprrafopredeter"/>
    <w:uiPriority w:val="32"/>
    <w:qFormat/>
    <w:rsid w:val="000D134C"/>
    <w:rPr>
      <w:b/>
      <w:bCs/>
      <w:smallCaps/>
      <w:color w:val="2E74B5" w:themeColor="accent1" w:themeShade="BF"/>
      <w:spacing w:val="5"/>
    </w:rPr>
  </w:style>
  <w:style w:type="paragraph" w:styleId="Encabezado">
    <w:name w:val="header"/>
    <w:basedOn w:val="Normal"/>
    <w:link w:val="EncabezadoCar"/>
    <w:uiPriority w:val="99"/>
    <w:unhideWhenUsed/>
    <w:rsid w:val="000D134C"/>
    <w:pPr>
      <w:tabs>
        <w:tab w:val="center" w:pos="4419"/>
        <w:tab w:val="right" w:pos="8838"/>
      </w:tabs>
      <w:spacing w:after="0" w:line="240" w:lineRule="auto"/>
      <w:jc w:val="both"/>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D134C"/>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D134C"/>
    <w:pPr>
      <w:tabs>
        <w:tab w:val="center" w:pos="4419"/>
        <w:tab w:val="right" w:pos="8838"/>
      </w:tabs>
      <w:spacing w:after="0" w:line="240" w:lineRule="auto"/>
      <w:jc w:val="both"/>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D134C"/>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D134C"/>
  </w:style>
  <w:style w:type="character" w:styleId="Hipervnculo">
    <w:name w:val="Hyperlink"/>
    <w:aliases w:val="Hipervínculo1,Hipervínculo11,Hipervínculo12,Hipervínculo13,Hipervínculo14,Hipervínculo15"/>
    <w:basedOn w:val="Fuentedeprrafopredeter"/>
    <w:uiPriority w:val="99"/>
    <w:unhideWhenUsed/>
    <w:rsid w:val="000D134C"/>
    <w:rPr>
      <w:rFonts w:cs="Times New Roman"/>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D134C"/>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D134C"/>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0D134C"/>
    <w:rPr>
      <w:rFonts w:ascii="Times New Roman" w:eastAsia="Times New Roman" w:hAnsi="Times New Roman" w:cs="Times New Roman"/>
      <w:sz w:val="20"/>
      <w:szCs w:val="20"/>
      <w:lang w:val="es-ES" w:eastAsia="es-ES"/>
    </w:rPr>
  </w:style>
  <w:style w:type="paragraph" w:customStyle="1" w:styleId="Citas">
    <w:name w:val="Citas"/>
    <w:basedOn w:val="Normal"/>
    <w:qFormat/>
    <w:rsid w:val="000D134C"/>
    <w:pPr>
      <w:spacing w:before="240" w:line="360" w:lineRule="auto"/>
      <w:ind w:left="851" w:right="851"/>
      <w:jc w:val="both"/>
    </w:pPr>
    <w:rPr>
      <w:rFonts w:ascii="Palatino Linotype" w:hAnsi="Palatino Linotype" w:cs="Arial"/>
      <w:i/>
    </w:rPr>
  </w:style>
  <w:style w:type="table" w:styleId="Tablaconcuadrcula">
    <w:name w:val="Table Grid"/>
    <w:basedOn w:val="Tablanormal"/>
    <w:uiPriority w:val="39"/>
    <w:rsid w:val="000D13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13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946271">
      <w:bodyDiv w:val="1"/>
      <w:marLeft w:val="0"/>
      <w:marRight w:val="0"/>
      <w:marTop w:val="0"/>
      <w:marBottom w:val="0"/>
      <w:divBdr>
        <w:top w:val="none" w:sz="0" w:space="0" w:color="auto"/>
        <w:left w:val="none" w:sz="0" w:space="0" w:color="auto"/>
        <w:bottom w:val="none" w:sz="0" w:space="0" w:color="auto"/>
        <w:right w:val="none" w:sz="0" w:space="0" w:color="auto"/>
      </w:divBdr>
    </w:div>
    <w:div w:id="1242181776">
      <w:bodyDiv w:val="1"/>
      <w:marLeft w:val="0"/>
      <w:marRight w:val="0"/>
      <w:marTop w:val="0"/>
      <w:marBottom w:val="0"/>
      <w:divBdr>
        <w:top w:val="none" w:sz="0" w:space="0" w:color="auto"/>
        <w:left w:val="none" w:sz="0" w:space="0" w:color="auto"/>
        <w:bottom w:val="none" w:sz="0" w:space="0" w:color="auto"/>
        <w:right w:val="none" w:sz="0" w:space="0" w:color="auto"/>
      </w:divBdr>
    </w:div>
    <w:div w:id="1292975513">
      <w:bodyDiv w:val="1"/>
      <w:marLeft w:val="0"/>
      <w:marRight w:val="0"/>
      <w:marTop w:val="0"/>
      <w:marBottom w:val="0"/>
      <w:divBdr>
        <w:top w:val="none" w:sz="0" w:space="0" w:color="auto"/>
        <w:left w:val="none" w:sz="0" w:space="0" w:color="auto"/>
        <w:bottom w:val="none" w:sz="0" w:space="0" w:color="auto"/>
        <w:right w:val="none" w:sz="0" w:space="0" w:color="auto"/>
      </w:divBdr>
    </w:div>
    <w:div w:id="2127574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b.mx/segob/renapo/acciones-y-programas/clave-unica-de-registro-de-poblacion-curp-142226"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nsultas.curp.gob.mx/CurpSP/html/informacionecurpPS.htm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indetec.gob.mx/delivery?srv=0&amp;sl=3&amp;path=/biblioteca/Especiales/386_Glosario_Terminos_Proceso_Planeacion.pdf" TargetMode="External"/><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90B104-7EDC-477B-82D6-5F941748C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50</Pages>
  <Words>11546</Words>
  <Characters>63508</Characters>
  <Application>Microsoft Office Word</Application>
  <DocSecurity>0</DocSecurity>
  <Lines>529</Lines>
  <Paragraphs>149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74905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Infoem378</dc:creator>
  <cp:keywords/>
  <dc:description/>
  <cp:lastModifiedBy>INFOEM557</cp:lastModifiedBy>
  <cp:revision>8</cp:revision>
  <cp:lastPrinted>2026-03-20T20:30:00Z</cp:lastPrinted>
  <dcterms:created xsi:type="dcterms:W3CDTF">2026-03-10T00:44:00Z</dcterms:created>
  <dcterms:modified xsi:type="dcterms:W3CDTF">2026-04-10T15:52:00Z</dcterms:modified>
</cp:coreProperties>
</file>