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B5C80" w14:textId="0262DE81" w:rsidR="00EB2080" w:rsidRPr="004D04AE" w:rsidRDefault="005B4B1B" w:rsidP="00CC6B6E">
      <w:pPr>
        <w:spacing w:line="360" w:lineRule="auto"/>
        <w:jc w:val="both"/>
        <w:rPr>
          <w:rFonts w:ascii="Palatino Linotype" w:eastAsia="Palatino Linotype" w:hAnsi="Palatino Linotype" w:cs="Palatino Linotype"/>
          <w:sz w:val="22"/>
          <w:szCs w:val="22"/>
        </w:rPr>
      </w:pPr>
      <w:bookmarkStart w:id="0" w:name="_heading=h.1fob9te" w:colFirst="0" w:colLast="0"/>
      <w:bookmarkEnd w:id="0"/>
      <w:r w:rsidRPr="004D04A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812CF4" w:rsidRPr="004D04AE">
        <w:rPr>
          <w:rFonts w:ascii="Palatino Linotype" w:eastAsia="Palatino Linotype" w:hAnsi="Palatino Linotype" w:cs="Palatino Linotype"/>
          <w:b/>
          <w:sz w:val="22"/>
          <w:szCs w:val="22"/>
        </w:rPr>
        <w:t>veinticinco de febrero de dos mil veintiséis</w:t>
      </w:r>
      <w:r w:rsidRPr="004D04AE">
        <w:rPr>
          <w:rFonts w:ascii="Palatino Linotype" w:eastAsia="Palatino Linotype" w:hAnsi="Palatino Linotype" w:cs="Palatino Linotype"/>
          <w:sz w:val="22"/>
          <w:szCs w:val="22"/>
        </w:rPr>
        <w:t xml:space="preserve">. </w:t>
      </w:r>
    </w:p>
    <w:p w14:paraId="0E187D69"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5C8FCFA1" w14:textId="6DBC8E3F"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Visto</w:t>
      </w:r>
      <w:r w:rsidRPr="004D04AE">
        <w:rPr>
          <w:rFonts w:ascii="Palatino Linotype" w:eastAsia="Palatino Linotype" w:hAnsi="Palatino Linotype" w:cs="Palatino Linotype"/>
          <w:sz w:val="22"/>
          <w:szCs w:val="22"/>
        </w:rPr>
        <w:t xml:space="preserve"> el expediente formado con motivo del recurso de revisión </w:t>
      </w:r>
      <w:r w:rsidRPr="004D04AE">
        <w:rPr>
          <w:rFonts w:ascii="Palatino Linotype" w:eastAsia="Palatino Linotype" w:hAnsi="Palatino Linotype" w:cs="Palatino Linotype"/>
          <w:b/>
          <w:sz w:val="22"/>
          <w:szCs w:val="22"/>
        </w:rPr>
        <w:t>0</w:t>
      </w:r>
      <w:r w:rsidR="00812CF4" w:rsidRPr="004D04AE">
        <w:rPr>
          <w:rFonts w:ascii="Palatino Linotype" w:eastAsia="Palatino Linotype" w:hAnsi="Palatino Linotype" w:cs="Palatino Linotype"/>
          <w:b/>
          <w:sz w:val="22"/>
          <w:szCs w:val="22"/>
        </w:rPr>
        <w:t>0709</w:t>
      </w:r>
      <w:r w:rsidRPr="004D04AE">
        <w:rPr>
          <w:rFonts w:ascii="Palatino Linotype" w:eastAsia="Palatino Linotype" w:hAnsi="Palatino Linotype" w:cs="Palatino Linotype"/>
          <w:b/>
          <w:sz w:val="22"/>
          <w:szCs w:val="22"/>
        </w:rPr>
        <w:t>/INFOEM/IP/RR/202</w:t>
      </w:r>
      <w:r w:rsidR="000F750D" w:rsidRPr="004D04AE">
        <w:rPr>
          <w:rFonts w:ascii="Palatino Linotype" w:eastAsia="Palatino Linotype" w:hAnsi="Palatino Linotype" w:cs="Palatino Linotype"/>
          <w:b/>
          <w:sz w:val="22"/>
          <w:szCs w:val="22"/>
        </w:rPr>
        <w:t>6</w:t>
      </w:r>
      <w:r w:rsidRPr="004D04AE">
        <w:rPr>
          <w:rFonts w:ascii="Palatino Linotype" w:eastAsia="Palatino Linotype" w:hAnsi="Palatino Linotype" w:cs="Palatino Linotype"/>
          <w:sz w:val="22"/>
          <w:szCs w:val="22"/>
        </w:rPr>
        <w:t>, interpuesto por</w:t>
      </w:r>
      <w:r w:rsidRPr="004D04AE">
        <w:rPr>
          <w:rFonts w:ascii="Palatino Linotype" w:eastAsia="Palatino Linotype" w:hAnsi="Palatino Linotype" w:cs="Palatino Linotype"/>
          <w:b/>
          <w:sz w:val="22"/>
          <w:szCs w:val="22"/>
        </w:rPr>
        <w:t xml:space="preserve"> </w:t>
      </w:r>
      <w:r w:rsidR="003801BF" w:rsidRPr="003801BF">
        <w:rPr>
          <w:rFonts w:ascii="Palatino Linotype" w:eastAsia="Palatino Linotype" w:hAnsi="Palatino Linotype" w:cs="Palatino Linotype"/>
          <w:b/>
          <w:sz w:val="22"/>
          <w:szCs w:val="22"/>
        </w:rPr>
        <w:t>XXX XX XXXXXXX XX XX XX XX XX XX</w:t>
      </w:r>
      <w:r w:rsidRPr="003801BF">
        <w:rPr>
          <w:rFonts w:ascii="Palatino Linotype" w:eastAsia="Palatino Linotype" w:hAnsi="Palatino Linotype" w:cs="Palatino Linotype"/>
          <w:b/>
          <w:sz w:val="22"/>
          <w:szCs w:val="22"/>
        </w:rPr>
        <w:t>,</w:t>
      </w:r>
      <w:bookmarkStart w:id="1" w:name="_GoBack"/>
      <w:bookmarkEnd w:id="1"/>
      <w:r w:rsidRPr="004D04AE">
        <w:rPr>
          <w:rFonts w:ascii="Palatino Linotype" w:eastAsia="Palatino Linotype" w:hAnsi="Palatino Linotype" w:cs="Palatino Linotype"/>
          <w:sz w:val="22"/>
          <w:szCs w:val="22"/>
        </w:rPr>
        <w:t xml:space="preserve"> en lo sucesivo</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 xml:space="preserve">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xml:space="preserve"> en contra de la respuesta a su solicitud por parte del</w:t>
      </w:r>
      <w:r w:rsidRPr="004D04AE">
        <w:rPr>
          <w:rFonts w:ascii="Palatino Linotype" w:eastAsia="Palatino Linotype" w:hAnsi="Palatino Linotype" w:cs="Palatino Linotype"/>
          <w:b/>
          <w:sz w:val="22"/>
          <w:szCs w:val="22"/>
        </w:rPr>
        <w:t xml:space="preserve"> Ayuntamiento de Acambay de Ruíz Castañeda, </w:t>
      </w:r>
      <w:r w:rsidRPr="004D04AE">
        <w:rPr>
          <w:rFonts w:ascii="Palatino Linotype" w:eastAsia="Palatino Linotype" w:hAnsi="Palatino Linotype" w:cs="Palatino Linotype"/>
          <w:sz w:val="22"/>
          <w:szCs w:val="22"/>
        </w:rPr>
        <w:t xml:space="preserve">en lo sucesivo el </w:t>
      </w:r>
      <w:r w:rsidRPr="004D04AE">
        <w:rPr>
          <w:rFonts w:ascii="Palatino Linotype" w:eastAsia="Palatino Linotype" w:hAnsi="Palatino Linotype" w:cs="Palatino Linotype"/>
          <w:b/>
          <w:sz w:val="22"/>
          <w:szCs w:val="22"/>
        </w:rPr>
        <w:t xml:space="preserve">Sujeto Obligado, </w:t>
      </w:r>
      <w:r w:rsidRPr="004D04AE">
        <w:rPr>
          <w:rFonts w:ascii="Palatino Linotype" w:eastAsia="Palatino Linotype" w:hAnsi="Palatino Linotype" w:cs="Palatino Linotype"/>
          <w:sz w:val="22"/>
          <w:szCs w:val="22"/>
        </w:rPr>
        <w:t xml:space="preserve">se procede a dictar la presente resolución con base en los siguientes:  </w:t>
      </w:r>
    </w:p>
    <w:p w14:paraId="141D2CF5" w14:textId="77777777" w:rsidR="00EB2080" w:rsidRPr="004D04AE" w:rsidRDefault="00EB2080" w:rsidP="00CC6B6E">
      <w:pPr>
        <w:spacing w:line="360" w:lineRule="auto"/>
        <w:jc w:val="both"/>
        <w:rPr>
          <w:rFonts w:ascii="Palatino Linotype" w:eastAsia="Palatino Linotype" w:hAnsi="Palatino Linotype" w:cs="Palatino Linotype"/>
          <w:b/>
          <w:sz w:val="22"/>
          <w:szCs w:val="22"/>
        </w:rPr>
      </w:pPr>
    </w:p>
    <w:p w14:paraId="3E5261D6" w14:textId="77777777" w:rsidR="00EB2080" w:rsidRPr="004D04AE" w:rsidRDefault="005B4B1B" w:rsidP="00CC6B6E">
      <w:pPr>
        <w:spacing w:line="360" w:lineRule="auto"/>
        <w:jc w:val="center"/>
        <w:rPr>
          <w:rFonts w:ascii="Palatino Linotype" w:eastAsia="Palatino Linotype" w:hAnsi="Palatino Linotype" w:cs="Palatino Linotype"/>
          <w:b/>
          <w:sz w:val="22"/>
          <w:szCs w:val="22"/>
        </w:rPr>
      </w:pPr>
      <w:r w:rsidRPr="004D04AE">
        <w:rPr>
          <w:rFonts w:ascii="Palatino Linotype" w:eastAsia="Palatino Linotype" w:hAnsi="Palatino Linotype" w:cs="Palatino Linotype"/>
          <w:b/>
          <w:sz w:val="22"/>
          <w:szCs w:val="22"/>
        </w:rPr>
        <w:t>I. A N T E C E D E N T E S</w:t>
      </w:r>
    </w:p>
    <w:p w14:paraId="7980165F" w14:textId="77777777" w:rsidR="00EB2080" w:rsidRPr="004D04AE" w:rsidRDefault="00EB2080" w:rsidP="00CC6B6E">
      <w:pPr>
        <w:spacing w:line="360" w:lineRule="auto"/>
        <w:jc w:val="center"/>
        <w:rPr>
          <w:rFonts w:ascii="Palatino Linotype" w:eastAsia="Palatino Linotype" w:hAnsi="Palatino Linotype" w:cs="Palatino Linotype"/>
          <w:b/>
          <w:sz w:val="22"/>
          <w:szCs w:val="22"/>
        </w:rPr>
      </w:pPr>
    </w:p>
    <w:p w14:paraId="41E72D3A" w14:textId="0434BC5A"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1. Solicitud de acceso a la información.</w:t>
      </w:r>
      <w:r w:rsidRPr="004D04AE">
        <w:rPr>
          <w:rFonts w:ascii="Palatino Linotype" w:eastAsia="Palatino Linotype" w:hAnsi="Palatino Linotype" w:cs="Palatino Linotype"/>
          <w:sz w:val="22"/>
          <w:szCs w:val="22"/>
        </w:rPr>
        <w:t xml:space="preserve"> El </w:t>
      </w:r>
      <w:r w:rsidR="00812CF4" w:rsidRPr="004D04AE">
        <w:rPr>
          <w:rFonts w:ascii="Palatino Linotype" w:eastAsia="Palatino Linotype" w:hAnsi="Palatino Linotype" w:cs="Palatino Linotype"/>
          <w:b/>
          <w:sz w:val="22"/>
          <w:szCs w:val="22"/>
        </w:rPr>
        <w:t xml:space="preserve">veintinueve de noviembre </w:t>
      </w:r>
      <w:r w:rsidRPr="004D04AE">
        <w:rPr>
          <w:rFonts w:ascii="Palatino Linotype" w:eastAsia="Palatino Linotype" w:hAnsi="Palatino Linotype" w:cs="Palatino Linotype"/>
          <w:b/>
          <w:sz w:val="22"/>
          <w:szCs w:val="22"/>
        </w:rPr>
        <w:t>de</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b/>
          <w:sz w:val="22"/>
          <w:szCs w:val="22"/>
        </w:rPr>
        <w:t>dos mil veinticinco,</w:t>
      </w:r>
      <w:r w:rsidRPr="004D04AE">
        <w:rPr>
          <w:rFonts w:ascii="Palatino Linotype" w:eastAsia="Palatino Linotype" w:hAnsi="Palatino Linotype" w:cs="Palatino Linotype"/>
          <w:sz w:val="22"/>
          <w:szCs w:val="22"/>
        </w:rPr>
        <w:t xml:space="preserve"> la parte </w:t>
      </w:r>
      <w:r w:rsidRPr="004D04AE">
        <w:rPr>
          <w:rFonts w:ascii="Palatino Linotype" w:eastAsia="Palatino Linotype" w:hAnsi="Palatino Linotype" w:cs="Palatino Linotype"/>
          <w:b/>
          <w:sz w:val="22"/>
          <w:szCs w:val="22"/>
        </w:rPr>
        <w:t xml:space="preserve">Recurrente </w:t>
      </w:r>
      <w:r w:rsidRPr="004D04AE">
        <w:rPr>
          <w:rFonts w:ascii="Palatino Linotype" w:eastAsia="Palatino Linotype" w:hAnsi="Palatino Linotype" w:cs="Palatino Linotype"/>
          <w:sz w:val="22"/>
          <w:szCs w:val="22"/>
        </w:rPr>
        <w:t xml:space="preserve">presentó, a través del Sistema de Acceso a la Información Mexiquense, en lo subsecuente el </w:t>
      </w:r>
      <w:r w:rsidRPr="004D04AE">
        <w:rPr>
          <w:rFonts w:ascii="Palatino Linotype" w:eastAsia="Palatino Linotype" w:hAnsi="Palatino Linotype" w:cs="Palatino Linotype"/>
          <w:b/>
          <w:sz w:val="22"/>
          <w:szCs w:val="22"/>
        </w:rPr>
        <w:t>SAIMEX,</w:t>
      </w:r>
      <w:r w:rsidRPr="004D04AE">
        <w:rPr>
          <w:rFonts w:ascii="Palatino Linotype" w:eastAsia="Palatino Linotype" w:hAnsi="Palatino Linotype" w:cs="Palatino Linotype"/>
          <w:sz w:val="22"/>
          <w:szCs w:val="22"/>
        </w:rPr>
        <w:t xml:space="preserve"> ante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la solicitud de acceso a la información pública, a la que se le asignó el número</w:t>
      </w:r>
      <w:r w:rsidRPr="004D04AE">
        <w:rPr>
          <w:rFonts w:ascii="Palatino Linotype" w:eastAsia="Palatino Linotype" w:hAnsi="Palatino Linotype" w:cs="Palatino Linotype"/>
          <w:b/>
          <w:sz w:val="22"/>
          <w:szCs w:val="22"/>
        </w:rPr>
        <w:t xml:space="preserve"> </w:t>
      </w:r>
      <w:r w:rsidR="00812CF4" w:rsidRPr="004D04AE">
        <w:rPr>
          <w:rFonts w:ascii="Palatino Linotype" w:eastAsia="Palatino Linotype" w:hAnsi="Palatino Linotype" w:cs="Palatino Linotype"/>
          <w:b/>
          <w:sz w:val="22"/>
          <w:szCs w:val="22"/>
        </w:rPr>
        <w:t>00341/ACAMBAY/IP/2025</w:t>
      </w:r>
      <w:r w:rsidRPr="004D04AE">
        <w:rPr>
          <w:rFonts w:ascii="Palatino Linotype" w:eastAsia="Palatino Linotype" w:hAnsi="Palatino Linotype" w:cs="Palatino Linotype"/>
          <w:sz w:val="22"/>
          <w:szCs w:val="22"/>
        </w:rPr>
        <w:t>, sin embargo, al corresponder a un día inhábil se tuvo por presentada el día</w:t>
      </w:r>
      <w:r w:rsidRPr="004D04AE">
        <w:rPr>
          <w:rFonts w:ascii="Palatino Linotype" w:eastAsia="Palatino Linotype" w:hAnsi="Palatino Linotype" w:cs="Palatino Linotype"/>
          <w:b/>
          <w:sz w:val="22"/>
          <w:szCs w:val="22"/>
        </w:rPr>
        <w:t xml:space="preserve"> </w:t>
      </w:r>
      <w:r w:rsidR="00812CF4" w:rsidRPr="004D04AE">
        <w:rPr>
          <w:rFonts w:ascii="Palatino Linotype" w:eastAsia="Palatino Linotype" w:hAnsi="Palatino Linotype" w:cs="Palatino Linotype"/>
          <w:b/>
          <w:sz w:val="22"/>
          <w:szCs w:val="22"/>
        </w:rPr>
        <w:t xml:space="preserve">primero de diciembre </w:t>
      </w:r>
      <w:r w:rsidRPr="004D04AE">
        <w:rPr>
          <w:rFonts w:ascii="Palatino Linotype" w:eastAsia="Palatino Linotype" w:hAnsi="Palatino Linotype" w:cs="Palatino Linotype"/>
          <w:b/>
          <w:sz w:val="22"/>
          <w:szCs w:val="22"/>
        </w:rPr>
        <w:t xml:space="preserve">de dos mil veinticinco, </w:t>
      </w:r>
      <w:r w:rsidRPr="004D04AE">
        <w:rPr>
          <w:rFonts w:ascii="Palatino Linotype" w:eastAsia="Palatino Linotype" w:hAnsi="Palatino Linotype" w:cs="Palatino Linotype"/>
          <w:sz w:val="22"/>
          <w:szCs w:val="22"/>
        </w:rPr>
        <w:t xml:space="preserve">mediante la cual requirió la información siguiente: </w:t>
      </w:r>
    </w:p>
    <w:p w14:paraId="5CBEE781" w14:textId="77777777" w:rsidR="00EB2080" w:rsidRPr="004D04AE" w:rsidRDefault="00EB2080" w:rsidP="00CC6B6E">
      <w:pPr>
        <w:spacing w:line="360" w:lineRule="auto"/>
        <w:jc w:val="both"/>
        <w:rPr>
          <w:rFonts w:ascii="Palatino Linotype" w:eastAsia="Palatino Linotype" w:hAnsi="Palatino Linotype" w:cs="Palatino Linotype"/>
          <w:b/>
          <w:sz w:val="22"/>
          <w:szCs w:val="22"/>
        </w:rPr>
      </w:pPr>
    </w:p>
    <w:p w14:paraId="22C42D1C" w14:textId="3BEC87F4" w:rsidR="00EB2080" w:rsidRPr="004D04AE" w:rsidRDefault="005B4B1B" w:rsidP="009F6F89">
      <w:pPr>
        <w:spacing w:line="276" w:lineRule="auto"/>
        <w:ind w:left="851" w:right="616"/>
        <w:jc w:val="both"/>
        <w:rPr>
          <w:rFonts w:ascii="Palatino Linotype" w:eastAsia="Palatino Linotype" w:hAnsi="Palatino Linotype" w:cs="Palatino Linotype"/>
          <w:b/>
          <w:i/>
          <w:sz w:val="22"/>
          <w:szCs w:val="22"/>
        </w:rPr>
      </w:pPr>
      <w:bookmarkStart w:id="2" w:name="_heading=h.gjdgxs" w:colFirst="0" w:colLast="0"/>
      <w:bookmarkEnd w:id="2"/>
      <w:r w:rsidRPr="004D04AE">
        <w:rPr>
          <w:rFonts w:ascii="Palatino Linotype" w:eastAsia="Palatino Linotype" w:hAnsi="Palatino Linotype" w:cs="Palatino Linotype"/>
          <w:i/>
          <w:sz w:val="22"/>
          <w:szCs w:val="22"/>
        </w:rPr>
        <w:t>“</w:t>
      </w:r>
      <w:r w:rsidR="00812CF4" w:rsidRPr="004D04AE">
        <w:rPr>
          <w:rFonts w:ascii="Palatino Linotype" w:eastAsia="Palatino Linotype" w:hAnsi="Palatino Linotype" w:cs="Palatino Linotype"/>
          <w:i/>
          <w:sz w:val="22"/>
          <w:szCs w:val="22"/>
        </w:rPr>
        <w:t>Los recibos de Nómina de todo el personal como directores,coordinadores, auxiliares y secretarias del Ayuntamiento de TODOS</w:t>
      </w:r>
      <w:r w:rsidRPr="004D04AE">
        <w:rPr>
          <w:rFonts w:ascii="Palatino Linotype" w:eastAsia="Palatino Linotype" w:hAnsi="Palatino Linotype" w:cs="Palatino Linotype"/>
          <w:i/>
          <w:sz w:val="22"/>
          <w:szCs w:val="22"/>
        </w:rPr>
        <w:t xml:space="preserve">.” (Sic) </w:t>
      </w:r>
    </w:p>
    <w:p w14:paraId="5B035E91" w14:textId="77777777" w:rsidR="00EB2080" w:rsidRPr="004D04AE" w:rsidRDefault="00EB2080" w:rsidP="00CC6B6E">
      <w:pPr>
        <w:spacing w:line="360" w:lineRule="auto"/>
        <w:jc w:val="both"/>
        <w:rPr>
          <w:rFonts w:ascii="Palatino Linotype" w:eastAsia="Palatino Linotype" w:hAnsi="Palatino Linotype" w:cs="Palatino Linotype"/>
          <w:b/>
          <w:sz w:val="22"/>
          <w:szCs w:val="22"/>
        </w:rPr>
      </w:pPr>
    </w:p>
    <w:p w14:paraId="2B4FC0E3"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Modalidad de Entrega:</w:t>
      </w:r>
      <w:r w:rsidRPr="004D04AE">
        <w:rPr>
          <w:rFonts w:ascii="Palatino Linotype" w:eastAsia="Palatino Linotype" w:hAnsi="Palatino Linotype" w:cs="Palatino Linotype"/>
          <w:sz w:val="22"/>
          <w:szCs w:val="22"/>
        </w:rPr>
        <w:t xml:space="preserve"> A través del </w:t>
      </w:r>
      <w:r w:rsidRPr="004D04AE">
        <w:rPr>
          <w:rFonts w:ascii="Palatino Linotype" w:eastAsia="Palatino Linotype" w:hAnsi="Palatino Linotype" w:cs="Palatino Linotype"/>
          <w:b/>
          <w:sz w:val="22"/>
          <w:szCs w:val="22"/>
        </w:rPr>
        <w:t>SAIMEX</w:t>
      </w:r>
    </w:p>
    <w:p w14:paraId="2DA780A2" w14:textId="74D04777" w:rsidR="00EB2080" w:rsidRPr="004D04AE" w:rsidRDefault="005B4B1B" w:rsidP="00CC6B6E">
      <w:pPr>
        <w:spacing w:line="360" w:lineRule="auto"/>
        <w:jc w:val="both"/>
        <w:rPr>
          <w:rFonts w:ascii="Palatino Linotype" w:eastAsia="Palatino Linotype" w:hAnsi="Palatino Linotype" w:cs="Palatino Linotype"/>
          <w:sz w:val="22"/>
          <w:szCs w:val="22"/>
        </w:rPr>
      </w:pPr>
      <w:bookmarkStart w:id="3" w:name="_heading=h.3dy6vkm" w:colFirst="0" w:colLast="0"/>
      <w:bookmarkEnd w:id="3"/>
      <w:r w:rsidRPr="004D04AE">
        <w:rPr>
          <w:rFonts w:ascii="Palatino Linotype" w:eastAsia="Palatino Linotype" w:hAnsi="Palatino Linotype" w:cs="Palatino Linotype"/>
          <w:b/>
          <w:sz w:val="22"/>
          <w:szCs w:val="22"/>
        </w:rPr>
        <w:lastRenderedPageBreak/>
        <w:t xml:space="preserve">2. Respuesta. </w:t>
      </w:r>
      <w:r w:rsidRPr="004D04AE">
        <w:rPr>
          <w:rFonts w:ascii="Palatino Linotype" w:eastAsia="Palatino Linotype" w:hAnsi="Palatino Linotype" w:cs="Palatino Linotype"/>
          <w:sz w:val="22"/>
          <w:szCs w:val="22"/>
        </w:rPr>
        <w:t xml:space="preserve">El </w:t>
      </w:r>
      <w:r w:rsidR="00812CF4" w:rsidRPr="004D04AE">
        <w:rPr>
          <w:rFonts w:ascii="Palatino Linotype" w:eastAsia="Palatino Linotype" w:hAnsi="Palatino Linotype" w:cs="Palatino Linotype"/>
          <w:b/>
          <w:sz w:val="22"/>
          <w:szCs w:val="22"/>
        </w:rPr>
        <w:t>doce de enero de dos mil veintiséis</w:t>
      </w:r>
      <w:r w:rsidRPr="004D04AE">
        <w:rPr>
          <w:rFonts w:ascii="Palatino Linotype" w:eastAsia="Palatino Linotype" w:hAnsi="Palatino Linotype" w:cs="Palatino Linotype"/>
          <w:sz w:val="22"/>
          <w:szCs w:val="22"/>
        </w:rPr>
        <w:t xml:space="preserve">, el </w:t>
      </w:r>
      <w:r w:rsidRPr="004D04AE">
        <w:rPr>
          <w:rFonts w:ascii="Palatino Linotype" w:eastAsia="Palatino Linotype" w:hAnsi="Palatino Linotype" w:cs="Palatino Linotype"/>
          <w:b/>
          <w:sz w:val="22"/>
          <w:szCs w:val="22"/>
        </w:rPr>
        <w:t xml:space="preserve">Sujeto Obligado </w:t>
      </w:r>
      <w:r w:rsidRPr="004D04AE">
        <w:rPr>
          <w:rFonts w:ascii="Palatino Linotype" w:eastAsia="Palatino Linotype" w:hAnsi="Palatino Linotype" w:cs="Palatino Linotype"/>
          <w:sz w:val="22"/>
          <w:szCs w:val="22"/>
        </w:rPr>
        <w:t xml:space="preserve">envió su respuesta a la solicitud de acceso a la información a través de SAIMEX, sustancialmente en los términos siguientes:   </w:t>
      </w:r>
    </w:p>
    <w:p w14:paraId="0DFE9B39" w14:textId="77777777" w:rsidR="00EB2080" w:rsidRPr="004D04AE" w:rsidRDefault="00EB2080" w:rsidP="00CC6B6E">
      <w:pPr>
        <w:ind w:left="851" w:right="616"/>
        <w:jc w:val="both"/>
        <w:rPr>
          <w:rFonts w:ascii="Palatino Linotype" w:eastAsia="Palatino Linotype" w:hAnsi="Palatino Linotype" w:cs="Palatino Linotype"/>
          <w:i/>
          <w:sz w:val="22"/>
          <w:szCs w:val="22"/>
        </w:rPr>
      </w:pPr>
    </w:p>
    <w:p w14:paraId="61C07F9C" w14:textId="77777777" w:rsidR="00812CF4"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00812CF4" w:rsidRPr="004D04AE">
        <w:rPr>
          <w:rFonts w:ascii="Palatino Linotype" w:eastAsia="Palatino Linotype" w:hAnsi="Palatino Linotype" w:cs="Palatino Linotype"/>
          <w:i/>
          <w:sz w:val="22"/>
          <w:szCs w:val="22"/>
        </w:rPr>
        <w:t>En atención a su solicitud de información 00341/ACAMBAY/IP/2025 recibida por esta dependencia vía Sistema Electrónico Denominado Sistema de Acceso a la Información Mexiquense (SAIMEX), dirigida al Ayuntamiento Constitucional de Acambay de Ruiz Castañeda, Estado de México, como sujeto Obligado de la Ley de Transparencia y Acceso a la Información Pública del Estado de México y Municipios. Se entrega la siguiente documental que da contestación a su petición, manifestando que la información proporcionada es la única que obra en los archivos municipales, de conformidad con lo que establece el párrafo segundo del artículo 12 de la Ley de Transparencia y Acceso a la Información Pública del Estado de México y Municipios</w:t>
      </w:r>
    </w:p>
    <w:p w14:paraId="30EC6514" w14:textId="77777777" w:rsidR="00812CF4" w:rsidRPr="004D04AE" w:rsidRDefault="00812CF4"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ATENTAMENTE</w:t>
      </w:r>
    </w:p>
    <w:p w14:paraId="56D0C841" w14:textId="77EE8F32" w:rsidR="00EB2080" w:rsidRPr="004D04AE" w:rsidRDefault="00812CF4"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LIC. BERENICE CISNEROS RUIZ</w:t>
      </w:r>
      <w:r w:rsidR="005B4B1B" w:rsidRPr="004D04AE">
        <w:rPr>
          <w:rFonts w:ascii="Palatino Linotype" w:eastAsia="Palatino Linotype" w:hAnsi="Palatino Linotype" w:cs="Palatino Linotype"/>
          <w:i/>
          <w:sz w:val="22"/>
          <w:szCs w:val="22"/>
        </w:rPr>
        <w:t xml:space="preserve">” </w:t>
      </w:r>
    </w:p>
    <w:p w14:paraId="229F4C44"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3E3AB2D7" w14:textId="21A9012E" w:rsidR="00812CF4"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Adjuntando a su respuesta </w:t>
      </w:r>
      <w:r w:rsidR="00812CF4" w:rsidRPr="004D04AE">
        <w:rPr>
          <w:rFonts w:ascii="Palatino Linotype" w:eastAsia="Palatino Linotype" w:hAnsi="Palatino Linotype" w:cs="Palatino Linotype"/>
          <w:sz w:val="22"/>
          <w:szCs w:val="22"/>
        </w:rPr>
        <w:t>el</w:t>
      </w:r>
      <w:r w:rsidRPr="004D04AE">
        <w:rPr>
          <w:rFonts w:ascii="Palatino Linotype" w:eastAsia="Palatino Linotype" w:hAnsi="Palatino Linotype" w:cs="Palatino Linotype"/>
          <w:sz w:val="22"/>
          <w:szCs w:val="22"/>
        </w:rPr>
        <w:t xml:space="preserve"> archivo electrónico </w:t>
      </w:r>
      <w:r w:rsidRPr="004D04AE">
        <w:rPr>
          <w:rFonts w:ascii="Palatino Linotype" w:eastAsia="Palatino Linotype" w:hAnsi="Palatino Linotype" w:cs="Palatino Linotype"/>
          <w:b/>
          <w:sz w:val="22"/>
          <w:szCs w:val="22"/>
        </w:rPr>
        <w:t>“</w:t>
      </w:r>
      <w:r w:rsidR="00812CF4" w:rsidRPr="004D04AE">
        <w:rPr>
          <w:rFonts w:ascii="Palatino Linotype" w:eastAsia="Palatino Linotype" w:hAnsi="Palatino Linotype" w:cs="Palatino Linotype"/>
          <w:b/>
          <w:i/>
          <w:sz w:val="22"/>
          <w:szCs w:val="22"/>
        </w:rPr>
        <w:t>SOL 341.pdf</w:t>
      </w:r>
      <w:r w:rsidRPr="004D04AE">
        <w:rPr>
          <w:rFonts w:ascii="Palatino Linotype" w:eastAsia="Palatino Linotype" w:hAnsi="Palatino Linotype" w:cs="Palatino Linotype"/>
          <w:b/>
          <w:i/>
          <w:sz w:val="22"/>
          <w:szCs w:val="22"/>
        </w:rPr>
        <w:t xml:space="preserve">”, </w:t>
      </w:r>
      <w:r w:rsidRPr="004D04AE">
        <w:rPr>
          <w:rFonts w:ascii="Palatino Linotype" w:eastAsia="Palatino Linotype" w:hAnsi="Palatino Linotype" w:cs="Palatino Linotype"/>
          <w:sz w:val="22"/>
          <w:szCs w:val="22"/>
        </w:rPr>
        <w:t>mismo que</w:t>
      </w:r>
      <w:r w:rsidRPr="004D04AE">
        <w:rPr>
          <w:rFonts w:ascii="Palatino Linotype" w:eastAsia="Palatino Linotype" w:hAnsi="Palatino Linotype" w:cs="Palatino Linotype"/>
          <w:b/>
          <w:i/>
          <w:sz w:val="22"/>
          <w:szCs w:val="22"/>
        </w:rPr>
        <w:t xml:space="preserve"> </w:t>
      </w:r>
      <w:r w:rsidRPr="004D04AE">
        <w:rPr>
          <w:rFonts w:ascii="Palatino Linotype" w:eastAsia="Palatino Linotype" w:hAnsi="Palatino Linotype" w:cs="Palatino Linotype"/>
          <w:sz w:val="22"/>
          <w:szCs w:val="22"/>
        </w:rPr>
        <w:t xml:space="preserve">contiene </w:t>
      </w:r>
      <w:r w:rsidR="00812CF4" w:rsidRPr="004D04AE">
        <w:rPr>
          <w:rFonts w:ascii="Palatino Linotype" w:eastAsia="Palatino Linotype" w:hAnsi="Palatino Linotype" w:cs="Palatino Linotype"/>
          <w:sz w:val="22"/>
          <w:szCs w:val="22"/>
        </w:rPr>
        <w:t>el oficio número UTAIPEM/723/2025 de fecha primero de diciembre de dos mil veinticinco, suscrito por la Titular de la Unidad de Transparencia, mediante el cual solicitó al Tesorero Municipal dar respuesta a la solicitud 00341/ACAMBAY/IP/2025</w:t>
      </w:r>
      <w:r w:rsidR="00AD4DBA" w:rsidRPr="004D04AE">
        <w:rPr>
          <w:rFonts w:ascii="Palatino Linotype" w:eastAsia="Palatino Linotype" w:hAnsi="Palatino Linotype" w:cs="Palatino Linotype"/>
          <w:sz w:val="22"/>
          <w:szCs w:val="22"/>
        </w:rPr>
        <w:t xml:space="preserve">. </w:t>
      </w:r>
    </w:p>
    <w:p w14:paraId="0F0ED510" w14:textId="77777777" w:rsidR="00EB2080" w:rsidRPr="004D04AE" w:rsidRDefault="00EB2080" w:rsidP="00CC6B6E">
      <w:pPr>
        <w:spacing w:line="360" w:lineRule="auto"/>
        <w:ind w:right="49"/>
        <w:rPr>
          <w:rFonts w:ascii="Palatino Linotype" w:eastAsia="Palatino Linotype" w:hAnsi="Palatino Linotype" w:cs="Palatino Linotype"/>
          <w:sz w:val="22"/>
          <w:szCs w:val="22"/>
        </w:rPr>
      </w:pPr>
    </w:p>
    <w:p w14:paraId="47108FA5" w14:textId="36088F68"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3. Interposición del recurso de revisión. </w:t>
      </w:r>
      <w:r w:rsidRPr="004D04AE">
        <w:rPr>
          <w:rFonts w:ascii="Palatino Linotype" w:eastAsia="Palatino Linotype" w:hAnsi="Palatino Linotype" w:cs="Palatino Linotype"/>
          <w:sz w:val="22"/>
          <w:szCs w:val="22"/>
        </w:rPr>
        <w:t xml:space="preserve">Inconforme con los términos de la respuesta emitida por parte del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el</w:t>
      </w:r>
      <w:r w:rsidRPr="004D04AE">
        <w:rPr>
          <w:rFonts w:ascii="Palatino Linotype" w:eastAsia="Palatino Linotype" w:hAnsi="Palatino Linotype" w:cs="Palatino Linotype"/>
          <w:b/>
          <w:sz w:val="22"/>
          <w:szCs w:val="22"/>
        </w:rPr>
        <w:t xml:space="preserve"> </w:t>
      </w:r>
      <w:r w:rsidR="00AD4DBA" w:rsidRPr="004D04AE">
        <w:rPr>
          <w:rFonts w:ascii="Palatino Linotype" w:eastAsia="Palatino Linotype" w:hAnsi="Palatino Linotype" w:cs="Palatino Linotype"/>
          <w:b/>
          <w:sz w:val="22"/>
          <w:szCs w:val="22"/>
        </w:rPr>
        <w:t>dieciséis de enero de dos mil veintiséis</w:t>
      </w:r>
      <w:r w:rsidRPr="004D04AE">
        <w:rPr>
          <w:rFonts w:ascii="Palatino Linotype" w:eastAsia="Palatino Linotype" w:hAnsi="Palatino Linotype" w:cs="Palatino Linotype"/>
          <w:b/>
          <w:sz w:val="22"/>
          <w:szCs w:val="22"/>
        </w:rPr>
        <w:t>,</w:t>
      </w:r>
      <w:r w:rsidRPr="004D04AE">
        <w:rPr>
          <w:rFonts w:ascii="Palatino Linotype" w:eastAsia="Palatino Linotype" w:hAnsi="Palatino Linotype" w:cs="Palatino Linotype"/>
          <w:sz w:val="22"/>
          <w:szCs w:val="22"/>
        </w:rPr>
        <w:t xml:space="preserve"> 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xml:space="preserve"> interpuso el recurso de revisión a través de </w:t>
      </w:r>
      <w:r w:rsidRPr="004D04AE">
        <w:rPr>
          <w:rFonts w:ascii="Palatino Linotype" w:eastAsia="Palatino Linotype" w:hAnsi="Palatino Linotype" w:cs="Palatino Linotype"/>
          <w:b/>
          <w:sz w:val="22"/>
          <w:szCs w:val="22"/>
        </w:rPr>
        <w:t xml:space="preserve">SAIMEX, </w:t>
      </w:r>
      <w:r w:rsidRPr="004D04AE">
        <w:rPr>
          <w:rFonts w:ascii="Palatino Linotype" w:eastAsia="Palatino Linotype" w:hAnsi="Palatino Linotype" w:cs="Palatino Linotype"/>
          <w:sz w:val="22"/>
          <w:szCs w:val="22"/>
        </w:rPr>
        <w:t>en donde se manifestó de la siguiente manera:</w:t>
      </w:r>
    </w:p>
    <w:p w14:paraId="616375B2" w14:textId="77777777" w:rsidR="00EB2080" w:rsidRPr="004D04AE" w:rsidRDefault="00EB2080" w:rsidP="00CC6B6E">
      <w:pPr>
        <w:spacing w:line="360" w:lineRule="auto"/>
        <w:ind w:right="49"/>
        <w:jc w:val="both"/>
        <w:rPr>
          <w:rFonts w:ascii="Palatino Linotype" w:eastAsia="Palatino Linotype" w:hAnsi="Palatino Linotype" w:cs="Palatino Linotype"/>
          <w:b/>
          <w:sz w:val="22"/>
          <w:szCs w:val="22"/>
        </w:rPr>
      </w:pPr>
    </w:p>
    <w:p w14:paraId="3FA715D1" w14:textId="77777777" w:rsidR="00EB2080" w:rsidRPr="004D04AE" w:rsidRDefault="005B4B1B" w:rsidP="00CC6B6E">
      <w:pPr>
        <w:tabs>
          <w:tab w:val="left" w:pos="2745"/>
        </w:tabs>
        <w:spacing w:line="276" w:lineRule="auto"/>
        <w:ind w:left="851" w:right="616"/>
        <w:jc w:val="both"/>
        <w:rPr>
          <w:rFonts w:ascii="Palatino Linotype" w:eastAsia="Palatino Linotype" w:hAnsi="Palatino Linotype" w:cs="Palatino Linotype"/>
          <w:b/>
          <w:sz w:val="22"/>
          <w:szCs w:val="22"/>
        </w:rPr>
      </w:pPr>
      <w:r w:rsidRPr="004D04AE">
        <w:rPr>
          <w:rFonts w:ascii="Palatino Linotype" w:eastAsia="Palatino Linotype" w:hAnsi="Palatino Linotype" w:cs="Palatino Linotype"/>
          <w:b/>
          <w:sz w:val="22"/>
          <w:szCs w:val="22"/>
        </w:rPr>
        <w:t xml:space="preserve">a) Acto impugnado: </w:t>
      </w:r>
    </w:p>
    <w:p w14:paraId="07FCB8D6" w14:textId="1B298C66" w:rsidR="00EB2080" w:rsidRPr="004D04AE" w:rsidRDefault="005B4B1B" w:rsidP="00CC6B6E">
      <w:pPr>
        <w:tabs>
          <w:tab w:val="left" w:pos="2745"/>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00AD4DBA" w:rsidRPr="004D04AE">
        <w:rPr>
          <w:rFonts w:ascii="Palatino Linotype" w:eastAsia="Palatino Linotype" w:hAnsi="Palatino Linotype" w:cs="Palatino Linotype"/>
          <w:i/>
          <w:sz w:val="22"/>
          <w:szCs w:val="22"/>
        </w:rPr>
        <w:t>No me proporcionaron lo solicitado</w:t>
      </w:r>
      <w:r w:rsidRPr="004D04AE">
        <w:rPr>
          <w:rFonts w:ascii="Palatino Linotype" w:eastAsia="Palatino Linotype" w:hAnsi="Palatino Linotype" w:cs="Palatino Linotype"/>
          <w:i/>
          <w:sz w:val="22"/>
          <w:szCs w:val="22"/>
        </w:rPr>
        <w:t>” (Sic)</w:t>
      </w:r>
    </w:p>
    <w:p w14:paraId="054BAF48" w14:textId="77777777" w:rsidR="00EB2080" w:rsidRPr="004D04AE" w:rsidRDefault="00EB2080" w:rsidP="00CC6B6E">
      <w:pPr>
        <w:tabs>
          <w:tab w:val="left" w:pos="2745"/>
        </w:tabs>
        <w:spacing w:line="276" w:lineRule="auto"/>
        <w:ind w:left="851" w:right="616"/>
        <w:jc w:val="both"/>
        <w:rPr>
          <w:rFonts w:ascii="Palatino Linotype" w:eastAsia="Palatino Linotype" w:hAnsi="Palatino Linotype" w:cs="Palatino Linotype"/>
          <w:b/>
          <w:sz w:val="22"/>
          <w:szCs w:val="22"/>
        </w:rPr>
      </w:pPr>
    </w:p>
    <w:p w14:paraId="438FFFD9"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bookmarkStart w:id="4" w:name="_heading=h.30j0zll" w:colFirst="0" w:colLast="0"/>
      <w:bookmarkEnd w:id="4"/>
      <w:r w:rsidRPr="004D04AE">
        <w:rPr>
          <w:rFonts w:ascii="Palatino Linotype" w:eastAsia="Palatino Linotype" w:hAnsi="Palatino Linotype" w:cs="Palatino Linotype"/>
          <w:b/>
          <w:sz w:val="22"/>
          <w:szCs w:val="22"/>
        </w:rPr>
        <w:lastRenderedPageBreak/>
        <w:t>b) Razones o motivos de inconformidad</w:t>
      </w:r>
      <w:r w:rsidRPr="004D04AE">
        <w:rPr>
          <w:rFonts w:ascii="Palatino Linotype" w:eastAsia="Palatino Linotype" w:hAnsi="Palatino Linotype" w:cs="Palatino Linotype"/>
          <w:sz w:val="22"/>
          <w:szCs w:val="22"/>
        </w:rPr>
        <w:t xml:space="preserve">: </w:t>
      </w:r>
    </w:p>
    <w:p w14:paraId="0657057F" w14:textId="01B5CB95"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sz w:val="22"/>
          <w:szCs w:val="22"/>
        </w:rPr>
        <w:t>“</w:t>
      </w:r>
      <w:r w:rsidR="00AD4DBA" w:rsidRPr="004D04AE">
        <w:rPr>
          <w:rFonts w:ascii="Palatino Linotype" w:eastAsia="Palatino Linotype" w:hAnsi="Palatino Linotype" w:cs="Palatino Linotype"/>
          <w:i/>
          <w:sz w:val="22"/>
          <w:szCs w:val="22"/>
        </w:rPr>
        <w:t>No me proporcionaron lo solicitado</w:t>
      </w:r>
      <w:r w:rsidRPr="004D04AE">
        <w:rPr>
          <w:rFonts w:ascii="Palatino Linotype" w:eastAsia="Palatino Linotype" w:hAnsi="Palatino Linotype" w:cs="Palatino Linotype"/>
          <w:i/>
          <w:sz w:val="22"/>
          <w:szCs w:val="22"/>
        </w:rPr>
        <w:t>” (Sic)</w:t>
      </w:r>
    </w:p>
    <w:p w14:paraId="537A8E8F" w14:textId="77777777" w:rsidR="00EB2080" w:rsidRPr="004D04AE" w:rsidRDefault="00EB2080" w:rsidP="00CC6B6E">
      <w:pPr>
        <w:spacing w:line="276" w:lineRule="auto"/>
        <w:ind w:right="900"/>
        <w:jc w:val="both"/>
        <w:rPr>
          <w:rFonts w:ascii="Palatino Linotype" w:eastAsia="Palatino Linotype" w:hAnsi="Palatino Linotype" w:cs="Palatino Linotype"/>
          <w:sz w:val="22"/>
          <w:szCs w:val="22"/>
        </w:rPr>
      </w:pPr>
    </w:p>
    <w:p w14:paraId="1FBBF159" w14:textId="77777777" w:rsidR="00EB2080" w:rsidRPr="004D04AE" w:rsidRDefault="005B4B1B" w:rsidP="00CC6B6E">
      <w:pPr>
        <w:spacing w:line="360" w:lineRule="auto"/>
        <w:ind w:right="51"/>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4. Turno. </w:t>
      </w:r>
      <w:r w:rsidRPr="004D04AE">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4D04AE">
        <w:rPr>
          <w:rFonts w:ascii="Palatino Linotype" w:eastAsia="Palatino Linotype" w:hAnsi="Palatino Linotype" w:cs="Palatino Linotype"/>
          <w:b/>
          <w:sz w:val="22"/>
          <w:szCs w:val="22"/>
        </w:rPr>
        <w:t xml:space="preserve">Guadalupe Ramírez Peña, </w:t>
      </w:r>
      <w:r w:rsidRPr="004D04AE">
        <w:rPr>
          <w:rFonts w:ascii="Palatino Linotype" w:eastAsia="Palatino Linotype" w:hAnsi="Palatino Linotype" w:cs="Palatino Linotype"/>
          <w:sz w:val="22"/>
          <w:szCs w:val="22"/>
        </w:rPr>
        <w:t>a efecto de que analizara sobre su admisión o su desechamiento.</w:t>
      </w:r>
    </w:p>
    <w:p w14:paraId="08269E4E"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4C93C7F0" w14:textId="78A035B8"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5. Admisión del Recurso de revisión.</w:t>
      </w:r>
      <w:r w:rsidRPr="004D04AE">
        <w:rPr>
          <w:rFonts w:ascii="Palatino Linotype" w:eastAsia="Palatino Linotype" w:hAnsi="Palatino Linotype" w:cs="Palatino Linotype"/>
          <w:sz w:val="22"/>
          <w:szCs w:val="22"/>
        </w:rPr>
        <w:t xml:space="preserve"> El</w:t>
      </w:r>
      <w:r w:rsidRPr="004D04AE">
        <w:rPr>
          <w:rFonts w:ascii="Palatino Linotype" w:eastAsia="Palatino Linotype" w:hAnsi="Palatino Linotype" w:cs="Palatino Linotype"/>
          <w:b/>
          <w:sz w:val="22"/>
          <w:szCs w:val="22"/>
        </w:rPr>
        <w:t xml:space="preserve"> </w:t>
      </w:r>
      <w:r w:rsidR="00AD4DBA" w:rsidRPr="004D04AE">
        <w:rPr>
          <w:rFonts w:ascii="Palatino Linotype" w:eastAsia="Palatino Linotype" w:hAnsi="Palatino Linotype" w:cs="Palatino Linotype"/>
          <w:b/>
          <w:sz w:val="22"/>
          <w:szCs w:val="22"/>
        </w:rPr>
        <w:t>veintiuno de enero de dos mil veintiséis</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4D04AE">
        <w:rPr>
          <w:rFonts w:ascii="Palatino Linotype" w:eastAsia="Palatino Linotype" w:hAnsi="Palatino Linotype" w:cs="Palatino Linotype"/>
          <w:b/>
          <w:sz w:val="22"/>
          <w:szCs w:val="22"/>
        </w:rPr>
        <w:t xml:space="preserve">Sujeto Obligado </w:t>
      </w:r>
      <w:r w:rsidRPr="004D04AE">
        <w:rPr>
          <w:rFonts w:ascii="Palatino Linotype" w:eastAsia="Palatino Linotype" w:hAnsi="Palatino Linotype" w:cs="Palatino Linotype"/>
          <w:sz w:val="22"/>
          <w:szCs w:val="22"/>
        </w:rPr>
        <w:t>presentara su informe justificado.</w:t>
      </w:r>
    </w:p>
    <w:p w14:paraId="5C6A2577"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6F2C39EB" w14:textId="77777777" w:rsidR="00EB2080" w:rsidRPr="004D04AE" w:rsidRDefault="005B4B1B" w:rsidP="00CC6B6E">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4D04AE">
        <w:rPr>
          <w:rFonts w:ascii="Palatino Linotype" w:eastAsia="Palatino Linotype" w:hAnsi="Palatino Linotype" w:cs="Palatino Linotype"/>
          <w:b/>
          <w:sz w:val="22"/>
          <w:szCs w:val="22"/>
        </w:rPr>
        <w:t>6. Manifestaciones e Informe Justificado</w:t>
      </w:r>
      <w:r w:rsidRPr="004D04AE">
        <w:rPr>
          <w:rFonts w:ascii="Palatino Linotype" w:eastAsia="Palatino Linotype" w:hAnsi="Palatino Linotype" w:cs="Palatino Linotype"/>
          <w:sz w:val="22"/>
          <w:szCs w:val="22"/>
        </w:rPr>
        <w:t xml:space="preserve">. De las constancias del expediente electrónico del </w:t>
      </w:r>
      <w:r w:rsidRPr="004D04AE">
        <w:rPr>
          <w:rFonts w:ascii="Palatino Linotype" w:eastAsia="Palatino Linotype" w:hAnsi="Palatino Linotype" w:cs="Palatino Linotype"/>
          <w:b/>
          <w:sz w:val="22"/>
          <w:szCs w:val="22"/>
        </w:rPr>
        <w:t>SAIMEX</w:t>
      </w:r>
      <w:r w:rsidRPr="004D04AE">
        <w:rPr>
          <w:rFonts w:ascii="Palatino Linotype" w:eastAsia="Palatino Linotype" w:hAnsi="Palatino Linotype" w:cs="Palatino Linotype"/>
          <w:sz w:val="22"/>
          <w:szCs w:val="22"/>
        </w:rPr>
        <w:t xml:space="preserve">, se observa que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fue omiso en rendir su informe justificado; así como, 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xml:space="preserve"> fue omisa en hacer valer manifestaciones o rendir alegatos que conforme a derecho resultaran procedentes, como se muestra:</w:t>
      </w:r>
    </w:p>
    <w:p w14:paraId="0EB6D799" w14:textId="77777777" w:rsidR="00EB2080" w:rsidRPr="004D04AE" w:rsidRDefault="00EB2080" w:rsidP="00CC6B6E">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779B95D" w14:textId="6C6C387F" w:rsidR="00EB2080" w:rsidRPr="004D04AE" w:rsidRDefault="00AD4DBA" w:rsidP="00CC6B6E">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noProof/>
          <w:sz w:val="22"/>
          <w:szCs w:val="22"/>
        </w:rPr>
        <w:drawing>
          <wp:inline distT="0" distB="0" distL="0" distR="0" wp14:anchorId="0EC04512" wp14:editId="7B1074B2">
            <wp:extent cx="5612130" cy="1215390"/>
            <wp:effectExtent l="0" t="0" r="7620" b="3810"/>
            <wp:docPr id="153606667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66674" name="Imagen 1" descr="Tabla&#10;&#10;El contenido generado por IA puede ser incorrecto."/>
                    <pic:cNvPicPr/>
                  </pic:nvPicPr>
                  <pic:blipFill>
                    <a:blip r:embed="rId8"/>
                    <a:stretch>
                      <a:fillRect/>
                    </a:stretch>
                  </pic:blipFill>
                  <pic:spPr>
                    <a:xfrm>
                      <a:off x="0" y="0"/>
                      <a:ext cx="5612130" cy="1215390"/>
                    </a:xfrm>
                    <a:prstGeom prst="rect">
                      <a:avLst/>
                    </a:prstGeom>
                  </pic:spPr>
                </pic:pic>
              </a:graphicData>
            </a:graphic>
          </wp:inline>
        </w:drawing>
      </w:r>
    </w:p>
    <w:p w14:paraId="33C8E1C7" w14:textId="77777777" w:rsidR="00EB2080" w:rsidRPr="004D04AE" w:rsidRDefault="00EB2080" w:rsidP="00CC6B6E">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i/>
          <w:sz w:val="22"/>
          <w:szCs w:val="22"/>
        </w:rPr>
      </w:pPr>
    </w:p>
    <w:p w14:paraId="482296A9" w14:textId="6E467BA6" w:rsidR="00EB2080" w:rsidRPr="004D04AE" w:rsidRDefault="005B4B1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7. Cierre de instrucción. </w:t>
      </w:r>
      <w:r w:rsidRPr="004D04A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AD4DBA" w:rsidRPr="004D04AE">
        <w:rPr>
          <w:rFonts w:ascii="Palatino Linotype" w:eastAsia="Palatino Linotype" w:hAnsi="Palatino Linotype" w:cs="Palatino Linotype"/>
          <w:b/>
          <w:sz w:val="22"/>
          <w:szCs w:val="22"/>
        </w:rPr>
        <w:t>diecinueve de febrero de dos mil veintiséis</w:t>
      </w:r>
      <w:r w:rsidRPr="004D04AE">
        <w:rPr>
          <w:rFonts w:ascii="Palatino Linotype" w:eastAsia="Palatino Linotype" w:hAnsi="Palatino Linotype" w:cs="Palatino Linotype"/>
          <w:b/>
          <w:sz w:val="22"/>
          <w:szCs w:val="22"/>
        </w:rPr>
        <w:t>,</w:t>
      </w:r>
      <w:r w:rsidRPr="004D04AE">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71FAAA42" w14:textId="77777777"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38629027"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3840EA7B"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2D704102" w14:textId="77777777" w:rsidR="00EB2080" w:rsidRPr="004D04AE" w:rsidRDefault="005B4B1B" w:rsidP="00CC6B6E">
      <w:pPr>
        <w:widowControl w:val="0"/>
        <w:spacing w:line="360" w:lineRule="auto"/>
        <w:jc w:val="center"/>
        <w:rPr>
          <w:rFonts w:ascii="Palatino Linotype" w:eastAsia="Palatino Linotype" w:hAnsi="Palatino Linotype" w:cs="Palatino Linotype"/>
          <w:b/>
          <w:sz w:val="22"/>
          <w:szCs w:val="22"/>
        </w:rPr>
      </w:pPr>
      <w:r w:rsidRPr="004D04AE">
        <w:rPr>
          <w:rFonts w:ascii="Palatino Linotype" w:eastAsia="Palatino Linotype" w:hAnsi="Palatino Linotype" w:cs="Palatino Linotype"/>
          <w:b/>
          <w:sz w:val="22"/>
          <w:szCs w:val="22"/>
        </w:rPr>
        <w:t>II. C O N S I D E R A N D O S</w:t>
      </w:r>
    </w:p>
    <w:p w14:paraId="467AB8C7" w14:textId="77777777" w:rsidR="00EB2080" w:rsidRPr="004D04AE" w:rsidRDefault="00EB2080" w:rsidP="00CC6B6E">
      <w:pPr>
        <w:widowControl w:val="0"/>
        <w:spacing w:line="360" w:lineRule="auto"/>
        <w:jc w:val="center"/>
        <w:rPr>
          <w:rFonts w:ascii="Palatino Linotype" w:eastAsia="Palatino Linotype" w:hAnsi="Palatino Linotype" w:cs="Palatino Linotype"/>
          <w:b/>
          <w:sz w:val="22"/>
          <w:szCs w:val="22"/>
        </w:rPr>
      </w:pPr>
    </w:p>
    <w:p w14:paraId="6D0F75F8" w14:textId="7B0BDB91"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Primero. Competencia.</w:t>
      </w:r>
      <w:r w:rsidRPr="004D04A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w:t>
      </w:r>
      <w:r w:rsidR="00AD4DBA" w:rsidRPr="004D04AE">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4D04AE">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52D9678"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40F2384F"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4D04AE">
        <w:rPr>
          <w:rFonts w:ascii="Palatino Linotype" w:eastAsia="Palatino Linotype" w:hAnsi="Palatino Linotype" w:cs="Palatino Linotype"/>
          <w:b/>
          <w:sz w:val="22"/>
          <w:szCs w:val="22"/>
        </w:rPr>
        <w:t>Segundo. Oportunidad y Procedibilidad del Recurso de Revisión</w:t>
      </w:r>
      <w:r w:rsidRPr="004D04AE">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276709D0"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36F0459B" w14:textId="06C003D8"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4D04AE">
        <w:rPr>
          <w:rFonts w:ascii="Palatino Linotype" w:eastAsia="Palatino Linotype" w:hAnsi="Palatino Linotype" w:cs="Palatino Linotype"/>
          <w:b/>
          <w:sz w:val="22"/>
          <w:szCs w:val="22"/>
        </w:rPr>
        <w:t xml:space="preserve">Sujeto Obligado </w:t>
      </w:r>
      <w:r w:rsidRPr="004D04AE">
        <w:rPr>
          <w:rFonts w:ascii="Palatino Linotype" w:eastAsia="Palatino Linotype" w:hAnsi="Palatino Linotype" w:cs="Palatino Linotype"/>
          <w:sz w:val="22"/>
          <w:szCs w:val="22"/>
        </w:rPr>
        <w:t xml:space="preserve">remitió la respuesta a la solicitud de información el </w:t>
      </w:r>
      <w:r w:rsidR="00AD4DBA" w:rsidRPr="004D04AE">
        <w:rPr>
          <w:rFonts w:ascii="Palatino Linotype" w:eastAsia="Palatino Linotype" w:hAnsi="Palatino Linotype" w:cs="Palatino Linotype"/>
          <w:b/>
          <w:sz w:val="22"/>
          <w:szCs w:val="22"/>
        </w:rPr>
        <w:t>doce de enero de dos mil veintiséis</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mientras que el recurso de revisión interpuesto por la parte</w:t>
      </w:r>
      <w:r w:rsidRPr="004D04AE">
        <w:rPr>
          <w:rFonts w:ascii="Palatino Linotype" w:eastAsia="Palatino Linotype" w:hAnsi="Palatino Linotype" w:cs="Palatino Linotype"/>
          <w:b/>
          <w:sz w:val="22"/>
          <w:szCs w:val="22"/>
        </w:rPr>
        <w:t xml:space="preserve"> Recurrente</w:t>
      </w:r>
      <w:r w:rsidRPr="004D04AE">
        <w:rPr>
          <w:rFonts w:ascii="Palatino Linotype" w:eastAsia="Palatino Linotype" w:hAnsi="Palatino Linotype" w:cs="Palatino Linotype"/>
          <w:sz w:val="22"/>
          <w:szCs w:val="22"/>
        </w:rPr>
        <w:t xml:space="preserve">, se tuvo por presentado el día </w:t>
      </w:r>
      <w:r w:rsidR="00AD4DBA" w:rsidRPr="004D04AE">
        <w:rPr>
          <w:rFonts w:ascii="Palatino Linotype" w:eastAsia="Palatino Linotype" w:hAnsi="Palatino Linotype" w:cs="Palatino Linotype"/>
          <w:b/>
          <w:sz w:val="22"/>
          <w:szCs w:val="22"/>
        </w:rPr>
        <w:t>dieciséis de enero de dos mil veintiséis</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 xml:space="preserve">esto es, al </w:t>
      </w:r>
      <w:r w:rsidRPr="004D04AE">
        <w:rPr>
          <w:rFonts w:ascii="Palatino Linotype" w:eastAsia="Palatino Linotype" w:hAnsi="Palatino Linotype" w:cs="Palatino Linotype"/>
          <w:b/>
          <w:sz w:val="22"/>
          <w:szCs w:val="22"/>
        </w:rPr>
        <w:t>cuarto día hábil</w:t>
      </w:r>
      <w:r w:rsidRPr="004D04AE">
        <w:rPr>
          <w:rFonts w:ascii="Palatino Linotype" w:eastAsia="Palatino Linotype" w:hAnsi="Palatino Linotype" w:cs="Palatino Linotype"/>
          <w:sz w:val="22"/>
          <w:szCs w:val="22"/>
        </w:rPr>
        <w:t xml:space="preserve"> siguiente al que tuvo conocimiento de la respuesta impugnada. En este sentido, se concluye que el presente recurso de revisión se encuentra dentro de los márgenes temporales previstos en las disposiciones legales referidas.</w:t>
      </w:r>
    </w:p>
    <w:p w14:paraId="3AAB2B5E"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53AB89BE"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4D04AE">
        <w:rPr>
          <w:rFonts w:ascii="Palatino Linotype" w:eastAsia="Palatino Linotype" w:hAnsi="Palatino Linotype" w:cs="Palatino Linotype"/>
          <w:sz w:val="22"/>
          <w:szCs w:val="22"/>
        </w:rPr>
        <w:t>Asimismo, por cuanto hace a la procedibilidad del recurso de revisión, es de suma importancia señalar que la parte</w:t>
      </w:r>
      <w:r w:rsidRPr="004D04AE">
        <w:rPr>
          <w:rFonts w:ascii="Palatino Linotype" w:eastAsia="Palatino Linotype" w:hAnsi="Palatino Linotype" w:cs="Palatino Linotype"/>
          <w:b/>
          <w:sz w:val="22"/>
          <w:szCs w:val="22"/>
        </w:rPr>
        <w:t xml:space="preserve"> Recurrente</w:t>
      </w:r>
      <w:r w:rsidRPr="004D04AE">
        <w:rPr>
          <w:rFonts w:ascii="Palatino Linotype" w:eastAsia="Palatino Linotype" w:hAnsi="Palatino Linotype" w:cs="Palatino Linotype"/>
          <w:sz w:val="22"/>
          <w:szCs w:val="22"/>
        </w:rPr>
        <w:t>, no señaló un nombre o seudónimo con el que quiere ser identificado, tal como se advierte en el detalle de seguimiento del SAIMEX, no obstante,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76D01AA2"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289AA62C" w14:textId="77777777" w:rsidR="00EB2080" w:rsidRPr="004D04AE" w:rsidRDefault="005B4B1B"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"Las </w:t>
      </w:r>
      <w:r w:rsidRPr="004D04AE">
        <w:rPr>
          <w:rFonts w:ascii="Palatino Linotype" w:eastAsia="Palatino Linotype" w:hAnsi="Palatino Linotype" w:cs="Palatino Linotype"/>
          <w:b/>
          <w:i/>
          <w:sz w:val="22"/>
          <w:szCs w:val="22"/>
        </w:rPr>
        <w:t xml:space="preserve">solicitudes </w:t>
      </w:r>
      <w:r w:rsidRPr="004D04AE">
        <w:rPr>
          <w:rFonts w:ascii="Palatino Linotype" w:eastAsia="Palatino Linotype" w:hAnsi="Palatino Linotype" w:cs="Palatino Linotype"/>
          <w:i/>
          <w:sz w:val="22"/>
          <w:szCs w:val="22"/>
        </w:rPr>
        <w:t xml:space="preserve">anónimas, </w:t>
      </w:r>
      <w:r w:rsidRPr="004D04AE">
        <w:rPr>
          <w:rFonts w:ascii="Palatino Linotype" w:eastAsia="Palatino Linotype" w:hAnsi="Palatino Linotype" w:cs="Palatino Linotype"/>
          <w:b/>
          <w:i/>
          <w:sz w:val="22"/>
          <w:szCs w:val="22"/>
        </w:rPr>
        <w:t>con nombre incompleto o seudónimo</w:t>
      </w:r>
      <w:r w:rsidRPr="004D04AE">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4FE5C06C" w14:textId="77777777" w:rsidR="00EB2080" w:rsidRPr="004D04AE" w:rsidRDefault="00EB2080"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3C13D24A" w14:textId="77777777" w:rsidR="00EB2080" w:rsidRPr="004D04AE" w:rsidRDefault="005B4B1B" w:rsidP="00CC6B6E">
      <w:pPr>
        <w:tabs>
          <w:tab w:val="left" w:pos="7938"/>
        </w:tabs>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803F297" w14:textId="77777777" w:rsidR="00AD4DBA" w:rsidRPr="004D04AE" w:rsidRDefault="00AD4DBA" w:rsidP="00CC6B6E">
      <w:pPr>
        <w:tabs>
          <w:tab w:val="left" w:pos="7938"/>
        </w:tabs>
        <w:spacing w:line="360" w:lineRule="auto"/>
        <w:jc w:val="both"/>
        <w:rPr>
          <w:rFonts w:ascii="Palatino Linotype" w:eastAsia="Palatino Linotype" w:hAnsi="Palatino Linotype" w:cs="Palatino Linotype"/>
          <w:sz w:val="22"/>
          <w:szCs w:val="22"/>
        </w:rPr>
      </w:pPr>
    </w:p>
    <w:p w14:paraId="5F773FAA" w14:textId="2F42C642"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xml:space="preserve"> en sus motivos de inconformidad, de acuerdo al artículo 179, fracción </w:t>
      </w:r>
      <w:r w:rsidR="00AD4DBA" w:rsidRPr="004D04AE">
        <w:rPr>
          <w:rFonts w:ascii="Palatino Linotype" w:eastAsia="Palatino Linotype" w:hAnsi="Palatino Linotype" w:cs="Palatino Linotype"/>
          <w:sz w:val="22"/>
          <w:szCs w:val="22"/>
        </w:rPr>
        <w:t>I</w:t>
      </w:r>
      <w:r w:rsidRPr="004D04AE">
        <w:rPr>
          <w:rFonts w:ascii="Palatino Linotype" w:eastAsia="Palatino Linotype" w:hAnsi="Palatino Linotype" w:cs="Palatino Linotype"/>
          <w:sz w:val="22"/>
          <w:szCs w:val="22"/>
        </w:rPr>
        <w:t xml:space="preserve"> del ordenamiento legal citado, que a la letra dice: </w:t>
      </w:r>
    </w:p>
    <w:p w14:paraId="7CD25457" w14:textId="77777777" w:rsidR="00EB2080" w:rsidRPr="004D04AE" w:rsidRDefault="00EB2080" w:rsidP="00CC6B6E">
      <w:pPr>
        <w:ind w:left="851" w:right="616"/>
        <w:jc w:val="both"/>
        <w:rPr>
          <w:rFonts w:ascii="Palatino Linotype" w:eastAsia="Palatino Linotype" w:hAnsi="Palatino Linotype" w:cs="Palatino Linotype"/>
          <w:i/>
          <w:sz w:val="22"/>
          <w:szCs w:val="22"/>
        </w:rPr>
      </w:pPr>
    </w:p>
    <w:p w14:paraId="2BFA89E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179.</w:t>
      </w:r>
      <w:r w:rsidRPr="004D04AE">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458996AC" w14:textId="2FBC9A6F"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4A6614F5" w14:textId="0E01EAC2" w:rsidR="00EB2080" w:rsidRPr="004D04AE" w:rsidRDefault="00AD4DBA" w:rsidP="00CC6B6E">
      <w:pP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I. La negativa a la información solicitada</w:t>
      </w:r>
      <w:r w:rsidR="005B4B1B" w:rsidRPr="004D04AE">
        <w:rPr>
          <w:rFonts w:ascii="Palatino Linotype" w:eastAsia="Palatino Linotype" w:hAnsi="Palatino Linotype" w:cs="Palatino Linotype"/>
          <w:b/>
          <w:i/>
          <w:sz w:val="22"/>
          <w:szCs w:val="22"/>
        </w:rPr>
        <w:t xml:space="preserve">;” </w:t>
      </w:r>
    </w:p>
    <w:p w14:paraId="493ED7FD" w14:textId="77777777" w:rsidR="00EB2080" w:rsidRPr="004D04AE" w:rsidRDefault="005B4B1B" w:rsidP="00CC6B6E">
      <w:pP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i/>
          <w:sz w:val="22"/>
          <w:szCs w:val="22"/>
        </w:rPr>
        <w:t>(Énfasis añadido)</w:t>
      </w:r>
    </w:p>
    <w:p w14:paraId="0AF0EEB6" w14:textId="77777777" w:rsidR="00EB2080" w:rsidRPr="004D04AE" w:rsidRDefault="00EB2080" w:rsidP="00CC6B6E">
      <w:pPr>
        <w:spacing w:line="360" w:lineRule="auto"/>
        <w:jc w:val="both"/>
        <w:rPr>
          <w:rFonts w:ascii="Palatino Linotype" w:eastAsia="Palatino Linotype" w:hAnsi="Palatino Linotype" w:cs="Palatino Linotype"/>
          <w:b/>
          <w:sz w:val="22"/>
          <w:szCs w:val="22"/>
        </w:rPr>
      </w:pPr>
    </w:p>
    <w:p w14:paraId="580281E0"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Tercero. Materia de la revisión. </w:t>
      </w:r>
      <w:r w:rsidRPr="004D04AE">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4D04AE">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4D04AE">
        <w:rPr>
          <w:rFonts w:ascii="Palatino Linotype" w:eastAsia="Palatino Linotype" w:hAnsi="Palatino Linotype" w:cs="Palatino Linotype"/>
          <w:sz w:val="22"/>
          <w:szCs w:val="22"/>
        </w:rPr>
        <w:t xml:space="preserve">de 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o en su defecto, en caso de ser procedente, ordenar la entrega de información.</w:t>
      </w:r>
    </w:p>
    <w:p w14:paraId="733D4C55"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11A6508B"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bookmarkStart w:id="8" w:name="_heading=h.2et92p0" w:colFirst="0" w:colLast="0"/>
      <w:bookmarkEnd w:id="8"/>
      <w:r w:rsidRPr="004D04AE">
        <w:rPr>
          <w:rFonts w:ascii="Palatino Linotype" w:eastAsia="Palatino Linotype" w:hAnsi="Palatino Linotype" w:cs="Palatino Linotype"/>
          <w:b/>
          <w:sz w:val="22"/>
          <w:szCs w:val="22"/>
        </w:rPr>
        <w:t xml:space="preserve">Cuarto. Estudio del asunto. </w:t>
      </w:r>
      <w:r w:rsidRPr="004D04AE">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346C9B1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4</w:t>
      </w:r>
      <w:r w:rsidRPr="004D04AE">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587B7B2"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4D04AE">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29F13C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4D04AE">
        <w:rPr>
          <w:rFonts w:ascii="Palatino Linotype" w:eastAsia="Palatino Linotype" w:hAnsi="Palatino Linotype" w:cs="Palatino Linotype"/>
          <w:i/>
          <w:sz w:val="22"/>
          <w:szCs w:val="22"/>
        </w:rPr>
        <w:t>.”</w:t>
      </w:r>
    </w:p>
    <w:p w14:paraId="2BC6E3F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(Énfasis añadido)</w:t>
      </w:r>
    </w:p>
    <w:p w14:paraId="0824E57D"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0A84939A"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B1F2E59" w14:textId="77777777" w:rsidR="00EB2080" w:rsidRPr="004D04AE" w:rsidRDefault="00EB2080" w:rsidP="00CC6B6E">
      <w:pPr>
        <w:ind w:left="851" w:right="616"/>
        <w:jc w:val="both"/>
        <w:rPr>
          <w:rFonts w:ascii="Palatino Linotype" w:eastAsia="Palatino Linotype" w:hAnsi="Palatino Linotype" w:cs="Palatino Linotype"/>
          <w:b/>
          <w:i/>
          <w:sz w:val="22"/>
          <w:szCs w:val="22"/>
        </w:rPr>
      </w:pPr>
    </w:p>
    <w:p w14:paraId="1641D70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12.-</w:t>
      </w:r>
      <w:r w:rsidRPr="004D04AE">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76E351C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09C53383" w14:textId="77777777" w:rsidR="00EB2080" w:rsidRPr="004D04AE" w:rsidRDefault="00EB2080" w:rsidP="00CC6B6E">
      <w:pPr>
        <w:spacing w:line="360" w:lineRule="auto"/>
        <w:ind w:right="-93"/>
        <w:jc w:val="both"/>
        <w:rPr>
          <w:rFonts w:ascii="Palatino Linotype" w:eastAsia="Palatino Linotype" w:hAnsi="Palatino Linotype" w:cs="Palatino Linotype"/>
          <w:sz w:val="22"/>
          <w:szCs w:val="22"/>
        </w:rPr>
      </w:pPr>
    </w:p>
    <w:p w14:paraId="6D55D193" w14:textId="77777777" w:rsidR="00EB2080" w:rsidRPr="004D04AE" w:rsidRDefault="005B4B1B" w:rsidP="00CC6B6E">
      <w:pPr>
        <w:spacing w:line="360" w:lineRule="auto"/>
        <w:ind w:right="-93"/>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1055DBF5" w14:textId="77777777" w:rsidR="00EB2080" w:rsidRPr="004D04AE" w:rsidRDefault="00EB2080" w:rsidP="00CC6B6E">
      <w:pPr>
        <w:spacing w:line="360" w:lineRule="auto"/>
        <w:ind w:right="-93"/>
        <w:jc w:val="both"/>
        <w:rPr>
          <w:rFonts w:ascii="Palatino Linotype" w:eastAsia="Palatino Linotype" w:hAnsi="Palatino Linotype" w:cs="Palatino Linotype"/>
          <w:sz w:val="22"/>
          <w:szCs w:val="22"/>
        </w:rPr>
      </w:pPr>
    </w:p>
    <w:p w14:paraId="48E3FAAE" w14:textId="77777777" w:rsidR="00EB2080" w:rsidRPr="004D04AE" w:rsidRDefault="005B4B1B" w:rsidP="00CC6B6E">
      <w:pPr>
        <w:spacing w:line="360" w:lineRule="auto"/>
        <w:jc w:val="both"/>
        <w:rPr>
          <w:rFonts w:ascii="Palatino Linotype" w:eastAsia="Palatino Linotype" w:hAnsi="Palatino Linotype" w:cs="Palatino Linotype"/>
          <w:b/>
          <w:sz w:val="22"/>
          <w:szCs w:val="22"/>
        </w:rPr>
      </w:pPr>
      <w:r w:rsidRPr="004D04AE">
        <w:rPr>
          <w:rFonts w:ascii="Palatino Linotype" w:eastAsia="Palatino Linotype" w:hAnsi="Palatino Linotype" w:cs="Palatino Linotype"/>
          <w:sz w:val="22"/>
          <w:szCs w:val="22"/>
        </w:rPr>
        <w:t>Sirve de apoyo a lo anterior, el criterio orientador 03/17, emitido por el entonces Instituto Nacional de Transparencia, Acceso a la Información y Protección de Datos Personales, que por rubro y texto, dispone lo siguiente:</w:t>
      </w:r>
      <w:r w:rsidRPr="004D04AE">
        <w:rPr>
          <w:rFonts w:ascii="Palatino Linotype" w:eastAsia="Palatino Linotype" w:hAnsi="Palatino Linotype" w:cs="Palatino Linotype"/>
          <w:b/>
          <w:sz w:val="22"/>
          <w:szCs w:val="22"/>
        </w:rPr>
        <w:t xml:space="preserve"> </w:t>
      </w:r>
    </w:p>
    <w:p w14:paraId="6D14B349" w14:textId="77777777" w:rsidR="00EB2080" w:rsidRPr="004D04AE" w:rsidRDefault="00EB2080" w:rsidP="00CC6B6E">
      <w:pPr>
        <w:ind w:left="851" w:right="616"/>
        <w:jc w:val="both"/>
        <w:rPr>
          <w:rFonts w:ascii="Palatino Linotype" w:eastAsia="Palatino Linotype" w:hAnsi="Palatino Linotype" w:cs="Palatino Linotype"/>
          <w:i/>
          <w:sz w:val="22"/>
          <w:szCs w:val="22"/>
        </w:rPr>
      </w:pPr>
    </w:p>
    <w:p w14:paraId="4E2EDBB3"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No existe obligación de elaborar documentos ad hoc para atender las solicitudes de acceso a la información.</w:t>
      </w:r>
      <w:r w:rsidRPr="004D04AE">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6AF3652" w14:textId="77777777" w:rsidR="00EB2080" w:rsidRPr="004D04AE" w:rsidRDefault="00EB2080" w:rsidP="00CC6B6E">
      <w:pPr>
        <w:ind w:left="851" w:right="616"/>
        <w:jc w:val="both"/>
        <w:rPr>
          <w:rFonts w:ascii="Palatino Linotype" w:eastAsia="Palatino Linotype" w:hAnsi="Palatino Linotype" w:cs="Palatino Linotype"/>
          <w:i/>
          <w:sz w:val="22"/>
          <w:szCs w:val="22"/>
        </w:rPr>
      </w:pPr>
    </w:p>
    <w:p w14:paraId="3AC3CEE4"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4E4D846"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5A49A7EE"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56BC3FA2"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0EE21274"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 xml:space="preserve">Artículo 3. </w:t>
      </w:r>
      <w:r w:rsidRPr="004D04AE">
        <w:rPr>
          <w:rFonts w:ascii="Palatino Linotype" w:eastAsia="Palatino Linotype" w:hAnsi="Palatino Linotype" w:cs="Palatino Linotype"/>
          <w:i/>
          <w:sz w:val="22"/>
          <w:szCs w:val="22"/>
        </w:rPr>
        <w:t>Para los efectos de la presente Ley se entenderá por:</w:t>
      </w:r>
    </w:p>
    <w:p w14:paraId="11EAB580"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74419C4E"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XI. Documento:</w:t>
      </w:r>
      <w:r w:rsidRPr="004D04AE">
        <w:rPr>
          <w:rFonts w:ascii="Palatino Linotype" w:eastAsia="Palatino Linotype" w:hAnsi="Palatino Linotype" w:cs="Palatino Linotype"/>
          <w:i/>
          <w:sz w:val="22"/>
          <w:szCs w:val="22"/>
        </w:rPr>
        <w:t xml:space="preserve"> Los expedientes, reportes, estudios, actas</w:t>
      </w:r>
      <w:r w:rsidRPr="004D04AE">
        <w:rPr>
          <w:rFonts w:ascii="Palatino Linotype" w:eastAsia="Palatino Linotype" w:hAnsi="Palatino Linotype" w:cs="Palatino Linotype"/>
          <w:b/>
          <w:i/>
          <w:sz w:val="22"/>
          <w:szCs w:val="22"/>
        </w:rPr>
        <w:t>,</w:t>
      </w:r>
      <w:r w:rsidRPr="004D04AE">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14164E01"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36BB44F8"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951B84F" w14:textId="77777777" w:rsidR="00EB2080" w:rsidRPr="004D04AE" w:rsidRDefault="00EB2080" w:rsidP="00CC6B6E">
      <w:pPr>
        <w:ind w:left="851" w:right="616"/>
        <w:jc w:val="both"/>
        <w:rPr>
          <w:rFonts w:ascii="Palatino Linotype" w:eastAsia="Palatino Linotype" w:hAnsi="Palatino Linotype" w:cs="Palatino Linotype"/>
          <w:b/>
          <w:sz w:val="22"/>
          <w:szCs w:val="22"/>
        </w:rPr>
      </w:pPr>
    </w:p>
    <w:p w14:paraId="5F187CD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sz w:val="22"/>
          <w:szCs w:val="22"/>
        </w:rPr>
        <w:t>“</w:t>
      </w:r>
      <w:r w:rsidRPr="004D04AE">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4D04AE">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7A7BF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7AF31C4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5B90D6A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5E880FC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3) Que se trate de información registrada en cualquier soporte documental, que en ejercicio de las atribuciones conferidas, se encuentre en posesión de los Sujetos Obligados.” </w:t>
      </w:r>
    </w:p>
    <w:p w14:paraId="24D2EF5C"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4B3565A0" w14:textId="77777777" w:rsidR="00EB2080" w:rsidRPr="004D04AE" w:rsidRDefault="005B4B1B" w:rsidP="00CC6B6E">
      <w:pPr>
        <w:spacing w:line="360" w:lineRule="auto"/>
        <w:ind w:right="51"/>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5A8896B9"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450B0AC1"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53A855E5"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7BF40C7A"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 xml:space="preserve"> requirió al </w:t>
      </w:r>
      <w:r w:rsidRPr="004D04AE">
        <w:rPr>
          <w:rFonts w:ascii="Palatino Linotype" w:eastAsia="Palatino Linotype" w:hAnsi="Palatino Linotype" w:cs="Palatino Linotype"/>
          <w:b/>
          <w:sz w:val="22"/>
          <w:szCs w:val="22"/>
        </w:rPr>
        <w:t xml:space="preserve">Sujeto Obligado </w:t>
      </w:r>
      <w:r w:rsidRPr="004D04AE">
        <w:rPr>
          <w:rFonts w:ascii="Palatino Linotype" w:eastAsia="Palatino Linotype" w:hAnsi="Palatino Linotype" w:cs="Palatino Linotype"/>
          <w:sz w:val="22"/>
          <w:szCs w:val="22"/>
        </w:rPr>
        <w:t>le proporcione, información consistente en lo siguiente:</w:t>
      </w:r>
    </w:p>
    <w:p w14:paraId="5C8F9FCD"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49B998F9" w14:textId="23557B41" w:rsidR="00EB2080" w:rsidRPr="004D04AE" w:rsidRDefault="005B4B1B" w:rsidP="00CC6B6E">
      <w:pPr>
        <w:numPr>
          <w:ilvl w:val="0"/>
          <w:numId w:val="8"/>
        </w:numPr>
        <w:pBdr>
          <w:top w:val="nil"/>
          <w:left w:val="nil"/>
          <w:bottom w:val="nil"/>
          <w:right w:val="nil"/>
          <w:between w:val="nil"/>
        </w:pBdr>
        <w:spacing w:line="360" w:lineRule="auto"/>
        <w:ind w:right="900"/>
        <w:jc w:val="both"/>
        <w:rPr>
          <w:rFonts w:ascii="Palatino Linotype" w:eastAsia="Palatino Linotype" w:hAnsi="Palatino Linotype" w:cs="Palatino Linotype"/>
          <w:b/>
          <w:sz w:val="22"/>
          <w:szCs w:val="22"/>
        </w:rPr>
      </w:pPr>
      <w:r w:rsidRPr="004D04AE">
        <w:rPr>
          <w:rFonts w:ascii="Palatino Linotype" w:eastAsia="Palatino Linotype" w:hAnsi="Palatino Linotype" w:cs="Palatino Linotype"/>
          <w:b/>
          <w:sz w:val="22"/>
          <w:szCs w:val="22"/>
        </w:rPr>
        <w:t>Recibos de Nómina de todo el personal del Ayuntamiento</w:t>
      </w:r>
      <w:r w:rsidR="00AD4DBA" w:rsidRPr="004D04AE">
        <w:rPr>
          <w:rFonts w:ascii="Palatino Linotype" w:eastAsia="Palatino Linotype" w:hAnsi="Palatino Linotype" w:cs="Palatino Linotype"/>
          <w:b/>
          <w:sz w:val="22"/>
          <w:szCs w:val="22"/>
        </w:rPr>
        <w:t xml:space="preserve">, incluyendo directores, coordinadores, auxiliares y secretarias. </w:t>
      </w:r>
    </w:p>
    <w:p w14:paraId="6AC96BE6" w14:textId="77777777" w:rsidR="00AD4DBA" w:rsidRPr="004D04AE" w:rsidRDefault="00AD4DBA" w:rsidP="00CC6B6E">
      <w:pPr>
        <w:pBdr>
          <w:top w:val="nil"/>
          <w:left w:val="nil"/>
          <w:bottom w:val="nil"/>
          <w:right w:val="nil"/>
          <w:between w:val="nil"/>
        </w:pBdr>
        <w:spacing w:line="360" w:lineRule="auto"/>
        <w:ind w:left="720" w:right="900"/>
        <w:jc w:val="both"/>
        <w:rPr>
          <w:rFonts w:ascii="Palatino Linotype" w:eastAsia="Palatino Linotype" w:hAnsi="Palatino Linotype" w:cs="Palatino Linotype"/>
          <w:b/>
          <w:sz w:val="22"/>
          <w:szCs w:val="22"/>
        </w:rPr>
      </w:pPr>
    </w:p>
    <w:p w14:paraId="55EC4DBB" w14:textId="3D4931C4" w:rsidR="00AD4DBA"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respuesta,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w:t>
      </w:r>
      <w:r w:rsidR="00AD4DBA" w:rsidRPr="004D04AE">
        <w:rPr>
          <w:rFonts w:ascii="Palatino Linotype" w:eastAsia="Palatino Linotype" w:hAnsi="Palatino Linotype" w:cs="Palatino Linotype"/>
          <w:sz w:val="22"/>
          <w:szCs w:val="22"/>
        </w:rPr>
        <w:t xml:space="preserve">hizo entrega </w:t>
      </w:r>
      <w:r w:rsidR="0047125C" w:rsidRPr="004D04AE">
        <w:rPr>
          <w:rFonts w:ascii="Palatino Linotype" w:eastAsia="Palatino Linotype" w:hAnsi="Palatino Linotype" w:cs="Palatino Linotype"/>
          <w:sz w:val="22"/>
          <w:szCs w:val="22"/>
        </w:rPr>
        <w:t>del oficio mediante el cual la Titular de la Unidad de Transparencia, solicita al Tesorero Municipal, dar respuesta a la solicitud de información.</w:t>
      </w:r>
    </w:p>
    <w:p w14:paraId="3EF689DA"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131335F5" w14:textId="09BB5C32"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Conocida la respuesta por la persona solicitante, al no estar conforme con los términos de la misma, interpuso el recurso de revisión que nos ocupa, mediante el cual se inconformó medularmente por la </w:t>
      </w:r>
      <w:r w:rsidR="00865873" w:rsidRPr="004D04AE">
        <w:rPr>
          <w:rFonts w:ascii="Palatino Linotype" w:eastAsia="Palatino Linotype" w:hAnsi="Palatino Linotype" w:cs="Palatino Linotype"/>
          <w:sz w:val="22"/>
          <w:szCs w:val="22"/>
        </w:rPr>
        <w:t>negativa a la información solicitada</w:t>
      </w:r>
      <w:r w:rsidRPr="004D04AE">
        <w:rPr>
          <w:rFonts w:ascii="Palatino Linotype" w:eastAsia="Palatino Linotype" w:hAnsi="Palatino Linotype" w:cs="Palatino Linotype"/>
          <w:sz w:val="22"/>
          <w:szCs w:val="22"/>
        </w:rPr>
        <w:t xml:space="preserve">. </w:t>
      </w:r>
    </w:p>
    <w:p w14:paraId="6309AF99"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05A2783F"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Admitido el presente recurso de revisión, en términos del artículo 185 fracción II</w:t>
      </w:r>
      <w:r w:rsidRPr="004D04AE">
        <w:rPr>
          <w:rFonts w:ascii="Palatino Linotype" w:eastAsia="Palatino Linotype" w:hAnsi="Palatino Linotype" w:cs="Palatino Linotype"/>
          <w:sz w:val="22"/>
          <w:szCs w:val="22"/>
          <w:vertAlign w:val="superscript"/>
        </w:rPr>
        <w:footnoteReference w:id="1"/>
      </w:r>
      <w:r w:rsidRPr="004D04AE">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 teniendo así que las partes fueron omisas en realizar alguna manifestación. </w:t>
      </w:r>
    </w:p>
    <w:p w14:paraId="44EBBF6F"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1144DAC6" w14:textId="0680E381" w:rsidR="0047125C" w:rsidRPr="004D04AE" w:rsidRDefault="005B4B1B" w:rsidP="00CC6B6E">
      <w:pPr>
        <w:spacing w:line="360" w:lineRule="auto"/>
        <w:ind w:right="49"/>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rPr>
        <w:t xml:space="preserve">Una vez expuestas las posturas de las partes, </w:t>
      </w:r>
      <w:r w:rsidR="0047125C" w:rsidRPr="004D04AE">
        <w:rPr>
          <w:rFonts w:ascii="Palatino Linotype" w:eastAsia="Palatino Linotype" w:hAnsi="Palatino Linotype" w:cs="Palatino Linotype"/>
          <w:sz w:val="22"/>
          <w:szCs w:val="22"/>
          <w:lang w:val="es-ES"/>
        </w:rPr>
        <w:t xml:space="preserve">se procede al análisis de la respuesta emitida por el </w:t>
      </w:r>
      <w:r w:rsidR="0047125C" w:rsidRPr="004D04AE">
        <w:rPr>
          <w:rFonts w:ascii="Palatino Linotype" w:eastAsia="Palatino Linotype" w:hAnsi="Palatino Linotype" w:cs="Palatino Linotype"/>
          <w:b/>
          <w:sz w:val="22"/>
          <w:szCs w:val="22"/>
          <w:lang w:val="es-ES"/>
        </w:rPr>
        <w:t>Sujeto Obligado</w:t>
      </w:r>
      <w:r w:rsidR="0047125C" w:rsidRPr="004D04AE">
        <w:rPr>
          <w:rFonts w:ascii="Palatino Linotype" w:eastAsia="Palatino Linotype" w:hAnsi="Palatino Linotype" w:cs="Palatino Linotype"/>
          <w:sz w:val="22"/>
          <w:szCs w:val="22"/>
          <w:lang w:val="es-ES"/>
        </w:rPr>
        <w:t xml:space="preserve">, a efecto de determinar si es suficiente para tener por colmado el derecho de acceso a la información de la parte </w:t>
      </w:r>
      <w:r w:rsidR="0047125C" w:rsidRPr="004D04AE">
        <w:rPr>
          <w:rFonts w:ascii="Palatino Linotype" w:eastAsia="Palatino Linotype" w:hAnsi="Palatino Linotype" w:cs="Palatino Linotype"/>
          <w:b/>
          <w:sz w:val="22"/>
          <w:szCs w:val="22"/>
          <w:lang w:val="es-ES"/>
        </w:rPr>
        <w:t>Recurrente</w:t>
      </w:r>
      <w:r w:rsidR="0047125C" w:rsidRPr="004D04AE">
        <w:rPr>
          <w:rFonts w:ascii="Palatino Linotype" w:eastAsia="Palatino Linotype" w:hAnsi="Palatino Linotype" w:cs="Palatino Linotype"/>
          <w:sz w:val="22"/>
          <w:szCs w:val="22"/>
          <w:lang w:val="es-ES"/>
        </w:rPr>
        <w:t>, o en su defecto ordenar la entrega del o los documentos que lo satisfagan.</w:t>
      </w:r>
    </w:p>
    <w:p w14:paraId="1989A9D6" w14:textId="77777777" w:rsidR="0047125C" w:rsidRPr="004D04AE" w:rsidRDefault="0047125C" w:rsidP="00CC6B6E">
      <w:pPr>
        <w:spacing w:line="360" w:lineRule="auto"/>
        <w:ind w:right="49"/>
        <w:jc w:val="both"/>
        <w:rPr>
          <w:rFonts w:ascii="Palatino Linotype" w:eastAsia="Palatino Linotype" w:hAnsi="Palatino Linotype" w:cs="Palatino Linotype"/>
          <w:sz w:val="22"/>
          <w:szCs w:val="22"/>
          <w:lang w:val="es-ES"/>
        </w:rPr>
      </w:pPr>
    </w:p>
    <w:p w14:paraId="5D0D2220" w14:textId="2F7D3407" w:rsidR="0047125C" w:rsidRPr="004D04AE" w:rsidRDefault="0047125C" w:rsidP="00CC6B6E">
      <w:pPr>
        <w:spacing w:line="360" w:lineRule="auto"/>
        <w:ind w:right="49"/>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Primeramente, es necesario precisar que de las constancias que obran en el expediente se logra vislumbrar que la parte </w:t>
      </w:r>
      <w:r w:rsidRPr="004D04AE">
        <w:rPr>
          <w:rFonts w:ascii="Palatino Linotype" w:eastAsia="Palatino Linotype" w:hAnsi="Palatino Linotype" w:cs="Palatino Linotype"/>
          <w:b/>
          <w:sz w:val="22"/>
          <w:szCs w:val="22"/>
          <w:lang w:val="es-ES"/>
        </w:rPr>
        <w:t>Recurrente,</w:t>
      </w:r>
      <w:r w:rsidRPr="004D04AE">
        <w:rPr>
          <w:rFonts w:ascii="Palatino Linotype" w:eastAsia="Palatino Linotype" w:hAnsi="Palatino Linotype" w:cs="Palatino Linotype"/>
          <w:sz w:val="22"/>
          <w:szCs w:val="22"/>
          <w:lang w:val="es-ES"/>
        </w:rPr>
        <w:t xml:space="preserve"> no señaló temporalidad para conocer de la información solicitada, por lo que tomando en consideración que la solicitud de información se recibió el primero de diciembre de dos mil veinticinco, la temporalidad que procede para la entrega de la información es la correspondiente a la primera y segunda quincena de noviembre de dos mil veinticinco, esto atendiendo al criterio reiterado 04/2024, del Pleno de este Instituto, que a la letra señala:</w:t>
      </w:r>
    </w:p>
    <w:p w14:paraId="5BE31A83" w14:textId="77777777" w:rsidR="0047125C" w:rsidRPr="004D04AE" w:rsidRDefault="0047125C" w:rsidP="00CC6B6E">
      <w:pPr>
        <w:spacing w:line="360" w:lineRule="auto"/>
        <w:ind w:right="49"/>
        <w:jc w:val="both"/>
        <w:rPr>
          <w:rFonts w:ascii="Palatino Linotype" w:eastAsia="Palatino Linotype" w:hAnsi="Palatino Linotype" w:cs="Palatino Linotype"/>
          <w:sz w:val="22"/>
          <w:szCs w:val="22"/>
          <w:lang w:val="es-ES"/>
        </w:rPr>
      </w:pPr>
    </w:p>
    <w:p w14:paraId="327CFB38" w14:textId="77777777" w:rsidR="0047125C" w:rsidRPr="004D04AE" w:rsidRDefault="0047125C" w:rsidP="00CC6B6E">
      <w:pPr>
        <w:spacing w:line="276" w:lineRule="auto"/>
        <w:ind w:left="851" w:right="616"/>
        <w:jc w:val="both"/>
        <w:rPr>
          <w:rFonts w:ascii="Palatino Linotype" w:eastAsia="Palatino Linotype" w:hAnsi="Palatino Linotype" w:cs="Palatino Linotype"/>
          <w:b/>
          <w:i/>
          <w:sz w:val="22"/>
          <w:szCs w:val="22"/>
          <w:lang w:val="es-ES"/>
        </w:rPr>
      </w:pPr>
      <w:r w:rsidRPr="004D04AE">
        <w:rPr>
          <w:rFonts w:ascii="Palatino Linotype" w:eastAsia="Palatino Linotype" w:hAnsi="Palatino Linotype" w:cs="Palatino Linotype"/>
          <w:i/>
          <w:sz w:val="22"/>
          <w:szCs w:val="22"/>
          <w:lang w:val="es-ES"/>
        </w:rPr>
        <w:t>“</w:t>
      </w:r>
      <w:r w:rsidRPr="004D04AE">
        <w:rPr>
          <w:rFonts w:ascii="Palatino Linotype" w:eastAsia="Palatino Linotype" w:hAnsi="Palatino Linotype" w:cs="Palatino Linotype"/>
          <w:b/>
          <w:i/>
          <w:sz w:val="22"/>
          <w:szCs w:val="22"/>
          <w:lang w:val="es-ES"/>
        </w:rPr>
        <w:t>CRITERIO REITERADO 04/2024</w:t>
      </w:r>
    </w:p>
    <w:p w14:paraId="7FBE4ED5" w14:textId="77777777" w:rsidR="0047125C" w:rsidRPr="004D04AE" w:rsidRDefault="0047125C" w:rsidP="00CC6B6E">
      <w:pPr>
        <w:spacing w:line="276" w:lineRule="auto"/>
        <w:ind w:left="851" w:right="616"/>
        <w:jc w:val="both"/>
        <w:rPr>
          <w:rFonts w:ascii="Palatino Linotype" w:eastAsia="Palatino Linotype" w:hAnsi="Palatino Linotype" w:cs="Palatino Linotype"/>
          <w:b/>
          <w:i/>
          <w:sz w:val="22"/>
          <w:szCs w:val="22"/>
          <w:lang w:val="es-ES"/>
        </w:rPr>
      </w:pPr>
      <w:r w:rsidRPr="004D04AE">
        <w:rPr>
          <w:rFonts w:ascii="Palatino Linotype" w:eastAsia="Palatino Linotype" w:hAnsi="Palatino Linotype" w:cs="Palatino Linotype"/>
          <w:b/>
          <w:i/>
          <w:sz w:val="22"/>
          <w:szCs w:val="22"/>
          <w:lang w:val="es-ES"/>
        </w:rPr>
        <w:t>NÓMINA DE SERVIDORES PÚBLICOS. PERIODO DE BÚSQUEDA Y ENTREGA DE LA INFORMACIÓN, CUANDO NO SE PRECISA EN LA SOLICITUD DE INFORMACIÓN.</w:t>
      </w:r>
      <w:r w:rsidRPr="004D04AE">
        <w:rPr>
          <w:rFonts w:ascii="Palatino Linotype" w:eastAsia="Palatino Linotype" w:hAnsi="Palatino Linotype" w:cs="Palatino Linotype"/>
          <w:i/>
          <w:sz w:val="22"/>
          <w:szCs w:val="22"/>
          <w:lang w:val="es-ES"/>
        </w:rPr>
        <w:t xml:space="preserve"> Cuando el particular no refiriera el periodo respecto del cual requiere la información, o bien, de la solicitud presentada no se adviertan elementos que permitan identificarlo, tratándose exclusivamente de información relativa a la nómina, </w:t>
      </w:r>
      <w:r w:rsidRPr="004D04AE">
        <w:rPr>
          <w:rFonts w:ascii="Palatino Linotype" w:eastAsia="Palatino Linotype" w:hAnsi="Palatino Linotype" w:cs="Palatino Linotype"/>
          <w:b/>
          <w:i/>
          <w:sz w:val="22"/>
          <w:szCs w:val="22"/>
          <w:lang w:val="es-ES"/>
        </w:rPr>
        <w:t>se deberá hacer entrega de la información relativa a las últimas dos quincenas pagadas previo a la fecha en que se presentó la solicitud</w:t>
      </w:r>
      <w:r w:rsidRPr="004D04AE">
        <w:rPr>
          <w:rFonts w:ascii="Palatino Linotype" w:eastAsia="Palatino Linotype" w:hAnsi="Palatino Linotype" w:cs="Palatino Linotype"/>
          <w:i/>
          <w:sz w:val="22"/>
          <w:szCs w:val="22"/>
          <w:lang w:val="es-ES"/>
        </w:rPr>
        <w:t>.”</w:t>
      </w:r>
    </w:p>
    <w:p w14:paraId="42E34A20" w14:textId="77777777" w:rsidR="0047125C" w:rsidRPr="004D04AE" w:rsidRDefault="0047125C" w:rsidP="00CC6B6E">
      <w:pPr>
        <w:spacing w:line="360" w:lineRule="auto"/>
        <w:ind w:right="49"/>
        <w:jc w:val="both"/>
        <w:rPr>
          <w:rFonts w:ascii="Palatino Linotype" w:eastAsia="Palatino Linotype" w:hAnsi="Palatino Linotype" w:cs="Palatino Linotype"/>
          <w:i/>
          <w:sz w:val="22"/>
          <w:szCs w:val="22"/>
          <w:lang w:val="es-ES"/>
        </w:rPr>
      </w:pPr>
    </w:p>
    <w:p w14:paraId="093C7EAF" w14:textId="7AEAC72D" w:rsidR="00EB2080" w:rsidRPr="004D04AE" w:rsidRDefault="0047125C" w:rsidP="00CC6B6E">
      <w:pPr>
        <w:spacing w:line="360" w:lineRule="auto"/>
        <w:ind w:right="49"/>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Una vez precisado lo anterior, </w:t>
      </w:r>
      <w:r w:rsidR="005B4B1B" w:rsidRPr="004D04AE">
        <w:rPr>
          <w:rFonts w:ascii="Palatino Linotype" w:eastAsia="Palatino Linotype" w:hAnsi="Palatino Linotype" w:cs="Palatino Linotype"/>
          <w:sz w:val="22"/>
          <w:szCs w:val="22"/>
        </w:rPr>
        <w:t>se procede al análisis de la naturaleza de la información solicitada, para lo cual conviene precisar que si bien el término “</w:t>
      </w:r>
      <w:r w:rsidR="005B4B1B" w:rsidRPr="004D04AE">
        <w:rPr>
          <w:rFonts w:ascii="Palatino Linotype" w:eastAsia="Palatino Linotype" w:hAnsi="Palatino Linotype" w:cs="Palatino Linotype"/>
          <w:i/>
          <w:sz w:val="22"/>
          <w:szCs w:val="22"/>
        </w:rPr>
        <w:t xml:space="preserve">nómina” </w:t>
      </w:r>
      <w:r w:rsidR="005B4B1B" w:rsidRPr="004D04AE">
        <w:rPr>
          <w:rFonts w:ascii="Palatino Linotype" w:eastAsia="Palatino Linotype" w:hAnsi="Palatino Linotype" w:cs="Palatino Linotype"/>
          <w:sz w:val="22"/>
          <w:szCs w:val="22"/>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005B4B1B" w:rsidRPr="004D04AE">
        <w:rPr>
          <w:rFonts w:ascii="Palatino Linotype" w:eastAsia="Palatino Linotype" w:hAnsi="Palatino Linotype" w:cs="Palatino Linotype"/>
          <w:i/>
          <w:sz w:val="22"/>
          <w:szCs w:val="22"/>
        </w:rPr>
        <w:t>listado general de los trabajadores de una institución, en</w:t>
      </w:r>
      <w:r w:rsidR="005B4B1B" w:rsidRPr="004D04AE">
        <w:rPr>
          <w:rFonts w:ascii="Palatino Linotype" w:eastAsia="Palatino Linotype" w:hAnsi="Palatino Linotype" w:cs="Palatino Linotype"/>
          <w:b/>
          <w:i/>
          <w:sz w:val="22"/>
          <w:szCs w:val="22"/>
        </w:rPr>
        <w:t xml:space="preserve"> </w:t>
      </w:r>
      <w:r w:rsidR="005B4B1B" w:rsidRPr="004D04AE">
        <w:rPr>
          <w:rFonts w:ascii="Palatino Linotype" w:eastAsia="Palatino Linotype" w:hAnsi="Palatino Linotype" w:cs="Palatino Linotype"/>
          <w:i/>
          <w:sz w:val="22"/>
          <w:szCs w:val="22"/>
        </w:rPr>
        <w:t xml:space="preserve">el cual se </w:t>
      </w:r>
      <w:r w:rsidR="005B4B1B" w:rsidRPr="004D04AE">
        <w:rPr>
          <w:rFonts w:ascii="Palatino Linotype" w:eastAsia="Palatino Linotype" w:hAnsi="Palatino Linotype" w:cs="Palatino Linotype"/>
          <w:b/>
          <w:i/>
          <w:sz w:val="22"/>
          <w:szCs w:val="22"/>
        </w:rPr>
        <w:t xml:space="preserve">asientan las </w:t>
      </w:r>
      <w:r w:rsidR="005B4B1B" w:rsidRPr="004D04AE">
        <w:rPr>
          <w:rFonts w:ascii="Palatino Linotype" w:eastAsia="Palatino Linotype" w:hAnsi="Palatino Linotype" w:cs="Palatino Linotype"/>
          <w:b/>
          <w:i/>
          <w:sz w:val="22"/>
          <w:szCs w:val="22"/>
          <w:u w:val="single"/>
        </w:rPr>
        <w:t>percepciones brutas, deducciones y alcance neto de las mismas</w:t>
      </w:r>
      <w:r w:rsidR="005B4B1B" w:rsidRPr="004D04AE">
        <w:rPr>
          <w:rFonts w:ascii="Palatino Linotype" w:eastAsia="Palatino Linotype" w:hAnsi="Palatino Linotype" w:cs="Palatino Linotype"/>
          <w:i/>
          <w:sz w:val="22"/>
          <w:szCs w:val="22"/>
        </w:rPr>
        <w:t>; la nómina es utilizada para</w:t>
      </w:r>
      <w:r w:rsidR="005B4B1B" w:rsidRPr="004D04AE">
        <w:rPr>
          <w:rFonts w:ascii="Palatino Linotype" w:eastAsia="Palatino Linotype" w:hAnsi="Palatino Linotype" w:cs="Palatino Linotype"/>
          <w:b/>
          <w:i/>
          <w:sz w:val="22"/>
          <w:szCs w:val="22"/>
        </w:rPr>
        <w:t xml:space="preserve"> efectuar los pagos periódicos</w:t>
      </w:r>
      <w:r w:rsidR="005B4B1B" w:rsidRPr="004D04AE">
        <w:rPr>
          <w:rFonts w:ascii="Palatino Linotype" w:eastAsia="Palatino Linotype" w:hAnsi="Palatino Linotype" w:cs="Palatino Linotype"/>
          <w:i/>
          <w:sz w:val="22"/>
          <w:szCs w:val="22"/>
        </w:rPr>
        <w:t xml:space="preserve"> (semanales, quincenales o</w:t>
      </w:r>
      <w:r w:rsidR="005B4B1B" w:rsidRPr="004D04AE">
        <w:rPr>
          <w:rFonts w:ascii="Palatino Linotype" w:eastAsia="Palatino Linotype" w:hAnsi="Palatino Linotype" w:cs="Palatino Linotype"/>
          <w:b/>
          <w:i/>
          <w:sz w:val="22"/>
          <w:szCs w:val="22"/>
        </w:rPr>
        <w:t xml:space="preserve"> </w:t>
      </w:r>
      <w:r w:rsidR="005B4B1B" w:rsidRPr="004D04AE">
        <w:rPr>
          <w:rFonts w:ascii="Palatino Linotype" w:eastAsia="Palatino Linotype" w:hAnsi="Palatino Linotype" w:cs="Palatino Linotype"/>
          <w:i/>
          <w:sz w:val="22"/>
          <w:szCs w:val="22"/>
        </w:rPr>
        <w:t xml:space="preserve">mensuales) a los trabajadores por concepto de </w:t>
      </w:r>
      <w:r w:rsidR="005B4B1B" w:rsidRPr="004D04AE">
        <w:rPr>
          <w:rFonts w:ascii="Palatino Linotype" w:eastAsia="Palatino Linotype" w:hAnsi="Palatino Linotype" w:cs="Palatino Linotype"/>
          <w:b/>
          <w:i/>
          <w:sz w:val="22"/>
          <w:szCs w:val="22"/>
        </w:rPr>
        <w:t>sueldos y salarios</w:t>
      </w:r>
      <w:r w:rsidR="005B4B1B" w:rsidRPr="004D04AE">
        <w:rPr>
          <w:rFonts w:ascii="Palatino Linotype" w:eastAsia="Palatino Linotype" w:hAnsi="Palatino Linotype" w:cs="Palatino Linotype"/>
          <w:i/>
          <w:sz w:val="22"/>
          <w:szCs w:val="22"/>
        </w:rPr>
        <w:t>.</w:t>
      </w:r>
    </w:p>
    <w:p w14:paraId="70D4C5DB" w14:textId="77777777" w:rsidR="00EB2080" w:rsidRPr="004D04AE" w:rsidRDefault="00EB2080" w:rsidP="00CC6B6E">
      <w:pPr>
        <w:spacing w:line="360" w:lineRule="auto"/>
        <w:rPr>
          <w:rFonts w:ascii="Palatino Linotype" w:eastAsia="Palatino Linotype" w:hAnsi="Palatino Linotype" w:cs="Palatino Linotype"/>
          <w:sz w:val="22"/>
          <w:szCs w:val="22"/>
        </w:rPr>
      </w:pPr>
    </w:p>
    <w:p w14:paraId="2DB74AEF"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Documento o término que ha sido mencionado en diferentes ordenamientos legales, tal es el caso, de la </w:t>
      </w:r>
      <w:r w:rsidRPr="004D04AE">
        <w:rPr>
          <w:rFonts w:ascii="Palatino Linotype" w:eastAsia="Palatino Linotype" w:hAnsi="Palatino Linotype" w:cs="Palatino Linotype"/>
          <w:i/>
          <w:sz w:val="22"/>
          <w:szCs w:val="22"/>
        </w:rPr>
        <w:t>Ley Federal del Trabajo</w:t>
      </w:r>
      <w:r w:rsidRPr="004D04AE">
        <w:rPr>
          <w:rFonts w:ascii="Palatino Linotype" w:eastAsia="Palatino Linotype" w:hAnsi="Palatino Linotype" w:cs="Palatino Linotype"/>
          <w:sz w:val="22"/>
          <w:szCs w:val="22"/>
        </w:rPr>
        <w:t xml:space="preserve"> en el artículo 804 fracción II, que además reconoce los recibos de pagos de salarios, por lo que resulta indispensable citar el artículo de referencia.</w:t>
      </w:r>
    </w:p>
    <w:p w14:paraId="6BC28DB6" w14:textId="77777777" w:rsidR="00EB2080" w:rsidRPr="004D04AE" w:rsidRDefault="00EB2080" w:rsidP="00CC6B6E">
      <w:pPr>
        <w:rPr>
          <w:rFonts w:ascii="Palatino Linotype" w:eastAsia="Palatino Linotype" w:hAnsi="Palatino Linotype" w:cs="Palatino Linotype"/>
          <w:sz w:val="22"/>
          <w:szCs w:val="22"/>
        </w:rPr>
      </w:pPr>
    </w:p>
    <w:p w14:paraId="21C3659F"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“Artículo 804.-</w:t>
      </w:r>
      <w:r w:rsidRPr="004D04AE">
        <w:rPr>
          <w:rFonts w:ascii="Palatino Linotype" w:eastAsia="Palatino Linotype" w:hAnsi="Palatino Linotype" w:cs="Palatino Linotype"/>
          <w:i/>
          <w:sz w:val="22"/>
          <w:szCs w:val="22"/>
        </w:rPr>
        <w:t xml:space="preserve"> El patrón tiene obligación de conservar y exhibir en juicio los documentos que a continuación se precisan:</w:t>
      </w:r>
    </w:p>
    <w:p w14:paraId="601E4AD1"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w:t>
      </w:r>
    </w:p>
    <w:p w14:paraId="05292DC3"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Listas de raya o</w:t>
      </w:r>
      <w:r w:rsidRPr="004D04AE">
        <w:rPr>
          <w:rFonts w:ascii="Palatino Linotype" w:eastAsia="Palatino Linotype" w:hAnsi="Palatino Linotype" w:cs="Palatino Linotype"/>
          <w:b/>
          <w:i/>
          <w:sz w:val="22"/>
          <w:szCs w:val="22"/>
        </w:rPr>
        <w:t xml:space="preserve"> nómina de personal</w:t>
      </w:r>
      <w:r w:rsidRPr="004D04AE">
        <w:rPr>
          <w:rFonts w:ascii="Palatino Linotype" w:eastAsia="Palatino Linotype" w:hAnsi="Palatino Linotype" w:cs="Palatino Linotype"/>
          <w:i/>
          <w:sz w:val="22"/>
          <w:szCs w:val="22"/>
        </w:rPr>
        <w:t xml:space="preserve">, cuando se lleven en el centro de trabajo; </w:t>
      </w:r>
      <w:r w:rsidRPr="004D04AE">
        <w:rPr>
          <w:rFonts w:ascii="Palatino Linotype" w:eastAsia="Palatino Linotype" w:hAnsi="Palatino Linotype" w:cs="Palatino Linotype"/>
          <w:b/>
          <w:i/>
          <w:sz w:val="22"/>
          <w:szCs w:val="22"/>
        </w:rPr>
        <w:t>o recibos de pagos de salarios;</w:t>
      </w:r>
    </w:p>
    <w:p w14:paraId="17CD52A8"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3AE8AF14"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Los documentos señalados en la fracción I deberán conservarse mientras dure la relación laboral y hasta un año después; los señalados en las fracciones </w:t>
      </w: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III y IV, durante el último año y un año después de que se extinga la relación laboral; y los mencionados en la fracción V, conforme lo señalen las Leyes que los rijan.”</w:t>
      </w:r>
    </w:p>
    <w:p w14:paraId="0B916703"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6429A246"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De lo anteriormente citado, se puede llegar a la conclusión de que la nómina, es el documento que contiene el registro de los trabajadores a los cuales se va a remunerar por los </w:t>
      </w:r>
      <w:hyperlink r:id="rId9">
        <w:r w:rsidRPr="004D04AE">
          <w:rPr>
            <w:rFonts w:ascii="Palatino Linotype" w:eastAsia="Palatino Linotype" w:hAnsi="Palatino Linotype" w:cs="Palatino Linotype"/>
            <w:sz w:val="22"/>
            <w:szCs w:val="22"/>
          </w:rPr>
          <w:t>servicios</w:t>
        </w:r>
      </w:hyperlink>
      <w:r w:rsidRPr="004D04AE">
        <w:rPr>
          <w:rFonts w:ascii="Palatino Linotype" w:eastAsia="Palatino Linotype" w:hAnsi="Palatino Linotype" w:cs="Palatino Linotype"/>
          <w:sz w:val="22"/>
          <w:szCs w:val="22"/>
        </w:rPr>
        <w:t xml:space="preserve"> que éstos le prestan al patrón, en el cual </w:t>
      </w:r>
      <w:r w:rsidRPr="004D04AE">
        <w:rPr>
          <w:rFonts w:ascii="Palatino Linotype" w:eastAsia="Palatino Linotype" w:hAnsi="Palatino Linotype" w:cs="Palatino Linotype"/>
          <w:b/>
          <w:sz w:val="22"/>
          <w:szCs w:val="22"/>
        </w:rPr>
        <w:t>se asientan las percepciones brutas, deducciones y el neto</w:t>
      </w:r>
      <w:r w:rsidRPr="004D04AE">
        <w:rPr>
          <w:rFonts w:ascii="Palatino Linotype" w:eastAsia="Palatino Linotype" w:hAnsi="Palatino Linotype" w:cs="Palatino Linotype"/>
          <w:sz w:val="22"/>
          <w:szCs w:val="22"/>
        </w:rPr>
        <w:t xml:space="preserve"> a recibir de dichos trabajadores.</w:t>
      </w:r>
    </w:p>
    <w:p w14:paraId="2C433C82"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2A752257"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Ahora bien, relativo a los </w:t>
      </w:r>
      <w:r w:rsidRPr="004D04AE">
        <w:rPr>
          <w:rFonts w:ascii="Palatino Linotype" w:eastAsia="Palatino Linotype" w:hAnsi="Palatino Linotype" w:cs="Palatino Linotype"/>
          <w:b/>
          <w:sz w:val="22"/>
          <w:szCs w:val="22"/>
        </w:rPr>
        <w:t>recibos de nómina</w:t>
      </w:r>
      <w:r w:rsidRPr="004D04AE">
        <w:rPr>
          <w:rFonts w:ascii="Palatino Linotype" w:eastAsia="Palatino Linotype" w:hAnsi="Palatino Linotype" w:cs="Palatino Linotype"/>
          <w:sz w:val="22"/>
          <w:szCs w:val="22"/>
        </w:rPr>
        <w:t>,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w:t>
      </w:r>
      <w:r w:rsidRPr="004D04AE">
        <w:rPr>
          <w:rFonts w:ascii="Palatino Linotype" w:eastAsia="Palatino Linotype" w:hAnsi="Palatino Linotype" w:cs="Palatino Linotype"/>
          <w:i/>
          <w:sz w:val="22"/>
          <w:szCs w:val="22"/>
        </w:rPr>
        <w:t>recibos o comprobantes de pago</w:t>
      </w:r>
      <w:r w:rsidRPr="004D04AE">
        <w:rPr>
          <w:rFonts w:ascii="Palatino Linotype" w:eastAsia="Palatino Linotype" w:hAnsi="Palatino Linotype" w:cs="Palatino Linotype"/>
          <w:sz w:val="22"/>
          <w:szCs w:val="22"/>
        </w:rPr>
        <w:t>", los cuales constituyen un instrumento mediante el cual el sujeto obligado acredita las remuneraciones al personal y, que de acuerdo al uso implantado en la colectividad se denominan "recibos de nómina".</w:t>
      </w:r>
    </w:p>
    <w:p w14:paraId="6AB338A6" w14:textId="77777777" w:rsidR="00EB2080" w:rsidRPr="004D04AE" w:rsidRDefault="00EB2080" w:rsidP="00CC6B6E">
      <w:pPr>
        <w:spacing w:line="360" w:lineRule="auto"/>
        <w:rPr>
          <w:rFonts w:ascii="Palatino Linotype" w:eastAsia="Palatino Linotype" w:hAnsi="Palatino Linotype" w:cs="Palatino Linotype"/>
          <w:sz w:val="22"/>
          <w:szCs w:val="22"/>
        </w:rPr>
      </w:pPr>
    </w:p>
    <w:p w14:paraId="7891185C"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 efecto de robustecer lo anterior, es preciso hacer alusión, en primera instancia, a lo establecido en las normas de carácter general del </w:t>
      </w:r>
      <w:r w:rsidRPr="004D04AE">
        <w:rPr>
          <w:rFonts w:ascii="Palatino Linotype" w:eastAsia="Palatino Linotype" w:hAnsi="Palatino Linotype" w:cs="Palatino Linotype"/>
          <w:b/>
          <w:sz w:val="22"/>
          <w:szCs w:val="22"/>
        </w:rPr>
        <w:t>Manual Único de Contabilidad Gubernamental para las Dependencias y Entidades Públicas del Gobierno y Municipios del Estado de México</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sz w:val="22"/>
          <w:szCs w:val="22"/>
        </w:rPr>
        <w:t xml:space="preserve">en donde se señala que el Régimen Fiscal para las entidades públicas es el correspondiente a </w:t>
      </w:r>
      <w:r w:rsidRPr="004D04AE">
        <w:rPr>
          <w:rFonts w:ascii="Palatino Linotype" w:eastAsia="Palatino Linotype" w:hAnsi="Palatino Linotype" w:cs="Palatino Linotype"/>
          <w:i/>
          <w:sz w:val="22"/>
          <w:szCs w:val="22"/>
        </w:rPr>
        <w:t xml:space="preserve">personas morales con fines no lucrativos, </w:t>
      </w:r>
      <w:r w:rsidRPr="004D04AE">
        <w:rPr>
          <w:rFonts w:ascii="Palatino Linotype" w:eastAsia="Palatino Linotype" w:hAnsi="Palatino Linotype" w:cs="Palatino Linotype"/>
          <w:sz w:val="22"/>
          <w:szCs w:val="22"/>
        </w:rPr>
        <w:t xml:space="preserve">y en segundo lugar remitirnos al párrafo séptimo del artículo 86 del Título III del Régimen de las Personas Morales con fines no lucrativos, de la </w:t>
      </w:r>
      <w:r w:rsidRPr="004D04AE">
        <w:rPr>
          <w:rFonts w:ascii="Palatino Linotype" w:eastAsia="Palatino Linotype" w:hAnsi="Palatino Linotype" w:cs="Palatino Linotype"/>
          <w:b/>
          <w:sz w:val="22"/>
          <w:szCs w:val="22"/>
        </w:rPr>
        <w:t>Ley del Impuesto Sobre la Renta</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sz w:val="22"/>
          <w:szCs w:val="22"/>
        </w:rPr>
        <w:t>que a la letra señala lo siguiente:</w:t>
      </w:r>
    </w:p>
    <w:p w14:paraId="71607C60" w14:textId="77777777" w:rsidR="00EB2080" w:rsidRPr="004D04AE" w:rsidRDefault="00EB2080" w:rsidP="00CC6B6E">
      <w:pPr>
        <w:spacing w:line="276" w:lineRule="auto"/>
        <w:ind w:left="851" w:right="616"/>
        <w:jc w:val="both"/>
        <w:rPr>
          <w:rFonts w:ascii="Palatino Linotype" w:eastAsia="Palatino Linotype" w:hAnsi="Palatino Linotype" w:cs="Palatino Linotype"/>
          <w:b/>
          <w:i/>
          <w:sz w:val="22"/>
          <w:szCs w:val="22"/>
        </w:rPr>
      </w:pPr>
    </w:p>
    <w:p w14:paraId="1D9071ED"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“Artículo.- 86 </w:t>
      </w:r>
    </w:p>
    <w:p w14:paraId="496F5F19"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w:t>
      </w:r>
      <w:r w:rsidRPr="004D04AE">
        <w:rPr>
          <w:rFonts w:ascii="Palatino Linotype" w:eastAsia="Palatino Linotype" w:hAnsi="Palatino Linotype" w:cs="Palatino Linotype"/>
          <w:i/>
          <w:sz w:val="22"/>
          <w:szCs w:val="22"/>
        </w:rPr>
        <w:t>…)</w:t>
      </w:r>
    </w:p>
    <w:p w14:paraId="50A01F4B"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4D04AE">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4D04AE">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4D04AE">
        <w:rPr>
          <w:rFonts w:ascii="Palatino Linotype" w:eastAsia="Palatino Linotype" w:hAnsi="Palatino Linotype" w:cs="Palatino Linotype"/>
          <w:sz w:val="22"/>
          <w:szCs w:val="22"/>
        </w:rPr>
        <w:t>” </w:t>
      </w:r>
    </w:p>
    <w:p w14:paraId="29DD5897" w14:textId="77777777" w:rsidR="00EB2080" w:rsidRPr="004D04AE" w:rsidRDefault="00EB2080" w:rsidP="00CC6B6E">
      <w:pPr>
        <w:rPr>
          <w:rFonts w:ascii="Palatino Linotype" w:eastAsia="Palatino Linotype" w:hAnsi="Palatino Linotype" w:cs="Palatino Linotype"/>
          <w:sz w:val="22"/>
          <w:szCs w:val="22"/>
        </w:rPr>
      </w:pPr>
    </w:p>
    <w:p w14:paraId="2B9C5241"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Del precepto citado, se advierte que las entidades federativas al ser entes públicos se encuentran constreñidos a expedir y entregar los </w:t>
      </w:r>
      <w:r w:rsidRPr="004D04AE">
        <w:rPr>
          <w:rFonts w:ascii="Palatino Linotype" w:eastAsia="Palatino Linotype" w:hAnsi="Palatino Linotype" w:cs="Palatino Linotype"/>
          <w:b/>
          <w:sz w:val="22"/>
          <w:szCs w:val="22"/>
        </w:rPr>
        <w:t xml:space="preserve">comprobantes fiscales correspondientes a las personas que reciban pagos por conceptos de salarios, </w:t>
      </w:r>
      <w:r w:rsidRPr="004D04AE">
        <w:rPr>
          <w:rFonts w:ascii="Palatino Linotype" w:eastAsia="Palatino Linotype" w:hAnsi="Palatino Linotype" w:cs="Palatino Linotype"/>
          <w:sz w:val="22"/>
          <w:szCs w:val="22"/>
        </w:rPr>
        <w:t xml:space="preserve">mismos que pueden ser utilizados como </w:t>
      </w:r>
      <w:r w:rsidRPr="004D04AE">
        <w:rPr>
          <w:rFonts w:ascii="Palatino Linotype" w:eastAsia="Palatino Linotype" w:hAnsi="Palatino Linotype" w:cs="Palatino Linotype"/>
          <w:b/>
          <w:sz w:val="22"/>
          <w:szCs w:val="22"/>
        </w:rPr>
        <w:t>constancia o</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b/>
          <w:sz w:val="22"/>
          <w:szCs w:val="22"/>
        </w:rPr>
        <w:t>recibo de pago</w:t>
      </w:r>
      <w:r w:rsidRPr="004D04AE">
        <w:rPr>
          <w:rFonts w:ascii="Palatino Linotype" w:eastAsia="Palatino Linotype" w:hAnsi="Palatino Linotype" w:cs="Palatino Linotype"/>
          <w:sz w:val="22"/>
          <w:szCs w:val="22"/>
        </w:rPr>
        <w:t xml:space="preserve">, de conformidad con los artículos 132 fracciones VII y VIII de la </w:t>
      </w:r>
      <w:r w:rsidRPr="004D04AE">
        <w:rPr>
          <w:rFonts w:ascii="Palatino Linotype" w:eastAsia="Palatino Linotype" w:hAnsi="Palatino Linotype" w:cs="Palatino Linotype"/>
          <w:b/>
          <w:sz w:val="22"/>
          <w:szCs w:val="22"/>
        </w:rPr>
        <w:t>Ley Federal del Trabajo</w:t>
      </w:r>
      <w:r w:rsidRPr="004D04AE">
        <w:rPr>
          <w:rFonts w:ascii="Palatino Linotype" w:eastAsia="Palatino Linotype" w:hAnsi="Palatino Linotype" w:cs="Palatino Linotype"/>
          <w:sz w:val="22"/>
          <w:szCs w:val="22"/>
        </w:rPr>
        <w:t>, que a la letra señalan lo siguiente:</w:t>
      </w:r>
    </w:p>
    <w:p w14:paraId="270C4056"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1C0CE9FA"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132</w:t>
      </w:r>
      <w:r w:rsidRPr="004D04AE">
        <w:rPr>
          <w:rFonts w:ascii="Palatino Linotype" w:eastAsia="Palatino Linotype" w:hAnsi="Palatino Linotype" w:cs="Palatino Linotype"/>
          <w:i/>
          <w:sz w:val="22"/>
          <w:szCs w:val="22"/>
        </w:rPr>
        <w:t xml:space="preserve">.- Son </w:t>
      </w:r>
      <w:r w:rsidRPr="004D04AE">
        <w:rPr>
          <w:rFonts w:ascii="Palatino Linotype" w:eastAsia="Palatino Linotype" w:hAnsi="Palatino Linotype" w:cs="Palatino Linotype"/>
          <w:b/>
          <w:i/>
          <w:sz w:val="22"/>
          <w:szCs w:val="22"/>
        </w:rPr>
        <w:t>obligaciones de los patrones</w:t>
      </w:r>
      <w:r w:rsidRPr="004D04AE">
        <w:rPr>
          <w:rFonts w:ascii="Palatino Linotype" w:eastAsia="Palatino Linotype" w:hAnsi="Palatino Linotype" w:cs="Palatino Linotype"/>
          <w:i/>
          <w:sz w:val="22"/>
          <w:szCs w:val="22"/>
        </w:rPr>
        <w:t>:</w:t>
      </w:r>
    </w:p>
    <w:p w14:paraId="3678E148"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5667493E"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VII.- </w:t>
      </w:r>
      <w:r w:rsidRPr="004D04AE">
        <w:rPr>
          <w:rFonts w:ascii="Palatino Linotype" w:eastAsia="Palatino Linotype" w:hAnsi="Palatino Linotype" w:cs="Palatino Linotype"/>
          <w:b/>
          <w:i/>
          <w:sz w:val="22"/>
          <w:szCs w:val="22"/>
        </w:rPr>
        <w:t>Expedir</w:t>
      </w:r>
      <w:r w:rsidRPr="004D04AE">
        <w:rPr>
          <w:rFonts w:ascii="Palatino Linotype" w:eastAsia="Palatino Linotype" w:hAnsi="Palatino Linotype" w:cs="Palatino Linotype"/>
          <w:i/>
          <w:sz w:val="22"/>
          <w:szCs w:val="22"/>
        </w:rPr>
        <w:t xml:space="preserve"> cada quince días, a solicitud de los trabajadores, una </w:t>
      </w:r>
      <w:r w:rsidRPr="004D04AE">
        <w:rPr>
          <w:rFonts w:ascii="Palatino Linotype" w:eastAsia="Palatino Linotype" w:hAnsi="Palatino Linotype" w:cs="Palatino Linotype"/>
          <w:b/>
          <w:i/>
          <w:sz w:val="22"/>
          <w:szCs w:val="22"/>
        </w:rPr>
        <w:t>constancia</w:t>
      </w:r>
      <w:r w:rsidRPr="004D04AE">
        <w:rPr>
          <w:rFonts w:ascii="Palatino Linotype" w:eastAsia="Palatino Linotype" w:hAnsi="Palatino Linotype" w:cs="Palatino Linotype"/>
          <w:i/>
          <w:sz w:val="22"/>
          <w:szCs w:val="22"/>
        </w:rPr>
        <w:t xml:space="preserve"> escrita del número de días trabajados y </w:t>
      </w:r>
      <w:r w:rsidRPr="004D04AE">
        <w:rPr>
          <w:rFonts w:ascii="Palatino Linotype" w:eastAsia="Palatino Linotype" w:hAnsi="Palatino Linotype" w:cs="Palatino Linotype"/>
          <w:b/>
          <w:i/>
          <w:sz w:val="22"/>
          <w:szCs w:val="22"/>
        </w:rPr>
        <w:t>del salario percibido</w:t>
      </w:r>
      <w:r w:rsidRPr="004D04AE">
        <w:rPr>
          <w:rFonts w:ascii="Palatino Linotype" w:eastAsia="Palatino Linotype" w:hAnsi="Palatino Linotype" w:cs="Palatino Linotype"/>
          <w:i/>
          <w:sz w:val="22"/>
          <w:szCs w:val="22"/>
        </w:rPr>
        <w:t>; </w:t>
      </w:r>
    </w:p>
    <w:p w14:paraId="5371B14E"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VIII.- Expedir al trabajador que lo solicite o se separe de la empresa, dentro del término de tres días, una constancia escrita relativa a sus servicios;</w:t>
      </w:r>
    </w:p>
    <w:p w14:paraId="4BABD8C0"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2F7E3B13" w14:textId="77777777" w:rsidR="00816B2D" w:rsidRPr="004D04AE" w:rsidRDefault="00816B2D" w:rsidP="00CC6B6E">
      <w:pPr>
        <w:spacing w:line="276" w:lineRule="auto"/>
        <w:ind w:left="851" w:right="616"/>
        <w:jc w:val="both"/>
        <w:rPr>
          <w:rFonts w:ascii="Palatino Linotype" w:eastAsia="Palatino Linotype" w:hAnsi="Palatino Linotype" w:cs="Palatino Linotype"/>
          <w:sz w:val="22"/>
          <w:szCs w:val="22"/>
        </w:rPr>
      </w:pPr>
    </w:p>
    <w:p w14:paraId="1AA7084E"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Por su parte la Ley del Trabajo de los Servidores Públicos del Estado y Municipios, en su artículo 220-K fracciones II y IV y último párrafo, establecen lo siguiente:</w:t>
      </w:r>
    </w:p>
    <w:p w14:paraId="43817861" w14:textId="77777777" w:rsidR="00816B2D" w:rsidRPr="004D04AE" w:rsidRDefault="00816B2D" w:rsidP="00CC6B6E">
      <w:pPr>
        <w:spacing w:line="276" w:lineRule="auto"/>
        <w:ind w:left="851" w:right="616"/>
        <w:jc w:val="both"/>
        <w:rPr>
          <w:rFonts w:ascii="Palatino Linotype" w:eastAsia="Palatino Linotype" w:hAnsi="Palatino Linotype" w:cs="Palatino Linotype"/>
          <w:i/>
          <w:sz w:val="22"/>
          <w:szCs w:val="22"/>
        </w:rPr>
      </w:pPr>
    </w:p>
    <w:p w14:paraId="14F667EA" w14:textId="18AD1814"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220 K.-</w:t>
      </w:r>
      <w:r w:rsidRPr="004D04AE">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14:paraId="4BFD2BBD"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4A83C02F"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II. </w:t>
      </w:r>
      <w:r w:rsidRPr="004D04AE">
        <w:rPr>
          <w:rFonts w:ascii="Palatino Linotype" w:eastAsia="Palatino Linotype" w:hAnsi="Palatino Linotype" w:cs="Palatino Linotype"/>
          <w:b/>
          <w:i/>
          <w:sz w:val="22"/>
          <w:szCs w:val="22"/>
        </w:rPr>
        <w:t>Recibos de pagos de salarios</w:t>
      </w:r>
      <w:r w:rsidRPr="004D04AE">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14:paraId="3B70B2B3"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6D845EE2" w14:textId="77777777" w:rsidR="00EB2080" w:rsidRPr="004D04AE" w:rsidRDefault="00EB2080" w:rsidP="00CC6B6E">
      <w:pPr>
        <w:spacing w:line="276" w:lineRule="auto"/>
        <w:ind w:left="851" w:right="616"/>
        <w:rPr>
          <w:rFonts w:ascii="Palatino Linotype" w:eastAsia="Palatino Linotype" w:hAnsi="Palatino Linotype" w:cs="Palatino Linotype"/>
          <w:sz w:val="22"/>
          <w:szCs w:val="22"/>
        </w:rPr>
      </w:pPr>
    </w:p>
    <w:p w14:paraId="0A38E67C"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IV. Recibos o las constancias de depósito o del medio de información magnética o electrónica que sean utilizadas para el pago de salarios, prima vacacional, aguinaldo y demás prestaciones establecidas en la presente ley; y…</w:t>
      </w:r>
    </w:p>
    <w:p w14:paraId="43EEE98E"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3F82C381"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1692FA51"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El incumplimiento por lo dispuesto por este artículo, establecerá la presunción de ser ciertos los hechos que el actor exprese en su demanda, en relación con tales documentos, salvo prueba en contrario.”</w:t>
      </w:r>
    </w:p>
    <w:p w14:paraId="1F99AFB9"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65F70BD2"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518D594B" w14:textId="77777777" w:rsidR="00EB2080" w:rsidRPr="004D04AE" w:rsidRDefault="00EB2080" w:rsidP="00CC6B6E">
      <w:pPr>
        <w:spacing w:line="360" w:lineRule="auto"/>
        <w:rPr>
          <w:rFonts w:ascii="Palatino Linotype" w:eastAsia="Palatino Linotype" w:hAnsi="Palatino Linotype" w:cs="Palatino Linotype"/>
          <w:sz w:val="22"/>
          <w:szCs w:val="22"/>
        </w:rPr>
      </w:pPr>
    </w:p>
    <w:p w14:paraId="36A78291"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estas condiciones, resulta claro que la información de mérito es generada en ejercicio de las atribuciones del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5348B2DE" w14:textId="77777777" w:rsidR="00EB2080" w:rsidRPr="004D04AE" w:rsidRDefault="00EB2080" w:rsidP="00CC6B6E">
      <w:pPr>
        <w:spacing w:line="360" w:lineRule="auto"/>
        <w:rPr>
          <w:rFonts w:ascii="Palatino Linotype" w:eastAsia="Palatino Linotype" w:hAnsi="Palatino Linotype" w:cs="Palatino Linotype"/>
          <w:sz w:val="22"/>
          <w:szCs w:val="22"/>
        </w:rPr>
      </w:pPr>
    </w:p>
    <w:p w14:paraId="2702BF59"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Además, de que la información de análisis,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2F7384DC" w14:textId="77777777" w:rsidR="00EB2080" w:rsidRPr="004D04AE" w:rsidRDefault="00EB2080" w:rsidP="00CC6B6E">
      <w:pPr>
        <w:rPr>
          <w:rFonts w:ascii="Palatino Linotype" w:eastAsia="Palatino Linotype" w:hAnsi="Palatino Linotype" w:cs="Palatino Linotype"/>
          <w:sz w:val="22"/>
          <w:szCs w:val="22"/>
        </w:rPr>
      </w:pPr>
    </w:p>
    <w:p w14:paraId="7DBCC95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u w:val="single"/>
        </w:rPr>
        <w:t>“</w:t>
      </w:r>
      <w:r w:rsidRPr="004D04AE">
        <w:rPr>
          <w:rFonts w:ascii="Palatino Linotype" w:eastAsia="Palatino Linotype" w:hAnsi="Palatino Linotype" w:cs="Palatino Linotype"/>
          <w:b/>
          <w:i/>
          <w:sz w:val="22"/>
          <w:szCs w:val="22"/>
          <w:u w:val="single"/>
        </w:rPr>
        <w:t>Artículo 7. El Estado de México garantizará el efectivo acceso de toda persona a la información en posesión de cualquier entidad,</w:t>
      </w:r>
      <w:r w:rsidRPr="004D04AE">
        <w:rPr>
          <w:rFonts w:ascii="Palatino Linotype" w:eastAsia="Palatino Linotype" w:hAnsi="Palatino Linotype" w:cs="Palatino Linotype"/>
          <w:i/>
          <w:sz w:val="22"/>
          <w:szCs w:val="22"/>
        </w:rPr>
        <w:t xml:space="preserve"> autoridad, órgano y organismo de los poderes Ejecutivo, Legislativo y Judicial, órganos autónomos, partidos políticos, fideicomisos y fondos públicos, así como de cualquier persona física, jurídico colectiva o sindicato </w:t>
      </w:r>
      <w:r w:rsidRPr="004D04AE">
        <w:rPr>
          <w:rFonts w:ascii="Palatino Linotype" w:eastAsia="Palatino Linotype" w:hAnsi="Palatino Linotype" w:cs="Palatino Linotype"/>
          <w:b/>
          <w:i/>
          <w:sz w:val="22"/>
          <w:szCs w:val="22"/>
          <w:u w:val="single"/>
        </w:rPr>
        <w:t>que reciba y ejerza recursos públicos</w:t>
      </w:r>
      <w:r w:rsidRPr="004D04AE">
        <w:rPr>
          <w:rFonts w:ascii="Palatino Linotype" w:eastAsia="Palatino Linotype" w:hAnsi="Palatino Linotype" w:cs="Palatino Linotype"/>
          <w:i/>
          <w:sz w:val="22"/>
          <w:szCs w:val="22"/>
        </w:rPr>
        <w:t xml:space="preserve"> o realice actos de autoridad </w:t>
      </w:r>
      <w:r w:rsidRPr="004D04AE">
        <w:rPr>
          <w:rFonts w:ascii="Palatino Linotype" w:eastAsia="Palatino Linotype" w:hAnsi="Palatino Linotype" w:cs="Palatino Linotype"/>
          <w:b/>
          <w:i/>
          <w:sz w:val="22"/>
          <w:szCs w:val="22"/>
          <w:u w:val="single"/>
        </w:rPr>
        <w:t xml:space="preserve">en el ámbito de competencia del Estado de México </w:t>
      </w:r>
      <w:r w:rsidRPr="004D04AE">
        <w:rPr>
          <w:rFonts w:ascii="Palatino Linotype" w:eastAsia="Palatino Linotype" w:hAnsi="Palatino Linotype" w:cs="Palatino Linotype"/>
          <w:i/>
          <w:sz w:val="22"/>
          <w:szCs w:val="22"/>
        </w:rPr>
        <w:t>y sus municipios.</w:t>
      </w:r>
    </w:p>
    <w:p w14:paraId="4E85954E"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Artículo 23</w:t>
      </w:r>
      <w:r w:rsidRPr="004D04AE">
        <w:rPr>
          <w:rFonts w:ascii="Palatino Linotype" w:eastAsia="Palatino Linotype" w:hAnsi="Palatino Linotype" w:cs="Palatino Linotype"/>
          <w:i/>
          <w:sz w:val="22"/>
          <w:szCs w:val="22"/>
        </w:rPr>
        <w:t>. Son sujetos obligados a transparentar y permitir el acceso a su información y proteger los datos personales que obren en su poder:</w:t>
      </w:r>
    </w:p>
    <w:p w14:paraId="75BDA4E1"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u w:val="single"/>
        </w:rPr>
        <w:t>I. El Poder Ejecutivo del Estado de México, las dependencias, organismos auxiliares, órganos, entidades, fideicomisos y fondos públicos, así como la Fiscalía General de Justicia del Estado de México;</w:t>
      </w:r>
    </w:p>
    <w:p w14:paraId="076B39E3"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37986D8A"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DAF2A30"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Los servidores públicos deberán transparentar sus acciones así como garantizar y respetar el derecho de acceso a la información pública.”</w:t>
      </w:r>
      <w:r w:rsidRPr="004D04AE">
        <w:rPr>
          <w:rFonts w:ascii="Palatino Linotype" w:eastAsia="Palatino Linotype" w:hAnsi="Palatino Linotype" w:cs="Palatino Linotype"/>
          <w:b/>
          <w:i/>
          <w:sz w:val="22"/>
          <w:szCs w:val="22"/>
        </w:rPr>
        <w:t xml:space="preserve"> </w:t>
      </w:r>
    </w:p>
    <w:p w14:paraId="73F25238" w14:textId="77777777" w:rsidR="00EB2080" w:rsidRPr="004D04AE" w:rsidRDefault="00EB2080" w:rsidP="00CC6B6E">
      <w:pPr>
        <w:rPr>
          <w:rFonts w:ascii="Palatino Linotype" w:eastAsia="Palatino Linotype" w:hAnsi="Palatino Linotype" w:cs="Palatino Linotype"/>
          <w:sz w:val="22"/>
          <w:szCs w:val="22"/>
        </w:rPr>
      </w:pPr>
    </w:p>
    <w:p w14:paraId="32492601"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Sirve de sustento por analogía, para justificar la publicidad sobre los datos relativos a los montos por concepto de pago de las remuneraciones, los criterios </w:t>
      </w:r>
      <w:r w:rsidRPr="004D04AE">
        <w:rPr>
          <w:rFonts w:ascii="Palatino Linotype" w:eastAsia="Palatino Linotype" w:hAnsi="Palatino Linotype" w:cs="Palatino Linotype"/>
          <w:b/>
          <w:sz w:val="22"/>
          <w:szCs w:val="22"/>
        </w:rPr>
        <w:t>01/2003</w:t>
      </w:r>
      <w:r w:rsidRPr="004D04AE">
        <w:rPr>
          <w:rFonts w:ascii="Palatino Linotype" w:eastAsia="Palatino Linotype" w:hAnsi="Palatino Linotype" w:cs="Palatino Linotype"/>
          <w:sz w:val="22"/>
          <w:szCs w:val="22"/>
        </w:rPr>
        <w:t xml:space="preserve"> y </w:t>
      </w:r>
      <w:r w:rsidRPr="004D04AE">
        <w:rPr>
          <w:rFonts w:ascii="Palatino Linotype" w:eastAsia="Palatino Linotype" w:hAnsi="Palatino Linotype" w:cs="Palatino Linotype"/>
          <w:b/>
          <w:sz w:val="22"/>
          <w:szCs w:val="22"/>
        </w:rPr>
        <w:t>02/2003</w:t>
      </w:r>
      <w:r w:rsidRPr="004D04AE">
        <w:rPr>
          <w:rFonts w:ascii="Palatino Linotype" w:eastAsia="Palatino Linotype" w:hAnsi="Palatino Linotype" w:cs="Palatino Linotype"/>
          <w:sz w:val="22"/>
          <w:szCs w:val="22"/>
        </w:rPr>
        <w:t xml:space="preserve"> emitidos por el Comité de Acceso a la Información Pública y Protección de Datos Personales de la Suprema Corte de Justicia de la Nación que a continuación se citan: </w:t>
      </w:r>
    </w:p>
    <w:p w14:paraId="3B43D15A" w14:textId="77777777" w:rsidR="00EB2080" w:rsidRPr="004D04AE" w:rsidRDefault="00EB2080" w:rsidP="00CC6B6E">
      <w:pPr>
        <w:tabs>
          <w:tab w:val="left" w:pos="7513"/>
        </w:tabs>
        <w:spacing w:line="276" w:lineRule="auto"/>
        <w:ind w:left="851" w:right="616"/>
        <w:rPr>
          <w:rFonts w:ascii="Palatino Linotype" w:eastAsia="Palatino Linotype" w:hAnsi="Palatino Linotype" w:cs="Palatino Linotype"/>
          <w:i/>
          <w:sz w:val="22"/>
          <w:szCs w:val="22"/>
        </w:rPr>
      </w:pPr>
    </w:p>
    <w:p w14:paraId="33C32D22" w14:textId="77777777" w:rsidR="00EB2080" w:rsidRPr="004D04AE" w:rsidRDefault="005B4B1B" w:rsidP="00CC6B6E">
      <w:pPr>
        <w:tabs>
          <w:tab w:val="left" w:pos="7513"/>
        </w:tabs>
        <w:spacing w:line="276" w:lineRule="auto"/>
        <w:ind w:left="851" w:right="616"/>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Criterio 01/2003.</w:t>
      </w:r>
    </w:p>
    <w:p w14:paraId="61A7371C" w14:textId="77777777" w:rsidR="00EB2080" w:rsidRPr="004D04AE" w:rsidRDefault="005B4B1B" w:rsidP="00CC6B6E">
      <w:pPr>
        <w:tabs>
          <w:tab w:val="left" w:pos="7513"/>
        </w:tabs>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4D04AE">
        <w:rPr>
          <w:rFonts w:ascii="Palatino Linotype" w:eastAsia="Palatino Linotype" w:hAnsi="Palatino Linotype" w:cs="Palatino Linotype"/>
          <w:i/>
          <w:sz w:val="22"/>
          <w:szCs w:val="22"/>
        </w:rPr>
        <w:t> </w:t>
      </w:r>
    </w:p>
    <w:p w14:paraId="66FA0B21" w14:textId="77777777" w:rsidR="00EB2080" w:rsidRPr="004D04AE" w:rsidRDefault="005B4B1B" w:rsidP="00CC6B6E">
      <w:pPr>
        <w:tabs>
          <w:tab w:val="left" w:pos="7513"/>
        </w:tabs>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4D04AE">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4D04AE">
        <w:rPr>
          <w:rFonts w:ascii="Palatino Linotype" w:eastAsia="Palatino Linotype" w:hAnsi="Palatino Linotype" w:cs="Palatino Linotype"/>
          <w:i/>
          <w:sz w:val="22"/>
          <w:szCs w:val="22"/>
          <w:u w:val="single"/>
        </w:rPr>
        <w:t>…”</w:t>
      </w:r>
    </w:p>
    <w:p w14:paraId="2189E8A7" w14:textId="77777777" w:rsidR="00EB2080" w:rsidRPr="004D04AE" w:rsidRDefault="00EB2080" w:rsidP="00CC6B6E">
      <w:pPr>
        <w:tabs>
          <w:tab w:val="left" w:pos="7513"/>
        </w:tabs>
        <w:spacing w:line="276" w:lineRule="auto"/>
        <w:ind w:left="851" w:right="616"/>
        <w:rPr>
          <w:rFonts w:ascii="Palatino Linotype" w:eastAsia="Palatino Linotype" w:hAnsi="Palatino Linotype" w:cs="Palatino Linotype"/>
          <w:sz w:val="22"/>
          <w:szCs w:val="22"/>
        </w:rPr>
      </w:pPr>
    </w:p>
    <w:p w14:paraId="42AF0537" w14:textId="77777777" w:rsidR="00EB2080" w:rsidRPr="004D04AE" w:rsidRDefault="005B4B1B" w:rsidP="00CC6B6E">
      <w:pPr>
        <w:tabs>
          <w:tab w:val="left" w:pos="7513"/>
        </w:tabs>
        <w:spacing w:line="276" w:lineRule="auto"/>
        <w:ind w:left="851" w:right="616"/>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“Criterio 02/2003.</w:t>
      </w:r>
    </w:p>
    <w:p w14:paraId="4F67F1CF" w14:textId="77777777" w:rsidR="00EB2080" w:rsidRPr="004D04AE" w:rsidRDefault="005B4B1B" w:rsidP="00CC6B6E">
      <w:pPr>
        <w:tabs>
          <w:tab w:val="left" w:pos="7513"/>
        </w:tabs>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4D04AE">
        <w:rPr>
          <w:rFonts w:ascii="Palatino Linotype" w:eastAsia="Palatino Linotype" w:hAnsi="Palatino Linotype" w:cs="Palatino Linotype"/>
          <w:i/>
          <w:sz w:val="22"/>
          <w:szCs w:val="22"/>
        </w:rPr>
        <w:t> </w:t>
      </w:r>
    </w:p>
    <w:p w14:paraId="61B48271" w14:textId="77777777" w:rsidR="00EB2080" w:rsidRPr="004D04AE" w:rsidRDefault="005B4B1B" w:rsidP="00CC6B6E">
      <w:pPr>
        <w:tabs>
          <w:tab w:val="left" w:pos="7513"/>
        </w:tabs>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4D04AE">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4D04AE">
        <w:rPr>
          <w:rFonts w:ascii="Palatino Linotype" w:eastAsia="Palatino Linotype" w:hAnsi="Palatino Linotype" w:cs="Palatino Linotype"/>
          <w:i/>
          <w:sz w:val="22"/>
          <w:szCs w:val="22"/>
        </w:rPr>
        <w:t xml:space="preserve"> el sistema de compensación…”</w:t>
      </w:r>
    </w:p>
    <w:p w14:paraId="64FD06A2" w14:textId="77777777" w:rsidR="00EB2080" w:rsidRPr="004D04AE" w:rsidRDefault="00EB2080" w:rsidP="00CC6B6E">
      <w:pPr>
        <w:rPr>
          <w:rFonts w:ascii="Palatino Linotype" w:eastAsia="Palatino Linotype" w:hAnsi="Palatino Linotype" w:cs="Palatino Linotype"/>
          <w:sz w:val="22"/>
          <w:szCs w:val="22"/>
        </w:rPr>
      </w:pPr>
    </w:p>
    <w:p w14:paraId="59F47008"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Ahora bien, el artículo 92, fracción VIII de la Ley de Transparencia y Acceso a la Información Pública del Estado de México y Municipios, señala: </w:t>
      </w:r>
    </w:p>
    <w:p w14:paraId="117AD46D" w14:textId="77777777" w:rsidR="00EB2080" w:rsidRPr="004D04AE" w:rsidRDefault="00EB2080" w:rsidP="00CC6B6E">
      <w:pPr>
        <w:rPr>
          <w:rFonts w:ascii="Palatino Linotype" w:eastAsia="Palatino Linotype" w:hAnsi="Palatino Linotype" w:cs="Palatino Linotype"/>
          <w:sz w:val="22"/>
          <w:szCs w:val="22"/>
        </w:rPr>
      </w:pPr>
    </w:p>
    <w:p w14:paraId="30341431"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92.</w:t>
      </w:r>
      <w:r w:rsidRPr="004D04AE">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8F77749"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i/>
          <w:sz w:val="22"/>
          <w:szCs w:val="22"/>
        </w:rPr>
        <w:t>(…)</w:t>
      </w:r>
    </w:p>
    <w:p w14:paraId="28A82368" w14:textId="77777777" w:rsidR="00EB2080" w:rsidRPr="004D04AE" w:rsidRDefault="005B4B1B" w:rsidP="00CC6B6E">
      <w:pPr>
        <w:spacing w:line="276" w:lineRule="auto"/>
        <w:ind w:left="851" w:right="616"/>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i/>
          <w:sz w:val="22"/>
          <w:szCs w:val="22"/>
        </w:rPr>
        <w:t>VIII.</w:t>
      </w:r>
      <w:r w:rsidRPr="004D04AE">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5563183C"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55A58C43" w14:textId="634171E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De lo anterior, se colige que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cuenta con las competencias, facultades y atribuciones para conocer, administrar y generar la información relacionada con los </w:t>
      </w:r>
      <w:r w:rsidRPr="004D04AE">
        <w:rPr>
          <w:rFonts w:ascii="Palatino Linotype" w:eastAsia="Palatino Linotype" w:hAnsi="Palatino Linotype" w:cs="Palatino Linotype"/>
          <w:b/>
          <w:sz w:val="22"/>
          <w:szCs w:val="22"/>
        </w:rPr>
        <w:t>recibos de nómina del personal adscrito al Ayuntamiento de Acambay de Ruíz Castañeda de la primera</w:t>
      </w:r>
      <w:r w:rsidR="00816B2D" w:rsidRPr="004D04AE">
        <w:rPr>
          <w:rFonts w:ascii="Palatino Linotype" w:eastAsia="Palatino Linotype" w:hAnsi="Palatino Linotype" w:cs="Palatino Linotype"/>
          <w:b/>
          <w:sz w:val="22"/>
          <w:szCs w:val="22"/>
        </w:rPr>
        <w:t xml:space="preserve"> y segunda</w:t>
      </w:r>
      <w:r w:rsidRPr="004D04AE">
        <w:rPr>
          <w:rFonts w:ascii="Palatino Linotype" w:eastAsia="Palatino Linotype" w:hAnsi="Palatino Linotype" w:cs="Palatino Linotype"/>
          <w:b/>
          <w:sz w:val="22"/>
          <w:szCs w:val="22"/>
        </w:rPr>
        <w:t xml:space="preserve"> quincena de </w:t>
      </w:r>
      <w:r w:rsidR="00816B2D" w:rsidRPr="004D04AE">
        <w:rPr>
          <w:rFonts w:ascii="Palatino Linotype" w:eastAsia="Palatino Linotype" w:hAnsi="Palatino Linotype" w:cs="Palatino Linotype"/>
          <w:b/>
          <w:sz w:val="22"/>
          <w:szCs w:val="22"/>
        </w:rPr>
        <w:t xml:space="preserve">noviembre </w:t>
      </w:r>
      <w:r w:rsidRPr="004D04AE">
        <w:rPr>
          <w:rFonts w:ascii="Palatino Linotype" w:eastAsia="Palatino Linotype" w:hAnsi="Palatino Linotype" w:cs="Palatino Linotype"/>
          <w:b/>
          <w:sz w:val="22"/>
          <w:szCs w:val="22"/>
        </w:rPr>
        <w:t xml:space="preserve">de dos mil veinticinco, </w:t>
      </w:r>
      <w:r w:rsidRPr="004D04AE">
        <w:rPr>
          <w:rFonts w:ascii="Palatino Linotype" w:eastAsia="Palatino Linotype" w:hAnsi="Palatino Linotype" w:cs="Palatino Linotype"/>
          <w:sz w:val="22"/>
          <w:szCs w:val="22"/>
        </w:rPr>
        <w:t xml:space="preserve">solicitados por </w:t>
      </w:r>
      <w:r w:rsidR="00816B2D" w:rsidRPr="004D04AE">
        <w:rPr>
          <w:rFonts w:ascii="Palatino Linotype" w:eastAsia="Palatino Linotype" w:hAnsi="Palatino Linotype" w:cs="Palatino Linotype"/>
          <w:sz w:val="22"/>
          <w:szCs w:val="22"/>
        </w:rPr>
        <w:t xml:space="preserve">la parte </w:t>
      </w:r>
      <w:r w:rsidRPr="004D04AE">
        <w:rPr>
          <w:rFonts w:ascii="Palatino Linotype" w:eastAsia="Palatino Linotype" w:hAnsi="Palatino Linotype" w:cs="Palatino Linotype"/>
          <w:b/>
          <w:sz w:val="22"/>
          <w:szCs w:val="22"/>
        </w:rPr>
        <w:t>Recurrente</w:t>
      </w:r>
      <w:r w:rsidRPr="004D04AE">
        <w:rPr>
          <w:rFonts w:ascii="Palatino Linotype" w:eastAsia="Palatino Linotype" w:hAnsi="Palatino Linotype" w:cs="Palatino Linotype"/>
          <w:sz w:val="22"/>
          <w:szCs w:val="22"/>
        </w:rPr>
        <w:t>.</w:t>
      </w:r>
    </w:p>
    <w:p w14:paraId="4B02D7B5" w14:textId="77777777" w:rsidR="00EB2080" w:rsidRPr="004D04AE" w:rsidRDefault="00EB2080" w:rsidP="00CC6B6E">
      <w:pPr>
        <w:spacing w:line="360" w:lineRule="auto"/>
        <w:ind w:right="49"/>
        <w:jc w:val="both"/>
        <w:rPr>
          <w:rFonts w:ascii="Palatino Linotype" w:eastAsia="Palatino Linotype" w:hAnsi="Palatino Linotype" w:cs="Palatino Linotype"/>
          <w:b/>
          <w:sz w:val="22"/>
          <w:szCs w:val="22"/>
        </w:rPr>
      </w:pPr>
    </w:p>
    <w:p w14:paraId="471A0DC6" w14:textId="6AC76762"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Establecido lo anterior, se considera necesario precisar que en atención a que la parte </w:t>
      </w:r>
      <w:r w:rsidRPr="004D04AE">
        <w:rPr>
          <w:rFonts w:ascii="Palatino Linotype" w:eastAsia="Palatino Linotype" w:hAnsi="Palatino Linotype" w:cs="Palatino Linotype"/>
          <w:b/>
          <w:sz w:val="22"/>
          <w:szCs w:val="22"/>
        </w:rPr>
        <w:t xml:space="preserve">Recurrente </w:t>
      </w:r>
      <w:r w:rsidRPr="004D04AE">
        <w:rPr>
          <w:rFonts w:ascii="Palatino Linotype" w:eastAsia="Palatino Linotype" w:hAnsi="Palatino Linotype" w:cs="Palatino Linotype"/>
          <w:sz w:val="22"/>
          <w:szCs w:val="22"/>
        </w:rPr>
        <w:t>solicitó conocer los recibos de nómina de todo el personal; el artículo 3</w:t>
      </w:r>
      <w:r w:rsidR="00816B2D" w:rsidRPr="004D04AE">
        <w:rPr>
          <w:rFonts w:ascii="Palatino Linotype" w:eastAsia="Palatino Linotype" w:hAnsi="Palatino Linotype" w:cs="Palatino Linotype"/>
          <w:sz w:val="22"/>
          <w:szCs w:val="22"/>
        </w:rPr>
        <w:t>3</w:t>
      </w:r>
      <w:r w:rsidRPr="004D04AE">
        <w:rPr>
          <w:rFonts w:ascii="Palatino Linotype" w:eastAsia="Palatino Linotype" w:hAnsi="Palatino Linotype" w:cs="Palatino Linotype"/>
          <w:sz w:val="22"/>
          <w:szCs w:val="22"/>
        </w:rPr>
        <w:t xml:space="preserve"> del Bando Municipal vigente </w:t>
      </w:r>
      <w:r w:rsidR="00816B2D" w:rsidRPr="004D04AE">
        <w:rPr>
          <w:rFonts w:ascii="Palatino Linotype" w:eastAsia="Palatino Linotype" w:hAnsi="Palatino Linotype" w:cs="Palatino Linotype"/>
          <w:sz w:val="22"/>
          <w:szCs w:val="22"/>
        </w:rPr>
        <w:t xml:space="preserve">a la fecha de la solicitud </w:t>
      </w:r>
      <w:r w:rsidRPr="004D04AE">
        <w:rPr>
          <w:rFonts w:ascii="Palatino Linotype" w:eastAsia="Palatino Linotype" w:hAnsi="Palatino Linotype" w:cs="Palatino Linotype"/>
          <w:sz w:val="22"/>
          <w:szCs w:val="22"/>
        </w:rPr>
        <w:t xml:space="preserve">y artículo 20 del Reglamento Interno de la Administración Pública Municipal de Acambay de Ruíz Castañeda, el Ayuntamiento está integrado por un Presidente Municipal, un Síndico y siete Regidores, cuatro según el principio de mayoría relativa y tres de representación proporcional; asimismo, para el despacho, estudio y planeación de los diversos asuntos de la administración pública el Ayuntamiento cuenta con las siguientes dependencias:  </w:t>
      </w:r>
    </w:p>
    <w:p w14:paraId="4D8F48A9"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0CE34C2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 xml:space="preserve">Artículo 20. </w:t>
      </w:r>
      <w:r w:rsidRPr="004D04AE">
        <w:rPr>
          <w:rFonts w:ascii="Palatino Linotype" w:eastAsia="Palatino Linotype" w:hAnsi="Palatino Linotype" w:cs="Palatino Linotype"/>
          <w:i/>
          <w:sz w:val="22"/>
          <w:szCs w:val="22"/>
        </w:rPr>
        <w:t xml:space="preserve">Para el debido cumplimiento de sus atribuciones signadas en la normatividad aplicable, la administración pública, se auxiliará de:  </w:t>
      </w:r>
    </w:p>
    <w:p w14:paraId="06EDE01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 Secretaría del Ayuntamiento;  </w:t>
      </w:r>
    </w:p>
    <w:p w14:paraId="6EBBB836"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II. Tesorería Municipal; </w:t>
      </w:r>
    </w:p>
    <w:p w14:paraId="3296DD3D"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III. Dirección de Administración;  </w:t>
      </w:r>
    </w:p>
    <w:p w14:paraId="60B23D1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IV. Dirección de Servicios Públicos; </w:t>
      </w:r>
    </w:p>
    <w:p w14:paraId="30DF2DBE"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V. Dirección de Seguridad Pública;  </w:t>
      </w:r>
    </w:p>
    <w:p w14:paraId="7CEAB24E"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VI. Dirección de Desarrollo Urbano y Gestión del Suelo; </w:t>
      </w:r>
    </w:p>
    <w:p w14:paraId="52C743D6"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VII. Dirección de Bienestar Social; </w:t>
      </w:r>
    </w:p>
    <w:p w14:paraId="418238FE"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VIII. Dirección de Educación y Cultura; </w:t>
      </w:r>
    </w:p>
    <w:p w14:paraId="3BD1305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IX. Dirección de Desarrollo Económico; </w:t>
      </w:r>
    </w:p>
    <w:p w14:paraId="6338E2D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 Dirección de Desarrollo del Campo; </w:t>
      </w:r>
    </w:p>
    <w:p w14:paraId="1863D68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XI. Dirección de Ecología; </w:t>
      </w:r>
    </w:p>
    <w:p w14:paraId="492AEE1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XII. Dirección de la Mujer; </w:t>
      </w:r>
    </w:p>
    <w:p w14:paraId="0EFD90ED"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XIII. Dirección de Turismo; </w:t>
      </w:r>
    </w:p>
    <w:p w14:paraId="30AD850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XIV. Dirección de Asuntos Indígenas; </w:t>
      </w:r>
    </w:p>
    <w:p w14:paraId="0BD5287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XV. Dirección de Gobernación; </w:t>
      </w:r>
    </w:p>
    <w:p w14:paraId="0B7E7603"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XVI. Dirección de Salud; </w:t>
      </w:r>
    </w:p>
    <w:p w14:paraId="0D82129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XVII. Contraloría Interna Municipal; </w:t>
      </w:r>
    </w:p>
    <w:p w14:paraId="520F882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XVIII. Dirección de Protección Civil; y.</w:t>
      </w:r>
    </w:p>
    <w:p w14:paraId="38E7894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XIX. Dirección de Obras Públicas; </w:t>
      </w:r>
    </w:p>
    <w:p w14:paraId="258A305A"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416DB214"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Además de los Organismos Descentralizados: </w:t>
      </w:r>
    </w:p>
    <w:p w14:paraId="28558AC0"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 Sistema Municipal DIF; e </w:t>
      </w:r>
    </w:p>
    <w:p w14:paraId="74B8A74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II. Instituto Municipal de Cultura Física y Deporte de Acambay (IMCUFIDEA) </w:t>
      </w:r>
    </w:p>
    <w:p w14:paraId="6AF69CEB"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11EED7E3"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De las oficialías en coordinación con el Gobierno del Estado: </w:t>
      </w:r>
    </w:p>
    <w:p w14:paraId="12DCE454"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 Oficialía del Registro Civil 01; </w:t>
      </w:r>
    </w:p>
    <w:p w14:paraId="3F301B38"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II. Oficialía del Registro Civil 02; </w:t>
      </w:r>
    </w:p>
    <w:p w14:paraId="33910FBB"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III. Oficialía del Registro Civil 03; </w:t>
      </w:r>
    </w:p>
    <w:p w14:paraId="5F15515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IV. Oficialía del Registro Civil 04; </w:t>
      </w:r>
    </w:p>
    <w:p w14:paraId="4FDEAA0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V. Oficialía del Registro Civil 05; y </w:t>
      </w:r>
    </w:p>
    <w:p w14:paraId="2C2EDC6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Del Organismo Autónomo denominado: </w:t>
      </w:r>
    </w:p>
    <w:p w14:paraId="1CCA959E"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I. Defensoría Municipal de Derechos Humanos.”</w:t>
      </w:r>
    </w:p>
    <w:p w14:paraId="22DA9056"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(Énfasis Añadido)</w:t>
      </w:r>
    </w:p>
    <w:p w14:paraId="35E00716"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43AA00B8" w14:textId="5C14675B"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bCs/>
          <w:iCs/>
          <w:sz w:val="22"/>
          <w:szCs w:val="22"/>
          <w:lang w:val="es-ES"/>
        </w:rPr>
        <w:t xml:space="preserve">Expuesto lo anterior, conviene recordar que en respuesta </w:t>
      </w:r>
      <w:r w:rsidRPr="004D04AE">
        <w:rPr>
          <w:rFonts w:ascii="Palatino Linotype" w:eastAsia="Palatino Linotype" w:hAnsi="Palatino Linotype" w:cs="Palatino Linotype"/>
          <w:sz w:val="22"/>
          <w:szCs w:val="22"/>
          <w:lang w:val="es-ES"/>
        </w:rPr>
        <w:t xml:space="preserve">la unidad de transparencia turnó la solicitud de información a la Tesorería Municipal, siguiendo con ello el procedimiento para la atención a las solicitudes de acceso a la información, establecido en los artículos 151, 160, 162, 163, 164, 165 y 166, de la Ley de Transparencia y Acceso a la Información Pública del Estado de México y Municipios: </w:t>
      </w:r>
    </w:p>
    <w:p w14:paraId="49B9D5E3"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6BEA7A18"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1D5AD019"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 La respuesta a los requerimientos informativos, deberá notificarse al interesado en el menor tiempo posible, que no podrá exceder de quince días hábiles, contados a partir del día siguiente a la presentación de esta. </w:t>
      </w:r>
    </w:p>
    <w:p w14:paraId="719DF519"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3FEE1FC8"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Excepcionalmente, el plazo referido podrá ampliarse por siete días hábiles más, cuando existan razones fundadas y motivadas, a través del Comité de Transparencia; </w:t>
      </w:r>
    </w:p>
    <w:p w14:paraId="0925D103"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2D46072F"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6DEFB7CC"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728E7382"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4688A0C5"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5DF22F78" w14:textId="77777777" w:rsidR="00816B2D" w:rsidRPr="004D04AE" w:rsidRDefault="00816B2D" w:rsidP="00CC6B6E">
      <w:pPr>
        <w:spacing w:line="360" w:lineRule="auto"/>
        <w:jc w:val="both"/>
        <w:rPr>
          <w:rFonts w:ascii="Palatino Linotype" w:eastAsia="Palatino Linotype" w:hAnsi="Palatino Linotype" w:cs="Palatino Linotype"/>
          <w:sz w:val="22"/>
          <w:szCs w:val="22"/>
          <w:lang w:val="es-ES"/>
        </w:rPr>
      </w:pPr>
      <w:r w:rsidRPr="004D04AE">
        <w:rPr>
          <w:rFonts w:ascii="Palatino Linotype" w:eastAsia="Palatino Linotype" w:hAnsi="Palatino Linotype" w:cs="Palatino Linotype"/>
          <w:sz w:val="22"/>
          <w:szCs w:val="22"/>
          <w:lang w:val="es-ES"/>
        </w:rPr>
        <w:t>•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658D0D18" w14:textId="77777777" w:rsidR="008A6217" w:rsidRPr="004D04AE" w:rsidRDefault="008A6217" w:rsidP="00CC6B6E">
      <w:pPr>
        <w:spacing w:line="360" w:lineRule="auto"/>
        <w:jc w:val="both"/>
        <w:rPr>
          <w:rFonts w:ascii="Palatino Linotype" w:eastAsia="Palatino Linotype" w:hAnsi="Palatino Linotype" w:cs="Palatino Linotype"/>
          <w:sz w:val="22"/>
          <w:szCs w:val="22"/>
          <w:lang w:val="es-ES"/>
        </w:rPr>
      </w:pPr>
    </w:p>
    <w:p w14:paraId="336B03A2" w14:textId="102B518D" w:rsidR="008A6217" w:rsidRPr="004D04AE" w:rsidRDefault="00816B2D"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lang w:val="es-ES"/>
        </w:rPr>
        <w:t xml:space="preserve">En este orden de ideas, se reitera que la Unidad de Transparencia turnó la solicitud de información a la </w:t>
      </w:r>
      <w:r w:rsidR="008A6217" w:rsidRPr="004D04AE">
        <w:rPr>
          <w:rFonts w:ascii="Palatino Linotype" w:eastAsia="Palatino Linotype" w:hAnsi="Palatino Linotype" w:cs="Palatino Linotype"/>
          <w:sz w:val="22"/>
          <w:szCs w:val="22"/>
          <w:lang w:val="es-ES"/>
        </w:rPr>
        <w:t>Tesorería Municipal</w:t>
      </w:r>
      <w:r w:rsidRPr="004D04AE">
        <w:rPr>
          <w:rFonts w:ascii="Palatino Linotype" w:eastAsia="Palatino Linotype" w:hAnsi="Palatino Linotype" w:cs="Palatino Linotype"/>
          <w:sz w:val="22"/>
          <w:szCs w:val="22"/>
          <w:lang w:val="es-ES"/>
        </w:rPr>
        <w:t xml:space="preserve">, al ser la unidad administrativa competente, ello de conformidad con lo previsto </w:t>
      </w:r>
      <w:r w:rsidR="008A6217" w:rsidRPr="004D04AE">
        <w:rPr>
          <w:rFonts w:ascii="Palatino Linotype" w:eastAsia="Palatino Linotype" w:hAnsi="Palatino Linotype" w:cs="Palatino Linotype"/>
          <w:sz w:val="22"/>
          <w:szCs w:val="22"/>
          <w:lang w:val="es-ES"/>
        </w:rPr>
        <w:t xml:space="preserve">en </w:t>
      </w:r>
      <w:r w:rsidR="008A6217" w:rsidRPr="004D04AE">
        <w:rPr>
          <w:rFonts w:ascii="Palatino Linotype" w:eastAsia="Palatino Linotype" w:hAnsi="Palatino Linotype" w:cs="Palatino Linotype"/>
          <w:sz w:val="22"/>
          <w:szCs w:val="22"/>
        </w:rPr>
        <w:t xml:space="preserve">el artículo 90 del Bando Municipal de Acambay de Ruiz Castañeda, </w:t>
      </w:r>
      <w:r w:rsidR="008A6217" w:rsidRPr="004D04AE">
        <w:rPr>
          <w:rFonts w:ascii="Palatino Linotype" w:eastAsia="Palatino Linotype" w:hAnsi="Palatino Linotype" w:cs="Palatino Linotype"/>
          <w:bCs/>
          <w:iCs/>
          <w:sz w:val="22"/>
          <w:szCs w:val="22"/>
          <w:lang w:val="es-ES"/>
        </w:rPr>
        <w:t xml:space="preserve">el cual señala que tiene atribuciones para elaborar la nómina del personal, como se observa a continuación: </w:t>
      </w:r>
    </w:p>
    <w:p w14:paraId="18F85ED9"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p>
    <w:p w14:paraId="2B773106" w14:textId="68E44A04"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90. Son atribuciones de la persona titular de la Tesorería Municipal:</w:t>
      </w:r>
    </w:p>
    <w:p w14:paraId="16A07E7C"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I. Administrar la hacienda pública, de conformidad con las disposiciones legales aplicables;</w:t>
      </w:r>
    </w:p>
    <w:p w14:paraId="26212394"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605EB802"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IV. Llevar los registros contables, financieros y administrativos de los ingresos, egresos e inventarios;</w:t>
      </w:r>
    </w:p>
    <w:p w14:paraId="2CC61D5D"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47613D32" w14:textId="77777777" w:rsidR="008A6217" w:rsidRPr="004D04AE" w:rsidRDefault="008A6217" w:rsidP="00CC6B6E">
      <w:pPr>
        <w:spacing w:line="276" w:lineRule="auto"/>
        <w:ind w:left="851" w:right="616"/>
        <w:jc w:val="both"/>
        <w:rPr>
          <w:rFonts w:ascii="Palatino Linotype" w:eastAsia="Palatino Linotype" w:hAnsi="Palatino Linotype" w:cs="Palatino Linotype"/>
          <w:b/>
          <w:i/>
          <w:sz w:val="22"/>
          <w:szCs w:val="22"/>
          <w:u w:val="single"/>
        </w:rPr>
      </w:pPr>
      <w:r w:rsidRPr="004D04AE">
        <w:rPr>
          <w:rFonts w:ascii="Palatino Linotype" w:eastAsia="Palatino Linotype" w:hAnsi="Palatino Linotype" w:cs="Palatino Linotype"/>
          <w:b/>
          <w:i/>
          <w:sz w:val="22"/>
          <w:szCs w:val="22"/>
          <w:u w:val="single"/>
        </w:rPr>
        <w:t xml:space="preserve">XXIII. Elaborar la nómina del personal; y  </w:t>
      </w:r>
    </w:p>
    <w:p w14:paraId="78757AC8"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XXIV. Las demás que señalen otras disposiciones aplicables.”</w:t>
      </w:r>
    </w:p>
    <w:p w14:paraId="4DF43FC5" w14:textId="77777777" w:rsidR="008A6217" w:rsidRPr="004D04AE" w:rsidRDefault="008A6217"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(Énfasis Añadido)</w:t>
      </w:r>
    </w:p>
    <w:p w14:paraId="2E3F3ECF" w14:textId="77777777" w:rsidR="008A6217" w:rsidRPr="004D04AE" w:rsidRDefault="008A6217" w:rsidP="00CC6B6E">
      <w:pPr>
        <w:spacing w:line="360" w:lineRule="auto"/>
        <w:ind w:right="49"/>
        <w:jc w:val="both"/>
        <w:rPr>
          <w:rFonts w:ascii="Palatino Linotype" w:eastAsia="Palatino Linotype" w:hAnsi="Palatino Linotype" w:cs="Palatino Linotype"/>
          <w:sz w:val="22"/>
          <w:szCs w:val="22"/>
        </w:rPr>
      </w:pPr>
    </w:p>
    <w:p w14:paraId="762FCBFD" w14:textId="67CFF74E"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r w:rsidRPr="004D04AE">
        <w:rPr>
          <w:rFonts w:ascii="Palatino Linotype" w:eastAsia="Palatino Linotype" w:hAnsi="Palatino Linotype" w:cs="Palatino Linotype"/>
          <w:bCs/>
          <w:iCs/>
          <w:sz w:val="22"/>
          <w:szCs w:val="22"/>
          <w:lang w:val="es-ES"/>
        </w:rPr>
        <w:t xml:space="preserve">Por lo anterior, se advierte que en efecto, la </w:t>
      </w:r>
      <w:r w:rsidR="008A6217" w:rsidRPr="004D04AE">
        <w:rPr>
          <w:rFonts w:ascii="Palatino Linotype" w:eastAsia="Palatino Linotype" w:hAnsi="Palatino Linotype" w:cs="Palatino Linotype"/>
          <w:bCs/>
          <w:iCs/>
          <w:sz w:val="22"/>
          <w:szCs w:val="22"/>
          <w:lang w:val="es-ES"/>
        </w:rPr>
        <w:t>Tesorería Municipal</w:t>
      </w:r>
      <w:r w:rsidRPr="004D04AE">
        <w:rPr>
          <w:rFonts w:ascii="Palatino Linotype" w:eastAsia="Palatino Linotype" w:hAnsi="Palatino Linotype" w:cs="Palatino Linotype"/>
          <w:bCs/>
          <w:iCs/>
          <w:sz w:val="22"/>
          <w:szCs w:val="22"/>
          <w:lang w:val="es-ES"/>
        </w:rPr>
        <w:t xml:space="preserve">, es la unidad administrativa que cuenta con atribuciones para generar, poseer y administrar la información, no obstante, como se refirió en párrafos que anteceden, se advierte que la Titular de la Unidad de Transparencia cumplió con el procedimiento marcado en el artículo 162 de la Ley de la materia, toda vez que en ejercicio de sus funciones turno la solicitud al servidor Público Habilitado de la </w:t>
      </w:r>
      <w:r w:rsidR="008A6217" w:rsidRPr="004D04AE">
        <w:rPr>
          <w:rFonts w:ascii="Palatino Linotype" w:eastAsia="Palatino Linotype" w:hAnsi="Palatino Linotype" w:cs="Palatino Linotype"/>
          <w:bCs/>
          <w:iCs/>
          <w:sz w:val="22"/>
          <w:szCs w:val="22"/>
          <w:lang w:val="es-ES"/>
        </w:rPr>
        <w:t>Tesorería Municipal</w:t>
      </w:r>
      <w:r w:rsidRPr="004D04AE">
        <w:rPr>
          <w:rFonts w:ascii="Palatino Linotype" w:eastAsia="Palatino Linotype" w:hAnsi="Palatino Linotype" w:cs="Palatino Linotype"/>
          <w:bCs/>
          <w:iCs/>
          <w:sz w:val="22"/>
          <w:szCs w:val="22"/>
          <w:lang w:val="es-ES"/>
        </w:rPr>
        <w:t xml:space="preserve">; sin embargo, el Servidor Público Habilitado omitió atender dicho requerimiento, incumpliendo con sus funciones señaladas en el artículo 59 de la Ley de Transparencia y Acceso a la Información Pública del Estado de México y Municipios, el cual se inserta a continuación: </w:t>
      </w:r>
    </w:p>
    <w:p w14:paraId="22B1AC43" w14:textId="77777777"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p>
    <w:p w14:paraId="152A49DA"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w:t>
      </w:r>
      <w:r w:rsidRPr="004D04AE">
        <w:rPr>
          <w:rFonts w:ascii="Palatino Linotype" w:eastAsia="Palatino Linotype" w:hAnsi="Palatino Linotype" w:cs="Palatino Linotype"/>
          <w:b/>
          <w:bCs/>
          <w:i/>
          <w:iCs/>
          <w:sz w:val="22"/>
          <w:szCs w:val="22"/>
          <w:lang w:val="es-ES"/>
        </w:rPr>
        <w:t>Artículo 59.</w:t>
      </w:r>
      <w:r w:rsidRPr="004D04AE">
        <w:rPr>
          <w:rFonts w:ascii="Palatino Linotype" w:eastAsia="Palatino Linotype" w:hAnsi="Palatino Linotype" w:cs="Palatino Linotype"/>
          <w:bCs/>
          <w:i/>
          <w:iCs/>
          <w:sz w:val="22"/>
          <w:szCs w:val="22"/>
          <w:lang w:val="es-ES"/>
        </w:rPr>
        <w:t xml:space="preserve"> Los servidores públicos habilitados tendrán las funciones siguientes:</w:t>
      </w:r>
    </w:p>
    <w:p w14:paraId="125FFCED"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 xml:space="preserve">I. </w:t>
      </w:r>
      <w:r w:rsidRPr="004D04AE">
        <w:rPr>
          <w:rFonts w:ascii="Palatino Linotype" w:eastAsia="Palatino Linotype" w:hAnsi="Palatino Linotype" w:cs="Palatino Linotype"/>
          <w:b/>
          <w:bCs/>
          <w:i/>
          <w:iCs/>
          <w:sz w:val="22"/>
          <w:szCs w:val="22"/>
          <w:u w:val="single"/>
          <w:lang w:val="es-ES"/>
        </w:rPr>
        <w:t>Localizar la información</w:t>
      </w:r>
      <w:r w:rsidRPr="004D04AE">
        <w:rPr>
          <w:rFonts w:ascii="Palatino Linotype" w:eastAsia="Palatino Linotype" w:hAnsi="Palatino Linotype" w:cs="Palatino Linotype"/>
          <w:b/>
          <w:bCs/>
          <w:i/>
          <w:iCs/>
          <w:sz w:val="22"/>
          <w:szCs w:val="22"/>
          <w:lang w:val="es-ES"/>
        </w:rPr>
        <w:t xml:space="preserve"> que le solicite la Unidad de Transparencia;</w:t>
      </w:r>
    </w:p>
    <w:p w14:paraId="0776C394" w14:textId="77777777" w:rsidR="00816B2D" w:rsidRPr="004D04AE" w:rsidRDefault="00816B2D" w:rsidP="00CC6B6E">
      <w:pPr>
        <w:spacing w:line="276" w:lineRule="auto"/>
        <w:ind w:left="851" w:right="616"/>
        <w:jc w:val="both"/>
        <w:rPr>
          <w:rFonts w:ascii="Palatino Linotype" w:eastAsia="Palatino Linotype" w:hAnsi="Palatino Linotype" w:cs="Palatino Linotype"/>
          <w:b/>
          <w:bCs/>
          <w:i/>
          <w:iCs/>
          <w:sz w:val="22"/>
          <w:szCs w:val="22"/>
          <w:u w:val="single"/>
          <w:lang w:val="es-ES"/>
        </w:rPr>
      </w:pPr>
      <w:r w:rsidRPr="004D04AE">
        <w:rPr>
          <w:rFonts w:ascii="Palatino Linotype" w:eastAsia="Palatino Linotype" w:hAnsi="Palatino Linotype" w:cs="Palatino Linotype"/>
          <w:bCs/>
          <w:i/>
          <w:iCs/>
          <w:sz w:val="22"/>
          <w:szCs w:val="22"/>
          <w:lang w:val="es-ES"/>
        </w:rPr>
        <w:t xml:space="preserve">II. </w:t>
      </w:r>
      <w:r w:rsidRPr="004D04AE">
        <w:rPr>
          <w:rFonts w:ascii="Palatino Linotype" w:eastAsia="Palatino Linotype" w:hAnsi="Palatino Linotype" w:cs="Palatino Linotype"/>
          <w:b/>
          <w:bCs/>
          <w:i/>
          <w:iCs/>
          <w:sz w:val="22"/>
          <w:szCs w:val="22"/>
          <w:u w:val="single"/>
          <w:lang w:val="es-ES"/>
        </w:rPr>
        <w:t>Proporcionar la información que obre en los archivos y que le sea solicitada por la Unidad de Transparencia;</w:t>
      </w:r>
    </w:p>
    <w:p w14:paraId="7239B012"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III. Apoyar a la Unidad de Transparencia en lo que esta le solicite para el cumplimiento de sus funciones;</w:t>
      </w:r>
    </w:p>
    <w:p w14:paraId="2A24A24B"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IV. Proporcionar a la Unidad de Transparencia, las modificaciones a la información pública de oficio que obre en su poder;</w:t>
      </w:r>
    </w:p>
    <w:p w14:paraId="5A72E58B"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V. Integrar y presentar al responsable de la Unidad de Transparencia la propuesta de clasificación de información, la cual tendrá los fundamentos y argumentos en que se basa dicha propuesta;</w:t>
      </w:r>
    </w:p>
    <w:p w14:paraId="04DCFE96" w14:textId="77777777" w:rsidR="00816B2D" w:rsidRPr="004D04AE" w:rsidRDefault="00816B2D" w:rsidP="00CC6B6E">
      <w:pPr>
        <w:spacing w:line="276" w:lineRule="auto"/>
        <w:ind w:left="851" w:right="616"/>
        <w:jc w:val="both"/>
        <w:rPr>
          <w:rFonts w:ascii="Palatino Linotype" w:eastAsia="Palatino Linotype" w:hAnsi="Palatino Linotype" w:cs="Palatino Linotype"/>
          <w:bCs/>
          <w:i/>
          <w:iCs/>
          <w:sz w:val="22"/>
          <w:szCs w:val="22"/>
          <w:lang w:val="es-ES"/>
        </w:rPr>
      </w:pPr>
      <w:r w:rsidRPr="004D04AE">
        <w:rPr>
          <w:rFonts w:ascii="Palatino Linotype" w:eastAsia="Palatino Linotype" w:hAnsi="Palatino Linotype" w:cs="Palatino Linotype"/>
          <w:bCs/>
          <w:i/>
          <w:iCs/>
          <w:sz w:val="22"/>
          <w:szCs w:val="22"/>
          <w:lang w:val="es-ES"/>
        </w:rPr>
        <w:t>VI. Verificar, una vez analizado el contenido de la información, que no se encuentre en los supuestos de información clasificada; y</w:t>
      </w:r>
    </w:p>
    <w:p w14:paraId="2D1F61FD" w14:textId="77777777" w:rsidR="00816B2D" w:rsidRPr="004D04AE" w:rsidRDefault="00816B2D" w:rsidP="00CC6B6E">
      <w:pPr>
        <w:spacing w:line="276" w:lineRule="auto"/>
        <w:ind w:left="851" w:right="616"/>
        <w:jc w:val="both"/>
        <w:rPr>
          <w:rFonts w:ascii="Palatino Linotype" w:eastAsia="Palatino Linotype" w:hAnsi="Palatino Linotype" w:cs="Palatino Linotype"/>
          <w:bCs/>
          <w:iCs/>
          <w:sz w:val="22"/>
          <w:szCs w:val="22"/>
          <w:lang w:val="es-ES"/>
        </w:rPr>
      </w:pPr>
      <w:r w:rsidRPr="004D04AE">
        <w:rPr>
          <w:rFonts w:ascii="Palatino Linotype" w:eastAsia="Palatino Linotype" w:hAnsi="Palatino Linotype" w:cs="Palatino Linotype"/>
          <w:bCs/>
          <w:i/>
          <w:iCs/>
          <w:sz w:val="22"/>
          <w:szCs w:val="22"/>
          <w:lang w:val="es-ES"/>
        </w:rPr>
        <w:t>VII. Dar cuenta a la Unidad de Transparencia del vencimiento de los plazos de reserva.”</w:t>
      </w:r>
    </w:p>
    <w:p w14:paraId="27FEE1CE" w14:textId="77777777"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p>
    <w:p w14:paraId="78296CD5" w14:textId="77777777"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r w:rsidRPr="004D04AE">
        <w:rPr>
          <w:rFonts w:ascii="Palatino Linotype" w:eastAsia="Palatino Linotype" w:hAnsi="Palatino Linotype" w:cs="Palatino Linotype"/>
          <w:bCs/>
          <w:iCs/>
          <w:sz w:val="22"/>
          <w:szCs w:val="22"/>
          <w:lang w:val="es-ES"/>
        </w:rPr>
        <w:t xml:space="preserve">En conclusión, el Servidor Público Habilitado tiene como función principal localizar y proporcionar la información que le solicite la Unidad de Transparencia; no obstante, este incumplió dichas funciones, pues no atendió el requerimiento de información solicitado por la Unidad de Transparencia, por lo que se le invita a que en ejercicio de sus funciones atienda los requerimientos de información que sean solicitados por la Unidad de Transparencia, y con ello atender el derecho de acceso a la información de los particulares. </w:t>
      </w:r>
    </w:p>
    <w:p w14:paraId="68410EC7" w14:textId="77777777"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p>
    <w:p w14:paraId="22E0DB9C" w14:textId="6728FA17" w:rsidR="00816B2D" w:rsidRPr="004D04AE" w:rsidRDefault="00816B2D" w:rsidP="00CC6B6E">
      <w:pPr>
        <w:spacing w:line="360" w:lineRule="auto"/>
        <w:jc w:val="both"/>
        <w:rPr>
          <w:rFonts w:ascii="Palatino Linotype" w:eastAsia="Palatino Linotype" w:hAnsi="Palatino Linotype" w:cs="Palatino Linotype"/>
          <w:bCs/>
          <w:iCs/>
          <w:sz w:val="22"/>
          <w:szCs w:val="22"/>
          <w:lang w:val="es-ES"/>
        </w:rPr>
      </w:pPr>
      <w:r w:rsidRPr="004D04AE">
        <w:rPr>
          <w:rFonts w:ascii="Palatino Linotype" w:eastAsia="Palatino Linotype" w:hAnsi="Palatino Linotype" w:cs="Palatino Linotype"/>
          <w:bCs/>
          <w:iCs/>
          <w:sz w:val="22"/>
          <w:szCs w:val="22"/>
          <w:lang w:val="es-ES"/>
        </w:rPr>
        <w:t>Conforme a lo anterior, el Ente Recurrido deberá realizar una correcta búsqueda de la información y proporcionar los</w:t>
      </w:r>
      <w:r w:rsidR="008A6217" w:rsidRPr="004D04AE">
        <w:rPr>
          <w:rFonts w:ascii="Palatino Linotype" w:eastAsia="Palatino Linotype" w:hAnsi="Palatino Linotype" w:cs="Palatino Linotype"/>
          <w:bCs/>
          <w:iCs/>
          <w:sz w:val="22"/>
          <w:szCs w:val="22"/>
          <w:lang w:val="es-ES"/>
        </w:rPr>
        <w:t xml:space="preserve"> recibos de nómina de la primera y segunda quincena de noviembre de dos mil veinticinco, de todos los servidores públicos adscritos al Ayuntamiento de Acambay de Ruiz Castañeda</w:t>
      </w:r>
      <w:r w:rsidRPr="004D04AE">
        <w:rPr>
          <w:rFonts w:ascii="Palatino Linotype" w:eastAsia="Palatino Linotype" w:hAnsi="Palatino Linotype" w:cs="Palatino Linotype"/>
          <w:bCs/>
          <w:iCs/>
          <w:sz w:val="22"/>
          <w:szCs w:val="22"/>
          <w:lang w:val="es-ES"/>
        </w:rPr>
        <w:t xml:space="preserve">, en versión pública. </w:t>
      </w:r>
    </w:p>
    <w:p w14:paraId="295FFA97"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bookmarkStart w:id="9" w:name="_heading=h.3gio3055ln8t" w:colFirst="0" w:colLast="0"/>
      <w:bookmarkEnd w:id="9"/>
    </w:p>
    <w:p w14:paraId="621D3B29" w14:textId="77777777" w:rsidR="00EB2080" w:rsidRPr="004D04AE" w:rsidRDefault="005B4B1B" w:rsidP="00CC6B6E">
      <w:pPr>
        <w:spacing w:line="360" w:lineRule="auto"/>
        <w:ind w:right="51"/>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Quinto. Versión Pública. </w:t>
      </w:r>
      <w:r w:rsidRPr="004D04AE">
        <w:rPr>
          <w:rFonts w:ascii="Palatino Linotype" w:eastAsia="Palatino Linotype" w:hAnsi="Palatino Linotype" w:cs="Palatino Linotype"/>
          <w:sz w:val="22"/>
          <w:szCs w:val="22"/>
        </w:rPr>
        <w:t>Como fue debidamente apuntado,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1673789A"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66E66437"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9F7BA1"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1456ADAD"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C5185AF"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3E82817C"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2FAE5601"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sz w:val="22"/>
          <w:szCs w:val="22"/>
        </w:rPr>
        <w:t> </w:t>
      </w: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3.</w:t>
      </w:r>
      <w:r w:rsidRPr="004D04AE">
        <w:rPr>
          <w:rFonts w:ascii="Palatino Linotype" w:eastAsia="Palatino Linotype" w:hAnsi="Palatino Linotype" w:cs="Palatino Linotype"/>
          <w:i/>
          <w:sz w:val="22"/>
          <w:szCs w:val="22"/>
        </w:rPr>
        <w:t xml:space="preserve"> Para los efectos de la presente Ley se entenderá por:</w:t>
      </w:r>
    </w:p>
    <w:p w14:paraId="4E2623AD"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28339058"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IX. Datos personales</w:t>
      </w:r>
      <w:r w:rsidRPr="004D04AE">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5D355A68"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62DA2AD6"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XX. Información clasificada</w:t>
      </w:r>
      <w:r w:rsidRPr="004D04AE">
        <w:rPr>
          <w:rFonts w:ascii="Palatino Linotype" w:eastAsia="Palatino Linotype" w:hAnsi="Palatino Linotype" w:cs="Palatino Linotype"/>
          <w:i/>
          <w:sz w:val="22"/>
          <w:szCs w:val="22"/>
        </w:rPr>
        <w:t>: Aquella considerada por la presente Ley como reservada o confidencial;</w:t>
      </w:r>
    </w:p>
    <w:p w14:paraId="66AA3286"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XXI. Información confidencial</w:t>
      </w:r>
      <w:r w:rsidRPr="004D04AE">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A613644"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6E6BA4A5"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XXXII. Protección de Datos Personales</w:t>
      </w:r>
      <w:r w:rsidRPr="004D04AE">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329834E5"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1431FED9" w14:textId="77777777" w:rsidR="00EB2080" w:rsidRPr="004D04AE" w:rsidRDefault="005B4B1B" w:rsidP="00CC6B6E">
      <w:pPr>
        <w:tabs>
          <w:tab w:val="left" w:pos="1276"/>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XLV. Versión pública</w:t>
      </w:r>
      <w:r w:rsidRPr="004D04AE">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D0A9383"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 Artículo 6</w:t>
      </w:r>
      <w:r w:rsidRPr="004D04AE">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79C9E9C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521A1AF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91.</w:t>
      </w:r>
      <w:r w:rsidRPr="004D04AE">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4D04AE">
        <w:rPr>
          <w:rFonts w:ascii="Palatino Linotype" w:eastAsia="Palatino Linotype" w:hAnsi="Palatino Linotype" w:cs="Palatino Linotype"/>
          <w:i/>
          <w:sz w:val="22"/>
          <w:szCs w:val="22"/>
        </w:rPr>
        <w:br/>
        <w:t>…</w:t>
      </w:r>
    </w:p>
    <w:p w14:paraId="4E89148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132.</w:t>
      </w:r>
      <w:r w:rsidRPr="004D04AE">
        <w:rPr>
          <w:rFonts w:ascii="Palatino Linotype" w:eastAsia="Palatino Linotype" w:hAnsi="Palatino Linotype" w:cs="Palatino Linotype"/>
          <w:i/>
          <w:sz w:val="22"/>
          <w:szCs w:val="22"/>
        </w:rPr>
        <w:t xml:space="preserve"> La clasificación de la información se llevará a cabo en el momento en que:</w:t>
      </w:r>
    </w:p>
    <w:p w14:paraId="7BE54B9E"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Se reciba una solicitud de acceso a la información;</w:t>
      </w:r>
    </w:p>
    <w:p w14:paraId="2692DEA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Se determine mediante resolución de autoridad competente; o</w:t>
      </w:r>
    </w:p>
    <w:p w14:paraId="6B74F9B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019DF400"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w:t>
      </w:r>
    </w:p>
    <w:p w14:paraId="23A64EC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137.</w:t>
      </w:r>
      <w:r w:rsidRPr="004D04AE">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E2943F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 Artículo 143.</w:t>
      </w:r>
      <w:r w:rsidRPr="004D04AE">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50225DD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17725A6" w14:textId="77777777" w:rsidR="00EB2080" w:rsidRPr="004D04AE" w:rsidRDefault="00EB2080" w:rsidP="00CC6B6E">
      <w:pPr>
        <w:spacing w:line="360" w:lineRule="auto"/>
        <w:ind w:right="50"/>
        <w:jc w:val="both"/>
        <w:rPr>
          <w:rFonts w:ascii="Palatino Linotype" w:eastAsia="Palatino Linotype" w:hAnsi="Palatino Linotype" w:cs="Palatino Linotype"/>
          <w:sz w:val="22"/>
          <w:szCs w:val="22"/>
        </w:rPr>
      </w:pPr>
    </w:p>
    <w:p w14:paraId="62EC26A5" w14:textId="77777777" w:rsidR="00EB2080" w:rsidRPr="004D04AE" w:rsidRDefault="005B4B1B" w:rsidP="00CC6B6E">
      <w:pPr>
        <w:spacing w:line="360" w:lineRule="auto"/>
        <w:ind w:right="50"/>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189383E0" w14:textId="77777777" w:rsidR="00EB2080" w:rsidRPr="004D04AE" w:rsidRDefault="00EB2080" w:rsidP="00CC6B6E">
      <w:pPr>
        <w:spacing w:line="360" w:lineRule="auto"/>
        <w:ind w:right="50"/>
        <w:jc w:val="both"/>
        <w:rPr>
          <w:rFonts w:ascii="Palatino Linotype" w:eastAsia="Palatino Linotype" w:hAnsi="Palatino Linotype" w:cs="Palatino Linotype"/>
          <w:sz w:val="22"/>
          <w:szCs w:val="22"/>
        </w:rPr>
      </w:pPr>
    </w:p>
    <w:p w14:paraId="6E36EC7B" w14:textId="77777777" w:rsidR="00EB2080" w:rsidRPr="004D04AE" w:rsidRDefault="005B4B1B" w:rsidP="00CC6B6E">
      <w:pPr>
        <w:spacing w:line="360" w:lineRule="auto"/>
        <w:ind w:right="50"/>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1B2F28" w14:textId="77777777" w:rsidR="00EB2080" w:rsidRPr="004D04AE" w:rsidRDefault="00EB2080" w:rsidP="00CC6B6E">
      <w:pPr>
        <w:spacing w:line="360" w:lineRule="auto"/>
        <w:ind w:right="50"/>
        <w:jc w:val="both"/>
        <w:rPr>
          <w:rFonts w:ascii="Palatino Linotype" w:eastAsia="Palatino Linotype" w:hAnsi="Palatino Linotype" w:cs="Palatino Linotype"/>
          <w:sz w:val="22"/>
          <w:szCs w:val="22"/>
        </w:rPr>
      </w:pPr>
    </w:p>
    <w:p w14:paraId="49ECF0C4"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el caso específico, la información que se ordena si bien tiene el carácter información pública en razón de que se trata de documentos que se encuentran en posesión del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4D04AE">
        <w:rPr>
          <w:rFonts w:ascii="Palatino Linotype" w:eastAsia="Palatino Linotype" w:hAnsi="Palatino Linotype" w:cs="Palatino Linotype"/>
          <w:b/>
          <w:sz w:val="22"/>
          <w:szCs w:val="22"/>
        </w:rPr>
        <w:t>Registro Federal de Contribuyentes</w:t>
      </w:r>
      <w:r w:rsidRPr="004D04AE">
        <w:rPr>
          <w:rFonts w:ascii="Palatino Linotype" w:eastAsia="Palatino Linotype" w:hAnsi="Palatino Linotype" w:cs="Palatino Linotype"/>
          <w:sz w:val="22"/>
          <w:szCs w:val="22"/>
        </w:rPr>
        <w:t xml:space="preserve"> (RFC), la </w:t>
      </w:r>
      <w:r w:rsidRPr="004D04AE">
        <w:rPr>
          <w:rFonts w:ascii="Palatino Linotype" w:eastAsia="Palatino Linotype" w:hAnsi="Palatino Linotype" w:cs="Palatino Linotype"/>
          <w:b/>
          <w:sz w:val="22"/>
          <w:szCs w:val="22"/>
        </w:rPr>
        <w:t>Clave Única de Registro de Población</w:t>
      </w:r>
      <w:r w:rsidRPr="004D04AE">
        <w:rPr>
          <w:rFonts w:ascii="Palatino Linotype" w:eastAsia="Palatino Linotype" w:hAnsi="Palatino Linotype" w:cs="Palatino Linotype"/>
          <w:sz w:val="22"/>
          <w:szCs w:val="22"/>
        </w:rPr>
        <w:t xml:space="preserve"> (CURP), la </w:t>
      </w:r>
      <w:r w:rsidRPr="004D04AE">
        <w:rPr>
          <w:rFonts w:ascii="Palatino Linotype" w:eastAsia="Palatino Linotype" w:hAnsi="Palatino Linotype" w:cs="Palatino Linotype"/>
          <w:b/>
          <w:sz w:val="22"/>
          <w:szCs w:val="22"/>
        </w:rPr>
        <w:t>Clave de cualquier tipo de seguridad social</w:t>
      </w:r>
      <w:r w:rsidRPr="004D04AE">
        <w:rPr>
          <w:rFonts w:ascii="Palatino Linotype" w:eastAsia="Palatino Linotype" w:hAnsi="Palatino Linotype" w:cs="Palatino Linotype"/>
          <w:sz w:val="22"/>
          <w:szCs w:val="22"/>
        </w:rPr>
        <w:t xml:space="preserve"> (ISSEMYM, u otros), los </w:t>
      </w:r>
      <w:r w:rsidRPr="004D04AE">
        <w:rPr>
          <w:rFonts w:ascii="Palatino Linotype" w:eastAsia="Palatino Linotype" w:hAnsi="Palatino Linotype" w:cs="Palatino Linotype"/>
          <w:b/>
          <w:sz w:val="22"/>
          <w:szCs w:val="22"/>
        </w:rPr>
        <w:t>números de cuentas bancarias</w:t>
      </w:r>
      <w:r w:rsidRPr="004D04AE">
        <w:rPr>
          <w:rFonts w:ascii="Palatino Linotype" w:eastAsia="Palatino Linotype" w:hAnsi="Palatino Linotype" w:cs="Palatino Linotype"/>
          <w:sz w:val="22"/>
          <w:szCs w:val="22"/>
        </w:rPr>
        <w:t xml:space="preserve">, claves estandarizadas – interbancarias - (CLABES) y de tarjetas, los </w:t>
      </w:r>
      <w:r w:rsidRPr="004D04AE">
        <w:rPr>
          <w:rFonts w:ascii="Palatino Linotype" w:eastAsia="Palatino Linotype" w:hAnsi="Palatino Linotype" w:cs="Palatino Linotype"/>
          <w:b/>
          <w:sz w:val="22"/>
          <w:szCs w:val="22"/>
        </w:rPr>
        <w:t>préstamos o descuentos</w:t>
      </w:r>
      <w:r w:rsidRPr="004D04AE">
        <w:rPr>
          <w:rFonts w:ascii="Palatino Linotype" w:eastAsia="Palatino Linotype" w:hAnsi="Palatino Linotype" w:cs="Palatino Linotype"/>
          <w:sz w:val="22"/>
          <w:szCs w:val="22"/>
        </w:rPr>
        <w:t xml:space="preserve"> que se le hagan a la persona y que no tengan relación con los impuestos o la cuota por seguridad social, el</w:t>
      </w:r>
      <w:r w:rsidRPr="004D04AE">
        <w:rPr>
          <w:rFonts w:ascii="Palatino Linotype" w:eastAsia="Palatino Linotype" w:hAnsi="Palatino Linotype" w:cs="Palatino Linotype"/>
          <w:b/>
          <w:sz w:val="22"/>
          <w:szCs w:val="22"/>
        </w:rPr>
        <w:t xml:space="preserve"> número de empleado, </w:t>
      </w:r>
      <w:r w:rsidRPr="004D04AE">
        <w:rPr>
          <w:rFonts w:ascii="Palatino Linotype" w:eastAsia="Palatino Linotype" w:hAnsi="Palatino Linotype" w:cs="Palatino Linotype"/>
          <w:sz w:val="22"/>
          <w:szCs w:val="22"/>
        </w:rPr>
        <w:t xml:space="preserve">y, de ser el caso, el </w:t>
      </w:r>
      <w:r w:rsidRPr="004D04AE">
        <w:rPr>
          <w:rFonts w:ascii="Palatino Linotype" w:eastAsia="Palatino Linotype" w:hAnsi="Palatino Linotype" w:cs="Palatino Linotype"/>
          <w:b/>
          <w:sz w:val="22"/>
          <w:szCs w:val="22"/>
        </w:rPr>
        <w:t>folio fiscal</w:t>
      </w:r>
      <w:r w:rsidRPr="004D04AE">
        <w:rPr>
          <w:rFonts w:ascii="Palatino Linotype" w:eastAsia="Palatino Linotype" w:hAnsi="Palatino Linotype" w:cs="Palatino Linotype"/>
          <w:sz w:val="22"/>
          <w:szCs w:val="22"/>
        </w:rPr>
        <w:t xml:space="preserve">, la </w:t>
      </w:r>
      <w:r w:rsidRPr="004D04AE">
        <w:rPr>
          <w:rFonts w:ascii="Palatino Linotype" w:eastAsia="Palatino Linotype" w:hAnsi="Palatino Linotype" w:cs="Palatino Linotype"/>
          <w:b/>
          <w:sz w:val="22"/>
          <w:szCs w:val="22"/>
        </w:rPr>
        <w:t xml:space="preserve">cadena original, </w:t>
      </w:r>
      <w:r w:rsidRPr="004D04AE">
        <w:rPr>
          <w:rFonts w:ascii="Palatino Linotype" w:eastAsia="Palatino Linotype" w:hAnsi="Palatino Linotype" w:cs="Palatino Linotype"/>
          <w:sz w:val="22"/>
          <w:szCs w:val="22"/>
        </w:rPr>
        <w:t>los</w:t>
      </w:r>
      <w:r w:rsidRPr="004D04AE">
        <w:rPr>
          <w:rFonts w:ascii="Palatino Linotype" w:eastAsia="Palatino Linotype" w:hAnsi="Palatino Linotype" w:cs="Palatino Linotype"/>
          <w:b/>
          <w:sz w:val="22"/>
          <w:szCs w:val="22"/>
        </w:rPr>
        <w:t xml:space="preserve"> códigos bidimensionales o códigos QR,</w:t>
      </w:r>
      <w:r w:rsidRPr="004D04AE">
        <w:rPr>
          <w:rFonts w:ascii="Palatino Linotype" w:eastAsia="Palatino Linotype" w:hAnsi="Palatino Linotype" w:cs="Palatino Linotype"/>
          <w:sz w:val="22"/>
          <w:szCs w:val="22"/>
        </w:rPr>
        <w:t xml:space="preserve"> y cualquier información de carácter fiscal.</w:t>
      </w:r>
    </w:p>
    <w:p w14:paraId="21DD63E0"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454D4597" w14:textId="77777777" w:rsidR="00EB2080" w:rsidRPr="004D04AE" w:rsidRDefault="005B4B1B" w:rsidP="00CC6B6E">
      <w:pPr>
        <w:spacing w:line="360" w:lineRule="auto"/>
        <w:ind w:right="50"/>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0739B0E" w14:textId="77777777" w:rsidR="00EB2080" w:rsidRPr="004D04AE" w:rsidRDefault="00EB2080" w:rsidP="00CC6B6E">
      <w:pPr>
        <w:spacing w:line="360" w:lineRule="auto"/>
        <w:ind w:right="50"/>
        <w:jc w:val="both"/>
        <w:rPr>
          <w:rFonts w:ascii="Palatino Linotype" w:eastAsia="Palatino Linotype" w:hAnsi="Palatino Linotype" w:cs="Palatino Linotype"/>
          <w:sz w:val="22"/>
          <w:szCs w:val="22"/>
        </w:rPr>
      </w:pPr>
    </w:p>
    <w:p w14:paraId="2E1042D3"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Respecto de los </w:t>
      </w:r>
      <w:r w:rsidRPr="004D04AE">
        <w:rPr>
          <w:rFonts w:ascii="Palatino Linotype" w:eastAsia="Palatino Linotype" w:hAnsi="Palatino Linotype" w:cs="Palatino Linotype"/>
          <w:b/>
          <w:sz w:val="22"/>
          <w:szCs w:val="22"/>
        </w:rPr>
        <w:t>números de cuentas bancari</w:t>
      </w:r>
      <w:r w:rsidRPr="004D04AE">
        <w:rPr>
          <w:rFonts w:ascii="Palatino Linotype" w:eastAsia="Palatino Linotype" w:hAnsi="Palatino Linotype" w:cs="Palatino Linotype"/>
          <w:sz w:val="22"/>
          <w:szCs w:val="22"/>
        </w:rPr>
        <w:t xml:space="preserve">as, </w:t>
      </w:r>
      <w:r w:rsidRPr="004D04AE">
        <w:rPr>
          <w:rFonts w:ascii="Palatino Linotype" w:eastAsia="Palatino Linotype" w:hAnsi="Palatino Linotype" w:cs="Palatino Linotype"/>
          <w:b/>
          <w:sz w:val="22"/>
          <w:szCs w:val="22"/>
        </w:rPr>
        <w:t>claves estandarizadas –interbancarias- (CLABES) y de tarjetas</w:t>
      </w:r>
      <w:r w:rsidRPr="004D04AE">
        <w:rPr>
          <w:rFonts w:ascii="Palatino Linotype" w:eastAsia="Palatino Linotype" w:hAnsi="Palatino Linotype" w:cs="Palatino Linotype"/>
          <w:sz w:val="22"/>
          <w:szCs w:val="22"/>
        </w:rPr>
        <w:t>, el Pleno de este Instituto ha determinado que esa información debe clasificarse como confidencial, y elaborarse una versión pública en la que se teste la misma.</w:t>
      </w:r>
    </w:p>
    <w:p w14:paraId="40E07138"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D643FA4"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09EA6FAA"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01CA949E"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53B42C4B" w14:textId="77777777" w:rsidR="00EB2080" w:rsidRPr="004D04AE" w:rsidRDefault="005B4B1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42140A3F" w14:textId="77777777"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D9EAEE"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14:paraId="64167058"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Lo argumentado encuentra sustento en los Criterios orientadores con Clave de control SO/010/2017 y SO/011/2017, emitidos por el entonces Instituto Nacional de Transparencia, Acceso a la Información y Protección de Datos Personales, que llevan por rubro y texto los siguientes:</w:t>
      </w:r>
    </w:p>
    <w:p w14:paraId="4BE0CF89" w14:textId="77777777" w:rsidR="00EB2080" w:rsidRPr="004D04AE" w:rsidRDefault="005B4B1B" w:rsidP="00CC6B6E">
      <w:pPr>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Cuentas bancarias y/o CLABE interbancaria de personas físicas y morales privadas.</w:t>
      </w:r>
      <w:r w:rsidRPr="004D04AE">
        <w:rPr>
          <w:rFonts w:ascii="Palatino Linotype" w:eastAsia="Palatino Linotype" w:hAnsi="Palatino Linotype" w:cs="Palatino Linotype"/>
          <w:i/>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A86A65F" w14:textId="77777777" w:rsidR="00EB2080" w:rsidRPr="004D04AE" w:rsidRDefault="005B4B1B" w:rsidP="00CC6B6E">
      <w:pPr>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4D04AE">
        <w:rPr>
          <w:rFonts w:ascii="Palatino Linotype" w:eastAsia="Palatino Linotype" w:hAnsi="Palatino Linotype" w:cs="Palatino Linotype"/>
          <w:i/>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6AA937B1"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bookmarkStart w:id="10" w:name="_heading=h.z337ya" w:colFirst="0" w:colLast="0"/>
      <w:bookmarkEnd w:id="10"/>
    </w:p>
    <w:p w14:paraId="78CA6F71"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Por cuanto hace a los </w:t>
      </w:r>
      <w:r w:rsidRPr="004D04AE">
        <w:rPr>
          <w:rFonts w:ascii="Palatino Linotype" w:eastAsia="Palatino Linotype" w:hAnsi="Palatino Linotype" w:cs="Palatino Linotype"/>
          <w:b/>
          <w:sz w:val="22"/>
          <w:szCs w:val="22"/>
        </w:rPr>
        <w:t>préstamos o descuentos de carácter personal</w:t>
      </w:r>
      <w:r w:rsidRPr="004D04AE">
        <w:rPr>
          <w:rFonts w:ascii="Palatino Linotype" w:eastAsia="Palatino Linotype" w:hAnsi="Palatino Linotype" w:cs="Palatino Linotype"/>
          <w:sz w:val="22"/>
          <w:szCs w:val="22"/>
        </w:rPr>
        <w:t>, en virtud de no tener relación con la prestación del servicio y al no involucrar instituciones públicas, se consideran datos confidenciales.</w:t>
      </w:r>
    </w:p>
    <w:p w14:paraId="092242B5"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0265C897"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Para entender los límites y alcances de esta restricción, es oportuno recurrir al artículo 84 de la Ley del Trabajo de los Servidores Públicos del Estado y Municipios:</w:t>
      </w:r>
    </w:p>
    <w:p w14:paraId="15CCEA20" w14:textId="77777777" w:rsidR="00EB2080" w:rsidRPr="004D04AE" w:rsidRDefault="00EB2080" w:rsidP="00CC6B6E">
      <w:pPr>
        <w:spacing w:line="276" w:lineRule="auto"/>
        <w:ind w:left="851" w:right="616"/>
        <w:jc w:val="both"/>
        <w:rPr>
          <w:rFonts w:ascii="Palatino Linotype" w:eastAsia="Palatino Linotype" w:hAnsi="Palatino Linotype" w:cs="Palatino Linotype"/>
          <w:b/>
          <w:i/>
          <w:sz w:val="22"/>
          <w:szCs w:val="22"/>
        </w:rPr>
      </w:pPr>
    </w:p>
    <w:p w14:paraId="713E99FA" w14:textId="77777777" w:rsidR="00EB2080" w:rsidRPr="004D04AE" w:rsidRDefault="005B4B1B" w:rsidP="00CC6B6E">
      <w:pP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 xml:space="preserve">“ARTÍCULO 84. </w:t>
      </w:r>
      <w:r w:rsidRPr="004D04AE">
        <w:rPr>
          <w:rFonts w:ascii="Palatino Linotype" w:eastAsia="Palatino Linotype" w:hAnsi="Palatino Linotype" w:cs="Palatino Linotype"/>
          <w:i/>
          <w:sz w:val="22"/>
          <w:szCs w:val="22"/>
        </w:rPr>
        <w:t>Sólo podrán hacerse retenciones, descuentos o deducciones al sueldo de los servidores públicos por concepto de:</w:t>
      </w:r>
    </w:p>
    <w:p w14:paraId="09A60030"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Gravámenes fiscales relacionados con el sueldo;</w:t>
      </w:r>
    </w:p>
    <w:p w14:paraId="4061E85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Deudas contraídas con las instituciones públicas o dependencias por concepto de anticipos de sueldo, pagos hechos con exceso, errores o pérdidas debidamente comprobados;</w:t>
      </w:r>
    </w:p>
    <w:p w14:paraId="071BF0B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Cuotas sindicales</w:t>
      </w:r>
      <w:r w:rsidRPr="004D04AE">
        <w:rPr>
          <w:rFonts w:ascii="Palatino Linotype" w:eastAsia="Palatino Linotype" w:hAnsi="Palatino Linotype" w:cs="Palatino Linotype"/>
          <w:i/>
          <w:sz w:val="22"/>
          <w:szCs w:val="22"/>
        </w:rPr>
        <w:t>;</w:t>
      </w:r>
    </w:p>
    <w:p w14:paraId="55EF1192"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IV.</w:t>
      </w:r>
      <w:r w:rsidRPr="004D04AE">
        <w:rPr>
          <w:rFonts w:ascii="Palatino Linotype" w:eastAsia="Palatino Linotype" w:hAnsi="Palatino Linotype" w:cs="Palatino Linotype"/>
          <w:i/>
          <w:sz w:val="22"/>
          <w:szCs w:val="22"/>
        </w:rPr>
        <w:t xml:space="preserve"> Cuotas de aportación a fondos para la constitución de cooperativas y de cajas de ahorro, siempre que el servidor público hubiese manifestado previamente, de manera expresa, su conformidad;</w:t>
      </w:r>
    </w:p>
    <w:p w14:paraId="4F81ED7F"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w:t>
      </w:r>
      <w:r w:rsidRPr="004D04AE">
        <w:rPr>
          <w:rFonts w:ascii="Palatino Linotype" w:eastAsia="Palatino Linotype" w:hAnsi="Palatino Linotype" w:cs="Palatino Linotype"/>
          <w:i/>
          <w:sz w:val="22"/>
          <w:szCs w:val="22"/>
        </w:rPr>
        <w:t xml:space="preserve"> Descuentos ordenados por el Instituto de Seguridad Social del Estado de México y Municipios, con motivo de cuotas y obligaciones contraídas con éste por los servidores públicos;</w:t>
      </w:r>
    </w:p>
    <w:p w14:paraId="46810AB6"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VI.</w:t>
      </w:r>
      <w:r w:rsidRPr="004D04AE">
        <w:rPr>
          <w:rFonts w:ascii="Palatino Linotype" w:eastAsia="Palatino Linotype" w:hAnsi="Palatino Linotype" w:cs="Palatino Linotype"/>
          <w:i/>
          <w:sz w:val="22"/>
          <w:szCs w:val="22"/>
        </w:rPr>
        <w:t xml:space="preserve"> Obligaciones a cargo del servidor público con las que haya consentido, derivadas de la adquisición o del uso de habitaciones consideradas como de interés social;</w:t>
      </w:r>
    </w:p>
    <w:p w14:paraId="5F84BF5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VII.</w:t>
      </w:r>
      <w:r w:rsidRPr="004D04AE">
        <w:rPr>
          <w:rFonts w:ascii="Palatino Linotype" w:eastAsia="Palatino Linotype" w:hAnsi="Palatino Linotype" w:cs="Palatino Linotype"/>
          <w:i/>
          <w:sz w:val="22"/>
          <w:szCs w:val="22"/>
        </w:rPr>
        <w:t xml:space="preserve"> Faltas de puntualidad o de asistencia injustificadas;</w:t>
      </w:r>
    </w:p>
    <w:p w14:paraId="02AD0A3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VIII. Pensiones alimenticias ordenadas por la autoridad judicial;</w:t>
      </w:r>
      <w:r w:rsidRPr="004D04AE">
        <w:rPr>
          <w:rFonts w:ascii="Palatino Linotype" w:eastAsia="Palatino Linotype" w:hAnsi="Palatino Linotype" w:cs="Palatino Linotype"/>
          <w:i/>
          <w:sz w:val="22"/>
          <w:szCs w:val="22"/>
        </w:rPr>
        <w:t xml:space="preserve"> o</w:t>
      </w:r>
    </w:p>
    <w:p w14:paraId="436D3D10" w14:textId="77777777" w:rsidR="00EB2080" w:rsidRPr="004D04AE" w:rsidRDefault="005B4B1B" w:rsidP="00CC6B6E">
      <w:pP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IX. Cualquier otro convenido con instituciones de servicios y aceptado por el servidor público.</w:t>
      </w:r>
    </w:p>
    <w:p w14:paraId="50CC764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4EE2DFCE"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70B0C364"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Como se puede observar, el precepto citado establece claramente cuáles son esos descuentos o gravámenes que directamente se relacionan con las obligaciones adquiridas como servidores públicos y aquéllos que únicamente inciden en su vida privada. </w:t>
      </w:r>
    </w:p>
    <w:p w14:paraId="4844C033"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108E3B86"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De este modo, los </w:t>
      </w:r>
      <w:r w:rsidRPr="004D04AE">
        <w:rPr>
          <w:rFonts w:ascii="Palatino Linotype" w:eastAsia="Palatino Linotype" w:hAnsi="Palatino Linotype" w:cs="Palatino Linotype"/>
          <w:b/>
          <w:sz w:val="22"/>
          <w:szCs w:val="22"/>
        </w:rPr>
        <w:t>descuentos o deducciones por cuotas sindicales</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b/>
          <w:sz w:val="22"/>
          <w:szCs w:val="22"/>
        </w:rPr>
        <w:t>pensiones alimenticias</w:t>
      </w:r>
      <w:r w:rsidRPr="004D04AE">
        <w:rPr>
          <w:rFonts w:ascii="Palatino Linotype" w:eastAsia="Palatino Linotype" w:hAnsi="Palatino Linotype" w:cs="Palatino Linotype"/>
          <w:sz w:val="22"/>
          <w:szCs w:val="22"/>
        </w:rPr>
        <w:t xml:space="preserve"> o </w:t>
      </w:r>
      <w:r w:rsidRPr="004D04AE">
        <w:rPr>
          <w:rFonts w:ascii="Palatino Linotype" w:eastAsia="Palatino Linotype" w:hAnsi="Palatino Linotype" w:cs="Palatino Linotype"/>
          <w:b/>
          <w:sz w:val="22"/>
          <w:szCs w:val="22"/>
        </w:rPr>
        <w:t>créditos adquiridos con instituciones privadas</w:t>
      </w:r>
      <w:r w:rsidRPr="004D04AE">
        <w:rPr>
          <w:rFonts w:ascii="Palatino Linotype" w:eastAsia="Palatino Linotype" w:hAnsi="Palatino Linotype" w:cs="Palatino Linotype"/>
          <w:sz w:val="22"/>
          <w:szCs w:val="22"/>
        </w:rPr>
        <w:t xml:space="preserve">, entre otros que no se relacionen con el gasto público, al revelar parte de las decisiones que adopta una persona respecto del uso y destino de su remuneración salarial, lo cual incide en la manera en que se integra su patrimonio, </w:t>
      </w:r>
      <w:r w:rsidRPr="004D04AE">
        <w:rPr>
          <w:rFonts w:ascii="Palatino Linotype" w:eastAsia="Palatino Linotype" w:hAnsi="Palatino Linotype" w:cs="Palatino Linotype"/>
          <w:b/>
          <w:sz w:val="22"/>
          <w:szCs w:val="22"/>
        </w:rPr>
        <w:t>es información que no es de carácter público, sino que constituye información confidencial</w:t>
      </w:r>
      <w:r w:rsidRPr="004D04AE">
        <w:rPr>
          <w:rFonts w:ascii="Palatino Linotype" w:eastAsia="Palatino Linotype" w:hAnsi="Palatino Linotype" w:cs="Palatino Linotype"/>
          <w:sz w:val="22"/>
          <w:szCs w:val="22"/>
        </w:rPr>
        <w:t xml:space="preserve"> en virtud de que corresponde con decisiones personales, y por tanto, se debe clasificar.</w:t>
      </w:r>
    </w:p>
    <w:p w14:paraId="3B8E32BC"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593D32D5" w14:textId="77777777" w:rsidR="00EB2080" w:rsidRPr="004D04AE" w:rsidRDefault="005B4B1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Las claves y conceptos de los descuentos personales guardan también la misma naturaleza que los importes, ya que al hacerse públicas, es posible inferir que cierto servidor público tiene determinada deducción personal, misma que se relaciona con su esfera más íntima de privacidad, asimismo, en aquellos casos en los que sólo se tenga una deducción, inclusive es posible deducir el importe de la misma, derivado de los cálculos que se hagan respecto al sueldo bruto y sueldo neto.</w:t>
      </w:r>
    </w:p>
    <w:p w14:paraId="1BD3FBBC" w14:textId="77777777"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E6D136B" w14:textId="77777777" w:rsidR="00EB2080" w:rsidRPr="004D04AE" w:rsidRDefault="005B4B1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En conclusión, la información relacionada con los préstamos o descuentos de carácter personal, en virtud de no tener relación con la prestación del servicio y al no involucrar instituciones públicas, se consideran datos confidenciales.</w:t>
      </w:r>
    </w:p>
    <w:p w14:paraId="298ECB96"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bookmarkStart w:id="11" w:name="_heading=h.3j2qqm3" w:colFirst="0" w:colLast="0"/>
      <w:bookmarkEnd w:id="11"/>
    </w:p>
    <w:p w14:paraId="6624F98E" w14:textId="77777777" w:rsidR="00EB2080" w:rsidRPr="004D04AE" w:rsidRDefault="005B4B1B" w:rsidP="00CC6B6E">
      <w:pPr>
        <w:spacing w:line="360" w:lineRule="auto"/>
        <w:ind w:right="50"/>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386A20A" w14:textId="77777777" w:rsidR="00EB2080" w:rsidRPr="004D04AE" w:rsidRDefault="00EB2080" w:rsidP="00CC6B6E">
      <w:pPr>
        <w:spacing w:line="276" w:lineRule="auto"/>
        <w:ind w:left="851" w:right="616"/>
        <w:jc w:val="both"/>
        <w:rPr>
          <w:rFonts w:ascii="Palatino Linotype" w:eastAsia="Palatino Linotype" w:hAnsi="Palatino Linotype" w:cs="Palatino Linotype"/>
          <w:b/>
          <w:i/>
          <w:sz w:val="22"/>
          <w:szCs w:val="22"/>
        </w:rPr>
      </w:pPr>
    </w:p>
    <w:p w14:paraId="4F03313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49.</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Los Comités de Transparencia</w:t>
      </w:r>
      <w:r w:rsidRPr="004D04AE">
        <w:rPr>
          <w:rFonts w:ascii="Palatino Linotype" w:eastAsia="Palatino Linotype" w:hAnsi="Palatino Linotype" w:cs="Palatino Linotype"/>
          <w:i/>
          <w:sz w:val="22"/>
          <w:szCs w:val="22"/>
        </w:rPr>
        <w:t xml:space="preserve"> tendrán las siguientes atribuciones:</w:t>
      </w:r>
    </w:p>
    <w:p w14:paraId="48843E82"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VIII. Aprobar, modificar o revocar la clasificación de la información</w:t>
      </w:r>
      <w:r w:rsidRPr="004D04AE">
        <w:rPr>
          <w:rFonts w:ascii="Palatino Linotype" w:eastAsia="Palatino Linotype" w:hAnsi="Palatino Linotype" w:cs="Palatino Linotype"/>
          <w:i/>
          <w:sz w:val="22"/>
          <w:szCs w:val="22"/>
        </w:rPr>
        <w:t>…”</w:t>
      </w:r>
    </w:p>
    <w:p w14:paraId="145EE32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53.</w:t>
      </w:r>
      <w:r w:rsidRPr="004D04AE">
        <w:rPr>
          <w:rFonts w:ascii="Palatino Linotype" w:eastAsia="Palatino Linotype" w:hAnsi="Palatino Linotype" w:cs="Palatino Linotype"/>
          <w:i/>
          <w:sz w:val="22"/>
          <w:szCs w:val="22"/>
        </w:rPr>
        <w:t xml:space="preserve"> Las </w:t>
      </w:r>
      <w:r w:rsidRPr="004D04AE">
        <w:rPr>
          <w:rFonts w:ascii="Palatino Linotype" w:eastAsia="Palatino Linotype" w:hAnsi="Palatino Linotype" w:cs="Palatino Linotype"/>
          <w:b/>
          <w:i/>
          <w:sz w:val="22"/>
          <w:szCs w:val="22"/>
        </w:rPr>
        <w:t>Unidades de Transparencia</w:t>
      </w:r>
      <w:r w:rsidRPr="004D04AE">
        <w:rPr>
          <w:rFonts w:ascii="Palatino Linotype" w:eastAsia="Palatino Linotype" w:hAnsi="Palatino Linotype" w:cs="Palatino Linotype"/>
          <w:i/>
          <w:sz w:val="22"/>
          <w:szCs w:val="22"/>
        </w:rPr>
        <w:t xml:space="preserve"> tendrán las siguientes </w:t>
      </w:r>
      <w:r w:rsidRPr="004D04AE">
        <w:rPr>
          <w:rFonts w:ascii="Palatino Linotype" w:eastAsia="Palatino Linotype" w:hAnsi="Palatino Linotype" w:cs="Palatino Linotype"/>
          <w:b/>
          <w:i/>
          <w:sz w:val="22"/>
          <w:szCs w:val="22"/>
        </w:rPr>
        <w:t>funciones</w:t>
      </w:r>
      <w:r w:rsidRPr="004D04AE">
        <w:rPr>
          <w:rFonts w:ascii="Palatino Linotype" w:eastAsia="Palatino Linotype" w:hAnsi="Palatino Linotype" w:cs="Palatino Linotype"/>
          <w:i/>
          <w:sz w:val="22"/>
          <w:szCs w:val="22"/>
        </w:rPr>
        <w:t>:</w:t>
      </w:r>
    </w:p>
    <w:p w14:paraId="173D5EE2"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 Presentar ante el Comité, el proyecto de clasificación de información</w:t>
      </w:r>
      <w:r w:rsidRPr="004D04AE">
        <w:rPr>
          <w:rFonts w:ascii="Palatino Linotype" w:eastAsia="Palatino Linotype" w:hAnsi="Palatino Linotype" w:cs="Palatino Linotype"/>
          <w:i/>
          <w:sz w:val="22"/>
          <w:szCs w:val="22"/>
        </w:rPr>
        <w:t xml:space="preserve">…” </w:t>
      </w:r>
    </w:p>
    <w:p w14:paraId="286DC66A"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“Artículo 59.</w:t>
      </w:r>
      <w:r w:rsidRPr="004D04AE">
        <w:rPr>
          <w:rFonts w:ascii="Palatino Linotype" w:eastAsia="Palatino Linotype" w:hAnsi="Palatino Linotype" w:cs="Palatino Linotype"/>
          <w:i/>
          <w:sz w:val="22"/>
          <w:szCs w:val="22"/>
        </w:rPr>
        <w:t xml:space="preserve"> Los </w:t>
      </w:r>
      <w:r w:rsidRPr="004D04AE">
        <w:rPr>
          <w:rFonts w:ascii="Palatino Linotype" w:eastAsia="Palatino Linotype" w:hAnsi="Palatino Linotype" w:cs="Palatino Linotype"/>
          <w:b/>
          <w:i/>
          <w:sz w:val="22"/>
          <w:szCs w:val="22"/>
        </w:rPr>
        <w:t>servidores públicos habilitados</w:t>
      </w:r>
      <w:r w:rsidRPr="004D04AE">
        <w:rPr>
          <w:rFonts w:ascii="Palatino Linotype" w:eastAsia="Palatino Linotype" w:hAnsi="Palatino Linotype" w:cs="Palatino Linotype"/>
          <w:i/>
          <w:sz w:val="22"/>
          <w:szCs w:val="22"/>
        </w:rPr>
        <w:t xml:space="preserve"> tendrán las </w:t>
      </w:r>
      <w:r w:rsidRPr="004D04AE">
        <w:rPr>
          <w:rFonts w:ascii="Palatino Linotype" w:eastAsia="Palatino Linotype" w:hAnsi="Palatino Linotype" w:cs="Palatino Linotype"/>
          <w:b/>
          <w:i/>
          <w:sz w:val="22"/>
          <w:szCs w:val="22"/>
        </w:rPr>
        <w:t>funciones</w:t>
      </w:r>
      <w:r w:rsidRPr="004D04AE">
        <w:rPr>
          <w:rFonts w:ascii="Palatino Linotype" w:eastAsia="Palatino Linotype" w:hAnsi="Palatino Linotype" w:cs="Palatino Linotype"/>
          <w:i/>
          <w:sz w:val="22"/>
          <w:szCs w:val="22"/>
        </w:rPr>
        <w:t xml:space="preserve"> siguientes:</w:t>
      </w:r>
    </w:p>
    <w:p w14:paraId="1661A0D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4D04AE">
        <w:rPr>
          <w:rFonts w:ascii="Palatino Linotype" w:eastAsia="Palatino Linotype" w:hAnsi="Palatino Linotype" w:cs="Palatino Linotype"/>
          <w:i/>
          <w:sz w:val="22"/>
          <w:szCs w:val="22"/>
        </w:rPr>
        <w:t>, la cual tendrá los fundamentos y argumentos en que se basa dicha propuesta…”</w:t>
      </w:r>
    </w:p>
    <w:p w14:paraId="3A63DA6E"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23BF79A4"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3AA4D97"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376F587F"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45A2D448" w14:textId="77777777" w:rsidR="00EB2080" w:rsidRPr="004D04AE" w:rsidRDefault="00EB2080" w:rsidP="00CC6B6E">
      <w:pPr>
        <w:spacing w:line="276" w:lineRule="auto"/>
        <w:ind w:left="851" w:right="616"/>
        <w:jc w:val="both"/>
        <w:rPr>
          <w:rFonts w:ascii="Palatino Linotype" w:eastAsia="Palatino Linotype" w:hAnsi="Palatino Linotype" w:cs="Palatino Linotype"/>
          <w:i/>
          <w:sz w:val="22"/>
          <w:szCs w:val="22"/>
        </w:rPr>
      </w:pPr>
    </w:p>
    <w:p w14:paraId="12B6A753"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Artículo 149.</w:t>
      </w:r>
      <w:r w:rsidRPr="004D04AE">
        <w:rPr>
          <w:rFonts w:ascii="Palatino Linotype" w:eastAsia="Palatino Linotype" w:hAnsi="Palatino Linotype" w:cs="Palatino Linotype"/>
          <w:i/>
          <w:sz w:val="22"/>
          <w:szCs w:val="22"/>
        </w:rPr>
        <w:t xml:space="preserve"> El </w:t>
      </w:r>
      <w:r w:rsidRPr="004D04AE">
        <w:rPr>
          <w:rFonts w:ascii="Palatino Linotype" w:eastAsia="Palatino Linotype" w:hAnsi="Palatino Linotype" w:cs="Palatino Linotype"/>
          <w:b/>
          <w:i/>
          <w:sz w:val="22"/>
          <w:szCs w:val="22"/>
        </w:rPr>
        <w:t>acuerdo que clasifique la información como confidencial</w:t>
      </w:r>
      <w:r w:rsidRPr="004D04AE">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043DD47A"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530CFE12" w14:textId="77777777" w:rsidR="00EB2080" w:rsidRPr="004D04AE" w:rsidRDefault="005B4B1B" w:rsidP="00CC6B6E">
      <w:pPr>
        <w:spacing w:line="360" w:lineRule="auto"/>
        <w:ind w:right="51"/>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Es decir,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47BE9C2" w14:textId="77777777" w:rsidR="00EB2080" w:rsidRPr="004D04AE" w:rsidRDefault="00EB2080" w:rsidP="00CC6B6E">
      <w:pPr>
        <w:spacing w:line="360" w:lineRule="auto"/>
        <w:ind w:right="51"/>
        <w:jc w:val="both"/>
        <w:rPr>
          <w:rFonts w:ascii="Palatino Linotype" w:eastAsia="Palatino Linotype" w:hAnsi="Palatino Linotype" w:cs="Palatino Linotype"/>
          <w:sz w:val="22"/>
          <w:szCs w:val="22"/>
        </w:rPr>
      </w:pPr>
    </w:p>
    <w:p w14:paraId="10C37C90"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Atento a lo anterior, cabe señalar que el Comité de Transparencia del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deberá emitir el acuerdo de clasificación de información debidamente fundado y motivado, en términos de los Lineamientos Segundo, fracción XVIII, y del Cuarto al Décimo Primero de los “Lineamientos Generales en materia de Clasificación y Desclasificación de la Información, así como para la elaboración de Versiones Públicas”, que literalmente expresan:</w:t>
      </w:r>
    </w:p>
    <w:p w14:paraId="368E65EC"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Segundo.-</w:t>
      </w:r>
      <w:r w:rsidRPr="004D04AE">
        <w:rPr>
          <w:rFonts w:ascii="Palatino Linotype" w:eastAsia="Palatino Linotype" w:hAnsi="Palatino Linotype" w:cs="Palatino Linotype"/>
          <w:i/>
          <w:sz w:val="22"/>
          <w:szCs w:val="22"/>
        </w:rPr>
        <w:t xml:space="preserve"> Para efectos de los presentes Lineamientos Generales, se entenderá por:</w:t>
      </w:r>
    </w:p>
    <w:p w14:paraId="0FE8DEC3"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XVIII.</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Versión pública:</w:t>
      </w:r>
      <w:r w:rsidRPr="004D04AE">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4D04AE">
        <w:rPr>
          <w:rFonts w:ascii="Palatino Linotype" w:eastAsia="Palatino Linotype" w:hAnsi="Palatino Linotype" w:cs="Palatino Linotype"/>
          <w:b/>
          <w:i/>
          <w:sz w:val="22"/>
          <w:szCs w:val="22"/>
        </w:rPr>
        <w:t>fundando y motivando la</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reserva o confidencialidad</w:t>
      </w:r>
      <w:r w:rsidRPr="004D04AE">
        <w:rPr>
          <w:rFonts w:ascii="Palatino Linotype" w:eastAsia="Palatino Linotype" w:hAnsi="Palatino Linotype" w:cs="Palatino Linotype"/>
          <w:i/>
          <w:sz w:val="22"/>
          <w:szCs w:val="22"/>
        </w:rPr>
        <w:t>, a través de la resolución que para tal efecto emita el Comité de Transparencia.</w:t>
      </w:r>
    </w:p>
    <w:p w14:paraId="73B69203"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w:t>
      </w:r>
    </w:p>
    <w:p w14:paraId="3E0C7F9E"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Cuarto.</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Para clasificar la información como</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reservada o</w:t>
      </w:r>
      <w:r w:rsidRPr="004D04AE">
        <w:rPr>
          <w:rFonts w:ascii="Palatino Linotype" w:eastAsia="Palatino Linotype" w:hAnsi="Palatino Linotype" w:cs="Palatino Linotype"/>
          <w:i/>
          <w:sz w:val="22"/>
          <w:szCs w:val="22"/>
        </w:rPr>
        <w:t xml:space="preserve"> </w:t>
      </w:r>
      <w:r w:rsidRPr="004D04AE">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4D04AE">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889410"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12A4DE1E"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Quinto.</w:t>
      </w:r>
      <w:r w:rsidRPr="004D04AE">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9E9D022"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Sexto.</w:t>
      </w:r>
      <w:r w:rsidRPr="004D04AE">
        <w:rPr>
          <w:rFonts w:ascii="Palatino Linotype" w:eastAsia="Palatino Linotype" w:hAnsi="Palatino Linotype" w:cs="Palatino Linotype"/>
          <w:i/>
          <w:sz w:val="22"/>
          <w:szCs w:val="22"/>
        </w:rPr>
        <w:t xml:space="preserve"> Se deroga.</w:t>
      </w:r>
    </w:p>
    <w:p w14:paraId="79E28645"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Séptimo.</w:t>
      </w:r>
      <w:r w:rsidRPr="004D04AE">
        <w:rPr>
          <w:rFonts w:ascii="Palatino Linotype" w:eastAsia="Palatino Linotype" w:hAnsi="Palatino Linotype" w:cs="Palatino Linotype"/>
          <w:i/>
          <w:sz w:val="22"/>
          <w:szCs w:val="22"/>
        </w:rPr>
        <w:t xml:space="preserve"> La clasificación de la información se llevará a cabo en el momento en que:</w:t>
      </w:r>
    </w:p>
    <w:p w14:paraId="02460C64"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Se reciba una solicitud de acceso a la información;</w:t>
      </w:r>
    </w:p>
    <w:p w14:paraId="54560D9A"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0454AC69"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3F66EBFF"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i/>
          <w:sz w:val="22"/>
          <w:szCs w:val="22"/>
        </w:rPr>
        <w:t>conforme a su naturaleza, si encuadra en una causal de reserva o de confidencialidad.</w:t>
      </w:r>
    </w:p>
    <w:p w14:paraId="6A7863C9"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Octavo.</w:t>
      </w:r>
      <w:r w:rsidRPr="004D04AE">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799012B"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33CE9EB8"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18ABD95B"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Noveno.</w:t>
      </w:r>
      <w:r w:rsidRPr="004D04AE">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3BE29BD"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Décimo.</w:t>
      </w:r>
      <w:r w:rsidRPr="004D04AE">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153FB8D"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0DE5F311" w14:textId="77777777" w:rsidR="00EB2080" w:rsidRPr="004D04AE" w:rsidRDefault="005B4B1B" w:rsidP="00CC6B6E">
      <w:pPr>
        <w:tabs>
          <w:tab w:val="left" w:pos="8222"/>
        </w:tabs>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Décimo primero.</w:t>
      </w:r>
      <w:r w:rsidRPr="004D04AE">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49AA9869" w14:textId="77777777" w:rsidR="00EB2080" w:rsidRPr="004D04AE" w:rsidRDefault="00EB2080" w:rsidP="00CC6B6E">
      <w:p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p>
    <w:p w14:paraId="30A5D331" w14:textId="77777777" w:rsidR="00EB2080" w:rsidRPr="004D04AE" w:rsidRDefault="005B4B1B" w:rsidP="00CC6B6E">
      <w:p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4A3D544" w14:textId="77777777" w:rsidR="00EB2080" w:rsidRPr="004D04AE" w:rsidRDefault="00EB2080" w:rsidP="00CC6B6E">
      <w:pPr>
        <w:spacing w:line="276" w:lineRule="auto"/>
        <w:ind w:left="851" w:right="902"/>
        <w:jc w:val="both"/>
        <w:rPr>
          <w:rFonts w:ascii="Palatino Linotype" w:eastAsia="Palatino Linotype" w:hAnsi="Palatino Linotype" w:cs="Palatino Linotype"/>
          <w:b/>
          <w:i/>
          <w:sz w:val="22"/>
          <w:szCs w:val="22"/>
        </w:rPr>
      </w:pPr>
    </w:p>
    <w:p w14:paraId="7C398311" w14:textId="77777777" w:rsidR="00EB2080" w:rsidRPr="004D04AE" w:rsidRDefault="005B4B1B" w:rsidP="00CC6B6E">
      <w:pPr>
        <w:spacing w:line="276" w:lineRule="auto"/>
        <w:ind w:left="851"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 xml:space="preserve">“Quincuagésimo. </w:t>
      </w:r>
      <w:r w:rsidRPr="004D04AE">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5661C8F" w14:textId="77777777" w:rsidR="00EB2080" w:rsidRPr="004D04AE" w:rsidRDefault="005B4B1B" w:rsidP="00CC6B6E">
      <w:pPr>
        <w:pBdr>
          <w:top w:val="nil"/>
          <w:left w:val="nil"/>
          <w:bottom w:val="nil"/>
          <w:right w:val="nil"/>
          <w:between w:val="nil"/>
        </w:pBdr>
        <w:spacing w:line="276" w:lineRule="auto"/>
        <w:ind w:left="851"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 xml:space="preserve">Quincuagésimo primero. </w:t>
      </w:r>
      <w:r w:rsidRPr="004D04AE">
        <w:rPr>
          <w:rFonts w:ascii="Palatino Linotype" w:eastAsia="Palatino Linotype" w:hAnsi="Palatino Linotype" w:cs="Palatino Linotype"/>
          <w:i/>
          <w:sz w:val="22"/>
          <w:szCs w:val="22"/>
        </w:rPr>
        <w:t xml:space="preserve">Toda acta del Comité de Transparencia deberá contener: </w:t>
      </w:r>
    </w:p>
    <w:p w14:paraId="79627DAD"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El número de sesión y fecha; </w:t>
      </w:r>
    </w:p>
    <w:p w14:paraId="527C4CFC"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El nombre del área que solicitó la clasificación de información; </w:t>
      </w:r>
    </w:p>
    <w:p w14:paraId="05A23232"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La fundamentación legal y motivación correspondiente; </w:t>
      </w:r>
    </w:p>
    <w:p w14:paraId="3A6C690D"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IV</w:t>
      </w:r>
      <w:r w:rsidRPr="004D04AE">
        <w:rPr>
          <w:rFonts w:ascii="Palatino Linotype" w:eastAsia="Palatino Linotype" w:hAnsi="Palatino Linotype" w:cs="Palatino Linotype"/>
          <w:i/>
          <w:sz w:val="22"/>
          <w:szCs w:val="22"/>
        </w:rPr>
        <w:t xml:space="preserve">. La resolución o resoluciones aprobadas; y </w:t>
      </w:r>
    </w:p>
    <w:p w14:paraId="6C06FD19"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V</w:t>
      </w:r>
      <w:r w:rsidRPr="004D04AE">
        <w:rPr>
          <w:rFonts w:ascii="Palatino Linotype" w:eastAsia="Palatino Linotype" w:hAnsi="Palatino Linotype" w:cs="Palatino Linotype"/>
          <w:i/>
          <w:sz w:val="22"/>
          <w:szCs w:val="22"/>
        </w:rPr>
        <w:t xml:space="preserve">. La rúbrica o firma digital de cada integrante del Comité de Transparencia. </w:t>
      </w:r>
    </w:p>
    <w:p w14:paraId="63289F11" w14:textId="77777777" w:rsidR="00EB2080" w:rsidRPr="004D04AE" w:rsidRDefault="005B4B1B" w:rsidP="00CC6B6E">
      <w:pPr>
        <w:pBdr>
          <w:top w:val="nil"/>
          <w:left w:val="nil"/>
          <w:bottom w:val="nil"/>
          <w:right w:val="nil"/>
          <w:between w:val="nil"/>
        </w:pBdr>
        <w:spacing w:line="276" w:lineRule="auto"/>
        <w:ind w:left="851"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286B3A1A"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Los motivos y razonamientos que sustenten la confirmación o modificación de la prueba de daño;</w:t>
      </w:r>
    </w:p>
    <w:p w14:paraId="34A0B2A4"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Descripción de las partes o secciones reservadas, en caso de clasificación parcial</w:t>
      </w:r>
      <w:r w:rsidRPr="004D04AE">
        <w:rPr>
          <w:rFonts w:ascii="Palatino Linotype" w:eastAsia="Palatino Linotype" w:hAnsi="Palatino Linotype" w:cs="Palatino Linotype"/>
          <w:b/>
          <w:i/>
          <w:sz w:val="22"/>
          <w:szCs w:val="22"/>
        </w:rPr>
        <w:t xml:space="preserve">; </w:t>
      </w:r>
    </w:p>
    <w:p w14:paraId="13F20417"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El periodo por el que mantendrá su clasificación y fecha de expiración; y </w:t>
      </w:r>
    </w:p>
    <w:p w14:paraId="469396E9" w14:textId="77777777" w:rsidR="00EB2080" w:rsidRPr="004D04AE" w:rsidRDefault="005B4B1B" w:rsidP="00CC6B6E">
      <w:pPr>
        <w:pBdr>
          <w:top w:val="nil"/>
          <w:left w:val="nil"/>
          <w:bottom w:val="nil"/>
          <w:right w:val="nil"/>
          <w:between w:val="nil"/>
        </w:pBdr>
        <w:spacing w:line="276" w:lineRule="auto"/>
        <w:ind w:left="1134"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IV.</w:t>
      </w:r>
      <w:r w:rsidRPr="004D04AE">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27113719" w14:textId="77777777" w:rsidR="00EB2080" w:rsidRPr="004D04AE" w:rsidRDefault="005B4B1B" w:rsidP="00CC6B6E">
      <w:pPr>
        <w:pBdr>
          <w:top w:val="nil"/>
          <w:left w:val="nil"/>
          <w:bottom w:val="nil"/>
          <w:right w:val="nil"/>
          <w:between w:val="nil"/>
        </w:pBdr>
        <w:spacing w:line="276" w:lineRule="auto"/>
        <w:ind w:left="851"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5A7B7460" w14:textId="77777777" w:rsidR="00EB2080" w:rsidRPr="004D04AE" w:rsidRDefault="005B4B1B" w:rsidP="00CC6B6E">
      <w:pPr>
        <w:pBdr>
          <w:top w:val="nil"/>
          <w:left w:val="nil"/>
          <w:bottom w:val="nil"/>
          <w:right w:val="nil"/>
          <w:between w:val="nil"/>
        </w:pBdr>
        <w:spacing w:line="276" w:lineRule="auto"/>
        <w:ind w:left="851" w:right="902"/>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D2C6CDA"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3C58C934"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52B99D9"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r w:rsidRPr="004D04AE">
        <w:rPr>
          <w:rFonts w:ascii="Palatino Linotype" w:eastAsia="Palatino Linotype" w:hAnsi="Palatino Linotype" w:cs="Palatino Linotype"/>
          <w:b/>
          <w:i/>
          <w:sz w:val="22"/>
          <w:szCs w:val="22"/>
        </w:rPr>
        <w:t>Quincuagésimo segundo</w:t>
      </w:r>
      <w:r w:rsidRPr="004D04AE">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64B9D805"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8A12EE1"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A903944"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39F1C324"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Señalar las personas o instancias autorizadas a acceder a la información clasificada.</w:t>
      </w:r>
    </w:p>
    <w:p w14:paraId="0AD802F7"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1BF66AC4" w14:textId="77777777" w:rsidR="00EB2080" w:rsidRPr="004D04AE" w:rsidRDefault="005B4B1B"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w:t>
      </w:r>
    </w:p>
    <w:p w14:paraId="576A9B0C" w14:textId="77777777" w:rsidR="00EB2080" w:rsidRPr="004D04AE" w:rsidRDefault="005B4B1B"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 xml:space="preserve">Quincuagésimo cuarto. </w:t>
      </w:r>
      <w:r w:rsidRPr="004D04AE">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4D04AE">
        <w:rPr>
          <w:rFonts w:ascii="Palatino Linotype" w:eastAsia="Palatino Linotype" w:hAnsi="Palatino Linotype" w:cs="Palatino Linotype"/>
          <w:b/>
          <w:i/>
          <w:sz w:val="22"/>
          <w:szCs w:val="22"/>
        </w:rPr>
        <w:t xml:space="preserve"> </w:t>
      </w:r>
    </w:p>
    <w:p w14:paraId="2FCAFDE4"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 xml:space="preserve">Quincuagésimo quinto. </w:t>
      </w:r>
      <w:r w:rsidRPr="004D04AE">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97AE833" w14:textId="77777777" w:rsidR="00EB2080" w:rsidRPr="004D04AE" w:rsidRDefault="005B4B1B" w:rsidP="00CC6B6E">
      <w:pPr>
        <w:spacing w:line="276" w:lineRule="auto"/>
        <w:ind w:left="851" w:right="616"/>
        <w:jc w:val="both"/>
        <w:rPr>
          <w:rFonts w:ascii="Palatino Linotype" w:eastAsia="Palatino Linotype" w:hAnsi="Palatino Linotype" w:cs="Palatino Linotype"/>
          <w:b/>
          <w:i/>
          <w:sz w:val="22"/>
          <w:szCs w:val="22"/>
        </w:rPr>
      </w:pPr>
      <w:r w:rsidRPr="004D04AE">
        <w:rPr>
          <w:rFonts w:ascii="Palatino Linotype" w:eastAsia="Palatino Linotype" w:hAnsi="Palatino Linotype" w:cs="Palatino Linotype"/>
          <w:b/>
          <w:i/>
          <w:sz w:val="22"/>
          <w:szCs w:val="22"/>
        </w:rPr>
        <w:t>...</w:t>
      </w:r>
    </w:p>
    <w:p w14:paraId="1B2AB43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Quincuagésimo séptimo</w:t>
      </w:r>
      <w:r w:rsidRPr="004D04AE">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5051351E"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w:t>
      </w:r>
      <w:r w:rsidRPr="004D04AE">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566F9923"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w:t>
      </w:r>
      <w:r w:rsidRPr="004D04AE">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1252BA5F" w14:textId="77777777" w:rsidR="00EB2080" w:rsidRPr="004D04AE" w:rsidRDefault="005B4B1B" w:rsidP="00CC6B6E">
      <w:pPr>
        <w:spacing w:line="276" w:lineRule="auto"/>
        <w:ind w:left="1134"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III</w:t>
      </w:r>
      <w:r w:rsidRPr="004D04AE">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AC47C26"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2EDB62AC" w14:textId="77777777" w:rsidR="00EB2080" w:rsidRPr="004D04AE" w:rsidRDefault="005B4B1B" w:rsidP="00CC6B6E">
      <w:pP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b/>
          <w:i/>
          <w:sz w:val="22"/>
          <w:szCs w:val="22"/>
        </w:rPr>
        <w:t>Quincuagésimo octavo</w:t>
      </w:r>
      <w:r w:rsidRPr="004D04AE">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165220C" w14:textId="77777777"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FD7FDBB"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 xml:space="preserve">Por otro lado, derivado de la información que se ordena entregar pudiera existir información de la </w:t>
      </w:r>
      <w:r w:rsidRPr="004D04AE">
        <w:rPr>
          <w:rFonts w:ascii="Palatino Linotype" w:eastAsia="Palatino Linotype" w:hAnsi="Palatino Linotype" w:cs="Palatino Linotype"/>
          <w:b/>
          <w:sz w:val="22"/>
          <w:szCs w:val="22"/>
        </w:rPr>
        <w:t>Dirección de Seguridad Pública del Ayuntamiento o su equivalente,</w:t>
      </w:r>
      <w:r w:rsidRPr="004D04AE">
        <w:rPr>
          <w:rFonts w:ascii="Palatino Linotype" w:eastAsia="Palatino Linotype" w:hAnsi="Palatino Linotype" w:cs="Palatino Linotype"/>
          <w:sz w:val="22"/>
          <w:szCs w:val="22"/>
        </w:rPr>
        <w:t xml:space="preserve"> la cual ponga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por lo que deberá testarse de igual manera sólo el nombre de los servidores públicos de la Policía Municipal </w:t>
      </w:r>
      <w:r w:rsidRPr="004D04AE">
        <w:rPr>
          <w:rFonts w:ascii="Palatino Linotype" w:eastAsia="Palatino Linotype" w:hAnsi="Palatino Linotype" w:cs="Palatino Linotype"/>
          <w:b/>
          <w:sz w:val="22"/>
          <w:szCs w:val="22"/>
        </w:rPr>
        <w:t>que desempeñen funciones operativas</w:t>
      </w:r>
      <w:r w:rsidRPr="004D04AE">
        <w:rPr>
          <w:rFonts w:ascii="Palatino Linotype" w:eastAsia="Palatino Linotype" w:hAnsi="Palatino Linotype" w:cs="Palatino Linotype"/>
          <w:sz w:val="22"/>
          <w:szCs w:val="22"/>
        </w:rPr>
        <w:t>.</w:t>
      </w:r>
    </w:p>
    <w:p w14:paraId="6C2D9A77" w14:textId="77777777" w:rsidR="00EB2080" w:rsidRPr="004D04AE" w:rsidRDefault="00EB2080" w:rsidP="00CC6B6E">
      <w:pPr>
        <w:spacing w:line="360" w:lineRule="auto"/>
        <w:rPr>
          <w:rFonts w:ascii="Palatino Linotype" w:hAnsi="Palatino Linotype"/>
          <w:sz w:val="22"/>
          <w:szCs w:val="22"/>
        </w:rPr>
      </w:pPr>
    </w:p>
    <w:p w14:paraId="2C8BB587"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 xml:space="preserve">Al respecto, la información </w:t>
      </w:r>
      <w:r w:rsidRPr="004D04AE">
        <w:rPr>
          <w:rFonts w:ascii="Palatino Linotype" w:eastAsia="Palatino Linotype" w:hAnsi="Palatino Linotype" w:cs="Palatino Linotype"/>
          <w:b/>
          <w:sz w:val="22"/>
          <w:szCs w:val="22"/>
        </w:rPr>
        <w:t>de los elementos que realizan funciones operativas, entre ellos su nombre debe ser protegido</w:t>
      </w:r>
      <w:r w:rsidRPr="004D04AE">
        <w:rPr>
          <w:rFonts w:ascii="Palatino Linotype" w:eastAsia="Palatino Linotype" w:hAnsi="Palatino Linotype" w:cs="Palatino Linotype"/>
          <w:sz w:val="22"/>
          <w:szCs w:val="22"/>
        </w:rPr>
        <w:t xml:space="preserve"> con la finalidad de evitar la identificación de las personas al amparo de la protección a la vida, salud y seguridad; porque los miembros de las instituciones policiales o que realizan actividades operativas en materia de seguridad 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que pertenecen, lo que se traduce en la prevención de delitos y combate a los delincuentes.</w:t>
      </w:r>
    </w:p>
    <w:p w14:paraId="06BFBDE9" w14:textId="77777777" w:rsidR="00EB2080" w:rsidRPr="004D04AE" w:rsidRDefault="00EB2080" w:rsidP="00CC6B6E">
      <w:pPr>
        <w:spacing w:line="360" w:lineRule="auto"/>
        <w:rPr>
          <w:rFonts w:ascii="Palatino Linotype" w:hAnsi="Palatino Linotype"/>
          <w:sz w:val="22"/>
          <w:szCs w:val="22"/>
        </w:rPr>
      </w:pPr>
    </w:p>
    <w:p w14:paraId="04E53A29"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vigente a la fecha de la solicitud, así como los requisitos previstos por los numerales Vigésimo tercero y Trigésimo tercero, de los Lineamientos generales en materia de clasificación y desclasificación de la información, así como para la elaboración de versiones públicas, al aplicar la prueba de daño correspondiente.</w:t>
      </w:r>
    </w:p>
    <w:p w14:paraId="68F4F84E" w14:textId="77777777" w:rsidR="00EB2080" w:rsidRPr="004D04AE" w:rsidRDefault="00EB2080" w:rsidP="00CC6B6E">
      <w:pPr>
        <w:spacing w:line="360" w:lineRule="auto"/>
        <w:rPr>
          <w:rFonts w:ascii="Palatino Linotype" w:hAnsi="Palatino Linotype"/>
          <w:sz w:val="22"/>
          <w:szCs w:val="22"/>
        </w:rPr>
      </w:pPr>
    </w:p>
    <w:p w14:paraId="18E6B822"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Como se ha referido es procedente la clasificación de la información como reservada, con el fin de no poner en riesgo su vida, salud y seguridad, dado 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14:paraId="6632A420" w14:textId="77777777" w:rsidR="00EB2080" w:rsidRPr="004D04AE" w:rsidRDefault="00EB2080" w:rsidP="00CC6B6E">
      <w:pPr>
        <w:spacing w:line="360" w:lineRule="auto"/>
        <w:rPr>
          <w:rFonts w:ascii="Palatino Linotype" w:hAnsi="Palatino Linotype"/>
          <w:sz w:val="22"/>
          <w:szCs w:val="22"/>
        </w:rPr>
      </w:pPr>
    </w:p>
    <w:p w14:paraId="3FCF4D2C"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En ese entendido, la leyenda de clasificación que se genere, deberá establecer ambos supuestos de clasificación: reserva y confidencialidad, en congruencia con los requisitos establecidos en los lineamientos citados.</w:t>
      </w:r>
    </w:p>
    <w:p w14:paraId="0ED059E5" w14:textId="77777777" w:rsidR="00EB2080" w:rsidRPr="004D04AE" w:rsidRDefault="00EB2080" w:rsidP="00CC6B6E">
      <w:pPr>
        <w:spacing w:line="360" w:lineRule="auto"/>
        <w:rPr>
          <w:rFonts w:ascii="Palatino Linotype" w:hAnsi="Palatino Linotype"/>
          <w:sz w:val="22"/>
          <w:szCs w:val="22"/>
        </w:rPr>
      </w:pPr>
    </w:p>
    <w:p w14:paraId="6A154F8D"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resulta necesario traer por analogía, el criterio de interpretación histórico 06/09, emitido por el entonces Instituto Federal de Acceso a la Información y Protección de Datos, que establece lo siguiente:</w:t>
      </w:r>
    </w:p>
    <w:p w14:paraId="4E99B840" w14:textId="77777777" w:rsidR="00EB2080" w:rsidRPr="004D04AE" w:rsidRDefault="005B4B1B" w:rsidP="00CC6B6E">
      <w:pPr>
        <w:pBdr>
          <w:top w:val="nil"/>
          <w:left w:val="nil"/>
          <w:bottom w:val="nil"/>
          <w:right w:val="nil"/>
          <w:between w:val="nil"/>
        </w:pBdr>
        <w:spacing w:line="276" w:lineRule="auto"/>
        <w:ind w:left="993" w:right="616"/>
        <w:jc w:val="both"/>
        <w:rPr>
          <w:rFonts w:ascii="Palatino Linotype" w:hAnsi="Palatino Linotype"/>
          <w:sz w:val="22"/>
          <w:szCs w:val="22"/>
        </w:rPr>
      </w:pPr>
      <w:r w:rsidRPr="004D04AE">
        <w:rPr>
          <w:rFonts w:ascii="Palatino Linotype" w:eastAsia="Palatino Linotype" w:hAnsi="Palatino Linotype" w:cs="Palatino Linotype"/>
          <w:b/>
          <w:i/>
          <w:sz w:val="22"/>
          <w:szCs w:val="22"/>
        </w:rPr>
        <w:t>Nombres de servidores públicos dedicados a actividades en materia de seguridad, por excepción pueden considerarse información reservada.</w:t>
      </w:r>
      <w:r w:rsidRPr="004D04AE">
        <w:rPr>
          <w:rFonts w:ascii="Palatino Linotype" w:eastAsia="Palatino Linotype" w:hAnsi="Palatino Linotype" w:cs="Palatino Linotype"/>
          <w:i/>
          <w:sz w:val="22"/>
          <w:szCs w:val="22"/>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7A3E5BE5" w14:textId="77777777" w:rsidR="00EB2080" w:rsidRPr="004D04AE" w:rsidRDefault="00EB2080" w:rsidP="00CC6B6E">
      <w:pPr>
        <w:spacing w:line="360" w:lineRule="auto"/>
        <w:rPr>
          <w:rFonts w:ascii="Palatino Linotype" w:hAnsi="Palatino Linotype"/>
          <w:sz w:val="22"/>
          <w:szCs w:val="22"/>
        </w:rPr>
      </w:pPr>
    </w:p>
    <w:p w14:paraId="45584891"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w:t>
      </w:r>
      <w:r w:rsidRPr="004D04AE">
        <w:rPr>
          <w:rFonts w:ascii="Palatino Linotype" w:eastAsia="Palatino Linotype" w:hAnsi="Palatino Linotype" w:cs="Palatino Linotype"/>
          <w:b/>
          <w:sz w:val="22"/>
          <w:szCs w:val="22"/>
        </w:rPr>
        <w:t>funciones de carácter operativo.</w:t>
      </w:r>
    </w:p>
    <w:p w14:paraId="66E4BD90" w14:textId="77777777" w:rsidR="00EB2080" w:rsidRPr="004D04AE" w:rsidRDefault="00EB2080" w:rsidP="00CC6B6E">
      <w:pPr>
        <w:spacing w:line="360" w:lineRule="auto"/>
        <w:rPr>
          <w:rFonts w:ascii="Palatino Linotype" w:hAnsi="Palatino Linotype"/>
          <w:sz w:val="22"/>
          <w:szCs w:val="22"/>
        </w:rPr>
      </w:pPr>
    </w:p>
    <w:p w14:paraId="704923D0" w14:textId="77777777" w:rsidR="00EB2080" w:rsidRPr="004D04AE" w:rsidRDefault="005B4B1B" w:rsidP="00CC6B6E">
      <w:pPr>
        <w:pBdr>
          <w:top w:val="nil"/>
          <w:left w:val="nil"/>
          <w:bottom w:val="nil"/>
          <w:right w:val="nil"/>
          <w:between w:val="nil"/>
        </w:pBdr>
        <w:spacing w:line="360" w:lineRule="auto"/>
        <w:jc w:val="both"/>
        <w:rPr>
          <w:rFonts w:ascii="Palatino Linotype" w:hAnsi="Palatino Linotype"/>
          <w:sz w:val="22"/>
          <w:szCs w:val="22"/>
        </w:rPr>
      </w:pPr>
      <w:r w:rsidRPr="004D04AE">
        <w:rPr>
          <w:rFonts w:ascii="Palatino Linotype" w:eastAsia="Palatino Linotype" w:hAnsi="Palatino Linotype" w:cs="Palatino Linotype"/>
          <w:sz w:val="22"/>
          <w:szCs w:val="22"/>
        </w:rPr>
        <w:t>Sirven de sustento a lo anterior las tesis jurisprudenciales emitidas por la Suprema corte de Justicia de la Nación, que son del literal siguiente:</w:t>
      </w:r>
    </w:p>
    <w:p w14:paraId="40EFCEFC" w14:textId="77777777" w:rsidR="00EB2080" w:rsidRPr="004D04AE" w:rsidRDefault="00EB2080" w:rsidP="00CC6B6E">
      <w:pPr>
        <w:spacing w:line="360" w:lineRule="auto"/>
        <w:rPr>
          <w:rFonts w:ascii="Palatino Linotype" w:hAnsi="Palatino Linotype"/>
          <w:sz w:val="22"/>
          <w:szCs w:val="22"/>
        </w:rPr>
      </w:pPr>
    </w:p>
    <w:p w14:paraId="4AE46D17" w14:textId="77777777" w:rsidR="00EB2080" w:rsidRPr="004D04AE" w:rsidRDefault="005B4B1B" w:rsidP="00CC6B6E">
      <w:pPr>
        <w:pBdr>
          <w:top w:val="nil"/>
          <w:left w:val="nil"/>
          <w:bottom w:val="nil"/>
          <w:right w:val="nil"/>
          <w:between w:val="nil"/>
        </w:pBdr>
        <w:ind w:left="851" w:right="616"/>
        <w:jc w:val="both"/>
        <w:rPr>
          <w:rFonts w:ascii="Palatino Linotype" w:hAnsi="Palatino Linotype"/>
          <w:sz w:val="22"/>
          <w:szCs w:val="22"/>
        </w:rPr>
      </w:pPr>
      <w:r w:rsidRPr="004D04AE">
        <w:rPr>
          <w:rFonts w:ascii="Palatino Linotype" w:eastAsia="Palatino Linotype" w:hAnsi="Palatino Linotype" w:cs="Palatino Linotype"/>
          <w:b/>
          <w:i/>
          <w:sz w:val="22"/>
          <w:szCs w:val="22"/>
        </w:rPr>
        <w:t xml:space="preserve">DERECHO A LA INFORMACIÓN. SU EJERCICIO SE ENCUENTRA LIMITADO TANTO POR LOS INTERESES NACIONALES Y DE LA SOCIEDAD, COMO POR LOS DERECHOS DE TERCEROS. </w:t>
      </w:r>
      <w:r w:rsidRPr="004D04AE">
        <w:rPr>
          <w:rFonts w:ascii="Palatino Linotype" w:eastAsia="Palatino Linotype" w:hAnsi="Palatino Linotype" w:cs="Palatino Linotype"/>
          <w:i/>
          <w:sz w:val="22"/>
          <w:szCs w:val="22"/>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4D04AE">
        <w:rPr>
          <w:rFonts w:ascii="Palatino Linotype" w:eastAsia="Palatino Linotype" w:hAnsi="Palatino Linotype" w:cs="Palatino Linotype"/>
          <w:b/>
          <w:i/>
          <w:sz w:val="22"/>
          <w:szCs w:val="22"/>
        </w:rPr>
        <w:t>restringen el acceso a la información en esta materia, en razón de que su conocimiento público puede generar daños a los intereses nacionales y, por el otro, sancionan la inobservancia de esa reserva;</w:t>
      </w:r>
      <w:r w:rsidRPr="004D04AE">
        <w:rPr>
          <w:rFonts w:ascii="Palatino Linotype" w:eastAsia="Palatino Linotype" w:hAnsi="Palatino Linotype" w:cs="Palatino Linotype"/>
          <w:i/>
          <w:sz w:val="22"/>
          <w:szCs w:val="22"/>
        </w:rPr>
        <w:t xml:space="preserve"> por lo que hace al interés social, se cuenta con normas que tienden a proteger la averiguación de los delitos, la salud y la moral públicas, </w:t>
      </w:r>
      <w:r w:rsidRPr="004D04AE">
        <w:rPr>
          <w:rFonts w:ascii="Palatino Linotype" w:eastAsia="Palatino Linotype" w:hAnsi="Palatino Linotype" w:cs="Palatino Linotype"/>
          <w:b/>
          <w:i/>
          <w:sz w:val="22"/>
          <w:szCs w:val="22"/>
        </w:rPr>
        <w:t>mientras que por lo que respecta a la protección de la persona existen normas que protegen el derecho a la vida o a la privacidad de los gobernados.</w:t>
      </w:r>
    </w:p>
    <w:p w14:paraId="3839F980" w14:textId="77777777" w:rsidR="00EB2080" w:rsidRPr="004D04AE" w:rsidRDefault="00EB2080" w:rsidP="00CC6B6E">
      <w:pPr>
        <w:ind w:left="851"/>
        <w:rPr>
          <w:rFonts w:ascii="Palatino Linotype" w:hAnsi="Palatino Linotype"/>
          <w:sz w:val="22"/>
          <w:szCs w:val="22"/>
        </w:rPr>
      </w:pPr>
    </w:p>
    <w:p w14:paraId="23257DCA" w14:textId="77777777" w:rsidR="00EB2080" w:rsidRPr="004D04AE" w:rsidRDefault="005B4B1B" w:rsidP="00CC6B6E">
      <w:pPr>
        <w:pBdr>
          <w:top w:val="nil"/>
          <w:left w:val="nil"/>
          <w:bottom w:val="nil"/>
          <w:right w:val="nil"/>
          <w:between w:val="nil"/>
        </w:pBdr>
        <w:ind w:left="851" w:right="616"/>
        <w:jc w:val="both"/>
        <w:rPr>
          <w:rFonts w:ascii="Palatino Linotype" w:hAnsi="Palatino Linotype"/>
          <w:sz w:val="22"/>
          <w:szCs w:val="22"/>
        </w:rPr>
      </w:pPr>
      <w:r w:rsidRPr="004D04AE">
        <w:rPr>
          <w:rFonts w:ascii="Palatino Linotype" w:eastAsia="Palatino Linotype" w:hAnsi="Palatino Linotype" w:cs="Palatino Linotype"/>
          <w:b/>
          <w:i/>
          <w:sz w:val="22"/>
          <w:szCs w:val="22"/>
        </w:rPr>
        <w:t>TRANSPARENCIA Y ACCESO A LA INFORMACIÓN PÚBLICA GUBERNAMENTAL. EL ARTÍCULO 14, FRACCIÓN I, DE LA LEY FEDERAL RELATIVA, NO VIOLA LA GARANTÍA DE ACCESO A LA INFORMACIÓN.</w:t>
      </w:r>
      <w:r w:rsidRPr="004D04AE">
        <w:rPr>
          <w:rFonts w:ascii="Palatino Linotype" w:eastAsia="Palatino Linotype" w:hAnsi="Palatino Linotype" w:cs="Palatino Linotype"/>
          <w:i/>
          <w:sz w:val="22"/>
          <w:szCs w:val="22"/>
        </w:rPr>
        <w:t xml:space="preserve"> 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4D04AE">
        <w:rPr>
          <w:rFonts w:ascii="Palatino Linotype" w:eastAsia="Palatino Linotype" w:hAnsi="Palatino Linotype" w:cs="Palatino Linotype"/>
          <w:b/>
          <w:i/>
          <w:sz w:val="22"/>
          <w:szCs w:val="22"/>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4D04AE">
        <w:rPr>
          <w:rFonts w:ascii="Palatino Linotype" w:eastAsia="Palatino Linotype" w:hAnsi="Palatino Linotype" w:cs="Palatino Linotype"/>
          <w:i/>
          <w:sz w:val="22"/>
          <w:szCs w:val="22"/>
        </w:rPr>
        <w:t>, la cual debe ser adecuada y necesaria para alcanzar el fin perseguido, de manera que las ventajas obtenidas con la reserva compensen el sacrificio que ésta implique para los titulares de la garantía individual mencionada o para la sociedad en general.</w:t>
      </w:r>
    </w:p>
    <w:p w14:paraId="70578380" w14:textId="77777777"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85CAC86" w14:textId="16BEA240" w:rsidR="00EB2080" w:rsidRPr="004D04AE" w:rsidRDefault="005B4B1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sz w:val="22"/>
          <w:szCs w:val="22"/>
        </w:rPr>
        <w:t xml:space="preserve">Así, con fundamento en lo prescrito en los artículos 5 párrafos </w:t>
      </w:r>
      <w:r w:rsidR="00FD35FF" w:rsidRPr="004D04AE">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4D04AE">
        <w:rPr>
          <w:rFonts w:ascii="Palatino Linotype" w:eastAsia="Palatino Linotype" w:hAnsi="Palatino Linotype" w:cs="Palatino Linotype"/>
          <w:sz w:val="22"/>
          <w:szCs w:val="22"/>
        </w:rPr>
        <w:t>; 2, fracción II; 29, 36 fracciones I y II; 176, 178, 181, 185 y 186 fracción II de la Ley de Transparencia y Acceso a la Información Pública del Estado de México y Municipios, este Pleno:</w:t>
      </w:r>
    </w:p>
    <w:p w14:paraId="46538797" w14:textId="43A528B4" w:rsidR="00EB2080" w:rsidRPr="004D04AE" w:rsidRDefault="00EB2080"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217645F" w14:textId="46726854" w:rsidR="00D37F4B" w:rsidRPr="004D04AE" w:rsidRDefault="00D37F4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E1933DC" w14:textId="17E7547E" w:rsidR="00D37F4B" w:rsidRPr="004D04AE" w:rsidRDefault="00D37F4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0A129E3" w14:textId="77777777" w:rsidR="00D37F4B" w:rsidRPr="004D04AE" w:rsidRDefault="00D37F4B" w:rsidP="00CC6B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D858FD0" w14:textId="77777777" w:rsidR="00EB2080" w:rsidRPr="004D04AE" w:rsidRDefault="005B4B1B" w:rsidP="00CC6B6E">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12" w:name="_heading=h.ijv98pntcd5s" w:colFirst="0" w:colLast="0"/>
      <w:bookmarkEnd w:id="12"/>
      <w:r w:rsidRPr="004D04AE">
        <w:rPr>
          <w:rFonts w:ascii="Palatino Linotype" w:eastAsia="Palatino Linotype" w:hAnsi="Palatino Linotype" w:cs="Palatino Linotype"/>
          <w:b/>
          <w:sz w:val="22"/>
          <w:szCs w:val="22"/>
        </w:rPr>
        <w:t>III. R E S U E L V E</w:t>
      </w:r>
    </w:p>
    <w:p w14:paraId="57EADDE0" w14:textId="77777777" w:rsidR="00EB2080" w:rsidRPr="004D04AE" w:rsidRDefault="00EB2080" w:rsidP="00CC6B6E">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684EC6DE" w14:textId="3750419B" w:rsidR="00EB2080" w:rsidRPr="004D04AE" w:rsidRDefault="005B4B1B" w:rsidP="00CC6B6E">
      <w:pPr>
        <w:spacing w:line="360" w:lineRule="auto"/>
        <w:jc w:val="both"/>
        <w:rPr>
          <w:rFonts w:ascii="Palatino Linotype" w:eastAsia="Palatino Linotype" w:hAnsi="Palatino Linotype" w:cs="Palatino Linotype"/>
          <w:b/>
          <w:sz w:val="22"/>
          <w:szCs w:val="22"/>
        </w:rPr>
      </w:pPr>
      <w:bookmarkStart w:id="13" w:name="_heading=h.26in1rg" w:colFirst="0" w:colLast="0"/>
      <w:bookmarkEnd w:id="13"/>
      <w:r w:rsidRPr="004D04AE">
        <w:rPr>
          <w:rFonts w:ascii="Palatino Linotype" w:eastAsia="Palatino Linotype" w:hAnsi="Palatino Linotype" w:cs="Palatino Linotype"/>
          <w:b/>
          <w:sz w:val="22"/>
          <w:szCs w:val="22"/>
        </w:rPr>
        <w:t xml:space="preserve">Primero. </w:t>
      </w:r>
      <w:r w:rsidRPr="004D04AE">
        <w:rPr>
          <w:rFonts w:ascii="Palatino Linotype" w:eastAsia="Palatino Linotype" w:hAnsi="Palatino Linotype" w:cs="Palatino Linotype"/>
          <w:sz w:val="22"/>
          <w:szCs w:val="22"/>
        </w:rPr>
        <w:t xml:space="preserve">Resultan </w:t>
      </w:r>
      <w:r w:rsidRPr="004D04AE">
        <w:rPr>
          <w:rFonts w:ascii="Palatino Linotype" w:eastAsia="Palatino Linotype" w:hAnsi="Palatino Linotype" w:cs="Palatino Linotype"/>
          <w:b/>
          <w:sz w:val="22"/>
          <w:szCs w:val="22"/>
        </w:rPr>
        <w:t>fundadas</w:t>
      </w:r>
      <w:r w:rsidRPr="004D04AE">
        <w:rPr>
          <w:rFonts w:ascii="Palatino Linotype" w:eastAsia="Palatino Linotype" w:hAnsi="Palatino Linotype" w:cs="Palatino Linotype"/>
          <w:sz w:val="22"/>
          <w:szCs w:val="22"/>
        </w:rPr>
        <w:t xml:space="preserve"> las razones o motivos de inconformidad hechos valer por la parte</w:t>
      </w:r>
      <w:r w:rsidRPr="004D04AE">
        <w:rPr>
          <w:rFonts w:ascii="Palatino Linotype" w:eastAsia="Palatino Linotype" w:hAnsi="Palatino Linotype" w:cs="Palatino Linotype"/>
          <w:b/>
          <w:sz w:val="22"/>
          <w:szCs w:val="22"/>
        </w:rPr>
        <w:t xml:space="preserve"> Recurrente</w:t>
      </w:r>
      <w:r w:rsidRPr="004D04AE">
        <w:rPr>
          <w:rFonts w:ascii="Palatino Linotype" w:eastAsia="Palatino Linotype" w:hAnsi="Palatino Linotype" w:cs="Palatino Linotype"/>
          <w:sz w:val="22"/>
          <w:szCs w:val="22"/>
        </w:rPr>
        <w:t xml:space="preserve"> en el recurso de revisión </w:t>
      </w:r>
      <w:r w:rsidR="008A6217" w:rsidRPr="004D04AE">
        <w:rPr>
          <w:rFonts w:ascii="Palatino Linotype" w:eastAsia="Palatino Linotype" w:hAnsi="Palatino Linotype" w:cs="Palatino Linotype"/>
          <w:b/>
          <w:sz w:val="22"/>
          <w:szCs w:val="22"/>
        </w:rPr>
        <w:t>00709</w:t>
      </w:r>
      <w:r w:rsidRPr="004D04AE">
        <w:rPr>
          <w:rFonts w:ascii="Palatino Linotype" w:eastAsia="Palatino Linotype" w:hAnsi="Palatino Linotype" w:cs="Palatino Linotype"/>
          <w:b/>
          <w:sz w:val="22"/>
          <w:szCs w:val="22"/>
        </w:rPr>
        <w:t>/INFOEM/IP/RR/202</w:t>
      </w:r>
      <w:r w:rsidR="008A6217" w:rsidRPr="004D04AE">
        <w:rPr>
          <w:rFonts w:ascii="Palatino Linotype" w:eastAsia="Palatino Linotype" w:hAnsi="Palatino Linotype" w:cs="Palatino Linotype"/>
          <w:b/>
          <w:sz w:val="22"/>
          <w:szCs w:val="22"/>
        </w:rPr>
        <w:t>6</w:t>
      </w:r>
      <w:r w:rsidRPr="004D04AE">
        <w:rPr>
          <w:rFonts w:ascii="Palatino Linotype" w:eastAsia="Palatino Linotype" w:hAnsi="Palatino Linotype" w:cs="Palatino Linotype"/>
          <w:sz w:val="22"/>
          <w:szCs w:val="22"/>
        </w:rPr>
        <w:t xml:space="preserve">; por lo que, en términos del </w:t>
      </w:r>
      <w:r w:rsidRPr="004D04AE">
        <w:rPr>
          <w:rFonts w:ascii="Palatino Linotype" w:eastAsia="Palatino Linotype" w:hAnsi="Palatino Linotype" w:cs="Palatino Linotype"/>
          <w:b/>
          <w:sz w:val="22"/>
          <w:szCs w:val="22"/>
        </w:rPr>
        <w:t>Considerando</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b/>
          <w:sz w:val="22"/>
          <w:szCs w:val="22"/>
        </w:rPr>
        <w:t xml:space="preserve">Cuarto </w:t>
      </w:r>
      <w:r w:rsidRPr="004D04AE">
        <w:rPr>
          <w:rFonts w:ascii="Palatino Linotype" w:eastAsia="Palatino Linotype" w:hAnsi="Palatino Linotype" w:cs="Palatino Linotype"/>
          <w:sz w:val="22"/>
          <w:szCs w:val="22"/>
        </w:rPr>
        <w:t xml:space="preserve">de esta resolución, se </w:t>
      </w:r>
      <w:r w:rsidR="008A6217" w:rsidRPr="004D04AE">
        <w:rPr>
          <w:rFonts w:ascii="Palatino Linotype" w:eastAsia="Palatino Linotype" w:hAnsi="Palatino Linotype" w:cs="Palatino Linotype"/>
          <w:b/>
          <w:sz w:val="22"/>
          <w:szCs w:val="22"/>
        </w:rPr>
        <w:t>Revoca</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 xml:space="preserve">la respuesta emitida por el </w:t>
      </w:r>
      <w:r w:rsidRPr="004D04AE">
        <w:rPr>
          <w:rFonts w:ascii="Palatino Linotype" w:eastAsia="Palatino Linotype" w:hAnsi="Palatino Linotype" w:cs="Palatino Linotype"/>
          <w:b/>
          <w:sz w:val="22"/>
          <w:szCs w:val="22"/>
        </w:rPr>
        <w:t xml:space="preserve">Sujeto Obligado. </w:t>
      </w:r>
    </w:p>
    <w:p w14:paraId="31303374"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2132A5D6"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Segundo. </w:t>
      </w:r>
      <w:r w:rsidRPr="004D04AE">
        <w:rPr>
          <w:rFonts w:ascii="Palatino Linotype" w:eastAsia="Palatino Linotype" w:hAnsi="Palatino Linotype" w:cs="Palatino Linotype"/>
          <w:sz w:val="22"/>
          <w:szCs w:val="22"/>
        </w:rPr>
        <w:t xml:space="preserve">Se </w:t>
      </w:r>
      <w:r w:rsidRPr="004D04AE">
        <w:rPr>
          <w:rFonts w:ascii="Palatino Linotype" w:eastAsia="Palatino Linotype" w:hAnsi="Palatino Linotype" w:cs="Palatino Linotype"/>
          <w:b/>
          <w:sz w:val="22"/>
          <w:szCs w:val="22"/>
        </w:rPr>
        <w:t xml:space="preserve">Ordena </w:t>
      </w:r>
      <w:r w:rsidRPr="004D04AE">
        <w:rPr>
          <w:rFonts w:ascii="Palatino Linotype" w:eastAsia="Palatino Linotype" w:hAnsi="Palatino Linotype" w:cs="Palatino Linotype"/>
          <w:sz w:val="22"/>
          <w:szCs w:val="22"/>
        </w:rPr>
        <w:t xml:space="preserve">al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xml:space="preserve"> haga entrega, a la parte</w:t>
      </w:r>
      <w:r w:rsidRPr="004D04AE">
        <w:rPr>
          <w:rFonts w:ascii="Palatino Linotype" w:eastAsia="Palatino Linotype" w:hAnsi="Palatino Linotype" w:cs="Palatino Linotype"/>
          <w:b/>
          <w:sz w:val="22"/>
          <w:szCs w:val="22"/>
        </w:rPr>
        <w:t xml:space="preserve"> Recurrente,</w:t>
      </w:r>
      <w:r w:rsidRPr="004D04AE">
        <w:rPr>
          <w:rFonts w:ascii="Palatino Linotype" w:eastAsia="Palatino Linotype" w:hAnsi="Palatino Linotype" w:cs="Palatino Linotype"/>
          <w:sz w:val="22"/>
          <w:szCs w:val="22"/>
        </w:rPr>
        <w:t xml:space="preserve"> vía </w:t>
      </w:r>
      <w:r w:rsidRPr="004D04AE">
        <w:rPr>
          <w:rFonts w:ascii="Palatino Linotype" w:eastAsia="Palatino Linotype" w:hAnsi="Palatino Linotype" w:cs="Palatino Linotype"/>
          <w:b/>
          <w:sz w:val="22"/>
          <w:szCs w:val="22"/>
        </w:rPr>
        <w:t xml:space="preserve">SAIMEX, </w:t>
      </w:r>
      <w:r w:rsidRPr="004D04AE">
        <w:rPr>
          <w:rFonts w:ascii="Palatino Linotype" w:eastAsia="Palatino Linotype" w:hAnsi="Palatino Linotype" w:cs="Palatino Linotype"/>
          <w:sz w:val="22"/>
          <w:szCs w:val="22"/>
        </w:rPr>
        <w:t xml:space="preserve">en términos de los </w:t>
      </w:r>
      <w:r w:rsidRPr="004D04AE">
        <w:rPr>
          <w:rFonts w:ascii="Palatino Linotype" w:eastAsia="Palatino Linotype" w:hAnsi="Palatino Linotype" w:cs="Palatino Linotype"/>
          <w:b/>
          <w:sz w:val="22"/>
          <w:szCs w:val="22"/>
        </w:rPr>
        <w:t>Considerandos</w:t>
      </w:r>
      <w:r w:rsidRPr="004D04AE">
        <w:rPr>
          <w:rFonts w:ascii="Palatino Linotype" w:eastAsia="Palatino Linotype" w:hAnsi="Palatino Linotype" w:cs="Palatino Linotype"/>
          <w:sz w:val="22"/>
          <w:szCs w:val="22"/>
        </w:rPr>
        <w:t xml:space="preserve"> </w:t>
      </w:r>
      <w:r w:rsidRPr="004D04AE">
        <w:rPr>
          <w:rFonts w:ascii="Palatino Linotype" w:eastAsia="Palatino Linotype" w:hAnsi="Palatino Linotype" w:cs="Palatino Linotype"/>
          <w:b/>
          <w:sz w:val="22"/>
          <w:szCs w:val="22"/>
        </w:rPr>
        <w:t>Cuarto y Quinto</w:t>
      </w:r>
      <w:r w:rsidRPr="004D04AE">
        <w:rPr>
          <w:rFonts w:ascii="Palatino Linotype" w:eastAsia="Palatino Linotype" w:hAnsi="Palatino Linotype" w:cs="Palatino Linotype"/>
          <w:sz w:val="22"/>
          <w:szCs w:val="22"/>
        </w:rPr>
        <w:t>, en versión pública, de lo siguiente:</w:t>
      </w:r>
    </w:p>
    <w:p w14:paraId="2F10BB2A"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2FE90B7B" w14:textId="4794B4F4" w:rsidR="00EB2080" w:rsidRPr="004D04AE" w:rsidRDefault="00CC6B6E" w:rsidP="00CC6B6E">
      <w:pPr>
        <w:numPr>
          <w:ilvl w:val="0"/>
          <w:numId w:val="2"/>
        </w:numPr>
        <w:pBdr>
          <w:top w:val="nil"/>
          <w:left w:val="nil"/>
          <w:bottom w:val="nil"/>
          <w:right w:val="nil"/>
          <w:between w:val="nil"/>
        </w:pBdr>
        <w:spacing w:line="360" w:lineRule="auto"/>
        <w:ind w:left="851" w:right="616" w:firstLine="0"/>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sz w:val="22"/>
          <w:szCs w:val="22"/>
        </w:rPr>
        <w:t>L</w:t>
      </w:r>
      <w:r w:rsidR="008A6217" w:rsidRPr="004D04AE">
        <w:rPr>
          <w:rFonts w:ascii="Palatino Linotype" w:eastAsia="Palatino Linotype" w:hAnsi="Palatino Linotype" w:cs="Palatino Linotype"/>
          <w:sz w:val="22"/>
          <w:szCs w:val="22"/>
        </w:rPr>
        <w:t>os recibos de nómina de la primera y segunda quincena de noviembre de dos mil veinticinco, de todos los servidores públicos adscritos al Ayuntamiento de Acambay de Ruiz Castañeda</w:t>
      </w:r>
      <w:r w:rsidR="005B4B1B" w:rsidRPr="004D04AE">
        <w:rPr>
          <w:rFonts w:ascii="Palatino Linotype" w:eastAsia="Palatino Linotype" w:hAnsi="Palatino Linotype" w:cs="Palatino Linotype"/>
          <w:sz w:val="22"/>
          <w:szCs w:val="22"/>
        </w:rPr>
        <w:t xml:space="preserve">. </w:t>
      </w:r>
    </w:p>
    <w:p w14:paraId="1A6A43A1" w14:textId="77777777" w:rsidR="00EB2080" w:rsidRPr="004D04AE" w:rsidRDefault="00EB2080"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79B13813" w14:textId="77777777" w:rsidR="00EB2080" w:rsidRPr="004D04AE" w:rsidRDefault="005B4B1B"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4D04AE">
        <w:rPr>
          <w:rFonts w:ascii="Palatino Linotype" w:eastAsia="Palatino Linotype" w:hAnsi="Palatino Linotype" w:cs="Palatino Linotype"/>
          <w:i/>
          <w:sz w:val="22"/>
          <w:szCs w:val="22"/>
        </w:rPr>
        <w:t xml:space="preserve">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 </w:t>
      </w:r>
      <w:r w:rsidRPr="004D04AE">
        <w:rPr>
          <w:rFonts w:ascii="Palatino Linotype" w:eastAsia="Palatino Linotype" w:hAnsi="Palatino Linotype" w:cs="Palatino Linotype"/>
          <w:b/>
          <w:i/>
          <w:sz w:val="22"/>
          <w:szCs w:val="22"/>
        </w:rPr>
        <w:t>Recurrente</w:t>
      </w:r>
      <w:r w:rsidRPr="004D04AE">
        <w:rPr>
          <w:rFonts w:ascii="Palatino Linotype" w:eastAsia="Palatino Linotype" w:hAnsi="Palatino Linotype" w:cs="Palatino Linotype"/>
          <w:i/>
          <w:sz w:val="22"/>
          <w:szCs w:val="22"/>
        </w:rPr>
        <w:t>.</w:t>
      </w:r>
    </w:p>
    <w:p w14:paraId="1EC120C6" w14:textId="77777777" w:rsidR="00EB2080" w:rsidRPr="004D04AE" w:rsidRDefault="00EB2080" w:rsidP="00CC6B6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721306BF" w14:textId="77777777" w:rsidR="00EB2080" w:rsidRPr="004D04AE" w:rsidRDefault="005B4B1B" w:rsidP="00CC6B6E">
      <w:pPr>
        <w:spacing w:line="360" w:lineRule="auto"/>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Tercero. Notifíquese </w:t>
      </w:r>
      <w:r w:rsidRPr="004D04AE">
        <w:rPr>
          <w:rFonts w:ascii="Palatino Linotype" w:eastAsia="Palatino Linotype" w:hAnsi="Palatino Linotype" w:cs="Palatino Linotype"/>
          <w:sz w:val="22"/>
          <w:szCs w:val="22"/>
        </w:rPr>
        <w:t>vía</w:t>
      </w:r>
      <w:r w:rsidRPr="004D04AE">
        <w:rPr>
          <w:rFonts w:ascii="Palatino Linotype" w:eastAsia="Palatino Linotype" w:hAnsi="Palatino Linotype" w:cs="Palatino Linotype"/>
          <w:b/>
          <w:sz w:val="22"/>
          <w:szCs w:val="22"/>
        </w:rPr>
        <w:t xml:space="preserve"> SAIMEX, </w:t>
      </w:r>
      <w:r w:rsidRPr="004D04AE">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F6BDC7"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p>
    <w:p w14:paraId="3ADB66D1"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Cuarto. Notifíquese</w:t>
      </w:r>
      <w:r w:rsidRPr="004D04AE">
        <w:rPr>
          <w:rFonts w:ascii="Palatino Linotype" w:eastAsia="Palatino Linotype" w:hAnsi="Palatino Linotype" w:cs="Palatino Linotype"/>
          <w:sz w:val="22"/>
          <w:szCs w:val="22"/>
        </w:rPr>
        <w:t xml:space="preserve"> vía </w:t>
      </w:r>
      <w:r w:rsidRPr="004D04AE">
        <w:rPr>
          <w:rFonts w:ascii="Palatino Linotype" w:eastAsia="Palatino Linotype" w:hAnsi="Palatino Linotype" w:cs="Palatino Linotype"/>
          <w:b/>
          <w:sz w:val="22"/>
          <w:szCs w:val="22"/>
        </w:rPr>
        <w:t>SAIMEX,</w:t>
      </w:r>
      <w:r w:rsidRPr="004D04AE">
        <w:rPr>
          <w:rFonts w:ascii="Palatino Linotype" w:eastAsia="Palatino Linotype" w:hAnsi="Palatino Linotype" w:cs="Palatino Linotype"/>
          <w:sz w:val="22"/>
          <w:szCs w:val="22"/>
        </w:rPr>
        <w:t xml:space="preserve"> al Titular de la Unidad de Transparencia del </w:t>
      </w:r>
      <w:r w:rsidRPr="004D04AE">
        <w:rPr>
          <w:rFonts w:ascii="Palatino Linotype" w:eastAsia="Palatino Linotype" w:hAnsi="Palatino Linotype" w:cs="Palatino Linotype"/>
          <w:b/>
          <w:sz w:val="22"/>
          <w:szCs w:val="22"/>
        </w:rPr>
        <w:t>Sujeto Obligado</w:t>
      </w:r>
      <w:r w:rsidRPr="004D04AE">
        <w:rPr>
          <w:rFonts w:ascii="Palatino Linotype" w:eastAsia="Palatino Linotype" w:hAnsi="Palatino Linotype" w:cs="Palatino Linotype"/>
          <w:sz w:val="22"/>
          <w:szCs w:val="22"/>
        </w:rPr>
        <w:t>,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0E042C82" w14:textId="77777777" w:rsidR="00EB2080" w:rsidRPr="004D04AE" w:rsidRDefault="00EB2080" w:rsidP="00CC6B6E">
      <w:pPr>
        <w:spacing w:line="360" w:lineRule="auto"/>
        <w:ind w:right="49"/>
        <w:jc w:val="both"/>
        <w:rPr>
          <w:rFonts w:ascii="Palatino Linotype" w:eastAsia="Palatino Linotype" w:hAnsi="Palatino Linotype" w:cs="Palatino Linotype"/>
          <w:sz w:val="22"/>
          <w:szCs w:val="22"/>
        </w:rPr>
      </w:pPr>
    </w:p>
    <w:p w14:paraId="512C1CC4" w14:textId="77777777" w:rsidR="00EB2080" w:rsidRPr="004D04AE" w:rsidRDefault="005B4B1B" w:rsidP="00CC6B6E">
      <w:pPr>
        <w:spacing w:line="360" w:lineRule="auto"/>
        <w:ind w:right="49"/>
        <w:jc w:val="both"/>
        <w:rPr>
          <w:rFonts w:ascii="Palatino Linotype" w:eastAsia="Palatino Linotype" w:hAnsi="Palatino Linotype" w:cs="Palatino Linotype"/>
          <w:sz w:val="22"/>
          <w:szCs w:val="22"/>
        </w:rPr>
      </w:pPr>
      <w:r w:rsidRPr="004D04AE">
        <w:rPr>
          <w:rFonts w:ascii="Palatino Linotype" w:eastAsia="Palatino Linotype" w:hAnsi="Palatino Linotype" w:cs="Palatino Linotype"/>
          <w:b/>
          <w:sz w:val="22"/>
          <w:szCs w:val="22"/>
        </w:rPr>
        <w:t xml:space="preserve">Quinto. Notifíquese </w:t>
      </w:r>
      <w:r w:rsidRPr="004D04AE">
        <w:rPr>
          <w:rFonts w:ascii="Palatino Linotype" w:eastAsia="Palatino Linotype" w:hAnsi="Palatino Linotype" w:cs="Palatino Linotype"/>
          <w:sz w:val="22"/>
          <w:szCs w:val="22"/>
        </w:rPr>
        <w:t>vía</w:t>
      </w:r>
      <w:r w:rsidRPr="004D04AE">
        <w:rPr>
          <w:rFonts w:ascii="Palatino Linotype" w:eastAsia="Palatino Linotype" w:hAnsi="Palatino Linotype" w:cs="Palatino Linotype"/>
          <w:b/>
          <w:sz w:val="22"/>
          <w:szCs w:val="22"/>
        </w:rPr>
        <w:t xml:space="preserve"> SAIMEX, </w:t>
      </w:r>
      <w:r w:rsidRPr="004D04AE">
        <w:rPr>
          <w:rFonts w:ascii="Palatino Linotype" w:eastAsia="Palatino Linotype" w:hAnsi="Palatino Linotype" w:cs="Palatino Linotype"/>
          <w:sz w:val="22"/>
          <w:szCs w:val="22"/>
        </w:rPr>
        <w:t>a</w:t>
      </w:r>
      <w:r w:rsidRPr="004D04AE">
        <w:rPr>
          <w:rFonts w:ascii="Palatino Linotype" w:eastAsia="Palatino Linotype" w:hAnsi="Palatino Linotype" w:cs="Palatino Linotype"/>
          <w:b/>
          <w:sz w:val="22"/>
          <w:szCs w:val="22"/>
        </w:rPr>
        <w:t xml:space="preserve"> </w:t>
      </w:r>
      <w:r w:rsidRPr="004D04AE">
        <w:rPr>
          <w:rFonts w:ascii="Palatino Linotype" w:eastAsia="Palatino Linotype" w:hAnsi="Palatino Linotype" w:cs="Palatino Linotype"/>
          <w:sz w:val="22"/>
          <w:szCs w:val="22"/>
        </w:rPr>
        <w:t>la parte</w:t>
      </w:r>
      <w:r w:rsidRPr="004D04AE">
        <w:rPr>
          <w:rFonts w:ascii="Palatino Linotype" w:eastAsia="Palatino Linotype" w:hAnsi="Palatino Linotype" w:cs="Palatino Linotype"/>
          <w:b/>
          <w:sz w:val="22"/>
          <w:szCs w:val="22"/>
        </w:rPr>
        <w:t xml:space="preserve"> Recurrente</w:t>
      </w:r>
      <w:r w:rsidRPr="004D04AE">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 </w:t>
      </w:r>
    </w:p>
    <w:p w14:paraId="12ACD0CB" w14:textId="77777777" w:rsidR="00EB2080" w:rsidRPr="004D04AE" w:rsidRDefault="00EB2080" w:rsidP="00CC6B6E">
      <w:pPr>
        <w:spacing w:line="360" w:lineRule="auto"/>
        <w:jc w:val="both"/>
        <w:rPr>
          <w:rFonts w:ascii="Palatino Linotype" w:eastAsia="Palatino Linotype" w:hAnsi="Palatino Linotype" w:cs="Palatino Linotype"/>
          <w:sz w:val="22"/>
          <w:szCs w:val="22"/>
        </w:rPr>
      </w:pPr>
      <w:bookmarkStart w:id="14" w:name="_heading=h.17dp8vu" w:colFirst="0" w:colLast="0"/>
      <w:bookmarkEnd w:id="14"/>
    </w:p>
    <w:p w14:paraId="0AD2AAE1" w14:textId="42AEED7D" w:rsidR="00EB2080" w:rsidRPr="00290A2F" w:rsidRDefault="005B4B1B" w:rsidP="00CC6B6E">
      <w:pPr>
        <w:spacing w:line="360" w:lineRule="auto"/>
        <w:jc w:val="both"/>
        <w:rPr>
          <w:rFonts w:ascii="Palatino Linotype" w:eastAsia="Palatino Linotype" w:hAnsi="Palatino Linotype" w:cs="Palatino Linotype"/>
          <w:sz w:val="22"/>
          <w:szCs w:val="22"/>
        </w:rPr>
        <w:sectPr w:rsidR="00EB2080" w:rsidRPr="00290A2F">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15" w:name="_heading=h.1t3h5sf" w:colFirst="0" w:colLast="0"/>
      <w:bookmarkEnd w:id="15"/>
      <w:r w:rsidRPr="004D04AE">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577133" w:rsidRPr="004D04AE">
        <w:rPr>
          <w:rFonts w:ascii="Palatino Linotype" w:eastAsia="Palatino Linotype" w:hAnsi="Palatino Linotype" w:cs="Palatino Linotype"/>
          <w:sz w:val="22"/>
          <w:szCs w:val="22"/>
        </w:rPr>
        <w:t>, EMITIENDO VOTO PARTICULAR</w:t>
      </w:r>
      <w:r w:rsidRPr="004D04AE">
        <w:rPr>
          <w:rFonts w:ascii="Palatino Linotype" w:eastAsia="Palatino Linotype" w:hAnsi="Palatino Linotype" w:cs="Palatino Linotype"/>
          <w:sz w:val="22"/>
          <w:szCs w:val="22"/>
        </w:rPr>
        <w:t xml:space="preserve"> Y GUADALUPE RAMÍREZ PEÑA</w:t>
      </w:r>
      <w:r w:rsidR="009A2511" w:rsidRPr="004D04AE">
        <w:rPr>
          <w:rFonts w:ascii="Palatino Linotype" w:eastAsia="Palatino Linotype" w:hAnsi="Palatino Linotype" w:cs="Palatino Linotype"/>
          <w:sz w:val="22"/>
          <w:szCs w:val="22"/>
        </w:rPr>
        <w:t>, EMITIENDO VOTO PARTICULAR</w:t>
      </w:r>
      <w:r w:rsidRPr="004D04AE">
        <w:rPr>
          <w:rFonts w:ascii="Palatino Linotype" w:eastAsia="Palatino Linotype" w:hAnsi="Palatino Linotype" w:cs="Palatino Linotype"/>
          <w:sz w:val="22"/>
          <w:szCs w:val="22"/>
        </w:rPr>
        <w:t xml:space="preserve">; EN LA </w:t>
      </w:r>
      <w:r w:rsidR="008A6217" w:rsidRPr="004D04AE">
        <w:rPr>
          <w:rFonts w:ascii="Palatino Linotype" w:eastAsia="Palatino Linotype" w:hAnsi="Palatino Linotype" w:cs="Palatino Linotype"/>
          <w:sz w:val="22"/>
          <w:szCs w:val="22"/>
        </w:rPr>
        <w:t xml:space="preserve">SÉPTIMA </w:t>
      </w:r>
      <w:r w:rsidRPr="004D04AE">
        <w:rPr>
          <w:rFonts w:ascii="Palatino Linotype" w:eastAsia="Palatino Linotype" w:hAnsi="Palatino Linotype" w:cs="Palatino Linotype"/>
          <w:sz w:val="22"/>
          <w:szCs w:val="22"/>
        </w:rPr>
        <w:t xml:space="preserve">SESIÓN ORDINARIA, CELEBRADA EL </w:t>
      </w:r>
      <w:r w:rsidR="008A6217" w:rsidRPr="004D04AE">
        <w:rPr>
          <w:rFonts w:ascii="Palatino Linotype" w:eastAsia="Palatino Linotype" w:hAnsi="Palatino Linotype" w:cs="Palatino Linotype"/>
          <w:sz w:val="22"/>
          <w:szCs w:val="22"/>
        </w:rPr>
        <w:t>VEINTICINCO DE FEBRERO DE DOS MIL VEINTISÉIS</w:t>
      </w:r>
      <w:r w:rsidRPr="004D04AE">
        <w:rPr>
          <w:rFonts w:ascii="Palatino Linotype" w:eastAsia="Palatino Linotype" w:hAnsi="Palatino Linotype" w:cs="Palatino Linotype"/>
          <w:sz w:val="22"/>
          <w:szCs w:val="22"/>
        </w:rPr>
        <w:t>, ANTE EL SECRETARIO TÉCNICO DEL PLENO ALEXIS TAPIA RAMÍREZ.</w:t>
      </w:r>
      <w:r w:rsidRPr="00290A2F">
        <w:rPr>
          <w:rFonts w:ascii="Palatino Linotype" w:eastAsia="Palatino Linotype" w:hAnsi="Palatino Linotype" w:cs="Palatino Linotype"/>
          <w:sz w:val="22"/>
          <w:szCs w:val="22"/>
        </w:rPr>
        <w:t xml:space="preserve"> </w:t>
      </w:r>
    </w:p>
    <w:p w14:paraId="4EF236E1" w14:textId="77777777" w:rsidR="00EB2080" w:rsidRPr="00290A2F" w:rsidRDefault="00EB2080" w:rsidP="00CC6B6E">
      <w:pPr>
        <w:spacing w:line="360" w:lineRule="auto"/>
        <w:jc w:val="both"/>
        <w:rPr>
          <w:rFonts w:ascii="Palatino Linotype" w:eastAsia="Palatino Linotype" w:hAnsi="Palatino Linotype" w:cs="Palatino Linotype"/>
          <w:sz w:val="22"/>
          <w:szCs w:val="22"/>
        </w:rPr>
      </w:pPr>
    </w:p>
    <w:sectPr w:rsidR="00EB2080" w:rsidRPr="00290A2F">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E125A" w14:textId="77777777" w:rsidR="00B237DB" w:rsidRDefault="00B237DB">
      <w:r>
        <w:separator/>
      </w:r>
    </w:p>
  </w:endnote>
  <w:endnote w:type="continuationSeparator" w:id="0">
    <w:p w14:paraId="3084FDC9" w14:textId="77777777" w:rsidR="00B237DB" w:rsidRDefault="00B2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32938" w14:textId="207310CC" w:rsidR="00EB2080" w:rsidRDefault="005B4B1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801BF">
      <w:rPr>
        <w:rFonts w:ascii="Palatino Linotype" w:eastAsia="Palatino Linotype" w:hAnsi="Palatino Linotype" w:cs="Palatino Linotype"/>
        <w:b/>
        <w:noProof/>
        <w:color w:val="000000"/>
        <w:sz w:val="20"/>
        <w:szCs w:val="20"/>
      </w:rPr>
      <w:t>19</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801B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0AD13060" w14:textId="77777777" w:rsidR="00EB2080" w:rsidRDefault="00EB208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251B" w14:textId="65D23C46" w:rsidR="00EB2080" w:rsidRDefault="005B4B1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801BF">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801B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0E676FE7" w14:textId="77777777" w:rsidR="00EB2080" w:rsidRDefault="00EB208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6BC66" w14:textId="264461A7" w:rsidR="00EB2080" w:rsidRDefault="005B4B1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Página 54</w:t>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801B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28167663" w14:textId="77777777" w:rsidR="00EB2080" w:rsidRDefault="00EB208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E68FA" w14:textId="77777777" w:rsidR="00B237DB" w:rsidRDefault="00B237DB">
      <w:r>
        <w:separator/>
      </w:r>
    </w:p>
  </w:footnote>
  <w:footnote w:type="continuationSeparator" w:id="0">
    <w:p w14:paraId="7E2D0C99" w14:textId="77777777" w:rsidR="00B237DB" w:rsidRDefault="00B237DB">
      <w:r>
        <w:continuationSeparator/>
      </w:r>
    </w:p>
  </w:footnote>
  <w:footnote w:id="1">
    <w:p w14:paraId="3BE024B1" w14:textId="77777777" w:rsidR="00EB2080" w:rsidRDefault="005B4B1B">
      <w:pPr>
        <w:pBdr>
          <w:top w:val="nil"/>
          <w:left w:val="nil"/>
          <w:bottom w:val="nil"/>
          <w:right w:val="nil"/>
          <w:between w:val="nil"/>
        </w:pBd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20EC6C6D" w14:textId="77777777" w:rsidR="00EB2080" w:rsidRDefault="005B4B1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950B1" w14:textId="77777777" w:rsidR="00EB2080" w:rsidRDefault="00EB2080">
    <w:pPr>
      <w:rPr>
        <w:rFonts w:ascii="Cambria" w:eastAsia="Cambria" w:hAnsi="Cambria" w:cs="Cambria"/>
        <w:color w:val="000000"/>
      </w:rPr>
    </w:pPr>
  </w:p>
  <w:tbl>
    <w:tblPr>
      <w:tblStyle w:val="ad"/>
      <w:tblW w:w="5670" w:type="dxa"/>
      <w:tblInd w:w="3261" w:type="dxa"/>
      <w:tblLayout w:type="fixed"/>
      <w:tblLook w:val="0400" w:firstRow="0" w:lastRow="0" w:firstColumn="0" w:lastColumn="0" w:noHBand="0" w:noVBand="1"/>
    </w:tblPr>
    <w:tblGrid>
      <w:gridCol w:w="2489"/>
      <w:gridCol w:w="3181"/>
    </w:tblGrid>
    <w:tr w:rsidR="00EB2080" w14:paraId="5A32B3FE" w14:textId="77777777">
      <w:tc>
        <w:tcPr>
          <w:tcW w:w="2489" w:type="dxa"/>
        </w:tcPr>
        <w:p w14:paraId="37794462"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181" w:type="dxa"/>
          <w:vAlign w:val="center"/>
        </w:tcPr>
        <w:p w14:paraId="42413247" w14:textId="0474ED72" w:rsidR="00EB2080" w:rsidRDefault="005B4B1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w:t>
          </w:r>
          <w:r w:rsidR="00812CF4">
            <w:rPr>
              <w:rFonts w:ascii="Palatino Linotype" w:eastAsia="Palatino Linotype" w:hAnsi="Palatino Linotype" w:cs="Palatino Linotype"/>
              <w:b/>
              <w:sz w:val="22"/>
              <w:szCs w:val="22"/>
            </w:rPr>
            <w:t>0709</w:t>
          </w:r>
          <w:r>
            <w:rPr>
              <w:rFonts w:ascii="Palatino Linotype" w:eastAsia="Palatino Linotype" w:hAnsi="Palatino Linotype" w:cs="Palatino Linotype"/>
              <w:b/>
              <w:sz w:val="22"/>
              <w:szCs w:val="22"/>
            </w:rPr>
            <w:t>/INFOEM/IP/RR/202</w:t>
          </w:r>
          <w:r w:rsidR="00812CF4">
            <w:rPr>
              <w:rFonts w:ascii="Palatino Linotype" w:eastAsia="Palatino Linotype" w:hAnsi="Palatino Linotype" w:cs="Palatino Linotype"/>
              <w:b/>
              <w:sz w:val="22"/>
              <w:szCs w:val="22"/>
            </w:rPr>
            <w:t>6</w:t>
          </w:r>
        </w:p>
      </w:tc>
    </w:tr>
    <w:tr w:rsidR="00EB2080" w14:paraId="0ED6C339" w14:textId="77777777">
      <w:trPr>
        <w:trHeight w:val="228"/>
      </w:trPr>
      <w:tc>
        <w:tcPr>
          <w:tcW w:w="2489" w:type="dxa"/>
          <w:vAlign w:val="center"/>
        </w:tcPr>
        <w:p w14:paraId="66300E2F"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181" w:type="dxa"/>
          <w:vAlign w:val="center"/>
        </w:tcPr>
        <w:p w14:paraId="5C9D0507" w14:textId="77777777" w:rsidR="00EB2080" w:rsidRDefault="005B4B1B">
          <w:pPr>
            <w:tabs>
              <w:tab w:val="left" w:pos="89"/>
            </w:tabs>
            <w:ind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Acambay de Ruíz Castañeda</w:t>
          </w:r>
          <w:r>
            <w:rPr>
              <w:noProof/>
            </w:rPr>
            <w:drawing>
              <wp:anchor distT="0" distB="0" distL="0" distR="0" simplePos="0" relativeHeight="251658240" behindDoc="1" locked="0" layoutInCell="1" hidden="0" allowOverlap="1" wp14:anchorId="11CEA25B" wp14:editId="3F37270E">
                <wp:simplePos x="0" y="0"/>
                <wp:positionH relativeFrom="column">
                  <wp:posOffset>-4800598</wp:posOffset>
                </wp:positionH>
                <wp:positionV relativeFrom="paragraph">
                  <wp:posOffset>-880108</wp:posOffset>
                </wp:positionV>
                <wp:extent cx="7809865" cy="10165715"/>
                <wp:effectExtent l="0" t="0" r="0" b="0"/>
                <wp:wrapNone/>
                <wp:docPr id="1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EB2080" w14:paraId="2682E08E" w14:textId="77777777">
      <w:tc>
        <w:tcPr>
          <w:tcW w:w="2489" w:type="dxa"/>
          <w:vAlign w:val="center"/>
        </w:tcPr>
        <w:p w14:paraId="600C27D7" w14:textId="77777777" w:rsidR="00EB2080" w:rsidRDefault="005B4B1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181" w:type="dxa"/>
          <w:vAlign w:val="center"/>
        </w:tcPr>
        <w:p w14:paraId="4D613D8B" w14:textId="77777777" w:rsidR="00EB2080" w:rsidRDefault="005B4B1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05ED6003" w14:textId="77777777" w:rsidR="00EB2080" w:rsidRDefault="005B4B1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AC89" w14:textId="77777777" w:rsidR="00EB2080" w:rsidRDefault="005B4B1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41E229CD" wp14:editId="1C6A7A3D">
          <wp:simplePos x="0" y="0"/>
          <wp:positionH relativeFrom="column">
            <wp:posOffset>-1079489</wp:posOffset>
          </wp:positionH>
          <wp:positionV relativeFrom="paragraph">
            <wp:posOffset>-328917</wp:posOffset>
          </wp:positionV>
          <wp:extent cx="7809865" cy="10165715"/>
          <wp:effectExtent l="0" t="0" r="0" b="0"/>
          <wp:wrapNone/>
          <wp:docPr id="1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e"/>
      <w:tblW w:w="5529" w:type="dxa"/>
      <w:tblInd w:w="3402" w:type="dxa"/>
      <w:tblLayout w:type="fixed"/>
      <w:tblLook w:val="0400" w:firstRow="0" w:lastRow="0" w:firstColumn="0" w:lastColumn="0" w:noHBand="0" w:noVBand="1"/>
    </w:tblPr>
    <w:tblGrid>
      <w:gridCol w:w="2551"/>
      <w:gridCol w:w="2978"/>
    </w:tblGrid>
    <w:tr w:rsidR="00EB2080" w14:paraId="16100B0E" w14:textId="77777777">
      <w:tc>
        <w:tcPr>
          <w:tcW w:w="2551" w:type="dxa"/>
          <w:vAlign w:val="center"/>
        </w:tcPr>
        <w:p w14:paraId="67F3C734"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2978" w:type="dxa"/>
          <w:vAlign w:val="center"/>
        </w:tcPr>
        <w:p w14:paraId="0E2E0204" w14:textId="35AD3AFD" w:rsidR="00EB2080" w:rsidRDefault="005B4B1B">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w:t>
          </w:r>
          <w:r w:rsidR="00812CF4">
            <w:rPr>
              <w:rFonts w:ascii="Palatino Linotype" w:eastAsia="Palatino Linotype" w:hAnsi="Palatino Linotype" w:cs="Palatino Linotype"/>
              <w:b/>
              <w:sz w:val="22"/>
              <w:szCs w:val="22"/>
            </w:rPr>
            <w:t>0709</w:t>
          </w:r>
          <w:r>
            <w:rPr>
              <w:rFonts w:ascii="Palatino Linotype" w:eastAsia="Palatino Linotype" w:hAnsi="Palatino Linotype" w:cs="Palatino Linotype"/>
              <w:b/>
              <w:sz w:val="22"/>
              <w:szCs w:val="22"/>
            </w:rPr>
            <w:t>/INFOEM/IP/RR/202</w:t>
          </w:r>
          <w:r w:rsidR="00812CF4">
            <w:rPr>
              <w:rFonts w:ascii="Palatino Linotype" w:eastAsia="Palatino Linotype" w:hAnsi="Palatino Linotype" w:cs="Palatino Linotype"/>
              <w:b/>
              <w:sz w:val="22"/>
              <w:szCs w:val="22"/>
            </w:rPr>
            <w:t>6</w:t>
          </w:r>
        </w:p>
      </w:tc>
    </w:tr>
    <w:tr w:rsidR="00EB2080" w14:paraId="5D768967" w14:textId="77777777">
      <w:trPr>
        <w:trHeight w:val="130"/>
      </w:trPr>
      <w:tc>
        <w:tcPr>
          <w:tcW w:w="2551" w:type="dxa"/>
          <w:vAlign w:val="center"/>
        </w:tcPr>
        <w:p w14:paraId="0084C306"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2978" w:type="dxa"/>
          <w:vAlign w:val="center"/>
        </w:tcPr>
        <w:p w14:paraId="003A73BB" w14:textId="6AB88B62" w:rsidR="00EB2080" w:rsidRDefault="003801BF" w:rsidP="003801BF">
          <w:pPr>
            <w:ind w:left="-45" w:right="59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 XX XXXXXXX XX XX XX XX XX XX </w:t>
          </w:r>
        </w:p>
      </w:tc>
    </w:tr>
    <w:tr w:rsidR="00EB2080" w14:paraId="28550EED" w14:textId="77777777">
      <w:trPr>
        <w:trHeight w:val="228"/>
      </w:trPr>
      <w:tc>
        <w:tcPr>
          <w:tcW w:w="2551" w:type="dxa"/>
          <w:vAlign w:val="center"/>
        </w:tcPr>
        <w:p w14:paraId="278209CC"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2978" w:type="dxa"/>
          <w:vAlign w:val="center"/>
        </w:tcPr>
        <w:p w14:paraId="42BEAF3A" w14:textId="77777777" w:rsidR="00EB2080" w:rsidRDefault="005B4B1B">
          <w:pPr>
            <w:ind w:left="-45" w:right="-1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Acambay de Ruíz Castañeda</w:t>
          </w:r>
        </w:p>
      </w:tc>
    </w:tr>
    <w:tr w:rsidR="00EB2080" w14:paraId="1EA1309A" w14:textId="77777777">
      <w:tc>
        <w:tcPr>
          <w:tcW w:w="2551" w:type="dxa"/>
          <w:vAlign w:val="center"/>
        </w:tcPr>
        <w:p w14:paraId="622A5F2E" w14:textId="77777777" w:rsidR="00EB2080" w:rsidRDefault="005B4B1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2978" w:type="dxa"/>
          <w:vAlign w:val="center"/>
        </w:tcPr>
        <w:p w14:paraId="0E9253B0" w14:textId="77777777" w:rsidR="00EB2080" w:rsidRDefault="005B4B1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8D23720" w14:textId="77777777" w:rsidR="00EB2080" w:rsidRDefault="00EB208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B885C" w14:textId="77777777" w:rsidR="00EB2080" w:rsidRDefault="00EB208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p w14:paraId="642B312C" w14:textId="77777777" w:rsidR="00EB2080" w:rsidRDefault="00EB2080">
    <w:pPr>
      <w:pBdr>
        <w:top w:val="nil"/>
        <w:left w:val="nil"/>
        <w:bottom w:val="nil"/>
        <w:right w:val="nil"/>
        <w:between w:val="nil"/>
      </w:pBdr>
      <w:tabs>
        <w:tab w:val="center" w:pos="4252"/>
        <w:tab w:val="right" w:pos="8504"/>
      </w:tabs>
      <w:rPr>
        <w:rFonts w:ascii="Cambria" w:eastAsia="Cambria" w:hAnsi="Cambria" w:cs="Cambria"/>
        <w:color w:val="000000"/>
      </w:rPr>
    </w:pPr>
  </w:p>
  <w:p w14:paraId="680A59A5" w14:textId="77777777" w:rsidR="00EB2080" w:rsidRDefault="00EB208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40E"/>
    <w:multiLevelType w:val="multilevel"/>
    <w:tmpl w:val="F9829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BA4873"/>
    <w:multiLevelType w:val="multilevel"/>
    <w:tmpl w:val="6EE6E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0E50C0"/>
    <w:multiLevelType w:val="multilevel"/>
    <w:tmpl w:val="5C2EB3F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0F3CFF"/>
    <w:multiLevelType w:val="multilevel"/>
    <w:tmpl w:val="81028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CB5505"/>
    <w:multiLevelType w:val="multilevel"/>
    <w:tmpl w:val="C75A403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FD3423"/>
    <w:multiLevelType w:val="multilevel"/>
    <w:tmpl w:val="C630C340"/>
    <w:lvl w:ilvl="0">
      <w:numFmt w:val="bullet"/>
      <w:pStyle w:val="Listaconvietas3"/>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D0693E"/>
    <w:multiLevelType w:val="multilevel"/>
    <w:tmpl w:val="99E45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D1271A"/>
    <w:multiLevelType w:val="multilevel"/>
    <w:tmpl w:val="7206B96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
  </w:num>
  <w:num w:numId="3">
    <w:abstractNumId w:val="4"/>
  </w:num>
  <w:num w:numId="4">
    <w:abstractNumId w:val="5"/>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80"/>
    <w:rsid w:val="000F750D"/>
    <w:rsid w:val="00161C15"/>
    <w:rsid w:val="00184AB2"/>
    <w:rsid w:val="0019705C"/>
    <w:rsid w:val="001F26B2"/>
    <w:rsid w:val="00243B70"/>
    <w:rsid w:val="00290A2F"/>
    <w:rsid w:val="003801BF"/>
    <w:rsid w:val="00453109"/>
    <w:rsid w:val="00470460"/>
    <w:rsid w:val="0047125C"/>
    <w:rsid w:val="004D04AE"/>
    <w:rsid w:val="00536B34"/>
    <w:rsid w:val="00577133"/>
    <w:rsid w:val="00592456"/>
    <w:rsid w:val="005B4B1B"/>
    <w:rsid w:val="005B59A4"/>
    <w:rsid w:val="006611DE"/>
    <w:rsid w:val="00812CF4"/>
    <w:rsid w:val="00816B2D"/>
    <w:rsid w:val="00865873"/>
    <w:rsid w:val="008A6217"/>
    <w:rsid w:val="009A2511"/>
    <w:rsid w:val="009E6656"/>
    <w:rsid w:val="009F6F89"/>
    <w:rsid w:val="00AD4DBA"/>
    <w:rsid w:val="00AE2EC7"/>
    <w:rsid w:val="00B237DB"/>
    <w:rsid w:val="00B24554"/>
    <w:rsid w:val="00B51CD9"/>
    <w:rsid w:val="00CC3627"/>
    <w:rsid w:val="00CC6B6E"/>
    <w:rsid w:val="00D37F4B"/>
    <w:rsid w:val="00D639A1"/>
    <w:rsid w:val="00E8533F"/>
    <w:rsid w:val="00EB2080"/>
    <w:rsid w:val="00FD35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F5B6B"/>
  <w15:docId w15:val="{F6AD5926-AA85-4C7F-8EE6-429DF0C2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a">
    <w:basedOn w:val="TableNormal6"/>
    <w:tblPr>
      <w:tblStyleRowBandSize w:val="1"/>
      <w:tblStyleColBandSize w:val="1"/>
      <w:tblCellMar>
        <w:left w:w="115" w:type="dxa"/>
        <w:right w:w="115" w:type="dxa"/>
      </w:tblCellMar>
    </w:tblPr>
  </w:style>
  <w:style w:type="table" w:customStyle="1" w:styleId="a0">
    <w:basedOn w:val="TableNormal6"/>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B215CF"/>
    <w:pPr>
      <w:tabs>
        <w:tab w:val="center" w:pos="4419"/>
        <w:tab w:val="right" w:pos="8838"/>
      </w:tabs>
    </w:pPr>
  </w:style>
  <w:style w:type="character" w:customStyle="1" w:styleId="EncabezadoCar">
    <w:name w:val="Encabezado Car"/>
    <w:basedOn w:val="Fuentedeprrafopredeter"/>
    <w:link w:val="Encabezado"/>
    <w:uiPriority w:val="99"/>
    <w:rsid w:val="00B215CF"/>
  </w:style>
  <w:style w:type="paragraph" w:styleId="Piedepgina">
    <w:name w:val="footer"/>
    <w:basedOn w:val="Normal"/>
    <w:link w:val="PiedepginaCar"/>
    <w:uiPriority w:val="99"/>
    <w:unhideWhenUsed/>
    <w:rsid w:val="00B215CF"/>
    <w:pPr>
      <w:tabs>
        <w:tab w:val="center" w:pos="4419"/>
        <w:tab w:val="right" w:pos="8838"/>
      </w:tabs>
    </w:pPr>
  </w:style>
  <w:style w:type="character" w:customStyle="1" w:styleId="PiedepginaCar">
    <w:name w:val="Pie de página Car"/>
    <w:basedOn w:val="Fuentedeprrafopredeter"/>
    <w:link w:val="Piedepgina"/>
    <w:uiPriority w:val="99"/>
    <w:rsid w:val="00B215CF"/>
  </w:style>
  <w:style w:type="paragraph" w:styleId="NormalWeb">
    <w:name w:val="Normal (Web)"/>
    <w:basedOn w:val="Normal"/>
    <w:uiPriority w:val="99"/>
    <w:unhideWhenUsed/>
    <w:rsid w:val="00DA0443"/>
    <w:pPr>
      <w:spacing w:before="100" w:beforeAutospacing="1" w:after="100" w:afterAutospacing="1"/>
    </w:p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038B1"/>
    <w:pPr>
      <w:ind w:left="720"/>
      <w:contextualSpacing/>
    </w:pPr>
  </w:style>
  <w:style w:type="table" w:customStyle="1" w:styleId="a1">
    <w:basedOn w:val="TableNormal6"/>
    <w:tblPr>
      <w:tblStyleRowBandSize w:val="1"/>
      <w:tblStyleColBandSize w:val="1"/>
      <w:tblCellMar>
        <w:left w:w="115" w:type="dxa"/>
        <w:right w:w="115" w:type="dxa"/>
      </w:tblCellMar>
    </w:tblPr>
  </w:style>
  <w:style w:type="table" w:customStyle="1" w:styleId="a2">
    <w:basedOn w:val="TableNormal6"/>
    <w:tblPr>
      <w:tblStyleRowBandSize w:val="1"/>
      <w:tblStyleColBandSize w:val="1"/>
      <w:tblCellMar>
        <w:left w:w="115" w:type="dxa"/>
        <w:right w:w="115" w:type="dxa"/>
      </w:tblCellMar>
    </w:tblPr>
  </w:style>
  <w:style w:type="table" w:customStyle="1" w:styleId="a3">
    <w:basedOn w:val="TableNormal5"/>
    <w:tblPr>
      <w:tblStyleRowBandSize w:val="1"/>
      <w:tblStyleColBandSize w:val="1"/>
      <w:tblCellMar>
        <w:left w:w="115" w:type="dxa"/>
        <w:right w:w="115" w:type="dxa"/>
      </w:tblCellMar>
    </w:tblPr>
  </w:style>
  <w:style w:type="table" w:customStyle="1" w:styleId="a4">
    <w:basedOn w:val="TableNormal5"/>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455091"/>
    <w:rPr>
      <w:color w:val="0000FF" w:themeColor="hyperlink"/>
      <w:u w:val="single"/>
    </w:rPr>
  </w:style>
  <w:style w:type="paragraph" w:styleId="Listaconvietas3">
    <w:name w:val="List Bullet 3"/>
    <w:basedOn w:val="Normal"/>
    <w:uiPriority w:val="99"/>
    <w:unhideWhenUsed/>
    <w:rsid w:val="00210E50"/>
    <w:pPr>
      <w:numPr>
        <w:numId w:val="4"/>
      </w:numPr>
      <w:contextualSpacing/>
    </w:pPr>
    <w:rPr>
      <w:lang w:val="es-ES"/>
    </w:r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styleId="Tablaconcuadrcula">
    <w:name w:val="Table Grid"/>
    <w:basedOn w:val="Tablanormal"/>
    <w:uiPriority w:val="39"/>
    <w:rsid w:val="00FA3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A3EBA"/>
    <w:rPr>
      <w:color w:val="800080" w:themeColor="followedHyperlink"/>
      <w:u w:val="single"/>
    </w:rPr>
  </w:style>
  <w:style w:type="table" w:customStyle="1" w:styleId="Tablaconcuadrcula1">
    <w:name w:val="Tabla con cuadrícula1"/>
    <w:basedOn w:val="Tablanormal"/>
    <w:next w:val="Tablaconcuadrcula"/>
    <w:uiPriority w:val="59"/>
    <w:rsid w:val="00DA7169"/>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457F03"/>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83113"/>
  </w:style>
  <w:style w:type="character" w:customStyle="1" w:styleId="Mencinsinresolver2">
    <w:name w:val="Mención sin resolver2"/>
    <w:basedOn w:val="Fuentedeprrafopredeter"/>
    <w:uiPriority w:val="99"/>
    <w:semiHidden/>
    <w:unhideWhenUsed/>
    <w:rsid w:val="00D45BA5"/>
    <w:rPr>
      <w:color w:val="605E5C"/>
      <w:shd w:val="clear" w:color="auto" w:fill="E1DFDD"/>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B3D04"/>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B3D0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B3D04"/>
    <w:rPr>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ografias.com/trabajos14/verific-servicios/verific-servicios.shtm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KBiqA4enoepOInrYZLi5a/x0w==">CgMxLjAyCWguMWZvYjl0ZTIIaC5namRneHMyCWguM2R5NnZrbTIJaC4zMGowemxsMgloLjJzOGV5bzEyCGgudHlqY3d0MgloLjN6bnlzaDcyCWguMmV0OTJwMDIOaC4zZ2lvMzA1NWxuOHQyDmgudmExcWw1N3ZvMW81MghoLnozMzd5YTIJaC4zajJxcW0zMg5oLmlqdjk4cG50Y2Q1czIJaC4yNmluMXJnMgloLjE3ZHA4dnUyCWguMXQzaDVzZjgAciExcGNlWUF0Wjh3YUFSSExWXzVMWmdYWDVTcjY3LVUxN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12650</Words>
  <Characters>69579</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2026-02-27T17:27:00Z</cp:lastPrinted>
  <dcterms:created xsi:type="dcterms:W3CDTF">2026-04-06T22:25:00Z</dcterms:created>
  <dcterms:modified xsi:type="dcterms:W3CDTF">2026-04-06T22:25:00Z</dcterms:modified>
</cp:coreProperties>
</file>