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76E0F" w14:textId="77777777" w:rsidR="00F4722E" w:rsidRDefault="00F4722E">
      <w:pPr>
        <w:widowControl w:val="0"/>
        <w:pBdr>
          <w:top w:val="nil"/>
          <w:left w:val="nil"/>
          <w:bottom w:val="nil"/>
          <w:right w:val="nil"/>
          <w:between w:val="nil"/>
        </w:pBdr>
        <w:spacing w:line="276" w:lineRule="auto"/>
      </w:pPr>
    </w:p>
    <w:p w14:paraId="69F5E673" w14:textId="77777777" w:rsidR="00F4722E" w:rsidRDefault="003228AC">
      <w:pPr>
        <w:tabs>
          <w:tab w:val="left" w:pos="3465"/>
        </w:tabs>
        <w:spacing w:line="360" w:lineRule="auto"/>
        <w:ind w:right="-787"/>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ocho (08) de abril de dos mil veintiséis.</w:t>
      </w:r>
    </w:p>
    <w:p w14:paraId="1996C20A" w14:textId="77777777" w:rsidR="00F4722E" w:rsidRDefault="00F4722E">
      <w:pPr>
        <w:tabs>
          <w:tab w:val="left" w:pos="3465"/>
        </w:tabs>
        <w:spacing w:line="360" w:lineRule="auto"/>
        <w:ind w:right="-787"/>
        <w:jc w:val="both"/>
        <w:rPr>
          <w:rFonts w:ascii="Palatino Linotype" w:eastAsia="Palatino Linotype" w:hAnsi="Palatino Linotype" w:cs="Palatino Linotype"/>
        </w:rPr>
      </w:pPr>
    </w:p>
    <w:p w14:paraId="479EC190" w14:textId="77777777" w:rsidR="00F4722E" w:rsidRDefault="003228AC">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 xml:space="preserve">VISTAS </w:t>
      </w:r>
      <w:r>
        <w:rPr>
          <w:rFonts w:ascii="Palatino Linotype" w:eastAsia="Palatino Linotype" w:hAnsi="Palatino Linotype" w:cs="Palatino Linotype"/>
        </w:rPr>
        <w:t xml:space="preserve">las constancias para resolver </w:t>
      </w:r>
      <w:r>
        <w:rPr>
          <w:rFonts w:ascii="Palatino Linotype" w:eastAsia="Palatino Linotype" w:hAnsi="Palatino Linotype" w:cs="Palatino Linotype"/>
          <w:color w:val="000000"/>
        </w:rPr>
        <w:t xml:space="preserve">los Recursos de Revisión </w:t>
      </w:r>
      <w:r>
        <w:rPr>
          <w:rFonts w:ascii="Palatino Linotype" w:eastAsia="Palatino Linotype" w:hAnsi="Palatino Linotype" w:cs="Palatino Linotype"/>
          <w:b/>
          <w:bCs/>
          <w:color w:val="000000"/>
        </w:rPr>
        <w:t>02058/INFOEM/IP/RR/2026 y 02059/INFOEM/IP/RR/2026 acumulados</w:t>
      </w:r>
      <w:r>
        <w:rPr>
          <w:rFonts w:ascii="Palatino Linotype" w:eastAsia="Palatino Linotype" w:hAnsi="Palatino Linotype" w:cs="Palatino Linotype"/>
          <w:color w:val="000000"/>
        </w:rPr>
        <w:t>, promovidos por una persona que no registró nombre,</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otorgada a las solicitudes de información </w:t>
      </w:r>
      <w:r>
        <w:rPr>
          <w:rFonts w:ascii="Palatino Linotype" w:eastAsia="Palatino Linotype" w:hAnsi="Palatino Linotype" w:cs="Palatino Linotype"/>
          <w:b/>
          <w:bCs/>
        </w:rPr>
        <w:t>00803/TOLUCA/IP/2026 y 00802/TOLUCA/IP/2026</w:t>
      </w:r>
      <w:r>
        <w:rPr>
          <w:rFonts w:ascii="Palatino Linotype" w:eastAsia="Palatino Linotype" w:hAnsi="Palatino Linotype" w:cs="Palatino Linotype"/>
        </w:rPr>
        <w:t xml:space="preserve">, por parte del </w:t>
      </w:r>
      <w:r>
        <w:rPr>
          <w:rFonts w:ascii="Palatino Linotype" w:eastAsia="Palatino Linotype" w:hAnsi="Palatino Linotype" w:cs="Palatino Linotype"/>
          <w:b/>
          <w:bCs/>
        </w:rPr>
        <w:t xml:space="preserve">Ayuntamiento de Toluca, </w:t>
      </w:r>
      <w:r>
        <w:rPr>
          <w:rFonts w:ascii="Palatino Linotype" w:eastAsia="Palatino Linotype" w:hAnsi="Palatino Linotype" w:cs="Palatino Linotype"/>
        </w:rPr>
        <w:t xml:space="preserve">en adelante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se emite la presente resolución con base en los siguientes:</w:t>
      </w:r>
    </w:p>
    <w:p w14:paraId="3074998A" w14:textId="77777777" w:rsidR="00F4722E" w:rsidRDefault="00F4722E">
      <w:pPr>
        <w:spacing w:line="360" w:lineRule="auto"/>
        <w:ind w:right="-787"/>
        <w:jc w:val="both"/>
        <w:rPr>
          <w:rFonts w:ascii="Palatino Linotype" w:eastAsia="Palatino Linotype" w:hAnsi="Palatino Linotype" w:cs="Palatino Linotype"/>
        </w:rPr>
      </w:pPr>
    </w:p>
    <w:p w14:paraId="04331003" w14:textId="77777777" w:rsidR="00F4722E" w:rsidRDefault="003228AC">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1" w:name="_heading=h.gjdgxs" w:colFirst="0" w:colLast="0"/>
      <w:bookmarkEnd w:id="1"/>
      <w:r>
        <w:rPr>
          <w:rFonts w:ascii="Palatino Linotype" w:eastAsia="Palatino Linotype" w:hAnsi="Palatino Linotype" w:cs="Palatino Linotype"/>
          <w:b/>
          <w:bCs/>
          <w:color w:val="000000"/>
          <w:sz w:val="24"/>
          <w:szCs w:val="24"/>
        </w:rPr>
        <w:t>A N T E C E D E N T E S</w:t>
      </w:r>
    </w:p>
    <w:p w14:paraId="35FA0481" w14:textId="77777777" w:rsidR="00F4722E" w:rsidRDefault="00F4722E">
      <w:pPr>
        <w:pBdr>
          <w:top w:val="nil"/>
          <w:left w:val="nil"/>
          <w:bottom w:val="nil"/>
          <w:right w:val="nil"/>
          <w:between w:val="nil"/>
        </w:pBdr>
        <w:spacing w:line="360" w:lineRule="auto"/>
        <w:ind w:left="720" w:right="-787"/>
        <w:jc w:val="both"/>
        <w:rPr>
          <w:rFonts w:ascii="Palatino Linotype" w:eastAsia="Palatino Linotype" w:hAnsi="Palatino Linotype" w:cs="Palatino Linotype"/>
          <w:b/>
          <w:bCs/>
          <w:color w:val="000000"/>
          <w:u w:val="single"/>
        </w:rPr>
      </w:pPr>
    </w:p>
    <w:p w14:paraId="538B924B" w14:textId="77777777" w:rsidR="00F4722E" w:rsidRDefault="003228AC">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veintiséis de enero de dos mil veintiséis</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 presentó ante el Sujeto Obligado vía Sistema de Acceso a la Información Mexiquense, en adelante SAIMEX, las siguientes solicitudes de información pública:</w:t>
      </w:r>
    </w:p>
    <w:p w14:paraId="2C782163" w14:textId="77777777" w:rsidR="00F4722E" w:rsidRDefault="00F4722E">
      <w:pPr>
        <w:pBdr>
          <w:top w:val="nil"/>
          <w:left w:val="nil"/>
          <w:bottom w:val="nil"/>
          <w:right w:val="nil"/>
          <w:between w:val="nil"/>
        </w:pBdr>
        <w:ind w:right="-788"/>
        <w:jc w:val="both"/>
        <w:rPr>
          <w:rFonts w:ascii="Palatino Linotype" w:eastAsia="Palatino Linotype" w:hAnsi="Palatino Linotype" w:cs="Palatino Linotype"/>
          <w:color w:val="000000"/>
        </w:rPr>
      </w:pPr>
    </w:p>
    <w:p w14:paraId="17A59A26" w14:textId="77777777" w:rsidR="00F4722E" w:rsidRDefault="003228AC">
      <w:pPr>
        <w:pBdr>
          <w:top w:val="nil"/>
          <w:left w:val="nil"/>
          <w:bottom w:val="nil"/>
          <w:right w:val="nil"/>
          <w:between w:val="nil"/>
        </w:pBdr>
        <w:ind w:right="-78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00803/TOLUCA/IP/2026</w:t>
      </w:r>
    </w:p>
    <w:p w14:paraId="47176CB6" w14:textId="77777777" w:rsidR="00F4722E" w:rsidRDefault="003228AC">
      <w:pPr>
        <w:pBdr>
          <w:top w:val="nil"/>
          <w:left w:val="nil"/>
          <w:bottom w:val="nil"/>
          <w:right w:val="nil"/>
          <w:between w:val="nil"/>
        </w:pBdr>
        <w:ind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“Se solicita la plantilla de todo el personal del ayuntamiento y no es en ipomex como se busca, nombre, cargo, categoría, sueldo bruto, sueldo neto, cv, ultimo comprobante de estudios, área de adscripción fecha de baja del 1 de enero del 2025 al 26 de enero de 2026” (Sic)</w:t>
      </w:r>
    </w:p>
    <w:p w14:paraId="68B251D7" w14:textId="77777777" w:rsidR="00F4722E" w:rsidRDefault="00F4722E">
      <w:pPr>
        <w:pBdr>
          <w:top w:val="nil"/>
          <w:left w:val="nil"/>
          <w:bottom w:val="nil"/>
          <w:right w:val="nil"/>
          <w:between w:val="nil"/>
        </w:pBdr>
        <w:ind w:right="-788"/>
        <w:jc w:val="both"/>
        <w:rPr>
          <w:rFonts w:ascii="Palatino Linotype" w:eastAsia="Palatino Linotype" w:hAnsi="Palatino Linotype" w:cs="Palatino Linotype"/>
          <w:b/>
          <w:bCs/>
          <w:color w:val="000000"/>
        </w:rPr>
      </w:pPr>
    </w:p>
    <w:p w14:paraId="1BFA8923" w14:textId="77777777" w:rsidR="00F4722E" w:rsidRDefault="003228AC">
      <w:pPr>
        <w:pBdr>
          <w:top w:val="nil"/>
          <w:left w:val="nil"/>
          <w:bottom w:val="nil"/>
          <w:right w:val="nil"/>
          <w:between w:val="nil"/>
        </w:pBdr>
        <w:ind w:right="-78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00802/TOLUCA/IP/2026</w:t>
      </w:r>
    </w:p>
    <w:p w14:paraId="756BC9FF" w14:textId="77777777" w:rsidR="00F4722E" w:rsidRDefault="003228AC">
      <w:pPr>
        <w:pBdr>
          <w:top w:val="nil"/>
          <w:left w:val="nil"/>
          <w:bottom w:val="nil"/>
          <w:right w:val="nil"/>
          <w:between w:val="nil"/>
        </w:pBdr>
        <w:ind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“Se solicita la plantilla de todo el personal del ayuntamiento y no es en ipomex como se busca, nombre, cargo, categoría, sueldo bruto, sueldo neto, cv, ultimo comprobante de estudios, área de adscripción fecha de alta del 1 de enero del 2025 al 26 de enero de 2026” (Sic)</w:t>
      </w:r>
    </w:p>
    <w:p w14:paraId="43312403" w14:textId="77777777" w:rsidR="00F4722E" w:rsidRDefault="00F4722E">
      <w:pPr>
        <w:pBdr>
          <w:top w:val="nil"/>
          <w:left w:val="nil"/>
          <w:bottom w:val="nil"/>
          <w:right w:val="nil"/>
          <w:between w:val="nil"/>
        </w:pBdr>
        <w:ind w:right="-788"/>
        <w:jc w:val="both"/>
        <w:rPr>
          <w:rFonts w:ascii="Palatino Linotype" w:eastAsia="Palatino Linotype" w:hAnsi="Palatino Linotype" w:cs="Palatino Linotype"/>
          <w:i/>
          <w:iCs/>
          <w:color w:val="000000"/>
        </w:rPr>
      </w:pPr>
    </w:p>
    <w:p w14:paraId="4F3F61FA" w14:textId="77777777" w:rsidR="00F4722E" w:rsidRDefault="00F4722E">
      <w:pPr>
        <w:pBdr>
          <w:top w:val="nil"/>
          <w:left w:val="nil"/>
          <w:bottom w:val="nil"/>
          <w:right w:val="nil"/>
          <w:between w:val="nil"/>
        </w:pBdr>
        <w:ind w:right="-787"/>
        <w:jc w:val="both"/>
        <w:rPr>
          <w:rFonts w:ascii="Palatino Linotype" w:eastAsia="Palatino Linotype" w:hAnsi="Palatino Linotype" w:cs="Palatino Linotype"/>
          <w:i/>
          <w:iCs/>
          <w:color w:val="000000"/>
        </w:rPr>
      </w:pPr>
    </w:p>
    <w:p w14:paraId="4D9E9A52" w14:textId="77777777" w:rsidR="00F4722E" w:rsidRDefault="003228AC">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bCs/>
          <w:color w:val="000000"/>
        </w:rPr>
        <w:t>SAIMEX.</w:t>
      </w:r>
    </w:p>
    <w:p w14:paraId="58932836" w14:textId="77777777" w:rsidR="00F4722E" w:rsidRDefault="00F4722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207A7317" w14:textId="77777777" w:rsidR="00F4722E" w:rsidRDefault="003228AC">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trece de febrero de dos mil veintiséis</w:t>
      </w:r>
      <w:r>
        <w:rPr>
          <w:rFonts w:ascii="Palatino Linotype" w:eastAsia="Palatino Linotype" w:hAnsi="Palatino Linotype" w:cs="Palatino Linotype"/>
          <w:color w:val="000000"/>
        </w:rPr>
        <w:t>, el Sujeto Obligado</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dio respuesta a través de los siguientes archivos electrónicos</w:t>
      </w:r>
      <w:r>
        <w:rPr>
          <w:rFonts w:ascii="Palatino Linotype" w:eastAsia="Palatino Linotype" w:hAnsi="Palatino Linotype" w:cs="Palatino Linotype"/>
          <w:b/>
          <w:bCs/>
          <w:i/>
          <w:iCs/>
          <w:color w:val="000000"/>
        </w:rPr>
        <w:t>:</w:t>
      </w:r>
    </w:p>
    <w:p w14:paraId="149DFA2C" w14:textId="77777777" w:rsidR="00F4722E" w:rsidRDefault="00F4722E">
      <w:pPr>
        <w:pBdr>
          <w:top w:val="nil"/>
          <w:left w:val="nil"/>
          <w:bottom w:val="nil"/>
          <w:right w:val="nil"/>
          <w:between w:val="nil"/>
        </w:pBdr>
        <w:tabs>
          <w:tab w:val="left" w:pos="0"/>
        </w:tabs>
        <w:ind w:right="-788"/>
        <w:jc w:val="both"/>
        <w:rPr>
          <w:rFonts w:ascii="Palatino Linotype" w:eastAsia="Palatino Linotype" w:hAnsi="Palatino Linotype" w:cs="Palatino Linotype"/>
          <w:color w:val="000000"/>
        </w:rPr>
      </w:pPr>
    </w:p>
    <w:p w14:paraId="0B932209" w14:textId="77777777" w:rsidR="00F4722E" w:rsidRDefault="003228AC">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 xml:space="preserve">Folio de la solicitud: </w:t>
      </w:r>
      <w:r>
        <w:rPr>
          <w:rFonts w:ascii="Palatino Linotype" w:eastAsia="Palatino Linotype" w:hAnsi="Palatino Linotype" w:cs="Palatino Linotype"/>
          <w:b/>
          <w:bCs/>
          <w:sz w:val="22"/>
          <w:szCs w:val="22"/>
        </w:rPr>
        <w:t>00803/TOLUCA/IP/2026</w:t>
      </w:r>
    </w:p>
    <w:p w14:paraId="268D61A7" w14:textId="77777777" w:rsidR="00F4722E" w:rsidRDefault="00F4722E">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sz w:val="22"/>
          <w:szCs w:val="22"/>
        </w:rPr>
      </w:pPr>
    </w:p>
    <w:p w14:paraId="18E807DB" w14:textId="77777777" w:rsidR="00F4722E" w:rsidRDefault="003228AC">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NOT CIU 803.pdf</w:t>
      </w:r>
    </w:p>
    <w:p w14:paraId="18821B47" w14:textId="77777777" w:rsidR="00F4722E" w:rsidRDefault="003228AC">
      <w:pPr>
        <w:pBdr>
          <w:top w:val="nil"/>
          <w:left w:val="nil"/>
          <w:bottom w:val="nil"/>
          <w:right w:val="nil"/>
          <w:between w:val="nil"/>
        </w:pBdr>
        <w:tabs>
          <w:tab w:val="left" w:pos="567"/>
        </w:tabs>
        <w:ind w:left="567"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Oficio: 206010000/1005/2026 de fecha 10 de febrero de 2026, firmado por la </w:t>
      </w:r>
      <w:r>
        <w:rPr>
          <w:rFonts w:ascii="Palatino Linotype" w:eastAsia="Palatino Linotype" w:hAnsi="Palatino Linotype" w:cs="Palatino Linotype"/>
          <w:b/>
          <w:bCs/>
          <w:sz w:val="22"/>
          <w:szCs w:val="22"/>
        </w:rPr>
        <w:t>Directora General de Administración</w:t>
      </w:r>
      <w:r>
        <w:rPr>
          <w:rFonts w:ascii="Palatino Linotype" w:eastAsia="Palatino Linotype" w:hAnsi="Palatino Linotype" w:cs="Palatino Linotype"/>
          <w:sz w:val="22"/>
          <w:szCs w:val="22"/>
        </w:rPr>
        <w:t>, a través del cual refiere remitir la respuesta de la persona servidora pública de la Dirección de Recursos Humanos del Ayuntamiento de Toluca, competente para tal propósito.</w:t>
      </w:r>
    </w:p>
    <w:p w14:paraId="525D278B" w14:textId="77777777" w:rsidR="00F4722E" w:rsidRDefault="00F4722E">
      <w:pPr>
        <w:pBdr>
          <w:top w:val="nil"/>
          <w:left w:val="nil"/>
          <w:bottom w:val="nil"/>
          <w:right w:val="nil"/>
          <w:between w:val="nil"/>
        </w:pBdr>
        <w:tabs>
          <w:tab w:val="left" w:pos="567"/>
        </w:tabs>
        <w:ind w:left="567" w:right="62"/>
        <w:jc w:val="both"/>
        <w:rPr>
          <w:rFonts w:ascii="Palatino Linotype" w:eastAsia="Palatino Linotype" w:hAnsi="Palatino Linotype" w:cs="Palatino Linotype"/>
          <w:sz w:val="22"/>
          <w:szCs w:val="22"/>
        </w:rPr>
      </w:pPr>
    </w:p>
    <w:p w14:paraId="5AC2D48A" w14:textId="77777777" w:rsidR="00F4722E" w:rsidRDefault="003228AC">
      <w:pPr>
        <w:pBdr>
          <w:top w:val="nil"/>
          <w:left w:val="nil"/>
          <w:bottom w:val="nil"/>
          <w:right w:val="nil"/>
          <w:between w:val="nil"/>
        </w:pBdr>
        <w:tabs>
          <w:tab w:val="left" w:pos="567"/>
        </w:tabs>
        <w:ind w:left="567"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Nota informativa: No. 0040/2026 de fecha 03 de febrero de 2026, firmado por la </w:t>
      </w:r>
      <w:r>
        <w:rPr>
          <w:rFonts w:ascii="Palatino Linotype" w:eastAsia="Palatino Linotype" w:hAnsi="Palatino Linotype" w:cs="Palatino Linotype"/>
          <w:b/>
          <w:bCs/>
          <w:sz w:val="22"/>
          <w:szCs w:val="22"/>
        </w:rPr>
        <w:t>Directora de Recursos Humanos</w:t>
      </w:r>
      <w:r>
        <w:rPr>
          <w:rFonts w:ascii="Palatino Linotype" w:eastAsia="Palatino Linotype" w:hAnsi="Palatino Linotype" w:cs="Palatino Linotype"/>
          <w:sz w:val="22"/>
          <w:szCs w:val="22"/>
        </w:rPr>
        <w:t>, a través del cual refiere que después de una búsqueda en los archivos que guarda el Departamento de Nóminas, la información podrá ser consultada en la página de internet siguiente: (proporcionada en formato cerrado)</w:t>
      </w:r>
    </w:p>
    <w:p w14:paraId="7F609230" w14:textId="77777777" w:rsidR="00F4722E" w:rsidRDefault="00F4722E">
      <w:pPr>
        <w:pBdr>
          <w:top w:val="nil"/>
          <w:left w:val="nil"/>
          <w:bottom w:val="nil"/>
          <w:right w:val="nil"/>
          <w:between w:val="nil"/>
        </w:pBdr>
        <w:tabs>
          <w:tab w:val="left" w:pos="567"/>
        </w:tabs>
        <w:ind w:left="567" w:right="62"/>
        <w:jc w:val="both"/>
        <w:rPr>
          <w:rFonts w:ascii="Palatino Linotype" w:eastAsia="Palatino Linotype" w:hAnsi="Palatino Linotype" w:cs="Palatino Linotype"/>
          <w:sz w:val="22"/>
          <w:szCs w:val="22"/>
        </w:rPr>
      </w:pPr>
    </w:p>
    <w:p w14:paraId="36D53665" w14:textId="77777777" w:rsidR="00F4722E" w:rsidRDefault="003228AC">
      <w:pPr>
        <w:pBdr>
          <w:top w:val="nil"/>
          <w:left w:val="nil"/>
          <w:bottom w:val="nil"/>
          <w:right w:val="nil"/>
          <w:between w:val="nil"/>
        </w:pBdr>
        <w:tabs>
          <w:tab w:val="left" w:pos="567"/>
        </w:tabs>
        <w:ind w:left="567" w:right="62"/>
        <w:jc w:val="center"/>
        <w:rPr>
          <w:rFonts w:ascii="Palatino Linotype" w:eastAsia="Palatino Linotype" w:hAnsi="Palatino Linotype" w:cs="Palatino Linotype"/>
          <w:sz w:val="22"/>
          <w:szCs w:val="22"/>
        </w:rPr>
      </w:pPr>
      <w:r>
        <w:rPr>
          <w:noProof/>
          <w:lang w:val="es-MX"/>
        </w:rPr>
        <w:drawing>
          <wp:inline distT="0" distB="0" distL="0" distR="0" wp14:anchorId="10D1C162" wp14:editId="59F48C5D">
            <wp:extent cx="4517368" cy="309463"/>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17368" cy="309463"/>
                    </a:xfrm>
                    <a:prstGeom prst="rect">
                      <a:avLst/>
                    </a:prstGeom>
                    <a:ln/>
                  </pic:spPr>
                </pic:pic>
              </a:graphicData>
            </a:graphic>
          </wp:inline>
        </w:drawing>
      </w:r>
    </w:p>
    <w:p w14:paraId="2C949D61" w14:textId="77777777" w:rsidR="00F4722E" w:rsidRDefault="00F4722E">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sz w:val="22"/>
          <w:szCs w:val="22"/>
        </w:rPr>
      </w:pPr>
    </w:p>
    <w:p w14:paraId="5C66602A" w14:textId="77777777" w:rsidR="00F4722E" w:rsidRDefault="00F4722E">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sz w:val="22"/>
          <w:szCs w:val="22"/>
        </w:rPr>
      </w:pPr>
    </w:p>
    <w:p w14:paraId="5E840180" w14:textId="77777777" w:rsidR="00F4722E" w:rsidRDefault="003228AC">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Folio de la solicitud:</w:t>
      </w:r>
      <w:r>
        <w:rPr>
          <w:rFonts w:ascii="Palatino Linotype" w:eastAsia="Palatino Linotype" w:hAnsi="Palatino Linotype" w:cs="Palatino Linotype"/>
          <w:b/>
          <w:bCs/>
          <w:sz w:val="22"/>
          <w:szCs w:val="22"/>
        </w:rPr>
        <w:t xml:space="preserve"> 00802/TOLUCA/IP/2026</w:t>
      </w:r>
    </w:p>
    <w:p w14:paraId="093A67F7" w14:textId="77777777" w:rsidR="00F4722E" w:rsidRDefault="00F4722E">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sz w:val="22"/>
          <w:szCs w:val="22"/>
        </w:rPr>
      </w:pPr>
    </w:p>
    <w:p w14:paraId="20B327C1" w14:textId="77777777" w:rsidR="00F4722E" w:rsidRDefault="003228AC">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NOT CIU 802.pdf</w:t>
      </w:r>
    </w:p>
    <w:p w14:paraId="1408D35C" w14:textId="77777777" w:rsidR="00F4722E" w:rsidRDefault="003228AC">
      <w:pPr>
        <w:pBdr>
          <w:top w:val="nil"/>
          <w:left w:val="nil"/>
          <w:bottom w:val="nil"/>
          <w:right w:val="nil"/>
          <w:between w:val="nil"/>
        </w:pBdr>
        <w:tabs>
          <w:tab w:val="left" w:pos="567"/>
        </w:tabs>
        <w:ind w:left="567"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Número de Oficio: 206010000/1004/2026 de fecha 10 de febrero de 2026, firmado por la </w:t>
      </w:r>
      <w:r>
        <w:rPr>
          <w:rFonts w:ascii="Palatino Linotype" w:eastAsia="Palatino Linotype" w:hAnsi="Palatino Linotype" w:cs="Palatino Linotype"/>
          <w:b/>
          <w:bCs/>
          <w:sz w:val="22"/>
          <w:szCs w:val="22"/>
        </w:rPr>
        <w:t>Directora General de Administración</w:t>
      </w:r>
      <w:r>
        <w:rPr>
          <w:rFonts w:ascii="Palatino Linotype" w:eastAsia="Palatino Linotype" w:hAnsi="Palatino Linotype" w:cs="Palatino Linotype"/>
          <w:sz w:val="22"/>
          <w:szCs w:val="22"/>
        </w:rPr>
        <w:t>, a través del cual refiere remitir la respuesta de la persona servidora pública de la Dirección de Recursos Humanos del Ayuntamiento de Toluca, competente para tal propósito.</w:t>
      </w:r>
    </w:p>
    <w:p w14:paraId="31A12566" w14:textId="77777777" w:rsidR="00F4722E" w:rsidRDefault="00F4722E">
      <w:pPr>
        <w:pBdr>
          <w:top w:val="nil"/>
          <w:left w:val="nil"/>
          <w:bottom w:val="nil"/>
          <w:right w:val="nil"/>
          <w:between w:val="nil"/>
        </w:pBdr>
        <w:tabs>
          <w:tab w:val="left" w:pos="567"/>
        </w:tabs>
        <w:ind w:left="567" w:right="62"/>
        <w:jc w:val="both"/>
        <w:rPr>
          <w:rFonts w:ascii="Palatino Linotype" w:eastAsia="Palatino Linotype" w:hAnsi="Palatino Linotype" w:cs="Palatino Linotype"/>
          <w:sz w:val="22"/>
          <w:szCs w:val="22"/>
        </w:rPr>
      </w:pPr>
    </w:p>
    <w:p w14:paraId="0E247DA5" w14:textId="77777777" w:rsidR="00F4722E" w:rsidRDefault="003228AC">
      <w:pPr>
        <w:pBdr>
          <w:top w:val="nil"/>
          <w:left w:val="nil"/>
          <w:bottom w:val="nil"/>
          <w:right w:val="nil"/>
          <w:between w:val="nil"/>
        </w:pBdr>
        <w:tabs>
          <w:tab w:val="left" w:pos="567"/>
        </w:tabs>
        <w:ind w:left="567"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Nota informativa: No. 0039/2026 de fecha 03 de febrero de 2026, firmado por la </w:t>
      </w:r>
      <w:r>
        <w:rPr>
          <w:rFonts w:ascii="Palatino Linotype" w:eastAsia="Palatino Linotype" w:hAnsi="Palatino Linotype" w:cs="Palatino Linotype"/>
          <w:b/>
          <w:bCs/>
          <w:sz w:val="22"/>
          <w:szCs w:val="22"/>
        </w:rPr>
        <w:t>Directora de Recursos Humanos</w:t>
      </w:r>
      <w:r>
        <w:rPr>
          <w:rFonts w:ascii="Palatino Linotype" w:eastAsia="Palatino Linotype" w:hAnsi="Palatino Linotype" w:cs="Palatino Linotype"/>
          <w:sz w:val="22"/>
          <w:szCs w:val="22"/>
        </w:rPr>
        <w:t>, a través del cual refiere que después de una búsqueda en los archivos que guarda el Departamento de Nóminas, la información podrá ser consultada en la página de internet siguiente: (proporcionada en formato cerrado)</w:t>
      </w:r>
    </w:p>
    <w:p w14:paraId="28F4D046" w14:textId="77777777" w:rsidR="00F4722E" w:rsidRDefault="00F4722E">
      <w:pPr>
        <w:pBdr>
          <w:top w:val="nil"/>
          <w:left w:val="nil"/>
          <w:bottom w:val="nil"/>
          <w:right w:val="nil"/>
          <w:between w:val="nil"/>
        </w:pBdr>
        <w:tabs>
          <w:tab w:val="left" w:pos="567"/>
        </w:tabs>
        <w:ind w:left="567" w:right="62"/>
        <w:jc w:val="both"/>
        <w:rPr>
          <w:rFonts w:ascii="Palatino Linotype" w:eastAsia="Palatino Linotype" w:hAnsi="Palatino Linotype" w:cs="Palatino Linotype"/>
          <w:sz w:val="22"/>
          <w:szCs w:val="22"/>
        </w:rPr>
      </w:pPr>
    </w:p>
    <w:p w14:paraId="52E6E326" w14:textId="77777777" w:rsidR="00F4722E" w:rsidRDefault="003228AC">
      <w:pPr>
        <w:pBdr>
          <w:top w:val="nil"/>
          <w:left w:val="nil"/>
          <w:bottom w:val="nil"/>
          <w:right w:val="nil"/>
          <w:between w:val="nil"/>
        </w:pBdr>
        <w:tabs>
          <w:tab w:val="left" w:pos="567"/>
        </w:tabs>
        <w:ind w:left="567" w:right="62"/>
        <w:jc w:val="center"/>
        <w:rPr>
          <w:rFonts w:ascii="Palatino Linotype" w:eastAsia="Palatino Linotype" w:hAnsi="Palatino Linotype" w:cs="Palatino Linotype"/>
          <w:sz w:val="22"/>
          <w:szCs w:val="22"/>
        </w:rPr>
      </w:pPr>
      <w:r>
        <w:rPr>
          <w:noProof/>
          <w:lang w:val="es-MX"/>
        </w:rPr>
        <w:lastRenderedPageBreak/>
        <w:drawing>
          <wp:inline distT="0" distB="0" distL="0" distR="0" wp14:anchorId="15B9BBBB" wp14:editId="1163B6A6">
            <wp:extent cx="4517368" cy="309463"/>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17368" cy="309463"/>
                    </a:xfrm>
                    <a:prstGeom prst="rect">
                      <a:avLst/>
                    </a:prstGeom>
                    <a:ln/>
                  </pic:spPr>
                </pic:pic>
              </a:graphicData>
            </a:graphic>
          </wp:inline>
        </w:drawing>
      </w:r>
    </w:p>
    <w:p w14:paraId="7EA4FAD9" w14:textId="77777777" w:rsidR="00F4722E" w:rsidRDefault="00F4722E">
      <w:pPr>
        <w:pBdr>
          <w:top w:val="nil"/>
          <w:left w:val="nil"/>
          <w:bottom w:val="nil"/>
          <w:right w:val="nil"/>
          <w:between w:val="nil"/>
        </w:pBdr>
        <w:tabs>
          <w:tab w:val="left" w:pos="567"/>
        </w:tabs>
        <w:ind w:left="567" w:right="62"/>
        <w:jc w:val="both"/>
        <w:rPr>
          <w:rFonts w:ascii="Palatino Linotype" w:eastAsia="Palatino Linotype" w:hAnsi="Palatino Linotype" w:cs="Palatino Linotype"/>
          <w:sz w:val="22"/>
          <w:szCs w:val="22"/>
        </w:rPr>
      </w:pPr>
    </w:p>
    <w:p w14:paraId="1A385311" w14:textId="77777777" w:rsidR="00F4722E" w:rsidRDefault="00F4722E">
      <w:pPr>
        <w:pBdr>
          <w:top w:val="nil"/>
          <w:left w:val="nil"/>
          <w:bottom w:val="nil"/>
          <w:right w:val="nil"/>
          <w:between w:val="nil"/>
        </w:pBdr>
        <w:tabs>
          <w:tab w:val="left" w:pos="0"/>
        </w:tabs>
        <w:ind w:right="-787"/>
        <w:jc w:val="both"/>
        <w:rPr>
          <w:rFonts w:ascii="Palatino Linotype" w:eastAsia="Palatino Linotype" w:hAnsi="Palatino Linotype" w:cs="Palatino Linotype"/>
          <w:i/>
          <w:iCs/>
          <w:color w:val="000000"/>
        </w:rPr>
      </w:pPr>
    </w:p>
    <w:p w14:paraId="7DD76CF1" w14:textId="77777777" w:rsidR="00F4722E" w:rsidRDefault="003228AC">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diecisiete de febrero de dos mil veintiséis</w:t>
      </w:r>
      <w:r>
        <w:rPr>
          <w:rFonts w:ascii="Palatino Linotype" w:eastAsia="Palatino Linotype" w:hAnsi="Palatino Linotype" w:cs="Palatino Linotype"/>
          <w:color w:val="000000"/>
        </w:rPr>
        <w:t xml:space="preserve">, el particular interpuso los recursos de revisión a los que se les asignaron los folios </w:t>
      </w:r>
      <w:r>
        <w:rPr>
          <w:rFonts w:ascii="Palatino Linotype" w:eastAsia="Palatino Linotype" w:hAnsi="Palatino Linotype" w:cs="Palatino Linotype"/>
          <w:b/>
          <w:bCs/>
          <w:color w:val="000000"/>
        </w:rPr>
        <w:t xml:space="preserve">02058/INFOEM/IP/RR/2026 y 02059/INFOEM/IP/RR/2026 </w:t>
      </w:r>
      <w:r>
        <w:rPr>
          <w:rFonts w:ascii="Palatino Linotype" w:eastAsia="Palatino Linotype" w:hAnsi="Palatino Linotype" w:cs="Palatino Linotype"/>
          <w:color w:val="000000"/>
        </w:rPr>
        <w:t>en contra de las respuestas emitidas por el sujeto obligado, realizando idénticas manifestaciones como acto impugnado y razones o motivos de inconformidad:</w:t>
      </w:r>
    </w:p>
    <w:p w14:paraId="4C7B5B7A" w14:textId="77777777" w:rsidR="00F4722E" w:rsidRDefault="00F4722E">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sz w:val="22"/>
          <w:szCs w:val="22"/>
        </w:rPr>
      </w:pPr>
    </w:p>
    <w:tbl>
      <w:tblPr>
        <w:tblStyle w:val="a8"/>
        <w:tblW w:w="9345"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972"/>
        <w:gridCol w:w="3186"/>
        <w:gridCol w:w="3187"/>
      </w:tblGrid>
      <w:tr w:rsidR="00F4722E" w14:paraId="01D13629" w14:textId="77777777" w:rsidTr="005A3867">
        <w:tc>
          <w:tcPr>
            <w:tcW w:w="2972" w:type="dxa"/>
            <w:shd w:val="clear" w:color="auto" w:fill="D9D9D9"/>
            <w:vAlign w:val="center"/>
          </w:tcPr>
          <w:p w14:paraId="33712FF6" w14:textId="77777777" w:rsidR="00F4722E" w:rsidRDefault="003228AC">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Folio de Recurso</w:t>
            </w:r>
          </w:p>
        </w:tc>
        <w:tc>
          <w:tcPr>
            <w:tcW w:w="3186" w:type="dxa"/>
            <w:shd w:val="clear" w:color="auto" w:fill="D9D9D9"/>
            <w:vAlign w:val="center"/>
          </w:tcPr>
          <w:p w14:paraId="1849C5A3" w14:textId="77777777" w:rsidR="00F4722E" w:rsidRDefault="003228AC">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color w:val="000000"/>
                <w:sz w:val="22"/>
                <w:szCs w:val="22"/>
              </w:rPr>
              <w:t>Acto impugnado</w:t>
            </w:r>
          </w:p>
        </w:tc>
        <w:tc>
          <w:tcPr>
            <w:tcW w:w="3187" w:type="dxa"/>
            <w:shd w:val="clear" w:color="auto" w:fill="D9D9D9"/>
          </w:tcPr>
          <w:p w14:paraId="612FCCD0" w14:textId="77777777" w:rsidR="00F4722E" w:rsidRDefault="003228AC">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color w:val="000000"/>
                <w:sz w:val="22"/>
                <w:szCs w:val="22"/>
              </w:rPr>
              <w:t>Razones o Motivos de inconformidad</w:t>
            </w:r>
          </w:p>
        </w:tc>
      </w:tr>
      <w:tr w:rsidR="00F4722E" w14:paraId="785C864B" w14:textId="77777777" w:rsidTr="005A3867">
        <w:tc>
          <w:tcPr>
            <w:tcW w:w="2972" w:type="dxa"/>
            <w:vAlign w:val="center"/>
          </w:tcPr>
          <w:p w14:paraId="52177A44" w14:textId="77777777" w:rsidR="00F4722E" w:rsidRDefault="003228AC">
            <w:pP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02058/INFOEM/IP/RR/2026</w:t>
            </w:r>
          </w:p>
        </w:tc>
        <w:tc>
          <w:tcPr>
            <w:tcW w:w="3186" w:type="dxa"/>
          </w:tcPr>
          <w:p w14:paraId="69BA6575" w14:textId="77777777" w:rsidR="00F4722E" w:rsidRDefault="003228AC">
            <w:pPr>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Niega la informaicón solicita y la información no esta en ipomex como dicen se solicito como se menciona en el saimex y no se atedie</w:t>
            </w:r>
          </w:p>
        </w:tc>
        <w:tc>
          <w:tcPr>
            <w:tcW w:w="3187" w:type="dxa"/>
          </w:tcPr>
          <w:p w14:paraId="2ED339C8" w14:textId="77777777" w:rsidR="00F4722E" w:rsidRDefault="003228AC">
            <w:pPr>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Niega la informaicón solicita y la información no esta en ipomex como dicen se solicito como se menciona en el saimex y no se atedie</w:t>
            </w:r>
          </w:p>
        </w:tc>
      </w:tr>
      <w:tr w:rsidR="00F4722E" w14:paraId="28426443" w14:textId="77777777" w:rsidTr="005A3867">
        <w:tc>
          <w:tcPr>
            <w:tcW w:w="2972" w:type="dxa"/>
            <w:vAlign w:val="center"/>
          </w:tcPr>
          <w:p w14:paraId="1098E6E2" w14:textId="77777777" w:rsidR="00F4722E" w:rsidRDefault="003228AC">
            <w:pPr>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color w:val="000000"/>
                <w:sz w:val="20"/>
                <w:szCs w:val="20"/>
              </w:rPr>
              <w:t>02059/INFOEM/IP/RR/2026</w:t>
            </w:r>
          </w:p>
        </w:tc>
        <w:tc>
          <w:tcPr>
            <w:tcW w:w="3186" w:type="dxa"/>
          </w:tcPr>
          <w:p w14:paraId="54DE147D" w14:textId="77777777" w:rsidR="00F4722E" w:rsidRDefault="003228AC">
            <w:pPr>
              <w:tabs>
                <w:tab w:val="left" w:pos="2356"/>
              </w:tabs>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Niega la informaicón solicita y la información no esta en ipomex como dicen se solicito como se menciona en el saimex y no se atedie</w:t>
            </w:r>
          </w:p>
        </w:tc>
        <w:tc>
          <w:tcPr>
            <w:tcW w:w="3187" w:type="dxa"/>
          </w:tcPr>
          <w:p w14:paraId="66C4D593" w14:textId="77777777" w:rsidR="00F4722E" w:rsidRDefault="003228AC">
            <w:pPr>
              <w:tabs>
                <w:tab w:val="left" w:pos="2356"/>
              </w:tabs>
              <w:jc w:val="both"/>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Niega la informaicón solicita y la información no esta en ipomex como dicen se solicito como se menciona en el saimex y no se atedie</w:t>
            </w:r>
          </w:p>
        </w:tc>
      </w:tr>
    </w:tbl>
    <w:p w14:paraId="160D1B7C" w14:textId="77777777" w:rsidR="00F4722E" w:rsidRDefault="00F4722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14:paraId="0FE41FEB" w14:textId="77777777" w:rsidR="00F4722E" w:rsidRDefault="003228AC">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Comisionados Ponentes de origen con fundamento en lo dispuesto por el artículo 185, fracción II, de la ley de la materia, a través de los </w:t>
      </w:r>
      <w:r>
        <w:rPr>
          <w:rFonts w:ascii="Palatino Linotype" w:eastAsia="Palatino Linotype" w:hAnsi="Palatino Linotype" w:cs="Palatino Linotype"/>
          <w:b/>
          <w:bCs/>
          <w:color w:val="000000"/>
        </w:rPr>
        <w:t xml:space="preserve">acuerdos de admisión </w:t>
      </w:r>
      <w:r>
        <w:rPr>
          <w:rFonts w:ascii="Palatino Linotype" w:eastAsia="Palatino Linotype" w:hAnsi="Palatino Linotype" w:cs="Palatino Linotype"/>
          <w:color w:val="000000"/>
        </w:rPr>
        <w:t xml:space="preserve">de fechas </w:t>
      </w:r>
      <w:r>
        <w:rPr>
          <w:rFonts w:ascii="Palatino Linotype" w:eastAsia="Palatino Linotype" w:hAnsi="Palatino Linotype" w:cs="Palatino Linotype"/>
          <w:b/>
          <w:bCs/>
          <w:color w:val="000000"/>
        </w:rPr>
        <w:t xml:space="preserve">dieciocho y veinte de febrero de dos mil veintiséis, </w:t>
      </w:r>
      <w:r>
        <w:rPr>
          <w:rFonts w:ascii="Palatino Linotype" w:eastAsia="Palatino Linotype" w:hAnsi="Palatino Linotype" w:cs="Palatino Linotype"/>
          <w:color w:val="000000"/>
        </w:rPr>
        <w:t xml:space="preserve">pusieron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rPr>
        <w:t>presentara</w:t>
      </w:r>
      <w:r>
        <w:rPr>
          <w:rFonts w:ascii="Palatino Linotype" w:eastAsia="Palatino Linotype" w:hAnsi="Palatino Linotype" w:cs="Palatino Linotype"/>
          <w:color w:val="000000"/>
        </w:rPr>
        <w:t xml:space="preserve"> el Informe Justificado procedente.</w:t>
      </w:r>
    </w:p>
    <w:p w14:paraId="3DA932DE" w14:textId="77777777" w:rsidR="00F4722E" w:rsidRDefault="00F4722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1F1146D7"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Recurrente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dejó de realizar manifestaciones que a su derecho conviniera y asistiera. Por su parte, el Sujeto Obligado,</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en fechas</w:t>
      </w:r>
      <w:r>
        <w:rPr>
          <w:rFonts w:ascii="Palatino Linotype" w:eastAsia="Palatino Linotype" w:hAnsi="Palatino Linotype" w:cs="Palatino Linotype"/>
          <w:b/>
          <w:bCs/>
          <w:color w:val="000000"/>
        </w:rPr>
        <w:t xml:space="preserve"> veinticuatro, veinticinco y veintisiete de febrero </w:t>
      </w:r>
      <w:r>
        <w:rPr>
          <w:rFonts w:ascii="Palatino Linotype" w:eastAsia="Palatino Linotype" w:hAnsi="Palatino Linotype" w:cs="Palatino Linotype"/>
          <w:b/>
          <w:bCs/>
          <w:color w:val="000000"/>
        </w:rPr>
        <w:lastRenderedPageBreak/>
        <w:t xml:space="preserve">y cuatro de marzo de dos mil veintiséis, </w:t>
      </w:r>
      <w:r>
        <w:rPr>
          <w:rFonts w:ascii="Palatino Linotype" w:eastAsia="Palatino Linotype" w:hAnsi="Palatino Linotype" w:cs="Palatino Linotype"/>
          <w:color w:val="000000"/>
        </w:rPr>
        <w:t xml:space="preserve">presentó informes justificados a través de archivos digitales, cuyo contenido esencial es el siguiente: </w:t>
      </w:r>
    </w:p>
    <w:p w14:paraId="74D777ED" w14:textId="77777777" w:rsidR="00F4722E" w:rsidRDefault="00F4722E">
      <w:pPr>
        <w:pBdr>
          <w:top w:val="nil"/>
          <w:left w:val="nil"/>
          <w:bottom w:val="nil"/>
          <w:right w:val="nil"/>
          <w:between w:val="nil"/>
        </w:pBdr>
        <w:ind w:right="-788"/>
        <w:jc w:val="both"/>
        <w:rPr>
          <w:rFonts w:ascii="Palatino Linotype" w:eastAsia="Palatino Linotype" w:hAnsi="Palatino Linotype" w:cs="Palatino Linotype"/>
          <w:color w:val="000000"/>
        </w:rPr>
      </w:pPr>
    </w:p>
    <w:p w14:paraId="0920A66D"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02058/INFOEM/IP/RR/2026</w:t>
      </w:r>
    </w:p>
    <w:p w14:paraId="449D69A8" w14:textId="77777777" w:rsidR="00F4722E" w:rsidRDefault="00F4722E">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color w:val="000000"/>
          <w:sz w:val="22"/>
          <w:szCs w:val="22"/>
        </w:rPr>
      </w:pPr>
    </w:p>
    <w:p w14:paraId="65EB2580"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2058-2026-DGA.pdf</w:t>
      </w:r>
    </w:p>
    <w:p w14:paraId="090A86AE"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 de Oficio: 206010000/1283/2026 de fecha 23 de febrero de 2026, firmado por la </w:t>
      </w:r>
      <w:r>
        <w:rPr>
          <w:rFonts w:ascii="Palatino Linotype" w:eastAsia="Palatino Linotype" w:hAnsi="Palatino Linotype" w:cs="Palatino Linotype"/>
          <w:b/>
          <w:bCs/>
          <w:color w:val="000000"/>
          <w:sz w:val="22"/>
          <w:szCs w:val="22"/>
        </w:rPr>
        <w:t>Directora General de Administración</w:t>
      </w:r>
      <w:r>
        <w:rPr>
          <w:rFonts w:ascii="Palatino Linotype" w:eastAsia="Palatino Linotype" w:hAnsi="Palatino Linotype" w:cs="Palatino Linotype"/>
          <w:color w:val="000000"/>
          <w:sz w:val="22"/>
          <w:szCs w:val="22"/>
        </w:rPr>
        <w:t xml:space="preserve">, a través del cual rinde informe justificado </w:t>
      </w:r>
      <w:r>
        <w:rPr>
          <w:rFonts w:ascii="Palatino Linotype" w:eastAsia="Palatino Linotype" w:hAnsi="Palatino Linotype" w:cs="Palatino Linotype"/>
          <w:b/>
          <w:bCs/>
          <w:color w:val="000000"/>
          <w:sz w:val="22"/>
          <w:szCs w:val="22"/>
        </w:rPr>
        <w:t>ratificando la respuesta inicial</w:t>
      </w:r>
      <w:r>
        <w:rPr>
          <w:rFonts w:ascii="Palatino Linotype" w:eastAsia="Palatino Linotype" w:hAnsi="Palatino Linotype" w:cs="Palatino Linotype"/>
          <w:color w:val="000000"/>
          <w:sz w:val="22"/>
          <w:szCs w:val="22"/>
        </w:rPr>
        <w:t>.</w:t>
      </w:r>
    </w:p>
    <w:p w14:paraId="73DD7941" w14:textId="77777777" w:rsidR="00F4722E" w:rsidRDefault="00F4722E">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i/>
          <w:iCs/>
          <w:color w:val="000000"/>
          <w:sz w:val="22"/>
          <w:szCs w:val="22"/>
        </w:rPr>
      </w:pPr>
    </w:p>
    <w:p w14:paraId="1281ADB9"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2058 Ratificación.pdf</w:t>
      </w:r>
    </w:p>
    <w:p w14:paraId="13F25678"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Escrito firmado por el Titular de la Unidad de Transparencia a través del cual ratifica a la respuesta emitida por la DIRECCIÓN GENERAL DE ADMINISTRACIÓN.</w:t>
      </w:r>
    </w:p>
    <w:p w14:paraId="52EBFF47" w14:textId="77777777" w:rsidR="00F4722E" w:rsidRDefault="00F4722E">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color w:val="000000"/>
          <w:sz w:val="22"/>
          <w:szCs w:val="22"/>
        </w:rPr>
      </w:pPr>
    </w:p>
    <w:p w14:paraId="42AD1DC9"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02059/INFOEM/IP/RR/2026</w:t>
      </w:r>
    </w:p>
    <w:p w14:paraId="065C7D71" w14:textId="77777777" w:rsidR="00F4722E" w:rsidRDefault="00F4722E">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color w:val="000000"/>
          <w:sz w:val="22"/>
          <w:szCs w:val="22"/>
        </w:rPr>
      </w:pPr>
    </w:p>
    <w:p w14:paraId="25450E3A"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Ratificación2059.pdf</w:t>
      </w:r>
    </w:p>
    <w:p w14:paraId="653F870F"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Escrito firmado por el Titular de la Unidad de Transparencia a través del cual ratifica a la respuesta emitida por la DIRECCIÓN GENERAL DE ADMINISTRACIÓN.</w:t>
      </w:r>
    </w:p>
    <w:p w14:paraId="512D28EF" w14:textId="77777777" w:rsidR="00F4722E" w:rsidRDefault="00F4722E">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i/>
          <w:iCs/>
          <w:color w:val="000000"/>
          <w:sz w:val="22"/>
          <w:szCs w:val="22"/>
        </w:rPr>
      </w:pPr>
    </w:p>
    <w:p w14:paraId="4C883489"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2059-2026-DGA.pdf</w:t>
      </w:r>
    </w:p>
    <w:p w14:paraId="20545233" w14:textId="77777777" w:rsidR="00F4722E" w:rsidRDefault="003228AC">
      <w:pPr>
        <w:pBdr>
          <w:top w:val="nil"/>
          <w:left w:val="nil"/>
          <w:bottom w:val="nil"/>
          <w:right w:val="nil"/>
          <w:between w:val="nil"/>
        </w:pBdr>
        <w:tabs>
          <w:tab w:val="left" w:pos="567"/>
        </w:tabs>
        <w:ind w:left="709" w:right="-78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 de Oficio: 206010000/1405/2026 de fecha 26 de febrero de 2026, firmado por la </w:t>
      </w:r>
      <w:r>
        <w:rPr>
          <w:rFonts w:ascii="Palatino Linotype" w:eastAsia="Palatino Linotype" w:hAnsi="Palatino Linotype" w:cs="Palatino Linotype"/>
          <w:b/>
          <w:bCs/>
          <w:color w:val="000000"/>
          <w:sz w:val="22"/>
          <w:szCs w:val="22"/>
        </w:rPr>
        <w:t>Directora General de Administración</w:t>
      </w:r>
      <w:r>
        <w:rPr>
          <w:rFonts w:ascii="Palatino Linotype" w:eastAsia="Palatino Linotype" w:hAnsi="Palatino Linotype" w:cs="Palatino Linotype"/>
          <w:color w:val="000000"/>
          <w:sz w:val="22"/>
          <w:szCs w:val="22"/>
        </w:rPr>
        <w:t xml:space="preserve">, a través del cual rinde informe justificado </w:t>
      </w:r>
      <w:r>
        <w:rPr>
          <w:rFonts w:ascii="Palatino Linotype" w:eastAsia="Palatino Linotype" w:hAnsi="Palatino Linotype" w:cs="Palatino Linotype"/>
          <w:b/>
          <w:bCs/>
          <w:color w:val="000000"/>
          <w:sz w:val="22"/>
          <w:szCs w:val="22"/>
        </w:rPr>
        <w:t>ratificando la respuesta inicial</w:t>
      </w:r>
      <w:r>
        <w:rPr>
          <w:rFonts w:ascii="Palatino Linotype" w:eastAsia="Palatino Linotype" w:hAnsi="Palatino Linotype" w:cs="Palatino Linotype"/>
          <w:color w:val="000000"/>
          <w:sz w:val="22"/>
          <w:szCs w:val="22"/>
        </w:rPr>
        <w:t>.</w:t>
      </w:r>
    </w:p>
    <w:p w14:paraId="5DE22D9E" w14:textId="77777777" w:rsidR="00F4722E" w:rsidRDefault="00F4722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48FCDDFD" w14:textId="77777777" w:rsidR="00F4722E" w:rsidRDefault="003228AC">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Posteriormente el Pleno de este Órgano Autónomo, mediante acuerdo</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de fecha</w:t>
      </w:r>
      <w:r>
        <w:rPr>
          <w:rFonts w:ascii="Palatino Linotype" w:eastAsia="Palatino Linotype" w:hAnsi="Palatino Linotype" w:cs="Palatino Linotype"/>
          <w:b/>
          <w:bCs/>
          <w:color w:val="000000"/>
        </w:rPr>
        <w:t xml:space="preserve"> cinco de marzo de dos mil veintiséis</w:t>
      </w:r>
      <w:r>
        <w:rPr>
          <w:rFonts w:ascii="Palatino Linotype" w:eastAsia="Palatino Linotype" w:hAnsi="Palatino Linotype" w:cs="Palatino Linotype"/>
          <w:color w:val="000000"/>
        </w:rPr>
        <w:t xml:space="preserve">; ordenó la acumulación de los recursos de revisión de mérito, a efecto de que la Ponencia de la </w:t>
      </w:r>
      <w:r>
        <w:rPr>
          <w:rFonts w:ascii="Palatino Linotype" w:eastAsia="Palatino Linotype" w:hAnsi="Palatino Linotype" w:cs="Palatino Linotype"/>
          <w:b/>
          <w:bCs/>
          <w:color w:val="000000"/>
        </w:rPr>
        <w:t xml:space="preserve">Comisionada María del Rosario Mejía Ayala </w:t>
      </w:r>
      <w:r>
        <w:rPr>
          <w:rFonts w:ascii="Palatino Linotype" w:eastAsia="Palatino Linotype" w:hAnsi="Palatino Linotype" w:cs="Palatino Linotype"/>
        </w:rPr>
        <w:t>formulará</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proyecto de resolución correspondiente, de conformidad con el numeral ONCE incisos b) y c) de los Lineamientos para la Recepción, Trámite y Resolución de las Solicitudes </w:t>
      </w:r>
      <w:r>
        <w:rPr>
          <w:rFonts w:ascii="Palatino Linotype" w:eastAsia="Palatino Linotype" w:hAnsi="Palatino Linotype" w:cs="Palatino Linotype"/>
          <w:color w:val="000000"/>
        </w:rPr>
        <w:lastRenderedPageBreak/>
        <w:t>de Acceso a la Información Pública, así como de los Recursos de Revisión que deberán observar los Sujetos Obligados por la Ley de Transparencia Estatal</w:t>
      </w:r>
      <w:r>
        <w:rPr>
          <w:rFonts w:ascii="Palatino Linotype" w:eastAsia="Palatino Linotype" w:hAnsi="Palatino Linotype" w:cs="Palatino Linotype"/>
          <w:i/>
          <w:iCs/>
          <w:color w:val="000000"/>
          <w:vertAlign w:val="superscript"/>
        </w:rPr>
        <w:footnoteReference w:id="1"/>
      </w:r>
      <w:r>
        <w:rPr>
          <w:rFonts w:ascii="Palatino Linotype" w:eastAsia="Palatino Linotype" w:hAnsi="Palatino Linotype" w:cs="Palatino Linotype"/>
          <w:color w:val="000000"/>
        </w:rPr>
        <w:t>, que señala:</w:t>
      </w:r>
    </w:p>
    <w:p w14:paraId="27DD19B7" w14:textId="77777777" w:rsidR="00F4722E" w:rsidRDefault="00F4722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68303D0C" w14:textId="77777777" w:rsidR="00F4722E" w:rsidRDefault="003228AC">
      <w:pPr>
        <w:pBdr>
          <w:top w:val="nil"/>
          <w:left w:val="nil"/>
          <w:bottom w:val="nil"/>
          <w:right w:val="nil"/>
          <w:between w:val="nil"/>
        </w:pBdr>
        <w:ind w:left="1134" w:right="6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“ONCE.</w:t>
      </w:r>
      <w:r>
        <w:rPr>
          <w:rFonts w:ascii="Palatino Linotype" w:eastAsia="Palatino Linotype" w:hAnsi="Palatino Linotype" w:cs="Palatino Linotype"/>
          <w:i/>
          <w:iCs/>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14:paraId="1DA2DEB6" w14:textId="77777777" w:rsidR="00F4722E" w:rsidRDefault="003228AC">
      <w:pPr>
        <w:pBdr>
          <w:top w:val="nil"/>
          <w:left w:val="nil"/>
          <w:bottom w:val="nil"/>
          <w:right w:val="nil"/>
          <w:between w:val="nil"/>
        </w:pBdr>
        <w:ind w:left="1134" w:right="6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i/>
          <w:iCs/>
          <w:color w:val="000000"/>
          <w:sz w:val="22"/>
          <w:szCs w:val="22"/>
        </w:rPr>
        <w:tab/>
      </w:r>
    </w:p>
    <w:p w14:paraId="0C46AE6F" w14:textId="77777777" w:rsidR="00F4722E" w:rsidRDefault="003228AC">
      <w:pPr>
        <w:pBdr>
          <w:top w:val="nil"/>
          <w:left w:val="nil"/>
          <w:bottom w:val="nil"/>
          <w:right w:val="nil"/>
          <w:between w:val="nil"/>
        </w:pBdr>
        <w:ind w:left="1134" w:right="6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b) Las partes o los actos impugnados sean iguales</w:t>
      </w:r>
    </w:p>
    <w:p w14:paraId="0E9E824A" w14:textId="77777777" w:rsidR="00F4722E" w:rsidRDefault="003228AC">
      <w:pPr>
        <w:pBdr>
          <w:top w:val="nil"/>
          <w:left w:val="nil"/>
          <w:bottom w:val="nil"/>
          <w:right w:val="nil"/>
          <w:between w:val="nil"/>
        </w:pBdr>
        <w:ind w:left="1134" w:right="6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 Cuando se trate del mismo solicitante, el mismo SUJETO OBLIGADO, aunque se trate de solicitudes diversas;</w:t>
      </w:r>
    </w:p>
    <w:p w14:paraId="71F8F991" w14:textId="77777777" w:rsidR="00F4722E" w:rsidRDefault="003228AC">
      <w:pPr>
        <w:pBdr>
          <w:top w:val="nil"/>
          <w:left w:val="nil"/>
          <w:bottom w:val="nil"/>
          <w:right w:val="nil"/>
          <w:between w:val="nil"/>
        </w:pBdr>
        <w:ind w:left="1134" w:right="6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14:paraId="778B21B7" w14:textId="77777777" w:rsidR="00F4722E" w:rsidRDefault="00F4722E">
      <w:pPr>
        <w:pBdr>
          <w:top w:val="nil"/>
          <w:left w:val="nil"/>
          <w:bottom w:val="nil"/>
          <w:right w:val="nil"/>
          <w:between w:val="nil"/>
        </w:pBdr>
        <w:ind w:left="1134" w:right="-787"/>
        <w:jc w:val="both"/>
        <w:rPr>
          <w:rFonts w:ascii="Palatino Linotype" w:eastAsia="Palatino Linotype" w:hAnsi="Palatino Linotype" w:cs="Palatino Linotype"/>
          <w:color w:val="000000"/>
        </w:rPr>
      </w:pPr>
    </w:p>
    <w:p w14:paraId="2F995501" w14:textId="77777777" w:rsidR="00F4722E" w:rsidRDefault="003228AC">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Órgano Garante </w:t>
      </w:r>
      <w:r>
        <w:rPr>
          <w:rFonts w:ascii="Palatino Linotype" w:eastAsia="Palatino Linotype" w:hAnsi="Palatino Linotype" w:cs="Palatino Linotype"/>
        </w:rPr>
        <w:t>realizará</w:t>
      </w:r>
      <w:r>
        <w:rPr>
          <w:rFonts w:ascii="Palatino Linotype" w:eastAsia="Palatino Linotype" w:hAnsi="Palatino Linotype" w:cs="Palatino Linotype"/>
          <w:color w:val="000000"/>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14:paraId="285ED404" w14:textId="77777777" w:rsidR="00F4722E" w:rsidRDefault="00F4722E">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58F87053"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bookmarkStart w:id="2" w:name="_heading=h.3znysh7" w:colFirst="0" w:colLast="0"/>
      <w:bookmarkEnd w:id="2"/>
      <w:r>
        <w:rPr>
          <w:rFonts w:ascii="Palatino Linotype" w:eastAsia="Palatino Linotype" w:hAnsi="Palatino Linotype" w:cs="Palatino Linotype"/>
          <w:color w:val="000000"/>
        </w:rPr>
        <w:t xml:space="preserve">Seguidamente, en fecha </w:t>
      </w:r>
      <w:r>
        <w:rPr>
          <w:rFonts w:ascii="Palatino Linotype" w:eastAsia="Palatino Linotype" w:hAnsi="Palatino Linotype" w:cs="Palatino Linotype"/>
          <w:b/>
          <w:bCs/>
          <w:color w:val="000000"/>
        </w:rPr>
        <w:t>seis de abril de dos mil veintiséis</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bCs/>
          <w:color w:val="000000"/>
        </w:rPr>
        <w:t>cierre del periodo de instrucción</w:t>
      </w:r>
      <w:r>
        <w:rPr>
          <w:rFonts w:ascii="Palatino Linotype" w:eastAsia="Palatino Linotype" w:hAnsi="Palatino Linotype" w:cs="Palatino Linotype"/>
          <w:color w:val="000000"/>
        </w:rPr>
        <w:t xml:space="preserve"> y, ordenó la resolución que conforme a Derecho proceda, de acuerdo a las siguientes:</w:t>
      </w:r>
    </w:p>
    <w:p w14:paraId="4DF9F5F2" w14:textId="77777777" w:rsidR="00F4722E" w:rsidRDefault="00F4722E">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p>
    <w:p w14:paraId="095D1DEF" w14:textId="77777777" w:rsidR="00F4722E" w:rsidRDefault="003228AC">
      <w:pPr>
        <w:keepNext/>
        <w:keepLines/>
        <w:spacing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lastRenderedPageBreak/>
        <w:t xml:space="preserve">C O N S I D E R A N D O </w:t>
      </w:r>
    </w:p>
    <w:p w14:paraId="54520535" w14:textId="77777777" w:rsidR="00F4722E" w:rsidRDefault="00F4722E">
      <w:pPr>
        <w:keepNext/>
        <w:keepLines/>
        <w:spacing w:line="360" w:lineRule="auto"/>
        <w:rPr>
          <w:rFonts w:ascii="Palatino Linotype" w:eastAsia="Palatino Linotype" w:hAnsi="Palatino Linotype" w:cs="Palatino Linotype"/>
          <w:b/>
          <w:bCs/>
        </w:rPr>
      </w:pPr>
    </w:p>
    <w:p w14:paraId="699EA29C" w14:textId="77777777" w:rsidR="00F4722E" w:rsidRDefault="003228AC">
      <w:pPr>
        <w:keepNext/>
        <w:keepLine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PRIMERO. De la competencia</w:t>
      </w:r>
    </w:p>
    <w:p w14:paraId="05D12B25"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470D035" w14:textId="77777777" w:rsidR="00F4722E" w:rsidRDefault="00F4722E">
      <w:pPr>
        <w:tabs>
          <w:tab w:val="left" w:pos="426"/>
        </w:tabs>
        <w:spacing w:line="360" w:lineRule="auto"/>
        <w:jc w:val="both"/>
        <w:rPr>
          <w:rFonts w:ascii="Palatino Linotype" w:eastAsia="Palatino Linotype" w:hAnsi="Palatino Linotype" w:cs="Palatino Linotype"/>
          <w:color w:val="000000"/>
        </w:rPr>
      </w:pPr>
    </w:p>
    <w:p w14:paraId="36F049B6" w14:textId="77777777" w:rsidR="00F4722E" w:rsidRDefault="003228AC">
      <w:pPr>
        <w:keepNext/>
        <w:keepLine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SEGUNDO. De la oportunidad y procedencia.</w:t>
      </w:r>
    </w:p>
    <w:p w14:paraId="3B489765"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respuestas el </w:t>
      </w:r>
      <w:r>
        <w:rPr>
          <w:rFonts w:ascii="Palatino Linotype" w:eastAsia="Palatino Linotype" w:hAnsi="Palatino Linotype" w:cs="Palatino Linotype"/>
          <w:b/>
          <w:bCs/>
        </w:rPr>
        <w:t>trece de febrero de dos mil veintiséis</w:t>
      </w:r>
      <w:r>
        <w:rPr>
          <w:rFonts w:ascii="Palatino Linotype" w:eastAsia="Palatino Linotype" w:hAnsi="Palatino Linotype" w:cs="Palatino Linotype"/>
        </w:rPr>
        <w:t xml:space="preserve">, de tal forma que el plazo para interponer el recurso transcurrió del </w:t>
      </w:r>
      <w:r>
        <w:rPr>
          <w:rFonts w:ascii="Palatino Linotype" w:eastAsia="Palatino Linotype" w:hAnsi="Palatino Linotype" w:cs="Palatino Linotype"/>
          <w:b/>
          <w:bCs/>
        </w:rPr>
        <w:t xml:space="preserve">dieciséis de febrero al nueve de marzo de dos mil veintiséis, </w:t>
      </w:r>
      <w:r>
        <w:rPr>
          <w:rFonts w:ascii="Palatino Linotype" w:eastAsia="Palatino Linotype" w:hAnsi="Palatino Linotype" w:cs="Palatino Linotype"/>
        </w:rPr>
        <w:t xml:space="preserve">en consecuencia, si el </w:t>
      </w:r>
      <w:r>
        <w:rPr>
          <w:rFonts w:ascii="Palatino Linotype" w:eastAsia="Palatino Linotype" w:hAnsi="Palatino Linotype" w:cs="Palatino Linotype"/>
          <w:b/>
          <w:bCs/>
        </w:rPr>
        <w:t>PARTICULAR</w:t>
      </w:r>
      <w:r>
        <w:rPr>
          <w:rFonts w:ascii="Palatino Linotype" w:eastAsia="Palatino Linotype" w:hAnsi="Palatino Linotype" w:cs="Palatino Linotype"/>
        </w:rPr>
        <w:t xml:space="preserve"> presentó su inconformidad el </w:t>
      </w:r>
      <w:r>
        <w:rPr>
          <w:rFonts w:ascii="Palatino Linotype" w:eastAsia="Palatino Linotype" w:hAnsi="Palatino Linotype" w:cs="Palatino Linotype"/>
          <w:b/>
          <w:bCs/>
        </w:rPr>
        <w:t>diecisiete de febrero de dos mil veintiséis</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14:paraId="6AE4D415" w14:textId="77777777" w:rsidR="00F4722E" w:rsidRDefault="00F4722E">
      <w:pPr>
        <w:spacing w:line="360" w:lineRule="auto"/>
        <w:ind w:right="49"/>
        <w:jc w:val="both"/>
        <w:rPr>
          <w:rFonts w:ascii="Palatino Linotype" w:eastAsia="Palatino Linotype" w:hAnsi="Palatino Linotype" w:cs="Palatino Linotype"/>
        </w:rPr>
      </w:pPr>
      <w:bookmarkStart w:id="3" w:name="_heading=h.2et92p0" w:colFirst="0" w:colLast="0"/>
      <w:bookmarkEnd w:id="3"/>
    </w:p>
    <w:p w14:paraId="67A91406" w14:textId="77777777" w:rsidR="00F4722E" w:rsidRDefault="003228AC">
      <w:pPr>
        <w:pStyle w:val="Ttulo2"/>
        <w:spacing w:before="0"/>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14:paraId="5C7227AF"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14:paraId="226947EE" w14:textId="77777777" w:rsidR="00F4722E" w:rsidRDefault="003228AC">
      <w:pPr>
        <w:numPr>
          <w:ilvl w:val="0"/>
          <w:numId w:val="4"/>
        </w:numPr>
        <w:pBdr>
          <w:top w:val="nil"/>
          <w:left w:val="nil"/>
          <w:bottom w:val="nil"/>
          <w:right w:val="nil"/>
          <w:between w:val="nil"/>
        </w:pBdr>
        <w:ind w:left="1276"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De todo el personal, del 01 de enero de 2025 al 26 de enero de 2026:</w:t>
      </w:r>
    </w:p>
    <w:p w14:paraId="3BF949C1" w14:textId="77777777" w:rsidR="00F4722E" w:rsidRDefault="003228AC">
      <w:pPr>
        <w:numPr>
          <w:ilvl w:val="1"/>
          <w:numId w:val="4"/>
        </w:numPr>
        <w:pBdr>
          <w:top w:val="nil"/>
          <w:left w:val="nil"/>
          <w:bottom w:val="nil"/>
          <w:right w:val="nil"/>
          <w:between w:val="nil"/>
        </w:pBdr>
        <w:ind w:left="1701"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Plantilla de personal en la que se advierta: nombre, cargo, categoría, sueldo bruto, sueldo neto, área de adscripción y fecha de baja,</w:t>
      </w:r>
    </w:p>
    <w:p w14:paraId="658F5836" w14:textId="77777777" w:rsidR="00F4722E" w:rsidRDefault="003228AC">
      <w:pPr>
        <w:numPr>
          <w:ilvl w:val="1"/>
          <w:numId w:val="4"/>
        </w:numPr>
        <w:pBdr>
          <w:top w:val="nil"/>
          <w:left w:val="nil"/>
          <w:bottom w:val="nil"/>
          <w:right w:val="nil"/>
          <w:between w:val="nil"/>
        </w:pBdr>
        <w:ind w:left="1701"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Currículum vitae.</w:t>
      </w:r>
    </w:p>
    <w:p w14:paraId="47380D6C" w14:textId="77777777" w:rsidR="00F4722E" w:rsidRDefault="003228AC">
      <w:pPr>
        <w:numPr>
          <w:ilvl w:val="1"/>
          <w:numId w:val="4"/>
        </w:numPr>
        <w:pBdr>
          <w:top w:val="nil"/>
          <w:left w:val="nil"/>
          <w:bottom w:val="nil"/>
          <w:right w:val="nil"/>
          <w:between w:val="nil"/>
        </w:pBdr>
        <w:ind w:left="1701"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rPr>
        <w:t>Último</w:t>
      </w:r>
      <w:r>
        <w:rPr>
          <w:rFonts w:ascii="Palatino Linotype" w:eastAsia="Palatino Linotype" w:hAnsi="Palatino Linotype" w:cs="Palatino Linotype"/>
          <w:i/>
          <w:iCs/>
          <w:color w:val="000000"/>
        </w:rPr>
        <w:t xml:space="preserve"> comprobante de estudios.</w:t>
      </w:r>
    </w:p>
    <w:p w14:paraId="4C67C119" w14:textId="77777777" w:rsidR="00F4722E" w:rsidRDefault="00F4722E">
      <w:pPr>
        <w:pBdr>
          <w:top w:val="nil"/>
          <w:left w:val="nil"/>
          <w:bottom w:val="nil"/>
          <w:right w:val="nil"/>
          <w:between w:val="nil"/>
        </w:pBdr>
        <w:ind w:left="1440" w:right="-788"/>
        <w:jc w:val="both"/>
        <w:rPr>
          <w:rFonts w:ascii="Palatino Linotype" w:eastAsia="Palatino Linotype" w:hAnsi="Palatino Linotype" w:cs="Palatino Linotype"/>
          <w:color w:val="000000"/>
        </w:rPr>
      </w:pPr>
    </w:p>
    <w:p w14:paraId="4367C641"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w:t>
      </w:r>
      <w:r>
        <w:rPr>
          <w:rFonts w:ascii="Palatino Linotype" w:eastAsia="Palatino Linotype" w:hAnsi="Palatino Linotype" w:cs="Palatino Linotype"/>
          <w:color w:val="000000"/>
        </w:rPr>
        <w:t>respuesta</w:t>
      </w:r>
      <w:r>
        <w:rPr>
          <w:rFonts w:ascii="Palatino Linotype" w:eastAsia="Palatino Linotype" w:hAnsi="Palatino Linotype" w:cs="Palatino Linotype"/>
        </w:rPr>
        <w:t>, el Sujeto Obligado</w:t>
      </w:r>
      <w:r>
        <w:rPr>
          <w:rFonts w:ascii="Palatino Linotype" w:eastAsia="Palatino Linotype" w:hAnsi="Palatino Linotype" w:cs="Palatino Linotype"/>
          <w:b/>
          <w:bCs/>
        </w:rPr>
        <w:t xml:space="preserve"> </w:t>
      </w:r>
      <w:r>
        <w:rPr>
          <w:rFonts w:ascii="Palatino Linotype" w:eastAsia="Palatino Linotype" w:hAnsi="Palatino Linotype" w:cs="Palatino Linotype"/>
        </w:rPr>
        <w:t>remitió el archivo ya descrito en el anterior párrafo 2, en consecuencia se interpuso recurso de revisión argumentando sustancialmente la negativa de la información solicitada</w:t>
      </w:r>
      <w:r>
        <w:rPr>
          <w:rFonts w:ascii="Palatino Linotype" w:eastAsia="Palatino Linotype" w:hAnsi="Palatino Linotype" w:cs="Palatino Linotype"/>
          <w:i/>
          <w:iCs/>
        </w:rPr>
        <w:t>.</w:t>
      </w:r>
    </w:p>
    <w:p w14:paraId="7F2D9436" w14:textId="77777777" w:rsidR="00F4722E" w:rsidRDefault="00F4722E">
      <w:pPr>
        <w:ind w:left="720" w:right="-788"/>
        <w:jc w:val="both"/>
        <w:rPr>
          <w:rFonts w:ascii="Palatino Linotype" w:eastAsia="Palatino Linotype" w:hAnsi="Palatino Linotype" w:cs="Palatino Linotype"/>
          <w:i/>
          <w:iCs/>
          <w:color w:val="000000"/>
        </w:rPr>
      </w:pPr>
    </w:p>
    <w:p w14:paraId="129BCB57"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Pr>
          <w:rFonts w:ascii="Palatino Linotype" w:eastAsia="Palatino Linotype" w:hAnsi="Palatino Linotype" w:cs="Palatino Linotype"/>
          <w:b/>
          <w:bCs/>
        </w:rPr>
        <w:t>artículo 179, fracción I, de la 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relativa a </w:t>
      </w:r>
      <w:r>
        <w:rPr>
          <w:rFonts w:ascii="Palatino Linotype" w:eastAsia="Palatino Linotype" w:hAnsi="Palatino Linotype" w:cs="Palatino Linotype"/>
          <w:b/>
          <w:bCs/>
          <w:color w:val="000000"/>
        </w:rPr>
        <w:t>la negativa a la información solicitada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contexto del cual se dolió el Recurrente 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señalada.</w:t>
      </w:r>
    </w:p>
    <w:p w14:paraId="7DD4757C" w14:textId="77777777" w:rsidR="00F4722E" w:rsidRDefault="00F4722E">
      <w:pPr>
        <w:spacing w:line="360" w:lineRule="auto"/>
        <w:ind w:right="-787"/>
        <w:rPr>
          <w:rFonts w:ascii="Palatino Linotype" w:eastAsia="Palatino Linotype" w:hAnsi="Palatino Linotype" w:cs="Palatino Linotype"/>
        </w:rPr>
      </w:pPr>
    </w:p>
    <w:p w14:paraId="5AAC0EAE" w14:textId="77777777" w:rsidR="00F4722E" w:rsidRDefault="003228AC">
      <w:pPr>
        <w:pStyle w:val="Ttulo2"/>
        <w:spacing w:before="0"/>
        <w:rPr>
          <w:rFonts w:ascii="Palatino Linotype" w:eastAsia="Palatino Linotype" w:hAnsi="Palatino Linotype" w:cs="Palatino Linotype"/>
          <w:b/>
          <w:bCs/>
          <w:color w:val="000000"/>
          <w:sz w:val="24"/>
          <w:szCs w:val="24"/>
        </w:rPr>
      </w:pPr>
      <w:bookmarkStart w:id="4" w:name="_heading=h.1t3h5sf" w:colFirst="0" w:colLast="0"/>
      <w:bookmarkEnd w:id="4"/>
      <w:r>
        <w:rPr>
          <w:rFonts w:ascii="Palatino Linotype" w:eastAsia="Palatino Linotype" w:hAnsi="Palatino Linotype" w:cs="Palatino Linotype"/>
          <w:b/>
          <w:bCs/>
          <w:color w:val="000000"/>
          <w:sz w:val="24"/>
          <w:szCs w:val="24"/>
        </w:rPr>
        <w:t>CUARTO. Del estudio y resolución del asunto.</w:t>
      </w:r>
    </w:p>
    <w:p w14:paraId="15BC1423"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w:t>
      </w:r>
      <w:r>
        <w:rPr>
          <w:rFonts w:ascii="Palatino Linotype" w:eastAsia="Palatino Linotype" w:hAnsi="Palatino Linotype" w:cs="Palatino Linotype"/>
        </w:rPr>
        <w:lastRenderedPageBreak/>
        <w:t>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6B5D3DE8" w14:textId="77777777" w:rsidR="00F4722E" w:rsidRDefault="00F4722E">
      <w:pPr>
        <w:spacing w:line="360" w:lineRule="auto"/>
        <w:ind w:right="-787"/>
        <w:jc w:val="both"/>
        <w:rPr>
          <w:rFonts w:ascii="Palatino Linotype" w:eastAsia="Palatino Linotype" w:hAnsi="Palatino Linotype" w:cs="Palatino Linotype"/>
        </w:rPr>
      </w:pPr>
    </w:p>
    <w:p w14:paraId="731CDA26"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4E9E129" w14:textId="77777777" w:rsidR="00F4722E" w:rsidRDefault="00F4722E">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B6FB764"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7DB3478" w14:textId="77777777" w:rsidR="00F4722E" w:rsidRDefault="00F4722E">
      <w:pPr>
        <w:spacing w:line="360" w:lineRule="auto"/>
        <w:ind w:right="-787"/>
        <w:jc w:val="both"/>
        <w:rPr>
          <w:rFonts w:ascii="Palatino Linotype" w:eastAsia="Palatino Linotype" w:hAnsi="Palatino Linotype" w:cs="Palatino Linotype"/>
        </w:rPr>
      </w:pPr>
    </w:p>
    <w:p w14:paraId="0F78C1D4" w14:textId="77777777" w:rsidR="00F4722E" w:rsidRDefault="003228AC">
      <w:pPr>
        <w:numPr>
          <w:ilvl w:val="0"/>
          <w:numId w:val="3"/>
        </w:num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Del Sujeto Obligado.</w:t>
      </w:r>
    </w:p>
    <w:p w14:paraId="26B09A83" w14:textId="77777777" w:rsidR="00F4722E" w:rsidRDefault="003228AC">
      <w:pPr>
        <w:numPr>
          <w:ilvl w:val="0"/>
          <w:numId w:val="6"/>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rPr>
        <w:lastRenderedPageBreak/>
        <w:t>El ejercicio del gobierno municipal se deposita en un cuerpo colegiado denominado Ayuntamiento. La ejecución de las atribuciones corresponde al Presidente Municipal, quien dirige la Administración Pública Municipal, misma que será centralizada, descentralizada y autónoma, dentro de sus dependencias de encuentra la Dirección General de Administración, de conformidad con el artículo 90, fracción I, numeral 6, del Bando Municipal 2025:</w:t>
      </w:r>
    </w:p>
    <w:p w14:paraId="60246BC7" w14:textId="77777777" w:rsidR="00F4722E" w:rsidRDefault="003228AC">
      <w:pPr>
        <w:ind w:left="1134" w:right="-220"/>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Bando Municipal 2025</w:t>
      </w:r>
    </w:p>
    <w:p w14:paraId="7047A97A" w14:textId="77777777" w:rsidR="00F4722E" w:rsidRDefault="00F4722E">
      <w:pPr>
        <w:ind w:left="1134" w:right="-220"/>
        <w:jc w:val="center"/>
        <w:rPr>
          <w:rFonts w:ascii="Palatino Linotype" w:eastAsia="Palatino Linotype" w:hAnsi="Palatino Linotype" w:cs="Palatino Linotype"/>
          <w:b/>
          <w:bCs/>
          <w:i/>
          <w:iCs/>
          <w:sz w:val="22"/>
          <w:szCs w:val="22"/>
        </w:rPr>
      </w:pPr>
    </w:p>
    <w:p w14:paraId="083D94A6"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90. </w:t>
      </w:r>
      <w:r>
        <w:rPr>
          <w:rFonts w:ascii="Palatino Linotype" w:eastAsia="Palatino Linotype" w:hAnsi="Palatino Linotype" w:cs="Palatino Linotype"/>
          <w:i/>
          <w:iCs/>
          <w:sz w:val="22"/>
          <w:szCs w:val="22"/>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3D7C6A5D" w14:textId="77777777" w:rsidR="00F4722E" w:rsidRDefault="00F4722E">
      <w:pPr>
        <w:ind w:left="1134" w:right="-788"/>
        <w:jc w:val="both"/>
        <w:rPr>
          <w:rFonts w:ascii="Palatino Linotype" w:eastAsia="Palatino Linotype" w:hAnsi="Palatino Linotype" w:cs="Palatino Linotype"/>
          <w:i/>
          <w:iCs/>
          <w:sz w:val="22"/>
          <w:szCs w:val="22"/>
        </w:rPr>
      </w:pPr>
    </w:p>
    <w:p w14:paraId="69094541" w14:textId="77777777" w:rsidR="00F4722E" w:rsidRDefault="003228AC">
      <w:pPr>
        <w:ind w:left="1134" w:right="-788"/>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 DEPENDENCIAS: </w:t>
      </w:r>
    </w:p>
    <w:p w14:paraId="23B2B5CB"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 Secretaría del Ayuntamiento; </w:t>
      </w:r>
    </w:p>
    <w:p w14:paraId="19F4E4CC"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2. Tesorería Municipal; </w:t>
      </w:r>
    </w:p>
    <w:p w14:paraId="62FA147D"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3. Órgano Interno de Control; </w:t>
      </w:r>
    </w:p>
    <w:p w14:paraId="2EF0E9F6"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4. Dirección General de Gobierno; </w:t>
      </w:r>
    </w:p>
    <w:p w14:paraId="6B4C4114"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5. Dirección General de Seguridad y Protección; </w:t>
      </w:r>
    </w:p>
    <w:p w14:paraId="67699DBD" w14:textId="77777777" w:rsidR="00F4722E" w:rsidRDefault="003228AC">
      <w:pPr>
        <w:ind w:left="1134" w:right="-788"/>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6. Dirección General de Administración; </w:t>
      </w:r>
    </w:p>
    <w:p w14:paraId="59D55711"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7. Dirección General de Medio Ambiente; </w:t>
      </w:r>
    </w:p>
    <w:p w14:paraId="687A073B"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8. Dirección General de Servicios Públicos; </w:t>
      </w:r>
    </w:p>
    <w:p w14:paraId="2C745D64"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9. Dirección General de Innovación, Planeación y Gestión Urbana; </w:t>
      </w:r>
    </w:p>
    <w:p w14:paraId="072FA1F1"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10. Dirección General de Obras Públicas; </w:t>
      </w:r>
    </w:p>
    <w:p w14:paraId="49646182"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11. Dirección General de Desarrollo Económico; </w:t>
      </w:r>
    </w:p>
    <w:p w14:paraId="2AFD9297" w14:textId="77777777" w:rsidR="00F4722E" w:rsidRDefault="003228AC">
      <w:pPr>
        <w:ind w:left="1134"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12. Dirección General de Bienestar; y 13.Dirección General de Educación, Cultura y Turismo.</w:t>
      </w:r>
    </w:p>
    <w:p w14:paraId="5CED86F1" w14:textId="77777777" w:rsidR="00F4722E" w:rsidRDefault="00F4722E">
      <w:pPr>
        <w:spacing w:line="360" w:lineRule="auto"/>
        <w:ind w:right="-787"/>
        <w:jc w:val="both"/>
      </w:pPr>
    </w:p>
    <w:p w14:paraId="1F5EAE75"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bCs/>
        </w:rPr>
        <w:t>Dirección General de Administración</w:t>
      </w:r>
      <w:r>
        <w:rPr>
          <w:rFonts w:ascii="Palatino Linotype" w:eastAsia="Palatino Linotype" w:hAnsi="Palatino Linotype" w:cs="Palatino Linotype"/>
        </w:rPr>
        <w:t>, es responsable de la gestión del capital humano del Ayuntamiento, el reclutamiento, contratación, capacitación y desarrollo del personal, así como la aplicación de las disposiciones laborales y sindicales, de conformidad con el artículo 92, fracción VI, del Bando Municipal.</w:t>
      </w:r>
    </w:p>
    <w:p w14:paraId="0E578F5B" w14:textId="77777777" w:rsidR="00F4722E" w:rsidRDefault="00F4722E">
      <w:pPr>
        <w:spacing w:line="360" w:lineRule="auto"/>
        <w:ind w:right="-787"/>
        <w:jc w:val="both"/>
        <w:rPr>
          <w:rFonts w:ascii="Palatino Linotype" w:eastAsia="Palatino Linotype" w:hAnsi="Palatino Linotype" w:cs="Palatino Linotype"/>
        </w:rPr>
      </w:pPr>
    </w:p>
    <w:p w14:paraId="50234929" w14:textId="77777777" w:rsidR="00F4722E" w:rsidRDefault="003228AC">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Dirección General de Administración, para el cumplimiento de sus atribuciones, se auxiliará de la </w:t>
      </w:r>
      <w:r>
        <w:rPr>
          <w:rFonts w:ascii="Palatino Linotype" w:eastAsia="Palatino Linotype" w:hAnsi="Palatino Linotype" w:cs="Palatino Linotype"/>
          <w:b/>
          <w:bCs/>
        </w:rPr>
        <w:t>Dirección de Recursos Humanos</w:t>
      </w:r>
      <w:r>
        <w:rPr>
          <w:rFonts w:ascii="Palatino Linotype" w:eastAsia="Palatino Linotype" w:hAnsi="Palatino Linotype" w:cs="Palatino Linotype"/>
        </w:rPr>
        <w:t>, misma que tendrá dentro de sus atribuciones las de elaborar, operar y mejorar los procedimientos administrativos de control para la selección, reclutamiento, contratación, escalafón, capacitación, retiro, sanción, comisión y desarrollo del personal al servicio del Municipio y Aplicar las disposiciones legales laborales que rigen al personal del Ayuntamiento, entre otras, de conformidad con el Código Reglamentario Municipal de Toluca 2025, artículos 3.41 y 3.42.</w:t>
      </w:r>
    </w:p>
    <w:p w14:paraId="74BA7F16" w14:textId="77777777" w:rsidR="00F4722E" w:rsidRDefault="00F4722E">
      <w:pPr>
        <w:spacing w:line="360" w:lineRule="auto"/>
        <w:ind w:right="-787"/>
        <w:jc w:val="both"/>
        <w:rPr>
          <w:rFonts w:ascii="Palatino Linotype" w:eastAsia="Palatino Linotype" w:hAnsi="Palatino Linotype" w:cs="Palatino Linotype"/>
        </w:rPr>
      </w:pPr>
    </w:p>
    <w:p w14:paraId="31AA5CFD" w14:textId="77777777" w:rsidR="00F4722E" w:rsidRDefault="003228AC">
      <w:pPr>
        <w:numPr>
          <w:ilvl w:val="0"/>
          <w:numId w:val="6"/>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rPr>
        <w:t xml:space="preserve">De lo expuesto es de precisar que las respuestas fueron emitidas por la unidad administrativa competente, a través del Servidor Público Habilitado de la Dirección General de Administración, por lo que podemos advertir que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14:paraId="6FBE2242" w14:textId="77777777" w:rsidR="00F4722E" w:rsidRDefault="00F4722E">
      <w:pPr>
        <w:spacing w:line="360" w:lineRule="auto"/>
        <w:ind w:right="-787"/>
        <w:jc w:val="both"/>
      </w:pPr>
    </w:p>
    <w:p w14:paraId="6C3541B3" w14:textId="77777777" w:rsidR="00F4722E" w:rsidRDefault="003228AC">
      <w:pPr>
        <w:ind w:left="708" w:right="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XXXIX.</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Servidor público habilitado</w:t>
      </w:r>
      <w:r>
        <w:rPr>
          <w:rFonts w:ascii="Palatino Linotype" w:eastAsia="Palatino Linotype" w:hAnsi="Palatino Linotype" w:cs="Palatino Linotype"/>
          <w:i/>
          <w:iCs/>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2265674" w14:textId="77777777" w:rsidR="00F4722E" w:rsidRDefault="00F4722E">
      <w:pPr>
        <w:spacing w:line="360" w:lineRule="auto"/>
        <w:ind w:left="708" w:right="62"/>
        <w:jc w:val="both"/>
        <w:rPr>
          <w:rFonts w:ascii="Palatino Linotype" w:eastAsia="Palatino Linotype" w:hAnsi="Palatino Linotype" w:cs="Palatino Linotype"/>
          <w:sz w:val="22"/>
          <w:szCs w:val="22"/>
        </w:rPr>
      </w:pPr>
    </w:p>
    <w:p w14:paraId="23CF85AC" w14:textId="77777777" w:rsidR="00F4722E" w:rsidRDefault="003228AC">
      <w:pPr>
        <w:numPr>
          <w:ilvl w:val="0"/>
          <w:numId w:val="6"/>
        </w:numPr>
        <w:pBdr>
          <w:top w:val="nil"/>
          <w:left w:val="nil"/>
          <w:bottom w:val="nil"/>
          <w:right w:val="nil"/>
          <w:between w:val="nil"/>
        </w:pBdr>
        <w:spacing w:line="360" w:lineRule="auto"/>
        <w:ind w:left="0" w:right="-787" w:firstLine="0"/>
        <w:jc w:val="both"/>
      </w:pPr>
      <w:r>
        <w:rPr>
          <w:rFonts w:ascii="Palatino Linotype" w:eastAsia="Palatino Linotype" w:hAnsi="Palatino Linotype" w:cs="Palatino Linotype"/>
        </w:rPr>
        <w:lastRenderedPageBreak/>
        <w:t>Así las cosas, se advierte que efectivamente la Unidad de Transparencia cumplió con lo establecido en el artículo 162 de la Ley de Transparencia y Acceso a la Información Pública del Estado de México y Municipios, el cual menciona lo siguiente:</w:t>
      </w:r>
    </w:p>
    <w:p w14:paraId="6B47CFAE" w14:textId="77777777" w:rsidR="00F4722E" w:rsidRDefault="00F4722E">
      <w:pPr>
        <w:ind w:right="-788"/>
        <w:jc w:val="both"/>
      </w:pPr>
    </w:p>
    <w:p w14:paraId="3CF728E4" w14:textId="77777777" w:rsidR="00F4722E" w:rsidRDefault="003228AC">
      <w:pPr>
        <w:ind w:left="425"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162.</w:t>
      </w:r>
      <w:r>
        <w:rPr>
          <w:rFonts w:ascii="Palatino Linotype" w:eastAsia="Palatino Linotype" w:hAnsi="Palatino Linotype" w:cs="Palatino Linotype"/>
          <w:i/>
          <w:iCs/>
          <w:sz w:val="22"/>
          <w:szCs w:val="22"/>
        </w:rPr>
        <w:t xml:space="preserve"> Las unidades de transparencia deberán garantizar que las solicitudes se turnen a </w:t>
      </w:r>
      <w:r>
        <w:rPr>
          <w:rFonts w:ascii="Palatino Linotype" w:eastAsia="Palatino Linotype" w:hAnsi="Palatino Linotype" w:cs="Palatino Linotype"/>
          <w:b/>
          <w:bCs/>
          <w:i/>
          <w:iCs/>
          <w:sz w:val="22"/>
          <w:szCs w:val="22"/>
        </w:rPr>
        <w:t>todas las Áreas competentes</w:t>
      </w:r>
      <w:r>
        <w:rPr>
          <w:rFonts w:ascii="Palatino Linotype" w:eastAsia="Palatino Linotype" w:hAnsi="Palatino Linotype" w:cs="Palatino Linotype"/>
          <w:i/>
          <w:iCs/>
          <w:sz w:val="22"/>
          <w:szCs w:val="22"/>
        </w:rPr>
        <w:t xml:space="preserve"> que cuenten con la información o deban tenerla de acuerdo a sus facultades, competencias y funciones, con el objeto de que realicen una búsqueda exhaustiva y razonable de la información solicitada.”</w:t>
      </w:r>
    </w:p>
    <w:p w14:paraId="70E89535" w14:textId="77777777" w:rsidR="00F4722E" w:rsidRDefault="00F4722E">
      <w:pPr>
        <w:spacing w:line="360" w:lineRule="auto"/>
        <w:ind w:right="-787"/>
        <w:jc w:val="both"/>
        <w:rPr>
          <w:rFonts w:ascii="Palatino Linotype" w:eastAsia="Palatino Linotype" w:hAnsi="Palatino Linotype" w:cs="Palatino Linotype"/>
          <w:color w:val="000000"/>
          <w:sz w:val="22"/>
          <w:szCs w:val="22"/>
        </w:rPr>
      </w:pPr>
    </w:p>
    <w:p w14:paraId="25B0FF0D" w14:textId="77777777" w:rsidR="00F4722E" w:rsidRDefault="003228AC">
      <w:pPr>
        <w:numPr>
          <w:ilvl w:val="0"/>
          <w:numId w:val="6"/>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Es de subrayar que el derecho de acceso a la información pública, consiste en que la información solicitada conste en un soporte documental en cualquiera de sus formas, a saber: </w:t>
      </w:r>
      <w:r>
        <w:rPr>
          <w:rFonts w:ascii="Palatino Linotype" w:eastAsia="Palatino Linotype" w:hAnsi="Palatino Linotype" w:cs="Palatino Linotype"/>
        </w:rPr>
        <w:t>expedientes</w:t>
      </w:r>
      <w:r>
        <w:rPr>
          <w:rFonts w:ascii="Palatino Linotype" w:eastAsia="Palatino Linotype" w:hAnsi="Palatino Linotype" w:cs="Palatino Linotype"/>
          <w:color w:val="000000"/>
        </w:rPr>
        <w:t xml:space="preserv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23565AD" w14:textId="77777777" w:rsidR="00F4722E" w:rsidRDefault="00F4722E">
      <w:pPr>
        <w:spacing w:line="360" w:lineRule="auto"/>
        <w:ind w:right="-787"/>
        <w:jc w:val="both"/>
        <w:rPr>
          <w:color w:val="000000"/>
        </w:rPr>
      </w:pPr>
    </w:p>
    <w:p w14:paraId="258A4A0F" w14:textId="77777777" w:rsidR="00F4722E" w:rsidRDefault="003228AC">
      <w:pPr>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 xml:space="preserve">Artículo 3. </w:t>
      </w:r>
      <w:r>
        <w:rPr>
          <w:rFonts w:ascii="Palatino Linotype" w:eastAsia="Palatino Linotype" w:hAnsi="Palatino Linotype" w:cs="Palatino Linotype"/>
          <w:i/>
          <w:iCs/>
          <w:color w:val="000000"/>
          <w:sz w:val="22"/>
          <w:szCs w:val="22"/>
        </w:rPr>
        <w:t>Para los efectos de la presente Ley se entenderá por:</w:t>
      </w:r>
    </w:p>
    <w:p w14:paraId="4547DB5E" w14:textId="77777777" w:rsidR="00F4722E" w:rsidRDefault="003228AC">
      <w:pPr>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14:paraId="70B78EA5" w14:textId="77777777" w:rsidR="00F4722E" w:rsidRDefault="003228AC">
      <w:pPr>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XI. Documento:</w:t>
      </w:r>
      <w:r>
        <w:rPr>
          <w:rFonts w:ascii="Palatino Linotype" w:eastAsia="Palatino Linotype" w:hAnsi="Palatino Linotype" w:cs="Palatino Linotype"/>
          <w:i/>
          <w:iCs/>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CE8468D" w14:textId="77777777" w:rsidR="00F4722E" w:rsidRDefault="003228AC">
      <w:pPr>
        <w:spacing w:line="360" w:lineRule="auto"/>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14:paraId="05E77DBF" w14:textId="77777777" w:rsidR="00F4722E" w:rsidRDefault="00F4722E">
      <w:pPr>
        <w:ind w:right="-787"/>
        <w:jc w:val="both"/>
        <w:rPr>
          <w:rFonts w:ascii="Palatino Linotype" w:eastAsia="Palatino Linotype" w:hAnsi="Palatino Linotype" w:cs="Palatino Linotype"/>
        </w:rPr>
      </w:pPr>
    </w:p>
    <w:p w14:paraId="1CCFB8CB" w14:textId="77777777" w:rsidR="00F4722E" w:rsidRDefault="003228AC">
      <w:pPr>
        <w:numPr>
          <w:ilvl w:val="0"/>
          <w:numId w:val="6"/>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w:t>
      </w:r>
      <w:r>
        <w:rPr>
          <w:rFonts w:ascii="Palatino Linotype" w:eastAsia="Palatino Linotype" w:hAnsi="Palatino Linotype" w:cs="Palatino Linotype"/>
          <w:color w:val="000000"/>
        </w:rPr>
        <w:lastRenderedPageBreak/>
        <w:t xml:space="preserve">Pública del </w:t>
      </w:r>
      <w:r>
        <w:rPr>
          <w:rFonts w:ascii="Palatino Linotype" w:eastAsia="Palatino Linotype" w:hAnsi="Palatino Linotype" w:cs="Palatino Linotype"/>
        </w:rPr>
        <w:t>Estado</w:t>
      </w:r>
      <w:r>
        <w:rPr>
          <w:rFonts w:ascii="Palatino Linotype" w:eastAsia="Palatino Linotype" w:hAnsi="Palatino Linotype" w:cs="Palatino Linotype"/>
          <w:color w:val="000000"/>
        </w:rPr>
        <w:t xml:space="preserve"> de México y Municipios; publicado en el Periódico Oficial del Gobierno del Estado Libre y Soberano de México “Gaceta del Gobierno”, el diecinueve de octubre de dos mil once, cuyo rubro y texto dispone:</w:t>
      </w:r>
    </w:p>
    <w:p w14:paraId="67F10442" w14:textId="77777777" w:rsidR="00F4722E" w:rsidRDefault="00F4722E">
      <w:pPr>
        <w:spacing w:line="360" w:lineRule="auto"/>
        <w:ind w:right="-787"/>
        <w:jc w:val="both"/>
        <w:rPr>
          <w:color w:val="000000"/>
        </w:rPr>
      </w:pPr>
    </w:p>
    <w:p w14:paraId="243D40E1" w14:textId="77777777" w:rsidR="00F4722E" w:rsidRDefault="003228AC">
      <w:pPr>
        <w:ind w:left="567" w:right="-22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CRITERIO 0002-11</w:t>
      </w:r>
    </w:p>
    <w:p w14:paraId="5CEEB69A" w14:textId="77777777" w:rsidR="00F4722E" w:rsidRDefault="003228AC">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E01AFF" w14:textId="77777777" w:rsidR="00F4722E" w:rsidRDefault="003228AC">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4C787570" w14:textId="77777777" w:rsidR="00F4722E" w:rsidRDefault="003228AC">
      <w:pPr>
        <w:ind w:left="567" w:right="-22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1) </w:t>
      </w:r>
      <w:r>
        <w:rPr>
          <w:rFonts w:ascii="Palatino Linotype" w:eastAsia="Palatino Linotype" w:hAnsi="Palatino Linotype" w:cs="Palatino Linotype"/>
          <w:b/>
          <w:bCs/>
          <w:i/>
          <w:iCs/>
          <w:sz w:val="22"/>
          <w:szCs w:val="22"/>
          <w:u w:val="single"/>
        </w:rPr>
        <w:t>Que se trate de información registrada en cualquier soporte documental, que en ejercicio de las atribuciones conferidas, sea generada por los Sujetos Obligados;</w:t>
      </w:r>
    </w:p>
    <w:p w14:paraId="443E2A7F" w14:textId="77777777" w:rsidR="00F4722E" w:rsidRDefault="003228AC">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1FF117B1" w14:textId="77777777" w:rsidR="00F4722E" w:rsidRDefault="003228AC">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7F2694B3" w14:textId="77777777" w:rsidR="00F4722E" w:rsidRDefault="00F4722E">
      <w:pPr>
        <w:pBdr>
          <w:top w:val="nil"/>
          <w:left w:val="nil"/>
          <w:bottom w:val="nil"/>
          <w:right w:val="nil"/>
          <w:between w:val="nil"/>
        </w:pBdr>
        <w:ind w:right="-787"/>
        <w:jc w:val="both"/>
        <w:rPr>
          <w:rFonts w:ascii="Palatino Linotype" w:eastAsia="Palatino Linotype" w:hAnsi="Palatino Linotype" w:cs="Palatino Linotype"/>
          <w:color w:val="000000"/>
        </w:rPr>
      </w:pPr>
    </w:p>
    <w:p w14:paraId="06238819" w14:textId="77777777" w:rsidR="00F4722E" w:rsidRDefault="003228AC">
      <w:pPr>
        <w:numPr>
          <w:ilvl w:val="0"/>
          <w:numId w:val="6"/>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Por su parte los artículos 160 y 166, de la Ley local en la materia, que se reproduce de la siguiente forma:</w:t>
      </w:r>
    </w:p>
    <w:p w14:paraId="1C28DE4F" w14:textId="77777777" w:rsidR="00F4722E" w:rsidRDefault="00F4722E">
      <w:pPr>
        <w:spacing w:line="360" w:lineRule="auto"/>
        <w:ind w:right="-787"/>
        <w:jc w:val="both"/>
        <w:rPr>
          <w:color w:val="000000"/>
        </w:rPr>
      </w:pPr>
    </w:p>
    <w:p w14:paraId="66E52B27"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160.</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i/>
          <w:iCs/>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iCs/>
          <w:sz w:val="22"/>
          <w:szCs w:val="22"/>
        </w:rPr>
        <w:t>.</w:t>
      </w:r>
    </w:p>
    <w:p w14:paraId="00B568B0" w14:textId="77777777" w:rsidR="00F4722E" w:rsidRDefault="00F4722E">
      <w:pPr>
        <w:ind w:left="566" w:right="-220"/>
        <w:jc w:val="both"/>
        <w:rPr>
          <w:rFonts w:ascii="Palatino Linotype" w:eastAsia="Palatino Linotype" w:hAnsi="Palatino Linotype" w:cs="Palatino Linotype"/>
          <w:i/>
          <w:iCs/>
          <w:sz w:val="22"/>
          <w:szCs w:val="22"/>
        </w:rPr>
      </w:pPr>
    </w:p>
    <w:p w14:paraId="4A7DE288"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caso que la información solicitada consista en bases de datos se deberá privilegiar la entrega de la misma en formatos abiertos.</w:t>
      </w:r>
    </w:p>
    <w:p w14:paraId="5A6856E5" w14:textId="77777777" w:rsidR="00F4722E" w:rsidRDefault="003228AC">
      <w:pPr>
        <w:ind w:left="566" w:right="-220"/>
        <w:jc w:val="both"/>
        <w:rPr>
          <w:rFonts w:ascii="Palatino Linotype" w:eastAsia="Palatino Linotype" w:hAnsi="Palatino Linotype" w:cs="Palatino Linotype"/>
          <w:i/>
          <w:iCs/>
          <w:sz w:val="22"/>
          <w:szCs w:val="22"/>
          <w:u w:val="single"/>
        </w:rPr>
      </w:pPr>
      <w:r>
        <w:rPr>
          <w:rFonts w:ascii="Palatino Linotype" w:eastAsia="Palatino Linotype" w:hAnsi="Palatino Linotype" w:cs="Palatino Linotype"/>
          <w:b/>
          <w:bCs/>
          <w:i/>
          <w:iCs/>
          <w:sz w:val="22"/>
          <w:szCs w:val="22"/>
        </w:rPr>
        <w:t>Artículo 166.</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i/>
          <w:iCs/>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14:paraId="6FDA6C2D" w14:textId="77777777" w:rsidR="00F4722E" w:rsidRDefault="003228AC">
      <w:pPr>
        <w:spacing w:line="360" w:lineRule="auto"/>
        <w:ind w:left="566"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974E426" w14:textId="77777777" w:rsidR="00F4722E" w:rsidRDefault="00F4722E">
      <w:pPr>
        <w:ind w:right="-787"/>
        <w:jc w:val="both"/>
        <w:rPr>
          <w:rFonts w:ascii="Palatino Linotype" w:eastAsia="Palatino Linotype" w:hAnsi="Palatino Linotype" w:cs="Palatino Linotype"/>
        </w:rPr>
      </w:pPr>
    </w:p>
    <w:p w14:paraId="04614B91" w14:textId="77777777" w:rsidR="00F4722E" w:rsidRDefault="003228AC">
      <w:pPr>
        <w:numPr>
          <w:ilvl w:val="0"/>
          <w:numId w:val="6"/>
        </w:numPr>
        <w:pBdr>
          <w:top w:val="nil"/>
          <w:left w:val="nil"/>
          <w:bottom w:val="nil"/>
          <w:right w:val="nil"/>
          <w:between w:val="nil"/>
        </w:pBdr>
        <w:spacing w:line="360" w:lineRule="auto"/>
        <w:ind w:left="0" w:right="-787" w:firstLine="0"/>
        <w:jc w:val="both"/>
        <w:rPr>
          <w:color w:val="000000"/>
        </w:rPr>
      </w:pPr>
      <w:r>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14:paraId="239CB146" w14:textId="77777777" w:rsidR="00F4722E" w:rsidRDefault="00F4722E">
      <w:pPr>
        <w:spacing w:line="360" w:lineRule="auto"/>
        <w:ind w:right="-787"/>
        <w:jc w:val="both"/>
        <w:rPr>
          <w:rFonts w:ascii="Palatino Linotype" w:eastAsia="Palatino Linotype" w:hAnsi="Palatino Linotype" w:cs="Palatino Linotype"/>
          <w:color w:val="000000"/>
          <w:sz w:val="22"/>
          <w:szCs w:val="22"/>
        </w:rPr>
      </w:pPr>
    </w:p>
    <w:p w14:paraId="4D499BBA"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i/>
          <w:iCs/>
          <w:u w:val="single"/>
        </w:rPr>
      </w:pPr>
      <w:r>
        <w:rPr>
          <w:rFonts w:ascii="Palatino Linotype" w:eastAsia="Palatino Linotype" w:hAnsi="Palatino Linotype" w:cs="Palatino Linotype"/>
        </w:rPr>
        <w:t xml:space="preserve">Ahora bien, es de </w:t>
      </w:r>
      <w:r>
        <w:rPr>
          <w:rFonts w:ascii="Palatino Linotype" w:eastAsia="Palatino Linotype" w:hAnsi="Palatino Linotype" w:cs="Palatino Linotype"/>
          <w:color w:val="000000"/>
        </w:rPr>
        <w:t>precisar</w:t>
      </w:r>
      <w:r>
        <w:rPr>
          <w:rFonts w:ascii="Palatino Linotype" w:eastAsia="Palatino Linotype" w:hAnsi="Palatino Linotype" w:cs="Palatino Linotype"/>
        </w:rPr>
        <w:t xml:space="preserve"> que el particular requirió la información consistente en </w:t>
      </w:r>
      <w:r>
        <w:rPr>
          <w:rFonts w:ascii="Palatino Linotype" w:eastAsia="Palatino Linotype" w:hAnsi="Palatino Linotype" w:cs="Palatino Linotype"/>
          <w:i/>
          <w:iCs/>
          <w:u w:val="single"/>
        </w:rPr>
        <w:t>De todo el personal, del 01 de enero de 2025 al 26 de enero de 2026: Plantilla de personal en la que se advierta: nombre, cargo, categoría, sueldo bruto, sueldo neto y área de adscripción; Currículum vitae y Ultimo comprobante de estudios</w:t>
      </w:r>
      <w:r>
        <w:rPr>
          <w:rFonts w:ascii="Palatino Linotype" w:eastAsia="Palatino Linotype" w:hAnsi="Palatino Linotype" w:cs="Palatino Linotype"/>
          <w:color w:val="000000"/>
        </w:rPr>
        <w:t>, en consecuencia el Sujeto Obligado refirió que la información puede ser consultada en la página de internet, señalando dos links en formato cerrado:</w:t>
      </w:r>
    </w:p>
    <w:p w14:paraId="1BE80B7C" w14:textId="77777777" w:rsidR="00F4722E" w:rsidRDefault="003228AC">
      <w:pPr>
        <w:spacing w:line="360" w:lineRule="auto"/>
        <w:ind w:right="-787"/>
        <w:jc w:val="center"/>
        <w:rPr>
          <w:rFonts w:ascii="Palatino Linotype" w:eastAsia="Palatino Linotype" w:hAnsi="Palatino Linotype" w:cs="Palatino Linotype"/>
          <w:i/>
          <w:iCs/>
          <w:color w:val="000000"/>
          <w:u w:val="single"/>
        </w:rPr>
      </w:pPr>
      <w:r>
        <w:rPr>
          <w:noProof/>
          <w:lang w:val="es-MX"/>
        </w:rPr>
        <w:drawing>
          <wp:inline distT="0" distB="0" distL="0" distR="0" wp14:anchorId="3962BD3F" wp14:editId="1C02E38B">
            <wp:extent cx="4517368" cy="309463"/>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17368" cy="309463"/>
                    </a:xfrm>
                    <a:prstGeom prst="rect">
                      <a:avLst/>
                    </a:prstGeom>
                    <a:ln/>
                  </pic:spPr>
                </pic:pic>
              </a:graphicData>
            </a:graphic>
          </wp:inline>
        </w:drawing>
      </w:r>
    </w:p>
    <w:p w14:paraId="300D5084"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Es</w:t>
      </w:r>
      <w:r>
        <w:rPr>
          <w:rFonts w:ascii="Palatino Linotype" w:eastAsia="Palatino Linotype" w:hAnsi="Palatino Linotype" w:cs="Palatino Linotype"/>
          <w:color w:val="000000"/>
        </w:rPr>
        <w:t xml:space="preserve"> decir, que </w:t>
      </w:r>
      <w:r>
        <w:rPr>
          <w:rFonts w:ascii="Palatino Linotype" w:eastAsia="Palatino Linotype" w:hAnsi="Palatino Linotype" w:cs="Palatino Linotype"/>
        </w:rPr>
        <w:t>implica</w:t>
      </w:r>
      <w:r>
        <w:rPr>
          <w:rFonts w:ascii="Palatino Linotype" w:eastAsia="Palatino Linotype" w:hAnsi="Palatino Linotype" w:cs="Palatino Linotype"/>
          <w:color w:val="000000"/>
        </w:rPr>
        <w:t xml:space="preserve">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Pr>
          <w:rFonts w:ascii="Palatino Linotype" w:eastAsia="Palatino Linotype" w:hAnsi="Palatino Linotype" w:cs="Palatino Linotype"/>
          <w:b/>
          <w:bCs/>
          <w:color w:val="000000"/>
        </w:rPr>
        <w:t>en formatos abiertos, con los efectos de facilitar la reutilización de la información</w:t>
      </w:r>
      <w:r>
        <w:rPr>
          <w:rFonts w:ascii="Palatino Linotype" w:eastAsia="Palatino Linotype" w:hAnsi="Palatino Linotype" w:cs="Palatino Linotype"/>
          <w:color w:val="000000"/>
        </w:rPr>
        <w:t>, tal como a la letra refiere:</w:t>
      </w:r>
    </w:p>
    <w:p w14:paraId="09D6A1D6" w14:textId="77777777" w:rsidR="00F4722E" w:rsidRDefault="00F4722E">
      <w:pPr>
        <w:ind w:left="566" w:right="-220"/>
        <w:jc w:val="center"/>
        <w:rPr>
          <w:rFonts w:ascii="Palatino Linotype" w:eastAsia="Palatino Linotype" w:hAnsi="Palatino Linotype" w:cs="Palatino Linotype"/>
          <w:b/>
          <w:bCs/>
          <w:i/>
          <w:iCs/>
          <w:sz w:val="22"/>
          <w:szCs w:val="22"/>
        </w:rPr>
      </w:pPr>
    </w:p>
    <w:p w14:paraId="0A0B45F8" w14:textId="77777777" w:rsidR="00F4722E" w:rsidRDefault="003228AC">
      <w:pPr>
        <w:ind w:left="566" w:right="-220"/>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Ley de Transparencia y Acceso a la Información Pública del Estado de México y Municipios</w:t>
      </w:r>
    </w:p>
    <w:p w14:paraId="6D87E98C" w14:textId="77777777" w:rsidR="00F4722E" w:rsidRDefault="00F4722E">
      <w:pPr>
        <w:ind w:left="566" w:right="-220"/>
        <w:jc w:val="center"/>
        <w:rPr>
          <w:rFonts w:ascii="Palatino Linotype" w:eastAsia="Palatino Linotype" w:hAnsi="Palatino Linotype" w:cs="Palatino Linotype"/>
          <w:b/>
          <w:bCs/>
          <w:i/>
          <w:iCs/>
          <w:sz w:val="22"/>
          <w:szCs w:val="22"/>
        </w:rPr>
      </w:pPr>
    </w:p>
    <w:p w14:paraId="12179161"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3</w:t>
      </w:r>
      <w:r>
        <w:rPr>
          <w:rFonts w:ascii="Palatino Linotype" w:eastAsia="Palatino Linotype" w:hAnsi="Palatino Linotype" w:cs="Palatino Linotype"/>
          <w:i/>
          <w:iCs/>
          <w:sz w:val="22"/>
          <w:szCs w:val="22"/>
        </w:rPr>
        <w:t>. Para los efectos de la presente Ley se entenderá por:</w:t>
      </w:r>
    </w:p>
    <w:p w14:paraId="2D30F0E9"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4996D6BD"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 Datos abiertos</w:t>
      </w:r>
      <w:r>
        <w:rPr>
          <w:rFonts w:ascii="Palatino Linotype" w:eastAsia="Palatino Linotype" w:hAnsi="Palatino Linotype" w:cs="Palatino Linotype"/>
          <w:i/>
          <w:iCs/>
          <w:sz w:val="22"/>
          <w:szCs w:val="22"/>
        </w:rPr>
        <w:t xml:space="preserve">: Los datos digitales de carácter público que son accesibles en línea que pueden ser usados, reutilizados y redistribuidos por cualquier interesado y que tienen las siguientes características: </w:t>
      </w:r>
    </w:p>
    <w:p w14:paraId="3AB8DE10"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 xml:space="preserve">a) </w:t>
      </w:r>
      <w:r>
        <w:rPr>
          <w:rFonts w:ascii="Palatino Linotype" w:eastAsia="Palatino Linotype" w:hAnsi="Palatino Linotype" w:cs="Palatino Linotype"/>
          <w:b/>
          <w:bCs/>
          <w:i/>
          <w:iCs/>
          <w:sz w:val="22"/>
          <w:szCs w:val="22"/>
        </w:rPr>
        <w:t>Accesibles</w:t>
      </w:r>
      <w:r>
        <w:rPr>
          <w:rFonts w:ascii="Palatino Linotype" w:eastAsia="Palatino Linotype" w:hAnsi="Palatino Linotype" w:cs="Palatino Linotype"/>
          <w:i/>
          <w:iCs/>
          <w:sz w:val="22"/>
          <w:szCs w:val="22"/>
        </w:rPr>
        <w:t xml:space="preserve">: Los datos están disponibles para la gama más amplia de usuarios, para cualquier propósito; </w:t>
      </w:r>
    </w:p>
    <w:p w14:paraId="612BD7A3"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b) </w:t>
      </w:r>
      <w:r>
        <w:rPr>
          <w:rFonts w:ascii="Palatino Linotype" w:eastAsia="Palatino Linotype" w:hAnsi="Palatino Linotype" w:cs="Palatino Linotype"/>
          <w:b/>
          <w:bCs/>
          <w:i/>
          <w:iCs/>
          <w:sz w:val="22"/>
          <w:szCs w:val="22"/>
        </w:rPr>
        <w:t>Integrales</w:t>
      </w:r>
      <w:r>
        <w:rPr>
          <w:rFonts w:ascii="Palatino Linotype" w:eastAsia="Palatino Linotype" w:hAnsi="Palatino Linotype" w:cs="Palatino Linotype"/>
          <w:i/>
          <w:iCs/>
          <w:sz w:val="22"/>
          <w:szCs w:val="22"/>
        </w:rPr>
        <w:t>: Contienen el tema que describen a detalle y con los metadatos necesarios;</w:t>
      </w:r>
    </w:p>
    <w:p w14:paraId="69FC8186"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c) </w:t>
      </w:r>
      <w:r>
        <w:rPr>
          <w:rFonts w:ascii="Palatino Linotype" w:eastAsia="Palatino Linotype" w:hAnsi="Palatino Linotype" w:cs="Palatino Linotype"/>
          <w:b/>
          <w:bCs/>
          <w:i/>
          <w:iCs/>
          <w:sz w:val="22"/>
          <w:szCs w:val="22"/>
        </w:rPr>
        <w:t>Gratuitos</w:t>
      </w:r>
      <w:r>
        <w:rPr>
          <w:rFonts w:ascii="Palatino Linotype" w:eastAsia="Palatino Linotype" w:hAnsi="Palatino Linotype" w:cs="Palatino Linotype"/>
          <w:i/>
          <w:iCs/>
          <w:sz w:val="22"/>
          <w:szCs w:val="22"/>
        </w:rPr>
        <w:t xml:space="preserve">: Se obtienen sin entregar a cambio contraprestación alguna; </w:t>
      </w:r>
    </w:p>
    <w:p w14:paraId="1701CE72"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d) </w:t>
      </w:r>
      <w:r>
        <w:rPr>
          <w:rFonts w:ascii="Palatino Linotype" w:eastAsia="Palatino Linotype" w:hAnsi="Palatino Linotype" w:cs="Palatino Linotype"/>
          <w:b/>
          <w:bCs/>
          <w:i/>
          <w:iCs/>
          <w:sz w:val="22"/>
          <w:szCs w:val="22"/>
        </w:rPr>
        <w:t>No discriminatorios</w:t>
      </w:r>
      <w:r>
        <w:rPr>
          <w:rFonts w:ascii="Palatino Linotype" w:eastAsia="Palatino Linotype" w:hAnsi="Palatino Linotype" w:cs="Palatino Linotype"/>
          <w:i/>
          <w:iCs/>
          <w:sz w:val="22"/>
          <w:szCs w:val="22"/>
        </w:rPr>
        <w:t xml:space="preserve">: Los datos están disponibles para cualquier persona, sin necesidad de registro; </w:t>
      </w:r>
    </w:p>
    <w:p w14:paraId="3B5999F2"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 </w:t>
      </w:r>
      <w:r>
        <w:rPr>
          <w:rFonts w:ascii="Palatino Linotype" w:eastAsia="Palatino Linotype" w:hAnsi="Palatino Linotype" w:cs="Palatino Linotype"/>
          <w:b/>
          <w:bCs/>
          <w:i/>
          <w:iCs/>
          <w:sz w:val="22"/>
          <w:szCs w:val="22"/>
        </w:rPr>
        <w:t>Oportunos</w:t>
      </w:r>
      <w:r>
        <w:rPr>
          <w:rFonts w:ascii="Palatino Linotype" w:eastAsia="Palatino Linotype" w:hAnsi="Palatino Linotype" w:cs="Palatino Linotype"/>
          <w:i/>
          <w:iCs/>
          <w:sz w:val="22"/>
          <w:szCs w:val="22"/>
        </w:rPr>
        <w:t>: Son actualizados, periódicamente, conforme se generen;</w:t>
      </w:r>
    </w:p>
    <w:p w14:paraId="7773AB08"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f) </w:t>
      </w:r>
      <w:r>
        <w:rPr>
          <w:rFonts w:ascii="Palatino Linotype" w:eastAsia="Palatino Linotype" w:hAnsi="Palatino Linotype" w:cs="Palatino Linotype"/>
          <w:b/>
          <w:bCs/>
          <w:i/>
          <w:iCs/>
          <w:sz w:val="22"/>
          <w:szCs w:val="22"/>
        </w:rPr>
        <w:t>Permanentes</w:t>
      </w:r>
      <w:r>
        <w:rPr>
          <w:rFonts w:ascii="Palatino Linotype" w:eastAsia="Palatino Linotype" w:hAnsi="Palatino Linotype" w:cs="Palatino Linotype"/>
          <w:i/>
          <w:iCs/>
          <w:sz w:val="22"/>
          <w:szCs w:val="22"/>
        </w:rPr>
        <w:t xml:space="preserve">: Se conservan en el tiempo, para lo cual, las versiones históricas relevantes para uso público se mantendrán disponibles con identificadores adecuados al efecto; </w:t>
      </w:r>
    </w:p>
    <w:p w14:paraId="2B75551B"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g) </w:t>
      </w:r>
      <w:r>
        <w:rPr>
          <w:rFonts w:ascii="Palatino Linotype" w:eastAsia="Palatino Linotype" w:hAnsi="Palatino Linotype" w:cs="Palatino Linotype"/>
          <w:b/>
          <w:bCs/>
          <w:i/>
          <w:iCs/>
          <w:sz w:val="22"/>
          <w:szCs w:val="22"/>
        </w:rPr>
        <w:t>Primarios</w:t>
      </w:r>
      <w:r>
        <w:rPr>
          <w:rFonts w:ascii="Palatino Linotype" w:eastAsia="Palatino Linotype" w:hAnsi="Palatino Linotype" w:cs="Palatino Linotype"/>
          <w:i/>
          <w:iCs/>
          <w:sz w:val="22"/>
          <w:szCs w:val="22"/>
        </w:rPr>
        <w:t xml:space="preserve">: Provienen de la fuente de origen con el máximo nivel de desagregación posible; </w:t>
      </w:r>
    </w:p>
    <w:p w14:paraId="4F4EC8BF"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h) </w:t>
      </w:r>
      <w:r>
        <w:rPr>
          <w:rFonts w:ascii="Palatino Linotype" w:eastAsia="Palatino Linotype" w:hAnsi="Palatino Linotype" w:cs="Palatino Linotype"/>
          <w:b/>
          <w:bCs/>
          <w:i/>
          <w:iCs/>
          <w:sz w:val="22"/>
          <w:szCs w:val="22"/>
        </w:rPr>
        <w:t>Legibles por máquinas</w:t>
      </w:r>
      <w:r>
        <w:rPr>
          <w:rFonts w:ascii="Palatino Linotype" w:eastAsia="Palatino Linotype" w:hAnsi="Palatino Linotype" w:cs="Palatino Linotype"/>
          <w:i/>
          <w:iCs/>
          <w:sz w:val="22"/>
          <w:szCs w:val="22"/>
        </w:rPr>
        <w:t xml:space="preserve">: Deberán estar estructurados, total o parcialmente, para ser procesados e interpretados por equipos electrónicos de manera automática; </w:t>
      </w:r>
    </w:p>
    <w:p w14:paraId="1C781C5C"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 </w:t>
      </w:r>
      <w:r>
        <w:rPr>
          <w:rFonts w:ascii="Palatino Linotype" w:eastAsia="Palatino Linotype" w:hAnsi="Palatino Linotype" w:cs="Palatino Linotype"/>
          <w:b/>
          <w:bCs/>
          <w:i/>
          <w:iCs/>
          <w:sz w:val="22"/>
          <w:szCs w:val="22"/>
        </w:rPr>
        <w:t>En formatos abiertos</w:t>
      </w:r>
      <w:r>
        <w:rPr>
          <w:rFonts w:ascii="Palatino Linotype" w:eastAsia="Palatino Linotype" w:hAnsi="Palatino Linotype" w:cs="Palatino Linotype"/>
          <w:i/>
          <w:iCs/>
          <w:sz w:val="22"/>
          <w:szCs w:val="22"/>
        </w:rPr>
        <w:t xml:space="preserve">: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 </w:t>
      </w:r>
    </w:p>
    <w:p w14:paraId="46E4A826"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j) </w:t>
      </w:r>
      <w:r>
        <w:rPr>
          <w:rFonts w:ascii="Palatino Linotype" w:eastAsia="Palatino Linotype" w:hAnsi="Palatino Linotype" w:cs="Palatino Linotype"/>
          <w:b/>
          <w:bCs/>
          <w:i/>
          <w:iCs/>
          <w:sz w:val="22"/>
          <w:szCs w:val="22"/>
        </w:rPr>
        <w:t>De libre uso</w:t>
      </w:r>
      <w:r>
        <w:rPr>
          <w:rFonts w:ascii="Palatino Linotype" w:eastAsia="Palatino Linotype" w:hAnsi="Palatino Linotype" w:cs="Palatino Linotype"/>
          <w:i/>
          <w:iCs/>
          <w:sz w:val="22"/>
          <w:szCs w:val="22"/>
        </w:rPr>
        <w:t>: Citan la fuente de origen como único requerimiento para ser utilizados libremente.</w:t>
      </w:r>
    </w:p>
    <w:p w14:paraId="4D139285"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02E8D48F" w14:textId="77777777" w:rsidR="00F4722E" w:rsidRDefault="00F4722E">
      <w:pPr>
        <w:ind w:left="566" w:right="-220"/>
        <w:jc w:val="both"/>
        <w:rPr>
          <w:rFonts w:ascii="Palatino Linotype" w:eastAsia="Palatino Linotype" w:hAnsi="Palatino Linotype" w:cs="Palatino Linotype"/>
          <w:i/>
          <w:iCs/>
          <w:sz w:val="22"/>
          <w:szCs w:val="22"/>
        </w:rPr>
      </w:pPr>
    </w:p>
    <w:p w14:paraId="392F1611"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XVI. Formatos abiertos</w:t>
      </w:r>
      <w:r>
        <w:rPr>
          <w:rFonts w:ascii="Palatino Linotype" w:eastAsia="Palatino Linotype" w:hAnsi="Palatino Linotype" w:cs="Palatino Linotype"/>
          <w:i/>
          <w:iCs/>
          <w:sz w:val="22"/>
          <w:szCs w:val="22"/>
        </w:rPr>
        <w:t>: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14:paraId="5E6E52C8"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496AB3DF" w14:textId="77777777" w:rsidR="00F4722E" w:rsidRDefault="00F4722E">
      <w:pPr>
        <w:ind w:left="566" w:right="-220"/>
        <w:jc w:val="both"/>
        <w:rPr>
          <w:rFonts w:ascii="Palatino Linotype" w:eastAsia="Palatino Linotype" w:hAnsi="Palatino Linotype" w:cs="Palatino Linotype"/>
          <w:i/>
          <w:iCs/>
          <w:sz w:val="22"/>
          <w:szCs w:val="22"/>
        </w:rPr>
      </w:pPr>
    </w:p>
    <w:p w14:paraId="1D835D76"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24</w:t>
      </w:r>
      <w:r>
        <w:rPr>
          <w:rFonts w:ascii="Palatino Linotype" w:eastAsia="Palatino Linotype" w:hAnsi="Palatino Linotype" w:cs="Palatino Linotype"/>
          <w:i/>
          <w:iCs/>
          <w:sz w:val="22"/>
          <w:szCs w:val="22"/>
        </w:rPr>
        <w:t>. Para el cumplimiento de los objetivos de esta Ley, los sujetos obligados deberán cumplir con las siguientes obligaciones, según corresponda, de acuerdo a su naturaleza:</w:t>
      </w:r>
    </w:p>
    <w:p w14:paraId="53A53D7A"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05344159"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Promover la generación, documentación y publicación de la información en formatos abiertos y accesibles;</w:t>
      </w:r>
    </w:p>
    <w:p w14:paraId="40BBA682"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79EFA563" w14:textId="77777777" w:rsidR="00F4722E" w:rsidRDefault="00F4722E">
      <w:pPr>
        <w:ind w:left="566" w:right="-220"/>
        <w:jc w:val="both"/>
        <w:rPr>
          <w:rFonts w:ascii="Palatino Linotype" w:eastAsia="Palatino Linotype" w:hAnsi="Palatino Linotype" w:cs="Palatino Linotype"/>
          <w:i/>
          <w:iCs/>
          <w:sz w:val="22"/>
          <w:szCs w:val="22"/>
        </w:rPr>
      </w:pPr>
    </w:p>
    <w:p w14:paraId="79A8B0D6"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41</w:t>
      </w:r>
      <w:r>
        <w:rPr>
          <w:rFonts w:ascii="Palatino Linotype" w:eastAsia="Palatino Linotype" w:hAnsi="Palatino Linotype" w:cs="Palatino Linotype"/>
          <w:i/>
          <w:iCs/>
          <w:sz w:val="22"/>
          <w:szCs w:val="22"/>
        </w:rPr>
        <w:t>. El Instituto promoverá la publicación de la información en datos abiertos y accesibles.</w:t>
      </w:r>
    </w:p>
    <w:p w14:paraId="5794F4E8"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0884492B" w14:textId="77777777" w:rsidR="00F4722E" w:rsidRDefault="00F4722E">
      <w:pPr>
        <w:ind w:left="566" w:right="-220"/>
        <w:jc w:val="both"/>
        <w:rPr>
          <w:rFonts w:ascii="Palatino Linotype" w:eastAsia="Palatino Linotype" w:hAnsi="Palatino Linotype" w:cs="Palatino Linotype"/>
          <w:i/>
          <w:iCs/>
          <w:sz w:val="22"/>
          <w:szCs w:val="22"/>
        </w:rPr>
      </w:pPr>
    </w:p>
    <w:p w14:paraId="55F7A4C7" w14:textId="77777777" w:rsidR="00F4722E" w:rsidRDefault="003228AC">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160</w:t>
      </w:r>
      <w:r>
        <w:rPr>
          <w:rFonts w:ascii="Palatino Linotype" w:eastAsia="Palatino Linotype" w:hAnsi="Palatino Linotype" w:cs="Palatino Linotype"/>
          <w:i/>
          <w:iCs/>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w:t>
      </w:r>
      <w:r>
        <w:rPr>
          <w:rFonts w:ascii="Palatino Linotype" w:eastAsia="Palatino Linotype" w:hAnsi="Palatino Linotype" w:cs="Palatino Linotype"/>
          <w:i/>
          <w:iCs/>
          <w:sz w:val="22"/>
          <w:szCs w:val="22"/>
        </w:rPr>
        <w:lastRenderedPageBreak/>
        <w:t>a las características físicas de la información o del lugar donde se encuentre así lo permita. En caso que la información solicitada consista en bases de datos se deberá privilegiar la entrega de la misma en formatos abiertos.</w:t>
      </w:r>
    </w:p>
    <w:p w14:paraId="18793BF0" w14:textId="77777777" w:rsidR="00F4722E" w:rsidRDefault="00F4722E">
      <w:pPr>
        <w:ind w:left="566" w:right="-220"/>
        <w:jc w:val="both"/>
        <w:rPr>
          <w:rFonts w:ascii="Palatino Linotype" w:eastAsia="Palatino Linotype" w:hAnsi="Palatino Linotype" w:cs="Palatino Linotype"/>
          <w:i/>
          <w:iCs/>
          <w:sz w:val="22"/>
          <w:szCs w:val="22"/>
        </w:rPr>
      </w:pPr>
    </w:p>
    <w:p w14:paraId="7DFD3143"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Es así que, los Sujetos Obligados y este Organismo Garante, deben velar por la generación y entrega </w:t>
      </w:r>
      <w:r>
        <w:rPr>
          <w:rFonts w:ascii="Palatino Linotype" w:eastAsia="Palatino Linotype" w:hAnsi="Palatino Linotype" w:cs="Palatino Linotype"/>
        </w:rPr>
        <w:t>de</w:t>
      </w:r>
      <w:r>
        <w:rPr>
          <w:rFonts w:ascii="Palatino Linotype" w:eastAsia="Palatino Linotype" w:hAnsi="Palatino Linotype" w:cs="Palatino Linotype"/>
          <w:color w:val="000000"/>
        </w:rPr>
        <w:t xml:space="preserve"> la información a los Particulares </w:t>
      </w:r>
      <w:r>
        <w:rPr>
          <w:rFonts w:ascii="Palatino Linotype" w:eastAsia="Palatino Linotype" w:hAnsi="Palatino Linotype" w:cs="Palatino Linotype"/>
          <w:b/>
          <w:bCs/>
          <w:color w:val="000000"/>
        </w:rPr>
        <w:t>en formatos abiertos, con los efectos de facilitar la reutilización de la información.</w:t>
      </w:r>
    </w:p>
    <w:p w14:paraId="7557D7B0" w14:textId="77777777" w:rsidR="00F4722E" w:rsidRDefault="00F4722E">
      <w:pPr>
        <w:spacing w:line="360" w:lineRule="auto"/>
        <w:jc w:val="both"/>
        <w:rPr>
          <w:rFonts w:ascii="Palatino Linotype" w:eastAsia="Palatino Linotype" w:hAnsi="Palatino Linotype" w:cs="Palatino Linotype"/>
          <w:b/>
          <w:bCs/>
          <w:color w:val="000000"/>
        </w:rPr>
      </w:pPr>
    </w:p>
    <w:p w14:paraId="45FA80FC"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w:t>
      </w:r>
      <w:r>
        <w:rPr>
          <w:rFonts w:ascii="Palatino Linotype" w:eastAsia="Palatino Linotype" w:hAnsi="Palatino Linotype" w:cs="Palatino Linotype"/>
        </w:rPr>
        <w:t>sentido</w:t>
      </w:r>
      <w:r>
        <w:rPr>
          <w:rFonts w:ascii="Palatino Linotype" w:eastAsia="Palatino Linotype" w:hAnsi="Palatino Linotype" w:cs="Palatino Linotype"/>
          <w:color w:val="000000"/>
        </w:rPr>
        <w:t xml:space="preserve">,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w:t>
      </w:r>
      <w:r>
        <w:rPr>
          <w:rFonts w:ascii="Palatino Linotype" w:eastAsia="Palatino Linotype" w:hAnsi="Palatino Linotype" w:cs="Palatino Linotype"/>
          <w:b/>
          <w:bCs/>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la búsqueda en toda la información que se encuentre disponible.</w:t>
      </w:r>
    </w:p>
    <w:p w14:paraId="36331BBD" w14:textId="77777777" w:rsidR="00F4722E" w:rsidRDefault="00F4722E">
      <w:pPr>
        <w:spacing w:line="360" w:lineRule="auto"/>
        <w:ind w:right="-787"/>
        <w:jc w:val="both"/>
        <w:rPr>
          <w:rFonts w:ascii="Palatino Linotype" w:eastAsia="Palatino Linotype" w:hAnsi="Palatino Linotype" w:cs="Palatino Linotype"/>
          <w:sz w:val="22"/>
          <w:szCs w:val="22"/>
        </w:rPr>
      </w:pPr>
    </w:p>
    <w:p w14:paraId="61BBF37B"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En esta línea, y toda vez que la respuesta proporcionada no se satisface con la liga electrónica proporcionada, por los argumentos ya expuestos con antelación, es dable analizar la naturaleza jurídica de la información requerida.</w:t>
      </w:r>
    </w:p>
    <w:p w14:paraId="02789D04" w14:textId="77777777" w:rsidR="00F4722E" w:rsidRDefault="00F4722E">
      <w:pPr>
        <w:spacing w:line="360" w:lineRule="auto"/>
        <w:ind w:right="-787"/>
        <w:jc w:val="both"/>
        <w:rPr>
          <w:rFonts w:ascii="Palatino Linotype" w:eastAsia="Palatino Linotype" w:hAnsi="Palatino Linotype" w:cs="Palatino Linotype"/>
          <w:b/>
          <w:bCs/>
          <w:color w:val="000000"/>
        </w:rPr>
      </w:pPr>
    </w:p>
    <w:p w14:paraId="682C4212"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i/>
          <w:iCs/>
          <w:color w:val="000000"/>
          <w:u w:val="single"/>
        </w:rPr>
      </w:pPr>
      <w:r>
        <w:rPr>
          <w:rFonts w:ascii="Palatino Linotype" w:eastAsia="Palatino Linotype" w:hAnsi="Palatino Linotype" w:cs="Palatino Linotype"/>
          <w:color w:val="000000"/>
        </w:rPr>
        <w:t xml:space="preserve">Respecto del punto de información relativo a la </w:t>
      </w:r>
      <w:r>
        <w:rPr>
          <w:rFonts w:ascii="Palatino Linotype" w:eastAsia="Palatino Linotype" w:hAnsi="Palatino Linotype" w:cs="Palatino Linotype"/>
          <w:i/>
          <w:iCs/>
          <w:color w:val="000000"/>
          <w:u w:val="single"/>
        </w:rPr>
        <w:t>Plantilla de personal en la que se advierta: nombre, cargo, categoría, sueldo bruto, sueldo neto, área de adscripción y fecha de baja</w:t>
      </w:r>
      <w:r>
        <w:rPr>
          <w:rFonts w:ascii="Palatino Linotype" w:eastAsia="Palatino Linotype" w:hAnsi="Palatino Linotype" w:cs="Palatino Linotype"/>
          <w:color w:val="000000"/>
        </w:rPr>
        <w:t xml:space="preserve">, es de señalar que la información que se solicitó es de interés general y de alcance público, puesto que la ciudadanía tiene derecho a saber cuál es el gasto ejercido para el pago de remuneraciones por </w:t>
      </w:r>
      <w:r>
        <w:rPr>
          <w:rFonts w:ascii="Palatino Linotype" w:eastAsia="Palatino Linotype" w:hAnsi="Palatino Linotype" w:cs="Palatino Linotype"/>
          <w:color w:val="000000"/>
        </w:rPr>
        <w:lastRenderedPageBreak/>
        <w:t>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04EF9F69" w14:textId="77777777" w:rsidR="00F4722E" w:rsidRDefault="00F4722E">
      <w:pPr>
        <w:spacing w:line="360" w:lineRule="auto"/>
        <w:ind w:right="-716"/>
        <w:jc w:val="both"/>
        <w:rPr>
          <w:rFonts w:ascii="Palatino Linotype" w:eastAsia="Palatino Linotype" w:hAnsi="Palatino Linotype" w:cs="Palatino Linotype"/>
        </w:rPr>
      </w:pPr>
    </w:p>
    <w:p w14:paraId="77C334B7" w14:textId="77777777" w:rsidR="00F4722E" w:rsidRDefault="003228AC">
      <w:pPr>
        <w:ind w:left="567" w:right="-716"/>
        <w:jc w:val="both"/>
        <w:rPr>
          <w:rFonts w:ascii="Palatino Linotype" w:eastAsia="Palatino Linotype" w:hAnsi="Palatino Linotype" w:cs="Palatino Linotype"/>
          <w:i/>
          <w:iCs/>
          <w:sz w:val="22"/>
          <w:szCs w:val="22"/>
          <w:u w:val="single"/>
        </w:rPr>
      </w:pPr>
      <w:r>
        <w:rPr>
          <w:rFonts w:ascii="Palatino Linotype" w:eastAsia="Palatino Linotype" w:hAnsi="Palatino Linotype" w:cs="Palatino Linotype"/>
          <w:b/>
          <w:bCs/>
          <w:i/>
          <w:iCs/>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iCs/>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bCs/>
          <w:i/>
          <w:iCs/>
          <w:sz w:val="22"/>
          <w:szCs w:val="22"/>
          <w:u w:val="single"/>
        </w:rPr>
        <w:t>que reciba y ejerza recursos públicos</w:t>
      </w:r>
      <w:r>
        <w:rPr>
          <w:rFonts w:ascii="Palatino Linotype" w:eastAsia="Palatino Linotype" w:hAnsi="Palatino Linotype" w:cs="Palatino Linotype"/>
          <w:i/>
          <w:iCs/>
          <w:sz w:val="22"/>
          <w:szCs w:val="22"/>
        </w:rPr>
        <w:t xml:space="preserve"> o realice actos de autoridad </w:t>
      </w:r>
      <w:r>
        <w:rPr>
          <w:rFonts w:ascii="Palatino Linotype" w:eastAsia="Palatino Linotype" w:hAnsi="Palatino Linotype" w:cs="Palatino Linotype"/>
          <w:b/>
          <w:bCs/>
          <w:i/>
          <w:iCs/>
          <w:sz w:val="22"/>
          <w:szCs w:val="22"/>
          <w:u w:val="single"/>
        </w:rPr>
        <w:t>en el ámbito de competencia del Estado de México y sus municipios</w:t>
      </w:r>
      <w:r>
        <w:rPr>
          <w:rFonts w:ascii="Palatino Linotype" w:eastAsia="Palatino Linotype" w:hAnsi="Palatino Linotype" w:cs="Palatino Linotype"/>
          <w:i/>
          <w:iCs/>
          <w:sz w:val="22"/>
          <w:szCs w:val="22"/>
          <w:u w:val="single"/>
        </w:rPr>
        <w:t>.</w:t>
      </w:r>
    </w:p>
    <w:p w14:paraId="16CA4BD1" w14:textId="77777777" w:rsidR="00F4722E" w:rsidRDefault="00F4722E">
      <w:pPr>
        <w:ind w:left="567" w:right="-716"/>
        <w:jc w:val="both"/>
        <w:rPr>
          <w:rFonts w:ascii="Palatino Linotype" w:eastAsia="Palatino Linotype" w:hAnsi="Palatino Linotype" w:cs="Palatino Linotype"/>
          <w:i/>
          <w:iCs/>
          <w:sz w:val="22"/>
          <w:szCs w:val="22"/>
          <w:u w:val="single"/>
        </w:rPr>
      </w:pPr>
    </w:p>
    <w:p w14:paraId="69CB43CD" w14:textId="77777777" w:rsidR="00F4722E" w:rsidRDefault="003228AC">
      <w:pPr>
        <w:ind w:left="567" w:right="-7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Artículo 23. Son sujetos obligados a transparentar y permitir el acceso a su información y proteger los datos personales que obren en su poder:</w:t>
      </w:r>
    </w:p>
    <w:p w14:paraId="35F4F620" w14:textId="77777777" w:rsidR="00F4722E" w:rsidRDefault="003228AC">
      <w:pPr>
        <w:ind w:left="567" w:right="-7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1192FD9F" w14:textId="77777777" w:rsidR="00F4722E" w:rsidRDefault="003228AC">
      <w:pPr>
        <w:ind w:left="567" w:right="-716"/>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b/>
          <w:bCs/>
          <w:i/>
          <w:iCs/>
          <w:sz w:val="22"/>
          <w:szCs w:val="22"/>
          <w:u w:val="single"/>
        </w:rPr>
        <w:t>IV. Los ayuntamientos y las dependencias, organismos, órganos y entidades de la administración municipal;</w:t>
      </w:r>
    </w:p>
    <w:p w14:paraId="4F1887FD" w14:textId="77777777" w:rsidR="00F4722E" w:rsidRDefault="003228AC">
      <w:pPr>
        <w:ind w:left="567" w:right="-7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7B25DCD5" w14:textId="77777777" w:rsidR="00F4722E" w:rsidRDefault="003228AC">
      <w:pPr>
        <w:ind w:left="567" w:right="-716"/>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b/>
          <w:bCs/>
          <w:i/>
          <w:iCs/>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695D51B" w14:textId="77777777" w:rsidR="00F4722E" w:rsidRDefault="00F4722E">
      <w:pPr>
        <w:ind w:left="567" w:right="-716"/>
        <w:jc w:val="both"/>
        <w:rPr>
          <w:rFonts w:ascii="Palatino Linotype" w:eastAsia="Palatino Linotype" w:hAnsi="Palatino Linotype" w:cs="Palatino Linotype"/>
          <w:b/>
          <w:bCs/>
          <w:i/>
          <w:iCs/>
          <w:sz w:val="22"/>
          <w:szCs w:val="22"/>
          <w:u w:val="single"/>
        </w:rPr>
      </w:pPr>
    </w:p>
    <w:p w14:paraId="6D1D6537" w14:textId="77777777" w:rsidR="00F4722E" w:rsidRDefault="003228AC">
      <w:pPr>
        <w:ind w:left="567" w:right="-7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bCs/>
          <w:i/>
          <w:iCs/>
          <w:sz w:val="22"/>
          <w:szCs w:val="22"/>
        </w:rPr>
        <w:t xml:space="preserve"> (Sic)</w:t>
      </w:r>
    </w:p>
    <w:p w14:paraId="1BC0EB4A" w14:textId="77777777" w:rsidR="00F4722E" w:rsidRDefault="00F4722E">
      <w:pPr>
        <w:spacing w:line="360" w:lineRule="auto"/>
        <w:jc w:val="both"/>
        <w:rPr>
          <w:rFonts w:ascii="Palatino Linotype" w:eastAsia="Palatino Linotype" w:hAnsi="Palatino Linotype" w:cs="Palatino Linotype"/>
        </w:rPr>
      </w:pPr>
    </w:p>
    <w:p w14:paraId="530F368C"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bCs/>
          <w:color w:val="000000"/>
        </w:rPr>
        <w:t>01/2003</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bCs/>
          <w:color w:val="000000"/>
        </w:rPr>
        <w:t>02/2003</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 xml:space="preserve">emitidos por el Comité de Acceso a la Información Pública y Protección de Datos Personales de la Suprema Corte de Justicia de la Nación que a continuación se citan: </w:t>
      </w:r>
    </w:p>
    <w:p w14:paraId="09AC6956" w14:textId="77777777" w:rsidR="00F4722E" w:rsidRDefault="00F4722E">
      <w:pPr>
        <w:spacing w:line="360" w:lineRule="auto"/>
        <w:ind w:right="-716"/>
        <w:jc w:val="both"/>
        <w:rPr>
          <w:rFonts w:ascii="Palatino Linotype" w:eastAsia="Palatino Linotype" w:hAnsi="Palatino Linotype" w:cs="Palatino Linotype"/>
        </w:rPr>
      </w:pPr>
    </w:p>
    <w:p w14:paraId="3651BEDE" w14:textId="77777777" w:rsidR="00F4722E" w:rsidRDefault="003228AC">
      <w:pPr>
        <w:ind w:left="567" w:right="-716"/>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“Criterio 01/2003.</w:t>
      </w:r>
    </w:p>
    <w:p w14:paraId="79140E15" w14:textId="77777777" w:rsidR="00F4722E" w:rsidRDefault="003228AC">
      <w:pPr>
        <w:ind w:left="567" w:right="-7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iCs/>
          <w:sz w:val="22"/>
          <w:szCs w:val="22"/>
        </w:rPr>
        <w:t xml:space="preserve"> </w:t>
      </w:r>
    </w:p>
    <w:p w14:paraId="116D27C1" w14:textId="77777777" w:rsidR="00F4722E" w:rsidRDefault="003228AC">
      <w:pPr>
        <w:ind w:left="567" w:right="-716"/>
        <w:jc w:val="both"/>
        <w:rPr>
          <w:rFonts w:ascii="Palatino Linotype" w:eastAsia="Palatino Linotype" w:hAnsi="Palatino Linotype" w:cs="Palatino Linotype"/>
          <w:i/>
          <w:iCs/>
          <w:sz w:val="22"/>
          <w:szCs w:val="22"/>
          <w:u w:val="single"/>
        </w:rPr>
      </w:pPr>
      <w:r>
        <w:rPr>
          <w:rFonts w:ascii="Palatino Linotype" w:eastAsia="Palatino Linotype" w:hAnsi="Palatino Linotype" w:cs="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bCs/>
          <w:i/>
          <w:iCs/>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iCs/>
          <w:sz w:val="22"/>
          <w:szCs w:val="22"/>
          <w:u w:val="single"/>
        </w:rPr>
        <w:t>…”</w:t>
      </w:r>
    </w:p>
    <w:p w14:paraId="239ACEC9" w14:textId="77777777" w:rsidR="00F4722E" w:rsidRDefault="00F4722E">
      <w:pPr>
        <w:ind w:left="567" w:right="-716"/>
        <w:jc w:val="both"/>
        <w:rPr>
          <w:rFonts w:ascii="Palatino Linotype" w:eastAsia="Palatino Linotype" w:hAnsi="Palatino Linotype" w:cs="Palatino Linotype"/>
          <w:i/>
          <w:iCs/>
          <w:sz w:val="22"/>
          <w:szCs w:val="22"/>
        </w:rPr>
      </w:pPr>
    </w:p>
    <w:p w14:paraId="04FBCD4A" w14:textId="77777777" w:rsidR="00F4722E" w:rsidRDefault="003228AC">
      <w:pPr>
        <w:ind w:left="567" w:right="-716"/>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“Criterio 02/2003.</w:t>
      </w:r>
    </w:p>
    <w:p w14:paraId="4AFF424F" w14:textId="77777777" w:rsidR="00F4722E" w:rsidRDefault="003228AC">
      <w:pPr>
        <w:ind w:left="567" w:right="-7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iCs/>
          <w:sz w:val="22"/>
          <w:szCs w:val="22"/>
        </w:rPr>
        <w:t xml:space="preserve"> </w:t>
      </w:r>
    </w:p>
    <w:p w14:paraId="3D9FB3E8" w14:textId="77777777" w:rsidR="00F4722E" w:rsidRDefault="003228AC">
      <w:pPr>
        <w:ind w:left="567" w:right="-7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bCs/>
          <w:i/>
          <w:iCs/>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iCs/>
          <w:sz w:val="22"/>
          <w:szCs w:val="22"/>
        </w:rPr>
        <w:t xml:space="preserve"> el sistema de compensación…” </w:t>
      </w:r>
      <w:r>
        <w:rPr>
          <w:rFonts w:ascii="Palatino Linotype" w:eastAsia="Palatino Linotype" w:hAnsi="Palatino Linotype" w:cs="Palatino Linotype"/>
          <w:b/>
          <w:bCs/>
          <w:i/>
          <w:iCs/>
          <w:sz w:val="22"/>
          <w:szCs w:val="22"/>
        </w:rPr>
        <w:t>(Sic)</w:t>
      </w:r>
    </w:p>
    <w:p w14:paraId="32C591A4" w14:textId="77777777" w:rsidR="00F4722E" w:rsidRDefault="00F4722E">
      <w:pPr>
        <w:spacing w:line="360" w:lineRule="auto"/>
        <w:jc w:val="both"/>
      </w:pPr>
    </w:p>
    <w:p w14:paraId="6071098E"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Robustece lo anterior, el artículo 92, fracción VIII, de la Ley de Transparencia y Acceso a la Información Pública del Estado de México y Municipios, señala: </w:t>
      </w:r>
    </w:p>
    <w:p w14:paraId="6B8889A4" w14:textId="77777777" w:rsidR="00F4722E" w:rsidRDefault="00F4722E">
      <w:pPr>
        <w:spacing w:line="360" w:lineRule="auto"/>
        <w:ind w:right="49"/>
        <w:jc w:val="both"/>
        <w:rPr>
          <w:rFonts w:ascii="Palatino Linotype" w:eastAsia="Palatino Linotype" w:hAnsi="Palatino Linotype" w:cs="Palatino Linotype"/>
        </w:rPr>
      </w:pPr>
    </w:p>
    <w:p w14:paraId="7015387C" w14:textId="77777777" w:rsidR="00F4722E" w:rsidRDefault="003228AC">
      <w:pPr>
        <w:ind w:left="1134" w:right="-7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924DA10" w14:textId="77777777" w:rsidR="00F4722E" w:rsidRDefault="003228AC">
      <w:pPr>
        <w:ind w:left="1134" w:right="-7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15CEA31B" w14:textId="77777777" w:rsidR="00F4722E" w:rsidRDefault="003228AC">
      <w:pPr>
        <w:ind w:left="1134" w:right="-7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 xml:space="preserve">VIII. </w:t>
      </w:r>
      <w:r>
        <w:rPr>
          <w:rFonts w:ascii="Palatino Linotype" w:eastAsia="Palatino Linotype" w:hAnsi="Palatino Linotype" w:cs="Palatino Linotype"/>
          <w:b/>
          <w:bCs/>
          <w:i/>
          <w:iCs/>
          <w:sz w:val="22"/>
          <w:szCs w:val="22"/>
        </w:rPr>
        <w:t>La remuneración bruta y neta</w:t>
      </w:r>
      <w:r>
        <w:rPr>
          <w:rFonts w:ascii="Palatino Linotype" w:eastAsia="Palatino Linotype" w:hAnsi="Palatino Linotype" w:cs="Palatino Linotype"/>
          <w:i/>
          <w:iCs/>
          <w:sz w:val="22"/>
          <w:szCs w:val="22"/>
        </w:rPr>
        <w:t xml:space="preserve">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3541010" w14:textId="77777777" w:rsidR="00F4722E" w:rsidRDefault="00F4722E">
      <w:pPr>
        <w:spacing w:line="360" w:lineRule="auto"/>
        <w:jc w:val="both"/>
      </w:pPr>
    </w:p>
    <w:p w14:paraId="3AF8F3B4"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 En consecuencia, se determina que la información relativa a las percepciones es información pública. </w:t>
      </w:r>
    </w:p>
    <w:p w14:paraId="7BAA1B93" w14:textId="77777777" w:rsidR="00F4722E" w:rsidRDefault="00F4722E">
      <w:pPr>
        <w:spacing w:line="360" w:lineRule="auto"/>
        <w:ind w:right="-787"/>
        <w:jc w:val="both"/>
        <w:rPr>
          <w:rFonts w:ascii="Palatino Linotype" w:eastAsia="Palatino Linotype" w:hAnsi="Palatino Linotype" w:cs="Palatino Linotype"/>
          <w:color w:val="000000"/>
        </w:rPr>
      </w:pPr>
    </w:p>
    <w:p w14:paraId="47F0D8C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w:t>
      </w:r>
      <w:r>
        <w:rPr>
          <w:rFonts w:ascii="Palatino Linotype" w:eastAsia="Palatino Linotype" w:hAnsi="Palatino Linotype" w:cs="Palatino Linotype"/>
          <w:color w:val="000000"/>
        </w:rPr>
        <w:t>contexto</w:t>
      </w:r>
      <w:r>
        <w:rPr>
          <w:rFonts w:ascii="Palatino Linotype" w:eastAsia="Palatino Linotype" w:hAnsi="Palatino Linotype" w:cs="Palatino Linotype"/>
        </w:rPr>
        <w:t xml:space="preserve">, este Instituto advierte que de manera enunciativa en diversos documentos como lo son la nómina general, en las lista de raya o recibos de pagos de salarios, es donde se registran las remuneraciones otorgadas a los servidores públicos, las cuales de acuerdo con el artículo 127, fracción I, de la </w:t>
      </w:r>
      <w:r>
        <w:rPr>
          <w:rFonts w:ascii="Palatino Linotype" w:eastAsia="Palatino Linotype" w:hAnsi="Palatino Linotype" w:cs="Palatino Linotype"/>
          <w:b/>
          <w:bCs/>
        </w:rPr>
        <w:t>Constitución Política de los Estados Unidos Mexicanos,</w:t>
      </w:r>
      <w:r>
        <w:rPr>
          <w:rFonts w:ascii="Palatino Linotype" w:eastAsia="Palatino Linotype" w:hAnsi="Palatino Linotype" w:cs="Palatino Linotype"/>
        </w:rPr>
        <w:t xml:space="preserve">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7DB9263A" w14:textId="77777777" w:rsidR="00F4722E" w:rsidRDefault="00F4722E">
      <w:pPr>
        <w:pBdr>
          <w:top w:val="nil"/>
          <w:left w:val="nil"/>
          <w:bottom w:val="nil"/>
          <w:right w:val="nil"/>
          <w:between w:val="nil"/>
        </w:pBdr>
        <w:spacing w:line="360" w:lineRule="auto"/>
        <w:ind w:left="851"/>
        <w:jc w:val="both"/>
        <w:rPr>
          <w:rFonts w:ascii="Palatino Linotype" w:eastAsia="Palatino Linotype" w:hAnsi="Palatino Linotype" w:cs="Palatino Linotype"/>
          <w:color w:val="000000"/>
        </w:rPr>
      </w:pPr>
    </w:p>
    <w:p w14:paraId="42FC7A6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Bajo dichas consideraciones, este Organismo estima que de manera enunciativa más no limitativa, el documento que pudiera colmar la pretensión del recurrente es la </w:t>
      </w:r>
      <w:r>
        <w:rPr>
          <w:rFonts w:ascii="Palatino Linotype" w:eastAsia="Palatino Linotype" w:hAnsi="Palatino Linotype" w:cs="Palatino Linotype"/>
          <w:b/>
          <w:bCs/>
        </w:rPr>
        <w:t>conciliación de nómina</w:t>
      </w:r>
      <w:r>
        <w:rPr>
          <w:rFonts w:ascii="Palatino Linotype" w:eastAsia="Palatino Linotype" w:hAnsi="Palatino Linotype" w:cs="Palatino Linotype"/>
        </w:rPr>
        <w:t xml:space="preserve">, por contener diversos rubros de la información requerida, por lo que se referirá cuáles son las especificaciones que debe contener el “formato de conciliación de nómina” que se remite mensualmente al OSFEM y que al caso concreto sirve de apoyo, contenido en el INSTRUCTIVO MÓDULO 4, información administrativa, 4 y 5. Conciliación de Nómina, consultable en el link </w:t>
      </w:r>
      <w:hyperlink r:id="rId9">
        <w:r>
          <w:rPr>
            <w:rFonts w:ascii="Palatino Linotype" w:eastAsia="Palatino Linotype" w:hAnsi="Palatino Linotype" w:cs="Palatino Linotype"/>
            <w:color w:val="0563C1"/>
            <w:u w:val="single"/>
          </w:rPr>
          <w:t>https://www.osfem.gob.mx/entidades/documentos_apoyo.html</w:t>
        </w:r>
      </w:hyperlink>
      <w:r>
        <w:rPr>
          <w:rFonts w:ascii="Palatino Linotype" w:eastAsia="Palatino Linotype" w:hAnsi="Palatino Linotype" w:cs="Palatino Linotype"/>
        </w:rPr>
        <w:t xml:space="preserve"> : </w:t>
      </w:r>
    </w:p>
    <w:p w14:paraId="6AF09AA8" w14:textId="77777777" w:rsidR="00F4722E" w:rsidRDefault="00F4722E">
      <w:pPr>
        <w:spacing w:line="360" w:lineRule="auto"/>
        <w:ind w:right="-787"/>
        <w:jc w:val="both"/>
        <w:rPr>
          <w:rFonts w:ascii="Palatino Linotype" w:eastAsia="Palatino Linotype" w:hAnsi="Palatino Linotype" w:cs="Palatino Linotype"/>
        </w:rPr>
      </w:pPr>
    </w:p>
    <w:p w14:paraId="2B6A05AF" w14:textId="77777777" w:rsidR="00F4722E" w:rsidRDefault="003228AC">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5E0142D" wp14:editId="7072E387">
            <wp:extent cx="5756275" cy="3456305"/>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56275" cy="3456305"/>
                    </a:xfrm>
                    <a:prstGeom prst="rect">
                      <a:avLst/>
                    </a:prstGeom>
                    <a:ln/>
                  </pic:spPr>
                </pic:pic>
              </a:graphicData>
            </a:graphic>
          </wp:inline>
        </w:drawing>
      </w:r>
    </w:p>
    <w:p w14:paraId="1D68DEB9" w14:textId="77777777" w:rsidR="00F4722E" w:rsidRDefault="00F4722E">
      <w:pPr>
        <w:pBdr>
          <w:top w:val="nil"/>
          <w:left w:val="nil"/>
          <w:bottom w:val="nil"/>
          <w:right w:val="nil"/>
          <w:between w:val="nil"/>
        </w:pBdr>
        <w:ind w:left="567"/>
        <w:jc w:val="both"/>
        <w:rPr>
          <w:rFonts w:ascii="Palatino Linotype" w:eastAsia="Palatino Linotype" w:hAnsi="Palatino Linotype" w:cs="Palatino Linotype"/>
          <w:color w:val="000000"/>
          <w:sz w:val="22"/>
          <w:szCs w:val="22"/>
        </w:rPr>
      </w:pPr>
    </w:p>
    <w:p w14:paraId="5B351202" w14:textId="77777777" w:rsidR="00F4722E" w:rsidRDefault="00F4722E">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p>
    <w:p w14:paraId="1E00B66A"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14:paraId="1C62B243"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7 - 9. </w:t>
      </w:r>
      <w:r>
        <w:rPr>
          <w:rFonts w:ascii="Palatino Linotype" w:eastAsia="Palatino Linotype" w:hAnsi="Palatino Linotype" w:cs="Palatino Linotype"/>
          <w:i/>
          <w:iCs/>
          <w:color w:val="000000"/>
          <w:sz w:val="22"/>
          <w:szCs w:val="22"/>
          <w:u w:val="single"/>
        </w:rPr>
        <w:t>Nombre Completo</w:t>
      </w:r>
      <w:r>
        <w:rPr>
          <w:rFonts w:ascii="Palatino Linotype" w:eastAsia="Palatino Linotype" w:hAnsi="Palatino Linotype" w:cs="Palatino Linotype"/>
          <w:i/>
          <w:iCs/>
          <w:color w:val="000000"/>
          <w:sz w:val="22"/>
          <w:szCs w:val="22"/>
        </w:rPr>
        <w:t xml:space="preserve">: Anotar el nombre del servidor público iniciando por apellido paterno, apellido materno y nombre(s). </w:t>
      </w:r>
    </w:p>
    <w:p w14:paraId="115D7F32"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10. </w:t>
      </w:r>
      <w:r>
        <w:rPr>
          <w:rFonts w:ascii="Palatino Linotype" w:eastAsia="Palatino Linotype" w:hAnsi="Palatino Linotype" w:cs="Palatino Linotype"/>
          <w:i/>
          <w:iCs/>
          <w:color w:val="000000"/>
          <w:sz w:val="22"/>
          <w:szCs w:val="22"/>
          <w:u w:val="single"/>
        </w:rPr>
        <w:t>Fecha de Alta</w:t>
      </w:r>
      <w:r>
        <w:rPr>
          <w:rFonts w:ascii="Palatino Linotype" w:eastAsia="Palatino Linotype" w:hAnsi="Palatino Linotype" w:cs="Palatino Linotype"/>
          <w:i/>
          <w:iCs/>
          <w:color w:val="000000"/>
          <w:sz w:val="22"/>
          <w:szCs w:val="22"/>
        </w:rPr>
        <w:t xml:space="preserve">: Anotar la fecha que se le asigna al servidor en el momento en que inicia la relación laboral con el Ente Público. </w:t>
      </w:r>
    </w:p>
    <w:p w14:paraId="4AE5663F"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lastRenderedPageBreak/>
        <w:t xml:space="preserve">11. </w:t>
      </w:r>
      <w:r>
        <w:rPr>
          <w:rFonts w:ascii="Palatino Linotype" w:eastAsia="Palatino Linotype" w:hAnsi="Palatino Linotype" w:cs="Palatino Linotype"/>
          <w:i/>
          <w:iCs/>
          <w:color w:val="000000"/>
          <w:sz w:val="22"/>
          <w:szCs w:val="22"/>
          <w:u w:val="single"/>
        </w:rPr>
        <w:t>Fecha de Baja</w:t>
      </w:r>
      <w:r>
        <w:rPr>
          <w:rFonts w:ascii="Palatino Linotype" w:eastAsia="Palatino Linotype" w:hAnsi="Palatino Linotype" w:cs="Palatino Linotype"/>
          <w:i/>
          <w:iCs/>
          <w:color w:val="000000"/>
          <w:sz w:val="22"/>
          <w:szCs w:val="22"/>
        </w:rPr>
        <w:t xml:space="preserve">: Anotar la fecha asignada cuando el servidor finaliza la relación laboral con el Ente Público. </w:t>
      </w:r>
    </w:p>
    <w:p w14:paraId="5D906ADB"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12. </w:t>
      </w:r>
      <w:r>
        <w:rPr>
          <w:rFonts w:ascii="Palatino Linotype" w:eastAsia="Palatino Linotype" w:hAnsi="Palatino Linotype" w:cs="Palatino Linotype"/>
          <w:i/>
          <w:iCs/>
          <w:color w:val="000000"/>
          <w:sz w:val="22"/>
          <w:szCs w:val="22"/>
          <w:u w:val="single"/>
        </w:rPr>
        <w:t>Puesto Funcional</w:t>
      </w:r>
      <w:r>
        <w:rPr>
          <w:rFonts w:ascii="Palatino Linotype" w:eastAsia="Palatino Linotype" w:hAnsi="Palatino Linotype" w:cs="Palatino Linotype"/>
          <w:i/>
          <w:iCs/>
          <w:color w:val="000000"/>
          <w:sz w:val="22"/>
          <w:szCs w:val="22"/>
        </w:rPr>
        <w:t xml:space="preserve">: Anotar el puesto que desarrolla el servidor de acuerdo a la clasificación del Ente Público en el Tabulador de Sueldos y Salarios. </w:t>
      </w:r>
    </w:p>
    <w:p w14:paraId="086049F3"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13. </w:t>
      </w:r>
      <w:r>
        <w:rPr>
          <w:rFonts w:ascii="Palatino Linotype" w:eastAsia="Palatino Linotype" w:hAnsi="Palatino Linotype" w:cs="Palatino Linotype"/>
          <w:i/>
          <w:iCs/>
          <w:color w:val="000000"/>
          <w:sz w:val="22"/>
          <w:szCs w:val="22"/>
          <w:u w:val="single"/>
        </w:rPr>
        <w:t>Nivel y/o Rango</w:t>
      </w:r>
      <w:r>
        <w:rPr>
          <w:rFonts w:ascii="Palatino Linotype" w:eastAsia="Palatino Linotype" w:hAnsi="Palatino Linotype" w:cs="Palatino Linotype"/>
          <w:i/>
          <w:iCs/>
          <w:color w:val="000000"/>
          <w:sz w:val="22"/>
          <w:szCs w:val="22"/>
        </w:rPr>
        <w:t>: Anotar la categoría de pagos de los servidores públicos en los que están situados (si no se cuenta con el nivel y/o rango únicamente se llenará la columna del puesto funcional).</w:t>
      </w:r>
    </w:p>
    <w:p w14:paraId="7101A273"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14:paraId="66C2184D"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15. </w:t>
      </w:r>
      <w:r>
        <w:rPr>
          <w:rFonts w:ascii="Palatino Linotype" w:eastAsia="Palatino Linotype" w:hAnsi="Palatino Linotype" w:cs="Palatino Linotype"/>
          <w:i/>
          <w:iCs/>
          <w:color w:val="000000"/>
          <w:sz w:val="22"/>
          <w:szCs w:val="22"/>
          <w:u w:val="single"/>
        </w:rPr>
        <w:t>Adscripción</w:t>
      </w:r>
      <w:r>
        <w:rPr>
          <w:rFonts w:ascii="Palatino Linotype" w:eastAsia="Palatino Linotype" w:hAnsi="Palatino Linotype" w:cs="Palatino Linotype"/>
          <w:i/>
          <w:iCs/>
          <w:color w:val="000000"/>
          <w:sz w:val="22"/>
          <w:szCs w:val="22"/>
        </w:rPr>
        <w:t>: Anotar el área en donde desarrolla sus funciones el servidor público.</w:t>
      </w:r>
    </w:p>
    <w:p w14:paraId="3F2B2BFF"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14:paraId="7643B04C"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31. Total de Percepciones Brutas</w:t>
      </w:r>
      <w:r>
        <w:rPr>
          <w:rFonts w:ascii="Palatino Linotype" w:eastAsia="Palatino Linotype" w:hAnsi="Palatino Linotype" w:cs="Palatino Linotype"/>
          <w:i/>
          <w:iCs/>
          <w:color w:val="000000"/>
          <w:sz w:val="22"/>
          <w:szCs w:val="22"/>
        </w:rPr>
        <w:t>: Anotar el total de la suma de todas las Percepciones ordinarias y las Percepciones extraordinarias</w:t>
      </w:r>
    </w:p>
    <w:p w14:paraId="1DCF4B92"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14:paraId="3492F289"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37. </w:t>
      </w:r>
      <w:r>
        <w:rPr>
          <w:rFonts w:ascii="Palatino Linotype" w:eastAsia="Palatino Linotype" w:hAnsi="Palatino Linotype" w:cs="Palatino Linotype"/>
          <w:b/>
          <w:bCs/>
          <w:i/>
          <w:iCs/>
          <w:color w:val="000000"/>
          <w:sz w:val="22"/>
          <w:szCs w:val="22"/>
        </w:rPr>
        <w:t>Total Neto</w:t>
      </w:r>
      <w:r>
        <w:rPr>
          <w:rFonts w:ascii="Palatino Linotype" w:eastAsia="Palatino Linotype" w:hAnsi="Palatino Linotype" w:cs="Palatino Linotype"/>
          <w:i/>
          <w:iCs/>
          <w:color w:val="000000"/>
          <w:sz w:val="22"/>
          <w:szCs w:val="22"/>
        </w:rPr>
        <w:t>: Anotar la diferencia del total de percepciones brutas y el total de deducciones.</w:t>
      </w:r>
    </w:p>
    <w:p w14:paraId="046F4B17" w14:textId="77777777" w:rsidR="00F4722E" w:rsidRDefault="003228AC">
      <w:pPr>
        <w:pBdr>
          <w:top w:val="nil"/>
          <w:left w:val="nil"/>
          <w:bottom w:val="nil"/>
          <w:right w:val="nil"/>
          <w:between w:val="nil"/>
        </w:pBdr>
        <w:ind w:lef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14:paraId="3CA05240" w14:textId="77777777" w:rsidR="00F4722E" w:rsidRDefault="00F4722E">
      <w:pPr>
        <w:pBdr>
          <w:top w:val="nil"/>
          <w:left w:val="nil"/>
          <w:bottom w:val="nil"/>
          <w:right w:val="nil"/>
          <w:between w:val="nil"/>
        </w:pBdr>
        <w:ind w:left="567"/>
        <w:jc w:val="both"/>
        <w:rPr>
          <w:rFonts w:ascii="Palatino Linotype" w:eastAsia="Palatino Linotype" w:hAnsi="Palatino Linotype" w:cs="Palatino Linotype"/>
          <w:color w:val="000000"/>
        </w:rPr>
      </w:pPr>
    </w:p>
    <w:p w14:paraId="6D80311F" w14:textId="77777777" w:rsidR="00F4722E" w:rsidRDefault="00F4722E">
      <w:pPr>
        <w:pBdr>
          <w:top w:val="nil"/>
          <w:left w:val="nil"/>
          <w:bottom w:val="nil"/>
          <w:right w:val="nil"/>
          <w:between w:val="nil"/>
        </w:pBdr>
        <w:ind w:left="567"/>
        <w:jc w:val="both"/>
        <w:rPr>
          <w:rFonts w:ascii="Palatino Linotype" w:eastAsia="Palatino Linotype" w:hAnsi="Palatino Linotype" w:cs="Palatino Linotype"/>
          <w:color w:val="000000"/>
        </w:rPr>
      </w:pPr>
    </w:p>
    <w:p w14:paraId="69E9643A"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Dicha información se genera con una periodicidad quincenal tal como lo señalan los LINEAMIENTOS, FECHAS DE CAPACITACIÓN Y CALENDARIZACIÓN PARA LA INTEGRACIÓN Y PRESENTACIÓN DE LOS INFORMES TRIMESTRALES ESTATALES Y MUNICIPALES DEL EJERCICIO FISCAL 2025, DE LAS ENTIDADES FISCALIZABLES DEL ESTADO DE MÉXICO, consultable en la siguiente liga </w:t>
      </w:r>
      <w:hyperlink r:id="rId11">
        <w:r>
          <w:rPr>
            <w:rFonts w:ascii="Palatino Linotype" w:eastAsia="Palatino Linotype" w:hAnsi="Palatino Linotype" w:cs="Palatino Linotype"/>
            <w:color w:val="0563C1"/>
            <w:u w:val="single"/>
          </w:rPr>
          <w:t>https://legislacion.edomex.gob.mx/sites/legislacion.edomex.gob.mx/files/files/pdf/gct/2025/abril/abr011/abr011a.pdf</w:t>
        </w:r>
      </w:hyperlink>
      <w:r>
        <w:rPr>
          <w:rFonts w:ascii="Palatino Linotype" w:eastAsia="Palatino Linotype" w:hAnsi="Palatino Linotype" w:cs="Palatino Linotype"/>
        </w:rPr>
        <w:t xml:space="preserve">  tal como se ilustra con la imagen siguiente:</w:t>
      </w:r>
    </w:p>
    <w:p w14:paraId="39B6E98D" w14:textId="77777777" w:rsidR="00F4722E" w:rsidRDefault="003228AC">
      <w:pPr>
        <w:spacing w:line="360" w:lineRule="auto"/>
        <w:ind w:right="-787"/>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28FA271" wp14:editId="5B5767D8">
            <wp:extent cx="4861071" cy="3740316"/>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61071" cy="3740316"/>
                    </a:xfrm>
                    <a:prstGeom prst="rect">
                      <a:avLst/>
                    </a:prstGeom>
                    <a:ln/>
                  </pic:spPr>
                </pic:pic>
              </a:graphicData>
            </a:graphic>
          </wp:inline>
        </w:drawing>
      </w:r>
    </w:p>
    <w:p w14:paraId="392A8FF4" w14:textId="77777777" w:rsidR="00F4722E" w:rsidRDefault="00F4722E">
      <w:pPr>
        <w:spacing w:line="360" w:lineRule="auto"/>
        <w:ind w:right="-787"/>
        <w:jc w:val="both"/>
        <w:rPr>
          <w:rFonts w:ascii="Palatino Linotype" w:eastAsia="Palatino Linotype" w:hAnsi="Palatino Linotype" w:cs="Palatino Linotype"/>
          <w:color w:val="000000"/>
        </w:rPr>
      </w:pPr>
    </w:p>
    <w:p w14:paraId="30E1534A"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Tal documental contiene el concentrado de todos los servidores públicos que reciben remuneraciones al trabajo, en donde se pueden advertir, entre otras, las especificaciones  que son de interés para el solicitante, como lo son </w:t>
      </w:r>
      <w:r>
        <w:rPr>
          <w:rFonts w:ascii="Palatino Linotype" w:eastAsia="Palatino Linotype" w:hAnsi="Palatino Linotype" w:cs="Palatino Linotype"/>
          <w:i/>
          <w:iCs/>
        </w:rPr>
        <w:t>nombre, cargo, categoría, sueldo bruto, sueldo neto, área de adscripción y fecha de baja,</w:t>
      </w:r>
      <w:r>
        <w:rPr>
          <w:rFonts w:ascii="Palatino Linotype" w:eastAsia="Palatino Linotype" w:hAnsi="Palatino Linotype" w:cs="Palatino Linotype"/>
        </w:rPr>
        <w:t xml:space="preserve"> en consecuencia </w:t>
      </w:r>
      <w:r>
        <w:rPr>
          <w:rFonts w:ascii="Palatino Linotype" w:eastAsia="Palatino Linotype" w:hAnsi="Palatino Linotype" w:cs="Palatino Linotype"/>
          <w:b/>
          <w:bCs/>
        </w:rPr>
        <w:t>es dable ordenar la entrega de la misma.</w:t>
      </w:r>
    </w:p>
    <w:p w14:paraId="4F451AF1" w14:textId="77777777" w:rsidR="00F4722E" w:rsidRDefault="00F4722E">
      <w:pPr>
        <w:spacing w:line="360" w:lineRule="auto"/>
        <w:ind w:right="-787"/>
        <w:jc w:val="both"/>
        <w:rPr>
          <w:rFonts w:ascii="Palatino Linotype" w:eastAsia="Palatino Linotype" w:hAnsi="Palatino Linotype" w:cs="Palatino Linotype"/>
        </w:rPr>
      </w:pPr>
    </w:p>
    <w:p w14:paraId="29278052" w14:textId="77777777" w:rsidR="00F4722E" w:rsidRDefault="003228AC">
      <w:pPr>
        <w:numPr>
          <w:ilvl w:val="0"/>
          <w:numId w:val="6"/>
        </w:numPr>
        <w:spacing w:line="360" w:lineRule="auto"/>
        <w:ind w:left="0" w:right="-787" w:firstLine="0"/>
        <w:jc w:val="both"/>
      </w:pPr>
      <w:r>
        <w:rPr>
          <w:rFonts w:ascii="Palatino Linotype" w:eastAsia="Palatino Linotype" w:hAnsi="Palatino Linotype" w:cs="Palatino Linotype"/>
        </w:rPr>
        <w:t xml:space="preserve"> En lo que respecta al </w:t>
      </w:r>
      <w:r>
        <w:rPr>
          <w:rFonts w:ascii="Palatino Linotype" w:eastAsia="Palatino Linotype" w:hAnsi="Palatino Linotype" w:cs="Palatino Linotype"/>
          <w:i/>
          <w:iCs/>
          <w:u w:val="single"/>
        </w:rPr>
        <w:t>currículum vitae</w:t>
      </w:r>
      <w:r>
        <w:rPr>
          <w:rFonts w:ascii="Palatino Linotype" w:eastAsia="Palatino Linotype" w:hAnsi="Palatino Linotype" w:cs="Palatino Linotype"/>
        </w:rPr>
        <w:t xml:space="preserve"> es de referir que la </w:t>
      </w:r>
      <w:r>
        <w:rPr>
          <w:rFonts w:ascii="Palatino Linotype" w:eastAsia="Palatino Linotype" w:hAnsi="Palatino Linotype" w:cs="Palatino Linotype"/>
          <w:b/>
          <w:bCs/>
          <w:color w:val="000000"/>
        </w:rPr>
        <w:t>ficha curricular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currículum vitae o documento análogo</w:t>
      </w:r>
      <w:r>
        <w:rPr>
          <w:rFonts w:ascii="Palatino Linotype" w:eastAsia="Palatino Linotype" w:hAnsi="Palatino Linotype" w:cs="Palatino Linotype"/>
          <w:color w:val="000000"/>
        </w:rPr>
        <w:t xml:space="preserve"> en donde conste la experiencia o conocimientos en la materia. L</w:t>
      </w:r>
      <w:r>
        <w:rPr>
          <w:rFonts w:ascii="Palatino Linotype" w:eastAsia="Palatino Linotype" w:hAnsi="Palatino Linotype" w:cs="Palatino Linotype"/>
        </w:rPr>
        <w:t>a  Real Academia de la Lengua Española define al “</w:t>
      </w:r>
      <w:r>
        <w:rPr>
          <w:rFonts w:ascii="Palatino Linotype" w:eastAsia="Palatino Linotype" w:hAnsi="Palatino Linotype" w:cs="Palatino Linotype"/>
          <w:i/>
          <w:iCs/>
        </w:rPr>
        <w:t>curriculum vitae</w:t>
      </w:r>
      <w:r>
        <w:rPr>
          <w:rFonts w:ascii="Palatino Linotype" w:eastAsia="Palatino Linotype" w:hAnsi="Palatino Linotype" w:cs="Palatino Linotype"/>
        </w:rPr>
        <w:t>” de la siguiente manera:</w:t>
      </w:r>
    </w:p>
    <w:p w14:paraId="6B728B6D" w14:textId="77777777" w:rsidR="00F4722E" w:rsidRDefault="003228AC">
      <w:pPr>
        <w:spacing w:line="360" w:lineRule="auto"/>
        <w:ind w:right="-787"/>
        <w:jc w:val="both"/>
      </w:pPr>
      <w:r>
        <w:rPr>
          <w:rFonts w:ascii="Palatino Linotype" w:eastAsia="Palatino Linotype" w:hAnsi="Palatino Linotype" w:cs="Palatino Linotype"/>
        </w:rPr>
        <w:t xml:space="preserve"> </w:t>
      </w:r>
    </w:p>
    <w:p w14:paraId="245BB2EF" w14:textId="77777777" w:rsidR="00F4722E" w:rsidRDefault="003228AC">
      <w:pPr>
        <w:tabs>
          <w:tab w:val="left" w:pos="1134"/>
        </w:tabs>
        <w:spacing w:line="276" w:lineRule="auto"/>
        <w:ind w:left="708" w:right="-7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currículum vítae</w:t>
      </w:r>
      <w:r>
        <w:rPr>
          <w:rFonts w:ascii="Palatino Linotype" w:eastAsia="Palatino Linotype" w:hAnsi="Palatino Linotype" w:cs="Palatino Linotype"/>
          <w:i/>
          <w:iCs/>
          <w:sz w:val="22"/>
          <w:szCs w:val="22"/>
        </w:rPr>
        <w:t>. </w:t>
      </w:r>
      <w:r>
        <w:rPr>
          <w:rFonts w:ascii="Palatino Linotype" w:eastAsia="Palatino Linotype" w:hAnsi="Palatino Linotype" w:cs="Palatino Linotype"/>
          <w:b/>
          <w:bCs/>
          <w:i/>
          <w:iCs/>
          <w:sz w:val="22"/>
          <w:szCs w:val="22"/>
        </w:rPr>
        <w:t>1.</w:t>
      </w:r>
      <w:r>
        <w:rPr>
          <w:rFonts w:ascii="Palatino Linotype" w:eastAsia="Palatino Linotype" w:hAnsi="Palatino Linotype" w:cs="Palatino Linotype"/>
          <w:i/>
          <w:iCs/>
          <w:sz w:val="22"/>
          <w:szCs w:val="22"/>
        </w:rPr>
        <w:t> Loc. lat. que significa literalmente ‘carrera de la vida’. Se usa como locución nominal masculina para designar la relación de los datos personales, formación académica, actividad laboral y méritos de una persona.</w:t>
      </w:r>
      <w:r>
        <w:rPr>
          <w:rFonts w:ascii="Palatino Linotype" w:eastAsia="Palatino Linotype" w:hAnsi="Palatino Linotype" w:cs="Palatino Linotype"/>
          <w:sz w:val="22"/>
          <w:szCs w:val="22"/>
        </w:rPr>
        <w:t>”</w:t>
      </w:r>
    </w:p>
    <w:p w14:paraId="6CEC48AC" w14:textId="77777777" w:rsidR="00F4722E" w:rsidRDefault="00F4722E">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3FACE41F" w14:textId="77777777" w:rsidR="00F4722E" w:rsidRDefault="003228AC">
      <w:pPr>
        <w:numPr>
          <w:ilvl w:val="0"/>
          <w:numId w:val="6"/>
        </w:numPr>
        <w:spacing w:line="360" w:lineRule="auto"/>
        <w:ind w:left="0" w:right="-787" w:firstLine="0"/>
        <w:jc w:val="both"/>
      </w:pPr>
      <w:r>
        <w:rPr>
          <w:rFonts w:ascii="Palatino Linotype" w:eastAsia="Palatino Linotype" w:hAnsi="Palatino Linotype" w:cs="Palatino Linotype"/>
        </w:rPr>
        <w:t>De la interpretación a esta definición se desprende que el currículum vitae está relacionado con la hoja de vida o carrera de vida de una persona, donde se podría apreciar la preparación académica y laboral que tiene, además de los méritos obtenidos; información que de igual manera obra en una solicitud de empleo.</w:t>
      </w:r>
    </w:p>
    <w:p w14:paraId="66B859FE" w14:textId="77777777" w:rsidR="00F4722E" w:rsidRDefault="00F4722E">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49615238" w14:textId="77777777" w:rsidR="00F4722E" w:rsidRDefault="003228AC">
      <w:pPr>
        <w:numPr>
          <w:ilvl w:val="0"/>
          <w:numId w:val="6"/>
        </w:numPr>
        <w:spacing w:line="360" w:lineRule="auto"/>
        <w:ind w:left="0" w:right="-787" w:firstLine="0"/>
        <w:jc w:val="both"/>
      </w:pPr>
      <w:r>
        <w:rPr>
          <w:rFonts w:ascii="Palatino Linotype" w:eastAsia="Palatino Linotype" w:hAnsi="Palatino Linotype" w:cs="Palatino Linotype"/>
        </w:rPr>
        <w:t xml:space="preserve">Por ende, tanto en una solicitud de empleo, </w:t>
      </w:r>
      <w:r>
        <w:rPr>
          <w:rFonts w:ascii="Palatino Linotype" w:eastAsia="Palatino Linotype" w:hAnsi="Palatino Linotype" w:cs="Palatino Linotype"/>
          <w:b/>
          <w:bCs/>
        </w:rPr>
        <w:t>ficha curricular o currículum vítae</w:t>
      </w:r>
      <w:r>
        <w:rPr>
          <w:rFonts w:ascii="Palatino Linotype" w:eastAsia="Palatino Linotype" w:hAnsi="Palatino Linotype" w:cs="Palatino Linotype"/>
        </w:rPr>
        <w:t xml:space="preserve"> puede existir información más detallada y relacionada con la trayectoria académica, profesional y laboral, que acrediten la capacidad, habilidades o pericia de una persona para ocupar el cargo público o desempeñar la función encomendada, como es la de los servidores públicos de quienes se requirió la información.</w:t>
      </w:r>
    </w:p>
    <w:p w14:paraId="359C0C3B" w14:textId="77777777" w:rsidR="00F4722E" w:rsidRDefault="00F4722E">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3E8DFDC3" w14:textId="77777777" w:rsidR="00F4722E" w:rsidRDefault="003228AC">
      <w:pPr>
        <w:numPr>
          <w:ilvl w:val="0"/>
          <w:numId w:val="6"/>
        </w:numPr>
        <w:spacing w:line="360" w:lineRule="auto"/>
        <w:ind w:left="0" w:right="-787" w:firstLine="0"/>
        <w:jc w:val="both"/>
      </w:pPr>
      <w:r>
        <w:rPr>
          <w:rFonts w:ascii="Palatino Linotype" w:eastAsia="Palatino Linotype" w:hAnsi="Palatino Linotype" w:cs="Palatino Linotype"/>
        </w:rPr>
        <w:t>En este mismo sentido, el Instituto Federal de Acceso a la Información ahora Instituto Nacional de Transparencia Acceso a la Información y Protección de Datos Personales, se pronunció al establecer en el criterio orientador 03/2009 que una de las formas en la que los ciudadanos pueden evaluar las aptitudes de los servidores públicos para desempeñar el cargo público que les ha sido encomendado, es mediante la publicidad de ciertos datos contenidos en los currículums vitae, lo cual para mayor ilustración se transcribe a continuación:</w:t>
      </w:r>
    </w:p>
    <w:p w14:paraId="684D02DF" w14:textId="77777777" w:rsidR="00F4722E" w:rsidRDefault="00F4722E">
      <w:pPr>
        <w:spacing w:line="360" w:lineRule="auto"/>
        <w:ind w:right="-787"/>
        <w:jc w:val="both"/>
      </w:pPr>
    </w:p>
    <w:p w14:paraId="6D740777" w14:textId="77777777" w:rsidR="00F4722E" w:rsidRDefault="003228AC">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Curriculum Vitae de servidores públicos. Es obligación de los sujetos obligados otorgar acceso a versiones públicas de los mismos ante una solicitud de acceso. </w:t>
      </w:r>
      <w:r>
        <w:rPr>
          <w:rFonts w:ascii="Palatino Linotype" w:eastAsia="Palatino Linotype" w:hAnsi="Palatino Linotype" w:cs="Palatino Linotype"/>
          <w:i/>
          <w:iCs/>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w:t>
      </w:r>
      <w:r>
        <w:rPr>
          <w:rFonts w:ascii="Palatino Linotype" w:eastAsia="Palatino Linotype" w:hAnsi="Palatino Linotype" w:cs="Palatino Linotype"/>
          <w:i/>
          <w:iCs/>
          <w:sz w:val="22"/>
          <w:szCs w:val="22"/>
        </w:rPr>
        <w:lastRenderedPageBreak/>
        <w:t>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174F53FF" w14:textId="77777777" w:rsidR="00F4722E" w:rsidRDefault="00F4722E">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5956298A" w14:textId="77777777" w:rsidR="00F4722E" w:rsidRDefault="003228AC">
      <w:pPr>
        <w:numPr>
          <w:ilvl w:val="0"/>
          <w:numId w:val="6"/>
        </w:numPr>
        <w:spacing w:line="360" w:lineRule="auto"/>
        <w:ind w:left="0" w:right="-787" w:firstLine="0"/>
        <w:jc w:val="both"/>
      </w:pPr>
      <w:r>
        <w:rPr>
          <w:rFonts w:ascii="Palatino Linotype" w:eastAsia="Palatino Linotype" w:hAnsi="Palatino Linotype" w:cs="Palatino Linotype"/>
        </w:rPr>
        <w:t xml:space="preserve">En ese tenor, una obligación de transparencia común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es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de Transparencia y Acceso a la Información Pública del Estado de México y Municipios, cuya literalidad es la siguiente:</w:t>
      </w:r>
    </w:p>
    <w:p w14:paraId="59846D0C" w14:textId="77777777" w:rsidR="00F4722E" w:rsidRDefault="00F4722E">
      <w:pPr>
        <w:spacing w:line="360" w:lineRule="auto"/>
        <w:ind w:right="-787"/>
        <w:jc w:val="both"/>
      </w:pPr>
    </w:p>
    <w:p w14:paraId="48583E00" w14:textId="77777777" w:rsidR="00F4722E" w:rsidRDefault="003228AC">
      <w:pPr>
        <w:ind w:left="567" w:right="-7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92. </w:t>
      </w:r>
      <w:r>
        <w:rPr>
          <w:rFonts w:ascii="Palatino Linotype" w:eastAsia="Palatino Linotype" w:hAnsi="Palatino Linotype" w:cs="Palatino Linotype"/>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C4F5B44" w14:textId="77777777" w:rsidR="00F4722E" w:rsidRDefault="00F4722E">
      <w:pPr>
        <w:ind w:left="567" w:right="-79"/>
        <w:jc w:val="both"/>
        <w:rPr>
          <w:rFonts w:ascii="Palatino Linotype" w:eastAsia="Palatino Linotype" w:hAnsi="Palatino Linotype" w:cs="Palatino Linotype"/>
          <w:i/>
          <w:iCs/>
          <w:sz w:val="22"/>
          <w:szCs w:val="22"/>
        </w:rPr>
      </w:pPr>
    </w:p>
    <w:p w14:paraId="0B6D34AB" w14:textId="77777777" w:rsidR="00F4722E" w:rsidRDefault="003228AC">
      <w:pPr>
        <w:ind w:left="567" w:right="-7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778A4C6D" w14:textId="77777777" w:rsidR="00F4722E" w:rsidRDefault="00F4722E">
      <w:pPr>
        <w:ind w:left="567" w:right="-79"/>
        <w:jc w:val="both"/>
        <w:rPr>
          <w:rFonts w:ascii="Palatino Linotype" w:eastAsia="Palatino Linotype" w:hAnsi="Palatino Linotype" w:cs="Palatino Linotype"/>
          <w:i/>
          <w:iCs/>
          <w:sz w:val="22"/>
          <w:szCs w:val="22"/>
        </w:rPr>
      </w:pPr>
    </w:p>
    <w:p w14:paraId="0FA2D64E" w14:textId="77777777" w:rsidR="00F4722E" w:rsidRDefault="003228AC">
      <w:pPr>
        <w:ind w:left="567" w:right="-7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XXI. </w:t>
      </w:r>
      <w:r>
        <w:rPr>
          <w:rFonts w:ascii="Palatino Linotype" w:eastAsia="Palatino Linotype" w:hAnsi="Palatino Linotype" w:cs="Palatino Linotype"/>
          <w:i/>
          <w:iCs/>
          <w:sz w:val="22"/>
          <w:szCs w:val="22"/>
        </w:rPr>
        <w:t>La información curricular, desde el nivel de jefe de departamento o equivalente, hasta el titular del sujeto obligado, así como, en su caso, las sanciones administrativas de que haya sido objeto; (…)”</w:t>
      </w:r>
    </w:p>
    <w:p w14:paraId="7504269B" w14:textId="77777777" w:rsidR="00F4722E" w:rsidRDefault="00F4722E">
      <w:pPr>
        <w:ind w:left="567" w:right="-787"/>
        <w:jc w:val="both"/>
        <w:rPr>
          <w:rFonts w:ascii="Palatino Linotype" w:eastAsia="Palatino Linotype" w:hAnsi="Palatino Linotype" w:cs="Palatino Linotype"/>
          <w:i/>
          <w:iCs/>
        </w:rPr>
      </w:pPr>
    </w:p>
    <w:p w14:paraId="3B49F1F5" w14:textId="77777777" w:rsidR="00F4722E" w:rsidRDefault="00F4722E">
      <w:pPr>
        <w:ind w:left="567" w:right="-787"/>
        <w:jc w:val="both"/>
        <w:rPr>
          <w:rFonts w:ascii="Palatino Linotype" w:eastAsia="Palatino Linotype" w:hAnsi="Palatino Linotype" w:cs="Palatino Linotype"/>
        </w:rPr>
      </w:pPr>
    </w:p>
    <w:p w14:paraId="1ED42257" w14:textId="77777777" w:rsidR="00F4722E" w:rsidRDefault="003228AC">
      <w:pPr>
        <w:numPr>
          <w:ilvl w:val="0"/>
          <w:numId w:val="6"/>
        </w:numPr>
        <w:spacing w:line="360" w:lineRule="auto"/>
        <w:ind w:left="0" w:right="-787" w:firstLine="0"/>
        <w:jc w:val="both"/>
      </w:pPr>
      <w:r>
        <w:rPr>
          <w:rFonts w:ascii="Palatino Linotype" w:eastAsia="Palatino Linotype" w:hAnsi="Palatino Linotype" w:cs="Palatino Linotype"/>
        </w:rPr>
        <w:t xml:space="preserve">Como se aprecia en el dispositivo legal antes invocado,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solamente está constreñido a tener la información curricular desde el nivel de Jefe de Departamento o equivalente hasta el titular del Sujeto Obligado; información que corresponde a mandos medios y superiores.</w:t>
      </w:r>
    </w:p>
    <w:p w14:paraId="4B363161" w14:textId="77777777" w:rsidR="00F4722E" w:rsidRDefault="00F4722E">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791144E7" w14:textId="77777777" w:rsidR="00F4722E" w:rsidRDefault="003228AC">
      <w:pPr>
        <w:numPr>
          <w:ilvl w:val="0"/>
          <w:numId w:val="6"/>
        </w:numPr>
        <w:spacing w:line="360" w:lineRule="auto"/>
        <w:ind w:left="0" w:right="-787" w:firstLine="0"/>
        <w:jc w:val="both"/>
      </w:pPr>
      <w:r>
        <w:rPr>
          <w:rFonts w:ascii="Palatino Linotype" w:eastAsia="Palatino Linotype" w:hAnsi="Palatino Linotype" w:cs="Palatino Linotype"/>
        </w:rPr>
        <w:t xml:space="preserve">En ese sentido, se colige que la información curricular que se constituye como una obligación de </w:t>
      </w:r>
      <w:r>
        <w:t>transparencia</w:t>
      </w:r>
      <w:r>
        <w:rPr>
          <w:rFonts w:ascii="Palatino Linotype" w:eastAsia="Palatino Linotype" w:hAnsi="Palatino Linotype" w:cs="Palatino Linotype"/>
        </w:rPr>
        <w:t xml:space="preserve"> común a la cual se encuentra constreñido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esta puede colmarse con la entrega de la solicitud de empleo, ficha curricular, </w:t>
      </w:r>
      <w:r>
        <w:rPr>
          <w:rFonts w:ascii="Palatino Linotype" w:eastAsia="Palatino Linotype" w:hAnsi="Palatino Linotype" w:cs="Palatino Linotype"/>
          <w:b/>
          <w:bCs/>
        </w:rPr>
        <w:t>currículum vitae</w:t>
      </w:r>
      <w:r>
        <w:rPr>
          <w:rFonts w:ascii="Palatino Linotype" w:eastAsia="Palatino Linotype" w:hAnsi="Palatino Linotype" w:cs="Palatino Linotype"/>
        </w:rPr>
        <w:t xml:space="preserve"> o el documento análogo en donde conste información detallada y relacionada con la trayectoria académica, profesional y laboral, que acrediten la capacidad, habilidades o pericia de una persona para ocupar el cargo público o para desempeñar la función que le va a ser encomendada.</w:t>
      </w:r>
    </w:p>
    <w:p w14:paraId="268D5CFD" w14:textId="77777777" w:rsidR="00F4722E" w:rsidRDefault="00F4722E">
      <w:pPr>
        <w:spacing w:line="360" w:lineRule="auto"/>
        <w:ind w:right="-787"/>
        <w:jc w:val="both"/>
      </w:pPr>
    </w:p>
    <w:p w14:paraId="18350E2F"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punto de solicitud relativo al </w:t>
      </w:r>
      <w:r>
        <w:rPr>
          <w:rFonts w:ascii="Palatino Linotype" w:eastAsia="Palatino Linotype" w:hAnsi="Palatino Linotype" w:cs="Palatino Linotype"/>
          <w:i/>
          <w:iCs/>
          <w:u w:val="single"/>
        </w:rPr>
        <w:t xml:space="preserve">Último comprobante de estudios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el caso, debe tenerse en cuenta lo dispuesto en los artículos 60 de la Ley General de </w:t>
      </w:r>
      <w:r>
        <w:rPr>
          <w:rFonts w:ascii="Palatino Linotype" w:eastAsia="Palatino Linotype" w:hAnsi="Palatino Linotype" w:cs="Palatino Linotype"/>
        </w:rPr>
        <w:t>Educación</w:t>
      </w:r>
      <w:r>
        <w:rPr>
          <w:rFonts w:ascii="Palatino Linotype" w:eastAsia="Palatino Linotype" w:hAnsi="Palatino Linotype" w:cs="Palatino Linotype"/>
          <w:color w:val="000000"/>
        </w:rPr>
        <w:t>, 3.27 fracción IV, 3.28, 3.29 y 3.31 segundo párrafo del Código Administrativo del Estado de México, que prevén:</w:t>
      </w:r>
    </w:p>
    <w:p w14:paraId="466DE45C" w14:textId="77777777" w:rsidR="00F4722E" w:rsidRDefault="00F4722E">
      <w:pPr>
        <w:spacing w:line="360" w:lineRule="auto"/>
        <w:ind w:right="-858"/>
        <w:jc w:val="both"/>
        <w:rPr>
          <w:rFonts w:ascii="Palatino Linotype" w:eastAsia="Palatino Linotype" w:hAnsi="Palatino Linotype" w:cs="Palatino Linotype"/>
        </w:rPr>
      </w:pPr>
    </w:p>
    <w:p w14:paraId="00DE7B9C" w14:textId="77777777" w:rsidR="00F4722E" w:rsidRDefault="003228AC">
      <w:pPr>
        <w:ind w:left="851" w:right="-433"/>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color w:val="000000"/>
          <w:sz w:val="22"/>
          <w:szCs w:val="22"/>
        </w:rPr>
        <w:t>“ARTÍCULO 60.-</w:t>
      </w:r>
      <w:r>
        <w:rPr>
          <w:rFonts w:ascii="Palatino Linotype" w:eastAsia="Palatino Linotype" w:hAnsi="Palatino Linotype" w:cs="Palatino Linotype"/>
          <w:i/>
          <w:iCs/>
          <w:color w:val="000000"/>
          <w:sz w:val="22"/>
          <w:szCs w:val="22"/>
        </w:rPr>
        <w:t xml:space="preserve"> Los estudios realizados dentro del sistema educativo nacional tendrán validez en toda la República.</w:t>
      </w:r>
    </w:p>
    <w:p w14:paraId="7238CF82" w14:textId="77777777" w:rsidR="00F4722E" w:rsidRDefault="003228AC">
      <w:pPr>
        <w:ind w:left="851" w:right="-433"/>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087DA525" w14:textId="77777777" w:rsidR="00F4722E" w:rsidRDefault="00F4722E">
      <w:pPr>
        <w:spacing w:line="276" w:lineRule="auto"/>
        <w:ind w:left="851" w:right="902"/>
        <w:rPr>
          <w:rFonts w:ascii="Palatino Linotype" w:eastAsia="Palatino Linotype" w:hAnsi="Palatino Linotype" w:cs="Palatino Linotype"/>
        </w:rPr>
      </w:pPr>
    </w:p>
    <w:p w14:paraId="57351F48"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lo </w:t>
      </w:r>
      <w:r>
        <w:rPr>
          <w:rFonts w:ascii="Palatino Linotype" w:eastAsia="Palatino Linotype" w:hAnsi="Palatino Linotype" w:cs="Palatino Linotype"/>
        </w:rPr>
        <w:t>dispuesto</w:t>
      </w:r>
      <w:r>
        <w:rPr>
          <w:rFonts w:ascii="Palatino Linotype" w:eastAsia="Palatino Linotype" w:hAnsi="Palatino Linotype" w:cs="Palatino Linotype"/>
          <w:color w:val="000000"/>
        </w:rPr>
        <w:t xml:space="preserve">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w:t>
      </w:r>
      <w:r>
        <w:rPr>
          <w:rFonts w:ascii="Palatino Linotype" w:eastAsia="Palatino Linotype" w:hAnsi="Palatino Linotype" w:cs="Palatino Linotype"/>
          <w:color w:val="000000"/>
        </w:rPr>
        <w:lastRenderedPageBreak/>
        <w:t>hayan concluido estudios de conformidad con los requisitos establecidos en los planes y programas de estudio correspondientes.</w:t>
      </w:r>
    </w:p>
    <w:p w14:paraId="2BFDF8C1" w14:textId="77777777" w:rsidR="00F4722E" w:rsidRDefault="00F4722E">
      <w:pPr>
        <w:spacing w:line="360" w:lineRule="auto"/>
        <w:ind w:right="-858"/>
        <w:jc w:val="both"/>
        <w:rPr>
          <w:rFonts w:ascii="Palatino Linotype" w:eastAsia="Palatino Linotype" w:hAnsi="Palatino Linotype" w:cs="Palatino Linotype"/>
        </w:rPr>
      </w:pPr>
    </w:p>
    <w:p w14:paraId="493CD7A8"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Ante los argumentos planteados, se puede concluir que constituyen documentos probatorios de estudios; </w:t>
      </w:r>
      <w:r>
        <w:rPr>
          <w:rFonts w:ascii="Palatino Linotype" w:eastAsia="Palatino Linotype" w:hAnsi="Palatino Linotype" w:cs="Palatino Linotype"/>
          <w:b/>
          <w:bCs/>
          <w:color w:val="000000"/>
          <w:u w:val="single"/>
        </w:rPr>
        <w:t>los certificados, constancias, diplomas, títulos y/o cédula profesional</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por tratarse de la expresión documental que permite acreditar el grado de estudios de los servidores públicos.</w:t>
      </w:r>
    </w:p>
    <w:p w14:paraId="3E2A362D" w14:textId="77777777" w:rsidR="00F4722E" w:rsidRDefault="00F4722E">
      <w:pPr>
        <w:rPr>
          <w:rFonts w:ascii="Palatino Linotype" w:eastAsia="Palatino Linotype" w:hAnsi="Palatino Linotype" w:cs="Palatino Linotype"/>
        </w:rPr>
      </w:pPr>
    </w:p>
    <w:p w14:paraId="746D36A2"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w:t>
      </w:r>
      <w:r>
        <w:rPr>
          <w:rFonts w:ascii="Palatino Linotype" w:eastAsia="Palatino Linotype" w:hAnsi="Palatino Linotype" w:cs="Palatino Linotype"/>
          <w:color w:val="000000"/>
        </w:rPr>
        <w:t>contexto</w:t>
      </w:r>
      <w:r>
        <w:rPr>
          <w:rFonts w:ascii="Palatino Linotype" w:eastAsia="Palatino Linotype" w:hAnsi="Palatino Linotype" w:cs="Palatino Linotype"/>
        </w:rPr>
        <w:t xml:space="preserve">, el </w:t>
      </w:r>
      <w:r>
        <w:rPr>
          <w:rFonts w:ascii="Palatino Linotype" w:eastAsia="Palatino Linotype" w:hAnsi="Palatino Linotype" w:cs="Palatino Linotype"/>
          <w:color w:val="000000"/>
        </w:rPr>
        <w:t>documento</w:t>
      </w:r>
      <w:r>
        <w:rPr>
          <w:rFonts w:ascii="Palatino Linotype" w:eastAsia="Palatino Linotype" w:hAnsi="Palatino Linotype" w:cs="Palatino Linotype"/>
        </w:rPr>
        <w:t xml:space="preserve"> en cuestión da cuenta de la preparación y sirve como medios de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identificación, para que su titular lo relacionen con el nivel de estudios con que cuenta, por lo que, se trata de un documento de naturaleza pública; además, que puede dar el grado máximo de estudios de la persona en cuestión.</w:t>
      </w:r>
    </w:p>
    <w:p w14:paraId="1CD5E056" w14:textId="77777777" w:rsidR="00F4722E" w:rsidRDefault="00F4722E">
      <w:pPr>
        <w:rPr>
          <w:rFonts w:ascii="Palatino Linotype" w:eastAsia="Palatino Linotype" w:hAnsi="Palatino Linotype" w:cs="Palatino Linotype"/>
          <w:b/>
          <w:bCs/>
        </w:rPr>
      </w:pPr>
    </w:p>
    <w:p w14:paraId="540C03E8"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necesario precisar que la cédula y el título profesional, son los </w:t>
      </w:r>
      <w:r>
        <w:rPr>
          <w:rFonts w:ascii="Palatino Linotype" w:eastAsia="Palatino Linotype" w:hAnsi="Palatino Linotype" w:cs="Palatino Linotype"/>
          <w:color w:val="000000"/>
        </w:rPr>
        <w:t>documentos</w:t>
      </w:r>
      <w:r>
        <w:rPr>
          <w:rFonts w:ascii="Palatino Linotype" w:eastAsia="Palatino Linotype" w:hAnsi="Palatino Linotype" w:cs="Palatino Linotype"/>
        </w:rPr>
        <w:t xml:space="preserve"> que toda persona </w:t>
      </w:r>
      <w:r>
        <w:rPr>
          <w:rFonts w:ascii="Palatino Linotype" w:eastAsia="Palatino Linotype" w:hAnsi="Palatino Linotype" w:cs="Palatino Linotype"/>
          <w:i/>
          <w:iCs/>
        </w:rPr>
        <w:t>a quien legalmente se le haya expedido título profesional o grado académico equivalente, podrá obtener</w:t>
      </w:r>
      <w:r>
        <w:rPr>
          <w:rFonts w:ascii="Palatino Linotype" w:eastAsia="Palatino Linotype" w:hAnsi="Palatino Linotype" w:cs="Palatino Linotype"/>
        </w:rPr>
        <w:t xml:space="preserve"> (…) </w:t>
      </w:r>
      <w:r>
        <w:rPr>
          <w:rFonts w:ascii="Palatino Linotype" w:eastAsia="Palatino Linotype" w:hAnsi="Palatino Linotype" w:cs="Palatino Linotype"/>
          <w:b/>
          <w:bCs/>
          <w:i/>
          <w:iCs/>
        </w:rPr>
        <w:t xml:space="preserve">con efectos de patente, </w:t>
      </w:r>
      <w:r>
        <w:rPr>
          <w:rFonts w:ascii="Palatino Linotype" w:eastAsia="Palatino Linotype" w:hAnsi="Palatino Linotype" w:cs="Palatino Linotype"/>
        </w:rPr>
        <w:t>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w:t>
      </w:r>
    </w:p>
    <w:p w14:paraId="6BFEABC0" w14:textId="77777777" w:rsidR="0073530A" w:rsidRDefault="0073530A" w:rsidP="0073530A">
      <w:pPr>
        <w:spacing w:line="360" w:lineRule="auto"/>
        <w:ind w:right="-787"/>
        <w:jc w:val="both"/>
        <w:rPr>
          <w:rFonts w:ascii="Palatino Linotype" w:eastAsia="Palatino Linotype" w:hAnsi="Palatino Linotype" w:cs="Palatino Linotype"/>
        </w:rPr>
      </w:pPr>
    </w:p>
    <w:p w14:paraId="240FE81A" w14:textId="77777777" w:rsidR="0073530A" w:rsidRPr="00D005B1" w:rsidRDefault="0073530A">
      <w:pPr>
        <w:numPr>
          <w:ilvl w:val="0"/>
          <w:numId w:val="6"/>
        </w:numPr>
        <w:spacing w:line="360" w:lineRule="auto"/>
        <w:ind w:left="0" w:right="-787" w:firstLine="0"/>
        <w:jc w:val="both"/>
        <w:rPr>
          <w:rFonts w:ascii="Palatino Linotype" w:eastAsia="Palatino Linotype" w:hAnsi="Palatino Linotype" w:cs="Palatino Linotype"/>
        </w:rPr>
      </w:pPr>
      <w:r w:rsidRPr="00D005B1">
        <w:rPr>
          <w:rFonts w:ascii="Palatino Linotype" w:eastAsia="Palatino Linotype" w:hAnsi="Palatino Linotype" w:cs="Palatino Linotype"/>
        </w:rPr>
        <w:t>Asimismo, el Código Reglamentario Municipal de Toluca establece como requisito Para ingresar a laborar a las dependencias de la administración pública municipal de Toluca la Copia del comprobante del grado máximo de estudios (título o certificado), tal como lo refiere el artículo 11.11, fracción V:</w:t>
      </w:r>
    </w:p>
    <w:p w14:paraId="1147F0F5" w14:textId="77777777" w:rsidR="0073530A" w:rsidRPr="00D005B1" w:rsidRDefault="0073530A" w:rsidP="0073530A">
      <w:pPr>
        <w:spacing w:line="360" w:lineRule="auto"/>
        <w:ind w:right="-787"/>
        <w:jc w:val="both"/>
        <w:rPr>
          <w:rFonts w:ascii="Palatino Linotype" w:eastAsia="Palatino Linotype" w:hAnsi="Palatino Linotype" w:cs="Palatino Linotype"/>
        </w:rPr>
      </w:pPr>
    </w:p>
    <w:p w14:paraId="0FF3B3BC" w14:textId="77777777" w:rsidR="0073530A" w:rsidRPr="00D005B1" w:rsidRDefault="0073530A" w:rsidP="0073530A">
      <w:pPr>
        <w:ind w:left="567" w:right="539"/>
        <w:jc w:val="center"/>
        <w:rPr>
          <w:rFonts w:ascii="Palatino Linotype" w:eastAsia="Palatino Linotype" w:hAnsi="Palatino Linotype" w:cs="Palatino Linotype"/>
          <w:b/>
          <w:i/>
          <w:iCs/>
          <w:sz w:val="22"/>
          <w:szCs w:val="22"/>
        </w:rPr>
      </w:pPr>
      <w:r w:rsidRPr="00D005B1">
        <w:rPr>
          <w:rFonts w:ascii="Palatino Linotype" w:eastAsia="Palatino Linotype" w:hAnsi="Palatino Linotype" w:cs="Palatino Linotype"/>
          <w:b/>
          <w:i/>
          <w:iCs/>
          <w:sz w:val="22"/>
          <w:szCs w:val="22"/>
        </w:rPr>
        <w:lastRenderedPageBreak/>
        <w:t>DE LOS REQUISITOS PARA EL INGRESO</w:t>
      </w:r>
    </w:p>
    <w:p w14:paraId="1342E6C7"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p>
    <w:p w14:paraId="089C0B9B"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b/>
          <w:i/>
          <w:iCs/>
          <w:sz w:val="22"/>
          <w:szCs w:val="22"/>
        </w:rPr>
        <w:t>Artículo 11.11</w:t>
      </w:r>
      <w:r w:rsidRPr="00D005B1">
        <w:rPr>
          <w:rFonts w:ascii="Palatino Linotype" w:eastAsia="Palatino Linotype" w:hAnsi="Palatino Linotype" w:cs="Palatino Linotype"/>
          <w:i/>
          <w:iCs/>
          <w:sz w:val="22"/>
          <w:szCs w:val="22"/>
        </w:rPr>
        <w:t xml:space="preserve">. Para ingresar a laborar a las dependencias de la administración pública municipal de Toluca, los aspirantes deberán satisfacer los siguientes requisitos, además de los establecidos en el artículo 47 de la Ley del Trabajo de los Servidores Públicos del Estado y Municipios. </w:t>
      </w:r>
    </w:p>
    <w:p w14:paraId="6575EC55"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I. Constancia de Situación Fiscal; </w:t>
      </w:r>
    </w:p>
    <w:p w14:paraId="77F86D77"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II. Constancia del CURP; </w:t>
      </w:r>
    </w:p>
    <w:p w14:paraId="108C6059"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III. Copia del documento que acredite clave del ISSEMYM en caso de haber cotizado; </w:t>
      </w:r>
    </w:p>
    <w:p w14:paraId="74590262"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IV. Solicitud de empleo o Currículum sin fotografía; </w:t>
      </w:r>
    </w:p>
    <w:p w14:paraId="15BD5175" w14:textId="77777777" w:rsidR="0073530A" w:rsidRPr="00D005B1" w:rsidRDefault="0073530A" w:rsidP="0073530A">
      <w:pPr>
        <w:ind w:left="567" w:right="539"/>
        <w:jc w:val="both"/>
        <w:rPr>
          <w:rFonts w:ascii="Palatino Linotype" w:eastAsia="Palatino Linotype" w:hAnsi="Palatino Linotype" w:cs="Palatino Linotype"/>
          <w:b/>
          <w:i/>
          <w:iCs/>
          <w:sz w:val="22"/>
          <w:szCs w:val="22"/>
        </w:rPr>
      </w:pPr>
      <w:r w:rsidRPr="00D005B1">
        <w:rPr>
          <w:rFonts w:ascii="Palatino Linotype" w:eastAsia="Palatino Linotype" w:hAnsi="Palatino Linotype" w:cs="Palatino Linotype"/>
          <w:b/>
          <w:i/>
          <w:iCs/>
          <w:sz w:val="22"/>
          <w:szCs w:val="22"/>
        </w:rPr>
        <w:t xml:space="preserve">V. Copia del comprobante del grado máximo de estudios (título o certificado); </w:t>
      </w:r>
    </w:p>
    <w:p w14:paraId="1AEA9FB1"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VI. Copia del comprobante de domicilio con vigencia no mayor a 60 días o constancia de vecindad; </w:t>
      </w:r>
    </w:p>
    <w:p w14:paraId="35FD06E5"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VII. Copia de la cartilla del servicio militar con liberación, en su caso; </w:t>
      </w:r>
    </w:p>
    <w:p w14:paraId="46FE3E81"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VIII. Original del certificado médico con vigencia no mayor a 30 días; </w:t>
      </w:r>
    </w:p>
    <w:p w14:paraId="22B0C75D"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IX. Copia del acta de nacimiento; </w:t>
      </w:r>
    </w:p>
    <w:p w14:paraId="72DCEEDC"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X. Copia de identificación oficial vigente con fotografía (INE o pasaporte); </w:t>
      </w:r>
    </w:p>
    <w:p w14:paraId="20C450FB"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XI. Examen diagnóstico proporcionado por la autoridad administrativa;</w:t>
      </w:r>
    </w:p>
    <w:p w14:paraId="266365C2"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XII. Certificado de no Deudor Alimentario Moroso con vigencia no mayor a 30 días; y XIII. Constancia de no Inhabilitación.</w:t>
      </w:r>
    </w:p>
    <w:p w14:paraId="4E437C46"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p>
    <w:p w14:paraId="0E035722"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p>
    <w:p w14:paraId="313274B1" w14:textId="77777777" w:rsidR="00F4722E" w:rsidRPr="00D005B1" w:rsidRDefault="0073530A" w:rsidP="0073530A">
      <w:pPr>
        <w:numPr>
          <w:ilvl w:val="0"/>
          <w:numId w:val="6"/>
        </w:numPr>
        <w:spacing w:line="360" w:lineRule="auto"/>
        <w:ind w:left="0" w:right="-787" w:firstLine="0"/>
        <w:jc w:val="both"/>
        <w:rPr>
          <w:rFonts w:ascii="Palatino Linotype" w:eastAsia="Palatino Linotype" w:hAnsi="Palatino Linotype" w:cs="Palatino Linotype"/>
        </w:rPr>
      </w:pPr>
      <w:r w:rsidRPr="00D005B1">
        <w:rPr>
          <w:rFonts w:ascii="Palatino Linotype" w:eastAsia="Palatino Linotype" w:hAnsi="Palatino Linotype" w:cs="Palatino Linotype"/>
        </w:rPr>
        <w:t>En este mismo sentido la Ley Orgánica Municipal del Estado de México en su artículo 15, establece que 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77B36CC2" w14:textId="77777777" w:rsidR="0073530A" w:rsidRPr="00D005B1" w:rsidRDefault="0073530A" w:rsidP="0073530A">
      <w:pPr>
        <w:spacing w:line="360" w:lineRule="auto"/>
        <w:ind w:right="-787"/>
        <w:jc w:val="both"/>
        <w:rPr>
          <w:rFonts w:ascii="Palatino Linotype" w:eastAsia="Palatino Linotype" w:hAnsi="Palatino Linotype" w:cs="Palatino Linotype"/>
        </w:rPr>
      </w:pPr>
    </w:p>
    <w:p w14:paraId="3960531A" w14:textId="77777777" w:rsidR="0073530A" w:rsidRPr="00D005B1" w:rsidRDefault="0073530A" w:rsidP="0073530A">
      <w:pPr>
        <w:numPr>
          <w:ilvl w:val="0"/>
          <w:numId w:val="6"/>
        </w:numPr>
        <w:spacing w:line="360" w:lineRule="auto"/>
        <w:ind w:left="0" w:right="-787" w:firstLine="0"/>
        <w:jc w:val="both"/>
        <w:rPr>
          <w:rFonts w:ascii="Palatino Linotype" w:eastAsia="Palatino Linotype" w:hAnsi="Palatino Linotype" w:cs="Palatino Linotype"/>
        </w:rPr>
      </w:pPr>
      <w:r w:rsidRPr="00D005B1">
        <w:rPr>
          <w:rFonts w:ascii="Palatino Linotype" w:eastAsia="Palatino Linotype" w:hAnsi="Palatino Linotype" w:cs="Palatino Linotype"/>
        </w:rPr>
        <w:t>El artículo 119 de la Constitución Local, no prevé como requisito para los miembros del ayuntamiento, contar con comprobante de grado máximo de estudios, tal como se muestra  continuación:</w:t>
      </w:r>
    </w:p>
    <w:p w14:paraId="3F60D367" w14:textId="77777777" w:rsidR="0073530A" w:rsidRPr="00D005B1" w:rsidRDefault="0073530A" w:rsidP="0073530A">
      <w:pPr>
        <w:spacing w:line="360" w:lineRule="auto"/>
        <w:ind w:right="-787"/>
        <w:jc w:val="both"/>
        <w:rPr>
          <w:rFonts w:ascii="Palatino Linotype" w:eastAsia="Palatino Linotype" w:hAnsi="Palatino Linotype" w:cs="Palatino Linotype"/>
        </w:rPr>
      </w:pPr>
    </w:p>
    <w:p w14:paraId="009AF0C9"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b/>
          <w:i/>
          <w:iCs/>
          <w:sz w:val="22"/>
          <w:szCs w:val="22"/>
        </w:rPr>
        <w:lastRenderedPageBreak/>
        <w:t>Artículo 119</w:t>
      </w:r>
      <w:r w:rsidRPr="00D005B1">
        <w:rPr>
          <w:rFonts w:ascii="Palatino Linotype" w:eastAsia="Palatino Linotype" w:hAnsi="Palatino Linotype" w:cs="Palatino Linotype"/>
          <w:i/>
          <w:iCs/>
          <w:sz w:val="22"/>
          <w:szCs w:val="22"/>
        </w:rPr>
        <w:t xml:space="preserve">.- Para ser miembro propietario o suplente de un ayuntamiento se requiere: </w:t>
      </w:r>
    </w:p>
    <w:p w14:paraId="531404BE"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I. Ser mexicana o mexicano, ciudadana o ciudadano del Estado, en pleno ejercicio de sus derechos; </w:t>
      </w:r>
    </w:p>
    <w:p w14:paraId="4206CFEE"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II. Ser mexiquense con residencia efectiva en el municipio no menor a un año o vecino del mismo, con residencia efectiva en su territorio no menor a tres años, anteriores al día de la elección; y </w:t>
      </w:r>
    </w:p>
    <w:p w14:paraId="1A63B9C6"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III. Ser de reconocida probidad y buena fama pública.</w:t>
      </w:r>
    </w:p>
    <w:p w14:paraId="7EDAB260"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IV. No estar condenada o condenado por sentencia ejecutoriada por el delito de violencia política contra las mujeres en razón de género; </w:t>
      </w:r>
    </w:p>
    <w:p w14:paraId="26F9F7BA"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 xml:space="preserve">V. No estar inscrito en el Registro de Deudores Alimentarios Morosos en el Estado, ni en otra entidad federativa, y </w:t>
      </w:r>
    </w:p>
    <w:p w14:paraId="5EA14EF2"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i/>
          <w:iCs/>
          <w:sz w:val="22"/>
          <w:szCs w:val="22"/>
        </w:rPr>
        <w:t>VI. No estar condenada o condenado por sentencia ejecutoriada por delitos de violencia familiar, contra la libertad sexual o de violencia de género.</w:t>
      </w:r>
    </w:p>
    <w:p w14:paraId="6D5E727A" w14:textId="77777777" w:rsidR="0073530A" w:rsidRPr="00D005B1" w:rsidRDefault="0073530A" w:rsidP="0073530A">
      <w:pPr>
        <w:ind w:left="567" w:right="539"/>
        <w:jc w:val="both"/>
        <w:rPr>
          <w:rFonts w:ascii="Palatino Linotype" w:eastAsia="Palatino Linotype" w:hAnsi="Palatino Linotype" w:cs="Palatino Linotype"/>
          <w:i/>
          <w:iCs/>
          <w:sz w:val="22"/>
          <w:szCs w:val="22"/>
        </w:rPr>
      </w:pPr>
    </w:p>
    <w:p w14:paraId="5B5AA6FB" w14:textId="77777777" w:rsidR="0073530A" w:rsidRPr="00D005B1" w:rsidRDefault="0073530A" w:rsidP="0073530A">
      <w:pPr>
        <w:numPr>
          <w:ilvl w:val="0"/>
          <w:numId w:val="6"/>
        </w:numPr>
        <w:spacing w:line="360" w:lineRule="auto"/>
        <w:ind w:left="0" w:right="-787" w:firstLine="0"/>
        <w:jc w:val="both"/>
        <w:rPr>
          <w:rFonts w:ascii="Palatino Linotype" w:eastAsia="Palatino Linotype" w:hAnsi="Palatino Linotype" w:cs="Palatino Linotype"/>
        </w:rPr>
      </w:pPr>
      <w:r w:rsidRPr="00D005B1">
        <w:rPr>
          <w:rFonts w:ascii="Palatino Linotype" w:eastAsia="Palatino Linotype" w:hAnsi="Palatino Linotype" w:cs="Palatino Linotype"/>
        </w:rPr>
        <w:t xml:space="preserve">En razón de lo expuesto la </w:t>
      </w:r>
      <w:r w:rsidR="000A4E0E" w:rsidRPr="00D005B1">
        <w:rPr>
          <w:rFonts w:ascii="Palatino Linotype" w:eastAsia="Palatino Linotype" w:hAnsi="Palatino Linotype" w:cs="Palatino Linotype"/>
        </w:rPr>
        <w:t>obligatoriedad</w:t>
      </w:r>
      <w:r w:rsidRPr="00D005B1">
        <w:rPr>
          <w:rFonts w:ascii="Palatino Linotype" w:eastAsia="Palatino Linotype" w:hAnsi="Palatino Linotype" w:cs="Palatino Linotype"/>
        </w:rPr>
        <w:t xml:space="preserve"> de contar con comprobante de grado </w:t>
      </w:r>
      <w:r w:rsidR="000A4E0E" w:rsidRPr="00D005B1">
        <w:rPr>
          <w:rFonts w:ascii="Palatino Linotype" w:eastAsia="Palatino Linotype" w:hAnsi="Palatino Linotype" w:cs="Palatino Linotype"/>
        </w:rPr>
        <w:t>máximo</w:t>
      </w:r>
      <w:r w:rsidRPr="00D005B1">
        <w:rPr>
          <w:rFonts w:ascii="Palatino Linotype" w:eastAsia="Palatino Linotype" w:hAnsi="Palatino Linotype" w:cs="Palatino Linotype"/>
        </w:rPr>
        <w:t xml:space="preserve"> de estudios se encuentra </w:t>
      </w:r>
      <w:r w:rsidR="000A4E0E" w:rsidRPr="00D005B1">
        <w:rPr>
          <w:rFonts w:ascii="Palatino Linotype" w:eastAsia="Palatino Linotype" w:hAnsi="Palatino Linotype" w:cs="Palatino Linotype"/>
        </w:rPr>
        <w:t>establecida</w:t>
      </w:r>
      <w:r w:rsidRPr="00D005B1">
        <w:rPr>
          <w:rFonts w:ascii="Palatino Linotype" w:eastAsia="Palatino Linotype" w:hAnsi="Palatino Linotype" w:cs="Palatino Linotype"/>
        </w:rPr>
        <w:t xml:space="preserve"> para todos aquellos que deseen ingresar a laborar a las dependencias de la administración pública municipal, a excepción de </w:t>
      </w:r>
      <w:r w:rsidR="000A4E0E" w:rsidRPr="00D005B1">
        <w:rPr>
          <w:rFonts w:ascii="Palatino Linotype" w:eastAsia="Palatino Linotype" w:hAnsi="Palatino Linotype" w:cs="Palatino Linotype"/>
        </w:rPr>
        <w:t>los miembros del ayuntamiento</w:t>
      </w:r>
      <w:r w:rsidR="004C0AA0" w:rsidRPr="00D005B1">
        <w:rPr>
          <w:rFonts w:ascii="Palatino Linotype" w:eastAsia="Palatino Linotype" w:hAnsi="Palatino Linotype" w:cs="Palatino Linotype"/>
        </w:rPr>
        <w:t>; es decir, servidores públicos de elección popular.</w:t>
      </w:r>
    </w:p>
    <w:p w14:paraId="3FC4E458" w14:textId="77777777" w:rsidR="000A4E0E" w:rsidRPr="00D005B1" w:rsidRDefault="000A4E0E" w:rsidP="000A4E0E">
      <w:pPr>
        <w:spacing w:line="360" w:lineRule="auto"/>
        <w:ind w:right="-787"/>
        <w:jc w:val="both"/>
        <w:rPr>
          <w:rFonts w:ascii="Palatino Linotype" w:eastAsia="Palatino Linotype" w:hAnsi="Palatino Linotype" w:cs="Palatino Linotype"/>
          <w:i/>
          <w:iCs/>
          <w:sz w:val="22"/>
          <w:szCs w:val="22"/>
        </w:rPr>
      </w:pPr>
    </w:p>
    <w:p w14:paraId="7F78D2CA" w14:textId="77777777" w:rsidR="000A4E0E" w:rsidRPr="00D005B1" w:rsidRDefault="000A4E0E" w:rsidP="0073530A">
      <w:pPr>
        <w:numPr>
          <w:ilvl w:val="0"/>
          <w:numId w:val="6"/>
        </w:numPr>
        <w:spacing w:line="360" w:lineRule="auto"/>
        <w:ind w:left="0" w:right="-787" w:firstLine="0"/>
        <w:jc w:val="both"/>
        <w:rPr>
          <w:rFonts w:ascii="Palatino Linotype" w:eastAsia="Palatino Linotype" w:hAnsi="Palatino Linotype" w:cs="Palatino Linotype"/>
          <w:i/>
          <w:iCs/>
          <w:sz w:val="22"/>
          <w:szCs w:val="22"/>
        </w:rPr>
      </w:pPr>
      <w:r w:rsidRPr="00D005B1">
        <w:rPr>
          <w:rFonts w:ascii="Palatino Linotype" w:eastAsia="Palatino Linotype" w:hAnsi="Palatino Linotype" w:cs="Palatino Linotype"/>
        </w:rPr>
        <w:t>Para la entrega de la documentación antes descrita, se deben observar las siguientes disposiciones.</w:t>
      </w:r>
    </w:p>
    <w:p w14:paraId="593B92E1" w14:textId="77777777" w:rsidR="0073530A" w:rsidRDefault="0073530A" w:rsidP="0073530A">
      <w:pPr>
        <w:spacing w:line="360" w:lineRule="auto"/>
        <w:ind w:right="-787"/>
        <w:jc w:val="both"/>
        <w:rPr>
          <w:rFonts w:ascii="Palatino Linotype" w:eastAsia="Palatino Linotype" w:hAnsi="Palatino Linotype" w:cs="Palatino Linotype"/>
        </w:rPr>
      </w:pPr>
    </w:p>
    <w:p w14:paraId="5D7EB98C" w14:textId="77777777" w:rsidR="00F4722E" w:rsidRDefault="003228AC">
      <w:pPr>
        <w:spacing w:line="360" w:lineRule="auto"/>
        <w:ind w:right="1"/>
        <w:jc w:val="both"/>
        <w:rPr>
          <w:rFonts w:ascii="Palatino Linotype" w:eastAsia="Palatino Linotype" w:hAnsi="Palatino Linotype" w:cs="Palatino Linotype"/>
          <w:b/>
          <w:bCs/>
        </w:rPr>
      </w:pPr>
      <w:r>
        <w:rPr>
          <w:rFonts w:ascii="Palatino Linotype" w:eastAsia="Palatino Linotype" w:hAnsi="Palatino Linotype" w:cs="Palatino Linotype"/>
          <w:b/>
          <w:bCs/>
        </w:rPr>
        <w:t>De la fotografía y firma de Servidores Públicos en comprobantes de estudios.</w:t>
      </w:r>
    </w:p>
    <w:p w14:paraId="61A11AB5" w14:textId="77777777" w:rsidR="00F4722E" w:rsidRDefault="003228AC">
      <w:pPr>
        <w:numPr>
          <w:ilvl w:val="0"/>
          <w:numId w:val="2"/>
        </w:num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Fotografía </w:t>
      </w:r>
    </w:p>
    <w:p w14:paraId="7C8A6C57" w14:textId="77777777" w:rsidR="00F4722E" w:rsidRDefault="00F4722E">
      <w:pPr>
        <w:ind w:right="1"/>
        <w:jc w:val="both"/>
        <w:rPr>
          <w:rFonts w:ascii="Palatino Linotype" w:eastAsia="Palatino Linotype" w:hAnsi="Palatino Linotype" w:cs="Palatino Linotype"/>
          <w:b/>
          <w:bCs/>
        </w:rPr>
      </w:pPr>
    </w:p>
    <w:p w14:paraId="656B3698"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 xml:space="preserve">Se precisa que, los </w:t>
      </w:r>
      <w:r>
        <w:rPr>
          <w:rFonts w:ascii="Palatino Linotype" w:eastAsia="Palatino Linotype" w:hAnsi="Palatino Linotype" w:cs="Palatino Linotype"/>
          <w:b/>
          <w:bCs/>
        </w:rPr>
        <w:t>comprobantes de estudios</w:t>
      </w:r>
      <w:r>
        <w:rPr>
          <w:rFonts w:ascii="Palatino Linotype" w:eastAsia="Palatino Linotype" w:hAnsi="Palatino Linotype" w:cs="Palatino Linotype"/>
        </w:rPr>
        <w:t xml:space="preserve"> podrían contener </w:t>
      </w:r>
      <w:r>
        <w:rPr>
          <w:rFonts w:ascii="Palatino Linotype" w:eastAsia="Palatino Linotype" w:hAnsi="Palatino Linotype" w:cs="Palatino Linotype"/>
          <w:b/>
          <w:bCs/>
        </w:rPr>
        <w:t>fotografías de Servidores Públicos</w:t>
      </w:r>
      <w:r>
        <w:rPr>
          <w:rFonts w:ascii="Palatino Linotype" w:eastAsia="Palatino Linotype" w:hAnsi="Palatino Linotype" w:cs="Palatino Linotype"/>
        </w:rPr>
        <w:t xml:space="preserve"> que ostentan cargos de mandos medios y superiores.</w:t>
      </w:r>
    </w:p>
    <w:p w14:paraId="5D1A621F" w14:textId="77777777" w:rsidR="00F4722E" w:rsidRDefault="00F4722E">
      <w:pPr>
        <w:spacing w:line="360" w:lineRule="auto"/>
        <w:ind w:right="1"/>
        <w:jc w:val="both"/>
        <w:rPr>
          <w:rFonts w:ascii="Palatino Linotype" w:eastAsia="Palatino Linotype" w:hAnsi="Palatino Linotype" w:cs="Palatino Linotype"/>
          <w:b/>
          <w:bCs/>
        </w:rPr>
      </w:pPr>
    </w:p>
    <w:p w14:paraId="58333798"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 xml:space="preserve">Al respecto, es de señalar que estas fotografías dan cuenta de las características físicas de los servidores públicos; por lo que, no debe perderse de vista que la imagen personal es la </w:t>
      </w:r>
      <w:r>
        <w:rPr>
          <w:rFonts w:ascii="Palatino Linotype" w:eastAsia="Palatino Linotype" w:hAnsi="Palatino Linotype" w:cs="Palatino Linotype"/>
        </w:rPr>
        <w:lastRenderedPageBreak/>
        <w:t>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FE8B77B" w14:textId="77777777" w:rsidR="00F4722E" w:rsidRDefault="00F4722E">
      <w:pPr>
        <w:spacing w:line="360" w:lineRule="auto"/>
        <w:ind w:right="1"/>
        <w:jc w:val="both"/>
        <w:rPr>
          <w:rFonts w:ascii="Palatino Linotype" w:eastAsia="Palatino Linotype" w:hAnsi="Palatino Linotype" w:cs="Palatino Linotype"/>
          <w:b/>
          <w:bCs/>
        </w:rPr>
      </w:pPr>
    </w:p>
    <w:p w14:paraId="5DD3CDC9"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18A8BA3" w14:textId="77777777" w:rsidR="00F4722E" w:rsidRDefault="00F4722E">
      <w:pPr>
        <w:spacing w:line="360" w:lineRule="auto"/>
        <w:ind w:right="1"/>
        <w:jc w:val="both"/>
        <w:rPr>
          <w:rFonts w:ascii="Palatino Linotype" w:eastAsia="Palatino Linotype" w:hAnsi="Palatino Linotype" w:cs="Palatino Linotype"/>
          <w:b/>
          <w:bCs/>
          <w:sz w:val="22"/>
          <w:szCs w:val="22"/>
        </w:rPr>
      </w:pPr>
    </w:p>
    <w:p w14:paraId="5B1BAA1B"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4F59A8FF" w14:textId="77777777" w:rsidR="00F4722E" w:rsidRDefault="00F4722E">
      <w:pPr>
        <w:spacing w:line="360" w:lineRule="auto"/>
        <w:ind w:right="1"/>
        <w:jc w:val="both"/>
        <w:rPr>
          <w:rFonts w:ascii="Palatino Linotype" w:eastAsia="Palatino Linotype" w:hAnsi="Palatino Linotype" w:cs="Palatino Linotype"/>
          <w:b/>
          <w:bCs/>
        </w:rPr>
      </w:pPr>
    </w:p>
    <w:p w14:paraId="3DB51AA6"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 xml:space="preserve">En este sentido, </w:t>
      </w:r>
      <w:r>
        <w:rPr>
          <w:rFonts w:ascii="Palatino Linotype" w:eastAsia="Palatino Linotype" w:hAnsi="Palatino Linotype" w:cs="Palatino Linotype"/>
          <w:b/>
          <w:bCs/>
        </w:rPr>
        <w:t>las fotografías de servidores públicos</w:t>
      </w:r>
      <w:r>
        <w:rPr>
          <w:rFonts w:ascii="Palatino Linotype" w:eastAsia="Palatino Linotype" w:hAnsi="Palatino Linotype" w:cs="Palatino Linotype"/>
        </w:rPr>
        <w:t xml:space="preserve"> sin importar el nivel o rango guardan la naturaleza de públicas (con excepción del personal operativo en materia de </w:t>
      </w:r>
      <w:r>
        <w:rPr>
          <w:rFonts w:ascii="Palatino Linotype" w:eastAsia="Palatino Linotype" w:hAnsi="Palatino Linotype" w:cs="Palatino Linotype"/>
        </w:rPr>
        <w:lastRenderedPageBreak/>
        <w:t xml:space="preserve">seguridad) y </w:t>
      </w:r>
      <w:r>
        <w:rPr>
          <w:rFonts w:ascii="Palatino Linotype" w:eastAsia="Palatino Linotype" w:hAnsi="Palatino Linotype" w:cs="Palatino Linotype"/>
          <w:b/>
          <w:bCs/>
        </w:rPr>
        <w:t>no procede su clasificación</w:t>
      </w:r>
      <w:r>
        <w:rPr>
          <w:rFonts w:ascii="Palatino Linotype" w:eastAsia="Palatino Linotype" w:hAnsi="Palatino Linotype" w:cs="Palatino Linotype"/>
        </w:rPr>
        <w:t>, en términos del artículo 143, fracción I, de la Ley de Transparencia y Acceso a la Información Pública del Estado de México y Municipios, por lo que en las versiones públicas que se ordenen, no podrá clasificarse esa información.</w:t>
      </w:r>
    </w:p>
    <w:p w14:paraId="67CC2E3D" w14:textId="77777777" w:rsidR="00F4722E" w:rsidRDefault="00F4722E">
      <w:pPr>
        <w:pBdr>
          <w:top w:val="nil"/>
          <w:left w:val="nil"/>
          <w:bottom w:val="nil"/>
          <w:right w:val="nil"/>
          <w:between w:val="nil"/>
        </w:pBdr>
        <w:ind w:left="720"/>
        <w:rPr>
          <w:rFonts w:ascii="Palatino Linotype" w:eastAsia="Palatino Linotype" w:hAnsi="Palatino Linotype" w:cs="Palatino Linotype"/>
          <w:color w:val="000000"/>
        </w:rPr>
      </w:pPr>
    </w:p>
    <w:p w14:paraId="1F16D57F"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 xml:space="preserve">En consecuencia, </w:t>
      </w:r>
      <w:r>
        <w:rPr>
          <w:rFonts w:ascii="Palatino Linotype" w:eastAsia="Palatino Linotype" w:hAnsi="Palatino Linotype" w:cs="Palatino Linotype"/>
          <w:b/>
          <w:bCs/>
        </w:rPr>
        <w:t>la fotografía de los servidores públicos, es de acceso público y no procede su clasificación como información confidencial</w:t>
      </w:r>
      <w:r>
        <w:rPr>
          <w:rFonts w:ascii="Palatino Linotype" w:eastAsia="Palatino Linotype" w:hAnsi="Palatino Linotype" w:cs="Palatino Linotype"/>
        </w:rPr>
        <w:t>, aún y cuando corresponde a un dato personal.</w:t>
      </w:r>
    </w:p>
    <w:p w14:paraId="4A091BDD" w14:textId="77777777" w:rsidR="00F4722E" w:rsidRDefault="00F4722E">
      <w:pPr>
        <w:ind w:right="1"/>
        <w:jc w:val="both"/>
        <w:rPr>
          <w:rFonts w:ascii="Palatino Linotype" w:eastAsia="Palatino Linotype" w:hAnsi="Palatino Linotype" w:cs="Palatino Linotype"/>
          <w:b/>
          <w:bCs/>
        </w:rPr>
      </w:pPr>
    </w:p>
    <w:p w14:paraId="5A7EC600" w14:textId="77777777" w:rsidR="00F4722E" w:rsidRDefault="003228AC">
      <w:pPr>
        <w:numPr>
          <w:ilvl w:val="0"/>
          <w:numId w:val="2"/>
        </w:numPr>
        <w:pBdr>
          <w:top w:val="nil"/>
          <w:left w:val="nil"/>
          <w:bottom w:val="nil"/>
          <w:right w:val="nil"/>
          <w:between w:val="nil"/>
        </w:pBd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Firma.</w:t>
      </w:r>
    </w:p>
    <w:p w14:paraId="4C7ECA3C" w14:textId="77777777" w:rsidR="00F4722E" w:rsidRDefault="00F4722E">
      <w:pPr>
        <w:rPr>
          <w:rFonts w:ascii="Palatino Linotype" w:eastAsia="Palatino Linotype" w:hAnsi="Palatino Linotype" w:cs="Palatino Linotype"/>
          <w:b/>
          <w:bCs/>
        </w:rPr>
      </w:pPr>
    </w:p>
    <w:p w14:paraId="372150A4"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 xml:space="preserve">Ahora bien, cabe precisar que, en el caso de servidores públicos en calidad de particular, es de señalar que la </w:t>
      </w:r>
      <w:r>
        <w:rPr>
          <w:rFonts w:ascii="Palatino Linotype" w:eastAsia="Palatino Linotype" w:hAnsi="Palatino Linotype" w:cs="Palatino Linotype"/>
          <w:b/>
          <w:bCs/>
        </w:rPr>
        <w:t xml:space="preserve">firma </w:t>
      </w:r>
      <w:r>
        <w:rPr>
          <w:rFonts w:ascii="Palatino Linotype" w:eastAsia="Palatino Linotype" w:hAnsi="Palatino Linotype" w:cs="Palatino Linotype"/>
        </w:rPr>
        <w:t>es un dato personal confidencial y únicamente será público dicho dato cuando sirva para la emisión de un acto de autoridad, en ejercicio de sus funciones.</w:t>
      </w:r>
    </w:p>
    <w:p w14:paraId="141F6C30" w14:textId="77777777" w:rsidR="00F4722E" w:rsidRDefault="00F4722E">
      <w:pPr>
        <w:pBdr>
          <w:top w:val="nil"/>
          <w:left w:val="nil"/>
          <w:bottom w:val="nil"/>
          <w:right w:val="nil"/>
          <w:between w:val="nil"/>
        </w:pBdr>
        <w:ind w:left="720"/>
        <w:rPr>
          <w:rFonts w:ascii="Palatino Linotype" w:eastAsia="Palatino Linotype" w:hAnsi="Palatino Linotype" w:cs="Palatino Linotype"/>
          <w:color w:val="000000"/>
        </w:rPr>
      </w:pPr>
    </w:p>
    <w:p w14:paraId="1486214A"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Lo anterior, es así, toda vez que la firma de servidores públicos, vinculada al ejercicio de la función pública es información de naturaleza pública, pues documenta y rinde cuentas sobre el debido ejercicio de sus atribuciones. No siendo así, cuando se estampa la firma en documentos que acreditan el grado de estudios.</w:t>
      </w:r>
    </w:p>
    <w:p w14:paraId="78B7E208" w14:textId="77777777" w:rsidR="00F4722E" w:rsidRDefault="00F4722E">
      <w:pPr>
        <w:spacing w:line="360" w:lineRule="auto"/>
        <w:ind w:right="1"/>
        <w:jc w:val="both"/>
        <w:rPr>
          <w:rFonts w:ascii="Palatino Linotype" w:eastAsia="Palatino Linotype" w:hAnsi="Palatino Linotype" w:cs="Palatino Linotype"/>
          <w:b/>
          <w:bCs/>
        </w:rPr>
      </w:pPr>
    </w:p>
    <w:p w14:paraId="4167380E"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La publicidad de dichos datos, se robustece, con el </w:t>
      </w:r>
      <w:r>
        <w:rPr>
          <w:rFonts w:ascii="Palatino Linotype" w:eastAsia="Palatino Linotype" w:hAnsi="Palatino Linotype" w:cs="Palatino Linotype"/>
          <w:color w:val="000000"/>
        </w:rPr>
        <w:t>Criterio orientador SO/002/2019</w:t>
      </w:r>
      <w:r>
        <w:rPr>
          <w:rFonts w:ascii="Palatino Linotype" w:eastAsia="Palatino Linotype" w:hAnsi="Palatino Linotype" w:cs="Palatino Linotype"/>
        </w:rPr>
        <w:t>, emitido por el Instituto Nacional de Transparencia, Acceso a la Información y Protección de Datos Personales, que establece lo siguiente:</w:t>
      </w:r>
    </w:p>
    <w:p w14:paraId="2FDE4156" w14:textId="77777777" w:rsidR="00F4722E" w:rsidRDefault="00F4722E">
      <w:pPr>
        <w:spacing w:line="360" w:lineRule="auto"/>
        <w:ind w:right="1"/>
        <w:jc w:val="both"/>
        <w:rPr>
          <w:rFonts w:ascii="Palatino Linotype" w:eastAsia="Palatino Linotype" w:hAnsi="Palatino Linotype" w:cs="Palatino Linotype"/>
        </w:rPr>
      </w:pPr>
    </w:p>
    <w:p w14:paraId="7C7D4852" w14:textId="77777777" w:rsidR="00F4722E" w:rsidRDefault="003228AC">
      <w:pPr>
        <w:ind w:left="567"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sz w:val="22"/>
          <w:szCs w:val="22"/>
        </w:rPr>
        <w:t>“Firma y rúbrica de servidores públicos.</w:t>
      </w:r>
      <w:r>
        <w:rPr>
          <w:rFonts w:ascii="Palatino Linotype" w:eastAsia="Palatino Linotype" w:hAnsi="Palatino Linotype" w:cs="Palatino Linotype"/>
          <w:i/>
          <w:iCs/>
          <w:sz w:val="22"/>
          <w:szCs w:val="22"/>
        </w:rPr>
        <w:t xml:space="preserve"> Si bien la firma y la rúbrica son datos personales confidenciales, cuando un servidor público emite un acto como autoridad, en </w:t>
      </w:r>
      <w:r>
        <w:rPr>
          <w:rFonts w:ascii="Palatino Linotype" w:eastAsia="Palatino Linotype" w:hAnsi="Palatino Linotype" w:cs="Palatino Linotype"/>
          <w:i/>
          <w:iCs/>
          <w:sz w:val="22"/>
          <w:szCs w:val="22"/>
        </w:rPr>
        <w:lastRenderedPageBreak/>
        <w:t>ejercicio de las funciones que tiene conferidas, la firma o rúbrica mediante la cual se valida dicho acto es pública.”</w:t>
      </w:r>
    </w:p>
    <w:p w14:paraId="6D4C67F3" w14:textId="77777777" w:rsidR="00F4722E" w:rsidRDefault="00F4722E">
      <w:pPr>
        <w:spacing w:line="360" w:lineRule="auto"/>
        <w:ind w:right="1"/>
        <w:jc w:val="both"/>
        <w:rPr>
          <w:rFonts w:ascii="Palatino Linotype" w:eastAsia="Palatino Linotype" w:hAnsi="Palatino Linotype" w:cs="Palatino Linotype"/>
          <w:b/>
          <w:bCs/>
          <w:sz w:val="22"/>
          <w:szCs w:val="22"/>
        </w:rPr>
      </w:pPr>
    </w:p>
    <w:p w14:paraId="273CC05A"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rPr>
        <w:t>Conforme a lo expuesto, el Sujeto Obligado deberá hacer la ponderación si la firma se estampa en ejercicio de funciones como servidor público o como particular, a fin de determinar la procedencia de la clasificación, en términos del artículo 143, fracción I de la Ley de Transparencia y Acceso a la Información Pública del Estado de México y Municipios.</w:t>
      </w:r>
    </w:p>
    <w:p w14:paraId="60AC05E6" w14:textId="77777777" w:rsidR="00F4722E" w:rsidRDefault="00F4722E">
      <w:pPr>
        <w:ind w:left="567" w:right="618"/>
        <w:rPr>
          <w:rFonts w:ascii="Palatino Linotype" w:eastAsia="Palatino Linotype" w:hAnsi="Palatino Linotype" w:cs="Palatino Linotype"/>
        </w:rPr>
      </w:pPr>
    </w:p>
    <w:p w14:paraId="426B342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si bien la cédula profesional electrónica es un documento de naturaleza pública, el mismo contiene datos personales que se ubican en la hipótesis prevista en la fracción I del artículo 143 de la Ley de Transparencia y Acceso a la Información Pública del Estado de México y Municipios, y procede su entrega en </w:t>
      </w:r>
      <w:r>
        <w:rPr>
          <w:rFonts w:ascii="Palatino Linotype" w:eastAsia="Palatino Linotype" w:hAnsi="Palatino Linotype" w:cs="Palatino Linotype"/>
          <w:b/>
          <w:bCs/>
          <w:i/>
          <w:iCs/>
        </w:rPr>
        <w:t>versión pública</w:t>
      </w:r>
      <w:r>
        <w:rPr>
          <w:rFonts w:ascii="Palatino Linotype" w:eastAsia="Palatino Linotype" w:hAnsi="Palatino Linotype" w:cs="Palatino Linotype"/>
        </w:rPr>
        <w:t xml:space="preserve">. </w:t>
      </w:r>
    </w:p>
    <w:p w14:paraId="25BC8FB7" w14:textId="77777777" w:rsidR="00F4722E" w:rsidRDefault="00F4722E">
      <w:pPr>
        <w:spacing w:line="360" w:lineRule="auto"/>
        <w:ind w:right="-858"/>
        <w:jc w:val="both"/>
        <w:rPr>
          <w:rFonts w:ascii="Palatino Linotype" w:eastAsia="Palatino Linotype" w:hAnsi="Palatino Linotype" w:cs="Palatino Linotype"/>
        </w:rPr>
      </w:pPr>
    </w:p>
    <w:p w14:paraId="4DE22743"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de la </w:t>
      </w:r>
      <w:r>
        <w:rPr>
          <w:rFonts w:ascii="Palatino Linotype" w:eastAsia="Palatino Linotype" w:hAnsi="Palatino Linotype" w:cs="Palatino Linotype"/>
          <w:b/>
          <w:bCs/>
        </w:rPr>
        <w:t>cédula profesional</w:t>
      </w:r>
      <w:r>
        <w:rPr>
          <w:rFonts w:ascii="Palatino Linotype" w:eastAsia="Palatino Linotype" w:hAnsi="Palatino Linotype" w:cs="Palatino Linotype"/>
        </w:rPr>
        <w:t xml:space="preserve"> </w:t>
      </w:r>
      <w:r>
        <w:rPr>
          <w:rFonts w:ascii="Palatino Linotype" w:eastAsia="Palatino Linotype" w:hAnsi="Palatino Linotype" w:cs="Palatino Linotype"/>
          <w:b/>
          <w:bCs/>
        </w:rPr>
        <w:t>electrónica</w:t>
      </w:r>
      <w:r>
        <w:rPr>
          <w:rFonts w:ascii="Palatino Linotype" w:eastAsia="Palatino Linotype" w:hAnsi="Palatino Linotype" w:cs="Palatino Linotype"/>
        </w:rPr>
        <w:t xml:space="preserve"> es necesario analizar la naturaleza de la información a efecto de determinar los datos que no deben ser suprimidos por ser de interés público.</w:t>
      </w:r>
    </w:p>
    <w:p w14:paraId="78090FA0" w14:textId="77777777" w:rsidR="00F4722E" w:rsidRDefault="00F4722E">
      <w:pPr>
        <w:spacing w:line="360" w:lineRule="auto"/>
        <w:ind w:right="-787"/>
        <w:jc w:val="both"/>
        <w:rPr>
          <w:rFonts w:ascii="Palatino Linotype" w:eastAsia="Palatino Linotype" w:hAnsi="Palatino Linotype" w:cs="Palatino Linotype"/>
        </w:rPr>
      </w:pPr>
    </w:p>
    <w:p w14:paraId="0EA9689C" w14:textId="77777777" w:rsidR="00F4722E" w:rsidRDefault="003228AC">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Número de cédula profesional.</w:t>
      </w:r>
    </w:p>
    <w:p w14:paraId="141EE95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en la liga </w:t>
      </w:r>
      <w:hyperlink r:id="rId13">
        <w:r>
          <w:rPr>
            <w:rFonts w:ascii="Palatino Linotype" w:eastAsia="Palatino Linotype" w:hAnsi="Palatino Linotype" w:cs="Palatino Linotype"/>
            <w:color w:val="0563C1"/>
            <w:u w:val="single"/>
          </w:rPr>
          <w:t>http://consultatucedula.mx/</w:t>
        </w:r>
      </w:hyperlink>
      <w:r>
        <w:rPr>
          <w:rFonts w:ascii="Palatino Linotype" w:eastAsia="Palatino Linotype" w:hAnsi="Palatino Linotype" w:cs="Palatino Linotype"/>
        </w:rPr>
        <w:t>).</w:t>
      </w:r>
    </w:p>
    <w:p w14:paraId="00EA58B8" w14:textId="77777777" w:rsidR="00F4722E" w:rsidRDefault="00F4722E">
      <w:pPr>
        <w:spacing w:line="360" w:lineRule="auto"/>
        <w:rPr>
          <w:rFonts w:ascii="Palatino Linotype" w:eastAsia="Palatino Linotype" w:hAnsi="Palatino Linotype" w:cs="Palatino Linotype"/>
        </w:rPr>
      </w:pPr>
    </w:p>
    <w:p w14:paraId="395A4178"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568E5C08" w14:textId="77777777" w:rsidR="00F4722E" w:rsidRDefault="00F4722E">
      <w:pPr>
        <w:spacing w:line="360" w:lineRule="auto"/>
        <w:jc w:val="both"/>
        <w:rPr>
          <w:rFonts w:ascii="Palatino Linotype" w:eastAsia="Palatino Linotype" w:hAnsi="Palatino Linotype" w:cs="Palatino Linotype"/>
        </w:rPr>
      </w:pPr>
    </w:p>
    <w:p w14:paraId="2E6D7021"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377377EF" w14:textId="77777777" w:rsidR="00F4722E" w:rsidRDefault="00F4722E">
      <w:pPr>
        <w:spacing w:line="360" w:lineRule="auto"/>
        <w:rPr>
          <w:rFonts w:ascii="Palatino Linotype" w:eastAsia="Palatino Linotype" w:hAnsi="Palatino Linotype" w:cs="Palatino Linotype"/>
        </w:rPr>
      </w:pPr>
    </w:p>
    <w:p w14:paraId="63CCCC69"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que dicho número forma parte del Registro Nacional de Profesionistas, y da cuenta de que algún profesionista, en el presente caso, tiene registrado su título, con efectos de patente; por lo que, se considera que </w:t>
      </w:r>
      <w:r>
        <w:rPr>
          <w:rFonts w:ascii="Palatino Linotype" w:eastAsia="Palatino Linotype" w:hAnsi="Palatino Linotype" w:cs="Palatino Linotype"/>
          <w:b/>
          <w:bCs/>
        </w:rPr>
        <w:t>el número de cédula profesional</w:t>
      </w:r>
      <w:r>
        <w:rPr>
          <w:rFonts w:ascii="Palatino Linotype" w:eastAsia="Palatino Linotype" w:hAnsi="Palatino Linotype" w:cs="Palatino Linotype"/>
        </w:rPr>
        <w:t xml:space="preserve">, al formar parte de un registro público, </w:t>
      </w:r>
      <w:r>
        <w:rPr>
          <w:rFonts w:ascii="Palatino Linotype" w:eastAsia="Palatino Linotype" w:hAnsi="Palatino Linotype" w:cs="Palatino Linotype"/>
          <w:b/>
          <w:bCs/>
        </w:rPr>
        <w:t>no actualiza, la causal de clasificación</w:t>
      </w:r>
      <w:r>
        <w:rPr>
          <w:rFonts w:ascii="Palatino Linotype" w:eastAsia="Palatino Linotype" w:hAnsi="Palatino Linotype" w:cs="Palatino Linotype"/>
        </w:rPr>
        <w:t xml:space="preserve"> prevista en el artículo 143, fracción I, de la Ley de Transparencia y Acceso a la Información Pública del Estado de México.</w:t>
      </w:r>
    </w:p>
    <w:p w14:paraId="42CAC803" w14:textId="77777777" w:rsidR="00F4722E" w:rsidRDefault="00F4722E">
      <w:pPr>
        <w:spacing w:line="360" w:lineRule="auto"/>
        <w:rPr>
          <w:rFonts w:ascii="Palatino Linotype" w:eastAsia="Palatino Linotype" w:hAnsi="Palatino Linotype" w:cs="Palatino Linotype"/>
        </w:rPr>
      </w:pPr>
    </w:p>
    <w:p w14:paraId="7867FC32" w14:textId="77777777" w:rsidR="00F4722E" w:rsidRDefault="003228AC">
      <w:pPr>
        <w:pBdr>
          <w:top w:val="nil"/>
          <w:left w:val="nil"/>
          <w:bottom w:val="nil"/>
          <w:right w:val="nil"/>
          <w:between w:val="nil"/>
        </w:pBdr>
        <w:spacing w:line="360" w:lineRule="auto"/>
        <w:ind w:lef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Código de barras, zona de lectura mecánica de cédula profesional y código bidimensional QR.</w:t>
      </w:r>
    </w:p>
    <w:p w14:paraId="4842F39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Acorde a información de la Secretaría de Educación Pública; con la finalidad de fortalecer las acciones en materia de registro, control y vigilancia del ejercicio profesional, se </w:t>
      </w:r>
      <w:r>
        <w:rPr>
          <w:rFonts w:ascii="Palatino Linotype" w:eastAsia="Palatino Linotype" w:hAnsi="Palatino Linotype" w:cs="Palatino Linotype"/>
        </w:rPr>
        <w:lastRenderedPageBreak/>
        <w:t>establece que el código de barras y bidimensional QR, constituyen elementos de seguridad, dado que con su lectura se puede acceder al contenido del documento (Cédula Profesional).</w:t>
      </w:r>
    </w:p>
    <w:p w14:paraId="4B87B136" w14:textId="77777777" w:rsidR="00F4722E" w:rsidRDefault="00F4722E">
      <w:pPr>
        <w:tabs>
          <w:tab w:val="left" w:pos="4962"/>
        </w:tabs>
        <w:spacing w:line="360" w:lineRule="auto"/>
        <w:jc w:val="both"/>
        <w:rPr>
          <w:rFonts w:ascii="Palatino Linotype" w:eastAsia="Palatino Linotype" w:hAnsi="Palatino Linotype" w:cs="Palatino Linotype"/>
        </w:rPr>
      </w:pPr>
    </w:p>
    <w:p w14:paraId="2FA637CA"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que, con dichos datos, únicamente se localiza, el número de cédula, el nombre completo del servidor público, profesión, año de expedición e institución, al dirigirte únicamente a la página </w:t>
      </w:r>
      <w:hyperlink r:id="rId14">
        <w:r>
          <w:rPr>
            <w:rFonts w:ascii="Palatino Linotype" w:eastAsia="Palatino Linotype" w:hAnsi="Palatino Linotype" w:cs="Palatino Linotype"/>
            <w:color w:val="0563C1"/>
            <w:u w:val="single"/>
          </w:rPr>
          <w:t>https://www.cedulaprofesional.sep.gob.mx/cedula/presidencia/indexAvanzada.action</w:t>
        </w:r>
      </w:hyperlink>
      <w:r>
        <w:rPr>
          <w:rFonts w:ascii="Palatino Linotype" w:eastAsia="Palatino Linotype" w:hAnsi="Palatino Linotype" w:cs="Palatino Linotype"/>
        </w:rPr>
        <w:t>.</w:t>
      </w:r>
    </w:p>
    <w:p w14:paraId="16B70BB0" w14:textId="77777777" w:rsidR="00F4722E" w:rsidRDefault="00F4722E">
      <w:pPr>
        <w:tabs>
          <w:tab w:val="left" w:pos="4962"/>
        </w:tabs>
        <w:spacing w:line="360" w:lineRule="auto"/>
        <w:jc w:val="both"/>
        <w:rPr>
          <w:rFonts w:ascii="Palatino Linotype" w:eastAsia="Palatino Linotype" w:hAnsi="Palatino Linotype" w:cs="Palatino Linotype"/>
        </w:rPr>
      </w:pPr>
    </w:p>
    <w:p w14:paraId="07482779"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tales circunstancias, al no revelar datos personales confidenciales del servidor público, se considera que </w:t>
      </w:r>
      <w:r>
        <w:rPr>
          <w:rFonts w:ascii="Palatino Linotype" w:eastAsia="Palatino Linotype" w:hAnsi="Palatino Linotype" w:cs="Palatino Linotype"/>
          <w:b/>
          <w:bCs/>
        </w:rPr>
        <w:t>el código de barras y el código bidimensional o QR</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no actualizan la causal de </w:t>
      </w:r>
      <w:r>
        <w:rPr>
          <w:rFonts w:ascii="Palatino Linotype" w:eastAsia="Palatino Linotype" w:hAnsi="Palatino Linotype" w:cs="Palatino Linotype"/>
        </w:rPr>
        <w:t>clasificación prevista en el artículo 143, fracción I, de la Ley de Transparencia y Acceso a la Información Pública del Estado de México y Municipios.</w:t>
      </w:r>
    </w:p>
    <w:p w14:paraId="761EF9D6" w14:textId="77777777" w:rsidR="00F4722E" w:rsidRDefault="00F4722E">
      <w:pPr>
        <w:tabs>
          <w:tab w:val="left" w:pos="4962"/>
        </w:tabs>
        <w:spacing w:line="360" w:lineRule="auto"/>
        <w:rPr>
          <w:rFonts w:ascii="Palatino Linotype" w:eastAsia="Palatino Linotype" w:hAnsi="Palatino Linotype" w:cs="Palatino Linotype"/>
        </w:rPr>
      </w:pPr>
    </w:p>
    <w:p w14:paraId="1D637F61" w14:textId="77777777" w:rsidR="00F4722E" w:rsidRDefault="00F4722E">
      <w:pPr>
        <w:tabs>
          <w:tab w:val="left" w:pos="4962"/>
        </w:tabs>
        <w:spacing w:line="360" w:lineRule="auto"/>
        <w:rPr>
          <w:rFonts w:ascii="Palatino Linotype" w:eastAsia="Palatino Linotype" w:hAnsi="Palatino Linotype" w:cs="Palatino Linotype"/>
        </w:rPr>
      </w:pPr>
    </w:p>
    <w:p w14:paraId="0D1A70CD" w14:textId="77777777" w:rsidR="00F4722E" w:rsidRDefault="00F4722E">
      <w:pPr>
        <w:tabs>
          <w:tab w:val="left" w:pos="4962"/>
        </w:tabs>
        <w:spacing w:line="360" w:lineRule="auto"/>
        <w:rPr>
          <w:rFonts w:ascii="Palatino Linotype" w:eastAsia="Palatino Linotype" w:hAnsi="Palatino Linotype" w:cs="Palatino Linotype"/>
        </w:rPr>
      </w:pPr>
    </w:p>
    <w:p w14:paraId="4A6623AA" w14:textId="77777777" w:rsidR="00F4722E" w:rsidRDefault="003228AC">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Cadena original de cédula.</w:t>
      </w:r>
    </w:p>
    <w:p w14:paraId="4B731DA1"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Al respecto, dicho dato se conforma de la fecha y lugar de emisión, la Clave Única de Registro de Población, el nombre del titular de la cédula, datos de la Institución Educativa y la profesión realizada.</w:t>
      </w:r>
    </w:p>
    <w:p w14:paraId="1A448068" w14:textId="77777777" w:rsidR="00F4722E" w:rsidRDefault="00F4722E">
      <w:pPr>
        <w:spacing w:line="360" w:lineRule="auto"/>
        <w:jc w:val="both"/>
        <w:rPr>
          <w:rFonts w:ascii="Palatino Linotype" w:eastAsia="Palatino Linotype" w:hAnsi="Palatino Linotype" w:cs="Palatino Linotype"/>
        </w:rPr>
      </w:pPr>
    </w:p>
    <w:p w14:paraId="50FEE43B"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dado que el dato en cuestión revela datos de naturaleza confidencial, a saber, la Clave Única de Registro de Población, se considera que este </w:t>
      </w:r>
      <w:r>
        <w:rPr>
          <w:rFonts w:ascii="Palatino Linotype" w:eastAsia="Palatino Linotype" w:hAnsi="Palatino Linotype" w:cs="Palatino Linotype"/>
          <w:b/>
          <w:bCs/>
        </w:rPr>
        <w:t>actualiza la causal de clasificación</w:t>
      </w:r>
      <w:r>
        <w:rPr>
          <w:rFonts w:ascii="Palatino Linotype" w:eastAsia="Palatino Linotype" w:hAnsi="Palatino Linotype" w:cs="Palatino Linotype"/>
        </w:rPr>
        <w:t xml:space="preserve"> prevista en el artículo 143, fracción I, de la Ley de la materia.</w:t>
      </w:r>
    </w:p>
    <w:p w14:paraId="5D868C17" w14:textId="77777777" w:rsidR="00F4722E" w:rsidRDefault="00F4722E">
      <w:pPr>
        <w:spacing w:line="360" w:lineRule="auto"/>
        <w:ind w:right="-787"/>
        <w:jc w:val="both"/>
        <w:rPr>
          <w:rFonts w:ascii="Palatino Linotype" w:eastAsia="Palatino Linotype" w:hAnsi="Palatino Linotype" w:cs="Palatino Linotype"/>
          <w:color w:val="000000"/>
        </w:rPr>
      </w:pPr>
    </w:p>
    <w:p w14:paraId="0DB93456"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i/>
          <w:iCs/>
        </w:rPr>
      </w:pPr>
      <w:r>
        <w:rPr>
          <w:rFonts w:ascii="Palatino Linotype" w:eastAsia="Palatino Linotype" w:hAnsi="Palatino Linotype" w:cs="Palatino Linotype"/>
        </w:rPr>
        <w:lastRenderedPageBreak/>
        <w:t>En virtud de lo anterior, analizadas las constancias que forman el expediente electrónico, resultan</w:t>
      </w:r>
      <w:r>
        <w:rPr>
          <w:rFonts w:ascii="Palatino Linotype" w:eastAsia="Palatino Linotype" w:hAnsi="Palatino Linotype" w:cs="Palatino Linotype"/>
          <w:b/>
          <w:bCs/>
        </w:rPr>
        <w:t xml:space="preserve"> FUNDADAS</w:t>
      </w:r>
      <w:r>
        <w:rPr>
          <w:rFonts w:ascii="Palatino Linotype" w:eastAsia="Palatino Linotype" w:hAnsi="Palatino Linotype" w:cs="Palatino Linotype"/>
        </w:rPr>
        <w:t xml:space="preserve"> las razones o motivos de inconformidad hechos valer por la parte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dentro de los Recursos de Revisión </w:t>
      </w:r>
      <w:r>
        <w:rPr>
          <w:rFonts w:ascii="Palatino Linotype" w:eastAsia="Palatino Linotype" w:hAnsi="Palatino Linotype" w:cs="Palatino Linotype"/>
          <w:b/>
          <w:bCs/>
          <w:color w:val="000000"/>
        </w:rPr>
        <w:t>02058/INFOEM/IP/RR/2026 y 02059/INFOEM/IP/RR/2026</w:t>
      </w:r>
      <w:r>
        <w:rPr>
          <w:rFonts w:ascii="Palatino Linotype" w:eastAsia="Palatino Linotype" w:hAnsi="Palatino Linotype" w:cs="Palatino Linotype"/>
          <w:b/>
          <w:bCs/>
        </w:rPr>
        <w:t>,</w:t>
      </w:r>
      <w:r>
        <w:rPr>
          <w:rFonts w:ascii="Palatino Linotype" w:eastAsia="Palatino Linotype" w:hAnsi="Palatino Linotype" w:cs="Palatino Linotype"/>
        </w:rPr>
        <w:t xml:space="preserve"> siendo procedente </w:t>
      </w:r>
      <w:r>
        <w:rPr>
          <w:rFonts w:ascii="Palatino Linotype" w:eastAsia="Palatino Linotype" w:hAnsi="Palatino Linotype" w:cs="Palatino Linotype"/>
          <w:b/>
          <w:bCs/>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y se ordena la entrega, previa búsqueda exhaustiva y razonable, de ser procedente en versión pública</w:t>
      </w:r>
      <w:r>
        <w:rPr>
          <w:rFonts w:ascii="Palatino Linotype" w:eastAsia="Palatino Linotype" w:hAnsi="Palatino Linotype" w:cs="Palatino Linotype"/>
          <w:b/>
          <w:bCs/>
        </w:rPr>
        <w:t xml:space="preserve">, De todo el personal de la administración pública municipal del 01 de enero de 2025 al 26 de enero de 2026: Plantilla de personal en la que se advierta: nombre, cargo, categoría, sueldo bruto, sueldo neto, área de adscripción y fecha de baja; Currículum vitae y Último comprobante de estudios; </w:t>
      </w:r>
      <w:r>
        <w:rPr>
          <w:rFonts w:ascii="Palatino Linotype" w:eastAsia="Palatino Linotype" w:hAnsi="Palatino Linotype" w:cs="Palatino Linotype"/>
        </w:rPr>
        <w:t xml:space="preserve">con el respectivo Acuerdo de Clasificación, de Conformidad con lo establecido en el </w:t>
      </w:r>
      <w:r>
        <w:rPr>
          <w:rFonts w:ascii="Palatino Linotype" w:eastAsia="Palatino Linotype" w:hAnsi="Palatino Linotype" w:cs="Palatino Linotype"/>
          <w:b/>
          <w:bCs/>
        </w:rPr>
        <w:t>Considerando QUINTO</w:t>
      </w:r>
      <w:r>
        <w:rPr>
          <w:rFonts w:ascii="Palatino Linotype" w:eastAsia="Palatino Linotype" w:hAnsi="Palatino Linotype" w:cs="Palatino Linotype"/>
        </w:rPr>
        <w:t xml:space="preserve"> de la presente Resolución.</w:t>
      </w:r>
    </w:p>
    <w:p w14:paraId="151982E3" w14:textId="77777777" w:rsidR="00F4722E" w:rsidRDefault="00F4722E">
      <w:pPr>
        <w:spacing w:line="360" w:lineRule="auto"/>
        <w:ind w:right="-787"/>
        <w:jc w:val="both"/>
        <w:rPr>
          <w:rFonts w:ascii="Palatino Linotype" w:eastAsia="Palatino Linotype" w:hAnsi="Palatino Linotype" w:cs="Palatino Linotype"/>
          <w:b/>
          <w:bCs/>
          <w:i/>
          <w:iCs/>
        </w:rPr>
      </w:pPr>
    </w:p>
    <w:p w14:paraId="0EBF086C"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rPr>
        <w:t xml:space="preserve">Para el caso de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luego de la búsqueda exhaustiva y razonable, no cuente para todos los servidores públicos con el comprobante de último grado de estudios, por no ser una obligación normativa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bastará que lo haga del conocimiento del RECURRENTE al momento de dar cumplimiento a la presente Resolución, en términos del artículo 19, párrafo segundo, de la Ley de Transparencia y Acceso a la Información Pública del Estado de México y Municipios.</w:t>
      </w:r>
    </w:p>
    <w:p w14:paraId="51B2D56D" w14:textId="77777777" w:rsidR="00F4722E" w:rsidRDefault="00F4722E">
      <w:pPr>
        <w:spacing w:line="360" w:lineRule="auto"/>
        <w:ind w:right="-787"/>
        <w:jc w:val="both"/>
        <w:rPr>
          <w:rFonts w:ascii="Palatino Linotype" w:eastAsia="Palatino Linotype" w:hAnsi="Palatino Linotype" w:cs="Palatino Linotype"/>
        </w:rPr>
      </w:pPr>
    </w:p>
    <w:p w14:paraId="54B2874B" w14:textId="77777777" w:rsidR="00F4722E" w:rsidRDefault="003228AC">
      <w:pPr>
        <w:keepNext/>
        <w:keepLines/>
        <w:spacing w:line="36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QUINTO. De la versión pública.</w:t>
      </w:r>
    </w:p>
    <w:p w14:paraId="5FFD3A23" w14:textId="77777777" w:rsidR="00F4722E" w:rsidRDefault="003228AC">
      <w:pPr>
        <w:keepNext/>
        <w:keepLines/>
        <w:numPr>
          <w:ilvl w:val="0"/>
          <w:numId w:val="5"/>
        </w:numPr>
        <w:tabs>
          <w:tab w:val="left" w:pos="284"/>
        </w:tabs>
        <w:spacing w:line="36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Nociones generales. </w:t>
      </w:r>
    </w:p>
    <w:p w14:paraId="10AC2E2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Debido a la información solicitada por 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obran datos personales susceptibles de </w:t>
      </w:r>
      <w:r>
        <w:rPr>
          <w:rFonts w:ascii="Palatino Linotype" w:eastAsia="Palatino Linotype" w:hAnsi="Palatino Linotype" w:cs="Palatino Linotype"/>
          <w:b/>
          <w:bCs/>
        </w:rPr>
        <w:t>protegerse</w:t>
      </w:r>
      <w:r>
        <w:rPr>
          <w:rFonts w:ascii="Palatino Linotype" w:eastAsia="Palatino Linotype" w:hAnsi="Palatino Linotype" w:cs="Palatino Linotype"/>
        </w:rPr>
        <w:t xml:space="preserve">, así como información susceptible de clasificarse como </w:t>
      </w:r>
      <w:r>
        <w:rPr>
          <w:rFonts w:ascii="Palatino Linotype" w:eastAsia="Palatino Linotype" w:hAnsi="Palatino Linotype" w:cs="Palatino Linotype"/>
        </w:rPr>
        <w:lastRenderedPageBreak/>
        <w:t xml:space="preserve">confidencial, por lo que,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deberá de hacer la adecuada versión pública, protegiendo los datos que no son susceptibles de ser proporcionados. </w:t>
      </w:r>
    </w:p>
    <w:p w14:paraId="3873550D" w14:textId="77777777" w:rsidR="00F4722E" w:rsidRDefault="00F4722E">
      <w:pPr>
        <w:tabs>
          <w:tab w:val="left" w:pos="0"/>
          <w:tab w:val="left" w:pos="284"/>
        </w:tabs>
        <w:spacing w:line="360" w:lineRule="auto"/>
        <w:ind w:right="49"/>
        <w:jc w:val="both"/>
        <w:rPr>
          <w:rFonts w:ascii="Palatino Linotype" w:eastAsia="Palatino Linotype" w:hAnsi="Palatino Linotype" w:cs="Palatino Linotype"/>
          <w:highlight w:val="yellow"/>
        </w:rPr>
      </w:pPr>
    </w:p>
    <w:p w14:paraId="3B92A71E"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w:t>
      </w:r>
      <w:r>
        <w:rPr>
          <w:rFonts w:ascii="Palatino Linotype" w:eastAsia="Palatino Linotype" w:hAnsi="Palatino Linotype" w:cs="Palatino Linotype"/>
        </w:rPr>
        <w:t>pasa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desapercibido</w:t>
      </w:r>
      <w:r>
        <w:rPr>
          <w:rFonts w:ascii="Palatino Linotype" w:eastAsia="Palatino Linotype" w:hAnsi="Palatino Linotype" w:cs="Palatino Linotype"/>
          <w:color w:val="000000"/>
        </w:rPr>
        <w:t xml:space="preserve"> para este Órgano Garante que los sujetos obligados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4220A1C" w14:textId="77777777" w:rsidR="00F4722E" w:rsidRDefault="00F4722E">
      <w:pPr>
        <w:tabs>
          <w:tab w:val="left" w:pos="284"/>
        </w:tabs>
        <w:spacing w:line="360" w:lineRule="auto"/>
        <w:ind w:right="49"/>
        <w:jc w:val="both"/>
        <w:rPr>
          <w:rFonts w:ascii="Palatino Linotype" w:eastAsia="Palatino Linotype" w:hAnsi="Palatino Linotype" w:cs="Palatino Linotype"/>
          <w:color w:val="000000"/>
        </w:rPr>
      </w:pPr>
    </w:p>
    <w:tbl>
      <w:tblPr>
        <w:tblStyle w:val="a9"/>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F4722E" w14:paraId="2143C2E9" w14:textId="77777777">
        <w:tc>
          <w:tcPr>
            <w:tcW w:w="2689" w:type="dxa"/>
          </w:tcPr>
          <w:p w14:paraId="28EA9057" w14:textId="77777777" w:rsidR="00F4722E" w:rsidRDefault="003228AC">
            <w:pPr>
              <w:tabs>
                <w:tab w:val="left" w:pos="284"/>
              </w:tabs>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 Requisitos previos.</w:t>
            </w:r>
          </w:p>
        </w:tc>
        <w:tc>
          <w:tcPr>
            <w:tcW w:w="6520" w:type="dxa"/>
          </w:tcPr>
          <w:p w14:paraId="49B02DF9" w14:textId="77777777" w:rsidR="00F4722E" w:rsidRDefault="003228AC">
            <w:pPr>
              <w:tabs>
                <w:tab w:val="left" w:pos="284"/>
              </w:tabs>
              <w:spacing w:line="360" w:lineRule="auto"/>
              <w:ind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06E09788" w14:textId="77777777" w:rsidR="00F4722E" w:rsidRDefault="003228AC">
            <w:pPr>
              <w:tabs>
                <w:tab w:val="left" w:pos="284"/>
              </w:tabs>
              <w:spacing w:line="360" w:lineRule="auto"/>
              <w:ind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Al hacerlo tienen que precisar de qué información se trata, señalando el supuesto de clasificación (confidencialidad o reserva).</w:t>
            </w:r>
          </w:p>
          <w:p w14:paraId="7121E95C" w14:textId="77777777" w:rsidR="00F4722E" w:rsidRDefault="003228AC">
            <w:pPr>
              <w:tabs>
                <w:tab w:val="left" w:pos="284"/>
              </w:tabs>
              <w:spacing w:line="360" w:lineRule="auto"/>
              <w:ind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Además, se debe señalar el procedimiento, de los tres que establecen los artículos 132 y 106 de la Ley Estatal y General, respectivamente.</w:t>
            </w:r>
          </w:p>
          <w:p w14:paraId="3D026E06" w14:textId="77777777" w:rsidR="00F4722E" w:rsidRDefault="003228AC">
            <w:pPr>
              <w:tabs>
                <w:tab w:val="left" w:pos="284"/>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b/>
                <w:bCs/>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b/>
                <w:bCs/>
                <w:color w:val="000000"/>
                <w:sz w:val="22"/>
                <w:szCs w:val="22"/>
              </w:rPr>
              <w:lastRenderedPageBreak/>
              <w:t>individualizar su análisis y tampoco se puede hacer un acuerdo por cada dato que se vaya a clasificar dentro de un documento con diez datos, por ejemplo, susceptibles de ser clasificados.</w:t>
            </w:r>
          </w:p>
        </w:tc>
      </w:tr>
      <w:tr w:rsidR="00F4722E" w14:paraId="03D2178C" w14:textId="77777777">
        <w:tc>
          <w:tcPr>
            <w:tcW w:w="2689" w:type="dxa"/>
          </w:tcPr>
          <w:p w14:paraId="3F99193F" w14:textId="77777777" w:rsidR="00F4722E" w:rsidRDefault="003228AC">
            <w:pPr>
              <w:tabs>
                <w:tab w:val="left" w:pos="284"/>
              </w:tabs>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b) Supuestos de clasificación.</w:t>
            </w:r>
          </w:p>
        </w:tc>
        <w:tc>
          <w:tcPr>
            <w:tcW w:w="6520" w:type="dxa"/>
          </w:tcPr>
          <w:p w14:paraId="6F6A4CFE"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5C189492"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6089F3F" w14:textId="77777777" w:rsidR="00F4722E" w:rsidRDefault="003228AC">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4722E" w14:paraId="43A77EF2" w14:textId="77777777">
        <w:tc>
          <w:tcPr>
            <w:tcW w:w="2689" w:type="dxa"/>
          </w:tcPr>
          <w:p w14:paraId="2DDDF94D" w14:textId="77777777" w:rsidR="00F4722E" w:rsidRDefault="003228AC">
            <w:pPr>
              <w:tabs>
                <w:tab w:val="left" w:pos="284"/>
              </w:tabs>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 Formalidades para emitir el acuerdo de clasificación.</w:t>
            </w:r>
          </w:p>
        </w:tc>
        <w:tc>
          <w:tcPr>
            <w:tcW w:w="6520" w:type="dxa"/>
          </w:tcPr>
          <w:p w14:paraId="37B1D597"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3C5BDACC"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Es necesario que </w:t>
            </w:r>
            <w:r>
              <w:rPr>
                <w:rFonts w:ascii="Palatino Linotype" w:eastAsia="Palatino Linotype" w:hAnsi="Palatino Linotype" w:cs="Palatino Linotype"/>
                <w:b/>
                <w:bCs/>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2AE58EE4" w14:textId="77777777" w:rsidR="00F4722E" w:rsidRDefault="003228AC">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4722E" w14:paraId="292510A5" w14:textId="77777777">
        <w:tc>
          <w:tcPr>
            <w:tcW w:w="2689" w:type="dxa"/>
          </w:tcPr>
          <w:p w14:paraId="0BBDD3A6" w14:textId="77777777" w:rsidR="00F4722E" w:rsidRDefault="00F4722E">
            <w:pPr>
              <w:tabs>
                <w:tab w:val="left" w:pos="284"/>
              </w:tabs>
              <w:spacing w:line="360" w:lineRule="auto"/>
              <w:rPr>
                <w:rFonts w:ascii="Palatino Linotype" w:eastAsia="Palatino Linotype" w:hAnsi="Palatino Linotype" w:cs="Palatino Linotype"/>
                <w:b/>
                <w:bCs/>
                <w:sz w:val="22"/>
                <w:szCs w:val="22"/>
              </w:rPr>
            </w:pPr>
          </w:p>
          <w:p w14:paraId="0C6D3098" w14:textId="77777777" w:rsidR="00F4722E" w:rsidRDefault="003228AC">
            <w:pPr>
              <w:tabs>
                <w:tab w:val="left" w:pos="284"/>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 xml:space="preserve">d) Requisitos de fondo del acuerdo de clasificación. </w:t>
            </w:r>
          </w:p>
        </w:tc>
        <w:tc>
          <w:tcPr>
            <w:tcW w:w="6520" w:type="dxa"/>
          </w:tcPr>
          <w:p w14:paraId="53EDEDEA"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14:paraId="69CD1AC6"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desprende que para una correcta </w:t>
            </w:r>
            <w:r>
              <w:rPr>
                <w:rFonts w:ascii="Palatino Linotype" w:eastAsia="Palatino Linotype" w:hAnsi="Palatino Linotype" w:cs="Palatino Linotype"/>
                <w:b/>
                <w:bCs/>
                <w:color w:val="000000"/>
                <w:sz w:val="22"/>
                <w:szCs w:val="22"/>
              </w:rPr>
              <w:t>clasificación total o parcial</w:t>
            </w:r>
            <w:r>
              <w:rPr>
                <w:rFonts w:ascii="Palatino Linotype" w:eastAsia="Palatino Linotype" w:hAnsi="Palatino Linotype" w:cs="Palatino Linotype"/>
                <w:color w:val="000000"/>
                <w:sz w:val="22"/>
                <w:szCs w:val="22"/>
              </w:rPr>
              <w:t xml:space="preserve">, esto es determinar los datos que se suprimen en las versiones públicas, es necesario fundar y motivar, de manera correcta, la clasificación; considerando que todo acto que la autoridad pronuncie en el ejercicio de sus atribuciones, debe </w:t>
            </w:r>
            <w:r>
              <w:rPr>
                <w:rFonts w:ascii="Palatino Linotype" w:eastAsia="Palatino Linotype" w:hAnsi="Palatino Linotype" w:cs="Palatino Linotype"/>
                <w:color w:val="000000"/>
                <w:sz w:val="22"/>
                <w:szCs w:val="22"/>
              </w:rPr>
              <w:lastRenderedPageBreak/>
              <w:t>expresar los fundamentos legales que le dieron origen y las razones por las que se deben aplicar al caso concreto.</w:t>
            </w:r>
          </w:p>
          <w:p w14:paraId="7C8905ED"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FB559CC"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5B42B4F5"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bCs/>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4722E" w14:paraId="47643743" w14:textId="77777777">
        <w:tc>
          <w:tcPr>
            <w:tcW w:w="2689" w:type="dxa"/>
          </w:tcPr>
          <w:p w14:paraId="0DFC442A" w14:textId="77777777" w:rsidR="00F4722E" w:rsidRDefault="003228AC">
            <w:pPr>
              <w:tabs>
                <w:tab w:val="left" w:pos="284"/>
              </w:tabs>
              <w:spacing w:line="360" w:lineRule="auto"/>
              <w:ind w:right="4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 xml:space="preserve">e) Condiciones especiales de la clasificación de la información como confidencial. </w:t>
            </w:r>
          </w:p>
        </w:tc>
        <w:tc>
          <w:tcPr>
            <w:tcW w:w="6520" w:type="dxa"/>
          </w:tcPr>
          <w:p w14:paraId="21CFB7E8"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14:paraId="38CEFF0C" w14:textId="77777777" w:rsidR="00F4722E" w:rsidRDefault="003228AC">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81B38F0" w14:textId="77777777" w:rsidR="00F4722E" w:rsidRDefault="003228AC">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AA8EAB7" w14:textId="77777777" w:rsidR="00F4722E" w:rsidRDefault="00F4722E">
      <w:pPr>
        <w:tabs>
          <w:tab w:val="left" w:pos="284"/>
        </w:tabs>
        <w:spacing w:line="360" w:lineRule="auto"/>
        <w:rPr>
          <w:rFonts w:ascii="Palatino Linotype" w:eastAsia="Palatino Linotype" w:hAnsi="Palatino Linotype" w:cs="Palatino Linotype"/>
          <w:color w:val="000000"/>
        </w:rPr>
      </w:pPr>
    </w:p>
    <w:p w14:paraId="6D41657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debe de puntualizar </w:t>
      </w:r>
      <w:r>
        <w:rPr>
          <w:rFonts w:ascii="Palatino Linotype" w:eastAsia="Palatino Linotype" w:hAnsi="Palatino Linotype" w:cs="Palatino Linotype"/>
          <w:color w:val="000000"/>
        </w:rPr>
        <w:t>que</w:t>
      </w:r>
      <w:r>
        <w:rPr>
          <w:rFonts w:ascii="Palatino Linotype" w:eastAsia="Palatino Linotype" w:hAnsi="Palatino Linotype" w:cs="Palatino Linotype"/>
        </w:rPr>
        <w:t xml:space="preserve"> de la información que se ordena pueden obrar datos personales de los servidores públicos o empleados,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y la seguridad de dichas personas.</w:t>
      </w:r>
    </w:p>
    <w:p w14:paraId="00DE7128" w14:textId="77777777" w:rsidR="00F4722E" w:rsidRDefault="00F4722E">
      <w:pPr>
        <w:tabs>
          <w:tab w:val="left" w:pos="284"/>
        </w:tabs>
        <w:spacing w:line="360" w:lineRule="auto"/>
        <w:jc w:val="both"/>
        <w:rPr>
          <w:rFonts w:ascii="Palatino Linotype" w:eastAsia="Palatino Linotype" w:hAnsi="Palatino Linotype" w:cs="Palatino Linotype"/>
        </w:rPr>
      </w:pPr>
    </w:p>
    <w:p w14:paraId="70A7C6CC"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cuanto hace al </w:t>
      </w:r>
      <w:r>
        <w:rPr>
          <w:rFonts w:ascii="Palatino Linotype" w:eastAsia="Palatino Linotype" w:hAnsi="Palatino Linotype" w:cs="Palatino Linotype"/>
          <w:b/>
          <w:bCs/>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F8273F2" w14:textId="77777777" w:rsidR="00F4722E" w:rsidRDefault="00F4722E">
      <w:pPr>
        <w:tabs>
          <w:tab w:val="left" w:pos="284"/>
        </w:tabs>
        <w:spacing w:line="360" w:lineRule="auto"/>
        <w:jc w:val="both"/>
        <w:rPr>
          <w:rFonts w:ascii="Palatino Linotype" w:eastAsia="Palatino Linotype" w:hAnsi="Palatino Linotype" w:cs="Palatino Linotype"/>
        </w:rPr>
      </w:pPr>
    </w:p>
    <w:p w14:paraId="7AA70F9C"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60EC7E2" w14:textId="77777777" w:rsidR="00F4722E" w:rsidRDefault="00F4722E">
      <w:pPr>
        <w:tabs>
          <w:tab w:val="left" w:pos="284"/>
        </w:tabs>
        <w:spacing w:line="360" w:lineRule="auto"/>
        <w:jc w:val="both"/>
        <w:rPr>
          <w:rFonts w:ascii="Palatino Linotype" w:eastAsia="Palatino Linotype" w:hAnsi="Palatino Linotype" w:cs="Palatino Linotype"/>
        </w:rPr>
      </w:pPr>
    </w:p>
    <w:p w14:paraId="30171ED1"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entonces Instituto Federal de Acceso a la Información Pública y Protección de Datos Personales (IFAI) a través del Criterio orientador 19/17, el cual es del tenor literal siguiente:</w:t>
      </w:r>
    </w:p>
    <w:p w14:paraId="0205F931" w14:textId="77777777" w:rsidR="00F4722E" w:rsidRDefault="00F4722E">
      <w:pPr>
        <w:pBdr>
          <w:top w:val="nil"/>
          <w:left w:val="nil"/>
          <w:bottom w:val="nil"/>
          <w:right w:val="nil"/>
          <w:between w:val="nil"/>
        </w:pBdr>
        <w:spacing w:line="360" w:lineRule="auto"/>
        <w:jc w:val="both"/>
        <w:rPr>
          <w:rFonts w:ascii="Palatino Linotype" w:eastAsia="Palatino Linotype" w:hAnsi="Palatino Linotype" w:cs="Palatino Linotype"/>
        </w:rPr>
      </w:pPr>
    </w:p>
    <w:p w14:paraId="3A35884B" w14:textId="77777777" w:rsidR="00F4722E" w:rsidRDefault="003228AC">
      <w:pPr>
        <w:ind w:left="1134" w:right="-7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“Registro Federal de Contribuyentes (RFC) de personas físicas</w:t>
      </w:r>
      <w:r>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32BA87A1" w14:textId="77777777" w:rsidR="00F4722E" w:rsidRDefault="00F4722E">
      <w:pPr>
        <w:ind w:right="1106"/>
        <w:jc w:val="both"/>
        <w:rPr>
          <w:rFonts w:ascii="Palatino Linotype" w:eastAsia="Palatino Linotype" w:hAnsi="Palatino Linotype" w:cs="Palatino Linotype"/>
          <w:i/>
          <w:iCs/>
          <w:sz w:val="22"/>
          <w:szCs w:val="22"/>
        </w:rPr>
      </w:pPr>
    </w:p>
    <w:p w14:paraId="38F208ED" w14:textId="77777777" w:rsidR="00F4722E" w:rsidRDefault="00F4722E">
      <w:pPr>
        <w:ind w:left="567" w:right="900"/>
        <w:jc w:val="both"/>
        <w:rPr>
          <w:rFonts w:ascii="Palatino Linotype" w:eastAsia="Palatino Linotype" w:hAnsi="Palatino Linotype" w:cs="Palatino Linotype"/>
          <w:i/>
          <w:iCs/>
          <w:sz w:val="22"/>
          <w:szCs w:val="22"/>
        </w:rPr>
      </w:pPr>
    </w:p>
    <w:p w14:paraId="384D32FB"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el </w:t>
      </w:r>
      <w:r>
        <w:rPr>
          <w:rFonts w:ascii="Palatino Linotype" w:eastAsia="Palatino Linotype" w:hAnsi="Palatino Linotype" w:cs="Palatino Linotype"/>
          <w:b/>
          <w:bCs/>
        </w:rPr>
        <w:t>Registro Federal de Contribuyentes, RFC</w:t>
      </w:r>
      <w:r>
        <w:rPr>
          <w:rFonts w:ascii="Palatino Linotype" w:eastAsia="Palatino Linotype" w:hAnsi="Palatino Linotype" w:cs="Palatino Linotype"/>
        </w:rPr>
        <w:t xml:space="preserve">,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w:t>
      </w:r>
      <w:r>
        <w:rPr>
          <w:rFonts w:ascii="Palatino Linotype" w:eastAsia="Palatino Linotype" w:hAnsi="Palatino Linotype" w:cs="Palatino Linotype"/>
        </w:rPr>
        <w:lastRenderedPageBreak/>
        <w:t>de Protección de Datos Personales en Posesión de los Sujetos Obligados del Estado de México y Municipios.</w:t>
      </w:r>
    </w:p>
    <w:p w14:paraId="04A99A95" w14:textId="77777777" w:rsidR="00F4722E" w:rsidRDefault="00F4722E">
      <w:pPr>
        <w:tabs>
          <w:tab w:val="left" w:pos="284"/>
        </w:tabs>
        <w:spacing w:line="360" w:lineRule="auto"/>
        <w:jc w:val="both"/>
        <w:rPr>
          <w:rFonts w:ascii="Palatino Linotype" w:eastAsia="Palatino Linotype" w:hAnsi="Palatino Linotype" w:cs="Palatino Linotype"/>
        </w:rPr>
      </w:pPr>
    </w:p>
    <w:p w14:paraId="799BFFF8"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bCs/>
        </w:rPr>
        <w:t>Clave Única de Registro de Población (CURP),</w:t>
      </w:r>
      <w:r>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0B7D5FC" w14:textId="77777777" w:rsidR="00F4722E" w:rsidRDefault="00F4722E">
      <w:pPr>
        <w:tabs>
          <w:tab w:val="left" w:pos="284"/>
        </w:tabs>
        <w:spacing w:line="360" w:lineRule="auto"/>
        <w:jc w:val="both"/>
        <w:rPr>
          <w:rFonts w:ascii="Palatino Linotype" w:eastAsia="Palatino Linotype" w:hAnsi="Palatino Linotype" w:cs="Palatino Linotype"/>
        </w:rPr>
      </w:pPr>
    </w:p>
    <w:p w14:paraId="57991F5A"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orientador 18/17, el cual refiere: </w:t>
      </w:r>
    </w:p>
    <w:p w14:paraId="2854B4CF" w14:textId="77777777" w:rsidR="00F4722E" w:rsidRDefault="003228AC">
      <w:pPr>
        <w:ind w:left="1134" w:right="-7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“Clave Única de Registro de Población (CURP). </w:t>
      </w:r>
      <w:r>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4A93F5E" w14:textId="77777777" w:rsidR="00F4722E" w:rsidRDefault="00F4722E">
      <w:pPr>
        <w:ind w:right="333"/>
        <w:jc w:val="both"/>
        <w:rPr>
          <w:rFonts w:ascii="Palatino Linotype" w:eastAsia="Palatino Linotype" w:hAnsi="Palatino Linotype" w:cs="Palatino Linotype"/>
          <w:i/>
          <w:iCs/>
        </w:rPr>
      </w:pPr>
    </w:p>
    <w:p w14:paraId="7BF0CEA3"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bCs/>
        </w:rPr>
        <w:t>Clave de cualquier tipo de seguridad social (ISSEMyM, u otros</w:t>
      </w:r>
      <w:r>
        <w:rPr>
          <w:rFonts w:ascii="Palatino Linotype" w:eastAsia="Palatino Linotype" w:hAnsi="Palatino Linotype" w:cs="Palatino Linotype"/>
        </w:rPr>
        <w:t xml:space="preserve">),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Pr>
          <w:rFonts w:ascii="Palatino Linotype" w:eastAsia="Palatino Linotype" w:hAnsi="Palatino Linotype" w:cs="Palatino Linotype"/>
        </w:rPr>
        <w:lastRenderedPageBreak/>
        <w:t>4, fracción XI de la Ley de Protección de Datos Personales en Posesión de Sujetos Obligados del Estado de México y Municipios.</w:t>
      </w:r>
    </w:p>
    <w:p w14:paraId="60344D15" w14:textId="77777777" w:rsidR="00F4722E" w:rsidRDefault="00F4722E">
      <w:pPr>
        <w:tabs>
          <w:tab w:val="left" w:pos="284"/>
        </w:tabs>
        <w:spacing w:line="360" w:lineRule="auto"/>
        <w:jc w:val="both"/>
        <w:rPr>
          <w:rFonts w:ascii="Palatino Linotype" w:eastAsia="Palatino Linotype" w:hAnsi="Palatino Linotype" w:cs="Palatino Linotype"/>
        </w:rPr>
      </w:pPr>
    </w:p>
    <w:p w14:paraId="517E00DC"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bCs/>
        </w:rPr>
        <w:t>préstamos o descuentos de carácter personal</w:t>
      </w:r>
      <w:r>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69F3D6C7" w14:textId="77777777" w:rsidR="00F4722E" w:rsidRDefault="00F4722E">
      <w:pPr>
        <w:tabs>
          <w:tab w:val="left" w:pos="284"/>
        </w:tabs>
        <w:spacing w:line="360" w:lineRule="auto"/>
        <w:jc w:val="both"/>
        <w:rPr>
          <w:rFonts w:ascii="Palatino Linotype" w:eastAsia="Palatino Linotype" w:hAnsi="Palatino Linotype" w:cs="Palatino Linotype"/>
        </w:rPr>
      </w:pPr>
    </w:p>
    <w:p w14:paraId="4A838ED9"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340BECA8" w14:textId="77777777" w:rsidR="00F4722E" w:rsidRDefault="00F4722E">
      <w:pPr>
        <w:tabs>
          <w:tab w:val="left" w:pos="284"/>
        </w:tabs>
        <w:spacing w:line="360" w:lineRule="auto"/>
        <w:jc w:val="both"/>
        <w:rPr>
          <w:rFonts w:ascii="Palatino Linotype" w:eastAsia="Palatino Linotype" w:hAnsi="Palatino Linotype" w:cs="Palatino Linotype"/>
        </w:rPr>
      </w:pPr>
    </w:p>
    <w:p w14:paraId="4882A9FE"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P. LX/2000 y 2a. XLIII/2008 emitidas por el Peno y la Segunda Sala de la Suprema Corte de Justicia de la Nación, respectivamente, que son del tenor literal siguiente:</w:t>
      </w:r>
    </w:p>
    <w:p w14:paraId="57C0619E" w14:textId="77777777" w:rsidR="00F4722E" w:rsidRDefault="00F4722E">
      <w:pPr>
        <w:pBdr>
          <w:top w:val="nil"/>
          <w:left w:val="nil"/>
          <w:bottom w:val="nil"/>
          <w:right w:val="nil"/>
          <w:between w:val="nil"/>
        </w:pBdr>
        <w:spacing w:line="360" w:lineRule="auto"/>
        <w:ind w:right="-858"/>
        <w:jc w:val="both"/>
        <w:rPr>
          <w:rFonts w:ascii="Palatino Linotype" w:eastAsia="Palatino Linotype" w:hAnsi="Palatino Linotype" w:cs="Palatino Linotype"/>
        </w:rPr>
      </w:pPr>
    </w:p>
    <w:p w14:paraId="0A6DDD44" w14:textId="77777777" w:rsidR="00F4722E" w:rsidRDefault="003228AC">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iCs/>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w:t>
      </w:r>
      <w:r>
        <w:rPr>
          <w:rFonts w:ascii="Palatino Linotype" w:eastAsia="Palatino Linotype" w:hAnsi="Palatino Linotype" w:cs="Palatino Linotype"/>
          <w:i/>
          <w:iCs/>
          <w:sz w:val="22"/>
          <w:szCs w:val="22"/>
        </w:rPr>
        <w:lastRenderedPageBreak/>
        <w:t xml:space="preserve">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bCs/>
          <w:i/>
          <w:iCs/>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iCs/>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bCs/>
          <w:i/>
          <w:iCs/>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iCs/>
          <w:sz w:val="22"/>
          <w:szCs w:val="22"/>
        </w:rPr>
        <w:t>.”</w:t>
      </w:r>
    </w:p>
    <w:p w14:paraId="33CE3EA3" w14:textId="77777777" w:rsidR="00F4722E" w:rsidRDefault="00F4722E">
      <w:pPr>
        <w:ind w:left="567" w:right="-858"/>
        <w:jc w:val="both"/>
        <w:rPr>
          <w:rFonts w:ascii="Palatino Linotype" w:eastAsia="Palatino Linotype" w:hAnsi="Palatino Linotype" w:cs="Palatino Linotype"/>
          <w:i/>
          <w:iCs/>
          <w:sz w:val="22"/>
          <w:szCs w:val="22"/>
        </w:rPr>
      </w:pPr>
    </w:p>
    <w:p w14:paraId="0A45D141" w14:textId="77777777" w:rsidR="00F4722E" w:rsidRDefault="003228AC">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iCs/>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bCs/>
          <w:i/>
          <w:iCs/>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iCs/>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33795C84" w14:textId="77777777" w:rsidR="00F4722E" w:rsidRDefault="00F4722E">
      <w:pPr>
        <w:ind w:left="1134" w:right="-929"/>
        <w:jc w:val="both"/>
        <w:rPr>
          <w:rFonts w:ascii="Palatino Linotype" w:eastAsia="Palatino Linotype" w:hAnsi="Palatino Linotype" w:cs="Palatino Linotype"/>
          <w:i/>
          <w:iCs/>
        </w:rPr>
      </w:pPr>
    </w:p>
    <w:p w14:paraId="51DF0CBE"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También, el </w:t>
      </w:r>
      <w:r>
        <w:rPr>
          <w:rFonts w:ascii="Palatino Linotype" w:eastAsia="Palatino Linotype" w:hAnsi="Palatino Linotype" w:cs="Palatino Linotype"/>
          <w:b/>
          <w:bCs/>
        </w:rPr>
        <w:t>número de cuenta bancario</w:t>
      </w:r>
      <w:r>
        <w:rPr>
          <w:rFonts w:ascii="Palatino Linotype" w:eastAsia="Palatino Linotype" w:hAnsi="Palatino Linotype" w:cs="Palatino Linotype"/>
        </w:rPr>
        <w:t>, conforme al el Criterio orientador 10/17 emitido por el Pleno del Instituto Nacional de Transparencia, Acceso a la Información y Protección de Datos Personales se establece lo siguiente:</w:t>
      </w:r>
    </w:p>
    <w:p w14:paraId="74F8B83A" w14:textId="77777777" w:rsidR="00F4722E" w:rsidRDefault="00F4722E">
      <w:pPr>
        <w:pBdr>
          <w:top w:val="nil"/>
          <w:left w:val="nil"/>
          <w:bottom w:val="nil"/>
          <w:right w:val="nil"/>
          <w:between w:val="nil"/>
        </w:pBdr>
        <w:spacing w:line="360" w:lineRule="auto"/>
        <w:jc w:val="both"/>
        <w:rPr>
          <w:rFonts w:ascii="Palatino Linotype" w:eastAsia="Palatino Linotype" w:hAnsi="Palatino Linotype" w:cs="Palatino Linotype"/>
        </w:rPr>
      </w:pPr>
    </w:p>
    <w:p w14:paraId="04C075CC" w14:textId="77777777" w:rsidR="00F4722E" w:rsidRDefault="003228AC">
      <w:pPr>
        <w:shd w:val="clear" w:color="auto" w:fill="FFFFFF"/>
        <w:ind w:left="567" w:right="-7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w:t>
      </w:r>
      <w:r>
        <w:rPr>
          <w:rFonts w:ascii="Palatino Linotype" w:eastAsia="Palatino Linotype" w:hAnsi="Palatino Linotype" w:cs="Palatino Linotype"/>
          <w:b/>
          <w:bCs/>
          <w:i/>
          <w:iCs/>
          <w:sz w:val="22"/>
          <w:szCs w:val="22"/>
        </w:rPr>
        <w:t>Cuentas bancarias y/o CLABE interbancaria de personas físicas y morales privadas.</w:t>
      </w:r>
      <w:r>
        <w:rPr>
          <w:rFonts w:ascii="Palatino Linotype" w:eastAsia="Palatino Linotype" w:hAnsi="Palatino Linotype" w:cs="Palatino Linotype"/>
          <w:i/>
          <w:iCs/>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14:paraId="6673B5CD" w14:textId="77777777" w:rsidR="00F4722E" w:rsidRDefault="00F4722E">
      <w:pPr>
        <w:ind w:left="1134" w:right="-929"/>
        <w:jc w:val="both"/>
        <w:rPr>
          <w:rFonts w:ascii="Palatino Linotype" w:eastAsia="Palatino Linotype" w:hAnsi="Palatino Linotype" w:cs="Palatino Linotype"/>
        </w:rPr>
      </w:pPr>
    </w:p>
    <w:p w14:paraId="00125723"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o empleado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5AA58F23" w14:textId="77777777" w:rsidR="00F4722E" w:rsidRDefault="00F4722E">
      <w:pPr>
        <w:tabs>
          <w:tab w:val="left" w:pos="284"/>
        </w:tabs>
        <w:spacing w:line="360" w:lineRule="auto"/>
        <w:jc w:val="both"/>
        <w:rPr>
          <w:rFonts w:ascii="Palatino Linotype" w:eastAsia="Palatino Linotype" w:hAnsi="Palatino Linotype" w:cs="Palatino Linotype"/>
        </w:rPr>
      </w:pPr>
    </w:p>
    <w:p w14:paraId="1C711F1D"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y respecto a la </w:t>
      </w:r>
      <w:r>
        <w:rPr>
          <w:rFonts w:ascii="Palatino Linotype" w:eastAsia="Palatino Linotype" w:hAnsi="Palatino Linotype" w:cs="Palatino Linotype"/>
          <w:b/>
          <w:bCs/>
        </w:rPr>
        <w:t>clave de seguridad social y en su caso clave o número del servidor público –trabajador</w:t>
      </w:r>
      <w:r>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 siendo aplicable como orientador el criterio orientador número 15/10 emitido por el entonces Instituto Federal de Transparencia y Acceso a la Información (INAI), cuyo texto y sentido literal es el siguiente:</w:t>
      </w:r>
    </w:p>
    <w:p w14:paraId="3AC36424" w14:textId="77777777" w:rsidR="00F4722E" w:rsidRDefault="00F4722E">
      <w:pPr>
        <w:pBdr>
          <w:top w:val="nil"/>
          <w:left w:val="nil"/>
          <w:bottom w:val="nil"/>
          <w:right w:val="nil"/>
          <w:between w:val="nil"/>
        </w:pBdr>
        <w:spacing w:line="360" w:lineRule="auto"/>
        <w:jc w:val="both"/>
        <w:rPr>
          <w:rFonts w:ascii="Palatino Linotype" w:eastAsia="Palatino Linotype" w:hAnsi="Palatino Linotype" w:cs="Palatino Linotype"/>
        </w:rPr>
      </w:pPr>
    </w:p>
    <w:p w14:paraId="74E5934A" w14:textId="77777777" w:rsidR="00F4722E" w:rsidRDefault="003228AC">
      <w:pPr>
        <w:shd w:val="clear" w:color="auto" w:fill="FFFFFF"/>
        <w:tabs>
          <w:tab w:val="left" w:pos="7938"/>
        </w:tabs>
        <w:ind w:left="567" w:right="-716"/>
        <w:jc w:val="both"/>
        <w:rPr>
          <w:rFonts w:ascii="Palatino Linotype" w:eastAsia="Palatino Linotype" w:hAnsi="Palatino Linotype" w:cs="Palatino Linotype"/>
          <w:i/>
          <w:iCs/>
          <w:color w:val="222222"/>
          <w:sz w:val="22"/>
          <w:szCs w:val="22"/>
        </w:rPr>
      </w:pPr>
      <w:r>
        <w:rPr>
          <w:rFonts w:ascii="Palatino Linotype" w:eastAsia="Palatino Linotype" w:hAnsi="Palatino Linotype" w:cs="Palatino Linotype"/>
          <w:b/>
          <w:bCs/>
          <w:i/>
          <w:iCs/>
          <w:color w:val="222222"/>
          <w:sz w:val="22"/>
          <w:szCs w:val="22"/>
        </w:rPr>
        <w:t>“El número de ficha de identificación única de los trabajadores es información de carácter confidencial.</w:t>
      </w:r>
      <w:r>
        <w:rPr>
          <w:rFonts w:ascii="Palatino Linotype" w:eastAsia="Palatino Linotype" w:hAnsi="Palatino Linotype" w:cs="Palatino Linotype"/>
          <w:i/>
          <w:iCs/>
          <w:color w:val="222222"/>
          <w:sz w:val="22"/>
          <w:szCs w:val="22"/>
        </w:rPr>
        <w:t> </w:t>
      </w:r>
      <w:r>
        <w:rPr>
          <w:rFonts w:ascii="Palatino Linotype" w:eastAsia="Palatino Linotype" w:hAnsi="Palatino Linotype" w:cs="Palatino Linotype"/>
          <w:i/>
          <w:iCs/>
          <w:color w:val="222222"/>
          <w:sz w:val="22"/>
          <w:szCs w:val="22"/>
          <w:u w:val="single"/>
        </w:rPr>
        <w:t xml:space="preserve">En los casos en que el número de trabajador o ficha de identificación única constituya un </w:t>
      </w:r>
      <w:r>
        <w:rPr>
          <w:rFonts w:ascii="Palatino Linotype" w:eastAsia="Palatino Linotype" w:hAnsi="Palatino Linotype" w:cs="Palatino Linotype"/>
          <w:i/>
          <w:iCs/>
          <w:color w:val="222222"/>
          <w:sz w:val="22"/>
          <w:szCs w:val="22"/>
          <w:u w:val="single"/>
        </w:rPr>
        <w:lastRenderedPageBreak/>
        <w:t>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iCs/>
          <w:color w:val="222222"/>
          <w:sz w:val="22"/>
          <w:szCs w:val="22"/>
        </w:rPr>
        <w:t>, </w:t>
      </w:r>
      <w:r>
        <w:rPr>
          <w:rFonts w:ascii="Palatino Linotype" w:eastAsia="Palatino Linotype" w:hAnsi="Palatino Linotype" w:cs="Palatino Linotype"/>
          <w:i/>
          <w:iCs/>
          <w:color w:val="222222"/>
          <w:sz w:val="22"/>
          <w:szCs w:val="22"/>
          <w:u w:val="single"/>
        </w:rPr>
        <w:t>dicha información es susceptible de clasificarse con el carácter de confidencial</w:t>
      </w:r>
      <w:r>
        <w:rPr>
          <w:rFonts w:ascii="Palatino Linotype" w:eastAsia="Palatino Linotype" w:hAnsi="Palatino Linotype" w:cs="Palatino Linotype"/>
          <w:i/>
          <w:iCs/>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26507266" w14:textId="77777777" w:rsidR="00F4722E" w:rsidRDefault="00F4722E">
      <w:pPr>
        <w:spacing w:line="360" w:lineRule="auto"/>
        <w:ind w:right="-787"/>
        <w:jc w:val="both"/>
        <w:rPr>
          <w:rFonts w:ascii="Palatino Linotype" w:eastAsia="Palatino Linotype" w:hAnsi="Palatino Linotype" w:cs="Palatino Linotype"/>
          <w:i/>
          <w:iCs/>
          <w:color w:val="222222"/>
          <w:sz w:val="22"/>
          <w:szCs w:val="22"/>
        </w:rPr>
      </w:pPr>
    </w:p>
    <w:p w14:paraId="774177E9" w14:textId="77777777" w:rsidR="00F4722E" w:rsidRDefault="00F4722E">
      <w:pPr>
        <w:spacing w:line="360" w:lineRule="auto"/>
        <w:ind w:right="-787"/>
        <w:jc w:val="both"/>
        <w:rPr>
          <w:rFonts w:ascii="Palatino Linotype" w:eastAsia="Palatino Linotype" w:hAnsi="Palatino Linotype" w:cs="Palatino Linotype"/>
        </w:rPr>
      </w:pPr>
    </w:p>
    <w:p w14:paraId="25A22314" w14:textId="77777777" w:rsidR="00F4722E" w:rsidRDefault="003228AC">
      <w:pPr>
        <w:spacing w:line="360" w:lineRule="auto"/>
        <w:ind w:right="-787"/>
        <w:jc w:val="both"/>
        <w:rPr>
          <w:rFonts w:ascii="Palatino Linotype" w:eastAsia="Palatino Linotype" w:hAnsi="Palatino Linotype" w:cs="Palatino Linotype"/>
          <w:b/>
          <w:bCs/>
          <w:color w:val="222222"/>
        </w:rPr>
      </w:pPr>
      <w:r>
        <w:rPr>
          <w:rFonts w:ascii="Palatino Linotype" w:eastAsia="Palatino Linotype" w:hAnsi="Palatino Linotype" w:cs="Palatino Linotype"/>
          <w:b/>
          <w:bCs/>
          <w:color w:val="000000"/>
        </w:rPr>
        <w:t xml:space="preserve">Del nombre de </w:t>
      </w:r>
      <w:r>
        <w:rPr>
          <w:rFonts w:ascii="Palatino Linotype" w:eastAsia="Palatino Linotype" w:hAnsi="Palatino Linotype" w:cs="Palatino Linotype"/>
          <w:b/>
          <w:bCs/>
        </w:rPr>
        <w:t>policías</w:t>
      </w:r>
      <w:r>
        <w:rPr>
          <w:rFonts w:ascii="Palatino Linotype" w:eastAsia="Palatino Linotype" w:hAnsi="Palatino Linotype" w:cs="Palatino Linotype"/>
          <w:b/>
          <w:bCs/>
          <w:color w:val="000000"/>
        </w:rPr>
        <w:t>.</w:t>
      </w:r>
    </w:p>
    <w:p w14:paraId="58286C70"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En atención a que se observa que la información de la que se requiere acceso contiene información de los </w:t>
      </w:r>
      <w:r>
        <w:rPr>
          <w:rFonts w:ascii="Palatino Linotype" w:eastAsia="Palatino Linotype" w:hAnsi="Palatino Linotype" w:cs="Palatino Linotype"/>
        </w:rPr>
        <w:t>elementos</w:t>
      </w:r>
      <w:r>
        <w:rPr>
          <w:rFonts w:ascii="Palatino Linotype" w:eastAsia="Palatino Linotype" w:hAnsi="Palatino Linotype" w:cs="Palatino Linotype"/>
          <w:color w:val="222222"/>
        </w:rPr>
        <w:t xml:space="preserve"> de seguridad pública, es necesario señalar que las condicione</w:t>
      </w:r>
      <w:r>
        <w:rPr>
          <w:rFonts w:ascii="Palatino Linotype" w:eastAsia="Palatino Linotype" w:hAnsi="Palatino Linotype" w:cs="Palatino Linotype"/>
        </w:rPr>
        <w:t>s</w:t>
      </w:r>
      <w:r>
        <w:rPr>
          <w:rFonts w:ascii="Palatino Linotype" w:eastAsia="Palatino Linotype" w:hAnsi="Palatino Linotype" w:cs="Palatino Linotype"/>
          <w:color w:val="222222"/>
        </w:rPr>
        <w:t xml:space="preserve"> en las cuales se deberá entregar la información solicitada adquieren una especial naturaleza.</w:t>
      </w:r>
    </w:p>
    <w:p w14:paraId="21D4EB0B" w14:textId="77777777" w:rsidR="00F4722E" w:rsidRDefault="00F4722E">
      <w:pPr>
        <w:spacing w:line="360" w:lineRule="auto"/>
        <w:ind w:right="-787"/>
        <w:jc w:val="both"/>
        <w:rPr>
          <w:rFonts w:ascii="Palatino Linotype" w:eastAsia="Palatino Linotype" w:hAnsi="Palatino Linotype" w:cs="Palatino Linotype"/>
        </w:rPr>
      </w:pPr>
    </w:p>
    <w:p w14:paraId="0049BD1F"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27E9039D" w14:textId="77777777" w:rsidR="00F4722E" w:rsidRDefault="00F4722E">
      <w:pPr>
        <w:spacing w:line="360" w:lineRule="auto"/>
        <w:ind w:right="-787"/>
        <w:jc w:val="both"/>
        <w:rPr>
          <w:rFonts w:ascii="Palatino Linotype" w:eastAsia="Palatino Linotype" w:hAnsi="Palatino Linotype" w:cs="Palatino Linotype"/>
        </w:rPr>
      </w:pPr>
    </w:p>
    <w:p w14:paraId="313C5E1A"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t>“Artículo 140.</w:t>
      </w:r>
      <w:r>
        <w:rPr>
          <w:rFonts w:ascii="Palatino Linotype" w:eastAsia="Palatino Linotype" w:hAnsi="Palatino Linotype" w:cs="Palatino Linotype"/>
          <w:i/>
          <w:iCs/>
          <w:color w:val="222222"/>
          <w:sz w:val="22"/>
          <w:szCs w:val="22"/>
        </w:rPr>
        <w:t> El acceso a la información pública será restringido excepcionalmente, cuando por razones de interés público, ésta sea clasificada como reservada, conforme a los criterios siguientes:</w:t>
      </w:r>
    </w:p>
    <w:p w14:paraId="73F2D8EB"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I. Comprometa la seguridad pública y cuente con un propósito genuino y un efecto demostrable;</w:t>
      </w:r>
    </w:p>
    <w:p w14:paraId="4678A888"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II. Pueda menoscabar la conducción de las negociaciones y relaciones internacionales;</w:t>
      </w:r>
    </w:p>
    <w:p w14:paraId="1DE6384F"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40AEC71"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t>IV. Ponga en riesgo la vida, la seguridad o la salud de una persona física;</w:t>
      </w:r>
    </w:p>
    <w:p w14:paraId="521D784D"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i/>
          <w:iCs/>
          <w:color w:val="222222"/>
          <w:sz w:val="22"/>
          <w:szCs w:val="22"/>
        </w:rPr>
      </w:pPr>
      <w:r>
        <w:rPr>
          <w:rFonts w:ascii="Palatino Linotype" w:eastAsia="Palatino Linotype" w:hAnsi="Palatino Linotype" w:cs="Palatino Linotype"/>
          <w:i/>
          <w:iCs/>
          <w:color w:val="222222"/>
          <w:sz w:val="22"/>
          <w:szCs w:val="22"/>
        </w:rPr>
        <w:t> (…)”</w:t>
      </w:r>
    </w:p>
    <w:p w14:paraId="4F9D063A" w14:textId="77777777" w:rsidR="00F4722E" w:rsidRDefault="00F4722E">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p>
    <w:p w14:paraId="5604BA42"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lastRenderedPageBreak/>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Pr>
          <w:rFonts w:ascii="Palatino Linotype" w:eastAsia="Palatino Linotype" w:hAnsi="Palatino Linotype" w:cs="Palatino Linotype"/>
          <w:b/>
          <w:bCs/>
          <w:color w:val="222222"/>
        </w:rPr>
        <w:t>vulnerar la vida, seguridad o salud de dichos elementos, incluso la de sus familias o entorno social, </w:t>
      </w:r>
      <w:r>
        <w:rPr>
          <w:rFonts w:ascii="Palatino Linotype" w:eastAsia="Palatino Linotype" w:hAnsi="Palatino Linotype" w:cs="Palatino Linotype"/>
          <w:color w:val="222222"/>
        </w:rPr>
        <w:t>demás, de que aumenta el riesgo de que personas ajenas a los intereses institucionales e intenten realizar actos tendientes a inhibir o entrometerse en las funciones de los policías municipales, lo cual causaría una vulneración a la seguridad municipal</w:t>
      </w:r>
      <w:r>
        <w:rPr>
          <w:rFonts w:ascii="Palatino Linotype" w:eastAsia="Palatino Linotype" w:hAnsi="Palatino Linotype" w:cs="Palatino Linotype"/>
        </w:rPr>
        <w:t>.</w:t>
      </w:r>
    </w:p>
    <w:p w14:paraId="0E6A51FE" w14:textId="77777777" w:rsidR="00F4722E" w:rsidRDefault="00F4722E">
      <w:pPr>
        <w:shd w:val="clear" w:color="auto" w:fill="FFFFFF"/>
        <w:spacing w:line="360" w:lineRule="auto"/>
        <w:jc w:val="both"/>
        <w:rPr>
          <w:rFonts w:ascii="Palatino Linotype" w:eastAsia="Palatino Linotype" w:hAnsi="Palatino Linotype" w:cs="Palatino Linotype"/>
        </w:rPr>
      </w:pPr>
    </w:p>
    <w:p w14:paraId="1FD832D9"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En ese sentido, el proporcionar el nombre de los elementos policiales operativos, pone en riesgo de manera directa la vida y la seguridad de dicho servidor, siendo obligación de la Institución protegerla en todo momento para salvaguarda de sus integrantes.</w:t>
      </w:r>
    </w:p>
    <w:p w14:paraId="442383CD" w14:textId="77777777" w:rsidR="00F4722E" w:rsidRDefault="00F4722E">
      <w:pPr>
        <w:spacing w:line="360" w:lineRule="auto"/>
        <w:ind w:right="-787"/>
        <w:jc w:val="both"/>
        <w:rPr>
          <w:rFonts w:ascii="Palatino Linotype" w:eastAsia="Palatino Linotype" w:hAnsi="Palatino Linotype" w:cs="Palatino Linotype"/>
        </w:rPr>
      </w:pPr>
    </w:p>
    <w:p w14:paraId="21842891"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6614F507" w14:textId="77777777" w:rsidR="00F4722E" w:rsidRDefault="00F4722E">
      <w:pPr>
        <w:spacing w:line="360" w:lineRule="auto"/>
        <w:ind w:right="-787"/>
        <w:jc w:val="both"/>
        <w:rPr>
          <w:rFonts w:ascii="Palatino Linotype" w:eastAsia="Palatino Linotype" w:hAnsi="Palatino Linotype" w:cs="Palatino Linotype"/>
        </w:rPr>
      </w:pPr>
    </w:p>
    <w:p w14:paraId="4D08E9C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Pr>
          <w:rFonts w:ascii="Palatino Linotype" w:eastAsia="Palatino Linotype" w:hAnsi="Palatino Linotype" w:cs="Palatino Linotype"/>
          <w:b/>
          <w:bCs/>
          <w:color w:val="222222"/>
        </w:rPr>
        <w:t> SUJETO OBLIGADO</w:t>
      </w:r>
      <w:r>
        <w:rPr>
          <w:rFonts w:ascii="Palatino Linotype" w:eastAsia="Palatino Linotype" w:hAnsi="Palatino Linotype" w:cs="Palatino Linotype"/>
          <w:color w:val="222222"/>
        </w:rPr>
        <w:t xml:space="preserve">, colocando en </w:t>
      </w:r>
      <w:r>
        <w:rPr>
          <w:rFonts w:ascii="Palatino Linotype" w:eastAsia="Palatino Linotype" w:hAnsi="Palatino Linotype" w:cs="Palatino Linotype"/>
          <w:color w:val="222222"/>
        </w:rPr>
        <w:lastRenderedPageBreak/>
        <w:t>inminente riesgo la vida de todos los integrantes, menoscabando así las actividades de prevención del delito y combate a la delincuencia.</w:t>
      </w:r>
    </w:p>
    <w:p w14:paraId="69FD6822" w14:textId="77777777" w:rsidR="00F4722E" w:rsidRDefault="00F4722E">
      <w:pPr>
        <w:spacing w:line="360" w:lineRule="auto"/>
        <w:ind w:right="-787"/>
        <w:jc w:val="both"/>
        <w:rPr>
          <w:rFonts w:ascii="Palatino Linotype" w:eastAsia="Palatino Linotype" w:hAnsi="Palatino Linotype" w:cs="Palatino Linotype"/>
        </w:rPr>
      </w:pPr>
    </w:p>
    <w:p w14:paraId="3990CF52"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Así como el artículo 6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036E5702" w14:textId="77777777" w:rsidR="00F4722E" w:rsidRDefault="00F4722E">
      <w:pPr>
        <w:spacing w:line="360" w:lineRule="auto"/>
        <w:ind w:right="-787"/>
        <w:jc w:val="both"/>
        <w:rPr>
          <w:rFonts w:ascii="Palatino Linotype" w:eastAsia="Palatino Linotype" w:hAnsi="Palatino Linotype" w:cs="Palatino Linotype"/>
        </w:rPr>
      </w:pPr>
    </w:p>
    <w:p w14:paraId="3B0C8F84"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El dar el nombre de los servidores públicos operativos de las Direcciones de Seguridad Pública o equivalentes, pone en riesgo sus vidas y seguridad, ya que pueden ser identificarles, provocando que se utilice la información para amenazar, intimidar o extorsionar al integrante.</w:t>
      </w:r>
    </w:p>
    <w:p w14:paraId="6BEA7FBC" w14:textId="77777777" w:rsidR="00F4722E" w:rsidRDefault="00F4722E">
      <w:pPr>
        <w:spacing w:line="360" w:lineRule="auto"/>
        <w:ind w:right="-787"/>
        <w:jc w:val="both"/>
        <w:rPr>
          <w:rFonts w:ascii="Palatino Linotype" w:eastAsia="Palatino Linotype" w:hAnsi="Palatino Linotype" w:cs="Palatino Linotype"/>
        </w:rPr>
      </w:pPr>
    </w:p>
    <w:p w14:paraId="1E3345C3"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3008040F" w14:textId="77777777" w:rsidR="00F4722E" w:rsidRDefault="00F4722E">
      <w:pPr>
        <w:spacing w:line="360" w:lineRule="auto"/>
        <w:ind w:right="-787"/>
        <w:jc w:val="both"/>
        <w:rPr>
          <w:rFonts w:ascii="Palatino Linotype" w:eastAsia="Palatino Linotype" w:hAnsi="Palatino Linotype" w:cs="Palatino Linotype"/>
        </w:rPr>
      </w:pPr>
    </w:p>
    <w:p w14:paraId="3E909275"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En ese mismo contexto, resulta pertinente establecer que la Constitución Política de los Estados unidos mexicanos y los Tratados Internacionales suscritos por el Estado mexicano en </w:t>
      </w:r>
      <w:r>
        <w:rPr>
          <w:rFonts w:ascii="Palatino Linotype" w:eastAsia="Palatino Linotype" w:hAnsi="Palatino Linotype" w:cs="Palatino Linotype"/>
          <w:color w:val="222222"/>
        </w:rPr>
        <w:lastRenderedPageBreak/>
        <w:t>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4B4F78A1" w14:textId="77777777" w:rsidR="00F4722E" w:rsidRDefault="00F4722E">
      <w:pPr>
        <w:spacing w:line="360" w:lineRule="auto"/>
        <w:ind w:right="-787"/>
        <w:jc w:val="both"/>
        <w:rPr>
          <w:rFonts w:ascii="Palatino Linotype" w:eastAsia="Palatino Linotype" w:hAnsi="Palatino Linotype" w:cs="Palatino Linotype"/>
        </w:rPr>
      </w:pPr>
    </w:p>
    <w:p w14:paraId="42D3A86E"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4CF16C09" w14:textId="77777777" w:rsidR="00F4722E" w:rsidRDefault="00F4722E">
      <w:pPr>
        <w:spacing w:line="360" w:lineRule="auto"/>
        <w:ind w:right="-787"/>
        <w:jc w:val="both"/>
        <w:rPr>
          <w:rFonts w:ascii="Palatino Linotype" w:eastAsia="Palatino Linotype" w:hAnsi="Palatino Linotype" w:cs="Palatino Linotype"/>
        </w:rPr>
      </w:pPr>
    </w:p>
    <w:p w14:paraId="64CA7A92"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Al respecto, cabe hacer mención que el artículo 81 fracción III de la Ley de Seguridad del Estado de México, establece lo siguiente:</w:t>
      </w:r>
    </w:p>
    <w:p w14:paraId="46CD230F" w14:textId="77777777" w:rsidR="00F4722E" w:rsidRDefault="00F4722E">
      <w:pPr>
        <w:spacing w:line="360" w:lineRule="auto"/>
        <w:ind w:right="-787"/>
        <w:jc w:val="both"/>
        <w:rPr>
          <w:rFonts w:ascii="Palatino Linotype" w:eastAsia="Palatino Linotype" w:hAnsi="Palatino Linotype" w:cs="Palatino Linotype"/>
        </w:rPr>
      </w:pPr>
    </w:p>
    <w:p w14:paraId="46C6BF21"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w:t>
      </w:r>
      <w:r>
        <w:rPr>
          <w:rFonts w:ascii="Palatino Linotype" w:eastAsia="Palatino Linotype" w:hAnsi="Palatino Linotype" w:cs="Palatino Linotype"/>
          <w:b/>
          <w:bCs/>
          <w:i/>
          <w:iCs/>
          <w:color w:val="222222"/>
          <w:sz w:val="22"/>
          <w:szCs w:val="22"/>
        </w:rPr>
        <w:t>Artículo 81.-</w:t>
      </w:r>
      <w:r>
        <w:rPr>
          <w:rFonts w:ascii="Palatino Linotype" w:eastAsia="Palatino Linotype" w:hAnsi="Palatino Linotype" w:cs="Palatino Linotype"/>
          <w:i/>
          <w:iCs/>
          <w:color w:val="222222"/>
          <w:sz w:val="22"/>
          <w:szCs w:val="22"/>
        </w:rPr>
        <w:t> </w:t>
      </w:r>
      <w:r>
        <w:rPr>
          <w:rFonts w:ascii="Palatino Linotype" w:eastAsia="Palatino Linotype" w:hAnsi="Palatino Linotype" w:cs="Palatino Linotype"/>
          <w:b/>
          <w:bCs/>
          <w:i/>
          <w:iCs/>
          <w:color w:val="222222"/>
          <w:sz w:val="22"/>
          <w:szCs w:val="22"/>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Pr>
          <w:rFonts w:ascii="Palatino Linotype" w:eastAsia="Palatino Linotype" w:hAnsi="Palatino Linotype" w:cs="Palatino Linotype"/>
          <w:i/>
          <w:iCs/>
          <w:color w:val="222222"/>
          <w:sz w:val="22"/>
          <w:szCs w:val="22"/>
        </w:rPr>
        <w:t> en los casos siguientes:</w:t>
      </w:r>
    </w:p>
    <w:p w14:paraId="519F362B"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w:t>
      </w:r>
    </w:p>
    <w:p w14:paraId="63EE0003"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i/>
          <w:iCs/>
          <w:color w:val="222222"/>
          <w:sz w:val="22"/>
          <w:szCs w:val="22"/>
        </w:rPr>
      </w:pPr>
      <w:r>
        <w:rPr>
          <w:rFonts w:ascii="Palatino Linotype" w:eastAsia="Palatino Linotype" w:hAnsi="Palatino Linotype" w:cs="Palatino Linotype"/>
          <w:b/>
          <w:bCs/>
          <w:i/>
          <w:iCs/>
          <w:color w:val="222222"/>
          <w:sz w:val="22"/>
          <w:szCs w:val="22"/>
        </w:rPr>
        <w:t>III.</w:t>
      </w:r>
      <w:r>
        <w:rPr>
          <w:rFonts w:ascii="Palatino Linotype" w:eastAsia="Palatino Linotype" w:hAnsi="Palatino Linotype" w:cs="Palatino Linotype"/>
          <w:i/>
          <w:iCs/>
          <w:color w:val="222222"/>
          <w:sz w:val="22"/>
          <w:szCs w:val="22"/>
        </w:rPr>
        <w:t> </w:t>
      </w:r>
      <w:r>
        <w:rPr>
          <w:rFonts w:ascii="Palatino Linotype" w:eastAsia="Palatino Linotype" w:hAnsi="Palatino Linotype" w:cs="Palatino Linotype"/>
          <w:b/>
          <w:bCs/>
          <w:i/>
          <w:iCs/>
          <w:color w:val="222222"/>
          <w:sz w:val="22"/>
          <w:szCs w:val="22"/>
        </w:rPr>
        <w:t>La relativa a servidores públicos miembros de las instituciones de seguridad pública, cuya revelación pueda poner en riesgo su vida e integridad física con motivo de sus funciones;</w:t>
      </w:r>
      <w:r>
        <w:rPr>
          <w:rFonts w:ascii="Palatino Linotype" w:eastAsia="Palatino Linotype" w:hAnsi="Palatino Linotype" w:cs="Palatino Linotype"/>
          <w:i/>
          <w:iCs/>
          <w:color w:val="222222"/>
          <w:sz w:val="22"/>
          <w:szCs w:val="22"/>
        </w:rPr>
        <w:t>”</w:t>
      </w:r>
    </w:p>
    <w:p w14:paraId="3C835E9D" w14:textId="77777777" w:rsidR="00F4722E" w:rsidRDefault="00F4722E">
      <w:pPr>
        <w:pBdr>
          <w:top w:val="nil"/>
          <w:left w:val="nil"/>
          <w:bottom w:val="nil"/>
          <w:right w:val="nil"/>
          <w:between w:val="nil"/>
        </w:pBdr>
        <w:shd w:val="clear" w:color="auto" w:fill="FFFFFF"/>
        <w:ind w:right="567"/>
        <w:jc w:val="both"/>
        <w:rPr>
          <w:rFonts w:ascii="Palatino Linotype" w:eastAsia="Palatino Linotype" w:hAnsi="Palatino Linotype" w:cs="Palatino Linotype"/>
          <w:color w:val="222222"/>
          <w:sz w:val="22"/>
          <w:szCs w:val="22"/>
        </w:rPr>
      </w:pPr>
    </w:p>
    <w:p w14:paraId="16D1799D"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lastRenderedPageBreak/>
        <w:t>Argumento que se fortalece con lo estipulado en el criterio número 6-09, del Instituto Nacional de Transparencia, Acceso a la Información y Protección de Datos Personales, antes (INAI)</w:t>
      </w:r>
      <w:r>
        <w:rPr>
          <w:rFonts w:ascii="Palatino Linotype" w:eastAsia="Palatino Linotype" w:hAnsi="Palatino Linotype" w:cs="Palatino Linotype"/>
          <w:b/>
          <w:bCs/>
          <w:color w:val="222222"/>
        </w:rPr>
        <w:t>, </w:t>
      </w:r>
      <w:r>
        <w:rPr>
          <w:rFonts w:ascii="Palatino Linotype" w:eastAsia="Palatino Linotype" w:hAnsi="Palatino Linotype" w:cs="Palatino Linotype"/>
          <w:color w:val="222222"/>
        </w:rPr>
        <w:t>el cual refiere:</w:t>
      </w:r>
    </w:p>
    <w:p w14:paraId="7D3347EF" w14:textId="77777777" w:rsidR="00F4722E" w:rsidRDefault="003228AC">
      <w:pPr>
        <w:pBdr>
          <w:top w:val="nil"/>
          <w:left w:val="nil"/>
          <w:bottom w:val="nil"/>
          <w:right w:val="nil"/>
          <w:between w:val="nil"/>
        </w:pBdr>
        <w:shd w:val="clear" w:color="auto" w:fill="FFFFFF"/>
        <w:ind w:left="567" w:right="567"/>
        <w:jc w:val="center"/>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t>“Criterio 6-09</w:t>
      </w:r>
    </w:p>
    <w:p w14:paraId="335B9C1A"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i/>
          <w:iCs/>
          <w:color w:val="222222"/>
          <w:sz w:val="22"/>
          <w:szCs w:val="22"/>
        </w:rPr>
      </w:pPr>
      <w:r>
        <w:rPr>
          <w:rFonts w:ascii="Palatino Linotype" w:eastAsia="Palatino Linotype" w:hAnsi="Palatino Linotype" w:cs="Palatino Linotype"/>
          <w:b/>
          <w:bCs/>
          <w:i/>
          <w:iCs/>
          <w:color w:val="222222"/>
          <w:sz w:val="22"/>
          <w:szCs w:val="22"/>
        </w:rPr>
        <w:t>Nombres de servidores públicos dedicados a actividades en materia de seguridad, por excepción pueden considerarse información reservada. </w:t>
      </w:r>
      <w:r>
        <w:rPr>
          <w:rFonts w:ascii="Palatino Linotype" w:eastAsia="Palatino Linotype" w:hAnsi="Palatino Linotype" w:cs="Palatino Linotype"/>
          <w:i/>
          <w:iCs/>
          <w:color w:val="222222"/>
          <w:sz w:val="22"/>
          <w:szCs w:val="22"/>
        </w:rPr>
        <w:t>De conformidad con el artículo 7, fracciones I y III de la Ley Federal de Transparencia y Acceso a la Información Pública Gubernamental </w:t>
      </w:r>
      <w:r>
        <w:rPr>
          <w:rFonts w:ascii="Palatino Linotype" w:eastAsia="Palatino Linotype" w:hAnsi="Palatino Linotype" w:cs="Palatino Linotype"/>
          <w:b/>
          <w:bCs/>
          <w:i/>
          <w:iCs/>
          <w:color w:val="222222"/>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Pr>
          <w:rFonts w:ascii="Palatino Linotype" w:eastAsia="Palatino Linotype" w:hAnsi="Palatino Linotype" w:cs="Palatino Linotype"/>
          <w:i/>
          <w:iCs/>
          <w:color w:val="222222"/>
          <w:sz w:val="22"/>
          <w:szCs w:val="22"/>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Pr>
          <w:rFonts w:ascii="Palatino Linotype" w:eastAsia="Palatino Linotype" w:hAnsi="Palatino Linotype" w:cs="Palatino Linotype"/>
          <w:b/>
          <w:bCs/>
          <w:i/>
          <w:iCs/>
          <w:color w:val="222222"/>
          <w:sz w:val="22"/>
          <w:szCs w:val="22"/>
        </w:rPr>
        <w:t>el artículo 13, fracción I de la ley de referencia se establece que podrá clasificarse aquella información cuya difusión pueda comprometer la seguridad nacional y pública</w:t>
      </w:r>
      <w:r>
        <w:rPr>
          <w:rFonts w:ascii="Palatino Linotype" w:eastAsia="Palatino Linotype" w:hAnsi="Palatino Linotype" w:cs="Palatino Linotype"/>
          <w:i/>
          <w:iCs/>
          <w:color w:val="222222"/>
          <w:sz w:val="22"/>
          <w:szCs w:val="22"/>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Pr>
          <w:rFonts w:ascii="Palatino Linotype" w:eastAsia="Palatino Linotype" w:hAnsi="Palatino Linotype" w:cs="Palatino Linotype"/>
          <w:b/>
          <w:bCs/>
          <w:i/>
          <w:iCs/>
          <w:color w:val="222222"/>
          <w:sz w:val="22"/>
          <w:szCs w:val="22"/>
        </w:rPr>
        <w:t>por lo que la reserva de la relación de los nombres y las funciones que desempeñan los servidores públicos que prestan sus servicios en áreas de seguridad nacional o pública</w:t>
      </w:r>
      <w:r>
        <w:rPr>
          <w:rFonts w:ascii="Palatino Linotype" w:eastAsia="Palatino Linotype" w:hAnsi="Palatino Linotype" w:cs="Palatino Linotype"/>
          <w:i/>
          <w:iCs/>
          <w:color w:val="222222"/>
          <w:sz w:val="22"/>
          <w:szCs w:val="22"/>
        </w:rPr>
        <w:t>, puede llegar a constituirse en un componente fundamental en el esfuerzo que realiza el Estado Mexicano para garantizar la seguridad del país en sus diferentes vertientes”</w:t>
      </w:r>
    </w:p>
    <w:p w14:paraId="5C806A16" w14:textId="77777777" w:rsidR="00F4722E" w:rsidRDefault="00F4722E">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p>
    <w:p w14:paraId="4572A343"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Pr>
          <w:rFonts w:ascii="Palatino Linotype" w:eastAsia="Palatino Linotype" w:hAnsi="Palatino Linotype" w:cs="Palatino Linotype"/>
          <w:b/>
          <w:bCs/>
          <w:color w:val="222222"/>
        </w:rPr>
        <w:t>SUJETO OBLIGADO</w:t>
      </w:r>
      <w:r>
        <w:rPr>
          <w:rFonts w:ascii="Palatino Linotype" w:eastAsia="Palatino Linotype" w:hAnsi="Palatino Linotype" w:cs="Palatino Linotype"/>
          <w:color w:val="222222"/>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w:t>
      </w:r>
      <w:r>
        <w:rPr>
          <w:rFonts w:ascii="Palatino Linotype" w:eastAsia="Palatino Linotype" w:hAnsi="Palatino Linotype" w:cs="Palatino Linotype"/>
          <w:color w:val="222222"/>
        </w:rPr>
        <w:lastRenderedPageBreak/>
        <w:t>Cuarto al Décimo Primero de los Lineamientos Generales en materia de Clasificación y Desclasificación de la Información, así como para la elaboración de Versiones Públicas, que literalmente expresan:</w:t>
      </w:r>
    </w:p>
    <w:p w14:paraId="59EE0FF0" w14:textId="77777777" w:rsidR="00F4722E" w:rsidRDefault="00F4722E">
      <w:pPr>
        <w:spacing w:line="360" w:lineRule="auto"/>
        <w:ind w:right="-787"/>
        <w:jc w:val="both"/>
        <w:rPr>
          <w:rFonts w:ascii="Palatino Linotype" w:eastAsia="Palatino Linotype" w:hAnsi="Palatino Linotype" w:cs="Palatino Linotype"/>
        </w:rPr>
      </w:pPr>
    </w:p>
    <w:p w14:paraId="1CE658C9"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t>“Artículo 49</w:t>
      </w:r>
      <w:r>
        <w:rPr>
          <w:rFonts w:ascii="Palatino Linotype" w:eastAsia="Palatino Linotype" w:hAnsi="Palatino Linotype" w:cs="Palatino Linotype"/>
          <w:i/>
          <w:iCs/>
          <w:color w:val="222222"/>
          <w:sz w:val="22"/>
          <w:szCs w:val="22"/>
        </w:rPr>
        <w:t>. Los Comités de Transparencia tendrán las siguientes atribuciones:</w:t>
      </w:r>
    </w:p>
    <w:p w14:paraId="4BE8CE64"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VIII. Aprobar, modificar o revocar la clasificación de la información;</w:t>
      </w:r>
    </w:p>
    <w:p w14:paraId="3D42B516"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 </w:t>
      </w:r>
    </w:p>
    <w:p w14:paraId="4329CFE7"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t>Artículo 132</w:t>
      </w:r>
      <w:r>
        <w:rPr>
          <w:rFonts w:ascii="Palatino Linotype" w:eastAsia="Palatino Linotype" w:hAnsi="Palatino Linotype" w:cs="Palatino Linotype"/>
          <w:i/>
          <w:iCs/>
          <w:color w:val="222222"/>
          <w:sz w:val="22"/>
          <w:szCs w:val="22"/>
        </w:rPr>
        <w:t>. La clasificación de la información se llevará a cabo en el momento en que:</w:t>
      </w:r>
    </w:p>
    <w:p w14:paraId="3619B2A0"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I. Se reciba una solicitud de acceso a la información;</w:t>
      </w:r>
    </w:p>
    <w:p w14:paraId="12E67892"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II. Se determine mediante resolución de autoridad competente; o</w:t>
      </w:r>
    </w:p>
    <w:p w14:paraId="2EAC47B7"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III. Se generen versiones públicas para dar cumplimiento a las obligaciones de transparencia previstas en esta Ley.”</w:t>
      </w:r>
    </w:p>
    <w:p w14:paraId="224806AF"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 </w:t>
      </w:r>
    </w:p>
    <w:p w14:paraId="40351AD3"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i/>
          <w:iCs/>
          <w:color w:val="222222"/>
          <w:sz w:val="22"/>
          <w:szCs w:val="22"/>
        </w:rPr>
      </w:pPr>
      <w:r>
        <w:rPr>
          <w:rFonts w:ascii="Palatino Linotype" w:eastAsia="Palatino Linotype" w:hAnsi="Palatino Linotype" w:cs="Palatino Linotype"/>
          <w:b/>
          <w:bCs/>
          <w:i/>
          <w:iCs/>
          <w:color w:val="222222"/>
          <w:sz w:val="22"/>
          <w:szCs w:val="22"/>
        </w:rPr>
        <w:t>Cuarto.</w:t>
      </w:r>
      <w:r>
        <w:rPr>
          <w:rFonts w:ascii="Palatino Linotype" w:eastAsia="Palatino Linotype" w:hAnsi="Palatino Linotype" w:cs="Palatino Linotype"/>
          <w:i/>
          <w:iCs/>
          <w:color w:val="222222"/>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14:paraId="5052F3C8" w14:textId="77777777" w:rsidR="00F4722E" w:rsidRDefault="00F4722E">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p>
    <w:p w14:paraId="195F2569"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t>Quinto.</w:t>
      </w:r>
      <w:r>
        <w:rPr>
          <w:rFonts w:ascii="Palatino Linotype" w:eastAsia="Palatino Linotype" w:hAnsi="Palatino Linotype" w:cs="Palatino Linotype"/>
          <w:i/>
          <w:iCs/>
          <w:color w:val="222222"/>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22AFA3E"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 </w:t>
      </w:r>
    </w:p>
    <w:p w14:paraId="75CF1933"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t>Sexto.</w:t>
      </w:r>
      <w:r>
        <w:rPr>
          <w:rFonts w:ascii="Palatino Linotype" w:eastAsia="Palatino Linotype" w:hAnsi="Palatino Linotype" w:cs="Palatino Linotype"/>
          <w:i/>
          <w:iCs/>
          <w:color w:val="222222"/>
          <w:sz w:val="22"/>
          <w:szCs w:val="22"/>
        </w:rPr>
        <w:t> Los Sujetos Obligados no podrán emitir acuerdos de carácter general ni particular que clasifiquen documentos o expedientes como reservados, ni clasificar documentos antes de que se genere la información o cuando éstos no obren en sus archivos.</w:t>
      </w:r>
    </w:p>
    <w:p w14:paraId="2506C353"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La clasificación de información se realizará conforme a un análisis caso por caso, mediante la aplicación de la prueba de daño y de interés público.</w:t>
      </w:r>
    </w:p>
    <w:p w14:paraId="0F7FFC21"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 </w:t>
      </w:r>
    </w:p>
    <w:p w14:paraId="3BF84193"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lastRenderedPageBreak/>
        <w:t>Séptimo.</w:t>
      </w:r>
      <w:r>
        <w:rPr>
          <w:rFonts w:ascii="Palatino Linotype" w:eastAsia="Palatino Linotype" w:hAnsi="Palatino Linotype" w:cs="Palatino Linotype"/>
          <w:i/>
          <w:iCs/>
          <w:color w:val="222222"/>
          <w:sz w:val="22"/>
          <w:szCs w:val="22"/>
        </w:rPr>
        <w:t> La clasificación de la información se llevará a cabo en el momento en que: I. Se reciba una solicitud de acceso a la información;</w:t>
      </w:r>
    </w:p>
    <w:p w14:paraId="3DF87819"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II. Se determine mediante resolución de autoridad competente, o</w:t>
      </w:r>
    </w:p>
    <w:p w14:paraId="00242CCE"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III. Se generen versiones públicas para dar cumplimiento a las obligaciones de transparencia previstas en la Ley General, la Ley Federal y las correspondientes de las entidades federativas.</w:t>
      </w:r>
    </w:p>
    <w:p w14:paraId="06D78686"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Los titulares de las áreas deberán revisar la clasificación al momento de la recepción de una solicitud de acceso a la información, para verificar si encuadra en una causal de reserva o de confidencialidad.</w:t>
      </w:r>
    </w:p>
    <w:p w14:paraId="15507230"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 </w:t>
      </w:r>
    </w:p>
    <w:p w14:paraId="4A39636F"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t>Octavo.</w:t>
      </w:r>
      <w:r>
        <w:rPr>
          <w:rFonts w:ascii="Palatino Linotype" w:eastAsia="Palatino Linotype" w:hAnsi="Palatino Linotype" w:cs="Palatino Linotype"/>
          <w:i/>
          <w:iCs/>
          <w:color w:val="222222"/>
          <w:sz w:val="22"/>
          <w:szCs w:val="22"/>
        </w:rPr>
        <w:t> Para fundar la clasificación de la información se debe señalar el artículo, fracción, inciso, párrafo o numeral de la ley o tratado internacional suscrito por el Estado mexicano que expresamente le otorga el carácter de reservada o confidencial.</w:t>
      </w:r>
    </w:p>
    <w:p w14:paraId="16A87946"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Para motivar la clasificación se deberán señalar las razones o circunstancias especiales que lo llevaron a concluir que el caso particular se ajusta al supuesto previsto por la norma legal invocada como fundamento.</w:t>
      </w:r>
    </w:p>
    <w:p w14:paraId="5841296D"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En caso de referirse a información reservada, la motivación de la clasificación también deberá comprender las circunstancias que justifican el establecimiento de determinado plazo de reserva.</w:t>
      </w:r>
    </w:p>
    <w:p w14:paraId="56DF20E0"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8FD08E4"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E4AF2AA" w14:textId="77777777" w:rsidR="00F4722E" w:rsidRDefault="003228A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 </w:t>
      </w:r>
    </w:p>
    <w:p w14:paraId="0C4C2373" w14:textId="77777777" w:rsidR="00F4722E" w:rsidRDefault="003228AC">
      <w:pPr>
        <w:pBdr>
          <w:top w:val="nil"/>
          <w:left w:val="nil"/>
          <w:bottom w:val="nil"/>
          <w:right w:val="nil"/>
          <w:between w:val="nil"/>
        </w:pBdr>
        <w:shd w:val="clear" w:color="auto" w:fill="FFFFFF"/>
        <w:tabs>
          <w:tab w:val="left" w:pos="8222"/>
        </w:tabs>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i/>
          <w:iCs/>
          <w:color w:val="222222"/>
          <w:sz w:val="22"/>
          <w:szCs w:val="22"/>
        </w:rPr>
        <w:t>Décimo</w:t>
      </w:r>
      <w:r>
        <w:rPr>
          <w:rFonts w:ascii="Palatino Linotype" w:eastAsia="Palatino Linotype" w:hAnsi="Palatino Linotype" w:cs="Palatino Linotype"/>
          <w:i/>
          <w:iCs/>
          <w:color w:val="222222"/>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FF8B563" w14:textId="77777777" w:rsidR="00F4722E" w:rsidRDefault="003228AC">
      <w:pPr>
        <w:pBdr>
          <w:top w:val="nil"/>
          <w:left w:val="nil"/>
          <w:bottom w:val="nil"/>
          <w:right w:val="nil"/>
          <w:between w:val="nil"/>
        </w:pBdr>
        <w:shd w:val="clear" w:color="auto" w:fill="FFFFFF"/>
        <w:tabs>
          <w:tab w:val="left" w:pos="8222"/>
        </w:tabs>
        <w:ind w:left="567" w:right="56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iCs/>
          <w:color w:val="222222"/>
          <w:sz w:val="22"/>
          <w:szCs w:val="22"/>
        </w:rPr>
        <w:t>En ausencia de los titulares de las áreas, la información será clasificada o desclasificada por la persona que lo supla, en términos de la normativa que rija la actuación del sujeto obligado.</w:t>
      </w:r>
    </w:p>
    <w:p w14:paraId="63538329" w14:textId="77777777" w:rsidR="00F4722E" w:rsidRDefault="003228AC">
      <w:pPr>
        <w:shd w:val="clear" w:color="auto" w:fill="FFFFFF"/>
        <w:tabs>
          <w:tab w:val="left" w:pos="8222"/>
        </w:tabs>
        <w:ind w:left="567"/>
        <w:jc w:val="both"/>
        <w:rPr>
          <w:rFonts w:ascii="Palatino Linotype" w:eastAsia="Palatino Linotype" w:hAnsi="Palatino Linotype" w:cs="Palatino Linotype"/>
          <w:i/>
          <w:iCs/>
          <w:color w:val="222222"/>
          <w:sz w:val="22"/>
          <w:szCs w:val="22"/>
        </w:rPr>
      </w:pPr>
      <w:r>
        <w:rPr>
          <w:rFonts w:ascii="Palatino Linotype" w:eastAsia="Palatino Linotype" w:hAnsi="Palatino Linotype" w:cs="Palatino Linotype"/>
          <w:b/>
          <w:bCs/>
          <w:i/>
          <w:iCs/>
          <w:color w:val="222222"/>
          <w:sz w:val="22"/>
          <w:szCs w:val="22"/>
        </w:rPr>
        <w:lastRenderedPageBreak/>
        <w:t>Décimo primero</w:t>
      </w:r>
      <w:r>
        <w:rPr>
          <w:rFonts w:ascii="Palatino Linotype" w:eastAsia="Palatino Linotype" w:hAnsi="Palatino Linotype" w:cs="Palatino Linotype"/>
          <w:i/>
          <w:iCs/>
          <w:color w:val="222222"/>
          <w:sz w:val="22"/>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5DBA0D3" w14:textId="77777777" w:rsidR="00F4722E" w:rsidRDefault="00F4722E">
      <w:pPr>
        <w:shd w:val="clear" w:color="auto" w:fill="FFFFFF"/>
        <w:tabs>
          <w:tab w:val="left" w:pos="8222"/>
        </w:tabs>
        <w:jc w:val="both"/>
        <w:rPr>
          <w:rFonts w:ascii="Palatino Linotype" w:eastAsia="Palatino Linotype" w:hAnsi="Palatino Linotype" w:cs="Palatino Linotype"/>
          <w:sz w:val="22"/>
          <w:szCs w:val="22"/>
        </w:rPr>
      </w:pPr>
    </w:p>
    <w:p w14:paraId="25B58BD5"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En tal contexto se deberá proceder a la clasificación de los nombres de los elementos de policía </w:t>
      </w:r>
      <w:r>
        <w:rPr>
          <w:rFonts w:ascii="Palatino Linotype" w:eastAsia="Palatino Linotype" w:hAnsi="Palatino Linotype" w:cs="Palatino Linotype"/>
        </w:rPr>
        <w:t>que</w:t>
      </w:r>
      <w:r>
        <w:rPr>
          <w:rFonts w:ascii="Palatino Linotype" w:eastAsia="Palatino Linotype" w:hAnsi="Palatino Linotype" w:cs="Palatino Linotype"/>
          <w:color w:val="222222"/>
        </w:rPr>
        <w:t xml:space="preserve"> realicen actividades operativas en campo.</w:t>
      </w:r>
    </w:p>
    <w:p w14:paraId="40C2214D" w14:textId="77777777" w:rsidR="00F4722E" w:rsidRDefault="00F4722E">
      <w:pPr>
        <w:spacing w:line="360" w:lineRule="auto"/>
        <w:ind w:right="1"/>
        <w:jc w:val="both"/>
        <w:rPr>
          <w:rFonts w:ascii="Palatino Linotype" w:eastAsia="Palatino Linotype" w:hAnsi="Palatino Linotype" w:cs="Palatino Linotype"/>
          <w:b/>
          <w:bCs/>
        </w:rPr>
      </w:pPr>
    </w:p>
    <w:p w14:paraId="7284664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w:t>
      </w:r>
      <w:r>
        <w:rPr>
          <w:rFonts w:ascii="Palatino Linotype" w:eastAsia="Palatino Linotype" w:hAnsi="Palatino Linotype" w:cs="Palatino Linotype"/>
          <w:color w:val="222222"/>
        </w:rPr>
        <w:t>sentido</w:t>
      </w:r>
      <w:r>
        <w:rPr>
          <w:rFonts w:ascii="Palatino Linotype" w:eastAsia="Palatino Linotype" w:hAnsi="Palatino Linotype" w:cs="Palatino Linotype"/>
        </w:rPr>
        <w:t xml:space="preserv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deberá de emitir el Acuerdo del Comité de Transpare</w:t>
      </w:r>
      <w:r>
        <w:rPr>
          <w:rFonts w:ascii="Palatino Linotype" w:eastAsia="Palatino Linotype" w:hAnsi="Palatino Linotype" w:cs="Palatino Linotype"/>
          <w:color w:val="222222"/>
        </w:rPr>
        <w:t>n</w:t>
      </w:r>
      <w:r>
        <w:rPr>
          <w:rFonts w:ascii="Palatino Linotype" w:eastAsia="Palatino Linotype" w:hAnsi="Palatino Linotype" w:cs="Palatino Linotype"/>
        </w:rPr>
        <w:t>cia, mediante el cual de manera fundada y motivada establezca las razones por las cuales se clasifican como confidenciales los datos expuestos con anterioridad.</w:t>
      </w:r>
    </w:p>
    <w:p w14:paraId="5C54B3CB" w14:textId="77777777" w:rsidR="00F4722E" w:rsidRDefault="00F4722E">
      <w:pPr>
        <w:tabs>
          <w:tab w:val="left" w:pos="284"/>
        </w:tabs>
        <w:spacing w:line="360" w:lineRule="auto"/>
        <w:jc w:val="both"/>
        <w:rPr>
          <w:rFonts w:ascii="Palatino Linotype" w:eastAsia="Palatino Linotype" w:hAnsi="Palatino Linotype" w:cs="Palatino Linotype"/>
          <w:color w:val="000000"/>
        </w:rPr>
      </w:pPr>
    </w:p>
    <w:p w14:paraId="38825248"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Derivado de lo establecido en párrafos anteriores, si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incumple con estas formali</w:t>
      </w:r>
      <w:r>
        <w:rPr>
          <w:rFonts w:ascii="Palatino Linotype" w:eastAsia="Palatino Linotype" w:hAnsi="Palatino Linotype" w:cs="Palatino Linotype"/>
          <w:color w:val="222222"/>
        </w:rPr>
        <w:t xml:space="preserve">dades y entrega </w:t>
      </w:r>
      <w:r>
        <w:rPr>
          <w:rFonts w:ascii="Palatino Linotype" w:eastAsia="Palatino Linotype" w:hAnsi="Palatino Linotype" w:cs="Palatino Linotype"/>
        </w:rPr>
        <w:t>la</w:t>
      </w:r>
      <w:r>
        <w:rPr>
          <w:rFonts w:ascii="Palatino Linotype" w:eastAsia="Palatino Linotype" w:hAnsi="Palatino Linotype" w:cs="Palatino Linotype"/>
          <w:color w:val="222222"/>
        </w:rPr>
        <w:t xml:space="preserve"> información sin proteger los datos personales o testando datos considerados</w:t>
      </w:r>
      <w:r>
        <w:rPr>
          <w:rFonts w:ascii="Palatino Linotype" w:eastAsia="Palatino Linotype" w:hAnsi="Palatino Linotype" w:cs="Palatino Linotype"/>
        </w:rPr>
        <w:t xml:space="preserve"> como públicos incumple con lo que estipulan las disposiciones legales establecidas, asimismo que si entrega un documento testado sin el debido acuerdo de clasificación.</w:t>
      </w:r>
    </w:p>
    <w:p w14:paraId="7A9B5E55" w14:textId="77777777" w:rsidR="00F4722E" w:rsidRDefault="00F4722E">
      <w:pPr>
        <w:spacing w:line="360" w:lineRule="auto"/>
        <w:ind w:right="-787"/>
        <w:jc w:val="both"/>
        <w:rPr>
          <w:rFonts w:ascii="Palatino Linotype" w:eastAsia="Palatino Linotype" w:hAnsi="Palatino Linotype" w:cs="Palatino Linotype"/>
          <w:color w:val="000000"/>
        </w:rPr>
      </w:pPr>
    </w:p>
    <w:p w14:paraId="357EDC57" w14:textId="77777777" w:rsidR="00F4722E" w:rsidRDefault="003228AC">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w:t>
      </w:r>
      <w:r>
        <w:rPr>
          <w:rFonts w:ascii="Palatino Linotype" w:eastAsia="Palatino Linotype" w:hAnsi="Palatino Linotype" w:cs="Palatino Linotype"/>
          <w:color w:val="222222"/>
        </w:rPr>
        <w:t>expuesto</w:t>
      </w:r>
      <w:r>
        <w:rPr>
          <w:rFonts w:ascii="Palatino Linotype" w:eastAsia="Palatino Linotype" w:hAnsi="Palatino Linotype" w:cs="Palatino Linotype"/>
        </w:rPr>
        <w:t xml:space="preserve">, y con fundamento en lo prescrito en los artículos </w:t>
      </w:r>
      <w:r>
        <w:rPr>
          <w:rFonts w:ascii="Palatino Linotype" w:eastAsia="Palatino Linotype" w:hAnsi="Palatino Linotype" w:cs="Palatino Linotype"/>
          <w:color w:val="000000"/>
        </w:rPr>
        <w:t>5, párrafos cuadragésimo cuarto, cuadragésimo quinto y cuadragésimo sexto, fracciones IV y V, de la Constitución</w:t>
      </w:r>
      <w:r>
        <w:rPr>
          <w:rFonts w:ascii="Palatino Linotype" w:eastAsia="Palatino Linotype" w:hAnsi="Palatino Linotype" w:cs="Palatino Linotype"/>
        </w:rPr>
        <w:t xml:space="preserve"> Política del Estado Libre y Soberano de México; 2, fracción II; 29, 36 fracciones I y II; 176, 178, 179, 181 y 185 de la Ley de Transparencia y Acceso a la Información Pública del Estado de México y Municipios, este Pleno:</w:t>
      </w:r>
    </w:p>
    <w:p w14:paraId="5ED7BA03" w14:textId="77777777" w:rsidR="00F4722E" w:rsidRDefault="00F4722E">
      <w:pPr>
        <w:ind w:right="278"/>
        <w:rPr>
          <w:rFonts w:ascii="Palatino Linotype" w:eastAsia="Palatino Linotype" w:hAnsi="Palatino Linotype" w:cs="Palatino Linotype"/>
        </w:rPr>
      </w:pPr>
    </w:p>
    <w:p w14:paraId="79D7E31C" w14:textId="77777777" w:rsidR="005A3867" w:rsidRDefault="005A3867">
      <w:pPr>
        <w:ind w:right="278"/>
        <w:rPr>
          <w:rFonts w:ascii="Palatino Linotype" w:eastAsia="Palatino Linotype" w:hAnsi="Palatino Linotype" w:cs="Palatino Linotype"/>
        </w:rPr>
      </w:pPr>
    </w:p>
    <w:p w14:paraId="6A30ABC5" w14:textId="77777777" w:rsidR="005A3867" w:rsidRDefault="005A3867">
      <w:pPr>
        <w:ind w:right="278"/>
        <w:rPr>
          <w:rFonts w:ascii="Palatino Linotype" w:eastAsia="Palatino Linotype" w:hAnsi="Palatino Linotype" w:cs="Palatino Linotype"/>
        </w:rPr>
      </w:pPr>
    </w:p>
    <w:p w14:paraId="683A957B" w14:textId="77777777" w:rsidR="005A3867" w:rsidRDefault="005A3867">
      <w:pPr>
        <w:ind w:right="278"/>
        <w:rPr>
          <w:rFonts w:ascii="Palatino Linotype" w:eastAsia="Palatino Linotype" w:hAnsi="Palatino Linotype" w:cs="Palatino Linotype"/>
        </w:rPr>
      </w:pPr>
    </w:p>
    <w:p w14:paraId="2A85859F" w14:textId="77777777" w:rsidR="005A3867" w:rsidRDefault="005A3867">
      <w:pPr>
        <w:ind w:right="278"/>
        <w:rPr>
          <w:rFonts w:ascii="Palatino Linotype" w:eastAsia="Palatino Linotype" w:hAnsi="Palatino Linotype" w:cs="Palatino Linotype"/>
        </w:rPr>
      </w:pPr>
    </w:p>
    <w:p w14:paraId="1507FF13" w14:textId="77777777" w:rsidR="00F4722E" w:rsidRDefault="003228AC">
      <w:pPr>
        <w:spacing w:line="360" w:lineRule="auto"/>
        <w:ind w:right="-858"/>
        <w:jc w:val="center"/>
        <w:rPr>
          <w:rFonts w:ascii="Palatino Linotype" w:eastAsia="Palatino Linotype" w:hAnsi="Palatino Linotype" w:cs="Palatino Linotype"/>
          <w:b/>
          <w:bCs/>
        </w:rPr>
      </w:pPr>
      <w:r>
        <w:rPr>
          <w:rFonts w:ascii="Palatino Linotype" w:eastAsia="Palatino Linotype" w:hAnsi="Palatino Linotype" w:cs="Palatino Linotype"/>
          <w:b/>
          <w:bCs/>
        </w:rPr>
        <w:lastRenderedPageBreak/>
        <w:t>R E S U E L V E</w:t>
      </w:r>
    </w:p>
    <w:p w14:paraId="6ED14AA6" w14:textId="77777777" w:rsidR="00F4722E" w:rsidRDefault="00F4722E">
      <w:pPr>
        <w:spacing w:line="360" w:lineRule="auto"/>
        <w:ind w:right="-787"/>
        <w:jc w:val="center"/>
        <w:rPr>
          <w:rFonts w:ascii="Palatino Linotype" w:eastAsia="Palatino Linotype" w:hAnsi="Palatino Linotype" w:cs="Palatino Linotype"/>
          <w:b/>
          <w:bCs/>
        </w:rPr>
      </w:pPr>
    </w:p>
    <w:p w14:paraId="6E29BED5" w14:textId="77777777" w:rsidR="00F4722E" w:rsidRDefault="003228AC">
      <w:pPr>
        <w:spacing w:line="360" w:lineRule="auto"/>
        <w:ind w:right="-858"/>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bCs/>
        </w:rPr>
        <w:t>FUNDADAS</w:t>
      </w:r>
      <w:r>
        <w:rPr>
          <w:rFonts w:ascii="Palatino Linotype" w:eastAsia="Palatino Linotype" w:hAnsi="Palatino Linotype" w:cs="Palatino Linotype"/>
        </w:rPr>
        <w:t xml:space="preserve"> las razones o motivos de inconformidad hechos valer en los Recursos de Revisión </w:t>
      </w:r>
      <w:r>
        <w:rPr>
          <w:rFonts w:ascii="Palatino Linotype" w:eastAsia="Palatino Linotype" w:hAnsi="Palatino Linotype" w:cs="Palatino Linotype"/>
          <w:b/>
          <w:bCs/>
        </w:rPr>
        <w:t xml:space="preserve">02058/INFOEM/IP/RR/2026 y 02059/INFOEM/IP/RR/2026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bCs/>
        </w:rPr>
        <w:t xml:space="preserve">CUARTO y QUINTO </w:t>
      </w:r>
      <w:r>
        <w:rPr>
          <w:rFonts w:ascii="Palatino Linotype" w:eastAsia="Palatino Linotype" w:hAnsi="Palatino Linotype" w:cs="Palatino Linotype"/>
        </w:rPr>
        <w:t xml:space="preserve">de la presente resolución. </w:t>
      </w:r>
    </w:p>
    <w:p w14:paraId="528AED62" w14:textId="77777777" w:rsidR="00F4722E" w:rsidRDefault="00F4722E">
      <w:pPr>
        <w:spacing w:line="360" w:lineRule="auto"/>
        <w:ind w:right="-858"/>
        <w:jc w:val="both"/>
        <w:rPr>
          <w:rFonts w:ascii="Palatino Linotype" w:eastAsia="Palatino Linotype" w:hAnsi="Palatino Linotype" w:cs="Palatino Linotype"/>
        </w:rPr>
      </w:pPr>
    </w:p>
    <w:p w14:paraId="36C1BA1E" w14:textId="77777777" w:rsidR="00F4722E" w:rsidRDefault="003228AC">
      <w:pPr>
        <w:spacing w:line="360" w:lineRule="auto"/>
        <w:ind w:right="-858"/>
        <w:jc w:val="both"/>
        <w:rPr>
          <w:rFonts w:ascii="Palatino Linotype" w:eastAsia="Palatino Linotype" w:hAnsi="Palatino Linotype" w:cs="Palatino Linotype"/>
        </w:rPr>
      </w:pPr>
      <w:bookmarkStart w:id="5" w:name="_heading=h.26in1rg" w:colFirst="0" w:colLast="0"/>
      <w:bookmarkEnd w:id="5"/>
      <w:r>
        <w:rPr>
          <w:rFonts w:ascii="Palatino Linotype" w:eastAsia="Palatino Linotype" w:hAnsi="Palatino Linotype" w:cs="Palatino Linotype"/>
          <w:b/>
          <w:bCs/>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bCs/>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bCs/>
        </w:rPr>
        <w:t>Ayuntamiento de Toluca,</w:t>
      </w:r>
      <w:r>
        <w:rPr>
          <w:rFonts w:ascii="Palatino Linotype" w:eastAsia="Palatino Linotype" w:hAnsi="Palatino Linotype" w:cs="Palatino Linotype"/>
        </w:rPr>
        <w:t xml:space="preserve"> a las solicitudes de información pública registradas con el número</w:t>
      </w:r>
      <w:r>
        <w:rPr>
          <w:rFonts w:ascii="Palatino Linotype" w:eastAsia="Palatino Linotype" w:hAnsi="Palatino Linotype" w:cs="Palatino Linotype"/>
          <w:b/>
          <w:bCs/>
        </w:rPr>
        <w:t xml:space="preserve"> 00803/TOLUCA/IP/2026 y 00802/TOLUCA/IP/2026 </w:t>
      </w:r>
      <w:r>
        <w:rPr>
          <w:rFonts w:ascii="Palatino Linotype" w:eastAsia="Palatino Linotype" w:hAnsi="Palatino Linotype" w:cs="Palatino Linotype"/>
        </w:rPr>
        <w:t xml:space="preserve">y se </w:t>
      </w:r>
      <w:r>
        <w:rPr>
          <w:rFonts w:ascii="Palatino Linotype" w:eastAsia="Palatino Linotype" w:hAnsi="Palatino Linotype" w:cs="Palatino Linotype"/>
          <w:b/>
          <w:bCs/>
        </w:rPr>
        <w:t>ORDENA</w:t>
      </w:r>
      <w:r>
        <w:rPr>
          <w:rFonts w:ascii="Palatino Linotype" w:eastAsia="Palatino Linotype" w:hAnsi="Palatino Linotype" w:cs="Palatino Linotype"/>
        </w:rPr>
        <w:t xml:space="preserve"> entregar vía Sistema de Acceso a la Información Mexiquense </w:t>
      </w:r>
      <w:r>
        <w:rPr>
          <w:rFonts w:ascii="Palatino Linotype" w:eastAsia="Palatino Linotype" w:hAnsi="Palatino Linotype" w:cs="Palatino Linotype"/>
          <w:b/>
          <w:bCs/>
        </w:rPr>
        <w:t xml:space="preserve">(SAIMEX), </w:t>
      </w:r>
      <w:r>
        <w:rPr>
          <w:rFonts w:ascii="Palatino Linotype" w:eastAsia="Palatino Linotype" w:hAnsi="Palatino Linotype" w:cs="Palatino Linotype"/>
        </w:rPr>
        <w:t>previa búsqueda exhaustiva y razonable,</w:t>
      </w:r>
      <w:r>
        <w:rPr>
          <w:rFonts w:ascii="Palatino Linotype" w:eastAsia="Palatino Linotype" w:hAnsi="Palatino Linotype" w:cs="Palatino Linotype"/>
          <w:b/>
          <w:bCs/>
        </w:rPr>
        <w:t xml:space="preserve"> </w:t>
      </w:r>
      <w:r>
        <w:rPr>
          <w:rFonts w:ascii="Palatino Linotype" w:eastAsia="Palatino Linotype" w:hAnsi="Palatino Linotype" w:cs="Palatino Linotype"/>
        </w:rPr>
        <w:t>de ser procedente</w:t>
      </w:r>
      <w:r>
        <w:rPr>
          <w:rFonts w:ascii="Palatino Linotype" w:eastAsia="Palatino Linotype" w:hAnsi="Palatino Linotype" w:cs="Palatino Linotype"/>
          <w:b/>
          <w:bCs/>
        </w:rPr>
        <w:t xml:space="preserve"> </w:t>
      </w:r>
      <w:r>
        <w:rPr>
          <w:rFonts w:ascii="Palatino Linotype" w:eastAsia="Palatino Linotype" w:hAnsi="Palatino Linotype" w:cs="Palatino Linotype"/>
        </w:rPr>
        <w:t>en versión pública, la siguiente información:</w:t>
      </w:r>
    </w:p>
    <w:p w14:paraId="410DF1DB" w14:textId="77777777" w:rsidR="00F4722E" w:rsidRDefault="00F4722E">
      <w:pPr>
        <w:spacing w:line="360" w:lineRule="auto"/>
        <w:ind w:right="-858"/>
        <w:jc w:val="both"/>
        <w:rPr>
          <w:rFonts w:ascii="Palatino Linotype" w:eastAsia="Palatino Linotype" w:hAnsi="Palatino Linotype" w:cs="Palatino Linotype"/>
        </w:rPr>
      </w:pPr>
    </w:p>
    <w:p w14:paraId="4F043A0C" w14:textId="77777777" w:rsidR="00F4722E" w:rsidRDefault="003228AC">
      <w:pPr>
        <w:numPr>
          <w:ilvl w:val="0"/>
          <w:numId w:val="4"/>
        </w:numPr>
        <w:spacing w:line="360" w:lineRule="auto"/>
        <w:ind w:left="993" w:right="-85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 todo el personal, del 01 de enero de 2025 al 26 de enero de 2026:</w:t>
      </w:r>
    </w:p>
    <w:p w14:paraId="7033AFE1" w14:textId="77777777" w:rsidR="00F4722E" w:rsidRDefault="003228AC">
      <w:pPr>
        <w:numPr>
          <w:ilvl w:val="1"/>
          <w:numId w:val="4"/>
        </w:numPr>
        <w:spacing w:line="360" w:lineRule="auto"/>
        <w:ind w:left="1418" w:right="-85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El documento en el que conste o se advierta la plantilla de personal con nombre, cargo, categoría, sueldo bruto, sueldo neto, área de adscripción y fecha de baja.</w:t>
      </w:r>
    </w:p>
    <w:p w14:paraId="09EF3C8F" w14:textId="77777777" w:rsidR="00F4722E" w:rsidRDefault="003228AC">
      <w:pPr>
        <w:numPr>
          <w:ilvl w:val="1"/>
          <w:numId w:val="4"/>
        </w:numPr>
        <w:spacing w:line="360" w:lineRule="auto"/>
        <w:ind w:left="1418" w:right="-85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Currículum vitae o documento análogo</w:t>
      </w:r>
    </w:p>
    <w:p w14:paraId="39F2EA21" w14:textId="77777777" w:rsidR="00F4722E" w:rsidRDefault="003228AC">
      <w:pPr>
        <w:numPr>
          <w:ilvl w:val="1"/>
          <w:numId w:val="4"/>
        </w:numPr>
        <w:spacing w:line="360" w:lineRule="auto"/>
        <w:ind w:left="1418" w:right="-85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Último</w:t>
      </w:r>
      <w:r>
        <w:rPr>
          <w:rFonts w:ascii="Palatino Linotype" w:eastAsia="Palatino Linotype" w:hAnsi="Palatino Linotype" w:cs="Palatino Linotype"/>
          <w:b/>
          <w:bCs/>
          <w:color w:val="000000"/>
        </w:rPr>
        <w:t xml:space="preserve"> comprobante de estudios.</w:t>
      </w:r>
    </w:p>
    <w:p w14:paraId="370CC5F6" w14:textId="77777777" w:rsidR="00F4722E" w:rsidRDefault="00F4722E">
      <w:pPr>
        <w:spacing w:line="360" w:lineRule="auto"/>
        <w:ind w:right="-858"/>
        <w:jc w:val="both"/>
        <w:rPr>
          <w:rFonts w:ascii="Palatino Linotype" w:eastAsia="Palatino Linotype" w:hAnsi="Palatino Linotype" w:cs="Palatino Linotype"/>
          <w:b/>
          <w:bCs/>
        </w:rPr>
      </w:pPr>
    </w:p>
    <w:p w14:paraId="00133D45" w14:textId="77777777" w:rsidR="00F4722E" w:rsidRDefault="003228AC">
      <w:pPr>
        <w:spacing w:line="360" w:lineRule="auto"/>
        <w:ind w:left="567" w:right="-6"/>
        <w:jc w:val="both"/>
        <w:rPr>
          <w:rFonts w:ascii="Palatino Linotype" w:eastAsia="Palatino Linotype" w:hAnsi="Palatino Linotype" w:cs="Palatino Linotype"/>
          <w:b/>
          <w:bCs/>
        </w:rPr>
      </w:pPr>
      <w:r>
        <w:rPr>
          <w:rFonts w:ascii="Palatino Linotype" w:eastAsia="Palatino Linotype" w:hAnsi="Palatino Linotype" w:cs="Palatino Linotype"/>
        </w:rPr>
        <w:t xml:space="preserve">Para efecto de lo anterior, de ser procedente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w:t>
      </w:r>
      <w:r>
        <w:rPr>
          <w:rFonts w:ascii="Palatino Linotype" w:eastAsia="Palatino Linotype" w:hAnsi="Palatino Linotype" w:cs="Palatino Linotype"/>
        </w:rPr>
        <w:lastRenderedPageBreak/>
        <w:t xml:space="preserve">objeto de las versiones públicas que se formulen, y se pongan a disposición de la parte </w:t>
      </w:r>
      <w:r>
        <w:rPr>
          <w:rFonts w:ascii="Palatino Linotype" w:eastAsia="Palatino Linotype" w:hAnsi="Palatino Linotype" w:cs="Palatino Linotype"/>
          <w:b/>
          <w:bCs/>
        </w:rPr>
        <w:t>RECURRENTE.</w:t>
      </w:r>
    </w:p>
    <w:p w14:paraId="7D223DCE" w14:textId="77777777" w:rsidR="00F4722E" w:rsidRDefault="00F4722E">
      <w:pPr>
        <w:spacing w:line="360" w:lineRule="auto"/>
        <w:ind w:left="567" w:right="-6"/>
        <w:jc w:val="both"/>
        <w:rPr>
          <w:rFonts w:ascii="Palatino Linotype" w:eastAsia="Palatino Linotype" w:hAnsi="Palatino Linotype" w:cs="Palatino Linotype"/>
          <w:b/>
          <w:bCs/>
        </w:rPr>
      </w:pPr>
    </w:p>
    <w:p w14:paraId="25A9FB74" w14:textId="77777777" w:rsidR="00F4722E" w:rsidRDefault="003228AC">
      <w:pPr>
        <w:spacing w:line="360" w:lineRule="auto"/>
        <w:ind w:left="567" w:right="-6"/>
        <w:jc w:val="both"/>
        <w:rPr>
          <w:rFonts w:ascii="Palatino Linotype" w:eastAsia="Palatino Linotype" w:hAnsi="Palatino Linotype" w:cs="Palatino Linotype"/>
          <w:b/>
          <w:bCs/>
          <w:color w:val="000000"/>
        </w:rPr>
      </w:pPr>
      <w:bookmarkStart w:id="6" w:name="_heading=h.a57bwc1unq9y" w:colFirst="0" w:colLast="0"/>
      <w:bookmarkEnd w:id="6"/>
      <w:r>
        <w:rPr>
          <w:rFonts w:ascii="Palatino Linotype" w:eastAsia="Palatino Linotype" w:hAnsi="Palatino Linotype" w:cs="Palatino Linotype"/>
        </w:rPr>
        <w:t xml:space="preserve">Para el caso de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luego de la búsqueda exhaustiva y razonable, no cuente con la información que se ordena en el inciso 3), para los servidores </w:t>
      </w:r>
      <w:r w:rsidRPr="00D005B1">
        <w:rPr>
          <w:rFonts w:ascii="Palatino Linotype" w:eastAsia="Palatino Linotype" w:hAnsi="Palatino Linotype" w:cs="Palatino Linotype"/>
        </w:rPr>
        <w:t>públicos</w:t>
      </w:r>
      <w:r w:rsidR="00D2789C" w:rsidRPr="00D005B1">
        <w:rPr>
          <w:rFonts w:ascii="Palatino Linotype" w:eastAsia="Palatino Linotype" w:hAnsi="Palatino Linotype" w:cs="Palatino Linotype"/>
        </w:rPr>
        <w:t xml:space="preserve"> que desempeñan un cargo de elección popular</w:t>
      </w:r>
      <w:r w:rsidRPr="00D005B1">
        <w:rPr>
          <w:rFonts w:ascii="Palatino Linotype" w:eastAsia="Palatino Linotype" w:hAnsi="Palatino Linotype" w:cs="Palatino Linotype"/>
        </w:rPr>
        <w:t>,</w:t>
      </w:r>
      <w:r>
        <w:rPr>
          <w:rFonts w:ascii="Palatino Linotype" w:eastAsia="Palatino Linotype" w:hAnsi="Palatino Linotype" w:cs="Palatino Linotype"/>
        </w:rPr>
        <w:t xml:space="preserve"> por no ser una obligación normativa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bastará que lo haga del conocimiento del RECURRENTE al momento de dar cumplimiento a la presente Resolución, en términos del artículo 19, párrafo segundo, de la Ley de Transparencia y Acceso a la Información Pública del Estado de México y Municipios</w:t>
      </w:r>
    </w:p>
    <w:p w14:paraId="05205CBF" w14:textId="77777777" w:rsidR="00F4722E" w:rsidRDefault="00F4722E">
      <w:pPr>
        <w:spacing w:line="360" w:lineRule="auto"/>
        <w:ind w:left="567" w:right="-6"/>
        <w:jc w:val="both"/>
        <w:rPr>
          <w:rFonts w:ascii="Palatino Linotype" w:eastAsia="Palatino Linotype" w:hAnsi="Palatino Linotype" w:cs="Palatino Linotype"/>
          <w:b/>
          <w:bCs/>
        </w:rPr>
      </w:pPr>
    </w:p>
    <w:p w14:paraId="4592C96D" w14:textId="77777777" w:rsidR="00F4722E" w:rsidRDefault="00F4722E">
      <w:pPr>
        <w:spacing w:line="360" w:lineRule="auto"/>
        <w:ind w:right="-858"/>
        <w:jc w:val="both"/>
        <w:rPr>
          <w:rFonts w:ascii="Palatino Linotype" w:eastAsia="Palatino Linotype" w:hAnsi="Palatino Linotype" w:cs="Palatino Linotype"/>
        </w:rPr>
      </w:pPr>
    </w:p>
    <w:p w14:paraId="2B4643B9" w14:textId="77777777" w:rsidR="00F4722E" w:rsidRDefault="003228AC">
      <w:pPr>
        <w:tabs>
          <w:tab w:val="left" w:pos="8080"/>
        </w:tabs>
        <w:spacing w:line="360" w:lineRule="auto"/>
        <w:ind w:right="49"/>
        <w:jc w:val="both"/>
        <w:rPr>
          <w:rFonts w:ascii="Palatino Linotype" w:eastAsia="Palatino Linotype" w:hAnsi="Palatino Linotype" w:cs="Palatino Linotype"/>
          <w:b/>
          <w:bCs/>
        </w:rPr>
      </w:pPr>
      <w:r>
        <w:rPr>
          <w:rFonts w:ascii="Palatino Linotype" w:eastAsia="Palatino Linotype" w:hAnsi="Palatino Linotype" w:cs="Palatino Linotype"/>
          <w:b/>
          <w:bCs/>
        </w:rPr>
        <w:t xml:space="preserve">TERCERO. NOTIFÍQUESE </w:t>
      </w:r>
      <w:r>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A0E3FA" w14:textId="77777777" w:rsidR="00F4722E" w:rsidRDefault="00F4722E">
      <w:pPr>
        <w:tabs>
          <w:tab w:val="left" w:pos="8080"/>
        </w:tabs>
        <w:spacing w:line="360" w:lineRule="auto"/>
        <w:ind w:right="49"/>
        <w:jc w:val="both"/>
        <w:rPr>
          <w:rFonts w:ascii="Palatino Linotype" w:eastAsia="Palatino Linotype" w:hAnsi="Palatino Linotype" w:cs="Palatino Linotype"/>
        </w:rPr>
      </w:pPr>
    </w:p>
    <w:p w14:paraId="5456CA81" w14:textId="77777777" w:rsidR="00F4722E" w:rsidRDefault="003228A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20A3AB27" w14:textId="77777777" w:rsidR="00F4722E" w:rsidRDefault="00F4722E">
      <w:pPr>
        <w:spacing w:line="360" w:lineRule="auto"/>
        <w:ind w:right="-858"/>
        <w:jc w:val="both"/>
        <w:rPr>
          <w:rFonts w:ascii="Palatino Linotype" w:eastAsia="Palatino Linotype" w:hAnsi="Palatino Linotype" w:cs="Palatino Linotype"/>
        </w:rPr>
      </w:pPr>
    </w:p>
    <w:p w14:paraId="41E9CD69" w14:textId="77777777" w:rsidR="00F4722E" w:rsidRDefault="003228AC">
      <w:pPr>
        <w:spacing w:line="360" w:lineRule="auto"/>
        <w:ind w:right="4"/>
        <w:jc w:val="both"/>
        <w:rPr>
          <w:rFonts w:ascii="Palatino Linotype" w:eastAsia="Palatino Linotype" w:hAnsi="Palatino Linotype" w:cs="Palatino Linotype"/>
        </w:rPr>
      </w:pPr>
      <w:r>
        <w:rPr>
          <w:rFonts w:ascii="Palatino Linotype" w:eastAsia="Palatino Linotype" w:hAnsi="Palatino Linotype" w:cs="Palatino Linotype"/>
          <w:b/>
          <w:bCs/>
        </w:rPr>
        <w:t>QUINTO. NOTIFÍQUESE</w:t>
      </w:r>
      <w:r>
        <w:rPr>
          <w:rFonts w:ascii="Palatino Linotype" w:eastAsia="Palatino Linotype" w:hAnsi="Palatino Linotype" w:cs="Palatino Linotype"/>
        </w:rPr>
        <w:t xml:space="preserve"> la presente resolución a la parte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a través del Sistema de Acceso a la Información Mexiquense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417A119B" w14:textId="77777777" w:rsidR="00F4722E" w:rsidRDefault="00F4722E">
      <w:pPr>
        <w:spacing w:line="360" w:lineRule="auto"/>
        <w:ind w:right="4"/>
        <w:jc w:val="both"/>
        <w:rPr>
          <w:rFonts w:ascii="Palatino Linotype" w:eastAsia="Palatino Linotype" w:hAnsi="Palatino Linotype" w:cs="Palatino Linotype"/>
        </w:rPr>
      </w:pPr>
    </w:p>
    <w:p w14:paraId="7062DEF6" w14:textId="717A0A1E" w:rsidR="00042AFF" w:rsidRPr="003E2295" w:rsidRDefault="00042AFF" w:rsidP="00042AFF">
      <w:pPr>
        <w:spacing w:before="240" w:after="240" w:line="360" w:lineRule="auto"/>
        <w:ind w:firstLine="1"/>
        <w:jc w:val="both"/>
        <w:rPr>
          <w:rFonts w:ascii="Palatino Linotype" w:hAnsi="Palatino Linotype"/>
        </w:rPr>
      </w:pPr>
      <w:bookmarkStart w:id="7" w:name="_Hlk99014733"/>
      <w:r w:rsidRPr="003E2295">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1160F9">
        <w:rPr>
          <w:rFonts w:ascii="Palatino Linotype" w:hAnsi="Palatino Linotype" w:cs="Palatino Linotype"/>
        </w:rPr>
        <w:t xml:space="preserve"> </w:t>
      </w:r>
      <w:r w:rsidR="001160F9">
        <w:rPr>
          <w:rFonts w:ascii="Palatino Linotype" w:hAnsi="Palatino Linotype" w:cs="Palatino Linotype"/>
          <w:sz w:val="22"/>
        </w:rPr>
        <w:t>EMITIENDO VOTO PARTICULAR</w:t>
      </w:r>
      <w:r w:rsidRPr="003E2295">
        <w:rPr>
          <w:rFonts w:ascii="Palatino Linotype" w:hAnsi="Palatino Linotype" w:cs="Palatino Linotype"/>
        </w:rPr>
        <w:t>, MARÍA DEL ROSARIO MEJÍA AYALA</w:t>
      </w:r>
      <w:r w:rsidR="001160F9">
        <w:rPr>
          <w:rFonts w:ascii="Palatino Linotype" w:hAnsi="Palatino Linotype" w:cs="Palatino Linotype"/>
        </w:rPr>
        <w:t xml:space="preserve"> </w:t>
      </w:r>
      <w:r w:rsidR="001160F9">
        <w:rPr>
          <w:rFonts w:ascii="Palatino Linotype" w:hAnsi="Palatino Linotype" w:cs="Palatino Linotype"/>
          <w:sz w:val="22"/>
        </w:rPr>
        <w:t>EMITIENDO VOTO PARTICULAR</w:t>
      </w:r>
      <w:r w:rsidRPr="003E2295">
        <w:rPr>
          <w:rFonts w:ascii="Palatino Linotype" w:hAnsi="Palatino Linotype" w:cs="Palatino Linotype"/>
        </w:rPr>
        <w:t>, SHARON CRISTINA MORALES MARTÍNEZ</w:t>
      </w:r>
      <w:r w:rsidR="001160F9">
        <w:rPr>
          <w:rFonts w:ascii="Palatino Linotype" w:hAnsi="Palatino Linotype" w:cs="Palatino Linotype"/>
        </w:rPr>
        <w:t xml:space="preserve"> </w:t>
      </w:r>
      <w:r w:rsidR="001160F9">
        <w:rPr>
          <w:rFonts w:ascii="Palatino Linotype" w:hAnsi="Palatino Linotype" w:cs="Palatino Linotype"/>
          <w:sz w:val="22"/>
        </w:rPr>
        <w:t>EMITIENDO VOTO PARTICULAR</w:t>
      </w:r>
      <w:r w:rsidRPr="003E2295">
        <w:rPr>
          <w:rFonts w:ascii="Palatino Linotype" w:hAnsi="Palatino Linotype" w:cs="Palatino Linotype"/>
        </w:rPr>
        <w:t>, LUIS GUSTAVO PARRA NORIEGA</w:t>
      </w:r>
      <w:r w:rsidR="001160F9">
        <w:rPr>
          <w:rFonts w:ascii="Palatino Linotype" w:hAnsi="Palatino Linotype" w:cs="Palatino Linotype"/>
        </w:rPr>
        <w:t xml:space="preserve"> </w:t>
      </w:r>
      <w:r w:rsidR="001160F9">
        <w:rPr>
          <w:rFonts w:ascii="Palatino Linotype" w:hAnsi="Palatino Linotype" w:cs="Palatino Linotype"/>
          <w:sz w:val="22"/>
        </w:rPr>
        <w:t>EMITIENDO VOTO PARTICULAR</w:t>
      </w:r>
      <w:r w:rsidRPr="003E2295">
        <w:rPr>
          <w:rFonts w:ascii="Palatino Linotype" w:hAnsi="Palatino Linotype" w:cs="Palatino Linotype"/>
        </w:rPr>
        <w:t xml:space="preserve"> Y GUADALUPE RAMÍREZ PEÑA</w:t>
      </w:r>
      <w:r w:rsidR="001160F9">
        <w:rPr>
          <w:rFonts w:ascii="Palatino Linotype" w:hAnsi="Palatino Linotype" w:cs="Palatino Linotype"/>
          <w:sz w:val="22"/>
        </w:rPr>
        <w:t>EMITIENDO VOTO PARTICULAR</w:t>
      </w:r>
      <w:r w:rsidRPr="003E2295">
        <w:rPr>
          <w:rFonts w:ascii="Palatino Linotype" w:hAnsi="Palatino Linotype" w:cs="Palatino Linotype"/>
        </w:rPr>
        <w:t xml:space="preserve">;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7"/>
    <w:p w14:paraId="0EE93923" w14:textId="77777777" w:rsidR="00F4722E" w:rsidRDefault="00F4722E">
      <w:pPr>
        <w:spacing w:line="360" w:lineRule="auto"/>
        <w:ind w:right="-787"/>
        <w:jc w:val="both"/>
        <w:rPr>
          <w:rFonts w:ascii="Palatino Linotype" w:eastAsia="Palatino Linotype" w:hAnsi="Palatino Linotype" w:cs="Palatino Linotype"/>
        </w:rPr>
      </w:pPr>
    </w:p>
    <w:p w14:paraId="2441A41F" w14:textId="77777777" w:rsidR="00F4722E" w:rsidRDefault="00F4722E">
      <w:pPr>
        <w:spacing w:line="360" w:lineRule="auto"/>
        <w:ind w:right="-787"/>
        <w:jc w:val="both"/>
        <w:rPr>
          <w:rFonts w:ascii="Palatino Linotype" w:eastAsia="Palatino Linotype" w:hAnsi="Palatino Linotype" w:cs="Palatino Linotype"/>
        </w:rPr>
      </w:pPr>
    </w:p>
    <w:p w14:paraId="0541F9C7" w14:textId="77777777" w:rsidR="00F4722E" w:rsidRDefault="00F4722E">
      <w:pPr>
        <w:spacing w:line="360" w:lineRule="auto"/>
        <w:ind w:right="-787"/>
        <w:jc w:val="both"/>
        <w:rPr>
          <w:rFonts w:ascii="Palatino Linotype" w:eastAsia="Palatino Linotype" w:hAnsi="Palatino Linotype" w:cs="Palatino Linotype"/>
        </w:rPr>
      </w:pPr>
    </w:p>
    <w:p w14:paraId="4F1809D4" w14:textId="77777777" w:rsidR="00F4722E" w:rsidRDefault="00F4722E">
      <w:pPr>
        <w:spacing w:line="360" w:lineRule="auto"/>
        <w:ind w:right="-787"/>
        <w:jc w:val="both"/>
        <w:rPr>
          <w:rFonts w:ascii="Palatino Linotype" w:eastAsia="Palatino Linotype" w:hAnsi="Palatino Linotype" w:cs="Palatino Linotype"/>
        </w:rPr>
      </w:pPr>
    </w:p>
    <w:p w14:paraId="683DEF3E" w14:textId="77777777" w:rsidR="00F4722E" w:rsidRDefault="00F4722E">
      <w:pPr>
        <w:spacing w:line="360" w:lineRule="auto"/>
        <w:ind w:right="-787"/>
        <w:jc w:val="both"/>
        <w:rPr>
          <w:rFonts w:ascii="Palatino Linotype" w:eastAsia="Palatino Linotype" w:hAnsi="Palatino Linotype" w:cs="Palatino Linotype"/>
        </w:rPr>
      </w:pPr>
    </w:p>
    <w:p w14:paraId="2B100693" w14:textId="77777777" w:rsidR="00F4722E" w:rsidRDefault="00F4722E">
      <w:pPr>
        <w:spacing w:line="360" w:lineRule="auto"/>
        <w:ind w:right="-787"/>
        <w:jc w:val="both"/>
        <w:rPr>
          <w:rFonts w:ascii="Palatino Linotype" w:eastAsia="Palatino Linotype" w:hAnsi="Palatino Linotype" w:cs="Palatino Linotype"/>
        </w:rPr>
      </w:pPr>
    </w:p>
    <w:p w14:paraId="20D90235" w14:textId="77777777" w:rsidR="00F4722E" w:rsidRDefault="00F4722E">
      <w:pPr>
        <w:spacing w:line="360" w:lineRule="auto"/>
        <w:ind w:right="-787"/>
        <w:jc w:val="both"/>
        <w:rPr>
          <w:rFonts w:ascii="Palatino Linotype" w:eastAsia="Palatino Linotype" w:hAnsi="Palatino Linotype" w:cs="Palatino Linotype"/>
        </w:rPr>
      </w:pPr>
    </w:p>
    <w:p w14:paraId="403665B3" w14:textId="77777777" w:rsidR="00F4722E" w:rsidRDefault="00F4722E">
      <w:pPr>
        <w:spacing w:line="360" w:lineRule="auto"/>
        <w:ind w:right="-787"/>
        <w:rPr>
          <w:rFonts w:ascii="Palatino Linotype" w:eastAsia="Palatino Linotype" w:hAnsi="Palatino Linotype" w:cs="Palatino Linotype"/>
        </w:rPr>
      </w:pPr>
    </w:p>
    <w:p w14:paraId="01E85195" w14:textId="77777777" w:rsidR="00F4722E" w:rsidRDefault="00F4722E">
      <w:pPr>
        <w:spacing w:line="360" w:lineRule="auto"/>
        <w:ind w:right="-787"/>
        <w:rPr>
          <w:rFonts w:ascii="Palatino Linotype" w:eastAsia="Palatino Linotype" w:hAnsi="Palatino Linotype" w:cs="Palatino Linotype"/>
        </w:rPr>
      </w:pPr>
    </w:p>
    <w:p w14:paraId="488E7488" w14:textId="77777777" w:rsidR="00F4722E" w:rsidRDefault="00F4722E">
      <w:pPr>
        <w:spacing w:line="360" w:lineRule="auto"/>
        <w:ind w:right="-787"/>
        <w:rPr>
          <w:rFonts w:ascii="Palatino Linotype" w:eastAsia="Palatino Linotype" w:hAnsi="Palatino Linotype" w:cs="Palatino Linotype"/>
        </w:rPr>
      </w:pPr>
    </w:p>
    <w:p w14:paraId="1C19501D" w14:textId="77777777" w:rsidR="00F4722E" w:rsidRDefault="00F4722E">
      <w:pPr>
        <w:spacing w:line="360" w:lineRule="auto"/>
        <w:ind w:right="-787"/>
        <w:rPr>
          <w:rFonts w:ascii="Palatino Linotype" w:eastAsia="Palatino Linotype" w:hAnsi="Palatino Linotype" w:cs="Palatino Linotype"/>
        </w:rPr>
      </w:pPr>
    </w:p>
    <w:p w14:paraId="122336B0" w14:textId="77777777" w:rsidR="00F4722E" w:rsidRDefault="00F4722E">
      <w:pPr>
        <w:spacing w:line="360" w:lineRule="auto"/>
        <w:ind w:right="-787"/>
        <w:rPr>
          <w:rFonts w:ascii="Palatino Linotype" w:eastAsia="Palatino Linotype" w:hAnsi="Palatino Linotype" w:cs="Palatino Linotype"/>
        </w:rPr>
      </w:pPr>
    </w:p>
    <w:p w14:paraId="6BF5C2B8" w14:textId="77777777" w:rsidR="00F4722E" w:rsidRDefault="00F4722E">
      <w:pPr>
        <w:spacing w:line="360" w:lineRule="auto"/>
        <w:ind w:right="-787"/>
        <w:rPr>
          <w:rFonts w:ascii="Palatino Linotype" w:eastAsia="Palatino Linotype" w:hAnsi="Palatino Linotype" w:cs="Palatino Linotype"/>
        </w:rPr>
      </w:pPr>
    </w:p>
    <w:p w14:paraId="4E3C034E" w14:textId="77777777" w:rsidR="00F4722E" w:rsidRDefault="00F4722E">
      <w:pPr>
        <w:spacing w:line="360" w:lineRule="auto"/>
        <w:ind w:right="-787"/>
        <w:rPr>
          <w:rFonts w:ascii="Palatino Linotype" w:eastAsia="Palatino Linotype" w:hAnsi="Palatino Linotype" w:cs="Palatino Linotype"/>
        </w:rPr>
      </w:pPr>
    </w:p>
    <w:p w14:paraId="6F57A7EA" w14:textId="77777777" w:rsidR="00F4722E" w:rsidRDefault="003228AC">
      <w:pPr>
        <w:tabs>
          <w:tab w:val="left" w:pos="3374"/>
        </w:tabs>
        <w:spacing w:line="360" w:lineRule="auto"/>
        <w:ind w:right="-787"/>
        <w:rPr>
          <w:rFonts w:ascii="Palatino Linotype" w:eastAsia="Palatino Linotype" w:hAnsi="Palatino Linotype" w:cs="Palatino Linotype"/>
        </w:rPr>
      </w:pPr>
      <w:bookmarkStart w:id="8" w:name="_heading=h.lnxbz9" w:colFirst="0" w:colLast="0"/>
      <w:bookmarkEnd w:id="8"/>
      <w:r>
        <w:rPr>
          <w:rFonts w:ascii="Palatino Linotype" w:eastAsia="Palatino Linotype" w:hAnsi="Palatino Linotype" w:cs="Palatino Linotype"/>
        </w:rPr>
        <w:tab/>
      </w:r>
    </w:p>
    <w:sectPr w:rsidR="00F4722E">
      <w:headerReference w:type="even" r:id="rId15"/>
      <w:headerReference w:type="default" r:id="rId16"/>
      <w:footerReference w:type="default" r:id="rId17"/>
      <w:headerReference w:type="first" r:id="rId18"/>
      <w:footerReference w:type="first" r:id="rId19"/>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88B10" w14:textId="77777777" w:rsidR="003D1EA0" w:rsidRDefault="003D1EA0">
      <w:r>
        <w:separator/>
      </w:r>
    </w:p>
  </w:endnote>
  <w:endnote w:type="continuationSeparator" w:id="0">
    <w:p w14:paraId="6F5B5FE4" w14:textId="77777777" w:rsidR="003D1EA0" w:rsidRDefault="003D1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C07AC0C5-692D-4724-A088-D1708A75A1C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00CE33D-7C16-49EC-82BA-B51E218D01D8}"/>
    <w:embedBold r:id="rId3" w:fontKey="{A21C2463-FAAF-4337-8D1E-B5CE7C1A15BE}"/>
    <w:embedItalic r:id="rId4" w:fontKey="{23B8A092-12C1-4167-80FB-BC288E35D99B}"/>
    <w:embedBoldItalic r:id="rId5" w:fontKey="{B169A09D-1D90-4D33-8408-801AEE76A7F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48DCB42-57B0-4CBF-A2AC-8EBF10D338B6}"/>
    <w:embedBold r:id="rId7" w:fontKey="{00D86966-2C85-4265-A874-93E19D06916D}"/>
  </w:font>
  <w:font w:name="Calibri Light">
    <w:panose1 w:val="020F0302020204030204"/>
    <w:charset w:val="00"/>
    <w:family w:val="swiss"/>
    <w:pitch w:val="variable"/>
    <w:sig w:usb0="E4002EFF" w:usb1="C200247B" w:usb2="00000009" w:usb3="00000000" w:csb0="000001FF" w:csb1="00000000"/>
    <w:embedRegular r:id="rId8" w:fontKey="{00EE9B46-7BCA-4B49-B25A-35AF8AFD0B2D}"/>
  </w:font>
  <w:font w:name="Georgia">
    <w:panose1 w:val="02040502050405020303"/>
    <w:charset w:val="00"/>
    <w:family w:val="roman"/>
    <w:pitch w:val="variable"/>
    <w:sig w:usb0="00000287" w:usb1="00000000" w:usb2="00000000" w:usb3="00000000" w:csb0="0000009F" w:csb1="00000000"/>
    <w:embedItalic r:id="rId9" w:fontKey="{26271D10-A9D6-4AD3-8F83-630D2EE917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350F2" w14:textId="77777777" w:rsidR="0073530A" w:rsidRDefault="0073530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A3867">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A3867">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14:paraId="2CE544AF" w14:textId="77777777" w:rsidR="0073530A" w:rsidRDefault="0073530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EC3BB" w14:textId="77777777" w:rsidR="0073530A" w:rsidRDefault="0073530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A3867">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A3867">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14:paraId="0C77CD68" w14:textId="77777777" w:rsidR="0073530A" w:rsidRDefault="0073530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55159" w14:textId="77777777" w:rsidR="003D1EA0" w:rsidRDefault="003D1EA0">
      <w:r>
        <w:separator/>
      </w:r>
    </w:p>
  </w:footnote>
  <w:footnote w:type="continuationSeparator" w:id="0">
    <w:p w14:paraId="411FDC45" w14:textId="77777777" w:rsidR="003D1EA0" w:rsidRDefault="003D1EA0">
      <w:r>
        <w:continuationSeparator/>
      </w:r>
    </w:p>
  </w:footnote>
  <w:footnote w:id="1">
    <w:p w14:paraId="5FC3B322" w14:textId="77777777" w:rsidR="0073530A" w:rsidRDefault="007353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A4904" w14:textId="77777777" w:rsidR="0073530A" w:rsidRDefault="003D1EA0">
    <w:pPr>
      <w:pBdr>
        <w:top w:val="nil"/>
        <w:left w:val="nil"/>
        <w:bottom w:val="nil"/>
        <w:right w:val="nil"/>
        <w:between w:val="nil"/>
      </w:pBdr>
      <w:tabs>
        <w:tab w:val="center" w:pos="4419"/>
        <w:tab w:val="right" w:pos="8838"/>
      </w:tabs>
      <w:rPr>
        <w:color w:val="000000"/>
      </w:rPr>
    </w:pPr>
    <w:r>
      <w:rPr>
        <w:color w:val="000000"/>
      </w:rPr>
      <w:pict w14:anchorId="5ACD8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D4400" w14:textId="77777777" w:rsidR="0073530A" w:rsidRDefault="0073530A">
    <w:pPr>
      <w:widowControl w:val="0"/>
      <w:pBdr>
        <w:top w:val="nil"/>
        <w:left w:val="nil"/>
        <w:bottom w:val="nil"/>
        <w:right w:val="nil"/>
        <w:between w:val="nil"/>
      </w:pBdr>
      <w:spacing w:line="276" w:lineRule="auto"/>
      <w:rPr>
        <w:color w:val="000000"/>
      </w:rPr>
    </w:pPr>
  </w:p>
  <w:tbl>
    <w:tblPr>
      <w:tblStyle w:val="aa"/>
      <w:tblW w:w="6761" w:type="dxa"/>
      <w:tblInd w:w="3261" w:type="dxa"/>
      <w:tblLayout w:type="fixed"/>
      <w:tblLook w:val="0400" w:firstRow="0" w:lastRow="0" w:firstColumn="0" w:lastColumn="0" w:noHBand="0" w:noVBand="1"/>
    </w:tblPr>
    <w:tblGrid>
      <w:gridCol w:w="2509"/>
      <w:gridCol w:w="4252"/>
    </w:tblGrid>
    <w:tr w:rsidR="0073530A" w14:paraId="32E7568F" w14:textId="77777777">
      <w:trPr>
        <w:trHeight w:val="227"/>
      </w:trPr>
      <w:tc>
        <w:tcPr>
          <w:tcW w:w="2509" w:type="dxa"/>
        </w:tcPr>
        <w:p w14:paraId="05068D3E" w14:textId="77777777" w:rsidR="0073530A" w:rsidRDefault="0073530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2" w:type="dxa"/>
        </w:tcPr>
        <w:p w14:paraId="676543CF" w14:textId="3BCA2E2F" w:rsidR="0073530A" w:rsidRDefault="00042AFF">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02058/INFOEM/IP/RR/2026</w:t>
          </w:r>
          <w:r w:rsidR="0073530A">
            <w:rPr>
              <w:rFonts w:ascii="Palatino Linotype" w:eastAsia="Palatino Linotype" w:hAnsi="Palatino Linotype" w:cs="Palatino Linotype"/>
              <w:color w:val="000000"/>
              <w:sz w:val="22"/>
              <w:szCs w:val="22"/>
            </w:rPr>
            <w:t xml:space="preserve"> y </w:t>
          </w:r>
          <w:r w:rsidR="0073530A">
            <w:rPr>
              <w:rFonts w:ascii="Palatino Linotype" w:eastAsia="Palatino Linotype" w:hAnsi="Palatino Linotype" w:cs="Palatino Linotype"/>
              <w:sz w:val="22"/>
              <w:szCs w:val="22"/>
            </w:rPr>
            <w:t>A</w:t>
          </w:r>
          <w:r w:rsidR="0073530A">
            <w:rPr>
              <w:rFonts w:ascii="Palatino Linotype" w:eastAsia="Palatino Linotype" w:hAnsi="Palatino Linotype" w:cs="Palatino Linotype"/>
              <w:color w:val="000000"/>
              <w:sz w:val="22"/>
              <w:szCs w:val="22"/>
            </w:rPr>
            <w:t>cumulado</w:t>
          </w:r>
        </w:p>
      </w:tc>
    </w:tr>
    <w:tr w:rsidR="0073530A" w14:paraId="108711E0" w14:textId="77777777">
      <w:trPr>
        <w:trHeight w:val="342"/>
      </w:trPr>
      <w:tc>
        <w:tcPr>
          <w:tcW w:w="2509" w:type="dxa"/>
        </w:tcPr>
        <w:p w14:paraId="6FF0772D" w14:textId="77777777" w:rsidR="0073530A" w:rsidRDefault="0073530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2" w:type="dxa"/>
        </w:tcPr>
        <w:p w14:paraId="7718E145" w14:textId="77777777" w:rsidR="0073530A" w:rsidRDefault="0073530A">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Toluca</w:t>
          </w:r>
        </w:p>
      </w:tc>
    </w:tr>
    <w:tr w:rsidR="0073530A" w14:paraId="2641EC5A" w14:textId="77777777">
      <w:trPr>
        <w:trHeight w:val="342"/>
      </w:trPr>
      <w:tc>
        <w:tcPr>
          <w:tcW w:w="2509" w:type="dxa"/>
        </w:tcPr>
        <w:p w14:paraId="28C570F4" w14:textId="77777777" w:rsidR="0073530A" w:rsidRDefault="0073530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252" w:type="dxa"/>
        </w:tcPr>
        <w:p w14:paraId="398B0B6B" w14:textId="77777777" w:rsidR="0073530A" w:rsidRDefault="0073530A">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4A15026D" w14:textId="77777777" w:rsidR="0073530A" w:rsidRDefault="003D1EA0">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19649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968D4" w14:textId="77777777" w:rsidR="0073530A" w:rsidRDefault="0073530A">
    <w:pPr>
      <w:widowControl w:val="0"/>
      <w:pBdr>
        <w:top w:val="nil"/>
        <w:left w:val="nil"/>
        <w:bottom w:val="nil"/>
        <w:right w:val="nil"/>
        <w:between w:val="nil"/>
      </w:pBdr>
      <w:spacing w:line="276" w:lineRule="auto"/>
      <w:rPr>
        <w:color w:val="000000"/>
        <w:sz w:val="14"/>
        <w:szCs w:val="14"/>
      </w:rPr>
    </w:pPr>
  </w:p>
  <w:tbl>
    <w:tblPr>
      <w:tblStyle w:val="ab"/>
      <w:tblW w:w="6761" w:type="dxa"/>
      <w:tblInd w:w="3261" w:type="dxa"/>
      <w:tblLayout w:type="fixed"/>
      <w:tblLook w:val="0400" w:firstRow="0" w:lastRow="0" w:firstColumn="0" w:lastColumn="0" w:noHBand="0" w:noVBand="1"/>
    </w:tblPr>
    <w:tblGrid>
      <w:gridCol w:w="2509"/>
      <w:gridCol w:w="4252"/>
    </w:tblGrid>
    <w:tr w:rsidR="0073530A" w14:paraId="662BE8E2" w14:textId="77777777">
      <w:trPr>
        <w:trHeight w:val="227"/>
      </w:trPr>
      <w:tc>
        <w:tcPr>
          <w:tcW w:w="2509" w:type="dxa"/>
        </w:tcPr>
        <w:p w14:paraId="63F7304E" w14:textId="77777777" w:rsidR="0073530A" w:rsidRDefault="0073530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2" w:type="dxa"/>
        </w:tcPr>
        <w:p w14:paraId="1D050F62" w14:textId="77777777" w:rsidR="0073530A" w:rsidRDefault="0073530A" w:rsidP="00B55858">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02058/INFOEM/IP/RR/2026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w:t>
          </w:r>
        </w:p>
      </w:tc>
    </w:tr>
    <w:tr w:rsidR="0073530A" w14:paraId="3296ACE3" w14:textId="77777777">
      <w:trPr>
        <w:trHeight w:val="242"/>
      </w:trPr>
      <w:tc>
        <w:tcPr>
          <w:tcW w:w="2509" w:type="dxa"/>
        </w:tcPr>
        <w:p w14:paraId="3D920E7A" w14:textId="77777777" w:rsidR="0073530A" w:rsidRDefault="0073530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252" w:type="dxa"/>
        </w:tcPr>
        <w:p w14:paraId="27423923" w14:textId="77777777" w:rsidR="0073530A" w:rsidRDefault="0073530A">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 w:val="22"/>
              <w:szCs w:val="22"/>
              <w:highlight w:val="green"/>
            </w:rPr>
          </w:pPr>
        </w:p>
      </w:tc>
    </w:tr>
    <w:tr w:rsidR="0073530A" w14:paraId="19C796F8" w14:textId="77777777">
      <w:trPr>
        <w:trHeight w:val="342"/>
      </w:trPr>
      <w:tc>
        <w:tcPr>
          <w:tcW w:w="2509" w:type="dxa"/>
        </w:tcPr>
        <w:p w14:paraId="59734AA5" w14:textId="77777777" w:rsidR="0073530A" w:rsidRDefault="0073530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2" w:type="dxa"/>
        </w:tcPr>
        <w:p w14:paraId="37036F0A" w14:textId="77777777" w:rsidR="0073530A" w:rsidRDefault="0073530A">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Toluca</w:t>
          </w:r>
        </w:p>
      </w:tc>
    </w:tr>
    <w:tr w:rsidR="0073530A" w14:paraId="76FF37C4" w14:textId="77777777">
      <w:trPr>
        <w:trHeight w:val="342"/>
      </w:trPr>
      <w:tc>
        <w:tcPr>
          <w:tcW w:w="2509" w:type="dxa"/>
        </w:tcPr>
        <w:p w14:paraId="18F774C0" w14:textId="77777777" w:rsidR="0073530A" w:rsidRDefault="0073530A">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252" w:type="dxa"/>
        </w:tcPr>
        <w:p w14:paraId="68469641" w14:textId="77777777" w:rsidR="0073530A" w:rsidRDefault="0073530A">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380B5995" w14:textId="77777777" w:rsidR="0073530A" w:rsidRDefault="003D1EA0">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42415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D79C5"/>
    <w:multiLevelType w:val="multilevel"/>
    <w:tmpl w:val="78BAE18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DB2A87"/>
    <w:multiLevelType w:val="multilevel"/>
    <w:tmpl w:val="7FBE19AC"/>
    <w:lvl w:ilvl="0">
      <w:start w:val="1"/>
      <w:numFmt w:val="bullet"/>
      <w:lvlText w:val="●"/>
      <w:lvlJc w:val="left"/>
      <w:pPr>
        <w:ind w:left="1854" w:hanging="360"/>
      </w:pPr>
      <w:rPr>
        <w:rFonts w:ascii="Noto Sans Symbols" w:eastAsia="Noto Sans Symbols" w:hAnsi="Noto Sans Symbols" w:cs="Noto Sans Symbols"/>
      </w:rPr>
    </w:lvl>
    <w:lvl w:ilvl="1">
      <w:start w:val="1"/>
      <w:numFmt w:val="decimal"/>
      <w:lvlText w:val="%2)"/>
      <w:lvlJc w:val="left"/>
      <w:pPr>
        <w:ind w:left="2574" w:hanging="360"/>
      </w:p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 w15:restartNumberingAfterBreak="0">
    <w:nsid w:val="222B7459"/>
    <w:multiLevelType w:val="multilevel"/>
    <w:tmpl w:val="A28A116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31C224E6"/>
    <w:multiLevelType w:val="multilevel"/>
    <w:tmpl w:val="8C02B1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1984D47"/>
    <w:multiLevelType w:val="multilevel"/>
    <w:tmpl w:val="ACA0E36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9E2936"/>
    <w:multiLevelType w:val="multilevel"/>
    <w:tmpl w:val="7EC61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442700"/>
    <w:multiLevelType w:val="multilevel"/>
    <w:tmpl w:val="AAFC041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6"/>
  </w:num>
  <w:num w:numId="2">
    <w:abstractNumId w:val="5"/>
  </w:num>
  <w:num w:numId="3">
    <w:abstractNumId w:val="2"/>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2E"/>
    <w:rsid w:val="00042AFF"/>
    <w:rsid w:val="000A4E0E"/>
    <w:rsid w:val="001160F9"/>
    <w:rsid w:val="00123AEC"/>
    <w:rsid w:val="00275146"/>
    <w:rsid w:val="003228AC"/>
    <w:rsid w:val="003D1EA0"/>
    <w:rsid w:val="004B442A"/>
    <w:rsid w:val="004C0AA0"/>
    <w:rsid w:val="005A3867"/>
    <w:rsid w:val="005E7F1D"/>
    <w:rsid w:val="0067368E"/>
    <w:rsid w:val="0073530A"/>
    <w:rsid w:val="00A2088A"/>
    <w:rsid w:val="00AA39AC"/>
    <w:rsid w:val="00B55858"/>
    <w:rsid w:val="00C61F14"/>
    <w:rsid w:val="00C977A1"/>
    <w:rsid w:val="00D005B1"/>
    <w:rsid w:val="00D2789C"/>
    <w:rsid w:val="00D42AF0"/>
    <w:rsid w:val="00DA1E86"/>
    <w:rsid w:val="00DD6A2E"/>
    <w:rsid w:val="00F472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C240E1"/>
  <w15:docId w15:val="{346A4797-BF9F-472C-BFE8-9DEFA7F8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7"/>
      </w:numPr>
      <w:contextualSpacing/>
    </w:pPr>
    <w:rPr>
      <w:rFonts w:ascii="Times New Roman" w:eastAsia="Times New Roman" w:hAnsi="Times New Roman" w:cs="Times New Roman"/>
      <w:sz w:val="20"/>
      <w:szCs w:val="20"/>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tucedula.mx/"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2025/abril/abr011/abr011a.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osfem.gob.mx/entidades/documentos_apoyo.html" TargetMode="External"/><Relationship Id="rId14" Type="http://schemas.openxmlformats.org/officeDocument/2006/relationships/hyperlink" Target="https://www.cedulaprofesional.sep.gob.mx/cedula/presidencia/indexAvanzada.ac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5MPYgyaxHJFYStLEN7Q1mziJw==">CgMxLjAyCGguZ2pkZ3hzMgloLjN6bnlzaDcyCWguMmV0OTJwMDIJaC4xdDNoNXNmMgloLjI2aW4xcmcyDmguYTU3YndjMXVucTl5MghoLmxueGJ6OTgAciExUHUxbnUwNHE1TTN6WFJQZGpaSHlVS3BLcElLLW9OTlA=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14683</Words>
  <Characters>80757</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8</cp:revision>
  <cp:lastPrinted>2026-04-10T16:06:00Z</cp:lastPrinted>
  <dcterms:created xsi:type="dcterms:W3CDTF">2026-04-07T18:20:00Z</dcterms:created>
  <dcterms:modified xsi:type="dcterms:W3CDTF">2026-04-10T20:22:00Z</dcterms:modified>
</cp:coreProperties>
</file>