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121425032"/>
        <w:docPartObj>
          <w:docPartGallery w:val="Table of Contents"/>
          <w:docPartUnique/>
        </w:docPartObj>
      </w:sdtPr>
      <w:sdtEndPr>
        <w:rPr>
          <w:b/>
          <w:bCs/>
        </w:rPr>
      </w:sdtEndPr>
      <w:sdtContent>
        <w:p w14:paraId="77029BB4" w14:textId="2EE4FA89" w:rsidR="00206AD5" w:rsidRDefault="00206AD5">
          <w:pPr>
            <w:pStyle w:val="TtulodeTDC"/>
          </w:pPr>
          <w:r>
            <w:rPr>
              <w:lang w:val="es-ES"/>
            </w:rPr>
            <w:t>Tabla de contenido</w:t>
          </w:r>
        </w:p>
        <w:p w14:paraId="4A8B6FAE" w14:textId="3E0644CD" w:rsidR="00C9047A" w:rsidRDefault="00206AD5">
          <w:pPr>
            <w:pStyle w:val="TDC1"/>
            <w:tabs>
              <w:tab w:val="right" w:leader="dot" w:pos="9204"/>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26633791" w:history="1">
            <w:r w:rsidR="00C9047A" w:rsidRPr="0066753D">
              <w:rPr>
                <w:rStyle w:val="Hipervnculo"/>
                <w:noProof/>
              </w:rPr>
              <w:t>A N T E C E D E N T E S</w:t>
            </w:r>
            <w:r w:rsidR="00C9047A">
              <w:rPr>
                <w:noProof/>
                <w:webHidden/>
              </w:rPr>
              <w:tab/>
            </w:r>
            <w:r w:rsidR="00C9047A">
              <w:rPr>
                <w:noProof/>
                <w:webHidden/>
              </w:rPr>
              <w:fldChar w:fldCharType="begin"/>
            </w:r>
            <w:r w:rsidR="00C9047A">
              <w:rPr>
                <w:noProof/>
                <w:webHidden/>
              </w:rPr>
              <w:instrText xml:space="preserve"> PAGEREF _Toc226633791 \h </w:instrText>
            </w:r>
            <w:r w:rsidR="00C9047A">
              <w:rPr>
                <w:noProof/>
                <w:webHidden/>
              </w:rPr>
            </w:r>
            <w:r w:rsidR="00C9047A">
              <w:rPr>
                <w:noProof/>
                <w:webHidden/>
              </w:rPr>
              <w:fldChar w:fldCharType="separate"/>
            </w:r>
            <w:r w:rsidR="0049161C">
              <w:rPr>
                <w:noProof/>
                <w:webHidden/>
              </w:rPr>
              <w:t>2</w:t>
            </w:r>
            <w:r w:rsidR="00C9047A">
              <w:rPr>
                <w:noProof/>
                <w:webHidden/>
              </w:rPr>
              <w:fldChar w:fldCharType="end"/>
            </w:r>
          </w:hyperlink>
        </w:p>
        <w:p w14:paraId="624845AB" w14:textId="7C5B9D61" w:rsidR="00C9047A" w:rsidRDefault="00E459CA">
          <w:pPr>
            <w:pStyle w:val="TDC2"/>
            <w:tabs>
              <w:tab w:val="right" w:leader="dot" w:pos="9204"/>
            </w:tabs>
            <w:rPr>
              <w:rFonts w:asciiTheme="minorHAnsi" w:eastAsiaTheme="minorEastAsia" w:hAnsiTheme="minorHAnsi" w:cstheme="minorBidi"/>
              <w:noProof/>
              <w:kern w:val="2"/>
              <w14:ligatures w14:val="standardContextual"/>
            </w:rPr>
          </w:pPr>
          <w:hyperlink w:anchor="_Toc226633792" w:history="1">
            <w:r w:rsidR="00C9047A" w:rsidRPr="0066753D">
              <w:rPr>
                <w:rStyle w:val="Hipervnculo"/>
                <w:noProof/>
              </w:rPr>
              <w:t>I. Presentación de la solicitud de información</w:t>
            </w:r>
            <w:r w:rsidR="00C9047A">
              <w:rPr>
                <w:noProof/>
                <w:webHidden/>
              </w:rPr>
              <w:tab/>
            </w:r>
            <w:r w:rsidR="00C9047A">
              <w:rPr>
                <w:noProof/>
                <w:webHidden/>
              </w:rPr>
              <w:fldChar w:fldCharType="begin"/>
            </w:r>
            <w:r w:rsidR="00C9047A">
              <w:rPr>
                <w:noProof/>
                <w:webHidden/>
              </w:rPr>
              <w:instrText xml:space="preserve"> PAGEREF _Toc226633792 \h </w:instrText>
            </w:r>
            <w:r w:rsidR="00C9047A">
              <w:rPr>
                <w:noProof/>
                <w:webHidden/>
              </w:rPr>
            </w:r>
            <w:r w:rsidR="00C9047A">
              <w:rPr>
                <w:noProof/>
                <w:webHidden/>
              </w:rPr>
              <w:fldChar w:fldCharType="separate"/>
            </w:r>
            <w:r w:rsidR="0049161C">
              <w:rPr>
                <w:noProof/>
                <w:webHidden/>
              </w:rPr>
              <w:t>2</w:t>
            </w:r>
            <w:r w:rsidR="00C9047A">
              <w:rPr>
                <w:noProof/>
                <w:webHidden/>
              </w:rPr>
              <w:fldChar w:fldCharType="end"/>
            </w:r>
          </w:hyperlink>
        </w:p>
        <w:p w14:paraId="09A59AB3" w14:textId="271215B5" w:rsidR="00C9047A" w:rsidRDefault="00E459CA">
          <w:pPr>
            <w:pStyle w:val="TDC2"/>
            <w:tabs>
              <w:tab w:val="right" w:leader="dot" w:pos="9204"/>
            </w:tabs>
            <w:rPr>
              <w:rFonts w:asciiTheme="minorHAnsi" w:eastAsiaTheme="minorEastAsia" w:hAnsiTheme="minorHAnsi" w:cstheme="minorBidi"/>
              <w:noProof/>
              <w:kern w:val="2"/>
              <w14:ligatures w14:val="standardContextual"/>
            </w:rPr>
          </w:pPr>
          <w:hyperlink w:anchor="_Toc226633793" w:history="1">
            <w:r w:rsidR="00C9047A" w:rsidRPr="0066753D">
              <w:rPr>
                <w:rStyle w:val="Hipervnculo"/>
                <w:noProof/>
              </w:rPr>
              <w:t>II. Respuesta del Sujeto Obligado</w:t>
            </w:r>
            <w:r w:rsidR="00C9047A">
              <w:rPr>
                <w:noProof/>
                <w:webHidden/>
              </w:rPr>
              <w:tab/>
            </w:r>
            <w:r w:rsidR="00C9047A">
              <w:rPr>
                <w:noProof/>
                <w:webHidden/>
              </w:rPr>
              <w:fldChar w:fldCharType="begin"/>
            </w:r>
            <w:r w:rsidR="00C9047A">
              <w:rPr>
                <w:noProof/>
                <w:webHidden/>
              </w:rPr>
              <w:instrText xml:space="preserve"> PAGEREF _Toc226633793 \h </w:instrText>
            </w:r>
            <w:r w:rsidR="00C9047A">
              <w:rPr>
                <w:noProof/>
                <w:webHidden/>
              </w:rPr>
            </w:r>
            <w:r w:rsidR="00C9047A">
              <w:rPr>
                <w:noProof/>
                <w:webHidden/>
              </w:rPr>
              <w:fldChar w:fldCharType="separate"/>
            </w:r>
            <w:r w:rsidR="0049161C">
              <w:rPr>
                <w:noProof/>
                <w:webHidden/>
              </w:rPr>
              <w:t>3</w:t>
            </w:r>
            <w:r w:rsidR="00C9047A">
              <w:rPr>
                <w:noProof/>
                <w:webHidden/>
              </w:rPr>
              <w:fldChar w:fldCharType="end"/>
            </w:r>
          </w:hyperlink>
        </w:p>
        <w:p w14:paraId="312C75E2" w14:textId="59D7BB5C" w:rsidR="00C9047A" w:rsidRDefault="00E459CA">
          <w:pPr>
            <w:pStyle w:val="TDC2"/>
            <w:tabs>
              <w:tab w:val="right" w:leader="dot" w:pos="9204"/>
            </w:tabs>
            <w:rPr>
              <w:rFonts w:asciiTheme="minorHAnsi" w:eastAsiaTheme="minorEastAsia" w:hAnsiTheme="minorHAnsi" w:cstheme="minorBidi"/>
              <w:noProof/>
              <w:kern w:val="2"/>
              <w14:ligatures w14:val="standardContextual"/>
            </w:rPr>
          </w:pPr>
          <w:hyperlink w:anchor="_Toc226633794" w:history="1">
            <w:r w:rsidR="00C9047A" w:rsidRPr="0066753D">
              <w:rPr>
                <w:rStyle w:val="Hipervnculo"/>
                <w:noProof/>
              </w:rPr>
              <w:t>III. Interposición del Recurso de Revisión</w:t>
            </w:r>
            <w:r w:rsidR="00C9047A">
              <w:rPr>
                <w:noProof/>
                <w:webHidden/>
              </w:rPr>
              <w:tab/>
            </w:r>
            <w:r w:rsidR="00C9047A">
              <w:rPr>
                <w:noProof/>
                <w:webHidden/>
              </w:rPr>
              <w:fldChar w:fldCharType="begin"/>
            </w:r>
            <w:r w:rsidR="00C9047A">
              <w:rPr>
                <w:noProof/>
                <w:webHidden/>
              </w:rPr>
              <w:instrText xml:space="preserve"> PAGEREF _Toc226633794 \h </w:instrText>
            </w:r>
            <w:r w:rsidR="00C9047A">
              <w:rPr>
                <w:noProof/>
                <w:webHidden/>
              </w:rPr>
            </w:r>
            <w:r w:rsidR="00C9047A">
              <w:rPr>
                <w:noProof/>
                <w:webHidden/>
              </w:rPr>
              <w:fldChar w:fldCharType="separate"/>
            </w:r>
            <w:r w:rsidR="0049161C">
              <w:rPr>
                <w:noProof/>
                <w:webHidden/>
              </w:rPr>
              <w:t>3</w:t>
            </w:r>
            <w:r w:rsidR="00C9047A">
              <w:rPr>
                <w:noProof/>
                <w:webHidden/>
              </w:rPr>
              <w:fldChar w:fldCharType="end"/>
            </w:r>
          </w:hyperlink>
        </w:p>
        <w:p w14:paraId="11B32311" w14:textId="3EB42618" w:rsidR="00C9047A" w:rsidRDefault="00E459CA">
          <w:pPr>
            <w:pStyle w:val="TDC2"/>
            <w:tabs>
              <w:tab w:val="right" w:leader="dot" w:pos="9204"/>
            </w:tabs>
            <w:rPr>
              <w:rFonts w:asciiTheme="minorHAnsi" w:eastAsiaTheme="minorEastAsia" w:hAnsiTheme="minorHAnsi" w:cstheme="minorBidi"/>
              <w:noProof/>
              <w:kern w:val="2"/>
              <w14:ligatures w14:val="standardContextual"/>
            </w:rPr>
          </w:pPr>
          <w:hyperlink w:anchor="_Toc226633795" w:history="1">
            <w:r w:rsidR="00C9047A" w:rsidRPr="0066753D">
              <w:rPr>
                <w:rStyle w:val="Hipervnculo"/>
                <w:noProof/>
              </w:rPr>
              <w:t>IV. Trámite del Recurso de Revisión ante este Instituto</w:t>
            </w:r>
            <w:r w:rsidR="00C9047A">
              <w:rPr>
                <w:noProof/>
                <w:webHidden/>
              </w:rPr>
              <w:tab/>
            </w:r>
            <w:r w:rsidR="00C9047A">
              <w:rPr>
                <w:noProof/>
                <w:webHidden/>
              </w:rPr>
              <w:fldChar w:fldCharType="begin"/>
            </w:r>
            <w:r w:rsidR="00C9047A">
              <w:rPr>
                <w:noProof/>
                <w:webHidden/>
              </w:rPr>
              <w:instrText xml:space="preserve"> PAGEREF _Toc226633795 \h </w:instrText>
            </w:r>
            <w:r w:rsidR="00C9047A">
              <w:rPr>
                <w:noProof/>
                <w:webHidden/>
              </w:rPr>
            </w:r>
            <w:r w:rsidR="00C9047A">
              <w:rPr>
                <w:noProof/>
                <w:webHidden/>
              </w:rPr>
              <w:fldChar w:fldCharType="separate"/>
            </w:r>
            <w:r w:rsidR="0049161C">
              <w:rPr>
                <w:noProof/>
                <w:webHidden/>
              </w:rPr>
              <w:t>4</w:t>
            </w:r>
            <w:r w:rsidR="00C9047A">
              <w:rPr>
                <w:noProof/>
                <w:webHidden/>
              </w:rPr>
              <w:fldChar w:fldCharType="end"/>
            </w:r>
          </w:hyperlink>
        </w:p>
        <w:p w14:paraId="2054ECFD" w14:textId="12686526" w:rsidR="00C9047A" w:rsidRDefault="00E459CA">
          <w:pPr>
            <w:pStyle w:val="TDC1"/>
            <w:tabs>
              <w:tab w:val="right" w:leader="dot" w:pos="9204"/>
            </w:tabs>
            <w:rPr>
              <w:rFonts w:asciiTheme="minorHAnsi" w:eastAsiaTheme="minorEastAsia" w:hAnsiTheme="minorHAnsi" w:cstheme="minorBidi"/>
              <w:noProof/>
              <w:kern w:val="2"/>
              <w14:ligatures w14:val="standardContextual"/>
            </w:rPr>
          </w:pPr>
          <w:hyperlink w:anchor="_Toc226633796" w:history="1">
            <w:r w:rsidR="00C9047A" w:rsidRPr="0066753D">
              <w:rPr>
                <w:rStyle w:val="Hipervnculo"/>
                <w:noProof/>
              </w:rPr>
              <w:t>C O N S I D E R A N D O S</w:t>
            </w:r>
            <w:r w:rsidR="00C9047A">
              <w:rPr>
                <w:noProof/>
                <w:webHidden/>
              </w:rPr>
              <w:tab/>
            </w:r>
            <w:r w:rsidR="00C9047A">
              <w:rPr>
                <w:noProof/>
                <w:webHidden/>
              </w:rPr>
              <w:fldChar w:fldCharType="begin"/>
            </w:r>
            <w:r w:rsidR="00C9047A">
              <w:rPr>
                <w:noProof/>
                <w:webHidden/>
              </w:rPr>
              <w:instrText xml:space="preserve"> PAGEREF _Toc226633796 \h </w:instrText>
            </w:r>
            <w:r w:rsidR="00C9047A">
              <w:rPr>
                <w:noProof/>
                <w:webHidden/>
              </w:rPr>
            </w:r>
            <w:r w:rsidR="00C9047A">
              <w:rPr>
                <w:noProof/>
                <w:webHidden/>
              </w:rPr>
              <w:fldChar w:fldCharType="separate"/>
            </w:r>
            <w:r w:rsidR="0049161C">
              <w:rPr>
                <w:noProof/>
                <w:webHidden/>
              </w:rPr>
              <w:t>6</w:t>
            </w:r>
            <w:r w:rsidR="00C9047A">
              <w:rPr>
                <w:noProof/>
                <w:webHidden/>
              </w:rPr>
              <w:fldChar w:fldCharType="end"/>
            </w:r>
          </w:hyperlink>
        </w:p>
        <w:p w14:paraId="75146705" w14:textId="09F4F940" w:rsidR="00C9047A" w:rsidRDefault="00E459CA">
          <w:pPr>
            <w:pStyle w:val="TDC2"/>
            <w:tabs>
              <w:tab w:val="right" w:leader="dot" w:pos="9204"/>
            </w:tabs>
            <w:rPr>
              <w:rFonts w:asciiTheme="minorHAnsi" w:eastAsiaTheme="minorEastAsia" w:hAnsiTheme="minorHAnsi" w:cstheme="minorBidi"/>
              <w:noProof/>
              <w:kern w:val="2"/>
              <w14:ligatures w14:val="standardContextual"/>
            </w:rPr>
          </w:pPr>
          <w:hyperlink w:anchor="_Toc226633797" w:history="1">
            <w:r w:rsidR="00C9047A" w:rsidRPr="0066753D">
              <w:rPr>
                <w:rStyle w:val="Hipervnculo"/>
                <w:noProof/>
              </w:rPr>
              <w:t>PRIMERO. Competencia</w:t>
            </w:r>
            <w:r w:rsidR="00C9047A">
              <w:rPr>
                <w:noProof/>
                <w:webHidden/>
              </w:rPr>
              <w:tab/>
            </w:r>
            <w:r w:rsidR="00C9047A">
              <w:rPr>
                <w:noProof/>
                <w:webHidden/>
              </w:rPr>
              <w:fldChar w:fldCharType="begin"/>
            </w:r>
            <w:r w:rsidR="00C9047A">
              <w:rPr>
                <w:noProof/>
                <w:webHidden/>
              </w:rPr>
              <w:instrText xml:space="preserve"> PAGEREF _Toc226633797 \h </w:instrText>
            </w:r>
            <w:r w:rsidR="00C9047A">
              <w:rPr>
                <w:noProof/>
                <w:webHidden/>
              </w:rPr>
            </w:r>
            <w:r w:rsidR="00C9047A">
              <w:rPr>
                <w:noProof/>
                <w:webHidden/>
              </w:rPr>
              <w:fldChar w:fldCharType="separate"/>
            </w:r>
            <w:r w:rsidR="0049161C">
              <w:rPr>
                <w:noProof/>
                <w:webHidden/>
              </w:rPr>
              <w:t>6</w:t>
            </w:r>
            <w:r w:rsidR="00C9047A">
              <w:rPr>
                <w:noProof/>
                <w:webHidden/>
              </w:rPr>
              <w:fldChar w:fldCharType="end"/>
            </w:r>
          </w:hyperlink>
        </w:p>
        <w:p w14:paraId="2AC1251A" w14:textId="3202F015" w:rsidR="00C9047A" w:rsidRDefault="00E459CA">
          <w:pPr>
            <w:pStyle w:val="TDC2"/>
            <w:tabs>
              <w:tab w:val="right" w:leader="dot" w:pos="9204"/>
            </w:tabs>
            <w:rPr>
              <w:rFonts w:asciiTheme="minorHAnsi" w:eastAsiaTheme="minorEastAsia" w:hAnsiTheme="minorHAnsi" w:cstheme="minorBidi"/>
              <w:noProof/>
              <w:kern w:val="2"/>
              <w14:ligatures w14:val="standardContextual"/>
            </w:rPr>
          </w:pPr>
          <w:hyperlink w:anchor="_Toc226633798" w:history="1">
            <w:r w:rsidR="00C9047A" w:rsidRPr="0066753D">
              <w:rPr>
                <w:rStyle w:val="Hipervnculo"/>
                <w:noProof/>
              </w:rPr>
              <w:t>SEGUNDO. Causales de improcedencia y sobreseimiento</w:t>
            </w:r>
            <w:r w:rsidR="00C9047A">
              <w:rPr>
                <w:noProof/>
                <w:webHidden/>
              </w:rPr>
              <w:tab/>
            </w:r>
            <w:r w:rsidR="00C9047A">
              <w:rPr>
                <w:noProof/>
                <w:webHidden/>
              </w:rPr>
              <w:fldChar w:fldCharType="begin"/>
            </w:r>
            <w:r w:rsidR="00C9047A">
              <w:rPr>
                <w:noProof/>
                <w:webHidden/>
              </w:rPr>
              <w:instrText xml:space="preserve"> PAGEREF _Toc226633798 \h </w:instrText>
            </w:r>
            <w:r w:rsidR="00C9047A">
              <w:rPr>
                <w:noProof/>
                <w:webHidden/>
              </w:rPr>
            </w:r>
            <w:r w:rsidR="00C9047A">
              <w:rPr>
                <w:noProof/>
                <w:webHidden/>
              </w:rPr>
              <w:fldChar w:fldCharType="separate"/>
            </w:r>
            <w:r w:rsidR="0049161C">
              <w:rPr>
                <w:noProof/>
                <w:webHidden/>
              </w:rPr>
              <w:t>6</w:t>
            </w:r>
            <w:r w:rsidR="00C9047A">
              <w:rPr>
                <w:noProof/>
                <w:webHidden/>
              </w:rPr>
              <w:fldChar w:fldCharType="end"/>
            </w:r>
          </w:hyperlink>
        </w:p>
        <w:p w14:paraId="4EB91AB4" w14:textId="6761BDE6" w:rsidR="00C9047A" w:rsidRDefault="00E459CA">
          <w:pPr>
            <w:pStyle w:val="TDC2"/>
            <w:tabs>
              <w:tab w:val="right" w:leader="dot" w:pos="9204"/>
            </w:tabs>
            <w:rPr>
              <w:rFonts w:asciiTheme="minorHAnsi" w:eastAsiaTheme="minorEastAsia" w:hAnsiTheme="minorHAnsi" w:cstheme="minorBidi"/>
              <w:noProof/>
              <w:kern w:val="2"/>
              <w14:ligatures w14:val="standardContextual"/>
            </w:rPr>
          </w:pPr>
          <w:hyperlink w:anchor="_Toc226633799" w:history="1">
            <w:r w:rsidR="00C9047A" w:rsidRPr="0066753D">
              <w:rPr>
                <w:rStyle w:val="Hipervnculo"/>
                <w:noProof/>
              </w:rPr>
              <w:t>TERCERO. Determinación de la Controversia</w:t>
            </w:r>
            <w:r w:rsidR="00C9047A">
              <w:rPr>
                <w:noProof/>
                <w:webHidden/>
              </w:rPr>
              <w:tab/>
            </w:r>
            <w:r w:rsidR="00C9047A">
              <w:rPr>
                <w:noProof/>
                <w:webHidden/>
              </w:rPr>
              <w:fldChar w:fldCharType="begin"/>
            </w:r>
            <w:r w:rsidR="00C9047A">
              <w:rPr>
                <w:noProof/>
                <w:webHidden/>
              </w:rPr>
              <w:instrText xml:space="preserve"> PAGEREF _Toc226633799 \h </w:instrText>
            </w:r>
            <w:r w:rsidR="00C9047A">
              <w:rPr>
                <w:noProof/>
                <w:webHidden/>
              </w:rPr>
            </w:r>
            <w:r w:rsidR="00C9047A">
              <w:rPr>
                <w:noProof/>
                <w:webHidden/>
              </w:rPr>
              <w:fldChar w:fldCharType="separate"/>
            </w:r>
            <w:r w:rsidR="0049161C">
              <w:rPr>
                <w:noProof/>
                <w:webHidden/>
              </w:rPr>
              <w:t>8</w:t>
            </w:r>
            <w:r w:rsidR="00C9047A">
              <w:rPr>
                <w:noProof/>
                <w:webHidden/>
              </w:rPr>
              <w:fldChar w:fldCharType="end"/>
            </w:r>
          </w:hyperlink>
        </w:p>
        <w:p w14:paraId="2E425770" w14:textId="307CCD34" w:rsidR="00C9047A" w:rsidRDefault="00E459CA">
          <w:pPr>
            <w:pStyle w:val="TDC2"/>
            <w:tabs>
              <w:tab w:val="right" w:leader="dot" w:pos="9204"/>
            </w:tabs>
            <w:rPr>
              <w:rFonts w:asciiTheme="minorHAnsi" w:eastAsiaTheme="minorEastAsia" w:hAnsiTheme="minorHAnsi" w:cstheme="minorBidi"/>
              <w:noProof/>
              <w:kern w:val="2"/>
              <w14:ligatures w14:val="standardContextual"/>
            </w:rPr>
          </w:pPr>
          <w:hyperlink w:anchor="_Toc226633800" w:history="1">
            <w:r w:rsidR="00C9047A" w:rsidRPr="0066753D">
              <w:rPr>
                <w:rStyle w:val="Hipervnculo"/>
                <w:noProof/>
              </w:rPr>
              <w:t>CUARTO. Marco normativo aplicable en materia de transparencia y acceso a la información pública</w:t>
            </w:r>
            <w:r w:rsidR="00C9047A">
              <w:rPr>
                <w:noProof/>
                <w:webHidden/>
              </w:rPr>
              <w:tab/>
            </w:r>
            <w:r w:rsidR="00C9047A">
              <w:rPr>
                <w:noProof/>
                <w:webHidden/>
              </w:rPr>
              <w:fldChar w:fldCharType="begin"/>
            </w:r>
            <w:r w:rsidR="00C9047A">
              <w:rPr>
                <w:noProof/>
                <w:webHidden/>
              </w:rPr>
              <w:instrText xml:space="preserve"> PAGEREF _Toc226633800 \h </w:instrText>
            </w:r>
            <w:r w:rsidR="00C9047A">
              <w:rPr>
                <w:noProof/>
                <w:webHidden/>
              </w:rPr>
            </w:r>
            <w:r w:rsidR="00C9047A">
              <w:rPr>
                <w:noProof/>
                <w:webHidden/>
              </w:rPr>
              <w:fldChar w:fldCharType="separate"/>
            </w:r>
            <w:r w:rsidR="0049161C">
              <w:rPr>
                <w:noProof/>
                <w:webHidden/>
              </w:rPr>
              <w:t>9</w:t>
            </w:r>
            <w:r w:rsidR="00C9047A">
              <w:rPr>
                <w:noProof/>
                <w:webHidden/>
              </w:rPr>
              <w:fldChar w:fldCharType="end"/>
            </w:r>
          </w:hyperlink>
        </w:p>
        <w:p w14:paraId="42213AAE" w14:textId="7E1DECB9" w:rsidR="00C9047A" w:rsidRDefault="00E459CA">
          <w:pPr>
            <w:pStyle w:val="TDC2"/>
            <w:tabs>
              <w:tab w:val="right" w:leader="dot" w:pos="9204"/>
            </w:tabs>
            <w:rPr>
              <w:rFonts w:asciiTheme="minorHAnsi" w:eastAsiaTheme="minorEastAsia" w:hAnsiTheme="minorHAnsi" w:cstheme="minorBidi"/>
              <w:noProof/>
              <w:kern w:val="2"/>
              <w14:ligatures w14:val="standardContextual"/>
            </w:rPr>
          </w:pPr>
          <w:hyperlink w:anchor="_Toc226633801" w:history="1">
            <w:r w:rsidR="00C9047A" w:rsidRPr="0066753D">
              <w:rPr>
                <w:rStyle w:val="Hipervnculo"/>
                <w:smallCaps/>
                <w:noProof/>
              </w:rPr>
              <w:t>QUINTO.</w:t>
            </w:r>
            <w:r w:rsidR="00C9047A" w:rsidRPr="0066753D">
              <w:rPr>
                <w:rStyle w:val="Hipervnculo"/>
                <w:noProof/>
              </w:rPr>
              <w:t xml:space="preserve"> Estudio de Fondo</w:t>
            </w:r>
            <w:r w:rsidR="00C9047A">
              <w:rPr>
                <w:noProof/>
                <w:webHidden/>
              </w:rPr>
              <w:tab/>
            </w:r>
            <w:r w:rsidR="00C9047A">
              <w:rPr>
                <w:noProof/>
                <w:webHidden/>
              </w:rPr>
              <w:fldChar w:fldCharType="begin"/>
            </w:r>
            <w:r w:rsidR="00C9047A">
              <w:rPr>
                <w:noProof/>
                <w:webHidden/>
              </w:rPr>
              <w:instrText xml:space="preserve"> PAGEREF _Toc226633801 \h </w:instrText>
            </w:r>
            <w:r w:rsidR="00C9047A">
              <w:rPr>
                <w:noProof/>
                <w:webHidden/>
              </w:rPr>
            </w:r>
            <w:r w:rsidR="00C9047A">
              <w:rPr>
                <w:noProof/>
                <w:webHidden/>
              </w:rPr>
              <w:fldChar w:fldCharType="separate"/>
            </w:r>
            <w:r w:rsidR="0049161C">
              <w:rPr>
                <w:noProof/>
                <w:webHidden/>
              </w:rPr>
              <w:t>10</w:t>
            </w:r>
            <w:r w:rsidR="00C9047A">
              <w:rPr>
                <w:noProof/>
                <w:webHidden/>
              </w:rPr>
              <w:fldChar w:fldCharType="end"/>
            </w:r>
          </w:hyperlink>
        </w:p>
        <w:p w14:paraId="0FD4FAA2" w14:textId="2BF1892C" w:rsidR="00C9047A" w:rsidRDefault="00E459CA">
          <w:pPr>
            <w:pStyle w:val="TDC2"/>
            <w:tabs>
              <w:tab w:val="right" w:leader="dot" w:pos="9204"/>
            </w:tabs>
            <w:rPr>
              <w:rFonts w:asciiTheme="minorHAnsi" w:eastAsiaTheme="minorEastAsia" w:hAnsiTheme="minorHAnsi" w:cstheme="minorBidi"/>
              <w:noProof/>
              <w:kern w:val="2"/>
              <w14:ligatures w14:val="standardContextual"/>
            </w:rPr>
          </w:pPr>
          <w:hyperlink w:anchor="_Toc226633802" w:history="1">
            <w:r w:rsidR="00C9047A" w:rsidRPr="0066753D">
              <w:rPr>
                <w:rStyle w:val="Hipervnculo"/>
                <w:noProof/>
              </w:rPr>
              <w:t>SEXTO. Decisión</w:t>
            </w:r>
            <w:r w:rsidR="00C9047A">
              <w:rPr>
                <w:noProof/>
                <w:webHidden/>
              </w:rPr>
              <w:tab/>
            </w:r>
            <w:r w:rsidR="00C9047A">
              <w:rPr>
                <w:noProof/>
                <w:webHidden/>
              </w:rPr>
              <w:fldChar w:fldCharType="begin"/>
            </w:r>
            <w:r w:rsidR="00C9047A">
              <w:rPr>
                <w:noProof/>
                <w:webHidden/>
              </w:rPr>
              <w:instrText xml:space="preserve"> PAGEREF _Toc226633802 \h </w:instrText>
            </w:r>
            <w:r w:rsidR="00C9047A">
              <w:rPr>
                <w:noProof/>
                <w:webHidden/>
              </w:rPr>
            </w:r>
            <w:r w:rsidR="00C9047A">
              <w:rPr>
                <w:noProof/>
                <w:webHidden/>
              </w:rPr>
              <w:fldChar w:fldCharType="separate"/>
            </w:r>
            <w:r w:rsidR="0049161C">
              <w:rPr>
                <w:noProof/>
                <w:webHidden/>
              </w:rPr>
              <w:t>25</w:t>
            </w:r>
            <w:r w:rsidR="00C9047A">
              <w:rPr>
                <w:noProof/>
                <w:webHidden/>
              </w:rPr>
              <w:fldChar w:fldCharType="end"/>
            </w:r>
          </w:hyperlink>
        </w:p>
        <w:p w14:paraId="789FCF06" w14:textId="4D3FA311" w:rsidR="00C9047A" w:rsidRDefault="00E459CA">
          <w:pPr>
            <w:pStyle w:val="TDC2"/>
            <w:tabs>
              <w:tab w:val="right" w:leader="dot" w:pos="9204"/>
            </w:tabs>
            <w:rPr>
              <w:rFonts w:asciiTheme="minorHAnsi" w:eastAsiaTheme="minorEastAsia" w:hAnsiTheme="minorHAnsi" w:cstheme="minorBidi"/>
              <w:noProof/>
              <w:kern w:val="2"/>
              <w14:ligatures w14:val="standardContextual"/>
            </w:rPr>
          </w:pPr>
          <w:hyperlink w:anchor="_Toc226633803" w:history="1">
            <w:r w:rsidR="00C9047A" w:rsidRPr="0066753D">
              <w:rPr>
                <w:rStyle w:val="Hipervnculo"/>
                <w:noProof/>
              </w:rPr>
              <w:t>SÉPTIMO. Vista a la Secretaría Técnica del Pleno</w:t>
            </w:r>
            <w:r w:rsidR="00C9047A">
              <w:rPr>
                <w:noProof/>
                <w:webHidden/>
              </w:rPr>
              <w:tab/>
            </w:r>
            <w:r w:rsidR="00C9047A">
              <w:rPr>
                <w:noProof/>
                <w:webHidden/>
              </w:rPr>
              <w:fldChar w:fldCharType="begin"/>
            </w:r>
            <w:r w:rsidR="00C9047A">
              <w:rPr>
                <w:noProof/>
                <w:webHidden/>
              </w:rPr>
              <w:instrText xml:space="preserve"> PAGEREF _Toc226633803 \h </w:instrText>
            </w:r>
            <w:r w:rsidR="00C9047A">
              <w:rPr>
                <w:noProof/>
                <w:webHidden/>
              </w:rPr>
            </w:r>
            <w:r w:rsidR="00C9047A">
              <w:rPr>
                <w:noProof/>
                <w:webHidden/>
              </w:rPr>
              <w:fldChar w:fldCharType="separate"/>
            </w:r>
            <w:r w:rsidR="0049161C">
              <w:rPr>
                <w:noProof/>
                <w:webHidden/>
              </w:rPr>
              <w:t>25</w:t>
            </w:r>
            <w:r w:rsidR="00C9047A">
              <w:rPr>
                <w:noProof/>
                <w:webHidden/>
              </w:rPr>
              <w:fldChar w:fldCharType="end"/>
            </w:r>
          </w:hyperlink>
        </w:p>
        <w:p w14:paraId="25D5FF89" w14:textId="348A8DA2" w:rsidR="00C9047A" w:rsidRDefault="00E459CA">
          <w:pPr>
            <w:pStyle w:val="TDC1"/>
            <w:tabs>
              <w:tab w:val="right" w:leader="dot" w:pos="9204"/>
            </w:tabs>
            <w:rPr>
              <w:rFonts w:asciiTheme="minorHAnsi" w:eastAsiaTheme="minorEastAsia" w:hAnsiTheme="minorHAnsi" w:cstheme="minorBidi"/>
              <w:noProof/>
              <w:kern w:val="2"/>
              <w14:ligatures w14:val="standardContextual"/>
            </w:rPr>
          </w:pPr>
          <w:hyperlink w:anchor="_Toc226633804" w:history="1">
            <w:r w:rsidR="00C9047A" w:rsidRPr="0066753D">
              <w:rPr>
                <w:rStyle w:val="Hipervnculo"/>
                <w:noProof/>
              </w:rPr>
              <w:t>R E S U E L V E:</w:t>
            </w:r>
            <w:r w:rsidR="00C9047A">
              <w:rPr>
                <w:noProof/>
                <w:webHidden/>
              </w:rPr>
              <w:tab/>
            </w:r>
            <w:r w:rsidR="00C9047A">
              <w:rPr>
                <w:noProof/>
                <w:webHidden/>
              </w:rPr>
              <w:fldChar w:fldCharType="begin"/>
            </w:r>
            <w:r w:rsidR="00C9047A">
              <w:rPr>
                <w:noProof/>
                <w:webHidden/>
              </w:rPr>
              <w:instrText xml:space="preserve"> PAGEREF _Toc226633804 \h </w:instrText>
            </w:r>
            <w:r w:rsidR="00C9047A">
              <w:rPr>
                <w:noProof/>
                <w:webHidden/>
              </w:rPr>
            </w:r>
            <w:r w:rsidR="00C9047A">
              <w:rPr>
                <w:noProof/>
                <w:webHidden/>
              </w:rPr>
              <w:fldChar w:fldCharType="separate"/>
            </w:r>
            <w:r w:rsidR="0049161C">
              <w:rPr>
                <w:noProof/>
                <w:webHidden/>
              </w:rPr>
              <w:t>27</w:t>
            </w:r>
            <w:r w:rsidR="00C9047A">
              <w:rPr>
                <w:noProof/>
                <w:webHidden/>
              </w:rPr>
              <w:fldChar w:fldCharType="end"/>
            </w:r>
          </w:hyperlink>
        </w:p>
        <w:p w14:paraId="3A1C34BD" w14:textId="1DB8E30B" w:rsidR="00206AD5" w:rsidRDefault="00206AD5">
          <w:r>
            <w:rPr>
              <w:b/>
              <w:bCs/>
              <w:lang w:val="es-ES"/>
            </w:rPr>
            <w:fldChar w:fldCharType="end"/>
          </w:r>
        </w:p>
      </w:sdtContent>
    </w:sdt>
    <w:p w14:paraId="51D6EAB5" w14:textId="77777777" w:rsidR="000B06DA" w:rsidRPr="00206AD5" w:rsidRDefault="00E459CA">
      <w:pPr>
        <w:spacing w:after="0" w:line="360" w:lineRule="auto"/>
        <w:rPr>
          <w:b/>
          <w:bCs/>
        </w:rPr>
      </w:pPr>
      <w:r w:rsidRPr="00206AD5">
        <w:br w:type="page"/>
      </w:r>
    </w:p>
    <w:p w14:paraId="3CF715BE" w14:textId="77777777" w:rsidR="000B06DA" w:rsidRPr="00206AD5" w:rsidRDefault="00E459CA">
      <w:pPr>
        <w:spacing w:after="0" w:line="360" w:lineRule="auto"/>
      </w:pPr>
      <w:r w:rsidRPr="00206AD5">
        <w:lastRenderedPageBreak/>
        <w:t xml:space="preserve">Resolución del Pleno del Instituto de Transparencia, Acceso a la Información Pública y Protección de Datos Personales del Estado de México y Municipios, con domicilio en Metepec, Estado de México, de fecha ocho de abril de </w:t>
      </w:r>
      <w:r w:rsidRPr="00206AD5">
        <w:t>dos mil veintiséis.</w:t>
      </w:r>
    </w:p>
    <w:p w14:paraId="6E09FAC1" w14:textId="77777777" w:rsidR="000B06DA" w:rsidRPr="00206AD5" w:rsidRDefault="000B06DA">
      <w:pPr>
        <w:spacing w:after="0" w:line="360" w:lineRule="auto"/>
        <w:rPr>
          <w:b/>
          <w:bCs/>
        </w:rPr>
      </w:pPr>
    </w:p>
    <w:p w14:paraId="0FE5AB10" w14:textId="77777777" w:rsidR="000B06DA" w:rsidRPr="00206AD5" w:rsidRDefault="00E459CA">
      <w:pPr>
        <w:spacing w:after="0" w:line="360" w:lineRule="auto"/>
      </w:pPr>
      <w:r w:rsidRPr="00206AD5">
        <w:rPr>
          <w:b/>
          <w:bCs/>
        </w:rPr>
        <w:t>VISTO</w:t>
      </w:r>
      <w:r w:rsidRPr="00206AD5">
        <w:t xml:space="preserve"> el expediente conformado con motivo del Recurso de Revisión </w:t>
      </w:r>
      <w:r w:rsidRPr="00205181">
        <w:rPr>
          <w:b/>
        </w:rPr>
        <w:t>01361/INFOEM/IP/RR/2026</w:t>
      </w:r>
      <w:r w:rsidRPr="00206AD5">
        <w:t xml:space="preserve">, interpuesto por un Particular, en lo sucesivo, la persona Recurrente o Particular, en contra de la falta de respuesta a la solicitud, por parte del Sujeto Obligado, </w:t>
      </w:r>
      <w:r w:rsidRPr="00205181">
        <w:rPr>
          <w:b/>
        </w:rPr>
        <w:t>Ayunt</w:t>
      </w:r>
      <w:r w:rsidRPr="00205181">
        <w:rPr>
          <w:b/>
        </w:rPr>
        <w:t>amiento de Toluca</w:t>
      </w:r>
      <w:r w:rsidRPr="00206AD5">
        <w:t>, se emite la presente Resolución, con base en los antecedentes y considerandos que se exponen a continuación:</w:t>
      </w:r>
    </w:p>
    <w:p w14:paraId="78E03C7B" w14:textId="77777777" w:rsidR="000B06DA" w:rsidRPr="00206AD5" w:rsidRDefault="000B06DA">
      <w:pPr>
        <w:spacing w:after="0" w:line="360" w:lineRule="auto"/>
      </w:pPr>
    </w:p>
    <w:p w14:paraId="4D7D3950" w14:textId="77777777" w:rsidR="000B06DA" w:rsidRPr="00206AD5" w:rsidRDefault="00E459CA">
      <w:pPr>
        <w:pStyle w:val="Ttulo1"/>
        <w:spacing w:before="0" w:after="0"/>
        <w:rPr>
          <w:sz w:val="22"/>
          <w:szCs w:val="22"/>
        </w:rPr>
      </w:pPr>
      <w:bookmarkStart w:id="0" w:name="_Toc226633791"/>
      <w:r w:rsidRPr="00206AD5">
        <w:rPr>
          <w:sz w:val="22"/>
          <w:szCs w:val="22"/>
        </w:rPr>
        <w:t>A N T E C E D E N T E S</w:t>
      </w:r>
      <w:bookmarkEnd w:id="0"/>
    </w:p>
    <w:p w14:paraId="580C8B00" w14:textId="77777777" w:rsidR="000B06DA" w:rsidRPr="00206AD5" w:rsidRDefault="000B06DA">
      <w:pPr>
        <w:spacing w:after="0" w:line="360" w:lineRule="auto"/>
      </w:pPr>
      <w:bookmarkStart w:id="1" w:name="_heading=h.gjdgxs" w:colFirst="0" w:colLast="0"/>
      <w:bookmarkEnd w:id="1"/>
    </w:p>
    <w:p w14:paraId="743D7024" w14:textId="77777777" w:rsidR="000B06DA" w:rsidRPr="00206AD5" w:rsidRDefault="00E459CA">
      <w:pPr>
        <w:pStyle w:val="Ttulo2"/>
        <w:spacing w:before="0" w:after="0"/>
      </w:pPr>
      <w:bookmarkStart w:id="2" w:name="_Toc226633792"/>
      <w:r w:rsidRPr="00206AD5">
        <w:t>I. Presentación de la solicitud de información</w:t>
      </w:r>
      <w:bookmarkEnd w:id="2"/>
    </w:p>
    <w:p w14:paraId="7403F98E" w14:textId="77777777" w:rsidR="000B06DA" w:rsidRPr="00206AD5" w:rsidRDefault="000B06DA">
      <w:pPr>
        <w:tabs>
          <w:tab w:val="left" w:pos="567"/>
        </w:tabs>
        <w:spacing w:after="0" w:line="360" w:lineRule="auto"/>
      </w:pPr>
    </w:p>
    <w:p w14:paraId="5789ACC1" w14:textId="77777777" w:rsidR="000B06DA" w:rsidRPr="00206AD5" w:rsidRDefault="00E459CA">
      <w:pPr>
        <w:spacing w:after="0" w:line="360" w:lineRule="auto"/>
      </w:pPr>
      <w:bookmarkStart w:id="3" w:name="_heading=h.su0jssiigkpq" w:colFirst="0" w:colLast="0"/>
      <w:bookmarkEnd w:id="3"/>
      <w:r w:rsidRPr="00206AD5">
        <w:t>Con fecha dos de enero de dos mil veintiséis, la parte</w:t>
      </w:r>
      <w:r w:rsidRPr="00206AD5">
        <w:t xml:space="preserve"> Solicitante presentó una solicitud de acceso a la información pública, a través del Sistema de Acceso a la Información Mexiquense, en lo sucesivo el SAIMEX, ante el Ayuntamiento de Toluca; la cual se radicó el doce de enero del mismo año, al tratarse del </w:t>
      </w:r>
      <w:r w:rsidRPr="00206AD5">
        <w:t>día siguiente hábil de conformidad con el calendario emitido para tales efectos, en la que requirió lo siguiente:</w:t>
      </w:r>
    </w:p>
    <w:p w14:paraId="57B53ECE" w14:textId="77777777" w:rsidR="000B06DA" w:rsidRPr="00206AD5" w:rsidRDefault="000B06DA">
      <w:pPr>
        <w:spacing w:after="0" w:line="360" w:lineRule="auto"/>
      </w:pPr>
    </w:p>
    <w:p w14:paraId="5F3744BE" w14:textId="77777777" w:rsidR="000B06DA" w:rsidRPr="00206AD5" w:rsidRDefault="00E459CA">
      <w:pPr>
        <w:tabs>
          <w:tab w:val="left" w:pos="567"/>
        </w:tabs>
        <w:spacing w:after="0" w:line="360" w:lineRule="auto"/>
        <w:ind w:left="567" w:right="709"/>
        <w:rPr>
          <w:b/>
          <w:bCs/>
          <w:sz w:val="20"/>
          <w:szCs w:val="20"/>
        </w:rPr>
      </w:pPr>
      <w:r w:rsidRPr="00206AD5">
        <w:rPr>
          <w:b/>
          <w:bCs/>
          <w:sz w:val="20"/>
          <w:szCs w:val="20"/>
        </w:rPr>
        <w:t>Folio de la solicitud: 00077/TOLUCA/IP/2026</w:t>
      </w:r>
    </w:p>
    <w:p w14:paraId="66551A0B" w14:textId="77777777" w:rsidR="000B06DA" w:rsidRPr="00206AD5" w:rsidRDefault="00E459CA">
      <w:pPr>
        <w:tabs>
          <w:tab w:val="left" w:pos="567"/>
        </w:tabs>
        <w:spacing w:after="0" w:line="360" w:lineRule="auto"/>
        <w:ind w:left="567" w:right="709"/>
        <w:rPr>
          <w:b/>
          <w:bCs/>
          <w:sz w:val="20"/>
          <w:szCs w:val="20"/>
        </w:rPr>
      </w:pPr>
      <w:r w:rsidRPr="00206AD5">
        <w:rPr>
          <w:b/>
          <w:bCs/>
          <w:sz w:val="20"/>
          <w:szCs w:val="20"/>
        </w:rPr>
        <w:t>DESCRIPCIÓN CLARA Y PRECISA DE LA INFORMACIÓN SOLICITADA</w:t>
      </w:r>
    </w:p>
    <w:p w14:paraId="69D4FCD9" w14:textId="77777777" w:rsidR="000B06DA" w:rsidRPr="00206AD5" w:rsidRDefault="00E459CA">
      <w:pPr>
        <w:tabs>
          <w:tab w:val="left" w:pos="4667"/>
        </w:tabs>
        <w:spacing w:after="0" w:line="360" w:lineRule="auto"/>
        <w:ind w:left="567" w:right="709"/>
        <w:rPr>
          <w:i/>
          <w:iCs/>
          <w:sz w:val="20"/>
          <w:szCs w:val="20"/>
        </w:rPr>
      </w:pPr>
      <w:r w:rsidRPr="00206AD5">
        <w:rPr>
          <w:i/>
          <w:iCs/>
          <w:sz w:val="20"/>
          <w:szCs w:val="20"/>
        </w:rPr>
        <w:t>“se solicitan todos los oficios que se r</w:t>
      </w:r>
      <w:r w:rsidRPr="00206AD5">
        <w:rPr>
          <w:i/>
          <w:iCs/>
          <w:sz w:val="20"/>
          <w:szCs w:val="20"/>
        </w:rPr>
        <w:t xml:space="preserve">ecibieron y lo que se emitieron en el mes de enero 2025 en la Director General de Planeación, Gestión Urbana y Ciudad Inteligente” </w:t>
      </w:r>
    </w:p>
    <w:p w14:paraId="2AF4FD68" w14:textId="77777777" w:rsidR="000B06DA" w:rsidRPr="00206AD5" w:rsidRDefault="000B06DA">
      <w:pPr>
        <w:tabs>
          <w:tab w:val="left" w:pos="4667"/>
        </w:tabs>
        <w:spacing w:after="0" w:line="360" w:lineRule="auto"/>
        <w:ind w:left="567" w:right="709"/>
        <w:rPr>
          <w:b/>
          <w:bCs/>
          <w:sz w:val="20"/>
          <w:szCs w:val="20"/>
        </w:rPr>
      </w:pPr>
    </w:p>
    <w:p w14:paraId="13AA39D4" w14:textId="77777777" w:rsidR="000B06DA" w:rsidRPr="00206AD5" w:rsidRDefault="00E459CA">
      <w:pPr>
        <w:tabs>
          <w:tab w:val="left" w:pos="4667"/>
        </w:tabs>
        <w:spacing w:after="0" w:line="360" w:lineRule="auto"/>
        <w:ind w:left="567" w:right="709"/>
        <w:rPr>
          <w:b/>
          <w:bCs/>
          <w:sz w:val="20"/>
          <w:szCs w:val="20"/>
        </w:rPr>
      </w:pPr>
      <w:r w:rsidRPr="00206AD5">
        <w:rPr>
          <w:b/>
          <w:bCs/>
          <w:sz w:val="20"/>
          <w:szCs w:val="20"/>
        </w:rPr>
        <w:t xml:space="preserve">MODALIDAD DE ENTREGA </w:t>
      </w:r>
      <w:r w:rsidRPr="00206AD5">
        <w:rPr>
          <w:i/>
          <w:iCs/>
          <w:sz w:val="20"/>
          <w:szCs w:val="20"/>
        </w:rPr>
        <w:t>“A través del SAIMEX.”</w:t>
      </w:r>
    </w:p>
    <w:p w14:paraId="04793297" w14:textId="77777777" w:rsidR="000B06DA" w:rsidRPr="00206AD5" w:rsidRDefault="000B06DA">
      <w:pPr>
        <w:tabs>
          <w:tab w:val="left" w:pos="4667"/>
        </w:tabs>
        <w:spacing w:after="0" w:line="360" w:lineRule="auto"/>
        <w:ind w:right="709"/>
      </w:pPr>
    </w:p>
    <w:p w14:paraId="389683A7" w14:textId="77777777" w:rsidR="000B06DA" w:rsidRPr="00206AD5" w:rsidRDefault="00E459CA">
      <w:pPr>
        <w:pStyle w:val="Ttulo2"/>
        <w:spacing w:before="0" w:after="0"/>
      </w:pPr>
      <w:bookmarkStart w:id="4" w:name="_Toc226633793"/>
      <w:r w:rsidRPr="00206AD5">
        <w:lastRenderedPageBreak/>
        <w:t>II. Respuesta del Sujeto Obligado</w:t>
      </w:r>
      <w:bookmarkEnd w:id="4"/>
    </w:p>
    <w:p w14:paraId="01456B5F" w14:textId="77777777" w:rsidR="000B06DA" w:rsidRPr="00206AD5" w:rsidRDefault="000B06DA">
      <w:pPr>
        <w:spacing w:after="0" w:line="360" w:lineRule="auto"/>
      </w:pPr>
    </w:p>
    <w:p w14:paraId="5F34DCD9" w14:textId="77777777" w:rsidR="000B06DA" w:rsidRPr="00206AD5" w:rsidRDefault="00E459CA">
      <w:pPr>
        <w:pBdr>
          <w:top w:val="nil"/>
          <w:left w:val="nil"/>
          <w:bottom w:val="nil"/>
          <w:right w:val="nil"/>
          <w:between w:val="nil"/>
        </w:pBdr>
        <w:tabs>
          <w:tab w:val="left" w:pos="567"/>
        </w:tabs>
        <w:spacing w:after="0" w:line="360" w:lineRule="auto"/>
        <w:rPr>
          <w:i/>
          <w:iCs/>
          <w:color w:val="000000"/>
        </w:rPr>
      </w:pPr>
      <w:r w:rsidRPr="00206AD5">
        <w:rPr>
          <w:color w:val="000000"/>
        </w:rPr>
        <w:t>De conformidad con el artículo 163, párrafo primero de la Ley de Transparencia y Acceso a la Información Pública del Estado de México y Municipios, el Sujeto Obligado debió dar contestación a la solicitud de acceso a la información; sin embargo, de las con</w:t>
      </w:r>
      <w:r w:rsidRPr="00206AD5">
        <w:rPr>
          <w:color w:val="000000"/>
        </w:rPr>
        <w:t xml:space="preserve">stancias que obran en el expediente electrónico del SAIMEX, se advierte que el Ayuntamiento de Toluca, omitió dar respuesta a la solicitud de información, por lo que </w:t>
      </w:r>
      <w:r w:rsidRPr="00206AD5">
        <w:rPr>
          <w:b/>
          <w:bCs/>
          <w:color w:val="000000"/>
        </w:rPr>
        <w:t>se configura la negativa ficta</w:t>
      </w:r>
      <w:r w:rsidRPr="00206AD5">
        <w:rPr>
          <w:color w:val="000000"/>
        </w:rPr>
        <w:t xml:space="preserve"> a entregar información, prevista en los artículos 166, párrafo cuarto y 178, párrafo segundo, de la Ley de Transparencia y Acceso a la Información Pública del Estado de México y Municipios.</w:t>
      </w:r>
    </w:p>
    <w:p w14:paraId="0A0959A9" w14:textId="77777777" w:rsidR="000B06DA" w:rsidRPr="00206AD5" w:rsidRDefault="000B06DA">
      <w:pPr>
        <w:spacing w:after="0" w:line="360" w:lineRule="auto"/>
      </w:pPr>
    </w:p>
    <w:p w14:paraId="23C16BC2" w14:textId="77777777" w:rsidR="000B06DA" w:rsidRPr="00206AD5" w:rsidRDefault="00E459CA">
      <w:pPr>
        <w:pStyle w:val="Ttulo2"/>
        <w:spacing w:before="0" w:after="0"/>
      </w:pPr>
      <w:bookmarkStart w:id="5" w:name="_Toc226633794"/>
      <w:r w:rsidRPr="00206AD5">
        <w:t>III. Interposición del Recurso de Revisión</w:t>
      </w:r>
      <w:bookmarkEnd w:id="5"/>
    </w:p>
    <w:p w14:paraId="4E4FB044" w14:textId="77777777" w:rsidR="000B06DA" w:rsidRPr="00206AD5" w:rsidRDefault="000B06DA">
      <w:pPr>
        <w:spacing w:after="0" w:line="360" w:lineRule="auto"/>
        <w:rPr>
          <w:b/>
          <w:bCs/>
        </w:rPr>
      </w:pPr>
    </w:p>
    <w:p w14:paraId="622A02C8" w14:textId="77777777" w:rsidR="000B06DA" w:rsidRPr="00206AD5" w:rsidRDefault="00E459CA">
      <w:pPr>
        <w:spacing w:after="0" w:line="360" w:lineRule="auto"/>
      </w:pPr>
      <w:bookmarkStart w:id="6" w:name="_heading=h.2et92p0" w:colFirst="0" w:colLast="0"/>
      <w:bookmarkEnd w:id="6"/>
      <w:r w:rsidRPr="00206AD5">
        <w:t xml:space="preserve">Con fecha cuatro de </w:t>
      </w:r>
      <w:r w:rsidRPr="00206AD5">
        <w:t>febrero de dos mil veintiséis, se recibió a través del SAIMEX, el Recurso de Revisión interpuesto por la persona Recurrente, en los siguientes términos:</w:t>
      </w:r>
    </w:p>
    <w:p w14:paraId="00B9A9F2" w14:textId="77777777" w:rsidR="000B06DA" w:rsidRPr="00206AD5" w:rsidRDefault="000B06DA">
      <w:pPr>
        <w:spacing w:after="0" w:line="360" w:lineRule="auto"/>
      </w:pPr>
    </w:p>
    <w:p w14:paraId="6DB962FB" w14:textId="77777777" w:rsidR="000B06DA" w:rsidRPr="00206AD5" w:rsidRDefault="00E459CA">
      <w:pPr>
        <w:spacing w:after="0" w:line="360" w:lineRule="auto"/>
        <w:ind w:left="567" w:right="709"/>
        <w:rPr>
          <w:b/>
          <w:bCs/>
          <w:sz w:val="20"/>
          <w:szCs w:val="20"/>
        </w:rPr>
      </w:pPr>
      <w:r w:rsidRPr="00206AD5">
        <w:rPr>
          <w:b/>
          <w:bCs/>
          <w:sz w:val="20"/>
          <w:szCs w:val="20"/>
        </w:rPr>
        <w:t>ACTO IMPUGNADO</w:t>
      </w:r>
      <w:r w:rsidRPr="00206AD5">
        <w:rPr>
          <w:b/>
          <w:bCs/>
          <w:sz w:val="20"/>
          <w:szCs w:val="20"/>
        </w:rPr>
        <w:tab/>
      </w:r>
    </w:p>
    <w:p w14:paraId="7C172E9E" w14:textId="77777777" w:rsidR="000B06DA" w:rsidRPr="00206AD5" w:rsidRDefault="00E459CA">
      <w:pPr>
        <w:spacing w:after="0" w:line="360" w:lineRule="auto"/>
        <w:ind w:left="567" w:right="709"/>
        <w:rPr>
          <w:b/>
          <w:bCs/>
          <w:sz w:val="20"/>
          <w:szCs w:val="20"/>
        </w:rPr>
      </w:pPr>
      <w:r w:rsidRPr="00206AD5">
        <w:rPr>
          <w:i/>
          <w:iCs/>
          <w:sz w:val="20"/>
          <w:szCs w:val="20"/>
        </w:rPr>
        <w:t>“El sujeto obligado incumplió con su obligación de garantizar el derecho de acceso a l</w:t>
      </w:r>
      <w:r w:rsidRPr="00206AD5">
        <w:rPr>
          <w:i/>
          <w:iCs/>
          <w:sz w:val="20"/>
          <w:szCs w:val="20"/>
        </w:rPr>
        <w:t>a información, no entregó la información solicitada no dan respuesta , dicha omisión vulnera lo dispuesto en el artículo 6° de la Carta Magna la Ley de Transparencia y Acceso a la Información Pública del Estado de México y Municipios. y su calendario marca</w:t>
      </w:r>
      <w:r w:rsidRPr="00206AD5">
        <w:rPr>
          <w:i/>
          <w:iCs/>
          <w:sz w:val="20"/>
          <w:szCs w:val="20"/>
        </w:rPr>
        <w:t xml:space="preserve"> que es el día 16 para interponer mi recurso pero es de fecha 12 de enero la solicitud siendo el día 1 de 15 para hacer la interposición de mi recurso” (Sic.)</w:t>
      </w:r>
    </w:p>
    <w:p w14:paraId="20645D4F" w14:textId="77777777" w:rsidR="000B06DA" w:rsidRPr="00206AD5" w:rsidRDefault="000B06DA">
      <w:pPr>
        <w:spacing w:after="0" w:line="360" w:lineRule="auto"/>
        <w:ind w:left="567" w:right="709"/>
        <w:rPr>
          <w:sz w:val="20"/>
          <w:szCs w:val="20"/>
        </w:rPr>
      </w:pPr>
    </w:p>
    <w:p w14:paraId="455C678E" w14:textId="77777777" w:rsidR="000B06DA" w:rsidRPr="00206AD5" w:rsidRDefault="00E459CA">
      <w:pPr>
        <w:spacing w:after="0" w:line="360" w:lineRule="auto"/>
        <w:ind w:left="567" w:right="709"/>
        <w:rPr>
          <w:b/>
          <w:bCs/>
          <w:sz w:val="20"/>
          <w:szCs w:val="20"/>
        </w:rPr>
      </w:pPr>
      <w:r w:rsidRPr="00206AD5">
        <w:rPr>
          <w:b/>
          <w:bCs/>
          <w:sz w:val="20"/>
          <w:szCs w:val="20"/>
        </w:rPr>
        <w:t>RAZONES O MOTIVOS DE LA INCONFORMIDAD</w:t>
      </w:r>
      <w:r w:rsidRPr="00206AD5">
        <w:rPr>
          <w:b/>
          <w:bCs/>
          <w:sz w:val="20"/>
          <w:szCs w:val="20"/>
        </w:rPr>
        <w:tab/>
      </w:r>
    </w:p>
    <w:p w14:paraId="04FD93D9" w14:textId="77777777" w:rsidR="000B06DA" w:rsidRPr="00206AD5" w:rsidRDefault="00E459CA">
      <w:pPr>
        <w:tabs>
          <w:tab w:val="left" w:pos="4667"/>
        </w:tabs>
        <w:spacing w:after="0" w:line="360" w:lineRule="auto"/>
        <w:ind w:left="567" w:right="709"/>
        <w:rPr>
          <w:i/>
          <w:iCs/>
          <w:sz w:val="20"/>
          <w:szCs w:val="20"/>
        </w:rPr>
      </w:pPr>
      <w:r w:rsidRPr="00206AD5">
        <w:rPr>
          <w:i/>
          <w:iCs/>
          <w:sz w:val="20"/>
          <w:szCs w:val="20"/>
        </w:rPr>
        <w:t>“El sujeto obligado incumplió con su obligación de garant</w:t>
      </w:r>
      <w:r w:rsidRPr="00206AD5">
        <w:rPr>
          <w:i/>
          <w:iCs/>
          <w:sz w:val="20"/>
          <w:szCs w:val="20"/>
        </w:rPr>
        <w:t xml:space="preserve">izar el derecho de acceso a la información, no entregó la información solicitada no dan respuesta , dicha omisión vulnera lo dispuesto en el artículo 6° de la Carta Magna la Ley de Transparencia y Acceso a la Información Pública del Estado </w:t>
      </w:r>
      <w:r w:rsidRPr="00206AD5">
        <w:rPr>
          <w:i/>
          <w:iCs/>
          <w:sz w:val="20"/>
          <w:szCs w:val="20"/>
        </w:rPr>
        <w:lastRenderedPageBreak/>
        <w:t>de México y Muni</w:t>
      </w:r>
      <w:r w:rsidRPr="00206AD5">
        <w:rPr>
          <w:i/>
          <w:iCs/>
          <w:sz w:val="20"/>
          <w:szCs w:val="20"/>
        </w:rPr>
        <w:t>cipios. y su calendario marca que es el día 16 para interponer mi recurso pero es de fecha 12 de enero la solicitud siendo el día 1 de 15 para hacer la interposición de mi recurso” (Sic.)</w:t>
      </w:r>
    </w:p>
    <w:p w14:paraId="0F1D9678" w14:textId="77777777" w:rsidR="000B06DA" w:rsidRPr="00206AD5" w:rsidRDefault="000B06DA">
      <w:pPr>
        <w:tabs>
          <w:tab w:val="left" w:pos="4667"/>
        </w:tabs>
        <w:spacing w:after="0" w:line="360" w:lineRule="auto"/>
      </w:pPr>
    </w:p>
    <w:p w14:paraId="7D223AA1" w14:textId="77777777" w:rsidR="000B06DA" w:rsidRPr="00206AD5" w:rsidRDefault="00E459CA">
      <w:pPr>
        <w:pStyle w:val="Ttulo2"/>
        <w:spacing w:before="0" w:after="0"/>
      </w:pPr>
      <w:bookmarkStart w:id="7" w:name="_Toc226633795"/>
      <w:r w:rsidRPr="00206AD5">
        <w:t>IV. Trámite del Recurso de Revisión ante este Instituto</w:t>
      </w:r>
      <w:bookmarkEnd w:id="7"/>
    </w:p>
    <w:p w14:paraId="253025CE" w14:textId="77777777" w:rsidR="000B06DA" w:rsidRPr="00206AD5" w:rsidRDefault="000B06DA">
      <w:pPr>
        <w:spacing w:after="0" w:line="360" w:lineRule="auto"/>
        <w:rPr>
          <w:b/>
          <w:bCs/>
        </w:rPr>
      </w:pPr>
    </w:p>
    <w:p w14:paraId="4327184B" w14:textId="77777777" w:rsidR="000B06DA" w:rsidRPr="00206AD5" w:rsidRDefault="00E459CA">
      <w:pPr>
        <w:spacing w:after="0" w:line="360" w:lineRule="auto"/>
      </w:pPr>
      <w:r w:rsidRPr="00206AD5">
        <w:rPr>
          <w:b/>
          <w:bCs/>
        </w:rPr>
        <w:t>a) Turno d</w:t>
      </w:r>
      <w:r w:rsidRPr="00206AD5">
        <w:rPr>
          <w:b/>
          <w:bCs/>
        </w:rPr>
        <w:t>el Medio de Impugnación.</w:t>
      </w:r>
      <w:r w:rsidRPr="00206AD5">
        <w:t xml:space="preserve"> El cuatro de febrero de dos mil veintiséis, el SAIMEX, asignó el número de expediente</w:t>
      </w:r>
      <w:r w:rsidRPr="00206AD5">
        <w:rPr>
          <w:b/>
          <w:bCs/>
        </w:rPr>
        <w:t xml:space="preserve"> 01361/INFOEM/IP/RR/2026, </w:t>
      </w:r>
      <w:r w:rsidRPr="00206AD5">
        <w:t>al medio de impugnación que nos ocupan, con base en el sistema aprobado por el Pleno de este Órgano Garante y se turnó a</w:t>
      </w:r>
      <w:r w:rsidRPr="00206AD5">
        <w:t>l Comisionado Ponente Luis Gustavo Parra Noriega, para los efectos del artículo 185, fracción I de la Ley de Transparencia y Acceso a la Información Pública del Estado de México y Municipios.</w:t>
      </w:r>
    </w:p>
    <w:p w14:paraId="4DDBC186" w14:textId="77777777" w:rsidR="000B06DA" w:rsidRPr="00206AD5" w:rsidRDefault="000B06DA">
      <w:pPr>
        <w:spacing w:after="0" w:line="360" w:lineRule="auto"/>
      </w:pPr>
    </w:p>
    <w:p w14:paraId="029C0813" w14:textId="77777777" w:rsidR="000B06DA" w:rsidRPr="00206AD5" w:rsidRDefault="00E459CA">
      <w:pPr>
        <w:spacing w:after="0" w:line="360" w:lineRule="auto"/>
      </w:pPr>
      <w:r w:rsidRPr="00206AD5">
        <w:rPr>
          <w:b/>
          <w:bCs/>
        </w:rPr>
        <w:t>b) Admisión del Recurso de Revisión.</w:t>
      </w:r>
      <w:r w:rsidRPr="00206AD5">
        <w:t xml:space="preserve"> El nueve de febrero de dos mil veintiséis, se notificó vía SAIMEX la admisión del Recurso de Revisión interpuesto por la persona Recurrente en contra del Sujeto Obligado, en términos del artículo 185, fracciones I y II de la Ley de Transparencia y Acceso </w:t>
      </w:r>
      <w:r w:rsidRPr="00206AD5">
        <w:t>a la Información Pública del Estado de México y Municipios, en el que se les otorgó un plazo de siete días hábiles posteriores a la misma, para que manifestara lo que a su derecho conviniera y formularán alegatos.</w:t>
      </w:r>
    </w:p>
    <w:p w14:paraId="36EE84F0" w14:textId="77777777" w:rsidR="000B06DA" w:rsidRPr="00206AD5" w:rsidRDefault="000B06DA">
      <w:pPr>
        <w:spacing w:after="0" w:line="360" w:lineRule="auto"/>
      </w:pPr>
    </w:p>
    <w:p w14:paraId="776EC254" w14:textId="77777777" w:rsidR="000B06DA" w:rsidRPr="00206AD5" w:rsidRDefault="00E459CA">
      <w:pPr>
        <w:spacing w:after="0" w:line="360" w:lineRule="auto"/>
      </w:pPr>
      <w:r w:rsidRPr="00206AD5">
        <w:rPr>
          <w:b/>
          <w:bCs/>
        </w:rPr>
        <w:t xml:space="preserve">c) Informe Justificado. </w:t>
      </w:r>
      <w:r w:rsidRPr="00206AD5">
        <w:t>En fechas diecisi</w:t>
      </w:r>
      <w:r w:rsidRPr="00206AD5">
        <w:t>ete y dieciocho de febrero de dos mil veintiséis, el Sujeto Obligado rindió informe justificado a través de SAIMEX, en los siguientes términos:</w:t>
      </w:r>
    </w:p>
    <w:p w14:paraId="6F220ADF" w14:textId="77777777" w:rsidR="000B06DA" w:rsidRPr="00206AD5" w:rsidRDefault="000B06DA">
      <w:pPr>
        <w:spacing w:after="0" w:line="360" w:lineRule="auto"/>
      </w:pPr>
    </w:p>
    <w:p w14:paraId="0807FEAF" w14:textId="77777777" w:rsidR="000B06DA" w:rsidRPr="00206AD5" w:rsidRDefault="00E459CA">
      <w:pPr>
        <w:numPr>
          <w:ilvl w:val="0"/>
          <w:numId w:val="3"/>
        </w:numPr>
        <w:pBdr>
          <w:top w:val="nil"/>
          <w:left w:val="nil"/>
          <w:bottom w:val="nil"/>
          <w:right w:val="nil"/>
          <w:between w:val="nil"/>
        </w:pBdr>
        <w:spacing w:after="0" w:line="360" w:lineRule="auto"/>
        <w:rPr>
          <w:b/>
          <w:bCs/>
          <w:i/>
          <w:iCs/>
          <w:color w:val="000000"/>
        </w:rPr>
      </w:pPr>
      <w:r w:rsidRPr="00206AD5">
        <w:rPr>
          <w:b/>
          <w:bCs/>
          <w:i/>
          <w:iCs/>
          <w:color w:val="000000"/>
        </w:rPr>
        <w:t xml:space="preserve">1361-ANEXOS-2026-INNOV.pdf; </w:t>
      </w:r>
      <w:r w:rsidRPr="00206AD5">
        <w:rPr>
          <w:color w:val="000000"/>
        </w:rPr>
        <w:t>del que se desprende un oficio suscrito por el Director General de Innovación, Plan</w:t>
      </w:r>
      <w:r w:rsidRPr="00206AD5">
        <w:rPr>
          <w:color w:val="000000"/>
        </w:rPr>
        <w:t xml:space="preserve">eación y Gestión Urbana, en el que anunció que adjuntaba en formato PDF, en versión pública los oficios solicitados de conformidad con lo dispuesto en el acuerdo: CT/SE/85/02/2026, Número de acta Octagésima Quinta (85), de </w:t>
      </w:r>
      <w:r w:rsidRPr="00206AD5">
        <w:rPr>
          <w:color w:val="000000"/>
        </w:rPr>
        <w:lastRenderedPageBreak/>
        <w:t>fecha 11 de febrero del 2026, del</w:t>
      </w:r>
      <w:r w:rsidRPr="00206AD5">
        <w:rPr>
          <w:color w:val="000000"/>
        </w:rPr>
        <w:t xml:space="preserve"> Comité de Transparencia de Toluca. Sin embargo, de las constancias no obra ningún otro oficio. </w:t>
      </w:r>
    </w:p>
    <w:p w14:paraId="35C221D1" w14:textId="77777777" w:rsidR="000B06DA" w:rsidRPr="00206AD5" w:rsidRDefault="000B06DA">
      <w:pPr>
        <w:pBdr>
          <w:top w:val="nil"/>
          <w:left w:val="nil"/>
          <w:bottom w:val="nil"/>
          <w:right w:val="nil"/>
          <w:between w:val="nil"/>
        </w:pBdr>
        <w:spacing w:after="0" w:line="360" w:lineRule="auto"/>
        <w:ind w:left="720"/>
        <w:rPr>
          <w:b/>
          <w:bCs/>
          <w:i/>
          <w:iCs/>
          <w:color w:val="000000"/>
        </w:rPr>
      </w:pPr>
    </w:p>
    <w:p w14:paraId="73982923" w14:textId="77777777" w:rsidR="000B06DA" w:rsidRPr="00206AD5" w:rsidRDefault="00E459CA">
      <w:pPr>
        <w:numPr>
          <w:ilvl w:val="0"/>
          <w:numId w:val="3"/>
        </w:numPr>
        <w:pBdr>
          <w:top w:val="nil"/>
          <w:left w:val="nil"/>
          <w:bottom w:val="nil"/>
          <w:right w:val="nil"/>
          <w:between w:val="nil"/>
        </w:pBdr>
        <w:spacing w:after="0" w:line="360" w:lineRule="auto"/>
        <w:rPr>
          <w:b/>
          <w:bCs/>
          <w:i/>
          <w:iCs/>
          <w:color w:val="000000"/>
        </w:rPr>
      </w:pPr>
      <w:r w:rsidRPr="00206AD5">
        <w:rPr>
          <w:b/>
          <w:bCs/>
          <w:i/>
          <w:iCs/>
          <w:color w:val="000000"/>
        </w:rPr>
        <w:t>Ratificación 1361.pdf;</w:t>
      </w:r>
      <w:r w:rsidRPr="00206AD5">
        <w:rPr>
          <w:color w:val="000000"/>
        </w:rPr>
        <w:t xml:space="preserve"> oficio suscrito por el Titular de la Unidad de Transparencia en el que ratifica la respuesta inicial emitida por la Dirección General d</w:t>
      </w:r>
      <w:r w:rsidRPr="00206AD5">
        <w:rPr>
          <w:color w:val="000000"/>
        </w:rPr>
        <w:t xml:space="preserve">e </w:t>
      </w:r>
      <w:r w:rsidRPr="00206AD5">
        <w:t>Innovación</w:t>
      </w:r>
      <w:r w:rsidRPr="00206AD5">
        <w:rPr>
          <w:color w:val="000000"/>
        </w:rPr>
        <w:t xml:space="preserve">, Planeación y Gestión Urbana. </w:t>
      </w:r>
    </w:p>
    <w:p w14:paraId="2F6F183B" w14:textId="77777777" w:rsidR="000B06DA" w:rsidRPr="00206AD5" w:rsidRDefault="000B06DA">
      <w:pPr>
        <w:pBdr>
          <w:top w:val="nil"/>
          <w:left w:val="nil"/>
          <w:bottom w:val="nil"/>
          <w:right w:val="nil"/>
          <w:between w:val="nil"/>
        </w:pBdr>
        <w:spacing w:after="0" w:line="360" w:lineRule="auto"/>
        <w:ind w:left="720"/>
        <w:rPr>
          <w:b/>
          <w:bCs/>
          <w:i/>
          <w:iCs/>
          <w:color w:val="000000"/>
        </w:rPr>
      </w:pPr>
    </w:p>
    <w:p w14:paraId="5401544B" w14:textId="77777777" w:rsidR="000B06DA" w:rsidRPr="00206AD5" w:rsidRDefault="00E459CA">
      <w:pPr>
        <w:spacing w:after="0" w:line="360" w:lineRule="auto"/>
        <w:rPr>
          <w:color w:val="000000"/>
        </w:rPr>
      </w:pPr>
      <w:r w:rsidRPr="00206AD5">
        <w:rPr>
          <w:b/>
          <w:bCs/>
          <w:color w:val="000000"/>
        </w:rPr>
        <w:t xml:space="preserve">d) Vista de Informe Justificado. </w:t>
      </w:r>
      <w:r w:rsidRPr="00206AD5">
        <w:rPr>
          <w:color w:val="000000"/>
        </w:rPr>
        <w:t xml:space="preserve">El veinticuatro de marzo de dos mil veintiséis, se notificó a través del SAIMEX, el acuerdo mediante el cual se puso a la vista de la parte Recurrente el Informe Justificado, </w:t>
      </w:r>
      <w:r w:rsidRPr="00206AD5">
        <w:rPr>
          <w:color w:val="000000"/>
        </w:rPr>
        <w:t>proveído por el cual se le otorgó a este último, un término de tres días hábiles contados a partir del día siguiente a la notificación, para que emitiera las manifestaciones que conforme a sus intereses convenga.</w:t>
      </w:r>
    </w:p>
    <w:p w14:paraId="520B9850" w14:textId="77777777" w:rsidR="000B06DA" w:rsidRPr="00206AD5" w:rsidRDefault="000B06DA">
      <w:pPr>
        <w:spacing w:after="0" w:line="360" w:lineRule="auto"/>
        <w:rPr>
          <w:b/>
          <w:bCs/>
        </w:rPr>
      </w:pPr>
    </w:p>
    <w:p w14:paraId="21DF1174" w14:textId="77777777" w:rsidR="000B06DA" w:rsidRPr="00206AD5" w:rsidRDefault="00E459CA">
      <w:pPr>
        <w:spacing w:after="0" w:line="360" w:lineRule="auto"/>
      </w:pPr>
      <w:r w:rsidRPr="00206AD5">
        <w:rPr>
          <w:b/>
          <w:bCs/>
        </w:rPr>
        <w:t>e) Manifestaciones de la parte Recurrente.</w:t>
      </w:r>
      <w:r w:rsidRPr="00206AD5">
        <w:rPr>
          <w:b/>
          <w:bCs/>
        </w:rPr>
        <w:t xml:space="preserve"> </w:t>
      </w:r>
      <w:r w:rsidRPr="00206AD5">
        <w:t xml:space="preserve">De las constancias que obran en el SAIMEX, se advierte que la parte Recurrente no añadió manifestaciones. </w:t>
      </w:r>
    </w:p>
    <w:p w14:paraId="05AD4132" w14:textId="77777777" w:rsidR="000B06DA" w:rsidRPr="00206AD5" w:rsidRDefault="000B06DA">
      <w:pPr>
        <w:spacing w:after="0" w:line="360" w:lineRule="auto"/>
      </w:pPr>
    </w:p>
    <w:p w14:paraId="62AADB87" w14:textId="77777777" w:rsidR="000B06DA" w:rsidRPr="00206AD5" w:rsidRDefault="00E459CA">
      <w:pPr>
        <w:pBdr>
          <w:top w:val="nil"/>
          <w:left w:val="nil"/>
          <w:bottom w:val="nil"/>
          <w:right w:val="nil"/>
          <w:between w:val="nil"/>
        </w:pBdr>
        <w:tabs>
          <w:tab w:val="left" w:pos="426"/>
        </w:tabs>
        <w:spacing w:after="0" w:line="360" w:lineRule="auto"/>
        <w:rPr>
          <w:b/>
          <w:bCs/>
          <w:color w:val="000000"/>
        </w:rPr>
      </w:pPr>
      <w:r w:rsidRPr="00206AD5">
        <w:rPr>
          <w:b/>
          <w:bCs/>
        </w:rPr>
        <w:t xml:space="preserve">f) Ampliación de plazo para resolver. </w:t>
      </w:r>
      <w:r w:rsidRPr="00206AD5">
        <w:t xml:space="preserve">El veinticuatro de marzo de dos mil veintiséis, se notificó vía SAIMEX el acuerdo mediante el cual, el </w:t>
      </w:r>
      <w:r w:rsidRPr="00206AD5">
        <w:t>Comisionado Ponente, con fundamento en lo dispuesto por el artículo 181, párrafo tercero, de la Ley de Transparencia y Acceso a la Información Pública del Estado de México y Municipios, acordó ampliar por un periodo de quince días hábiles, el plazo para re</w:t>
      </w:r>
      <w:r w:rsidRPr="00206AD5">
        <w:t>solver el Recurso de Revisión que nos ocupa</w:t>
      </w:r>
    </w:p>
    <w:p w14:paraId="4FB4A501" w14:textId="77777777" w:rsidR="000B06DA" w:rsidRPr="00206AD5" w:rsidRDefault="000B06DA">
      <w:pPr>
        <w:spacing w:after="0" w:line="360" w:lineRule="auto"/>
        <w:rPr>
          <w:b/>
          <w:bCs/>
        </w:rPr>
      </w:pPr>
    </w:p>
    <w:p w14:paraId="602B04D5" w14:textId="77777777" w:rsidR="000B06DA" w:rsidRPr="00206AD5" w:rsidRDefault="00E459CA">
      <w:pPr>
        <w:spacing w:after="0" w:line="360" w:lineRule="auto"/>
      </w:pPr>
      <w:r w:rsidRPr="00206AD5">
        <w:rPr>
          <w:b/>
          <w:bCs/>
        </w:rPr>
        <w:t>g) Cierre de instrucción.</w:t>
      </w:r>
      <w:r w:rsidRPr="00206AD5">
        <w:t xml:space="preserve"> El siete de abril de dos mil veintiséis, al no existir diligencias pendientes por desahogar, se emitió el acuerdo por medio del cual se declaró cerrada la instrucción y se determinó pas</w:t>
      </w:r>
      <w:r w:rsidRPr="00206AD5">
        <w:t xml:space="preserve">ar los expedientes a resolución, en términos de lo dispuesto en los artículos 185, fracciones VI y VIII, de la Ley de Transparencia y Acceso a la Información </w:t>
      </w:r>
      <w:r w:rsidRPr="00206AD5">
        <w:lastRenderedPageBreak/>
        <w:t>Pública del Estado de México y Municipios, acto que fue notificado a las partes en la misma fecha,</w:t>
      </w:r>
      <w:r w:rsidRPr="00206AD5">
        <w:t xml:space="preserve"> mediante el SAIMEX.</w:t>
      </w:r>
    </w:p>
    <w:p w14:paraId="6D6547AD" w14:textId="77777777" w:rsidR="000B06DA" w:rsidRPr="00206AD5" w:rsidRDefault="000B06DA">
      <w:pPr>
        <w:spacing w:after="0" w:line="360" w:lineRule="auto"/>
      </w:pPr>
    </w:p>
    <w:p w14:paraId="617BB20E" w14:textId="77777777" w:rsidR="000B06DA" w:rsidRPr="00206AD5" w:rsidRDefault="00E459CA">
      <w:pPr>
        <w:spacing w:after="0" w:line="360" w:lineRule="auto"/>
      </w:pPr>
      <w:r w:rsidRPr="00206AD5">
        <w:t xml:space="preserve">En razón de que fue debidamente sustanciado e integrado el expediente electrónico y no existir diligencia pendiente de desahogo, se emite la resolución que conforme a Derecho proceda, de acuerdo a los siguientes: </w:t>
      </w:r>
    </w:p>
    <w:p w14:paraId="616AA6D0" w14:textId="77777777" w:rsidR="000B06DA" w:rsidRPr="00206AD5" w:rsidRDefault="000B06DA">
      <w:pPr>
        <w:spacing w:after="0" w:line="360" w:lineRule="auto"/>
      </w:pPr>
    </w:p>
    <w:p w14:paraId="538E70B3" w14:textId="77777777" w:rsidR="000B06DA" w:rsidRPr="00206AD5" w:rsidRDefault="00E459CA">
      <w:pPr>
        <w:pStyle w:val="Ttulo1"/>
        <w:spacing w:before="0" w:after="0"/>
        <w:rPr>
          <w:sz w:val="22"/>
          <w:szCs w:val="22"/>
        </w:rPr>
      </w:pPr>
      <w:bookmarkStart w:id="8" w:name="_Toc226633796"/>
      <w:r w:rsidRPr="00206AD5">
        <w:rPr>
          <w:sz w:val="22"/>
          <w:szCs w:val="22"/>
        </w:rPr>
        <w:t>C O N S I D E R A N</w:t>
      </w:r>
      <w:r w:rsidRPr="00206AD5">
        <w:rPr>
          <w:sz w:val="22"/>
          <w:szCs w:val="22"/>
        </w:rPr>
        <w:t xml:space="preserve"> D O S</w:t>
      </w:r>
      <w:bookmarkEnd w:id="8"/>
    </w:p>
    <w:p w14:paraId="1A865587" w14:textId="77777777" w:rsidR="000B06DA" w:rsidRPr="00206AD5" w:rsidRDefault="000B06DA">
      <w:pPr>
        <w:spacing w:after="0" w:line="360" w:lineRule="auto"/>
        <w:rPr>
          <w:b/>
          <w:bCs/>
        </w:rPr>
      </w:pPr>
    </w:p>
    <w:p w14:paraId="2E8BCEFF" w14:textId="77777777" w:rsidR="000B06DA" w:rsidRPr="00206AD5" w:rsidRDefault="00E459CA">
      <w:pPr>
        <w:pStyle w:val="Ttulo2"/>
        <w:spacing w:before="0" w:after="0"/>
      </w:pPr>
      <w:bookmarkStart w:id="9" w:name="_Toc226633797"/>
      <w:r w:rsidRPr="00206AD5">
        <w:t>PRIMERO. Competencia</w:t>
      </w:r>
      <w:bookmarkEnd w:id="9"/>
    </w:p>
    <w:p w14:paraId="4490D3E5" w14:textId="77777777" w:rsidR="000B06DA" w:rsidRPr="00206AD5" w:rsidRDefault="000B06DA">
      <w:pPr>
        <w:spacing w:after="0" w:line="360" w:lineRule="auto"/>
      </w:pPr>
    </w:p>
    <w:p w14:paraId="031DC812" w14:textId="77777777" w:rsidR="000B06DA" w:rsidRPr="00206AD5" w:rsidRDefault="00E459CA">
      <w:pPr>
        <w:spacing w:after="0" w:line="360" w:lineRule="auto"/>
      </w:pPr>
      <w:r w:rsidRPr="00206AD5">
        <w:t>El Instituto de Transparencia, Acceso a la Información Pública y Protección de Datos Personales del Estado de México y Municipios, es competente para conocer y resolver el presente recurso de revisión interpuesto por la person</w:t>
      </w:r>
      <w:r w:rsidRPr="00206AD5">
        <w:t xml:space="preserve">a Recurrente, conforme a lo dispuesto en los artículos 5°, párrafos cuadragésimo cuarto, cuadragésimo quinto y cuadragésimo sexto, fracciones IV y V de la Constitución Política del Estado Libre y Soberano de México; Cuarto Transitorio, párrafo segundo del </w:t>
      </w:r>
      <w:r w:rsidRPr="00206AD5">
        <w:t>Decreto número 198 de la “LXII” Legislatura del Estado de México; 1°, 2°, fracciones II y IV; 13, 29, 36, fracciones I y II; 176, 178, 179, 181 párrafo tercero, 185, 188 y 189 de la Ley Transparencia y Acceso a la Información Pública del Estado de México y</w:t>
      </w:r>
      <w:r w:rsidRPr="00206AD5">
        <w:t xml:space="preserve"> Municipios; 7°, 9°, fracciones I y XXIII y 11 del Reglamento Interior del Instituto de Transparencia, Acceso a la Información Pública y Protección de Datos Personales del Estado de México y Municipios.</w:t>
      </w:r>
    </w:p>
    <w:p w14:paraId="2890FFC8" w14:textId="77777777" w:rsidR="000B06DA" w:rsidRPr="00206AD5" w:rsidRDefault="000B06DA">
      <w:pPr>
        <w:spacing w:after="0" w:line="360" w:lineRule="auto"/>
      </w:pPr>
    </w:p>
    <w:p w14:paraId="5DB159B3" w14:textId="77777777" w:rsidR="000B06DA" w:rsidRPr="00206AD5" w:rsidRDefault="00E459CA">
      <w:pPr>
        <w:pStyle w:val="Ttulo2"/>
        <w:spacing w:before="0" w:after="0"/>
      </w:pPr>
      <w:bookmarkStart w:id="10" w:name="_Toc226633798"/>
      <w:r w:rsidRPr="00206AD5">
        <w:t>SEGUNDO. Causales de improcedencia y sobreseimiento</w:t>
      </w:r>
      <w:bookmarkEnd w:id="10"/>
    </w:p>
    <w:p w14:paraId="77CB01CA" w14:textId="77777777" w:rsidR="000B06DA" w:rsidRPr="00206AD5" w:rsidRDefault="000B06DA">
      <w:pPr>
        <w:spacing w:after="0" w:line="360" w:lineRule="auto"/>
      </w:pPr>
    </w:p>
    <w:p w14:paraId="42109373" w14:textId="77777777" w:rsidR="000B06DA" w:rsidRPr="00206AD5" w:rsidRDefault="00E459CA">
      <w:pPr>
        <w:spacing w:after="0" w:line="360" w:lineRule="auto"/>
      </w:pPr>
      <w:r w:rsidRPr="00206AD5">
        <w:lastRenderedPageBreak/>
        <w:t xml:space="preserve">De las constancias que forman parte del Recurso de Revisión que se analiza, se advierte que previo al estudio del fondo de la </w:t>
      </w:r>
      <w:r w:rsidRPr="00206AD5">
        <w:rPr>
          <w:i/>
          <w:iCs/>
        </w:rPr>
        <w:t>litis</w:t>
      </w:r>
      <w:r w:rsidRPr="00206AD5">
        <w:t>, es necesario estudiar las causales de improcedencia y sobreseimiento que se adviertan, para determinar lo que en Derecho p</w:t>
      </w:r>
      <w:r w:rsidRPr="00206AD5">
        <w:t>roceda.</w:t>
      </w:r>
    </w:p>
    <w:p w14:paraId="10F5805E" w14:textId="77777777" w:rsidR="000B06DA" w:rsidRPr="00206AD5" w:rsidRDefault="000B06DA">
      <w:pPr>
        <w:spacing w:after="0" w:line="360" w:lineRule="auto"/>
      </w:pPr>
    </w:p>
    <w:p w14:paraId="354A449B" w14:textId="77777777" w:rsidR="000B06DA" w:rsidRPr="00206AD5" w:rsidRDefault="00E459CA">
      <w:pPr>
        <w:spacing w:after="0" w:line="360" w:lineRule="auto"/>
        <w:rPr>
          <w:b/>
          <w:bCs/>
        </w:rPr>
      </w:pPr>
      <w:r w:rsidRPr="00206AD5">
        <w:rPr>
          <w:b/>
          <w:bCs/>
        </w:rPr>
        <w:t>Causales de improcedencia</w:t>
      </w:r>
    </w:p>
    <w:p w14:paraId="7D36B975" w14:textId="77777777" w:rsidR="000B06DA" w:rsidRPr="00206AD5" w:rsidRDefault="000B06DA">
      <w:pPr>
        <w:spacing w:after="0" w:line="360" w:lineRule="auto"/>
      </w:pPr>
    </w:p>
    <w:p w14:paraId="3775C4D3" w14:textId="77777777" w:rsidR="000B06DA" w:rsidRPr="00206AD5" w:rsidRDefault="00E459CA">
      <w:pPr>
        <w:spacing w:after="0" w:line="360" w:lineRule="auto"/>
        <w:rPr>
          <w:color w:val="000000"/>
        </w:rPr>
      </w:pPr>
      <w:r w:rsidRPr="00206AD5">
        <w:rPr>
          <w:color w:val="000000"/>
        </w:rPr>
        <w:t>Este Instituto realiza el estudio oficioso de las causales de improcedencia, por tratarse de una cuestión de orden público y de estudio preferente acorde con el Criterio orientador en la Tesis de Jurisprudencia “IMPROCED</w:t>
      </w:r>
      <w:r w:rsidRPr="00206AD5">
        <w:rPr>
          <w:color w:val="000000"/>
        </w:rPr>
        <w:t xml:space="preserve">ENCIA.” (Semanario Judicial de la Federación, Quinta Época, 1985, pág. 262), el cual establece que debe examinarse previamente la procedencia del juicio de amparo, sea que las partes lo soliciten o no, por ser una cuestión de orden público; de tal suerte, </w:t>
      </w:r>
      <w:r w:rsidRPr="00206AD5">
        <w:rPr>
          <w:color w:val="000000"/>
        </w:rPr>
        <w:t>deberá ser desechado cualquier Recurso de Revisión que actualice alguno de los supuestos establecidos en el artículo 191 de la Ley de Transparencia y Acceso a la Información Pública del Estado de México y Municipios, por ser improcedente.</w:t>
      </w:r>
    </w:p>
    <w:p w14:paraId="3C0CAE4A" w14:textId="77777777" w:rsidR="000B06DA" w:rsidRPr="00206AD5" w:rsidRDefault="000B06DA">
      <w:pPr>
        <w:spacing w:after="0" w:line="360" w:lineRule="auto"/>
        <w:rPr>
          <w:color w:val="000000"/>
        </w:rPr>
      </w:pPr>
    </w:p>
    <w:p w14:paraId="4D872C57" w14:textId="77777777" w:rsidR="000B06DA" w:rsidRPr="00206AD5" w:rsidRDefault="00E459CA">
      <w:pPr>
        <w:spacing w:after="0" w:line="360" w:lineRule="auto"/>
        <w:rPr>
          <w:color w:val="000000"/>
        </w:rPr>
      </w:pPr>
      <w:r w:rsidRPr="00206AD5">
        <w:rPr>
          <w:color w:val="000000"/>
        </w:rPr>
        <w:t>En el presente c</w:t>
      </w:r>
      <w:r w:rsidRPr="00206AD5">
        <w:rPr>
          <w:color w:val="000000"/>
        </w:rPr>
        <w:t>aso, no se actualiza ninguna de las causales de improcedencia establecidas en el ordenamiento jurídico previamente señalado, toda vez que: el recurso fue presentado dentro del plazo establecido en el artículo 178 de la Ley de Transparencia y Acceso a la In</w:t>
      </w:r>
      <w:r w:rsidRPr="00206AD5">
        <w:rPr>
          <w:color w:val="000000"/>
        </w:rPr>
        <w:t xml:space="preserve">formación Pública del Estado de México y Municipios; este Instituto no tiene conocimiento de que se encuentre en trámite algún medio de defensa presentado por la Recurrente ante otra instancia; no existió prevención alguna; la veracidad de la respuesta no </w:t>
      </w:r>
      <w:r w:rsidRPr="00206AD5">
        <w:rPr>
          <w:color w:val="000000"/>
        </w:rPr>
        <w:t>formó parte del agravio; ni se realizó una consulta o ampliación a los alcances del requerimiento informativo.</w:t>
      </w:r>
    </w:p>
    <w:p w14:paraId="55BCEF2E" w14:textId="77777777" w:rsidR="000B06DA" w:rsidRPr="00206AD5" w:rsidRDefault="000B06DA">
      <w:pPr>
        <w:spacing w:after="0" w:line="360" w:lineRule="auto"/>
        <w:rPr>
          <w:b/>
          <w:bCs/>
        </w:rPr>
      </w:pPr>
    </w:p>
    <w:p w14:paraId="4C308EED" w14:textId="77777777" w:rsidR="000B06DA" w:rsidRPr="00206AD5" w:rsidRDefault="00E459CA">
      <w:pPr>
        <w:spacing w:after="0" w:line="360" w:lineRule="auto"/>
        <w:ind w:right="-28"/>
        <w:rPr>
          <w:b/>
          <w:bCs/>
        </w:rPr>
      </w:pPr>
      <w:r w:rsidRPr="00206AD5">
        <w:rPr>
          <w:b/>
          <w:bCs/>
        </w:rPr>
        <w:t>Causales de sobreseimiento</w:t>
      </w:r>
    </w:p>
    <w:p w14:paraId="7DE8046B" w14:textId="77777777" w:rsidR="000B06DA" w:rsidRPr="00206AD5" w:rsidRDefault="000B06DA">
      <w:pPr>
        <w:spacing w:after="0" w:line="360" w:lineRule="auto"/>
        <w:ind w:right="-28"/>
        <w:rPr>
          <w:b/>
          <w:bCs/>
        </w:rPr>
      </w:pPr>
    </w:p>
    <w:p w14:paraId="48FE7368" w14:textId="77777777" w:rsidR="000B06DA" w:rsidRPr="00206AD5" w:rsidRDefault="00E459CA">
      <w:pPr>
        <w:spacing w:after="0" w:line="360" w:lineRule="auto"/>
      </w:pPr>
      <w:r w:rsidRPr="00206AD5">
        <w:lastRenderedPageBreak/>
        <w:t>Por lo que hace a las causales de sobreseimiento, del análisis realizado por este Instituto, se advierte que</w:t>
      </w:r>
      <w:r w:rsidRPr="00206AD5">
        <w:rPr>
          <w:b/>
          <w:bCs/>
        </w:rPr>
        <w:t xml:space="preserve"> no se actualiza ninguna de las previstas por el artículo 192 de la Ley de Transparencia y Acceso a la Información Pública del Estado de México y Municipios; </w:t>
      </w:r>
      <w:r w:rsidRPr="00206AD5">
        <w:t>lo anterior, en virtud de que no existe constancia en el expediente en que se actúa, de que la rec</w:t>
      </w:r>
      <w:r w:rsidRPr="00206AD5">
        <w:t>urrente se hubiera desistido del recurso, hubiera fallecido, que sobreviene alguna causal de improcedencia, que el Sujeto Obligado hubiese modificado o revocado el acto impugnado, o bien que el recurso de revisión hubiera quedado sin materia. Por tales mot</w:t>
      </w:r>
      <w:r w:rsidRPr="00206AD5">
        <w:t xml:space="preserve">ivos, se considera procedente entrar al fondo del presente asunto. </w:t>
      </w:r>
    </w:p>
    <w:p w14:paraId="26B32BA4" w14:textId="77777777" w:rsidR="000B06DA" w:rsidRPr="00206AD5" w:rsidRDefault="00E459CA" w:rsidP="00206AD5">
      <w:pPr>
        <w:pStyle w:val="Ttulo2"/>
        <w:rPr>
          <w:b w:val="0"/>
          <w:bCs w:val="0"/>
        </w:rPr>
      </w:pPr>
      <w:bookmarkStart w:id="11" w:name="_Toc226633799"/>
      <w:r w:rsidRPr="00206AD5">
        <w:t>TERCERO. Determinación de la Controversia</w:t>
      </w:r>
      <w:bookmarkEnd w:id="11"/>
    </w:p>
    <w:p w14:paraId="429DEE99" w14:textId="77777777" w:rsidR="000B06DA" w:rsidRPr="00206AD5" w:rsidRDefault="000B06DA">
      <w:pPr>
        <w:spacing w:after="0" w:line="360" w:lineRule="auto"/>
      </w:pPr>
    </w:p>
    <w:p w14:paraId="3C8360FD" w14:textId="751830AB" w:rsidR="000B06DA" w:rsidRPr="00206AD5" w:rsidRDefault="00E459CA" w:rsidP="00136864">
      <w:pPr>
        <w:spacing w:after="0" w:line="360" w:lineRule="auto"/>
        <w:rPr>
          <w:b/>
          <w:bCs/>
          <w:color w:val="000000"/>
        </w:rPr>
      </w:pPr>
      <w:r w:rsidRPr="00206AD5">
        <w:t>Así, se realizará la relatoría de las actuaciones efectuadas por las partes durante el procedimiento de acceso a la información pública con el pr</w:t>
      </w:r>
      <w:r w:rsidRPr="00206AD5">
        <w:t xml:space="preserve">opósito de dar claridad en el tratamiento del tema en estudio; por lo que en primer término tenemos que la parte Recurrente solicitó </w:t>
      </w:r>
      <w:r w:rsidR="00136864" w:rsidRPr="00206AD5">
        <w:t>l</w:t>
      </w:r>
      <w:r w:rsidRPr="00206AD5">
        <w:rPr>
          <w:color w:val="000000"/>
        </w:rPr>
        <w:t xml:space="preserve">os oficios que se recibieron y emitieron en el mes de enero de 2025 en la Dirección General de Planeación, Gestión Urbana </w:t>
      </w:r>
      <w:r w:rsidRPr="00206AD5">
        <w:rPr>
          <w:color w:val="000000"/>
        </w:rPr>
        <w:t>y Ciudad Inteligente.</w:t>
      </w:r>
      <w:r w:rsidRPr="00206AD5">
        <w:rPr>
          <w:b/>
          <w:bCs/>
          <w:color w:val="000000"/>
        </w:rPr>
        <w:t xml:space="preserve"> </w:t>
      </w:r>
    </w:p>
    <w:p w14:paraId="172CAA32" w14:textId="77777777" w:rsidR="000B06DA" w:rsidRPr="00206AD5" w:rsidRDefault="000B06DA">
      <w:pPr>
        <w:spacing w:after="0" w:line="360" w:lineRule="auto"/>
      </w:pPr>
    </w:p>
    <w:p w14:paraId="278A034D" w14:textId="77777777" w:rsidR="000B06DA" w:rsidRPr="00206AD5" w:rsidRDefault="00E459CA">
      <w:pPr>
        <w:spacing w:after="0" w:line="360" w:lineRule="auto"/>
      </w:pPr>
      <w:r w:rsidRPr="00206AD5">
        <w:t xml:space="preserve">En este tenor, cabe precisar que el Sujeto Obligado no dio respuesta, lo que ocasionó el motivo de agravio de la parte Recurrente, quién se inconformó por la falta de respuesta. Durante la etapa de manifestaciones el </w:t>
      </w:r>
      <w:r w:rsidRPr="00206AD5">
        <w:rPr>
          <w:b/>
          <w:bCs/>
        </w:rPr>
        <w:t>Sujeto Obligado</w:t>
      </w:r>
      <w:r w:rsidRPr="00206AD5">
        <w:rPr>
          <w:b/>
          <w:bCs/>
        </w:rPr>
        <w:t xml:space="preserve"> </w:t>
      </w:r>
      <w:r w:rsidRPr="00206AD5">
        <w:t>rindió informe justificado en el que el Director General de Innovación, Planeación y Gestión Urbana, anunció que adjuntaba en formato PDF, en versión pública los oficios solicitados de conformidad con lo dispuesto en el acuerdo: CT/SE/85/02/2026, Número d</w:t>
      </w:r>
      <w:r w:rsidRPr="00206AD5">
        <w:t>e acta Octagésima Quinta (85), de fecha 11 de febrero del 2026, del Comité de Transparencia de Toluca. Sin embargo, de las constancias no obra ningún otro oficio. Dicho informe se puso a la vista de la parte Recurrente, sin embargo, no añadió manifestacion</w:t>
      </w:r>
      <w:r w:rsidRPr="00206AD5">
        <w:t xml:space="preserve">es. </w:t>
      </w:r>
    </w:p>
    <w:p w14:paraId="74AD7138" w14:textId="77777777" w:rsidR="000B06DA" w:rsidRPr="00206AD5" w:rsidRDefault="000B06DA">
      <w:pPr>
        <w:spacing w:after="0" w:line="360" w:lineRule="auto"/>
      </w:pPr>
    </w:p>
    <w:p w14:paraId="3CDD5FCA" w14:textId="77777777" w:rsidR="000B06DA" w:rsidRPr="00206AD5" w:rsidRDefault="00E459CA">
      <w:pPr>
        <w:tabs>
          <w:tab w:val="left" w:pos="4962"/>
        </w:tabs>
        <w:spacing w:after="0" w:line="360" w:lineRule="auto"/>
      </w:pPr>
      <w:r w:rsidRPr="00206AD5">
        <w:lastRenderedPageBreak/>
        <w:t xml:space="preserve">Así pues, de las constancias que integran el expediente, se advierte que en el asunto que nos ocupa se actualiza la causal de procedencia señalada en el artículo 179, fracciones VII, de la Ley de la materia; por la falta de respuesta a una solicitud </w:t>
      </w:r>
      <w:r w:rsidRPr="00206AD5">
        <w:t xml:space="preserve">de acceso a la información. </w:t>
      </w:r>
    </w:p>
    <w:p w14:paraId="13B09856" w14:textId="77777777" w:rsidR="000B06DA" w:rsidRPr="00206AD5" w:rsidRDefault="000B06DA">
      <w:pPr>
        <w:tabs>
          <w:tab w:val="left" w:pos="4962"/>
        </w:tabs>
        <w:spacing w:after="0" w:line="360" w:lineRule="auto"/>
      </w:pPr>
    </w:p>
    <w:p w14:paraId="78D0C772" w14:textId="77777777" w:rsidR="000B06DA" w:rsidRPr="00206AD5" w:rsidRDefault="00E459CA">
      <w:pPr>
        <w:tabs>
          <w:tab w:val="left" w:pos="4962"/>
        </w:tabs>
        <w:spacing w:after="0" w:line="360" w:lineRule="auto"/>
      </w:pPr>
      <w:r w:rsidRPr="00206AD5">
        <w:t xml:space="preserve">Establecido lo anterior, lo consecuente es analizar el agravio manifestado por el ahora Recurrente, de conformidad con lo dispuesto por la Ley de Transparencia y Acceso a la Información Pública del Estado de México y </w:t>
      </w:r>
      <w:r w:rsidRPr="00206AD5">
        <w:t>Municipios y demás disposiciones legales aplicables a la materia que se resuelve.</w:t>
      </w:r>
    </w:p>
    <w:p w14:paraId="7C80670F" w14:textId="77777777" w:rsidR="000B06DA" w:rsidRPr="00206AD5" w:rsidRDefault="000B06DA">
      <w:pPr>
        <w:spacing w:after="0" w:line="360" w:lineRule="auto"/>
      </w:pPr>
    </w:p>
    <w:p w14:paraId="64FE9405" w14:textId="77777777" w:rsidR="000B06DA" w:rsidRPr="00206AD5" w:rsidRDefault="00E459CA">
      <w:pPr>
        <w:pStyle w:val="Ttulo2"/>
        <w:spacing w:before="0" w:after="0"/>
      </w:pPr>
      <w:bookmarkStart w:id="12" w:name="_Toc226633800"/>
      <w:r w:rsidRPr="00206AD5">
        <w:t>CUARTO. Marco normativo aplicable en materia de transparencia y acceso a la información pública</w:t>
      </w:r>
      <w:bookmarkEnd w:id="12"/>
    </w:p>
    <w:p w14:paraId="15818179" w14:textId="77777777" w:rsidR="000B06DA" w:rsidRPr="00206AD5" w:rsidRDefault="000B06DA">
      <w:pPr>
        <w:spacing w:after="0" w:line="360" w:lineRule="auto"/>
      </w:pPr>
    </w:p>
    <w:p w14:paraId="2450C9E3" w14:textId="77777777" w:rsidR="000B06DA" w:rsidRPr="00206AD5" w:rsidRDefault="00E459CA">
      <w:pPr>
        <w:spacing w:after="0" w:line="360" w:lineRule="auto"/>
      </w:pPr>
      <w:r w:rsidRPr="00206AD5">
        <w:t xml:space="preserve">El artículo 6°, Apartado A), fracción I, de la Constitución Política de los </w:t>
      </w:r>
      <w:r w:rsidRPr="00206AD5">
        <w:t>Estados Unidos Mexicanos, establece que toda la información en posesión de cualquier autoridad, es pública y sólo podrá ser reservada temporalmente por razones de interés público.</w:t>
      </w:r>
    </w:p>
    <w:p w14:paraId="4A5DD584" w14:textId="77777777" w:rsidR="000B06DA" w:rsidRPr="00206AD5" w:rsidRDefault="000B06DA">
      <w:pPr>
        <w:spacing w:after="0" w:line="360" w:lineRule="auto"/>
      </w:pPr>
    </w:p>
    <w:p w14:paraId="0CD510CF" w14:textId="77777777" w:rsidR="000B06DA" w:rsidRPr="00206AD5" w:rsidRDefault="00E459CA">
      <w:pPr>
        <w:spacing w:after="0" w:line="360" w:lineRule="auto"/>
      </w:pPr>
      <w:r w:rsidRPr="00206AD5">
        <w:t>En materia local, el artículo 5°, fracción I de la Constitución Política de</w:t>
      </w:r>
      <w:r w:rsidRPr="00206AD5">
        <w:t>l Estado Libre y Soberano de México, es coincidente con la Constitución Política de los Estados Unidos Mexicanos, en el sentido de la publicidad de toda la información, con la única restricción de proteger el interés público, así como la información refere</w:t>
      </w:r>
      <w:r w:rsidRPr="00206AD5">
        <w:t>nte a la intimidad de la vida privada y la imagen de las personas, con las excepciones que establezca la ley reglamentaria.</w:t>
      </w:r>
    </w:p>
    <w:p w14:paraId="64F27F3B" w14:textId="77777777" w:rsidR="000B06DA" w:rsidRPr="00206AD5" w:rsidRDefault="000B06DA">
      <w:pPr>
        <w:spacing w:after="0" w:line="360" w:lineRule="auto"/>
      </w:pPr>
    </w:p>
    <w:p w14:paraId="4607F6D1" w14:textId="77777777" w:rsidR="000B06DA" w:rsidRPr="00206AD5" w:rsidRDefault="00E459CA">
      <w:pPr>
        <w:spacing w:after="0" w:line="360" w:lineRule="auto"/>
      </w:pPr>
      <w:r w:rsidRPr="00206AD5">
        <w:t>Por su parte, la Ley de Transparencia y Acceso a la Información Pública del Estado de México y Municipios (Reglamentaria del artícu</w:t>
      </w:r>
      <w:r w:rsidRPr="00206AD5">
        <w:t>lo 5° de la Constitución Local), establece lo siguiente:</w:t>
      </w:r>
    </w:p>
    <w:p w14:paraId="3A94777C" w14:textId="77777777" w:rsidR="000B06DA" w:rsidRPr="00206AD5" w:rsidRDefault="000B06DA">
      <w:pPr>
        <w:spacing w:after="0" w:line="360" w:lineRule="auto"/>
      </w:pPr>
    </w:p>
    <w:p w14:paraId="6CB8956E" w14:textId="77777777" w:rsidR="000B06DA" w:rsidRPr="00206AD5" w:rsidRDefault="00E459CA">
      <w:pPr>
        <w:spacing w:after="0" w:line="360" w:lineRule="auto"/>
      </w:pPr>
      <w:r w:rsidRPr="00206AD5">
        <w:lastRenderedPageBreak/>
        <w:t>El artículo 12 dice que, quienes generen, recopilen, administren, manejen, procesen, archiven o conserven información pública serán responsables de la misma.</w:t>
      </w:r>
    </w:p>
    <w:p w14:paraId="00497E72" w14:textId="77777777" w:rsidR="000B06DA" w:rsidRPr="00206AD5" w:rsidRDefault="000B06DA">
      <w:pPr>
        <w:spacing w:after="0" w:line="360" w:lineRule="auto"/>
      </w:pPr>
    </w:p>
    <w:p w14:paraId="1E849B08" w14:textId="77777777" w:rsidR="000B06DA" w:rsidRPr="00206AD5" w:rsidRDefault="00E459CA">
      <w:pPr>
        <w:spacing w:after="0" w:line="360" w:lineRule="auto"/>
      </w:pPr>
      <w:r w:rsidRPr="00206AD5">
        <w:t xml:space="preserve">El artículo 18, que, los Sujetos </w:t>
      </w:r>
      <w:r w:rsidRPr="00206AD5">
        <w:t>Obligados deberán documentar todo acto que derive del ejercicio de sus facultades, competencias o funciones, considerando desde su origen la eventual publicidad y reutilización de la información que generen.</w:t>
      </w:r>
    </w:p>
    <w:p w14:paraId="603C3D8D" w14:textId="77777777" w:rsidR="000B06DA" w:rsidRPr="00206AD5" w:rsidRDefault="000B06DA">
      <w:pPr>
        <w:spacing w:after="0" w:line="360" w:lineRule="auto"/>
      </w:pPr>
    </w:p>
    <w:p w14:paraId="02122291" w14:textId="77777777" w:rsidR="000B06DA" w:rsidRPr="00206AD5" w:rsidRDefault="00E459CA">
      <w:pPr>
        <w:spacing w:after="0" w:line="360" w:lineRule="auto"/>
      </w:pPr>
      <w:r w:rsidRPr="00206AD5">
        <w:t>El artículo 19, que, se presume que la informac</w:t>
      </w:r>
      <w:r w:rsidRPr="00206AD5">
        <w:t>ión debe existir si se refiere a las facultades, competencias y funciones que los ordenamientos jurídicos aplicables otorgan a los sujetos obligados y en caso de que dichas facultades no se hayan ejercido, se deberá motivar la respuesta en función de las c</w:t>
      </w:r>
      <w:r w:rsidRPr="00206AD5">
        <w:t>ausas que motivaron tal circunstancia.</w:t>
      </w:r>
    </w:p>
    <w:p w14:paraId="0CC4CE13" w14:textId="77777777" w:rsidR="000B06DA" w:rsidRPr="00206AD5" w:rsidRDefault="000B06DA">
      <w:pPr>
        <w:spacing w:after="0" w:line="360" w:lineRule="auto"/>
      </w:pPr>
    </w:p>
    <w:p w14:paraId="7522679F" w14:textId="77777777" w:rsidR="000B06DA" w:rsidRPr="00206AD5" w:rsidRDefault="00E459CA">
      <w:pPr>
        <w:pStyle w:val="Ttulo2"/>
        <w:spacing w:before="0" w:after="0"/>
      </w:pPr>
      <w:bookmarkStart w:id="13" w:name="_Toc226633801"/>
      <w:r w:rsidRPr="00206AD5">
        <w:rPr>
          <w:smallCaps/>
        </w:rPr>
        <w:t>QUINTO.</w:t>
      </w:r>
      <w:r w:rsidRPr="00206AD5">
        <w:t xml:space="preserve"> Estudio de Fondo</w:t>
      </w:r>
      <w:bookmarkEnd w:id="13"/>
    </w:p>
    <w:p w14:paraId="43EE42DA" w14:textId="77777777" w:rsidR="000B06DA" w:rsidRPr="00206AD5" w:rsidRDefault="000B06DA">
      <w:pPr>
        <w:spacing w:after="0" w:line="360" w:lineRule="auto"/>
      </w:pPr>
    </w:p>
    <w:p w14:paraId="268778BE" w14:textId="77777777" w:rsidR="000B06DA" w:rsidRPr="00206AD5" w:rsidRDefault="00E459CA">
      <w:pPr>
        <w:spacing w:after="0" w:line="360" w:lineRule="auto"/>
        <w:rPr>
          <w:color w:val="000000"/>
        </w:rPr>
      </w:pPr>
      <w:r w:rsidRPr="00206AD5">
        <w:rPr>
          <w:color w:val="000000"/>
        </w:rPr>
        <w:t>Expuestas las posturas de las partes, se procede al análisis del agravio hecho valer por el Recurrente, concerniente a la falta de respuesta del Ayuntamiento de Toluca a la solicitud de info</w:t>
      </w:r>
      <w:r w:rsidRPr="00206AD5">
        <w:rPr>
          <w:color w:val="000000"/>
        </w:rPr>
        <w:t>rmación.</w:t>
      </w:r>
    </w:p>
    <w:p w14:paraId="362FD8CE" w14:textId="77777777" w:rsidR="000B06DA" w:rsidRPr="00206AD5" w:rsidRDefault="000B06DA">
      <w:pPr>
        <w:spacing w:after="0" w:line="360" w:lineRule="auto"/>
        <w:rPr>
          <w:color w:val="000000"/>
        </w:rPr>
      </w:pPr>
    </w:p>
    <w:p w14:paraId="649D311F" w14:textId="77777777" w:rsidR="000B06DA" w:rsidRPr="00206AD5" w:rsidRDefault="00E459CA">
      <w:pPr>
        <w:spacing w:after="0" w:line="360" w:lineRule="auto"/>
        <w:rPr>
          <w:color w:val="000000"/>
        </w:rPr>
      </w:pPr>
      <w:r w:rsidRPr="00206AD5">
        <w:rPr>
          <w:color w:val="000000"/>
        </w:rPr>
        <w:t>En principio, es de suma importancia señalar los objetivos de la Ley de Transparencia y Acceso a la Información Pública del Estado de México y Municipios, en relación con la obligación de acceso por parte de los Sujetos Obligados, lo cuales se en</w:t>
      </w:r>
      <w:r w:rsidRPr="00206AD5">
        <w:rPr>
          <w:color w:val="000000"/>
        </w:rPr>
        <w:t>cuentran establecidos en el artículo 2° de dicho ordenamiento jurídico y son los siguientes:</w:t>
      </w:r>
    </w:p>
    <w:p w14:paraId="7D726DBD" w14:textId="77777777" w:rsidR="000B06DA" w:rsidRPr="00206AD5" w:rsidRDefault="000B06DA">
      <w:pPr>
        <w:spacing w:after="0" w:line="360" w:lineRule="auto"/>
        <w:rPr>
          <w:color w:val="000000"/>
        </w:rPr>
      </w:pPr>
    </w:p>
    <w:p w14:paraId="29E8F90D" w14:textId="77777777" w:rsidR="000B06DA" w:rsidRPr="00206AD5" w:rsidRDefault="00E459CA">
      <w:pPr>
        <w:numPr>
          <w:ilvl w:val="0"/>
          <w:numId w:val="1"/>
        </w:numPr>
        <w:spacing w:after="0" w:line="360" w:lineRule="auto"/>
        <w:rPr>
          <w:color w:val="000000"/>
        </w:rPr>
      </w:pPr>
      <w:r w:rsidRPr="00206AD5">
        <w:rPr>
          <w:color w:val="000000"/>
        </w:rPr>
        <w:t>Proveer lo necesario para garantizar a toda persona el derecho de acceso a la información pública, a través de procedimientos sencillos, expeditos, oportunos y gr</w:t>
      </w:r>
      <w:r w:rsidRPr="00206AD5">
        <w:rPr>
          <w:color w:val="000000"/>
        </w:rPr>
        <w:t>atuitos;</w:t>
      </w:r>
    </w:p>
    <w:p w14:paraId="69A73845" w14:textId="77777777" w:rsidR="000B06DA" w:rsidRPr="00206AD5" w:rsidRDefault="000B06DA">
      <w:pPr>
        <w:spacing w:after="0" w:line="360" w:lineRule="auto"/>
        <w:ind w:left="720"/>
        <w:rPr>
          <w:color w:val="000000"/>
        </w:rPr>
      </w:pPr>
    </w:p>
    <w:p w14:paraId="4F269305" w14:textId="77777777" w:rsidR="000B06DA" w:rsidRPr="00206AD5" w:rsidRDefault="00E459CA">
      <w:pPr>
        <w:numPr>
          <w:ilvl w:val="0"/>
          <w:numId w:val="1"/>
        </w:numPr>
        <w:spacing w:after="0" w:line="360" w:lineRule="auto"/>
        <w:rPr>
          <w:color w:val="000000"/>
        </w:rPr>
      </w:pPr>
      <w:r w:rsidRPr="00206AD5">
        <w:rPr>
          <w:color w:val="000000"/>
        </w:rPr>
        <w:lastRenderedPageBreak/>
        <w:t>Transparentar la gestión pública, mediante la difusión de la información generada por los Sujetos Obligados, y</w:t>
      </w:r>
    </w:p>
    <w:p w14:paraId="15E30C7F" w14:textId="77777777" w:rsidR="000B06DA" w:rsidRPr="00206AD5" w:rsidRDefault="000B06DA">
      <w:pPr>
        <w:spacing w:after="0" w:line="360" w:lineRule="auto"/>
        <w:ind w:left="720"/>
        <w:rPr>
          <w:color w:val="000000"/>
        </w:rPr>
      </w:pPr>
    </w:p>
    <w:p w14:paraId="42632A45" w14:textId="77777777" w:rsidR="000B06DA" w:rsidRPr="00206AD5" w:rsidRDefault="00E459CA">
      <w:pPr>
        <w:numPr>
          <w:ilvl w:val="0"/>
          <w:numId w:val="1"/>
        </w:numPr>
        <w:spacing w:after="0" w:line="360" w:lineRule="auto"/>
        <w:rPr>
          <w:color w:val="000000"/>
        </w:rPr>
      </w:pPr>
      <w:r w:rsidRPr="00206AD5">
        <w:rPr>
          <w:color w:val="000000"/>
        </w:rPr>
        <w:t>Promover, fomentar y difundir la cultura de la transparencia en el ejercicio de la función pública, el acceso a la información y la pa</w:t>
      </w:r>
      <w:r w:rsidRPr="00206AD5">
        <w:rPr>
          <w:color w:val="000000"/>
        </w:rPr>
        <w:t>rticipación ciudadana, así como, la rendición de cuentas.</w:t>
      </w:r>
    </w:p>
    <w:p w14:paraId="71597381" w14:textId="77777777" w:rsidR="000B06DA" w:rsidRPr="00206AD5" w:rsidRDefault="000B06DA">
      <w:pPr>
        <w:spacing w:after="0" w:line="360" w:lineRule="auto"/>
        <w:rPr>
          <w:color w:val="000000"/>
        </w:rPr>
      </w:pPr>
    </w:p>
    <w:p w14:paraId="0FB0FEEC" w14:textId="77777777" w:rsidR="000B06DA" w:rsidRPr="00206AD5" w:rsidRDefault="00E459CA">
      <w:pPr>
        <w:spacing w:after="0" w:line="360" w:lineRule="auto"/>
        <w:rPr>
          <w:color w:val="000000"/>
        </w:rPr>
      </w:pPr>
      <w:r w:rsidRPr="00206AD5">
        <w:rPr>
          <w:color w:val="000000"/>
        </w:rPr>
        <w:t xml:space="preserve">Conforme a lo anterior, se </w:t>
      </w:r>
      <w:r w:rsidRPr="00206AD5">
        <w:t>desprende</w:t>
      </w:r>
      <w:r w:rsidRPr="00206AD5">
        <w:rPr>
          <w:color w:val="000000"/>
        </w:rPr>
        <w:t xml:space="preserve"> que los objetivos de la Ley de la materia, son establecer las bases que regirán las formas para garantizar el derecho de acceso a la información, mediante proce</w:t>
      </w:r>
      <w:r w:rsidRPr="00206AD5">
        <w:rPr>
          <w:color w:val="000000"/>
        </w:rPr>
        <w:t>sos sencillos y expeditos, la promoción, fomentación y difusión de la cultura de transparencia y la rendición de cuentas, a través de establecimiento de políticas públicas y mecanismos que garanticen la publicidad de información oportuna, verificable, comp</w:t>
      </w:r>
      <w:r w:rsidRPr="00206AD5">
        <w:rPr>
          <w:color w:val="000000"/>
        </w:rPr>
        <w:t>rensible, actualizada y completa.</w:t>
      </w:r>
    </w:p>
    <w:p w14:paraId="14305C4F" w14:textId="77777777" w:rsidR="000B06DA" w:rsidRPr="00206AD5" w:rsidRDefault="000B06DA">
      <w:pPr>
        <w:spacing w:after="0" w:line="360" w:lineRule="auto"/>
        <w:rPr>
          <w:color w:val="000000"/>
        </w:rPr>
      </w:pPr>
    </w:p>
    <w:p w14:paraId="1E51FB7F" w14:textId="77777777" w:rsidR="000B06DA" w:rsidRPr="00206AD5" w:rsidRDefault="00E459CA">
      <w:pPr>
        <w:spacing w:after="0" w:line="360" w:lineRule="auto"/>
        <w:rPr>
          <w:color w:val="000000"/>
        </w:rPr>
      </w:pPr>
      <w:r w:rsidRPr="00206AD5">
        <w:rPr>
          <w:color w:val="000000"/>
        </w:rPr>
        <w:t>En ese orden de ideas, para la atención de las solicitudes de acceso a la información, debe privilegiarse el principio de máxima publicidad el cual dispone que toda la información en posesión de los sujetos obligados será</w:t>
      </w:r>
      <w:r w:rsidRPr="00206AD5">
        <w:rPr>
          <w:color w:val="000000"/>
        </w:rPr>
        <w:t xml:space="preserve"> pública, completa, oportuna y accesible, sujeta a un claro régimen de excepciones que deberán estar definidas y ser legítimas y estrictamente necesarias en una sociedad democrática.</w:t>
      </w:r>
    </w:p>
    <w:p w14:paraId="4A2A04D6" w14:textId="77777777" w:rsidR="000B06DA" w:rsidRPr="00206AD5" w:rsidRDefault="000B06DA">
      <w:pPr>
        <w:spacing w:after="0" w:line="360" w:lineRule="auto"/>
        <w:rPr>
          <w:color w:val="000000"/>
        </w:rPr>
      </w:pPr>
    </w:p>
    <w:p w14:paraId="49086D71" w14:textId="77777777" w:rsidR="000B06DA" w:rsidRPr="00206AD5" w:rsidRDefault="00E459CA">
      <w:pPr>
        <w:spacing w:after="0" w:line="360" w:lineRule="auto"/>
        <w:rPr>
          <w:color w:val="000000"/>
        </w:rPr>
      </w:pPr>
      <w:r w:rsidRPr="00206AD5">
        <w:rPr>
          <w:color w:val="000000"/>
        </w:rPr>
        <w:t>Para lograr lo anterior, los Sujetos Obligados deben seguir el procedimi</w:t>
      </w:r>
      <w:r w:rsidRPr="00206AD5">
        <w:rPr>
          <w:color w:val="000000"/>
        </w:rPr>
        <w:t>ento para la atención a las solicitudes de acceso a la información, establecido en los artículos 151, 159, 160, 162, 163, 164, 165 y 166, de la Ley de Transparencia y Acceso a la Información Pública del Estado de México y Municipios, el cual es el siguient</w:t>
      </w:r>
      <w:r w:rsidRPr="00206AD5">
        <w:rPr>
          <w:color w:val="000000"/>
        </w:rPr>
        <w:t>e:</w:t>
      </w:r>
    </w:p>
    <w:p w14:paraId="635B70E0" w14:textId="77777777" w:rsidR="000B06DA" w:rsidRPr="00206AD5" w:rsidRDefault="000B06DA">
      <w:pPr>
        <w:spacing w:after="0" w:line="360" w:lineRule="auto"/>
        <w:rPr>
          <w:color w:val="000000"/>
        </w:rPr>
      </w:pPr>
    </w:p>
    <w:p w14:paraId="46061FA2" w14:textId="77777777" w:rsidR="000B06DA" w:rsidRPr="00206AD5" w:rsidRDefault="00E459CA">
      <w:pPr>
        <w:numPr>
          <w:ilvl w:val="0"/>
          <w:numId w:val="4"/>
        </w:numPr>
        <w:spacing w:after="0" w:line="360" w:lineRule="auto"/>
        <w:rPr>
          <w:color w:val="000000"/>
        </w:rPr>
      </w:pPr>
      <w:r w:rsidRPr="00206AD5">
        <w:rPr>
          <w:color w:val="000000"/>
        </w:rPr>
        <w:lastRenderedPageBreak/>
        <w:t>Las Unidades de Transparencia de los Sujetos Obligados deben garantizar las medidas y condiciones de accesibilidad para que toda persona puede ejercer el derecho de acceso a la información; por lo que, son las responsables de hacer las notificaciones c</w:t>
      </w:r>
      <w:r w:rsidRPr="00206AD5">
        <w:rPr>
          <w:color w:val="000000"/>
        </w:rPr>
        <w:t>orrespondientes, además de llevar a cabo de todas las gestiones necesarias para facilitar el acceso de la información;</w:t>
      </w:r>
    </w:p>
    <w:p w14:paraId="73F87705" w14:textId="77777777" w:rsidR="000B06DA" w:rsidRPr="00206AD5" w:rsidRDefault="000B06DA">
      <w:pPr>
        <w:spacing w:after="0" w:line="360" w:lineRule="auto"/>
        <w:ind w:left="720"/>
        <w:rPr>
          <w:color w:val="000000"/>
        </w:rPr>
      </w:pPr>
    </w:p>
    <w:p w14:paraId="1DFAED9C" w14:textId="77777777" w:rsidR="000B06DA" w:rsidRPr="00206AD5" w:rsidRDefault="00E459CA">
      <w:pPr>
        <w:numPr>
          <w:ilvl w:val="0"/>
          <w:numId w:val="4"/>
        </w:numPr>
        <w:spacing w:after="0" w:line="360" w:lineRule="auto"/>
        <w:rPr>
          <w:color w:val="000000"/>
        </w:rPr>
      </w:pPr>
      <w:r w:rsidRPr="00206AD5">
        <w:rPr>
          <w:color w:val="000000"/>
        </w:rPr>
        <w:t xml:space="preserve">Los Sujetos Obligados podrán requerirle a los Solicitantes, que complementen, corrijan o amplíen su solicitud de información, cuando </w:t>
      </w:r>
      <w:r w:rsidRPr="00206AD5">
        <w:rPr>
          <w:color w:val="000000"/>
        </w:rPr>
        <w:t>resulten los datos proporcionados insuficientes, incorrectos, incompletos o erróneos; solicitar dicha aclaración, interrumpirá el plazo para dar respuesta y comenzará a computarse el día siguiente al desahogo de esta;</w:t>
      </w:r>
    </w:p>
    <w:p w14:paraId="3E7A37A3" w14:textId="77777777" w:rsidR="000B06DA" w:rsidRPr="00206AD5" w:rsidRDefault="000B06DA">
      <w:pPr>
        <w:spacing w:after="0" w:line="360" w:lineRule="auto"/>
        <w:ind w:left="720"/>
        <w:rPr>
          <w:color w:val="000000"/>
        </w:rPr>
      </w:pPr>
    </w:p>
    <w:p w14:paraId="71B54A5E" w14:textId="77777777" w:rsidR="000B06DA" w:rsidRPr="00206AD5" w:rsidRDefault="00E459CA">
      <w:pPr>
        <w:numPr>
          <w:ilvl w:val="0"/>
          <w:numId w:val="4"/>
        </w:numPr>
        <w:spacing w:after="0" w:line="360" w:lineRule="auto"/>
        <w:rPr>
          <w:color w:val="000000"/>
        </w:rPr>
      </w:pPr>
      <w:r w:rsidRPr="00206AD5">
        <w:rPr>
          <w:color w:val="000000"/>
        </w:rPr>
        <w:t xml:space="preserve"> Las respuestas a los requerimientos </w:t>
      </w:r>
      <w:r w:rsidRPr="00206AD5">
        <w:rPr>
          <w:color w:val="000000"/>
        </w:rPr>
        <w:t>informativos deberán notificarse al interesado en el menor tiempo posible, que no podrá exceder quince días, contados a partir del día siguiente a la presentación de ésta. Excepcionalmente, el plazo referido podrá ampliarse por siete días hábiles más, cuan</w:t>
      </w:r>
      <w:r w:rsidRPr="00206AD5">
        <w:rPr>
          <w:color w:val="000000"/>
        </w:rPr>
        <w:t>do existan razones fundadas y motivadas, a través del Comité de Transparencia;</w:t>
      </w:r>
    </w:p>
    <w:p w14:paraId="52F2F667" w14:textId="77777777" w:rsidR="000B06DA" w:rsidRPr="00206AD5" w:rsidRDefault="000B06DA">
      <w:pPr>
        <w:spacing w:after="0" w:line="360" w:lineRule="auto"/>
        <w:ind w:left="720"/>
        <w:rPr>
          <w:color w:val="000000"/>
        </w:rPr>
      </w:pPr>
    </w:p>
    <w:p w14:paraId="4DE3A9CE" w14:textId="77777777" w:rsidR="000B06DA" w:rsidRPr="00206AD5" w:rsidRDefault="00E459CA">
      <w:pPr>
        <w:numPr>
          <w:ilvl w:val="0"/>
          <w:numId w:val="4"/>
        </w:numPr>
        <w:spacing w:after="0" w:line="360" w:lineRule="auto"/>
        <w:rPr>
          <w:color w:val="000000"/>
        </w:rPr>
      </w:pPr>
      <w:r w:rsidRPr="00206AD5">
        <w:rPr>
          <w:color w:val="000000"/>
        </w:rPr>
        <w:t>Las Unidades de Transparencia garantizarán que las solicitudes se turnen a todas las áreas competentes que cuenten con la información o deban tenerla de acuerdo a sus facultade</w:t>
      </w:r>
      <w:r w:rsidRPr="00206AD5">
        <w:rPr>
          <w:color w:val="000000"/>
        </w:rPr>
        <w:t>s, funciones y atribuciones, para que realicen una búsqueda exhaustiva y razonable de la documentación solicitada, con el fin de que proporcionen las expresiones documentales que se encuentren en sus archivos o que estén constreñidos a elaborar;</w:t>
      </w:r>
    </w:p>
    <w:p w14:paraId="31F61C41" w14:textId="77777777" w:rsidR="000B06DA" w:rsidRPr="00206AD5" w:rsidRDefault="000B06DA">
      <w:pPr>
        <w:spacing w:after="0" w:line="360" w:lineRule="auto"/>
        <w:rPr>
          <w:color w:val="000000"/>
        </w:rPr>
      </w:pPr>
    </w:p>
    <w:p w14:paraId="49A6A9FA" w14:textId="77777777" w:rsidR="000B06DA" w:rsidRPr="00206AD5" w:rsidRDefault="00E459CA">
      <w:pPr>
        <w:numPr>
          <w:ilvl w:val="0"/>
          <w:numId w:val="4"/>
        </w:numPr>
        <w:spacing w:after="0" w:line="360" w:lineRule="auto"/>
        <w:rPr>
          <w:color w:val="000000"/>
        </w:rPr>
      </w:pPr>
      <w:r w:rsidRPr="00206AD5">
        <w:rPr>
          <w:color w:val="000000"/>
        </w:rPr>
        <w:lastRenderedPageBreak/>
        <w:t>El acceso</w:t>
      </w:r>
      <w:r w:rsidRPr="00206AD5">
        <w:rPr>
          <w:color w:val="000000"/>
        </w:rPr>
        <w:t xml:space="preserve"> se dará en la modalidad de entrega y en su caso, de envío elegido por el solicitante, cuando no pueda entregarse en dicha modalidad, el Sujeto Obligado deberá ofrecer otras; por lo cual, deberá fundamentar y motivar la necesidad de modificar el medio de e</w:t>
      </w:r>
      <w:r w:rsidRPr="00206AD5">
        <w:rPr>
          <w:color w:val="000000"/>
        </w:rPr>
        <w:t>ntrega, y</w:t>
      </w:r>
    </w:p>
    <w:p w14:paraId="19D3B6C9" w14:textId="77777777" w:rsidR="000B06DA" w:rsidRPr="00206AD5" w:rsidRDefault="000B06DA">
      <w:pPr>
        <w:spacing w:after="0" w:line="360" w:lineRule="auto"/>
        <w:ind w:left="720"/>
        <w:rPr>
          <w:color w:val="000000"/>
        </w:rPr>
      </w:pPr>
    </w:p>
    <w:p w14:paraId="6A180420" w14:textId="77777777" w:rsidR="000B06DA" w:rsidRPr="00206AD5" w:rsidRDefault="00E459CA">
      <w:pPr>
        <w:numPr>
          <w:ilvl w:val="0"/>
          <w:numId w:val="4"/>
        </w:numPr>
        <w:spacing w:after="0" w:line="360" w:lineRule="auto"/>
        <w:rPr>
          <w:color w:val="000000"/>
        </w:rPr>
      </w:pPr>
      <w:r w:rsidRPr="00206AD5">
        <w:rPr>
          <w:color w:val="000000"/>
        </w:rPr>
        <w:t>Las Unidades de Transparencia, tendrán disponible la información requerida durante un plazo mínimo de sesenta días hábiles, contados a partir de que el solicitante hubiere realizado, en su caso, el pago respectivo, el cual deberá efectuarse en u</w:t>
      </w:r>
      <w:r w:rsidRPr="00206AD5">
        <w:rPr>
          <w:color w:val="000000"/>
        </w:rPr>
        <w:t xml:space="preserve">n plazo no mayor a treinta días hábiles; por lo que, una vez </w:t>
      </w:r>
      <w:r w:rsidRPr="00206AD5">
        <w:t>transcurrida</w:t>
      </w:r>
      <w:r w:rsidRPr="00206AD5">
        <w:rPr>
          <w:color w:val="000000"/>
        </w:rPr>
        <w:t xml:space="preserve"> dicha temporalidad, los Sujetos Obligados darán por concluida la solicitud y procederán de ser el caso, a la destrucción del material.</w:t>
      </w:r>
    </w:p>
    <w:p w14:paraId="366327ED" w14:textId="77777777" w:rsidR="000B06DA" w:rsidRPr="00206AD5" w:rsidRDefault="000B06DA">
      <w:pPr>
        <w:spacing w:after="0" w:line="360" w:lineRule="auto"/>
        <w:rPr>
          <w:color w:val="000000"/>
        </w:rPr>
      </w:pPr>
    </w:p>
    <w:p w14:paraId="14FF82F2" w14:textId="77777777" w:rsidR="000B06DA" w:rsidRPr="00206AD5" w:rsidRDefault="00E459CA">
      <w:pPr>
        <w:spacing w:after="0" w:line="360" w:lineRule="auto"/>
        <w:rPr>
          <w:color w:val="000000"/>
        </w:rPr>
      </w:pPr>
      <w:r w:rsidRPr="00206AD5">
        <w:rPr>
          <w:color w:val="000000"/>
        </w:rPr>
        <w:t>Una vez establecido lo anterior, es de indicar</w:t>
      </w:r>
      <w:r w:rsidRPr="00206AD5">
        <w:rPr>
          <w:color w:val="000000"/>
        </w:rPr>
        <w:t xml:space="preserve"> que el agravio de la parte Recurrente consistió en que, a la fecha de interposición del Recurso de Revisión, el Ayuntamiento de Toluca, no había registrado respuesta al requerimiento de acceso a la información, radicada doce de enero de dos mil veintiséis</w:t>
      </w:r>
      <w:r w:rsidRPr="00206AD5">
        <w:rPr>
          <w:color w:val="000000"/>
        </w:rPr>
        <w:t xml:space="preserve">. </w:t>
      </w:r>
    </w:p>
    <w:p w14:paraId="294F3B35" w14:textId="77777777" w:rsidR="000B06DA" w:rsidRPr="00206AD5" w:rsidRDefault="000B06DA">
      <w:pPr>
        <w:spacing w:after="0" w:line="360" w:lineRule="auto"/>
        <w:rPr>
          <w:color w:val="000000"/>
        </w:rPr>
      </w:pPr>
    </w:p>
    <w:p w14:paraId="5F9F2A0F" w14:textId="77777777" w:rsidR="000B06DA" w:rsidRPr="00206AD5" w:rsidRDefault="00E459CA">
      <w:pPr>
        <w:spacing w:after="0" w:line="360" w:lineRule="auto"/>
        <w:rPr>
          <w:color w:val="000000"/>
        </w:rPr>
      </w:pPr>
      <w:bookmarkStart w:id="14" w:name="_heading=h.o86jt97xj74" w:colFirst="0" w:colLast="0"/>
      <w:bookmarkEnd w:id="14"/>
      <w:r w:rsidRPr="00206AD5">
        <w:rPr>
          <w:color w:val="000000"/>
        </w:rPr>
        <w:t xml:space="preserve">En ese orden de ideas, el plazo con el que contaba el Sujeto Obligado para emitir contestación al requerimiento informativo comenzó a correr el trece de enero y feneció el tres de febrero, ambos de dos mil veintiséis; lo anterior, sin contar los días, </w:t>
      </w:r>
      <w:r w:rsidRPr="00206AD5">
        <w:rPr>
          <w:color w:val="000000"/>
        </w:rPr>
        <w:t xml:space="preserve">diecisiete, dieciocho, veinticuatro, veinticinco y treinta y uno de enero, así como el día primero y dos de febrero, todos los anteriores de dos mil veintiséis, al ser inhábiles, de conformidad con el artículo, 3°, fracción X, de la Ley de Transparencia y </w:t>
      </w:r>
      <w:r w:rsidRPr="00206AD5">
        <w:rPr>
          <w:color w:val="000000"/>
        </w:rPr>
        <w:t>Acceso a la Información Pública del Estado de México y Municipios, y el Calendario Oficial en Materia de Transparencia, Acceso a la Información Pública y Protección de Datos Personales del Estado de México y Municipios, así como de laborales de este Instit</w:t>
      </w:r>
      <w:r w:rsidRPr="00206AD5">
        <w:rPr>
          <w:color w:val="000000"/>
        </w:rPr>
        <w:t>uto, para el año dos mil veintiséis.</w:t>
      </w:r>
    </w:p>
    <w:p w14:paraId="781D5810" w14:textId="77777777" w:rsidR="000B06DA" w:rsidRPr="00206AD5" w:rsidRDefault="000B06DA">
      <w:pPr>
        <w:spacing w:after="0" w:line="360" w:lineRule="auto"/>
        <w:rPr>
          <w:color w:val="000000"/>
        </w:rPr>
      </w:pPr>
    </w:p>
    <w:p w14:paraId="18C85D1E" w14:textId="77777777" w:rsidR="000B06DA" w:rsidRPr="00206AD5" w:rsidRDefault="00E459CA">
      <w:pPr>
        <w:spacing w:after="0" w:line="360" w:lineRule="auto"/>
        <w:rPr>
          <w:color w:val="000000"/>
        </w:rPr>
      </w:pPr>
      <w:r w:rsidRPr="00206AD5">
        <w:rPr>
          <w:color w:val="000000"/>
        </w:rPr>
        <w:t>Así, este Instituto verificó que, en efecto, no se registró respuesta a la solicitud de información de la persona Recurrente, en el Sistema de Acceso a la Información Mexiquense (SAIMEX), tal como se observa a continua</w:t>
      </w:r>
      <w:r w:rsidRPr="00206AD5">
        <w:rPr>
          <w:color w:val="000000"/>
        </w:rPr>
        <w:t>ción:</w:t>
      </w:r>
    </w:p>
    <w:p w14:paraId="59A912C0" w14:textId="77777777" w:rsidR="000B06DA" w:rsidRPr="00206AD5" w:rsidRDefault="000B06DA">
      <w:pPr>
        <w:spacing w:after="0" w:line="360" w:lineRule="auto"/>
        <w:rPr>
          <w:color w:val="000000"/>
        </w:rPr>
      </w:pPr>
    </w:p>
    <w:p w14:paraId="46413B32" w14:textId="77777777" w:rsidR="000B06DA" w:rsidRPr="00206AD5" w:rsidRDefault="00E459CA">
      <w:pPr>
        <w:spacing w:after="0" w:line="360" w:lineRule="auto"/>
        <w:jc w:val="center"/>
        <w:rPr>
          <w:color w:val="000000"/>
        </w:rPr>
      </w:pPr>
      <w:r w:rsidRPr="00206AD5">
        <w:rPr>
          <w:noProof/>
        </w:rPr>
        <w:drawing>
          <wp:inline distT="0" distB="0" distL="0" distR="0" wp14:anchorId="15A09FEC" wp14:editId="4E23E631">
            <wp:extent cx="3752850" cy="1905000"/>
            <wp:effectExtent l="0" t="0" r="0" b="0"/>
            <wp:docPr id="14823753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752850" cy="1905000"/>
                    </a:xfrm>
                    <a:prstGeom prst="rect">
                      <a:avLst/>
                    </a:prstGeom>
                    <a:ln/>
                  </pic:spPr>
                </pic:pic>
              </a:graphicData>
            </a:graphic>
          </wp:inline>
        </w:drawing>
      </w:r>
    </w:p>
    <w:p w14:paraId="4F88D923" w14:textId="77777777" w:rsidR="000B06DA" w:rsidRPr="00206AD5" w:rsidRDefault="000B06DA">
      <w:pPr>
        <w:spacing w:after="0" w:line="360" w:lineRule="auto"/>
        <w:rPr>
          <w:color w:val="000000"/>
        </w:rPr>
      </w:pPr>
    </w:p>
    <w:p w14:paraId="4FFEE3BD" w14:textId="77777777" w:rsidR="000B06DA" w:rsidRPr="00206AD5" w:rsidRDefault="00E459CA">
      <w:pPr>
        <w:spacing w:after="0" w:line="360" w:lineRule="auto"/>
        <w:rPr>
          <w:color w:val="000000"/>
        </w:rPr>
      </w:pPr>
      <w:r w:rsidRPr="00206AD5">
        <w:rPr>
          <w:color w:val="000000"/>
        </w:rPr>
        <w:t>Conforme a lo anterior, se colige que, tal como lo precisó la persona Recurrente, el Ayuntamiento de Toluca, no emitió respuesta para dar contestación a la solicitud de acceso a la información pública, dentro de los plazos establecidos en el artí</w:t>
      </w:r>
      <w:r w:rsidRPr="00206AD5">
        <w:rPr>
          <w:color w:val="000000"/>
        </w:rPr>
        <w:t xml:space="preserve">culo 163, de la Ley de Transparencia y Acceso a la Información Pública del Estado de México y Municipios, pues tenía hasta el tres de febrero de dos mil veintiséis, para realizar dicha situación, por lo que es evidente que el agravio es </w:t>
      </w:r>
      <w:r w:rsidRPr="00206AD5">
        <w:rPr>
          <w:b/>
          <w:bCs/>
          <w:color w:val="000000"/>
        </w:rPr>
        <w:t>FUNDADO</w:t>
      </w:r>
      <w:r w:rsidRPr="00206AD5">
        <w:rPr>
          <w:color w:val="000000"/>
        </w:rPr>
        <w:t xml:space="preserve">. </w:t>
      </w:r>
    </w:p>
    <w:p w14:paraId="0073A334" w14:textId="77777777" w:rsidR="000B06DA" w:rsidRPr="00206AD5" w:rsidRDefault="000B06DA">
      <w:pPr>
        <w:spacing w:after="0" w:line="360" w:lineRule="auto"/>
        <w:rPr>
          <w:color w:val="000000"/>
        </w:rPr>
      </w:pPr>
    </w:p>
    <w:p w14:paraId="6F48B7B0" w14:textId="77777777" w:rsidR="000B06DA" w:rsidRPr="00206AD5" w:rsidRDefault="00E459CA">
      <w:pPr>
        <w:spacing w:after="0" w:line="360" w:lineRule="auto"/>
        <w:rPr>
          <w:color w:val="000000"/>
        </w:rPr>
      </w:pPr>
      <w:r w:rsidRPr="00206AD5">
        <w:rPr>
          <w:color w:val="000000"/>
        </w:rPr>
        <w:t>Sin meno</w:t>
      </w:r>
      <w:r w:rsidRPr="00206AD5">
        <w:rPr>
          <w:color w:val="000000"/>
        </w:rPr>
        <w:t xml:space="preserve">scabo de lo anterior, cabe precisar que el Sujeto Obligado rindió informe justificado, por tanto, es procedente contextualizar la solicitud de información la cual se relaciona con oficios emitidos por un área. </w:t>
      </w:r>
    </w:p>
    <w:p w14:paraId="53BBC4D0" w14:textId="77777777" w:rsidR="000B06DA" w:rsidRPr="00206AD5" w:rsidRDefault="00E459CA">
      <w:pPr>
        <w:spacing w:after="0" w:line="360" w:lineRule="auto"/>
        <w:rPr>
          <w:color w:val="000000"/>
        </w:rPr>
      </w:pPr>
      <w:r w:rsidRPr="00206AD5">
        <w:rPr>
          <w:color w:val="000000"/>
        </w:rPr>
        <w:t xml:space="preserve"> </w:t>
      </w:r>
    </w:p>
    <w:p w14:paraId="657A37E7" w14:textId="3C1014BF" w:rsidR="000B06DA" w:rsidRPr="00206AD5" w:rsidRDefault="00E459CA">
      <w:pPr>
        <w:spacing w:after="0" w:line="360" w:lineRule="auto"/>
      </w:pPr>
      <w:r w:rsidRPr="00206AD5">
        <w:t xml:space="preserve">Al respecto, el Bando Municipal del Sujeto </w:t>
      </w:r>
      <w:r w:rsidRPr="00206AD5">
        <w:t xml:space="preserve">Obligado 2025, vigente al momento de la solicitud prevé en sus artículos 90, fracción I, numeral 9 y 91, fracción IX     la existencia de una Dirección </w:t>
      </w:r>
      <w:r w:rsidRPr="00206AD5">
        <w:lastRenderedPageBreak/>
        <w:t>General de Innovación, Planeación y Gestión Urbana; que cuenta con funciones para organizar, dirigir y s</w:t>
      </w:r>
      <w:r w:rsidRPr="00206AD5">
        <w:t>upervisar la emisión de licencias y permisos relacionados con la construcción y obra pública. Asimismo, tendrá por atribuciones la planeación, supervisión y validación de proyectos de urbanización, infraestructura y movilidad en coordinación con instancias</w:t>
      </w:r>
      <w:r w:rsidRPr="00206AD5">
        <w:t xml:space="preserve"> públicas y privadas. Además, formulará y actualizará planes de desarrollo urbano, ordenamiento territorial y gestión del suelo, así como el financiamiento para su ejecución. </w:t>
      </w:r>
      <w:r w:rsidRPr="00206AD5">
        <w:rPr>
          <w:b/>
          <w:bCs/>
        </w:rPr>
        <w:t>Promoverá la regularización de la tenencia de la tierra e implementará estrategia</w:t>
      </w:r>
      <w:r w:rsidRPr="00206AD5">
        <w:rPr>
          <w:b/>
          <w:bCs/>
        </w:rPr>
        <w:t>s de ciudad inteligente, optimizando la gestión urbana mediante el uso de tecnología.</w:t>
      </w:r>
      <w:r w:rsidRPr="00206AD5">
        <w:t xml:space="preserve"> Asimismo, fomentará el urbanismo social con espacios inclusivos y sustentables, promoviendo la participación ciudadana. Recopilar y actualizará información geoestadística</w:t>
      </w:r>
      <w:r w:rsidRPr="00206AD5">
        <w:t xml:space="preserve">, cartográfica y de infraestructura para la toma de decisiones. Impulsará la integración intermunicipal y metropolitana para un desarrollo urbano ordenado y sostenible. Además, supervisará el avance de proyectos de urbanización, infraestructura primaria y </w:t>
      </w:r>
      <w:r w:rsidRPr="00206AD5">
        <w:t>equipamiento en coordinación con la Administración Pública Federal y Estatal e intervendrá en la recuperación administrativa de bienes municipales y en la autorización de obras para la prestación de servicios públicos.</w:t>
      </w:r>
    </w:p>
    <w:p w14:paraId="1CBF78AE" w14:textId="77777777" w:rsidR="000B06DA" w:rsidRPr="00206AD5" w:rsidRDefault="000B06DA">
      <w:pPr>
        <w:spacing w:after="0" w:line="360" w:lineRule="auto"/>
      </w:pPr>
    </w:p>
    <w:p w14:paraId="788563EE" w14:textId="77777777" w:rsidR="000B06DA" w:rsidRPr="00206AD5" w:rsidRDefault="00E459CA">
      <w:pPr>
        <w:spacing w:after="0" w:line="360" w:lineRule="auto"/>
      </w:pPr>
      <w:r w:rsidRPr="00206AD5">
        <w:t xml:space="preserve">Así pues, se aprecia que, en el </w:t>
      </w:r>
      <w:r w:rsidRPr="00206AD5">
        <w:t>Código Reglamentario Municipal de Toluca, específicamente en el artículo 3.39 se prevé que la Dirección General de Innovación, Planeación y Gestión Urbana se auxiliará de diversas áreas, entre ellas, la Dirección de Innovación y Ciudad Inteligente.</w:t>
      </w:r>
    </w:p>
    <w:p w14:paraId="30578E8F" w14:textId="77777777" w:rsidR="000B06DA" w:rsidRPr="00206AD5" w:rsidRDefault="000B06DA">
      <w:pPr>
        <w:spacing w:after="0" w:line="360" w:lineRule="auto"/>
      </w:pPr>
    </w:p>
    <w:p w14:paraId="2A04C969" w14:textId="77777777" w:rsidR="000B06DA" w:rsidRPr="00206AD5" w:rsidRDefault="00E459CA">
      <w:pPr>
        <w:spacing w:after="0" w:line="360" w:lineRule="auto"/>
      </w:pPr>
      <w:r w:rsidRPr="00206AD5">
        <w:t>Al respecto, la Ley de Transparencia y Acceso a la Información Pública del Estado de México y Municipios, establece en sus artículos 3, fracción XI, 4 y 18 que todo acto que derive del ejercicio de sus facultades debe ser documentado, de igual forma este t</w:t>
      </w:r>
      <w:r w:rsidRPr="00206AD5">
        <w:t xml:space="preserve">ipo de documentación constituye información pública; además, entiende a los documentos como cualquier registro que documente el ejercicio de facultades, funciones y competencias de los Sujetos Obligados, así </w:t>
      </w:r>
      <w:r w:rsidRPr="00206AD5">
        <w:lastRenderedPageBreak/>
        <w:t>como de sus servidores públicos e integrantes. A</w:t>
      </w:r>
      <w:r w:rsidRPr="00206AD5">
        <w:t xml:space="preserve">sí pues, se aprecia que el Sujeto Obligado resulta competente para conocer de la información solicitada. </w:t>
      </w:r>
    </w:p>
    <w:p w14:paraId="66E4D23E" w14:textId="76306E9B" w:rsidR="000B06DA" w:rsidRPr="00206AD5" w:rsidRDefault="00E459CA" w:rsidP="00136864">
      <w:pPr>
        <w:spacing w:after="0" w:line="360" w:lineRule="auto"/>
        <w:rPr>
          <w:b/>
          <w:bCs/>
          <w:color w:val="000000"/>
        </w:rPr>
      </w:pPr>
      <w:r w:rsidRPr="00206AD5">
        <w:t>En este contexto normativo se debe tener en cuenta, que la parte Recurrente requirió</w:t>
      </w:r>
      <w:r w:rsidR="00136864" w:rsidRPr="00206AD5">
        <w:t xml:space="preserve"> los oficios emitidos y recibidos del primero al</w:t>
      </w:r>
      <w:r w:rsidRPr="00206AD5">
        <w:rPr>
          <w:b/>
          <w:bCs/>
          <w:color w:val="000000"/>
        </w:rPr>
        <w:t xml:space="preserve"> </w:t>
      </w:r>
      <w:r w:rsidR="00136864" w:rsidRPr="00206AD5">
        <w:rPr>
          <w:color w:val="000000"/>
        </w:rPr>
        <w:t>treinta y uno de</w:t>
      </w:r>
      <w:r w:rsidRPr="00206AD5">
        <w:rPr>
          <w:color w:val="000000"/>
        </w:rPr>
        <w:t xml:space="preserve"> </w:t>
      </w:r>
      <w:r w:rsidRPr="00206AD5">
        <w:rPr>
          <w:color w:val="000000"/>
        </w:rPr>
        <w:t xml:space="preserve">enero de </w:t>
      </w:r>
      <w:r w:rsidR="00136864" w:rsidRPr="00206AD5">
        <w:rPr>
          <w:color w:val="000000"/>
        </w:rPr>
        <w:t xml:space="preserve">dos mil veinticinco, de la </w:t>
      </w:r>
      <w:r w:rsidR="00136864" w:rsidRPr="00206AD5">
        <w:t>Dirección General de Innovación, Planeación y Gestión Urbana y de la Dirección de Innovación y Ciudad Inteligente.</w:t>
      </w:r>
    </w:p>
    <w:p w14:paraId="73628A75" w14:textId="77777777" w:rsidR="000B06DA" w:rsidRPr="00206AD5" w:rsidRDefault="000B06DA">
      <w:pPr>
        <w:spacing w:after="0" w:line="360" w:lineRule="auto"/>
      </w:pPr>
    </w:p>
    <w:p w14:paraId="2666A6F6" w14:textId="77777777" w:rsidR="000B06DA" w:rsidRPr="00206AD5" w:rsidRDefault="00E459CA">
      <w:pPr>
        <w:spacing w:after="0" w:line="360" w:lineRule="auto"/>
      </w:pPr>
      <w:r w:rsidRPr="00206AD5">
        <w:rPr>
          <w:color w:val="000000"/>
        </w:rPr>
        <w:t>Así, se procede analizar la información proporcionada por el Sujeto Obligado, para lo cual, cabe señalar</w:t>
      </w:r>
      <w:r w:rsidRPr="00206AD5">
        <w:rPr>
          <w:color w:val="000000"/>
        </w:rPr>
        <w:t xml:space="preserve"> de las constancias que obran en el SAIMEX, en informe justificado se pronunció </w:t>
      </w:r>
      <w:r w:rsidRPr="00206AD5">
        <w:t>el Director General de Innovación, Planeación y Gestión Urbana</w:t>
      </w:r>
      <w:r w:rsidRPr="00206AD5">
        <w:rPr>
          <w:color w:val="000000"/>
        </w:rPr>
        <w:t xml:space="preserve">; por lo que, </w:t>
      </w:r>
      <w:r w:rsidRPr="00206AD5">
        <w:t xml:space="preserve">es oportuno hacer referencia al </w:t>
      </w:r>
      <w:r w:rsidRPr="00206AD5">
        <w:rPr>
          <w:b/>
          <w:bCs/>
        </w:rPr>
        <w:t xml:space="preserve">procedimiento de búsqueda que deben de seguir los Sujetos Obligados </w:t>
      </w:r>
      <w:r w:rsidRPr="00206AD5">
        <w:rPr>
          <w:b/>
          <w:bCs/>
        </w:rPr>
        <w:t>para localizar la información</w:t>
      </w:r>
      <w:r w:rsidRPr="00206AD5">
        <w:t>, el cual se encuentra previsto en el artículo 162 de la Ley de Transparencia y Acceso a la Información Pública del Estado de México y Municipios, el cual establece que las Unidades de Transparencia garantizarán que las solicit</w:t>
      </w:r>
      <w:r w:rsidRPr="00206AD5">
        <w:t>udes de acceso a la información se turnen a todas las áreas competentes que cuenten con la información o deban tenerla, con el objeto de que dichas áreas realicen una búsqueda exhaustiva y razonable de la información requerido.</w:t>
      </w:r>
    </w:p>
    <w:p w14:paraId="4B1FF9F7" w14:textId="77777777" w:rsidR="000B06DA" w:rsidRPr="00206AD5" w:rsidRDefault="000B06DA">
      <w:pPr>
        <w:spacing w:after="0" w:line="360" w:lineRule="auto"/>
      </w:pPr>
    </w:p>
    <w:p w14:paraId="24C56754" w14:textId="77777777" w:rsidR="000B06DA" w:rsidRPr="00206AD5" w:rsidRDefault="00E459CA">
      <w:pPr>
        <w:spacing w:after="0" w:line="360" w:lineRule="auto"/>
        <w:ind w:right="-93"/>
        <w:rPr>
          <w:b/>
          <w:bCs/>
        </w:rPr>
      </w:pPr>
      <w:r w:rsidRPr="00206AD5">
        <w:t>Así y de lo plasmado en pár</w:t>
      </w:r>
      <w:r w:rsidRPr="00206AD5">
        <w:t xml:space="preserve">rafos anteriores, </w:t>
      </w:r>
      <w:r w:rsidRPr="00206AD5">
        <w:rPr>
          <w:color w:val="000000"/>
        </w:rPr>
        <w:t xml:space="preserve">se advierte que el Sujeto Obligado </w:t>
      </w:r>
      <w:r w:rsidRPr="00206AD5">
        <w:rPr>
          <w:b/>
          <w:bCs/>
          <w:color w:val="000000"/>
        </w:rPr>
        <w:t>cumplió con el procedimiento de búsqueda referid</w:t>
      </w:r>
      <w:r w:rsidRPr="00206AD5">
        <w:rPr>
          <w:color w:val="000000"/>
        </w:rPr>
        <w:t xml:space="preserve">o, pues turnó la solicitud de información al área competente para conocer lo solicitado, sin embargo, no se pronunció respecto a la </w:t>
      </w:r>
      <w:r w:rsidRPr="00206AD5">
        <w:rPr>
          <w:b/>
          <w:bCs/>
        </w:rPr>
        <w:t>Dirección de Innovación</w:t>
      </w:r>
      <w:r w:rsidRPr="00206AD5">
        <w:rPr>
          <w:b/>
          <w:bCs/>
        </w:rPr>
        <w:t xml:space="preserve"> y Ciudad Inteligente.</w:t>
      </w:r>
    </w:p>
    <w:p w14:paraId="4419B8E3" w14:textId="77777777" w:rsidR="000B06DA" w:rsidRPr="00206AD5" w:rsidRDefault="000B06DA">
      <w:pPr>
        <w:spacing w:after="0" w:line="360" w:lineRule="auto"/>
        <w:ind w:right="-93"/>
      </w:pPr>
    </w:p>
    <w:p w14:paraId="29D6BF39" w14:textId="77777777" w:rsidR="000B06DA" w:rsidRPr="00206AD5" w:rsidRDefault="00E459CA">
      <w:pPr>
        <w:spacing w:after="0" w:line="360" w:lineRule="auto"/>
        <w:ind w:right="-93"/>
      </w:pPr>
      <w:r w:rsidRPr="00206AD5">
        <w:t>En este sentido, vale la pena señalar que si bien en informe justificado el Director General de Innovación, Planeación y Gestión Urbana, anunció que adjuntaba en formato PDF, en versión pública los oficios solicitados de conformidad</w:t>
      </w:r>
      <w:r w:rsidRPr="00206AD5">
        <w:t xml:space="preserve"> con lo dispuesto en el acuerdo: CT/SE/85/02/2026, </w:t>
      </w:r>
      <w:r w:rsidRPr="00206AD5">
        <w:lastRenderedPageBreak/>
        <w:t xml:space="preserve">Número de acta Octagésima Quinta (85), de fecha 11 de febrero del 2026, del Comité de Transparencia de Toluca. Sin embargo, de las constancias no obra ningún otro oficio. </w:t>
      </w:r>
    </w:p>
    <w:p w14:paraId="00EE7F1C" w14:textId="724684C5" w:rsidR="000B06DA" w:rsidRPr="00206AD5" w:rsidRDefault="00E459CA">
      <w:pPr>
        <w:spacing w:after="0" w:line="360" w:lineRule="auto"/>
        <w:ind w:right="-93"/>
        <w:rPr>
          <w:color w:val="000000"/>
        </w:rPr>
      </w:pPr>
      <w:r w:rsidRPr="00206AD5">
        <w:t>Así pues, si bien en informe just</w:t>
      </w:r>
      <w:r w:rsidRPr="00206AD5">
        <w:t>ificado anunció la entrega de oficios, lo cierto es que de las constancias que obran en el expediente electrónico en SAIMEX no se observa que se remitieron los oficios mencionados, por tanto, no colma lo solicitado</w:t>
      </w:r>
      <w:r w:rsidR="00136864" w:rsidRPr="00206AD5">
        <w:t xml:space="preserve"> y por lo tanto, resulta procedente ordenar su entrega.</w:t>
      </w:r>
    </w:p>
    <w:p w14:paraId="588F0340" w14:textId="77777777" w:rsidR="000B06DA" w:rsidRPr="00206AD5" w:rsidRDefault="000B06DA">
      <w:pPr>
        <w:spacing w:after="0" w:line="360" w:lineRule="auto"/>
        <w:rPr>
          <w:color w:val="000000"/>
        </w:rPr>
      </w:pPr>
    </w:p>
    <w:p w14:paraId="742A1637" w14:textId="77777777" w:rsidR="00136864" w:rsidRPr="00206AD5" w:rsidRDefault="00136864" w:rsidP="00136864">
      <w:pPr>
        <w:spacing w:after="0" w:line="360" w:lineRule="auto"/>
      </w:pPr>
      <w:r w:rsidRPr="00206AD5">
        <w:t>Ahora bien, para el caso de que alguno de los oficios emitidos por la Dirección General de Innovación, Planeación y Gestión Urbana y por la Dirección de Innovación y Ciudad Inteligente, haya sido cancelado o bien no hayan recibido algún oficio dentro del parte del periodo, deberá hacerlo del conocimiento de la persona Recurrente de manera clara y precisa, en términos del artículo 19, párrafo segundo, de la Ley de Transparencia y Acceso a la Información Pública del Estado de México y Municipios.</w:t>
      </w:r>
    </w:p>
    <w:p w14:paraId="7C2DEA6C" w14:textId="77777777" w:rsidR="000B06DA" w:rsidRPr="00206AD5" w:rsidRDefault="000B06DA">
      <w:pPr>
        <w:spacing w:after="0" w:line="360" w:lineRule="auto"/>
      </w:pPr>
    </w:p>
    <w:p w14:paraId="56DBD463" w14:textId="77777777" w:rsidR="00136864" w:rsidRPr="00206AD5" w:rsidRDefault="00136864" w:rsidP="00136864">
      <w:pPr>
        <w:spacing w:after="0" w:line="360" w:lineRule="auto"/>
      </w:pPr>
      <w:bookmarkStart w:id="15" w:name="_heading=h.5zzadgxpvfp9" w:colFirst="0" w:colLast="0"/>
      <w:bookmarkEnd w:id="15"/>
      <w:r w:rsidRPr="00206AD5">
        <w:t>Ahora bien, este Instituto en atención a los documentos solicitados, considera que pudiera tener diversos datos confidenciales, por lo que, se procede al análisis de aquellos que, de manera enunciativa, más no limitativa, deben considerarse, a saber, los siguientes:</w:t>
      </w:r>
    </w:p>
    <w:p w14:paraId="4A6FB00F" w14:textId="77777777" w:rsidR="00136864" w:rsidRPr="00206AD5" w:rsidRDefault="00136864" w:rsidP="00136864">
      <w:pPr>
        <w:spacing w:after="0" w:line="360" w:lineRule="auto"/>
      </w:pPr>
    </w:p>
    <w:p w14:paraId="39C1FDFA" w14:textId="77777777" w:rsidR="00136864" w:rsidRPr="00206AD5" w:rsidRDefault="00136864" w:rsidP="00136864">
      <w:pPr>
        <w:numPr>
          <w:ilvl w:val="0"/>
          <w:numId w:val="5"/>
        </w:numPr>
        <w:pBdr>
          <w:top w:val="nil"/>
          <w:left w:val="nil"/>
          <w:bottom w:val="nil"/>
          <w:right w:val="nil"/>
          <w:between w:val="nil"/>
        </w:pBdr>
        <w:spacing w:after="0" w:line="360" w:lineRule="auto"/>
      </w:pPr>
      <w:r w:rsidRPr="00206AD5">
        <w:t>Nombre de Particulares</w:t>
      </w:r>
    </w:p>
    <w:p w14:paraId="62392115" w14:textId="77777777" w:rsidR="00136864" w:rsidRPr="00206AD5" w:rsidRDefault="00136864" w:rsidP="00136864">
      <w:pPr>
        <w:numPr>
          <w:ilvl w:val="0"/>
          <w:numId w:val="5"/>
        </w:numPr>
        <w:pBdr>
          <w:top w:val="nil"/>
          <w:left w:val="nil"/>
          <w:bottom w:val="nil"/>
          <w:right w:val="nil"/>
          <w:between w:val="nil"/>
        </w:pBdr>
        <w:spacing w:after="0" w:line="360" w:lineRule="auto"/>
      </w:pPr>
      <w:r w:rsidRPr="00206AD5">
        <w:t>Teléfono Particular</w:t>
      </w:r>
    </w:p>
    <w:p w14:paraId="44B7047C" w14:textId="77777777" w:rsidR="00136864" w:rsidRPr="00206AD5" w:rsidRDefault="00136864" w:rsidP="00136864">
      <w:pPr>
        <w:numPr>
          <w:ilvl w:val="0"/>
          <w:numId w:val="5"/>
        </w:numPr>
        <w:pBdr>
          <w:top w:val="nil"/>
          <w:left w:val="nil"/>
          <w:bottom w:val="nil"/>
          <w:right w:val="nil"/>
          <w:between w:val="nil"/>
        </w:pBdr>
        <w:spacing w:after="0" w:line="360" w:lineRule="auto"/>
      </w:pPr>
      <w:r w:rsidRPr="00206AD5">
        <w:t>Correo electrónico Particular</w:t>
      </w:r>
    </w:p>
    <w:p w14:paraId="3C33EB6E" w14:textId="77777777" w:rsidR="00136864" w:rsidRPr="00206AD5" w:rsidRDefault="00136864" w:rsidP="00136864">
      <w:pPr>
        <w:numPr>
          <w:ilvl w:val="0"/>
          <w:numId w:val="5"/>
        </w:numPr>
        <w:pBdr>
          <w:top w:val="nil"/>
          <w:left w:val="nil"/>
          <w:bottom w:val="nil"/>
          <w:right w:val="nil"/>
          <w:between w:val="nil"/>
        </w:pBdr>
        <w:spacing w:after="0" w:line="360" w:lineRule="auto"/>
      </w:pPr>
      <w:r w:rsidRPr="00206AD5">
        <w:t xml:space="preserve">Domicilio Particular </w:t>
      </w:r>
    </w:p>
    <w:p w14:paraId="2EDBA165" w14:textId="77777777" w:rsidR="00136864" w:rsidRPr="00206AD5" w:rsidRDefault="00136864" w:rsidP="00136864">
      <w:pPr>
        <w:numPr>
          <w:ilvl w:val="0"/>
          <w:numId w:val="5"/>
        </w:numPr>
        <w:pBdr>
          <w:top w:val="nil"/>
          <w:left w:val="nil"/>
          <w:bottom w:val="nil"/>
          <w:right w:val="nil"/>
          <w:between w:val="nil"/>
        </w:pBdr>
        <w:spacing w:after="0" w:line="360" w:lineRule="auto"/>
      </w:pPr>
      <w:r w:rsidRPr="00206AD5">
        <w:t>Nombre de Autoridades Auxiliares</w:t>
      </w:r>
    </w:p>
    <w:p w14:paraId="3ACB6FA4" w14:textId="77777777" w:rsidR="00136864" w:rsidRPr="00206AD5" w:rsidRDefault="00136864" w:rsidP="00136864">
      <w:pPr>
        <w:numPr>
          <w:ilvl w:val="0"/>
          <w:numId w:val="5"/>
        </w:numPr>
        <w:pBdr>
          <w:top w:val="nil"/>
          <w:left w:val="nil"/>
          <w:bottom w:val="nil"/>
          <w:right w:val="nil"/>
          <w:between w:val="nil"/>
        </w:pBdr>
        <w:spacing w:after="0" w:line="360" w:lineRule="auto"/>
      </w:pPr>
      <w:r w:rsidRPr="00206AD5">
        <w:t>Registro Federal de Contribuyentes</w:t>
      </w:r>
    </w:p>
    <w:p w14:paraId="2986B927" w14:textId="77777777" w:rsidR="00136864" w:rsidRPr="00206AD5" w:rsidRDefault="00136864" w:rsidP="00136864">
      <w:pPr>
        <w:numPr>
          <w:ilvl w:val="0"/>
          <w:numId w:val="5"/>
        </w:numPr>
        <w:pBdr>
          <w:top w:val="nil"/>
          <w:left w:val="nil"/>
          <w:bottom w:val="nil"/>
          <w:right w:val="nil"/>
          <w:between w:val="nil"/>
        </w:pBdr>
        <w:spacing w:after="0" w:line="360" w:lineRule="auto"/>
      </w:pPr>
      <w:r w:rsidRPr="00206AD5">
        <w:t xml:space="preserve">Nombre de servidores públicos </w:t>
      </w:r>
    </w:p>
    <w:p w14:paraId="3079C717" w14:textId="77777777" w:rsidR="00136864" w:rsidRPr="00206AD5" w:rsidRDefault="00136864" w:rsidP="00136864">
      <w:pPr>
        <w:spacing w:after="0" w:line="360" w:lineRule="auto"/>
        <w:rPr>
          <w:color w:val="FF0000"/>
        </w:rPr>
      </w:pPr>
    </w:p>
    <w:p w14:paraId="4AD7807E" w14:textId="77777777" w:rsidR="00136864" w:rsidRPr="00206AD5" w:rsidRDefault="00136864" w:rsidP="00136864">
      <w:pPr>
        <w:spacing w:after="0" w:line="360" w:lineRule="auto"/>
      </w:pPr>
      <w:r w:rsidRPr="00206AD5">
        <w:t>Así, resulta procedente analizar si dichos datos son públicos o privados; para lo cual, cabe mencionar que el artículo 143, fracción I, de la Ley previamente citada, establece que la información privada y los datos personales, concernientes a una persona física o jurídica colectiva identificada o identificable son confidenciales.</w:t>
      </w:r>
    </w:p>
    <w:p w14:paraId="48693205" w14:textId="77777777" w:rsidR="00136864" w:rsidRPr="00206AD5" w:rsidRDefault="00136864" w:rsidP="00136864">
      <w:pPr>
        <w:spacing w:after="0" w:line="360" w:lineRule="auto"/>
      </w:pPr>
    </w:p>
    <w:p w14:paraId="06B0D844" w14:textId="77777777" w:rsidR="00136864" w:rsidRPr="00206AD5" w:rsidRDefault="00136864" w:rsidP="00136864">
      <w:pPr>
        <w:spacing w:after="0" w:line="360" w:lineRule="auto"/>
      </w:pPr>
      <w:r w:rsidRPr="00206AD5">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 </w:t>
      </w:r>
    </w:p>
    <w:p w14:paraId="49655223" w14:textId="77777777" w:rsidR="00136864" w:rsidRPr="00206AD5" w:rsidRDefault="00136864" w:rsidP="00136864">
      <w:pPr>
        <w:spacing w:after="0" w:line="360" w:lineRule="auto"/>
      </w:pPr>
    </w:p>
    <w:p w14:paraId="4F0CF3B6" w14:textId="77777777" w:rsidR="00136864" w:rsidRPr="00206AD5" w:rsidRDefault="00136864" w:rsidP="00136864">
      <w:pPr>
        <w:spacing w:after="0" w:line="360" w:lineRule="auto"/>
      </w:pPr>
      <w:r w:rsidRPr="00206AD5">
        <w:t xml:space="preserve">En términos de lo expuesto, la documentación y aquellos datos que se consideren confidenciales, serán una limitante del derecho de acceso a la información, siempre y cuando: </w:t>
      </w:r>
    </w:p>
    <w:p w14:paraId="3EEE75A4" w14:textId="77777777" w:rsidR="00136864" w:rsidRPr="00206AD5" w:rsidRDefault="00136864" w:rsidP="00136864">
      <w:pPr>
        <w:spacing w:after="0" w:line="360" w:lineRule="auto"/>
      </w:pPr>
    </w:p>
    <w:p w14:paraId="5D23FD54" w14:textId="77777777" w:rsidR="00136864" w:rsidRPr="00206AD5" w:rsidRDefault="00136864" w:rsidP="00136864">
      <w:pPr>
        <w:numPr>
          <w:ilvl w:val="0"/>
          <w:numId w:val="6"/>
        </w:numPr>
        <w:pBdr>
          <w:top w:val="nil"/>
          <w:left w:val="nil"/>
          <w:bottom w:val="nil"/>
          <w:right w:val="nil"/>
          <w:between w:val="nil"/>
        </w:pBdr>
        <w:spacing w:after="0" w:line="360" w:lineRule="auto"/>
      </w:pPr>
      <w:r w:rsidRPr="00206AD5">
        <w:t>Se trate de datos personales o información privada; esto es, información concerniente a una persona física o jurídico colectiva y que esta sea identificada o identificable.</w:t>
      </w:r>
    </w:p>
    <w:p w14:paraId="48BA56CF" w14:textId="77777777" w:rsidR="00136864" w:rsidRPr="00206AD5" w:rsidRDefault="00136864" w:rsidP="00136864">
      <w:pPr>
        <w:pBdr>
          <w:top w:val="nil"/>
          <w:left w:val="nil"/>
          <w:bottom w:val="nil"/>
          <w:right w:val="nil"/>
          <w:between w:val="nil"/>
        </w:pBdr>
        <w:spacing w:after="0" w:line="360" w:lineRule="auto"/>
        <w:ind w:left="720"/>
      </w:pPr>
    </w:p>
    <w:p w14:paraId="2FA10E21" w14:textId="77777777" w:rsidR="00136864" w:rsidRPr="00206AD5" w:rsidRDefault="00136864" w:rsidP="00136864">
      <w:pPr>
        <w:numPr>
          <w:ilvl w:val="0"/>
          <w:numId w:val="6"/>
        </w:numPr>
        <w:pBdr>
          <w:top w:val="nil"/>
          <w:left w:val="nil"/>
          <w:bottom w:val="nil"/>
          <w:right w:val="nil"/>
          <w:between w:val="nil"/>
        </w:pBdr>
        <w:spacing w:after="0" w:line="360" w:lineRule="auto"/>
      </w:pPr>
      <w:r w:rsidRPr="00206AD5">
        <w:t>Para la difusión de los datos, se requiera el consentimiento del titular</w:t>
      </w:r>
    </w:p>
    <w:p w14:paraId="50A7D40A" w14:textId="77777777" w:rsidR="00136864" w:rsidRPr="00206AD5" w:rsidRDefault="00136864" w:rsidP="00136864">
      <w:pPr>
        <w:spacing w:after="0" w:line="360" w:lineRule="auto"/>
      </w:pPr>
    </w:p>
    <w:p w14:paraId="517E6B7C" w14:textId="77777777" w:rsidR="00136864" w:rsidRPr="00206AD5" w:rsidRDefault="00136864" w:rsidP="00136864">
      <w:pPr>
        <w:spacing w:after="0" w:line="360" w:lineRule="auto"/>
      </w:pPr>
      <w:r w:rsidRPr="00206AD5">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w:t>
      </w:r>
      <w:r w:rsidRPr="00206AD5">
        <w:lastRenderedPageBreak/>
        <w:t>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79EE4471" w14:textId="77777777" w:rsidR="00136864" w:rsidRPr="00206AD5" w:rsidRDefault="00136864" w:rsidP="00136864">
      <w:pPr>
        <w:spacing w:after="0" w:line="360" w:lineRule="auto"/>
      </w:pPr>
    </w:p>
    <w:p w14:paraId="44C49F6F" w14:textId="77777777" w:rsidR="00136864" w:rsidRPr="00206AD5" w:rsidRDefault="00136864" w:rsidP="00136864">
      <w:pPr>
        <w:spacing w:after="0" w:line="360" w:lineRule="auto"/>
      </w:pPr>
      <w:r w:rsidRPr="00206AD5">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46252CE1" w14:textId="77777777" w:rsidR="00136864" w:rsidRPr="00206AD5" w:rsidRDefault="00136864" w:rsidP="00136864">
      <w:pPr>
        <w:spacing w:after="0" w:line="360" w:lineRule="auto"/>
      </w:pPr>
    </w:p>
    <w:p w14:paraId="1B379F7D" w14:textId="77777777" w:rsidR="00136864" w:rsidRPr="00206AD5" w:rsidRDefault="00136864" w:rsidP="00136864">
      <w:pPr>
        <w:numPr>
          <w:ilvl w:val="0"/>
          <w:numId w:val="7"/>
        </w:numPr>
        <w:pBdr>
          <w:top w:val="nil"/>
          <w:left w:val="nil"/>
          <w:bottom w:val="nil"/>
          <w:right w:val="nil"/>
          <w:between w:val="nil"/>
        </w:pBdr>
        <w:spacing w:after="0" w:line="360" w:lineRule="auto"/>
        <w:rPr>
          <w:b/>
          <w:bCs/>
        </w:rPr>
      </w:pPr>
      <w:r w:rsidRPr="00206AD5">
        <w:rPr>
          <w:b/>
          <w:bCs/>
        </w:rPr>
        <w:t>Nombre de particulares</w:t>
      </w:r>
    </w:p>
    <w:p w14:paraId="3FEE3987" w14:textId="77777777" w:rsidR="00136864" w:rsidRPr="00206AD5" w:rsidRDefault="00136864" w:rsidP="00136864">
      <w:pPr>
        <w:spacing w:after="0" w:line="360" w:lineRule="auto"/>
      </w:pPr>
    </w:p>
    <w:p w14:paraId="3121D5F2" w14:textId="77777777" w:rsidR="00136864" w:rsidRPr="00206AD5" w:rsidRDefault="00136864" w:rsidP="00136864">
      <w:pPr>
        <w:spacing w:after="0" w:line="360" w:lineRule="auto"/>
      </w:pPr>
      <w:r w:rsidRPr="00206AD5">
        <w:t>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7A197FF3" w14:textId="77777777" w:rsidR="00136864" w:rsidRPr="00206AD5" w:rsidRDefault="00136864" w:rsidP="00136864">
      <w:pPr>
        <w:spacing w:after="0" w:line="360" w:lineRule="auto"/>
      </w:pPr>
    </w:p>
    <w:p w14:paraId="3F4E81B7" w14:textId="77777777" w:rsidR="00136864" w:rsidRPr="00206AD5" w:rsidRDefault="00136864" w:rsidP="00136864">
      <w:pPr>
        <w:spacing w:after="0" w:line="360" w:lineRule="auto"/>
      </w:pPr>
      <w:r w:rsidRPr="00206AD5">
        <w:t>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41D32DCF" w14:textId="77777777" w:rsidR="00136864" w:rsidRPr="00206AD5" w:rsidRDefault="00136864" w:rsidP="00136864">
      <w:pPr>
        <w:spacing w:after="0" w:line="360" w:lineRule="auto"/>
      </w:pPr>
    </w:p>
    <w:p w14:paraId="5D91405B" w14:textId="77777777" w:rsidR="00136864" w:rsidRPr="00206AD5" w:rsidRDefault="00136864" w:rsidP="00136864">
      <w:pPr>
        <w:spacing w:after="0" w:line="360" w:lineRule="auto"/>
        <w:ind w:left="567" w:right="567"/>
        <w:rPr>
          <w:i/>
          <w:iCs/>
          <w:sz w:val="20"/>
          <w:szCs w:val="20"/>
        </w:rPr>
      </w:pPr>
      <w:r w:rsidRPr="00206AD5">
        <w:rPr>
          <w:b/>
          <w:bCs/>
          <w:i/>
          <w:iCs/>
          <w:sz w:val="20"/>
          <w:szCs w:val="20"/>
        </w:rPr>
        <w:t>“DERECHO A LA VIDA PRIVADA. SU CONTENIDO GENERAL Y LA IMPORTANCIA DE NO DESCONTEXTUALIZAR LAS REFERENCIAS A LA MISMA.</w:t>
      </w:r>
      <w:r w:rsidRPr="00206AD5">
        <w:rPr>
          <w:i/>
          <w:iCs/>
          <w:sz w:val="20"/>
          <w:szCs w:val="20"/>
        </w:rPr>
        <w:t xml:space="preserve"> La Suprema Corte de </w:t>
      </w:r>
      <w:r w:rsidRPr="00206AD5">
        <w:rPr>
          <w:i/>
          <w:iCs/>
          <w:sz w:val="20"/>
          <w:szCs w:val="20"/>
        </w:rPr>
        <w:lastRenderedPageBreak/>
        <w:t xml:space="preserve">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206AD5">
        <w:rPr>
          <w:b/>
          <w:bCs/>
          <w:i/>
          <w:iCs/>
          <w:sz w:val="20"/>
          <w:szCs w:val="20"/>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w:t>
      </w:r>
      <w:r w:rsidRPr="00206AD5">
        <w:rPr>
          <w:i/>
          <w:iCs/>
          <w:sz w:val="20"/>
          <w:szCs w:val="20"/>
        </w:rPr>
        <w:t xml:space="preserve"> -para el desarrollo de su autonomía y su libertad-.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w:t>
      </w:r>
      <w:r w:rsidRPr="00206AD5">
        <w:rPr>
          <w:i/>
          <w:iCs/>
          <w:sz w:val="20"/>
          <w:szCs w:val="20"/>
        </w:rPr>
        <w:lastRenderedPageBreak/>
        <w:t xml:space="preserve">que los demás no las invadan sin su consentimiento. </w:t>
      </w:r>
      <w:r w:rsidRPr="00206AD5">
        <w:rPr>
          <w:b/>
          <w:bCs/>
          <w:i/>
          <w:iCs/>
          <w:sz w:val="20"/>
          <w:szCs w:val="20"/>
        </w:rPr>
        <w:t>En un sentido amplio, entonces, la protección constitucional de la vida privada implica poder conducir parte de la vida de uno protegido de la mirada y las injerencias de los demás</w:t>
      </w:r>
      <w:r w:rsidRPr="00206AD5">
        <w:rPr>
          <w:i/>
          <w:iCs/>
          <w:sz w:val="20"/>
          <w:szCs w:val="20"/>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285EBAF4" w14:textId="77777777" w:rsidR="00136864" w:rsidRPr="00206AD5" w:rsidRDefault="00136864" w:rsidP="00136864">
      <w:pPr>
        <w:spacing w:after="0" w:line="360" w:lineRule="auto"/>
      </w:pPr>
    </w:p>
    <w:p w14:paraId="5536D897" w14:textId="77777777" w:rsidR="00136864" w:rsidRPr="00206AD5" w:rsidRDefault="00136864" w:rsidP="00136864">
      <w:pPr>
        <w:spacing w:after="0" w:line="360" w:lineRule="auto"/>
        <w:rPr>
          <w:b/>
          <w:bCs/>
          <w:u w:val="single"/>
        </w:rPr>
      </w:pPr>
      <w:r w:rsidRPr="00206AD5">
        <w:t xml:space="preserve">De conformidad con lo señalado, se colige que </w:t>
      </w:r>
      <w:r w:rsidRPr="00206AD5">
        <w:rPr>
          <w:b/>
          <w:bCs/>
          <w:u w:val="single"/>
        </w:rPr>
        <w:t xml:space="preserve">las actividades que realicen los particulares, dentro del ámbito privado, o dentro de la esfera particular, es información que debe protegerse. </w:t>
      </w:r>
    </w:p>
    <w:p w14:paraId="341FEA4E" w14:textId="77777777" w:rsidR="00136864" w:rsidRPr="00206AD5" w:rsidRDefault="00136864" w:rsidP="00136864">
      <w:pPr>
        <w:spacing w:after="0" w:line="360" w:lineRule="auto"/>
      </w:pPr>
    </w:p>
    <w:p w14:paraId="476C76D2" w14:textId="77777777" w:rsidR="00136864" w:rsidRPr="00206AD5" w:rsidRDefault="00136864" w:rsidP="00136864">
      <w:pPr>
        <w:spacing w:after="0" w:line="360" w:lineRule="auto"/>
      </w:pPr>
      <w:r w:rsidRPr="00206AD5">
        <w:t>En consecuencia, se estima que resulta procedente la clasificación del nombre de particulares en actuación dentro de su ámbito privado, en términos del artículo 143, fracción I de la Ley de Transparencia y Acceso a la Información Pública del Estado de México y Municipios.</w:t>
      </w:r>
    </w:p>
    <w:p w14:paraId="271730E1" w14:textId="77777777" w:rsidR="00136864" w:rsidRPr="00206AD5" w:rsidRDefault="00136864" w:rsidP="00136864">
      <w:pPr>
        <w:spacing w:after="0" w:line="360" w:lineRule="auto"/>
      </w:pPr>
    </w:p>
    <w:p w14:paraId="3FBAF25E" w14:textId="77777777" w:rsidR="00136864" w:rsidRPr="00206AD5" w:rsidRDefault="00136864" w:rsidP="00136864">
      <w:pPr>
        <w:numPr>
          <w:ilvl w:val="0"/>
          <w:numId w:val="8"/>
        </w:numPr>
        <w:pBdr>
          <w:top w:val="nil"/>
          <w:left w:val="nil"/>
          <w:bottom w:val="nil"/>
          <w:right w:val="nil"/>
          <w:between w:val="nil"/>
        </w:pBdr>
        <w:spacing w:after="0" w:line="360" w:lineRule="auto"/>
        <w:rPr>
          <w:b/>
          <w:bCs/>
        </w:rPr>
      </w:pPr>
      <w:r w:rsidRPr="00206AD5">
        <w:rPr>
          <w:b/>
          <w:bCs/>
        </w:rPr>
        <w:t xml:space="preserve">Domicilio Particular </w:t>
      </w:r>
    </w:p>
    <w:p w14:paraId="01F0D6B2" w14:textId="77777777" w:rsidR="00136864" w:rsidRPr="00206AD5" w:rsidRDefault="00136864" w:rsidP="00136864">
      <w:pPr>
        <w:spacing w:after="0" w:line="360" w:lineRule="auto"/>
        <w:rPr>
          <w:b/>
          <w:bCs/>
        </w:rPr>
      </w:pPr>
    </w:p>
    <w:p w14:paraId="0F691647" w14:textId="77777777" w:rsidR="00136864" w:rsidRPr="00206AD5" w:rsidRDefault="00136864" w:rsidP="00136864">
      <w:pPr>
        <w:spacing w:after="0" w:line="360" w:lineRule="auto"/>
      </w:pPr>
      <w:r w:rsidRPr="00206AD5">
        <w:t>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14:paraId="4D884A55" w14:textId="77777777" w:rsidR="00136864" w:rsidRPr="00206AD5" w:rsidRDefault="00136864" w:rsidP="00136864">
      <w:pPr>
        <w:spacing w:after="0" w:line="360" w:lineRule="auto"/>
      </w:pPr>
    </w:p>
    <w:p w14:paraId="009873A1" w14:textId="77777777" w:rsidR="00136864" w:rsidRPr="00206AD5" w:rsidRDefault="00136864" w:rsidP="00136864">
      <w:pPr>
        <w:spacing w:after="0" w:line="360" w:lineRule="auto"/>
      </w:pPr>
    </w:p>
    <w:p w14:paraId="7398854F" w14:textId="77777777" w:rsidR="00136864" w:rsidRPr="00206AD5" w:rsidRDefault="00136864" w:rsidP="00136864">
      <w:pPr>
        <w:spacing w:after="0" w:line="360" w:lineRule="auto"/>
        <w:rPr>
          <w:b/>
          <w:bCs/>
        </w:rPr>
      </w:pPr>
      <w:r w:rsidRPr="00206AD5">
        <w:lastRenderedPageBreak/>
        <w:t>De la misma manera, lo establece el artículo 29 del Código Civil Federal, al precisar que el domicilio de personas físicas</w:t>
      </w:r>
      <w:r w:rsidRPr="00206AD5">
        <w:rPr>
          <w:b/>
          <w:bCs/>
        </w:rPr>
        <w:t>, es el lugar donde residen habitualmente, el lugar del centro principal de sus negocios, donde residan o el lugar donde se encuentren.</w:t>
      </w:r>
    </w:p>
    <w:p w14:paraId="3D3F0CC7" w14:textId="77777777" w:rsidR="00136864" w:rsidRPr="00206AD5" w:rsidRDefault="00136864" w:rsidP="00136864">
      <w:pPr>
        <w:spacing w:after="0" w:line="360" w:lineRule="auto"/>
        <w:rPr>
          <w:b/>
          <w:bCs/>
        </w:rPr>
      </w:pPr>
    </w:p>
    <w:p w14:paraId="36DA1505" w14:textId="77777777" w:rsidR="00136864" w:rsidRPr="00206AD5" w:rsidRDefault="00136864" w:rsidP="00136864">
      <w:pPr>
        <w:spacing w:after="0" w:line="360" w:lineRule="auto"/>
      </w:pPr>
      <w:r w:rsidRPr="00206AD5">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67653BC7" w14:textId="77777777" w:rsidR="00136864" w:rsidRPr="00206AD5" w:rsidRDefault="00136864" w:rsidP="00136864">
      <w:pPr>
        <w:spacing w:after="0" w:line="360" w:lineRule="auto"/>
      </w:pPr>
      <w:r w:rsidRPr="00206AD5">
        <w:t>Por lo tanto, se actualiza la clasificación del domicilio y su comprobante, de conformidad con la fracción I, del artículo 143 de la Ley de Transparencia y Acceso a la Información Pública del Estado de México y Municipios.</w:t>
      </w:r>
    </w:p>
    <w:p w14:paraId="31B32EC4" w14:textId="77777777" w:rsidR="00136864" w:rsidRPr="00206AD5" w:rsidRDefault="00136864" w:rsidP="00136864">
      <w:pPr>
        <w:spacing w:after="0" w:line="360" w:lineRule="auto"/>
        <w:rPr>
          <w:b/>
          <w:bCs/>
        </w:rPr>
      </w:pPr>
    </w:p>
    <w:p w14:paraId="4215D724" w14:textId="77777777" w:rsidR="00136864" w:rsidRPr="00206AD5" w:rsidRDefault="00136864" w:rsidP="00136864">
      <w:pPr>
        <w:numPr>
          <w:ilvl w:val="0"/>
          <w:numId w:val="9"/>
        </w:numPr>
        <w:pBdr>
          <w:top w:val="nil"/>
          <w:left w:val="nil"/>
          <w:bottom w:val="nil"/>
          <w:right w:val="nil"/>
          <w:between w:val="nil"/>
        </w:pBdr>
        <w:spacing w:after="0" w:line="360" w:lineRule="auto"/>
        <w:rPr>
          <w:b/>
          <w:bCs/>
        </w:rPr>
      </w:pPr>
      <w:r w:rsidRPr="00206AD5">
        <w:rPr>
          <w:b/>
          <w:bCs/>
        </w:rPr>
        <w:t>Correo electrónico particular</w:t>
      </w:r>
    </w:p>
    <w:p w14:paraId="5AEB53EC" w14:textId="77777777" w:rsidR="00136864" w:rsidRPr="00206AD5" w:rsidRDefault="00136864" w:rsidP="00136864">
      <w:pPr>
        <w:spacing w:after="0" w:line="360" w:lineRule="auto"/>
        <w:rPr>
          <w:b/>
          <w:bCs/>
        </w:rPr>
      </w:pPr>
    </w:p>
    <w:p w14:paraId="10FF6864" w14:textId="77777777" w:rsidR="00136864" w:rsidRPr="00206AD5" w:rsidRDefault="00136864" w:rsidP="00136864">
      <w:pPr>
        <w:spacing w:after="0" w:line="360" w:lineRule="auto"/>
      </w:pPr>
      <w:r w:rsidRPr="00206AD5">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31548E22" w14:textId="77777777" w:rsidR="00136864" w:rsidRPr="00206AD5" w:rsidRDefault="00136864" w:rsidP="00136864">
      <w:pPr>
        <w:spacing w:after="0" w:line="360" w:lineRule="auto"/>
      </w:pPr>
    </w:p>
    <w:p w14:paraId="13DD84F9" w14:textId="77777777" w:rsidR="00136864" w:rsidRPr="00206AD5" w:rsidRDefault="00136864" w:rsidP="00136864">
      <w:pPr>
        <w:spacing w:after="0" w:line="360" w:lineRule="auto"/>
      </w:pPr>
      <w:r w:rsidRPr="00206AD5">
        <w:t xml:space="preserve">En ese sentido, cabe señalar que los correos electrónicos en estudio fueron proporcionados por personas servidoras públicas en su carácter de particulares, por lo que, mantiene su carácter primigenio, es decir, que la titularidad de dicho dato corresponde a la persona física y no así en su calidad de trabajador del Gobierno; por lo que corresponde a un dato personal que actualiza </w:t>
      </w:r>
      <w:r w:rsidRPr="00206AD5">
        <w:lastRenderedPageBreak/>
        <w:t>la causal de clasificación establecida en el artículo 143, fracción I de la Ley de Transparencia y Acceso a la Información Pública del Estado de México y Municipios.</w:t>
      </w:r>
    </w:p>
    <w:p w14:paraId="3442F709" w14:textId="77777777" w:rsidR="00136864" w:rsidRPr="00206AD5" w:rsidRDefault="00136864" w:rsidP="00136864">
      <w:pPr>
        <w:spacing w:after="0" w:line="360" w:lineRule="auto"/>
      </w:pPr>
    </w:p>
    <w:p w14:paraId="080BDF0D" w14:textId="77777777" w:rsidR="00136864" w:rsidRPr="00206AD5" w:rsidRDefault="00136864" w:rsidP="00136864">
      <w:pPr>
        <w:numPr>
          <w:ilvl w:val="0"/>
          <w:numId w:val="9"/>
        </w:numPr>
        <w:pBdr>
          <w:top w:val="nil"/>
          <w:left w:val="nil"/>
          <w:bottom w:val="nil"/>
          <w:right w:val="nil"/>
          <w:between w:val="nil"/>
        </w:pBdr>
        <w:spacing w:after="0" w:line="360" w:lineRule="auto"/>
        <w:rPr>
          <w:b/>
          <w:bCs/>
        </w:rPr>
      </w:pPr>
      <w:r w:rsidRPr="00206AD5">
        <w:rPr>
          <w:b/>
          <w:bCs/>
        </w:rPr>
        <w:t xml:space="preserve">Teléfono o celular particular </w:t>
      </w:r>
    </w:p>
    <w:p w14:paraId="4A78B3D7" w14:textId="77777777" w:rsidR="00136864" w:rsidRPr="00206AD5" w:rsidRDefault="00136864" w:rsidP="00136864">
      <w:pPr>
        <w:spacing w:after="0" w:line="360" w:lineRule="auto"/>
      </w:pPr>
    </w:p>
    <w:p w14:paraId="139808D7" w14:textId="77777777" w:rsidR="00136864" w:rsidRPr="00206AD5" w:rsidRDefault="00136864" w:rsidP="00136864">
      <w:pPr>
        <w:spacing w:after="0" w:line="360" w:lineRule="auto"/>
      </w:pPr>
      <w:r w:rsidRPr="00206AD5">
        <w:t>Al igual que el correo electrónico, el número asignado a un teléfono particular o celular permite localizar a una persona física identificada o identificable, ya sea a través de un dispositivo móvil o bien, en un lugar como el domicilio.</w:t>
      </w:r>
    </w:p>
    <w:p w14:paraId="4A97C964" w14:textId="77777777" w:rsidR="00136864" w:rsidRPr="00206AD5" w:rsidRDefault="00136864" w:rsidP="00136864">
      <w:pPr>
        <w:spacing w:after="0" w:line="360" w:lineRule="auto"/>
      </w:pPr>
    </w:p>
    <w:p w14:paraId="3C15DE64" w14:textId="77777777" w:rsidR="00136864" w:rsidRPr="00206AD5" w:rsidRDefault="00136864" w:rsidP="00136864">
      <w:pPr>
        <w:spacing w:after="0" w:line="360" w:lineRule="auto"/>
      </w:pPr>
      <w:r w:rsidRPr="00206AD5">
        <w:t xml:space="preserve"> En ese sentido, se colige que, dentro de la información proporcionada se testaron teléfonos o celulares particulares de personas servidoras públicas como número contacto, para poder ser localizados de manera privada; por lo que, la titularidad de los mismos, al igual que en los correos electrónicos analizados, corresponden a las personas físicas en su calidad de particular y no como servidores públicos. </w:t>
      </w:r>
    </w:p>
    <w:p w14:paraId="2E016CBC" w14:textId="77777777" w:rsidR="00136864" w:rsidRPr="00206AD5" w:rsidRDefault="00136864" w:rsidP="00136864">
      <w:pPr>
        <w:spacing w:after="0" w:line="360" w:lineRule="auto"/>
      </w:pPr>
    </w:p>
    <w:p w14:paraId="07B529F0" w14:textId="77777777" w:rsidR="00136864" w:rsidRPr="00206AD5" w:rsidRDefault="00136864" w:rsidP="00136864">
      <w:pPr>
        <w:spacing w:after="0" w:line="360" w:lineRule="auto"/>
      </w:pPr>
      <w:r w:rsidRPr="00206AD5">
        <w:t>En tales consideraciones, dicho dato personal es susceptible de ser clasificado como confidencial, con fundamento en el artículo 143, fracción I de la Ley de Transparencia y Acceso a la Información Pública; para el caso, de que algún número sea institucional o de contacto de autoridades auxiliares, no podrá clasificarlo, pues se trata de un dato institucional y no personal.</w:t>
      </w:r>
    </w:p>
    <w:p w14:paraId="4C169429" w14:textId="77777777" w:rsidR="00136864" w:rsidRPr="00206AD5" w:rsidRDefault="00136864" w:rsidP="00136864">
      <w:pPr>
        <w:spacing w:after="0" w:line="360" w:lineRule="auto"/>
      </w:pPr>
    </w:p>
    <w:p w14:paraId="193EB6AC" w14:textId="77777777" w:rsidR="00136864" w:rsidRPr="00206AD5" w:rsidRDefault="00136864" w:rsidP="00136864">
      <w:pPr>
        <w:numPr>
          <w:ilvl w:val="0"/>
          <w:numId w:val="9"/>
        </w:numPr>
        <w:pBdr>
          <w:top w:val="nil"/>
          <w:left w:val="nil"/>
          <w:bottom w:val="nil"/>
          <w:right w:val="nil"/>
          <w:between w:val="nil"/>
        </w:pBdr>
        <w:spacing w:after="0" w:line="360" w:lineRule="auto"/>
        <w:rPr>
          <w:b/>
          <w:bCs/>
        </w:rPr>
      </w:pPr>
      <w:r w:rsidRPr="00206AD5">
        <w:rPr>
          <w:b/>
          <w:bCs/>
        </w:rPr>
        <w:t>Nombre de servidores públicos y Delegados, Subdelegados y otras autoridades auxiliares</w:t>
      </w:r>
    </w:p>
    <w:p w14:paraId="15F2ACCB" w14:textId="77777777" w:rsidR="00136864" w:rsidRPr="00206AD5" w:rsidRDefault="00136864" w:rsidP="00136864">
      <w:pPr>
        <w:pBdr>
          <w:top w:val="nil"/>
          <w:left w:val="nil"/>
          <w:bottom w:val="nil"/>
          <w:right w:val="nil"/>
          <w:between w:val="nil"/>
        </w:pBdr>
        <w:spacing w:after="0" w:line="360" w:lineRule="auto"/>
        <w:ind w:left="720"/>
        <w:rPr>
          <w:b/>
          <w:bCs/>
        </w:rPr>
      </w:pPr>
    </w:p>
    <w:p w14:paraId="19DBA617" w14:textId="77777777" w:rsidR="00136864" w:rsidRPr="00206AD5" w:rsidRDefault="00136864" w:rsidP="00136864">
      <w:pPr>
        <w:spacing w:after="0" w:line="360" w:lineRule="auto"/>
      </w:pPr>
      <w:r w:rsidRPr="00206AD5">
        <w:t xml:space="preserve">Respecto al nombre, cabe precisar que este se integra con el sustantivo propio y el primer apellido de los padres, en el orden que, de común acuerdo determinen; asimismo es la </w:t>
      </w:r>
      <w:r w:rsidRPr="00206AD5">
        <w:lastRenderedPageBreak/>
        <w:t>manifestación principal del derecho subjetivo a la personalidad y atributo de esta en términos del artículo 2.3 del Código Civil del Estado de México.</w:t>
      </w:r>
    </w:p>
    <w:p w14:paraId="1A7F78A1" w14:textId="77777777" w:rsidR="00136864" w:rsidRPr="00206AD5" w:rsidRDefault="00136864" w:rsidP="00136864">
      <w:pPr>
        <w:spacing w:after="0" w:line="360" w:lineRule="auto"/>
      </w:pPr>
    </w:p>
    <w:p w14:paraId="27437BC7" w14:textId="77777777" w:rsidR="00136864" w:rsidRPr="00206AD5" w:rsidRDefault="00136864" w:rsidP="00136864">
      <w:pPr>
        <w:spacing w:after="0" w:line="360" w:lineRule="auto"/>
      </w:pPr>
      <w:r w:rsidRPr="00206AD5">
        <w:t>Además, la Ley de Transparencia y Acceso a la Información Pública del Estado de México y Municipios ha establecido que el nombre completo de servidores públicos, constituye una obligación de transparencia por parte de los sujetos obligados.</w:t>
      </w:r>
    </w:p>
    <w:p w14:paraId="62F0391D" w14:textId="77777777" w:rsidR="00136864" w:rsidRPr="00206AD5" w:rsidRDefault="00136864" w:rsidP="00136864">
      <w:pPr>
        <w:spacing w:after="0" w:line="360" w:lineRule="auto"/>
      </w:pPr>
    </w:p>
    <w:p w14:paraId="34CBF3BD" w14:textId="77777777" w:rsidR="00136864" w:rsidRPr="00206AD5" w:rsidRDefault="00136864" w:rsidP="00136864">
      <w:pPr>
        <w:spacing w:after="0" w:line="360" w:lineRule="auto"/>
        <w:rPr>
          <w:b/>
          <w:bCs/>
        </w:rPr>
      </w:pPr>
      <w:r w:rsidRPr="00206AD5">
        <w:t xml:space="preserve">Toma sustento con el artículo 92, fracción VII y VIII, de la Ley de la materia, el cual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206AD5">
        <w:rPr>
          <w:b/>
          <w:bCs/>
        </w:rPr>
        <w:t>el nombre del servidor público.</w:t>
      </w:r>
    </w:p>
    <w:p w14:paraId="0F526A36" w14:textId="77777777" w:rsidR="00136864" w:rsidRPr="00206AD5" w:rsidRDefault="00136864" w:rsidP="00136864">
      <w:pPr>
        <w:spacing w:after="0" w:line="360" w:lineRule="auto"/>
      </w:pPr>
    </w:p>
    <w:p w14:paraId="67C15735" w14:textId="77777777" w:rsidR="00136864" w:rsidRPr="00206AD5" w:rsidRDefault="00136864" w:rsidP="00136864">
      <w:pPr>
        <w:spacing w:after="0" w:line="360" w:lineRule="auto"/>
        <w:rPr>
          <w:b/>
          <w:bCs/>
        </w:rPr>
      </w:pPr>
      <w:r w:rsidRPr="00206AD5">
        <w:t xml:space="preserve">Conforme a lo anterior, el Sujeto Obligado tiene la obligación de publicar y hacer del conocimiento de la ciudadanía, el nombre completo de todos sus servidores públicos, por lo que, se logra vislumbrar que el dato es público; así, se considera que Ente Recurrido deberá </w:t>
      </w:r>
      <w:r w:rsidRPr="00206AD5">
        <w:rPr>
          <w:b/>
          <w:bCs/>
        </w:rPr>
        <w:t>proporcionar dicho dato.</w:t>
      </w:r>
    </w:p>
    <w:p w14:paraId="7F3B71EE" w14:textId="77777777" w:rsidR="00136864" w:rsidRPr="00206AD5" w:rsidRDefault="00136864" w:rsidP="00136864">
      <w:pPr>
        <w:spacing w:after="0" w:line="360" w:lineRule="auto"/>
        <w:rPr>
          <w:b/>
          <w:bCs/>
        </w:rPr>
      </w:pPr>
    </w:p>
    <w:p w14:paraId="268EA3F5" w14:textId="77777777" w:rsidR="00136864" w:rsidRPr="00206AD5" w:rsidRDefault="00136864" w:rsidP="00136864">
      <w:pPr>
        <w:spacing w:after="0" w:line="360" w:lineRule="auto"/>
      </w:pPr>
      <w:r w:rsidRPr="00206AD5">
        <w:t>Lo mismo sucede para el caso del nombre de los Delegados y Subdelegados Municipales, ya que si bien, estos no son servidores públicos, al realizar actos de autoridad y ser representantes de las comunidades estos no actualizan la causal de clasificación.</w:t>
      </w:r>
    </w:p>
    <w:p w14:paraId="4934C871" w14:textId="77777777" w:rsidR="00136864" w:rsidRPr="00206AD5" w:rsidRDefault="00136864" w:rsidP="00136864">
      <w:pPr>
        <w:spacing w:after="0" w:line="360" w:lineRule="auto"/>
      </w:pPr>
    </w:p>
    <w:p w14:paraId="08FA7A1C" w14:textId="77777777" w:rsidR="00136864" w:rsidRPr="00206AD5" w:rsidRDefault="00136864" w:rsidP="00136864">
      <w:pPr>
        <w:spacing w:after="0" w:line="360" w:lineRule="auto"/>
      </w:pPr>
      <w:r w:rsidRPr="00206AD5">
        <w:t>En ese orden de ideas, la misma suerte corre la firma de servidores públicos, así como de autoridades auxiliares, pues al realizar actos de autoridad el dato en cuestión resulta de relevancia pública, pues permite verificar que son emitidos por el cumplimiento de sus funciones.</w:t>
      </w:r>
    </w:p>
    <w:p w14:paraId="0C2B3C99" w14:textId="77777777" w:rsidR="00136864" w:rsidRPr="00206AD5" w:rsidRDefault="00136864" w:rsidP="00136864">
      <w:pPr>
        <w:spacing w:after="0" w:line="360" w:lineRule="auto"/>
      </w:pPr>
    </w:p>
    <w:p w14:paraId="71C06470" w14:textId="77777777" w:rsidR="00136864" w:rsidRPr="00206AD5" w:rsidRDefault="00136864" w:rsidP="00136864">
      <w:pPr>
        <w:spacing w:after="0" w:line="360" w:lineRule="auto"/>
      </w:pPr>
      <w:r w:rsidRPr="00206AD5">
        <w:t xml:space="preserve">Así, este Instituto considera que el Sujeto Obligado deberá proporcionar lo solicitado, en su caso, en versión pública, tomando en consideración lo analizado en el presente apartado;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7CDA18FD" w14:textId="77777777" w:rsidR="00136864" w:rsidRPr="00206AD5" w:rsidRDefault="00136864" w:rsidP="00136864">
      <w:pPr>
        <w:spacing w:after="0" w:line="360" w:lineRule="auto"/>
      </w:pPr>
    </w:p>
    <w:p w14:paraId="55FDAF4D" w14:textId="77777777" w:rsidR="00136864" w:rsidRPr="00206AD5" w:rsidRDefault="00136864" w:rsidP="00136864">
      <w:pPr>
        <w:spacing w:after="0" w:line="360" w:lineRule="auto"/>
      </w:pPr>
      <w:r w:rsidRPr="00206AD5">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49F49D5" w14:textId="77777777" w:rsidR="000B06DA" w:rsidRPr="00206AD5" w:rsidRDefault="000B06DA">
      <w:pPr>
        <w:spacing w:after="0" w:line="360" w:lineRule="auto"/>
      </w:pPr>
    </w:p>
    <w:p w14:paraId="5DE04798" w14:textId="77777777" w:rsidR="000B06DA" w:rsidRPr="00206AD5" w:rsidRDefault="00E459CA">
      <w:pPr>
        <w:pStyle w:val="Ttulo2"/>
        <w:spacing w:before="0" w:after="0"/>
        <w:rPr>
          <w:b w:val="0"/>
          <w:bCs w:val="0"/>
          <w:color w:val="000000"/>
        </w:rPr>
      </w:pPr>
      <w:bookmarkStart w:id="16" w:name="_Toc226633802"/>
      <w:r w:rsidRPr="00206AD5">
        <w:rPr>
          <w:color w:val="000000"/>
        </w:rPr>
        <w:t>SEXTO.</w:t>
      </w:r>
      <w:r w:rsidRPr="00206AD5">
        <w:rPr>
          <w:color w:val="000000"/>
        </w:rPr>
        <w:t xml:space="preserve"> Decisión</w:t>
      </w:r>
      <w:bookmarkEnd w:id="16"/>
    </w:p>
    <w:p w14:paraId="00277C8C" w14:textId="77777777" w:rsidR="000B06DA" w:rsidRPr="00206AD5" w:rsidRDefault="000B06DA">
      <w:pPr>
        <w:spacing w:after="0" w:line="360" w:lineRule="auto"/>
        <w:rPr>
          <w:b/>
          <w:bCs/>
          <w:color w:val="000000"/>
        </w:rPr>
      </w:pPr>
    </w:p>
    <w:p w14:paraId="05E1B0AC" w14:textId="77777777" w:rsidR="000B06DA" w:rsidRPr="00206AD5" w:rsidRDefault="00E459CA">
      <w:pPr>
        <w:spacing w:after="0" w:line="360" w:lineRule="auto"/>
        <w:rPr>
          <w:color w:val="000000"/>
        </w:rPr>
      </w:pPr>
      <w:r w:rsidRPr="00206AD5">
        <w:rPr>
          <w:color w:val="000000"/>
        </w:rPr>
        <w:t xml:space="preserve">De acuerdo con lo expuesto y, con fundamento en el artículo 186, fracción III, de la Ley de Transparencia y Acceso a la Información Pública del Estado de México y Municipios, este Instituto considera procedente </w:t>
      </w:r>
      <w:r w:rsidRPr="00206AD5">
        <w:rPr>
          <w:b/>
          <w:bCs/>
          <w:color w:val="000000"/>
        </w:rPr>
        <w:t xml:space="preserve">ORDENAR </w:t>
      </w:r>
      <w:r w:rsidRPr="00206AD5">
        <w:rPr>
          <w:color w:val="000000"/>
        </w:rPr>
        <w:t>al Ayuntamiento de Toluca</w:t>
      </w:r>
      <w:r w:rsidRPr="00206AD5">
        <w:rPr>
          <w:b/>
          <w:bCs/>
          <w:color w:val="000000"/>
        </w:rPr>
        <w:t xml:space="preserve"> </w:t>
      </w:r>
      <w:r w:rsidRPr="00206AD5">
        <w:rPr>
          <w:color w:val="000000"/>
        </w:rPr>
        <w:t>a efecto de que previa búsqueda exhaustiva y razonable entregué la documentación que dé cuenta de lo solicitado en términos del considerando QUINTO.</w:t>
      </w:r>
    </w:p>
    <w:p w14:paraId="3E437799" w14:textId="77777777" w:rsidR="000B06DA" w:rsidRPr="00206AD5" w:rsidRDefault="000B06DA">
      <w:pPr>
        <w:spacing w:after="0" w:line="360" w:lineRule="auto"/>
        <w:rPr>
          <w:color w:val="000000"/>
        </w:rPr>
      </w:pPr>
    </w:p>
    <w:p w14:paraId="3D500AE0" w14:textId="77777777" w:rsidR="000B06DA" w:rsidRPr="00206AD5" w:rsidRDefault="00E459CA">
      <w:pPr>
        <w:pStyle w:val="Ttulo2"/>
        <w:spacing w:before="0" w:after="0"/>
        <w:rPr>
          <w:b w:val="0"/>
          <w:bCs w:val="0"/>
        </w:rPr>
      </w:pPr>
      <w:bookmarkStart w:id="17" w:name="_Toc226633803"/>
      <w:r w:rsidRPr="00206AD5">
        <w:t>SÉPTIMO. Vista a la Secretaría Técnica del Pleno</w:t>
      </w:r>
      <w:bookmarkEnd w:id="17"/>
    </w:p>
    <w:p w14:paraId="42BE0259" w14:textId="77777777" w:rsidR="000B06DA" w:rsidRPr="00206AD5" w:rsidRDefault="000B06DA">
      <w:pPr>
        <w:spacing w:after="0" w:line="360" w:lineRule="auto"/>
        <w:rPr>
          <w:color w:val="000000"/>
        </w:rPr>
      </w:pPr>
    </w:p>
    <w:p w14:paraId="0E6CFB68" w14:textId="77777777" w:rsidR="000B06DA" w:rsidRPr="00206AD5" w:rsidRDefault="00E459CA">
      <w:pPr>
        <w:spacing w:after="0" w:line="360" w:lineRule="auto"/>
        <w:ind w:right="-93"/>
        <w:rPr>
          <w:color w:val="000000"/>
        </w:rPr>
      </w:pPr>
      <w:r w:rsidRPr="00206AD5">
        <w:rPr>
          <w:color w:val="000000"/>
        </w:rPr>
        <w:lastRenderedPageBreak/>
        <w:t xml:space="preserve">En el caso en estudio, como ha quedado señalado que el Ayuntamiento de Toluca omitió dar respuesta en el plazo señalado en el artículo 163 de la Ley de Transparencia y Acceso a la Información Pública del Estado de México y Municipios. </w:t>
      </w:r>
    </w:p>
    <w:p w14:paraId="05F58DEA" w14:textId="77777777" w:rsidR="000B06DA" w:rsidRPr="00206AD5" w:rsidRDefault="000B06DA">
      <w:pPr>
        <w:spacing w:after="0" w:line="360" w:lineRule="auto"/>
        <w:ind w:right="-93"/>
        <w:rPr>
          <w:color w:val="000000"/>
        </w:rPr>
      </w:pPr>
    </w:p>
    <w:p w14:paraId="38520846" w14:textId="77777777" w:rsidR="000B06DA" w:rsidRPr="00206AD5" w:rsidRDefault="00E459CA">
      <w:pPr>
        <w:spacing w:after="0" w:line="360" w:lineRule="auto"/>
        <w:ind w:right="-93"/>
        <w:rPr>
          <w:color w:val="000000"/>
        </w:rPr>
      </w:pPr>
      <w:r w:rsidRPr="00206AD5">
        <w:rPr>
          <w:color w:val="000000"/>
        </w:rPr>
        <w:t>Al respecto, el art</w:t>
      </w:r>
      <w:r w:rsidRPr="00206AD5">
        <w:rPr>
          <w:color w:val="000000"/>
        </w:rPr>
        <w:t xml:space="preserve">ículo 36, fracción X, del ordenamiento jurídico en cita, establece que es atribución de este Instituto hacer del conocimiento del Órgano Interno de Control o equivalente de cada Sujeto Obligado las infracciones a esta Ley. </w:t>
      </w:r>
    </w:p>
    <w:p w14:paraId="3E143D19" w14:textId="77777777" w:rsidR="000B06DA" w:rsidRPr="00206AD5" w:rsidRDefault="000B06DA">
      <w:pPr>
        <w:spacing w:after="0" w:line="360" w:lineRule="auto"/>
        <w:ind w:right="-93"/>
        <w:rPr>
          <w:color w:val="000000"/>
        </w:rPr>
      </w:pPr>
    </w:p>
    <w:p w14:paraId="2978AF7E" w14:textId="77777777" w:rsidR="000B06DA" w:rsidRPr="00206AD5" w:rsidRDefault="00E459CA">
      <w:pPr>
        <w:spacing w:after="0" w:line="360" w:lineRule="auto"/>
        <w:ind w:right="-93"/>
        <w:rPr>
          <w:color w:val="000000"/>
        </w:rPr>
      </w:pPr>
      <w:r w:rsidRPr="00206AD5">
        <w:rPr>
          <w:color w:val="000000"/>
        </w:rPr>
        <w:t>Por su parte, el artículo 223 d</w:t>
      </w:r>
      <w:r w:rsidRPr="00206AD5">
        <w:rPr>
          <w:color w:val="000000"/>
        </w:rPr>
        <w:t>e la Ley de Transparencia y Acceso a la Información Pública del Estado de México y Municipios, prevé que este Instituto deberá dar vista al Área Competente, con el fin de que determine el grado de responsabilidad de los servidores públicos que incumplan co</w:t>
      </w:r>
      <w:r w:rsidRPr="00206AD5">
        <w:rPr>
          <w:color w:val="000000"/>
        </w:rPr>
        <w:t xml:space="preserve">n las obligaciones establecidas en la Ley. </w:t>
      </w:r>
    </w:p>
    <w:p w14:paraId="15F12C39" w14:textId="77777777" w:rsidR="000B06DA" w:rsidRPr="00206AD5" w:rsidRDefault="000B06DA">
      <w:pPr>
        <w:spacing w:after="0" w:line="360" w:lineRule="auto"/>
        <w:ind w:right="-93"/>
        <w:rPr>
          <w:color w:val="000000"/>
        </w:rPr>
      </w:pPr>
    </w:p>
    <w:p w14:paraId="603A4A11" w14:textId="77777777" w:rsidR="000B06DA" w:rsidRPr="00206AD5" w:rsidRDefault="00E459CA">
      <w:pPr>
        <w:spacing w:after="0" w:line="360" w:lineRule="auto"/>
        <w:ind w:right="-93"/>
        <w:rPr>
          <w:color w:val="000000"/>
        </w:rPr>
      </w:pPr>
      <w:r w:rsidRPr="00206AD5">
        <w:rPr>
          <w:color w:val="000000"/>
        </w:rPr>
        <w:t>En ese contexto, la fracción XXVII, del artículo 19, del Reglamento Interior del Instituto de Transparencia, Acceso a la Información Pública y Protección de Datos Personales del Estado de México y Municipios, es</w:t>
      </w:r>
      <w:r w:rsidRPr="00206AD5">
        <w:rPr>
          <w:color w:val="000000"/>
        </w:rPr>
        <w:t xml:space="preserve">tablece que es función de la Secretaría Técnica del Pleno, remitir al Órgano Interno de Control de los Sujetos Obligados, las presuntas infracciones cometidas en el marco de la Ley de la materia, para la promoción de responsabilidades y sanciones. </w:t>
      </w:r>
    </w:p>
    <w:p w14:paraId="37385354" w14:textId="77777777" w:rsidR="000B06DA" w:rsidRPr="00206AD5" w:rsidRDefault="000B06DA">
      <w:pPr>
        <w:spacing w:after="0" w:line="360" w:lineRule="auto"/>
        <w:ind w:right="-93"/>
        <w:rPr>
          <w:color w:val="000000"/>
        </w:rPr>
      </w:pPr>
    </w:p>
    <w:p w14:paraId="06E19F9A" w14:textId="77777777" w:rsidR="000B06DA" w:rsidRPr="00206AD5" w:rsidRDefault="00E459CA">
      <w:pPr>
        <w:spacing w:after="0" w:line="360" w:lineRule="auto"/>
        <w:ind w:right="-93"/>
        <w:rPr>
          <w:color w:val="000000"/>
        </w:rPr>
      </w:pPr>
      <w:r w:rsidRPr="00206AD5">
        <w:rPr>
          <w:color w:val="000000"/>
        </w:rPr>
        <w:t xml:space="preserve">Sobre </w:t>
      </w:r>
      <w:r w:rsidRPr="00206AD5">
        <w:rPr>
          <w:color w:val="000000"/>
        </w:rPr>
        <w:t xml:space="preserve">el particular, si bien, la presente resolución no tiene por objetivo investigar y determinar posibles violaciones al derecho de acceso a la información, toda vez que este Organismo Autónomo, advirtió la falta de respuesta del Sujeto Obligado, se considera </w:t>
      </w:r>
      <w:r w:rsidRPr="00206AD5">
        <w:rPr>
          <w:color w:val="000000"/>
        </w:rPr>
        <w:t>procedente dar vista a la Secretaría Técnica de este Instituto, para que realice lo conducente.</w:t>
      </w:r>
    </w:p>
    <w:p w14:paraId="18B48182" w14:textId="77777777" w:rsidR="000B06DA" w:rsidRPr="00206AD5" w:rsidRDefault="000B06DA">
      <w:pPr>
        <w:spacing w:after="0" w:line="360" w:lineRule="auto"/>
        <w:rPr>
          <w:color w:val="000000"/>
        </w:rPr>
      </w:pPr>
    </w:p>
    <w:p w14:paraId="5FD9124B" w14:textId="1C0DEE7B" w:rsidR="000B06DA" w:rsidRPr="00206AD5" w:rsidRDefault="00E459CA">
      <w:pPr>
        <w:spacing w:after="0" w:line="360" w:lineRule="auto"/>
        <w:rPr>
          <w:b/>
          <w:bCs/>
          <w:color w:val="000000"/>
          <w:u w:val="single"/>
        </w:rPr>
      </w:pPr>
      <w:r w:rsidRPr="00206AD5">
        <w:rPr>
          <w:b/>
          <w:bCs/>
          <w:color w:val="000000"/>
          <w:u w:val="single"/>
        </w:rPr>
        <w:t>Términos de la Resolución para conocimiento de la parte Recurrente</w:t>
      </w:r>
    </w:p>
    <w:p w14:paraId="259FBEAF" w14:textId="77777777" w:rsidR="000B06DA" w:rsidRPr="00206AD5" w:rsidRDefault="000B06DA">
      <w:pPr>
        <w:spacing w:after="0" w:line="360" w:lineRule="auto"/>
        <w:rPr>
          <w:b/>
          <w:bCs/>
          <w:color w:val="000000"/>
          <w:u w:val="single"/>
        </w:rPr>
      </w:pPr>
    </w:p>
    <w:p w14:paraId="7C630794" w14:textId="77777777" w:rsidR="000B06DA" w:rsidRPr="00206AD5" w:rsidRDefault="00E459CA">
      <w:pPr>
        <w:spacing w:after="0" w:line="360" w:lineRule="auto"/>
        <w:rPr>
          <w:color w:val="000000"/>
          <w:u w:val="single"/>
        </w:rPr>
      </w:pPr>
      <w:r w:rsidRPr="00206AD5">
        <w:rPr>
          <w:color w:val="000000"/>
          <w:u w:val="single"/>
        </w:rPr>
        <w:lastRenderedPageBreak/>
        <w:t>Se le hace del conocimiento a la parte Recurrente que, en el presente caso, se le da la raz</w:t>
      </w:r>
      <w:r w:rsidRPr="00206AD5">
        <w:rPr>
          <w:color w:val="000000"/>
          <w:u w:val="single"/>
        </w:rPr>
        <w:t xml:space="preserve">ón pues el Sujeto Obligado no emitió respuesta y si bien se pronunció en informe justificado, la información remitida no da cuenta de lo requerido, por lo que, se ordena la entrega de la información.   </w:t>
      </w:r>
    </w:p>
    <w:p w14:paraId="2C065120" w14:textId="77777777" w:rsidR="000B06DA" w:rsidRPr="00206AD5" w:rsidRDefault="00E459CA">
      <w:pPr>
        <w:spacing w:after="0" w:line="360" w:lineRule="auto"/>
        <w:rPr>
          <w:color w:val="000000"/>
          <w:u w:val="single"/>
        </w:rPr>
      </w:pPr>
      <w:r w:rsidRPr="00206AD5">
        <w:rPr>
          <w:color w:val="000000"/>
          <w:u w:val="single"/>
        </w:rPr>
        <w:t>Además, se le informa que, de conformidad con lo esta</w:t>
      </w:r>
      <w:r w:rsidRPr="00206AD5">
        <w:rPr>
          <w:color w:val="000000"/>
          <w:u w:val="single"/>
        </w:rPr>
        <w:t>blecido en el artículo 179, párrafo segundo, de la Ley de Transparencia y Acceso a la Información Pública del Estado de México y Municipios, tiene derecho a interponer nuevamente Recurso de Revisión ante este Instituto, por la respuesta que dé el Sujeto Ob</w:t>
      </w:r>
      <w:r w:rsidRPr="00206AD5">
        <w:rPr>
          <w:color w:val="000000"/>
          <w:u w:val="single"/>
        </w:rPr>
        <w:t xml:space="preserve">ligado, en cumplimiento a esta Resolución. </w:t>
      </w:r>
    </w:p>
    <w:p w14:paraId="0962FA7E" w14:textId="77777777" w:rsidR="000B06DA" w:rsidRPr="00206AD5" w:rsidRDefault="000B06DA">
      <w:pPr>
        <w:spacing w:after="0" w:line="360" w:lineRule="auto"/>
        <w:rPr>
          <w:color w:val="000000"/>
          <w:u w:val="single"/>
        </w:rPr>
      </w:pPr>
    </w:p>
    <w:p w14:paraId="35305A4A" w14:textId="77777777" w:rsidR="000B06DA" w:rsidRPr="00206AD5" w:rsidRDefault="00E459CA">
      <w:pPr>
        <w:spacing w:after="0" w:line="360" w:lineRule="auto"/>
        <w:rPr>
          <w:u w:val="single"/>
        </w:rPr>
      </w:pPr>
      <w:r w:rsidRPr="00206AD5">
        <w:rPr>
          <w:u w:val="single"/>
        </w:rPr>
        <w:t>Es necesario mencionar que para el caso de que la información tenga datos personales será necesaria su entrega en versión pública, lo que significa que se testan los datos personales y se entrega acompañada de u</w:t>
      </w:r>
      <w:r w:rsidRPr="00206AD5">
        <w:rPr>
          <w:u w:val="single"/>
        </w:rPr>
        <w:t>n acuerdo en el que se expresen las razones por las que se protegen dichos datos.</w:t>
      </w:r>
    </w:p>
    <w:p w14:paraId="1B048A4C" w14:textId="77777777" w:rsidR="000B06DA" w:rsidRPr="00206AD5" w:rsidRDefault="000B06DA">
      <w:pPr>
        <w:spacing w:after="0" w:line="360" w:lineRule="auto"/>
        <w:rPr>
          <w:color w:val="000000"/>
          <w:u w:val="single"/>
        </w:rPr>
      </w:pPr>
    </w:p>
    <w:p w14:paraId="183A4F0B" w14:textId="77777777" w:rsidR="000B06DA" w:rsidRPr="00206AD5" w:rsidRDefault="00E459CA">
      <w:pPr>
        <w:spacing w:after="0" w:line="360" w:lineRule="auto"/>
        <w:rPr>
          <w:u w:val="single"/>
        </w:rPr>
      </w:pPr>
      <w:r w:rsidRPr="00206AD5">
        <w:rPr>
          <w:u w:val="single"/>
        </w:rPr>
        <w:t>La labor del INFOEM, es apoyar a la población para acceder a la información pública y garantizar la protección de sus datos personales.</w:t>
      </w:r>
    </w:p>
    <w:p w14:paraId="0FF70CC6" w14:textId="77777777" w:rsidR="000B06DA" w:rsidRPr="00206AD5" w:rsidRDefault="000B06DA">
      <w:pPr>
        <w:spacing w:after="0" w:line="360" w:lineRule="auto"/>
        <w:rPr>
          <w:color w:val="000000"/>
        </w:rPr>
      </w:pPr>
    </w:p>
    <w:p w14:paraId="13B1CF1D" w14:textId="77777777" w:rsidR="000B06DA" w:rsidRPr="00206AD5" w:rsidRDefault="00E459CA">
      <w:pPr>
        <w:spacing w:after="0" w:line="360" w:lineRule="auto"/>
        <w:rPr>
          <w:color w:val="000000"/>
        </w:rPr>
      </w:pPr>
      <w:r w:rsidRPr="00206AD5">
        <w:rPr>
          <w:color w:val="000000"/>
        </w:rPr>
        <w:t>Por lo expuesto y fundado, este Plen</w:t>
      </w:r>
      <w:r w:rsidRPr="00206AD5">
        <w:rPr>
          <w:color w:val="000000"/>
        </w:rPr>
        <w:t>o:</w:t>
      </w:r>
    </w:p>
    <w:p w14:paraId="27583589" w14:textId="77777777" w:rsidR="00136864" w:rsidRPr="00206AD5" w:rsidRDefault="00136864">
      <w:pPr>
        <w:spacing w:after="0" w:line="360" w:lineRule="auto"/>
        <w:rPr>
          <w:color w:val="000000"/>
        </w:rPr>
      </w:pPr>
    </w:p>
    <w:p w14:paraId="27635471" w14:textId="77777777" w:rsidR="000B06DA" w:rsidRPr="00206AD5" w:rsidRDefault="00E459CA">
      <w:pPr>
        <w:pStyle w:val="Ttulo1"/>
        <w:spacing w:before="0" w:after="0"/>
        <w:rPr>
          <w:b w:val="0"/>
          <w:bCs w:val="0"/>
          <w:color w:val="000000"/>
          <w:sz w:val="22"/>
          <w:szCs w:val="22"/>
        </w:rPr>
      </w:pPr>
      <w:bookmarkStart w:id="18" w:name="_Toc226633804"/>
      <w:r w:rsidRPr="00206AD5">
        <w:rPr>
          <w:color w:val="000000"/>
          <w:sz w:val="22"/>
          <w:szCs w:val="22"/>
        </w:rPr>
        <w:t>R E S U E L V E:</w:t>
      </w:r>
      <w:bookmarkEnd w:id="18"/>
    </w:p>
    <w:p w14:paraId="28AB42C7" w14:textId="77777777" w:rsidR="000B06DA" w:rsidRPr="00206AD5" w:rsidRDefault="000B06DA">
      <w:pPr>
        <w:spacing w:after="0" w:line="360" w:lineRule="auto"/>
        <w:ind w:right="-91"/>
        <w:jc w:val="center"/>
        <w:rPr>
          <w:b/>
          <w:bCs/>
          <w:color w:val="000000"/>
        </w:rPr>
      </w:pPr>
    </w:p>
    <w:p w14:paraId="4D2D89F5" w14:textId="77777777" w:rsidR="000B06DA" w:rsidRPr="00206AD5" w:rsidRDefault="00E459CA">
      <w:pPr>
        <w:spacing w:after="0" w:line="360" w:lineRule="auto"/>
        <w:rPr>
          <w:color w:val="000000"/>
        </w:rPr>
      </w:pPr>
      <w:r w:rsidRPr="00206AD5">
        <w:rPr>
          <w:b/>
          <w:bCs/>
          <w:color w:val="000000"/>
        </w:rPr>
        <w:t xml:space="preserve">PRIMERO. </w:t>
      </w:r>
      <w:r w:rsidRPr="00206AD5">
        <w:rPr>
          <w:color w:val="000000"/>
        </w:rPr>
        <w:t xml:space="preserve">Resultan </w:t>
      </w:r>
      <w:r w:rsidRPr="00206AD5">
        <w:rPr>
          <w:b/>
          <w:bCs/>
          <w:color w:val="000000"/>
        </w:rPr>
        <w:t>FUNDADAS</w:t>
      </w:r>
      <w:r w:rsidRPr="00206AD5">
        <w:rPr>
          <w:color w:val="000000"/>
        </w:rPr>
        <w:t xml:space="preserve"> las razones o motivos de inconformidad hechos valer por el Particular en el Recurso de Revisión 01361/INFOEM/IP/RR/2026, en términos de los considerandos QUINTO y SEXTO de la presente Resolución.</w:t>
      </w:r>
    </w:p>
    <w:p w14:paraId="671268A6" w14:textId="77777777" w:rsidR="000B06DA" w:rsidRPr="00206AD5" w:rsidRDefault="000B06DA">
      <w:pPr>
        <w:spacing w:after="0" w:line="360" w:lineRule="auto"/>
        <w:rPr>
          <w:color w:val="000000"/>
        </w:rPr>
      </w:pPr>
    </w:p>
    <w:p w14:paraId="456F72A2" w14:textId="3512EE53" w:rsidR="00136864" w:rsidRPr="00206AD5" w:rsidRDefault="00E459CA" w:rsidP="00136864">
      <w:pPr>
        <w:spacing w:after="0" w:line="360" w:lineRule="auto"/>
      </w:pPr>
      <w:r w:rsidRPr="00206AD5">
        <w:rPr>
          <w:b/>
          <w:bCs/>
          <w:color w:val="000000"/>
        </w:rPr>
        <w:lastRenderedPageBreak/>
        <w:t xml:space="preserve">SEGUNDO. </w:t>
      </w:r>
      <w:r w:rsidR="00136864" w:rsidRPr="00206AD5">
        <w:t xml:space="preserve">Se </w:t>
      </w:r>
      <w:r w:rsidR="00136864" w:rsidRPr="00206AD5">
        <w:rPr>
          <w:b/>
          <w:bCs/>
        </w:rPr>
        <w:t>ORDENA</w:t>
      </w:r>
      <w:r w:rsidR="00136864" w:rsidRPr="00206AD5">
        <w:t xml:space="preserve"> al Ente Recurrido</w:t>
      </w:r>
      <w:r w:rsidR="00136864" w:rsidRPr="00206AD5">
        <w:rPr>
          <w:b/>
          <w:bCs/>
        </w:rPr>
        <w:t xml:space="preserve">, </w:t>
      </w:r>
      <w:r w:rsidR="00136864" w:rsidRPr="00206AD5">
        <w:t>a efecto de que, entregue a través del Sistema de Acceso a la Información Mexiquense (SAIMEX), en su caso, en versión pública, los oficios emitidos y recibidos del primero al treinta y uno de enero de dos mil veinticinco, de las siguientes unidades administrativas:</w:t>
      </w:r>
    </w:p>
    <w:p w14:paraId="5F8D8F7C" w14:textId="77777777" w:rsidR="00136864" w:rsidRPr="00206AD5" w:rsidRDefault="00136864" w:rsidP="00136864">
      <w:pPr>
        <w:spacing w:after="0" w:line="360" w:lineRule="auto"/>
      </w:pPr>
    </w:p>
    <w:p w14:paraId="5C0497D9" w14:textId="77777777" w:rsidR="00136864" w:rsidRPr="00206AD5" w:rsidRDefault="00136864" w:rsidP="00136864">
      <w:pPr>
        <w:numPr>
          <w:ilvl w:val="0"/>
          <w:numId w:val="10"/>
        </w:numPr>
        <w:spacing w:after="0" w:line="360" w:lineRule="auto"/>
        <w:contextualSpacing/>
        <w:rPr>
          <w:rFonts w:eastAsia="Times New Roman" w:cs="Times New Roman"/>
          <w:szCs w:val="24"/>
          <w:lang w:eastAsia="es-ES"/>
        </w:rPr>
      </w:pPr>
      <w:r w:rsidRPr="00206AD5">
        <w:rPr>
          <w:rFonts w:eastAsia="Times New Roman" w:cs="Times New Roman"/>
          <w:szCs w:val="24"/>
          <w:lang w:eastAsia="es-ES"/>
        </w:rPr>
        <w:t>Dirección General de Innovación, Planeación y Gestión Urbana, y</w:t>
      </w:r>
    </w:p>
    <w:p w14:paraId="37424609" w14:textId="77777777" w:rsidR="00136864" w:rsidRPr="00206AD5" w:rsidRDefault="00136864" w:rsidP="00136864">
      <w:pPr>
        <w:spacing w:after="0" w:line="360" w:lineRule="auto"/>
        <w:ind w:left="720"/>
        <w:contextualSpacing/>
        <w:rPr>
          <w:rFonts w:eastAsia="Times New Roman" w:cs="Times New Roman"/>
          <w:szCs w:val="24"/>
          <w:lang w:eastAsia="es-ES"/>
        </w:rPr>
      </w:pPr>
    </w:p>
    <w:p w14:paraId="048597D2" w14:textId="77777777" w:rsidR="00136864" w:rsidRPr="00206AD5" w:rsidRDefault="00136864" w:rsidP="00136864">
      <w:pPr>
        <w:numPr>
          <w:ilvl w:val="0"/>
          <w:numId w:val="10"/>
        </w:numPr>
        <w:spacing w:after="0" w:line="360" w:lineRule="auto"/>
        <w:contextualSpacing/>
        <w:rPr>
          <w:rFonts w:eastAsia="Times New Roman" w:cs="Times New Roman"/>
          <w:szCs w:val="24"/>
          <w:lang w:eastAsia="es-ES"/>
        </w:rPr>
      </w:pPr>
      <w:r w:rsidRPr="00206AD5">
        <w:rPr>
          <w:rFonts w:eastAsia="Times New Roman" w:cs="Times New Roman"/>
          <w:szCs w:val="24"/>
          <w:lang w:eastAsia="es-ES"/>
        </w:rPr>
        <w:t>Dirección de Innovación y Ciudad Inteligente.</w:t>
      </w:r>
    </w:p>
    <w:p w14:paraId="141E10E2" w14:textId="77777777" w:rsidR="00136864" w:rsidRPr="00206AD5" w:rsidRDefault="00136864" w:rsidP="00136864">
      <w:pPr>
        <w:pBdr>
          <w:top w:val="nil"/>
          <w:left w:val="nil"/>
          <w:bottom w:val="nil"/>
          <w:right w:val="nil"/>
          <w:between w:val="nil"/>
        </w:pBdr>
        <w:spacing w:after="0" w:line="360" w:lineRule="auto"/>
        <w:rPr>
          <w:color w:val="FF0000"/>
        </w:rPr>
      </w:pPr>
    </w:p>
    <w:p w14:paraId="607A6D6A" w14:textId="7B7E84AE" w:rsidR="00136864" w:rsidRPr="00206AD5" w:rsidRDefault="00136864" w:rsidP="00136864">
      <w:pPr>
        <w:spacing w:after="0" w:line="360" w:lineRule="auto"/>
        <w:ind w:right="-91"/>
      </w:pPr>
      <w:bookmarkStart w:id="19" w:name="_Hlk225429108"/>
      <w:r w:rsidRPr="00206AD5">
        <w:t>Además, deberá proporcionar el Acuerdo de Clasificación donde el Comité de Transparencia, confirme la eliminación de los datos o información, tomando en consideración lo establecido en el Considerando QUINTO, de conformidad con los artículos 49, fracciones II y VIII y 132, fracción II de la Ley de Transparencia y Acceso a la Información Pública del Estado de México y Municipios.</w:t>
      </w:r>
    </w:p>
    <w:bookmarkEnd w:id="19"/>
    <w:p w14:paraId="53C46801" w14:textId="77777777" w:rsidR="00136864" w:rsidRPr="00206AD5" w:rsidRDefault="00136864" w:rsidP="00136864">
      <w:pPr>
        <w:spacing w:after="0" w:line="360" w:lineRule="auto"/>
        <w:ind w:right="-91"/>
      </w:pPr>
    </w:p>
    <w:p w14:paraId="30D6C8CE" w14:textId="77777777" w:rsidR="00136864" w:rsidRPr="00206AD5" w:rsidRDefault="00136864" w:rsidP="00136864">
      <w:pPr>
        <w:spacing w:after="0" w:line="360" w:lineRule="auto"/>
        <w:ind w:right="-91"/>
      </w:pPr>
      <w:r w:rsidRPr="00206AD5">
        <w:t>Para el caso, de que no cuente con alguno de los oficios emitidos, al haber sido cancelados, o bien, alguna de las áreas no haya recibido oficios, en parte del periodo referido, deberá hacerlo del conocimiento de la persona Recurrente, de manera clara y precisa.</w:t>
      </w:r>
    </w:p>
    <w:p w14:paraId="3AE24387" w14:textId="77777777" w:rsidR="00136864" w:rsidRPr="00206AD5" w:rsidRDefault="00136864" w:rsidP="00136864">
      <w:pPr>
        <w:spacing w:after="0" w:line="360" w:lineRule="auto"/>
        <w:rPr>
          <w:color w:val="FF0000"/>
        </w:rPr>
      </w:pPr>
    </w:p>
    <w:p w14:paraId="37D3FA79" w14:textId="77777777" w:rsidR="000B06DA" w:rsidRPr="00206AD5" w:rsidRDefault="00E459CA">
      <w:pPr>
        <w:spacing w:after="0" w:line="360" w:lineRule="auto"/>
        <w:ind w:right="-28"/>
        <w:rPr>
          <w:color w:val="000000"/>
        </w:rPr>
      </w:pPr>
      <w:r w:rsidRPr="00206AD5">
        <w:rPr>
          <w:b/>
          <w:bCs/>
          <w:color w:val="000000"/>
        </w:rPr>
        <w:t>TERCERO.</w:t>
      </w:r>
      <w:r w:rsidRPr="00206AD5">
        <w:rPr>
          <w:color w:val="000000"/>
        </w:rPr>
        <w:t xml:space="preserve"> Con fundamento en el artículo 179, párrafo segundo, de la Ley de Transparencia y Acceso a la Información Pública del Estado de México y Municipios, se hace del conocimiento de la persona Recurrente que tiene derecho a interponer nuevamente Recurso de Revi</w:t>
      </w:r>
      <w:r w:rsidRPr="00206AD5">
        <w:rPr>
          <w:color w:val="000000"/>
        </w:rPr>
        <w:t>sión ante este Instituto, por la respuesta que dé el Sujeto Obligado, en cumplimiento a esta Resolución.</w:t>
      </w:r>
    </w:p>
    <w:p w14:paraId="5A3CCCF8" w14:textId="77777777" w:rsidR="000B06DA" w:rsidRPr="00206AD5" w:rsidRDefault="000B06DA">
      <w:pPr>
        <w:spacing w:after="0" w:line="360" w:lineRule="auto"/>
        <w:ind w:right="-28"/>
        <w:rPr>
          <w:color w:val="000000"/>
        </w:rPr>
      </w:pPr>
    </w:p>
    <w:p w14:paraId="69903E34" w14:textId="77777777" w:rsidR="000B06DA" w:rsidRPr="00206AD5" w:rsidRDefault="00E459CA">
      <w:pPr>
        <w:spacing w:after="0" w:line="360" w:lineRule="auto"/>
        <w:rPr>
          <w:color w:val="000000"/>
        </w:rPr>
      </w:pPr>
      <w:r w:rsidRPr="00206AD5">
        <w:rPr>
          <w:b/>
          <w:bCs/>
          <w:color w:val="000000"/>
        </w:rPr>
        <w:t xml:space="preserve">CUARTO. NOTIFÍQUESE POR SAIMEX </w:t>
      </w:r>
      <w:r w:rsidRPr="00206AD5">
        <w:rPr>
          <w:color w:val="000000"/>
        </w:rPr>
        <w:t>la presente resolución al Titular de la Unidad de Transparencia del Sujeto Obligado, para que conforme al artículo 186,</w:t>
      </w:r>
      <w:r w:rsidRPr="00206AD5">
        <w:rPr>
          <w:color w:val="000000"/>
        </w:rPr>
        <w:t xml:space="preserve"> último párrafo, 189, </w:t>
      </w:r>
      <w:r w:rsidRPr="00206AD5">
        <w:rPr>
          <w:color w:val="000000"/>
        </w:rPr>
        <w:lastRenderedPageBreak/>
        <w:t>segundo párrafo, y 194 de la Ley de Transparencia y Acceso a la Información Pública del Estado de México y Municipios; dé cumplimiento a lo ordenado dentro del plazo de diez días hábiles, e informe a este Instituto en un plazo de tres</w:t>
      </w:r>
      <w:r w:rsidRPr="00206AD5">
        <w:rPr>
          <w:color w:val="000000"/>
        </w:rPr>
        <w:t xml:space="preserve"> días hábiles siguientes sobre el cumplimiento dado a la presente, se le apercibe que en caso de negarse a cumplir la presente resolución o hacerlo de manera parcial, se le impondrá una medida de apremio de conformidad con lo previsto en los artículos 198,</w:t>
      </w:r>
      <w:r w:rsidRPr="00206AD5">
        <w:rPr>
          <w:color w:val="000000"/>
        </w:rPr>
        <w:t xml:space="preserve"> 200, fracción III, 214, 215 y 216 de la Ley referida.</w:t>
      </w:r>
    </w:p>
    <w:p w14:paraId="5DAF313F" w14:textId="77777777" w:rsidR="000B06DA" w:rsidRPr="00206AD5" w:rsidRDefault="000B06DA">
      <w:pPr>
        <w:spacing w:after="0" w:line="360" w:lineRule="auto"/>
        <w:rPr>
          <w:color w:val="000000"/>
        </w:rPr>
      </w:pPr>
    </w:p>
    <w:p w14:paraId="25012E5B" w14:textId="77777777" w:rsidR="000B06DA" w:rsidRPr="00206AD5" w:rsidRDefault="00E459CA">
      <w:pPr>
        <w:spacing w:after="0" w:line="360" w:lineRule="auto"/>
      </w:pPr>
      <w:r w:rsidRPr="00206AD5">
        <w:rPr>
          <w:b/>
          <w:bCs/>
        </w:rPr>
        <w:t>QUINTO. NOTIFÍQUESE</w:t>
      </w:r>
      <w:r w:rsidRPr="00206AD5">
        <w:t xml:space="preserve"> </w:t>
      </w:r>
      <w:r w:rsidRPr="00206AD5">
        <w:rPr>
          <w:b/>
          <w:bCs/>
        </w:rPr>
        <w:t xml:space="preserve">POR SAIMEX, </w:t>
      </w:r>
      <w:r w:rsidRPr="00206AD5">
        <w:t>a la persona Recurrente la presente Resolución, asimismo, se hace de su conocimiento que de conformidad con lo establecido en el artículo 196 de la Ley de Transparencia</w:t>
      </w:r>
      <w:r w:rsidRPr="00206AD5">
        <w:t xml:space="preserve"> y Acceso a la Información Pública del Estado de México y Municipios podrá promover el Juicio de Amparo en los términos de las leyes aplicables.</w:t>
      </w:r>
    </w:p>
    <w:p w14:paraId="395C2530" w14:textId="77777777" w:rsidR="000B06DA" w:rsidRPr="00206AD5" w:rsidRDefault="000B06DA">
      <w:pPr>
        <w:spacing w:after="0" w:line="360" w:lineRule="auto"/>
        <w:ind w:left="708" w:hanging="708"/>
      </w:pPr>
    </w:p>
    <w:p w14:paraId="1F0B6AE5" w14:textId="77777777" w:rsidR="000B06DA" w:rsidRPr="00206AD5" w:rsidRDefault="00E459CA">
      <w:pPr>
        <w:spacing w:after="0" w:line="360" w:lineRule="auto"/>
      </w:pPr>
      <w:r w:rsidRPr="00206AD5">
        <w:rPr>
          <w:b/>
          <w:bCs/>
        </w:rPr>
        <w:t>SEXTO.</w:t>
      </w:r>
      <w:r w:rsidRPr="00206AD5">
        <w:t xml:space="preserve"> Gírese oficio a la Secretaría Técnica del Pleno de este Instituto para hacer del conocimiento del Órgan</w:t>
      </w:r>
      <w:r w:rsidRPr="00206AD5">
        <w:t xml:space="preserve">o Interno de Control competente la presente resolución, a fin de que de conformidad con el artículo 190, de la Ley de Transparencia y Acceso a la Información Pública del Estado de México y Municipios, determine lo conducente, en términos de lo señalado en </w:t>
      </w:r>
      <w:r w:rsidRPr="00206AD5">
        <w:t>el Considerando SÉPTIMO de la presente Resolución.</w:t>
      </w:r>
    </w:p>
    <w:p w14:paraId="14109F79" w14:textId="77777777" w:rsidR="000B06DA" w:rsidRPr="00206AD5" w:rsidRDefault="000B06DA">
      <w:pPr>
        <w:spacing w:after="0" w:line="360" w:lineRule="auto"/>
      </w:pPr>
    </w:p>
    <w:p w14:paraId="5CC294FC" w14:textId="77777777" w:rsidR="000B06DA" w:rsidRDefault="00E459CA">
      <w:pPr>
        <w:spacing w:after="0" w:line="360" w:lineRule="auto"/>
      </w:pPr>
      <w:r w:rsidRPr="00206AD5">
        <w:t xml:space="preserve">ASÍ LO RESUELVE, POR </w:t>
      </w:r>
      <w:r w:rsidRPr="00206AD5">
        <w:rPr>
          <w:b/>
          <w:bCs/>
        </w:rPr>
        <w:t>UNANIMIDAD</w:t>
      </w:r>
      <w:r w:rsidRPr="00206AD5">
        <w:t xml:space="preserve"> DE VOTOS EL PLENO DEL INSTITUTO DE TRANSPARENCIA, ACCESO A LA INFORMACIÓN PÚBLICA Y PROTECCIÓN DE DATOS PERSONALES DEL ESTADO DE MÉXICO Y MUNICIPIOS, CONFORMADO POR LOS COM</w:t>
      </w:r>
      <w:r w:rsidRPr="00206AD5">
        <w:t>ISIONADOS JOSÉ MARTÍNEZ VILCHIS, MARÍA DEL ROSARIO MEJÍA AYALA, SHARON CRISTINA MORALES MARTÍNEZ, LUIS GUSTAVO PARRA NORIEGA Y GUADALUPE RAMÍREZ PEÑA, EN LA DÉCIMA SEGUNDA SESIÓN ORDINARIA, CELEBRADA EL OCHO DE ABRIL DE DOS MIL VEINTISÉIS, ANTE EL SECRETAR</w:t>
      </w:r>
      <w:r w:rsidRPr="00206AD5">
        <w:t>IO TÉCNICO DEL PLENO, ALEXIS TAPIA RAMÍREZ.</w:t>
      </w:r>
    </w:p>
    <w:p w14:paraId="2FDA71F2" w14:textId="77777777" w:rsidR="000B06DA" w:rsidRDefault="000B06DA">
      <w:pPr>
        <w:pStyle w:val="Ttulo2"/>
        <w:spacing w:before="0" w:after="0"/>
        <w:rPr>
          <w:b w:val="0"/>
          <w:bCs w:val="0"/>
        </w:rPr>
      </w:pPr>
    </w:p>
    <w:p w14:paraId="6A52280E" w14:textId="77777777" w:rsidR="000B06DA" w:rsidRDefault="000B06DA">
      <w:pPr>
        <w:spacing w:after="0" w:line="360" w:lineRule="auto"/>
      </w:pPr>
    </w:p>
    <w:p w14:paraId="6CD78470" w14:textId="77777777" w:rsidR="000B06DA" w:rsidRDefault="000B06DA">
      <w:pPr>
        <w:spacing w:after="0" w:line="360" w:lineRule="auto"/>
      </w:pPr>
    </w:p>
    <w:p w14:paraId="2300B759" w14:textId="77777777" w:rsidR="000B06DA" w:rsidRDefault="000B06DA">
      <w:pPr>
        <w:spacing w:after="0" w:line="360" w:lineRule="auto"/>
      </w:pPr>
    </w:p>
    <w:p w14:paraId="6D869224" w14:textId="77777777" w:rsidR="000B06DA" w:rsidRDefault="000B06DA">
      <w:pPr>
        <w:spacing w:after="0" w:line="360" w:lineRule="auto"/>
      </w:pPr>
    </w:p>
    <w:p w14:paraId="5EA173D9" w14:textId="77777777" w:rsidR="000B06DA" w:rsidRDefault="000B06DA">
      <w:pPr>
        <w:spacing w:after="0" w:line="360" w:lineRule="auto"/>
      </w:pPr>
    </w:p>
    <w:p w14:paraId="72E646F0" w14:textId="77777777" w:rsidR="000B06DA" w:rsidRDefault="000B06DA">
      <w:pPr>
        <w:spacing w:after="0" w:line="360" w:lineRule="auto"/>
      </w:pPr>
    </w:p>
    <w:p w14:paraId="073C4FBD" w14:textId="77777777" w:rsidR="000B06DA" w:rsidRDefault="000B06DA">
      <w:pPr>
        <w:spacing w:after="0" w:line="360" w:lineRule="auto"/>
      </w:pPr>
    </w:p>
    <w:p w14:paraId="2FCBC487" w14:textId="77777777" w:rsidR="000B06DA" w:rsidRDefault="000B06DA">
      <w:pPr>
        <w:spacing w:after="0" w:line="360" w:lineRule="auto"/>
      </w:pPr>
    </w:p>
    <w:p w14:paraId="373F31BB" w14:textId="77777777" w:rsidR="000B06DA" w:rsidRDefault="000B06DA">
      <w:pPr>
        <w:spacing w:after="0" w:line="360" w:lineRule="auto"/>
      </w:pPr>
    </w:p>
    <w:p w14:paraId="0E639FBD" w14:textId="77777777" w:rsidR="000B06DA" w:rsidRDefault="000B06DA">
      <w:pPr>
        <w:spacing w:after="0" w:line="360" w:lineRule="auto"/>
      </w:pPr>
    </w:p>
    <w:p w14:paraId="1EF3D01B" w14:textId="77777777" w:rsidR="000B06DA" w:rsidRDefault="000B06DA">
      <w:pPr>
        <w:spacing w:after="0" w:line="360" w:lineRule="auto"/>
      </w:pPr>
    </w:p>
    <w:p w14:paraId="0A83695D" w14:textId="77777777" w:rsidR="000B06DA" w:rsidRDefault="000B06DA">
      <w:pPr>
        <w:spacing w:after="0" w:line="360" w:lineRule="auto"/>
      </w:pPr>
    </w:p>
    <w:p w14:paraId="6E6DC82F" w14:textId="77777777" w:rsidR="000B06DA" w:rsidRDefault="000B06DA">
      <w:pPr>
        <w:spacing w:after="0" w:line="360" w:lineRule="auto"/>
      </w:pPr>
    </w:p>
    <w:p w14:paraId="04A5A425" w14:textId="77777777" w:rsidR="000B06DA" w:rsidRDefault="000B06DA">
      <w:pPr>
        <w:spacing w:after="0" w:line="360" w:lineRule="auto"/>
      </w:pPr>
    </w:p>
    <w:p w14:paraId="6196D6A9" w14:textId="77777777" w:rsidR="000B06DA" w:rsidRDefault="000B06DA">
      <w:pPr>
        <w:spacing w:after="0" w:line="360" w:lineRule="auto"/>
      </w:pPr>
    </w:p>
    <w:p w14:paraId="72B60C93" w14:textId="77777777" w:rsidR="000B06DA" w:rsidRDefault="000B06DA">
      <w:pPr>
        <w:spacing w:after="0" w:line="360" w:lineRule="auto"/>
      </w:pPr>
    </w:p>
    <w:p w14:paraId="4D0D54EB" w14:textId="77777777" w:rsidR="000B06DA" w:rsidRDefault="000B06DA">
      <w:pPr>
        <w:spacing w:after="0" w:line="360" w:lineRule="auto"/>
      </w:pPr>
    </w:p>
    <w:p w14:paraId="137F9C68" w14:textId="77777777" w:rsidR="000B06DA" w:rsidRDefault="000B06DA">
      <w:pPr>
        <w:spacing w:after="0" w:line="360" w:lineRule="auto"/>
      </w:pPr>
    </w:p>
    <w:p w14:paraId="219FFDE0" w14:textId="77777777" w:rsidR="000B06DA" w:rsidRDefault="000B06DA">
      <w:pPr>
        <w:spacing w:after="0" w:line="360" w:lineRule="auto"/>
      </w:pPr>
    </w:p>
    <w:p w14:paraId="11DB47C7" w14:textId="77777777" w:rsidR="000B06DA" w:rsidRDefault="000B06DA">
      <w:pPr>
        <w:spacing w:after="0" w:line="360" w:lineRule="auto"/>
      </w:pPr>
    </w:p>
    <w:p w14:paraId="245D691F" w14:textId="77777777" w:rsidR="000B06DA" w:rsidRDefault="000B06DA">
      <w:pPr>
        <w:spacing w:after="0" w:line="360" w:lineRule="auto"/>
      </w:pPr>
    </w:p>
    <w:p w14:paraId="2E969D35" w14:textId="77777777" w:rsidR="000B06DA" w:rsidRDefault="000B06DA">
      <w:pPr>
        <w:spacing w:after="0" w:line="360" w:lineRule="auto"/>
      </w:pPr>
    </w:p>
    <w:p w14:paraId="6319D703" w14:textId="77777777" w:rsidR="000B06DA" w:rsidRDefault="000B06DA">
      <w:pPr>
        <w:spacing w:after="0" w:line="360" w:lineRule="auto"/>
      </w:pPr>
    </w:p>
    <w:p w14:paraId="652D4AEF" w14:textId="77777777" w:rsidR="000B06DA" w:rsidRDefault="000B06DA">
      <w:pPr>
        <w:spacing w:after="0" w:line="360" w:lineRule="auto"/>
      </w:pPr>
      <w:bookmarkStart w:id="20" w:name="_GoBack"/>
      <w:bookmarkEnd w:id="20"/>
    </w:p>
    <w:sectPr w:rsidR="000B06DA">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548"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B7B5C" w14:textId="77777777" w:rsidR="00E459CA" w:rsidRDefault="00E459CA">
      <w:pPr>
        <w:spacing w:after="0" w:line="240" w:lineRule="auto"/>
      </w:pPr>
      <w:r>
        <w:separator/>
      </w:r>
    </w:p>
  </w:endnote>
  <w:endnote w:type="continuationSeparator" w:id="0">
    <w:p w14:paraId="7020D7F9" w14:textId="77777777" w:rsidR="00E459CA" w:rsidRDefault="00E45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93E43749-D615-4B5C-A3D4-15F88390AE3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4F7835D7-3D7B-48EE-B158-A81332D05BDD}"/>
    <w:embedBold r:id="rId3" w:fontKey="{902C851F-CF30-4D22-94D8-109F1B2FEF11}"/>
    <w:embedItalic r:id="rId4" w:fontKey="{82C5C2C2-2C0C-4DA6-A0F6-D443E4A7D183}"/>
    <w:embedBoldItalic r:id="rId5" w:fontKey="{6014B94D-BAB9-423A-B679-CD20C783B3A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6E4E0AE4-06A3-4FAE-B5B7-45CB340D8523}"/>
  </w:font>
  <w:font w:name="Georgia">
    <w:panose1 w:val="02040502050405020303"/>
    <w:charset w:val="00"/>
    <w:family w:val="roman"/>
    <w:pitch w:val="variable"/>
    <w:sig w:usb0="00000287" w:usb1="00000000" w:usb2="00000000" w:usb3="00000000" w:csb0="0000009F" w:csb1="00000000"/>
    <w:embedItalic r:id="rId7" w:fontKey="{64EC7151-9310-4F50-9281-22945406CE0C}"/>
  </w:font>
  <w:font w:name="Calibri">
    <w:panose1 w:val="020F0502020204030204"/>
    <w:charset w:val="00"/>
    <w:family w:val="swiss"/>
    <w:pitch w:val="variable"/>
    <w:sig w:usb0="E4002EFF" w:usb1="C200247B" w:usb2="00000009" w:usb3="00000000" w:csb0="000001FF" w:csb1="00000000"/>
    <w:embedRegular r:id="rId8" w:fontKey="{E966EA49-C330-4718-AEE9-827BDFC3B7CB}"/>
  </w:font>
  <w:font w:name="Garamond">
    <w:panose1 w:val="02020404030301010803"/>
    <w:charset w:val="00"/>
    <w:family w:val="roman"/>
    <w:pitch w:val="variable"/>
    <w:sig w:usb0="00000287" w:usb1="00000000" w:usb2="00000000" w:usb3="00000000" w:csb0="0000009F" w:csb1="00000000"/>
    <w:embedRegular r:id="rId9" w:fontKey="{BBD676C4-AD05-444C-9D8C-E67488BEE3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FAEC0" w14:textId="77777777" w:rsidR="000B06DA" w:rsidRDefault="00E459C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49161C">
      <w:rPr>
        <w:b/>
        <w:bCs/>
        <w:color w:val="000000"/>
        <w:sz w:val="24"/>
        <w:szCs w:val="24"/>
      </w:rPr>
      <w:fldChar w:fldCharType="separate"/>
    </w:r>
    <w:r w:rsidR="0049161C">
      <w:rPr>
        <w:b/>
        <w:bCs/>
        <w:noProof/>
        <w:color w:val="000000"/>
        <w:sz w:val="24"/>
        <w:szCs w:val="24"/>
      </w:rPr>
      <w:t>30</w:t>
    </w:r>
    <w:r>
      <w:rPr>
        <w:b/>
        <w:bCs/>
        <w:color w:val="000000"/>
        <w:sz w:val="24"/>
        <w:szCs w:val="24"/>
      </w:rPr>
      <w:fldChar w:fldCharType="end"/>
    </w:r>
  </w:p>
  <w:p w14:paraId="75AFE71F" w14:textId="77777777" w:rsidR="000B06DA" w:rsidRDefault="000B06D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C65CC" w14:textId="77777777" w:rsidR="000B06DA" w:rsidRDefault="00E459C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9161C">
      <w:rPr>
        <w:b/>
        <w:bCs/>
        <w:noProof/>
        <w:color w:val="000000"/>
        <w:sz w:val="24"/>
        <w:szCs w:val="24"/>
      </w:rPr>
      <w:t>28</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9161C">
      <w:rPr>
        <w:b/>
        <w:bCs/>
        <w:noProof/>
        <w:color w:val="000000"/>
        <w:sz w:val="24"/>
        <w:szCs w:val="24"/>
      </w:rPr>
      <w:t>30</w:t>
    </w:r>
    <w:r>
      <w:rPr>
        <w:b/>
        <w:bCs/>
        <w:color w:val="000000"/>
        <w:sz w:val="24"/>
        <w:szCs w:val="24"/>
      </w:rPr>
      <w:fldChar w:fldCharType="end"/>
    </w:r>
  </w:p>
  <w:p w14:paraId="12F9F8D6" w14:textId="77777777" w:rsidR="000B06DA" w:rsidRDefault="000B06D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67DD1" w14:textId="77777777" w:rsidR="000B06DA" w:rsidRDefault="00E459C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9161C">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9161C">
      <w:rPr>
        <w:b/>
        <w:bCs/>
        <w:noProof/>
        <w:color w:val="000000"/>
        <w:sz w:val="24"/>
        <w:szCs w:val="24"/>
      </w:rPr>
      <w:t>30</w:t>
    </w:r>
    <w:r>
      <w:rPr>
        <w:b/>
        <w:bCs/>
        <w:color w:val="000000"/>
        <w:sz w:val="24"/>
        <w:szCs w:val="24"/>
      </w:rPr>
      <w:fldChar w:fldCharType="end"/>
    </w:r>
  </w:p>
  <w:p w14:paraId="25756D34" w14:textId="77777777" w:rsidR="000B06DA" w:rsidRDefault="000B06D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4BA1F7" w14:textId="77777777" w:rsidR="00E459CA" w:rsidRDefault="00E459CA">
      <w:pPr>
        <w:spacing w:after="0" w:line="240" w:lineRule="auto"/>
      </w:pPr>
      <w:r>
        <w:separator/>
      </w:r>
    </w:p>
  </w:footnote>
  <w:footnote w:type="continuationSeparator" w:id="0">
    <w:p w14:paraId="1821722A" w14:textId="77777777" w:rsidR="00E459CA" w:rsidRDefault="00E459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AE868" w14:textId="77777777" w:rsidR="000B06DA" w:rsidRDefault="000B06DA">
    <w:pPr>
      <w:widowControl w:val="0"/>
      <w:pBdr>
        <w:top w:val="nil"/>
        <w:left w:val="nil"/>
        <w:bottom w:val="nil"/>
        <w:right w:val="nil"/>
        <w:between w:val="nil"/>
      </w:pBdr>
      <w:spacing w:after="0" w:line="276" w:lineRule="auto"/>
      <w:jc w:val="left"/>
      <w:rPr>
        <w:color w:val="000000"/>
      </w:rPr>
    </w:pPr>
  </w:p>
  <w:tbl>
    <w:tblPr>
      <w:tblStyle w:val="affffff5"/>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0B06DA" w14:paraId="688EB1E0" w14:textId="77777777">
      <w:trPr>
        <w:trHeight w:val="141"/>
      </w:trPr>
      <w:tc>
        <w:tcPr>
          <w:tcW w:w="2404" w:type="dxa"/>
        </w:tcPr>
        <w:p w14:paraId="45B2A710" w14:textId="77777777" w:rsidR="000B06DA" w:rsidRDefault="00E459CA">
          <w:pPr>
            <w:tabs>
              <w:tab w:val="right" w:pos="8838"/>
            </w:tabs>
            <w:ind w:right="-105"/>
            <w:rPr>
              <w:b/>
              <w:bCs/>
            </w:rPr>
          </w:pPr>
          <w:r>
            <w:rPr>
              <w:b/>
              <w:bCs/>
            </w:rPr>
            <w:t>Recurso de Revisión:</w:t>
          </w:r>
        </w:p>
      </w:tc>
      <w:tc>
        <w:tcPr>
          <w:tcW w:w="3587" w:type="dxa"/>
        </w:tcPr>
        <w:p w14:paraId="71BFDD03" w14:textId="77777777" w:rsidR="000B06DA" w:rsidRDefault="00E459CA">
          <w:pPr>
            <w:tabs>
              <w:tab w:val="right" w:pos="8838"/>
            </w:tabs>
            <w:ind w:left="-28" w:right="683"/>
          </w:pPr>
          <w:r>
            <w:t>04196/INFOEM/IP/RR/2020</w:t>
          </w:r>
        </w:p>
      </w:tc>
    </w:tr>
    <w:tr w:rsidR="000B06DA" w14:paraId="4F72F4E1" w14:textId="77777777">
      <w:trPr>
        <w:trHeight w:val="276"/>
      </w:trPr>
      <w:tc>
        <w:tcPr>
          <w:tcW w:w="2404" w:type="dxa"/>
        </w:tcPr>
        <w:p w14:paraId="454ACCE5" w14:textId="77777777" w:rsidR="000B06DA" w:rsidRDefault="00E459CA">
          <w:pPr>
            <w:tabs>
              <w:tab w:val="right" w:pos="8838"/>
            </w:tabs>
            <w:ind w:right="-105"/>
            <w:rPr>
              <w:b/>
              <w:bCs/>
            </w:rPr>
          </w:pPr>
          <w:r>
            <w:rPr>
              <w:b/>
              <w:bCs/>
            </w:rPr>
            <w:t>Sujeto Obligado:</w:t>
          </w:r>
        </w:p>
      </w:tc>
      <w:tc>
        <w:tcPr>
          <w:tcW w:w="3587" w:type="dxa"/>
        </w:tcPr>
        <w:p w14:paraId="61A343F5" w14:textId="77777777" w:rsidR="000B06DA" w:rsidRDefault="00E459CA">
          <w:pPr>
            <w:tabs>
              <w:tab w:val="right" w:pos="8838"/>
            </w:tabs>
            <w:ind w:right="116"/>
          </w:pPr>
          <w:r>
            <w:t>Ayuntamiento de Chapultepec</w:t>
          </w:r>
        </w:p>
      </w:tc>
    </w:tr>
    <w:tr w:rsidR="000B06DA" w14:paraId="1D73061A" w14:textId="77777777">
      <w:trPr>
        <w:trHeight w:val="276"/>
      </w:trPr>
      <w:tc>
        <w:tcPr>
          <w:tcW w:w="2404" w:type="dxa"/>
        </w:tcPr>
        <w:p w14:paraId="082944A4" w14:textId="77777777" w:rsidR="000B06DA" w:rsidRDefault="00E459CA">
          <w:pPr>
            <w:tabs>
              <w:tab w:val="right" w:pos="8838"/>
            </w:tabs>
            <w:ind w:right="-105"/>
            <w:rPr>
              <w:b/>
              <w:bCs/>
            </w:rPr>
          </w:pPr>
          <w:r>
            <w:rPr>
              <w:b/>
              <w:bCs/>
            </w:rPr>
            <w:t>Comisionado Ponente:</w:t>
          </w:r>
        </w:p>
      </w:tc>
      <w:tc>
        <w:tcPr>
          <w:tcW w:w="3587" w:type="dxa"/>
        </w:tcPr>
        <w:p w14:paraId="323B0672" w14:textId="77777777" w:rsidR="000B06DA" w:rsidRDefault="00E459CA">
          <w:pPr>
            <w:tabs>
              <w:tab w:val="right" w:pos="8838"/>
            </w:tabs>
            <w:ind w:right="-32"/>
          </w:pPr>
          <w:r>
            <w:t>Luis Gustavo Parra Noriega</w:t>
          </w:r>
        </w:p>
      </w:tc>
    </w:tr>
  </w:tbl>
  <w:p w14:paraId="60BDE03F" w14:textId="77777777" w:rsidR="000B06DA" w:rsidRDefault="00E459CA">
    <w:pPr>
      <w:pBdr>
        <w:top w:val="nil"/>
        <w:left w:val="nil"/>
        <w:bottom w:val="nil"/>
        <w:right w:val="nil"/>
        <w:between w:val="nil"/>
      </w:pBdr>
      <w:tabs>
        <w:tab w:val="center" w:pos="4419"/>
        <w:tab w:val="right" w:pos="8838"/>
      </w:tabs>
      <w:spacing w:after="0" w:line="240" w:lineRule="auto"/>
      <w:rPr>
        <w:color w:val="000000"/>
      </w:rPr>
    </w:pPr>
    <w:r>
      <w:rPr>
        <w:color w:val="000000"/>
      </w:rPr>
      <w:pict w14:anchorId="6F921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DC738" w14:textId="77777777" w:rsidR="000B06DA" w:rsidRDefault="00E459CA">
    <w:pPr>
      <w:rPr>
        <w:sz w:val="16"/>
        <w:szCs w:val="16"/>
      </w:rPr>
    </w:pPr>
    <w:r>
      <w:rPr>
        <w:color w:val="000000"/>
      </w:rPr>
      <w:pict w14:anchorId="5229E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2"/>
          <w10:wrap anchorx="margin" anchory="margin"/>
        </v:shape>
      </w:pict>
    </w:r>
  </w:p>
  <w:tbl>
    <w:tblPr>
      <w:tblStyle w:val="affffff6"/>
      <w:tblW w:w="6242" w:type="dxa"/>
      <w:tblInd w:w="3119" w:type="dxa"/>
      <w:tblLayout w:type="fixed"/>
      <w:tblLook w:val="0400" w:firstRow="0" w:lastRow="0" w:firstColumn="0" w:lastColumn="0" w:noHBand="0" w:noVBand="1"/>
    </w:tblPr>
    <w:tblGrid>
      <w:gridCol w:w="2415"/>
      <w:gridCol w:w="3827"/>
    </w:tblGrid>
    <w:tr w:rsidR="000B06DA" w14:paraId="3D377A25" w14:textId="77777777">
      <w:trPr>
        <w:trHeight w:val="151"/>
      </w:trPr>
      <w:tc>
        <w:tcPr>
          <w:tcW w:w="2415" w:type="dxa"/>
        </w:tcPr>
        <w:p w14:paraId="5C9062D1" w14:textId="77777777" w:rsidR="000B06DA" w:rsidRDefault="000B06DA">
          <w:pPr>
            <w:tabs>
              <w:tab w:val="right" w:pos="8838"/>
            </w:tabs>
            <w:ind w:left="-395" w:right="-105" w:firstLine="395"/>
            <w:rPr>
              <w:b/>
              <w:bCs/>
            </w:rPr>
          </w:pPr>
        </w:p>
        <w:p w14:paraId="2A2BE3F6" w14:textId="77777777" w:rsidR="000B06DA" w:rsidRDefault="00E459CA">
          <w:pPr>
            <w:tabs>
              <w:tab w:val="right" w:pos="8838"/>
            </w:tabs>
            <w:ind w:left="-395" w:right="-105" w:firstLine="395"/>
            <w:rPr>
              <w:b/>
              <w:bCs/>
            </w:rPr>
          </w:pPr>
          <w:r>
            <w:rPr>
              <w:b/>
              <w:bCs/>
            </w:rPr>
            <w:t>Recurso de Revisión:</w:t>
          </w:r>
        </w:p>
      </w:tc>
      <w:tc>
        <w:tcPr>
          <w:tcW w:w="3827" w:type="dxa"/>
        </w:tcPr>
        <w:p w14:paraId="70D52DC1" w14:textId="77777777" w:rsidR="000B06DA" w:rsidRDefault="000B06DA">
          <w:pPr>
            <w:tabs>
              <w:tab w:val="right" w:pos="8838"/>
            </w:tabs>
            <w:ind w:right="176"/>
          </w:pPr>
        </w:p>
        <w:p w14:paraId="3D4939B4" w14:textId="77777777" w:rsidR="000B06DA" w:rsidRDefault="00E459CA">
          <w:pPr>
            <w:tabs>
              <w:tab w:val="right" w:pos="8838"/>
            </w:tabs>
            <w:ind w:right="176"/>
            <w:rPr>
              <w:b/>
              <w:bCs/>
            </w:rPr>
          </w:pPr>
          <w:r>
            <w:rPr>
              <w:b/>
              <w:bCs/>
            </w:rPr>
            <w:t>01361/INFOEM/IP/RR/2026</w:t>
          </w:r>
        </w:p>
      </w:tc>
    </w:tr>
    <w:tr w:rsidR="000B06DA" w14:paraId="0B4716A3" w14:textId="77777777">
      <w:trPr>
        <w:trHeight w:val="295"/>
      </w:trPr>
      <w:tc>
        <w:tcPr>
          <w:tcW w:w="2415" w:type="dxa"/>
        </w:tcPr>
        <w:p w14:paraId="1455A96C" w14:textId="77777777" w:rsidR="000B06DA" w:rsidRDefault="00E459CA">
          <w:pPr>
            <w:tabs>
              <w:tab w:val="right" w:pos="8838"/>
            </w:tabs>
            <w:ind w:right="-105"/>
            <w:rPr>
              <w:b/>
              <w:bCs/>
            </w:rPr>
          </w:pPr>
          <w:r>
            <w:rPr>
              <w:b/>
              <w:bCs/>
            </w:rPr>
            <w:t>Sujeto Obligado:</w:t>
          </w:r>
        </w:p>
      </w:tc>
      <w:tc>
        <w:tcPr>
          <w:tcW w:w="3827" w:type="dxa"/>
        </w:tcPr>
        <w:p w14:paraId="35514EC1" w14:textId="77777777" w:rsidR="000B06DA" w:rsidRDefault="00E459CA">
          <w:pPr>
            <w:tabs>
              <w:tab w:val="left" w:pos="3158"/>
              <w:tab w:val="left" w:pos="4292"/>
              <w:tab w:val="right" w:pos="8838"/>
            </w:tabs>
            <w:ind w:right="176"/>
          </w:pPr>
          <w:r>
            <w:t>Ayuntamiento de Toluca</w:t>
          </w:r>
        </w:p>
      </w:tc>
    </w:tr>
    <w:tr w:rsidR="000B06DA" w14:paraId="738591B3" w14:textId="77777777">
      <w:trPr>
        <w:trHeight w:val="295"/>
      </w:trPr>
      <w:tc>
        <w:tcPr>
          <w:tcW w:w="2415" w:type="dxa"/>
        </w:tcPr>
        <w:p w14:paraId="413C1A7F" w14:textId="77777777" w:rsidR="000B06DA" w:rsidRDefault="00E459CA">
          <w:pPr>
            <w:tabs>
              <w:tab w:val="right" w:pos="8838"/>
            </w:tabs>
            <w:ind w:right="-105"/>
            <w:rPr>
              <w:b/>
              <w:bCs/>
            </w:rPr>
          </w:pPr>
          <w:r>
            <w:rPr>
              <w:b/>
              <w:bCs/>
            </w:rPr>
            <w:t>Comisionado Ponente:</w:t>
          </w:r>
        </w:p>
      </w:tc>
      <w:tc>
        <w:tcPr>
          <w:tcW w:w="3827" w:type="dxa"/>
        </w:tcPr>
        <w:p w14:paraId="39D14537" w14:textId="77777777" w:rsidR="000B06DA" w:rsidRDefault="00E459CA">
          <w:pPr>
            <w:tabs>
              <w:tab w:val="right" w:pos="8838"/>
            </w:tabs>
            <w:ind w:right="176"/>
          </w:pPr>
          <w:r>
            <w:t>Luis Gustavo Parra Noriega</w:t>
          </w:r>
        </w:p>
        <w:p w14:paraId="2C5928F9" w14:textId="77777777" w:rsidR="000B06DA" w:rsidRDefault="000B06DA">
          <w:pPr>
            <w:tabs>
              <w:tab w:val="right" w:pos="8838"/>
            </w:tabs>
            <w:ind w:right="176"/>
          </w:pPr>
        </w:p>
      </w:tc>
    </w:tr>
  </w:tbl>
  <w:p w14:paraId="66337789" w14:textId="77777777" w:rsidR="000B06DA" w:rsidRDefault="000B06DA">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E4F5F" w14:textId="77777777" w:rsidR="000B06DA" w:rsidRDefault="00E459CA">
    <w:pPr>
      <w:widowControl w:val="0"/>
      <w:pBdr>
        <w:top w:val="nil"/>
        <w:left w:val="nil"/>
        <w:bottom w:val="nil"/>
        <w:right w:val="nil"/>
        <w:between w:val="nil"/>
      </w:pBdr>
      <w:spacing w:after="0" w:line="276" w:lineRule="auto"/>
      <w:jc w:val="left"/>
      <w:rPr>
        <w:color w:val="000000"/>
      </w:rPr>
    </w:pPr>
    <w:r>
      <w:rPr>
        <w:color w:val="000000"/>
      </w:rPr>
      <w:pict w14:anchorId="2D082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2"/>
          <w10:wrap anchorx="margin" anchory="margin"/>
        </v:shape>
      </w:pict>
    </w:r>
  </w:p>
  <w:tbl>
    <w:tblPr>
      <w:tblStyle w:val="affffff7"/>
      <w:tblW w:w="9214" w:type="dxa"/>
      <w:tblInd w:w="0" w:type="dxa"/>
      <w:tblLayout w:type="fixed"/>
      <w:tblLook w:val="0400" w:firstRow="0" w:lastRow="0" w:firstColumn="0" w:lastColumn="0" w:noHBand="0" w:noVBand="1"/>
    </w:tblPr>
    <w:tblGrid>
      <w:gridCol w:w="2127"/>
      <w:gridCol w:w="7087"/>
    </w:tblGrid>
    <w:tr w:rsidR="000B06DA" w14:paraId="60BF755A" w14:textId="77777777">
      <w:trPr>
        <w:trHeight w:val="1546"/>
      </w:trPr>
      <w:tc>
        <w:tcPr>
          <w:tcW w:w="2127" w:type="dxa"/>
        </w:tcPr>
        <w:p w14:paraId="2647A29D" w14:textId="77777777" w:rsidR="000B06DA" w:rsidRDefault="000B06DA">
          <w:pPr>
            <w:tabs>
              <w:tab w:val="right" w:pos="4273"/>
            </w:tabs>
            <w:rPr>
              <w:rFonts w:ascii="Garamond" w:eastAsia="Garamond" w:hAnsi="Garamond" w:cs="Garamond"/>
              <w:sz w:val="16"/>
              <w:szCs w:val="16"/>
            </w:rPr>
          </w:pPr>
        </w:p>
      </w:tc>
      <w:tc>
        <w:tcPr>
          <w:tcW w:w="7087" w:type="dxa"/>
        </w:tcPr>
        <w:p w14:paraId="2536363B" w14:textId="77777777" w:rsidR="000B06DA" w:rsidRDefault="000B06DA">
          <w:pPr>
            <w:rPr>
              <w:sz w:val="10"/>
              <w:szCs w:val="10"/>
            </w:rPr>
          </w:pPr>
        </w:p>
        <w:tbl>
          <w:tblPr>
            <w:tblStyle w:val="affffff8"/>
            <w:tblW w:w="6298" w:type="dxa"/>
            <w:tblInd w:w="595" w:type="dxa"/>
            <w:tblLayout w:type="fixed"/>
            <w:tblLook w:val="0400" w:firstRow="0" w:lastRow="0" w:firstColumn="0" w:lastColumn="0" w:noHBand="0" w:noVBand="1"/>
          </w:tblPr>
          <w:tblGrid>
            <w:gridCol w:w="2699"/>
            <w:gridCol w:w="3599"/>
          </w:tblGrid>
          <w:tr w:rsidR="000B06DA" w14:paraId="045656B3" w14:textId="77777777">
            <w:trPr>
              <w:trHeight w:val="456"/>
            </w:trPr>
            <w:tc>
              <w:tcPr>
                <w:tcW w:w="2699" w:type="dxa"/>
                <w:vAlign w:val="bottom"/>
              </w:tcPr>
              <w:p w14:paraId="2BCB3D11" w14:textId="77777777" w:rsidR="000B06DA" w:rsidRDefault="00E459CA">
                <w:pPr>
                  <w:tabs>
                    <w:tab w:val="right" w:pos="8838"/>
                  </w:tabs>
                  <w:ind w:right="-105"/>
                  <w:rPr>
                    <w:b/>
                    <w:bCs/>
                  </w:rPr>
                </w:pPr>
                <w:r>
                  <w:rPr>
                    <w:b/>
                    <w:bCs/>
                  </w:rPr>
                  <w:t>Recurso de Revisión:</w:t>
                </w:r>
              </w:p>
            </w:tc>
            <w:tc>
              <w:tcPr>
                <w:tcW w:w="3599" w:type="dxa"/>
              </w:tcPr>
              <w:p w14:paraId="2EF28187" w14:textId="77777777" w:rsidR="000B06DA" w:rsidRDefault="000B06DA">
                <w:pPr>
                  <w:tabs>
                    <w:tab w:val="right" w:pos="8838"/>
                  </w:tabs>
                  <w:ind w:left="-28" w:right="-107"/>
                </w:pPr>
              </w:p>
              <w:p w14:paraId="285FF568" w14:textId="77777777" w:rsidR="000B06DA" w:rsidRDefault="00E459CA">
                <w:pPr>
                  <w:tabs>
                    <w:tab w:val="right" w:pos="8838"/>
                  </w:tabs>
                  <w:ind w:left="-28" w:right="-107"/>
                  <w:rPr>
                    <w:b/>
                    <w:bCs/>
                  </w:rPr>
                </w:pPr>
                <w:r>
                  <w:rPr>
                    <w:b/>
                    <w:bCs/>
                  </w:rPr>
                  <w:t>01361/INFOEM/IP/RR/2026</w:t>
                </w:r>
              </w:p>
            </w:tc>
          </w:tr>
          <w:tr w:rsidR="000B06DA" w14:paraId="45C240A0" w14:textId="77777777">
            <w:trPr>
              <w:trHeight w:val="149"/>
            </w:trPr>
            <w:tc>
              <w:tcPr>
                <w:tcW w:w="2699" w:type="dxa"/>
              </w:tcPr>
              <w:p w14:paraId="7F48C22D" w14:textId="77777777" w:rsidR="000B06DA" w:rsidRDefault="00E459CA">
                <w:pPr>
                  <w:tabs>
                    <w:tab w:val="right" w:pos="8838"/>
                  </w:tabs>
                  <w:ind w:right="-105"/>
                  <w:rPr>
                    <w:b/>
                    <w:bCs/>
                  </w:rPr>
                </w:pPr>
                <w:r>
                  <w:rPr>
                    <w:b/>
                    <w:bCs/>
                  </w:rPr>
                  <w:t>Recurrente:</w:t>
                </w:r>
              </w:p>
            </w:tc>
            <w:tc>
              <w:tcPr>
                <w:tcW w:w="3599" w:type="dxa"/>
              </w:tcPr>
              <w:p w14:paraId="254E3E8C" w14:textId="77777777" w:rsidR="000B06DA" w:rsidRDefault="00E459CA">
                <w:pPr>
                  <w:tabs>
                    <w:tab w:val="right" w:pos="8838"/>
                  </w:tabs>
                  <w:ind w:right="-107"/>
                </w:pPr>
                <w:r>
                  <w:t xml:space="preserve"> </w:t>
                </w:r>
              </w:p>
            </w:tc>
          </w:tr>
          <w:tr w:rsidR="000B06DA" w14:paraId="33A0D289" w14:textId="77777777">
            <w:trPr>
              <w:trHeight w:val="294"/>
            </w:trPr>
            <w:tc>
              <w:tcPr>
                <w:tcW w:w="2699" w:type="dxa"/>
              </w:tcPr>
              <w:p w14:paraId="483603B4" w14:textId="77777777" w:rsidR="000B06DA" w:rsidRDefault="00E459CA">
                <w:pPr>
                  <w:tabs>
                    <w:tab w:val="right" w:pos="8838"/>
                  </w:tabs>
                  <w:ind w:right="-105"/>
                  <w:rPr>
                    <w:b/>
                    <w:bCs/>
                  </w:rPr>
                </w:pPr>
                <w:r>
                  <w:rPr>
                    <w:b/>
                    <w:bCs/>
                  </w:rPr>
                  <w:t xml:space="preserve">Sujeto </w:t>
                </w:r>
                <w:r>
                  <w:rPr>
                    <w:b/>
                    <w:bCs/>
                  </w:rPr>
                  <w:t>Obligado:</w:t>
                </w:r>
              </w:p>
            </w:tc>
            <w:tc>
              <w:tcPr>
                <w:tcW w:w="3599" w:type="dxa"/>
              </w:tcPr>
              <w:p w14:paraId="5B38F877" w14:textId="77777777" w:rsidR="000B06DA" w:rsidRDefault="00E459CA">
                <w:pPr>
                  <w:tabs>
                    <w:tab w:val="right" w:pos="8838"/>
                  </w:tabs>
                  <w:ind w:right="33"/>
                </w:pPr>
                <w:r>
                  <w:t>Ayuntamiento de Toluca</w:t>
                </w:r>
              </w:p>
            </w:tc>
          </w:tr>
          <w:tr w:rsidR="000B06DA" w14:paraId="58491DF9" w14:textId="77777777">
            <w:trPr>
              <w:trHeight w:val="294"/>
            </w:trPr>
            <w:tc>
              <w:tcPr>
                <w:tcW w:w="2699" w:type="dxa"/>
              </w:tcPr>
              <w:p w14:paraId="3BB99B6D" w14:textId="77777777" w:rsidR="000B06DA" w:rsidRDefault="00E459CA">
                <w:pPr>
                  <w:tabs>
                    <w:tab w:val="right" w:pos="8838"/>
                  </w:tabs>
                  <w:ind w:right="-105"/>
                  <w:rPr>
                    <w:b/>
                    <w:bCs/>
                  </w:rPr>
                </w:pPr>
                <w:r>
                  <w:rPr>
                    <w:b/>
                    <w:bCs/>
                  </w:rPr>
                  <w:t>Comisionado Ponente:</w:t>
                </w:r>
              </w:p>
            </w:tc>
            <w:tc>
              <w:tcPr>
                <w:tcW w:w="3599" w:type="dxa"/>
              </w:tcPr>
              <w:p w14:paraId="5A8C6D47" w14:textId="77777777" w:rsidR="000B06DA" w:rsidRDefault="00E459CA">
                <w:pPr>
                  <w:tabs>
                    <w:tab w:val="right" w:pos="8838"/>
                  </w:tabs>
                  <w:ind w:right="-107"/>
                </w:pPr>
                <w:r>
                  <w:t>Luis Gustavo Parra Noriega</w:t>
                </w:r>
              </w:p>
            </w:tc>
          </w:tr>
        </w:tbl>
        <w:p w14:paraId="080FC9DA" w14:textId="77777777" w:rsidR="000B06DA" w:rsidRDefault="000B06DA">
          <w:pPr>
            <w:tabs>
              <w:tab w:val="right" w:pos="8838"/>
            </w:tabs>
            <w:ind w:left="-28"/>
            <w:rPr>
              <w:rFonts w:ascii="Arial" w:eastAsia="Arial" w:hAnsi="Arial" w:cs="Arial"/>
              <w:b/>
              <w:bCs/>
            </w:rPr>
          </w:pPr>
        </w:p>
      </w:tc>
    </w:tr>
  </w:tbl>
  <w:p w14:paraId="2C05F0A3" w14:textId="77777777" w:rsidR="000B06DA" w:rsidRDefault="000B06D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45F2E"/>
    <w:multiLevelType w:val="multilevel"/>
    <w:tmpl w:val="7772B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230E83"/>
    <w:multiLevelType w:val="multilevel"/>
    <w:tmpl w:val="F3EAF0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896C0A"/>
    <w:multiLevelType w:val="multilevel"/>
    <w:tmpl w:val="33D60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BB7E18"/>
    <w:multiLevelType w:val="multilevel"/>
    <w:tmpl w:val="71787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C85211"/>
    <w:multiLevelType w:val="multilevel"/>
    <w:tmpl w:val="3044FA0E"/>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B86A96"/>
    <w:multiLevelType w:val="multilevel"/>
    <w:tmpl w:val="A6DCC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860957"/>
    <w:multiLevelType w:val="hybridMultilevel"/>
    <w:tmpl w:val="F6409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6C7253C"/>
    <w:multiLevelType w:val="multilevel"/>
    <w:tmpl w:val="36887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E20397"/>
    <w:multiLevelType w:val="multilevel"/>
    <w:tmpl w:val="D6CE2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E876DD6"/>
    <w:multiLevelType w:val="multilevel"/>
    <w:tmpl w:val="176AC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8"/>
  </w:num>
  <w:num w:numId="4">
    <w:abstractNumId w:val="7"/>
  </w:num>
  <w:num w:numId="5">
    <w:abstractNumId w:val="9"/>
  </w:num>
  <w:num w:numId="6">
    <w:abstractNumId w:val="1"/>
  </w:num>
  <w:num w:numId="7">
    <w:abstractNumId w:val="5"/>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6DA"/>
    <w:rsid w:val="000B06DA"/>
    <w:rsid w:val="00136864"/>
    <w:rsid w:val="001560FF"/>
    <w:rsid w:val="00160C7F"/>
    <w:rsid w:val="00205181"/>
    <w:rsid w:val="00206AD5"/>
    <w:rsid w:val="003124D7"/>
    <w:rsid w:val="0049161C"/>
    <w:rsid w:val="00C9047A"/>
    <w:rsid w:val="00E32449"/>
    <w:rsid w:val="00E459CA"/>
    <w:rsid w:val="00F96C24"/>
    <w:rsid w:val="00FE41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66E637"/>
  <w15:docId w15:val="{F9831456-6378-462D-8CA2-D05EC6A8D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3"/>
    <w:pPr>
      <w:spacing w:after="0" w:line="240" w:lineRule="auto"/>
    </w:pPr>
    <w:tblPr>
      <w:tblStyleRowBandSize w:val="1"/>
      <w:tblStyleColBandSize w:val="1"/>
      <w:tblCellMar>
        <w:left w:w="108" w:type="dxa"/>
        <w:right w:w="108" w:type="dxa"/>
      </w:tblCellMar>
    </w:tblPr>
  </w:style>
  <w:style w:type="table" w:customStyle="1" w:styleId="a0">
    <w:basedOn w:val="TableNormalf3"/>
    <w:pPr>
      <w:spacing w:after="0" w:line="240" w:lineRule="auto"/>
    </w:pPr>
    <w:tblPr>
      <w:tblStyleRowBandSize w:val="1"/>
      <w:tblStyleColBandSize w:val="1"/>
      <w:tblCellMar>
        <w:left w:w="108" w:type="dxa"/>
        <w:right w:w="108" w:type="dxa"/>
      </w:tblCellMar>
    </w:tbl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3"/>
    <w:pPr>
      <w:spacing w:after="0" w:line="240" w:lineRule="auto"/>
    </w:pPr>
    <w:tblPr>
      <w:tblStyleRowBandSize w:val="1"/>
      <w:tblStyleColBandSize w:val="1"/>
      <w:tblCellMar>
        <w:left w:w="108" w:type="dxa"/>
        <w:right w:w="108" w:type="dxa"/>
      </w:tblCellMar>
    </w:tblPr>
  </w:style>
  <w:style w:type="table" w:customStyle="1" w:styleId="a4">
    <w:basedOn w:val="TableNormalf3"/>
    <w:pPr>
      <w:spacing w:after="0" w:line="240" w:lineRule="auto"/>
    </w:pPr>
    <w:tblPr>
      <w:tblStyleRowBandSize w:val="1"/>
      <w:tblStyleColBandSize w:val="1"/>
      <w:tblCellMar>
        <w:left w:w="108" w:type="dxa"/>
        <w:right w:w="108" w:type="dxa"/>
      </w:tblCellMar>
    </w:tblPr>
  </w:style>
  <w:style w:type="table" w:customStyle="1" w:styleId="a5">
    <w:basedOn w:val="TableNormalf3"/>
    <w:pPr>
      <w:spacing w:after="0" w:line="240" w:lineRule="auto"/>
    </w:pPr>
    <w:tblPr>
      <w:tblStyleRowBandSize w:val="1"/>
      <w:tblStyleColBandSize w:val="1"/>
      <w:tblCellMar>
        <w:left w:w="108" w:type="dxa"/>
        <w:right w:w="108" w:type="dxa"/>
      </w:tblCellMar>
    </w:tblPr>
  </w:style>
  <w:style w:type="table" w:customStyle="1" w:styleId="a6">
    <w:basedOn w:val="TableNormalf3"/>
    <w:pPr>
      <w:spacing w:after="0" w:line="240" w:lineRule="auto"/>
    </w:pPr>
    <w:tblPr>
      <w:tblStyleRowBandSize w:val="1"/>
      <w:tblStyleColBandSize w:val="1"/>
      <w:tblCellMar>
        <w:left w:w="108" w:type="dxa"/>
        <w:right w:w="108" w:type="dxa"/>
      </w:tblCellMar>
    </w:tblPr>
  </w:style>
  <w:style w:type="table" w:customStyle="1" w:styleId="a7">
    <w:basedOn w:val="TableNormalf2"/>
    <w:pPr>
      <w:spacing w:after="0" w:line="240" w:lineRule="auto"/>
    </w:pPr>
    <w:tblPr>
      <w:tblStyleRowBandSize w:val="1"/>
      <w:tblStyleColBandSize w:val="1"/>
      <w:tblCellMar>
        <w:left w:w="108" w:type="dxa"/>
        <w:right w:w="108" w:type="dxa"/>
      </w:tblCellMar>
    </w:tblPr>
  </w:style>
  <w:style w:type="table" w:customStyle="1" w:styleId="a8">
    <w:basedOn w:val="TableNormalf2"/>
    <w:pPr>
      <w:spacing w:after="0" w:line="240" w:lineRule="auto"/>
    </w:pPr>
    <w:tblPr>
      <w:tblStyleRowBandSize w:val="1"/>
      <w:tblStyleColBandSize w:val="1"/>
      <w:tblCellMar>
        <w:left w:w="108" w:type="dxa"/>
        <w:right w:w="108" w:type="dxa"/>
      </w:tblCellMar>
    </w:tblPr>
  </w:style>
  <w:style w:type="table" w:customStyle="1" w:styleId="a9">
    <w:basedOn w:val="TableNormalf2"/>
    <w:pPr>
      <w:spacing w:after="0" w:line="240" w:lineRule="auto"/>
    </w:pPr>
    <w:tblPr>
      <w:tblStyleRowBandSize w:val="1"/>
      <w:tblStyleColBandSize w:val="1"/>
      <w:tblCellMar>
        <w:left w:w="108" w:type="dxa"/>
        <w:right w:w="108" w:type="dxa"/>
      </w:tblCellMar>
    </w:tblPr>
  </w:style>
  <w:style w:type="table" w:customStyle="1" w:styleId="aa">
    <w:basedOn w:val="TableNormalf2"/>
    <w:pPr>
      <w:spacing w:after="0" w:line="240" w:lineRule="auto"/>
    </w:pPr>
    <w:tblPr>
      <w:tblStyleRowBandSize w:val="1"/>
      <w:tblStyleColBandSize w:val="1"/>
      <w:tblCellMar>
        <w:left w:w="108" w:type="dxa"/>
        <w:right w:w="108" w:type="dxa"/>
      </w:tblCellMar>
    </w:tblPr>
  </w:style>
  <w:style w:type="table" w:customStyle="1" w:styleId="ab">
    <w:basedOn w:val="TableNormalf1"/>
    <w:pPr>
      <w:spacing w:after="0" w:line="240" w:lineRule="auto"/>
    </w:pPr>
    <w:tblPr>
      <w:tblStyleRowBandSize w:val="1"/>
      <w:tblStyleColBandSize w:val="1"/>
      <w:tblCellMar>
        <w:left w:w="108" w:type="dxa"/>
        <w:right w:w="108" w:type="dxa"/>
      </w:tblCellMar>
    </w:tblPr>
  </w:style>
  <w:style w:type="table" w:customStyle="1" w:styleId="ac">
    <w:basedOn w:val="TableNormalf1"/>
    <w:pPr>
      <w:spacing w:after="0" w:line="240" w:lineRule="auto"/>
    </w:pPr>
    <w:tblPr>
      <w:tblStyleRowBandSize w:val="1"/>
      <w:tblStyleColBandSize w:val="1"/>
      <w:tblCellMar>
        <w:left w:w="108" w:type="dxa"/>
        <w:right w:w="108" w:type="dxa"/>
      </w:tblCellMar>
    </w:tblPr>
  </w:style>
  <w:style w:type="table" w:customStyle="1" w:styleId="ad">
    <w:basedOn w:val="TableNormalf1"/>
    <w:pPr>
      <w:spacing w:after="0" w:line="240" w:lineRule="auto"/>
    </w:pPr>
    <w:tblPr>
      <w:tblStyleRowBandSize w:val="1"/>
      <w:tblStyleColBandSize w:val="1"/>
      <w:tblCellMar>
        <w:left w:w="108" w:type="dxa"/>
        <w:right w:w="108" w:type="dxa"/>
      </w:tblCellMar>
    </w:tblPr>
  </w:style>
  <w:style w:type="table" w:customStyle="1" w:styleId="ae">
    <w:basedOn w:val="TableNormalf1"/>
    <w:pPr>
      <w:spacing w:after="0" w:line="240" w:lineRule="auto"/>
    </w:pPr>
    <w:tblPr>
      <w:tblStyleRowBandSize w:val="1"/>
      <w:tblStyleColBandSize w:val="1"/>
      <w:tblCellMar>
        <w:left w:w="108" w:type="dxa"/>
        <w:right w:w="108" w:type="dxa"/>
      </w:tblCellMar>
    </w:tblPr>
  </w:style>
  <w:style w:type="table" w:customStyle="1" w:styleId="af">
    <w:basedOn w:val="TableNormalf0"/>
    <w:pPr>
      <w:spacing w:after="0" w:line="240" w:lineRule="auto"/>
    </w:pPr>
    <w:tblPr>
      <w:tblStyleRowBandSize w:val="1"/>
      <w:tblStyleColBandSize w:val="1"/>
      <w:tblCellMar>
        <w:left w:w="108" w:type="dxa"/>
        <w:right w:w="108" w:type="dxa"/>
      </w:tblCellMar>
    </w:tblPr>
  </w:style>
  <w:style w:type="table" w:customStyle="1" w:styleId="af0">
    <w:basedOn w:val="TableNormalf0"/>
    <w:pPr>
      <w:spacing w:after="0" w:line="240" w:lineRule="auto"/>
    </w:pPr>
    <w:tblPr>
      <w:tblStyleRowBandSize w:val="1"/>
      <w:tblStyleColBandSize w:val="1"/>
      <w:tblCellMar>
        <w:left w:w="108" w:type="dxa"/>
        <w:right w:w="108" w:type="dxa"/>
      </w:tblCellMar>
    </w:tblPr>
  </w:style>
  <w:style w:type="table" w:customStyle="1" w:styleId="af1">
    <w:basedOn w:val="TableNormalf0"/>
    <w:pPr>
      <w:spacing w:after="0" w:line="240" w:lineRule="auto"/>
    </w:pPr>
    <w:tblPr>
      <w:tblStyleRowBandSize w:val="1"/>
      <w:tblStyleColBandSize w:val="1"/>
      <w:tblCellMar>
        <w:left w:w="108" w:type="dxa"/>
        <w:right w:w="108" w:type="dxa"/>
      </w:tblCellMar>
    </w:tblPr>
  </w:style>
  <w:style w:type="table" w:customStyle="1" w:styleId="af2">
    <w:basedOn w:val="TableNormalf0"/>
    <w:pPr>
      <w:spacing w:after="0" w:line="240" w:lineRule="auto"/>
    </w:pPr>
    <w:tblPr>
      <w:tblStyleRowBandSize w:val="1"/>
      <w:tblStyleColBandSize w:val="1"/>
      <w:tblCellMar>
        <w:left w:w="108" w:type="dxa"/>
        <w:right w:w="108" w:type="dxa"/>
      </w:tblCellMar>
    </w:tblPr>
  </w:style>
  <w:style w:type="table" w:customStyle="1" w:styleId="af3">
    <w:basedOn w:val="TableNormalf"/>
    <w:pPr>
      <w:spacing w:after="0" w:line="240" w:lineRule="auto"/>
    </w:pPr>
    <w:tblPr>
      <w:tblStyleRowBandSize w:val="1"/>
      <w:tblStyleColBandSize w:val="1"/>
      <w:tblCellMar>
        <w:left w:w="108" w:type="dxa"/>
        <w:right w:w="108" w:type="dxa"/>
      </w:tblCellMar>
    </w:tblPr>
  </w:style>
  <w:style w:type="table" w:customStyle="1" w:styleId="af4">
    <w:basedOn w:val="TableNormalf"/>
    <w:pPr>
      <w:spacing w:after="0" w:line="240" w:lineRule="auto"/>
    </w:pPr>
    <w:tblPr>
      <w:tblStyleRowBandSize w:val="1"/>
      <w:tblStyleColBandSize w:val="1"/>
      <w:tblCellMar>
        <w:left w:w="108" w:type="dxa"/>
        <w:right w:w="108" w:type="dxa"/>
      </w:tblCellMar>
    </w:tblPr>
  </w:style>
  <w:style w:type="table" w:customStyle="1" w:styleId="af5">
    <w:basedOn w:val="TableNormalf"/>
    <w:pPr>
      <w:spacing w:after="0" w:line="240" w:lineRule="auto"/>
    </w:pPr>
    <w:tblPr>
      <w:tblStyleRowBandSize w:val="1"/>
      <w:tblStyleColBandSize w:val="1"/>
      <w:tblCellMar>
        <w:left w:w="108" w:type="dxa"/>
        <w:right w:w="108" w:type="dxa"/>
      </w:tblCellMar>
    </w:tblPr>
  </w:style>
  <w:style w:type="table" w:customStyle="1" w:styleId="af6">
    <w:basedOn w:val="TableNormalf"/>
    <w:pPr>
      <w:spacing w:after="0" w:line="240" w:lineRule="auto"/>
    </w:pPr>
    <w:tblPr>
      <w:tblStyleRowBandSize w:val="1"/>
      <w:tblStyleColBandSize w:val="1"/>
      <w:tblCellMar>
        <w:left w:w="108" w:type="dxa"/>
        <w:right w:w="108" w:type="dxa"/>
      </w:tblCellMar>
    </w:tblPr>
  </w:style>
  <w:style w:type="table" w:customStyle="1" w:styleId="af7">
    <w:basedOn w:val="TableNormale"/>
    <w:pPr>
      <w:spacing w:after="0" w:line="240" w:lineRule="auto"/>
    </w:pPr>
    <w:tblPr>
      <w:tblStyleRowBandSize w:val="1"/>
      <w:tblStyleColBandSize w:val="1"/>
      <w:tblCellMar>
        <w:left w:w="108" w:type="dxa"/>
        <w:right w:w="108" w:type="dxa"/>
      </w:tblCellMar>
    </w:tblPr>
  </w:style>
  <w:style w:type="table" w:customStyle="1" w:styleId="af8">
    <w:basedOn w:val="TableNormale"/>
    <w:pPr>
      <w:spacing w:after="0" w:line="240" w:lineRule="auto"/>
    </w:pPr>
    <w:tblPr>
      <w:tblStyleRowBandSize w:val="1"/>
      <w:tblStyleColBandSize w:val="1"/>
      <w:tblCellMar>
        <w:left w:w="108" w:type="dxa"/>
        <w:right w:w="108" w:type="dxa"/>
      </w:tblCellMar>
    </w:tblPr>
  </w:style>
  <w:style w:type="table" w:customStyle="1" w:styleId="af9">
    <w:basedOn w:val="TableNormale"/>
    <w:pPr>
      <w:spacing w:after="0" w:line="240" w:lineRule="auto"/>
    </w:pPr>
    <w:tblPr>
      <w:tblStyleRowBandSize w:val="1"/>
      <w:tblStyleColBandSize w:val="1"/>
      <w:tblCellMar>
        <w:left w:w="108" w:type="dxa"/>
        <w:right w:w="108" w:type="dxa"/>
      </w:tblCellMar>
    </w:tblPr>
  </w:style>
  <w:style w:type="table" w:customStyle="1" w:styleId="afa">
    <w:basedOn w:val="TableNormale"/>
    <w:pPr>
      <w:spacing w:after="0" w:line="240" w:lineRule="auto"/>
    </w:pPr>
    <w:tblPr>
      <w:tblStyleRowBandSize w:val="1"/>
      <w:tblStyleColBandSize w:val="1"/>
      <w:tblCellMar>
        <w:left w:w="108" w:type="dxa"/>
        <w:right w:w="108" w:type="dxa"/>
      </w:tblCellMar>
    </w:tblPr>
  </w:style>
  <w:style w:type="table" w:customStyle="1" w:styleId="afb">
    <w:basedOn w:val="TableNormald"/>
    <w:pPr>
      <w:spacing w:after="0" w:line="240" w:lineRule="auto"/>
    </w:pPr>
    <w:tblPr>
      <w:tblStyleRowBandSize w:val="1"/>
      <w:tblStyleColBandSize w:val="1"/>
      <w:tblCellMar>
        <w:left w:w="108" w:type="dxa"/>
        <w:right w:w="108" w:type="dxa"/>
      </w:tblCellMar>
    </w:tblPr>
  </w:style>
  <w:style w:type="table" w:customStyle="1" w:styleId="afc">
    <w:basedOn w:val="TableNormald"/>
    <w:pPr>
      <w:spacing w:after="0" w:line="240" w:lineRule="auto"/>
    </w:pPr>
    <w:tblPr>
      <w:tblStyleRowBandSize w:val="1"/>
      <w:tblStyleColBandSize w:val="1"/>
      <w:tblCellMar>
        <w:left w:w="108" w:type="dxa"/>
        <w:right w:w="108" w:type="dxa"/>
      </w:tblCellMar>
    </w:tblPr>
  </w:style>
  <w:style w:type="table" w:customStyle="1" w:styleId="afd">
    <w:basedOn w:val="TableNormald"/>
    <w:pPr>
      <w:spacing w:after="0" w:line="240" w:lineRule="auto"/>
    </w:pPr>
    <w:tblPr>
      <w:tblStyleRowBandSize w:val="1"/>
      <w:tblStyleColBandSize w:val="1"/>
      <w:tblCellMar>
        <w:left w:w="108" w:type="dxa"/>
        <w:right w:w="108" w:type="dxa"/>
      </w:tblCellMar>
    </w:tblPr>
  </w:style>
  <w:style w:type="table" w:customStyle="1" w:styleId="afe">
    <w:basedOn w:val="TableNormald"/>
    <w:pPr>
      <w:spacing w:after="0" w:line="240" w:lineRule="auto"/>
    </w:pPr>
    <w:tblPr>
      <w:tblStyleRowBandSize w:val="1"/>
      <w:tblStyleColBandSize w:val="1"/>
      <w:tblCellMar>
        <w:left w:w="108" w:type="dxa"/>
        <w:right w:w="108" w:type="dxa"/>
      </w:tblCellMar>
    </w:tblPr>
  </w:style>
  <w:style w:type="table" w:customStyle="1" w:styleId="aff">
    <w:basedOn w:val="TableNormalc"/>
    <w:pPr>
      <w:spacing w:after="0" w:line="240" w:lineRule="auto"/>
    </w:pPr>
    <w:tblPr>
      <w:tblStyleRowBandSize w:val="1"/>
      <w:tblStyleColBandSize w:val="1"/>
      <w:tblCellMar>
        <w:left w:w="108" w:type="dxa"/>
        <w:right w:w="108" w:type="dxa"/>
      </w:tblCellMar>
    </w:tblPr>
  </w:style>
  <w:style w:type="table" w:customStyle="1" w:styleId="aff0">
    <w:basedOn w:val="TableNormalc"/>
    <w:pPr>
      <w:spacing w:after="0" w:line="240" w:lineRule="auto"/>
    </w:pPr>
    <w:tblPr>
      <w:tblStyleRowBandSize w:val="1"/>
      <w:tblStyleColBandSize w:val="1"/>
      <w:tblCellMar>
        <w:left w:w="108" w:type="dxa"/>
        <w:right w:w="108" w:type="dxa"/>
      </w:tblCellMar>
    </w:tblPr>
  </w:style>
  <w:style w:type="table" w:customStyle="1" w:styleId="aff1">
    <w:basedOn w:val="TableNormalc"/>
    <w:pPr>
      <w:spacing w:after="0" w:line="240" w:lineRule="auto"/>
    </w:pPr>
    <w:tblPr>
      <w:tblStyleRowBandSize w:val="1"/>
      <w:tblStyleColBandSize w:val="1"/>
      <w:tblCellMar>
        <w:left w:w="108" w:type="dxa"/>
        <w:right w:w="108" w:type="dxa"/>
      </w:tblCellMar>
    </w:tblPr>
  </w:style>
  <w:style w:type="table" w:customStyle="1" w:styleId="aff2">
    <w:basedOn w:val="TableNormalc"/>
    <w:pPr>
      <w:spacing w:after="0" w:line="240" w:lineRule="auto"/>
    </w:pPr>
    <w:tblPr>
      <w:tblStyleRowBandSize w:val="1"/>
      <w:tblStyleColBandSize w:val="1"/>
      <w:tblCellMar>
        <w:left w:w="108" w:type="dxa"/>
        <w:right w:w="108" w:type="dxa"/>
      </w:tblCellMar>
    </w:tblPr>
  </w:style>
  <w:style w:type="table" w:customStyle="1" w:styleId="aff3">
    <w:basedOn w:val="TableNormalb"/>
    <w:pPr>
      <w:spacing w:after="0" w:line="240" w:lineRule="auto"/>
    </w:pPr>
    <w:tblPr>
      <w:tblStyleRowBandSize w:val="1"/>
      <w:tblStyleColBandSize w:val="1"/>
      <w:tblCellMar>
        <w:left w:w="108" w:type="dxa"/>
        <w:right w:w="108" w:type="dxa"/>
      </w:tblCellMar>
    </w:tblPr>
  </w:style>
  <w:style w:type="table" w:customStyle="1" w:styleId="aff4">
    <w:basedOn w:val="TableNormalb"/>
    <w:pPr>
      <w:spacing w:after="0" w:line="240" w:lineRule="auto"/>
    </w:pPr>
    <w:tblPr>
      <w:tblStyleRowBandSize w:val="1"/>
      <w:tblStyleColBandSize w:val="1"/>
      <w:tblCellMar>
        <w:left w:w="108" w:type="dxa"/>
        <w:right w:w="108" w:type="dxa"/>
      </w:tblCellMar>
    </w:tblPr>
  </w:style>
  <w:style w:type="table" w:customStyle="1" w:styleId="aff5">
    <w:basedOn w:val="TableNormalb"/>
    <w:pPr>
      <w:spacing w:after="0" w:line="240" w:lineRule="auto"/>
    </w:pPr>
    <w:tblPr>
      <w:tblStyleRowBandSize w:val="1"/>
      <w:tblStyleColBandSize w:val="1"/>
      <w:tblCellMar>
        <w:left w:w="108" w:type="dxa"/>
        <w:right w:w="108" w:type="dxa"/>
      </w:tblCellMar>
    </w:tblPr>
  </w:style>
  <w:style w:type="table" w:customStyle="1" w:styleId="aff6">
    <w:basedOn w:val="TableNormalb"/>
    <w:pPr>
      <w:spacing w:after="0" w:line="240" w:lineRule="auto"/>
    </w:pPr>
    <w:tblPr>
      <w:tblStyleRowBandSize w:val="1"/>
      <w:tblStyleColBandSize w:val="1"/>
      <w:tblCellMar>
        <w:left w:w="108" w:type="dxa"/>
        <w:right w:w="108" w:type="dxa"/>
      </w:tblCellMar>
    </w:tblPr>
  </w:style>
  <w:style w:type="table" w:customStyle="1" w:styleId="aff7">
    <w:basedOn w:val="TableNormala"/>
    <w:pPr>
      <w:spacing w:after="0" w:line="240" w:lineRule="auto"/>
    </w:pPr>
    <w:tblPr>
      <w:tblStyleRowBandSize w:val="1"/>
      <w:tblStyleColBandSize w:val="1"/>
      <w:tblCellMar>
        <w:left w:w="108" w:type="dxa"/>
        <w:right w:w="108" w:type="dxa"/>
      </w:tblCellMar>
    </w:tblPr>
  </w:style>
  <w:style w:type="table" w:customStyle="1" w:styleId="aff8">
    <w:basedOn w:val="TableNormala"/>
    <w:pPr>
      <w:spacing w:after="0" w:line="240" w:lineRule="auto"/>
    </w:pPr>
    <w:tblPr>
      <w:tblStyleRowBandSize w:val="1"/>
      <w:tblStyleColBandSize w:val="1"/>
      <w:tblCellMar>
        <w:left w:w="108" w:type="dxa"/>
        <w:right w:w="108" w:type="dxa"/>
      </w:tblCellMar>
    </w:tblPr>
  </w:style>
  <w:style w:type="table" w:customStyle="1" w:styleId="aff9">
    <w:basedOn w:val="TableNormala"/>
    <w:pPr>
      <w:spacing w:after="0" w:line="240" w:lineRule="auto"/>
    </w:pPr>
    <w:tblPr>
      <w:tblStyleRowBandSize w:val="1"/>
      <w:tblStyleColBandSize w:val="1"/>
      <w:tblCellMar>
        <w:left w:w="108" w:type="dxa"/>
        <w:right w:w="108" w:type="dxa"/>
      </w:tblCellMar>
    </w:tblPr>
  </w:style>
  <w:style w:type="table" w:customStyle="1" w:styleId="affa">
    <w:basedOn w:val="TableNormala"/>
    <w:pPr>
      <w:spacing w:after="0" w:line="240" w:lineRule="auto"/>
    </w:pPr>
    <w:tblPr>
      <w:tblStyleRowBandSize w:val="1"/>
      <w:tblStyleColBandSize w:val="1"/>
      <w:tblCellMar>
        <w:left w:w="108" w:type="dxa"/>
        <w:right w:w="108" w:type="dxa"/>
      </w:tblCellMar>
    </w:tblPr>
  </w:style>
  <w:style w:type="table" w:customStyle="1" w:styleId="affb">
    <w:basedOn w:val="TableNormala"/>
    <w:pPr>
      <w:spacing w:after="0" w:line="240" w:lineRule="auto"/>
    </w:pPr>
    <w:tblPr>
      <w:tblStyleRowBandSize w:val="1"/>
      <w:tblStyleColBandSize w:val="1"/>
      <w:tblCellMar>
        <w:left w:w="108" w:type="dxa"/>
        <w:right w:w="108" w:type="dxa"/>
      </w:tblCellMar>
    </w:tblPr>
  </w:style>
  <w:style w:type="table" w:customStyle="1" w:styleId="affc">
    <w:basedOn w:val="TableNormala"/>
    <w:pPr>
      <w:spacing w:after="0" w:line="240" w:lineRule="auto"/>
    </w:pPr>
    <w:tblPr>
      <w:tblStyleRowBandSize w:val="1"/>
      <w:tblStyleColBandSize w:val="1"/>
      <w:tblCellMar>
        <w:left w:w="108" w:type="dxa"/>
        <w:right w:w="108" w:type="dxa"/>
      </w:tblCellMar>
    </w:tblPr>
  </w:style>
  <w:style w:type="table" w:customStyle="1" w:styleId="affd">
    <w:basedOn w:val="TableNormala"/>
    <w:pPr>
      <w:spacing w:after="0" w:line="240" w:lineRule="auto"/>
    </w:pPr>
    <w:tblPr>
      <w:tblStyleRowBandSize w:val="1"/>
      <w:tblStyleColBandSize w:val="1"/>
      <w:tblCellMar>
        <w:left w:w="108" w:type="dxa"/>
        <w:right w:w="108" w:type="dxa"/>
      </w:tblCellMar>
    </w:tblPr>
  </w:style>
  <w:style w:type="table" w:customStyle="1" w:styleId="affe">
    <w:basedOn w:val="TableNormala"/>
    <w:pPr>
      <w:spacing w:after="0" w:line="240" w:lineRule="auto"/>
    </w:pPr>
    <w:tblPr>
      <w:tblStyleRowBandSize w:val="1"/>
      <w:tblStyleColBandSize w:val="1"/>
      <w:tblCellMar>
        <w:left w:w="108" w:type="dxa"/>
        <w:right w:w="108" w:type="dxa"/>
      </w:tblCellMar>
    </w:tblPr>
  </w:style>
  <w:style w:type="table" w:customStyle="1" w:styleId="afff">
    <w:basedOn w:val="TableNormala"/>
    <w:pPr>
      <w:spacing w:after="0" w:line="240" w:lineRule="auto"/>
    </w:pPr>
    <w:tblPr>
      <w:tblStyleRowBandSize w:val="1"/>
      <w:tblStyleColBandSize w:val="1"/>
      <w:tblCellMar>
        <w:left w:w="108" w:type="dxa"/>
        <w:right w:w="108" w:type="dxa"/>
      </w:tblCellMar>
    </w:tblPr>
  </w:style>
  <w:style w:type="table" w:customStyle="1" w:styleId="afff0">
    <w:basedOn w:val="TableNormala"/>
    <w:pPr>
      <w:spacing w:after="0" w:line="240" w:lineRule="auto"/>
    </w:pPr>
    <w:tblPr>
      <w:tblStyleRowBandSize w:val="1"/>
      <w:tblStyleColBandSize w:val="1"/>
      <w:tblCellMar>
        <w:left w:w="108" w:type="dxa"/>
        <w:right w:w="108" w:type="dxa"/>
      </w:tblCellMar>
    </w:tblPr>
  </w:style>
  <w:style w:type="table" w:customStyle="1" w:styleId="afff1">
    <w:basedOn w:val="TableNormala"/>
    <w:pPr>
      <w:spacing w:after="0" w:line="240" w:lineRule="auto"/>
    </w:pPr>
    <w:tblPr>
      <w:tblStyleRowBandSize w:val="1"/>
      <w:tblStyleColBandSize w:val="1"/>
      <w:tblCellMar>
        <w:left w:w="108" w:type="dxa"/>
        <w:right w:w="108" w:type="dxa"/>
      </w:tblCellMar>
    </w:tblPr>
  </w:style>
  <w:style w:type="table" w:customStyle="1" w:styleId="afff2">
    <w:basedOn w:val="TableNormala"/>
    <w:pPr>
      <w:spacing w:after="0" w:line="240" w:lineRule="auto"/>
    </w:pPr>
    <w:tblPr>
      <w:tblStyleRowBandSize w:val="1"/>
      <w:tblStyleColBandSize w:val="1"/>
      <w:tblCellMar>
        <w:left w:w="108" w:type="dxa"/>
        <w:right w:w="108" w:type="dxa"/>
      </w:tblCellMar>
    </w:tblPr>
  </w:style>
  <w:style w:type="table" w:customStyle="1" w:styleId="afff3">
    <w:basedOn w:val="TableNormala"/>
    <w:pPr>
      <w:spacing w:after="0" w:line="240" w:lineRule="auto"/>
    </w:pPr>
    <w:tblPr>
      <w:tblStyleRowBandSize w:val="1"/>
      <w:tblStyleColBandSize w:val="1"/>
      <w:tblCellMar>
        <w:left w:w="108" w:type="dxa"/>
        <w:right w:w="108" w:type="dxa"/>
      </w:tblCellMar>
    </w:tblPr>
  </w:style>
  <w:style w:type="table" w:customStyle="1" w:styleId="afff4">
    <w:basedOn w:val="TableNormala"/>
    <w:pPr>
      <w:spacing w:after="0" w:line="240" w:lineRule="auto"/>
    </w:pPr>
    <w:tblPr>
      <w:tblStyleRowBandSize w:val="1"/>
      <w:tblStyleColBandSize w:val="1"/>
      <w:tblCellMar>
        <w:left w:w="108" w:type="dxa"/>
        <w:right w:w="108" w:type="dxa"/>
      </w:tblCellMar>
    </w:tblPr>
  </w:style>
  <w:style w:type="table" w:customStyle="1" w:styleId="afff5">
    <w:basedOn w:val="TableNormala"/>
    <w:pPr>
      <w:spacing w:after="0" w:line="240" w:lineRule="auto"/>
    </w:pPr>
    <w:tblPr>
      <w:tblStyleRowBandSize w:val="1"/>
      <w:tblStyleColBandSize w:val="1"/>
      <w:tblCellMar>
        <w:left w:w="108" w:type="dxa"/>
        <w:right w:w="108" w:type="dxa"/>
      </w:tblCellMar>
    </w:tblPr>
  </w:style>
  <w:style w:type="table" w:customStyle="1" w:styleId="afff6">
    <w:basedOn w:val="TableNormala"/>
    <w:pPr>
      <w:spacing w:after="0" w:line="240" w:lineRule="auto"/>
    </w:pPr>
    <w:tblPr>
      <w:tblStyleRowBandSize w:val="1"/>
      <w:tblStyleColBandSize w:val="1"/>
      <w:tblCellMar>
        <w:left w:w="108" w:type="dxa"/>
        <w:right w:w="108" w:type="dxa"/>
      </w:tblCellMar>
    </w:tblPr>
  </w:style>
  <w:style w:type="table" w:customStyle="1" w:styleId="afff7">
    <w:basedOn w:val="TableNormala"/>
    <w:pPr>
      <w:spacing w:after="0" w:line="240" w:lineRule="auto"/>
    </w:pPr>
    <w:tblPr>
      <w:tblStyleRowBandSize w:val="1"/>
      <w:tblStyleColBandSize w:val="1"/>
      <w:tblCellMar>
        <w:left w:w="108" w:type="dxa"/>
        <w:right w:w="108" w:type="dxa"/>
      </w:tblCellMar>
    </w:tblPr>
  </w:style>
  <w:style w:type="table" w:customStyle="1" w:styleId="afff8">
    <w:basedOn w:val="TableNormala"/>
    <w:pPr>
      <w:spacing w:after="0" w:line="240" w:lineRule="auto"/>
    </w:pPr>
    <w:tblPr>
      <w:tblStyleRowBandSize w:val="1"/>
      <w:tblStyleColBandSize w:val="1"/>
      <w:tblCellMar>
        <w:left w:w="108" w:type="dxa"/>
        <w:right w:w="108" w:type="dxa"/>
      </w:tblCellMar>
    </w:tblPr>
  </w:style>
  <w:style w:type="table" w:customStyle="1" w:styleId="afff9">
    <w:basedOn w:val="TableNormala"/>
    <w:pPr>
      <w:spacing w:after="0" w:line="240" w:lineRule="auto"/>
    </w:pPr>
    <w:tblPr>
      <w:tblStyleRowBandSize w:val="1"/>
      <w:tblStyleColBandSize w:val="1"/>
      <w:tblCellMar>
        <w:left w:w="108" w:type="dxa"/>
        <w:right w:w="108" w:type="dxa"/>
      </w:tblCellMar>
    </w:tblPr>
  </w:style>
  <w:style w:type="table" w:customStyle="1" w:styleId="afffa">
    <w:basedOn w:val="TableNormala"/>
    <w:pPr>
      <w:spacing w:after="0" w:line="240" w:lineRule="auto"/>
    </w:pPr>
    <w:tblPr>
      <w:tblStyleRowBandSize w:val="1"/>
      <w:tblStyleColBandSize w:val="1"/>
      <w:tblCellMar>
        <w:left w:w="108" w:type="dxa"/>
        <w:right w:w="108" w:type="dxa"/>
      </w:tblCellMar>
    </w:tblPr>
  </w:style>
  <w:style w:type="table" w:customStyle="1" w:styleId="afffb">
    <w:basedOn w:val="TableNormala"/>
    <w:pPr>
      <w:spacing w:after="0" w:line="240" w:lineRule="auto"/>
    </w:pPr>
    <w:tblPr>
      <w:tblStyleRowBandSize w:val="1"/>
      <w:tblStyleColBandSize w:val="1"/>
      <w:tblCellMar>
        <w:left w:w="108" w:type="dxa"/>
        <w:right w:w="108" w:type="dxa"/>
      </w:tblCellMar>
    </w:tblPr>
  </w:style>
  <w:style w:type="table" w:customStyle="1" w:styleId="afffc">
    <w:basedOn w:val="TableNormala"/>
    <w:pPr>
      <w:spacing w:after="0" w:line="240" w:lineRule="auto"/>
    </w:pPr>
    <w:tblPr>
      <w:tblStyleRowBandSize w:val="1"/>
      <w:tblStyleColBandSize w:val="1"/>
      <w:tblCellMar>
        <w:left w:w="108" w:type="dxa"/>
        <w:right w:w="108" w:type="dxa"/>
      </w:tblCellMar>
    </w:tblPr>
  </w:style>
  <w:style w:type="table" w:customStyle="1" w:styleId="afffd">
    <w:basedOn w:val="TableNormal9"/>
    <w:pPr>
      <w:spacing w:after="0" w:line="240" w:lineRule="auto"/>
    </w:pPr>
    <w:tblPr>
      <w:tblStyleRowBandSize w:val="1"/>
      <w:tblStyleColBandSize w:val="1"/>
      <w:tblCellMar>
        <w:left w:w="108" w:type="dxa"/>
        <w:right w:w="108" w:type="dxa"/>
      </w:tblCellMar>
    </w:tblPr>
  </w:style>
  <w:style w:type="table" w:customStyle="1" w:styleId="afffe">
    <w:basedOn w:val="TableNormal9"/>
    <w:pPr>
      <w:spacing w:after="0" w:line="240" w:lineRule="auto"/>
    </w:pPr>
    <w:tblPr>
      <w:tblStyleRowBandSize w:val="1"/>
      <w:tblStyleColBandSize w:val="1"/>
      <w:tblCellMar>
        <w:left w:w="108" w:type="dxa"/>
        <w:right w:w="108" w:type="dxa"/>
      </w:tblCellMar>
    </w:tblPr>
  </w:style>
  <w:style w:type="table" w:customStyle="1" w:styleId="affff">
    <w:basedOn w:val="TableNormal9"/>
    <w:pPr>
      <w:spacing w:after="0" w:line="240" w:lineRule="auto"/>
    </w:pPr>
    <w:tblPr>
      <w:tblStyleRowBandSize w:val="1"/>
      <w:tblStyleColBandSize w:val="1"/>
      <w:tblCellMar>
        <w:left w:w="108" w:type="dxa"/>
        <w:right w:w="108" w:type="dxa"/>
      </w:tblCellMar>
    </w:tblPr>
  </w:style>
  <w:style w:type="table" w:customStyle="1" w:styleId="affff0">
    <w:basedOn w:val="TableNormal9"/>
    <w:pPr>
      <w:spacing w:after="0" w:line="240" w:lineRule="auto"/>
    </w:pPr>
    <w:tblPr>
      <w:tblStyleRowBandSize w:val="1"/>
      <w:tblStyleColBandSize w:val="1"/>
      <w:tblCellMar>
        <w:left w:w="108" w:type="dxa"/>
        <w:right w:w="108" w:type="dxa"/>
      </w:tblCellMar>
    </w:tblPr>
  </w:style>
  <w:style w:type="table" w:customStyle="1" w:styleId="affff1">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8"/>
    <w:pPr>
      <w:spacing w:after="0" w:line="240" w:lineRule="auto"/>
    </w:pPr>
    <w:tblPr>
      <w:tblStyleRowBandSize w:val="1"/>
      <w:tblStyleColBandSize w:val="1"/>
      <w:tblCellMar>
        <w:left w:w="108" w:type="dxa"/>
        <w:right w:w="108" w:type="dxa"/>
      </w:tblCellMar>
    </w:tblPr>
  </w:style>
  <w:style w:type="table" w:customStyle="1" w:styleId="affff3">
    <w:basedOn w:val="TableNormal8"/>
    <w:pPr>
      <w:spacing w:after="0" w:line="240" w:lineRule="auto"/>
    </w:pPr>
    <w:tblPr>
      <w:tblStyleRowBandSize w:val="1"/>
      <w:tblStyleColBandSize w:val="1"/>
      <w:tblCellMar>
        <w:left w:w="108" w:type="dxa"/>
        <w:right w:w="108" w:type="dxa"/>
      </w:tblCellMar>
    </w:tblPr>
  </w:style>
  <w:style w:type="table" w:customStyle="1" w:styleId="affff4">
    <w:basedOn w:val="TableNormal8"/>
    <w:pPr>
      <w:spacing w:after="0" w:line="240" w:lineRule="auto"/>
    </w:pPr>
    <w:tblPr>
      <w:tblStyleRowBandSize w:val="1"/>
      <w:tblStyleColBandSize w:val="1"/>
      <w:tblCellMar>
        <w:left w:w="108" w:type="dxa"/>
        <w:right w:w="108" w:type="dxa"/>
      </w:tblCellMar>
    </w:tblPr>
  </w:style>
  <w:style w:type="table" w:customStyle="1" w:styleId="affff5">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7"/>
    <w:pPr>
      <w:spacing w:after="0" w:line="240" w:lineRule="auto"/>
    </w:pPr>
    <w:tblPr>
      <w:tblStyleRowBandSize w:val="1"/>
      <w:tblStyleColBandSize w:val="1"/>
      <w:tblCellMar>
        <w:left w:w="108" w:type="dxa"/>
        <w:right w:w="108" w:type="dxa"/>
      </w:tblCellMar>
    </w:tblPr>
  </w:style>
  <w:style w:type="table" w:customStyle="1" w:styleId="affff7">
    <w:basedOn w:val="TableNormal7"/>
    <w:pPr>
      <w:spacing w:after="0" w:line="240" w:lineRule="auto"/>
    </w:pPr>
    <w:tblPr>
      <w:tblStyleRowBandSize w:val="1"/>
      <w:tblStyleColBandSize w:val="1"/>
      <w:tblCellMar>
        <w:left w:w="108" w:type="dxa"/>
        <w:right w:w="108" w:type="dxa"/>
      </w:tblCellMar>
    </w:tblPr>
  </w:style>
  <w:style w:type="table" w:customStyle="1" w:styleId="affff8">
    <w:basedOn w:val="TableNormal7"/>
    <w:pPr>
      <w:spacing w:after="0" w:line="240" w:lineRule="auto"/>
    </w:pPr>
    <w:tblPr>
      <w:tblStyleRowBandSize w:val="1"/>
      <w:tblStyleColBandSize w:val="1"/>
      <w:tblCellMar>
        <w:left w:w="108" w:type="dxa"/>
        <w:right w:w="108" w:type="dxa"/>
      </w:tblCellMar>
    </w:tblPr>
  </w:style>
  <w:style w:type="table" w:customStyle="1" w:styleId="affff9">
    <w:basedOn w:val="TableNormal7"/>
    <w:pPr>
      <w:spacing w:after="0" w:line="240" w:lineRule="auto"/>
    </w:pPr>
    <w:tblPr>
      <w:tblStyleRowBandSize w:val="1"/>
      <w:tblStyleColBandSize w:val="1"/>
      <w:tblCellMar>
        <w:left w:w="108" w:type="dxa"/>
        <w:right w:w="108" w:type="dxa"/>
      </w:tblCellMar>
    </w:tblPr>
  </w:style>
  <w:style w:type="table" w:customStyle="1" w:styleId="affffa">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6"/>
    <w:pPr>
      <w:spacing w:after="0" w:line="240" w:lineRule="auto"/>
    </w:pPr>
    <w:tblPr>
      <w:tblStyleRowBandSize w:val="1"/>
      <w:tblStyleColBandSize w:val="1"/>
      <w:tblCellMar>
        <w:left w:w="108" w:type="dxa"/>
        <w:right w:w="108" w:type="dxa"/>
      </w:tblCellMar>
    </w:tblPr>
  </w:style>
  <w:style w:type="table" w:customStyle="1" w:styleId="affffc">
    <w:basedOn w:val="TableNormal6"/>
    <w:pPr>
      <w:spacing w:after="0" w:line="240" w:lineRule="auto"/>
    </w:pPr>
    <w:tblPr>
      <w:tblStyleRowBandSize w:val="1"/>
      <w:tblStyleColBandSize w:val="1"/>
      <w:tblCellMar>
        <w:left w:w="108" w:type="dxa"/>
        <w:right w:w="108" w:type="dxa"/>
      </w:tblCellMar>
    </w:tblPr>
  </w:style>
  <w:style w:type="table" w:customStyle="1" w:styleId="affffd">
    <w:basedOn w:val="TableNormal6"/>
    <w:pPr>
      <w:spacing w:after="0" w:line="240" w:lineRule="auto"/>
    </w:pPr>
    <w:tblPr>
      <w:tblStyleRowBandSize w:val="1"/>
      <w:tblStyleColBandSize w:val="1"/>
      <w:tblCellMar>
        <w:left w:w="108" w:type="dxa"/>
        <w:right w:w="108" w:type="dxa"/>
      </w:tblCellMar>
    </w:tblPr>
  </w:style>
  <w:style w:type="table" w:customStyle="1" w:styleId="affffe">
    <w:basedOn w:val="TableNormal6"/>
    <w:pPr>
      <w:spacing w:after="0" w:line="240" w:lineRule="auto"/>
    </w:pPr>
    <w:tblPr>
      <w:tblStyleRowBandSize w:val="1"/>
      <w:tblStyleColBandSize w:val="1"/>
      <w:tblCellMar>
        <w:left w:w="108" w:type="dxa"/>
        <w:right w:w="108" w:type="dxa"/>
      </w:tblCellMar>
    </w:tblPr>
  </w:style>
  <w:style w:type="table" w:customStyle="1" w:styleId="afffff">
    <w:basedOn w:val="TableNormal5"/>
    <w:pPr>
      <w:spacing w:after="0" w:line="240" w:lineRule="auto"/>
    </w:pPr>
    <w:tblPr>
      <w:tblStyleRowBandSize w:val="1"/>
      <w:tblStyleColBandSize w:val="1"/>
      <w:tblCellMar>
        <w:left w:w="108" w:type="dxa"/>
        <w:right w:w="108" w:type="dxa"/>
      </w:tblCellMar>
    </w:tblPr>
  </w:style>
  <w:style w:type="table" w:customStyle="1" w:styleId="afffff0">
    <w:basedOn w:val="TableNormal5"/>
    <w:pPr>
      <w:spacing w:after="0" w:line="240" w:lineRule="auto"/>
    </w:pPr>
    <w:tblPr>
      <w:tblStyleRowBandSize w:val="1"/>
      <w:tblStyleColBandSize w:val="1"/>
      <w:tblCellMar>
        <w:left w:w="108" w:type="dxa"/>
        <w:right w:w="108" w:type="dxa"/>
      </w:tblCellMar>
    </w:tblPr>
  </w:style>
  <w:style w:type="table" w:customStyle="1" w:styleId="afffff1">
    <w:basedOn w:val="TableNormal5"/>
    <w:pPr>
      <w:spacing w:after="0" w:line="240" w:lineRule="auto"/>
    </w:pPr>
    <w:tblPr>
      <w:tblStyleRowBandSize w:val="1"/>
      <w:tblStyleColBandSize w:val="1"/>
      <w:tblCellMar>
        <w:left w:w="108" w:type="dxa"/>
        <w:right w:w="108" w:type="dxa"/>
      </w:tblCellMar>
    </w:tblPr>
  </w:style>
  <w:style w:type="table" w:customStyle="1" w:styleId="afffff2">
    <w:basedOn w:val="TableNormal5"/>
    <w:pPr>
      <w:spacing w:after="0" w:line="240" w:lineRule="auto"/>
    </w:pPr>
    <w:tblPr>
      <w:tblStyleRowBandSize w:val="1"/>
      <w:tblStyleColBandSize w:val="1"/>
      <w:tblCellMar>
        <w:left w:w="108" w:type="dxa"/>
        <w:right w:w="108" w:type="dxa"/>
      </w:tblCellMar>
    </w:tblPr>
  </w:style>
  <w:style w:type="table" w:customStyle="1" w:styleId="afffff3">
    <w:basedOn w:val="TableNormal5"/>
    <w:pPr>
      <w:spacing w:after="0" w:line="240" w:lineRule="auto"/>
    </w:pPr>
    <w:tblPr>
      <w:tblStyleRowBandSize w:val="1"/>
      <w:tblStyleColBandSize w:val="1"/>
      <w:tblCellMar>
        <w:left w:w="108" w:type="dxa"/>
        <w:right w:w="108" w:type="dxa"/>
      </w:tblCellMar>
    </w:tblPr>
  </w:style>
  <w:style w:type="table" w:customStyle="1" w:styleId="afffff4">
    <w:basedOn w:val="TableNormal4"/>
    <w:pPr>
      <w:spacing w:after="0" w:line="240" w:lineRule="auto"/>
    </w:pPr>
    <w:tblPr>
      <w:tblStyleRowBandSize w:val="1"/>
      <w:tblStyleColBandSize w:val="1"/>
      <w:tblCellMar>
        <w:left w:w="108" w:type="dxa"/>
        <w:right w:w="108" w:type="dxa"/>
      </w:tblCellMar>
    </w:tblPr>
  </w:style>
  <w:style w:type="table" w:customStyle="1" w:styleId="afffff5">
    <w:basedOn w:val="TableNormal4"/>
    <w:pPr>
      <w:spacing w:after="0" w:line="240" w:lineRule="auto"/>
    </w:pPr>
    <w:tblPr>
      <w:tblStyleRowBandSize w:val="1"/>
      <w:tblStyleColBandSize w:val="1"/>
      <w:tblCellMar>
        <w:left w:w="108" w:type="dxa"/>
        <w:right w:w="108" w:type="dxa"/>
      </w:tblCellMar>
    </w:tblPr>
  </w:style>
  <w:style w:type="table" w:customStyle="1" w:styleId="afffff6">
    <w:basedOn w:val="TableNormal4"/>
    <w:pPr>
      <w:spacing w:after="0" w:line="240" w:lineRule="auto"/>
    </w:pPr>
    <w:tblPr>
      <w:tblStyleRowBandSize w:val="1"/>
      <w:tblStyleColBandSize w:val="1"/>
      <w:tblCellMar>
        <w:left w:w="108" w:type="dxa"/>
        <w:right w:w="108" w:type="dxa"/>
      </w:tblCellMar>
    </w:tblPr>
  </w:style>
  <w:style w:type="table" w:customStyle="1" w:styleId="afffff7">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3"/>
    <w:pPr>
      <w:spacing w:after="0" w:line="240" w:lineRule="auto"/>
    </w:pPr>
    <w:tblPr>
      <w:tblStyleRowBandSize w:val="1"/>
      <w:tblStyleColBandSize w:val="1"/>
      <w:tblCellMar>
        <w:left w:w="108" w:type="dxa"/>
        <w:right w:w="108" w:type="dxa"/>
      </w:tblCellMar>
    </w:tblPr>
  </w:style>
  <w:style w:type="table" w:customStyle="1" w:styleId="afffff9">
    <w:basedOn w:val="TableNormal3"/>
    <w:pPr>
      <w:spacing w:after="0" w:line="240" w:lineRule="auto"/>
    </w:pPr>
    <w:tblPr>
      <w:tblStyleRowBandSize w:val="1"/>
      <w:tblStyleColBandSize w:val="1"/>
      <w:tblCellMar>
        <w:left w:w="108" w:type="dxa"/>
        <w:right w:w="108" w:type="dxa"/>
      </w:tblCellMar>
    </w:tblPr>
  </w:style>
  <w:style w:type="table" w:customStyle="1" w:styleId="afffffa">
    <w:basedOn w:val="TableNormal3"/>
    <w:pPr>
      <w:spacing w:after="0" w:line="240" w:lineRule="auto"/>
    </w:pPr>
    <w:tblPr>
      <w:tblStyleRowBandSize w:val="1"/>
      <w:tblStyleColBandSize w:val="1"/>
      <w:tblCellMar>
        <w:left w:w="108" w:type="dxa"/>
        <w:right w:w="108" w:type="dxa"/>
      </w:tblCellMar>
    </w:tblPr>
  </w:style>
  <w:style w:type="table" w:customStyle="1" w:styleId="afffffb">
    <w:basedOn w:val="TableNormal3"/>
    <w:pPr>
      <w:spacing w:after="0" w:line="240" w:lineRule="auto"/>
    </w:pPr>
    <w:tblPr>
      <w:tblStyleRowBandSize w:val="1"/>
      <w:tblStyleColBandSize w:val="1"/>
      <w:tblCellMar>
        <w:left w:w="108" w:type="dxa"/>
        <w:right w:w="108" w:type="dxa"/>
      </w:tblCellMar>
    </w:tblPr>
  </w:style>
  <w:style w:type="table" w:customStyle="1" w:styleId="afffffc">
    <w:basedOn w:val="TableNormal3"/>
    <w:pPr>
      <w:spacing w:after="0" w:line="240" w:lineRule="auto"/>
    </w:pPr>
    <w:tblPr>
      <w:tblStyleRowBandSize w:val="1"/>
      <w:tblStyleColBandSize w:val="1"/>
      <w:tblCellMar>
        <w:left w:w="108" w:type="dxa"/>
        <w:right w:w="108" w:type="dxa"/>
      </w:tblCellMar>
    </w:tblPr>
  </w:style>
  <w:style w:type="table" w:customStyle="1" w:styleId="afffffd">
    <w:basedOn w:val="TableNormal2"/>
    <w:pPr>
      <w:spacing w:after="0" w:line="240" w:lineRule="auto"/>
    </w:pPr>
    <w:tblPr>
      <w:tblStyleRowBandSize w:val="1"/>
      <w:tblStyleColBandSize w:val="1"/>
      <w:tblCellMar>
        <w:left w:w="108" w:type="dxa"/>
        <w:right w:w="108" w:type="dxa"/>
      </w:tblCellMar>
    </w:tblPr>
  </w:style>
  <w:style w:type="table" w:customStyle="1" w:styleId="afffffe">
    <w:basedOn w:val="TableNormal2"/>
    <w:pPr>
      <w:spacing w:after="0" w:line="240" w:lineRule="auto"/>
    </w:pPr>
    <w:tblPr>
      <w:tblStyleRowBandSize w:val="1"/>
      <w:tblStyleColBandSize w:val="1"/>
      <w:tblCellMar>
        <w:left w:w="108" w:type="dxa"/>
        <w:right w:w="108" w:type="dxa"/>
      </w:tblCellMar>
    </w:tblPr>
  </w:style>
  <w:style w:type="table" w:customStyle="1" w:styleId="affffff">
    <w:basedOn w:val="TableNormal2"/>
    <w:pPr>
      <w:spacing w:after="0" w:line="240" w:lineRule="auto"/>
    </w:pPr>
    <w:tblPr>
      <w:tblStyleRowBandSize w:val="1"/>
      <w:tblStyleColBandSize w:val="1"/>
      <w:tblCellMar>
        <w:left w:w="108" w:type="dxa"/>
        <w:right w:w="108" w:type="dxa"/>
      </w:tblCellMar>
    </w:tblPr>
  </w:style>
  <w:style w:type="table" w:customStyle="1" w:styleId="affffff0">
    <w:basedOn w:val="TableNormal2"/>
    <w:pPr>
      <w:spacing w:after="0" w:line="240" w:lineRule="auto"/>
    </w:pPr>
    <w:tblPr>
      <w:tblStyleRowBandSize w:val="1"/>
      <w:tblStyleColBandSize w:val="1"/>
      <w:tblCellMar>
        <w:left w:w="108" w:type="dxa"/>
        <w:right w:w="108" w:type="dxa"/>
      </w:tblCellMar>
    </w:tblPr>
  </w:style>
  <w:style w:type="table" w:customStyle="1" w:styleId="affffff1">
    <w:basedOn w:val="TableNormal1"/>
    <w:pPr>
      <w:spacing w:after="0" w:line="240" w:lineRule="auto"/>
    </w:pPr>
    <w:tblPr>
      <w:tblStyleRowBandSize w:val="1"/>
      <w:tblStyleColBandSize w:val="1"/>
      <w:tblCellMar>
        <w:left w:w="108" w:type="dxa"/>
        <w:right w:w="108" w:type="dxa"/>
      </w:tblCellMar>
    </w:tblPr>
  </w:style>
  <w:style w:type="table" w:customStyle="1" w:styleId="affffff2">
    <w:basedOn w:val="TableNormal1"/>
    <w:pPr>
      <w:spacing w:after="0" w:line="240" w:lineRule="auto"/>
    </w:pPr>
    <w:tblPr>
      <w:tblStyleRowBandSize w:val="1"/>
      <w:tblStyleColBandSize w:val="1"/>
      <w:tblCellMar>
        <w:left w:w="108" w:type="dxa"/>
        <w:right w:w="108" w:type="dxa"/>
      </w:tblCellMar>
    </w:tblPr>
  </w:style>
  <w:style w:type="table" w:customStyle="1" w:styleId="affffff3">
    <w:basedOn w:val="TableNormal1"/>
    <w:pPr>
      <w:spacing w:after="0" w:line="240" w:lineRule="auto"/>
    </w:pPr>
    <w:tblPr>
      <w:tblStyleRowBandSize w:val="1"/>
      <w:tblStyleColBandSize w:val="1"/>
      <w:tblCellMar>
        <w:left w:w="108" w:type="dxa"/>
        <w:right w:w="108" w:type="dxa"/>
      </w:tblCellMar>
    </w:tblPr>
  </w:style>
  <w:style w:type="table" w:customStyle="1" w:styleId="affffff4">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6C5AC9"/>
    <w:rPr>
      <w:color w:val="605E5C"/>
      <w:shd w:val="clear" w:color="auto" w:fill="E1DFDD"/>
    </w:rPr>
  </w:style>
  <w:style w:type="character" w:customStyle="1" w:styleId="UnresolvedMention">
    <w:name w:val="Unresolved Mention"/>
    <w:basedOn w:val="Fuentedeprrafopredeter"/>
    <w:uiPriority w:val="99"/>
    <w:semiHidden/>
    <w:unhideWhenUsed/>
    <w:rsid w:val="00BF71A8"/>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L2eN3JhqUvfGJnEs8orNXODzfA==">CgMxLjAyDmgubmJmcXIyN3dmN3VrMghoLmdqZGd4czIOaC5iaDJhb3o1bXlnODEyDmguc3UwanNzaWlna3BxMg5oLnB0ODJlaDk2NGJwazIOaC5mMTJtMGRjMTdlbDIyCWguMmV0OTJwMDIOaC5vMmE5bDY3ODJwZHUyDmguMXg4ZmlleW01N2V4Mg5oLnRxNDdtYXJoZDlhaTIOaC5nc2RlMXh2aXBuZWYyDmgud3kwajFkdDB2YjgyMg5oLjF1eDE5bXB4MHN4eDIOaC5yYmVweXFidTN0emIyDWgubzg2anQ5N3hqNzQyDmguNXp6YWRneHB2ZnA5Mg5oLnBxaXlnYWs4dW92bjIOaC5scWczaHU0dTRkdTAyDmguNWM0NWoxNTE4eXRwOAByITFKVW9pQlk5YUlKaExMTEo2bW41NENiOXByM3R6eWpi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E8F161-50AA-4CE9-BD98-473D52980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7510</Words>
  <Characters>41310</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2026-04-10T17:14:00Z</cp:lastPrinted>
  <dcterms:created xsi:type="dcterms:W3CDTF">2026-04-10T17:14:00Z</dcterms:created>
  <dcterms:modified xsi:type="dcterms:W3CDTF">2026-04-10T17:14:00Z</dcterms:modified>
</cp:coreProperties>
</file>