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7F25" w14:textId="77777777" w:rsidR="002B4A91" w:rsidRPr="00BF1B3E" w:rsidRDefault="002B4A91" w:rsidP="00BF1B3E">
      <w:pPr>
        <w:tabs>
          <w:tab w:val="left" w:pos="8931"/>
        </w:tabs>
        <w:spacing w:line="360" w:lineRule="auto"/>
        <w:ind w:left="8931" w:hanging="8931"/>
        <w:contextualSpacing/>
        <w:jc w:val="both"/>
        <w:rPr>
          <w:rFonts w:ascii="Palatino Linotype" w:hAnsi="Palatino Linotype"/>
          <w:sz w:val="22"/>
          <w:szCs w:val="22"/>
        </w:rPr>
      </w:pPr>
    </w:p>
    <w:sdt>
      <w:sdtPr>
        <w:rPr>
          <w:rFonts w:ascii="Palatino Linotype" w:eastAsia="Palatino Linotype" w:hAnsi="Palatino Linotype" w:cs="Palatino Linotype"/>
          <w:color w:val="000000" w:themeColor="text1"/>
          <w:sz w:val="22"/>
          <w:szCs w:val="22"/>
          <w:lang w:val="es-ES" w:eastAsia="es-ES"/>
        </w:rPr>
        <w:id w:val="789625836"/>
        <w:docPartObj>
          <w:docPartGallery w:val="Table of Contents"/>
          <w:docPartUnique/>
        </w:docPartObj>
      </w:sdtPr>
      <w:sdtEndPr>
        <w:rPr>
          <w:rFonts w:eastAsia="Times New Roman" w:cs="Times New Roman"/>
          <w:b/>
          <w:bCs/>
          <w:color w:val="auto"/>
        </w:rPr>
      </w:sdtEndPr>
      <w:sdtContent>
        <w:p w14:paraId="400791B9" w14:textId="77777777" w:rsidR="002B4A91" w:rsidRPr="00342952" w:rsidRDefault="002B4A91" w:rsidP="00BF1B3E">
          <w:pPr>
            <w:pStyle w:val="TtuloTDC"/>
            <w:spacing w:before="0" w:line="360" w:lineRule="auto"/>
            <w:contextualSpacing/>
            <w:jc w:val="both"/>
            <w:rPr>
              <w:rFonts w:ascii="Palatino Linotype" w:eastAsia="Palatino Linotype" w:hAnsi="Palatino Linotype" w:cs="Palatino Linotype"/>
              <w:color w:val="000000" w:themeColor="text1"/>
              <w:sz w:val="22"/>
              <w:szCs w:val="22"/>
              <w:lang w:val="es-ES"/>
            </w:rPr>
          </w:pPr>
        </w:p>
        <w:p w14:paraId="7D6E3388" w14:textId="05ECE536" w:rsidR="002B4A91" w:rsidRPr="00342952" w:rsidRDefault="002B4A91" w:rsidP="00BF1B3E">
          <w:pPr>
            <w:pStyle w:val="TtuloTDC"/>
            <w:spacing w:before="0" w:line="360" w:lineRule="auto"/>
            <w:contextualSpacing/>
            <w:jc w:val="center"/>
            <w:rPr>
              <w:rFonts w:ascii="Palatino Linotype" w:hAnsi="Palatino Linotype"/>
              <w:color w:val="auto"/>
              <w:sz w:val="22"/>
              <w:szCs w:val="22"/>
            </w:rPr>
          </w:pPr>
          <w:r w:rsidRPr="00342952">
            <w:rPr>
              <w:rFonts w:ascii="Palatino Linotype" w:hAnsi="Palatino Linotype"/>
              <w:color w:val="auto"/>
              <w:sz w:val="22"/>
              <w:szCs w:val="22"/>
              <w:lang w:val="es-ES"/>
            </w:rPr>
            <w:t xml:space="preserve">RESOLUCIÓN DEL RECURSO DE REVISIÓN </w:t>
          </w:r>
          <w:r w:rsidRPr="00342952">
            <w:rPr>
              <w:rFonts w:ascii="Palatino Linotype" w:hAnsi="Palatino Linotype"/>
              <w:color w:val="auto"/>
              <w:sz w:val="22"/>
              <w:szCs w:val="22"/>
            </w:rPr>
            <w:t>01891/INFOEM/IP/RR/2026</w:t>
          </w:r>
        </w:p>
        <w:p w14:paraId="07BBD3A2" w14:textId="77777777" w:rsidR="002B4A91" w:rsidRPr="00342952" w:rsidRDefault="002B4A91" w:rsidP="00BF1B3E">
          <w:pPr>
            <w:spacing w:line="360" w:lineRule="auto"/>
            <w:contextualSpacing/>
            <w:jc w:val="both"/>
            <w:rPr>
              <w:rFonts w:ascii="Palatino Linotype" w:hAnsi="Palatino Linotype"/>
              <w:sz w:val="22"/>
              <w:szCs w:val="22"/>
            </w:rPr>
          </w:pPr>
        </w:p>
        <w:p w14:paraId="48B7E2E5" w14:textId="77777777" w:rsidR="005B1ADA" w:rsidRPr="005B1ADA" w:rsidRDefault="002B4A91">
          <w:pPr>
            <w:pStyle w:val="TDC1"/>
            <w:tabs>
              <w:tab w:val="right" w:leader="dot" w:pos="9034"/>
            </w:tabs>
            <w:rPr>
              <w:rFonts w:ascii="Palatino Linotype" w:eastAsiaTheme="minorEastAsia" w:hAnsi="Palatino Linotype" w:cstheme="minorBidi"/>
              <w:noProof/>
              <w:sz w:val="22"/>
              <w:szCs w:val="22"/>
              <w:lang w:eastAsia="es-MX"/>
            </w:rPr>
          </w:pPr>
          <w:r w:rsidRPr="005B1ADA">
            <w:rPr>
              <w:rFonts w:ascii="Palatino Linotype" w:eastAsia="Palatino Linotype" w:hAnsi="Palatino Linotype" w:cs="Palatino Linotype"/>
              <w:color w:val="000000" w:themeColor="text1"/>
              <w:sz w:val="22"/>
              <w:szCs w:val="22"/>
            </w:rPr>
            <w:fldChar w:fldCharType="begin"/>
          </w:r>
          <w:r w:rsidRPr="005B1ADA">
            <w:rPr>
              <w:rFonts w:ascii="Palatino Linotype" w:hAnsi="Palatino Linotype"/>
              <w:sz w:val="22"/>
              <w:szCs w:val="22"/>
            </w:rPr>
            <w:instrText xml:space="preserve"> TOC \o "1-3" \h \z \u </w:instrText>
          </w:r>
          <w:r w:rsidRPr="005B1ADA">
            <w:rPr>
              <w:rFonts w:ascii="Palatino Linotype" w:eastAsia="Palatino Linotype" w:hAnsi="Palatino Linotype" w:cs="Palatino Linotype"/>
              <w:color w:val="000000" w:themeColor="text1"/>
              <w:sz w:val="22"/>
              <w:szCs w:val="22"/>
            </w:rPr>
            <w:fldChar w:fldCharType="separate"/>
          </w:r>
          <w:hyperlink w:anchor="_Toc223621124" w:history="1">
            <w:r w:rsidR="005B1ADA" w:rsidRPr="005B1ADA">
              <w:rPr>
                <w:rStyle w:val="Hipervnculo"/>
                <w:rFonts w:ascii="Palatino Linotype" w:hAnsi="Palatino Linotype"/>
                <w:bCs/>
                <w:noProof/>
                <w:sz w:val="22"/>
                <w:szCs w:val="22"/>
              </w:rPr>
              <w:t>A N T E C E D E N T E S</w:t>
            </w:r>
            <w:r w:rsidR="005B1ADA" w:rsidRPr="005B1ADA">
              <w:rPr>
                <w:rFonts w:ascii="Palatino Linotype" w:hAnsi="Palatino Linotype"/>
                <w:noProof/>
                <w:webHidden/>
                <w:sz w:val="22"/>
                <w:szCs w:val="22"/>
              </w:rPr>
              <w:tab/>
            </w:r>
            <w:r w:rsidR="005B1ADA" w:rsidRPr="005B1ADA">
              <w:rPr>
                <w:rFonts w:ascii="Palatino Linotype" w:hAnsi="Palatino Linotype"/>
                <w:noProof/>
                <w:webHidden/>
                <w:sz w:val="22"/>
                <w:szCs w:val="22"/>
              </w:rPr>
              <w:fldChar w:fldCharType="begin"/>
            </w:r>
            <w:r w:rsidR="005B1ADA" w:rsidRPr="005B1ADA">
              <w:rPr>
                <w:rFonts w:ascii="Palatino Linotype" w:hAnsi="Palatino Linotype"/>
                <w:noProof/>
                <w:webHidden/>
                <w:sz w:val="22"/>
                <w:szCs w:val="22"/>
              </w:rPr>
              <w:instrText xml:space="preserve"> PAGEREF _Toc223621124 \h </w:instrText>
            </w:r>
            <w:r w:rsidR="005B1ADA" w:rsidRPr="005B1ADA">
              <w:rPr>
                <w:rFonts w:ascii="Palatino Linotype" w:hAnsi="Palatino Linotype"/>
                <w:noProof/>
                <w:webHidden/>
                <w:sz w:val="22"/>
                <w:szCs w:val="22"/>
              </w:rPr>
            </w:r>
            <w:r w:rsidR="005B1ADA"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2</w:t>
            </w:r>
            <w:r w:rsidR="005B1ADA" w:rsidRPr="005B1ADA">
              <w:rPr>
                <w:rFonts w:ascii="Palatino Linotype" w:hAnsi="Palatino Linotype"/>
                <w:noProof/>
                <w:webHidden/>
                <w:sz w:val="22"/>
                <w:szCs w:val="22"/>
              </w:rPr>
              <w:fldChar w:fldCharType="end"/>
            </w:r>
          </w:hyperlink>
        </w:p>
        <w:p w14:paraId="51884568"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25" w:history="1">
            <w:r w:rsidRPr="005B1ADA">
              <w:rPr>
                <w:rStyle w:val="Hipervnculo"/>
                <w:rFonts w:ascii="Palatino Linotype" w:hAnsi="Palatino Linotype"/>
                <w:bCs/>
                <w:noProof/>
                <w:sz w:val="22"/>
                <w:szCs w:val="22"/>
              </w:rPr>
              <w:t>I. Presentación de la solicitud de información</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_Toc223621125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2</w:t>
            </w:r>
            <w:r w:rsidRPr="005B1ADA">
              <w:rPr>
                <w:rFonts w:ascii="Palatino Linotype" w:hAnsi="Palatino Linotype"/>
                <w:noProof/>
                <w:webHidden/>
                <w:sz w:val="22"/>
                <w:szCs w:val="22"/>
              </w:rPr>
              <w:fldChar w:fldCharType="end"/>
            </w:r>
          </w:hyperlink>
        </w:p>
        <w:p w14:paraId="73DB74EE"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26" w:history="1">
            <w:r w:rsidRPr="005B1ADA">
              <w:rPr>
                <w:rStyle w:val="Hipervnculo"/>
                <w:rFonts w:ascii="Palatino Linotype" w:hAnsi="Palatino Linotype"/>
                <w:bCs/>
                <w:noProof/>
                <w:sz w:val="22"/>
                <w:szCs w:val="22"/>
              </w:rPr>
              <w:t>II. Declaración de incompetencia parcial.</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_Toc223621126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3</w:t>
            </w:r>
            <w:r w:rsidRPr="005B1ADA">
              <w:rPr>
                <w:rFonts w:ascii="Palatino Linotype" w:hAnsi="Palatino Linotype"/>
                <w:noProof/>
                <w:webHidden/>
                <w:sz w:val="22"/>
                <w:szCs w:val="22"/>
              </w:rPr>
              <w:fldChar w:fldCharType="end"/>
            </w:r>
          </w:hyperlink>
        </w:p>
        <w:p w14:paraId="4521B99C"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27" w:history="1">
            <w:r w:rsidRPr="005B1ADA">
              <w:rPr>
                <w:rStyle w:val="Hipervnculo"/>
                <w:rFonts w:ascii="Palatino Linotype" w:eastAsia="Palatino Linotype" w:hAnsi="Palatino Linotype"/>
                <w:bCs/>
                <w:noProof/>
                <w:sz w:val="22"/>
                <w:szCs w:val="22"/>
              </w:rPr>
              <w:t>III. Respuesta del Sujeto Obligado</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_Toc223621127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3</w:t>
            </w:r>
            <w:r w:rsidRPr="005B1ADA">
              <w:rPr>
                <w:rFonts w:ascii="Palatino Linotype" w:hAnsi="Palatino Linotype"/>
                <w:noProof/>
                <w:webHidden/>
                <w:sz w:val="22"/>
                <w:szCs w:val="22"/>
              </w:rPr>
              <w:fldChar w:fldCharType="end"/>
            </w:r>
          </w:hyperlink>
        </w:p>
        <w:p w14:paraId="39DA65EC"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28" w:history="1">
            <w:r w:rsidRPr="005B1ADA">
              <w:rPr>
                <w:rStyle w:val="Hipervnculo"/>
                <w:rFonts w:ascii="Palatino Linotype" w:hAnsi="Palatino Linotype"/>
                <w:bCs/>
                <w:noProof/>
                <w:sz w:val="22"/>
                <w:szCs w:val="22"/>
              </w:rPr>
              <w:t>IV. Interposición del Recurso de Revisión</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_Toc223621128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4</w:t>
            </w:r>
            <w:r w:rsidRPr="005B1ADA">
              <w:rPr>
                <w:rFonts w:ascii="Palatino Linotype" w:hAnsi="Palatino Linotype"/>
                <w:noProof/>
                <w:webHidden/>
                <w:sz w:val="22"/>
                <w:szCs w:val="22"/>
              </w:rPr>
              <w:fldChar w:fldCharType="end"/>
            </w:r>
          </w:hyperlink>
        </w:p>
        <w:p w14:paraId="0A84D6D2"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29" w:history="1">
            <w:r w:rsidRPr="005B1ADA">
              <w:rPr>
                <w:rStyle w:val="Hipervnculo"/>
                <w:rFonts w:ascii="Palatino Linotype" w:hAnsi="Palatino Linotype"/>
                <w:bCs/>
                <w:noProof/>
                <w:sz w:val="22"/>
                <w:szCs w:val="22"/>
              </w:rPr>
              <w:t>V. Trámite del Recurso de Revisión ante este Instituto</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_Toc223621129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5</w:t>
            </w:r>
            <w:r w:rsidRPr="005B1ADA">
              <w:rPr>
                <w:rFonts w:ascii="Palatino Linotype" w:hAnsi="Palatino Linotype"/>
                <w:noProof/>
                <w:webHidden/>
                <w:sz w:val="22"/>
                <w:szCs w:val="22"/>
              </w:rPr>
              <w:fldChar w:fldCharType="end"/>
            </w:r>
          </w:hyperlink>
        </w:p>
        <w:p w14:paraId="2531DFBA" w14:textId="77777777" w:rsidR="005B1ADA" w:rsidRPr="005B1ADA" w:rsidRDefault="005B1ADA">
          <w:pPr>
            <w:pStyle w:val="TDC1"/>
            <w:tabs>
              <w:tab w:val="right" w:leader="dot" w:pos="9034"/>
            </w:tabs>
            <w:rPr>
              <w:rFonts w:ascii="Palatino Linotype" w:eastAsiaTheme="minorEastAsia" w:hAnsi="Palatino Linotype" w:cstheme="minorBidi"/>
              <w:noProof/>
              <w:sz w:val="22"/>
              <w:szCs w:val="22"/>
              <w:lang w:eastAsia="es-MX"/>
            </w:rPr>
          </w:pPr>
          <w:hyperlink w:anchor="_Toc223621130" w:history="1">
            <w:r w:rsidRPr="005B1ADA">
              <w:rPr>
                <w:rStyle w:val="Hipervnculo"/>
                <w:rFonts w:ascii="Palatino Linotype" w:eastAsia="Palatino Linotype" w:hAnsi="Palatino Linotype" w:cs="Palatino Linotype"/>
                <w:noProof/>
                <w:sz w:val="22"/>
                <w:szCs w:val="22"/>
              </w:rPr>
              <w:t>C O N S I D E R A N D O S</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_Toc223621130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7</w:t>
            </w:r>
            <w:r w:rsidRPr="005B1ADA">
              <w:rPr>
                <w:rFonts w:ascii="Palatino Linotype" w:hAnsi="Palatino Linotype"/>
                <w:noProof/>
                <w:webHidden/>
                <w:sz w:val="22"/>
                <w:szCs w:val="22"/>
              </w:rPr>
              <w:fldChar w:fldCharType="end"/>
            </w:r>
          </w:hyperlink>
        </w:p>
        <w:p w14:paraId="0560A735"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31" w:history="1">
            <w:r w:rsidRPr="005B1ADA">
              <w:rPr>
                <w:rStyle w:val="Hipervnculo"/>
                <w:rFonts w:ascii="Palatino Linotype" w:eastAsia="Palatino Linotype" w:hAnsi="Palatino Linotype" w:cs="Palatino Linotype"/>
                <w:noProof/>
                <w:sz w:val="22"/>
                <w:szCs w:val="22"/>
              </w:rPr>
              <w:t>PRIMERO. Competencia</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_Toc223621131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7</w:t>
            </w:r>
            <w:r w:rsidRPr="005B1ADA">
              <w:rPr>
                <w:rFonts w:ascii="Palatino Linotype" w:hAnsi="Palatino Linotype"/>
                <w:noProof/>
                <w:webHidden/>
                <w:sz w:val="22"/>
                <w:szCs w:val="22"/>
              </w:rPr>
              <w:fldChar w:fldCharType="end"/>
            </w:r>
          </w:hyperlink>
        </w:p>
        <w:p w14:paraId="67FB5E6A"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32" w:history="1">
            <w:r w:rsidRPr="005B1ADA">
              <w:rPr>
                <w:rStyle w:val="Hipervnculo"/>
                <w:rFonts w:ascii="Palatino Linotype" w:eastAsia="Calibri" w:hAnsi="Palatino Linotype"/>
                <w:noProof/>
                <w:sz w:val="22"/>
                <w:szCs w:val="22"/>
                <w:lang w:val="es-ES"/>
              </w:rPr>
              <w:t>SEGUNDO. Causales de improcedencia.</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_Toc223621132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7</w:t>
            </w:r>
            <w:r w:rsidRPr="005B1ADA">
              <w:rPr>
                <w:rFonts w:ascii="Palatino Linotype" w:hAnsi="Palatino Linotype"/>
                <w:noProof/>
                <w:webHidden/>
                <w:sz w:val="22"/>
                <w:szCs w:val="22"/>
              </w:rPr>
              <w:fldChar w:fldCharType="end"/>
            </w:r>
          </w:hyperlink>
        </w:p>
        <w:p w14:paraId="3161F142"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33" w:history="1">
            <w:r w:rsidRPr="005B1ADA">
              <w:rPr>
                <w:rStyle w:val="Hipervnculo"/>
                <w:rFonts w:ascii="Palatino Linotype" w:hAnsi="Palatino Linotype"/>
                <w:noProof/>
                <w:sz w:val="22"/>
                <w:szCs w:val="22"/>
              </w:rPr>
              <w:t>TERCERO. Causales de sobreseimiento.</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_Toc223621133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8</w:t>
            </w:r>
            <w:r w:rsidRPr="005B1ADA">
              <w:rPr>
                <w:rFonts w:ascii="Palatino Linotype" w:hAnsi="Palatino Linotype"/>
                <w:noProof/>
                <w:webHidden/>
                <w:sz w:val="22"/>
                <w:szCs w:val="22"/>
              </w:rPr>
              <w:fldChar w:fldCharType="end"/>
            </w:r>
          </w:hyperlink>
        </w:p>
        <w:p w14:paraId="15714845"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34" w:history="1">
            <w:r w:rsidRPr="005B1ADA">
              <w:rPr>
                <w:rStyle w:val="Hipervnculo"/>
                <w:rFonts w:ascii="Palatino Linotype" w:hAnsi="Palatino Linotype"/>
                <w:noProof/>
                <w:sz w:val="22"/>
                <w:szCs w:val="22"/>
                <w:lang w:val="es-ES"/>
              </w:rPr>
              <w:t>CUARTO. Decisión.</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_Toc223621134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14</w:t>
            </w:r>
            <w:r w:rsidRPr="005B1ADA">
              <w:rPr>
                <w:rFonts w:ascii="Palatino Linotype" w:hAnsi="Palatino Linotype"/>
                <w:noProof/>
                <w:webHidden/>
                <w:sz w:val="22"/>
                <w:szCs w:val="22"/>
              </w:rPr>
              <w:fldChar w:fldCharType="end"/>
            </w:r>
          </w:hyperlink>
        </w:p>
        <w:p w14:paraId="35EE49FF" w14:textId="77777777" w:rsidR="005B1ADA" w:rsidRPr="005B1ADA" w:rsidRDefault="005B1ADA">
          <w:pPr>
            <w:pStyle w:val="TDC2"/>
            <w:rPr>
              <w:rFonts w:ascii="Palatino Linotype" w:eastAsiaTheme="minorEastAsia" w:hAnsi="Palatino Linotype" w:cstheme="minorBidi"/>
              <w:noProof/>
              <w:sz w:val="22"/>
              <w:szCs w:val="22"/>
              <w:lang w:eastAsia="es-MX"/>
            </w:rPr>
          </w:pPr>
          <w:hyperlink w:anchor="_Toc223621135" w:history="1">
            <w:r w:rsidRPr="005B1ADA">
              <w:rPr>
                <w:rStyle w:val="Hipervnculo"/>
                <w:rFonts w:ascii="Palatino Linotype" w:eastAsia="Calibri" w:hAnsi="Palatino Linotype"/>
                <w:noProof/>
                <w:sz w:val="22"/>
                <w:szCs w:val="22"/>
              </w:rPr>
              <w:t>R E S U E L V E:</w:t>
            </w:r>
            <w:r w:rsidRPr="005B1ADA">
              <w:rPr>
                <w:rFonts w:ascii="Palatino Linotype" w:hAnsi="Palatino Linotype"/>
                <w:noProof/>
                <w:webHidden/>
                <w:sz w:val="22"/>
                <w:szCs w:val="22"/>
              </w:rPr>
              <w:tab/>
            </w:r>
            <w:r w:rsidRPr="005B1ADA">
              <w:rPr>
                <w:rFonts w:ascii="Palatino Linotype" w:hAnsi="Palatino Linotype"/>
                <w:noProof/>
                <w:webHidden/>
                <w:sz w:val="22"/>
                <w:szCs w:val="22"/>
              </w:rPr>
              <w:fldChar w:fldCharType="begin"/>
            </w:r>
            <w:r w:rsidRPr="005B1ADA">
              <w:rPr>
                <w:rFonts w:ascii="Palatino Linotype" w:hAnsi="Palatino Linotype"/>
                <w:noProof/>
                <w:webHidden/>
                <w:sz w:val="22"/>
                <w:szCs w:val="22"/>
              </w:rPr>
              <w:instrText xml:space="preserve"> PAGEREF _Toc223621135 \h </w:instrText>
            </w:r>
            <w:r w:rsidRPr="005B1ADA">
              <w:rPr>
                <w:rFonts w:ascii="Palatino Linotype" w:hAnsi="Palatino Linotype"/>
                <w:noProof/>
                <w:webHidden/>
                <w:sz w:val="22"/>
                <w:szCs w:val="22"/>
              </w:rPr>
            </w:r>
            <w:r w:rsidRPr="005B1ADA">
              <w:rPr>
                <w:rFonts w:ascii="Palatino Linotype" w:hAnsi="Palatino Linotype"/>
                <w:noProof/>
                <w:webHidden/>
                <w:sz w:val="22"/>
                <w:szCs w:val="22"/>
              </w:rPr>
              <w:fldChar w:fldCharType="separate"/>
            </w:r>
            <w:r w:rsidR="00C06259">
              <w:rPr>
                <w:rFonts w:ascii="Palatino Linotype" w:hAnsi="Palatino Linotype"/>
                <w:noProof/>
                <w:webHidden/>
                <w:sz w:val="22"/>
                <w:szCs w:val="22"/>
              </w:rPr>
              <w:t>14</w:t>
            </w:r>
            <w:r w:rsidRPr="005B1ADA">
              <w:rPr>
                <w:rFonts w:ascii="Palatino Linotype" w:hAnsi="Palatino Linotype"/>
                <w:noProof/>
                <w:webHidden/>
                <w:sz w:val="22"/>
                <w:szCs w:val="22"/>
              </w:rPr>
              <w:fldChar w:fldCharType="end"/>
            </w:r>
          </w:hyperlink>
        </w:p>
        <w:p w14:paraId="24108871" w14:textId="7763D2A4" w:rsidR="002B4A91" w:rsidRPr="00BF1B3E" w:rsidRDefault="002B4A91" w:rsidP="00BF1B3E">
          <w:pPr>
            <w:widowControl w:val="0"/>
            <w:pBdr>
              <w:top w:val="nil"/>
              <w:left w:val="nil"/>
              <w:bottom w:val="nil"/>
              <w:right w:val="nil"/>
              <w:between w:val="nil"/>
            </w:pBdr>
            <w:spacing w:line="360" w:lineRule="auto"/>
            <w:ind w:left="720" w:hanging="720"/>
            <w:contextualSpacing/>
            <w:jc w:val="both"/>
            <w:rPr>
              <w:rFonts w:ascii="Palatino Linotype" w:hAnsi="Palatino Linotype"/>
              <w:sz w:val="22"/>
              <w:szCs w:val="22"/>
            </w:rPr>
          </w:pPr>
          <w:r w:rsidRPr="005B1ADA">
            <w:rPr>
              <w:rFonts w:ascii="Palatino Linotype" w:hAnsi="Palatino Linotype"/>
              <w:sz w:val="22"/>
              <w:szCs w:val="22"/>
              <w:lang w:val="es-ES"/>
            </w:rPr>
            <w:fldChar w:fldCharType="end"/>
          </w:r>
        </w:p>
      </w:sdtContent>
    </w:sdt>
    <w:p w14:paraId="294F15B1" w14:textId="77777777" w:rsidR="002B4A91" w:rsidRPr="00BF1B3E" w:rsidRDefault="002B4A91" w:rsidP="00BF1B3E">
      <w:pPr>
        <w:keepNext/>
        <w:keepLines/>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2"/>
          <w:szCs w:val="22"/>
        </w:rPr>
      </w:pPr>
      <w:bookmarkStart w:id="0" w:name="_heading=h.t77kwk8e2ch7" w:colFirst="0" w:colLast="0"/>
      <w:bookmarkEnd w:id="0"/>
    </w:p>
    <w:p w14:paraId="59FFFB72" w14:textId="77777777" w:rsidR="002B4A91" w:rsidRPr="00BF1B3E" w:rsidRDefault="002B4A91" w:rsidP="00BF1B3E">
      <w:pPr>
        <w:spacing w:line="360" w:lineRule="auto"/>
        <w:ind w:right="-28"/>
        <w:contextualSpacing/>
        <w:jc w:val="both"/>
        <w:rPr>
          <w:rFonts w:ascii="Palatino Linotype" w:eastAsia="Palatino Linotype" w:hAnsi="Palatino Linotype" w:cs="Palatino Linotype"/>
          <w:color w:val="000000"/>
          <w:sz w:val="22"/>
          <w:szCs w:val="22"/>
        </w:rPr>
      </w:pPr>
    </w:p>
    <w:p w14:paraId="4C5E1D94" w14:textId="77777777" w:rsidR="002B4A91" w:rsidRPr="00BF1B3E" w:rsidRDefault="002B4A91" w:rsidP="00BF1B3E">
      <w:pPr>
        <w:spacing w:line="360" w:lineRule="auto"/>
        <w:ind w:right="-28"/>
        <w:contextualSpacing/>
        <w:jc w:val="both"/>
        <w:rPr>
          <w:rFonts w:ascii="Palatino Linotype" w:eastAsia="Palatino Linotype" w:hAnsi="Palatino Linotype" w:cs="Palatino Linotype"/>
          <w:color w:val="000000"/>
          <w:sz w:val="22"/>
          <w:szCs w:val="22"/>
        </w:rPr>
      </w:pPr>
    </w:p>
    <w:p w14:paraId="51A19673" w14:textId="77777777" w:rsidR="002B4A91" w:rsidRPr="00BF1B3E" w:rsidRDefault="002B4A91" w:rsidP="00BF1B3E">
      <w:pPr>
        <w:spacing w:line="360" w:lineRule="auto"/>
        <w:ind w:right="-28"/>
        <w:contextualSpacing/>
        <w:jc w:val="both"/>
        <w:rPr>
          <w:rFonts w:ascii="Palatino Linotype" w:eastAsia="Palatino Linotype" w:hAnsi="Palatino Linotype" w:cs="Palatino Linotype"/>
          <w:color w:val="000000"/>
          <w:sz w:val="22"/>
          <w:szCs w:val="22"/>
        </w:rPr>
      </w:pPr>
    </w:p>
    <w:p w14:paraId="3F1591E5" w14:textId="77777777" w:rsidR="002B4A91" w:rsidRPr="00BF1B3E" w:rsidRDefault="002B4A91" w:rsidP="00BF1B3E">
      <w:pPr>
        <w:spacing w:line="360" w:lineRule="auto"/>
        <w:ind w:right="-28"/>
        <w:contextualSpacing/>
        <w:jc w:val="both"/>
        <w:rPr>
          <w:rFonts w:ascii="Palatino Linotype" w:eastAsia="Palatino Linotype" w:hAnsi="Palatino Linotype" w:cs="Palatino Linotype"/>
          <w:color w:val="000000"/>
          <w:sz w:val="22"/>
          <w:szCs w:val="22"/>
        </w:rPr>
      </w:pPr>
    </w:p>
    <w:p w14:paraId="398AC90C" w14:textId="77777777" w:rsidR="002B4A91" w:rsidRPr="00BF1B3E" w:rsidRDefault="002B4A91" w:rsidP="00BF1B3E">
      <w:pPr>
        <w:spacing w:line="360" w:lineRule="auto"/>
        <w:ind w:right="-28"/>
        <w:contextualSpacing/>
        <w:jc w:val="both"/>
        <w:rPr>
          <w:rFonts w:ascii="Palatino Linotype" w:eastAsia="Palatino Linotype" w:hAnsi="Palatino Linotype" w:cs="Palatino Linotype"/>
          <w:color w:val="000000"/>
          <w:sz w:val="22"/>
          <w:szCs w:val="22"/>
        </w:rPr>
      </w:pPr>
    </w:p>
    <w:p w14:paraId="1C4F9672" w14:textId="77777777" w:rsidR="002B4A91" w:rsidRPr="00BF1B3E" w:rsidRDefault="002B4A91" w:rsidP="00BF1B3E">
      <w:pPr>
        <w:spacing w:line="360" w:lineRule="auto"/>
        <w:ind w:right="-28"/>
        <w:contextualSpacing/>
        <w:jc w:val="both"/>
        <w:rPr>
          <w:rFonts w:ascii="Palatino Linotype" w:hAnsi="Palatino Linotype" w:cs="Tahoma"/>
          <w:sz w:val="22"/>
          <w:szCs w:val="22"/>
        </w:rPr>
      </w:pPr>
    </w:p>
    <w:p w14:paraId="344B5906" w14:textId="77777777" w:rsidR="002B4A91" w:rsidRPr="00BF1B3E" w:rsidRDefault="002B4A91" w:rsidP="00BF1B3E">
      <w:pPr>
        <w:spacing w:line="360" w:lineRule="auto"/>
        <w:ind w:right="-28"/>
        <w:contextualSpacing/>
        <w:jc w:val="both"/>
        <w:rPr>
          <w:rFonts w:ascii="Palatino Linotype" w:hAnsi="Palatino Linotype" w:cs="Tahoma"/>
          <w:sz w:val="22"/>
          <w:szCs w:val="22"/>
        </w:rPr>
      </w:pPr>
    </w:p>
    <w:p w14:paraId="0EF1A36F" w14:textId="77777777"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p>
    <w:p w14:paraId="67178F1F" w14:textId="77777777"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p>
    <w:p w14:paraId="0DDA8224" w14:textId="5C84D758"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Resolución del Pleno del Instituto de Transparencia, Acceso a la Información Pública y Protección de Datos Personales del Estado de México y Municipios, con domicilio en Metepec, Estado de México, del cinco de marzo de dos mil veintiséis.</w:t>
      </w:r>
    </w:p>
    <w:p w14:paraId="12BF4572" w14:textId="77777777"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p>
    <w:p w14:paraId="4ED7D9E4" w14:textId="35DCA526"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b/>
          <w:color w:val="0D0D0D"/>
          <w:sz w:val="22"/>
          <w:szCs w:val="22"/>
        </w:rPr>
        <w:t xml:space="preserve">VISTO </w:t>
      </w:r>
      <w:r w:rsidRPr="00BF1B3E">
        <w:rPr>
          <w:rFonts w:ascii="Palatino Linotype" w:eastAsia="Palatino Linotype" w:hAnsi="Palatino Linotype" w:cs="Palatino Linotype"/>
          <w:color w:val="0D0D0D"/>
          <w:sz w:val="22"/>
          <w:szCs w:val="22"/>
        </w:rPr>
        <w:t xml:space="preserve">el expediente conformado con motivo del Recurso de Revisión </w:t>
      </w:r>
      <w:r w:rsidRPr="008C4E21">
        <w:rPr>
          <w:rFonts w:ascii="Palatino Linotype" w:eastAsia="Palatino Linotype" w:hAnsi="Palatino Linotype" w:cs="Palatino Linotype"/>
          <w:b/>
          <w:bCs/>
          <w:sz w:val="22"/>
          <w:szCs w:val="22"/>
        </w:rPr>
        <w:t>01891/INFOEM/IP/RR/2026</w:t>
      </w:r>
      <w:r w:rsidRPr="00BF1B3E">
        <w:rPr>
          <w:rFonts w:ascii="Palatino Linotype" w:eastAsia="Palatino Linotype" w:hAnsi="Palatino Linotype" w:cs="Palatino Linotype"/>
          <w:bCs/>
          <w:sz w:val="22"/>
          <w:szCs w:val="22"/>
        </w:rPr>
        <w:t xml:space="preserve">, </w:t>
      </w:r>
      <w:r w:rsidRPr="00BF1B3E">
        <w:rPr>
          <w:rFonts w:ascii="Palatino Linotype" w:eastAsia="Palatino Linotype" w:hAnsi="Palatino Linotype" w:cs="Palatino Linotype"/>
          <w:bCs/>
          <w:color w:val="0D0D0D"/>
          <w:sz w:val="22"/>
          <w:szCs w:val="22"/>
        </w:rPr>
        <w:t xml:space="preserve">interpuesto por </w:t>
      </w:r>
      <w:r w:rsidR="00E12835" w:rsidRPr="00E12835">
        <w:rPr>
          <w:rFonts w:ascii="Palatino Linotype" w:eastAsia="Palatino Linotype" w:hAnsi="Palatino Linotype" w:cs="Palatino Linotype"/>
          <w:bCs/>
          <w:color w:val="0D0D0D"/>
          <w:sz w:val="22"/>
          <w:szCs w:val="22"/>
          <w:highlight w:val="black"/>
        </w:rPr>
        <w:t>XXXXXXXXX</w:t>
      </w:r>
      <w:r w:rsidRPr="00BF1B3E">
        <w:rPr>
          <w:rFonts w:ascii="Palatino Linotype" w:eastAsia="Palatino Linotype" w:hAnsi="Palatino Linotype" w:cs="Palatino Linotype"/>
          <w:bCs/>
          <w:color w:val="0D0D0D"/>
          <w:sz w:val="22"/>
          <w:szCs w:val="22"/>
        </w:rPr>
        <w:t xml:space="preserve">, en lo sucesivo </w:t>
      </w:r>
      <w:r w:rsidRPr="00BF1B3E">
        <w:rPr>
          <w:rFonts w:ascii="Palatino Linotype" w:eastAsia="Palatino Linotype" w:hAnsi="Palatino Linotype" w:cs="Palatino Linotype"/>
          <w:bCs/>
          <w:sz w:val="22"/>
          <w:szCs w:val="22"/>
        </w:rPr>
        <w:t xml:space="preserve">la </w:t>
      </w:r>
      <w:r w:rsidRPr="00BF1B3E">
        <w:rPr>
          <w:rFonts w:ascii="Palatino Linotype" w:eastAsia="Palatino Linotype" w:hAnsi="Palatino Linotype" w:cs="Palatino Linotype"/>
          <w:bCs/>
          <w:color w:val="0D0D0D"/>
          <w:sz w:val="22"/>
          <w:szCs w:val="22"/>
        </w:rPr>
        <w:t xml:space="preserve">Recurrente o Particular, en contra de la respuesta del Sujeto Obligado, </w:t>
      </w:r>
      <w:r w:rsidRPr="008C4E21">
        <w:rPr>
          <w:rFonts w:ascii="Palatino Linotype" w:eastAsia="Palatino Linotype" w:hAnsi="Palatino Linotype" w:cs="Palatino Linotype"/>
          <w:b/>
          <w:bCs/>
          <w:color w:val="0D0D0D"/>
          <w:sz w:val="22"/>
          <w:szCs w:val="22"/>
        </w:rPr>
        <w:t>Ayuntamiento de Tlalnepantla de Baz,</w:t>
      </w:r>
      <w:r w:rsidRPr="00BF1B3E">
        <w:rPr>
          <w:rFonts w:ascii="Palatino Linotype" w:eastAsia="Palatino Linotype" w:hAnsi="Palatino Linotype" w:cs="Palatino Linotype"/>
          <w:bCs/>
          <w:color w:val="0D0D0D"/>
          <w:sz w:val="22"/>
          <w:szCs w:val="22"/>
        </w:rPr>
        <w:t xml:space="preserve"> a</w:t>
      </w:r>
      <w:r w:rsidRPr="00BF1B3E">
        <w:rPr>
          <w:rFonts w:ascii="Palatino Linotype" w:eastAsia="Palatino Linotype" w:hAnsi="Palatino Linotype" w:cs="Palatino Linotype"/>
          <w:color w:val="0D0D0D"/>
          <w:sz w:val="22"/>
          <w:szCs w:val="22"/>
        </w:rPr>
        <w:t xml:space="preserve"> la solicitud de acceso a la información pública </w:t>
      </w:r>
      <w:r w:rsidRPr="00BF1B3E">
        <w:rPr>
          <w:rFonts w:ascii="Palatino Linotype" w:eastAsia="Palatino Linotype" w:hAnsi="Palatino Linotype" w:cs="Palatino Linotype"/>
          <w:sz w:val="22"/>
          <w:szCs w:val="22"/>
        </w:rPr>
        <w:t>00160/TLALNEPA/IP/2026</w:t>
      </w:r>
      <w:r w:rsidRPr="00BF1B3E">
        <w:rPr>
          <w:rFonts w:ascii="Palatino Linotype" w:eastAsia="Palatino Linotype" w:hAnsi="Palatino Linotype" w:cs="Palatino Linotype"/>
          <w:color w:val="0D0D0D"/>
          <w:sz w:val="22"/>
          <w:szCs w:val="22"/>
        </w:rPr>
        <w:t>, se emite la presente Resolución, con base en los Antecedentes y C</w:t>
      </w:r>
      <w:r w:rsidRPr="00BF1B3E">
        <w:rPr>
          <w:rFonts w:ascii="Palatino Linotype" w:eastAsia="Palatino Linotype" w:hAnsi="Palatino Linotype" w:cs="Palatino Linotype"/>
          <w:sz w:val="22"/>
          <w:szCs w:val="22"/>
        </w:rPr>
        <w:t>onsiderandos que a continuación se exponen:</w:t>
      </w:r>
    </w:p>
    <w:p w14:paraId="49CED180" w14:textId="77777777"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p>
    <w:p w14:paraId="1E47F4E4" w14:textId="77777777" w:rsidR="002B4A91" w:rsidRPr="00BF1B3E" w:rsidRDefault="002B4A91" w:rsidP="00BF1B3E">
      <w:pPr>
        <w:pStyle w:val="Ttulo1"/>
        <w:spacing w:before="0" w:after="0" w:line="360" w:lineRule="auto"/>
        <w:contextualSpacing/>
        <w:jc w:val="center"/>
        <w:rPr>
          <w:rFonts w:ascii="Palatino Linotype" w:hAnsi="Palatino Linotype"/>
          <w:b/>
          <w:bCs/>
          <w:color w:val="auto"/>
          <w:sz w:val="22"/>
          <w:szCs w:val="22"/>
        </w:rPr>
      </w:pPr>
      <w:bookmarkStart w:id="1" w:name="_Toc223621124"/>
      <w:r w:rsidRPr="00BF1B3E">
        <w:rPr>
          <w:rFonts w:ascii="Palatino Linotype" w:hAnsi="Palatino Linotype"/>
          <w:b/>
          <w:bCs/>
          <w:color w:val="auto"/>
          <w:sz w:val="22"/>
          <w:szCs w:val="22"/>
        </w:rPr>
        <w:t>A N T E C E D E N T E S</w:t>
      </w:r>
      <w:bookmarkEnd w:id="1"/>
    </w:p>
    <w:p w14:paraId="498A9D0E" w14:textId="77777777" w:rsidR="002B4A91" w:rsidRPr="00BF1B3E" w:rsidRDefault="002B4A91" w:rsidP="00BF1B3E">
      <w:pPr>
        <w:spacing w:line="360" w:lineRule="auto"/>
        <w:contextualSpacing/>
        <w:jc w:val="both"/>
        <w:rPr>
          <w:rFonts w:ascii="Palatino Linotype" w:hAnsi="Palatino Linotype"/>
          <w:sz w:val="22"/>
          <w:szCs w:val="22"/>
        </w:rPr>
      </w:pPr>
    </w:p>
    <w:p w14:paraId="65B7EDD6" w14:textId="77777777" w:rsidR="002B4A91" w:rsidRPr="00BF1B3E" w:rsidRDefault="002B4A91" w:rsidP="00BF1B3E">
      <w:pPr>
        <w:pStyle w:val="Ttulo2"/>
        <w:spacing w:before="0" w:after="0" w:line="360" w:lineRule="auto"/>
        <w:contextualSpacing/>
        <w:jc w:val="both"/>
        <w:rPr>
          <w:rFonts w:ascii="Palatino Linotype" w:hAnsi="Palatino Linotype"/>
          <w:b/>
          <w:bCs/>
          <w:color w:val="auto"/>
          <w:sz w:val="22"/>
          <w:szCs w:val="22"/>
        </w:rPr>
      </w:pPr>
      <w:bookmarkStart w:id="2" w:name="_Toc223621125"/>
      <w:r w:rsidRPr="00BF1B3E">
        <w:rPr>
          <w:rFonts w:ascii="Palatino Linotype" w:hAnsi="Palatino Linotype"/>
          <w:b/>
          <w:bCs/>
          <w:color w:val="auto"/>
          <w:sz w:val="22"/>
          <w:szCs w:val="22"/>
        </w:rPr>
        <w:t>I. Presentación de la solicitud de información</w:t>
      </w:r>
      <w:bookmarkEnd w:id="2"/>
    </w:p>
    <w:p w14:paraId="5C2C1D15" w14:textId="77777777" w:rsidR="002B4A91" w:rsidRPr="00BF1B3E" w:rsidRDefault="002B4A91" w:rsidP="00BF1B3E">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sz w:val="22"/>
          <w:szCs w:val="22"/>
        </w:rPr>
      </w:pPr>
    </w:p>
    <w:p w14:paraId="23648F83" w14:textId="6686417D" w:rsidR="002B4A91" w:rsidRPr="00BF1B3E" w:rsidRDefault="002B4A91" w:rsidP="00BF1B3E">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sz w:val="22"/>
          <w:szCs w:val="22"/>
        </w:rPr>
      </w:pPr>
      <w:r w:rsidRPr="00BF1B3E">
        <w:rPr>
          <w:rFonts w:ascii="Palatino Linotype" w:eastAsia="Palatino Linotype" w:hAnsi="Palatino Linotype" w:cs="Palatino Linotype"/>
          <w:color w:val="000000"/>
          <w:sz w:val="22"/>
          <w:szCs w:val="22"/>
        </w:rPr>
        <w:t>Con fecha cuatro de febrero de dos mil veintiséis, la Particular presentó una solicitud de acceso a la información pública, a través del Sistema de Acceso a la Información Mexiquense, en lo sucesivo el SAIMEX, ante el Ayuntamiento de Tlalnepantla de Baz, mediante la cual requirió lo siguiente:</w:t>
      </w:r>
    </w:p>
    <w:p w14:paraId="63E2691B" w14:textId="77777777" w:rsidR="002B4A91" w:rsidRPr="00BF1B3E" w:rsidRDefault="002B4A91" w:rsidP="00BF1B3E">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b/>
          <w:color w:val="000000"/>
          <w:sz w:val="22"/>
          <w:szCs w:val="22"/>
        </w:rPr>
      </w:pPr>
    </w:p>
    <w:p w14:paraId="7FE72CD0" w14:textId="77777777" w:rsidR="002B4A91" w:rsidRPr="00BF1B3E" w:rsidRDefault="002B4A91" w:rsidP="00BF1B3E">
      <w:pPr>
        <w:tabs>
          <w:tab w:val="left" w:pos="4667"/>
        </w:tabs>
        <w:spacing w:line="360" w:lineRule="auto"/>
        <w:ind w:left="567" w:right="567"/>
        <w:contextualSpacing/>
        <w:jc w:val="both"/>
        <w:rPr>
          <w:rFonts w:ascii="Palatino Linotype" w:eastAsia="Palatino Linotype" w:hAnsi="Palatino Linotype" w:cs="Palatino Linotype"/>
          <w:b/>
          <w:i/>
        </w:rPr>
      </w:pPr>
      <w:r w:rsidRPr="00BF1B3E">
        <w:rPr>
          <w:rFonts w:ascii="Palatino Linotype" w:eastAsia="Palatino Linotype" w:hAnsi="Palatino Linotype" w:cs="Palatino Linotype"/>
          <w:b/>
          <w:i/>
        </w:rPr>
        <w:t>“DESCRIPCIÓN CLARA Y PRECISA DE LA INFORMACIÓN SOLICITADA</w:t>
      </w:r>
    </w:p>
    <w:p w14:paraId="62AF1901" w14:textId="3C0AEAB2" w:rsidR="002B4A91" w:rsidRPr="00BF1B3E" w:rsidRDefault="00BF1B3E" w:rsidP="00BF1B3E">
      <w:pPr>
        <w:spacing w:line="360" w:lineRule="auto"/>
        <w:ind w:left="567" w:right="567"/>
        <w:contextualSpacing/>
        <w:jc w:val="both"/>
        <w:rPr>
          <w:rFonts w:ascii="Palatino Linotype" w:eastAsia="Palatino Linotype" w:hAnsi="Palatino Linotype" w:cs="Palatino Linotype"/>
          <w:i/>
        </w:rPr>
      </w:pPr>
      <w:r w:rsidRPr="00BF1B3E">
        <w:rPr>
          <w:rFonts w:ascii="Palatino Linotype" w:eastAsia="Palatino Linotype" w:hAnsi="Palatino Linotype" w:cs="Palatino Linotype"/>
          <w:i/>
        </w:rPr>
        <w:t xml:space="preserve">SOLICITO SE INFORME SI EL SERVIDOR PUBLICO MARÍA FERNANDA BAZÁN CHAMBILLA TIENE FAMILIARES HASTA CUARTO GRADO DE CONSAGUINIDAD, LLAMESE, MADRE, PADRE, HIJO, HIJA, TIO, TIA, ABUELA, ABUELO, PRIMOS, PRIMAS, HERMANOS, HERMANAS,SOBRINOS, PAREJA, O FAMILIAR </w:t>
      </w:r>
      <w:r w:rsidRPr="00BF1B3E">
        <w:rPr>
          <w:rFonts w:ascii="Palatino Linotype" w:eastAsia="Palatino Linotype" w:hAnsi="Palatino Linotype" w:cs="Palatino Linotype"/>
          <w:i/>
        </w:rPr>
        <w:lastRenderedPageBreak/>
        <w:t xml:space="preserve">CONSANGUINIO DIRECTO, TRABAJANDO EN LA ADMINISTRACIÓN PÚBLICA MUNICIPAL, OPDM, DIF, </w:t>
      </w:r>
      <w:proofErr w:type="spellStart"/>
      <w:r w:rsidRPr="00BF1B3E">
        <w:rPr>
          <w:rFonts w:ascii="Palatino Linotype" w:eastAsia="Palatino Linotype" w:hAnsi="Palatino Linotype" w:cs="Palatino Linotype"/>
          <w:i/>
        </w:rPr>
        <w:t>IMCUFyDE</w:t>
      </w:r>
      <w:proofErr w:type="spellEnd"/>
      <w:r w:rsidRPr="00BF1B3E">
        <w:rPr>
          <w:rFonts w:ascii="Palatino Linotype" w:eastAsia="Palatino Linotype" w:hAnsi="Palatino Linotype" w:cs="Palatino Linotype"/>
          <w:i/>
        </w:rPr>
        <w:t>, DE TLALNEPANTLA DE BAZ</w:t>
      </w:r>
      <w:r w:rsidR="002B4A91" w:rsidRPr="00BF1B3E">
        <w:rPr>
          <w:rFonts w:ascii="Palatino Linotype" w:eastAsia="Palatino Linotype" w:hAnsi="Palatino Linotype" w:cs="Palatino Linotype"/>
          <w:i/>
        </w:rPr>
        <w:t>.” (Sic).</w:t>
      </w:r>
    </w:p>
    <w:p w14:paraId="725F1580" w14:textId="77777777" w:rsidR="002B4A91" w:rsidRPr="00BF1B3E" w:rsidRDefault="002B4A91" w:rsidP="00BF1B3E">
      <w:pPr>
        <w:pBdr>
          <w:top w:val="nil"/>
          <w:left w:val="nil"/>
          <w:bottom w:val="nil"/>
          <w:right w:val="nil"/>
          <w:between w:val="nil"/>
        </w:pBdr>
        <w:tabs>
          <w:tab w:val="left" w:pos="567"/>
        </w:tabs>
        <w:spacing w:line="360" w:lineRule="auto"/>
        <w:ind w:right="567"/>
        <w:contextualSpacing/>
        <w:jc w:val="both"/>
        <w:rPr>
          <w:rFonts w:ascii="Palatino Linotype" w:eastAsia="Palatino Linotype" w:hAnsi="Palatino Linotype" w:cs="Palatino Linotype"/>
          <w:b/>
          <w:i/>
          <w:color w:val="000000"/>
          <w:sz w:val="22"/>
          <w:szCs w:val="22"/>
        </w:rPr>
      </w:pPr>
    </w:p>
    <w:p w14:paraId="44C8BD0C" w14:textId="77777777" w:rsidR="002B4A91" w:rsidRPr="00BF1B3E" w:rsidRDefault="002B4A91" w:rsidP="00BF1B3E">
      <w:pPr>
        <w:tabs>
          <w:tab w:val="left" w:pos="4667"/>
        </w:tabs>
        <w:spacing w:line="360" w:lineRule="auto"/>
        <w:ind w:left="567" w:right="567"/>
        <w:contextualSpacing/>
        <w:jc w:val="both"/>
        <w:rPr>
          <w:rFonts w:ascii="Palatino Linotype" w:eastAsia="Palatino Linotype" w:hAnsi="Palatino Linotype" w:cs="Palatino Linotype"/>
          <w:i/>
        </w:rPr>
      </w:pPr>
      <w:r w:rsidRPr="00BF1B3E">
        <w:rPr>
          <w:rFonts w:ascii="Palatino Linotype" w:eastAsia="Palatino Linotype" w:hAnsi="Palatino Linotype" w:cs="Palatino Linotype"/>
          <w:b/>
          <w:i/>
        </w:rPr>
        <w:t xml:space="preserve">Modalidad de Entrega: </w:t>
      </w:r>
      <w:r w:rsidRPr="00BF1B3E">
        <w:rPr>
          <w:rFonts w:ascii="Palatino Linotype" w:eastAsia="Palatino Linotype" w:hAnsi="Palatino Linotype" w:cs="Palatino Linotype"/>
          <w:i/>
        </w:rPr>
        <w:t>A través de SAIMEX.</w:t>
      </w:r>
    </w:p>
    <w:p w14:paraId="64093E6A" w14:textId="77777777" w:rsidR="002B4A91" w:rsidRPr="00BF1B3E" w:rsidRDefault="002B4A91" w:rsidP="00BF1B3E">
      <w:pPr>
        <w:spacing w:line="360" w:lineRule="auto"/>
        <w:contextualSpacing/>
        <w:jc w:val="both"/>
        <w:rPr>
          <w:rFonts w:ascii="Palatino Linotype" w:hAnsi="Palatino Linotype"/>
          <w:sz w:val="22"/>
          <w:szCs w:val="22"/>
        </w:rPr>
      </w:pPr>
      <w:bookmarkStart w:id="3" w:name="_Hlk216887448"/>
    </w:p>
    <w:p w14:paraId="3EB2DF04" w14:textId="77777777" w:rsidR="00C7191F" w:rsidRPr="00BF1B3E" w:rsidRDefault="00C7191F" w:rsidP="00BF1B3E">
      <w:pPr>
        <w:pStyle w:val="Ttulo2"/>
        <w:rPr>
          <w:rFonts w:ascii="Palatino Linotype" w:hAnsi="Palatino Linotype"/>
          <w:b/>
          <w:bCs/>
          <w:color w:val="auto"/>
          <w:sz w:val="22"/>
          <w:szCs w:val="22"/>
        </w:rPr>
      </w:pPr>
      <w:bookmarkStart w:id="4" w:name="_Toc223621126"/>
      <w:r w:rsidRPr="00BF1B3E">
        <w:rPr>
          <w:rFonts w:ascii="Palatino Linotype" w:hAnsi="Palatino Linotype"/>
          <w:b/>
          <w:bCs/>
          <w:color w:val="auto"/>
          <w:sz w:val="22"/>
          <w:szCs w:val="22"/>
        </w:rPr>
        <w:t>II. Declaración de incompetencia parcial.</w:t>
      </w:r>
      <w:bookmarkEnd w:id="4"/>
      <w:r w:rsidRPr="00BF1B3E">
        <w:rPr>
          <w:rFonts w:ascii="Palatino Linotype" w:hAnsi="Palatino Linotype"/>
          <w:b/>
          <w:bCs/>
          <w:color w:val="auto"/>
          <w:sz w:val="22"/>
          <w:szCs w:val="22"/>
        </w:rPr>
        <w:t xml:space="preserve"> </w:t>
      </w:r>
    </w:p>
    <w:p w14:paraId="14BFB3D9" w14:textId="77777777" w:rsidR="00C7191F" w:rsidRPr="00BF1B3E" w:rsidRDefault="00C7191F" w:rsidP="00BF1B3E">
      <w:pPr>
        <w:spacing w:line="360" w:lineRule="auto"/>
        <w:contextualSpacing/>
        <w:jc w:val="both"/>
        <w:rPr>
          <w:rFonts w:ascii="Palatino Linotype" w:hAnsi="Palatino Linotype"/>
          <w:b/>
          <w:bCs/>
          <w:sz w:val="22"/>
          <w:szCs w:val="22"/>
        </w:rPr>
      </w:pPr>
    </w:p>
    <w:p w14:paraId="651BCE0A" w14:textId="2D7B3AFA" w:rsidR="00C7191F" w:rsidRPr="00BF1B3E" w:rsidRDefault="00C7191F" w:rsidP="00BF1B3E">
      <w:pPr>
        <w:spacing w:line="360" w:lineRule="auto"/>
        <w:contextualSpacing/>
        <w:jc w:val="both"/>
        <w:rPr>
          <w:rFonts w:ascii="Palatino Linotype" w:hAnsi="Palatino Linotype"/>
          <w:sz w:val="22"/>
          <w:szCs w:val="22"/>
        </w:rPr>
      </w:pPr>
      <w:r w:rsidRPr="00BF1B3E">
        <w:rPr>
          <w:rFonts w:ascii="Palatino Linotype" w:hAnsi="Palatino Linotype"/>
          <w:sz w:val="22"/>
          <w:szCs w:val="22"/>
        </w:rPr>
        <w:t>Con fecha cuatro de febrero de dos mil veintiséis, el Sujeto Obligado proporcionó el oficio número UTAIM/0259/2026 de fecha de su presentación, a través del cual declara incompetencia parcial  para conocer la información solicitada respecto del Organismo Público Descentralizado para la Prestación de Servicios de Agua Potable, Alcantarillado y Saneamiento del Municipio de Tlalnepantla, Sistema Municipal para el Desarrollo Integral de la Familia, y del Instituto Municipal de Cultura Física y Deporte de Tlalnepantla a ser organismos desconcentrados los cuales cuentan con obligaciones de transparencia.</w:t>
      </w:r>
    </w:p>
    <w:p w14:paraId="54867A61" w14:textId="77777777" w:rsidR="00C7191F" w:rsidRPr="00BF1B3E" w:rsidRDefault="00C7191F" w:rsidP="00BF1B3E">
      <w:pPr>
        <w:spacing w:line="360" w:lineRule="auto"/>
        <w:contextualSpacing/>
        <w:jc w:val="both"/>
        <w:rPr>
          <w:rFonts w:ascii="Palatino Linotype" w:hAnsi="Palatino Linotype"/>
          <w:sz w:val="22"/>
          <w:szCs w:val="22"/>
        </w:rPr>
      </w:pPr>
    </w:p>
    <w:p w14:paraId="51AC462B" w14:textId="6B925685" w:rsidR="002B4A91" w:rsidRPr="00BF1B3E" w:rsidRDefault="002B4A91" w:rsidP="00BF1B3E">
      <w:pPr>
        <w:pStyle w:val="Ttulo2"/>
        <w:spacing w:before="0" w:after="0" w:line="360" w:lineRule="auto"/>
        <w:contextualSpacing/>
        <w:jc w:val="both"/>
        <w:rPr>
          <w:rFonts w:ascii="Palatino Linotype" w:eastAsia="Palatino Linotype" w:hAnsi="Palatino Linotype"/>
          <w:b/>
          <w:bCs/>
          <w:color w:val="auto"/>
          <w:sz w:val="22"/>
          <w:szCs w:val="22"/>
        </w:rPr>
      </w:pPr>
      <w:bookmarkStart w:id="5" w:name="_heading=h.270ugglvhyo" w:colFirst="0" w:colLast="0"/>
      <w:bookmarkStart w:id="6" w:name="_Toc223621127"/>
      <w:bookmarkEnd w:id="5"/>
      <w:r w:rsidRPr="00BF1B3E">
        <w:rPr>
          <w:rFonts w:ascii="Palatino Linotype" w:eastAsia="Palatino Linotype" w:hAnsi="Palatino Linotype"/>
          <w:b/>
          <w:bCs/>
          <w:color w:val="auto"/>
          <w:sz w:val="22"/>
          <w:szCs w:val="22"/>
        </w:rPr>
        <w:t>II</w:t>
      </w:r>
      <w:r w:rsidR="00C7191F" w:rsidRPr="00BF1B3E">
        <w:rPr>
          <w:rFonts w:ascii="Palatino Linotype" w:eastAsia="Palatino Linotype" w:hAnsi="Palatino Linotype"/>
          <w:b/>
          <w:bCs/>
          <w:color w:val="auto"/>
          <w:sz w:val="22"/>
          <w:szCs w:val="22"/>
        </w:rPr>
        <w:t>I</w:t>
      </w:r>
      <w:r w:rsidRPr="00BF1B3E">
        <w:rPr>
          <w:rFonts w:ascii="Palatino Linotype" w:eastAsia="Palatino Linotype" w:hAnsi="Palatino Linotype"/>
          <w:b/>
          <w:bCs/>
          <w:color w:val="auto"/>
          <w:sz w:val="22"/>
          <w:szCs w:val="22"/>
        </w:rPr>
        <w:t>. Respuesta del Sujeto Obligado</w:t>
      </w:r>
      <w:bookmarkEnd w:id="6"/>
    </w:p>
    <w:p w14:paraId="590CBB68" w14:textId="77777777" w:rsidR="002B4A91" w:rsidRPr="00BF1B3E" w:rsidRDefault="002B4A91" w:rsidP="00BF1B3E">
      <w:pPr>
        <w:tabs>
          <w:tab w:val="left" w:pos="4667"/>
        </w:tabs>
        <w:spacing w:line="360" w:lineRule="auto"/>
        <w:contextualSpacing/>
        <w:jc w:val="both"/>
        <w:rPr>
          <w:rFonts w:ascii="Palatino Linotype" w:eastAsia="Palatino Linotype" w:hAnsi="Palatino Linotype" w:cs="Palatino Linotype"/>
          <w:b/>
          <w:sz w:val="22"/>
          <w:szCs w:val="22"/>
        </w:rPr>
      </w:pPr>
      <w:r w:rsidRPr="00BF1B3E">
        <w:rPr>
          <w:rFonts w:ascii="Palatino Linotype" w:eastAsia="Palatino Linotype" w:hAnsi="Palatino Linotype" w:cs="Palatino Linotype"/>
          <w:b/>
          <w:sz w:val="22"/>
          <w:szCs w:val="22"/>
        </w:rPr>
        <w:t xml:space="preserve"> </w:t>
      </w:r>
    </w:p>
    <w:p w14:paraId="587E722D" w14:textId="533EE5C3" w:rsidR="002B4A91" w:rsidRPr="00BF1B3E" w:rsidRDefault="002B4A91" w:rsidP="00BF1B3E">
      <w:pPr>
        <w:tabs>
          <w:tab w:val="left" w:pos="4667"/>
        </w:tabs>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 xml:space="preserve">Con fecha </w:t>
      </w:r>
      <w:r w:rsidR="00512360" w:rsidRPr="00BF1B3E">
        <w:rPr>
          <w:rFonts w:ascii="Palatino Linotype" w:eastAsia="Palatino Linotype" w:hAnsi="Palatino Linotype" w:cs="Palatino Linotype"/>
          <w:sz w:val="22"/>
          <w:szCs w:val="22"/>
        </w:rPr>
        <w:t xml:space="preserve">once de febrero </w:t>
      </w:r>
      <w:r w:rsidRPr="00BF1B3E">
        <w:rPr>
          <w:rFonts w:ascii="Palatino Linotype" w:eastAsia="Palatino Linotype" w:hAnsi="Palatino Linotype" w:cs="Palatino Linotype"/>
          <w:sz w:val="22"/>
          <w:szCs w:val="22"/>
        </w:rPr>
        <w:t>de dos mil veinti</w:t>
      </w:r>
      <w:r w:rsidR="00512360" w:rsidRPr="00BF1B3E">
        <w:rPr>
          <w:rFonts w:ascii="Palatino Linotype" w:eastAsia="Palatino Linotype" w:hAnsi="Palatino Linotype" w:cs="Palatino Linotype"/>
          <w:sz w:val="22"/>
          <w:szCs w:val="22"/>
        </w:rPr>
        <w:t>séis</w:t>
      </w:r>
      <w:r w:rsidRPr="00BF1B3E">
        <w:rPr>
          <w:rFonts w:ascii="Palatino Linotype" w:eastAsia="Palatino Linotype" w:hAnsi="Palatino Linotype" w:cs="Palatino Linotype"/>
          <w:sz w:val="22"/>
          <w:szCs w:val="22"/>
        </w:rPr>
        <w:t xml:space="preserve">, el Sujeto Obligado dio respuesta a la solicitud de acceso a la información a través del Sistema de Acceso a la Información Mexiquense (SAIMEX), mediante la digitalización de los documentos siguientes: </w:t>
      </w:r>
    </w:p>
    <w:p w14:paraId="05EF09AF" w14:textId="77777777" w:rsidR="002B4A91" w:rsidRPr="00BF1B3E" w:rsidRDefault="002B4A91" w:rsidP="00BF1B3E">
      <w:pPr>
        <w:tabs>
          <w:tab w:val="left" w:pos="4667"/>
        </w:tabs>
        <w:spacing w:line="360" w:lineRule="auto"/>
        <w:contextualSpacing/>
        <w:jc w:val="both"/>
        <w:rPr>
          <w:rFonts w:ascii="Palatino Linotype" w:eastAsia="Palatino Linotype" w:hAnsi="Palatino Linotype" w:cs="Palatino Linotype"/>
          <w:sz w:val="22"/>
          <w:szCs w:val="22"/>
        </w:rPr>
      </w:pPr>
    </w:p>
    <w:p w14:paraId="3E53302D" w14:textId="35478D28" w:rsidR="002B4A91" w:rsidRPr="00BF1B3E" w:rsidRDefault="002B4A91" w:rsidP="00BF1B3E">
      <w:pPr>
        <w:tabs>
          <w:tab w:val="left" w:pos="4667"/>
        </w:tabs>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i) Oficio número</w:t>
      </w:r>
      <w:r w:rsidR="00512360" w:rsidRPr="00BF1B3E">
        <w:rPr>
          <w:rFonts w:ascii="Palatino Linotype" w:eastAsia="Palatino Linotype" w:hAnsi="Palatino Linotype" w:cs="Palatino Linotype"/>
          <w:sz w:val="22"/>
          <w:szCs w:val="22"/>
        </w:rPr>
        <w:t xml:space="preserve"> TLA/OM/CJ/072/2026</w:t>
      </w:r>
      <w:r w:rsidRPr="00BF1B3E">
        <w:rPr>
          <w:rFonts w:ascii="Palatino Linotype" w:eastAsia="Palatino Linotype" w:hAnsi="Palatino Linotype" w:cs="Palatino Linotype"/>
          <w:sz w:val="22"/>
          <w:szCs w:val="22"/>
        </w:rPr>
        <w:t xml:space="preserve">, del </w:t>
      </w:r>
      <w:r w:rsidR="00512360" w:rsidRPr="00BF1B3E">
        <w:rPr>
          <w:rFonts w:ascii="Palatino Linotype" w:eastAsia="Palatino Linotype" w:hAnsi="Palatino Linotype" w:cs="Palatino Linotype"/>
          <w:sz w:val="22"/>
          <w:szCs w:val="22"/>
        </w:rPr>
        <w:t xml:space="preserve">nueve </w:t>
      </w:r>
      <w:r w:rsidRPr="00BF1B3E">
        <w:rPr>
          <w:rFonts w:ascii="Palatino Linotype" w:eastAsia="Palatino Linotype" w:hAnsi="Palatino Linotype" w:cs="Palatino Linotype"/>
          <w:sz w:val="22"/>
          <w:szCs w:val="22"/>
        </w:rPr>
        <w:t xml:space="preserve">de </w:t>
      </w:r>
      <w:r w:rsidR="00512360" w:rsidRPr="00BF1B3E">
        <w:rPr>
          <w:rFonts w:ascii="Palatino Linotype" w:eastAsia="Palatino Linotype" w:hAnsi="Palatino Linotype" w:cs="Palatino Linotype"/>
          <w:sz w:val="22"/>
          <w:szCs w:val="22"/>
        </w:rPr>
        <w:t xml:space="preserve">febrero </w:t>
      </w:r>
      <w:r w:rsidRPr="00BF1B3E">
        <w:rPr>
          <w:rFonts w:ascii="Palatino Linotype" w:eastAsia="Palatino Linotype" w:hAnsi="Palatino Linotype" w:cs="Palatino Linotype"/>
          <w:sz w:val="22"/>
          <w:szCs w:val="22"/>
        </w:rPr>
        <w:t>de dos mil veinti</w:t>
      </w:r>
      <w:r w:rsidR="00512360" w:rsidRPr="00BF1B3E">
        <w:rPr>
          <w:rFonts w:ascii="Palatino Linotype" w:eastAsia="Palatino Linotype" w:hAnsi="Palatino Linotype" w:cs="Palatino Linotype"/>
          <w:sz w:val="22"/>
          <w:szCs w:val="22"/>
        </w:rPr>
        <w:t>séis</w:t>
      </w:r>
      <w:r w:rsidRPr="00BF1B3E">
        <w:rPr>
          <w:rFonts w:ascii="Palatino Linotype" w:eastAsia="Palatino Linotype" w:hAnsi="Palatino Linotype" w:cs="Palatino Linotype"/>
          <w:sz w:val="22"/>
          <w:szCs w:val="22"/>
        </w:rPr>
        <w:t>, suscrito por</w:t>
      </w:r>
      <w:r w:rsidR="00512360" w:rsidRPr="00BF1B3E">
        <w:rPr>
          <w:rFonts w:ascii="Palatino Linotype" w:eastAsia="Palatino Linotype" w:hAnsi="Palatino Linotype" w:cs="Palatino Linotype"/>
          <w:sz w:val="22"/>
          <w:szCs w:val="22"/>
        </w:rPr>
        <w:t xml:space="preserve"> la Coordinadora Jurídica, </w:t>
      </w:r>
      <w:r w:rsidRPr="00BF1B3E">
        <w:rPr>
          <w:rFonts w:ascii="Palatino Linotype" w:eastAsia="Palatino Linotype" w:hAnsi="Palatino Linotype" w:cs="Palatino Linotype"/>
          <w:sz w:val="22"/>
          <w:szCs w:val="22"/>
        </w:rPr>
        <w:t xml:space="preserve"> </w:t>
      </w:r>
      <w:r w:rsidR="00512360" w:rsidRPr="00BF1B3E">
        <w:rPr>
          <w:rFonts w:ascii="Palatino Linotype" w:eastAsia="Palatino Linotype" w:hAnsi="Palatino Linotype" w:cs="Palatino Linotype"/>
          <w:sz w:val="22"/>
          <w:szCs w:val="22"/>
        </w:rPr>
        <w:t xml:space="preserve">dirigido a </w:t>
      </w:r>
      <w:r w:rsidRPr="00BF1B3E">
        <w:rPr>
          <w:rFonts w:ascii="Palatino Linotype" w:eastAsia="Palatino Linotype" w:hAnsi="Palatino Linotype" w:cs="Palatino Linotype"/>
          <w:sz w:val="22"/>
          <w:szCs w:val="22"/>
        </w:rPr>
        <w:t>l</w:t>
      </w:r>
      <w:r w:rsidR="00512360" w:rsidRPr="00BF1B3E">
        <w:rPr>
          <w:rFonts w:ascii="Palatino Linotype" w:eastAsia="Palatino Linotype" w:hAnsi="Palatino Linotype" w:cs="Palatino Linotype"/>
          <w:sz w:val="22"/>
          <w:szCs w:val="22"/>
        </w:rPr>
        <w:t>a</w:t>
      </w:r>
      <w:r w:rsidRPr="00BF1B3E">
        <w:rPr>
          <w:rFonts w:ascii="Palatino Linotype" w:eastAsia="Palatino Linotype" w:hAnsi="Palatino Linotype" w:cs="Palatino Linotype"/>
          <w:sz w:val="22"/>
          <w:szCs w:val="22"/>
        </w:rPr>
        <w:t xml:space="preserve"> Titular de la Unidad de Transparencia, a través del cual manifiesta y expone esencialmente lo siguiente:</w:t>
      </w:r>
    </w:p>
    <w:p w14:paraId="186C11A1" w14:textId="77777777" w:rsidR="002B4A91" w:rsidRPr="00BF1B3E" w:rsidRDefault="002B4A91" w:rsidP="00BF1B3E">
      <w:pPr>
        <w:spacing w:line="360" w:lineRule="auto"/>
        <w:ind w:left="567" w:right="567"/>
        <w:contextualSpacing/>
        <w:jc w:val="both"/>
        <w:rPr>
          <w:rFonts w:ascii="Palatino Linotype" w:eastAsia="Palatino Linotype" w:hAnsi="Palatino Linotype"/>
          <w:sz w:val="22"/>
          <w:szCs w:val="22"/>
        </w:rPr>
      </w:pPr>
    </w:p>
    <w:p w14:paraId="174D8524" w14:textId="48AC40F4" w:rsidR="002B4A91" w:rsidRPr="00BF1B3E" w:rsidRDefault="002B4A91" w:rsidP="00BF1B3E">
      <w:pPr>
        <w:spacing w:line="360" w:lineRule="auto"/>
        <w:ind w:left="567" w:right="567"/>
        <w:contextualSpacing/>
        <w:jc w:val="both"/>
        <w:rPr>
          <w:rFonts w:ascii="Palatino Linotype" w:eastAsia="Palatino Linotype" w:hAnsi="Palatino Linotype"/>
          <w:i/>
          <w:iCs/>
        </w:rPr>
      </w:pPr>
      <w:r w:rsidRPr="00BF1B3E">
        <w:rPr>
          <w:rFonts w:ascii="Palatino Linotype" w:eastAsia="Palatino Linotype" w:hAnsi="Palatino Linotype"/>
          <w:i/>
          <w:iCs/>
        </w:rPr>
        <w:lastRenderedPageBreak/>
        <w:t>“…</w:t>
      </w:r>
      <w:r w:rsidR="00512360" w:rsidRPr="00BF1B3E">
        <w:rPr>
          <w:rFonts w:ascii="Palatino Linotype" w:eastAsia="Palatino Linotype" w:hAnsi="Palatino Linotype"/>
          <w:i/>
          <w:iCs/>
        </w:rPr>
        <w:t>Al respecto me permito adjuntar copia simple del oficio con folio TLA/OM/SRH/0384/2026 suscrito por la Subdirectora de Recursos Humanos, mediante el cual desahoga el requerimiento de solicitud de información</w:t>
      </w:r>
      <w:r w:rsidRPr="00BF1B3E">
        <w:rPr>
          <w:rFonts w:ascii="Palatino Linotype" w:eastAsia="Palatino Linotype" w:hAnsi="Palatino Linotype"/>
          <w:i/>
          <w:iCs/>
        </w:rPr>
        <w:t>.</w:t>
      </w:r>
    </w:p>
    <w:p w14:paraId="1BD9D992" w14:textId="77777777" w:rsidR="00512360" w:rsidRPr="00BF1B3E" w:rsidRDefault="00512360" w:rsidP="00BF1B3E">
      <w:pPr>
        <w:spacing w:line="360" w:lineRule="auto"/>
        <w:ind w:left="567" w:right="567"/>
        <w:contextualSpacing/>
        <w:jc w:val="both"/>
        <w:rPr>
          <w:rFonts w:ascii="Palatino Linotype" w:eastAsia="Palatino Linotype" w:hAnsi="Palatino Linotype"/>
          <w:i/>
          <w:iCs/>
        </w:rPr>
      </w:pPr>
    </w:p>
    <w:p w14:paraId="3386D783" w14:textId="489CE6C8" w:rsidR="00512360" w:rsidRPr="00BF1B3E" w:rsidRDefault="00512360" w:rsidP="00BF1B3E">
      <w:pPr>
        <w:spacing w:line="360" w:lineRule="auto"/>
        <w:ind w:left="567" w:right="567"/>
        <w:contextualSpacing/>
        <w:jc w:val="both"/>
        <w:rPr>
          <w:rFonts w:ascii="Palatino Linotype" w:eastAsia="Palatino Linotype" w:hAnsi="Palatino Linotype"/>
          <w:i/>
          <w:iCs/>
        </w:rPr>
      </w:pPr>
      <w:r w:rsidRPr="00BF1B3E">
        <w:rPr>
          <w:rFonts w:ascii="Palatino Linotype" w:eastAsia="Palatino Linotype" w:hAnsi="Palatino Linotype"/>
          <w:i/>
          <w:iCs/>
        </w:rPr>
        <w:t xml:space="preserve">Ahora bien, por lo manifestado con antelación en su solicitud, es importante mencionar que la distinción entre el derecho de petición y el derecho de acceso a la información descasa, principalmente en que la pretensión del peticionario consiste generalmente en obligar a la autoridad responsable a que actúen en el sentido de contestar lo solicitado, mientras que en el derecho de </w:t>
      </w:r>
      <w:proofErr w:type="spellStart"/>
      <w:r w:rsidRPr="00BF1B3E">
        <w:rPr>
          <w:rFonts w:ascii="Palatino Linotype" w:eastAsia="Palatino Linotype" w:hAnsi="Palatino Linotype"/>
          <w:i/>
          <w:iCs/>
        </w:rPr>
        <w:t>accedo</w:t>
      </w:r>
      <w:proofErr w:type="spellEnd"/>
      <w:r w:rsidRPr="00BF1B3E">
        <w:rPr>
          <w:rFonts w:ascii="Palatino Linotype" w:eastAsia="Palatino Linotype" w:hAnsi="Palatino Linotype"/>
          <w:i/>
          <w:iCs/>
        </w:rPr>
        <w:t xml:space="preserve"> a la información pública la preten</w:t>
      </w:r>
      <w:r w:rsidR="008208F3" w:rsidRPr="00BF1B3E">
        <w:rPr>
          <w:rFonts w:ascii="Palatino Linotype" w:eastAsia="Palatino Linotype" w:hAnsi="Palatino Linotype"/>
          <w:i/>
          <w:iCs/>
        </w:rPr>
        <w:t>sión radica en que se permita el acceso a datos y todo tipo de documentación que tenga el carácter de información pública, que sea generada, administrada o se encuentre en posesión de los considerados Sujetos Obligados por la Ley de la Materia…</w:t>
      </w:r>
    </w:p>
    <w:p w14:paraId="4706E340" w14:textId="77777777" w:rsidR="008208F3" w:rsidRPr="00BF1B3E" w:rsidRDefault="008208F3" w:rsidP="00BF1B3E">
      <w:pPr>
        <w:spacing w:line="360" w:lineRule="auto"/>
        <w:ind w:left="567" w:right="567"/>
        <w:contextualSpacing/>
        <w:jc w:val="both"/>
        <w:rPr>
          <w:rFonts w:ascii="Palatino Linotype" w:eastAsia="Palatino Linotype" w:hAnsi="Palatino Linotype"/>
          <w:i/>
          <w:iCs/>
        </w:rPr>
      </w:pPr>
    </w:p>
    <w:p w14:paraId="13F97818" w14:textId="4A12A762" w:rsidR="002B4A91" w:rsidRPr="00BF1B3E" w:rsidRDefault="008208F3" w:rsidP="00BF1B3E">
      <w:pPr>
        <w:spacing w:line="360" w:lineRule="auto"/>
        <w:ind w:left="567" w:right="567"/>
        <w:contextualSpacing/>
        <w:jc w:val="both"/>
        <w:rPr>
          <w:rFonts w:ascii="Palatino Linotype" w:eastAsia="Palatino Linotype" w:hAnsi="Palatino Linotype"/>
          <w:i/>
          <w:iCs/>
        </w:rPr>
      </w:pPr>
      <w:r w:rsidRPr="00BF1B3E">
        <w:rPr>
          <w:rFonts w:ascii="Palatino Linotype" w:eastAsia="Palatino Linotype" w:hAnsi="Palatino Linotype"/>
          <w:i/>
          <w:iCs/>
        </w:rPr>
        <w:t xml:space="preserve">Ahora bien, es de mencionar que esta dependencia no se encuentra obligada a realizar una búsqueda de la información bajo el parentesco entre los servidores públicos, por lo que la respuesta a dicha manifestación no es factible atenderse </w:t>
      </w:r>
      <w:r w:rsidRPr="00BF1B3E">
        <w:rPr>
          <w:rFonts w:ascii="Palatino Linotype" w:eastAsia="Palatino Linotype" w:hAnsi="Palatino Linotype"/>
          <w:b/>
          <w:bCs/>
          <w:i/>
          <w:iCs/>
          <w:u w:val="single"/>
        </w:rPr>
        <w:t xml:space="preserve">vía acceso a la información, </w:t>
      </w:r>
      <w:r w:rsidRPr="00BF1B3E">
        <w:rPr>
          <w:rFonts w:ascii="Palatino Linotype" w:eastAsia="Palatino Linotype" w:hAnsi="Palatino Linotype"/>
          <w:i/>
          <w:iCs/>
        </w:rPr>
        <w:t xml:space="preserve">toda vez que no se advierte que la misma se colme con documentos que obren en los archivos del </w:t>
      </w:r>
      <w:r w:rsidRPr="00BF1B3E">
        <w:rPr>
          <w:rFonts w:ascii="Palatino Linotype" w:eastAsia="Palatino Linotype" w:hAnsi="Palatino Linotype"/>
          <w:b/>
          <w:bCs/>
          <w:i/>
          <w:iCs/>
        </w:rPr>
        <w:t>SUJETO OBLIGADO</w:t>
      </w:r>
      <w:r w:rsidR="002B4A91" w:rsidRPr="00BF1B3E">
        <w:rPr>
          <w:rFonts w:ascii="Palatino Linotype" w:eastAsia="Palatino Linotype" w:hAnsi="Palatino Linotype"/>
          <w:i/>
          <w:iCs/>
        </w:rPr>
        <w:t>…”</w:t>
      </w:r>
    </w:p>
    <w:p w14:paraId="6480E52B" w14:textId="77777777" w:rsidR="002B4A91" w:rsidRPr="00BF1B3E" w:rsidRDefault="002B4A91" w:rsidP="00BF1B3E">
      <w:pPr>
        <w:spacing w:line="360" w:lineRule="auto"/>
        <w:contextualSpacing/>
        <w:jc w:val="both"/>
        <w:rPr>
          <w:rFonts w:ascii="Palatino Linotype" w:eastAsia="Palatino Linotype" w:hAnsi="Palatino Linotype" w:cs="Arial"/>
          <w:sz w:val="22"/>
          <w:szCs w:val="22"/>
        </w:rPr>
      </w:pPr>
    </w:p>
    <w:p w14:paraId="3225BE0C" w14:textId="18C409E5" w:rsidR="001E3911" w:rsidRPr="00BF1B3E" w:rsidRDefault="002B4A91" w:rsidP="00BF1B3E">
      <w:pPr>
        <w:tabs>
          <w:tab w:val="left" w:pos="4667"/>
        </w:tabs>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 xml:space="preserve">ii) </w:t>
      </w:r>
      <w:r w:rsidR="008208F3" w:rsidRPr="00BF1B3E">
        <w:rPr>
          <w:rFonts w:ascii="Palatino Linotype" w:eastAsia="Palatino Linotype" w:hAnsi="Palatino Linotype" w:cs="Palatino Linotype"/>
          <w:sz w:val="22"/>
          <w:szCs w:val="22"/>
        </w:rPr>
        <w:t>Oficio número TLA/OM/SRH/0384/2026, del cinco de febrero de dos mil veinticinco, suscrito por la Subdirectora de Recursos Humanos, dirigido a la Oficial Mayor, a través del cual señala que se pronuncia respecto de la información competencia de la administración municipal.</w:t>
      </w:r>
    </w:p>
    <w:bookmarkEnd w:id="3"/>
    <w:p w14:paraId="5BD9B323" w14:textId="77777777" w:rsidR="002B4A91" w:rsidRPr="00BF1B3E" w:rsidRDefault="002B4A91" w:rsidP="00BF1B3E">
      <w:pPr>
        <w:tabs>
          <w:tab w:val="left" w:pos="4667"/>
        </w:tabs>
        <w:spacing w:line="360" w:lineRule="auto"/>
        <w:contextualSpacing/>
        <w:jc w:val="both"/>
        <w:rPr>
          <w:rFonts w:ascii="Palatino Linotype" w:eastAsia="Palatino Linotype" w:hAnsi="Palatino Linotype" w:cs="Palatino Linotype"/>
          <w:sz w:val="22"/>
          <w:szCs w:val="22"/>
        </w:rPr>
      </w:pPr>
    </w:p>
    <w:p w14:paraId="49BA1B82" w14:textId="5F5B4231" w:rsidR="002B4A91" w:rsidRPr="00BF1B3E" w:rsidRDefault="00342952" w:rsidP="00BF1B3E">
      <w:pPr>
        <w:pStyle w:val="Ttulo2"/>
        <w:spacing w:before="0" w:after="0" w:line="360" w:lineRule="auto"/>
        <w:contextualSpacing/>
        <w:jc w:val="both"/>
        <w:rPr>
          <w:rFonts w:ascii="Palatino Linotype" w:hAnsi="Palatino Linotype"/>
          <w:b/>
          <w:bCs/>
          <w:color w:val="auto"/>
          <w:sz w:val="22"/>
          <w:szCs w:val="22"/>
        </w:rPr>
      </w:pPr>
      <w:bookmarkStart w:id="7" w:name="_Toc223621128"/>
      <w:r>
        <w:rPr>
          <w:rFonts w:ascii="Palatino Linotype" w:hAnsi="Palatino Linotype"/>
          <w:b/>
          <w:bCs/>
          <w:color w:val="auto"/>
          <w:sz w:val="22"/>
          <w:szCs w:val="22"/>
        </w:rPr>
        <w:t>IV</w:t>
      </w:r>
      <w:r w:rsidR="002B4A91" w:rsidRPr="00BF1B3E">
        <w:rPr>
          <w:rFonts w:ascii="Palatino Linotype" w:hAnsi="Palatino Linotype"/>
          <w:b/>
          <w:bCs/>
          <w:color w:val="auto"/>
          <w:sz w:val="22"/>
          <w:szCs w:val="22"/>
        </w:rPr>
        <w:t>. Interposición del Recurso de Revisión</w:t>
      </w:r>
      <w:bookmarkEnd w:id="7"/>
    </w:p>
    <w:p w14:paraId="03BE233F" w14:textId="77777777"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p>
    <w:p w14:paraId="305AD346" w14:textId="59B57C10"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 xml:space="preserve">Con fecha </w:t>
      </w:r>
      <w:r w:rsidR="008208F3" w:rsidRPr="00BF1B3E">
        <w:rPr>
          <w:rFonts w:ascii="Palatino Linotype" w:eastAsia="Palatino Linotype" w:hAnsi="Palatino Linotype" w:cs="Palatino Linotype"/>
          <w:sz w:val="22"/>
          <w:szCs w:val="22"/>
        </w:rPr>
        <w:t xml:space="preserve">dieciséis de febrero </w:t>
      </w:r>
      <w:r w:rsidRPr="00BF1B3E">
        <w:rPr>
          <w:rFonts w:ascii="Palatino Linotype" w:eastAsia="Palatino Linotype" w:hAnsi="Palatino Linotype" w:cs="Palatino Linotype"/>
          <w:sz w:val="22"/>
          <w:szCs w:val="22"/>
        </w:rPr>
        <w:t>de dos mil veinti</w:t>
      </w:r>
      <w:r w:rsidR="008208F3" w:rsidRPr="00BF1B3E">
        <w:rPr>
          <w:rFonts w:ascii="Palatino Linotype" w:eastAsia="Palatino Linotype" w:hAnsi="Palatino Linotype" w:cs="Palatino Linotype"/>
          <w:sz w:val="22"/>
          <w:szCs w:val="22"/>
        </w:rPr>
        <w:t>séis</w:t>
      </w:r>
      <w:r w:rsidRPr="00BF1B3E">
        <w:rPr>
          <w:rFonts w:ascii="Palatino Linotype" w:eastAsia="Palatino Linotype" w:hAnsi="Palatino Linotype" w:cs="Palatino Linotype"/>
          <w:sz w:val="22"/>
          <w:szCs w:val="22"/>
        </w:rPr>
        <w:t>, se recibió en este Instituto, a través del SAIMEX, el Recurso de Revisión interpuesto por la parte Recurrente, en contra de la respuesta del Ayuntamiento de T</w:t>
      </w:r>
      <w:r w:rsidR="008208F3" w:rsidRPr="00BF1B3E">
        <w:rPr>
          <w:rFonts w:ascii="Palatino Linotype" w:eastAsia="Palatino Linotype" w:hAnsi="Palatino Linotype" w:cs="Palatino Linotype"/>
          <w:sz w:val="22"/>
          <w:szCs w:val="22"/>
        </w:rPr>
        <w:t>lalnepantla de Baz</w:t>
      </w:r>
      <w:r w:rsidRPr="00BF1B3E">
        <w:rPr>
          <w:rFonts w:ascii="Palatino Linotype" w:eastAsia="Palatino Linotype" w:hAnsi="Palatino Linotype" w:cs="Palatino Linotype"/>
          <w:sz w:val="22"/>
          <w:szCs w:val="22"/>
        </w:rPr>
        <w:t>,</w:t>
      </w:r>
      <w:r w:rsidRPr="00BF1B3E">
        <w:rPr>
          <w:rFonts w:ascii="Palatino Linotype" w:eastAsia="Palatino Linotype" w:hAnsi="Palatino Linotype" w:cs="Palatino Linotype"/>
          <w:b/>
          <w:bCs/>
          <w:sz w:val="22"/>
          <w:szCs w:val="22"/>
        </w:rPr>
        <w:t xml:space="preserve"> </w:t>
      </w:r>
      <w:r w:rsidRPr="00BF1B3E">
        <w:rPr>
          <w:rFonts w:ascii="Palatino Linotype" w:eastAsia="Palatino Linotype" w:hAnsi="Palatino Linotype" w:cs="Palatino Linotype"/>
          <w:sz w:val="22"/>
          <w:szCs w:val="22"/>
        </w:rPr>
        <w:t>en los siguientes términos:</w:t>
      </w:r>
    </w:p>
    <w:p w14:paraId="2767DE6D" w14:textId="77777777" w:rsidR="002B4A91" w:rsidRPr="00BF1B3E" w:rsidRDefault="002B4A91" w:rsidP="00BF1B3E">
      <w:pPr>
        <w:spacing w:line="360" w:lineRule="auto"/>
        <w:contextualSpacing/>
        <w:jc w:val="both"/>
        <w:rPr>
          <w:rFonts w:ascii="Palatino Linotype" w:eastAsia="Palatino Linotype" w:hAnsi="Palatino Linotype" w:cs="Palatino Linotype"/>
          <w:b/>
          <w:sz w:val="22"/>
          <w:szCs w:val="22"/>
        </w:rPr>
      </w:pPr>
    </w:p>
    <w:p w14:paraId="56CCC5B3" w14:textId="77777777" w:rsidR="002B4A91" w:rsidRPr="009252C3" w:rsidRDefault="002B4A91" w:rsidP="00BF1B3E">
      <w:pPr>
        <w:spacing w:line="360" w:lineRule="auto"/>
        <w:ind w:left="567" w:right="567"/>
        <w:contextualSpacing/>
        <w:jc w:val="both"/>
        <w:rPr>
          <w:rFonts w:ascii="Palatino Linotype" w:eastAsia="Palatino Linotype" w:hAnsi="Palatino Linotype" w:cs="Palatino Linotype"/>
          <w:i/>
        </w:rPr>
      </w:pPr>
      <w:r w:rsidRPr="009252C3">
        <w:rPr>
          <w:rFonts w:ascii="Palatino Linotype" w:eastAsia="Palatino Linotype" w:hAnsi="Palatino Linotype" w:cs="Palatino Linotype"/>
          <w:b/>
          <w:i/>
        </w:rPr>
        <w:lastRenderedPageBreak/>
        <w:t>ACTO IMPUGNADO</w:t>
      </w:r>
    </w:p>
    <w:p w14:paraId="2F08F4C6" w14:textId="1CE7C6AF" w:rsidR="002B4A91" w:rsidRPr="009252C3" w:rsidRDefault="002B4A91" w:rsidP="00BF1B3E">
      <w:pPr>
        <w:spacing w:line="360" w:lineRule="auto"/>
        <w:ind w:left="567" w:right="567"/>
        <w:contextualSpacing/>
        <w:jc w:val="both"/>
        <w:rPr>
          <w:rFonts w:ascii="Palatino Linotype" w:hAnsi="Palatino Linotype"/>
          <w:i/>
        </w:rPr>
      </w:pPr>
      <w:r w:rsidRPr="009252C3">
        <w:rPr>
          <w:rFonts w:ascii="Palatino Linotype" w:eastAsia="Palatino Linotype" w:hAnsi="Palatino Linotype" w:cs="Palatino Linotype"/>
          <w:i/>
        </w:rPr>
        <w:t>“</w:t>
      </w:r>
      <w:r w:rsidR="008208F3" w:rsidRPr="009252C3">
        <w:rPr>
          <w:rFonts w:ascii="Palatino Linotype" w:hAnsi="Palatino Linotype"/>
          <w:i/>
        </w:rPr>
        <w:t>LA RESPUESTA ES AMBIGUA Y SIN FUNDAMENTO. Y DERIVADO DE LA MISMA, DONDE SE MENCIONA A QUE EL SUJETO OBLIGADO NO VERIFICA LOS PARENTESCOS, ESTARÍA RECAYENDO EN UNA RESPONSABILIDAD, TODA VEZ QUE ESTA EN UN POSIBLE OCULTAMIENTO DE NEPOTISMO</w:t>
      </w:r>
      <w:r w:rsidRPr="009252C3">
        <w:rPr>
          <w:rFonts w:ascii="Palatino Linotype" w:eastAsia="Palatino Linotype" w:hAnsi="Palatino Linotype" w:cs="Palatino Linotype"/>
          <w:i/>
          <w:color w:val="000000"/>
        </w:rPr>
        <w:t>.</w:t>
      </w:r>
      <w:r w:rsidRPr="009252C3">
        <w:rPr>
          <w:rFonts w:ascii="Palatino Linotype" w:eastAsia="Palatino Linotype" w:hAnsi="Palatino Linotype" w:cs="Palatino Linotype"/>
          <w:i/>
        </w:rPr>
        <w:t>” (Sic)</w:t>
      </w:r>
    </w:p>
    <w:p w14:paraId="05A31C36" w14:textId="77777777" w:rsidR="002B4A91" w:rsidRPr="00BF1B3E" w:rsidRDefault="002B4A91" w:rsidP="00BF1B3E">
      <w:pPr>
        <w:spacing w:line="360" w:lineRule="auto"/>
        <w:ind w:left="567" w:right="567"/>
        <w:contextualSpacing/>
        <w:jc w:val="both"/>
        <w:rPr>
          <w:rFonts w:ascii="Palatino Linotype" w:eastAsia="Palatino Linotype" w:hAnsi="Palatino Linotype" w:cs="Palatino Linotype"/>
          <w:i/>
          <w:sz w:val="22"/>
          <w:szCs w:val="22"/>
        </w:rPr>
      </w:pPr>
    </w:p>
    <w:p w14:paraId="5D7DF3A5" w14:textId="77777777" w:rsidR="002B4A91" w:rsidRPr="009252C3" w:rsidRDefault="002B4A91" w:rsidP="00BF1B3E">
      <w:pPr>
        <w:spacing w:line="360" w:lineRule="auto"/>
        <w:ind w:left="567" w:right="567"/>
        <w:contextualSpacing/>
        <w:jc w:val="both"/>
        <w:rPr>
          <w:rFonts w:ascii="Palatino Linotype" w:eastAsia="Palatino Linotype" w:hAnsi="Palatino Linotype" w:cs="Palatino Linotype"/>
          <w:b/>
          <w:i/>
        </w:rPr>
      </w:pPr>
      <w:r w:rsidRPr="009252C3">
        <w:rPr>
          <w:rFonts w:ascii="Palatino Linotype" w:eastAsia="Palatino Linotype" w:hAnsi="Palatino Linotype" w:cs="Palatino Linotype"/>
          <w:b/>
          <w:i/>
        </w:rPr>
        <w:t>RAZONES O MOTIVOS DE LA INCONFORMIDAD</w:t>
      </w:r>
    </w:p>
    <w:p w14:paraId="3F693FBF" w14:textId="378C500D" w:rsidR="002B4A91" w:rsidRPr="009252C3" w:rsidRDefault="002B4A91" w:rsidP="00BF1B3E">
      <w:pPr>
        <w:spacing w:line="360" w:lineRule="auto"/>
        <w:ind w:left="567" w:right="567"/>
        <w:contextualSpacing/>
        <w:jc w:val="both"/>
        <w:rPr>
          <w:rFonts w:ascii="Palatino Linotype" w:eastAsia="Palatino Linotype" w:hAnsi="Palatino Linotype" w:cs="Palatino Linotype"/>
          <w:i/>
        </w:rPr>
      </w:pPr>
      <w:r w:rsidRPr="009252C3">
        <w:rPr>
          <w:rFonts w:ascii="Palatino Linotype" w:eastAsia="Palatino Linotype" w:hAnsi="Palatino Linotype" w:cs="Palatino Linotype"/>
          <w:i/>
          <w:color w:val="000000"/>
        </w:rPr>
        <w:t>“</w:t>
      </w:r>
      <w:r w:rsidR="008208F3" w:rsidRPr="009252C3">
        <w:rPr>
          <w:rFonts w:ascii="Palatino Linotype" w:eastAsia="Palatino Linotype" w:hAnsi="Palatino Linotype" w:cs="Palatino Linotype"/>
          <w:i/>
          <w:color w:val="000000"/>
        </w:rPr>
        <w:t>NO ESTOY DE ACUERDO</w:t>
      </w:r>
      <w:r w:rsidRPr="009252C3">
        <w:rPr>
          <w:rFonts w:ascii="Palatino Linotype" w:eastAsia="Palatino Linotype" w:hAnsi="Palatino Linotype" w:cs="Palatino Linotype"/>
          <w:i/>
          <w:color w:val="000000"/>
        </w:rPr>
        <w:t>.</w:t>
      </w:r>
      <w:r w:rsidRPr="009252C3">
        <w:rPr>
          <w:rFonts w:ascii="Palatino Linotype" w:eastAsia="Palatino Linotype" w:hAnsi="Palatino Linotype" w:cs="Palatino Linotype"/>
          <w:i/>
        </w:rPr>
        <w:t>” (Sic)</w:t>
      </w:r>
    </w:p>
    <w:p w14:paraId="43BF65BE" w14:textId="77777777" w:rsidR="002B4A91" w:rsidRPr="00BF1B3E" w:rsidRDefault="002B4A91" w:rsidP="00BF1B3E">
      <w:pPr>
        <w:spacing w:line="360" w:lineRule="auto"/>
        <w:ind w:left="567" w:right="567"/>
        <w:contextualSpacing/>
        <w:jc w:val="both"/>
        <w:rPr>
          <w:rFonts w:ascii="Palatino Linotype" w:eastAsia="Palatino Linotype" w:hAnsi="Palatino Linotype" w:cs="Palatino Linotype"/>
          <w:i/>
          <w:sz w:val="22"/>
          <w:szCs w:val="22"/>
        </w:rPr>
      </w:pPr>
    </w:p>
    <w:p w14:paraId="20AEFE52" w14:textId="4B0733BB" w:rsidR="002B4A91" w:rsidRPr="00BF1B3E" w:rsidRDefault="002B4A91" w:rsidP="00BF1B3E">
      <w:pPr>
        <w:pStyle w:val="Ttulo2"/>
        <w:spacing w:before="0" w:after="0" w:line="360" w:lineRule="auto"/>
        <w:contextualSpacing/>
        <w:jc w:val="both"/>
        <w:rPr>
          <w:rFonts w:ascii="Palatino Linotype" w:hAnsi="Palatino Linotype"/>
          <w:b/>
          <w:bCs/>
          <w:color w:val="auto"/>
          <w:sz w:val="22"/>
          <w:szCs w:val="22"/>
        </w:rPr>
      </w:pPr>
      <w:bookmarkStart w:id="8" w:name="_Toc223621129"/>
      <w:r w:rsidRPr="00BF1B3E">
        <w:rPr>
          <w:rFonts w:ascii="Palatino Linotype" w:hAnsi="Palatino Linotype"/>
          <w:b/>
          <w:bCs/>
          <w:color w:val="auto"/>
          <w:sz w:val="22"/>
          <w:szCs w:val="22"/>
        </w:rPr>
        <w:t>V. Trámite del Recurso de Revisión ante este Instituto</w:t>
      </w:r>
      <w:bookmarkEnd w:id="8"/>
    </w:p>
    <w:p w14:paraId="745F5086" w14:textId="77777777" w:rsidR="002B4A91" w:rsidRPr="00BF1B3E" w:rsidRDefault="002B4A91" w:rsidP="00BF1B3E">
      <w:pPr>
        <w:spacing w:line="360" w:lineRule="auto"/>
        <w:contextualSpacing/>
        <w:jc w:val="both"/>
        <w:rPr>
          <w:rFonts w:ascii="Palatino Linotype" w:eastAsia="Palatino Linotype" w:hAnsi="Palatino Linotype" w:cs="Palatino Linotype"/>
          <w:b/>
          <w:sz w:val="22"/>
          <w:szCs w:val="22"/>
        </w:rPr>
      </w:pPr>
    </w:p>
    <w:p w14:paraId="07A1227D" w14:textId="5DCF3291"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b/>
          <w:sz w:val="22"/>
          <w:szCs w:val="22"/>
        </w:rPr>
        <w:t xml:space="preserve">a) Turno del Recurso de Revisión. </w:t>
      </w:r>
      <w:r w:rsidRPr="00BF1B3E">
        <w:rPr>
          <w:rFonts w:ascii="Palatino Linotype" w:eastAsia="Palatino Linotype" w:hAnsi="Palatino Linotype" w:cs="Palatino Linotype"/>
          <w:sz w:val="22"/>
          <w:szCs w:val="22"/>
        </w:rPr>
        <w:t xml:space="preserve">El </w:t>
      </w:r>
      <w:r w:rsidR="008208F3" w:rsidRPr="00BF1B3E">
        <w:rPr>
          <w:rFonts w:ascii="Palatino Linotype" w:eastAsia="Palatino Linotype" w:hAnsi="Palatino Linotype" w:cs="Palatino Linotype"/>
          <w:sz w:val="22"/>
          <w:szCs w:val="22"/>
        </w:rPr>
        <w:t xml:space="preserve">dieciséis de febrero </w:t>
      </w:r>
      <w:r w:rsidRPr="00BF1B3E">
        <w:rPr>
          <w:rFonts w:ascii="Palatino Linotype" w:eastAsia="Palatino Linotype" w:hAnsi="Palatino Linotype" w:cs="Palatino Linotype"/>
          <w:sz w:val="22"/>
          <w:szCs w:val="22"/>
        </w:rPr>
        <w:t>de dos mil veinti</w:t>
      </w:r>
      <w:r w:rsidR="008208F3" w:rsidRPr="00BF1B3E">
        <w:rPr>
          <w:rFonts w:ascii="Palatino Linotype" w:eastAsia="Palatino Linotype" w:hAnsi="Palatino Linotype" w:cs="Palatino Linotype"/>
          <w:sz w:val="22"/>
          <w:szCs w:val="22"/>
        </w:rPr>
        <w:t>séis</w:t>
      </w:r>
      <w:r w:rsidRPr="00BF1B3E">
        <w:rPr>
          <w:rFonts w:ascii="Palatino Linotype" w:eastAsia="Palatino Linotype" w:hAnsi="Palatino Linotype" w:cs="Palatino Linotype"/>
          <w:sz w:val="22"/>
          <w:szCs w:val="22"/>
        </w:rPr>
        <w:t xml:space="preserve">, el SAIMEX, asignó el número de expediente </w:t>
      </w:r>
      <w:r w:rsidRPr="00BF1B3E">
        <w:rPr>
          <w:rFonts w:ascii="Palatino Linotype" w:eastAsia="Palatino Linotype" w:hAnsi="Palatino Linotype" w:cs="Palatino Linotype"/>
          <w:b/>
          <w:sz w:val="22"/>
          <w:szCs w:val="22"/>
        </w:rPr>
        <w:t>01</w:t>
      </w:r>
      <w:r w:rsidR="008208F3" w:rsidRPr="00BF1B3E">
        <w:rPr>
          <w:rFonts w:ascii="Palatino Linotype" w:eastAsia="Palatino Linotype" w:hAnsi="Palatino Linotype" w:cs="Palatino Linotype"/>
          <w:b/>
          <w:sz w:val="22"/>
          <w:szCs w:val="22"/>
        </w:rPr>
        <w:t>891</w:t>
      </w:r>
      <w:r w:rsidRPr="00BF1B3E">
        <w:rPr>
          <w:rFonts w:ascii="Palatino Linotype" w:eastAsia="Palatino Linotype" w:hAnsi="Palatino Linotype" w:cs="Palatino Linotype"/>
          <w:b/>
          <w:sz w:val="22"/>
          <w:szCs w:val="22"/>
        </w:rPr>
        <w:t>/INFOEM/IP/RR/202</w:t>
      </w:r>
      <w:r w:rsidR="00BF1B3E" w:rsidRPr="00BF1B3E">
        <w:rPr>
          <w:rFonts w:ascii="Palatino Linotype" w:eastAsia="Palatino Linotype" w:hAnsi="Palatino Linotype" w:cs="Palatino Linotype"/>
          <w:b/>
          <w:sz w:val="22"/>
          <w:szCs w:val="22"/>
        </w:rPr>
        <w:t>6</w:t>
      </w:r>
      <w:r w:rsidRPr="00BF1B3E">
        <w:rPr>
          <w:rFonts w:ascii="Palatino Linotype" w:eastAsia="Palatino Linotype" w:hAnsi="Palatino Linotype" w:cs="Palatino Linotype"/>
          <w:sz w:val="22"/>
          <w:szCs w:val="22"/>
        </w:rPr>
        <w:t xml:space="preserve"> al medio de impugnación que nos ocupa, con base en el sistema aprobado por el Pleno de este Organismo Garante y lo turnó al Comisionado </w:t>
      </w:r>
      <w:r w:rsidRPr="00BF1B3E">
        <w:rPr>
          <w:rFonts w:ascii="Palatino Linotype" w:eastAsia="Palatino Linotype" w:hAnsi="Palatino Linotype" w:cs="Palatino Linotype"/>
          <w:b/>
          <w:sz w:val="22"/>
          <w:szCs w:val="22"/>
        </w:rPr>
        <w:t>Luis Gustavo Parra Noriega</w:t>
      </w:r>
      <w:r w:rsidRPr="00BF1B3E">
        <w:rPr>
          <w:rFonts w:ascii="Palatino Linotype" w:eastAsia="Palatino Linotype" w:hAnsi="Palatino Linotype" w:cs="Palatino Linotype"/>
          <w:sz w:val="22"/>
          <w:szCs w:val="22"/>
        </w:rPr>
        <w:t>, para los efectos del artículo 185, fracción I, de la Ley de Transparencia y Acceso a la Información Pública del Estado de México y Municipios.</w:t>
      </w:r>
    </w:p>
    <w:p w14:paraId="4BB4C7FD" w14:textId="77777777" w:rsidR="002B4A91" w:rsidRPr="00BF1B3E" w:rsidRDefault="002B4A91" w:rsidP="00BF1B3E">
      <w:pPr>
        <w:spacing w:line="360" w:lineRule="auto"/>
        <w:contextualSpacing/>
        <w:jc w:val="both"/>
        <w:rPr>
          <w:rFonts w:ascii="Palatino Linotype" w:eastAsia="Palatino Linotype" w:hAnsi="Palatino Linotype" w:cs="Palatino Linotype"/>
          <w:b/>
          <w:sz w:val="22"/>
          <w:szCs w:val="22"/>
        </w:rPr>
      </w:pPr>
    </w:p>
    <w:p w14:paraId="7168FFB0" w14:textId="294B773A"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b/>
          <w:sz w:val="22"/>
          <w:szCs w:val="22"/>
        </w:rPr>
        <w:t xml:space="preserve">b) Admisión del Recurso de Revisión. </w:t>
      </w:r>
      <w:r w:rsidRPr="00BF1B3E">
        <w:rPr>
          <w:rFonts w:ascii="Palatino Linotype" w:eastAsia="Palatino Linotype" w:hAnsi="Palatino Linotype" w:cs="Palatino Linotype"/>
          <w:sz w:val="22"/>
          <w:szCs w:val="22"/>
        </w:rPr>
        <w:t>El dieci</w:t>
      </w:r>
      <w:r w:rsidR="008208F3" w:rsidRPr="00BF1B3E">
        <w:rPr>
          <w:rFonts w:ascii="Palatino Linotype" w:eastAsia="Palatino Linotype" w:hAnsi="Palatino Linotype" w:cs="Palatino Linotype"/>
          <w:sz w:val="22"/>
          <w:szCs w:val="22"/>
        </w:rPr>
        <w:t>nueve</w:t>
      </w:r>
      <w:r w:rsidRPr="00BF1B3E">
        <w:rPr>
          <w:rFonts w:ascii="Palatino Linotype" w:eastAsia="Palatino Linotype" w:hAnsi="Palatino Linotype" w:cs="Palatino Linotype"/>
          <w:sz w:val="22"/>
          <w:szCs w:val="22"/>
        </w:rPr>
        <w:t xml:space="preserve"> de </w:t>
      </w:r>
      <w:r w:rsidR="008208F3" w:rsidRPr="00BF1B3E">
        <w:rPr>
          <w:rFonts w:ascii="Palatino Linotype" w:eastAsia="Palatino Linotype" w:hAnsi="Palatino Linotype" w:cs="Palatino Linotype"/>
          <w:sz w:val="22"/>
          <w:szCs w:val="22"/>
        </w:rPr>
        <w:t xml:space="preserve">febrero </w:t>
      </w:r>
      <w:r w:rsidRPr="00BF1B3E">
        <w:rPr>
          <w:rFonts w:ascii="Palatino Linotype" w:eastAsia="Palatino Linotype" w:hAnsi="Palatino Linotype" w:cs="Palatino Linotype"/>
          <w:sz w:val="22"/>
          <w:szCs w:val="22"/>
        </w:rPr>
        <w:t>de dos mil veinti</w:t>
      </w:r>
      <w:r w:rsidR="008208F3" w:rsidRPr="00BF1B3E">
        <w:rPr>
          <w:rFonts w:ascii="Palatino Linotype" w:eastAsia="Palatino Linotype" w:hAnsi="Palatino Linotype" w:cs="Palatino Linotype"/>
          <w:sz w:val="22"/>
          <w:szCs w:val="22"/>
        </w:rPr>
        <w:t>séis</w:t>
      </w:r>
      <w:r w:rsidRPr="00BF1B3E">
        <w:rPr>
          <w:rFonts w:ascii="Palatino Linotype" w:eastAsia="Palatino Linotype" w:hAnsi="Palatino Linotype" w:cs="Palatino Linotype"/>
          <w:sz w:val="22"/>
          <w:szCs w:val="22"/>
        </w:rPr>
        <w:t>,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6425E76A" w14:textId="77777777"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p>
    <w:p w14:paraId="1D2BBDAE" w14:textId="77AFDFDA"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b/>
          <w:sz w:val="22"/>
          <w:szCs w:val="22"/>
        </w:rPr>
        <w:t xml:space="preserve">c) Informe Justificado. </w:t>
      </w:r>
      <w:r w:rsidRPr="00BF1B3E">
        <w:rPr>
          <w:rFonts w:ascii="Palatino Linotype" w:eastAsia="Palatino Linotype" w:hAnsi="Palatino Linotype" w:cs="Palatino Linotype"/>
          <w:sz w:val="22"/>
          <w:szCs w:val="22"/>
        </w:rPr>
        <w:t xml:space="preserve">El </w:t>
      </w:r>
      <w:r w:rsidR="001E3911" w:rsidRPr="00BF1B3E">
        <w:rPr>
          <w:rFonts w:ascii="Palatino Linotype" w:eastAsia="Palatino Linotype" w:hAnsi="Palatino Linotype" w:cs="Palatino Linotype"/>
          <w:sz w:val="22"/>
          <w:szCs w:val="22"/>
        </w:rPr>
        <w:t xml:space="preserve">veinticuatro de febrero </w:t>
      </w:r>
      <w:r w:rsidRPr="00BF1B3E">
        <w:rPr>
          <w:rFonts w:ascii="Palatino Linotype" w:eastAsia="Palatino Linotype" w:hAnsi="Palatino Linotype" w:cs="Palatino Linotype"/>
          <w:sz w:val="22"/>
          <w:szCs w:val="22"/>
        </w:rPr>
        <w:t>de dos mil veintiséis, se recibió, a través del SAIMEX, el informe justificado</w:t>
      </w:r>
      <w:r w:rsidRPr="00BF1B3E">
        <w:rPr>
          <w:rFonts w:ascii="Palatino Linotype" w:eastAsia="Palatino Linotype" w:hAnsi="Palatino Linotype" w:cs="Palatino Linotype"/>
          <w:color w:val="0D0D0D"/>
          <w:sz w:val="22"/>
          <w:szCs w:val="22"/>
        </w:rPr>
        <w:t xml:space="preserve"> </w:t>
      </w:r>
      <w:r w:rsidRPr="00BF1B3E">
        <w:rPr>
          <w:rFonts w:ascii="Palatino Linotype" w:eastAsia="Palatino Linotype" w:hAnsi="Palatino Linotype" w:cs="Palatino Linotype"/>
          <w:sz w:val="22"/>
          <w:szCs w:val="22"/>
        </w:rPr>
        <w:t>por medio de la digitalización de los documentos siguientes:</w:t>
      </w:r>
    </w:p>
    <w:p w14:paraId="32186C77" w14:textId="77777777" w:rsidR="002B4A91" w:rsidRPr="00BF1B3E" w:rsidRDefault="002B4A91" w:rsidP="00BF1B3E">
      <w:pPr>
        <w:spacing w:line="360" w:lineRule="auto"/>
        <w:contextualSpacing/>
        <w:jc w:val="both"/>
        <w:rPr>
          <w:rFonts w:ascii="Palatino Linotype" w:eastAsia="Palatino Linotype" w:hAnsi="Palatino Linotype" w:cs="Palatino Linotype"/>
          <w:sz w:val="22"/>
          <w:szCs w:val="22"/>
        </w:rPr>
      </w:pPr>
    </w:p>
    <w:p w14:paraId="4B598E09" w14:textId="0E2D127C" w:rsidR="001E3911" w:rsidRPr="00BF1B3E" w:rsidRDefault="001E3911" w:rsidP="00BF1B3E">
      <w:pPr>
        <w:tabs>
          <w:tab w:val="left" w:pos="4667"/>
        </w:tabs>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i) Oficio número TLA/OM/CJ/093/2026, del veintitrés de febrero de dos mil veintiséis, suscrito por la Coordinadora Jurídica, dirigido a la Titular de la Unidad de Transparencia, a través del cual esencialmente ratifica su respuesta inicial.</w:t>
      </w:r>
    </w:p>
    <w:p w14:paraId="7347E8E8" w14:textId="77777777" w:rsidR="001E3911" w:rsidRPr="00BF1B3E" w:rsidRDefault="001E3911" w:rsidP="00BF1B3E">
      <w:pPr>
        <w:tabs>
          <w:tab w:val="left" w:pos="4667"/>
        </w:tabs>
        <w:spacing w:line="360" w:lineRule="auto"/>
        <w:contextualSpacing/>
        <w:jc w:val="both"/>
        <w:rPr>
          <w:rFonts w:ascii="Palatino Linotype" w:eastAsia="Palatino Linotype" w:hAnsi="Palatino Linotype"/>
          <w:i/>
          <w:iCs/>
        </w:rPr>
      </w:pPr>
    </w:p>
    <w:p w14:paraId="799F4465" w14:textId="6EF8A076" w:rsidR="001E3911" w:rsidRPr="00BF1B3E" w:rsidRDefault="001E3911" w:rsidP="00BF1B3E">
      <w:pPr>
        <w:tabs>
          <w:tab w:val="left" w:pos="4667"/>
        </w:tabs>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ii) Oficio número TLA/OM/SRH/0610/2026, del cinco de febrero de dos mil veinticinco, suscrito por la Subdirectora de Recursos Humanos, dirigido a la Oficial Mayor, a través del cual señala que la solicitud no puede ser atendida vía derecho de acceso a la información.</w:t>
      </w:r>
    </w:p>
    <w:p w14:paraId="0FC756D8" w14:textId="77777777" w:rsidR="001E3911" w:rsidRPr="00BF1B3E" w:rsidRDefault="001E3911" w:rsidP="00BF1B3E">
      <w:pPr>
        <w:tabs>
          <w:tab w:val="left" w:pos="4667"/>
        </w:tabs>
        <w:spacing w:line="360" w:lineRule="auto"/>
        <w:contextualSpacing/>
        <w:jc w:val="both"/>
        <w:rPr>
          <w:rFonts w:ascii="Palatino Linotype" w:eastAsia="Palatino Linotype" w:hAnsi="Palatino Linotype" w:cs="Palatino Linotype"/>
          <w:sz w:val="22"/>
          <w:szCs w:val="22"/>
        </w:rPr>
      </w:pPr>
    </w:p>
    <w:p w14:paraId="33BC6624" w14:textId="77777777" w:rsidR="001E3911" w:rsidRPr="00BF1B3E" w:rsidRDefault="001E3911" w:rsidP="00BF1B3E">
      <w:pPr>
        <w:tabs>
          <w:tab w:val="left" w:pos="4667"/>
        </w:tabs>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iii) Oficio número TLA/OM/CJ/072/2026 remitido en respuesta.</w:t>
      </w:r>
    </w:p>
    <w:p w14:paraId="6EA01C5F" w14:textId="77777777" w:rsidR="002B4A91" w:rsidRPr="00BF1B3E" w:rsidRDefault="002B4A91" w:rsidP="00BF1B3E">
      <w:pPr>
        <w:spacing w:line="360" w:lineRule="auto"/>
        <w:contextualSpacing/>
        <w:jc w:val="both"/>
        <w:rPr>
          <w:rFonts w:ascii="Palatino Linotype" w:eastAsia="Palatino Linotype" w:hAnsi="Palatino Linotype" w:cs="Palatino Linotype"/>
          <w:b/>
          <w:sz w:val="22"/>
          <w:szCs w:val="22"/>
        </w:rPr>
      </w:pPr>
    </w:p>
    <w:p w14:paraId="0F6D49FF" w14:textId="2B97C0A2" w:rsidR="002B4A91" w:rsidRPr="00BF1B3E" w:rsidRDefault="002B4A91" w:rsidP="00BF1B3E">
      <w:pPr>
        <w:spacing w:line="360" w:lineRule="auto"/>
        <w:contextualSpacing/>
        <w:jc w:val="both"/>
        <w:rPr>
          <w:rFonts w:ascii="Palatino Linotype" w:eastAsia="Palatino Linotype" w:hAnsi="Palatino Linotype" w:cs="Palatino Linotype"/>
          <w:b/>
          <w:color w:val="000000"/>
          <w:sz w:val="22"/>
          <w:szCs w:val="22"/>
        </w:rPr>
      </w:pPr>
      <w:r w:rsidRPr="00BF1B3E">
        <w:rPr>
          <w:rFonts w:ascii="Palatino Linotype" w:eastAsia="Palatino Linotype" w:hAnsi="Palatino Linotype" w:cs="Palatino Linotype"/>
          <w:b/>
          <w:sz w:val="22"/>
          <w:szCs w:val="22"/>
        </w:rPr>
        <w:t xml:space="preserve">d) Vista del informe justificado. </w:t>
      </w:r>
      <w:r w:rsidRPr="00BF1B3E">
        <w:rPr>
          <w:rFonts w:ascii="Palatino Linotype" w:eastAsia="Palatino Linotype" w:hAnsi="Palatino Linotype" w:cs="Palatino Linotype"/>
          <w:sz w:val="22"/>
          <w:szCs w:val="22"/>
        </w:rPr>
        <w:t xml:space="preserve">El </w:t>
      </w:r>
      <w:r w:rsidR="001E3911" w:rsidRPr="00BF1B3E">
        <w:rPr>
          <w:rFonts w:ascii="Palatino Linotype" w:eastAsia="Palatino Linotype" w:hAnsi="Palatino Linotype" w:cs="Palatino Linotype"/>
          <w:sz w:val="22"/>
          <w:szCs w:val="22"/>
        </w:rPr>
        <w:t xml:space="preserve">veinticinco </w:t>
      </w:r>
      <w:r w:rsidRPr="00BF1B3E">
        <w:rPr>
          <w:rFonts w:ascii="Palatino Linotype" w:eastAsia="Palatino Linotype" w:hAnsi="Palatino Linotype" w:cs="Palatino Linotype"/>
          <w:sz w:val="22"/>
          <w:szCs w:val="22"/>
        </w:rPr>
        <w:t xml:space="preserve">de febrero de dos mil veintiséis, se dictó acuerdo mediante el cual se puso a la vista del Particular, el Informe Justificado entregado por el Sujeto Obligado, el cual fue notificado, a través del SAIMEX, el mismo día. </w:t>
      </w:r>
    </w:p>
    <w:p w14:paraId="6EBC7B40" w14:textId="77777777" w:rsidR="002B4A91" w:rsidRPr="00BF1B3E" w:rsidRDefault="002B4A91" w:rsidP="00BF1B3E">
      <w:pPr>
        <w:spacing w:line="360" w:lineRule="auto"/>
        <w:contextualSpacing/>
        <w:jc w:val="both"/>
        <w:rPr>
          <w:rFonts w:ascii="Palatino Linotype" w:eastAsia="Palatino Linotype" w:hAnsi="Palatino Linotype" w:cs="Palatino Linotype"/>
          <w:b/>
          <w:sz w:val="22"/>
          <w:szCs w:val="22"/>
        </w:rPr>
      </w:pPr>
    </w:p>
    <w:p w14:paraId="3DDBD004" w14:textId="305F25FA" w:rsidR="002B4A91" w:rsidRPr="00BF1B3E" w:rsidRDefault="002B4A91" w:rsidP="00BF1B3E">
      <w:pPr>
        <w:spacing w:line="360" w:lineRule="auto"/>
        <w:contextualSpacing/>
        <w:jc w:val="both"/>
        <w:rPr>
          <w:rFonts w:ascii="Palatino Linotype" w:eastAsia="Palatino Linotype" w:hAnsi="Palatino Linotype" w:cs="Palatino Linotype"/>
          <w:b/>
          <w:sz w:val="22"/>
          <w:szCs w:val="22"/>
        </w:rPr>
      </w:pPr>
      <w:bookmarkStart w:id="9" w:name="_heading=h.9qpj1ejz85lp" w:colFirst="0" w:colLast="0"/>
      <w:bookmarkEnd w:id="9"/>
      <w:r w:rsidRPr="00BF1B3E">
        <w:rPr>
          <w:rFonts w:ascii="Palatino Linotype" w:eastAsia="Palatino Linotype" w:hAnsi="Palatino Linotype" w:cs="Palatino Linotype"/>
          <w:b/>
          <w:sz w:val="22"/>
          <w:szCs w:val="22"/>
        </w:rPr>
        <w:t>e) Cierre de instrucción.</w:t>
      </w:r>
      <w:r w:rsidRPr="00BF1B3E">
        <w:rPr>
          <w:rFonts w:ascii="Palatino Linotype" w:eastAsia="Palatino Linotype" w:hAnsi="Palatino Linotype" w:cs="Palatino Linotype"/>
          <w:sz w:val="22"/>
          <w:szCs w:val="22"/>
        </w:rPr>
        <w:t xml:space="preserve"> El cuatro de </w:t>
      </w:r>
      <w:r w:rsidR="001E3911" w:rsidRPr="00BF1B3E">
        <w:rPr>
          <w:rFonts w:ascii="Palatino Linotype" w:eastAsia="Palatino Linotype" w:hAnsi="Palatino Linotype" w:cs="Palatino Linotype"/>
          <w:sz w:val="22"/>
          <w:szCs w:val="22"/>
        </w:rPr>
        <w:t xml:space="preserve">marzo </w:t>
      </w:r>
      <w:r w:rsidRPr="00BF1B3E">
        <w:rPr>
          <w:rFonts w:ascii="Palatino Linotype" w:eastAsia="Palatino Linotype" w:hAnsi="Palatino Linotype" w:cs="Palatino Linotype"/>
          <w:sz w:val="22"/>
          <w:szCs w:val="22"/>
        </w:rPr>
        <w:t>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 el mismo día.</w:t>
      </w:r>
    </w:p>
    <w:p w14:paraId="34C7FA27" w14:textId="77777777" w:rsidR="002B4A91" w:rsidRPr="00BF1B3E" w:rsidRDefault="002B4A91" w:rsidP="00BF1B3E">
      <w:pPr>
        <w:spacing w:line="360" w:lineRule="auto"/>
        <w:contextualSpacing/>
        <w:jc w:val="both"/>
        <w:rPr>
          <w:rFonts w:ascii="Palatino Linotype" w:eastAsia="Palatino Linotype" w:hAnsi="Palatino Linotype" w:cs="Palatino Linotype"/>
          <w:b/>
          <w:sz w:val="22"/>
          <w:szCs w:val="22"/>
        </w:rPr>
      </w:pPr>
    </w:p>
    <w:p w14:paraId="76D475B1" w14:textId="77777777" w:rsidR="002B4A91" w:rsidRPr="00BF1B3E" w:rsidRDefault="002B4A91" w:rsidP="00BF1B3E">
      <w:pPr>
        <w:spacing w:line="360" w:lineRule="auto"/>
        <w:contextualSpacing/>
        <w:jc w:val="both"/>
        <w:rPr>
          <w:rFonts w:ascii="Palatino Linotype" w:eastAsia="Palatino Linotype" w:hAnsi="Palatino Linotype" w:cs="Palatino Linotype"/>
          <w:color w:val="000000"/>
          <w:sz w:val="22"/>
          <w:szCs w:val="22"/>
        </w:rPr>
      </w:pPr>
      <w:r w:rsidRPr="00BF1B3E">
        <w:rPr>
          <w:rFonts w:ascii="Palatino Linotype" w:eastAsia="Palatino Linotype" w:hAnsi="Palatino Linotype" w:cs="Palatino Linotype"/>
          <w:color w:val="000000"/>
          <w:sz w:val="22"/>
          <w:szCs w:val="22"/>
        </w:rPr>
        <w:t xml:space="preserve">En razón de que fue debidamente sustanciado el expediente electrónico y no existe diligencia pendiente de desahogo, se emite la resolución que conforme a Derecho proceda, de acuerdo a los siguientes: </w:t>
      </w:r>
    </w:p>
    <w:p w14:paraId="491AAB67" w14:textId="77777777" w:rsidR="002B4A91" w:rsidRPr="00BF1B3E" w:rsidRDefault="002B4A91" w:rsidP="00BF1B3E">
      <w:pPr>
        <w:spacing w:line="360" w:lineRule="auto"/>
        <w:contextualSpacing/>
        <w:jc w:val="both"/>
        <w:rPr>
          <w:rFonts w:ascii="Palatino Linotype" w:hAnsi="Palatino Linotype"/>
          <w:sz w:val="22"/>
          <w:szCs w:val="22"/>
        </w:rPr>
      </w:pPr>
    </w:p>
    <w:p w14:paraId="1F2E68C9" w14:textId="77777777" w:rsidR="002B4A91" w:rsidRPr="00BF1B3E" w:rsidRDefault="002B4A91" w:rsidP="00BF1B3E">
      <w:pPr>
        <w:pStyle w:val="Ttulo1"/>
        <w:spacing w:before="0" w:after="0" w:line="360" w:lineRule="auto"/>
        <w:contextualSpacing/>
        <w:jc w:val="center"/>
        <w:rPr>
          <w:rFonts w:ascii="Palatino Linotype" w:eastAsia="Palatino Linotype" w:hAnsi="Palatino Linotype" w:cs="Palatino Linotype"/>
          <w:b/>
          <w:color w:val="000000"/>
          <w:sz w:val="22"/>
          <w:szCs w:val="22"/>
        </w:rPr>
      </w:pPr>
      <w:bookmarkStart w:id="10" w:name="_Toc223621130"/>
      <w:r w:rsidRPr="00BF1B3E">
        <w:rPr>
          <w:rFonts w:ascii="Palatino Linotype" w:eastAsia="Palatino Linotype" w:hAnsi="Palatino Linotype" w:cs="Palatino Linotype"/>
          <w:b/>
          <w:color w:val="000000"/>
          <w:sz w:val="22"/>
          <w:szCs w:val="22"/>
        </w:rPr>
        <w:lastRenderedPageBreak/>
        <w:t>C O N S I D E R A N D O S</w:t>
      </w:r>
      <w:bookmarkEnd w:id="10"/>
    </w:p>
    <w:p w14:paraId="52769CBE" w14:textId="77777777" w:rsidR="002B4A91" w:rsidRPr="00BF1B3E" w:rsidRDefault="002B4A91" w:rsidP="00BF1B3E">
      <w:pPr>
        <w:spacing w:line="360" w:lineRule="auto"/>
        <w:contextualSpacing/>
        <w:jc w:val="both"/>
        <w:rPr>
          <w:rFonts w:ascii="Palatino Linotype" w:hAnsi="Palatino Linotype"/>
          <w:sz w:val="22"/>
          <w:szCs w:val="22"/>
        </w:rPr>
      </w:pPr>
    </w:p>
    <w:p w14:paraId="2B6807EE" w14:textId="77777777" w:rsidR="002B4A91" w:rsidRPr="00BF1B3E" w:rsidRDefault="002B4A91" w:rsidP="00BF1B3E">
      <w:pPr>
        <w:pStyle w:val="Ttulo2"/>
        <w:spacing w:before="0" w:after="0" w:line="360" w:lineRule="auto"/>
        <w:contextualSpacing/>
        <w:jc w:val="both"/>
        <w:rPr>
          <w:rFonts w:ascii="Palatino Linotype" w:eastAsia="Palatino Linotype" w:hAnsi="Palatino Linotype" w:cs="Palatino Linotype"/>
          <w:b/>
          <w:color w:val="000000"/>
          <w:sz w:val="22"/>
          <w:szCs w:val="22"/>
        </w:rPr>
      </w:pPr>
      <w:bookmarkStart w:id="11" w:name="_Toc223621131"/>
      <w:r w:rsidRPr="00BF1B3E">
        <w:rPr>
          <w:rFonts w:ascii="Palatino Linotype" w:eastAsia="Palatino Linotype" w:hAnsi="Palatino Linotype" w:cs="Palatino Linotype"/>
          <w:b/>
          <w:color w:val="000000"/>
          <w:sz w:val="22"/>
          <w:szCs w:val="22"/>
        </w:rPr>
        <w:t>PRIMERO. Competencia</w:t>
      </w:r>
      <w:bookmarkEnd w:id="11"/>
    </w:p>
    <w:p w14:paraId="5105064F" w14:textId="77777777" w:rsidR="002B4A91" w:rsidRPr="00BF1B3E" w:rsidRDefault="002B4A91" w:rsidP="00BF1B3E">
      <w:pPr>
        <w:spacing w:line="360" w:lineRule="auto"/>
        <w:contextualSpacing/>
        <w:jc w:val="both"/>
        <w:rPr>
          <w:rFonts w:ascii="Palatino Linotype" w:hAnsi="Palatino Linotype"/>
          <w:sz w:val="22"/>
          <w:szCs w:val="22"/>
        </w:rPr>
      </w:pPr>
    </w:p>
    <w:p w14:paraId="698AC673" w14:textId="3EAAA5CE" w:rsidR="002B4A91" w:rsidRPr="00BF1B3E" w:rsidRDefault="001E3911" w:rsidP="00BF1B3E">
      <w:pPr>
        <w:spacing w:line="360" w:lineRule="auto"/>
        <w:contextualSpacing/>
        <w:jc w:val="both"/>
        <w:rPr>
          <w:rFonts w:ascii="Palatino Linotype" w:eastAsia="Palatino Linotype" w:hAnsi="Palatino Linotype" w:cs="Palatino Linotype"/>
          <w:sz w:val="22"/>
          <w:szCs w:val="22"/>
        </w:rPr>
      </w:pPr>
      <w:r w:rsidRPr="00BF1B3E">
        <w:rPr>
          <w:rFonts w:ascii="Palatino Linotype" w:eastAsia="Palatino Linotype" w:hAnsi="Palatino Linotype" w:cs="Palatino Linotype"/>
          <w:sz w:val="22"/>
          <w:szCs w:val="22"/>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EFD67DC" w14:textId="77777777" w:rsidR="001E3911" w:rsidRPr="00BF1B3E" w:rsidRDefault="001E3911" w:rsidP="00BF1B3E">
      <w:pPr>
        <w:spacing w:line="360" w:lineRule="auto"/>
        <w:contextualSpacing/>
        <w:jc w:val="both"/>
        <w:rPr>
          <w:rFonts w:ascii="Palatino Linotype" w:eastAsia="Palatino Linotype" w:hAnsi="Palatino Linotype" w:cs="Palatino Linotype"/>
          <w:sz w:val="22"/>
          <w:szCs w:val="22"/>
        </w:rPr>
      </w:pPr>
    </w:p>
    <w:p w14:paraId="0BEC17C7" w14:textId="77777777" w:rsidR="002B4A91" w:rsidRPr="00BF1B3E" w:rsidRDefault="002B4A91" w:rsidP="00BF1B3E">
      <w:pPr>
        <w:pStyle w:val="Ttulo2"/>
        <w:spacing w:before="0" w:after="0" w:line="360" w:lineRule="auto"/>
        <w:contextualSpacing/>
        <w:jc w:val="both"/>
        <w:rPr>
          <w:rFonts w:ascii="Palatino Linotype" w:eastAsia="Calibri" w:hAnsi="Palatino Linotype"/>
          <w:b/>
          <w:color w:val="auto"/>
          <w:sz w:val="22"/>
          <w:szCs w:val="22"/>
          <w:lang w:val="es-ES"/>
        </w:rPr>
      </w:pPr>
      <w:bookmarkStart w:id="12" w:name="_Toc223621132"/>
      <w:r w:rsidRPr="00BF1B3E">
        <w:rPr>
          <w:rFonts w:ascii="Palatino Linotype" w:eastAsia="Calibri" w:hAnsi="Palatino Linotype"/>
          <w:b/>
          <w:color w:val="auto"/>
          <w:sz w:val="22"/>
          <w:szCs w:val="22"/>
          <w:lang w:val="es-ES"/>
        </w:rPr>
        <w:t>SEGUNDO. Causales de improcedencia.</w:t>
      </w:r>
      <w:bookmarkEnd w:id="12"/>
    </w:p>
    <w:p w14:paraId="7B58D347" w14:textId="77777777" w:rsidR="002B4A91" w:rsidRPr="00BF1B3E" w:rsidRDefault="002B4A91" w:rsidP="00BF1B3E">
      <w:pPr>
        <w:autoSpaceDE w:val="0"/>
        <w:autoSpaceDN w:val="0"/>
        <w:adjustRightInd w:val="0"/>
        <w:spacing w:line="360" w:lineRule="auto"/>
        <w:contextualSpacing/>
        <w:jc w:val="both"/>
        <w:rPr>
          <w:rFonts w:ascii="Palatino Linotype" w:eastAsia="Calibri" w:hAnsi="Palatino Linotype" w:cs="Tahoma"/>
          <w:sz w:val="22"/>
          <w:szCs w:val="22"/>
          <w:lang w:val="es-ES"/>
        </w:rPr>
      </w:pPr>
    </w:p>
    <w:p w14:paraId="4135543C" w14:textId="77777777" w:rsidR="001D56F8" w:rsidRPr="00BF1B3E" w:rsidRDefault="001D56F8" w:rsidP="00BF1B3E">
      <w:pPr>
        <w:spacing w:line="360" w:lineRule="auto"/>
        <w:contextualSpacing/>
        <w:jc w:val="both"/>
        <w:rPr>
          <w:rFonts w:ascii="Palatino Linotype" w:hAnsi="Palatino Linotype"/>
          <w:color w:val="000000"/>
          <w:sz w:val="22"/>
          <w:szCs w:val="22"/>
        </w:rPr>
      </w:pPr>
      <w:r w:rsidRPr="00BF1B3E">
        <w:rPr>
          <w:rFonts w:ascii="Palatino Linotype" w:hAnsi="Palatino Linotype"/>
          <w:color w:val="000000"/>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F8D9A9D" w14:textId="77777777" w:rsidR="001D56F8" w:rsidRPr="00BF1B3E" w:rsidRDefault="001D56F8" w:rsidP="00BF1B3E">
      <w:pPr>
        <w:spacing w:line="360" w:lineRule="auto"/>
        <w:contextualSpacing/>
        <w:jc w:val="both"/>
        <w:rPr>
          <w:rFonts w:ascii="Palatino Linotype" w:hAnsi="Palatino Linotype"/>
          <w:color w:val="000000"/>
          <w:sz w:val="22"/>
          <w:szCs w:val="22"/>
        </w:rPr>
      </w:pPr>
      <w:r w:rsidRPr="00BF1B3E">
        <w:rPr>
          <w:rFonts w:ascii="Palatino Linotype" w:hAnsi="Palatino Linotype"/>
          <w:color w:val="000000"/>
          <w:sz w:val="22"/>
          <w:szCs w:val="22"/>
        </w:rPr>
        <w:lastRenderedPageBreak/>
        <w:t>En el presente caso, no se actualizan las causales de improcedencia establecidas en el artículo 191, fracciones I a la V y VII, toda vez que: este Instituto no tiene conocimiento de que se haya presentado el Recurso de manera extemporánea; se encuentre en trámite algún medio de defensa presentado por el Recurrente ante otra instancia; no existió prevención alguna; la veracidad de la respuesta no formó parte del agravio; ni se amplió la solicitud de información.</w:t>
      </w:r>
    </w:p>
    <w:p w14:paraId="26717891" w14:textId="77777777" w:rsidR="001D56F8" w:rsidRPr="00BF1B3E" w:rsidRDefault="001D56F8" w:rsidP="00BF1B3E">
      <w:pPr>
        <w:spacing w:line="360" w:lineRule="auto"/>
        <w:contextualSpacing/>
        <w:jc w:val="both"/>
        <w:rPr>
          <w:rFonts w:ascii="Palatino Linotype" w:hAnsi="Palatino Linotype"/>
          <w:color w:val="000000"/>
          <w:sz w:val="22"/>
          <w:szCs w:val="22"/>
        </w:rPr>
      </w:pPr>
    </w:p>
    <w:p w14:paraId="6A2B0C25" w14:textId="22F99142" w:rsidR="001D56F8" w:rsidRPr="00BF1B3E" w:rsidRDefault="001D56F8" w:rsidP="00BF1B3E">
      <w:pPr>
        <w:spacing w:line="360" w:lineRule="auto"/>
        <w:contextualSpacing/>
        <w:jc w:val="both"/>
        <w:rPr>
          <w:rFonts w:ascii="Palatino Linotype" w:hAnsi="Palatino Linotype"/>
          <w:color w:val="000000"/>
          <w:sz w:val="22"/>
          <w:szCs w:val="22"/>
        </w:rPr>
      </w:pPr>
      <w:r w:rsidRPr="00BF1B3E">
        <w:rPr>
          <w:rFonts w:ascii="Palatino Linotype" w:hAnsi="Palatino Linotype"/>
          <w:color w:val="000000"/>
          <w:sz w:val="22"/>
          <w:szCs w:val="22"/>
        </w:rPr>
        <w:t>Por lo cual, se actualiza la causal de procedencia del Recurso de Revisión señalada en el artículo 179, fracción I, de la Ley en cita, pues la persona Recurrente se inconformó de la negativa de la información solicitada.</w:t>
      </w:r>
    </w:p>
    <w:p w14:paraId="33249E6C" w14:textId="77777777" w:rsidR="002B4A91" w:rsidRPr="00BF1B3E" w:rsidRDefault="002B4A91" w:rsidP="00BF1B3E">
      <w:pPr>
        <w:spacing w:line="360" w:lineRule="auto"/>
        <w:contextualSpacing/>
        <w:jc w:val="both"/>
        <w:rPr>
          <w:rFonts w:ascii="Palatino Linotype" w:hAnsi="Palatino Linotype" w:cs="Tahoma"/>
          <w:sz w:val="22"/>
          <w:szCs w:val="22"/>
          <w:lang w:val="es-ES"/>
        </w:rPr>
      </w:pPr>
    </w:p>
    <w:p w14:paraId="1EDE5839" w14:textId="77777777" w:rsidR="002B4A91" w:rsidRPr="00BF1B3E" w:rsidRDefault="002B4A91" w:rsidP="00BF1B3E">
      <w:pPr>
        <w:pStyle w:val="Ttulo2"/>
        <w:spacing w:before="0" w:after="0" w:line="360" w:lineRule="auto"/>
        <w:contextualSpacing/>
        <w:jc w:val="both"/>
        <w:rPr>
          <w:rFonts w:ascii="Palatino Linotype" w:hAnsi="Palatino Linotype"/>
          <w:b/>
          <w:color w:val="auto"/>
          <w:sz w:val="22"/>
          <w:szCs w:val="22"/>
        </w:rPr>
      </w:pPr>
      <w:bookmarkStart w:id="13" w:name="_Toc223621133"/>
      <w:r w:rsidRPr="00BF1B3E">
        <w:rPr>
          <w:rFonts w:ascii="Palatino Linotype" w:hAnsi="Palatino Linotype"/>
          <w:b/>
          <w:color w:val="auto"/>
          <w:sz w:val="22"/>
          <w:szCs w:val="22"/>
        </w:rPr>
        <w:t>TERCERO. Causales de sobreseimiento.</w:t>
      </w:r>
      <w:bookmarkEnd w:id="13"/>
    </w:p>
    <w:p w14:paraId="52EB4505" w14:textId="77777777" w:rsidR="002B4A91" w:rsidRPr="00BF1B3E" w:rsidRDefault="002B4A91" w:rsidP="00BF1B3E">
      <w:pPr>
        <w:spacing w:line="360" w:lineRule="auto"/>
        <w:contextualSpacing/>
        <w:jc w:val="both"/>
        <w:rPr>
          <w:rFonts w:ascii="Palatino Linotype" w:hAnsi="Palatino Linotype" w:cs="Tahoma"/>
          <w:sz w:val="22"/>
          <w:szCs w:val="22"/>
        </w:rPr>
      </w:pPr>
    </w:p>
    <w:p w14:paraId="26C3A124" w14:textId="77777777" w:rsidR="002B4A91" w:rsidRPr="00BF1B3E" w:rsidRDefault="002B4A91" w:rsidP="00BF1B3E">
      <w:pPr>
        <w:spacing w:line="360" w:lineRule="auto"/>
        <w:contextualSpacing/>
        <w:jc w:val="both"/>
        <w:rPr>
          <w:rFonts w:ascii="Palatino Linotype" w:hAnsi="Palatino Linotype" w:cs="Tahoma"/>
          <w:sz w:val="22"/>
          <w:szCs w:val="22"/>
        </w:rPr>
      </w:pPr>
      <w:r w:rsidRPr="00BF1B3E">
        <w:rPr>
          <w:rFonts w:ascii="Palatino Linotype" w:hAnsi="Palatino Linotype" w:cs="Tahoma"/>
          <w:sz w:val="22"/>
          <w:szCs w:val="22"/>
        </w:rPr>
        <w:t>Por ser de previo y especial pronunciamiento, este Instituto analiza si se actualiza alguna causal de sobreseimiento.</w:t>
      </w:r>
    </w:p>
    <w:p w14:paraId="3A09B121" w14:textId="77777777" w:rsidR="002B4A91" w:rsidRPr="00BF1B3E" w:rsidRDefault="002B4A91" w:rsidP="00BF1B3E">
      <w:pPr>
        <w:spacing w:line="360" w:lineRule="auto"/>
        <w:contextualSpacing/>
        <w:jc w:val="both"/>
        <w:rPr>
          <w:rFonts w:ascii="Palatino Linotype" w:hAnsi="Palatino Linotype" w:cs="Tahoma"/>
          <w:sz w:val="22"/>
          <w:szCs w:val="22"/>
          <w:lang w:val="es-ES"/>
        </w:rPr>
      </w:pPr>
    </w:p>
    <w:p w14:paraId="20DD0AAB" w14:textId="77777777" w:rsidR="002B4A91" w:rsidRPr="00BF1B3E" w:rsidRDefault="002B4A91" w:rsidP="00BF1B3E">
      <w:pPr>
        <w:widowControl w:val="0"/>
        <w:spacing w:line="360" w:lineRule="auto"/>
        <w:contextualSpacing/>
        <w:jc w:val="both"/>
        <w:rPr>
          <w:rFonts w:ascii="Palatino Linotype" w:eastAsia="Calibri" w:hAnsi="Palatino Linotype" w:cs="Tahoma"/>
          <w:sz w:val="22"/>
          <w:szCs w:val="22"/>
          <w:lang w:eastAsia="es-ES_tradnl"/>
        </w:rPr>
      </w:pPr>
      <w:r w:rsidRPr="00BF1B3E">
        <w:rPr>
          <w:rFonts w:ascii="Palatino Linotype" w:hAnsi="Palatino Linotype" w:cs="Tahoma"/>
          <w:sz w:val="22"/>
          <w:szCs w:val="22"/>
        </w:rPr>
        <w:t xml:space="preserve">En esa tesitura, el artículo 192 de la </w:t>
      </w:r>
      <w:r w:rsidRPr="00BF1B3E">
        <w:rPr>
          <w:rFonts w:ascii="Palatino Linotype" w:eastAsia="Calibri" w:hAnsi="Palatino Linotype" w:cs="Tahoma"/>
          <w:bCs/>
          <w:color w:val="000000"/>
          <w:sz w:val="22"/>
          <w:szCs w:val="22"/>
          <w:lang w:eastAsia="es-ES_tradnl"/>
        </w:rPr>
        <w:t xml:space="preserve">Ley Transparencia y Acceso a la Información Pública del Estado de México y Municipios, señala las causales por las cuales se puede sobreseer en todo o en parte el Recurso de Revisión; así, </w:t>
      </w:r>
      <w:r w:rsidRPr="00BF1B3E">
        <w:rPr>
          <w:rFonts w:ascii="Palatino Linotype" w:eastAsia="Calibri" w:hAnsi="Palatino Linotype" w:cs="Tahoma"/>
          <w:sz w:val="22"/>
          <w:szCs w:val="22"/>
          <w:lang w:eastAsia="es-ES_tradnl"/>
        </w:rPr>
        <w:t>del análisis realizado por este Instituto, se advierte que</w:t>
      </w:r>
      <w:r w:rsidRPr="00BF1B3E">
        <w:rPr>
          <w:rFonts w:ascii="Palatino Linotype" w:eastAsia="Calibri" w:hAnsi="Palatino Linotype" w:cs="Tahoma"/>
          <w:b/>
          <w:sz w:val="22"/>
          <w:szCs w:val="22"/>
          <w:lang w:eastAsia="es-ES_tradnl"/>
        </w:rPr>
        <w:t xml:space="preserve"> no se configuran las causales establecidas en las fracciones I, II, III y V, </w:t>
      </w:r>
      <w:r w:rsidRPr="00BF1B3E">
        <w:rPr>
          <w:rFonts w:ascii="Palatino Linotype" w:eastAsia="Calibri" w:hAnsi="Palatino Linotype" w:cs="Tahoma"/>
          <w:sz w:val="22"/>
          <w:szCs w:val="22"/>
          <w:lang w:eastAsia="es-ES_tradnl"/>
        </w:rPr>
        <w:t>toda vez que no hay constancias en el expediente en que se actúa, de que el Recurrente se haya desistido, fallecido, que el Sujeto Obligado hubiese modificado o revocado el acto impugnado o bien, haya quedado sin materia.</w:t>
      </w:r>
    </w:p>
    <w:p w14:paraId="5AEF0721" w14:textId="77777777" w:rsidR="002B4A91" w:rsidRDefault="002B4A91" w:rsidP="00BF1B3E">
      <w:pPr>
        <w:widowControl w:val="0"/>
        <w:spacing w:line="360" w:lineRule="auto"/>
        <w:contextualSpacing/>
        <w:jc w:val="both"/>
        <w:rPr>
          <w:rFonts w:ascii="Palatino Linotype" w:eastAsia="Calibri" w:hAnsi="Palatino Linotype" w:cs="Tahoma"/>
          <w:sz w:val="22"/>
          <w:szCs w:val="22"/>
          <w:lang w:eastAsia="es-ES_tradnl"/>
        </w:rPr>
      </w:pPr>
    </w:p>
    <w:p w14:paraId="7DA23079" w14:textId="77777777" w:rsidR="009252C3" w:rsidRPr="009252C3" w:rsidRDefault="009252C3" w:rsidP="009252C3">
      <w:pPr>
        <w:spacing w:line="360" w:lineRule="auto"/>
        <w:jc w:val="both"/>
        <w:rPr>
          <w:rFonts w:ascii="Palatino Linotype" w:hAnsi="Palatino Linotype" w:cs="Tahoma"/>
          <w:bCs/>
          <w:sz w:val="22"/>
          <w:szCs w:val="22"/>
        </w:rPr>
      </w:pPr>
      <w:r w:rsidRPr="009252C3">
        <w:rPr>
          <w:rFonts w:ascii="Palatino Linotype" w:hAnsi="Palatino Linotype" w:cs="Tahoma"/>
          <w:bCs/>
          <w:sz w:val="22"/>
          <w:szCs w:val="22"/>
        </w:rPr>
        <w:t xml:space="preserve">No obstante, por lo que hace a la hipótesis prevista en la </w:t>
      </w:r>
      <w:r w:rsidRPr="009252C3">
        <w:rPr>
          <w:rFonts w:ascii="Palatino Linotype" w:hAnsi="Palatino Linotype" w:cs="Tahoma"/>
          <w:b/>
          <w:bCs/>
          <w:sz w:val="22"/>
          <w:szCs w:val="22"/>
        </w:rPr>
        <w:t>fracción IV</w:t>
      </w:r>
      <w:r w:rsidRPr="009252C3">
        <w:rPr>
          <w:rFonts w:ascii="Palatino Linotype" w:hAnsi="Palatino Linotype" w:cs="Tahoma"/>
          <w:bCs/>
          <w:sz w:val="22"/>
          <w:szCs w:val="22"/>
        </w:rPr>
        <w:t>, a saber, que admitido una vez admitido el Recurso de Revisión, aparezca alguna causal de improcedencia en términos de la presente Ley, resulta necesario traer a colación</w:t>
      </w:r>
      <w:r w:rsidRPr="009252C3">
        <w:rPr>
          <w:rFonts w:ascii="Palatino Linotype" w:hAnsi="Palatino Linotype" w:cs="Tahoma"/>
          <w:bCs/>
          <w:sz w:val="22"/>
          <w:szCs w:val="22"/>
          <w:lang w:val="es-ES"/>
        </w:rPr>
        <w:t xml:space="preserve"> el artículo 191, fracción VI, de </w:t>
      </w:r>
      <w:r w:rsidRPr="009252C3">
        <w:rPr>
          <w:rFonts w:ascii="Palatino Linotype" w:hAnsi="Palatino Linotype" w:cs="Tahoma"/>
          <w:bCs/>
          <w:sz w:val="22"/>
          <w:szCs w:val="22"/>
          <w:lang w:val="es-ES"/>
        </w:rPr>
        <w:lastRenderedPageBreak/>
        <w:t xml:space="preserve">la Ley de la materia, que establece que el Recurso de Revisión será desechado por improcedente, cuando </w:t>
      </w:r>
      <w:r w:rsidRPr="009252C3">
        <w:rPr>
          <w:rFonts w:ascii="Palatino Linotype" w:hAnsi="Palatino Linotype" w:cs="Tahoma"/>
          <w:b/>
          <w:sz w:val="22"/>
          <w:szCs w:val="22"/>
          <w:lang w:val="es-ES"/>
        </w:rPr>
        <w:t>la solicitud de información se trate de una consulta.</w:t>
      </w:r>
    </w:p>
    <w:p w14:paraId="522A8E0A" w14:textId="77777777" w:rsidR="009252C3" w:rsidRPr="009252C3" w:rsidRDefault="009252C3" w:rsidP="009252C3">
      <w:pPr>
        <w:spacing w:line="360" w:lineRule="auto"/>
        <w:jc w:val="both"/>
        <w:rPr>
          <w:rFonts w:ascii="Palatino Linotype" w:hAnsi="Palatino Linotype" w:cs="Tahoma"/>
          <w:sz w:val="22"/>
          <w:szCs w:val="24"/>
        </w:rPr>
      </w:pPr>
    </w:p>
    <w:p w14:paraId="30B4C56C" w14:textId="6C183D43" w:rsidR="001D56F8" w:rsidRPr="00BF1B3E" w:rsidRDefault="009252C3" w:rsidP="009252C3">
      <w:pPr>
        <w:widowControl w:val="0"/>
        <w:spacing w:line="360" w:lineRule="auto"/>
        <w:contextualSpacing/>
        <w:jc w:val="both"/>
        <w:rPr>
          <w:rFonts w:ascii="Palatino Linotype" w:hAnsi="Palatino Linotype"/>
          <w:sz w:val="22"/>
          <w:szCs w:val="22"/>
        </w:rPr>
      </w:pPr>
      <w:r w:rsidRPr="009252C3">
        <w:rPr>
          <w:rFonts w:ascii="Palatino Linotype" w:hAnsi="Palatino Linotype" w:cs="Tahoma"/>
          <w:sz w:val="22"/>
          <w:szCs w:val="24"/>
        </w:rPr>
        <w:t xml:space="preserve">En principio, con el fin de verificar si se actualiza la causal de improcedencia, es necesario precisar que el </w:t>
      </w:r>
      <w:r w:rsidRPr="009252C3">
        <w:rPr>
          <w:rFonts w:ascii="Palatino Linotype" w:eastAsia="Calibri" w:hAnsi="Palatino Linotype" w:cs="Tahoma"/>
          <w:iCs/>
          <w:color w:val="000000"/>
          <w:sz w:val="22"/>
          <w:szCs w:val="22"/>
          <w:lang w:val="es-ES" w:eastAsia="es-ES_tradnl"/>
        </w:rPr>
        <w:t>Recurrente requirió</w:t>
      </w:r>
      <w:r w:rsidR="001D56F8" w:rsidRPr="00BF1B3E">
        <w:rPr>
          <w:rFonts w:ascii="Palatino Linotype" w:hAnsi="Palatino Linotype"/>
          <w:color w:val="000000"/>
          <w:sz w:val="22"/>
          <w:szCs w:val="22"/>
        </w:rPr>
        <w:t xml:space="preserve"> </w:t>
      </w:r>
      <w:r w:rsidR="00776226" w:rsidRPr="00BF1B3E">
        <w:rPr>
          <w:rFonts w:ascii="Palatino Linotype" w:hAnsi="Palatino Linotype"/>
          <w:b/>
          <w:bCs/>
          <w:color w:val="000000"/>
          <w:sz w:val="22"/>
          <w:szCs w:val="22"/>
        </w:rPr>
        <w:t xml:space="preserve">saber si </w:t>
      </w:r>
      <w:r>
        <w:rPr>
          <w:rFonts w:ascii="Palatino Linotype" w:hAnsi="Palatino Linotype"/>
          <w:b/>
          <w:bCs/>
          <w:color w:val="000000"/>
          <w:sz w:val="22"/>
          <w:szCs w:val="22"/>
        </w:rPr>
        <w:t xml:space="preserve">una servidora pública determinada </w:t>
      </w:r>
      <w:r w:rsidR="001D56F8" w:rsidRPr="00BF1B3E">
        <w:rPr>
          <w:rFonts w:ascii="Palatino Linotype" w:hAnsi="Palatino Linotype"/>
          <w:b/>
          <w:bCs/>
          <w:color w:val="000000"/>
          <w:sz w:val="22"/>
          <w:szCs w:val="22"/>
        </w:rPr>
        <w:t>tenía familiares hasta en cuarto grado de consanguinidad o consanguíneo directo</w:t>
      </w:r>
      <w:r w:rsidR="00776226" w:rsidRPr="00BF1B3E">
        <w:rPr>
          <w:rFonts w:ascii="Palatino Linotype" w:hAnsi="Palatino Linotype"/>
          <w:color w:val="000000"/>
          <w:sz w:val="22"/>
          <w:szCs w:val="22"/>
        </w:rPr>
        <w:t xml:space="preserve">, trabajando en </w:t>
      </w:r>
      <w:r>
        <w:rPr>
          <w:rFonts w:ascii="Palatino Linotype" w:hAnsi="Palatino Linotype"/>
          <w:color w:val="000000"/>
          <w:sz w:val="22"/>
          <w:szCs w:val="22"/>
        </w:rPr>
        <w:t xml:space="preserve">el </w:t>
      </w:r>
      <w:r w:rsidR="00776226" w:rsidRPr="00BF1B3E">
        <w:rPr>
          <w:rFonts w:ascii="Palatino Linotype" w:hAnsi="Palatino Linotype"/>
          <w:color w:val="000000"/>
          <w:sz w:val="22"/>
          <w:szCs w:val="22"/>
        </w:rPr>
        <w:t xml:space="preserve">Ayuntamiento de Tlalnepantla, </w:t>
      </w:r>
      <w:r>
        <w:rPr>
          <w:rFonts w:ascii="Palatino Linotype" w:hAnsi="Palatino Linotype"/>
          <w:color w:val="000000"/>
          <w:sz w:val="22"/>
          <w:szCs w:val="22"/>
        </w:rPr>
        <w:t xml:space="preserve">en el </w:t>
      </w:r>
      <w:r w:rsidR="00776226" w:rsidRPr="00BF1B3E">
        <w:rPr>
          <w:rFonts w:ascii="Palatino Linotype" w:hAnsi="Palatino Linotype"/>
          <w:sz w:val="22"/>
          <w:szCs w:val="22"/>
        </w:rPr>
        <w:t xml:space="preserve">Organismo Público Descentralizado para la Prestación de Servicios de Agua Potable, Alcantarillado y Saneamiento del Municipio de Tlalnepantla, </w:t>
      </w:r>
      <w:r>
        <w:rPr>
          <w:rFonts w:ascii="Palatino Linotype" w:hAnsi="Palatino Linotype"/>
          <w:sz w:val="22"/>
          <w:szCs w:val="22"/>
        </w:rPr>
        <w:t xml:space="preserve">en el </w:t>
      </w:r>
      <w:r w:rsidR="00776226" w:rsidRPr="00BF1B3E">
        <w:rPr>
          <w:rFonts w:ascii="Palatino Linotype" w:hAnsi="Palatino Linotype"/>
          <w:sz w:val="22"/>
          <w:szCs w:val="22"/>
        </w:rPr>
        <w:t xml:space="preserve">Sistema Municipal para el Desarrollo Integral de la Familia, </w:t>
      </w:r>
      <w:r>
        <w:rPr>
          <w:rFonts w:ascii="Palatino Linotype" w:hAnsi="Palatino Linotype"/>
          <w:sz w:val="22"/>
          <w:szCs w:val="22"/>
        </w:rPr>
        <w:t>o en el</w:t>
      </w:r>
      <w:r w:rsidR="00776226" w:rsidRPr="00BF1B3E">
        <w:rPr>
          <w:rFonts w:ascii="Palatino Linotype" w:hAnsi="Palatino Linotype"/>
          <w:sz w:val="22"/>
          <w:szCs w:val="22"/>
        </w:rPr>
        <w:t xml:space="preserve"> Instituto Municipal de Cultura Física y Deporte de Tlalnepantla</w:t>
      </w:r>
      <w:r w:rsidR="00776226" w:rsidRPr="00BF1B3E">
        <w:rPr>
          <w:rFonts w:ascii="Palatino Linotype" w:hAnsi="Palatino Linotype"/>
          <w:color w:val="000000"/>
          <w:sz w:val="22"/>
          <w:szCs w:val="22"/>
        </w:rPr>
        <w:t>.</w:t>
      </w:r>
    </w:p>
    <w:p w14:paraId="22068240" w14:textId="77777777" w:rsidR="001D56F8" w:rsidRDefault="001D56F8" w:rsidP="00BF1B3E">
      <w:pPr>
        <w:pBdr>
          <w:top w:val="nil"/>
          <w:left w:val="nil"/>
          <w:bottom w:val="nil"/>
          <w:right w:val="nil"/>
          <w:between w:val="nil"/>
        </w:pBdr>
        <w:tabs>
          <w:tab w:val="left" w:pos="4962"/>
        </w:tabs>
        <w:spacing w:line="360" w:lineRule="auto"/>
        <w:contextualSpacing/>
        <w:jc w:val="both"/>
        <w:rPr>
          <w:rFonts w:ascii="Palatino Linotype" w:hAnsi="Palatino Linotype"/>
          <w:sz w:val="22"/>
          <w:szCs w:val="22"/>
        </w:rPr>
      </w:pPr>
    </w:p>
    <w:p w14:paraId="56D58CD6" w14:textId="6F515F85" w:rsidR="009252C3" w:rsidRPr="009252C3" w:rsidRDefault="009252C3" w:rsidP="009252C3">
      <w:pPr>
        <w:spacing w:line="360" w:lineRule="auto"/>
        <w:jc w:val="both"/>
        <w:rPr>
          <w:rFonts w:ascii="Palatino Linotype" w:hAnsi="Palatino Linotype" w:cs="Tahoma"/>
          <w:bCs/>
          <w:sz w:val="22"/>
          <w:szCs w:val="22"/>
        </w:rPr>
      </w:pPr>
      <w:r w:rsidRPr="009252C3">
        <w:rPr>
          <w:rFonts w:ascii="Palatino Linotype" w:hAnsi="Palatino Linotype" w:cs="Tahoma"/>
          <w:bCs/>
          <w:sz w:val="22"/>
          <w:szCs w:val="22"/>
        </w:rPr>
        <w:t xml:space="preserve">Conforme a lo anterior, se logra vislumbrar que el Particular quiere saber </w:t>
      </w:r>
      <w:r w:rsidR="00FF1AD6">
        <w:rPr>
          <w:rFonts w:ascii="Palatino Linotype" w:hAnsi="Palatino Linotype" w:cs="Tahoma"/>
          <w:bCs/>
          <w:sz w:val="22"/>
          <w:szCs w:val="22"/>
        </w:rPr>
        <w:t xml:space="preserve">si una servidor pública cuenta con familiares dentro de la </w:t>
      </w:r>
      <w:proofErr w:type="spellStart"/>
      <w:r w:rsidR="00FF1AD6">
        <w:rPr>
          <w:rFonts w:ascii="Palatino Linotype" w:hAnsi="Palatino Linotype" w:cs="Tahoma"/>
          <w:bCs/>
          <w:sz w:val="22"/>
          <w:szCs w:val="22"/>
        </w:rPr>
        <w:t>adminsitración</w:t>
      </w:r>
      <w:proofErr w:type="spellEnd"/>
      <w:r w:rsidR="00FF1AD6">
        <w:rPr>
          <w:rFonts w:ascii="Palatino Linotype" w:hAnsi="Palatino Linotype" w:cs="Tahoma"/>
          <w:bCs/>
          <w:sz w:val="22"/>
          <w:szCs w:val="22"/>
        </w:rPr>
        <w:t xml:space="preserve"> pública municipal</w:t>
      </w:r>
      <w:r w:rsidRPr="009252C3">
        <w:rPr>
          <w:rFonts w:ascii="Palatino Linotype" w:hAnsi="Palatino Linotype" w:cs="Tahoma"/>
          <w:bCs/>
          <w:sz w:val="22"/>
          <w:szCs w:val="22"/>
        </w:rPr>
        <w:t xml:space="preserve">, lo que implicaría </w:t>
      </w:r>
      <w:r w:rsidRPr="009252C3">
        <w:rPr>
          <w:rFonts w:ascii="Palatino Linotype" w:hAnsi="Palatino Linotype" w:cs="Tahoma"/>
          <w:sz w:val="22"/>
          <w:szCs w:val="22"/>
        </w:rPr>
        <w:t>que el Sujeto Obligado investigara y elaborara una expresión documental</w:t>
      </w:r>
      <w:r w:rsidR="00FF1AD6">
        <w:rPr>
          <w:rFonts w:ascii="Palatino Linotype" w:hAnsi="Palatino Linotype" w:cs="Tahoma"/>
          <w:sz w:val="22"/>
          <w:szCs w:val="22"/>
        </w:rPr>
        <w:t xml:space="preserve">, </w:t>
      </w:r>
      <w:r w:rsidRPr="009252C3">
        <w:rPr>
          <w:rFonts w:ascii="Palatino Linotype" w:hAnsi="Palatino Linotype" w:cs="Tahoma"/>
          <w:sz w:val="22"/>
          <w:szCs w:val="22"/>
        </w:rPr>
        <w:t>que de una contestación categórica y específica</w:t>
      </w:r>
      <w:r w:rsidR="00FF1AD6">
        <w:rPr>
          <w:rFonts w:ascii="Palatino Linotype" w:hAnsi="Palatino Linotype" w:cs="Tahoma"/>
          <w:sz w:val="22"/>
          <w:szCs w:val="22"/>
        </w:rPr>
        <w:t xml:space="preserve"> sobre tal pedimento</w:t>
      </w:r>
      <w:r w:rsidRPr="009252C3">
        <w:rPr>
          <w:rFonts w:ascii="Palatino Linotype" w:hAnsi="Palatino Linotype" w:cs="Tahoma"/>
          <w:sz w:val="22"/>
          <w:szCs w:val="22"/>
        </w:rPr>
        <w:t>; s</w:t>
      </w:r>
      <w:r w:rsidRPr="009252C3">
        <w:rPr>
          <w:rFonts w:ascii="Palatino Linotype" w:hAnsi="Palatino Linotype" w:cs="Tahoma"/>
          <w:bCs/>
          <w:sz w:val="22"/>
          <w:szCs w:val="22"/>
        </w:rPr>
        <w:t xml:space="preserve">obre dicha situación, es necesario traer a </w:t>
      </w:r>
      <w:r w:rsidRPr="009252C3">
        <w:rPr>
          <w:rFonts w:ascii="Palatino Linotype" w:hAnsi="Palatino Linotype" w:cs="Tahoma"/>
          <w:bCs/>
          <w:sz w:val="22"/>
          <w:szCs w:val="22"/>
          <w:lang w:val="es-ES"/>
        </w:rPr>
        <w:t>colación los artículos 2°, fracción II; </w:t>
      </w:r>
      <w:r w:rsidRPr="009252C3">
        <w:rPr>
          <w:rFonts w:ascii="Palatino Linotype" w:hAnsi="Palatino Linotype" w:cs="Tahoma"/>
          <w:bCs/>
          <w:sz w:val="22"/>
          <w:szCs w:val="22"/>
        </w:rPr>
        <w:t xml:space="preserve">3°, fracción XI y 18 de </w:t>
      </w:r>
      <w:r w:rsidRPr="009252C3">
        <w:rPr>
          <w:rFonts w:ascii="Palatino Linotype" w:hAnsi="Palatino Linotype" w:cs="Tahoma"/>
          <w:bCs/>
          <w:sz w:val="22"/>
          <w:szCs w:val="22"/>
          <w:lang w:val="es-ES"/>
        </w:rPr>
        <w:t>la Ley de Transparencia y Acceso a la Información Pública del Estado de México y Municipios, los cuales disponen lo siguiente:</w:t>
      </w:r>
    </w:p>
    <w:p w14:paraId="5988D2BF" w14:textId="77777777" w:rsidR="009252C3" w:rsidRPr="009252C3" w:rsidRDefault="009252C3" w:rsidP="009252C3">
      <w:pPr>
        <w:spacing w:line="360" w:lineRule="auto"/>
        <w:jc w:val="both"/>
        <w:rPr>
          <w:rFonts w:ascii="Palatino Linotype" w:hAnsi="Palatino Linotype" w:cs="Tahoma"/>
          <w:bCs/>
          <w:sz w:val="22"/>
          <w:szCs w:val="22"/>
        </w:rPr>
      </w:pPr>
    </w:p>
    <w:p w14:paraId="7109BD87" w14:textId="77777777" w:rsidR="009252C3" w:rsidRPr="009252C3" w:rsidRDefault="009252C3" w:rsidP="009252C3">
      <w:pPr>
        <w:numPr>
          <w:ilvl w:val="0"/>
          <w:numId w:val="5"/>
        </w:numPr>
        <w:spacing w:after="160" w:line="360" w:lineRule="auto"/>
        <w:jc w:val="both"/>
        <w:rPr>
          <w:rFonts w:ascii="Palatino Linotype" w:hAnsi="Palatino Linotype" w:cs="Tahoma"/>
          <w:bCs/>
          <w:sz w:val="22"/>
          <w:szCs w:val="22"/>
        </w:rPr>
      </w:pPr>
      <w:r w:rsidRPr="009252C3">
        <w:rPr>
          <w:rFonts w:ascii="Palatino Linotype" w:hAnsi="Palatino Linotype" w:cs="Tahoma"/>
          <w:bCs/>
          <w:sz w:val="22"/>
          <w:szCs w:val="22"/>
        </w:rPr>
        <w:t>Que uno de los objetivos de la Ley es proveer lo necesario para garantizar a toda persona el derecho de acceso a la información pública, y</w:t>
      </w:r>
    </w:p>
    <w:p w14:paraId="1DB8E393" w14:textId="77777777" w:rsidR="009252C3" w:rsidRPr="009252C3" w:rsidRDefault="009252C3" w:rsidP="009252C3">
      <w:pPr>
        <w:spacing w:line="360" w:lineRule="auto"/>
        <w:jc w:val="both"/>
        <w:rPr>
          <w:rFonts w:ascii="Palatino Linotype" w:hAnsi="Palatino Linotype" w:cs="Tahoma"/>
          <w:bCs/>
          <w:sz w:val="22"/>
          <w:szCs w:val="22"/>
        </w:rPr>
      </w:pPr>
    </w:p>
    <w:p w14:paraId="58FF37B9" w14:textId="77777777" w:rsidR="009252C3" w:rsidRPr="009252C3" w:rsidRDefault="009252C3" w:rsidP="009252C3">
      <w:pPr>
        <w:numPr>
          <w:ilvl w:val="0"/>
          <w:numId w:val="5"/>
        </w:numPr>
        <w:spacing w:after="160" w:line="360" w:lineRule="auto"/>
        <w:jc w:val="both"/>
        <w:rPr>
          <w:rFonts w:ascii="Palatino Linotype" w:hAnsi="Palatino Linotype" w:cs="Tahoma"/>
          <w:bCs/>
          <w:sz w:val="22"/>
          <w:szCs w:val="22"/>
        </w:rPr>
      </w:pPr>
      <w:r w:rsidRPr="009252C3">
        <w:rPr>
          <w:rFonts w:ascii="Palatino Linotype" w:hAnsi="Palatino Linotype" w:cs="Tahoma"/>
          <w:bCs/>
          <w:sz w:val="22"/>
          <w:szCs w:val="22"/>
        </w:rPr>
        <w:t xml:space="preserve">Que los </w:t>
      </w:r>
      <w:r w:rsidRPr="009252C3">
        <w:rPr>
          <w:rFonts w:ascii="Palatino Linotype" w:hAnsi="Palatino Linotype" w:cs="Tahoma"/>
          <w:b/>
          <w:bCs/>
          <w:sz w:val="22"/>
          <w:szCs w:val="22"/>
        </w:rPr>
        <w:t xml:space="preserve">documentos </w:t>
      </w:r>
      <w:r w:rsidRPr="009252C3">
        <w:rPr>
          <w:rFonts w:ascii="Palatino Linotype" w:hAnsi="Palatino Linotype" w:cs="Tahoma"/>
          <w:bCs/>
          <w:sz w:val="22"/>
          <w:szCs w:val="22"/>
        </w:rPr>
        <w:t xml:space="preserve">son los expedientes, reportes, estudios, actas, resoluciones, contratos, convenios, instructivos, notas, memorandos, estadísticas o </w:t>
      </w:r>
      <w:r w:rsidRPr="009252C3">
        <w:rPr>
          <w:rFonts w:ascii="Palatino Linotype" w:hAnsi="Palatino Linotype" w:cs="Tahoma"/>
          <w:b/>
          <w:bCs/>
          <w:sz w:val="22"/>
          <w:szCs w:val="22"/>
        </w:rPr>
        <w:t>cualquier registro que documente el ejercicio de facultades, funciones y competencia</w:t>
      </w:r>
      <w:r w:rsidRPr="009252C3">
        <w:rPr>
          <w:rFonts w:ascii="Palatino Linotype" w:hAnsi="Palatino Linotype" w:cs="Tahoma"/>
          <w:bCs/>
          <w:sz w:val="22"/>
          <w:szCs w:val="22"/>
        </w:rPr>
        <w:t xml:space="preserve"> de los Sujetos Obligados, sin importar su fuente y fecha de elaboración y, por último, que los </w:t>
      </w:r>
      <w:r w:rsidRPr="009252C3">
        <w:rPr>
          <w:rFonts w:ascii="Palatino Linotype" w:hAnsi="Palatino Linotype" w:cs="Tahoma"/>
          <w:bCs/>
          <w:sz w:val="22"/>
          <w:szCs w:val="22"/>
        </w:rPr>
        <w:lastRenderedPageBreak/>
        <w:t>sujetos obligados deberán documentar todo acto que derive del ejercicio de sus facultades, competencias o funciones, considerando desde su origen la eventual publicidad y reutilización de la información que generan. En este orden de ideas, puede concluirse que la Ley de la manera, es una ley de acceso a documentos.</w:t>
      </w:r>
    </w:p>
    <w:p w14:paraId="52098C52" w14:textId="77777777" w:rsidR="009252C3" w:rsidRPr="009252C3" w:rsidRDefault="009252C3" w:rsidP="009252C3">
      <w:pPr>
        <w:spacing w:line="360" w:lineRule="auto"/>
        <w:jc w:val="both"/>
        <w:rPr>
          <w:rFonts w:ascii="Palatino Linotype" w:hAnsi="Palatino Linotype" w:cs="Tahoma"/>
          <w:bCs/>
          <w:sz w:val="22"/>
          <w:szCs w:val="22"/>
        </w:rPr>
      </w:pPr>
    </w:p>
    <w:p w14:paraId="53591701" w14:textId="3634490F" w:rsidR="009252C3" w:rsidRPr="009252C3" w:rsidRDefault="009252C3" w:rsidP="009252C3">
      <w:pPr>
        <w:spacing w:line="360" w:lineRule="auto"/>
        <w:jc w:val="both"/>
        <w:rPr>
          <w:rFonts w:ascii="Palatino Linotype" w:hAnsi="Palatino Linotype"/>
          <w:sz w:val="22"/>
        </w:rPr>
      </w:pPr>
      <w:r w:rsidRPr="009252C3">
        <w:rPr>
          <w:rFonts w:ascii="Palatino Linotype" w:hAnsi="Palatino Linotype"/>
          <w:sz w:val="22"/>
        </w:rPr>
        <w:t xml:space="preserve">En razón de lo anterior, es necesario señalar que del análisis del requerimiento de información presentado ante el Ayuntamiento de </w:t>
      </w:r>
      <w:r w:rsidR="00FF1AD6">
        <w:rPr>
          <w:rFonts w:ascii="Palatino Linotype" w:hAnsi="Palatino Linotype"/>
          <w:sz w:val="22"/>
        </w:rPr>
        <w:t>Tlalnepantla de Baz</w:t>
      </w:r>
      <w:r w:rsidRPr="009252C3">
        <w:rPr>
          <w:rFonts w:ascii="Palatino Linotype" w:hAnsi="Palatino Linotype"/>
          <w:sz w:val="22"/>
        </w:rPr>
        <w:t xml:space="preserve"> se logra colegir que el Particular </w:t>
      </w:r>
      <w:proofErr w:type="spellStart"/>
      <w:r w:rsidRPr="009252C3">
        <w:rPr>
          <w:rFonts w:ascii="Palatino Linotype" w:hAnsi="Palatino Linotype"/>
          <w:sz w:val="22"/>
        </w:rPr>
        <w:t>requier</w:t>
      </w:r>
      <w:r w:rsidR="00FF1AD6">
        <w:rPr>
          <w:rFonts w:ascii="Palatino Linotype" w:hAnsi="Palatino Linotype"/>
          <w:sz w:val="22"/>
        </w:rPr>
        <w:t>ió</w:t>
      </w:r>
      <w:proofErr w:type="spellEnd"/>
      <w:r w:rsidRPr="009252C3">
        <w:rPr>
          <w:rFonts w:ascii="Palatino Linotype" w:hAnsi="Palatino Linotype"/>
          <w:sz w:val="22"/>
        </w:rPr>
        <w:t xml:space="preserve"> un pronunciamiento específico, a una situación concreta y determinada, lo cual implicaría que el Sujeto Obligado elaborara una investigación y diera una respuesta delimitada y </w:t>
      </w:r>
      <w:r w:rsidRPr="009252C3">
        <w:rPr>
          <w:rFonts w:ascii="Palatino Linotype" w:hAnsi="Palatino Linotype"/>
          <w:i/>
          <w:sz w:val="22"/>
        </w:rPr>
        <w:t>ad hoc.</w:t>
      </w:r>
      <w:r w:rsidRPr="009252C3">
        <w:rPr>
          <w:rFonts w:ascii="Palatino Linotype" w:hAnsi="Palatino Linotype"/>
          <w:sz w:val="22"/>
        </w:rPr>
        <w:t> </w:t>
      </w:r>
    </w:p>
    <w:p w14:paraId="1BD46CD0" w14:textId="77777777" w:rsidR="009252C3" w:rsidRPr="009252C3" w:rsidRDefault="009252C3" w:rsidP="009252C3">
      <w:pPr>
        <w:spacing w:line="360" w:lineRule="auto"/>
        <w:jc w:val="both"/>
        <w:rPr>
          <w:rFonts w:ascii="Palatino Linotype" w:hAnsi="Palatino Linotype"/>
          <w:sz w:val="22"/>
        </w:rPr>
      </w:pPr>
    </w:p>
    <w:p w14:paraId="3F5F2D2C" w14:textId="77777777" w:rsidR="009252C3" w:rsidRPr="009252C3" w:rsidRDefault="009252C3" w:rsidP="009252C3">
      <w:pPr>
        <w:spacing w:line="360" w:lineRule="auto"/>
        <w:jc w:val="both"/>
        <w:rPr>
          <w:rFonts w:ascii="Palatino Linotype" w:hAnsi="Palatino Linotype" w:cs="Tahoma"/>
          <w:b/>
          <w:sz w:val="22"/>
          <w:szCs w:val="22"/>
          <w:lang w:val="es-ES"/>
        </w:rPr>
      </w:pPr>
      <w:r w:rsidRPr="009252C3">
        <w:rPr>
          <w:rFonts w:ascii="Palatino Linotype" w:hAnsi="Palatino Linotype" w:cs="Tahoma"/>
          <w:bCs/>
          <w:sz w:val="22"/>
          <w:szCs w:val="22"/>
        </w:rPr>
        <w:t xml:space="preserve">Sobre el tema, 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toda la información </w:t>
      </w:r>
      <w:r w:rsidRPr="009252C3">
        <w:rPr>
          <w:rFonts w:ascii="Palatino Linotype" w:hAnsi="Palatino Linotype" w:cs="Tahoma"/>
          <w:b/>
          <w:bCs/>
          <w:sz w:val="22"/>
          <w:szCs w:val="22"/>
        </w:rPr>
        <w:t xml:space="preserve">generada, obtenida, adquirida, transformada </w:t>
      </w:r>
      <w:r w:rsidRPr="009252C3">
        <w:rPr>
          <w:rFonts w:ascii="Palatino Linotype" w:hAnsi="Palatino Linotype" w:cs="Tahoma"/>
          <w:bCs/>
          <w:sz w:val="22"/>
          <w:szCs w:val="22"/>
        </w:rPr>
        <w:t xml:space="preserve">por los sujetos obligados, o en su caso, </w:t>
      </w:r>
      <w:r w:rsidRPr="009252C3">
        <w:rPr>
          <w:rFonts w:ascii="Palatino Linotype" w:hAnsi="Palatino Linotype" w:cs="Tahoma"/>
          <w:b/>
          <w:bCs/>
          <w:sz w:val="22"/>
          <w:szCs w:val="22"/>
        </w:rPr>
        <w:t xml:space="preserve">la tengan en su posesión, será pública y accesible para cualquier persona. </w:t>
      </w:r>
      <w:r w:rsidRPr="009252C3">
        <w:rPr>
          <w:rFonts w:ascii="Palatino Linotype" w:hAnsi="Palatino Linotype" w:cs="Tahoma"/>
          <w:bCs/>
          <w:sz w:val="22"/>
          <w:szCs w:val="22"/>
        </w:rPr>
        <w:t>A</w:t>
      </w:r>
      <w:r w:rsidRPr="009252C3">
        <w:rPr>
          <w:rFonts w:ascii="Palatino Linotype" w:hAnsi="Palatino Linotype" w:cs="Tahoma"/>
          <w:bCs/>
          <w:sz w:val="22"/>
          <w:szCs w:val="22"/>
          <w:lang w:val="es-ES"/>
        </w:rPr>
        <w:t xml:space="preserve">sí, se advierte que el derecho de acceso a la información, consiste en una prerrogativa de cualquier persona, a solicitar información pública que conste en </w:t>
      </w:r>
      <w:r w:rsidRPr="009252C3">
        <w:rPr>
          <w:rFonts w:ascii="Palatino Linotype" w:hAnsi="Palatino Linotype" w:cs="Tahoma"/>
          <w:b/>
          <w:sz w:val="22"/>
          <w:szCs w:val="22"/>
          <w:lang w:val="es-ES"/>
        </w:rPr>
        <w:t>documentos generados, obtenidos, adquiridos, transformados o que tengan en posesión los sujetos obligados.</w:t>
      </w:r>
    </w:p>
    <w:p w14:paraId="4154C102" w14:textId="77777777" w:rsidR="009252C3" w:rsidRPr="009252C3" w:rsidRDefault="009252C3" w:rsidP="009252C3">
      <w:pPr>
        <w:spacing w:line="360" w:lineRule="auto"/>
        <w:jc w:val="both"/>
        <w:rPr>
          <w:rFonts w:ascii="Palatino Linotype" w:hAnsi="Palatino Linotype" w:cs="Tahoma"/>
          <w:b/>
          <w:bCs/>
          <w:sz w:val="22"/>
          <w:szCs w:val="22"/>
        </w:rPr>
      </w:pPr>
    </w:p>
    <w:p w14:paraId="6B7D4343" w14:textId="77777777" w:rsidR="009252C3" w:rsidRPr="009252C3" w:rsidRDefault="009252C3" w:rsidP="009252C3">
      <w:pPr>
        <w:spacing w:line="360" w:lineRule="auto"/>
        <w:jc w:val="both"/>
        <w:rPr>
          <w:color w:val="000000"/>
          <w:shd w:val="clear" w:color="auto" w:fill="FFFFFF"/>
        </w:rPr>
      </w:pPr>
      <w:r w:rsidRPr="009252C3">
        <w:rPr>
          <w:rFonts w:ascii="Palatino Linotype" w:hAnsi="Palatino Linotype"/>
          <w:sz w:val="22"/>
        </w:rPr>
        <w:t xml:space="preserve">En ese orden de ideas, el artículo </w:t>
      </w:r>
      <w:r w:rsidRPr="009252C3">
        <w:rPr>
          <w:rFonts w:ascii="Palatino Linotype" w:hAnsi="Palatino Linotype"/>
          <w:color w:val="000000"/>
          <w:sz w:val="22"/>
          <w:szCs w:val="22"/>
          <w:shd w:val="clear" w:color="auto" w:fill="FFFFFF"/>
          <w:lang w:val="es-ES"/>
        </w:rPr>
        <w:t xml:space="preserve">3°, fracción XI, de la Ley Local de Transparencia, establecen que los documentos son los </w:t>
      </w:r>
      <w:r w:rsidRPr="009252C3">
        <w:rPr>
          <w:rFonts w:ascii="Palatino Linotype" w:hAnsi="Palatino Linotype"/>
          <w:color w:val="000000"/>
          <w:sz w:val="22"/>
          <w:szCs w:val="22"/>
          <w:shd w:val="clear" w:color="auto" w:fill="FFFFFF"/>
        </w:rPr>
        <w:t xml:space="preserve">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w:t>
      </w:r>
      <w:r w:rsidRPr="009252C3">
        <w:rPr>
          <w:rFonts w:ascii="Palatino Linotype" w:hAnsi="Palatino Linotype"/>
          <w:color w:val="000000"/>
          <w:sz w:val="22"/>
          <w:szCs w:val="22"/>
          <w:shd w:val="clear" w:color="auto" w:fill="FFFFFF"/>
        </w:rPr>
        <w:lastRenderedPageBreak/>
        <w:t>Públicos e integrantes, sin importar su fuente o fecha de elaboración. Los documentos podrán estar en cualquier medio, sea escrito, impreso, sonoro, visual, electrónico, informático u holográfico. </w:t>
      </w:r>
    </w:p>
    <w:p w14:paraId="3F8A63DE" w14:textId="77777777" w:rsidR="009252C3" w:rsidRPr="009252C3" w:rsidRDefault="009252C3" w:rsidP="009252C3">
      <w:pPr>
        <w:spacing w:line="360" w:lineRule="auto"/>
        <w:jc w:val="both"/>
        <w:rPr>
          <w:rFonts w:ascii="Palatino Linotype" w:hAnsi="Palatino Linotype"/>
          <w:color w:val="000000"/>
          <w:sz w:val="22"/>
          <w:szCs w:val="22"/>
          <w:shd w:val="clear" w:color="auto" w:fill="FFFFFF"/>
        </w:rPr>
      </w:pPr>
    </w:p>
    <w:p w14:paraId="3B25FF29" w14:textId="77777777" w:rsidR="009252C3" w:rsidRPr="009252C3" w:rsidRDefault="009252C3" w:rsidP="009252C3">
      <w:pPr>
        <w:spacing w:line="360" w:lineRule="auto"/>
        <w:jc w:val="both"/>
        <w:rPr>
          <w:rFonts w:cs="Tahoma"/>
          <w:bCs/>
          <w:lang w:val="es-ES"/>
        </w:rPr>
      </w:pPr>
      <w:r w:rsidRPr="009252C3">
        <w:rPr>
          <w:rFonts w:ascii="Palatino Linotype" w:hAnsi="Palatino Linotype" w:cs="Tahoma"/>
          <w:bCs/>
          <w:sz w:val="22"/>
          <w:szCs w:val="22"/>
        </w:rPr>
        <w:t xml:space="preserve">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w:t>
      </w:r>
      <w:r w:rsidRPr="009252C3">
        <w:rPr>
          <w:rFonts w:ascii="Palatino Linotype" w:hAnsi="Palatino Linotype" w:cs="Tahoma"/>
          <w:bCs/>
          <w:sz w:val="22"/>
          <w:szCs w:val="22"/>
          <w:lang w:val="es-ES"/>
        </w:rPr>
        <w:t>Lo anterior,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3BBA949F" w14:textId="77777777" w:rsidR="009252C3" w:rsidRPr="009252C3" w:rsidRDefault="009252C3" w:rsidP="009252C3">
      <w:pPr>
        <w:spacing w:line="360" w:lineRule="auto"/>
        <w:jc w:val="both"/>
        <w:rPr>
          <w:rFonts w:ascii="Palatino Linotype" w:hAnsi="Palatino Linotype" w:cs="Tahoma"/>
          <w:bCs/>
          <w:sz w:val="22"/>
          <w:szCs w:val="22"/>
          <w:lang w:val="es-ES"/>
        </w:rPr>
      </w:pPr>
    </w:p>
    <w:p w14:paraId="7FE47199" w14:textId="77777777" w:rsidR="009252C3" w:rsidRPr="009252C3" w:rsidRDefault="009252C3" w:rsidP="009252C3">
      <w:pPr>
        <w:spacing w:line="360" w:lineRule="auto"/>
        <w:jc w:val="both"/>
        <w:rPr>
          <w:rFonts w:ascii="Palatino Linotype" w:hAnsi="Palatino Linotype" w:cs="Tahoma"/>
          <w:bCs/>
          <w:sz w:val="22"/>
          <w:szCs w:val="22"/>
          <w:lang w:val="es-ES"/>
        </w:rPr>
      </w:pPr>
      <w:r w:rsidRPr="009252C3">
        <w:rPr>
          <w:rFonts w:ascii="Palatino Linotype" w:hAnsi="Palatino Linotype" w:cs="Tahoma"/>
          <w:bCs/>
          <w:sz w:val="22"/>
          <w:szCs w:val="22"/>
          <w:lang w:val="es-ES"/>
        </w:rPr>
        <w:t xml:space="preserve">De tales circunstancias, se colige que los sujetos obligados únicamente están constreñidos a proporcionar </w:t>
      </w:r>
      <w:r w:rsidRPr="009252C3">
        <w:rPr>
          <w:rFonts w:ascii="Palatino Linotype" w:hAnsi="Palatino Linotype" w:cs="Tahoma"/>
          <w:b/>
          <w:bCs/>
          <w:sz w:val="22"/>
          <w:szCs w:val="22"/>
          <w:lang w:val="es-ES"/>
        </w:rPr>
        <w:t>la documentación que obre en sus archivos</w:t>
      </w:r>
      <w:r w:rsidRPr="009252C3">
        <w:rPr>
          <w:rFonts w:ascii="Palatino Linotype" w:hAnsi="Palatino Linotype" w:cs="Tahoma"/>
          <w:bCs/>
          <w:sz w:val="22"/>
          <w:szCs w:val="22"/>
          <w:lang w:val="es-ES"/>
        </w:rPr>
        <w:t>; por lo que, no están obligados a generar o elaborar documentos </w:t>
      </w:r>
      <w:r w:rsidRPr="009252C3">
        <w:rPr>
          <w:rFonts w:ascii="Palatino Linotype" w:hAnsi="Palatino Linotype" w:cs="Tahoma"/>
          <w:bCs/>
          <w:i/>
          <w:iCs/>
          <w:sz w:val="22"/>
          <w:szCs w:val="22"/>
          <w:lang w:val="es-ES"/>
        </w:rPr>
        <w:t>ad hoc, </w:t>
      </w:r>
      <w:r w:rsidRPr="009252C3">
        <w:rPr>
          <w:rFonts w:ascii="Palatino Linotype" w:hAnsi="Palatino Linotype" w:cs="Tahoma"/>
          <w:bCs/>
          <w:sz w:val="22"/>
          <w:szCs w:val="22"/>
          <w:lang w:val="es-ES"/>
        </w:rPr>
        <w:t xml:space="preserve">como es el caso de proporcionar respuesta a una inquietud. Robustece lo anterior el Criterio Orientador, con clave de control </w:t>
      </w:r>
      <w:r w:rsidRPr="009252C3">
        <w:rPr>
          <w:rFonts w:ascii="Palatino Linotype" w:hAnsi="Palatino Linotype" w:cs="Tahoma"/>
          <w:bCs/>
          <w:sz w:val="22"/>
          <w:szCs w:val="22"/>
        </w:rPr>
        <w:t>SO/013/2017</w:t>
      </w:r>
      <w:r w:rsidRPr="009252C3">
        <w:rPr>
          <w:rFonts w:ascii="Palatino Linotype" w:hAnsi="Palatino Linotype" w:cs="Tahoma"/>
          <w:bCs/>
          <w:sz w:val="22"/>
          <w:szCs w:val="22"/>
          <w:lang w:val="es-ES"/>
        </w:rPr>
        <w:t>, de la Segunda Época, emitido por el Instituto Nacional de Transparencia, Acceso a la Información y Protección de Datos Personales, vigente a la fecha de la solicitud, que a continuación se cita:</w:t>
      </w:r>
    </w:p>
    <w:p w14:paraId="79E6F29D" w14:textId="77777777" w:rsidR="009252C3" w:rsidRPr="009252C3" w:rsidRDefault="009252C3" w:rsidP="009252C3">
      <w:pPr>
        <w:spacing w:line="360" w:lineRule="auto"/>
        <w:jc w:val="both"/>
        <w:rPr>
          <w:rFonts w:ascii="Palatino Linotype" w:hAnsi="Palatino Linotype" w:cs="Tahoma"/>
          <w:bCs/>
          <w:sz w:val="22"/>
          <w:szCs w:val="22"/>
          <w:lang w:val="es-ES"/>
        </w:rPr>
      </w:pPr>
    </w:p>
    <w:p w14:paraId="2BF670CA" w14:textId="77777777" w:rsidR="009252C3" w:rsidRPr="009252C3" w:rsidRDefault="009252C3" w:rsidP="009252C3">
      <w:pPr>
        <w:spacing w:line="360" w:lineRule="auto"/>
        <w:ind w:left="567" w:right="567"/>
        <w:jc w:val="both"/>
        <w:rPr>
          <w:rFonts w:ascii="Palatino Linotype" w:hAnsi="Palatino Linotype" w:cs="Tahoma"/>
          <w:bCs/>
          <w:i/>
        </w:rPr>
      </w:pPr>
      <w:r w:rsidRPr="009252C3">
        <w:rPr>
          <w:rFonts w:ascii="Palatino Linotype" w:hAnsi="Palatino Linotype" w:cs="Tahoma"/>
          <w:b/>
          <w:bCs/>
          <w:i/>
        </w:rPr>
        <w:t xml:space="preserve">“No existe obligación de elaborar documentos ad hoc para atender las solicitudes de acceso a la información. </w:t>
      </w:r>
      <w:r w:rsidRPr="009252C3">
        <w:rPr>
          <w:rFonts w:ascii="Palatino Linotype" w:hAnsi="Palatino Linotype" w:cs="Tahoma"/>
          <w:bCs/>
          <w:i/>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w:t>
      </w:r>
      <w:r w:rsidRPr="009252C3">
        <w:rPr>
          <w:rFonts w:ascii="Palatino Linotype" w:hAnsi="Palatino Linotype" w:cs="Tahoma"/>
          <w:bCs/>
          <w:i/>
        </w:rPr>
        <w:lastRenderedPageBreak/>
        <w:t>información del particular, proporcionando la información con la que cuentan en el formato en que la misma obre en sus archivos; sin necesidad de elaborar documentos ad hoc para atenderlas solicitudes de información.”</w:t>
      </w:r>
    </w:p>
    <w:p w14:paraId="2851C3AF" w14:textId="77777777" w:rsidR="009252C3" w:rsidRPr="009252C3" w:rsidRDefault="009252C3" w:rsidP="009252C3">
      <w:pPr>
        <w:spacing w:line="360" w:lineRule="auto"/>
        <w:jc w:val="both"/>
        <w:rPr>
          <w:rFonts w:ascii="Palatino Linotype" w:hAnsi="Palatino Linotype" w:cs="Tahoma"/>
          <w:bCs/>
          <w:sz w:val="22"/>
          <w:szCs w:val="22"/>
          <w:lang w:val="es-ES"/>
        </w:rPr>
      </w:pPr>
    </w:p>
    <w:p w14:paraId="63CCE34B" w14:textId="69A48F4B" w:rsidR="009252C3" w:rsidRPr="009252C3" w:rsidRDefault="009252C3" w:rsidP="009252C3">
      <w:pPr>
        <w:spacing w:line="360" w:lineRule="auto"/>
        <w:jc w:val="both"/>
        <w:rPr>
          <w:rFonts w:ascii="Palatino Linotype" w:hAnsi="Palatino Linotype" w:cs="Tahoma"/>
          <w:bCs/>
          <w:sz w:val="22"/>
          <w:szCs w:val="22"/>
          <w:lang w:val="es-ES"/>
        </w:rPr>
      </w:pPr>
      <w:r w:rsidRPr="009252C3">
        <w:rPr>
          <w:rFonts w:ascii="Palatino Linotype" w:hAnsi="Palatino Linotype" w:cs="Tahoma"/>
          <w:bCs/>
          <w:sz w:val="22"/>
          <w:szCs w:val="22"/>
          <w:lang w:val="es-ES"/>
        </w:rPr>
        <w:t xml:space="preserve">Conforme a lo anterior, </w:t>
      </w:r>
      <w:r w:rsidRPr="009252C3">
        <w:rPr>
          <w:rFonts w:ascii="Palatino Linotype" w:hAnsi="Palatino Linotype" w:cs="Tahoma"/>
          <w:b/>
          <w:sz w:val="22"/>
          <w:szCs w:val="22"/>
          <w:lang w:val="es-ES"/>
        </w:rPr>
        <w:t xml:space="preserve">se advierte que la respuesta al </w:t>
      </w:r>
      <w:r w:rsidR="00FF1AD6">
        <w:rPr>
          <w:rFonts w:ascii="Palatino Linotype" w:hAnsi="Palatino Linotype" w:cs="Tahoma"/>
          <w:b/>
          <w:sz w:val="22"/>
          <w:szCs w:val="22"/>
          <w:lang w:val="es-ES"/>
        </w:rPr>
        <w:t>requerimiento</w:t>
      </w:r>
      <w:r w:rsidRPr="009252C3">
        <w:rPr>
          <w:rFonts w:ascii="Palatino Linotype" w:hAnsi="Palatino Linotype" w:cs="Tahoma"/>
          <w:b/>
          <w:sz w:val="22"/>
          <w:szCs w:val="22"/>
          <w:lang w:val="es-ES"/>
        </w:rPr>
        <w:t xml:space="preserve"> previamente referido constituye una consulta</w:t>
      </w:r>
      <w:r w:rsidRPr="009252C3">
        <w:rPr>
          <w:rFonts w:ascii="Palatino Linotype" w:hAnsi="Palatino Linotype" w:cs="Tahoma"/>
          <w:bCs/>
          <w:sz w:val="22"/>
          <w:szCs w:val="22"/>
          <w:lang w:val="es-ES"/>
        </w:rPr>
        <w:t xml:space="preserve"> y no así una solicitud de acceso a información pública que pueda ser atendida mediante una expresión documental, pues re</w:t>
      </w:r>
      <w:r w:rsidRPr="009252C3">
        <w:rPr>
          <w:rFonts w:ascii="Palatino Linotype" w:hAnsi="Palatino Linotype" w:cs="Tahoma"/>
          <w:bCs/>
          <w:sz w:val="22"/>
          <w:szCs w:val="22"/>
        </w:rPr>
        <w:t xml:space="preserve">quiere un pronunciamiento específico </w:t>
      </w:r>
      <w:r w:rsidR="00FF1AD6">
        <w:rPr>
          <w:rFonts w:ascii="Palatino Linotype" w:hAnsi="Palatino Linotype" w:cs="Tahoma"/>
          <w:bCs/>
          <w:sz w:val="22"/>
          <w:szCs w:val="22"/>
        </w:rPr>
        <w:t>sobre una situación concreta</w:t>
      </w:r>
      <w:r w:rsidRPr="009252C3">
        <w:rPr>
          <w:rFonts w:ascii="Palatino Linotype" w:hAnsi="Palatino Linotype" w:cs="Tahoma"/>
          <w:bCs/>
          <w:sz w:val="22"/>
          <w:szCs w:val="22"/>
          <w:lang w:val="es-ES"/>
        </w:rPr>
        <w:t xml:space="preserve">; lo anterior, toda vez que el requerimiento corresponde a una pregunta que implicaría elaborar un documento </w:t>
      </w:r>
      <w:r w:rsidRPr="009252C3">
        <w:rPr>
          <w:rFonts w:ascii="Palatino Linotype" w:hAnsi="Palatino Linotype" w:cs="Tahoma"/>
          <w:bCs/>
          <w:i/>
          <w:iCs/>
          <w:sz w:val="22"/>
          <w:szCs w:val="22"/>
          <w:lang w:val="es-ES"/>
        </w:rPr>
        <w:t>ad hoc</w:t>
      </w:r>
      <w:r w:rsidRPr="009252C3">
        <w:rPr>
          <w:rFonts w:ascii="Palatino Linotype" w:hAnsi="Palatino Linotype" w:cs="Tahoma"/>
          <w:bCs/>
          <w:sz w:val="22"/>
          <w:szCs w:val="22"/>
          <w:lang w:val="es-ES"/>
        </w:rPr>
        <w:t xml:space="preserve">, contestando la situación precisada. </w:t>
      </w:r>
    </w:p>
    <w:p w14:paraId="4638A277" w14:textId="77777777" w:rsidR="009252C3" w:rsidRPr="009252C3" w:rsidRDefault="009252C3" w:rsidP="009252C3">
      <w:pPr>
        <w:spacing w:line="360" w:lineRule="auto"/>
        <w:jc w:val="both"/>
        <w:rPr>
          <w:rFonts w:ascii="Palatino Linotype" w:hAnsi="Palatino Linotype" w:cs="Tahoma"/>
          <w:bCs/>
          <w:sz w:val="22"/>
          <w:szCs w:val="22"/>
          <w:lang w:val="es-ES"/>
        </w:rPr>
      </w:pPr>
    </w:p>
    <w:p w14:paraId="05BD907E" w14:textId="77777777" w:rsidR="009252C3" w:rsidRPr="009252C3" w:rsidRDefault="009252C3" w:rsidP="009252C3">
      <w:pPr>
        <w:spacing w:line="360" w:lineRule="auto"/>
        <w:jc w:val="both"/>
        <w:rPr>
          <w:rFonts w:ascii="Palatino Linotype" w:hAnsi="Palatino Linotype" w:cs="Tahoma"/>
          <w:bCs/>
          <w:sz w:val="22"/>
          <w:szCs w:val="22"/>
        </w:rPr>
      </w:pPr>
      <w:r w:rsidRPr="009252C3">
        <w:rPr>
          <w:rFonts w:ascii="Palatino Linotype" w:hAnsi="Palatino Linotype"/>
          <w:sz w:val="22"/>
        </w:rPr>
        <w:t>Lo anterior toma relevancia, pues según Trujillo, Humberto (2019), en el “Diccionario de Transparencia y Acceso a la Información Pública” (p. 122), el derecho de petición, es una prerrogativa constitucional que tienen las personas para solicitar o reclamar a las autoridades públicas; por lo que, las instancias deben recibirlas y realizar una respuesta. </w:t>
      </w:r>
      <w:r w:rsidRPr="009252C3">
        <w:rPr>
          <w:rFonts w:ascii="Palatino Linotype" w:hAnsi="Palatino Linotype" w:cs="Tahoma"/>
          <w:bCs/>
          <w:sz w:val="22"/>
          <w:szCs w:val="22"/>
          <w:lang w:val="es-ES"/>
        </w:rPr>
        <w:t xml:space="preserve">Además, </w:t>
      </w:r>
      <w:r w:rsidRPr="009252C3">
        <w:rPr>
          <w:rFonts w:ascii="Palatino Linotype" w:hAnsi="Palatino Linotype" w:cs="Tahoma"/>
          <w:bCs/>
          <w:sz w:val="22"/>
          <w:szCs w:val="22"/>
        </w:rPr>
        <w:t xml:space="preserve">la Jurisprudencia XXI.1o.P.A. J/27, de los Tribunales Colegiados de Circuito, localizada en la página 1406, del Semanario Judicial de la Federación y su Gaceta, Tomo </w:t>
      </w:r>
      <w:r w:rsidRPr="009252C3">
        <w:rPr>
          <w:rFonts w:ascii="Palatino Linotype" w:hAnsi="Palatino Linotype" w:cs="Tahoma"/>
          <w:bCs/>
          <w:sz w:val="22"/>
          <w:szCs w:val="22"/>
          <w:lang w:val="es-ES"/>
        </w:rPr>
        <w:t>XXXIII</w:t>
      </w:r>
      <w:r w:rsidRPr="009252C3">
        <w:rPr>
          <w:rFonts w:ascii="Palatino Linotype" w:hAnsi="Palatino Linotype" w:cs="Tahoma"/>
          <w:bCs/>
          <w:sz w:val="22"/>
          <w:szCs w:val="22"/>
        </w:rPr>
        <w:t>, marzo 2011, Novena Época, que establece lo siguiente:</w:t>
      </w:r>
    </w:p>
    <w:p w14:paraId="545CDC68" w14:textId="77777777" w:rsidR="009252C3" w:rsidRPr="009252C3" w:rsidRDefault="009252C3" w:rsidP="009252C3">
      <w:pPr>
        <w:spacing w:line="360" w:lineRule="auto"/>
        <w:jc w:val="both"/>
        <w:rPr>
          <w:rFonts w:ascii="Palatino Linotype" w:hAnsi="Palatino Linotype" w:cs="Tahoma"/>
          <w:bCs/>
          <w:sz w:val="22"/>
          <w:szCs w:val="22"/>
        </w:rPr>
      </w:pPr>
    </w:p>
    <w:p w14:paraId="09806930" w14:textId="77777777" w:rsidR="009252C3" w:rsidRPr="009252C3" w:rsidRDefault="009252C3" w:rsidP="009252C3">
      <w:pPr>
        <w:spacing w:line="360" w:lineRule="auto"/>
        <w:ind w:left="567" w:right="567"/>
        <w:jc w:val="both"/>
        <w:rPr>
          <w:rFonts w:ascii="Palatino Linotype" w:hAnsi="Palatino Linotype" w:cs="Tahoma"/>
          <w:bCs/>
          <w:i/>
          <w:lang w:val="es-ES"/>
        </w:rPr>
      </w:pPr>
      <w:r w:rsidRPr="009252C3">
        <w:rPr>
          <w:rFonts w:ascii="Palatino Linotype" w:hAnsi="Palatino Linotype" w:cs="Tahoma"/>
          <w:b/>
          <w:bCs/>
          <w:i/>
          <w:lang w:val="es-ES"/>
        </w:rPr>
        <w:t xml:space="preserve">“DERECHO DE PETICIÓN. SUS ELEMENTOS. </w:t>
      </w:r>
      <w:r w:rsidRPr="009252C3">
        <w:rPr>
          <w:rFonts w:ascii="Palatino Linotype" w:hAnsi="Palatino Linotype" w:cs="Tahoma"/>
          <w:bCs/>
          <w:i/>
          <w:lang w:val="es-ES"/>
        </w:rPr>
        <w:t xml:space="preserve">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w:t>
      </w:r>
      <w:r w:rsidRPr="009252C3">
        <w:rPr>
          <w:rFonts w:ascii="Palatino Linotype" w:hAnsi="Palatino Linotype" w:cs="Tahoma"/>
          <w:bCs/>
          <w:i/>
          <w:lang w:val="es-ES"/>
        </w:rPr>
        <w:lastRenderedPageBreak/>
        <w:t>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w:t>
      </w:r>
    </w:p>
    <w:p w14:paraId="1E4FFD07" w14:textId="77777777" w:rsidR="009252C3" w:rsidRPr="009252C3" w:rsidRDefault="009252C3" w:rsidP="009252C3">
      <w:pPr>
        <w:spacing w:line="360" w:lineRule="auto"/>
        <w:jc w:val="both"/>
        <w:rPr>
          <w:rFonts w:ascii="Palatino Linotype" w:hAnsi="Palatino Linotype" w:cs="Tahoma"/>
          <w:bCs/>
          <w:sz w:val="22"/>
          <w:szCs w:val="22"/>
          <w:lang w:val="es-ES"/>
        </w:rPr>
      </w:pPr>
    </w:p>
    <w:p w14:paraId="7DAABDEC" w14:textId="294385AC" w:rsidR="009252C3" w:rsidRPr="009252C3" w:rsidRDefault="009252C3" w:rsidP="009252C3">
      <w:pPr>
        <w:spacing w:line="360" w:lineRule="auto"/>
        <w:jc w:val="both"/>
        <w:rPr>
          <w:rFonts w:ascii="Palatino Linotype" w:hAnsi="Palatino Linotype" w:cs="Tahoma"/>
          <w:bCs/>
          <w:sz w:val="22"/>
          <w:szCs w:val="22"/>
          <w:lang w:val="es-ES"/>
        </w:rPr>
      </w:pPr>
      <w:r w:rsidRPr="009252C3">
        <w:rPr>
          <w:rFonts w:ascii="Palatino Linotype" w:hAnsi="Palatino Linotype" w:cs="Tahoma"/>
          <w:bCs/>
          <w:sz w:val="22"/>
          <w:szCs w:val="22"/>
          <w:lang w:val="es-ES"/>
        </w:rPr>
        <w:t xml:space="preserve">De la Jurisprudencia citada, se advierte que el derecho de </w:t>
      </w:r>
      <w:r w:rsidR="00FF1AD6" w:rsidRPr="009252C3">
        <w:rPr>
          <w:rFonts w:ascii="Palatino Linotype" w:hAnsi="Palatino Linotype" w:cs="Tahoma"/>
          <w:bCs/>
          <w:sz w:val="22"/>
          <w:szCs w:val="22"/>
          <w:lang w:val="es-ES"/>
        </w:rPr>
        <w:t>petición</w:t>
      </w:r>
      <w:r w:rsidRPr="009252C3">
        <w:rPr>
          <w:rFonts w:ascii="Palatino Linotype" w:hAnsi="Palatino Linotype" w:cs="Tahoma"/>
          <w:bCs/>
          <w:sz w:val="22"/>
          <w:szCs w:val="22"/>
          <w:lang w:val="es-ES"/>
        </w:rPr>
        <w:t xml:space="preserve"> es una prerrogativa individual consagrada en el artículo 8° de la Constitución Política de los Estados Unidos Mexicanos, con el fin de que cualquier ciudadano o persona, presente una petición de manera pacífica y respetuosa (pregunta, consulta, duda, acción, entre otros), ante una autoridad, por lo que, tiene derecho de recibir una respuesta.</w:t>
      </w:r>
    </w:p>
    <w:p w14:paraId="1A44F269" w14:textId="77777777" w:rsidR="009252C3" w:rsidRPr="009252C3" w:rsidRDefault="009252C3" w:rsidP="009252C3">
      <w:pPr>
        <w:spacing w:line="360" w:lineRule="auto"/>
        <w:jc w:val="both"/>
        <w:rPr>
          <w:rFonts w:ascii="Palatino Linotype" w:hAnsi="Palatino Linotype" w:cs="Tahoma"/>
          <w:bCs/>
          <w:sz w:val="22"/>
          <w:szCs w:val="22"/>
        </w:rPr>
      </w:pPr>
    </w:p>
    <w:p w14:paraId="62145A5E" w14:textId="77777777" w:rsidR="009252C3" w:rsidRPr="009252C3" w:rsidRDefault="009252C3" w:rsidP="009252C3">
      <w:pPr>
        <w:spacing w:line="360" w:lineRule="auto"/>
        <w:jc w:val="both"/>
        <w:rPr>
          <w:rFonts w:ascii="Palatino Linotype" w:hAnsi="Palatino Linotype" w:cs="Tahoma"/>
          <w:sz w:val="22"/>
          <w:szCs w:val="22"/>
          <w:lang w:val="es-ES"/>
        </w:rPr>
      </w:pPr>
      <w:r w:rsidRPr="009252C3">
        <w:rPr>
          <w:rFonts w:ascii="Palatino Linotype" w:hAnsi="Palatino Linotype" w:cs="Tahoma"/>
          <w:sz w:val="22"/>
          <w:szCs w:val="22"/>
          <w:lang w:val="es-ES"/>
        </w:rPr>
        <w:t xml:space="preserve">De tal circunstancia, se puede colegir que el requerimiento de información realizado por la persona Recurrente, se trata de una consulta y derecho de petición que implicaría la generación de un documento </w:t>
      </w:r>
      <w:r w:rsidRPr="009252C3">
        <w:rPr>
          <w:rFonts w:ascii="Palatino Linotype" w:hAnsi="Palatino Linotype" w:cs="Tahoma"/>
          <w:i/>
          <w:sz w:val="22"/>
          <w:szCs w:val="22"/>
          <w:lang w:val="es-ES"/>
        </w:rPr>
        <w:t>ad hoc</w:t>
      </w:r>
      <w:r w:rsidRPr="009252C3">
        <w:rPr>
          <w:rFonts w:ascii="Palatino Linotype" w:hAnsi="Palatino Linotype" w:cs="Tahoma"/>
          <w:sz w:val="22"/>
          <w:szCs w:val="22"/>
          <w:lang w:val="es-ES"/>
        </w:rPr>
        <w:t xml:space="preserve">, y, por lo tanto, no es procedente la vía del derecho de acceso a la información. </w:t>
      </w:r>
    </w:p>
    <w:p w14:paraId="41DBB924" w14:textId="77777777" w:rsidR="009252C3" w:rsidRPr="009252C3" w:rsidRDefault="009252C3" w:rsidP="009252C3">
      <w:pPr>
        <w:spacing w:line="360" w:lineRule="auto"/>
        <w:jc w:val="both"/>
        <w:rPr>
          <w:rFonts w:ascii="Palatino Linotype" w:hAnsi="Palatino Linotype" w:cs="Tahoma"/>
          <w:b/>
          <w:bCs/>
          <w:sz w:val="22"/>
          <w:szCs w:val="22"/>
          <w:lang w:val="es-ES"/>
        </w:rPr>
      </w:pPr>
    </w:p>
    <w:p w14:paraId="255A709F" w14:textId="77777777" w:rsidR="009252C3" w:rsidRPr="009252C3" w:rsidRDefault="009252C3" w:rsidP="009252C3">
      <w:pPr>
        <w:spacing w:line="360" w:lineRule="auto"/>
        <w:jc w:val="both"/>
        <w:rPr>
          <w:rFonts w:ascii="Palatino Linotype" w:hAnsi="Palatino Linotype" w:cs="Tahoma"/>
          <w:bCs/>
          <w:sz w:val="22"/>
          <w:szCs w:val="22"/>
          <w:lang w:val="es-ES"/>
        </w:rPr>
      </w:pPr>
      <w:r w:rsidRPr="009252C3">
        <w:rPr>
          <w:rFonts w:ascii="Palatino Linotype" w:hAnsi="Palatino Linotype" w:cs="Tahoma"/>
          <w:bCs/>
          <w:sz w:val="22"/>
          <w:szCs w:val="22"/>
          <w:lang w:val="es-ES"/>
        </w:rPr>
        <w:t xml:space="preserve">En consecuencia, toda vez de que la solicitud de acceso a la información se trata de una consulta, que implicaría que el Sujeto Obligado realizará un documento que contenga determinado contenido, con un pronunciamiento específico, el Medio de Impugnación </w:t>
      </w:r>
      <w:r w:rsidRPr="009252C3">
        <w:rPr>
          <w:rFonts w:ascii="Palatino Linotype" w:hAnsi="Palatino Linotype" w:cs="Tahoma"/>
          <w:b/>
          <w:bCs/>
          <w:sz w:val="22"/>
          <w:szCs w:val="22"/>
          <w:lang w:val="es-ES"/>
        </w:rPr>
        <w:t xml:space="preserve">actualiza la causal de </w:t>
      </w:r>
      <w:proofErr w:type="spellStart"/>
      <w:r w:rsidRPr="009252C3">
        <w:rPr>
          <w:rFonts w:ascii="Palatino Linotype" w:hAnsi="Palatino Linotype" w:cs="Tahoma"/>
          <w:b/>
          <w:bCs/>
          <w:sz w:val="22"/>
          <w:szCs w:val="22"/>
          <w:lang w:val="es-ES"/>
        </w:rPr>
        <w:t>desechamiento</w:t>
      </w:r>
      <w:proofErr w:type="spellEnd"/>
      <w:r w:rsidRPr="009252C3">
        <w:rPr>
          <w:rFonts w:ascii="Palatino Linotype" w:hAnsi="Palatino Linotype" w:cs="Tahoma"/>
          <w:b/>
          <w:bCs/>
          <w:sz w:val="22"/>
          <w:szCs w:val="22"/>
          <w:lang w:val="es-ES"/>
        </w:rPr>
        <w:t xml:space="preserve"> establecida en el artículo 191, fracción VI, de la Ley de Transparencia y Acceso a la Información Pública del Estado de México y Municipios, </w:t>
      </w:r>
      <w:r w:rsidRPr="009252C3">
        <w:rPr>
          <w:rFonts w:ascii="Palatino Linotype" w:hAnsi="Palatino Linotype" w:cs="Tahoma"/>
          <w:bCs/>
          <w:sz w:val="22"/>
          <w:szCs w:val="22"/>
          <w:lang w:val="es-ES"/>
        </w:rPr>
        <w:t xml:space="preserve">por lo que  lo procedente es </w:t>
      </w:r>
      <w:r w:rsidRPr="009252C3">
        <w:rPr>
          <w:rFonts w:ascii="Palatino Linotype" w:hAnsi="Palatino Linotype" w:cs="Tahoma"/>
          <w:b/>
          <w:bCs/>
          <w:sz w:val="22"/>
          <w:szCs w:val="22"/>
          <w:lang w:val="es-ES"/>
        </w:rPr>
        <w:t xml:space="preserve">SOBRESEER </w:t>
      </w:r>
      <w:r w:rsidRPr="009252C3">
        <w:rPr>
          <w:rFonts w:ascii="Palatino Linotype" w:hAnsi="Palatino Linotype" w:cs="Tahoma"/>
          <w:bCs/>
          <w:sz w:val="22"/>
          <w:szCs w:val="22"/>
          <w:lang w:val="es-ES"/>
        </w:rPr>
        <w:t xml:space="preserve">el presente Recurso de Revisión, al actualizarse el supuesto previsto en el </w:t>
      </w:r>
      <w:r w:rsidRPr="009252C3">
        <w:rPr>
          <w:rFonts w:ascii="Palatino Linotype" w:hAnsi="Palatino Linotype" w:cs="Tahoma"/>
          <w:b/>
          <w:sz w:val="22"/>
          <w:szCs w:val="22"/>
          <w:lang w:val="es-ES"/>
        </w:rPr>
        <w:t>artículo 192, fracción IV</w:t>
      </w:r>
      <w:r w:rsidRPr="009252C3">
        <w:rPr>
          <w:rFonts w:ascii="Palatino Linotype" w:hAnsi="Palatino Linotype" w:cs="Tahoma"/>
          <w:bCs/>
          <w:sz w:val="22"/>
          <w:szCs w:val="22"/>
          <w:lang w:val="es-ES"/>
        </w:rPr>
        <w:t>, en relación con el diverso 186, fracción I, de ese ordenamiento legal.</w:t>
      </w:r>
    </w:p>
    <w:p w14:paraId="2D92A92A" w14:textId="77777777" w:rsidR="002B4A91" w:rsidRPr="00BF1B3E" w:rsidRDefault="002B4A91" w:rsidP="00BF1B3E">
      <w:pPr>
        <w:pStyle w:val="Ttulo2"/>
        <w:spacing w:before="0" w:after="0" w:line="360" w:lineRule="auto"/>
        <w:contextualSpacing/>
        <w:jc w:val="both"/>
        <w:rPr>
          <w:rFonts w:ascii="Palatino Linotype" w:hAnsi="Palatino Linotype"/>
          <w:b/>
          <w:color w:val="auto"/>
          <w:sz w:val="22"/>
          <w:szCs w:val="22"/>
          <w:lang w:val="es-ES"/>
        </w:rPr>
      </w:pPr>
      <w:bookmarkStart w:id="14" w:name="_Toc223621134"/>
      <w:r w:rsidRPr="00BF1B3E">
        <w:rPr>
          <w:rFonts w:ascii="Palatino Linotype" w:hAnsi="Palatino Linotype"/>
          <w:b/>
          <w:color w:val="auto"/>
          <w:sz w:val="22"/>
          <w:szCs w:val="22"/>
          <w:lang w:val="es-ES"/>
        </w:rPr>
        <w:lastRenderedPageBreak/>
        <w:t>CUARTO. Decisión.</w:t>
      </w:r>
      <w:bookmarkEnd w:id="14"/>
      <w:r w:rsidRPr="00BF1B3E">
        <w:rPr>
          <w:rFonts w:ascii="Palatino Linotype" w:hAnsi="Palatino Linotype"/>
          <w:b/>
          <w:color w:val="auto"/>
          <w:sz w:val="22"/>
          <w:szCs w:val="22"/>
          <w:lang w:val="es-ES"/>
        </w:rPr>
        <w:t xml:space="preserve"> </w:t>
      </w:r>
    </w:p>
    <w:p w14:paraId="6E70739E" w14:textId="77777777" w:rsidR="002B4A91" w:rsidRPr="00BF1B3E" w:rsidRDefault="002B4A91" w:rsidP="00BF1B3E">
      <w:pPr>
        <w:spacing w:line="360" w:lineRule="auto"/>
        <w:contextualSpacing/>
        <w:jc w:val="both"/>
        <w:rPr>
          <w:rFonts w:ascii="Palatino Linotype" w:hAnsi="Palatino Linotype" w:cs="Tahoma"/>
          <w:b/>
          <w:sz w:val="22"/>
          <w:szCs w:val="22"/>
          <w:lang w:val="es-ES"/>
        </w:rPr>
      </w:pPr>
    </w:p>
    <w:p w14:paraId="6B10598D" w14:textId="69A89BB0" w:rsidR="002B4A91" w:rsidRPr="00BF1B3E" w:rsidRDefault="002B4A91" w:rsidP="00BF1B3E">
      <w:pPr>
        <w:spacing w:line="360" w:lineRule="auto"/>
        <w:contextualSpacing/>
        <w:jc w:val="both"/>
        <w:rPr>
          <w:rFonts w:ascii="Palatino Linotype" w:hAnsi="Palatino Linotype" w:cs="Tahoma"/>
          <w:sz w:val="22"/>
          <w:szCs w:val="22"/>
          <w:lang w:val="es-ES"/>
        </w:rPr>
      </w:pPr>
      <w:r w:rsidRPr="00BF1B3E">
        <w:rPr>
          <w:rFonts w:ascii="Palatino Linotype" w:hAnsi="Palatino Linotype" w:cs="Tahoma"/>
          <w:sz w:val="22"/>
          <w:szCs w:val="22"/>
          <w:lang w:val="es-ES"/>
        </w:rPr>
        <w:t xml:space="preserve">Con fundamento en lo dispuesto en el artículo 186, fracción I de la Ley de Transparencia y Acceso a la Información Pública del Estado de México y Municipios, se considera procedente </w:t>
      </w:r>
      <w:r w:rsidRPr="00BF1B3E">
        <w:rPr>
          <w:rFonts w:ascii="Palatino Linotype" w:hAnsi="Palatino Linotype" w:cs="Tahoma"/>
          <w:b/>
          <w:sz w:val="22"/>
          <w:szCs w:val="22"/>
          <w:lang w:val="es-ES"/>
        </w:rPr>
        <w:t xml:space="preserve">SOBRESEER </w:t>
      </w:r>
      <w:r w:rsidRPr="00BF1B3E">
        <w:rPr>
          <w:rFonts w:ascii="Palatino Linotype" w:hAnsi="Palatino Linotype" w:cs="Tahoma"/>
          <w:sz w:val="22"/>
          <w:szCs w:val="22"/>
          <w:lang w:val="es-ES"/>
        </w:rPr>
        <w:t xml:space="preserve">el Recurso de Revisión, en virtud de que se actualiza la hipótesis normativa prevista en la fracción IV, del diverso 192, en relación, con el 191, fracción </w:t>
      </w:r>
      <w:r w:rsidR="00BF1B3E" w:rsidRPr="00BF1B3E">
        <w:rPr>
          <w:rFonts w:ascii="Palatino Linotype" w:hAnsi="Palatino Linotype" w:cs="Tahoma"/>
          <w:sz w:val="22"/>
          <w:szCs w:val="22"/>
          <w:lang w:val="es-ES"/>
        </w:rPr>
        <w:t>V</w:t>
      </w:r>
      <w:r w:rsidRPr="00BF1B3E">
        <w:rPr>
          <w:rFonts w:ascii="Palatino Linotype" w:hAnsi="Palatino Linotype" w:cs="Tahoma"/>
          <w:sz w:val="22"/>
          <w:szCs w:val="22"/>
          <w:lang w:val="es-ES"/>
        </w:rPr>
        <w:t>I, ambos del citado ordenamiento legal.</w:t>
      </w:r>
    </w:p>
    <w:p w14:paraId="6D485874" w14:textId="77777777" w:rsidR="002B4A91" w:rsidRPr="00BF1B3E" w:rsidRDefault="002B4A91" w:rsidP="00BF1B3E">
      <w:pPr>
        <w:spacing w:line="360" w:lineRule="auto"/>
        <w:contextualSpacing/>
        <w:jc w:val="both"/>
        <w:rPr>
          <w:rFonts w:ascii="Palatino Linotype" w:hAnsi="Palatino Linotype" w:cs="Tahoma"/>
          <w:bCs/>
          <w:iCs/>
          <w:sz w:val="22"/>
          <w:szCs w:val="22"/>
          <w:lang w:val="es-ES"/>
        </w:rPr>
      </w:pPr>
    </w:p>
    <w:p w14:paraId="0B763914" w14:textId="77777777" w:rsidR="002B4A91" w:rsidRPr="00BF1B3E" w:rsidRDefault="002B4A91" w:rsidP="00BF1B3E">
      <w:pPr>
        <w:autoSpaceDE w:val="0"/>
        <w:autoSpaceDN w:val="0"/>
        <w:adjustRightInd w:val="0"/>
        <w:spacing w:line="360" w:lineRule="auto"/>
        <w:contextualSpacing/>
        <w:jc w:val="both"/>
        <w:rPr>
          <w:rFonts w:ascii="Palatino Linotype" w:eastAsia="Calibri" w:hAnsi="Palatino Linotype" w:cs="Tahoma"/>
          <w:b/>
          <w:bCs/>
          <w:iCs/>
          <w:sz w:val="22"/>
          <w:szCs w:val="22"/>
          <w:lang w:val="es-ES"/>
        </w:rPr>
      </w:pPr>
      <w:r w:rsidRPr="00BF1B3E">
        <w:rPr>
          <w:rFonts w:ascii="Palatino Linotype" w:eastAsia="Calibri" w:hAnsi="Palatino Linotype" w:cs="Tahoma"/>
          <w:b/>
          <w:bCs/>
          <w:iCs/>
          <w:sz w:val="22"/>
          <w:szCs w:val="22"/>
          <w:lang w:val="es-ES"/>
        </w:rPr>
        <w:t>Términos de la Resolución para conocimiento del Particular.</w:t>
      </w:r>
    </w:p>
    <w:p w14:paraId="51786D23" w14:textId="77777777" w:rsidR="002B4A91" w:rsidRPr="00BF1B3E" w:rsidRDefault="002B4A91" w:rsidP="00BF1B3E">
      <w:pPr>
        <w:autoSpaceDE w:val="0"/>
        <w:autoSpaceDN w:val="0"/>
        <w:adjustRightInd w:val="0"/>
        <w:spacing w:line="360" w:lineRule="auto"/>
        <w:contextualSpacing/>
        <w:jc w:val="both"/>
        <w:rPr>
          <w:rFonts w:ascii="Palatino Linotype" w:eastAsia="Calibri" w:hAnsi="Palatino Linotype" w:cs="Tahoma"/>
          <w:b/>
          <w:bCs/>
          <w:iCs/>
          <w:sz w:val="22"/>
          <w:szCs w:val="22"/>
          <w:lang w:val="es-ES"/>
        </w:rPr>
      </w:pPr>
    </w:p>
    <w:p w14:paraId="13FFAC63" w14:textId="77777777" w:rsidR="002B4A91" w:rsidRPr="00BF1B3E" w:rsidRDefault="002B4A91" w:rsidP="00BF1B3E">
      <w:pPr>
        <w:spacing w:line="360" w:lineRule="auto"/>
        <w:contextualSpacing/>
        <w:jc w:val="both"/>
        <w:rPr>
          <w:rFonts w:ascii="Palatino Linotype" w:hAnsi="Palatino Linotype" w:cs="Tahoma"/>
          <w:bCs/>
          <w:sz w:val="22"/>
          <w:szCs w:val="22"/>
        </w:rPr>
      </w:pPr>
      <w:r w:rsidRPr="00BF1B3E">
        <w:rPr>
          <w:rFonts w:ascii="Palatino Linotype" w:hAnsi="Palatino Linotype" w:cs="Tahoma"/>
          <w:bCs/>
          <w:sz w:val="22"/>
          <w:szCs w:val="22"/>
        </w:rPr>
        <w:t xml:space="preserve">Se le hace del conocimiento al Particular, que su Recurso no actualiza ninguna de las causales de procedencia, establecidas en la Ley de la materia, toda vez que el Particular al interponer su Recurso de Revisión, el mismo no se advirtió alguna razón o motivo de inconformidad; por lo que, resulta procedente sobreseer el Medio de Impugnación, al ser improcedente. La </w:t>
      </w:r>
      <w:r w:rsidRPr="00BF1B3E">
        <w:rPr>
          <w:rFonts w:ascii="Palatino Linotype" w:eastAsia="Calibri" w:hAnsi="Palatino Linotype" w:cs="Tahoma"/>
          <w:bCs/>
          <w:iCs/>
          <w:sz w:val="22"/>
          <w:szCs w:val="22"/>
          <w:lang w:val="es-ES_tradnl" w:eastAsia="en-US"/>
        </w:rPr>
        <w:t>labor del Instituto, es apoyar a la población a acceder a la información pública y garantizar la protección de los datos personales.</w:t>
      </w:r>
    </w:p>
    <w:p w14:paraId="52850F2E" w14:textId="77777777" w:rsidR="002B4A91" w:rsidRPr="00BF1B3E" w:rsidRDefault="002B4A91" w:rsidP="00BF1B3E">
      <w:pPr>
        <w:autoSpaceDE w:val="0"/>
        <w:autoSpaceDN w:val="0"/>
        <w:adjustRightInd w:val="0"/>
        <w:spacing w:line="360" w:lineRule="auto"/>
        <w:contextualSpacing/>
        <w:jc w:val="both"/>
        <w:rPr>
          <w:rFonts w:ascii="Palatino Linotype" w:eastAsia="Calibri" w:hAnsi="Palatino Linotype" w:cs="Tahoma"/>
          <w:bCs/>
          <w:iCs/>
          <w:sz w:val="22"/>
          <w:szCs w:val="22"/>
          <w:lang w:val="es-ES_tradnl"/>
        </w:rPr>
      </w:pPr>
    </w:p>
    <w:p w14:paraId="55A440E9" w14:textId="77777777" w:rsidR="002B4A91" w:rsidRPr="00BF1B3E" w:rsidRDefault="002B4A91" w:rsidP="00BF1B3E">
      <w:pPr>
        <w:autoSpaceDE w:val="0"/>
        <w:autoSpaceDN w:val="0"/>
        <w:adjustRightInd w:val="0"/>
        <w:spacing w:line="360" w:lineRule="auto"/>
        <w:contextualSpacing/>
        <w:jc w:val="both"/>
        <w:rPr>
          <w:rFonts w:ascii="Palatino Linotype" w:eastAsia="Calibri" w:hAnsi="Palatino Linotype" w:cs="Tahoma"/>
          <w:bCs/>
          <w:iCs/>
          <w:sz w:val="22"/>
          <w:szCs w:val="22"/>
        </w:rPr>
      </w:pPr>
      <w:r w:rsidRPr="00BF1B3E">
        <w:rPr>
          <w:rFonts w:ascii="Palatino Linotype" w:eastAsia="Calibri" w:hAnsi="Palatino Linotype" w:cs="Tahoma"/>
          <w:bCs/>
          <w:iCs/>
          <w:sz w:val="22"/>
          <w:szCs w:val="22"/>
        </w:rPr>
        <w:t>Por lo expuesto y fundado, este Pleno:</w:t>
      </w:r>
    </w:p>
    <w:p w14:paraId="195B0563" w14:textId="77777777" w:rsidR="002B4A91" w:rsidRPr="00BF1B3E" w:rsidRDefault="002B4A91" w:rsidP="00BF1B3E">
      <w:pPr>
        <w:spacing w:line="360" w:lineRule="auto"/>
        <w:ind w:right="-28"/>
        <w:contextualSpacing/>
        <w:jc w:val="both"/>
        <w:rPr>
          <w:rFonts w:ascii="Palatino Linotype" w:eastAsia="Calibri" w:hAnsi="Palatino Linotype" w:cs="Tahoma"/>
          <w:b/>
          <w:bCs/>
          <w:sz w:val="22"/>
          <w:szCs w:val="22"/>
        </w:rPr>
      </w:pPr>
    </w:p>
    <w:p w14:paraId="53EA592A" w14:textId="77777777" w:rsidR="002B4A91" w:rsidRPr="00BF1B3E" w:rsidRDefault="002B4A91" w:rsidP="00BF1B3E">
      <w:pPr>
        <w:pStyle w:val="Ttulo2"/>
        <w:spacing w:before="0" w:after="0" w:line="360" w:lineRule="auto"/>
        <w:contextualSpacing/>
        <w:jc w:val="center"/>
        <w:rPr>
          <w:rFonts w:ascii="Palatino Linotype" w:eastAsia="Calibri" w:hAnsi="Palatino Linotype"/>
          <w:b/>
          <w:color w:val="auto"/>
          <w:sz w:val="22"/>
          <w:szCs w:val="22"/>
        </w:rPr>
      </w:pPr>
      <w:bookmarkStart w:id="15" w:name="_Toc223621135"/>
      <w:r w:rsidRPr="00BF1B3E">
        <w:rPr>
          <w:rFonts w:ascii="Palatino Linotype" w:eastAsia="Calibri" w:hAnsi="Palatino Linotype"/>
          <w:b/>
          <w:color w:val="auto"/>
          <w:sz w:val="22"/>
          <w:szCs w:val="22"/>
        </w:rPr>
        <w:t>R E S U E L V E:</w:t>
      </w:r>
      <w:bookmarkEnd w:id="15"/>
    </w:p>
    <w:p w14:paraId="606B94EB" w14:textId="77777777" w:rsidR="002B4A91" w:rsidRPr="00BF1B3E" w:rsidRDefault="002B4A91" w:rsidP="00BF1B3E">
      <w:pPr>
        <w:spacing w:line="360" w:lineRule="auto"/>
        <w:contextualSpacing/>
        <w:jc w:val="both"/>
        <w:rPr>
          <w:rFonts w:ascii="Palatino Linotype" w:eastAsia="Calibri" w:hAnsi="Palatino Linotype" w:cs="Tahoma"/>
          <w:b/>
          <w:bCs/>
          <w:sz w:val="22"/>
          <w:szCs w:val="22"/>
        </w:rPr>
      </w:pPr>
    </w:p>
    <w:p w14:paraId="1A3CF475" w14:textId="731382EA" w:rsidR="002B4A91" w:rsidRPr="00BF1B3E" w:rsidRDefault="002B4A91" w:rsidP="00BF1B3E">
      <w:pPr>
        <w:spacing w:line="360" w:lineRule="auto"/>
        <w:contextualSpacing/>
        <w:jc w:val="both"/>
        <w:rPr>
          <w:rFonts w:ascii="Palatino Linotype" w:hAnsi="Palatino Linotype" w:cs="Tahoma"/>
          <w:sz w:val="22"/>
          <w:szCs w:val="22"/>
          <w:lang w:val="es-ES"/>
        </w:rPr>
      </w:pPr>
      <w:r w:rsidRPr="00BF1B3E">
        <w:rPr>
          <w:rFonts w:ascii="Palatino Linotype" w:hAnsi="Palatino Linotype" w:cs="Tahoma"/>
          <w:b/>
          <w:sz w:val="22"/>
          <w:szCs w:val="22"/>
        </w:rPr>
        <w:t>PRIMERO</w:t>
      </w:r>
      <w:r w:rsidRPr="00BF1B3E">
        <w:rPr>
          <w:rFonts w:ascii="Palatino Linotype" w:hAnsi="Palatino Linotype" w:cs="Tahoma"/>
          <w:bCs/>
          <w:sz w:val="22"/>
          <w:szCs w:val="22"/>
        </w:rPr>
        <w:t xml:space="preserve">. </w:t>
      </w:r>
      <w:r w:rsidRPr="00BF1B3E">
        <w:rPr>
          <w:rFonts w:ascii="Palatino Linotype" w:hAnsi="Palatino Linotype" w:cs="Tahoma"/>
          <w:bCs/>
          <w:sz w:val="22"/>
          <w:szCs w:val="22"/>
          <w:lang w:val="es-ES"/>
        </w:rPr>
        <w:t xml:space="preserve">Se </w:t>
      </w:r>
      <w:r w:rsidRPr="00BF1B3E">
        <w:rPr>
          <w:rFonts w:ascii="Palatino Linotype" w:hAnsi="Palatino Linotype" w:cs="Tahoma"/>
          <w:b/>
          <w:bCs/>
          <w:sz w:val="22"/>
          <w:szCs w:val="22"/>
          <w:lang w:val="es-ES"/>
        </w:rPr>
        <w:t>SOBRESEE</w:t>
      </w:r>
      <w:r w:rsidRPr="00BF1B3E">
        <w:rPr>
          <w:rFonts w:ascii="Palatino Linotype" w:hAnsi="Palatino Linotype" w:cs="Tahoma"/>
          <w:bCs/>
          <w:sz w:val="22"/>
          <w:szCs w:val="22"/>
          <w:lang w:val="es-ES"/>
        </w:rPr>
        <w:t xml:space="preserve"> </w:t>
      </w:r>
      <w:r w:rsidRPr="00BF1B3E">
        <w:rPr>
          <w:rFonts w:ascii="Palatino Linotype" w:hAnsi="Palatino Linotype" w:cs="Tahoma"/>
          <w:sz w:val="22"/>
          <w:szCs w:val="22"/>
          <w:lang w:val="es-ES"/>
        </w:rPr>
        <w:t xml:space="preserve">el Recurso de Revisión número </w:t>
      </w:r>
      <w:r w:rsidRPr="00BF1B3E">
        <w:rPr>
          <w:rFonts w:ascii="Palatino Linotype" w:eastAsiaTheme="minorHAnsi" w:hAnsi="Palatino Linotype" w:cstheme="minorBidi"/>
          <w:color w:val="000000" w:themeColor="text1"/>
          <w:sz w:val="22"/>
          <w:szCs w:val="22"/>
          <w:lang w:eastAsia="en-US"/>
        </w:rPr>
        <w:t>01</w:t>
      </w:r>
      <w:r w:rsidR="00BF1B3E" w:rsidRPr="00BF1B3E">
        <w:rPr>
          <w:rFonts w:ascii="Palatino Linotype" w:eastAsiaTheme="minorHAnsi" w:hAnsi="Palatino Linotype" w:cstheme="minorBidi"/>
          <w:color w:val="000000" w:themeColor="text1"/>
          <w:sz w:val="22"/>
          <w:szCs w:val="22"/>
          <w:lang w:eastAsia="en-US"/>
        </w:rPr>
        <w:t>891</w:t>
      </w:r>
      <w:r w:rsidRPr="00BF1B3E">
        <w:rPr>
          <w:rFonts w:ascii="Palatino Linotype" w:eastAsiaTheme="minorHAnsi" w:hAnsi="Palatino Linotype" w:cstheme="minorBidi"/>
          <w:color w:val="000000" w:themeColor="text1"/>
          <w:sz w:val="22"/>
          <w:szCs w:val="22"/>
          <w:lang w:eastAsia="en-US"/>
        </w:rPr>
        <w:t>/INFOEM/IP/RR/202</w:t>
      </w:r>
      <w:r w:rsidR="00BF1B3E" w:rsidRPr="00BF1B3E">
        <w:rPr>
          <w:rFonts w:ascii="Palatino Linotype" w:eastAsiaTheme="minorHAnsi" w:hAnsi="Palatino Linotype" w:cstheme="minorBidi"/>
          <w:color w:val="000000" w:themeColor="text1"/>
          <w:sz w:val="22"/>
          <w:szCs w:val="22"/>
          <w:lang w:eastAsia="en-US"/>
        </w:rPr>
        <w:t>6</w:t>
      </w:r>
      <w:r w:rsidRPr="00BF1B3E">
        <w:rPr>
          <w:rFonts w:ascii="Palatino Linotype" w:hAnsi="Palatino Linotype" w:cs="Tahoma"/>
          <w:sz w:val="22"/>
          <w:szCs w:val="22"/>
          <w:lang w:val="es-ES"/>
        </w:rPr>
        <w:t xml:space="preserve">, por actualizarse la causal de improcedencia establecida en la fracción </w:t>
      </w:r>
      <w:r w:rsidR="00BF1B3E">
        <w:rPr>
          <w:rFonts w:ascii="Palatino Linotype" w:hAnsi="Palatino Linotype" w:cs="Tahoma"/>
          <w:sz w:val="22"/>
          <w:szCs w:val="22"/>
          <w:lang w:val="es-ES"/>
        </w:rPr>
        <w:t>V</w:t>
      </w:r>
      <w:r w:rsidRPr="00BF1B3E">
        <w:rPr>
          <w:rFonts w:ascii="Palatino Linotype" w:hAnsi="Palatino Linotype" w:cs="Tahoma"/>
          <w:sz w:val="22"/>
          <w:szCs w:val="22"/>
          <w:lang w:val="es-ES"/>
        </w:rPr>
        <w:t>I, del artículo 191, en relación con el artículo 192, facción IV, de la Ley de Transparencia y Acceso a la Información Pública del Estado de México y Municipios, de conformidad con lo señalado en los Considerandos TERCERO y CUARTO de la presente Resolución.</w:t>
      </w:r>
    </w:p>
    <w:p w14:paraId="2F7AF45D" w14:textId="77777777" w:rsidR="002B4A91" w:rsidRPr="00BF1B3E" w:rsidRDefault="002B4A91" w:rsidP="00BF1B3E">
      <w:pPr>
        <w:spacing w:line="360" w:lineRule="auto"/>
        <w:contextualSpacing/>
        <w:jc w:val="both"/>
        <w:rPr>
          <w:rFonts w:ascii="Palatino Linotype" w:hAnsi="Palatino Linotype" w:cs="Tahoma"/>
          <w:bCs/>
          <w:sz w:val="22"/>
          <w:szCs w:val="22"/>
          <w:lang w:val="es-ES"/>
        </w:rPr>
      </w:pPr>
    </w:p>
    <w:p w14:paraId="1AFD4EAE" w14:textId="77777777" w:rsidR="002B4A91" w:rsidRPr="00BF1B3E" w:rsidRDefault="002B4A91" w:rsidP="00BF1B3E">
      <w:pPr>
        <w:spacing w:line="360" w:lineRule="auto"/>
        <w:contextualSpacing/>
        <w:jc w:val="both"/>
        <w:rPr>
          <w:rFonts w:ascii="Palatino Linotype" w:hAnsi="Palatino Linotype" w:cs="Tahoma"/>
          <w:bCs/>
          <w:sz w:val="22"/>
          <w:szCs w:val="22"/>
        </w:rPr>
      </w:pPr>
      <w:r w:rsidRPr="00BF1B3E">
        <w:rPr>
          <w:rFonts w:ascii="Palatino Linotype" w:hAnsi="Palatino Linotype" w:cs="Tahoma"/>
          <w:b/>
          <w:sz w:val="22"/>
          <w:szCs w:val="22"/>
        </w:rPr>
        <w:t>SEGUNDO. NOTIFÍQUESE</w:t>
      </w:r>
      <w:r w:rsidRPr="00BF1B3E">
        <w:rPr>
          <w:rFonts w:ascii="Palatino Linotype" w:hAnsi="Palatino Linotype" w:cs="Tahoma"/>
          <w:bCs/>
          <w:sz w:val="22"/>
          <w:szCs w:val="22"/>
        </w:rPr>
        <w:t xml:space="preserve"> </w:t>
      </w:r>
      <w:r w:rsidRPr="00BF1B3E">
        <w:rPr>
          <w:rFonts w:ascii="Palatino Linotype" w:hAnsi="Palatino Linotype" w:cs="Tahoma"/>
          <w:b/>
          <w:sz w:val="22"/>
          <w:szCs w:val="22"/>
        </w:rPr>
        <w:t>POR SAIMEX</w:t>
      </w:r>
      <w:r w:rsidRPr="00BF1B3E">
        <w:rPr>
          <w:rFonts w:ascii="Palatino Linotype" w:hAnsi="Palatino Linotype" w:cs="Tahoma"/>
          <w:bCs/>
          <w:sz w:val="22"/>
          <w:szCs w:val="22"/>
        </w:rPr>
        <w:t xml:space="preserve"> la presente resolución al Titular de la Unidad de Transparencia del Sujeto Obligado.</w:t>
      </w:r>
    </w:p>
    <w:p w14:paraId="02C03A36" w14:textId="77777777" w:rsidR="002B4A91" w:rsidRPr="00BF1B3E" w:rsidRDefault="002B4A91" w:rsidP="00BF1B3E">
      <w:pPr>
        <w:spacing w:line="360" w:lineRule="auto"/>
        <w:contextualSpacing/>
        <w:jc w:val="both"/>
        <w:rPr>
          <w:rFonts w:ascii="Palatino Linotype" w:hAnsi="Palatino Linotype" w:cs="Tahoma"/>
          <w:bCs/>
          <w:sz w:val="22"/>
          <w:szCs w:val="22"/>
        </w:rPr>
      </w:pPr>
    </w:p>
    <w:p w14:paraId="2385EAA8" w14:textId="77777777" w:rsidR="002B4A91" w:rsidRPr="00BF1B3E" w:rsidRDefault="002B4A91" w:rsidP="00BF1B3E">
      <w:pPr>
        <w:spacing w:line="360" w:lineRule="auto"/>
        <w:contextualSpacing/>
        <w:jc w:val="both"/>
        <w:rPr>
          <w:rFonts w:ascii="Palatino Linotype" w:hAnsi="Palatino Linotype" w:cs="Tahoma"/>
          <w:bCs/>
          <w:sz w:val="22"/>
          <w:szCs w:val="22"/>
        </w:rPr>
      </w:pPr>
      <w:r w:rsidRPr="00BF1B3E">
        <w:rPr>
          <w:rFonts w:ascii="Palatino Linotype" w:hAnsi="Palatino Linotype" w:cs="Tahoma"/>
          <w:b/>
          <w:sz w:val="22"/>
          <w:szCs w:val="22"/>
        </w:rPr>
        <w:t>TERCERO. NOTIFÍQUESE</w:t>
      </w:r>
      <w:r w:rsidRPr="00BF1B3E">
        <w:rPr>
          <w:rFonts w:ascii="Palatino Linotype" w:hAnsi="Palatino Linotype" w:cs="Tahoma"/>
          <w:bCs/>
          <w:sz w:val="22"/>
          <w:szCs w:val="22"/>
        </w:rPr>
        <w:t xml:space="preserve"> </w:t>
      </w:r>
      <w:r w:rsidRPr="00BF1B3E">
        <w:rPr>
          <w:rFonts w:ascii="Palatino Linotype" w:hAnsi="Palatino Linotype" w:cs="Tahoma"/>
          <w:b/>
          <w:sz w:val="22"/>
          <w:szCs w:val="22"/>
        </w:rPr>
        <w:t>POR SAIMEX</w:t>
      </w:r>
      <w:r w:rsidRPr="00BF1B3E">
        <w:rPr>
          <w:rFonts w:ascii="Palatino Linotype" w:hAnsi="Palatino Linotype" w:cs="Tahoma"/>
          <w:bCs/>
          <w:sz w:val="22"/>
          <w:szCs w:val="22"/>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6387FBFC" w14:textId="77777777" w:rsidR="002B4A91" w:rsidRPr="00BF1B3E" w:rsidRDefault="002B4A91" w:rsidP="00BF1B3E">
      <w:pPr>
        <w:spacing w:line="360" w:lineRule="auto"/>
        <w:contextualSpacing/>
        <w:jc w:val="both"/>
        <w:rPr>
          <w:rFonts w:ascii="Palatino Linotype" w:hAnsi="Palatino Linotype" w:cs="Tahoma"/>
          <w:sz w:val="22"/>
          <w:szCs w:val="22"/>
        </w:rPr>
      </w:pPr>
    </w:p>
    <w:p w14:paraId="6C0F3D23" w14:textId="69DF35BD" w:rsidR="00B01980" w:rsidRDefault="002B4A91" w:rsidP="00BF1B3E">
      <w:pPr>
        <w:spacing w:line="360" w:lineRule="auto"/>
        <w:contextualSpacing/>
        <w:jc w:val="both"/>
        <w:rPr>
          <w:rFonts w:ascii="Palatino Linotype" w:eastAsia="Calibri" w:hAnsi="Palatino Linotype" w:cs="Tahoma"/>
          <w:sz w:val="22"/>
          <w:szCs w:val="22"/>
          <w:lang w:val="es-ES" w:eastAsia="es-ES_tradnl"/>
        </w:rPr>
      </w:pPr>
      <w:r w:rsidRPr="00BF1B3E">
        <w:rPr>
          <w:rFonts w:ascii="Palatino Linotype" w:eastAsia="Calibri" w:hAnsi="Palatino Linotype" w:cs="Tahoma"/>
          <w:sz w:val="22"/>
          <w:szCs w:val="22"/>
          <w:lang w:val="es-ES" w:eastAsia="es-ES_tradnl"/>
        </w:rPr>
        <w:t xml:space="preserve">ASÍ LO RESUELVE, </w:t>
      </w:r>
      <w:r w:rsidRPr="00BF1B3E">
        <w:rPr>
          <w:rFonts w:ascii="Palatino Linotype" w:eastAsia="Calibri" w:hAnsi="Palatino Linotype" w:cs="Tahoma"/>
          <w:bCs/>
          <w:sz w:val="22"/>
          <w:szCs w:val="22"/>
          <w:lang w:val="es-ES" w:eastAsia="es-ES_tradnl"/>
        </w:rPr>
        <w:t xml:space="preserve">POR </w:t>
      </w:r>
      <w:r w:rsidRPr="00BF1B3E">
        <w:rPr>
          <w:rFonts w:ascii="Palatino Linotype" w:eastAsia="Calibri" w:hAnsi="Palatino Linotype" w:cs="Tahoma"/>
          <w:b/>
          <w:bCs/>
          <w:sz w:val="22"/>
          <w:szCs w:val="22"/>
          <w:lang w:val="es-ES" w:eastAsia="es-ES_tradnl"/>
        </w:rPr>
        <w:t>UNANIMIDAD</w:t>
      </w:r>
      <w:r w:rsidRPr="00BF1B3E">
        <w:rPr>
          <w:rFonts w:ascii="Palatino Linotype" w:eastAsia="Calibri" w:hAnsi="Palatino Linotype" w:cs="Tahoma"/>
          <w:sz w:val="22"/>
          <w:szCs w:val="22"/>
          <w:lang w:val="es-ES" w:eastAsia="es-ES_tradnl"/>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BF1B3E">
        <w:rPr>
          <w:rFonts w:ascii="Palatino Linotype" w:eastAsia="Calibri" w:hAnsi="Palatino Linotype" w:cs="Tahoma"/>
          <w:sz w:val="22"/>
          <w:szCs w:val="22"/>
          <w:lang w:val="es-ES" w:eastAsia="es-ES_tradnl"/>
        </w:rPr>
        <w:t>OCTAV</w:t>
      </w:r>
      <w:r w:rsidRPr="00BF1B3E">
        <w:rPr>
          <w:rFonts w:ascii="Palatino Linotype" w:eastAsia="Calibri" w:hAnsi="Palatino Linotype" w:cs="Tahoma"/>
          <w:sz w:val="22"/>
          <w:szCs w:val="22"/>
          <w:lang w:val="es-ES" w:eastAsia="es-ES_tradnl"/>
        </w:rPr>
        <w:t xml:space="preserve">A SESIÓN ORDINARIA, CELEBRADA EL </w:t>
      </w:r>
      <w:r w:rsidR="00BF1B3E">
        <w:rPr>
          <w:rFonts w:ascii="Palatino Linotype" w:eastAsia="Calibri" w:hAnsi="Palatino Linotype" w:cs="Tahoma"/>
          <w:sz w:val="22"/>
          <w:szCs w:val="22"/>
          <w:lang w:val="es-ES" w:eastAsia="es-ES_tradnl"/>
        </w:rPr>
        <w:t xml:space="preserve">CINCO DE MARZO </w:t>
      </w:r>
      <w:r w:rsidRPr="00BF1B3E">
        <w:rPr>
          <w:rFonts w:ascii="Palatino Linotype" w:eastAsia="Calibri" w:hAnsi="Palatino Linotype" w:cs="Tahoma"/>
          <w:sz w:val="22"/>
          <w:szCs w:val="22"/>
          <w:lang w:val="es-ES" w:eastAsia="es-ES_tradnl"/>
        </w:rPr>
        <w:t>DE DOS MIL VEINTISÉIS, ANTE EL SECRETARIO TÉCNICO DEL PLENO, ALEXIS TAPIA RAMÍREZ.</w:t>
      </w:r>
    </w:p>
    <w:p w14:paraId="0FB5E2DC" w14:textId="77777777" w:rsidR="00BF1B3E" w:rsidRDefault="00BF1B3E" w:rsidP="00BF1B3E">
      <w:pPr>
        <w:spacing w:line="360" w:lineRule="auto"/>
        <w:contextualSpacing/>
        <w:jc w:val="both"/>
        <w:rPr>
          <w:rFonts w:ascii="Palatino Linotype" w:hAnsi="Palatino Linotype"/>
          <w:sz w:val="22"/>
          <w:szCs w:val="22"/>
        </w:rPr>
      </w:pPr>
    </w:p>
    <w:p w14:paraId="7056285C" w14:textId="77777777" w:rsidR="00BF1B3E" w:rsidRDefault="00BF1B3E" w:rsidP="00BF1B3E">
      <w:pPr>
        <w:spacing w:line="360" w:lineRule="auto"/>
        <w:contextualSpacing/>
        <w:jc w:val="both"/>
        <w:rPr>
          <w:rFonts w:ascii="Palatino Linotype" w:hAnsi="Palatino Linotype"/>
          <w:sz w:val="22"/>
          <w:szCs w:val="22"/>
        </w:rPr>
      </w:pPr>
    </w:p>
    <w:p w14:paraId="14116264" w14:textId="77777777" w:rsidR="00BF1B3E" w:rsidRDefault="00BF1B3E" w:rsidP="00BF1B3E">
      <w:pPr>
        <w:spacing w:line="360" w:lineRule="auto"/>
        <w:contextualSpacing/>
        <w:jc w:val="both"/>
        <w:rPr>
          <w:rFonts w:ascii="Palatino Linotype" w:hAnsi="Palatino Linotype"/>
          <w:sz w:val="22"/>
          <w:szCs w:val="22"/>
        </w:rPr>
      </w:pPr>
    </w:p>
    <w:p w14:paraId="01E8CDF1" w14:textId="77777777" w:rsidR="008C4E21" w:rsidRDefault="008C4E21" w:rsidP="00BF1B3E">
      <w:pPr>
        <w:spacing w:line="360" w:lineRule="auto"/>
        <w:contextualSpacing/>
        <w:jc w:val="both"/>
        <w:rPr>
          <w:rFonts w:ascii="Palatino Linotype" w:hAnsi="Palatino Linotype"/>
          <w:sz w:val="22"/>
          <w:szCs w:val="22"/>
        </w:rPr>
      </w:pPr>
    </w:p>
    <w:p w14:paraId="5B3153C4" w14:textId="77777777" w:rsidR="008C4E21" w:rsidRDefault="008C4E21" w:rsidP="00BF1B3E">
      <w:pPr>
        <w:spacing w:line="360" w:lineRule="auto"/>
        <w:contextualSpacing/>
        <w:jc w:val="both"/>
        <w:rPr>
          <w:rFonts w:ascii="Palatino Linotype" w:hAnsi="Palatino Linotype"/>
          <w:sz w:val="22"/>
          <w:szCs w:val="22"/>
        </w:rPr>
      </w:pPr>
    </w:p>
    <w:p w14:paraId="0E676F68" w14:textId="77777777" w:rsidR="008C4E21" w:rsidRDefault="008C4E21" w:rsidP="00BF1B3E">
      <w:pPr>
        <w:spacing w:line="360" w:lineRule="auto"/>
        <w:contextualSpacing/>
        <w:jc w:val="both"/>
        <w:rPr>
          <w:rFonts w:ascii="Palatino Linotype" w:hAnsi="Palatino Linotype"/>
          <w:sz w:val="22"/>
          <w:szCs w:val="22"/>
        </w:rPr>
      </w:pPr>
    </w:p>
    <w:p w14:paraId="3129B429" w14:textId="77777777" w:rsidR="008C4E21" w:rsidRDefault="008C4E21" w:rsidP="00BF1B3E">
      <w:pPr>
        <w:spacing w:line="360" w:lineRule="auto"/>
        <w:contextualSpacing/>
        <w:jc w:val="both"/>
        <w:rPr>
          <w:rFonts w:ascii="Palatino Linotype" w:hAnsi="Palatino Linotype"/>
          <w:sz w:val="22"/>
          <w:szCs w:val="22"/>
        </w:rPr>
      </w:pPr>
    </w:p>
    <w:p w14:paraId="27F15865" w14:textId="77777777" w:rsidR="008C4E21" w:rsidRDefault="008C4E21" w:rsidP="00BF1B3E">
      <w:pPr>
        <w:spacing w:line="360" w:lineRule="auto"/>
        <w:contextualSpacing/>
        <w:jc w:val="both"/>
        <w:rPr>
          <w:rFonts w:ascii="Palatino Linotype" w:hAnsi="Palatino Linotype"/>
          <w:sz w:val="22"/>
          <w:szCs w:val="22"/>
        </w:rPr>
      </w:pPr>
    </w:p>
    <w:p w14:paraId="70D8E9D0" w14:textId="77777777" w:rsidR="008C4E21" w:rsidRDefault="008C4E21" w:rsidP="00BF1B3E">
      <w:pPr>
        <w:spacing w:line="360" w:lineRule="auto"/>
        <w:contextualSpacing/>
        <w:jc w:val="both"/>
        <w:rPr>
          <w:rFonts w:ascii="Palatino Linotype" w:hAnsi="Palatino Linotype"/>
          <w:sz w:val="22"/>
          <w:szCs w:val="22"/>
        </w:rPr>
      </w:pPr>
    </w:p>
    <w:p w14:paraId="4C8EC992" w14:textId="77777777" w:rsidR="008C4E21" w:rsidRDefault="008C4E21" w:rsidP="00BF1B3E">
      <w:pPr>
        <w:spacing w:line="360" w:lineRule="auto"/>
        <w:contextualSpacing/>
        <w:jc w:val="both"/>
        <w:rPr>
          <w:rFonts w:ascii="Palatino Linotype" w:hAnsi="Palatino Linotype"/>
          <w:sz w:val="22"/>
          <w:szCs w:val="22"/>
        </w:rPr>
      </w:pPr>
    </w:p>
    <w:p w14:paraId="1CD7CD5E" w14:textId="77777777" w:rsidR="008C4E21" w:rsidRDefault="008C4E21" w:rsidP="00BF1B3E">
      <w:pPr>
        <w:spacing w:line="360" w:lineRule="auto"/>
        <w:contextualSpacing/>
        <w:jc w:val="both"/>
        <w:rPr>
          <w:rFonts w:ascii="Palatino Linotype" w:hAnsi="Palatino Linotype"/>
          <w:sz w:val="22"/>
          <w:szCs w:val="22"/>
        </w:rPr>
      </w:pPr>
    </w:p>
    <w:p w14:paraId="1DEE5522" w14:textId="77777777" w:rsidR="008C4E21" w:rsidRDefault="008C4E21" w:rsidP="00BF1B3E">
      <w:pPr>
        <w:spacing w:line="360" w:lineRule="auto"/>
        <w:contextualSpacing/>
        <w:jc w:val="both"/>
        <w:rPr>
          <w:rFonts w:ascii="Palatino Linotype" w:hAnsi="Palatino Linotype"/>
          <w:sz w:val="22"/>
          <w:szCs w:val="22"/>
        </w:rPr>
      </w:pPr>
    </w:p>
    <w:p w14:paraId="5B44C5DA" w14:textId="77777777" w:rsidR="008C4E21" w:rsidRDefault="008C4E21" w:rsidP="00BF1B3E">
      <w:pPr>
        <w:spacing w:line="360" w:lineRule="auto"/>
        <w:contextualSpacing/>
        <w:jc w:val="both"/>
        <w:rPr>
          <w:rFonts w:ascii="Palatino Linotype" w:hAnsi="Palatino Linotype"/>
          <w:sz w:val="22"/>
          <w:szCs w:val="22"/>
        </w:rPr>
      </w:pPr>
    </w:p>
    <w:p w14:paraId="7867277D" w14:textId="77777777" w:rsidR="008C4E21" w:rsidRDefault="008C4E21" w:rsidP="00BF1B3E">
      <w:pPr>
        <w:spacing w:line="360" w:lineRule="auto"/>
        <w:contextualSpacing/>
        <w:jc w:val="both"/>
        <w:rPr>
          <w:rFonts w:ascii="Palatino Linotype" w:hAnsi="Palatino Linotype"/>
          <w:sz w:val="22"/>
          <w:szCs w:val="22"/>
        </w:rPr>
      </w:pPr>
    </w:p>
    <w:p w14:paraId="2862EACF" w14:textId="77777777" w:rsidR="008C4E21" w:rsidRDefault="008C4E21" w:rsidP="00BF1B3E">
      <w:pPr>
        <w:spacing w:line="360" w:lineRule="auto"/>
        <w:contextualSpacing/>
        <w:jc w:val="both"/>
        <w:rPr>
          <w:rFonts w:ascii="Palatino Linotype" w:hAnsi="Palatino Linotype"/>
          <w:sz w:val="22"/>
          <w:szCs w:val="22"/>
        </w:rPr>
      </w:pPr>
    </w:p>
    <w:p w14:paraId="75D6DF89" w14:textId="77777777" w:rsidR="008C4E21" w:rsidRDefault="008C4E21" w:rsidP="00BF1B3E">
      <w:pPr>
        <w:spacing w:line="360" w:lineRule="auto"/>
        <w:contextualSpacing/>
        <w:jc w:val="both"/>
        <w:rPr>
          <w:rFonts w:ascii="Palatino Linotype" w:hAnsi="Palatino Linotype"/>
          <w:sz w:val="22"/>
          <w:szCs w:val="22"/>
        </w:rPr>
      </w:pPr>
    </w:p>
    <w:p w14:paraId="4F4A90E4" w14:textId="77777777" w:rsidR="008C4E21" w:rsidRPr="00BF1B3E" w:rsidRDefault="008C4E21" w:rsidP="00BF1B3E">
      <w:pPr>
        <w:spacing w:line="360" w:lineRule="auto"/>
        <w:contextualSpacing/>
        <w:jc w:val="both"/>
        <w:rPr>
          <w:rFonts w:ascii="Palatino Linotype" w:hAnsi="Palatino Linotype"/>
          <w:sz w:val="22"/>
          <w:szCs w:val="22"/>
        </w:rPr>
      </w:pPr>
    </w:p>
    <w:sectPr w:rsidR="008C4E21" w:rsidRPr="00BF1B3E" w:rsidSect="002B4A91">
      <w:headerReference w:type="even" r:id="rId7"/>
      <w:headerReference w:type="default" r:id="rId8"/>
      <w:footerReference w:type="even" r:id="rId9"/>
      <w:footerReference w:type="default" r:id="rId10"/>
      <w:headerReference w:type="first" r:id="rId11"/>
      <w:footerReference w:type="first" r:id="rId12"/>
      <w:pgSz w:w="12240" w:h="15840"/>
      <w:pgMar w:top="80" w:right="1608" w:bottom="1134" w:left="1588" w:header="850" w:footer="6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544F" w14:textId="77777777" w:rsidR="006130C4" w:rsidRDefault="006130C4" w:rsidP="002B4A91">
      <w:r>
        <w:separator/>
      </w:r>
    </w:p>
  </w:endnote>
  <w:endnote w:type="continuationSeparator" w:id="0">
    <w:p w14:paraId="15FCAC66" w14:textId="77777777" w:rsidR="006130C4" w:rsidRDefault="006130C4" w:rsidP="002B4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AC4D" w14:textId="77777777" w:rsidR="00E12835" w:rsidRDefault="00E128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412018"/>
      <w:docPartObj>
        <w:docPartGallery w:val="Page Numbers (Bottom of Page)"/>
        <w:docPartUnique/>
      </w:docPartObj>
    </w:sdtPr>
    <w:sdtContent>
      <w:sdt>
        <w:sdtPr>
          <w:id w:val="-1769616900"/>
          <w:docPartObj>
            <w:docPartGallery w:val="Page Numbers (Top of Page)"/>
            <w:docPartUnique/>
          </w:docPartObj>
        </w:sdtPr>
        <w:sdtContent>
          <w:p w14:paraId="5FA1D934" w14:textId="77777777" w:rsidR="002B4A91" w:rsidRPr="00C13895" w:rsidRDefault="002B4A91">
            <w:pPr>
              <w:pStyle w:val="Piedepgina"/>
              <w:jc w:val="right"/>
              <w:rPr>
                <w:sz w:val="26"/>
                <w:szCs w:val="26"/>
              </w:rPr>
            </w:pPr>
          </w:p>
          <w:p w14:paraId="5F16886A" w14:textId="77777777" w:rsidR="002B4A91" w:rsidRDefault="002B4A91">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C06259">
              <w:rPr>
                <w:b/>
                <w:bCs/>
                <w:noProof/>
              </w:rPr>
              <w:t>15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06259">
              <w:rPr>
                <w:b/>
                <w:bCs/>
                <w:noProof/>
              </w:rPr>
              <w:t>16</w:t>
            </w:r>
            <w:r>
              <w:rPr>
                <w:b/>
                <w:bCs/>
                <w:sz w:val="24"/>
                <w:szCs w:val="24"/>
              </w:rPr>
              <w:fldChar w:fldCharType="end"/>
            </w:r>
          </w:p>
        </w:sdtContent>
      </w:sdt>
    </w:sdtContent>
  </w:sdt>
  <w:p w14:paraId="7E7C3341" w14:textId="77777777" w:rsidR="002B4A91" w:rsidRDefault="002B4A9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767700"/>
      <w:docPartObj>
        <w:docPartGallery w:val="Page Numbers (Bottom of Page)"/>
        <w:docPartUnique/>
      </w:docPartObj>
    </w:sdtPr>
    <w:sdtContent>
      <w:sdt>
        <w:sdtPr>
          <w:id w:val="315386424"/>
          <w:docPartObj>
            <w:docPartGallery w:val="Page Numbers (Top of Page)"/>
            <w:docPartUnique/>
          </w:docPartObj>
        </w:sdtPr>
        <w:sdtContent>
          <w:p w14:paraId="67328143" w14:textId="77777777" w:rsidR="002B4A91" w:rsidRDefault="002B4A91">
            <w:pPr>
              <w:pStyle w:val="Piedepgina"/>
              <w:jc w:val="right"/>
            </w:pPr>
          </w:p>
          <w:p w14:paraId="1795E7EB" w14:textId="77777777" w:rsidR="002B4A91" w:rsidRDefault="002B4A91">
            <w:pPr>
              <w:pStyle w:val="Piedepgina"/>
              <w:jc w:val="right"/>
            </w:pPr>
          </w:p>
          <w:p w14:paraId="6CEEF085" w14:textId="77777777" w:rsidR="002B4A91" w:rsidRDefault="002B4A91">
            <w:pPr>
              <w:pStyle w:val="Piedepgina"/>
              <w:jc w:val="right"/>
            </w:pPr>
          </w:p>
          <w:p w14:paraId="258E0977" w14:textId="77777777" w:rsidR="002B4A91" w:rsidRDefault="002B4A91">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C06259">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06259">
              <w:rPr>
                <w:b/>
                <w:bCs/>
                <w:noProof/>
              </w:rPr>
              <w:t>16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DCDE7" w14:textId="77777777" w:rsidR="006130C4" w:rsidRDefault="006130C4" w:rsidP="002B4A91">
      <w:r>
        <w:separator/>
      </w:r>
    </w:p>
  </w:footnote>
  <w:footnote w:type="continuationSeparator" w:id="0">
    <w:p w14:paraId="3EE042A6" w14:textId="77777777" w:rsidR="006130C4" w:rsidRDefault="006130C4" w:rsidP="002B4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DEF0" w14:textId="77777777" w:rsidR="002B4A91" w:rsidRDefault="00000000">
    <w:pPr>
      <w:pStyle w:val="Encabezado"/>
    </w:pPr>
    <w:r>
      <w:rPr>
        <w:noProof/>
        <w:lang w:eastAsia="es-MX"/>
      </w:rPr>
      <w:pict w14:anchorId="0C4AE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01532" o:spid="_x0000_s1027" type="#_x0000_t75" alt="marcaaguaINFOEM" style="position:absolute;margin-left:0;margin-top:0;width:663.5pt;height:12in;z-index:-251659776;mso-wrap-edited:f;mso-width-percent:0;mso-height-percent:0;mso-position-horizontal:center;mso-position-horizontal-relative:margin;mso-position-vertical:center;mso-position-vertical-relative:margin;mso-width-percent:0;mso-height-percent:0" o:allowincell="f">
          <v:imagedata r:id="rId1" o:title="marcaaguaINFOE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6A7" w14:textId="77777777" w:rsidR="002B4A91" w:rsidRPr="009E6858" w:rsidRDefault="00000000" w:rsidP="00CA061E">
    <w:pPr>
      <w:tabs>
        <w:tab w:val="left" w:pos="3416"/>
      </w:tabs>
      <w:rPr>
        <w:sz w:val="22"/>
        <w:szCs w:val="22"/>
      </w:rPr>
    </w:pPr>
    <w:r>
      <w:rPr>
        <w:noProof/>
        <w:sz w:val="14"/>
        <w:lang w:eastAsia="es-MX"/>
      </w:rPr>
      <w:pict w14:anchorId="013CED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01533" o:spid="_x0000_s1026" type="#_x0000_t75" alt="marcaaguaINFOEM" style="position:absolute;margin-left:-100.7pt;margin-top:-126.25pt;width:663.5pt;height:12in;z-index:-251658752;mso-wrap-edited:f;mso-width-percent:0;mso-height-percent:0;mso-position-horizontal-relative:margin;mso-position-vertical-relative:margin;mso-width-percent:0;mso-height-percent:0" o:allowincell="f">
          <v:imagedata r:id="rId1" o:title="marcaaguaINFOEM"/>
          <w10:wrap anchorx="margin" anchory="margin"/>
        </v:shape>
      </w:pict>
    </w:r>
  </w:p>
  <w:tbl>
    <w:tblPr>
      <w:tblW w:w="9461" w:type="dxa"/>
      <w:tblLayout w:type="fixed"/>
      <w:tblLook w:val="04A0" w:firstRow="1" w:lastRow="0" w:firstColumn="1" w:lastColumn="0" w:noHBand="0" w:noVBand="1"/>
    </w:tblPr>
    <w:tblGrid>
      <w:gridCol w:w="2268"/>
      <w:gridCol w:w="7193"/>
    </w:tblGrid>
    <w:tr w:rsidR="002B4A91" w:rsidRPr="005C106F" w14:paraId="030BA6D2" w14:textId="77777777" w:rsidTr="00CA061E">
      <w:trPr>
        <w:trHeight w:val="70"/>
      </w:trPr>
      <w:tc>
        <w:tcPr>
          <w:tcW w:w="2268" w:type="dxa"/>
        </w:tcPr>
        <w:p w14:paraId="04CD249F" w14:textId="77777777" w:rsidR="002B4A91" w:rsidRPr="005C106F" w:rsidRDefault="002B4A91" w:rsidP="00CA061E">
          <w:pPr>
            <w:tabs>
              <w:tab w:val="right" w:pos="4273"/>
            </w:tabs>
            <w:rPr>
              <w:rFonts w:ascii="Garamond" w:eastAsia="Calibri" w:hAnsi="Garamond"/>
              <w:sz w:val="16"/>
              <w:szCs w:val="16"/>
            </w:rPr>
          </w:pPr>
        </w:p>
      </w:tc>
      <w:tc>
        <w:tcPr>
          <w:tcW w:w="7193" w:type="dxa"/>
        </w:tcPr>
        <w:tbl>
          <w:tblPr>
            <w:tblStyle w:val="Tablaconcuadrcula"/>
            <w:tblW w:w="7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442"/>
            <w:gridCol w:w="4394"/>
          </w:tblGrid>
          <w:tr w:rsidR="002B4A91" w14:paraId="1389D7A2" w14:textId="77777777" w:rsidTr="002B4A91">
            <w:trPr>
              <w:trHeight w:val="169"/>
            </w:trPr>
            <w:tc>
              <w:tcPr>
                <w:tcW w:w="3442" w:type="dxa"/>
                <w:vAlign w:val="bottom"/>
              </w:tcPr>
              <w:p w14:paraId="4D029F78" w14:textId="7AD79E6F" w:rsidR="002B4A91" w:rsidRPr="008B41A2" w:rsidRDefault="002B4A91" w:rsidP="00CA061E">
                <w:pPr>
                  <w:tabs>
                    <w:tab w:val="right" w:pos="8838"/>
                  </w:tabs>
                  <w:ind w:right="-105"/>
                  <w:rPr>
                    <w:rFonts w:ascii="Palatino Linotype" w:eastAsia="Calibri" w:hAnsi="Palatino Linotype" w:cs="Tahoma"/>
                    <w:b/>
                    <w:sz w:val="22"/>
                    <w:szCs w:val="22"/>
                    <w:lang w:val="es-MX"/>
                  </w:rPr>
                </w:pPr>
                <w:r>
                  <w:rPr>
                    <w:rFonts w:ascii="Palatino Linotype" w:eastAsia="Calibri" w:hAnsi="Palatino Linotype" w:cs="Tahoma"/>
                    <w:b/>
                    <w:sz w:val="22"/>
                    <w:szCs w:val="22"/>
                    <w:lang w:val="es-MX"/>
                  </w:rPr>
                  <w:t xml:space="preserve">                   </w:t>
                </w:r>
                <w:r w:rsidRPr="008B41A2">
                  <w:rPr>
                    <w:rFonts w:ascii="Palatino Linotype" w:eastAsia="Calibri" w:hAnsi="Palatino Linotype" w:cs="Tahoma"/>
                    <w:b/>
                    <w:sz w:val="22"/>
                    <w:szCs w:val="22"/>
                    <w:lang w:val="es-MX"/>
                  </w:rPr>
                  <w:t>Recurso de Revisión:</w:t>
                </w:r>
              </w:p>
            </w:tc>
            <w:tc>
              <w:tcPr>
                <w:tcW w:w="4394" w:type="dxa"/>
              </w:tcPr>
              <w:p w14:paraId="78ACAD86" w14:textId="31017173" w:rsidR="002B4A91" w:rsidRPr="00651A13" w:rsidRDefault="002B4A91" w:rsidP="00CA061E">
                <w:pPr>
                  <w:tabs>
                    <w:tab w:val="right" w:pos="8838"/>
                  </w:tabs>
                  <w:ind w:left="-28" w:right="683"/>
                  <w:rPr>
                    <w:rFonts w:ascii="Palatino Linotype" w:eastAsia="Calibri" w:hAnsi="Palatino Linotype" w:cs="Tahoma"/>
                    <w:sz w:val="22"/>
                    <w:szCs w:val="22"/>
                  </w:rPr>
                </w:pPr>
                <w:r>
                  <w:rPr>
                    <w:rFonts w:ascii="Palatino Linotype" w:eastAsia="Calibri" w:hAnsi="Palatino Linotype" w:cs="Tahoma"/>
                    <w:sz w:val="22"/>
                    <w:szCs w:val="22"/>
                    <w:lang w:val="es-MX"/>
                  </w:rPr>
                  <w:t>01891/INFOEM/IP/RR/2026</w:t>
                </w:r>
              </w:p>
            </w:tc>
          </w:tr>
          <w:tr w:rsidR="002B4A91" w14:paraId="2C013893" w14:textId="77777777" w:rsidTr="002B4A91">
            <w:trPr>
              <w:trHeight w:val="332"/>
            </w:trPr>
            <w:tc>
              <w:tcPr>
                <w:tcW w:w="3442" w:type="dxa"/>
              </w:tcPr>
              <w:p w14:paraId="2A220F56" w14:textId="1B00921D" w:rsidR="002B4A91" w:rsidRPr="008B41A2" w:rsidRDefault="002B4A91" w:rsidP="00CA061E">
                <w:pPr>
                  <w:tabs>
                    <w:tab w:val="right" w:pos="8838"/>
                  </w:tabs>
                  <w:ind w:right="-105"/>
                  <w:rPr>
                    <w:rFonts w:ascii="Palatino Linotype" w:eastAsia="Calibri" w:hAnsi="Palatino Linotype" w:cs="Tahoma"/>
                    <w:b/>
                    <w:sz w:val="22"/>
                    <w:szCs w:val="22"/>
                    <w:lang w:val="es-MX"/>
                  </w:rPr>
                </w:pPr>
                <w:r>
                  <w:rPr>
                    <w:rFonts w:ascii="Palatino Linotype" w:eastAsia="Calibri" w:hAnsi="Palatino Linotype" w:cs="Tahoma"/>
                    <w:b/>
                    <w:sz w:val="22"/>
                    <w:szCs w:val="22"/>
                    <w:lang w:val="es-MX"/>
                  </w:rPr>
                  <w:t xml:space="preserve">                   </w:t>
                </w:r>
                <w:r w:rsidRPr="008B41A2">
                  <w:rPr>
                    <w:rFonts w:ascii="Palatino Linotype" w:eastAsia="Calibri" w:hAnsi="Palatino Linotype" w:cs="Tahoma"/>
                    <w:b/>
                    <w:sz w:val="22"/>
                    <w:szCs w:val="22"/>
                    <w:lang w:val="es-MX"/>
                  </w:rPr>
                  <w:t>Sujeto Obligado:</w:t>
                </w:r>
              </w:p>
            </w:tc>
            <w:tc>
              <w:tcPr>
                <w:tcW w:w="4394" w:type="dxa"/>
              </w:tcPr>
              <w:p w14:paraId="77B31388" w14:textId="6BE4F829" w:rsidR="002B4A91" w:rsidRPr="008B41A2" w:rsidRDefault="002B4A91" w:rsidP="00CA061E">
                <w:pPr>
                  <w:tabs>
                    <w:tab w:val="right" w:pos="8838"/>
                  </w:tabs>
                  <w:ind w:left="-28" w:right="1008"/>
                  <w:jc w:val="both"/>
                  <w:rPr>
                    <w:rFonts w:ascii="Palatino Linotype" w:eastAsia="Calibri" w:hAnsi="Palatino Linotype" w:cs="Tahoma"/>
                    <w:sz w:val="22"/>
                    <w:szCs w:val="22"/>
                    <w:lang w:val="es-MX"/>
                  </w:rPr>
                </w:pPr>
                <w:r>
                  <w:rPr>
                    <w:rFonts w:ascii="Palatino Linotype" w:hAnsi="Palatino Linotype"/>
                    <w:bCs/>
                    <w:color w:val="000000"/>
                    <w:sz w:val="22"/>
                    <w:szCs w:val="22"/>
                  </w:rPr>
                  <w:t>Ayuntamiento de Tlalnepantla de Baz</w:t>
                </w:r>
              </w:p>
            </w:tc>
          </w:tr>
          <w:tr w:rsidR="002B4A91" w14:paraId="07FCE526" w14:textId="77777777" w:rsidTr="002B4A91">
            <w:trPr>
              <w:trHeight w:val="332"/>
            </w:trPr>
            <w:tc>
              <w:tcPr>
                <w:tcW w:w="3442" w:type="dxa"/>
              </w:tcPr>
              <w:p w14:paraId="45E43618" w14:textId="74572AB3" w:rsidR="002B4A91" w:rsidRPr="008B41A2" w:rsidRDefault="002B4A91" w:rsidP="00CA061E">
                <w:pPr>
                  <w:tabs>
                    <w:tab w:val="right" w:pos="8838"/>
                  </w:tabs>
                  <w:ind w:right="-105"/>
                  <w:rPr>
                    <w:rFonts w:ascii="Palatino Linotype" w:eastAsia="Calibri" w:hAnsi="Palatino Linotype" w:cs="Tahoma"/>
                    <w:b/>
                    <w:sz w:val="22"/>
                    <w:szCs w:val="22"/>
                    <w:lang w:val="es-MX"/>
                  </w:rPr>
                </w:pPr>
                <w:r>
                  <w:rPr>
                    <w:rFonts w:ascii="Palatino Linotype" w:eastAsia="Calibri" w:hAnsi="Palatino Linotype" w:cs="Tahoma"/>
                    <w:b/>
                    <w:sz w:val="22"/>
                    <w:szCs w:val="22"/>
                    <w:lang w:val="es-MX"/>
                  </w:rPr>
                  <w:t xml:space="preserve">                   </w:t>
                </w:r>
                <w:r w:rsidRPr="008B41A2">
                  <w:rPr>
                    <w:rFonts w:ascii="Palatino Linotype" w:eastAsia="Calibri" w:hAnsi="Palatino Linotype" w:cs="Tahoma"/>
                    <w:b/>
                    <w:sz w:val="22"/>
                    <w:szCs w:val="22"/>
                    <w:lang w:val="es-MX"/>
                  </w:rPr>
                  <w:t>Comisionado Ponente:</w:t>
                </w:r>
              </w:p>
            </w:tc>
            <w:tc>
              <w:tcPr>
                <w:tcW w:w="4394" w:type="dxa"/>
              </w:tcPr>
              <w:p w14:paraId="5EFC16A0" w14:textId="77777777" w:rsidR="002B4A91" w:rsidRPr="008B41A2" w:rsidRDefault="002B4A91" w:rsidP="00CA061E">
                <w:pPr>
                  <w:tabs>
                    <w:tab w:val="right" w:pos="8838"/>
                  </w:tabs>
                  <w:ind w:left="-28" w:right="-32"/>
                  <w:rPr>
                    <w:rFonts w:ascii="Palatino Linotype" w:eastAsia="Calibri" w:hAnsi="Palatino Linotype" w:cs="Tahoma"/>
                    <w:b/>
                    <w:sz w:val="22"/>
                    <w:szCs w:val="22"/>
                    <w:lang w:val="es-MX"/>
                  </w:rPr>
                </w:pPr>
                <w:r w:rsidRPr="008B41A2">
                  <w:rPr>
                    <w:rFonts w:ascii="Palatino Linotype" w:eastAsia="Calibri" w:hAnsi="Palatino Linotype" w:cs="Tahoma"/>
                    <w:sz w:val="22"/>
                    <w:szCs w:val="22"/>
                    <w:lang w:val="es-MX"/>
                  </w:rPr>
                  <w:t>Luis Gustavo Parra Noriega</w:t>
                </w:r>
              </w:p>
            </w:tc>
          </w:tr>
        </w:tbl>
        <w:p w14:paraId="0BEFA14C" w14:textId="77777777" w:rsidR="002B4A91" w:rsidRPr="005C106F" w:rsidRDefault="002B4A91" w:rsidP="00CA061E">
          <w:pPr>
            <w:tabs>
              <w:tab w:val="right" w:pos="8838"/>
            </w:tabs>
            <w:ind w:left="-28"/>
            <w:rPr>
              <w:rFonts w:ascii="Arial" w:eastAsia="Calibri" w:hAnsi="Arial" w:cs="Arial"/>
              <w:b/>
            </w:rPr>
          </w:pPr>
        </w:p>
      </w:tc>
    </w:tr>
  </w:tbl>
  <w:p w14:paraId="710B8154" w14:textId="77777777" w:rsidR="002B4A91" w:rsidRDefault="002B4A91" w:rsidP="00CA061E">
    <w:pPr>
      <w:pStyle w:val="Encabezado"/>
      <w:rPr>
        <w:sz w:val="14"/>
      </w:rPr>
    </w:pPr>
  </w:p>
  <w:p w14:paraId="616D78D0" w14:textId="77777777" w:rsidR="002B4A91" w:rsidRPr="00443C6B" w:rsidRDefault="002B4A91" w:rsidP="00CA061E">
    <w:pPr>
      <w:pStyle w:val="Encabezado"/>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946"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544"/>
      <w:gridCol w:w="3402"/>
    </w:tblGrid>
    <w:tr w:rsidR="002B4A91" w:rsidRPr="00264223" w14:paraId="2789B3E0" w14:textId="77777777" w:rsidTr="002B4A91">
      <w:trPr>
        <w:trHeight w:val="302"/>
      </w:trPr>
      <w:tc>
        <w:tcPr>
          <w:tcW w:w="3544" w:type="dxa"/>
        </w:tcPr>
        <w:p w14:paraId="7CAFB1A2" w14:textId="6CC30476" w:rsidR="002B4A91" w:rsidRPr="00D3618F" w:rsidRDefault="002B4A91" w:rsidP="00CA061E">
          <w:pPr>
            <w:tabs>
              <w:tab w:val="right" w:pos="8838"/>
            </w:tabs>
            <w:ind w:right="-105"/>
            <w:rPr>
              <w:rFonts w:ascii="Palatino Linotype" w:eastAsia="Calibri" w:hAnsi="Palatino Linotype" w:cs="Tahoma"/>
              <w:b/>
              <w:sz w:val="22"/>
              <w:szCs w:val="22"/>
              <w:lang w:val="es-MX" w:eastAsia="en-US"/>
            </w:rPr>
          </w:pPr>
          <w:r>
            <w:rPr>
              <w:rFonts w:ascii="Palatino Linotype" w:eastAsia="Calibri" w:hAnsi="Palatino Linotype" w:cs="Tahoma"/>
              <w:b/>
              <w:sz w:val="22"/>
              <w:szCs w:val="22"/>
              <w:lang w:val="es-MX" w:eastAsia="en-US"/>
            </w:rPr>
            <w:t xml:space="preserve">                     </w:t>
          </w:r>
          <w:r w:rsidRPr="00D3618F">
            <w:rPr>
              <w:rFonts w:ascii="Palatino Linotype" w:eastAsia="Calibri" w:hAnsi="Palatino Linotype" w:cs="Tahoma"/>
              <w:b/>
              <w:sz w:val="22"/>
              <w:szCs w:val="22"/>
              <w:lang w:val="es-MX" w:eastAsia="en-US"/>
            </w:rPr>
            <w:t>Recurso de Revisión:</w:t>
          </w:r>
        </w:p>
      </w:tc>
      <w:tc>
        <w:tcPr>
          <w:tcW w:w="3402" w:type="dxa"/>
        </w:tcPr>
        <w:p w14:paraId="7B3E7E8C" w14:textId="124FA16F" w:rsidR="002B4A91" w:rsidRPr="00651A13" w:rsidRDefault="002B4A91" w:rsidP="00CA061E">
          <w:pPr>
            <w:tabs>
              <w:tab w:val="right" w:pos="8838"/>
            </w:tabs>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01891</w:t>
          </w:r>
          <w:r w:rsidRPr="00BE31CC">
            <w:rPr>
              <w:rFonts w:ascii="Palatino Linotype" w:eastAsia="Calibri" w:hAnsi="Palatino Linotype" w:cs="Tahoma"/>
              <w:sz w:val="22"/>
              <w:szCs w:val="22"/>
              <w:lang w:val="es-MX" w:eastAsia="en-US"/>
            </w:rPr>
            <w:t>/INFOEM/IP/RR/202</w:t>
          </w:r>
          <w:r>
            <w:rPr>
              <w:rFonts w:ascii="Palatino Linotype" w:eastAsia="Calibri" w:hAnsi="Palatino Linotype" w:cs="Tahoma"/>
              <w:sz w:val="22"/>
              <w:szCs w:val="22"/>
              <w:lang w:val="es-MX" w:eastAsia="en-US"/>
            </w:rPr>
            <w:t>6</w:t>
          </w:r>
        </w:p>
      </w:tc>
    </w:tr>
    <w:tr w:rsidR="002B4A91" w:rsidRPr="00264223" w14:paraId="44B1C71E" w14:textId="77777777" w:rsidTr="002B4A91">
      <w:trPr>
        <w:trHeight w:val="110"/>
      </w:trPr>
      <w:tc>
        <w:tcPr>
          <w:tcW w:w="3544" w:type="dxa"/>
        </w:tcPr>
        <w:p w14:paraId="68C66B52" w14:textId="54B7AD54" w:rsidR="002B4A91" w:rsidRPr="00D3618F" w:rsidRDefault="002B4A91" w:rsidP="00CA061E">
          <w:pPr>
            <w:tabs>
              <w:tab w:val="right" w:pos="8838"/>
            </w:tabs>
            <w:ind w:right="-105"/>
            <w:rPr>
              <w:rFonts w:ascii="Palatino Linotype" w:eastAsia="Calibri" w:hAnsi="Palatino Linotype" w:cs="Tahoma"/>
              <w:b/>
              <w:sz w:val="22"/>
              <w:szCs w:val="22"/>
              <w:lang w:val="es-MX" w:eastAsia="en-US"/>
            </w:rPr>
          </w:pPr>
          <w:r>
            <w:rPr>
              <w:rFonts w:ascii="Palatino Linotype" w:eastAsia="Calibri" w:hAnsi="Palatino Linotype" w:cs="Tahoma"/>
              <w:b/>
              <w:sz w:val="22"/>
              <w:szCs w:val="22"/>
              <w:lang w:val="es-MX" w:eastAsia="en-US"/>
            </w:rPr>
            <w:t xml:space="preserve">                     </w:t>
          </w:r>
          <w:r w:rsidRPr="00D3618F">
            <w:rPr>
              <w:rFonts w:ascii="Palatino Linotype" w:eastAsia="Calibri" w:hAnsi="Palatino Linotype" w:cs="Tahoma"/>
              <w:b/>
              <w:sz w:val="22"/>
              <w:szCs w:val="22"/>
              <w:lang w:val="es-MX" w:eastAsia="en-US"/>
            </w:rPr>
            <w:t>Recurrente:</w:t>
          </w:r>
        </w:p>
      </w:tc>
      <w:tc>
        <w:tcPr>
          <w:tcW w:w="3402" w:type="dxa"/>
        </w:tcPr>
        <w:p w14:paraId="1F10058D" w14:textId="6BB0363A" w:rsidR="002B4A91" w:rsidRPr="00E22A9C" w:rsidRDefault="00E12835" w:rsidP="00CA061E">
          <w:pPr>
            <w:jc w:val="both"/>
            <w:rPr>
              <w:rFonts w:ascii="Palatino Linotype" w:hAnsi="Palatino Linotype"/>
              <w:sz w:val="22"/>
              <w:szCs w:val="22"/>
              <w:lang w:eastAsia="es-MX"/>
            </w:rPr>
          </w:pPr>
          <w:r w:rsidRPr="00E12835">
            <w:rPr>
              <w:rFonts w:ascii="Palatino Linotype" w:hAnsi="Palatino Linotype"/>
              <w:sz w:val="22"/>
              <w:szCs w:val="22"/>
              <w:highlight w:val="black"/>
              <w:lang w:eastAsia="es-MX"/>
            </w:rPr>
            <w:t>XXXXXXXXX</w:t>
          </w:r>
        </w:p>
      </w:tc>
    </w:tr>
    <w:tr w:rsidR="002B4A91" w:rsidRPr="00264223" w14:paraId="2C960A9B" w14:textId="77777777" w:rsidTr="002B4A91">
      <w:trPr>
        <w:trHeight w:val="248"/>
      </w:trPr>
      <w:tc>
        <w:tcPr>
          <w:tcW w:w="3544" w:type="dxa"/>
        </w:tcPr>
        <w:p w14:paraId="73309C04" w14:textId="3FBA5E93" w:rsidR="002B4A91" w:rsidRPr="00D3618F" w:rsidRDefault="002B4A91" w:rsidP="00CA061E">
          <w:pPr>
            <w:tabs>
              <w:tab w:val="right" w:pos="8838"/>
            </w:tabs>
            <w:ind w:right="-105"/>
            <w:rPr>
              <w:rFonts w:ascii="Palatino Linotype" w:eastAsia="Calibri" w:hAnsi="Palatino Linotype" w:cs="Tahoma"/>
              <w:b/>
              <w:sz w:val="22"/>
              <w:szCs w:val="22"/>
              <w:lang w:val="es-MX" w:eastAsia="en-US"/>
            </w:rPr>
          </w:pPr>
          <w:r>
            <w:rPr>
              <w:rFonts w:ascii="Palatino Linotype" w:eastAsia="Calibri" w:hAnsi="Palatino Linotype" w:cs="Tahoma"/>
              <w:b/>
              <w:sz w:val="22"/>
              <w:szCs w:val="22"/>
              <w:lang w:val="es-MX" w:eastAsia="en-US"/>
            </w:rPr>
            <w:t xml:space="preserve">                     </w:t>
          </w:r>
          <w:r w:rsidRPr="00D3618F">
            <w:rPr>
              <w:rFonts w:ascii="Palatino Linotype" w:eastAsia="Calibri" w:hAnsi="Palatino Linotype" w:cs="Tahoma"/>
              <w:b/>
              <w:sz w:val="22"/>
              <w:szCs w:val="22"/>
              <w:lang w:val="es-MX" w:eastAsia="en-US"/>
            </w:rPr>
            <w:t>Sujeto Obligado:</w:t>
          </w:r>
        </w:p>
      </w:tc>
      <w:tc>
        <w:tcPr>
          <w:tcW w:w="3402" w:type="dxa"/>
        </w:tcPr>
        <w:p w14:paraId="2ADE48A7" w14:textId="2CF555C5" w:rsidR="002B4A91" w:rsidRPr="008B44A7" w:rsidRDefault="002B4A91" w:rsidP="00CA061E">
          <w:pPr>
            <w:tabs>
              <w:tab w:val="right" w:pos="8838"/>
            </w:tabs>
            <w:jc w:val="both"/>
            <w:rPr>
              <w:rFonts w:ascii="Palatino Linotype" w:eastAsia="Calibri" w:hAnsi="Palatino Linotype" w:cs="Tahoma"/>
              <w:sz w:val="22"/>
              <w:szCs w:val="22"/>
              <w:lang w:val="es-MX" w:eastAsia="en-US"/>
            </w:rPr>
          </w:pPr>
          <w:r>
            <w:rPr>
              <w:rFonts w:ascii="Palatino Linotype" w:hAnsi="Palatino Linotype"/>
              <w:bCs/>
              <w:color w:val="000000"/>
              <w:sz w:val="22"/>
              <w:szCs w:val="22"/>
            </w:rPr>
            <w:t>Ayuntamiento de Tlalnepantla de Baz</w:t>
          </w:r>
        </w:p>
      </w:tc>
    </w:tr>
    <w:tr w:rsidR="002B4A91" w:rsidRPr="00264223" w14:paraId="633FBBD1" w14:textId="77777777" w:rsidTr="002B4A91">
      <w:trPr>
        <w:trHeight w:val="248"/>
      </w:trPr>
      <w:tc>
        <w:tcPr>
          <w:tcW w:w="3544" w:type="dxa"/>
        </w:tcPr>
        <w:p w14:paraId="1321B148" w14:textId="6FF432CA" w:rsidR="002B4A91" w:rsidRPr="00D3618F" w:rsidRDefault="002B4A91" w:rsidP="00CA061E">
          <w:pPr>
            <w:tabs>
              <w:tab w:val="right" w:pos="8838"/>
            </w:tabs>
            <w:ind w:right="-105"/>
            <w:rPr>
              <w:rFonts w:ascii="Palatino Linotype" w:eastAsia="Calibri" w:hAnsi="Palatino Linotype" w:cs="Tahoma"/>
              <w:b/>
              <w:sz w:val="22"/>
              <w:szCs w:val="22"/>
              <w:lang w:val="es-MX" w:eastAsia="en-US"/>
            </w:rPr>
          </w:pPr>
          <w:r>
            <w:rPr>
              <w:rFonts w:ascii="Palatino Linotype" w:eastAsia="Calibri" w:hAnsi="Palatino Linotype" w:cs="Tahoma"/>
              <w:b/>
              <w:sz w:val="22"/>
              <w:szCs w:val="22"/>
              <w:lang w:val="es-MX" w:eastAsia="en-US"/>
            </w:rPr>
            <w:t xml:space="preserve">                     </w:t>
          </w:r>
          <w:r w:rsidRPr="00D3618F">
            <w:rPr>
              <w:rFonts w:ascii="Palatino Linotype" w:eastAsia="Calibri" w:hAnsi="Palatino Linotype" w:cs="Tahoma"/>
              <w:b/>
              <w:sz w:val="22"/>
              <w:szCs w:val="22"/>
              <w:lang w:val="es-MX" w:eastAsia="en-US"/>
            </w:rPr>
            <w:t>Comisionado Ponente:</w:t>
          </w:r>
        </w:p>
      </w:tc>
      <w:tc>
        <w:tcPr>
          <w:tcW w:w="3402" w:type="dxa"/>
        </w:tcPr>
        <w:p w14:paraId="0E9AC9E3" w14:textId="77777777" w:rsidR="002B4A91" w:rsidRPr="00D3618F" w:rsidRDefault="002B4A91" w:rsidP="00CA061E">
          <w:pPr>
            <w:tabs>
              <w:tab w:val="right" w:pos="8838"/>
            </w:tabs>
            <w:rPr>
              <w:rFonts w:ascii="Palatino Linotype" w:eastAsia="Calibri" w:hAnsi="Palatino Linotype" w:cs="Tahoma"/>
              <w:sz w:val="22"/>
              <w:szCs w:val="22"/>
              <w:lang w:val="es-MX" w:eastAsia="en-US"/>
            </w:rPr>
          </w:pPr>
          <w:r w:rsidRPr="00D3618F">
            <w:rPr>
              <w:rFonts w:ascii="Palatino Linotype" w:eastAsia="Calibri" w:hAnsi="Palatino Linotype" w:cs="Tahoma"/>
              <w:sz w:val="22"/>
              <w:szCs w:val="22"/>
              <w:lang w:val="es-MX" w:eastAsia="en-US"/>
            </w:rPr>
            <w:t>Luis Gustavo Parra Noriega</w:t>
          </w:r>
        </w:p>
      </w:tc>
    </w:tr>
  </w:tbl>
  <w:p w14:paraId="1F151D2A" w14:textId="77777777" w:rsidR="002B4A91" w:rsidRDefault="00000000" w:rsidP="00CA061E">
    <w:pPr>
      <w:ind w:right="-312"/>
    </w:pPr>
    <w:r>
      <w:rPr>
        <w:noProof/>
        <w:lang w:eastAsia="es-MX"/>
      </w:rPr>
      <w:pict w14:anchorId="60461C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01531" o:spid="_x0000_s1025" type="#_x0000_t75" alt="marcaaguaINFOEM" style="position:absolute;margin-left:-92.55pt;margin-top:-120.95pt;width:663.5pt;height:12in;z-index:-251657728;mso-wrap-edited:f;mso-width-percent:0;mso-height-percent:0;mso-position-horizontal-relative:margin;mso-position-vertical-relative:margin;mso-width-percent:0;mso-height-percent:0" o:allowincell="f">
          <v:imagedata r:id="rId1" o:title="marcaaguaINFOE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CC0"/>
    <w:multiLevelType w:val="hybridMultilevel"/>
    <w:tmpl w:val="39480EB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FB515BB"/>
    <w:multiLevelType w:val="hybridMultilevel"/>
    <w:tmpl w:val="9EF464CA"/>
    <w:lvl w:ilvl="0" w:tplc="08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BD077B7"/>
    <w:multiLevelType w:val="hybridMultilevel"/>
    <w:tmpl w:val="08FC12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C601963"/>
    <w:multiLevelType w:val="hybridMultilevel"/>
    <w:tmpl w:val="547C7108"/>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3B15E2"/>
    <w:multiLevelType w:val="hybridMultilevel"/>
    <w:tmpl w:val="238ADA4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51165289">
    <w:abstractNumId w:val="4"/>
  </w:num>
  <w:num w:numId="2" w16cid:durableId="1327780547">
    <w:abstractNumId w:val="2"/>
  </w:num>
  <w:num w:numId="3" w16cid:durableId="1477867923">
    <w:abstractNumId w:val="1"/>
  </w:num>
  <w:num w:numId="4" w16cid:durableId="739254921">
    <w:abstractNumId w:val="3"/>
  </w:num>
  <w:num w:numId="5" w16cid:durableId="67965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A91"/>
    <w:rsid w:val="00183EE3"/>
    <w:rsid w:val="001D56F8"/>
    <w:rsid w:val="001E3911"/>
    <w:rsid w:val="002350A0"/>
    <w:rsid w:val="002B4A91"/>
    <w:rsid w:val="00342952"/>
    <w:rsid w:val="0046123A"/>
    <w:rsid w:val="00512360"/>
    <w:rsid w:val="00543563"/>
    <w:rsid w:val="005829A1"/>
    <w:rsid w:val="005B1ADA"/>
    <w:rsid w:val="005E7263"/>
    <w:rsid w:val="006130C4"/>
    <w:rsid w:val="00776226"/>
    <w:rsid w:val="008208F3"/>
    <w:rsid w:val="00823B63"/>
    <w:rsid w:val="008C4E21"/>
    <w:rsid w:val="008F16CF"/>
    <w:rsid w:val="00911FD3"/>
    <w:rsid w:val="009252C3"/>
    <w:rsid w:val="009927E2"/>
    <w:rsid w:val="00A55E79"/>
    <w:rsid w:val="00A83147"/>
    <w:rsid w:val="00B01980"/>
    <w:rsid w:val="00BF1B3E"/>
    <w:rsid w:val="00C06259"/>
    <w:rsid w:val="00C7191F"/>
    <w:rsid w:val="00E12835"/>
    <w:rsid w:val="00FF1A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3A642"/>
  <w15:chartTrackingRefBased/>
  <w15:docId w15:val="{D152F3D5-9E60-4923-A82E-13568D21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91"/>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uiPriority w:val="9"/>
    <w:qFormat/>
    <w:rsid w:val="002B4A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2B4A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B4A9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B4A9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B4A9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B4A9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B4A9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B4A9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B4A9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4A9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2B4A9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B4A9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B4A9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B4A9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B4A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B4A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B4A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B4A91"/>
    <w:rPr>
      <w:rFonts w:eastAsiaTheme="majorEastAsia" w:cstheme="majorBidi"/>
      <w:color w:val="272727" w:themeColor="text1" w:themeTint="D8"/>
    </w:rPr>
  </w:style>
  <w:style w:type="paragraph" w:styleId="Ttulo">
    <w:name w:val="Title"/>
    <w:basedOn w:val="Normal"/>
    <w:next w:val="Normal"/>
    <w:link w:val="TtuloCar"/>
    <w:uiPriority w:val="10"/>
    <w:qFormat/>
    <w:rsid w:val="002B4A9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4A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B4A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4A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B4A91"/>
    <w:pPr>
      <w:spacing w:before="160"/>
      <w:jc w:val="center"/>
    </w:pPr>
    <w:rPr>
      <w:i/>
      <w:iCs/>
      <w:color w:val="404040" w:themeColor="text1" w:themeTint="BF"/>
    </w:rPr>
  </w:style>
  <w:style w:type="character" w:customStyle="1" w:styleId="CitaCar">
    <w:name w:val="Cita Car"/>
    <w:basedOn w:val="Fuentedeprrafopredeter"/>
    <w:link w:val="Cita"/>
    <w:uiPriority w:val="29"/>
    <w:rsid w:val="002B4A91"/>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B4A91"/>
    <w:pPr>
      <w:ind w:left="720"/>
      <w:contextualSpacing/>
    </w:pPr>
  </w:style>
  <w:style w:type="character" w:styleId="nfasisintenso">
    <w:name w:val="Intense Emphasis"/>
    <w:basedOn w:val="Fuentedeprrafopredeter"/>
    <w:uiPriority w:val="21"/>
    <w:qFormat/>
    <w:rsid w:val="002B4A91"/>
    <w:rPr>
      <w:i/>
      <w:iCs/>
      <w:color w:val="2F5496" w:themeColor="accent1" w:themeShade="BF"/>
    </w:rPr>
  </w:style>
  <w:style w:type="paragraph" w:styleId="Citadestacada">
    <w:name w:val="Intense Quote"/>
    <w:basedOn w:val="Normal"/>
    <w:next w:val="Normal"/>
    <w:link w:val="CitadestacadaCar"/>
    <w:uiPriority w:val="30"/>
    <w:qFormat/>
    <w:rsid w:val="002B4A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B4A91"/>
    <w:rPr>
      <w:i/>
      <w:iCs/>
      <w:color w:val="2F5496" w:themeColor="accent1" w:themeShade="BF"/>
    </w:rPr>
  </w:style>
  <w:style w:type="character" w:styleId="Referenciaintensa">
    <w:name w:val="Intense Reference"/>
    <w:basedOn w:val="Fuentedeprrafopredeter"/>
    <w:uiPriority w:val="32"/>
    <w:qFormat/>
    <w:rsid w:val="002B4A91"/>
    <w:rPr>
      <w:b/>
      <w:bCs/>
      <w:smallCaps/>
      <w:color w:val="2F5496" w:themeColor="accent1" w:themeShade="BF"/>
      <w:spacing w:val="5"/>
    </w:rPr>
  </w:style>
  <w:style w:type="paragraph" w:styleId="Encabezado">
    <w:name w:val="header"/>
    <w:basedOn w:val="Normal"/>
    <w:link w:val="EncabezadoCar"/>
    <w:uiPriority w:val="99"/>
    <w:unhideWhenUsed/>
    <w:rsid w:val="002B4A91"/>
    <w:pPr>
      <w:tabs>
        <w:tab w:val="center" w:pos="4419"/>
        <w:tab w:val="right" w:pos="8838"/>
      </w:tabs>
    </w:pPr>
  </w:style>
  <w:style w:type="character" w:customStyle="1" w:styleId="EncabezadoCar">
    <w:name w:val="Encabezado Car"/>
    <w:basedOn w:val="Fuentedeprrafopredeter"/>
    <w:link w:val="Encabezado"/>
    <w:uiPriority w:val="99"/>
    <w:rsid w:val="002B4A91"/>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2B4A91"/>
    <w:pPr>
      <w:tabs>
        <w:tab w:val="center" w:pos="4419"/>
        <w:tab w:val="right" w:pos="8838"/>
      </w:tabs>
    </w:pPr>
  </w:style>
  <w:style w:type="character" w:customStyle="1" w:styleId="PiedepginaCar">
    <w:name w:val="Pie de página Car"/>
    <w:basedOn w:val="Fuentedeprrafopredeter"/>
    <w:link w:val="Piedepgina"/>
    <w:uiPriority w:val="99"/>
    <w:rsid w:val="002B4A91"/>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B4A91"/>
  </w:style>
  <w:style w:type="table" w:styleId="Tablaconcuadrcula">
    <w:name w:val="Table Grid"/>
    <w:basedOn w:val="Tablanormal"/>
    <w:uiPriority w:val="39"/>
    <w:rsid w:val="002B4A91"/>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2B4A91"/>
    <w:rPr>
      <w:color w:val="0563C1" w:themeColor="hyperlink"/>
      <w:u w:val="single"/>
    </w:rPr>
  </w:style>
  <w:style w:type="paragraph" w:styleId="TDC1">
    <w:name w:val="toc 1"/>
    <w:basedOn w:val="Normal"/>
    <w:next w:val="Normal"/>
    <w:autoRedefine/>
    <w:uiPriority w:val="39"/>
    <w:unhideWhenUsed/>
    <w:rsid w:val="002B4A91"/>
    <w:pPr>
      <w:spacing w:after="100"/>
    </w:pPr>
  </w:style>
  <w:style w:type="paragraph" w:styleId="TtuloTDC">
    <w:name w:val="TOC Heading"/>
    <w:basedOn w:val="Ttulo1"/>
    <w:next w:val="Normal"/>
    <w:uiPriority w:val="39"/>
    <w:unhideWhenUsed/>
    <w:qFormat/>
    <w:rsid w:val="002B4A91"/>
    <w:pPr>
      <w:spacing w:before="240" w:after="0"/>
      <w:outlineLvl w:val="9"/>
    </w:pPr>
    <w:rPr>
      <w:sz w:val="32"/>
      <w:szCs w:val="32"/>
      <w:lang w:eastAsia="es-MX"/>
    </w:rPr>
  </w:style>
  <w:style w:type="paragraph" w:styleId="TDC2">
    <w:name w:val="toc 2"/>
    <w:basedOn w:val="Normal"/>
    <w:next w:val="Normal"/>
    <w:autoRedefine/>
    <w:uiPriority w:val="39"/>
    <w:unhideWhenUsed/>
    <w:rsid w:val="002B4A91"/>
    <w:pPr>
      <w:tabs>
        <w:tab w:val="right" w:leader="dot" w:pos="9034"/>
      </w:tabs>
      <w:spacing w:line="360" w:lineRule="auto"/>
      <w:ind w:left="20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3820</Words>
  <Characters>21014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IVAN PEÑA VARA</cp:lastModifiedBy>
  <cp:revision>4</cp:revision>
  <cp:lastPrinted>2026-03-06T20:22:00Z</cp:lastPrinted>
  <dcterms:created xsi:type="dcterms:W3CDTF">2026-03-06T20:22:00Z</dcterms:created>
  <dcterms:modified xsi:type="dcterms:W3CDTF">2026-04-09T23:54:00Z</dcterms:modified>
</cp:coreProperties>
</file>