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DC7" w:rsidRPr="00F11F47" w:rsidRDefault="00CA0720">
      <w:pPr>
        <w:spacing w:line="360" w:lineRule="auto"/>
        <w:jc w:val="both"/>
        <w:rPr>
          <w:rFonts w:ascii="Palatino Linotype" w:eastAsia="Palatino Linotype" w:hAnsi="Palatino Linotype" w:cs="Palatino Linotype"/>
          <w:b/>
        </w:rPr>
      </w:pPr>
      <w:r w:rsidRPr="00F11F47">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w:t>
      </w:r>
      <w:r w:rsidR="009A7268" w:rsidRPr="00F11F47">
        <w:rPr>
          <w:rFonts w:ascii="Palatino Linotype" w:eastAsia="Palatino Linotype" w:hAnsi="Palatino Linotype" w:cs="Palatino Linotype"/>
        </w:rPr>
        <w:t xml:space="preserve">stado de México; </w:t>
      </w:r>
      <w:r w:rsidR="009A7268" w:rsidRPr="00F11F47">
        <w:rPr>
          <w:rFonts w:ascii="Palatino Linotype" w:eastAsia="Palatino Linotype" w:hAnsi="Palatino Linotype" w:cs="Palatino Linotype"/>
          <w:b/>
        </w:rPr>
        <w:t>de fecha cinco</w:t>
      </w:r>
      <w:r w:rsidR="00F11F47" w:rsidRPr="00F11F47">
        <w:rPr>
          <w:rFonts w:ascii="Palatino Linotype" w:eastAsia="Palatino Linotype" w:hAnsi="Palatino Linotype" w:cs="Palatino Linotype"/>
          <w:b/>
        </w:rPr>
        <w:t xml:space="preserve"> (05)</w:t>
      </w:r>
      <w:r w:rsidRPr="00F11F47">
        <w:rPr>
          <w:rFonts w:ascii="Palatino Linotype" w:eastAsia="Palatino Linotype" w:hAnsi="Palatino Linotype" w:cs="Palatino Linotype"/>
          <w:b/>
        </w:rPr>
        <w:t xml:space="preserve"> de febrero de dos mil veintiséis.</w:t>
      </w:r>
    </w:p>
    <w:p w:rsidR="00B65DC7" w:rsidRPr="00F11F47" w:rsidRDefault="00B65DC7">
      <w:pPr>
        <w:spacing w:line="360" w:lineRule="auto"/>
        <w:jc w:val="both"/>
        <w:rPr>
          <w:rFonts w:ascii="Palatino Linotype" w:eastAsia="Palatino Linotype" w:hAnsi="Palatino Linotype" w:cs="Palatino Linotype"/>
        </w:rPr>
      </w:pPr>
    </w:p>
    <w:p w:rsidR="00B65DC7" w:rsidRPr="00F11F47" w:rsidRDefault="00CA0720">
      <w:pPr>
        <w:spacing w:line="360" w:lineRule="auto"/>
        <w:jc w:val="both"/>
        <w:rPr>
          <w:rFonts w:ascii="Palatino Linotype" w:eastAsia="Palatino Linotype" w:hAnsi="Palatino Linotype" w:cs="Palatino Linotype"/>
        </w:rPr>
      </w:pPr>
      <w:r w:rsidRPr="00F11F47">
        <w:rPr>
          <w:rFonts w:ascii="Palatino Linotype" w:eastAsia="Palatino Linotype" w:hAnsi="Palatino Linotype" w:cs="Palatino Linotype"/>
          <w:b/>
          <w:bCs/>
        </w:rPr>
        <w:t>VISTO</w:t>
      </w:r>
      <w:r w:rsidRPr="00F11F47">
        <w:rPr>
          <w:rFonts w:ascii="Palatino Linotype" w:eastAsia="Palatino Linotype" w:hAnsi="Palatino Linotype" w:cs="Palatino Linotype"/>
        </w:rPr>
        <w:t xml:space="preserve"> el expediente electrónico formado con motivo del recurso de revisión </w:t>
      </w:r>
      <w:r w:rsidRPr="00F11F47">
        <w:rPr>
          <w:rFonts w:ascii="Palatino Linotype" w:eastAsia="Palatino Linotype" w:hAnsi="Palatino Linotype" w:cs="Palatino Linotype"/>
          <w:b/>
          <w:bCs/>
        </w:rPr>
        <w:t xml:space="preserve">07358/INFOEM/IP/RR/2025, </w:t>
      </w:r>
      <w:r w:rsidRPr="00F11F47">
        <w:rPr>
          <w:rFonts w:ascii="Palatino Linotype" w:eastAsia="Palatino Linotype" w:hAnsi="Palatino Linotype" w:cs="Palatino Linotype"/>
        </w:rPr>
        <w:t xml:space="preserve">promovido por </w:t>
      </w:r>
      <w:r w:rsidRPr="00F11F47">
        <w:rPr>
          <w:rFonts w:ascii="Palatino Linotype" w:eastAsia="Palatino Linotype" w:hAnsi="Palatino Linotype" w:cs="Palatino Linotype"/>
          <w:b/>
          <w:bCs/>
        </w:rPr>
        <w:t> </w:t>
      </w:r>
      <w:r w:rsidR="00B342C4">
        <w:rPr>
          <w:rFonts w:ascii="Palatino Linotype" w:eastAsia="Palatino Linotype" w:hAnsi="Palatino Linotype" w:cs="Palatino Linotype"/>
          <w:b/>
        </w:rPr>
        <w:t>XXXX</w:t>
      </w:r>
      <w:r w:rsidRPr="00F11F47">
        <w:rPr>
          <w:rFonts w:ascii="Palatino Linotype" w:eastAsia="Palatino Linotype" w:hAnsi="Palatino Linotype" w:cs="Palatino Linotype"/>
          <w:b/>
          <w:bCs/>
        </w:rPr>
        <w:t>,</w:t>
      </w:r>
      <w:r w:rsidRPr="00F11F47">
        <w:rPr>
          <w:rFonts w:ascii="Palatino Linotype" w:eastAsia="Palatino Linotype" w:hAnsi="Palatino Linotype" w:cs="Palatino Linotype"/>
        </w:rPr>
        <w:t xml:space="preserve"> a quien en lo sucesivo se identificará como </w:t>
      </w:r>
      <w:r w:rsidRPr="00F11F47">
        <w:rPr>
          <w:rFonts w:ascii="Palatino Linotype" w:eastAsia="Palatino Linotype" w:hAnsi="Palatino Linotype" w:cs="Palatino Linotype"/>
          <w:b/>
          <w:bCs/>
        </w:rPr>
        <w:t>EL RECURRENTE</w:t>
      </w:r>
      <w:r w:rsidRPr="00F11F47">
        <w:rPr>
          <w:rFonts w:ascii="Palatino Linotype" w:eastAsia="Palatino Linotype" w:hAnsi="Palatino Linotype" w:cs="Palatino Linotype"/>
        </w:rPr>
        <w:t xml:space="preserve">, en contra de la respuesta del </w:t>
      </w:r>
      <w:r w:rsidRPr="00F11F47">
        <w:rPr>
          <w:rFonts w:ascii="Palatino Linotype" w:eastAsia="Palatino Linotype" w:hAnsi="Palatino Linotype" w:cs="Palatino Linotype"/>
          <w:b/>
          <w:bCs/>
        </w:rPr>
        <w:t xml:space="preserve">Sistema Municipal para el Desarrollo Integral de la Familia de Juchitepec, </w:t>
      </w:r>
      <w:r w:rsidRPr="00F11F47">
        <w:rPr>
          <w:rFonts w:ascii="Palatino Linotype" w:eastAsia="Palatino Linotype" w:hAnsi="Palatino Linotype" w:cs="Palatino Linotype"/>
        </w:rPr>
        <w:t>en adelante el</w:t>
      </w:r>
      <w:r w:rsidRPr="00F11F47">
        <w:rPr>
          <w:rFonts w:ascii="Palatino Linotype" w:eastAsia="Palatino Linotype" w:hAnsi="Palatino Linotype" w:cs="Palatino Linotype"/>
          <w:b/>
          <w:bCs/>
        </w:rPr>
        <w:t xml:space="preserve"> SUJETO OBLIGADO</w:t>
      </w:r>
      <w:r w:rsidRPr="00F11F47">
        <w:rPr>
          <w:rFonts w:ascii="Palatino Linotype" w:eastAsia="Palatino Linotype" w:hAnsi="Palatino Linotype" w:cs="Palatino Linotype"/>
        </w:rPr>
        <w:t xml:space="preserve">, por lo que se procede a dictar la presente resolución, con base en los siguientes: </w:t>
      </w:r>
    </w:p>
    <w:p w:rsidR="00B65DC7" w:rsidRPr="00F11F47" w:rsidRDefault="00B65DC7">
      <w:pPr>
        <w:spacing w:line="360" w:lineRule="auto"/>
        <w:jc w:val="both"/>
        <w:rPr>
          <w:rFonts w:ascii="Palatino Linotype" w:eastAsia="Palatino Linotype" w:hAnsi="Palatino Linotype" w:cs="Palatino Linotype"/>
          <w:b/>
          <w:bCs/>
        </w:rPr>
      </w:pPr>
    </w:p>
    <w:p w:rsidR="00B65DC7" w:rsidRPr="00F11F47" w:rsidRDefault="00CA0720">
      <w:pPr>
        <w:keepNext/>
        <w:keepLines/>
        <w:spacing w:line="360" w:lineRule="auto"/>
        <w:jc w:val="center"/>
        <w:rPr>
          <w:rFonts w:ascii="Palatino Linotype" w:eastAsia="Palatino Linotype" w:hAnsi="Palatino Linotype" w:cs="Palatino Linotype"/>
          <w:b/>
          <w:bCs/>
        </w:rPr>
      </w:pPr>
      <w:bookmarkStart w:id="0" w:name="_heading=h.gjdgxs" w:colFirst="0" w:colLast="0"/>
      <w:bookmarkEnd w:id="0"/>
      <w:r w:rsidRPr="00F11F47">
        <w:rPr>
          <w:rFonts w:ascii="Palatino Linotype" w:eastAsia="Palatino Linotype" w:hAnsi="Palatino Linotype" w:cs="Palatino Linotype"/>
          <w:b/>
          <w:bCs/>
        </w:rPr>
        <w:t>A N T E C E D E N T E S</w:t>
      </w:r>
    </w:p>
    <w:p w:rsidR="00B65DC7" w:rsidRPr="00F11F47" w:rsidRDefault="00B65DC7">
      <w:pPr>
        <w:spacing w:line="360" w:lineRule="auto"/>
        <w:rPr>
          <w:rFonts w:ascii="Palatino Linotype" w:eastAsia="Palatino Linotype" w:hAnsi="Palatino Linotype" w:cs="Palatino Linotype"/>
        </w:rPr>
      </w:pPr>
    </w:p>
    <w:p w:rsidR="00B65DC7" w:rsidRPr="00F11F47" w:rsidRDefault="00CA0720">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color w:val="000000"/>
        </w:rPr>
        <w:t xml:space="preserve">El </w:t>
      </w:r>
      <w:r w:rsidRPr="00F11F47">
        <w:rPr>
          <w:rFonts w:ascii="Palatino Linotype" w:eastAsia="Palatino Linotype" w:hAnsi="Palatino Linotype" w:cs="Palatino Linotype"/>
          <w:b/>
          <w:bCs/>
          <w:color w:val="000000"/>
        </w:rPr>
        <w:t>veintisiete de mayo de dos mil veinticinco</w:t>
      </w:r>
      <w:r w:rsidRPr="00F11F47">
        <w:rPr>
          <w:rFonts w:ascii="Palatino Linotype" w:eastAsia="Palatino Linotype" w:hAnsi="Palatino Linotype" w:cs="Palatino Linotype"/>
          <w:color w:val="000000"/>
        </w:rPr>
        <w:t xml:space="preserve">, </w:t>
      </w:r>
      <w:r w:rsidRPr="00F11F47">
        <w:rPr>
          <w:rFonts w:ascii="Palatino Linotype" w:eastAsia="Palatino Linotype" w:hAnsi="Palatino Linotype" w:cs="Palatino Linotype"/>
          <w:b/>
          <w:bCs/>
          <w:color w:val="000000"/>
        </w:rPr>
        <w:t>EL RECURRENTE,</w:t>
      </w:r>
      <w:r w:rsidRPr="00F11F47">
        <w:rPr>
          <w:rFonts w:ascii="Palatino Linotype" w:eastAsia="Palatino Linotype" w:hAnsi="Palatino Linotype" w:cs="Palatino Linotype"/>
          <w:color w:val="000000"/>
        </w:rPr>
        <w:t xml:space="preserve"> ante el </w:t>
      </w:r>
      <w:r w:rsidRPr="00F11F47">
        <w:rPr>
          <w:rFonts w:ascii="Palatino Linotype" w:eastAsia="Palatino Linotype" w:hAnsi="Palatino Linotype" w:cs="Palatino Linotype"/>
          <w:b/>
          <w:bCs/>
          <w:color w:val="000000"/>
        </w:rPr>
        <w:t>SUJETO OBLIGADO</w:t>
      </w:r>
      <w:r w:rsidRPr="00F11F47">
        <w:rPr>
          <w:rFonts w:ascii="Palatino Linotype" w:eastAsia="Palatino Linotype" w:hAnsi="Palatino Linotype" w:cs="Palatino Linotype"/>
          <w:color w:val="000000"/>
        </w:rPr>
        <w:t xml:space="preserve"> a través del Sistema de Acceso a la Información Mexiquense (SAIMEX), presentó una solicitud de información registrada con el número </w:t>
      </w:r>
      <w:r w:rsidRPr="00F11F47">
        <w:rPr>
          <w:rFonts w:ascii="Palatino Linotype" w:eastAsia="Palatino Linotype" w:hAnsi="Palatino Linotype" w:cs="Palatino Linotype"/>
          <w:b/>
          <w:bCs/>
          <w:color w:val="000000"/>
        </w:rPr>
        <w:t xml:space="preserve">00014/DIFJUCHITEPEC/IP/2025, </w:t>
      </w:r>
      <w:r w:rsidRPr="00F11F47">
        <w:rPr>
          <w:rFonts w:ascii="Palatino Linotype" w:eastAsia="Palatino Linotype" w:hAnsi="Palatino Linotype" w:cs="Palatino Linotype"/>
        </w:rPr>
        <w:t>en la que se</w:t>
      </w:r>
      <w:r w:rsidRPr="00F11F47">
        <w:rPr>
          <w:rFonts w:ascii="Palatino Linotype" w:eastAsia="Palatino Linotype" w:hAnsi="Palatino Linotype" w:cs="Palatino Linotype"/>
          <w:color w:val="000000"/>
        </w:rPr>
        <w:t xml:space="preserve"> solicitó lo siguiente:</w:t>
      </w:r>
    </w:p>
    <w:p w:rsidR="00B65DC7" w:rsidRPr="00F11F47" w:rsidRDefault="00B65DC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65DC7" w:rsidRPr="00F11F47" w:rsidRDefault="00CA0720">
      <w:pPr>
        <w:pBdr>
          <w:top w:val="nil"/>
          <w:left w:val="nil"/>
          <w:bottom w:val="nil"/>
          <w:right w:val="nil"/>
          <w:between w:val="nil"/>
        </w:pBdr>
        <w:spacing w:line="360" w:lineRule="auto"/>
        <w:ind w:left="720" w:right="822"/>
        <w:jc w:val="both"/>
        <w:rPr>
          <w:rFonts w:ascii="Palatino Linotype" w:eastAsia="Palatino Linotype" w:hAnsi="Palatino Linotype" w:cs="Palatino Linotype"/>
          <w:i/>
          <w:iCs/>
          <w:color w:val="000000"/>
        </w:rPr>
      </w:pPr>
      <w:r w:rsidRPr="00F11F47">
        <w:rPr>
          <w:rFonts w:ascii="Palatino Linotype" w:eastAsia="Palatino Linotype" w:hAnsi="Palatino Linotype" w:cs="Palatino Linotype"/>
          <w:i/>
          <w:iCs/>
          <w:color w:val="000000"/>
        </w:rPr>
        <w:t xml:space="preserve">“solicito en formato pdf todos los oficios recibidos y generados por la unidad de transparencia del 2 de enero de 2020 al 27 de mayo del 2025, incluyendo oficios internos dentro de las diferentes areas del palacio municipal y los generados y recibidos a otras instituciones publicas (infoem, etc) en version publica” (Sic) </w:t>
      </w:r>
    </w:p>
    <w:p w:rsidR="00B65DC7" w:rsidRDefault="00B65DC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11F47" w:rsidRPr="00F11F47" w:rsidRDefault="00F11F4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65DC7" w:rsidRPr="00F11F47" w:rsidRDefault="00CA0720">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color w:val="000000"/>
        </w:rPr>
        <w:t>Se señaló como modalidad de entrega a través de SAIMEX.</w:t>
      </w:r>
    </w:p>
    <w:p w:rsidR="00B65DC7" w:rsidRPr="00F11F47" w:rsidRDefault="00CA0720">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color w:val="000000"/>
        </w:rPr>
        <w:lastRenderedPageBreak/>
        <w:t xml:space="preserve">El </w:t>
      </w:r>
      <w:r w:rsidRPr="00F11F47">
        <w:rPr>
          <w:rFonts w:ascii="Palatino Linotype" w:eastAsia="Palatino Linotype" w:hAnsi="Palatino Linotype" w:cs="Palatino Linotype"/>
          <w:b/>
          <w:bCs/>
          <w:color w:val="000000"/>
        </w:rPr>
        <w:t>veintinueve de mayo de dos mil veinticinco</w:t>
      </w:r>
      <w:r w:rsidRPr="00F11F47">
        <w:rPr>
          <w:rFonts w:ascii="Palatino Linotype" w:eastAsia="Palatino Linotype" w:hAnsi="Palatino Linotype" w:cs="Palatino Linotype"/>
          <w:color w:val="000000"/>
        </w:rPr>
        <w:t>, el Sujeto Obligado dio respuesta a la solicitud de información en los siguientes términos:</w:t>
      </w:r>
    </w:p>
    <w:tbl>
      <w:tblPr>
        <w:tblStyle w:val="a"/>
        <w:tblW w:w="7631" w:type="dxa"/>
        <w:jc w:val="center"/>
        <w:tblInd w:w="0" w:type="dxa"/>
        <w:tblLayout w:type="fixed"/>
        <w:tblLook w:val="0400" w:firstRow="0" w:lastRow="0" w:firstColumn="0" w:lastColumn="0" w:noHBand="0" w:noVBand="1"/>
      </w:tblPr>
      <w:tblGrid>
        <w:gridCol w:w="7631"/>
      </w:tblGrid>
      <w:tr w:rsidR="00B65DC7" w:rsidRPr="00F11F47">
        <w:trPr>
          <w:trHeight w:val="299"/>
          <w:jc w:val="center"/>
        </w:trPr>
        <w:tc>
          <w:tcPr>
            <w:tcW w:w="7631" w:type="dxa"/>
            <w:vAlign w:val="center"/>
          </w:tcPr>
          <w:p w:rsidR="00B65DC7" w:rsidRPr="00F11F47" w:rsidRDefault="00CA0720">
            <w:pPr>
              <w:jc w:val="right"/>
              <w:rPr>
                <w:rFonts w:ascii="Palatino Linotype" w:eastAsia="Palatino Linotype" w:hAnsi="Palatino Linotype" w:cs="Palatino Linotype"/>
                <w:i/>
                <w:iCs/>
              </w:rPr>
            </w:pPr>
            <w:r w:rsidRPr="00F11F47">
              <w:rPr>
                <w:rFonts w:ascii="Palatino Linotype" w:eastAsia="Palatino Linotype" w:hAnsi="Palatino Linotype" w:cs="Palatino Linotype"/>
                <w:i/>
                <w:iCs/>
              </w:rPr>
              <w:br/>
              <w:t>l para el Desarrollo Integral de la Familia de Juchitepec, México a 29 de Mayo de 2025</w:t>
            </w:r>
          </w:p>
        </w:tc>
      </w:tr>
      <w:tr w:rsidR="00B65DC7" w:rsidRPr="00F11F47">
        <w:trPr>
          <w:trHeight w:val="299"/>
          <w:jc w:val="center"/>
        </w:trPr>
        <w:tc>
          <w:tcPr>
            <w:tcW w:w="7631" w:type="dxa"/>
            <w:vAlign w:val="center"/>
          </w:tcPr>
          <w:p w:rsidR="00B65DC7" w:rsidRPr="00F11F47" w:rsidRDefault="00CA0720">
            <w:pPr>
              <w:jc w:val="right"/>
              <w:rPr>
                <w:rFonts w:ascii="Palatino Linotype" w:eastAsia="Palatino Linotype" w:hAnsi="Palatino Linotype" w:cs="Palatino Linotype"/>
                <w:i/>
                <w:iCs/>
              </w:rPr>
            </w:pPr>
            <w:r w:rsidRPr="00F11F47">
              <w:rPr>
                <w:rFonts w:ascii="Palatino Linotype" w:eastAsia="Palatino Linotype" w:hAnsi="Palatino Linotype" w:cs="Palatino Linotype"/>
                <w:i/>
                <w:iCs/>
              </w:rPr>
              <w:t>Nombre del solicitante: C. Solicitante</w:t>
            </w:r>
          </w:p>
        </w:tc>
      </w:tr>
      <w:tr w:rsidR="00B65DC7" w:rsidRPr="00F11F47">
        <w:trPr>
          <w:trHeight w:val="299"/>
          <w:jc w:val="center"/>
        </w:trPr>
        <w:tc>
          <w:tcPr>
            <w:tcW w:w="7631" w:type="dxa"/>
            <w:vAlign w:val="center"/>
          </w:tcPr>
          <w:p w:rsidR="00B65DC7" w:rsidRPr="00F11F47" w:rsidRDefault="00CA0720">
            <w:pPr>
              <w:jc w:val="right"/>
              <w:rPr>
                <w:rFonts w:ascii="Palatino Linotype" w:eastAsia="Palatino Linotype" w:hAnsi="Palatino Linotype" w:cs="Palatino Linotype"/>
                <w:i/>
                <w:iCs/>
              </w:rPr>
            </w:pPr>
            <w:r w:rsidRPr="00F11F47">
              <w:rPr>
                <w:rFonts w:ascii="Palatino Linotype" w:eastAsia="Palatino Linotype" w:hAnsi="Palatino Linotype" w:cs="Palatino Linotype"/>
                <w:i/>
                <w:iCs/>
              </w:rPr>
              <w:t>Folio de la solicitud: 00014/DIFJUCHITEPEC/IP/2025</w:t>
            </w:r>
          </w:p>
        </w:tc>
      </w:tr>
      <w:tr w:rsidR="00B65DC7" w:rsidRPr="00F11F47">
        <w:trPr>
          <w:trHeight w:val="449"/>
          <w:jc w:val="center"/>
        </w:trPr>
        <w:tc>
          <w:tcPr>
            <w:tcW w:w="7631" w:type="dxa"/>
            <w:vAlign w:val="center"/>
          </w:tcPr>
          <w:p w:rsidR="00B65DC7" w:rsidRPr="00F11F47" w:rsidRDefault="00B65DC7">
            <w:pPr>
              <w:jc w:val="right"/>
              <w:rPr>
                <w:rFonts w:ascii="Palatino Linotype" w:eastAsia="Palatino Linotype" w:hAnsi="Palatino Linotype" w:cs="Palatino Linotype"/>
                <w:i/>
                <w:iCs/>
              </w:rPr>
            </w:pPr>
          </w:p>
        </w:tc>
      </w:tr>
      <w:tr w:rsidR="00B65DC7" w:rsidRPr="00F11F47">
        <w:trPr>
          <w:trHeight w:val="149"/>
          <w:jc w:val="center"/>
        </w:trPr>
        <w:tc>
          <w:tcPr>
            <w:tcW w:w="7631" w:type="dxa"/>
            <w:vAlign w:val="center"/>
          </w:tcPr>
          <w:p w:rsidR="00B65DC7" w:rsidRPr="00F11F47" w:rsidRDefault="00B65DC7">
            <w:pPr>
              <w:jc w:val="center"/>
              <w:rPr>
                <w:rFonts w:ascii="Palatino Linotype" w:eastAsia="Palatino Linotype" w:hAnsi="Palatino Linotype" w:cs="Palatino Linotype"/>
                <w:i/>
                <w:iCs/>
              </w:rPr>
            </w:pPr>
          </w:p>
        </w:tc>
      </w:tr>
      <w:tr w:rsidR="00B65DC7" w:rsidRPr="00F11F47">
        <w:trPr>
          <w:trHeight w:val="374"/>
          <w:jc w:val="center"/>
        </w:trPr>
        <w:tc>
          <w:tcPr>
            <w:tcW w:w="7631" w:type="dxa"/>
            <w:vAlign w:val="center"/>
          </w:tcPr>
          <w:p w:rsidR="00B65DC7" w:rsidRPr="00F11F47" w:rsidRDefault="00B65DC7">
            <w:pPr>
              <w:rPr>
                <w:rFonts w:ascii="Palatino Linotype" w:eastAsia="Palatino Linotype" w:hAnsi="Palatino Linotype" w:cs="Palatino Linotype"/>
                <w:i/>
                <w:iCs/>
              </w:rPr>
            </w:pPr>
          </w:p>
        </w:tc>
      </w:tr>
      <w:tr w:rsidR="00B65DC7" w:rsidRPr="00F11F47">
        <w:trPr>
          <w:trHeight w:val="149"/>
          <w:jc w:val="center"/>
        </w:trPr>
        <w:tc>
          <w:tcPr>
            <w:tcW w:w="7631" w:type="dxa"/>
            <w:vAlign w:val="center"/>
          </w:tcPr>
          <w:p w:rsidR="00B65DC7" w:rsidRPr="00F11F47" w:rsidRDefault="00CA0720">
            <w:pPr>
              <w:rPr>
                <w:rFonts w:ascii="Palatino Linotype" w:eastAsia="Palatino Linotype" w:hAnsi="Palatino Linotype" w:cs="Palatino Linotype"/>
                <w:i/>
                <w:iCs/>
              </w:rPr>
            </w:pPr>
            <w:r w:rsidRPr="00F11F47">
              <w:rPr>
                <w:rFonts w:ascii="Palatino Linotype" w:eastAsia="Palatino Linotype" w:hAnsi="Palatino Linotype" w:cs="Palatino Linotype"/>
                <w:i/>
                <w:iCs/>
              </w:rPr>
              <w:t>La información solicitada no corresponde a este Sujeto Obligado.</w:t>
            </w:r>
          </w:p>
        </w:tc>
      </w:tr>
      <w:tr w:rsidR="00B65DC7" w:rsidRPr="00F11F47">
        <w:trPr>
          <w:trHeight w:val="374"/>
          <w:jc w:val="center"/>
        </w:trPr>
        <w:tc>
          <w:tcPr>
            <w:tcW w:w="7631" w:type="dxa"/>
            <w:vAlign w:val="center"/>
          </w:tcPr>
          <w:p w:rsidR="00B65DC7" w:rsidRPr="00F11F47" w:rsidRDefault="00B65DC7">
            <w:pPr>
              <w:rPr>
                <w:rFonts w:ascii="Palatino Linotype" w:eastAsia="Palatino Linotype" w:hAnsi="Palatino Linotype" w:cs="Palatino Linotype"/>
                <w:i/>
                <w:iCs/>
              </w:rPr>
            </w:pPr>
          </w:p>
        </w:tc>
      </w:tr>
      <w:tr w:rsidR="00B65DC7" w:rsidRPr="00F11F47">
        <w:trPr>
          <w:trHeight w:val="149"/>
          <w:jc w:val="center"/>
        </w:trPr>
        <w:tc>
          <w:tcPr>
            <w:tcW w:w="7631" w:type="dxa"/>
            <w:vAlign w:val="center"/>
          </w:tcPr>
          <w:p w:rsidR="00B65DC7" w:rsidRPr="00F11F47" w:rsidRDefault="00B65DC7">
            <w:pPr>
              <w:jc w:val="center"/>
              <w:rPr>
                <w:rFonts w:ascii="Palatino Linotype" w:eastAsia="Palatino Linotype" w:hAnsi="Palatino Linotype" w:cs="Palatino Linotype"/>
                <w:i/>
                <w:iCs/>
              </w:rPr>
            </w:pPr>
          </w:p>
        </w:tc>
      </w:tr>
      <w:tr w:rsidR="00B65DC7" w:rsidRPr="00F11F47">
        <w:trPr>
          <w:trHeight w:val="149"/>
          <w:jc w:val="center"/>
        </w:trPr>
        <w:tc>
          <w:tcPr>
            <w:tcW w:w="7631" w:type="dxa"/>
            <w:vAlign w:val="center"/>
          </w:tcPr>
          <w:p w:rsidR="00B65DC7" w:rsidRPr="00F11F47" w:rsidRDefault="00B65DC7">
            <w:pPr>
              <w:rPr>
                <w:rFonts w:ascii="Palatino Linotype" w:eastAsia="Palatino Linotype" w:hAnsi="Palatino Linotype" w:cs="Palatino Linotype"/>
                <w:i/>
                <w:iCs/>
              </w:rPr>
            </w:pPr>
          </w:p>
        </w:tc>
      </w:tr>
      <w:tr w:rsidR="00B65DC7" w:rsidRPr="00F11F47">
        <w:trPr>
          <w:trHeight w:val="149"/>
          <w:jc w:val="center"/>
        </w:trPr>
        <w:tc>
          <w:tcPr>
            <w:tcW w:w="7631" w:type="dxa"/>
            <w:vAlign w:val="center"/>
          </w:tcPr>
          <w:p w:rsidR="00B65DC7" w:rsidRPr="00F11F47" w:rsidRDefault="00CA0720">
            <w:pPr>
              <w:rPr>
                <w:rFonts w:ascii="Palatino Linotype" w:eastAsia="Palatino Linotype" w:hAnsi="Palatino Linotype" w:cs="Palatino Linotype"/>
                <w:i/>
                <w:iCs/>
              </w:rPr>
            </w:pPr>
            <w:r w:rsidRPr="00F11F47">
              <w:rPr>
                <w:rFonts w:ascii="Palatino Linotype" w:eastAsia="Palatino Linotype" w:hAnsi="Palatino Linotype" w:cs="Palatino Linotype"/>
                <w:i/>
                <w:iCs/>
              </w:rPr>
              <w:t>ATENTAMENTE</w:t>
            </w:r>
          </w:p>
        </w:tc>
      </w:tr>
      <w:tr w:rsidR="00B65DC7" w:rsidRPr="00F11F47">
        <w:trPr>
          <w:trHeight w:val="224"/>
          <w:jc w:val="center"/>
        </w:trPr>
        <w:tc>
          <w:tcPr>
            <w:tcW w:w="7631" w:type="dxa"/>
            <w:vAlign w:val="center"/>
          </w:tcPr>
          <w:p w:rsidR="00B65DC7" w:rsidRPr="00F11F47" w:rsidRDefault="00B65DC7">
            <w:pPr>
              <w:rPr>
                <w:rFonts w:ascii="Palatino Linotype" w:eastAsia="Palatino Linotype" w:hAnsi="Palatino Linotype" w:cs="Palatino Linotype"/>
                <w:i/>
                <w:iCs/>
              </w:rPr>
            </w:pPr>
          </w:p>
        </w:tc>
      </w:tr>
    </w:tbl>
    <w:p w:rsidR="00B65DC7" w:rsidRPr="00F11F47" w:rsidRDefault="00B65DC7">
      <w:pPr>
        <w:spacing w:line="360" w:lineRule="auto"/>
        <w:jc w:val="both"/>
        <w:rPr>
          <w:rFonts w:ascii="Palatino Linotype" w:eastAsia="Palatino Linotype" w:hAnsi="Palatino Linotype" w:cs="Palatino Linotype"/>
        </w:rPr>
      </w:pPr>
    </w:p>
    <w:p w:rsidR="00B65DC7" w:rsidRPr="00F11F47" w:rsidRDefault="00CA0720" w:rsidP="00F11F4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F11F47">
        <w:rPr>
          <w:rFonts w:ascii="Palatino Linotype" w:eastAsia="Palatino Linotype" w:hAnsi="Palatino Linotype" w:cs="Palatino Linotype"/>
        </w:rPr>
        <w:t xml:space="preserve">A la respuesta se adjuntó el archivo electrónico denominado </w:t>
      </w:r>
      <w:hyperlink r:id="rId8">
        <w:r w:rsidRPr="00F11F47">
          <w:rPr>
            <w:rFonts w:ascii="Palatino Linotype" w:eastAsia="Palatino Linotype" w:hAnsi="Palatino Linotype" w:cs="Palatino Linotype"/>
            <w:b/>
            <w:bCs/>
            <w:color w:val="000000"/>
            <w:u w:val="single"/>
          </w:rPr>
          <w:t>OFICIO SMDIFJUCH0017TAIP2025.pdf</w:t>
        </w:r>
      </w:hyperlink>
      <w:r w:rsidRPr="00F11F47">
        <w:rPr>
          <w:rFonts w:ascii="Palatino Linotype" w:eastAsia="Palatino Linotype" w:hAnsi="Palatino Linotype" w:cs="Palatino Linotype"/>
        </w:rPr>
        <w:t>, oficio número SMDIF/JUCH/0017/TAIP/2025 de fecha veintinueve de mayo de dos mil veinticinco, suscrito por el Titular Honorífico de la Unidad de Transparencia y Acceso a la Información, quien señaló que, “</w:t>
      </w:r>
      <w:r w:rsidRPr="00F11F47">
        <w:rPr>
          <w:rFonts w:ascii="Palatino Linotype" w:eastAsia="Palatino Linotype" w:hAnsi="Palatino Linotype" w:cs="Palatino Linotype"/>
          <w:i/>
          <w:iCs/>
        </w:rPr>
        <w:t>la información solicitada no corresponde a este Organismo Descentralizado de Asistencia Social, hago mención a quien lo solicita que esta Unidad de Transparencia es únicamente designada para el Sistema Municipal para el Desarrollo Integral de la Familia de Juchitepec; por lo que CARECEMOS DE LA INFORMACIÓN QUE ESTA SOLICITANDO</w:t>
      </w:r>
      <w:r w:rsidRPr="00F11F47">
        <w:rPr>
          <w:rFonts w:ascii="Palatino Linotype" w:eastAsia="Palatino Linotype" w:hAnsi="Palatino Linotype" w:cs="Palatino Linotype"/>
        </w:rPr>
        <w:t xml:space="preserve">”. </w:t>
      </w:r>
    </w:p>
    <w:p w:rsidR="00B65DC7" w:rsidRPr="00F11F47" w:rsidRDefault="00B65DC7">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rsidR="00B65DC7" w:rsidRPr="00F11F47" w:rsidRDefault="00CA0720">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color w:val="000000"/>
        </w:rPr>
        <w:t xml:space="preserve">El </w:t>
      </w:r>
      <w:r w:rsidRPr="00F11F47">
        <w:rPr>
          <w:rFonts w:ascii="Palatino Linotype" w:eastAsia="Palatino Linotype" w:hAnsi="Palatino Linotype" w:cs="Palatino Linotype"/>
          <w:b/>
          <w:bCs/>
          <w:color w:val="000000"/>
        </w:rPr>
        <w:t>dieciocho de junio de dos mil veinticinco</w:t>
      </w:r>
      <w:r w:rsidRPr="00F11F47">
        <w:rPr>
          <w:rFonts w:ascii="Palatino Linotype" w:eastAsia="Palatino Linotype" w:hAnsi="Palatino Linotype" w:cs="Palatino Linotype"/>
          <w:color w:val="000000"/>
        </w:rPr>
        <w:t xml:space="preserve">, </w:t>
      </w:r>
      <w:r w:rsidRPr="00F11F47">
        <w:rPr>
          <w:rFonts w:ascii="Palatino Linotype" w:eastAsia="Palatino Linotype" w:hAnsi="Palatino Linotype" w:cs="Palatino Linotype"/>
          <w:b/>
          <w:bCs/>
          <w:color w:val="000000"/>
        </w:rPr>
        <w:t>EL RECURRENTE</w:t>
      </w:r>
      <w:r w:rsidRPr="00F11F47">
        <w:rPr>
          <w:rFonts w:ascii="Palatino Linotype" w:eastAsia="Palatino Linotype" w:hAnsi="Palatino Linotype" w:cs="Palatino Linotype"/>
          <w:color w:val="000000"/>
        </w:rPr>
        <w:t xml:space="preserve"> interpuso el recurso de revisión, en contra de la respuesta, señalando como:</w:t>
      </w:r>
    </w:p>
    <w:p w:rsidR="00B65DC7" w:rsidRPr="00F11F47" w:rsidRDefault="00F11F47">
      <w:pPr>
        <w:numPr>
          <w:ilvl w:val="0"/>
          <w:numId w:val="1"/>
        </w:numPr>
        <w:spacing w:line="360" w:lineRule="auto"/>
        <w:ind w:right="822"/>
        <w:jc w:val="both"/>
      </w:pPr>
      <w:r w:rsidRPr="00F11F47">
        <w:rPr>
          <w:rFonts w:ascii="Palatino Linotype" w:eastAsia="Palatino Linotype" w:hAnsi="Palatino Linotype" w:cs="Palatino Linotype"/>
          <w:b/>
          <w:bCs/>
        </w:rPr>
        <w:lastRenderedPageBreak/>
        <w:t>ACTO IMPUGNADO</w:t>
      </w:r>
      <w:r w:rsidRPr="00F11F47">
        <w:rPr>
          <w:rFonts w:ascii="Palatino Linotype" w:eastAsia="Palatino Linotype" w:hAnsi="Palatino Linotype" w:cs="Palatino Linotype"/>
          <w:b/>
          <w:bCs/>
          <w:i/>
          <w:iCs/>
        </w:rPr>
        <w:t>:</w:t>
      </w:r>
      <w:r w:rsidRPr="00F11F47">
        <w:rPr>
          <w:rFonts w:ascii="Palatino Linotype" w:eastAsia="Palatino Linotype" w:hAnsi="Palatino Linotype" w:cs="Palatino Linotype"/>
          <w:i/>
          <w:iCs/>
          <w:color w:val="000000"/>
        </w:rPr>
        <w:t xml:space="preserve"> </w:t>
      </w:r>
      <w:r w:rsidR="00CA0720" w:rsidRPr="00F11F47">
        <w:rPr>
          <w:rFonts w:ascii="Palatino Linotype" w:eastAsia="Palatino Linotype" w:hAnsi="Palatino Linotype" w:cs="Palatino Linotype"/>
          <w:i/>
          <w:iCs/>
          <w:color w:val="000000"/>
        </w:rPr>
        <w:t>"</w:t>
      </w:r>
      <w:r w:rsidR="00CA0720" w:rsidRPr="00F11F47">
        <w:rPr>
          <w:rFonts w:ascii="Verdana" w:eastAsia="Verdana" w:hAnsi="Verdana" w:cs="Verdana"/>
          <w:color w:val="000000"/>
        </w:rPr>
        <w:t xml:space="preserve"> </w:t>
      </w:r>
      <w:r w:rsidR="00CA0720" w:rsidRPr="00F11F47">
        <w:rPr>
          <w:rFonts w:ascii="Palatino Linotype" w:eastAsia="Palatino Linotype" w:hAnsi="Palatino Linotype" w:cs="Palatino Linotype"/>
          <w:i/>
          <w:iCs/>
          <w:color w:val="000000"/>
        </w:rPr>
        <w:t>Comenta que la información solicitada no corresponde al DIF" (Sic)</w:t>
      </w:r>
    </w:p>
    <w:p w:rsidR="00B65DC7" w:rsidRPr="00F11F47" w:rsidRDefault="00B65DC7">
      <w:pPr>
        <w:spacing w:line="360" w:lineRule="auto"/>
        <w:ind w:left="720" w:right="822"/>
        <w:jc w:val="both"/>
      </w:pPr>
    </w:p>
    <w:p w:rsidR="00B65DC7" w:rsidRPr="00F11F47" w:rsidRDefault="00F11F47">
      <w:pPr>
        <w:numPr>
          <w:ilvl w:val="0"/>
          <w:numId w:val="1"/>
        </w:numPr>
        <w:spacing w:line="360" w:lineRule="auto"/>
        <w:ind w:right="822"/>
        <w:jc w:val="both"/>
        <w:rPr>
          <w:rFonts w:ascii="Palatino Linotype" w:eastAsia="Palatino Linotype" w:hAnsi="Palatino Linotype" w:cs="Palatino Linotype"/>
        </w:rPr>
      </w:pPr>
      <w:r w:rsidRPr="00F11F47">
        <w:rPr>
          <w:rFonts w:ascii="Palatino Linotype" w:eastAsia="Palatino Linotype" w:hAnsi="Palatino Linotype" w:cs="Palatino Linotype"/>
          <w:b/>
          <w:bCs/>
        </w:rPr>
        <w:t>RAZONES O MOTIVOS DE INCONFORMIDAD</w:t>
      </w:r>
      <w:r w:rsidR="00CA0720" w:rsidRPr="00F11F47">
        <w:rPr>
          <w:rFonts w:ascii="Palatino Linotype" w:eastAsia="Palatino Linotype" w:hAnsi="Palatino Linotype" w:cs="Palatino Linotype"/>
          <w:b/>
          <w:bCs/>
        </w:rPr>
        <w:t xml:space="preserve">: </w:t>
      </w:r>
      <w:r w:rsidR="00CA0720" w:rsidRPr="00F11F47">
        <w:rPr>
          <w:rFonts w:ascii="Verdana" w:eastAsia="Verdana" w:hAnsi="Verdana" w:cs="Verdana"/>
          <w:color w:val="000000"/>
        </w:rPr>
        <w:t xml:space="preserve"> </w:t>
      </w:r>
      <w:r w:rsidR="00CA0720" w:rsidRPr="00F11F47">
        <w:rPr>
          <w:rFonts w:ascii="Palatino Linotype" w:eastAsia="Palatino Linotype" w:hAnsi="Palatino Linotype" w:cs="Palatino Linotype"/>
          <w:i/>
          <w:iCs/>
        </w:rPr>
        <w:t>El DIF no quiere entregar la información solicitada, lo que se le pidió es información generada y resguardada por esta Unidad de Transparencia, Para su buen entender se le solicito los oficios que recibe y emite esta área administrativa del DIF (Unidad de Transparencia), así mismo si existen oficios emitidos y recibidos de manera local con otras dependencias como el palacio municipal de Juchitepec o en su caso con el instituto INFOEM, de los años mencionados en la solicitud. Y aunque ellos niegan que tienen información tan solo el oficio que envían en esta respuesta tan solo de laño 2025 llevan elaborado 17 oficios. Pregunta por que la negativa de entregar la información esconden algo, se supone que es Transparencia, nos están cortando nuestro derecho a la información, mismo que se nos otorgan en las leyes en la materia." (Sic)</w:t>
      </w:r>
    </w:p>
    <w:p w:rsidR="00B65DC7" w:rsidRPr="00F11F47" w:rsidRDefault="00B65DC7">
      <w:pPr>
        <w:spacing w:line="360" w:lineRule="auto"/>
        <w:jc w:val="both"/>
        <w:rPr>
          <w:rFonts w:ascii="Palatino Linotype" w:eastAsia="Palatino Linotype" w:hAnsi="Palatino Linotype" w:cs="Palatino Linotype"/>
        </w:rPr>
      </w:pPr>
    </w:p>
    <w:p w:rsidR="00B65DC7" w:rsidRPr="00F11F47" w:rsidRDefault="00CA0720">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color w:val="000000"/>
        </w:rPr>
        <w:t xml:space="preserve">Se registró el recurso de revisión bajo el número de expediente al rubro indicado, asimismo con fundamento en lo dispuesto por el artículo 185 fracción I de la </w:t>
      </w:r>
      <w:r w:rsidRPr="00F11F47">
        <w:rPr>
          <w:rFonts w:ascii="Palatino Linotype" w:eastAsia="Palatino Linotype" w:hAnsi="Palatino Linotype" w:cs="Palatino Linotype"/>
          <w:b/>
          <w:bCs/>
          <w:color w:val="000000"/>
        </w:rPr>
        <w:t xml:space="preserve">Ley de Transparencia y Acceso a la Información Pública del Estado de México y Municipios </w:t>
      </w:r>
      <w:r w:rsidRPr="00F11F47">
        <w:rPr>
          <w:rFonts w:ascii="Palatino Linotype" w:eastAsia="Palatino Linotype" w:hAnsi="Palatino Linotype" w:cs="Palatino Linotype"/>
          <w:color w:val="000000"/>
        </w:rPr>
        <w:t xml:space="preserve">se </w:t>
      </w:r>
      <w:r w:rsidRPr="00F11F47">
        <w:rPr>
          <w:rFonts w:ascii="Palatino Linotype" w:eastAsia="Palatino Linotype" w:hAnsi="Palatino Linotype" w:cs="Palatino Linotype"/>
        </w:rPr>
        <w:t>turna</w:t>
      </w:r>
      <w:r w:rsidRPr="00F11F47">
        <w:rPr>
          <w:rFonts w:ascii="Palatino Linotype" w:eastAsia="Palatino Linotype" w:hAnsi="Palatino Linotype" w:cs="Palatino Linotype"/>
          <w:color w:val="000000"/>
        </w:rPr>
        <w:t xml:space="preserve"> a la </w:t>
      </w:r>
      <w:r w:rsidRPr="00F11F47">
        <w:rPr>
          <w:rFonts w:ascii="Palatino Linotype" w:eastAsia="Palatino Linotype" w:hAnsi="Palatino Linotype" w:cs="Palatino Linotype"/>
          <w:b/>
          <w:bCs/>
          <w:color w:val="000000"/>
        </w:rPr>
        <w:t xml:space="preserve">Comisionada María del Rosario Mejía Ayala, </w:t>
      </w:r>
      <w:r w:rsidRPr="00F11F47">
        <w:rPr>
          <w:rFonts w:ascii="Palatino Linotype" w:eastAsia="Palatino Linotype" w:hAnsi="Palatino Linotype" w:cs="Palatino Linotype"/>
        </w:rPr>
        <w:t xml:space="preserve">para </w:t>
      </w:r>
      <w:r w:rsidRPr="00F11F47">
        <w:rPr>
          <w:rFonts w:ascii="Palatino Linotype" w:eastAsia="Palatino Linotype" w:hAnsi="Palatino Linotype" w:cs="Palatino Linotype"/>
          <w:color w:val="000000"/>
        </w:rPr>
        <w:t xml:space="preserve">su análisis. </w:t>
      </w:r>
    </w:p>
    <w:p w:rsidR="00B65DC7" w:rsidRPr="00F11F47" w:rsidRDefault="00B65DC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65DC7" w:rsidRPr="00F11F47" w:rsidRDefault="00CA0720">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rPr>
        <w:t>La</w:t>
      </w:r>
      <w:r w:rsidRPr="00F11F47">
        <w:rPr>
          <w:rFonts w:ascii="Palatino Linotype" w:eastAsia="Palatino Linotype" w:hAnsi="Palatino Linotype" w:cs="Palatino Linotype"/>
          <w:color w:val="000000"/>
        </w:rPr>
        <w:t xml:space="preserve"> Comisionad</w:t>
      </w:r>
      <w:r w:rsidRPr="00F11F47">
        <w:rPr>
          <w:rFonts w:ascii="Palatino Linotype" w:eastAsia="Palatino Linotype" w:hAnsi="Palatino Linotype" w:cs="Palatino Linotype"/>
        </w:rPr>
        <w:t>a</w:t>
      </w:r>
      <w:r w:rsidR="00F11F47">
        <w:rPr>
          <w:rFonts w:ascii="Palatino Linotype" w:eastAsia="Palatino Linotype" w:hAnsi="Palatino Linotype" w:cs="Palatino Linotype"/>
          <w:color w:val="000000"/>
        </w:rPr>
        <w:t xml:space="preserve"> p</w:t>
      </w:r>
      <w:r w:rsidRPr="00F11F47">
        <w:rPr>
          <w:rFonts w:ascii="Palatino Linotype" w:eastAsia="Palatino Linotype" w:hAnsi="Palatino Linotype" w:cs="Palatino Linotype"/>
          <w:color w:val="000000"/>
        </w:rPr>
        <w:t xml:space="preserve">onente con fundamento en lo dispuesto por el artículo 185 fracción II de la ley de la materia, a través del acuerdo de admisión del </w:t>
      </w:r>
      <w:r w:rsidRPr="00F11F47">
        <w:rPr>
          <w:rFonts w:ascii="Palatino Linotype" w:eastAsia="Palatino Linotype" w:hAnsi="Palatino Linotype" w:cs="Palatino Linotype"/>
          <w:b/>
          <w:bCs/>
          <w:color w:val="000000"/>
        </w:rPr>
        <w:t>diecinueve de junio de dos mil veinticinco</w:t>
      </w:r>
      <w:r w:rsidRPr="00F11F47">
        <w:rPr>
          <w:rFonts w:ascii="Palatino Linotype" w:eastAsia="Palatino Linotype" w:hAnsi="Palatino Linotype" w:cs="Palatino Linotype"/>
          <w:color w:val="000000"/>
        </w:rPr>
        <w:t xml:space="preserve">, puso a disposición de las partes el expediente electrónico vía </w:t>
      </w:r>
      <w:r w:rsidRPr="00F11F47">
        <w:rPr>
          <w:rFonts w:ascii="Palatino Linotype" w:eastAsia="Palatino Linotype" w:hAnsi="Palatino Linotype" w:cs="Palatino Linotype"/>
          <w:b/>
          <w:bCs/>
          <w:color w:val="000000"/>
        </w:rPr>
        <w:t xml:space="preserve">SAIMEX </w:t>
      </w:r>
      <w:r w:rsidRPr="00F11F47">
        <w:rPr>
          <w:rFonts w:ascii="Palatino Linotype" w:eastAsia="Palatino Linotype" w:hAnsi="Palatino Linotype" w:cs="Palatino Linotype"/>
          <w:color w:val="000000"/>
        </w:rPr>
        <w:t xml:space="preserve">a efecto de que en un plazo máximo de siete días </w:t>
      </w:r>
      <w:r w:rsidRPr="00F11F47">
        <w:rPr>
          <w:rFonts w:ascii="Palatino Linotype" w:eastAsia="Palatino Linotype" w:hAnsi="Palatino Linotype" w:cs="Palatino Linotype"/>
        </w:rPr>
        <w:t>manifestara</w:t>
      </w:r>
      <w:r w:rsidRPr="00F11F47">
        <w:rPr>
          <w:rFonts w:ascii="Palatino Linotype" w:eastAsia="Palatino Linotype" w:hAnsi="Palatino Linotype" w:cs="Palatino Linotype"/>
          <w:color w:val="000000"/>
        </w:rPr>
        <w:t xml:space="preserve"> lo que a derecho </w:t>
      </w:r>
      <w:r w:rsidRPr="00F11F47">
        <w:rPr>
          <w:rFonts w:ascii="Palatino Linotype" w:eastAsia="Palatino Linotype" w:hAnsi="Palatino Linotype" w:cs="Palatino Linotype"/>
        </w:rPr>
        <w:t>conviniera</w:t>
      </w:r>
      <w:r w:rsidRPr="00F11F47">
        <w:rPr>
          <w:rFonts w:ascii="Palatino Linotype" w:eastAsia="Palatino Linotype" w:hAnsi="Palatino Linotype" w:cs="Palatino Linotype"/>
          <w:color w:val="000000"/>
        </w:rPr>
        <w:t xml:space="preserve">, </w:t>
      </w:r>
      <w:r w:rsidRPr="00F11F47">
        <w:rPr>
          <w:rFonts w:ascii="Palatino Linotype" w:eastAsia="Palatino Linotype" w:hAnsi="Palatino Linotype" w:cs="Palatino Linotype"/>
        </w:rPr>
        <w:t>ofreciera</w:t>
      </w:r>
      <w:r w:rsidRPr="00F11F47">
        <w:rPr>
          <w:rFonts w:ascii="Palatino Linotype" w:eastAsia="Palatino Linotype" w:hAnsi="Palatino Linotype" w:cs="Palatino Linotype"/>
          <w:color w:val="000000"/>
        </w:rPr>
        <w:t xml:space="preserve"> </w:t>
      </w:r>
      <w:r w:rsidRPr="00F11F47">
        <w:rPr>
          <w:rFonts w:ascii="Palatino Linotype" w:eastAsia="Palatino Linotype" w:hAnsi="Palatino Linotype" w:cs="Palatino Linotype"/>
          <w:color w:val="000000"/>
        </w:rPr>
        <w:lastRenderedPageBreak/>
        <w:t xml:space="preserve">pruebas y alegatos según corresponda al caso concreto, de esta forma para que el </w:t>
      </w:r>
      <w:r w:rsidRPr="00F11F47">
        <w:rPr>
          <w:rFonts w:ascii="Palatino Linotype" w:eastAsia="Palatino Linotype" w:hAnsi="Palatino Linotype" w:cs="Palatino Linotype"/>
          <w:b/>
          <w:bCs/>
          <w:color w:val="000000"/>
        </w:rPr>
        <w:t>SUJETO OBLIGADO</w:t>
      </w:r>
      <w:r w:rsidRPr="00F11F47">
        <w:rPr>
          <w:rFonts w:ascii="Palatino Linotype" w:eastAsia="Palatino Linotype" w:hAnsi="Palatino Linotype" w:cs="Palatino Linotype"/>
          <w:color w:val="000000"/>
        </w:rPr>
        <w:t xml:space="preserve"> </w:t>
      </w:r>
      <w:r w:rsidRPr="00F11F47">
        <w:rPr>
          <w:rFonts w:ascii="Palatino Linotype" w:eastAsia="Palatino Linotype" w:hAnsi="Palatino Linotype" w:cs="Palatino Linotype"/>
        </w:rPr>
        <w:t>presentará</w:t>
      </w:r>
      <w:r w:rsidRPr="00F11F47">
        <w:rPr>
          <w:rFonts w:ascii="Palatino Linotype" w:eastAsia="Palatino Linotype" w:hAnsi="Palatino Linotype" w:cs="Palatino Linotype"/>
          <w:color w:val="000000"/>
        </w:rPr>
        <w:t xml:space="preserve"> el informe justificado procedente. </w:t>
      </w:r>
    </w:p>
    <w:p w:rsidR="00B65DC7" w:rsidRPr="00F11F47" w:rsidRDefault="00B65DC7">
      <w:pPr>
        <w:pBdr>
          <w:top w:val="nil"/>
          <w:left w:val="nil"/>
          <w:bottom w:val="nil"/>
          <w:right w:val="nil"/>
          <w:between w:val="nil"/>
        </w:pBdr>
        <w:ind w:left="720"/>
        <w:rPr>
          <w:rFonts w:ascii="Palatino Linotype" w:eastAsia="Palatino Linotype" w:hAnsi="Palatino Linotype" w:cs="Palatino Linotype"/>
          <w:color w:val="000000"/>
        </w:rPr>
      </w:pPr>
    </w:p>
    <w:p w:rsidR="00B65DC7" w:rsidRPr="00F11F47" w:rsidRDefault="00CA0720">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color w:val="000000"/>
        </w:rPr>
        <w:t xml:space="preserve">De las constancias del expediente electrónico SAIMEX se advierte que el Recurrente no realizó manifestaciones; por su parte, el Sujeto Obligado entregó informe justificado el </w:t>
      </w:r>
      <w:r w:rsidRPr="00F11F47">
        <w:rPr>
          <w:rFonts w:ascii="Palatino Linotype" w:eastAsia="Palatino Linotype" w:hAnsi="Palatino Linotype" w:cs="Palatino Linotype"/>
          <w:b/>
          <w:bCs/>
          <w:color w:val="000000"/>
        </w:rPr>
        <w:t>veintisiete de junio de dos mil veinticinco</w:t>
      </w:r>
      <w:r w:rsidRPr="00F11F47">
        <w:rPr>
          <w:rFonts w:ascii="Palatino Linotype" w:eastAsia="Palatino Linotype" w:hAnsi="Palatino Linotype" w:cs="Palatino Linotype"/>
          <w:color w:val="000000"/>
        </w:rPr>
        <w:t>, mismo que fue puesto a la vista del Recurrente el diecinueve de noviembre del mismo año, a través de los archivos que se describen enseguida:</w:t>
      </w:r>
    </w:p>
    <w:p w:rsidR="00B65DC7" w:rsidRPr="00F11F47" w:rsidRDefault="00B65DC7">
      <w:pPr>
        <w:pBdr>
          <w:top w:val="nil"/>
          <w:left w:val="nil"/>
          <w:bottom w:val="nil"/>
          <w:right w:val="nil"/>
          <w:between w:val="nil"/>
        </w:pBdr>
        <w:ind w:left="720"/>
        <w:rPr>
          <w:rFonts w:ascii="Palatino Linotype" w:eastAsia="Palatino Linotype" w:hAnsi="Palatino Linotype" w:cs="Palatino Linotype"/>
          <w:color w:val="000000"/>
        </w:rPr>
      </w:pPr>
    </w:p>
    <w:p w:rsidR="00B65DC7" w:rsidRPr="00F11F47" w:rsidRDefault="002A482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hyperlink r:id="rId9">
        <w:r w:rsidR="00CA0720" w:rsidRPr="00F11F47">
          <w:rPr>
            <w:rFonts w:ascii="Palatino Linotype" w:eastAsia="Palatino Linotype" w:hAnsi="Palatino Linotype" w:cs="Palatino Linotype"/>
            <w:b/>
            <w:bCs/>
            <w:color w:val="000000"/>
            <w:u w:val="single"/>
          </w:rPr>
          <w:t>A QUIEN CORRESPONDA 00014.pdf</w:t>
        </w:r>
      </w:hyperlink>
      <w:r w:rsidR="00CA0720" w:rsidRPr="00F11F47">
        <w:rPr>
          <w:rFonts w:ascii="Palatino Linotype" w:eastAsia="Palatino Linotype" w:hAnsi="Palatino Linotype" w:cs="Palatino Linotype"/>
          <w:color w:val="000000"/>
        </w:rPr>
        <w:t>: oficio número SMDIF/JUCH/0040/TAIP/2025 de fecha veintiséis de junio de dos mil veinticinco, suscrito por el Titular de la Unidad de Transparencia y Acceso a la Información Pública en el que señaló:</w:t>
      </w:r>
    </w:p>
    <w:p w:rsidR="00B65DC7" w:rsidRPr="00F11F47" w:rsidRDefault="00B65DC7">
      <w:pPr>
        <w:pBdr>
          <w:top w:val="nil"/>
          <w:left w:val="nil"/>
          <w:bottom w:val="nil"/>
          <w:right w:val="nil"/>
          <w:between w:val="nil"/>
        </w:pBdr>
        <w:spacing w:line="360" w:lineRule="auto"/>
        <w:ind w:left="720" w:right="822"/>
        <w:jc w:val="both"/>
        <w:rPr>
          <w:rFonts w:ascii="Palatino Linotype" w:eastAsia="Palatino Linotype" w:hAnsi="Palatino Linotype" w:cs="Palatino Linotype"/>
          <w:i/>
          <w:iCs/>
          <w:color w:val="000000"/>
        </w:rPr>
      </w:pPr>
    </w:p>
    <w:p w:rsidR="00B65DC7" w:rsidRPr="00F11F47" w:rsidRDefault="00CA0720">
      <w:pPr>
        <w:pBdr>
          <w:top w:val="nil"/>
          <w:left w:val="nil"/>
          <w:bottom w:val="nil"/>
          <w:right w:val="nil"/>
          <w:between w:val="nil"/>
        </w:pBdr>
        <w:spacing w:line="360" w:lineRule="auto"/>
        <w:ind w:left="720" w:right="822"/>
        <w:jc w:val="both"/>
        <w:rPr>
          <w:rFonts w:ascii="Palatino Linotype" w:eastAsia="Palatino Linotype" w:hAnsi="Palatino Linotype" w:cs="Palatino Linotype"/>
          <w:i/>
          <w:iCs/>
          <w:color w:val="000000"/>
        </w:rPr>
      </w:pPr>
      <w:r w:rsidRPr="00F11F47">
        <w:rPr>
          <w:rFonts w:ascii="Palatino Linotype" w:eastAsia="Palatino Linotype" w:hAnsi="Palatino Linotype" w:cs="Palatino Linotype"/>
          <w:i/>
          <w:iCs/>
          <w:color w:val="000000"/>
        </w:rPr>
        <w:t xml:space="preserve">“1. "solicito en formato pdf todos los oficios recibidos" (...) sic </w:t>
      </w:r>
    </w:p>
    <w:p w:rsidR="00B65DC7" w:rsidRPr="00F11F47" w:rsidRDefault="00CA0720">
      <w:pPr>
        <w:numPr>
          <w:ilvl w:val="0"/>
          <w:numId w:val="7"/>
        </w:numPr>
        <w:pBdr>
          <w:top w:val="nil"/>
          <w:left w:val="nil"/>
          <w:bottom w:val="nil"/>
          <w:right w:val="nil"/>
          <w:between w:val="nil"/>
        </w:pBdr>
        <w:spacing w:line="360" w:lineRule="auto"/>
        <w:ind w:left="720" w:right="822" w:firstLine="0"/>
        <w:jc w:val="both"/>
        <w:rPr>
          <w:rFonts w:ascii="Palatino Linotype" w:eastAsia="Palatino Linotype" w:hAnsi="Palatino Linotype" w:cs="Palatino Linotype"/>
          <w:i/>
          <w:iCs/>
          <w:color w:val="000000"/>
        </w:rPr>
      </w:pPr>
      <w:r w:rsidRPr="00F11F47">
        <w:rPr>
          <w:rFonts w:ascii="Palatino Linotype" w:eastAsia="Palatino Linotype" w:hAnsi="Palatino Linotype" w:cs="Palatino Linotype"/>
          <w:i/>
          <w:iCs/>
          <w:color w:val="000000"/>
        </w:rPr>
        <w:t xml:space="preserve">Informo al Solicitante que esta Unidad de Transparencia a recibido un total de 18 oficios a partir del a la fecha del oficio de cuenta. </w:t>
      </w:r>
    </w:p>
    <w:p w:rsidR="00B65DC7" w:rsidRPr="00F11F47" w:rsidRDefault="00CA0720">
      <w:pPr>
        <w:numPr>
          <w:ilvl w:val="0"/>
          <w:numId w:val="7"/>
        </w:numPr>
        <w:pBdr>
          <w:top w:val="nil"/>
          <w:left w:val="nil"/>
          <w:bottom w:val="nil"/>
          <w:right w:val="nil"/>
          <w:between w:val="nil"/>
        </w:pBdr>
        <w:spacing w:line="360" w:lineRule="auto"/>
        <w:ind w:left="720" w:right="822" w:firstLine="0"/>
        <w:jc w:val="both"/>
        <w:rPr>
          <w:rFonts w:ascii="Palatino Linotype" w:eastAsia="Palatino Linotype" w:hAnsi="Palatino Linotype" w:cs="Palatino Linotype"/>
          <w:i/>
          <w:iCs/>
          <w:color w:val="000000"/>
        </w:rPr>
      </w:pPr>
      <w:r w:rsidRPr="00F11F47">
        <w:rPr>
          <w:rFonts w:ascii="Palatino Linotype" w:eastAsia="Palatino Linotype" w:hAnsi="Palatino Linotype" w:cs="Palatino Linotype"/>
          <w:i/>
          <w:iCs/>
          <w:color w:val="000000"/>
        </w:rPr>
        <w:t xml:space="preserve">Anexo documento PDF Oficios Recibidos que consta de 21 fojas </w:t>
      </w:r>
    </w:p>
    <w:p w:rsidR="00B65DC7" w:rsidRPr="00F11F47" w:rsidRDefault="00B65DC7">
      <w:pPr>
        <w:pBdr>
          <w:top w:val="nil"/>
          <w:left w:val="nil"/>
          <w:bottom w:val="nil"/>
          <w:right w:val="nil"/>
          <w:between w:val="nil"/>
        </w:pBdr>
        <w:spacing w:line="360" w:lineRule="auto"/>
        <w:ind w:left="720" w:right="822"/>
        <w:jc w:val="both"/>
        <w:rPr>
          <w:rFonts w:ascii="Palatino Linotype" w:eastAsia="Palatino Linotype" w:hAnsi="Palatino Linotype" w:cs="Palatino Linotype"/>
          <w:i/>
          <w:iCs/>
        </w:rPr>
      </w:pPr>
    </w:p>
    <w:p w:rsidR="00B65DC7" w:rsidRPr="00F11F47" w:rsidRDefault="00CA0720">
      <w:pPr>
        <w:pBdr>
          <w:top w:val="nil"/>
          <w:left w:val="nil"/>
          <w:bottom w:val="nil"/>
          <w:right w:val="nil"/>
          <w:between w:val="nil"/>
        </w:pBdr>
        <w:spacing w:line="360" w:lineRule="auto"/>
        <w:ind w:left="720" w:right="822"/>
        <w:jc w:val="both"/>
        <w:rPr>
          <w:rFonts w:ascii="Palatino Linotype" w:eastAsia="Palatino Linotype" w:hAnsi="Palatino Linotype" w:cs="Palatino Linotype"/>
          <w:i/>
          <w:iCs/>
        </w:rPr>
      </w:pPr>
      <w:r w:rsidRPr="00F11F47">
        <w:rPr>
          <w:rFonts w:ascii="Palatino Linotype" w:eastAsia="Palatino Linotype" w:hAnsi="Palatino Linotype" w:cs="Palatino Linotype"/>
          <w:i/>
          <w:iCs/>
        </w:rPr>
        <w:t>2. (...) generados por la unidad de transparencia del 2 de enero de 2020 al 27 de mayo del 2025, incluyendo oficios internos dentro de las diferentes areas del palacio municipal y los generados y recibidos a otras instituciones publicas (infoem, etc) en version publica" (sic)</w:t>
      </w:r>
    </w:p>
    <w:p w:rsidR="00B65DC7" w:rsidRPr="00F11F47" w:rsidRDefault="00B65DC7">
      <w:pPr>
        <w:pBdr>
          <w:top w:val="nil"/>
          <w:left w:val="nil"/>
          <w:bottom w:val="nil"/>
          <w:right w:val="nil"/>
          <w:between w:val="nil"/>
        </w:pBdr>
        <w:spacing w:line="360" w:lineRule="auto"/>
        <w:ind w:left="720" w:right="822"/>
        <w:jc w:val="both"/>
        <w:rPr>
          <w:rFonts w:ascii="Palatino Linotype" w:eastAsia="Palatino Linotype" w:hAnsi="Palatino Linotype" w:cs="Palatino Linotype"/>
          <w:i/>
          <w:iCs/>
        </w:rPr>
      </w:pPr>
    </w:p>
    <w:p w:rsidR="00B65DC7" w:rsidRPr="00F11F47" w:rsidRDefault="00CA0720">
      <w:pPr>
        <w:numPr>
          <w:ilvl w:val="0"/>
          <w:numId w:val="7"/>
        </w:numPr>
        <w:pBdr>
          <w:top w:val="nil"/>
          <w:left w:val="nil"/>
          <w:bottom w:val="nil"/>
          <w:right w:val="nil"/>
          <w:between w:val="nil"/>
        </w:pBdr>
        <w:spacing w:line="360" w:lineRule="auto"/>
        <w:ind w:left="709" w:right="822" w:firstLine="0"/>
        <w:jc w:val="both"/>
        <w:rPr>
          <w:rFonts w:ascii="Palatino Linotype" w:eastAsia="Palatino Linotype" w:hAnsi="Palatino Linotype" w:cs="Palatino Linotype"/>
          <w:i/>
          <w:iCs/>
          <w:color w:val="000000"/>
        </w:rPr>
      </w:pPr>
      <w:r w:rsidRPr="00F11F47">
        <w:rPr>
          <w:rFonts w:ascii="Palatino Linotype" w:eastAsia="Palatino Linotype" w:hAnsi="Palatino Linotype" w:cs="Palatino Linotype"/>
          <w:i/>
          <w:iCs/>
          <w:color w:val="000000"/>
        </w:rPr>
        <w:t xml:space="preserve">En relación a este punto me permito informar que este Sujeto Obligado es Parcialmente Incompetente, ya que a partir del 25 de Octubre de 2024 fuimos </w:t>
      </w:r>
      <w:r w:rsidRPr="00F11F47">
        <w:rPr>
          <w:rFonts w:ascii="Palatino Linotype" w:eastAsia="Palatino Linotype" w:hAnsi="Palatino Linotype" w:cs="Palatino Linotype"/>
          <w:i/>
          <w:iCs/>
          <w:color w:val="000000"/>
        </w:rPr>
        <w:lastRenderedPageBreak/>
        <w:t xml:space="preserve">incorporados al Padrón de Sujetos Obligados en Materia de Transparencia y Acceso a la Información Pública del Estado de México y Municipios, misma información que se puede consultar en el Periódico Oficial Gaceta del Gobierno del Gobierno del Estado de México, o en la siguiente liga electrónica: </w:t>
      </w:r>
      <w:hyperlink r:id="rId10">
        <w:r w:rsidRPr="00F11F47">
          <w:rPr>
            <w:rFonts w:ascii="Palatino Linotype" w:eastAsia="Palatino Linotype" w:hAnsi="Palatino Linotype" w:cs="Palatino Linotype"/>
            <w:i/>
            <w:iCs/>
            <w:color w:val="0000FF"/>
            <w:u w:val="single"/>
          </w:rPr>
          <w:t>https://legislacion.edomex.gob.mx/sites/legislacion.edomex.gob.mx/files/files/pdf/gct/2024/octubre/oct251/oct251d.pdf</w:t>
        </w:r>
      </w:hyperlink>
      <w:r w:rsidRPr="00F11F47">
        <w:rPr>
          <w:rFonts w:ascii="Palatino Linotype" w:eastAsia="Palatino Linotype" w:hAnsi="Palatino Linotype" w:cs="Palatino Linotype"/>
          <w:i/>
          <w:iCs/>
          <w:color w:val="000000"/>
        </w:rPr>
        <w:t xml:space="preserve"> no omito la mencionar que administración 2022-2024 no conformo su Unidad de Transparencia, en este sentido los oficios que obran en nuestros archivos son a partir del 14 de febrero de 2025. </w:t>
      </w:r>
    </w:p>
    <w:p w:rsidR="00B65DC7" w:rsidRPr="00F11F47" w:rsidRDefault="00CA0720">
      <w:pPr>
        <w:numPr>
          <w:ilvl w:val="0"/>
          <w:numId w:val="7"/>
        </w:numPr>
        <w:pBdr>
          <w:top w:val="nil"/>
          <w:left w:val="nil"/>
          <w:bottom w:val="nil"/>
          <w:right w:val="nil"/>
          <w:between w:val="nil"/>
        </w:pBdr>
        <w:spacing w:line="360" w:lineRule="auto"/>
        <w:ind w:left="709" w:right="822" w:firstLine="0"/>
        <w:jc w:val="both"/>
        <w:rPr>
          <w:rFonts w:ascii="Palatino Linotype" w:eastAsia="Palatino Linotype" w:hAnsi="Palatino Linotype" w:cs="Palatino Linotype"/>
          <w:i/>
          <w:iCs/>
          <w:color w:val="000000"/>
        </w:rPr>
      </w:pPr>
      <w:r w:rsidRPr="00F11F47">
        <w:rPr>
          <w:rFonts w:ascii="Palatino Linotype" w:eastAsia="Palatino Linotype" w:hAnsi="Palatino Linotype" w:cs="Palatino Linotype"/>
          <w:i/>
          <w:iCs/>
          <w:color w:val="000000"/>
        </w:rPr>
        <w:t xml:space="preserve">En ese sentido se anexan los oficios generados por esta Unidad de Transparencia del 14 de febrero de 2025 al 25 de junio de 2025 en el documento adjunto a esta solicitud "Oficios Enviados" el cual consta de 62 fojas. </w:t>
      </w:r>
    </w:p>
    <w:p w:rsidR="00B65DC7" w:rsidRPr="00F11F47" w:rsidRDefault="00B65DC7">
      <w:pPr>
        <w:pBdr>
          <w:top w:val="nil"/>
          <w:left w:val="nil"/>
          <w:bottom w:val="nil"/>
          <w:right w:val="nil"/>
          <w:between w:val="nil"/>
        </w:pBdr>
        <w:spacing w:line="360" w:lineRule="auto"/>
        <w:ind w:left="709" w:right="822"/>
        <w:jc w:val="both"/>
        <w:rPr>
          <w:rFonts w:ascii="Palatino Linotype" w:eastAsia="Palatino Linotype" w:hAnsi="Palatino Linotype" w:cs="Palatino Linotype"/>
          <w:i/>
          <w:iCs/>
          <w:color w:val="000000"/>
        </w:rPr>
      </w:pPr>
    </w:p>
    <w:p w:rsidR="00B65DC7" w:rsidRPr="00F11F47" w:rsidRDefault="00CA0720">
      <w:pPr>
        <w:pBdr>
          <w:top w:val="nil"/>
          <w:left w:val="nil"/>
          <w:bottom w:val="nil"/>
          <w:right w:val="nil"/>
          <w:between w:val="nil"/>
        </w:pBdr>
        <w:spacing w:line="360" w:lineRule="auto"/>
        <w:ind w:left="709" w:right="822"/>
        <w:jc w:val="both"/>
        <w:rPr>
          <w:rFonts w:ascii="Palatino Linotype" w:eastAsia="Palatino Linotype" w:hAnsi="Palatino Linotype" w:cs="Palatino Linotype"/>
          <w:i/>
          <w:iCs/>
          <w:color w:val="000000"/>
        </w:rPr>
      </w:pPr>
      <w:r w:rsidRPr="00F11F47">
        <w:rPr>
          <w:rFonts w:ascii="Palatino Linotype" w:eastAsia="Palatino Linotype" w:hAnsi="Palatino Linotype" w:cs="Palatino Linotype"/>
          <w:i/>
          <w:iCs/>
          <w:color w:val="000000"/>
        </w:rPr>
        <w:t>No omito mencionar que se anexa cuadro de clasificación de información clasificada como confidencial con fundamento en el artículo 3 fracción IX y 143 fracción I de la Ley de Transparencia y Acceso a la Información Pública del Estado de México y Municipios; artículo 4 fracción XI de la Ley de Protección de Datos Personales en Posesión de Sujetos Obligados del Estado de México y Municipios por ser información privada y los datos personales concernientes a una persona física o jurídico colectiva identificada o identificable.”</w:t>
      </w:r>
    </w:p>
    <w:p w:rsidR="00B65DC7" w:rsidRPr="00F11F47" w:rsidRDefault="00B65DC7">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rsidR="00B65DC7" w:rsidRPr="00F11F47" w:rsidRDefault="002A482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hyperlink r:id="rId11">
        <w:r w:rsidR="00CA0720" w:rsidRPr="00F11F47">
          <w:rPr>
            <w:rFonts w:ascii="Palatino Linotype" w:eastAsia="Palatino Linotype" w:hAnsi="Palatino Linotype" w:cs="Palatino Linotype"/>
            <w:b/>
            <w:bCs/>
            <w:color w:val="000000"/>
            <w:u w:val="single"/>
          </w:rPr>
          <w:t>Oficios Recibidos.pdf</w:t>
        </w:r>
      </w:hyperlink>
      <w:r w:rsidR="00CA0720" w:rsidRPr="00F11F47">
        <w:rPr>
          <w:rFonts w:ascii="Palatino Linotype" w:eastAsia="Palatino Linotype" w:hAnsi="Palatino Linotype" w:cs="Palatino Linotype"/>
          <w:color w:val="000000"/>
        </w:rPr>
        <w:t xml:space="preserve">: archivo que consta de 18 oficios recibidos por la Unidad de Transparencia. </w:t>
      </w:r>
    </w:p>
    <w:p w:rsidR="00B65DC7" w:rsidRPr="00F11F47" w:rsidRDefault="002A482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hyperlink r:id="rId12">
        <w:r w:rsidR="00CA0720" w:rsidRPr="00F11F47">
          <w:rPr>
            <w:rFonts w:ascii="Palatino Linotype" w:eastAsia="Palatino Linotype" w:hAnsi="Palatino Linotype" w:cs="Palatino Linotype"/>
            <w:b/>
            <w:bCs/>
            <w:color w:val="000000"/>
            <w:u w:val="single"/>
          </w:rPr>
          <w:t>OCTAVA SESIÓN DEL COMITE DE TRANSPARENCIA.pdf</w:t>
        </w:r>
      </w:hyperlink>
      <w:r w:rsidR="00CA0720" w:rsidRPr="00F11F47">
        <w:rPr>
          <w:rFonts w:ascii="Palatino Linotype" w:eastAsia="Palatino Linotype" w:hAnsi="Palatino Linotype" w:cs="Palatino Linotype"/>
          <w:color w:val="000000"/>
        </w:rPr>
        <w:t xml:space="preserve">: Acta de la Octava Sesión Extraordinaria del Comité de Transparencia del Sistema Municipal DIF, </w:t>
      </w:r>
      <w:r w:rsidR="00CA0720" w:rsidRPr="00F11F47">
        <w:rPr>
          <w:rFonts w:ascii="Palatino Linotype" w:eastAsia="Palatino Linotype" w:hAnsi="Palatino Linotype" w:cs="Palatino Linotype"/>
          <w:color w:val="000000"/>
        </w:rPr>
        <w:lastRenderedPageBreak/>
        <w:t>mediante el cual se aprobó la clasificación parcial de la información remitida en respuesta.</w:t>
      </w:r>
    </w:p>
    <w:p w:rsidR="00B65DC7" w:rsidRPr="00F11F47" w:rsidRDefault="002A482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hyperlink r:id="rId13">
        <w:r w:rsidR="00CA0720" w:rsidRPr="00F11F47">
          <w:rPr>
            <w:rFonts w:ascii="Palatino Linotype" w:eastAsia="Palatino Linotype" w:hAnsi="Palatino Linotype" w:cs="Palatino Linotype"/>
            <w:b/>
            <w:bCs/>
            <w:color w:val="000000"/>
            <w:u w:val="single"/>
          </w:rPr>
          <w:t>Oficios Enviados.pdf</w:t>
        </w:r>
      </w:hyperlink>
      <w:r w:rsidR="00CA0720" w:rsidRPr="00F11F47">
        <w:rPr>
          <w:rFonts w:ascii="Palatino Linotype" w:eastAsia="Palatino Linotype" w:hAnsi="Palatino Linotype" w:cs="Palatino Linotype"/>
          <w:color w:val="000000"/>
        </w:rPr>
        <w:t xml:space="preserve">: archivo que consta de 44 oficios enviados por la Unidad de Transparencia.  </w:t>
      </w:r>
    </w:p>
    <w:p w:rsidR="00B65DC7" w:rsidRPr="00F11F47" w:rsidRDefault="00B65DC7">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rsidR="00B65DC7" w:rsidRPr="00F11F47" w:rsidRDefault="00CA0720">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color w:val="000000"/>
        </w:rPr>
        <w:t xml:space="preserve">El </w:t>
      </w:r>
      <w:r w:rsidRPr="00F11F47">
        <w:rPr>
          <w:rFonts w:ascii="Palatino Linotype" w:eastAsia="Palatino Linotype" w:hAnsi="Palatino Linotype" w:cs="Palatino Linotype"/>
          <w:b/>
          <w:bCs/>
          <w:color w:val="000000"/>
        </w:rPr>
        <w:t>diecinueve de noviembre de dos mil veinticinco</w:t>
      </w:r>
      <w:r w:rsidRPr="00F11F47">
        <w:rPr>
          <w:rFonts w:ascii="Palatino Linotype" w:eastAsia="Palatino Linotype" w:hAnsi="Palatino Linotype" w:cs="Palatino Linotype"/>
          <w:color w:val="000000"/>
        </w:rPr>
        <w:t xml:space="preserve">, se notificó el acuerdo mediante el cual se decretó la ampliación de plazo para emitir resolución. </w:t>
      </w:r>
    </w:p>
    <w:p w:rsidR="00B65DC7" w:rsidRPr="00F11F47" w:rsidRDefault="00B65DC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65DC7" w:rsidRPr="00F11F47" w:rsidRDefault="00B342C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Comisionada p</w:t>
      </w:r>
      <w:r w:rsidR="00CA0720" w:rsidRPr="00F11F47">
        <w:rPr>
          <w:rFonts w:ascii="Palatino Linotype" w:eastAsia="Palatino Linotype" w:hAnsi="Palatino Linotype" w:cs="Palatino Linotype"/>
          <w:color w:val="000000"/>
        </w:rPr>
        <w:t xml:space="preserve">onente decretó el cierre de instrucción mediante el acuerdo del </w:t>
      </w:r>
      <w:r w:rsidR="00CA0720" w:rsidRPr="00F11F47">
        <w:rPr>
          <w:rFonts w:ascii="Palatino Linotype" w:eastAsia="Palatino Linotype" w:hAnsi="Palatino Linotype" w:cs="Palatino Linotype"/>
          <w:b/>
          <w:bCs/>
          <w:color w:val="000000"/>
        </w:rPr>
        <w:t>veintinueve de enero de dos mil veintiséis.</w:t>
      </w:r>
    </w:p>
    <w:p w:rsidR="00B65DC7" w:rsidRPr="00F11F47" w:rsidRDefault="00B65DC7">
      <w:pPr>
        <w:spacing w:line="360" w:lineRule="auto"/>
        <w:rPr>
          <w:rFonts w:ascii="Palatino Linotype" w:eastAsia="Palatino Linotype" w:hAnsi="Palatino Linotype" w:cs="Palatino Linotype"/>
        </w:rPr>
      </w:pPr>
    </w:p>
    <w:p w:rsidR="00B65DC7" w:rsidRPr="00F11F47" w:rsidRDefault="00CA0720">
      <w:pPr>
        <w:spacing w:line="360" w:lineRule="auto"/>
        <w:jc w:val="center"/>
        <w:rPr>
          <w:rFonts w:ascii="Palatino Linotype" w:eastAsia="Palatino Linotype" w:hAnsi="Palatino Linotype" w:cs="Palatino Linotype"/>
        </w:rPr>
      </w:pPr>
      <w:bookmarkStart w:id="1" w:name="_heading=h.1fob9te" w:colFirst="0" w:colLast="0"/>
      <w:bookmarkEnd w:id="1"/>
      <w:r w:rsidRPr="00F11F47">
        <w:rPr>
          <w:rFonts w:ascii="Palatino Linotype" w:eastAsia="Palatino Linotype" w:hAnsi="Palatino Linotype" w:cs="Palatino Linotype"/>
          <w:b/>
          <w:bCs/>
        </w:rPr>
        <w:t>C O N S I D E R A N D O</w:t>
      </w:r>
    </w:p>
    <w:p w:rsidR="00B65DC7" w:rsidRPr="00F11F47" w:rsidRDefault="00B65DC7">
      <w:pPr>
        <w:spacing w:line="360" w:lineRule="auto"/>
        <w:jc w:val="center"/>
        <w:rPr>
          <w:rFonts w:ascii="Palatino Linotype" w:eastAsia="Palatino Linotype" w:hAnsi="Palatino Linotype" w:cs="Palatino Linotype"/>
        </w:rPr>
      </w:pPr>
    </w:p>
    <w:p w:rsidR="00B65DC7" w:rsidRPr="00F11F47" w:rsidRDefault="00CA0720">
      <w:pPr>
        <w:spacing w:line="360" w:lineRule="auto"/>
        <w:jc w:val="both"/>
        <w:rPr>
          <w:rFonts w:ascii="Palatino Linotype" w:eastAsia="Palatino Linotype" w:hAnsi="Palatino Linotype" w:cs="Palatino Linotype"/>
          <w:b/>
          <w:bCs/>
        </w:rPr>
      </w:pPr>
      <w:bookmarkStart w:id="2" w:name="_heading=h.3znysh7" w:colFirst="0" w:colLast="0"/>
      <w:bookmarkEnd w:id="2"/>
      <w:r w:rsidRPr="00F11F47">
        <w:rPr>
          <w:rFonts w:ascii="Palatino Linotype" w:eastAsia="Palatino Linotype" w:hAnsi="Palatino Linotype" w:cs="Palatino Linotype"/>
          <w:b/>
          <w:bCs/>
        </w:rPr>
        <w:t>PRIMERO. De la competencia</w:t>
      </w:r>
    </w:p>
    <w:p w:rsidR="00B65DC7" w:rsidRPr="00F11F47" w:rsidRDefault="00CA0720">
      <w:pPr>
        <w:numPr>
          <w:ilvl w:val="0"/>
          <w:numId w:val="2"/>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color w:val="000000"/>
        </w:rPr>
        <w:t>Este I</w:t>
      </w:r>
      <w:bookmarkStart w:id="3" w:name="_GoBack"/>
      <w:bookmarkEnd w:id="3"/>
      <w:r w:rsidRPr="00F11F47">
        <w:rPr>
          <w:rFonts w:ascii="Palatino Linotype" w:eastAsia="Palatino Linotype" w:hAnsi="Palatino Linotype" w:cs="Palatino Linotype"/>
          <w:color w:val="000000"/>
        </w:rPr>
        <w:t>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noveno, cuadragésimo y cuadragésimo primero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rsidR="00B65DC7" w:rsidRPr="00F11F47" w:rsidRDefault="00CA0720">
      <w:pPr>
        <w:keepNext/>
        <w:keepLines/>
        <w:spacing w:line="360" w:lineRule="auto"/>
        <w:rPr>
          <w:rFonts w:ascii="Palatino Linotype" w:eastAsia="Palatino Linotype" w:hAnsi="Palatino Linotype" w:cs="Palatino Linotype"/>
          <w:b/>
          <w:bCs/>
        </w:rPr>
      </w:pPr>
      <w:bookmarkStart w:id="4" w:name="_heading=h.2et92p0" w:colFirst="0" w:colLast="0"/>
      <w:bookmarkEnd w:id="4"/>
      <w:r w:rsidRPr="00F11F47">
        <w:rPr>
          <w:rFonts w:ascii="Palatino Linotype" w:eastAsia="Palatino Linotype" w:hAnsi="Palatino Linotype" w:cs="Palatino Linotype"/>
          <w:b/>
          <w:bCs/>
        </w:rPr>
        <w:lastRenderedPageBreak/>
        <w:t>SEGUNDO. De la oportunidad y procedencia.</w:t>
      </w:r>
    </w:p>
    <w:p w:rsidR="00B65DC7" w:rsidRPr="00F11F47" w:rsidRDefault="00CA0720">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color w:val="000000"/>
        </w:rPr>
        <w:t xml:space="preserve">El medio de impugnación fue presentado a través del </w:t>
      </w:r>
      <w:r w:rsidRPr="00F11F47">
        <w:rPr>
          <w:rFonts w:ascii="Palatino Linotype" w:eastAsia="Palatino Linotype" w:hAnsi="Palatino Linotype" w:cs="Palatino Linotype"/>
          <w:b/>
          <w:bCs/>
          <w:color w:val="000000"/>
        </w:rPr>
        <w:t>SAIMEX,</w:t>
      </w:r>
      <w:r w:rsidRPr="00F11F47">
        <w:rPr>
          <w:rFonts w:ascii="Palatino Linotype" w:eastAsia="Palatino Linotype" w:hAnsi="Palatino Linotype" w:cs="Palatino Linotype"/>
          <w:color w:val="000000"/>
        </w:rPr>
        <w:t xml:space="preserve"> en el formato previamente aprobado para tal efecto y dentro del plazo legal de quince días hábiles otorgados; siendo así que el </w:t>
      </w:r>
      <w:r w:rsidRPr="00F11F47">
        <w:rPr>
          <w:rFonts w:ascii="Palatino Linotype" w:eastAsia="Palatino Linotype" w:hAnsi="Palatino Linotype" w:cs="Palatino Linotype"/>
          <w:b/>
          <w:bCs/>
          <w:color w:val="000000"/>
        </w:rPr>
        <w:t>SUJETO OBLIGADO</w:t>
      </w:r>
      <w:r w:rsidRPr="00F11F47">
        <w:rPr>
          <w:rFonts w:ascii="Palatino Linotype" w:eastAsia="Palatino Linotype" w:hAnsi="Palatino Linotype" w:cs="Palatino Linotype"/>
          <w:color w:val="000000"/>
        </w:rPr>
        <w:t xml:space="preserve"> entregó respuesta a la solicitud el día </w:t>
      </w:r>
      <w:r w:rsidRPr="00F11F47">
        <w:rPr>
          <w:rFonts w:ascii="Palatino Linotype" w:eastAsia="Palatino Linotype" w:hAnsi="Palatino Linotype" w:cs="Palatino Linotype"/>
          <w:b/>
          <w:bCs/>
          <w:color w:val="000000"/>
        </w:rPr>
        <w:t>veintinueve de mayo de dos mil veinticinco</w:t>
      </w:r>
      <w:r w:rsidRPr="00F11F47">
        <w:rPr>
          <w:rFonts w:ascii="Palatino Linotype" w:eastAsia="Palatino Linotype" w:hAnsi="Palatino Linotype" w:cs="Palatino Linotype"/>
          <w:color w:val="000000"/>
        </w:rPr>
        <w:t>, de tal forma que el plazo para interponer el recurso de revisión transcurrió del</w:t>
      </w:r>
      <w:r w:rsidRPr="00F11F47">
        <w:rPr>
          <w:rFonts w:ascii="Palatino Linotype" w:eastAsia="Palatino Linotype" w:hAnsi="Palatino Linotype" w:cs="Palatino Linotype"/>
          <w:b/>
          <w:bCs/>
          <w:color w:val="000000"/>
        </w:rPr>
        <w:t xml:space="preserve"> treinta de mayo al diecinueve de junio de dos mil veinticinco </w:t>
      </w:r>
      <w:r w:rsidRPr="00F11F47">
        <w:rPr>
          <w:rFonts w:ascii="Palatino Linotype" w:eastAsia="Palatino Linotype" w:hAnsi="Palatino Linotype" w:cs="Palatino Linotype"/>
          <w:color w:val="000000"/>
        </w:rPr>
        <w:t xml:space="preserve">; en consecuencia, presentó su inconformidad el día </w:t>
      </w:r>
      <w:r w:rsidRPr="00F11F47">
        <w:rPr>
          <w:rFonts w:ascii="Palatino Linotype" w:eastAsia="Palatino Linotype" w:hAnsi="Palatino Linotype" w:cs="Palatino Linotype"/>
          <w:b/>
          <w:bCs/>
          <w:color w:val="000000"/>
        </w:rPr>
        <w:t>dieciocho de junio de dos mil veinticinco</w:t>
      </w:r>
      <w:r w:rsidRPr="00F11F47">
        <w:rPr>
          <w:rFonts w:ascii="Palatino Linotype" w:eastAsia="Palatino Linotype" w:hAnsi="Palatino Linotype" w:cs="Palatino Linotype"/>
          <w:color w:val="000000"/>
        </w:rPr>
        <w:t xml:space="preserve">, por lo que se encuentra dentro de los márgenes temporales previstos en el artículo 178 de la </w:t>
      </w:r>
      <w:r w:rsidRPr="00F11F47">
        <w:rPr>
          <w:rFonts w:ascii="Palatino Linotype" w:eastAsia="Palatino Linotype" w:hAnsi="Palatino Linotype" w:cs="Palatino Linotype"/>
          <w:b/>
          <w:bCs/>
          <w:color w:val="000000"/>
        </w:rPr>
        <w:t xml:space="preserve">Ley de Transparencia y Acceso a la Información Pública del Estado de México y Municipios </w:t>
      </w:r>
      <w:r w:rsidRPr="00F11F47">
        <w:rPr>
          <w:rFonts w:ascii="Palatino Linotype" w:eastAsia="Palatino Linotype" w:hAnsi="Palatino Linotype" w:cs="Palatino Linotype"/>
          <w:color w:val="000000"/>
        </w:rPr>
        <w:t>vigente.</w:t>
      </w:r>
    </w:p>
    <w:p w:rsidR="00B65DC7" w:rsidRPr="00F11F47" w:rsidRDefault="00B65DC7">
      <w:pPr>
        <w:rPr>
          <w:rFonts w:ascii="Palatino Linotype" w:eastAsia="Palatino Linotype" w:hAnsi="Palatino Linotype" w:cs="Palatino Linotype"/>
          <w:color w:val="000000"/>
        </w:rPr>
      </w:pPr>
    </w:p>
    <w:p w:rsidR="00B65DC7" w:rsidRPr="00F11F47" w:rsidRDefault="00CA0720">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color w:val="000000"/>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B65DC7" w:rsidRPr="00F11F47" w:rsidRDefault="00B65DC7">
      <w:pPr>
        <w:pBdr>
          <w:top w:val="nil"/>
          <w:left w:val="nil"/>
          <w:bottom w:val="nil"/>
          <w:right w:val="nil"/>
          <w:between w:val="nil"/>
        </w:pBdr>
        <w:ind w:left="720"/>
        <w:rPr>
          <w:rFonts w:ascii="Palatino Linotype" w:eastAsia="Palatino Linotype" w:hAnsi="Palatino Linotype" w:cs="Palatino Linotype"/>
          <w:color w:val="000000"/>
        </w:rPr>
      </w:pPr>
    </w:p>
    <w:p w:rsidR="00B65DC7" w:rsidRPr="00F11F47" w:rsidRDefault="00CA0720">
      <w:pPr>
        <w:pStyle w:val="Ttulo2"/>
        <w:tabs>
          <w:tab w:val="left" w:pos="0"/>
        </w:tabs>
        <w:spacing w:before="0" w:line="360" w:lineRule="auto"/>
        <w:rPr>
          <w:rFonts w:ascii="Palatino Linotype" w:eastAsia="Palatino Linotype" w:hAnsi="Palatino Linotype" w:cs="Palatino Linotype"/>
          <w:b/>
          <w:bCs/>
          <w:color w:val="000000"/>
          <w:sz w:val="24"/>
          <w:szCs w:val="24"/>
        </w:rPr>
      </w:pPr>
      <w:r w:rsidRPr="00F11F47">
        <w:rPr>
          <w:rFonts w:ascii="Palatino Linotype" w:eastAsia="Palatino Linotype" w:hAnsi="Palatino Linotype" w:cs="Palatino Linotype"/>
          <w:b/>
          <w:bCs/>
          <w:color w:val="000000"/>
          <w:sz w:val="24"/>
          <w:szCs w:val="24"/>
        </w:rPr>
        <w:t xml:space="preserve">TERCERO. De las causales de sobreseimiento </w:t>
      </w:r>
    </w:p>
    <w:p w:rsidR="00B65DC7" w:rsidRPr="00F11F47" w:rsidRDefault="00CA0720">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color w:val="000000"/>
        </w:rPr>
        <w:t xml:space="preserve">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w:t>
      </w:r>
      <w:r w:rsidRPr="00F11F47">
        <w:rPr>
          <w:rFonts w:ascii="Palatino Linotype" w:eastAsia="Palatino Linotype" w:hAnsi="Palatino Linotype" w:cs="Palatino Linotype"/>
          <w:b/>
          <w:bCs/>
          <w:color w:val="000000"/>
          <w:u w:val="single"/>
        </w:rPr>
        <w:t>sobreseimiento</w:t>
      </w:r>
      <w:r w:rsidRPr="00F11F47">
        <w:rPr>
          <w:rFonts w:ascii="Palatino Linotype" w:eastAsia="Palatino Linotype" w:hAnsi="Palatino Linotype" w:cs="Palatino Linotype"/>
          <w:color w:val="000000"/>
        </w:rPr>
        <w:t xml:space="preserve">; y en su caso ordenar la entrega de la información con respecto a la respuesta emitida por el </w:t>
      </w:r>
      <w:r w:rsidRPr="00F11F47">
        <w:rPr>
          <w:rFonts w:ascii="Palatino Linotype" w:eastAsia="Palatino Linotype" w:hAnsi="Palatino Linotype" w:cs="Palatino Linotype"/>
          <w:b/>
          <w:bCs/>
          <w:color w:val="000000"/>
        </w:rPr>
        <w:t>SUJETO</w:t>
      </w:r>
      <w:r w:rsidRPr="00F11F47">
        <w:rPr>
          <w:rFonts w:ascii="Palatino Linotype" w:eastAsia="Palatino Linotype" w:hAnsi="Palatino Linotype" w:cs="Palatino Linotype"/>
          <w:color w:val="000000"/>
        </w:rPr>
        <w:t xml:space="preserve"> </w:t>
      </w:r>
      <w:r w:rsidRPr="00F11F47">
        <w:rPr>
          <w:rFonts w:ascii="Palatino Linotype" w:eastAsia="Palatino Linotype" w:hAnsi="Palatino Linotype" w:cs="Palatino Linotype"/>
          <w:b/>
          <w:bCs/>
          <w:color w:val="000000"/>
        </w:rPr>
        <w:t>OBLIGADO</w:t>
      </w:r>
      <w:r w:rsidRPr="00F11F47">
        <w:rPr>
          <w:rFonts w:ascii="Palatino Linotype" w:eastAsia="Palatino Linotype" w:hAnsi="Palatino Linotype" w:cs="Palatino Linotype"/>
          <w:color w:val="000000"/>
        </w:rPr>
        <w:t>.</w:t>
      </w:r>
    </w:p>
    <w:p w:rsidR="00B65DC7" w:rsidRPr="00F11F47" w:rsidRDefault="00B65DC7">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B65DC7" w:rsidRPr="00F11F47" w:rsidRDefault="00CA0720">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color w:val="000000"/>
        </w:rPr>
        <w:lastRenderedPageBreak/>
        <w:t xml:space="preserve">De acuerdo al precepto legal contenido en la fracción III del artículo 192 de la </w:t>
      </w:r>
      <w:r w:rsidRPr="00F11F47">
        <w:rPr>
          <w:rFonts w:ascii="Palatino Linotype" w:eastAsia="Palatino Linotype" w:hAnsi="Palatino Linotype" w:cs="Palatino Linotype"/>
          <w:b/>
          <w:bCs/>
          <w:color w:val="000000"/>
        </w:rPr>
        <w:t>Ley de Transparencia y Acceso a la Información Pública del Estado de México y Municipios</w:t>
      </w:r>
      <w:r w:rsidRPr="00F11F47">
        <w:rPr>
          <w:rFonts w:ascii="Palatino Linotype" w:eastAsia="Palatino Linotype" w:hAnsi="Palatino Linotype" w:cs="Palatino Linotype"/>
          <w:color w:val="000000"/>
        </w:rPr>
        <w:t>, el recurso será sobreseído, en todo o en parte, cuando una vez admitido, 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rsidR="00B65DC7" w:rsidRPr="00F11F47" w:rsidRDefault="00B65DC7">
      <w:pPr>
        <w:pBdr>
          <w:top w:val="nil"/>
          <w:left w:val="nil"/>
          <w:bottom w:val="nil"/>
          <w:right w:val="nil"/>
          <w:between w:val="nil"/>
        </w:pBdr>
        <w:rPr>
          <w:rFonts w:ascii="Palatino Linotype" w:eastAsia="Palatino Linotype" w:hAnsi="Palatino Linotype" w:cs="Palatino Linotype"/>
          <w:color w:val="000000"/>
        </w:rPr>
      </w:pPr>
    </w:p>
    <w:p w:rsidR="00B65DC7" w:rsidRPr="00F11F47" w:rsidRDefault="00CA0720">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color w:val="000000"/>
        </w:rPr>
        <w:t xml:space="preserve">Para los efectos de esta resolución, es oportuno precisar los alcances jurídicos de la fracción III de la disposición legal transcrita. Así, procede el sobreseimiento del recurso de revisión cuando el </w:t>
      </w:r>
      <w:r w:rsidRPr="00F11F47">
        <w:rPr>
          <w:rFonts w:ascii="Palatino Linotype" w:eastAsia="Palatino Linotype" w:hAnsi="Palatino Linotype" w:cs="Palatino Linotype"/>
          <w:b/>
          <w:bCs/>
          <w:color w:val="000000"/>
        </w:rPr>
        <w:t>SUJETO OBLIGADO</w:t>
      </w:r>
      <w:r w:rsidRPr="00F11F47">
        <w:rPr>
          <w:rFonts w:ascii="Palatino Linotype" w:eastAsia="Palatino Linotype" w:hAnsi="Palatino Linotype" w:cs="Palatino Linotype"/>
          <w:color w:val="000000"/>
        </w:rPr>
        <w:t>:</w:t>
      </w:r>
    </w:p>
    <w:p w:rsidR="00B65DC7" w:rsidRPr="00F11F47" w:rsidRDefault="00CA0720">
      <w:pPr>
        <w:numPr>
          <w:ilvl w:val="0"/>
          <w:numId w:val="4"/>
        </w:numPr>
        <w:spacing w:line="360" w:lineRule="auto"/>
        <w:ind w:left="567" w:firstLine="0"/>
        <w:jc w:val="both"/>
        <w:rPr>
          <w:rFonts w:ascii="Palatino Linotype" w:eastAsia="Palatino Linotype" w:hAnsi="Palatino Linotype" w:cs="Palatino Linotype"/>
        </w:rPr>
      </w:pPr>
      <w:r w:rsidRPr="00F11F47">
        <w:rPr>
          <w:rFonts w:ascii="Palatino Linotype" w:eastAsia="Palatino Linotype" w:hAnsi="Palatino Linotype" w:cs="Palatino Linotype"/>
          <w:b/>
          <w:bCs/>
        </w:rPr>
        <w:t>Modifique el acto impugnado:</w:t>
      </w:r>
      <w:r w:rsidRPr="00F11F47">
        <w:rPr>
          <w:rFonts w:ascii="Palatino Linotype" w:eastAsia="Palatino Linotype" w:hAnsi="Palatino Linotype" w:cs="Palatino Linotype"/>
        </w:rPr>
        <w:t xml:space="preserve"> Se actualiza cuando el </w:t>
      </w:r>
      <w:r w:rsidRPr="00F11F47">
        <w:rPr>
          <w:rFonts w:ascii="Palatino Linotype" w:eastAsia="Palatino Linotype" w:hAnsi="Palatino Linotype" w:cs="Palatino Linotype"/>
          <w:b/>
          <w:bCs/>
        </w:rPr>
        <w:t>SUJETO OBLIGADO</w:t>
      </w:r>
      <w:r w:rsidRPr="00F11F47">
        <w:rPr>
          <w:rFonts w:ascii="Palatino Linotype" w:eastAsia="Palatino Linotype" w:hAnsi="Palatino Linotype" w:cs="Palatino Linotype"/>
        </w:rPr>
        <w:t xml:space="preserve"> después de haber otorgado una respuesta y hasta antes de dictada la resolución del recurso de revisión, emite una diversa en la que subsane las deficiencias que hubiera tenido.</w:t>
      </w:r>
    </w:p>
    <w:p w:rsidR="00B65DC7" w:rsidRPr="00F11F47" w:rsidRDefault="00CA0720">
      <w:pPr>
        <w:numPr>
          <w:ilvl w:val="0"/>
          <w:numId w:val="4"/>
        </w:numPr>
        <w:spacing w:line="360" w:lineRule="auto"/>
        <w:ind w:left="567" w:firstLine="0"/>
        <w:jc w:val="both"/>
        <w:rPr>
          <w:rFonts w:ascii="Palatino Linotype" w:eastAsia="Palatino Linotype" w:hAnsi="Palatino Linotype" w:cs="Palatino Linotype"/>
        </w:rPr>
      </w:pPr>
      <w:r w:rsidRPr="00F11F47">
        <w:rPr>
          <w:rFonts w:ascii="Palatino Linotype" w:eastAsia="Palatino Linotype" w:hAnsi="Palatino Linotype" w:cs="Palatino Linotype"/>
          <w:b/>
          <w:bCs/>
        </w:rPr>
        <w:t>Revoque el acto impugnado:</w:t>
      </w:r>
      <w:r w:rsidRPr="00F11F47">
        <w:rPr>
          <w:rFonts w:ascii="Palatino Linotype" w:eastAsia="Palatino Linotype" w:hAnsi="Palatino Linotype" w:cs="Palatino Linotype"/>
        </w:rPr>
        <w:t xml:space="preserve"> En este supuesto, el </w:t>
      </w:r>
      <w:r w:rsidRPr="00F11F47">
        <w:rPr>
          <w:rFonts w:ascii="Palatino Linotype" w:eastAsia="Palatino Linotype" w:hAnsi="Palatino Linotype" w:cs="Palatino Linotype"/>
          <w:b/>
          <w:bCs/>
        </w:rPr>
        <w:t>SUJETO OBLIGADO</w:t>
      </w:r>
      <w:r w:rsidRPr="00F11F47">
        <w:rPr>
          <w:rFonts w:ascii="Palatino Linotype" w:eastAsia="Palatino Linotype" w:hAnsi="Palatino Linotype" w:cs="Palatino Linotype"/>
        </w:rPr>
        <w:t xml:space="preserve"> deja sin efectos la primera respuesta y en su lugar emite otra que satisfaga lo solicitado por el Particular en un primer momento.</w:t>
      </w:r>
    </w:p>
    <w:p w:rsidR="00B65DC7" w:rsidRPr="00F11F47" w:rsidRDefault="00B65DC7">
      <w:pPr>
        <w:spacing w:line="360" w:lineRule="auto"/>
        <w:jc w:val="both"/>
        <w:rPr>
          <w:rFonts w:ascii="Palatino Linotype" w:eastAsia="Palatino Linotype" w:hAnsi="Palatino Linotype" w:cs="Palatino Linotype"/>
        </w:rPr>
      </w:pPr>
    </w:p>
    <w:p w:rsidR="00B65DC7" w:rsidRPr="00F11F47" w:rsidRDefault="00CA0720">
      <w:pPr>
        <w:numPr>
          <w:ilvl w:val="0"/>
          <w:numId w:val="2"/>
        </w:numPr>
        <w:pBdr>
          <w:top w:val="nil"/>
          <w:left w:val="nil"/>
          <w:bottom w:val="nil"/>
          <w:right w:val="nil"/>
          <w:between w:val="nil"/>
        </w:pBdr>
        <w:tabs>
          <w:tab w:val="left" w:pos="284"/>
          <w:tab w:val="left" w:pos="567"/>
        </w:tabs>
        <w:spacing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color w:val="000000"/>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rsidR="00B65DC7" w:rsidRPr="00F11F47" w:rsidRDefault="00B65DC7">
      <w:pPr>
        <w:pBdr>
          <w:top w:val="nil"/>
          <w:left w:val="nil"/>
          <w:bottom w:val="nil"/>
          <w:right w:val="nil"/>
          <w:between w:val="nil"/>
        </w:pBdr>
        <w:tabs>
          <w:tab w:val="left" w:pos="284"/>
          <w:tab w:val="left" w:pos="567"/>
        </w:tabs>
        <w:spacing w:line="360" w:lineRule="auto"/>
        <w:jc w:val="both"/>
        <w:rPr>
          <w:rFonts w:ascii="Palatino Linotype" w:eastAsia="Palatino Linotype" w:hAnsi="Palatino Linotype" w:cs="Palatino Linotype"/>
          <w:color w:val="000000"/>
        </w:rPr>
      </w:pPr>
    </w:p>
    <w:p w:rsidR="00B65DC7" w:rsidRPr="00F11F47" w:rsidRDefault="00CA0720">
      <w:pPr>
        <w:numPr>
          <w:ilvl w:val="0"/>
          <w:numId w:val="2"/>
        </w:numPr>
        <w:pBdr>
          <w:top w:val="nil"/>
          <w:left w:val="nil"/>
          <w:bottom w:val="nil"/>
          <w:right w:val="nil"/>
          <w:between w:val="nil"/>
        </w:pBdr>
        <w:tabs>
          <w:tab w:val="left" w:pos="284"/>
          <w:tab w:val="left" w:pos="567"/>
        </w:tabs>
        <w:spacing w:line="360" w:lineRule="auto"/>
        <w:ind w:left="0" w:firstLine="0"/>
        <w:jc w:val="both"/>
        <w:rPr>
          <w:rFonts w:ascii="Palatino Linotype" w:eastAsia="Palatino Linotype" w:hAnsi="Palatino Linotype" w:cs="Palatino Linotype"/>
          <w:b/>
          <w:bCs/>
          <w:color w:val="000000"/>
        </w:rPr>
      </w:pPr>
      <w:bookmarkStart w:id="5" w:name="_heading=h.om25f4ro8h88" w:colFirst="0" w:colLast="0"/>
      <w:bookmarkEnd w:id="5"/>
      <w:r w:rsidRPr="00F11F47">
        <w:rPr>
          <w:rFonts w:ascii="Palatino Linotype" w:eastAsia="Palatino Linotype" w:hAnsi="Palatino Linotype" w:cs="Palatino Linotype"/>
          <w:color w:val="000000"/>
        </w:rPr>
        <w:lastRenderedPageBreak/>
        <w:t>En el presente caso, el Recurrente solicitó los oficios enviados y recibidos por la Unidad de Transparencia, del periodo comprendido del dos de enero al veintisiete de mayo de dos mil veinticinco. En respuesta, el Sujeto Obligado señaló su incompetencia para conocer de la información solicitada, posteriormente, a través de informe justificado remitió la versión pública de los oficios entregados y recibidos por la Unidad de Transparencia correspondientes al año dos mil veinticinco, acompañados con el acuerdo que sustenta la versión pública, asimismo, señaló lo siguiente sobre el periodo que corresponde del 2 de enero de 2020 al 27 de mayo de 2025:</w:t>
      </w:r>
    </w:p>
    <w:p w:rsidR="00B65DC7" w:rsidRPr="00F11F47" w:rsidRDefault="00CA0720">
      <w:pPr>
        <w:numPr>
          <w:ilvl w:val="0"/>
          <w:numId w:val="6"/>
        </w:numPr>
        <w:pBdr>
          <w:top w:val="nil"/>
          <w:left w:val="nil"/>
          <w:bottom w:val="nil"/>
          <w:right w:val="nil"/>
          <w:between w:val="nil"/>
        </w:pBdr>
        <w:tabs>
          <w:tab w:val="left" w:pos="284"/>
          <w:tab w:val="left" w:pos="567"/>
        </w:tabs>
        <w:spacing w:line="360" w:lineRule="auto"/>
        <w:ind w:left="851" w:right="822" w:firstLine="0"/>
        <w:jc w:val="both"/>
        <w:rPr>
          <w:rFonts w:ascii="Palatino Linotype" w:eastAsia="Palatino Linotype" w:hAnsi="Palatino Linotype" w:cs="Palatino Linotype"/>
          <w:i/>
          <w:iCs/>
          <w:color w:val="000000"/>
        </w:rPr>
      </w:pPr>
      <w:r w:rsidRPr="00F11F47">
        <w:rPr>
          <w:rFonts w:ascii="Palatino Linotype" w:eastAsia="Palatino Linotype" w:hAnsi="Palatino Linotype" w:cs="Palatino Linotype"/>
          <w:i/>
          <w:iCs/>
          <w:color w:val="000000"/>
        </w:rPr>
        <w:t>“En relación a este punto me permito informar que este Sujeto Obligado es Parcialmente Incompetente, ya que a partir del 25 de Octubre de 2024 fuimos incorporados al Padrón de Sujetos Obligados en Materia de Transparencia y Acceso a la Información Pública del Estado de México y Municipios…</w:t>
      </w:r>
      <w:r w:rsidRPr="00F11F47">
        <w:rPr>
          <w:color w:val="000000"/>
        </w:rPr>
        <w:t xml:space="preserve"> </w:t>
      </w:r>
      <w:r w:rsidRPr="00F11F47">
        <w:rPr>
          <w:rFonts w:ascii="Palatino Linotype" w:eastAsia="Palatino Linotype" w:hAnsi="Palatino Linotype" w:cs="Palatino Linotype"/>
          <w:i/>
          <w:iCs/>
          <w:color w:val="000000"/>
        </w:rPr>
        <w:t>no omito la mencionar que administración 2022-2024 no conformo su Unidad de Transparencia, en este sentido los oficios que obran en nuestros archivos son a partir del 14 de febrero de 2025.”</w:t>
      </w:r>
    </w:p>
    <w:p w:rsidR="00B65DC7" w:rsidRPr="00F11F47" w:rsidRDefault="00B65DC7">
      <w:pPr>
        <w:pBdr>
          <w:top w:val="nil"/>
          <w:left w:val="nil"/>
          <w:bottom w:val="nil"/>
          <w:right w:val="nil"/>
          <w:between w:val="nil"/>
        </w:pBdr>
        <w:tabs>
          <w:tab w:val="left" w:pos="284"/>
          <w:tab w:val="left" w:pos="567"/>
        </w:tabs>
        <w:spacing w:line="360" w:lineRule="auto"/>
        <w:jc w:val="both"/>
        <w:rPr>
          <w:rFonts w:ascii="Palatino Linotype" w:eastAsia="Palatino Linotype" w:hAnsi="Palatino Linotype" w:cs="Palatino Linotype"/>
          <w:i/>
          <w:iCs/>
          <w:color w:val="000000"/>
        </w:rPr>
      </w:pPr>
    </w:p>
    <w:p w:rsidR="00B65DC7" w:rsidRPr="00F11F47" w:rsidRDefault="00CA0720">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color w:val="000000"/>
        </w:rPr>
        <w:t xml:space="preserve">En ese sentido, conviene traer a contexto el Acuerdo mediante el cual el Pleno del Instituto de Transparencia, Acceso a la Información Pública y Protección de Datos Personales del Estado de México y Municipios, Modifica el Padrón de Sujeto Obligados en Materia de Transparencia y Acceso a la Información Pública del Estado de México, publicado el diecisiete de octubre de dos mil veinticuatro, en el que se incorporó al Rubro de Organismos Descentralizados Municipales al Sistema Municipal para el Desarrollo Integran de la Familia de Juchitepec, es decir, que anteriormente a esa fecha el DIF no generó oficios como Sujeto Obligado. </w:t>
      </w:r>
    </w:p>
    <w:p w:rsidR="00B65DC7" w:rsidRPr="00F11F47" w:rsidRDefault="00B65DC7">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B65DC7" w:rsidRPr="00F11F47" w:rsidRDefault="00CA0720">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color w:val="000000"/>
        </w:rPr>
        <w:lastRenderedPageBreak/>
        <w:t xml:space="preserve">Por otro lado, el Sujeto Obligado señaló que durante la anterior administración no se </w:t>
      </w:r>
      <w:r w:rsidR="00F11F47" w:rsidRPr="00F11F47">
        <w:rPr>
          <w:rFonts w:ascii="Palatino Linotype" w:eastAsia="Palatino Linotype" w:hAnsi="Palatino Linotype" w:cs="Palatino Linotype"/>
          <w:color w:val="000000"/>
        </w:rPr>
        <w:t>creó</w:t>
      </w:r>
      <w:r w:rsidRPr="00F11F47">
        <w:rPr>
          <w:rFonts w:ascii="Palatino Linotype" w:eastAsia="Palatino Linotype" w:hAnsi="Palatino Linotype" w:cs="Palatino Linotype"/>
          <w:color w:val="000000"/>
        </w:rPr>
        <w:t xml:space="preserve"> la Unidad de Transparencia, por lo que solo se generaron oficios del área durante el año dos mil veinticinco, por lo tanto, no se generaron oficios durante el periodo de dos mil veinticuatro. Así, podemos advertir que a través de informe justificado, el Sujeto Obligado modificó su respuesta y señaló los nombres de los proveedores, en ese sentido, la </w:t>
      </w:r>
      <w:r w:rsidRPr="00F11F47">
        <w:rPr>
          <w:rFonts w:ascii="Palatino Linotype" w:eastAsia="Palatino Linotype" w:hAnsi="Palatino Linotype" w:cs="Palatino Linotype"/>
          <w:b/>
          <w:bCs/>
          <w:color w:val="000000"/>
        </w:rPr>
        <w:t>Ley de Transparencia y Acceso a la Información Pública del Estado de México y Municipios</w:t>
      </w:r>
      <w:r w:rsidRPr="00F11F47">
        <w:rPr>
          <w:rFonts w:ascii="Palatino Linotype" w:eastAsia="Palatino Linotype" w:hAnsi="Palatino Linotype" w:cs="Palatino Linotype"/>
          <w:color w:val="000000"/>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w:t>
      </w:r>
      <w:r w:rsidRPr="00F11F47">
        <w:rPr>
          <w:rFonts w:ascii="Palatino Linotype" w:eastAsia="Palatino Linotype" w:hAnsi="Palatino Linotype" w:cs="Palatino Linotype"/>
          <w:b/>
          <w:bCs/>
          <w:color w:val="000000"/>
        </w:rPr>
        <w:t>veracidad,</w:t>
      </w:r>
      <w:r w:rsidRPr="00F11F47">
        <w:rPr>
          <w:rFonts w:ascii="Palatino Linotype" w:eastAsia="Palatino Linotype" w:hAnsi="Palatino Linotype" w:cs="Palatino Linotype"/>
          <w:color w:val="000000"/>
        </w:rPr>
        <w:t xml:space="preserve"> oportunidad entre otros, numeral en comento que a la letra señala:</w:t>
      </w:r>
    </w:p>
    <w:p w:rsidR="00B65DC7" w:rsidRPr="00F11F47" w:rsidRDefault="00CA0720">
      <w:pPr>
        <w:pBdr>
          <w:top w:val="nil"/>
          <w:left w:val="nil"/>
          <w:bottom w:val="nil"/>
          <w:right w:val="nil"/>
          <w:between w:val="nil"/>
        </w:pBdr>
        <w:spacing w:line="360" w:lineRule="auto"/>
        <w:ind w:left="851" w:right="822"/>
        <w:jc w:val="both"/>
        <w:rPr>
          <w:rFonts w:ascii="Palatino Linotype" w:eastAsia="Palatino Linotype" w:hAnsi="Palatino Linotype" w:cs="Palatino Linotype"/>
          <w:i/>
          <w:iCs/>
          <w:color w:val="000000"/>
        </w:rPr>
      </w:pPr>
      <w:r w:rsidRPr="00F11F47">
        <w:rPr>
          <w:rFonts w:ascii="Palatino Linotype" w:eastAsia="Palatino Linotype" w:hAnsi="Palatino Linotype" w:cs="Palatino Linotype"/>
          <w:i/>
          <w:iCs/>
          <w:color w:val="000000"/>
        </w:rPr>
        <w:t xml:space="preserve">“Artículo 4.- </w:t>
      </w:r>
    </w:p>
    <w:p w:rsidR="00B65DC7" w:rsidRPr="00F11F47" w:rsidRDefault="00CA0720">
      <w:pPr>
        <w:pBdr>
          <w:top w:val="nil"/>
          <w:left w:val="nil"/>
          <w:bottom w:val="nil"/>
          <w:right w:val="nil"/>
          <w:between w:val="nil"/>
        </w:pBdr>
        <w:spacing w:line="360" w:lineRule="auto"/>
        <w:ind w:left="851" w:right="822"/>
        <w:jc w:val="both"/>
        <w:rPr>
          <w:rFonts w:ascii="Palatino Linotype" w:eastAsia="Palatino Linotype" w:hAnsi="Palatino Linotype" w:cs="Palatino Linotype"/>
          <w:i/>
          <w:iCs/>
          <w:color w:val="000000"/>
        </w:rPr>
      </w:pPr>
      <w:r w:rsidRPr="00F11F47">
        <w:rPr>
          <w:rFonts w:ascii="Palatino Linotype" w:eastAsia="Palatino Linotype" w:hAnsi="Palatino Linotype" w:cs="Palatino Linotype"/>
          <w:i/>
          <w:iCs/>
          <w:color w:val="000000"/>
        </w:rPr>
        <w:t>..</w:t>
      </w:r>
    </w:p>
    <w:p w:rsidR="00B65DC7" w:rsidRPr="00F11F47" w:rsidRDefault="00CA0720">
      <w:pPr>
        <w:pBdr>
          <w:top w:val="nil"/>
          <w:left w:val="nil"/>
          <w:bottom w:val="nil"/>
          <w:right w:val="nil"/>
          <w:between w:val="nil"/>
        </w:pBdr>
        <w:spacing w:line="360" w:lineRule="auto"/>
        <w:ind w:left="851" w:right="822"/>
        <w:jc w:val="both"/>
        <w:rPr>
          <w:rFonts w:ascii="Palatino Linotype" w:eastAsia="Palatino Linotype" w:hAnsi="Palatino Linotype" w:cs="Palatino Linotype"/>
          <w:i/>
          <w:iCs/>
          <w:color w:val="000000"/>
        </w:rPr>
      </w:pPr>
      <w:r w:rsidRPr="00F11F47">
        <w:rPr>
          <w:rFonts w:ascii="Palatino Linotype" w:eastAsia="Palatino Linotype" w:hAnsi="Palatino Linotype" w:cs="Palatino Linotype"/>
          <w:i/>
          <w:iCs/>
          <w:color w:val="000000"/>
        </w:rPr>
        <w:t>Los sujetos obligados deben poner en práctica, políticas y programas de acceso a la información que se apeguen a criterios de publicidad, veracidad, oportunidad, precisión y suficiencia en beneficio de los solicitantes.</w:t>
      </w:r>
    </w:p>
    <w:p w:rsidR="00B65DC7" w:rsidRPr="00F11F47" w:rsidRDefault="00CA0720">
      <w:pPr>
        <w:pBdr>
          <w:top w:val="nil"/>
          <w:left w:val="nil"/>
          <w:bottom w:val="nil"/>
          <w:right w:val="nil"/>
          <w:between w:val="nil"/>
        </w:pBdr>
        <w:spacing w:line="360" w:lineRule="auto"/>
        <w:ind w:left="851" w:right="822"/>
        <w:jc w:val="both"/>
        <w:rPr>
          <w:rFonts w:ascii="Palatino Linotype" w:eastAsia="Palatino Linotype" w:hAnsi="Palatino Linotype" w:cs="Palatino Linotype"/>
          <w:b/>
          <w:bCs/>
          <w:i/>
          <w:iCs/>
          <w:color w:val="000000"/>
        </w:rPr>
      </w:pPr>
      <w:r w:rsidRPr="00F11F47">
        <w:rPr>
          <w:rFonts w:ascii="Palatino Linotype" w:eastAsia="Palatino Linotype" w:hAnsi="Palatino Linotype" w:cs="Palatino Linotype"/>
          <w:i/>
          <w:iCs/>
          <w:color w:val="000000"/>
        </w:rPr>
        <w:t>…”</w:t>
      </w:r>
    </w:p>
    <w:p w:rsidR="00B65DC7" w:rsidRPr="00F11F47" w:rsidRDefault="00B65DC7">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rPr>
      </w:pPr>
    </w:p>
    <w:p w:rsidR="00B65DC7" w:rsidRPr="00F11F47" w:rsidRDefault="00CA0720" w:rsidP="00F11F4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color w:val="000000"/>
        </w:rPr>
        <w:t xml:space="preserve">Numerales que compelen al </w:t>
      </w:r>
      <w:r w:rsidRPr="00F11F47">
        <w:rPr>
          <w:rFonts w:ascii="Palatino Linotype" w:eastAsia="Palatino Linotype" w:hAnsi="Palatino Linotype" w:cs="Palatino Linotype"/>
          <w:b/>
          <w:bCs/>
          <w:color w:val="000000"/>
        </w:rPr>
        <w:t>SUJETO OBLIGADO</w:t>
      </w:r>
      <w:r w:rsidRPr="00F11F47">
        <w:rPr>
          <w:rFonts w:ascii="Palatino Linotype" w:eastAsia="Palatino Linotype" w:hAnsi="Palatino Linotype" w:cs="Palatino Linotype"/>
          <w:color w:val="000000"/>
        </w:rPr>
        <w:t xml:space="preserve"> a apegarse en todo momento a los criterios ya expuestos, </w:t>
      </w:r>
      <w:r w:rsidRPr="00F11F47">
        <w:rPr>
          <w:rFonts w:ascii="Palatino Linotype" w:eastAsia="Palatino Linotype" w:hAnsi="Palatino Linotype" w:cs="Palatino Linotype"/>
        </w:rPr>
        <w:t>impidiendo</w:t>
      </w:r>
      <w:r w:rsidRPr="00F11F47">
        <w:rPr>
          <w:rFonts w:ascii="Palatino Linotype" w:eastAsia="Palatino Linotype" w:hAnsi="Palatino Linotype" w:cs="Palatino Linotype"/>
          <w:color w:val="000000"/>
        </w:rPr>
        <w:t xml:space="preserve"> a este Órgano Colegiado cuestionar la </w:t>
      </w:r>
      <w:r w:rsidRPr="00F11F47">
        <w:rPr>
          <w:rFonts w:ascii="Palatino Linotype" w:eastAsia="Palatino Linotype" w:hAnsi="Palatino Linotype" w:cs="Palatino Linotype"/>
          <w:b/>
          <w:bCs/>
          <w:color w:val="000000"/>
        </w:rPr>
        <w:t xml:space="preserve">veracidad </w:t>
      </w:r>
      <w:r w:rsidRPr="00F11F47">
        <w:rPr>
          <w:rFonts w:ascii="Palatino Linotype" w:eastAsia="Palatino Linotype" w:hAnsi="Palatino Linotype" w:cs="Palatino Linotype"/>
          <w:color w:val="000000"/>
        </w:rPr>
        <w:t>de la información.</w:t>
      </w:r>
    </w:p>
    <w:p w:rsidR="00B65DC7" w:rsidRPr="00F11F47" w:rsidRDefault="00B65DC7">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B65DC7" w:rsidRPr="00F11F47" w:rsidRDefault="00CA0720">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color w:val="000000"/>
        </w:rPr>
        <w:t xml:space="preserve"> Así, este Pleno advierte que el </w:t>
      </w:r>
      <w:r w:rsidRPr="00F11F47">
        <w:rPr>
          <w:rFonts w:ascii="Palatino Linotype" w:eastAsia="Palatino Linotype" w:hAnsi="Palatino Linotype" w:cs="Palatino Linotype"/>
          <w:b/>
          <w:bCs/>
          <w:color w:val="000000"/>
        </w:rPr>
        <w:t>SUJETO OBLIGADO</w:t>
      </w:r>
      <w:r w:rsidRPr="00F11F47">
        <w:rPr>
          <w:rFonts w:ascii="Palatino Linotype" w:eastAsia="Palatino Linotype" w:hAnsi="Palatino Linotype" w:cs="Palatino Linotype"/>
          <w:color w:val="000000"/>
        </w:rPr>
        <w:t xml:space="preserve"> </w:t>
      </w:r>
      <w:r w:rsidRPr="00F11F47">
        <w:rPr>
          <w:rFonts w:ascii="Palatino Linotype" w:eastAsia="Palatino Linotype" w:hAnsi="Palatino Linotype" w:cs="Palatino Linotype"/>
          <w:b/>
          <w:bCs/>
          <w:color w:val="000000"/>
        </w:rPr>
        <w:t xml:space="preserve">modificó </w:t>
      </w:r>
      <w:r w:rsidRPr="00F11F47">
        <w:rPr>
          <w:rFonts w:ascii="Palatino Linotype" w:eastAsia="Palatino Linotype" w:hAnsi="Palatino Linotype" w:cs="Palatino Linotype"/>
          <w:color w:val="000000"/>
        </w:rPr>
        <w:t xml:space="preserve">el acto que le dio origen a los recursos de revisión, lo que trae como consecuencia que el mismo quede sin materia, </w:t>
      </w:r>
      <w:r w:rsidRPr="00F11F47">
        <w:rPr>
          <w:rFonts w:ascii="Palatino Linotype" w:eastAsia="Palatino Linotype" w:hAnsi="Palatino Linotype" w:cs="Palatino Linotype"/>
          <w:color w:val="000000"/>
        </w:rPr>
        <w:lastRenderedPageBreak/>
        <w:t>actualizándose de este modo, la hipótesis jurídica contenida en la fracción III del artículo 192 de la Ley de Transparencia Local.</w:t>
      </w:r>
    </w:p>
    <w:p w:rsidR="00B65DC7" w:rsidRPr="00F11F47" w:rsidRDefault="00B65DC7">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B65DC7" w:rsidRPr="00F11F47" w:rsidRDefault="00CA0720">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color w:val="000000"/>
        </w:rPr>
        <w:t xml:space="preserve">Ahora bien,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F11F47">
        <w:rPr>
          <w:rFonts w:ascii="Palatino Linotype" w:eastAsia="Palatino Linotype" w:hAnsi="Palatino Linotype" w:cs="Palatino Linotype"/>
          <w:b/>
          <w:bCs/>
          <w:color w:val="000000"/>
        </w:rPr>
        <w:t>SUJETOS OBLIGADOS</w:t>
      </w:r>
      <w:r w:rsidRPr="00F11F47">
        <w:rPr>
          <w:rFonts w:ascii="Palatino Linotype" w:eastAsia="Palatino Linotype" w:hAnsi="Palatino Linotype" w:cs="Palatino Linotype"/>
          <w:color w:val="000000"/>
        </w:rPr>
        <w:t xml:space="preserve"> o la negativa de entrega de esta, derivada de la solicitud de información pública.</w:t>
      </w:r>
    </w:p>
    <w:p w:rsidR="00B65DC7" w:rsidRPr="00F11F47" w:rsidRDefault="00B65DC7">
      <w:pPr>
        <w:rPr>
          <w:rFonts w:ascii="Palatino Linotype" w:eastAsia="Palatino Linotype" w:hAnsi="Palatino Linotype" w:cs="Palatino Linotype"/>
          <w:color w:val="000000"/>
        </w:rPr>
      </w:pPr>
    </w:p>
    <w:p w:rsidR="00B65DC7" w:rsidRPr="00F11F47" w:rsidRDefault="00CA0720">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color w:val="000000"/>
        </w:rPr>
        <w:t xml:space="preserve">De este modo, cuando el </w:t>
      </w:r>
      <w:r w:rsidRPr="00F11F47">
        <w:rPr>
          <w:rFonts w:ascii="Palatino Linotype" w:eastAsia="Palatino Linotype" w:hAnsi="Palatino Linotype" w:cs="Palatino Linotype"/>
          <w:b/>
          <w:bCs/>
          <w:color w:val="000000"/>
        </w:rPr>
        <w:t xml:space="preserve">SUJETO OBLIGADO, </w:t>
      </w:r>
      <w:r w:rsidRPr="00F11F47">
        <w:rPr>
          <w:rFonts w:ascii="Palatino Linotype" w:eastAsia="Palatino Linotype" w:hAnsi="Palatino Linotype" w:cs="Palatino Linotype"/>
          <w:color w:val="000000"/>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F11F47">
        <w:rPr>
          <w:rFonts w:ascii="Palatino Linotype" w:eastAsia="Palatino Linotype" w:hAnsi="Palatino Linotype" w:cs="Palatino Linotype"/>
          <w:i/>
          <w:iCs/>
          <w:color w:val="000000"/>
        </w:rPr>
        <w:t>litis</w:t>
      </w:r>
      <w:r w:rsidRPr="00F11F47">
        <w:rPr>
          <w:rFonts w:ascii="Palatino Linotype" w:eastAsia="Palatino Linotype" w:hAnsi="Palatino Linotype" w:cs="Palatino Linotype"/>
          <w:color w:val="000000"/>
        </w:rPr>
        <w:t xml:space="preserve"> planteada, debido a que la afectación en su esfera de derechos fue restituida por la propia autoridad que emitió el acto motivo de impugnación.</w:t>
      </w:r>
    </w:p>
    <w:p w:rsidR="00B65DC7" w:rsidRPr="00F11F47" w:rsidRDefault="00B65DC7">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B65DC7" w:rsidRPr="00F11F47" w:rsidRDefault="00CA0720">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color w:val="000000"/>
        </w:rPr>
        <w:t>Sirve de sustento a lo anterior la siguiente jurisprudencia por contradicción, cuyo rubro, texto y datos de identificación son los siguientes:</w:t>
      </w:r>
    </w:p>
    <w:p w:rsidR="00B65DC7" w:rsidRPr="00F11F47" w:rsidRDefault="00CA0720">
      <w:pPr>
        <w:pBdr>
          <w:top w:val="nil"/>
          <w:left w:val="nil"/>
          <w:bottom w:val="nil"/>
          <w:right w:val="nil"/>
          <w:between w:val="nil"/>
        </w:pBdr>
        <w:tabs>
          <w:tab w:val="left" w:pos="709"/>
          <w:tab w:val="left" w:pos="851"/>
        </w:tabs>
        <w:spacing w:line="360" w:lineRule="auto"/>
        <w:ind w:left="851" w:right="822"/>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b/>
          <w:bCs/>
          <w:i/>
          <w:iCs/>
          <w:color w:val="000000"/>
        </w:rPr>
        <w:t xml:space="preserve">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w:t>
      </w:r>
      <w:r w:rsidRPr="00F11F47">
        <w:rPr>
          <w:rFonts w:ascii="Palatino Linotype" w:eastAsia="Palatino Linotype" w:hAnsi="Palatino Linotype" w:cs="Palatino Linotype"/>
          <w:b/>
          <w:bCs/>
          <w:i/>
          <w:iCs/>
          <w:color w:val="000000"/>
        </w:rPr>
        <w:lastRenderedPageBreak/>
        <w:t>MEDIO ORDINARIO DE DEFENSA QUE PROCEDA.</w:t>
      </w:r>
      <w:r w:rsidRPr="00F11F47">
        <w:rPr>
          <w:rFonts w:ascii="Palatino Linotype" w:eastAsia="Palatino Linotype" w:hAnsi="Palatino Linotype" w:cs="Palatino Linotype"/>
          <w:i/>
          <w:iCs/>
          <w:color w:val="000000"/>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B65DC7" w:rsidRPr="00F11F47" w:rsidRDefault="00B65DC7">
      <w:pPr>
        <w:rPr>
          <w:rFonts w:ascii="Palatino Linotype" w:eastAsia="Palatino Linotype" w:hAnsi="Palatino Linotype" w:cs="Palatino Linotype"/>
          <w:color w:val="000000"/>
        </w:rPr>
      </w:pPr>
    </w:p>
    <w:p w:rsidR="00B65DC7" w:rsidRPr="00F11F47" w:rsidRDefault="00CA0720">
      <w:pPr>
        <w:numPr>
          <w:ilvl w:val="0"/>
          <w:numId w:val="2"/>
        </w:numPr>
        <w:pBdr>
          <w:top w:val="nil"/>
          <w:left w:val="nil"/>
          <w:bottom w:val="nil"/>
          <w:right w:val="nil"/>
          <w:between w:val="nil"/>
        </w:pBdr>
        <w:tabs>
          <w:tab w:val="left" w:pos="284"/>
          <w:tab w:val="left" w:pos="567"/>
        </w:tabs>
        <w:spacing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color w:val="000000"/>
        </w:rPr>
        <w:t xml:space="preserve">La anterior jurisprudencia resulta aplicable al presente asunto, en dos aspectos: </w:t>
      </w:r>
    </w:p>
    <w:p w:rsidR="00B65DC7" w:rsidRPr="00F11F47" w:rsidRDefault="00CA0720">
      <w:pPr>
        <w:numPr>
          <w:ilvl w:val="0"/>
          <w:numId w:val="5"/>
        </w:numPr>
        <w:spacing w:line="360" w:lineRule="auto"/>
        <w:ind w:left="567" w:firstLine="0"/>
        <w:jc w:val="both"/>
        <w:rPr>
          <w:rFonts w:ascii="Palatino Linotype" w:eastAsia="Palatino Linotype" w:hAnsi="Palatino Linotype" w:cs="Palatino Linotype"/>
        </w:rPr>
      </w:pPr>
      <w:r w:rsidRPr="00F11F47">
        <w:rPr>
          <w:rFonts w:ascii="Palatino Linotype" w:eastAsia="Palatino Linotype" w:hAnsi="Palatino Linotype" w:cs="Palatino Linotype"/>
          <w:b/>
          <w:bCs/>
        </w:rPr>
        <w:t>La cesación de los efectos perniciosos del acto de autoridad:</w:t>
      </w:r>
      <w:r w:rsidRPr="00F11F47">
        <w:rPr>
          <w:rFonts w:ascii="Palatino Linotype" w:eastAsia="Palatino Linotype" w:hAnsi="Palatino Linotype" w:cs="Palatino Linotype"/>
        </w:rPr>
        <w:t xml:space="preserve"> Al respecto, la Ley de Transparencia contempla la figura jurídica del sobreseimiento cuando el </w:t>
      </w:r>
      <w:r w:rsidRPr="00F11F47">
        <w:rPr>
          <w:rFonts w:ascii="Palatino Linotype" w:eastAsia="Palatino Linotype" w:hAnsi="Palatino Linotype" w:cs="Palatino Linotype"/>
          <w:b/>
          <w:bCs/>
        </w:rPr>
        <w:t>SUJETO OBLIGADO</w:t>
      </w:r>
      <w:r w:rsidRPr="00F11F47">
        <w:rPr>
          <w:rFonts w:ascii="Palatino Linotype" w:eastAsia="Palatino Linotype" w:hAnsi="Palatino Linotype" w:cs="Palatino Linotype"/>
        </w:rPr>
        <w:t xml:space="preserve"> de </w:t>
      </w:r>
      <w:r w:rsidRPr="00F11F47">
        <w:rPr>
          <w:rFonts w:ascii="Palatino Linotype" w:eastAsia="Palatino Linotype" w:hAnsi="Palatino Linotype" w:cs="Palatino Linotype"/>
          <w:i/>
          <w:iCs/>
        </w:rPr>
        <w:t>motu proprio</w:t>
      </w:r>
      <w:r w:rsidRPr="00F11F47">
        <w:rPr>
          <w:rFonts w:ascii="Palatino Linotype" w:eastAsia="Palatino Linotype" w:hAnsi="Palatino Linotype" w:cs="Palatino Linotype"/>
        </w:rPr>
        <w:t xml:space="preserve"> modifica o revoca de tal manera el acto motivo de la impugnación que lo deja sin materia; es decir, cesan los efectos de éste y el derecho de acceso a la información pública se encuentra satisfecho.</w:t>
      </w:r>
    </w:p>
    <w:p w:rsidR="00B65DC7" w:rsidRPr="00F11F47" w:rsidRDefault="00CA0720">
      <w:pPr>
        <w:numPr>
          <w:ilvl w:val="0"/>
          <w:numId w:val="5"/>
        </w:numPr>
        <w:spacing w:line="360" w:lineRule="auto"/>
        <w:ind w:left="567" w:firstLine="0"/>
        <w:jc w:val="both"/>
        <w:rPr>
          <w:rFonts w:ascii="Palatino Linotype" w:eastAsia="Palatino Linotype" w:hAnsi="Palatino Linotype" w:cs="Palatino Linotype"/>
        </w:rPr>
      </w:pPr>
      <w:r w:rsidRPr="00F11F47">
        <w:rPr>
          <w:rFonts w:ascii="Palatino Linotype" w:eastAsia="Palatino Linotype" w:hAnsi="Palatino Linotype" w:cs="Palatino Linotype"/>
          <w:b/>
          <w:bCs/>
        </w:rPr>
        <w:t>El momento procesal para modificar el acto impugnado:</w:t>
      </w:r>
      <w:r w:rsidRPr="00F11F47">
        <w:rPr>
          <w:rFonts w:ascii="Palatino Linotype" w:eastAsia="Palatino Linotype" w:hAnsi="Palatino Linotype" w:cs="Palatino Linotype"/>
        </w:rPr>
        <w:t xml:space="preserve"> Para que se actualice el sobreseimiento de un recurso de revisión, el </w:t>
      </w:r>
      <w:r w:rsidRPr="00F11F47">
        <w:rPr>
          <w:rFonts w:ascii="Palatino Linotype" w:eastAsia="Palatino Linotype" w:hAnsi="Palatino Linotype" w:cs="Palatino Linotype"/>
          <w:b/>
          <w:bCs/>
        </w:rPr>
        <w:t>SUJETO OBLIGADO</w:t>
      </w:r>
      <w:r w:rsidRPr="00F11F47">
        <w:rPr>
          <w:rFonts w:ascii="Palatino Linotype" w:eastAsia="Palatino Linotype" w:hAnsi="Palatino Linotype" w:cs="Palatino Linotype"/>
        </w:rPr>
        <w:t xml:space="preserve"> puede entregar o completar la información al momento de rendir su informe de justificación o </w:t>
      </w:r>
      <w:r w:rsidRPr="00F11F47">
        <w:rPr>
          <w:rFonts w:ascii="Palatino Linotype" w:eastAsia="Palatino Linotype" w:hAnsi="Palatino Linotype" w:cs="Palatino Linotype"/>
          <w:b/>
          <w:bCs/>
          <w:u w:val="single"/>
        </w:rPr>
        <w:lastRenderedPageBreak/>
        <w:t>posteriormente</w:t>
      </w:r>
      <w:r w:rsidRPr="00F11F47">
        <w:rPr>
          <w:rFonts w:ascii="Palatino Linotype" w:eastAsia="Palatino Linotype" w:hAnsi="Palatino Linotype" w:cs="Palatino Linotype"/>
        </w:rPr>
        <w:t xml:space="preserve"> a éste, siempre y cuando el Pleno del Instituto no haya dictado resolución definitiva.</w:t>
      </w:r>
    </w:p>
    <w:p w:rsidR="00B65DC7" w:rsidRPr="00F11F47" w:rsidRDefault="00B65DC7">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B65DC7" w:rsidRPr="00F11F47" w:rsidRDefault="00CA0720">
      <w:pPr>
        <w:numPr>
          <w:ilvl w:val="0"/>
          <w:numId w:val="2"/>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color w:val="000000"/>
        </w:rPr>
        <w:t xml:space="preserve">Eduardo Pallares, en su artículo </w:t>
      </w:r>
      <w:r w:rsidRPr="00F11F47">
        <w:rPr>
          <w:rFonts w:ascii="Palatino Linotype" w:eastAsia="Palatino Linotype" w:hAnsi="Palatino Linotype" w:cs="Palatino Linotype"/>
          <w:i/>
          <w:iCs/>
          <w:color w:val="000000"/>
        </w:rPr>
        <w:t>“La caducidad y el sobreseimiento en el amparo”</w:t>
      </w:r>
      <w:r w:rsidRPr="00F11F47">
        <w:rPr>
          <w:rFonts w:ascii="Palatino Linotype" w:eastAsia="Palatino Linotype" w:hAnsi="Palatino Linotype" w:cs="Palatino Linotype"/>
          <w:color w:val="000000"/>
        </w:rPr>
        <w:t xml:space="preserve">, cita la definición de Aguilera Paz, aduciendo que se </w:t>
      </w:r>
      <w:r w:rsidRPr="00F11F47">
        <w:rPr>
          <w:rFonts w:ascii="Palatino Linotype" w:eastAsia="Palatino Linotype" w:hAnsi="Palatino Linotype" w:cs="Palatino Linotype"/>
          <w:i/>
          <w:iCs/>
          <w:color w:val="000000"/>
        </w:rPr>
        <w:t>“...entiende por sobreseimiento en el tecnicismo forense, el hecho de cesar en el procedimiento o curso de la causa, por no existir méritos bastantes para entrar en un juicio o para entablar la contienda judicial que debe ser objeto del mismo...”</w:t>
      </w:r>
      <w:r w:rsidRPr="00F11F47">
        <w:rPr>
          <w:rFonts w:ascii="Palatino Linotype" w:eastAsia="Palatino Linotype" w:hAnsi="Palatino Linotype" w:cs="Palatino Linotype"/>
          <w:color w:val="000000"/>
        </w:rPr>
        <w:t>. Asimismo, señala que existe el sobreseimiento provisional y el definitivo</w:t>
      </w:r>
      <w:r w:rsidRPr="00F11F47">
        <w:rPr>
          <w:rFonts w:ascii="Palatino Linotype" w:eastAsia="Palatino Linotype" w:hAnsi="Palatino Linotype" w:cs="Palatino Linotype"/>
          <w:i/>
          <w:iCs/>
          <w:color w:val="000000"/>
        </w:rPr>
        <w:t>: “...el definitivo es una verdadera sentencia que pone fin al juicio, y que una vez dictada, produce cosa juzgada, mientras que el provisorio tiene por efectos suspender la prosecución de la causa...”</w:t>
      </w:r>
    </w:p>
    <w:p w:rsidR="00B65DC7" w:rsidRPr="00F11F47" w:rsidRDefault="00B65DC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p>
    <w:p w:rsidR="00B65DC7" w:rsidRPr="00F11F47" w:rsidRDefault="00CA0720">
      <w:pPr>
        <w:numPr>
          <w:ilvl w:val="0"/>
          <w:numId w:val="2"/>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color w:val="000000"/>
        </w:rPr>
        <w:t xml:space="preserve">Así, para la doctrina el sobreseimiento provoca que un procedimiento se suspenda o se resuelva en definitiva </w:t>
      </w:r>
      <w:r w:rsidRPr="00F11F47">
        <w:rPr>
          <w:rFonts w:ascii="Palatino Linotype" w:eastAsia="Palatino Linotype" w:hAnsi="Palatino Linotype" w:cs="Palatino Linotype"/>
          <w:b/>
          <w:bCs/>
          <w:color w:val="000000"/>
          <w:u w:val="single"/>
        </w:rPr>
        <w:t xml:space="preserve">sin que se entre al estudio de los agravios o motivos de inconformidad. </w:t>
      </w:r>
      <w:r w:rsidRPr="00F11F47">
        <w:rPr>
          <w:rFonts w:ascii="Palatino Linotype" w:eastAsia="Palatino Linotype" w:hAnsi="Palatino Linotype" w:cs="Palatino Linotype"/>
          <w:color w:val="000000"/>
        </w:rPr>
        <w:t>Este mismo criterio es compartido por el más alto tribunal del país en múltiples jurisprudencias, por lo que a continuación se agrega una de ellas que sirve como orientador en esta resolución:</w:t>
      </w:r>
    </w:p>
    <w:p w:rsidR="00B65DC7" w:rsidRPr="00F11F47" w:rsidRDefault="00CA0720">
      <w:pPr>
        <w:spacing w:line="360" w:lineRule="auto"/>
        <w:ind w:left="851" w:right="822"/>
        <w:jc w:val="both"/>
        <w:rPr>
          <w:rFonts w:ascii="Palatino Linotype" w:eastAsia="Palatino Linotype" w:hAnsi="Palatino Linotype" w:cs="Palatino Linotype"/>
          <w:i/>
          <w:iCs/>
        </w:rPr>
      </w:pPr>
      <w:r w:rsidRPr="00F11F47">
        <w:rPr>
          <w:rFonts w:ascii="Palatino Linotype" w:eastAsia="Palatino Linotype" w:hAnsi="Palatino Linotype" w:cs="Palatino Linotype"/>
          <w:b/>
          <w:bCs/>
          <w:i/>
          <w:iCs/>
        </w:rPr>
        <w:t>SOBRESEIMIENTO EN EL JUICIO DE AMPARO DIRECTO. IMPIDE EL ESTUDIO DE LAS VIOLACIONES PROCESALES PLANTEADAS EN LOS CONCEPTOS DE VIOLACIÓN. El sobreseimiento</w:t>
      </w:r>
      <w:r w:rsidRPr="00F11F47">
        <w:rPr>
          <w:rFonts w:ascii="Palatino Linotype" w:eastAsia="Palatino Linotype" w:hAnsi="Palatino Linotype" w:cs="Palatino Linotype"/>
          <w:i/>
          <w:iCs/>
        </w:rPr>
        <w:t xml:space="preserve"> en el juicio de amparo directo </w:t>
      </w:r>
      <w:r w:rsidRPr="00F11F47">
        <w:rPr>
          <w:rFonts w:ascii="Palatino Linotype" w:eastAsia="Palatino Linotype" w:hAnsi="Palatino Linotype" w:cs="Palatino Linotype"/>
          <w:b/>
          <w:bCs/>
          <w:i/>
          <w:iCs/>
        </w:rPr>
        <w:t>provoca la terminación de la controversia planteada</w:t>
      </w:r>
      <w:r w:rsidRPr="00F11F47">
        <w:rPr>
          <w:rFonts w:ascii="Palatino Linotype" w:eastAsia="Palatino Linotype" w:hAnsi="Palatino Linotype" w:cs="Palatino Linotype"/>
          <w:i/>
          <w:iCs/>
        </w:rPr>
        <w:t xml:space="preserve"> por el quejoso en la demanda de amparo</w:t>
      </w:r>
      <w:r w:rsidRPr="00F11F47">
        <w:rPr>
          <w:rFonts w:ascii="Palatino Linotype" w:eastAsia="Palatino Linotype" w:hAnsi="Palatino Linotype" w:cs="Palatino Linotype"/>
          <w:b/>
          <w:bCs/>
          <w:i/>
          <w:iCs/>
        </w:rPr>
        <w:t>, sin hacer un pronunciamiento de fondo sobre la legalidad o ilegalidad de la sentencia reclamada</w:t>
      </w:r>
      <w:r w:rsidRPr="00F11F47">
        <w:rPr>
          <w:rFonts w:ascii="Palatino Linotype" w:eastAsia="Palatino Linotype" w:hAnsi="Palatino Linotype" w:cs="Palatino Linotype"/>
          <w:i/>
          <w:iCs/>
        </w:rPr>
        <w:t xml:space="preserve">. </w:t>
      </w:r>
      <w:r w:rsidRPr="00F11F47">
        <w:rPr>
          <w:rFonts w:ascii="Palatino Linotype" w:eastAsia="Palatino Linotype" w:hAnsi="Palatino Linotype" w:cs="Palatino Linotype"/>
          <w:b/>
          <w:bCs/>
          <w:i/>
          <w:iCs/>
        </w:rPr>
        <w:t xml:space="preserve">Por consiguiente, si al sobreseerse en el juicio de amparo no se pueden estudiar los planteamientos que se hacen valer en contra del fallo reclamado, tampoco se deben analizar las violaciones </w:t>
      </w:r>
      <w:r w:rsidRPr="00F11F47">
        <w:rPr>
          <w:rFonts w:ascii="Palatino Linotype" w:eastAsia="Palatino Linotype" w:hAnsi="Palatino Linotype" w:cs="Palatino Linotype"/>
          <w:b/>
          <w:bCs/>
          <w:i/>
          <w:iCs/>
        </w:rPr>
        <w:lastRenderedPageBreak/>
        <w:t>procesales propuestas en los conceptos de violación, dado que, la principal consecuencia del sobreseimiento es poner fin al juicio de amparo sin resolver la controversia en sus méritos</w:t>
      </w:r>
      <w:r w:rsidRPr="00F11F47">
        <w:rPr>
          <w:rFonts w:ascii="Palatino Linotype" w:eastAsia="Palatino Linotype" w:hAnsi="Palatino Linotype" w:cs="Palatino Linotype"/>
          <w:i/>
          <w:iCs/>
        </w:rPr>
        <w:t>.</w:t>
      </w:r>
    </w:p>
    <w:p w:rsidR="00B65DC7" w:rsidRPr="00F11F47" w:rsidRDefault="00CA0720">
      <w:pPr>
        <w:spacing w:line="360" w:lineRule="auto"/>
        <w:ind w:left="851" w:right="822"/>
        <w:jc w:val="both"/>
        <w:rPr>
          <w:rFonts w:ascii="Palatino Linotype" w:eastAsia="Palatino Linotype" w:hAnsi="Palatino Linotype" w:cs="Palatino Linotype"/>
          <w:i/>
          <w:iCs/>
        </w:rPr>
      </w:pPr>
      <w:r w:rsidRPr="00F11F47">
        <w:rPr>
          <w:rFonts w:ascii="Palatino Linotype" w:eastAsia="Palatino Linotype" w:hAnsi="Palatino Linotype" w:cs="Palatino Linotype"/>
          <w:i/>
          <w:iCs/>
        </w:rPr>
        <w:t>SÉPTIMO TRIBUNAL COLEGIADO EN MATERIA CIVIL DEL PRIMER CIRCUITO.</w:t>
      </w:r>
    </w:p>
    <w:p w:rsidR="00B65DC7" w:rsidRPr="00F11F47" w:rsidRDefault="00CA0720">
      <w:pPr>
        <w:spacing w:line="360" w:lineRule="auto"/>
        <w:ind w:left="851" w:right="822"/>
        <w:jc w:val="both"/>
        <w:rPr>
          <w:rFonts w:ascii="Palatino Linotype" w:eastAsia="Palatino Linotype" w:hAnsi="Palatino Linotype" w:cs="Palatino Linotype"/>
          <w:b/>
          <w:bCs/>
          <w:i/>
          <w:iCs/>
        </w:rPr>
      </w:pPr>
      <w:r w:rsidRPr="00F11F47">
        <w:rPr>
          <w:rFonts w:ascii="Palatino Linotype" w:eastAsia="Palatino Linotype" w:hAnsi="Palatino Linotype" w:cs="Palatino Linotype"/>
          <w:i/>
          <w:iCs/>
        </w:rPr>
        <w:t>Amparo directo 699/2008. Mariana Leticia González Steele. 13 de noviembre de 2008. Unanimidad de votos. Ponente: Sara Judith Montalvo Trejo. Secretario: Arnulfo Mateos García.</w:t>
      </w:r>
    </w:p>
    <w:p w:rsidR="00B65DC7" w:rsidRPr="00F11F47" w:rsidRDefault="00B65DC7">
      <w:pPr>
        <w:spacing w:line="360" w:lineRule="auto"/>
        <w:jc w:val="both"/>
        <w:rPr>
          <w:rFonts w:ascii="Palatino Linotype" w:eastAsia="Palatino Linotype" w:hAnsi="Palatino Linotype" w:cs="Palatino Linotype"/>
          <w:b/>
          <w:bCs/>
          <w:i/>
          <w:iCs/>
        </w:rPr>
      </w:pPr>
    </w:p>
    <w:p w:rsidR="00B65DC7" w:rsidRPr="00F11F47" w:rsidRDefault="00CA0720">
      <w:pPr>
        <w:numPr>
          <w:ilvl w:val="0"/>
          <w:numId w:val="2"/>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color w:val="000000"/>
        </w:rPr>
        <w:t>Consecuentemente, por lo que hace a los motivos de inconformidad, los mismos devienen inatendibles por actualizarse la figura del sobreseimiento, misma que impide el estudio de los agravios planteados, máxime que se ha dado cumplimiento al derecho de acceso a la información.</w:t>
      </w:r>
    </w:p>
    <w:p w:rsidR="00B65DC7" w:rsidRPr="00F11F47" w:rsidRDefault="00B65DC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p>
    <w:p w:rsidR="00B65DC7" w:rsidRPr="00F11F47" w:rsidRDefault="00CA0720">
      <w:pPr>
        <w:numPr>
          <w:ilvl w:val="0"/>
          <w:numId w:val="2"/>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color w:val="000000"/>
        </w:rPr>
        <w:t xml:space="preserve">Bajo ese tenor y en términos del artículo 186 fracción I este Pleno determina el </w:t>
      </w:r>
      <w:r w:rsidRPr="00F11F47">
        <w:rPr>
          <w:rFonts w:ascii="Palatino Linotype" w:eastAsia="Palatino Linotype" w:hAnsi="Palatino Linotype" w:cs="Palatino Linotype"/>
          <w:b/>
          <w:bCs/>
          <w:color w:val="000000"/>
        </w:rPr>
        <w:t xml:space="preserve">SOBRESEIMIENTO </w:t>
      </w:r>
      <w:r w:rsidRPr="00F11F47">
        <w:rPr>
          <w:rFonts w:ascii="Palatino Linotype" w:eastAsia="Palatino Linotype" w:hAnsi="Palatino Linotype" w:cs="Palatino Linotype"/>
          <w:color w:val="000000"/>
        </w:rPr>
        <w:t xml:space="preserve">del recurso de revisión </w:t>
      </w:r>
      <w:r w:rsidRPr="00F11F47">
        <w:rPr>
          <w:rFonts w:ascii="Palatino Linotype" w:eastAsia="Palatino Linotype" w:hAnsi="Palatino Linotype" w:cs="Palatino Linotype"/>
          <w:b/>
          <w:bCs/>
          <w:color w:val="000000"/>
        </w:rPr>
        <w:t>07358/INFOEM/IP/RR/2025</w:t>
      </w:r>
      <w:r w:rsidRPr="00F11F47">
        <w:rPr>
          <w:rFonts w:ascii="Palatino Linotype" w:eastAsia="Palatino Linotype" w:hAnsi="Palatino Linotype" w:cs="Palatino Linotype"/>
          <w:color w:val="000000"/>
        </w:rPr>
        <w:t>, toda vez que la afectación al derecho de acceso a la información pública establecido constitucionalmente a favor del Particular ha sido resarcida.</w:t>
      </w:r>
    </w:p>
    <w:p w:rsidR="00B65DC7" w:rsidRPr="00F11F47" w:rsidRDefault="00B65DC7">
      <w:pPr>
        <w:pBdr>
          <w:top w:val="nil"/>
          <w:left w:val="nil"/>
          <w:bottom w:val="nil"/>
          <w:right w:val="nil"/>
          <w:between w:val="nil"/>
        </w:pBdr>
        <w:ind w:left="720"/>
        <w:rPr>
          <w:rFonts w:ascii="Palatino Linotype" w:eastAsia="Palatino Linotype" w:hAnsi="Palatino Linotype" w:cs="Palatino Linotype"/>
          <w:color w:val="000000"/>
        </w:rPr>
      </w:pPr>
    </w:p>
    <w:p w:rsidR="00B65DC7" w:rsidRDefault="00CA0720">
      <w:pPr>
        <w:numPr>
          <w:ilvl w:val="0"/>
          <w:numId w:val="2"/>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rPr>
      </w:pPr>
      <w:r w:rsidRPr="00F11F47">
        <w:rPr>
          <w:rFonts w:ascii="Palatino Linotype" w:eastAsia="Palatino Linotype" w:hAnsi="Palatino Linotype" w:cs="Palatino Linotype"/>
          <w:color w:val="000000"/>
        </w:rPr>
        <w:t xml:space="preserve">Por lo anteriormente expuesto y fundado, este </w:t>
      </w:r>
      <w:r w:rsidRPr="00F11F47">
        <w:rPr>
          <w:rFonts w:ascii="Palatino Linotype" w:eastAsia="Palatino Linotype" w:hAnsi="Palatino Linotype" w:cs="Palatino Linotype"/>
          <w:b/>
          <w:bCs/>
          <w:color w:val="000000"/>
        </w:rPr>
        <w:t>ÓRGANO GARANTE</w:t>
      </w:r>
      <w:r w:rsidRPr="00F11F47">
        <w:rPr>
          <w:rFonts w:ascii="Palatino Linotype" w:eastAsia="Palatino Linotype" w:hAnsi="Palatino Linotype" w:cs="Palatino Linotype"/>
          <w:color w:val="000000"/>
        </w:rPr>
        <w:t xml:space="preserve"> emite los siguientes:</w:t>
      </w:r>
      <w:r w:rsidR="00F11F47">
        <w:rPr>
          <w:rFonts w:ascii="Palatino Linotype" w:eastAsia="Palatino Linotype" w:hAnsi="Palatino Linotype" w:cs="Palatino Linotype"/>
          <w:color w:val="000000"/>
        </w:rPr>
        <w:t xml:space="preserve"> -------------------------------------------------------------------------------------------------------------</w:t>
      </w:r>
    </w:p>
    <w:p w:rsidR="00F11F47" w:rsidRDefault="00F11F47" w:rsidP="00F11F47">
      <w:pPr>
        <w:pStyle w:val="Prrafodelista"/>
        <w:rPr>
          <w:rFonts w:ascii="Palatino Linotype" w:eastAsia="Palatino Linotype" w:hAnsi="Palatino Linotype" w:cs="Palatino Linotype"/>
          <w:color w:val="000000"/>
        </w:rPr>
      </w:pPr>
    </w:p>
    <w:p w:rsidR="00F11F47" w:rsidRDefault="00F11F47" w:rsidP="00F11F4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p>
    <w:p w:rsidR="00F11F47" w:rsidRPr="00F11F47" w:rsidRDefault="00F11F47" w:rsidP="00F11F4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p>
    <w:p w:rsidR="00B65DC7" w:rsidRPr="00F11F47" w:rsidRDefault="00B65DC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p>
    <w:p w:rsidR="00B65DC7" w:rsidRPr="00F11F47" w:rsidRDefault="00CA0720">
      <w:pPr>
        <w:spacing w:line="360" w:lineRule="auto"/>
        <w:jc w:val="center"/>
        <w:rPr>
          <w:rFonts w:ascii="Palatino Linotype" w:eastAsia="Palatino Linotype" w:hAnsi="Palatino Linotype" w:cs="Palatino Linotype"/>
          <w:b/>
          <w:bCs/>
        </w:rPr>
      </w:pPr>
      <w:r w:rsidRPr="00F11F47">
        <w:rPr>
          <w:rFonts w:ascii="Palatino Linotype" w:eastAsia="Palatino Linotype" w:hAnsi="Palatino Linotype" w:cs="Palatino Linotype"/>
          <w:b/>
          <w:bCs/>
        </w:rPr>
        <w:lastRenderedPageBreak/>
        <w:t>R E S O L U T I V O S</w:t>
      </w:r>
    </w:p>
    <w:p w:rsidR="00B65DC7" w:rsidRPr="00F11F47" w:rsidRDefault="00B65DC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65DC7" w:rsidRPr="00F11F47" w:rsidRDefault="00CA0720">
      <w:pPr>
        <w:spacing w:line="360" w:lineRule="auto"/>
        <w:jc w:val="both"/>
        <w:rPr>
          <w:rFonts w:ascii="Palatino Linotype" w:eastAsia="Palatino Linotype" w:hAnsi="Palatino Linotype" w:cs="Palatino Linotype"/>
        </w:rPr>
      </w:pPr>
      <w:r w:rsidRPr="00F11F47">
        <w:rPr>
          <w:rFonts w:ascii="Palatino Linotype" w:eastAsia="Palatino Linotype" w:hAnsi="Palatino Linotype" w:cs="Palatino Linotype"/>
          <w:b/>
          <w:bCs/>
        </w:rPr>
        <w:t xml:space="preserve">PRIMERO. </w:t>
      </w:r>
      <w:r w:rsidRPr="00F11F47">
        <w:rPr>
          <w:rFonts w:ascii="Palatino Linotype" w:eastAsia="Palatino Linotype" w:hAnsi="Palatino Linotype" w:cs="Palatino Linotype"/>
        </w:rPr>
        <w:t xml:space="preserve">Se </w:t>
      </w:r>
      <w:r w:rsidRPr="00F11F47">
        <w:rPr>
          <w:rFonts w:ascii="Palatino Linotype" w:eastAsia="Palatino Linotype" w:hAnsi="Palatino Linotype" w:cs="Palatino Linotype"/>
          <w:b/>
          <w:bCs/>
        </w:rPr>
        <w:t>SOBRESEE</w:t>
      </w:r>
      <w:r w:rsidRPr="00F11F47">
        <w:rPr>
          <w:rFonts w:ascii="Palatino Linotype" w:eastAsia="Palatino Linotype" w:hAnsi="Palatino Linotype" w:cs="Palatino Linotype"/>
        </w:rPr>
        <w:t xml:space="preserve"> el recurso de revisión número </w:t>
      </w:r>
      <w:r w:rsidRPr="00F11F47">
        <w:rPr>
          <w:rFonts w:ascii="Palatino Linotype" w:eastAsia="Palatino Linotype" w:hAnsi="Palatino Linotype" w:cs="Palatino Linotype"/>
          <w:b/>
          <w:bCs/>
        </w:rPr>
        <w:t xml:space="preserve">07358/INFOEM/IP/RR/2025 </w:t>
      </w:r>
      <w:r w:rsidRPr="00F11F47">
        <w:rPr>
          <w:rFonts w:ascii="Palatino Linotype" w:eastAsia="Palatino Linotype" w:hAnsi="Palatino Linotype" w:cs="Palatino Linotype"/>
        </w:rPr>
        <w:t>conforme al artículo 192</w:t>
      </w:r>
      <w:r w:rsidR="009A7268" w:rsidRPr="00F11F47">
        <w:rPr>
          <w:rFonts w:ascii="Palatino Linotype" w:eastAsia="Palatino Linotype" w:hAnsi="Palatino Linotype" w:cs="Palatino Linotype"/>
        </w:rPr>
        <w:t>,</w:t>
      </w:r>
      <w:r w:rsidRPr="00F11F47">
        <w:rPr>
          <w:rFonts w:ascii="Palatino Linotype" w:eastAsia="Palatino Linotype" w:hAnsi="Palatino Linotype" w:cs="Palatino Linotype"/>
        </w:rPr>
        <w:t xml:space="preserve"> fracción III</w:t>
      </w:r>
      <w:r w:rsidR="009A7268" w:rsidRPr="00F11F47">
        <w:rPr>
          <w:rFonts w:ascii="Palatino Linotype" w:eastAsia="Palatino Linotype" w:hAnsi="Palatino Linotype" w:cs="Palatino Linotype"/>
        </w:rPr>
        <w:t>,</w:t>
      </w:r>
      <w:r w:rsidRPr="00F11F47">
        <w:rPr>
          <w:rFonts w:ascii="Palatino Linotype" w:eastAsia="Palatino Linotype" w:hAnsi="Palatino Linotype" w:cs="Palatino Linotype"/>
        </w:rPr>
        <w:t xml:space="preserve"> de la Ley de Transparencia y Acceso a la Información Pública del Estado de México y Municipios, porque al </w:t>
      </w:r>
      <w:r w:rsidRPr="00F11F47">
        <w:rPr>
          <w:rFonts w:ascii="Palatino Linotype" w:eastAsia="Palatino Linotype" w:hAnsi="Palatino Linotype" w:cs="Palatino Linotype"/>
          <w:b/>
          <w:bCs/>
        </w:rPr>
        <w:t>modificar la respuesta a través del informe justificado y atender lo solicitado</w:t>
      </w:r>
      <w:r w:rsidRPr="00F11F47">
        <w:rPr>
          <w:rFonts w:ascii="Palatino Linotype" w:eastAsia="Palatino Linotype" w:hAnsi="Palatino Linotype" w:cs="Palatino Linotype"/>
        </w:rPr>
        <w:t xml:space="preserve">, el recurso de revisión quedó sin materia en términos del Considerando </w:t>
      </w:r>
      <w:r w:rsidRPr="00F11F47">
        <w:rPr>
          <w:rFonts w:ascii="Palatino Linotype" w:eastAsia="Palatino Linotype" w:hAnsi="Palatino Linotype" w:cs="Palatino Linotype"/>
          <w:b/>
          <w:bCs/>
        </w:rPr>
        <w:t>TERCERO</w:t>
      </w:r>
      <w:r w:rsidRPr="00F11F47">
        <w:rPr>
          <w:rFonts w:ascii="Palatino Linotype" w:eastAsia="Palatino Linotype" w:hAnsi="Palatino Linotype" w:cs="Palatino Linotype"/>
        </w:rPr>
        <w:t xml:space="preserve"> de la presente resolución.</w:t>
      </w:r>
    </w:p>
    <w:p w:rsidR="00B65DC7" w:rsidRPr="00F11F47" w:rsidRDefault="00B65DC7">
      <w:pPr>
        <w:spacing w:line="360" w:lineRule="auto"/>
        <w:jc w:val="both"/>
        <w:rPr>
          <w:rFonts w:ascii="Palatino Linotype" w:eastAsia="Palatino Linotype" w:hAnsi="Palatino Linotype" w:cs="Palatino Linotype"/>
        </w:rPr>
      </w:pPr>
    </w:p>
    <w:p w:rsidR="00B65DC7" w:rsidRPr="00F11F47" w:rsidRDefault="009A7268">
      <w:pPr>
        <w:spacing w:line="360" w:lineRule="auto"/>
        <w:jc w:val="both"/>
        <w:rPr>
          <w:rFonts w:ascii="Palatino Linotype" w:eastAsia="Palatino Linotype" w:hAnsi="Palatino Linotype" w:cs="Palatino Linotype"/>
          <w:b/>
          <w:bCs/>
        </w:rPr>
      </w:pPr>
      <w:r w:rsidRPr="00F11F47">
        <w:rPr>
          <w:rFonts w:ascii="Palatino Linotype" w:eastAsia="Palatino Linotype" w:hAnsi="Palatino Linotype" w:cs="Palatino Linotype"/>
          <w:b/>
          <w:bCs/>
        </w:rPr>
        <w:t>SEGUNDO. Notifíquese</w:t>
      </w:r>
      <w:r w:rsidR="00CA0720" w:rsidRPr="00F11F47">
        <w:rPr>
          <w:rFonts w:ascii="Palatino Linotype" w:eastAsia="Palatino Linotype" w:hAnsi="Palatino Linotype" w:cs="Palatino Linotype"/>
          <w:b/>
          <w:bCs/>
        </w:rPr>
        <w:t xml:space="preserve"> </w:t>
      </w:r>
      <w:r w:rsidR="00CA0720" w:rsidRPr="00F11F47">
        <w:rPr>
          <w:rFonts w:ascii="Palatino Linotype" w:eastAsia="Palatino Linotype" w:hAnsi="Palatino Linotype" w:cs="Palatino Linotype"/>
        </w:rPr>
        <w:t xml:space="preserve">a través del Sistema de Acceso a la Información Mexiquense </w:t>
      </w:r>
      <w:r w:rsidR="00CA0720" w:rsidRPr="00F11F47">
        <w:rPr>
          <w:rFonts w:ascii="Palatino Linotype" w:eastAsia="Palatino Linotype" w:hAnsi="Palatino Linotype" w:cs="Palatino Linotype"/>
          <w:b/>
          <w:bCs/>
        </w:rPr>
        <w:t xml:space="preserve">(SAIMEX) </w:t>
      </w:r>
      <w:r w:rsidR="00CA0720" w:rsidRPr="00F11F47">
        <w:rPr>
          <w:rFonts w:ascii="Palatino Linotype" w:eastAsia="Palatino Linotype" w:hAnsi="Palatino Linotype" w:cs="Palatino Linotype"/>
        </w:rPr>
        <w:t>la presente resolución al Titular de la Unidad de Transparencia del</w:t>
      </w:r>
      <w:r w:rsidR="00CA0720" w:rsidRPr="00F11F47">
        <w:rPr>
          <w:rFonts w:ascii="Palatino Linotype" w:eastAsia="Palatino Linotype" w:hAnsi="Palatino Linotype" w:cs="Palatino Linotype"/>
          <w:b/>
          <w:bCs/>
        </w:rPr>
        <w:t xml:space="preserve"> SUJETO OBLIGADO. </w:t>
      </w:r>
    </w:p>
    <w:p w:rsidR="00B65DC7" w:rsidRPr="00F11F47" w:rsidRDefault="00CA0720">
      <w:pPr>
        <w:tabs>
          <w:tab w:val="left" w:pos="3263"/>
        </w:tabs>
        <w:spacing w:line="360" w:lineRule="auto"/>
        <w:jc w:val="both"/>
        <w:rPr>
          <w:rFonts w:ascii="Palatino Linotype" w:eastAsia="Palatino Linotype" w:hAnsi="Palatino Linotype" w:cs="Palatino Linotype"/>
          <w:b/>
          <w:bCs/>
        </w:rPr>
      </w:pPr>
      <w:r w:rsidRPr="00F11F47">
        <w:rPr>
          <w:rFonts w:ascii="Palatino Linotype" w:eastAsia="Palatino Linotype" w:hAnsi="Palatino Linotype" w:cs="Palatino Linotype"/>
          <w:b/>
          <w:bCs/>
        </w:rPr>
        <w:tab/>
      </w:r>
    </w:p>
    <w:p w:rsidR="00B65DC7" w:rsidRPr="00F11F47" w:rsidRDefault="00CA0720">
      <w:pPr>
        <w:spacing w:line="360" w:lineRule="auto"/>
        <w:jc w:val="both"/>
        <w:rPr>
          <w:rFonts w:ascii="Palatino Linotype" w:eastAsia="Palatino Linotype" w:hAnsi="Palatino Linotype" w:cs="Palatino Linotype"/>
          <w:color w:val="222222"/>
        </w:rPr>
      </w:pPr>
      <w:r w:rsidRPr="00F11F47">
        <w:rPr>
          <w:rFonts w:ascii="Palatino Linotype" w:eastAsia="Palatino Linotype" w:hAnsi="Palatino Linotype" w:cs="Palatino Linotype"/>
          <w:b/>
          <w:bCs/>
        </w:rPr>
        <w:t xml:space="preserve">TERCERO. Notifíquese </w:t>
      </w:r>
      <w:r w:rsidRPr="00F11F47">
        <w:rPr>
          <w:rFonts w:ascii="Palatino Linotype" w:eastAsia="Palatino Linotype" w:hAnsi="Palatino Linotype" w:cs="Palatino Linotype"/>
        </w:rPr>
        <w:t xml:space="preserve">al </w:t>
      </w:r>
      <w:r w:rsidRPr="00F11F47">
        <w:rPr>
          <w:rFonts w:ascii="Palatino Linotype" w:eastAsia="Palatino Linotype" w:hAnsi="Palatino Linotype" w:cs="Palatino Linotype"/>
          <w:b/>
          <w:bCs/>
        </w:rPr>
        <w:t>RECURRENTE</w:t>
      </w:r>
      <w:r w:rsidRPr="00F11F47">
        <w:rPr>
          <w:rFonts w:ascii="Palatino Linotype" w:eastAsia="Palatino Linotype" w:hAnsi="Palatino Linotype" w:cs="Palatino Linotype"/>
        </w:rPr>
        <w:t xml:space="preserve"> la presente resolución vía SAIMEX.</w:t>
      </w:r>
    </w:p>
    <w:p w:rsidR="00B65DC7" w:rsidRPr="00F11F47" w:rsidRDefault="00B65DC7">
      <w:pPr>
        <w:spacing w:line="360" w:lineRule="auto"/>
        <w:jc w:val="both"/>
        <w:rPr>
          <w:rFonts w:ascii="Palatino Linotype" w:eastAsia="Palatino Linotype" w:hAnsi="Palatino Linotype" w:cs="Palatino Linotype"/>
          <w:color w:val="222222"/>
        </w:rPr>
      </w:pPr>
    </w:p>
    <w:p w:rsidR="00B65DC7" w:rsidRPr="00F11F47" w:rsidRDefault="00CA0720">
      <w:pPr>
        <w:spacing w:line="360" w:lineRule="auto"/>
        <w:jc w:val="both"/>
        <w:rPr>
          <w:rFonts w:ascii="Palatino Linotype" w:eastAsia="Palatino Linotype" w:hAnsi="Palatino Linotype" w:cs="Palatino Linotype"/>
        </w:rPr>
      </w:pPr>
      <w:r w:rsidRPr="00F11F47">
        <w:rPr>
          <w:rFonts w:ascii="Palatino Linotype" w:eastAsia="Palatino Linotype" w:hAnsi="Palatino Linotype" w:cs="Palatino Linotype"/>
          <w:b/>
          <w:bCs/>
        </w:rPr>
        <w:t>CUARTO.</w:t>
      </w:r>
      <w:r w:rsidRPr="00F11F47">
        <w:rPr>
          <w:rFonts w:ascii="Palatino Linotype" w:eastAsia="Palatino Linotype" w:hAnsi="Palatino Linotype" w:cs="Palatino Linotype"/>
        </w:rPr>
        <w:t xml:space="preserve"> Se hace del conocimiento del </w:t>
      </w:r>
      <w:r w:rsidRPr="00F11F47">
        <w:rPr>
          <w:rFonts w:ascii="Palatino Linotype" w:eastAsia="Palatino Linotype" w:hAnsi="Palatino Linotype" w:cs="Palatino Linotype"/>
          <w:b/>
          <w:bCs/>
        </w:rPr>
        <w:t>RECURRENTE</w:t>
      </w:r>
      <w:r w:rsidRPr="00F11F47">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B65DC7" w:rsidRPr="00F11F47" w:rsidRDefault="00B65DC7">
      <w:pPr>
        <w:spacing w:line="360" w:lineRule="auto"/>
        <w:jc w:val="both"/>
        <w:rPr>
          <w:rFonts w:ascii="Palatino Linotype" w:eastAsia="Palatino Linotype" w:hAnsi="Palatino Linotype" w:cs="Palatino Linotype"/>
        </w:rPr>
      </w:pPr>
    </w:p>
    <w:p w:rsidR="009A7268" w:rsidRPr="00F11F47" w:rsidRDefault="009A7268" w:rsidP="009A7268">
      <w:pPr>
        <w:spacing w:before="240" w:after="240" w:line="360" w:lineRule="auto"/>
        <w:ind w:firstLine="1"/>
        <w:jc w:val="both"/>
        <w:rPr>
          <w:rFonts w:ascii="Palatino Linotype" w:hAnsi="Palatino Linotype"/>
        </w:rPr>
      </w:pPr>
      <w:bookmarkStart w:id="6" w:name="_Hlk99014733"/>
      <w:r w:rsidRPr="00F11F47">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sidRPr="00F11F47">
        <w:rPr>
          <w:rFonts w:ascii="Palatino Linotype" w:hAnsi="Palatino Linotype" w:cs="Palatino Linotype"/>
        </w:rPr>
        <w:lastRenderedPageBreak/>
        <w:t xml:space="preserve">GUADALUPE RAMÍREZ PEÑA; EN LA CUARTA SESIÓN ORDINARIA, CELEBRADA EL CINCO (05) DE FEBRERO DE DOS MIL VEINTISÉIS, ANTE EL SECRETARIO TÉCNICO DEL PLENO </w:t>
      </w:r>
      <w:r w:rsidRPr="00F11F47">
        <w:rPr>
          <w:rFonts w:ascii="Palatino Linotype" w:hAnsi="Palatino Linotype" w:cs="Palatino Linotype"/>
          <w:color w:val="000000" w:themeColor="text1"/>
        </w:rPr>
        <w:t>ALEXIS TAPIA RAMÍREZ.</w:t>
      </w:r>
    </w:p>
    <w:bookmarkEnd w:id="6"/>
    <w:p w:rsidR="00B65DC7" w:rsidRDefault="00B65DC7">
      <w:pPr>
        <w:tabs>
          <w:tab w:val="left" w:pos="284"/>
        </w:tabs>
        <w:spacing w:before="240" w:after="240" w:line="360" w:lineRule="auto"/>
        <w:jc w:val="both"/>
        <w:rPr>
          <w:rFonts w:ascii="Palatino Linotype" w:eastAsia="Palatino Linotype" w:hAnsi="Palatino Linotype" w:cs="Palatino Linotype"/>
        </w:rPr>
      </w:pPr>
    </w:p>
    <w:p w:rsidR="00F11F47" w:rsidRDefault="00F11F47">
      <w:pPr>
        <w:tabs>
          <w:tab w:val="left" w:pos="284"/>
        </w:tabs>
        <w:spacing w:before="240" w:after="240" w:line="360" w:lineRule="auto"/>
        <w:jc w:val="both"/>
        <w:rPr>
          <w:rFonts w:ascii="Palatino Linotype" w:eastAsia="Palatino Linotype" w:hAnsi="Palatino Linotype" w:cs="Palatino Linotype"/>
        </w:rPr>
      </w:pPr>
    </w:p>
    <w:p w:rsidR="00F11F47" w:rsidRDefault="00F11F47">
      <w:pPr>
        <w:tabs>
          <w:tab w:val="left" w:pos="284"/>
        </w:tabs>
        <w:spacing w:before="240" w:after="240" w:line="360" w:lineRule="auto"/>
        <w:jc w:val="both"/>
        <w:rPr>
          <w:rFonts w:ascii="Palatino Linotype" w:eastAsia="Palatino Linotype" w:hAnsi="Palatino Linotype" w:cs="Palatino Linotype"/>
        </w:rPr>
      </w:pPr>
    </w:p>
    <w:p w:rsidR="00F11F47" w:rsidRDefault="00F11F47">
      <w:pPr>
        <w:tabs>
          <w:tab w:val="left" w:pos="284"/>
        </w:tabs>
        <w:spacing w:before="240" w:after="240" w:line="360" w:lineRule="auto"/>
        <w:jc w:val="both"/>
        <w:rPr>
          <w:rFonts w:ascii="Palatino Linotype" w:eastAsia="Palatino Linotype" w:hAnsi="Palatino Linotype" w:cs="Palatino Linotype"/>
        </w:rPr>
      </w:pPr>
    </w:p>
    <w:p w:rsidR="00F11F47" w:rsidRDefault="00F11F47">
      <w:pPr>
        <w:tabs>
          <w:tab w:val="left" w:pos="284"/>
        </w:tabs>
        <w:spacing w:before="240" w:after="240" w:line="360" w:lineRule="auto"/>
        <w:jc w:val="both"/>
        <w:rPr>
          <w:rFonts w:ascii="Palatino Linotype" w:eastAsia="Palatino Linotype" w:hAnsi="Palatino Linotype" w:cs="Palatino Linotype"/>
        </w:rPr>
      </w:pPr>
    </w:p>
    <w:p w:rsidR="00F11F47" w:rsidRDefault="00F11F47">
      <w:pPr>
        <w:tabs>
          <w:tab w:val="left" w:pos="284"/>
        </w:tabs>
        <w:spacing w:before="240" w:after="240" w:line="360" w:lineRule="auto"/>
        <w:jc w:val="both"/>
        <w:rPr>
          <w:rFonts w:ascii="Palatino Linotype" w:eastAsia="Palatino Linotype" w:hAnsi="Palatino Linotype" w:cs="Palatino Linotype"/>
        </w:rPr>
      </w:pPr>
    </w:p>
    <w:p w:rsidR="00F11F47" w:rsidRPr="00F11F47" w:rsidRDefault="00F11F47">
      <w:pPr>
        <w:tabs>
          <w:tab w:val="left" w:pos="284"/>
        </w:tabs>
        <w:spacing w:before="240" w:after="240" w:line="360" w:lineRule="auto"/>
        <w:jc w:val="both"/>
        <w:rPr>
          <w:rFonts w:ascii="Palatino Linotype" w:eastAsia="Palatino Linotype" w:hAnsi="Palatino Linotype" w:cs="Palatino Linotype"/>
        </w:rPr>
      </w:pPr>
    </w:p>
    <w:p w:rsidR="00B65DC7" w:rsidRPr="00F11F47" w:rsidRDefault="00B65DC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rsidR="00B65DC7" w:rsidRPr="00F11F47" w:rsidRDefault="00B65DC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rsidR="00B65DC7" w:rsidRPr="00F11F47" w:rsidRDefault="00B65DC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rsidR="00B65DC7" w:rsidRPr="00F11F47" w:rsidRDefault="00B65DC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rsidR="00B65DC7" w:rsidRPr="00F11F47" w:rsidRDefault="00B65DC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rsidR="00B65DC7" w:rsidRPr="00F11F47" w:rsidRDefault="00B65DC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rsidR="00B65DC7" w:rsidRPr="00F11F47" w:rsidRDefault="00B65DC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rsidR="00B65DC7" w:rsidRPr="00F11F47" w:rsidRDefault="00B65DC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rsidR="00B65DC7" w:rsidRPr="00F11F47" w:rsidRDefault="00B65DC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65DC7" w:rsidRPr="00F11F47" w:rsidRDefault="00B65DC7">
      <w:pPr>
        <w:pBdr>
          <w:top w:val="nil"/>
          <w:left w:val="nil"/>
          <w:bottom w:val="nil"/>
          <w:right w:val="nil"/>
          <w:between w:val="nil"/>
        </w:pBdr>
        <w:ind w:left="720"/>
        <w:rPr>
          <w:rFonts w:ascii="Palatino Linotype" w:eastAsia="Palatino Linotype" w:hAnsi="Palatino Linotype" w:cs="Palatino Linotype"/>
          <w:color w:val="000000"/>
        </w:rPr>
      </w:pPr>
    </w:p>
    <w:p w:rsidR="00B65DC7" w:rsidRPr="00F11F47" w:rsidRDefault="00B65DC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65DC7" w:rsidRPr="00F11F47" w:rsidRDefault="00B65DC7"/>
    <w:p w:rsidR="00B65DC7" w:rsidRPr="00F11F47" w:rsidRDefault="00B65DC7"/>
    <w:p w:rsidR="00B65DC7" w:rsidRPr="00F11F47" w:rsidRDefault="00B65DC7"/>
    <w:p w:rsidR="00B65DC7" w:rsidRPr="00F11F47" w:rsidRDefault="00B65DC7"/>
    <w:sectPr w:rsidR="00B65DC7" w:rsidRPr="00F11F47" w:rsidSect="00F11F47">
      <w:headerReference w:type="even" r:id="rId14"/>
      <w:headerReference w:type="default" r:id="rId15"/>
      <w:footerReference w:type="default" r:id="rId16"/>
      <w:headerReference w:type="first" r:id="rId17"/>
      <w:footerReference w:type="first" r:id="rId18"/>
      <w:pgSz w:w="12240" w:h="15840"/>
      <w:pgMar w:top="80" w:right="75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82F" w:rsidRDefault="002A482F">
      <w:r>
        <w:separator/>
      </w:r>
    </w:p>
  </w:endnote>
  <w:endnote w:type="continuationSeparator" w:id="0">
    <w:p w:rsidR="002A482F" w:rsidRDefault="002A4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F1453B20-E09C-4F98-8D16-01F08B2E03F9}"/>
    <w:embedBold r:id="rId2" w:fontKey="{CAE53AE8-D80F-4327-AAF3-B6FFAAC96479}"/>
    <w:embedItalic r:id="rId3" w:fontKey="{457F274B-5787-4787-A04E-82B065403B7F}"/>
    <w:embedBoldItalic r:id="rId4" w:fontKey="{8EA60F52-54B1-43CE-A068-B1B97470F01C}"/>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27AC8215-FF1E-4D16-8818-8BDEB0D0F5D1}"/>
  </w:font>
  <w:font w:name="Calibri">
    <w:panose1 w:val="020F0502020204030204"/>
    <w:charset w:val="00"/>
    <w:family w:val="swiss"/>
    <w:pitch w:val="variable"/>
    <w:sig w:usb0="E4002EFF" w:usb1="C200247B" w:usb2="00000009" w:usb3="00000000" w:csb0="000001FF" w:csb1="00000000"/>
    <w:embedRegular r:id="rId6" w:fontKey="{CD798FFC-5D06-4616-B05A-BE8C5AF9476A}"/>
  </w:font>
  <w:font w:name="Calibri Light">
    <w:panose1 w:val="020F0302020204030204"/>
    <w:charset w:val="00"/>
    <w:family w:val="swiss"/>
    <w:pitch w:val="variable"/>
    <w:sig w:usb0="E4002EFF" w:usb1="C200247B" w:usb2="00000009" w:usb3="00000000" w:csb0="000001FF" w:csb1="00000000"/>
    <w:embedRegular r:id="rId7" w:fontKey="{82DA5097-74D6-4DD0-85FF-7FA2FB6245F4}"/>
  </w:font>
  <w:font w:name="Georgia">
    <w:panose1 w:val="02040502050405020303"/>
    <w:charset w:val="00"/>
    <w:family w:val="roman"/>
    <w:pitch w:val="variable"/>
    <w:sig w:usb0="00000287" w:usb1="00000000" w:usb2="00000000" w:usb3="00000000" w:csb0="0000009F" w:csb1="00000000"/>
    <w:embedItalic r:id="rId8" w:fontKey="{E18EDAA3-534E-41C5-B331-9BFE7C96C50D}"/>
  </w:font>
  <w:font w:name="Verdana">
    <w:panose1 w:val="020B0604030504040204"/>
    <w:charset w:val="00"/>
    <w:family w:val="swiss"/>
    <w:pitch w:val="variable"/>
    <w:sig w:usb0="A00006FF" w:usb1="4000205B" w:usb2="00000010" w:usb3="00000000" w:csb0="0000019F" w:csb1="00000000"/>
    <w:embedRegular r:id="rId9" w:fontKey="{7BA0FCE7-1D01-4DA5-B89B-3234CF1387A6}"/>
  </w:font>
  <w:font w:name="Garamond">
    <w:panose1 w:val="02020404030301010803"/>
    <w:charset w:val="00"/>
    <w:family w:val="roman"/>
    <w:pitch w:val="variable"/>
    <w:sig w:usb0="00000287" w:usb1="00000000" w:usb2="00000000" w:usb3="00000000" w:csb0="0000009F" w:csb1="00000000"/>
    <w:embedRegular r:id="rId10" w:fontKey="{5497F6C2-CEC0-4EB3-A502-7FEED492EA3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DC7" w:rsidRPr="00F11F47" w:rsidRDefault="00CA0720">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F11F47">
      <w:rPr>
        <w:rFonts w:ascii="Palatino Linotype" w:hAnsi="Palatino Linotype"/>
        <w:b/>
        <w:color w:val="000000"/>
        <w:sz w:val="22"/>
      </w:rPr>
      <w:t xml:space="preserve">Página </w:t>
    </w:r>
    <w:r w:rsidRPr="00F11F47">
      <w:rPr>
        <w:rFonts w:ascii="Palatino Linotype" w:hAnsi="Palatino Linotype"/>
        <w:b/>
        <w:bCs/>
        <w:color w:val="000000"/>
        <w:sz w:val="22"/>
      </w:rPr>
      <w:fldChar w:fldCharType="begin"/>
    </w:r>
    <w:r w:rsidRPr="00F11F47">
      <w:rPr>
        <w:rFonts w:ascii="Palatino Linotype" w:hAnsi="Palatino Linotype"/>
        <w:b/>
        <w:bCs/>
        <w:color w:val="000000"/>
        <w:sz w:val="22"/>
      </w:rPr>
      <w:instrText>PAGE</w:instrText>
    </w:r>
    <w:r w:rsidRPr="00F11F47">
      <w:rPr>
        <w:rFonts w:ascii="Palatino Linotype" w:hAnsi="Palatino Linotype"/>
        <w:b/>
        <w:bCs/>
        <w:color w:val="000000"/>
        <w:sz w:val="22"/>
      </w:rPr>
      <w:fldChar w:fldCharType="separate"/>
    </w:r>
    <w:r w:rsidR="00B342C4">
      <w:rPr>
        <w:rFonts w:ascii="Palatino Linotype" w:hAnsi="Palatino Linotype"/>
        <w:b/>
        <w:bCs/>
        <w:noProof/>
        <w:color w:val="000000"/>
        <w:sz w:val="22"/>
      </w:rPr>
      <w:t>16</w:t>
    </w:r>
    <w:r w:rsidRPr="00F11F47">
      <w:rPr>
        <w:rFonts w:ascii="Palatino Linotype" w:hAnsi="Palatino Linotype"/>
        <w:b/>
        <w:bCs/>
        <w:color w:val="000000"/>
        <w:sz w:val="22"/>
      </w:rPr>
      <w:fldChar w:fldCharType="end"/>
    </w:r>
    <w:r w:rsidRPr="00F11F47">
      <w:rPr>
        <w:rFonts w:ascii="Palatino Linotype" w:hAnsi="Palatino Linotype"/>
        <w:b/>
        <w:color w:val="000000"/>
        <w:sz w:val="22"/>
      </w:rPr>
      <w:t xml:space="preserve"> de </w:t>
    </w:r>
    <w:r w:rsidRPr="00F11F47">
      <w:rPr>
        <w:rFonts w:ascii="Palatino Linotype" w:hAnsi="Palatino Linotype"/>
        <w:b/>
        <w:bCs/>
        <w:color w:val="000000"/>
        <w:sz w:val="22"/>
      </w:rPr>
      <w:fldChar w:fldCharType="begin"/>
    </w:r>
    <w:r w:rsidRPr="00F11F47">
      <w:rPr>
        <w:rFonts w:ascii="Palatino Linotype" w:hAnsi="Palatino Linotype"/>
        <w:b/>
        <w:bCs/>
        <w:color w:val="000000"/>
        <w:sz w:val="22"/>
      </w:rPr>
      <w:instrText>NUMPAGES</w:instrText>
    </w:r>
    <w:r w:rsidRPr="00F11F47">
      <w:rPr>
        <w:rFonts w:ascii="Palatino Linotype" w:hAnsi="Palatino Linotype"/>
        <w:b/>
        <w:bCs/>
        <w:color w:val="000000"/>
        <w:sz w:val="22"/>
      </w:rPr>
      <w:fldChar w:fldCharType="separate"/>
    </w:r>
    <w:r w:rsidR="00B342C4">
      <w:rPr>
        <w:rFonts w:ascii="Palatino Linotype" w:hAnsi="Palatino Linotype"/>
        <w:b/>
        <w:bCs/>
        <w:noProof/>
        <w:color w:val="000000"/>
        <w:sz w:val="22"/>
      </w:rPr>
      <w:t>17</w:t>
    </w:r>
    <w:r w:rsidRPr="00F11F47">
      <w:rPr>
        <w:rFonts w:ascii="Palatino Linotype" w:hAnsi="Palatino Linotype"/>
        <w:b/>
        <w:bCs/>
        <w:color w:val="000000"/>
        <w:sz w:val="22"/>
      </w:rPr>
      <w:fldChar w:fldCharType="end"/>
    </w:r>
  </w:p>
  <w:p w:rsidR="00B65DC7" w:rsidRDefault="00B65DC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DC7" w:rsidRPr="00F11F47" w:rsidRDefault="00CA0720">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F11F47">
      <w:rPr>
        <w:rFonts w:ascii="Palatino Linotype" w:hAnsi="Palatino Linotype"/>
        <w:color w:val="000000"/>
        <w:sz w:val="22"/>
      </w:rPr>
      <w:t xml:space="preserve">Página </w:t>
    </w:r>
    <w:r w:rsidRPr="00F11F47">
      <w:rPr>
        <w:rFonts w:ascii="Palatino Linotype" w:hAnsi="Palatino Linotype"/>
        <w:b/>
        <w:bCs/>
        <w:color w:val="000000"/>
        <w:sz w:val="22"/>
      </w:rPr>
      <w:fldChar w:fldCharType="begin"/>
    </w:r>
    <w:r w:rsidRPr="00F11F47">
      <w:rPr>
        <w:rFonts w:ascii="Palatino Linotype" w:hAnsi="Palatino Linotype"/>
        <w:b/>
        <w:bCs/>
        <w:color w:val="000000"/>
        <w:sz w:val="22"/>
      </w:rPr>
      <w:instrText>PAGE</w:instrText>
    </w:r>
    <w:r w:rsidRPr="00F11F47">
      <w:rPr>
        <w:rFonts w:ascii="Palatino Linotype" w:hAnsi="Palatino Linotype"/>
        <w:b/>
        <w:bCs/>
        <w:color w:val="000000"/>
        <w:sz w:val="22"/>
      </w:rPr>
      <w:fldChar w:fldCharType="separate"/>
    </w:r>
    <w:r w:rsidR="00B342C4">
      <w:rPr>
        <w:rFonts w:ascii="Palatino Linotype" w:hAnsi="Palatino Linotype"/>
        <w:b/>
        <w:bCs/>
        <w:noProof/>
        <w:color w:val="000000"/>
        <w:sz w:val="22"/>
      </w:rPr>
      <w:t>1</w:t>
    </w:r>
    <w:r w:rsidRPr="00F11F47">
      <w:rPr>
        <w:rFonts w:ascii="Palatino Linotype" w:hAnsi="Palatino Linotype"/>
        <w:b/>
        <w:bCs/>
        <w:color w:val="000000"/>
        <w:sz w:val="22"/>
      </w:rPr>
      <w:fldChar w:fldCharType="end"/>
    </w:r>
    <w:r w:rsidRPr="00F11F47">
      <w:rPr>
        <w:rFonts w:ascii="Palatino Linotype" w:hAnsi="Palatino Linotype"/>
        <w:color w:val="000000"/>
        <w:sz w:val="22"/>
      </w:rPr>
      <w:t xml:space="preserve"> de </w:t>
    </w:r>
    <w:r w:rsidRPr="00F11F47">
      <w:rPr>
        <w:rFonts w:ascii="Palatino Linotype" w:hAnsi="Palatino Linotype"/>
        <w:b/>
        <w:bCs/>
        <w:color w:val="000000"/>
        <w:sz w:val="22"/>
      </w:rPr>
      <w:fldChar w:fldCharType="begin"/>
    </w:r>
    <w:r w:rsidRPr="00F11F47">
      <w:rPr>
        <w:rFonts w:ascii="Palatino Linotype" w:hAnsi="Palatino Linotype"/>
        <w:b/>
        <w:bCs/>
        <w:color w:val="000000"/>
        <w:sz w:val="22"/>
      </w:rPr>
      <w:instrText>NUMPAGES</w:instrText>
    </w:r>
    <w:r w:rsidRPr="00F11F47">
      <w:rPr>
        <w:rFonts w:ascii="Palatino Linotype" w:hAnsi="Palatino Linotype"/>
        <w:b/>
        <w:bCs/>
        <w:color w:val="000000"/>
        <w:sz w:val="22"/>
      </w:rPr>
      <w:fldChar w:fldCharType="separate"/>
    </w:r>
    <w:r w:rsidR="00B342C4">
      <w:rPr>
        <w:rFonts w:ascii="Palatino Linotype" w:hAnsi="Palatino Linotype"/>
        <w:b/>
        <w:bCs/>
        <w:noProof/>
        <w:color w:val="000000"/>
        <w:sz w:val="22"/>
      </w:rPr>
      <w:t>17</w:t>
    </w:r>
    <w:r w:rsidRPr="00F11F47">
      <w:rPr>
        <w:rFonts w:ascii="Palatino Linotype" w:hAnsi="Palatino Linotype"/>
        <w:b/>
        <w:bCs/>
        <w:color w:val="000000"/>
        <w:sz w:val="22"/>
      </w:rPr>
      <w:fldChar w:fldCharType="end"/>
    </w:r>
  </w:p>
  <w:p w:rsidR="00B65DC7" w:rsidRDefault="00B65DC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82F" w:rsidRDefault="002A482F">
      <w:r>
        <w:separator/>
      </w:r>
    </w:p>
  </w:footnote>
  <w:footnote w:type="continuationSeparator" w:id="0">
    <w:p w:rsidR="002A482F" w:rsidRDefault="002A48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DC7" w:rsidRDefault="002A482F">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10348" w:type="dxa"/>
      <w:tblInd w:w="0" w:type="dxa"/>
      <w:tblLayout w:type="fixed"/>
      <w:tblLook w:val="0400" w:firstRow="0" w:lastRow="0" w:firstColumn="0" w:lastColumn="0" w:noHBand="0" w:noVBand="1"/>
    </w:tblPr>
    <w:tblGrid>
      <w:gridCol w:w="2268"/>
      <w:gridCol w:w="8080"/>
    </w:tblGrid>
    <w:tr w:rsidR="00B65DC7" w:rsidTr="00F11F47">
      <w:trPr>
        <w:trHeight w:val="1435"/>
      </w:trPr>
      <w:tc>
        <w:tcPr>
          <w:tcW w:w="2268" w:type="dxa"/>
          <w:shd w:val="clear" w:color="auto" w:fill="auto"/>
        </w:tcPr>
        <w:p w:rsidR="00B65DC7" w:rsidRDefault="00B65DC7">
          <w:pPr>
            <w:tabs>
              <w:tab w:val="right" w:pos="4273"/>
            </w:tabs>
            <w:rPr>
              <w:rFonts w:ascii="Garamond" w:eastAsia="Garamond" w:hAnsi="Garamond" w:cs="Garamond"/>
              <w:sz w:val="16"/>
              <w:szCs w:val="16"/>
            </w:rPr>
          </w:pPr>
        </w:p>
      </w:tc>
      <w:tc>
        <w:tcPr>
          <w:tcW w:w="8080" w:type="dxa"/>
          <w:shd w:val="clear" w:color="auto" w:fill="auto"/>
        </w:tcPr>
        <w:tbl>
          <w:tblPr>
            <w:tblStyle w:val="a1"/>
            <w:tblW w:w="8080" w:type="dxa"/>
            <w:tblInd w:w="0" w:type="dxa"/>
            <w:tblLayout w:type="fixed"/>
            <w:tblLook w:val="0400" w:firstRow="0" w:lastRow="0" w:firstColumn="0" w:lastColumn="0" w:noHBand="0" w:noVBand="1"/>
          </w:tblPr>
          <w:tblGrid>
            <w:gridCol w:w="2964"/>
            <w:gridCol w:w="5116"/>
          </w:tblGrid>
          <w:tr w:rsidR="00B65DC7" w:rsidTr="00F11F47">
            <w:trPr>
              <w:trHeight w:val="150"/>
            </w:trPr>
            <w:tc>
              <w:tcPr>
                <w:tcW w:w="2964" w:type="dxa"/>
                <w:shd w:val="clear" w:color="auto" w:fill="auto"/>
              </w:tcPr>
              <w:p w:rsidR="00B65DC7" w:rsidRPr="00F11F47" w:rsidRDefault="00CA0720">
                <w:pPr>
                  <w:tabs>
                    <w:tab w:val="right" w:pos="8838"/>
                  </w:tabs>
                  <w:ind w:right="-105"/>
                  <w:rPr>
                    <w:rFonts w:ascii="Palatino Linotype" w:eastAsia="Palatino Linotype" w:hAnsi="Palatino Linotype" w:cs="Palatino Linotype"/>
                    <w:b/>
                    <w:bCs/>
                    <w:szCs w:val="22"/>
                  </w:rPr>
                </w:pPr>
                <w:r w:rsidRPr="00F11F47">
                  <w:rPr>
                    <w:rFonts w:ascii="Palatino Linotype" w:eastAsia="Palatino Linotype" w:hAnsi="Palatino Linotype" w:cs="Palatino Linotype"/>
                    <w:b/>
                    <w:bCs/>
                    <w:szCs w:val="22"/>
                  </w:rPr>
                  <w:t>Recurso de Revisión:</w:t>
                </w:r>
              </w:p>
            </w:tc>
            <w:tc>
              <w:tcPr>
                <w:tcW w:w="5116" w:type="dxa"/>
                <w:shd w:val="clear" w:color="auto" w:fill="auto"/>
              </w:tcPr>
              <w:p w:rsidR="00B65DC7" w:rsidRPr="00F11F47" w:rsidRDefault="00CA0720">
                <w:pPr>
                  <w:tabs>
                    <w:tab w:val="right" w:pos="8838"/>
                  </w:tabs>
                  <w:ind w:left="-108" w:right="-1090"/>
                  <w:jc w:val="both"/>
                  <w:rPr>
                    <w:rFonts w:ascii="Palatino Linotype" w:eastAsia="Palatino Linotype" w:hAnsi="Palatino Linotype" w:cs="Palatino Linotype"/>
                    <w:szCs w:val="22"/>
                  </w:rPr>
                </w:pPr>
                <w:r w:rsidRPr="00F11F47">
                  <w:rPr>
                    <w:rFonts w:ascii="Palatino Linotype" w:eastAsia="Palatino Linotype" w:hAnsi="Palatino Linotype" w:cs="Palatino Linotype"/>
                    <w:szCs w:val="22"/>
                  </w:rPr>
                  <w:t>07358/INFOEM/IP/RR/2025</w:t>
                </w:r>
                <w:r w:rsidRPr="00F11F47">
                  <w:rPr>
                    <w:rFonts w:ascii="Palatino Linotype" w:eastAsia="Palatino Linotype" w:hAnsi="Palatino Linotype" w:cs="Palatino Linotype"/>
                    <w:b/>
                    <w:bCs/>
                    <w:szCs w:val="22"/>
                  </w:rPr>
                  <w:t xml:space="preserve"> </w:t>
                </w:r>
              </w:p>
            </w:tc>
          </w:tr>
          <w:tr w:rsidR="00B65DC7" w:rsidTr="00F11F47">
            <w:trPr>
              <w:trHeight w:val="295"/>
            </w:trPr>
            <w:tc>
              <w:tcPr>
                <w:tcW w:w="2964" w:type="dxa"/>
                <w:shd w:val="clear" w:color="auto" w:fill="auto"/>
              </w:tcPr>
              <w:p w:rsidR="00B65DC7" w:rsidRPr="00F11F47" w:rsidRDefault="00CA0720">
                <w:pPr>
                  <w:tabs>
                    <w:tab w:val="right" w:pos="8838"/>
                  </w:tabs>
                  <w:ind w:right="-105"/>
                  <w:rPr>
                    <w:rFonts w:ascii="Palatino Linotype" w:eastAsia="Palatino Linotype" w:hAnsi="Palatino Linotype" w:cs="Palatino Linotype"/>
                    <w:b/>
                    <w:bCs/>
                    <w:szCs w:val="22"/>
                  </w:rPr>
                </w:pPr>
                <w:r w:rsidRPr="00F11F47">
                  <w:rPr>
                    <w:rFonts w:ascii="Palatino Linotype" w:eastAsia="Palatino Linotype" w:hAnsi="Palatino Linotype" w:cs="Palatino Linotype"/>
                    <w:b/>
                    <w:bCs/>
                    <w:szCs w:val="22"/>
                  </w:rPr>
                  <w:t>Sujeto Obligado:</w:t>
                </w:r>
              </w:p>
            </w:tc>
            <w:tc>
              <w:tcPr>
                <w:tcW w:w="5116" w:type="dxa"/>
                <w:shd w:val="clear" w:color="auto" w:fill="auto"/>
              </w:tcPr>
              <w:p w:rsidR="00B65DC7" w:rsidRPr="00F11F47" w:rsidRDefault="00CA0720" w:rsidP="00F11F47">
                <w:pPr>
                  <w:tabs>
                    <w:tab w:val="left" w:pos="2834"/>
                    <w:tab w:val="right" w:pos="8838"/>
                  </w:tabs>
                  <w:ind w:left="-108" w:right="169"/>
                  <w:jc w:val="both"/>
                  <w:rPr>
                    <w:rFonts w:ascii="Palatino Linotype" w:eastAsia="Palatino Linotype" w:hAnsi="Palatino Linotype" w:cs="Palatino Linotype"/>
                    <w:szCs w:val="22"/>
                  </w:rPr>
                </w:pPr>
                <w:r w:rsidRPr="00F11F47">
                  <w:rPr>
                    <w:rFonts w:ascii="Palatino Linotype" w:eastAsia="Palatino Linotype" w:hAnsi="Palatino Linotype" w:cs="Palatino Linotype"/>
                    <w:szCs w:val="22"/>
                  </w:rPr>
                  <w:t xml:space="preserve">Sistema Municipal para el Desarrollo </w:t>
                </w:r>
                <w:r w:rsidR="00F11F47">
                  <w:rPr>
                    <w:rFonts w:ascii="Palatino Linotype" w:eastAsia="Palatino Linotype" w:hAnsi="Palatino Linotype" w:cs="Palatino Linotype"/>
                    <w:szCs w:val="22"/>
                  </w:rPr>
                  <w:t>I</w:t>
                </w:r>
                <w:r w:rsidRPr="00F11F47">
                  <w:rPr>
                    <w:rFonts w:ascii="Palatino Linotype" w:eastAsia="Palatino Linotype" w:hAnsi="Palatino Linotype" w:cs="Palatino Linotype"/>
                    <w:szCs w:val="22"/>
                  </w:rPr>
                  <w:t>ntegral de la Familia de Juchitepec</w:t>
                </w:r>
              </w:p>
            </w:tc>
          </w:tr>
          <w:tr w:rsidR="00B65DC7" w:rsidTr="00F11F47">
            <w:trPr>
              <w:trHeight w:val="295"/>
            </w:trPr>
            <w:tc>
              <w:tcPr>
                <w:tcW w:w="2964" w:type="dxa"/>
                <w:shd w:val="clear" w:color="auto" w:fill="auto"/>
              </w:tcPr>
              <w:p w:rsidR="00B65DC7" w:rsidRPr="00F11F47" w:rsidRDefault="00CA0720">
                <w:pPr>
                  <w:tabs>
                    <w:tab w:val="right" w:pos="8838"/>
                  </w:tabs>
                  <w:ind w:right="-105"/>
                  <w:rPr>
                    <w:rFonts w:ascii="Palatino Linotype" w:eastAsia="Palatino Linotype" w:hAnsi="Palatino Linotype" w:cs="Palatino Linotype"/>
                    <w:b/>
                    <w:bCs/>
                    <w:szCs w:val="22"/>
                  </w:rPr>
                </w:pPr>
                <w:r w:rsidRPr="00F11F47">
                  <w:rPr>
                    <w:rFonts w:ascii="Palatino Linotype" w:eastAsia="Palatino Linotype" w:hAnsi="Palatino Linotype" w:cs="Palatino Linotype"/>
                    <w:b/>
                    <w:bCs/>
                    <w:szCs w:val="22"/>
                  </w:rPr>
                  <w:t>Comisionado ponente:</w:t>
                </w:r>
              </w:p>
            </w:tc>
            <w:tc>
              <w:tcPr>
                <w:tcW w:w="5116" w:type="dxa"/>
                <w:shd w:val="clear" w:color="auto" w:fill="auto"/>
              </w:tcPr>
              <w:p w:rsidR="00B65DC7" w:rsidRPr="00F11F47" w:rsidRDefault="00CA0720">
                <w:pPr>
                  <w:tabs>
                    <w:tab w:val="right" w:pos="8838"/>
                  </w:tabs>
                  <w:ind w:left="-108" w:right="-1090"/>
                  <w:jc w:val="both"/>
                  <w:rPr>
                    <w:rFonts w:ascii="Palatino Linotype" w:eastAsia="Palatino Linotype" w:hAnsi="Palatino Linotype" w:cs="Palatino Linotype"/>
                    <w:szCs w:val="22"/>
                  </w:rPr>
                </w:pPr>
                <w:r w:rsidRPr="00F11F47">
                  <w:rPr>
                    <w:rFonts w:ascii="Palatino Linotype" w:eastAsia="Palatino Linotype" w:hAnsi="Palatino Linotype" w:cs="Palatino Linotype"/>
                    <w:szCs w:val="22"/>
                  </w:rPr>
                  <w:t>María del Rosario Mejía Ayala</w:t>
                </w:r>
              </w:p>
              <w:p w:rsidR="00B65DC7" w:rsidRPr="00F11F47" w:rsidRDefault="00B65DC7">
                <w:pPr>
                  <w:tabs>
                    <w:tab w:val="right" w:pos="8838"/>
                  </w:tabs>
                  <w:ind w:left="-108" w:right="-1090"/>
                  <w:jc w:val="both"/>
                  <w:rPr>
                    <w:rFonts w:ascii="Palatino Linotype" w:eastAsia="Palatino Linotype" w:hAnsi="Palatino Linotype" w:cs="Palatino Linotype"/>
                    <w:b/>
                    <w:bCs/>
                    <w:szCs w:val="22"/>
                  </w:rPr>
                </w:pPr>
              </w:p>
            </w:tc>
          </w:tr>
        </w:tbl>
        <w:p w:rsidR="00B65DC7" w:rsidRDefault="00B65DC7">
          <w:pPr>
            <w:tabs>
              <w:tab w:val="right" w:pos="8838"/>
            </w:tabs>
            <w:ind w:left="-28"/>
            <w:jc w:val="both"/>
            <w:rPr>
              <w:rFonts w:ascii="Arial" w:eastAsia="Arial" w:hAnsi="Arial" w:cs="Arial"/>
              <w:b/>
              <w:bCs/>
              <w:sz w:val="22"/>
              <w:szCs w:val="22"/>
            </w:rPr>
          </w:pPr>
        </w:p>
      </w:tc>
    </w:tr>
  </w:tbl>
  <w:p w:rsidR="00B65DC7" w:rsidRDefault="002A482F">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10020" w:type="dxa"/>
      <w:tblInd w:w="0" w:type="dxa"/>
      <w:tblLayout w:type="fixed"/>
      <w:tblLook w:val="0400" w:firstRow="0" w:lastRow="0" w:firstColumn="0" w:lastColumn="0" w:noHBand="0" w:noVBand="1"/>
    </w:tblPr>
    <w:tblGrid>
      <w:gridCol w:w="2265"/>
      <w:gridCol w:w="7755"/>
    </w:tblGrid>
    <w:tr w:rsidR="00B65DC7">
      <w:trPr>
        <w:trHeight w:val="1435"/>
      </w:trPr>
      <w:tc>
        <w:tcPr>
          <w:tcW w:w="2265" w:type="dxa"/>
          <w:shd w:val="clear" w:color="auto" w:fill="auto"/>
        </w:tcPr>
        <w:p w:rsidR="00B65DC7" w:rsidRDefault="00B65DC7">
          <w:pPr>
            <w:tabs>
              <w:tab w:val="right" w:pos="4273"/>
            </w:tabs>
            <w:rPr>
              <w:rFonts w:ascii="Garamond" w:eastAsia="Garamond" w:hAnsi="Garamond" w:cs="Garamond"/>
              <w:sz w:val="22"/>
              <w:szCs w:val="22"/>
            </w:rPr>
          </w:pPr>
        </w:p>
      </w:tc>
      <w:tc>
        <w:tcPr>
          <w:tcW w:w="7755" w:type="dxa"/>
          <w:shd w:val="clear" w:color="auto" w:fill="auto"/>
        </w:tcPr>
        <w:tbl>
          <w:tblPr>
            <w:tblStyle w:val="a3"/>
            <w:tblW w:w="7648" w:type="dxa"/>
            <w:tblInd w:w="0" w:type="dxa"/>
            <w:tblLayout w:type="fixed"/>
            <w:tblLook w:val="0400" w:firstRow="0" w:lastRow="0" w:firstColumn="0" w:lastColumn="0" w:noHBand="0" w:noVBand="1"/>
          </w:tblPr>
          <w:tblGrid>
            <w:gridCol w:w="2683"/>
            <w:gridCol w:w="4965"/>
          </w:tblGrid>
          <w:tr w:rsidR="00B65DC7" w:rsidTr="00F11F47">
            <w:trPr>
              <w:trHeight w:val="144"/>
            </w:trPr>
            <w:tc>
              <w:tcPr>
                <w:tcW w:w="2683" w:type="dxa"/>
                <w:shd w:val="clear" w:color="auto" w:fill="auto"/>
              </w:tcPr>
              <w:p w:rsidR="00B65DC7" w:rsidRPr="00F11F47" w:rsidRDefault="00CA0720" w:rsidP="00F11F47">
                <w:pPr>
                  <w:tabs>
                    <w:tab w:val="right" w:pos="8838"/>
                  </w:tabs>
                  <w:ind w:left="-264" w:right="-105" w:firstLine="195"/>
                  <w:rPr>
                    <w:rFonts w:ascii="Palatino Linotype" w:eastAsia="Palatino Linotype" w:hAnsi="Palatino Linotype" w:cs="Palatino Linotype"/>
                    <w:b/>
                    <w:bCs/>
                    <w:szCs w:val="22"/>
                  </w:rPr>
                </w:pPr>
                <w:r w:rsidRPr="00F11F47">
                  <w:rPr>
                    <w:rFonts w:ascii="Palatino Linotype" w:eastAsia="Palatino Linotype" w:hAnsi="Palatino Linotype" w:cs="Palatino Linotype"/>
                    <w:b/>
                    <w:bCs/>
                    <w:szCs w:val="22"/>
                  </w:rPr>
                  <w:t>Recurso de Revisión:</w:t>
                </w:r>
              </w:p>
            </w:tc>
            <w:tc>
              <w:tcPr>
                <w:tcW w:w="4965" w:type="dxa"/>
                <w:shd w:val="clear" w:color="auto" w:fill="auto"/>
              </w:tcPr>
              <w:p w:rsidR="00B65DC7" w:rsidRPr="00F11F47" w:rsidRDefault="00CA0720" w:rsidP="00F11F47">
                <w:pPr>
                  <w:tabs>
                    <w:tab w:val="right" w:pos="8838"/>
                  </w:tabs>
                  <w:ind w:left="-74" w:right="-1269"/>
                  <w:rPr>
                    <w:rFonts w:ascii="Palatino Linotype" w:eastAsia="Palatino Linotype" w:hAnsi="Palatino Linotype" w:cs="Palatino Linotype"/>
                    <w:szCs w:val="22"/>
                  </w:rPr>
                </w:pPr>
                <w:r w:rsidRPr="00F11F47">
                  <w:rPr>
                    <w:rFonts w:ascii="Palatino Linotype" w:eastAsia="Palatino Linotype" w:hAnsi="Palatino Linotype" w:cs="Palatino Linotype"/>
                    <w:szCs w:val="22"/>
                  </w:rPr>
                  <w:t>07358/INFOEM/IP/RR/2025</w:t>
                </w:r>
              </w:p>
            </w:tc>
          </w:tr>
          <w:tr w:rsidR="00B65DC7" w:rsidTr="00F11F47">
            <w:trPr>
              <w:trHeight w:val="144"/>
            </w:trPr>
            <w:tc>
              <w:tcPr>
                <w:tcW w:w="2683" w:type="dxa"/>
                <w:shd w:val="clear" w:color="auto" w:fill="auto"/>
              </w:tcPr>
              <w:p w:rsidR="00B65DC7" w:rsidRPr="00F11F47" w:rsidRDefault="00CA0720" w:rsidP="00F11F47">
                <w:pPr>
                  <w:tabs>
                    <w:tab w:val="right" w:pos="8838"/>
                  </w:tabs>
                  <w:ind w:left="-74" w:right="-105"/>
                  <w:rPr>
                    <w:rFonts w:ascii="Palatino Linotype" w:eastAsia="Palatino Linotype" w:hAnsi="Palatino Linotype" w:cs="Palatino Linotype"/>
                    <w:b/>
                    <w:bCs/>
                    <w:szCs w:val="22"/>
                  </w:rPr>
                </w:pPr>
                <w:r w:rsidRPr="00F11F47">
                  <w:rPr>
                    <w:rFonts w:ascii="Palatino Linotype" w:eastAsia="Palatino Linotype" w:hAnsi="Palatino Linotype" w:cs="Palatino Linotype"/>
                    <w:b/>
                    <w:bCs/>
                    <w:szCs w:val="22"/>
                  </w:rPr>
                  <w:t>Recurrente:</w:t>
                </w:r>
              </w:p>
            </w:tc>
            <w:tc>
              <w:tcPr>
                <w:tcW w:w="4965" w:type="dxa"/>
                <w:shd w:val="clear" w:color="auto" w:fill="auto"/>
              </w:tcPr>
              <w:p w:rsidR="00B65DC7" w:rsidRPr="00F11F47" w:rsidRDefault="00CA0720" w:rsidP="00B342C4">
                <w:pPr>
                  <w:tabs>
                    <w:tab w:val="left" w:pos="3122"/>
                    <w:tab w:val="right" w:pos="8838"/>
                  </w:tabs>
                  <w:ind w:left="-74" w:right="-1269"/>
                  <w:rPr>
                    <w:rFonts w:ascii="Palatino Linotype" w:eastAsia="Palatino Linotype" w:hAnsi="Palatino Linotype" w:cs="Palatino Linotype"/>
                    <w:szCs w:val="22"/>
                  </w:rPr>
                </w:pPr>
                <w:r w:rsidRPr="00F11F47">
                  <w:rPr>
                    <w:rFonts w:ascii="Palatino Linotype" w:eastAsia="Palatino Linotype" w:hAnsi="Palatino Linotype" w:cs="Palatino Linotype"/>
                    <w:b/>
                    <w:bCs/>
                    <w:szCs w:val="22"/>
                  </w:rPr>
                  <w:t> </w:t>
                </w:r>
                <w:r w:rsidR="00B342C4">
                  <w:rPr>
                    <w:rFonts w:ascii="Palatino Linotype" w:eastAsia="Palatino Linotype" w:hAnsi="Palatino Linotype" w:cs="Palatino Linotype"/>
                    <w:szCs w:val="22"/>
                  </w:rPr>
                  <w:t>XXXX</w:t>
                </w:r>
                <w:r w:rsidRPr="00F11F47">
                  <w:rPr>
                    <w:rFonts w:ascii="Palatino Linotype" w:eastAsia="Palatino Linotype" w:hAnsi="Palatino Linotype" w:cs="Palatino Linotype"/>
                    <w:szCs w:val="22"/>
                  </w:rPr>
                  <w:t> </w:t>
                </w:r>
              </w:p>
            </w:tc>
          </w:tr>
          <w:tr w:rsidR="00B65DC7" w:rsidTr="00F11F47">
            <w:trPr>
              <w:trHeight w:val="283"/>
            </w:trPr>
            <w:tc>
              <w:tcPr>
                <w:tcW w:w="2683" w:type="dxa"/>
                <w:shd w:val="clear" w:color="auto" w:fill="auto"/>
              </w:tcPr>
              <w:p w:rsidR="00B65DC7" w:rsidRPr="00F11F47" w:rsidRDefault="00CA0720" w:rsidP="00F11F47">
                <w:pPr>
                  <w:tabs>
                    <w:tab w:val="right" w:pos="8838"/>
                  </w:tabs>
                  <w:ind w:left="-74" w:right="-105"/>
                  <w:rPr>
                    <w:rFonts w:ascii="Palatino Linotype" w:eastAsia="Palatino Linotype" w:hAnsi="Palatino Linotype" w:cs="Palatino Linotype"/>
                    <w:b/>
                    <w:bCs/>
                    <w:szCs w:val="22"/>
                  </w:rPr>
                </w:pPr>
                <w:r w:rsidRPr="00F11F47">
                  <w:rPr>
                    <w:rFonts w:ascii="Palatino Linotype" w:eastAsia="Palatino Linotype" w:hAnsi="Palatino Linotype" w:cs="Palatino Linotype"/>
                    <w:b/>
                    <w:bCs/>
                    <w:szCs w:val="22"/>
                  </w:rPr>
                  <w:t>Sujeto Obligado:</w:t>
                </w:r>
              </w:p>
            </w:tc>
            <w:tc>
              <w:tcPr>
                <w:tcW w:w="4965" w:type="dxa"/>
                <w:shd w:val="clear" w:color="auto" w:fill="auto"/>
              </w:tcPr>
              <w:p w:rsidR="00B65DC7" w:rsidRPr="00F11F47" w:rsidRDefault="00CA0720" w:rsidP="00F11F47">
                <w:pPr>
                  <w:tabs>
                    <w:tab w:val="left" w:pos="2834"/>
                    <w:tab w:val="right" w:pos="8838"/>
                  </w:tabs>
                  <w:ind w:left="-74" w:right="-1269"/>
                  <w:rPr>
                    <w:rFonts w:ascii="Palatino Linotype" w:eastAsia="Palatino Linotype" w:hAnsi="Palatino Linotype" w:cs="Palatino Linotype"/>
                    <w:szCs w:val="22"/>
                  </w:rPr>
                </w:pPr>
                <w:r w:rsidRPr="00F11F47">
                  <w:rPr>
                    <w:rFonts w:ascii="Palatino Linotype" w:eastAsia="Palatino Linotype" w:hAnsi="Palatino Linotype" w:cs="Palatino Linotype"/>
                    <w:szCs w:val="22"/>
                  </w:rPr>
                  <w:t xml:space="preserve">Sistema Municipal para el Desarrollo Integral </w:t>
                </w:r>
              </w:p>
              <w:p w:rsidR="00B65DC7" w:rsidRPr="00F11F47" w:rsidRDefault="00CA0720" w:rsidP="00F11F47">
                <w:pPr>
                  <w:tabs>
                    <w:tab w:val="left" w:pos="2834"/>
                    <w:tab w:val="right" w:pos="8838"/>
                  </w:tabs>
                  <w:ind w:left="-74" w:right="-1269"/>
                  <w:rPr>
                    <w:rFonts w:ascii="Palatino Linotype" w:eastAsia="Palatino Linotype" w:hAnsi="Palatino Linotype" w:cs="Palatino Linotype"/>
                    <w:szCs w:val="22"/>
                  </w:rPr>
                </w:pPr>
                <w:r w:rsidRPr="00F11F47">
                  <w:rPr>
                    <w:rFonts w:ascii="Palatino Linotype" w:eastAsia="Palatino Linotype" w:hAnsi="Palatino Linotype" w:cs="Palatino Linotype"/>
                    <w:szCs w:val="22"/>
                  </w:rPr>
                  <w:t>de la Familia de Juchitepec</w:t>
                </w:r>
              </w:p>
            </w:tc>
          </w:tr>
          <w:tr w:rsidR="00B65DC7" w:rsidTr="00F11F47">
            <w:trPr>
              <w:trHeight w:val="283"/>
            </w:trPr>
            <w:tc>
              <w:tcPr>
                <w:tcW w:w="2683" w:type="dxa"/>
                <w:shd w:val="clear" w:color="auto" w:fill="auto"/>
              </w:tcPr>
              <w:p w:rsidR="00B65DC7" w:rsidRPr="00F11F47" w:rsidRDefault="00CA0720" w:rsidP="00F11F47">
                <w:pPr>
                  <w:tabs>
                    <w:tab w:val="right" w:pos="8838"/>
                  </w:tabs>
                  <w:ind w:left="-74" w:right="-105"/>
                  <w:rPr>
                    <w:rFonts w:ascii="Palatino Linotype" w:eastAsia="Palatino Linotype" w:hAnsi="Palatino Linotype" w:cs="Palatino Linotype"/>
                    <w:b/>
                    <w:bCs/>
                    <w:szCs w:val="22"/>
                  </w:rPr>
                </w:pPr>
                <w:r w:rsidRPr="00F11F47">
                  <w:rPr>
                    <w:rFonts w:ascii="Palatino Linotype" w:eastAsia="Palatino Linotype" w:hAnsi="Palatino Linotype" w:cs="Palatino Linotype"/>
                    <w:b/>
                    <w:bCs/>
                    <w:szCs w:val="22"/>
                  </w:rPr>
                  <w:t>Comisionado ponente:</w:t>
                </w:r>
              </w:p>
            </w:tc>
            <w:tc>
              <w:tcPr>
                <w:tcW w:w="4965" w:type="dxa"/>
                <w:shd w:val="clear" w:color="auto" w:fill="auto"/>
              </w:tcPr>
              <w:p w:rsidR="00B65DC7" w:rsidRPr="00F11F47" w:rsidRDefault="00CA0720" w:rsidP="00F11F47">
                <w:pPr>
                  <w:tabs>
                    <w:tab w:val="right" w:pos="8838"/>
                  </w:tabs>
                  <w:ind w:left="-74" w:right="-1269"/>
                  <w:rPr>
                    <w:rFonts w:ascii="Palatino Linotype" w:eastAsia="Palatino Linotype" w:hAnsi="Palatino Linotype" w:cs="Palatino Linotype"/>
                    <w:szCs w:val="22"/>
                  </w:rPr>
                </w:pPr>
                <w:r w:rsidRPr="00F11F47">
                  <w:rPr>
                    <w:rFonts w:ascii="Palatino Linotype" w:eastAsia="Palatino Linotype" w:hAnsi="Palatino Linotype" w:cs="Palatino Linotype"/>
                    <w:szCs w:val="22"/>
                  </w:rPr>
                  <w:t>María del Rosario Mejía Ayala</w:t>
                </w:r>
              </w:p>
              <w:p w:rsidR="00B65DC7" w:rsidRPr="00F11F47" w:rsidRDefault="00B65DC7" w:rsidP="00F11F47">
                <w:pPr>
                  <w:tabs>
                    <w:tab w:val="right" w:pos="8838"/>
                  </w:tabs>
                  <w:ind w:left="-74" w:right="-1269"/>
                  <w:rPr>
                    <w:rFonts w:ascii="Palatino Linotype" w:eastAsia="Palatino Linotype" w:hAnsi="Palatino Linotype" w:cs="Palatino Linotype"/>
                    <w:b/>
                    <w:bCs/>
                    <w:szCs w:val="22"/>
                  </w:rPr>
                </w:pPr>
              </w:p>
            </w:tc>
          </w:tr>
        </w:tbl>
        <w:p w:rsidR="00B65DC7" w:rsidRDefault="00B65DC7">
          <w:pPr>
            <w:tabs>
              <w:tab w:val="right" w:pos="8838"/>
            </w:tabs>
            <w:ind w:left="-28"/>
            <w:jc w:val="both"/>
            <w:rPr>
              <w:rFonts w:ascii="Arial" w:eastAsia="Arial" w:hAnsi="Arial" w:cs="Arial"/>
              <w:b/>
              <w:bCs/>
              <w:sz w:val="22"/>
              <w:szCs w:val="22"/>
            </w:rPr>
          </w:pPr>
        </w:p>
      </w:tc>
    </w:tr>
  </w:tbl>
  <w:p w:rsidR="00B65DC7" w:rsidRDefault="002A482F">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67.85pt;margin-top:-123.55pt;width:589.8pt;height:768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3493"/>
    <w:multiLevelType w:val="multilevel"/>
    <w:tmpl w:val="2DD0DE22"/>
    <w:lvl w:ilvl="0">
      <w:start w:val="1"/>
      <w:numFmt w:val="decimal"/>
      <w:lvlText w:val="%1."/>
      <w:lvlJc w:val="left"/>
      <w:pPr>
        <w:ind w:left="360" w:hanging="360"/>
      </w:pPr>
      <w:rPr>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8320E9"/>
    <w:multiLevelType w:val="multilevel"/>
    <w:tmpl w:val="6326428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C42A54"/>
    <w:multiLevelType w:val="multilevel"/>
    <w:tmpl w:val="3AD46A0A"/>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3" w15:restartNumberingAfterBreak="0">
    <w:nsid w:val="1A696812"/>
    <w:multiLevelType w:val="multilevel"/>
    <w:tmpl w:val="94481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62062E"/>
    <w:multiLevelType w:val="multilevel"/>
    <w:tmpl w:val="81B44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48318C2"/>
    <w:multiLevelType w:val="multilevel"/>
    <w:tmpl w:val="00E2353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74A701D2"/>
    <w:multiLevelType w:val="multilevel"/>
    <w:tmpl w:val="E2A0CE0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3"/>
  </w:num>
  <w:num w:numId="2">
    <w:abstractNumId w:val="0"/>
  </w:num>
  <w:num w:numId="3">
    <w:abstractNumId w:val="4"/>
  </w:num>
  <w:num w:numId="4">
    <w:abstractNumId w:val="2"/>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DC7"/>
    <w:rsid w:val="00112B8B"/>
    <w:rsid w:val="002A482F"/>
    <w:rsid w:val="009A7268"/>
    <w:rsid w:val="009B5AE8"/>
    <w:rsid w:val="00B342C4"/>
    <w:rsid w:val="00B65DC7"/>
    <w:rsid w:val="00CA0720"/>
    <w:rsid w:val="00DC2A37"/>
    <w:rsid w:val="00F11F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CB61029-2E09-4B31-8149-6503EEF42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2Car">
    <w:name w:val="Título 2 Car"/>
    <w:basedOn w:val="Fuentedeprrafopredeter"/>
    <w:uiPriority w:val="9"/>
    <w:rsid w:val="00AF488A"/>
    <w:rPr>
      <w:rFonts w:asciiTheme="majorHAnsi" w:eastAsiaTheme="majorEastAsia" w:hAnsiTheme="majorHAnsi" w:cstheme="majorBidi"/>
      <w:color w:val="2E74B5" w:themeColor="accent1" w:themeShade="BF"/>
      <w:sz w:val="26"/>
      <w:szCs w:val="26"/>
      <w:lang w:eastAsia="es-MX"/>
    </w:rPr>
  </w:style>
  <w:style w:type="character" w:styleId="Hipervnculo">
    <w:name w:val="Hyperlink"/>
    <w:basedOn w:val="Fuentedeprrafopredeter"/>
    <w:uiPriority w:val="99"/>
    <w:unhideWhenUsed/>
    <w:rsid w:val="00AF488A"/>
    <w:rPr>
      <w:color w:val="0000FF"/>
      <w:u w:val="single"/>
    </w:rPr>
  </w:style>
  <w:style w:type="paragraph" w:styleId="Prrafodelista">
    <w:name w:val="List Paragraph"/>
    <w:basedOn w:val="Normal"/>
    <w:link w:val="PrrafodelistaCar"/>
    <w:uiPriority w:val="34"/>
    <w:qFormat/>
    <w:rsid w:val="00AF488A"/>
    <w:pPr>
      <w:ind w:left="720"/>
      <w:contextualSpacing/>
    </w:pPr>
  </w:style>
  <w:style w:type="character" w:customStyle="1" w:styleId="PrrafodelistaCar">
    <w:name w:val="Párrafo de lista Car"/>
    <w:link w:val="Prrafodelista"/>
    <w:uiPriority w:val="34"/>
    <w:locked/>
    <w:rsid w:val="00AF488A"/>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AF488A"/>
    <w:pPr>
      <w:tabs>
        <w:tab w:val="center" w:pos="4419"/>
        <w:tab w:val="right" w:pos="8838"/>
      </w:tabs>
    </w:pPr>
  </w:style>
  <w:style w:type="character" w:customStyle="1" w:styleId="PiedepginaCar">
    <w:name w:val="Pie de página Car"/>
    <w:basedOn w:val="Fuentedeprrafopredeter"/>
    <w:link w:val="Piedepgina"/>
    <w:uiPriority w:val="99"/>
    <w:rsid w:val="00AF488A"/>
    <w:rPr>
      <w:rFonts w:ascii="Times New Roman" w:eastAsia="Times New Roman" w:hAnsi="Times New Roman" w:cs="Times New Roman"/>
      <w:sz w:val="24"/>
      <w:szCs w:val="24"/>
      <w:lang w:eastAsia="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60357.page" TargetMode="External"/><Relationship Id="rId13" Type="http://schemas.openxmlformats.org/officeDocument/2006/relationships/hyperlink" Target="https://saimex.org.mx/saimex/solicitud/downloadAttach/2491303.pag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aimex.org.mx/saimex/solicitud/downloadAttach/2491302.pag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491301.pag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legislacion.edomex.gob.mx/sites/legislacion.edomex.gob.mx/files/files/pdf/gct/2024/octubre/oct251/oct251d.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imex.org.mx/saimex/solicitud/downloadAttach/2491300.page"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WA+O0DwszX3L+3nUlXxdkLwOBA==">CgMxLjAyCGguZ2pkZ3hzMgloLjFmb2I5dGUyCWguM3pueXNoNzIJaC4yZXQ5MnAwMg5oLm9tMjVmNHJvOGg4ODgAciExQlBscDBVbHFMcEFzZzNyQkZ2cDlnSkxiMWpWSXFQTVc=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3621</Words>
  <Characters>19917</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23492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Cuenta Microsoft</cp:lastModifiedBy>
  <cp:revision>6</cp:revision>
  <cp:lastPrinted>2026-02-09T17:30:00Z</cp:lastPrinted>
  <dcterms:created xsi:type="dcterms:W3CDTF">2026-01-27T19:32:00Z</dcterms:created>
  <dcterms:modified xsi:type="dcterms:W3CDTF">2026-02-16T18:09:00Z</dcterms:modified>
</cp:coreProperties>
</file>